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a16="http://schemas.microsoft.com/office/drawing/2014/main" xmlns:pic="http://schemas.openxmlformats.org/drawingml/2006/picture" xmlns:a14="http://schemas.microsoft.com/office/drawing/2010/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4ED9" w:rsidP="00BA5597" w:rsidRDefault="00080D00" w14:paraId="5BCAA856" w14:textId="5AB73533">
      <w:pPr>
        <w:tabs>
          <w:tab w:val="center" w:pos="4140"/>
          <w:tab w:val="right" w:pos="9360"/>
        </w:tabs>
        <w:spacing w:line="240" w:lineRule="auto"/>
        <w:ind w:firstLine="0"/>
        <w:rPr>
          <w:b/>
        </w:rPr>
      </w:pPr>
      <w:r w:rsidRPr="00F55A79">
        <w:t>ALJ/EF1/asf</w:t>
      </w:r>
      <w:r w:rsidRPr="00F55A79" w:rsidR="007E0FEE">
        <w:tab/>
      </w:r>
      <w:r w:rsidRPr="00F55A79" w:rsidR="00DA7B5D">
        <w:tab/>
      </w:r>
      <w:r w:rsidR="00BA5597">
        <w:rPr>
          <w:b/>
        </w:rPr>
        <w:t>Date of Issuance 1/20/2026</w:t>
      </w:r>
    </w:p>
    <w:p w:rsidRPr="00F55A79" w:rsidR="00A8671D" w:rsidP="00632207" w:rsidRDefault="00A8671D" w14:paraId="0714304C" w14:textId="77777777">
      <w:pPr>
        <w:spacing w:line="240" w:lineRule="auto"/>
        <w:jc w:val="right"/>
        <w:rPr>
          <w:b/>
        </w:rPr>
      </w:pPr>
    </w:p>
    <w:p w:rsidRPr="00F55A79" w:rsidR="00DA7B5D" w:rsidP="008F0116" w:rsidRDefault="00DA7B5D" w14:paraId="724FBE3C" w14:textId="77777777">
      <w:pPr>
        <w:ind w:firstLine="0"/>
      </w:pPr>
    </w:p>
    <w:p w:rsidRPr="00F55A79" w:rsidR="00DA7B5D" w:rsidP="0098655A" w:rsidRDefault="00DA7B5D" w14:paraId="78420917" w14:textId="6DFDEF93">
      <w:pPr>
        <w:ind w:left="1080" w:hanging="1080"/>
      </w:pPr>
      <w:r w:rsidRPr="00F55A79">
        <w:t xml:space="preserve">Decision </w:t>
      </w:r>
      <w:r w:rsidRPr="00BA5597" w:rsidR="00BA5597">
        <w:t>26-01-023</w:t>
      </w:r>
      <w:r w:rsidR="00BA5597">
        <w:t xml:space="preserve">  January 15, 2026</w:t>
      </w:r>
    </w:p>
    <w:p w:rsidRPr="00F55A79" w:rsidR="00DA7B5D" w:rsidP="00BB0243" w:rsidRDefault="00DA7B5D" w14:paraId="1863BCF5" w14:textId="77777777">
      <w:pPr>
        <w:spacing w:line="240" w:lineRule="auto"/>
        <w:jc w:val="center"/>
        <w:rPr>
          <w:u w:val="single"/>
        </w:rPr>
      </w:pPr>
    </w:p>
    <w:p w:rsidRPr="00F55A79" w:rsidR="00DA7B5D" w:rsidP="00BB0243" w:rsidRDefault="00DA7B5D" w14:paraId="4554B162" w14:textId="77777777">
      <w:pPr>
        <w:spacing w:line="240" w:lineRule="auto"/>
        <w:ind w:firstLine="0"/>
        <w:jc w:val="center"/>
        <w:rPr>
          <w:rFonts w:ascii="Arial" w:hAnsi="Arial" w:cs="Arial"/>
          <w:b/>
          <w:sz w:val="24"/>
          <w:szCs w:val="24"/>
        </w:rPr>
      </w:pPr>
      <w:r w:rsidRPr="00F55A79">
        <w:rPr>
          <w:rFonts w:ascii="Arial" w:hAnsi="Arial" w:cs="Arial"/>
          <w:b/>
          <w:sz w:val="24"/>
          <w:szCs w:val="24"/>
        </w:rPr>
        <w:t>BEFORE THE PUBLIC UTILITIES COMMISSION OF THE STATE OF CALIFORNIA</w:t>
      </w:r>
    </w:p>
    <w:p w:rsidRPr="00F55A79" w:rsidR="00080D00" w:rsidP="00BB0243" w:rsidRDefault="00080D00" w14:paraId="0939AB75" w14:textId="77777777">
      <w:pPr>
        <w:spacing w:line="240" w:lineRule="auto"/>
        <w:ind w:firstLine="0"/>
        <w:jc w:val="center"/>
        <w:rPr>
          <w:rFonts w:ascii="Arial" w:hAnsi="Arial" w:cs="Arial"/>
          <w:sz w:val="24"/>
          <w:szCs w:val="24"/>
        </w:rPr>
      </w:pPr>
    </w:p>
    <w:p w:rsidRPr="00F55A79" w:rsidR="00DA7B5D" w:rsidP="008F0116" w:rsidRDefault="00DA7B5D" w14:paraId="5D25E726"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5040"/>
        <w:gridCol w:w="4320"/>
      </w:tblGrid>
      <w:tr w:rsidRPr="00F55A79" w:rsidR="00DA7B5D" w:rsidTr="00080D00" w14:paraId="220F9107" w14:textId="77777777">
        <w:trPr>
          <w:jc w:val="center"/>
        </w:trPr>
        <w:tc>
          <w:tcPr>
            <w:tcW w:w="5040" w:type="dxa"/>
            <w:tcBorders>
              <w:top w:val="nil"/>
              <w:left w:val="nil"/>
              <w:bottom w:val="single" w:color="auto" w:sz="4" w:space="0"/>
              <w:right w:val="single" w:color="auto" w:sz="4" w:space="0"/>
            </w:tcBorders>
          </w:tcPr>
          <w:p w:rsidRPr="00F55A79" w:rsidR="00DA7B5D" w:rsidP="00C10B5F" w:rsidRDefault="00295836" w14:paraId="122181E3" w14:textId="12D73967">
            <w:pPr>
              <w:spacing w:line="240" w:lineRule="auto"/>
              <w:ind w:firstLine="0"/>
              <w:rPr>
                <w:rFonts w:cs="Arial"/>
                <w:szCs w:val="26"/>
              </w:rPr>
            </w:pPr>
            <w:r w:rsidRPr="00F55A79">
              <w:rPr>
                <w:rFonts w:cs="Arial"/>
                <w:szCs w:val="26"/>
              </w:rPr>
              <w:t>In the Matter of the Joint Application of Verizon Communications Inc., Frontier Communications Parent, Inc., Frontier California Inc., Citizens Telecommunications Company of California Inc., Frontier Communications of the Southwest Inc., Frontier Communications Online and Long Distance Inc., and Frontier Communications of America, Inc. for Approval of the Transfer of Control of Frontier California Inc. (U1002C), Citizens Telecommunications Company of California (U1024C), Frontier Communications of the Southwest Inc. (U1026C), Frontier Communications Online and Long Distance Inc. (U7167C), and Frontier Communications of America, Inc. (U5429C), to Verizon Communications Inc. Pursuant to California Public Utilities Code Section 854.</w:t>
            </w:r>
            <w:r w:rsidRPr="00F55A79" w:rsidR="00DA7B5D">
              <w:rPr>
                <w:rFonts w:cs="Arial"/>
                <w:szCs w:val="26"/>
              </w:rPr>
              <w:br/>
            </w:r>
          </w:p>
        </w:tc>
        <w:tc>
          <w:tcPr>
            <w:tcW w:w="4320" w:type="dxa"/>
            <w:tcBorders>
              <w:top w:val="nil"/>
              <w:left w:val="single" w:color="auto" w:sz="4" w:space="0"/>
              <w:bottom w:val="nil"/>
              <w:right w:val="nil"/>
            </w:tcBorders>
            <w:vAlign w:val="center"/>
          </w:tcPr>
          <w:p w:rsidRPr="00F55A79" w:rsidR="00DA7B5D" w:rsidP="00412C83" w:rsidRDefault="00F71A21" w14:paraId="2A809637" w14:textId="2BBE6D93">
            <w:pPr>
              <w:spacing w:line="240" w:lineRule="auto"/>
              <w:ind w:firstLine="0"/>
              <w:jc w:val="center"/>
              <w:rPr>
                <w:rFonts w:cs="Arial"/>
                <w:szCs w:val="26"/>
              </w:rPr>
            </w:pPr>
            <w:r w:rsidRPr="00F55A79">
              <w:rPr>
                <w:rFonts w:cs="Arial"/>
                <w:szCs w:val="26"/>
              </w:rPr>
              <w:t>Application 24-10-006</w:t>
            </w:r>
          </w:p>
        </w:tc>
      </w:tr>
    </w:tbl>
    <w:p w:rsidRPr="00F55A79" w:rsidR="00DA7B5D" w:rsidP="008F0116" w:rsidRDefault="00DA7B5D" w14:paraId="4A3B733D" w14:textId="77777777">
      <w:pPr>
        <w:spacing w:line="240" w:lineRule="auto"/>
        <w:ind w:firstLine="0"/>
        <w:rPr>
          <w:rFonts w:ascii="Arial" w:hAnsi="Arial" w:cs="Arial"/>
          <w:sz w:val="24"/>
          <w:szCs w:val="24"/>
        </w:rPr>
      </w:pPr>
    </w:p>
    <w:p w:rsidRPr="00F55A79" w:rsidR="00F92385" w:rsidP="00D9324A" w:rsidRDefault="00124524" w14:paraId="2E892BBA" w14:textId="02A7154C">
      <w:pPr>
        <w:pStyle w:val="Dummy"/>
        <w:spacing w:after="0"/>
        <w:jc w:val="center"/>
        <w:rPr>
          <w:color w:val="000000" w:themeColor="text1"/>
        </w:rPr>
        <w:sectPr w:rsidRPr="00F55A79" w:rsidR="00F92385" w:rsidSect="00150F4B">
          <w:headerReference w:type="default"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pPr>
      <w:bookmarkStart w:name="_Toc216163111" w:id="0"/>
      <w:r w:rsidRPr="00F55A79">
        <w:rPr>
          <w:color w:val="000000" w:themeColor="text1"/>
        </w:rPr>
        <w:t xml:space="preserve">GRANTING </w:t>
      </w:r>
      <w:r w:rsidRPr="00F55A79" w:rsidR="004855AA">
        <w:rPr>
          <w:color w:val="000000" w:themeColor="text1"/>
        </w:rPr>
        <w:t>TRANSFER OF CONTROL</w:t>
      </w:r>
      <w:r w:rsidRPr="00F55A79">
        <w:rPr>
          <w:color w:val="000000" w:themeColor="text1"/>
        </w:rPr>
        <w:t xml:space="preserve"> SUBJECT TO CONDITIONS</w:t>
      </w:r>
      <w:bookmarkEnd w:id="0"/>
      <w:r w:rsidRPr="00F55A79">
        <w:rPr>
          <w:color w:val="000000" w:themeColor="text1"/>
        </w:rPr>
        <w:t xml:space="preserve"> </w:t>
      </w:r>
    </w:p>
    <w:p w:rsidRPr="00F55A79" w:rsidR="00D50119" w:rsidP="00F76650" w:rsidRDefault="00D50119" w14:paraId="5F5F4587" w14:textId="77777777">
      <w:pPr>
        <w:pStyle w:val="Main"/>
        <w:rPr>
          <w:rFonts w:ascii="Book Antiqua" w:hAnsi="Book Antiqua"/>
        </w:rPr>
      </w:pPr>
      <w:r w:rsidRPr="00F55A79">
        <w:rPr>
          <w:rFonts w:ascii="Book Antiqua" w:hAnsi="Book Antiqua"/>
        </w:rPr>
        <w:lastRenderedPageBreak/>
        <w:t>TABLE OF CONTENTS</w:t>
      </w:r>
    </w:p>
    <w:p w:rsidRPr="00F55A79" w:rsidR="00D50119" w:rsidP="007E0FEE" w:rsidRDefault="00D50119" w14:paraId="64FB2668" w14:textId="77777777">
      <w:pPr>
        <w:tabs>
          <w:tab w:val="right" w:pos="9360"/>
        </w:tabs>
        <w:ind w:firstLine="0"/>
      </w:pPr>
      <w:r w:rsidRPr="00F55A79">
        <w:rPr>
          <w:b/>
        </w:rPr>
        <w:t>Title</w:t>
      </w:r>
      <w:r w:rsidRPr="00F55A79">
        <w:tab/>
      </w:r>
      <w:r w:rsidRPr="00F55A79">
        <w:rPr>
          <w:b/>
        </w:rPr>
        <w:t>Page</w:t>
      </w:r>
    </w:p>
    <w:sdt>
      <w:sdtPr>
        <w:id w:val="-1224440197"/>
        <w:docPartObj>
          <w:docPartGallery w:val="Table of Contents"/>
          <w:docPartUnique/>
        </w:docPartObj>
      </w:sdtPr>
      <w:sdtEndPr>
        <w:rPr>
          <w:b/>
          <w:bCs/>
          <w:noProof/>
        </w:rPr>
      </w:sdtEndPr>
      <w:sdtContent>
        <w:p w:rsidRPr="00F55A79" w:rsidR="005142AB" w:rsidP="001060CC" w:rsidRDefault="008C7413" w14:paraId="3938EB82" w14:textId="4171CF61">
          <w:pPr>
            <w:pStyle w:val="TOC1"/>
            <w:tabs>
              <w:tab w:val="right" w:leader="dot" w:pos="9350"/>
            </w:tabs>
            <w:ind w:left="0" w:firstLine="0"/>
            <w:rPr>
              <w:rFonts w:asciiTheme="minorHAnsi" w:hAnsiTheme="minorHAnsi" w:cstheme="minorBidi"/>
              <w:noProof/>
              <w:kern w:val="2"/>
              <w:sz w:val="24"/>
              <w:szCs w:val="24"/>
              <w14:ligatures w14:val="standardContextual"/>
            </w:rPr>
          </w:pPr>
          <w:r w:rsidRPr="00F55A79">
            <w:rPr>
              <w:rFonts w:asciiTheme="minorHAnsi" w:hAnsiTheme="minorHAnsi"/>
              <w:sz w:val="22"/>
            </w:rPr>
            <w:fldChar w:fldCharType="begin"/>
          </w:r>
          <w:r w:rsidRPr="00F55A79">
            <w:rPr>
              <w:rFonts w:asciiTheme="minorHAnsi" w:hAnsiTheme="minorHAnsi"/>
              <w:sz w:val="22"/>
            </w:rPr>
            <w:instrText xml:space="preserve"> TOC \o "1-6" \h \z \u </w:instrText>
          </w:r>
          <w:r w:rsidRPr="00F55A79">
            <w:rPr>
              <w:rFonts w:asciiTheme="minorHAnsi" w:hAnsiTheme="minorHAnsi"/>
              <w:sz w:val="22"/>
            </w:rPr>
            <w:fldChar w:fldCharType="separate"/>
          </w:r>
          <w:hyperlink w:history="1" w:anchor="_Toc216163111">
            <w:r w:rsidRPr="00F55A79" w:rsidR="005142AB">
              <w:rPr>
                <w:rStyle w:val="Hyperlink"/>
                <w:noProof/>
              </w:rPr>
              <w:t>GRANTING TRANSFER OF CONTROL SUBJECT TO CONDITIONS</w:t>
            </w:r>
            <w:r w:rsidRPr="00F55A79" w:rsidR="005142AB">
              <w:rPr>
                <w:noProof/>
                <w:webHidden/>
              </w:rPr>
              <w:tab/>
            </w:r>
            <w:r w:rsidRPr="00F55A79" w:rsidR="005142AB">
              <w:rPr>
                <w:noProof/>
                <w:webHidden/>
              </w:rPr>
              <w:fldChar w:fldCharType="begin"/>
            </w:r>
            <w:r w:rsidRPr="00F55A79" w:rsidR="005142AB">
              <w:rPr>
                <w:noProof/>
                <w:webHidden/>
              </w:rPr>
              <w:instrText xml:space="preserve"> PAGEREF _Toc216163111 \h </w:instrText>
            </w:r>
            <w:r w:rsidRPr="00F55A79" w:rsidR="005142AB">
              <w:rPr>
                <w:noProof/>
                <w:webHidden/>
              </w:rPr>
            </w:r>
            <w:r w:rsidRPr="00F55A79" w:rsidR="005142AB">
              <w:rPr>
                <w:noProof/>
                <w:webHidden/>
              </w:rPr>
              <w:fldChar w:fldCharType="separate"/>
            </w:r>
            <w:r w:rsidR="00BA5597">
              <w:rPr>
                <w:noProof/>
                <w:webHidden/>
              </w:rPr>
              <w:t>1</w:t>
            </w:r>
            <w:r w:rsidRPr="00F55A79" w:rsidR="005142AB">
              <w:rPr>
                <w:noProof/>
                <w:webHidden/>
              </w:rPr>
              <w:fldChar w:fldCharType="end"/>
            </w:r>
          </w:hyperlink>
        </w:p>
        <w:p w:rsidRPr="00F55A79" w:rsidR="005142AB" w:rsidRDefault="005142AB" w14:paraId="57AFABF9" w14:textId="4FB9E730">
          <w:pPr>
            <w:pStyle w:val="TOC1"/>
            <w:tabs>
              <w:tab w:val="right" w:leader="dot" w:pos="9350"/>
            </w:tabs>
            <w:rPr>
              <w:rFonts w:asciiTheme="minorHAnsi" w:hAnsiTheme="minorHAnsi" w:cstheme="minorBidi"/>
              <w:noProof/>
              <w:kern w:val="2"/>
              <w:sz w:val="24"/>
              <w:szCs w:val="24"/>
              <w14:ligatures w14:val="standardContextual"/>
            </w:rPr>
          </w:pPr>
          <w:hyperlink w:history="1" w:anchor="_Toc216163112">
            <w:r w:rsidRPr="00F55A79">
              <w:rPr>
                <w:rStyle w:val="Hyperlink"/>
                <w:noProof/>
              </w:rPr>
              <w:t>Summary</w:t>
            </w:r>
            <w:r w:rsidRPr="00F55A79">
              <w:rPr>
                <w:noProof/>
                <w:webHidden/>
              </w:rPr>
              <w:tab/>
            </w:r>
            <w:r w:rsidRPr="00F55A79">
              <w:rPr>
                <w:noProof/>
                <w:webHidden/>
              </w:rPr>
              <w:fldChar w:fldCharType="begin"/>
            </w:r>
            <w:r w:rsidRPr="00F55A79">
              <w:rPr>
                <w:noProof/>
                <w:webHidden/>
              </w:rPr>
              <w:instrText xml:space="preserve"> PAGEREF _Toc216163112 \h </w:instrText>
            </w:r>
            <w:r w:rsidRPr="00F55A79">
              <w:rPr>
                <w:noProof/>
                <w:webHidden/>
              </w:rPr>
            </w:r>
            <w:r w:rsidRPr="00F55A79">
              <w:rPr>
                <w:noProof/>
                <w:webHidden/>
              </w:rPr>
              <w:fldChar w:fldCharType="separate"/>
            </w:r>
            <w:r w:rsidR="00BA5597">
              <w:rPr>
                <w:noProof/>
                <w:webHidden/>
              </w:rPr>
              <w:t>2</w:t>
            </w:r>
            <w:r w:rsidRPr="00F55A79">
              <w:rPr>
                <w:noProof/>
                <w:webHidden/>
              </w:rPr>
              <w:fldChar w:fldCharType="end"/>
            </w:r>
          </w:hyperlink>
        </w:p>
        <w:p w:rsidRPr="00F55A79" w:rsidR="005142AB" w:rsidRDefault="005142AB" w14:paraId="09654FD2" w14:textId="23CEEDFA">
          <w:pPr>
            <w:pStyle w:val="TOC1"/>
            <w:tabs>
              <w:tab w:val="right" w:leader="dot" w:pos="9350"/>
            </w:tabs>
            <w:rPr>
              <w:rFonts w:asciiTheme="minorHAnsi" w:hAnsiTheme="minorHAnsi" w:cstheme="minorBidi"/>
              <w:noProof/>
              <w:kern w:val="2"/>
              <w:sz w:val="24"/>
              <w:szCs w:val="24"/>
              <w14:ligatures w14:val="standardContextual"/>
            </w:rPr>
          </w:pPr>
          <w:hyperlink w:history="1" w:anchor="_Toc216163113">
            <w:r w:rsidRPr="00F55A79">
              <w:rPr>
                <w:rStyle w:val="Hyperlink"/>
                <w:noProof/>
              </w:rPr>
              <w:t>1.</w:t>
            </w:r>
            <w:r w:rsidRPr="00F55A79">
              <w:rPr>
                <w:rFonts w:asciiTheme="minorHAnsi" w:hAnsiTheme="minorHAnsi" w:cstheme="minorBidi"/>
                <w:noProof/>
                <w:kern w:val="2"/>
                <w:sz w:val="24"/>
                <w:szCs w:val="24"/>
                <w14:ligatures w14:val="standardContextual"/>
              </w:rPr>
              <w:tab/>
            </w:r>
            <w:r w:rsidRPr="00F55A79">
              <w:rPr>
                <w:rStyle w:val="Hyperlink"/>
                <w:noProof/>
              </w:rPr>
              <w:t>Background</w:t>
            </w:r>
            <w:r w:rsidRPr="00F55A79">
              <w:rPr>
                <w:noProof/>
                <w:webHidden/>
              </w:rPr>
              <w:tab/>
            </w:r>
            <w:r w:rsidRPr="00F55A79">
              <w:rPr>
                <w:noProof/>
                <w:webHidden/>
              </w:rPr>
              <w:fldChar w:fldCharType="begin"/>
            </w:r>
            <w:r w:rsidRPr="00F55A79">
              <w:rPr>
                <w:noProof/>
                <w:webHidden/>
              </w:rPr>
              <w:instrText xml:space="preserve"> PAGEREF _Toc216163113 \h </w:instrText>
            </w:r>
            <w:r w:rsidRPr="00F55A79">
              <w:rPr>
                <w:noProof/>
                <w:webHidden/>
              </w:rPr>
            </w:r>
            <w:r w:rsidRPr="00F55A79">
              <w:rPr>
                <w:noProof/>
                <w:webHidden/>
              </w:rPr>
              <w:fldChar w:fldCharType="separate"/>
            </w:r>
            <w:r w:rsidR="00BA5597">
              <w:rPr>
                <w:noProof/>
                <w:webHidden/>
              </w:rPr>
              <w:t>2</w:t>
            </w:r>
            <w:r w:rsidRPr="00F55A79">
              <w:rPr>
                <w:noProof/>
                <w:webHidden/>
              </w:rPr>
              <w:fldChar w:fldCharType="end"/>
            </w:r>
          </w:hyperlink>
        </w:p>
        <w:p w:rsidRPr="00F55A79" w:rsidR="005142AB" w:rsidRDefault="005142AB" w14:paraId="0EB3CF08" w14:textId="3B5D7DEE">
          <w:pPr>
            <w:pStyle w:val="TOC2"/>
            <w:tabs>
              <w:tab w:val="right" w:leader="dot" w:pos="9350"/>
            </w:tabs>
            <w:rPr>
              <w:rFonts w:asciiTheme="minorHAnsi" w:hAnsiTheme="minorHAnsi" w:cstheme="minorBidi"/>
              <w:noProof/>
              <w:kern w:val="2"/>
              <w:sz w:val="24"/>
              <w:szCs w:val="24"/>
              <w14:ligatures w14:val="standardContextual"/>
            </w:rPr>
          </w:pPr>
          <w:hyperlink w:history="1" w:anchor="_Toc216163114">
            <w:r w:rsidRPr="00F55A79">
              <w:rPr>
                <w:rStyle w:val="Hyperlink"/>
                <w:noProof/>
              </w:rPr>
              <w:t>1.1.</w:t>
            </w:r>
            <w:r w:rsidRPr="00F55A79">
              <w:rPr>
                <w:rFonts w:asciiTheme="minorHAnsi" w:hAnsiTheme="minorHAnsi" w:cstheme="minorBidi"/>
                <w:noProof/>
                <w:kern w:val="2"/>
                <w:sz w:val="24"/>
                <w:szCs w:val="24"/>
                <w14:ligatures w14:val="standardContextual"/>
              </w:rPr>
              <w:tab/>
            </w:r>
            <w:r w:rsidRPr="00F55A79">
              <w:rPr>
                <w:rStyle w:val="Hyperlink"/>
                <w:noProof/>
              </w:rPr>
              <w:t>Proposed Transaction</w:t>
            </w:r>
            <w:r w:rsidRPr="00F55A79">
              <w:rPr>
                <w:noProof/>
                <w:webHidden/>
              </w:rPr>
              <w:tab/>
            </w:r>
            <w:r w:rsidRPr="00F55A79">
              <w:rPr>
                <w:noProof/>
                <w:webHidden/>
              </w:rPr>
              <w:fldChar w:fldCharType="begin"/>
            </w:r>
            <w:r w:rsidRPr="00F55A79">
              <w:rPr>
                <w:noProof/>
                <w:webHidden/>
              </w:rPr>
              <w:instrText xml:space="preserve"> PAGEREF _Toc216163114 \h </w:instrText>
            </w:r>
            <w:r w:rsidRPr="00F55A79">
              <w:rPr>
                <w:noProof/>
                <w:webHidden/>
              </w:rPr>
            </w:r>
            <w:r w:rsidRPr="00F55A79">
              <w:rPr>
                <w:noProof/>
                <w:webHidden/>
              </w:rPr>
              <w:fldChar w:fldCharType="separate"/>
            </w:r>
            <w:r w:rsidR="00BA5597">
              <w:rPr>
                <w:noProof/>
                <w:webHidden/>
              </w:rPr>
              <w:t>2</w:t>
            </w:r>
            <w:r w:rsidRPr="00F55A79">
              <w:rPr>
                <w:noProof/>
                <w:webHidden/>
              </w:rPr>
              <w:fldChar w:fldCharType="end"/>
            </w:r>
          </w:hyperlink>
        </w:p>
        <w:p w:rsidRPr="00F55A79" w:rsidR="005142AB" w:rsidRDefault="005142AB" w14:paraId="231A3209" w14:textId="319997E0">
          <w:pPr>
            <w:pStyle w:val="TOC2"/>
            <w:tabs>
              <w:tab w:val="right" w:leader="dot" w:pos="9350"/>
            </w:tabs>
            <w:rPr>
              <w:rFonts w:asciiTheme="minorHAnsi" w:hAnsiTheme="minorHAnsi" w:cstheme="minorBidi"/>
              <w:noProof/>
              <w:kern w:val="2"/>
              <w:sz w:val="24"/>
              <w:szCs w:val="24"/>
              <w14:ligatures w14:val="standardContextual"/>
            </w:rPr>
          </w:pPr>
          <w:hyperlink w:history="1" w:anchor="_Toc216163115">
            <w:r w:rsidRPr="00F55A79">
              <w:rPr>
                <w:rStyle w:val="Hyperlink"/>
                <w:noProof/>
              </w:rPr>
              <w:t>1.2.</w:t>
            </w:r>
            <w:r w:rsidRPr="00F55A79">
              <w:rPr>
                <w:rFonts w:asciiTheme="minorHAnsi" w:hAnsiTheme="minorHAnsi" w:cstheme="minorBidi"/>
                <w:noProof/>
                <w:kern w:val="2"/>
                <w:sz w:val="24"/>
                <w:szCs w:val="24"/>
                <w14:ligatures w14:val="standardContextual"/>
              </w:rPr>
              <w:tab/>
            </w:r>
            <w:r w:rsidRPr="00F55A79">
              <w:rPr>
                <w:rStyle w:val="Hyperlink"/>
                <w:noProof/>
              </w:rPr>
              <w:t>Additional Background</w:t>
            </w:r>
            <w:r w:rsidRPr="00F55A79">
              <w:rPr>
                <w:noProof/>
                <w:webHidden/>
              </w:rPr>
              <w:tab/>
            </w:r>
            <w:r w:rsidRPr="00F55A79">
              <w:rPr>
                <w:noProof/>
                <w:webHidden/>
              </w:rPr>
              <w:fldChar w:fldCharType="begin"/>
            </w:r>
            <w:r w:rsidRPr="00F55A79">
              <w:rPr>
                <w:noProof/>
                <w:webHidden/>
              </w:rPr>
              <w:instrText xml:space="preserve"> PAGEREF _Toc216163115 \h </w:instrText>
            </w:r>
            <w:r w:rsidRPr="00F55A79">
              <w:rPr>
                <w:noProof/>
                <w:webHidden/>
              </w:rPr>
            </w:r>
            <w:r w:rsidRPr="00F55A79">
              <w:rPr>
                <w:noProof/>
                <w:webHidden/>
              </w:rPr>
              <w:fldChar w:fldCharType="separate"/>
            </w:r>
            <w:r w:rsidR="00BA5597">
              <w:rPr>
                <w:noProof/>
                <w:webHidden/>
              </w:rPr>
              <w:t>4</w:t>
            </w:r>
            <w:r w:rsidRPr="00F55A79">
              <w:rPr>
                <w:noProof/>
                <w:webHidden/>
              </w:rPr>
              <w:fldChar w:fldCharType="end"/>
            </w:r>
          </w:hyperlink>
        </w:p>
        <w:p w:rsidRPr="00F55A79" w:rsidR="005142AB" w:rsidRDefault="005142AB" w14:paraId="3EFE4BBA" w14:textId="5B9224FF">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16">
            <w:r w:rsidRPr="00F55A79">
              <w:rPr>
                <w:rStyle w:val="Hyperlink"/>
                <w:noProof/>
              </w:rPr>
              <w:t>1.2.1.</w:t>
            </w:r>
            <w:r w:rsidRPr="00F55A79">
              <w:rPr>
                <w:rFonts w:asciiTheme="minorHAnsi" w:hAnsiTheme="minorHAnsi" w:cstheme="minorBidi"/>
                <w:noProof/>
                <w:kern w:val="2"/>
                <w:sz w:val="24"/>
                <w:szCs w:val="24"/>
                <w14:ligatures w14:val="standardContextual"/>
              </w:rPr>
              <w:tab/>
            </w:r>
            <w:r w:rsidRPr="00F55A79">
              <w:rPr>
                <w:rStyle w:val="Hyperlink"/>
                <w:noProof/>
              </w:rPr>
              <w:t>Frontier Customer Connections and Trends</w:t>
            </w:r>
            <w:r w:rsidRPr="00F55A79">
              <w:rPr>
                <w:noProof/>
                <w:webHidden/>
              </w:rPr>
              <w:tab/>
            </w:r>
            <w:r w:rsidRPr="00F55A79">
              <w:rPr>
                <w:noProof/>
                <w:webHidden/>
              </w:rPr>
              <w:fldChar w:fldCharType="begin"/>
            </w:r>
            <w:r w:rsidRPr="00F55A79">
              <w:rPr>
                <w:noProof/>
                <w:webHidden/>
              </w:rPr>
              <w:instrText xml:space="preserve"> PAGEREF _Toc216163116 \h </w:instrText>
            </w:r>
            <w:r w:rsidRPr="00F55A79">
              <w:rPr>
                <w:noProof/>
                <w:webHidden/>
              </w:rPr>
            </w:r>
            <w:r w:rsidRPr="00F55A79">
              <w:rPr>
                <w:noProof/>
                <w:webHidden/>
              </w:rPr>
              <w:fldChar w:fldCharType="separate"/>
            </w:r>
            <w:r w:rsidR="00BA5597">
              <w:rPr>
                <w:noProof/>
                <w:webHidden/>
              </w:rPr>
              <w:t>4</w:t>
            </w:r>
            <w:r w:rsidRPr="00F55A79">
              <w:rPr>
                <w:noProof/>
                <w:webHidden/>
              </w:rPr>
              <w:fldChar w:fldCharType="end"/>
            </w:r>
          </w:hyperlink>
        </w:p>
        <w:p w:rsidRPr="00F55A79" w:rsidR="005142AB" w:rsidRDefault="005142AB" w14:paraId="3CABEAD9" w14:textId="0402C05D">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17">
            <w:r w:rsidRPr="00F55A79">
              <w:rPr>
                <w:rStyle w:val="Hyperlink"/>
                <w:noProof/>
              </w:rPr>
              <w:t>1.2.2.</w:t>
            </w:r>
            <w:r w:rsidRPr="00F55A79">
              <w:rPr>
                <w:rFonts w:asciiTheme="minorHAnsi" w:hAnsiTheme="minorHAnsi" w:cstheme="minorBidi"/>
                <w:noProof/>
                <w:kern w:val="2"/>
                <w:sz w:val="24"/>
                <w:szCs w:val="24"/>
                <w14:ligatures w14:val="standardContextual"/>
              </w:rPr>
              <w:tab/>
            </w:r>
            <w:r w:rsidRPr="00F55A79">
              <w:rPr>
                <w:rStyle w:val="Hyperlink"/>
                <w:noProof/>
              </w:rPr>
              <w:t>Carrier of Last Resort (COLR)</w:t>
            </w:r>
            <w:r w:rsidRPr="00F55A79">
              <w:rPr>
                <w:noProof/>
                <w:webHidden/>
              </w:rPr>
              <w:tab/>
            </w:r>
            <w:r w:rsidRPr="00F55A79">
              <w:rPr>
                <w:noProof/>
                <w:webHidden/>
              </w:rPr>
              <w:fldChar w:fldCharType="begin"/>
            </w:r>
            <w:r w:rsidRPr="00F55A79">
              <w:rPr>
                <w:noProof/>
                <w:webHidden/>
              </w:rPr>
              <w:instrText xml:space="preserve"> PAGEREF _Toc216163117 \h </w:instrText>
            </w:r>
            <w:r w:rsidRPr="00F55A79">
              <w:rPr>
                <w:noProof/>
                <w:webHidden/>
              </w:rPr>
            </w:r>
            <w:r w:rsidRPr="00F55A79">
              <w:rPr>
                <w:noProof/>
                <w:webHidden/>
              </w:rPr>
              <w:fldChar w:fldCharType="separate"/>
            </w:r>
            <w:r w:rsidR="00BA5597">
              <w:rPr>
                <w:noProof/>
                <w:webHidden/>
              </w:rPr>
              <w:t>6</w:t>
            </w:r>
            <w:r w:rsidRPr="00F55A79">
              <w:rPr>
                <w:noProof/>
                <w:webHidden/>
              </w:rPr>
              <w:fldChar w:fldCharType="end"/>
            </w:r>
          </w:hyperlink>
        </w:p>
        <w:p w:rsidRPr="00F55A79" w:rsidR="005142AB" w:rsidRDefault="005142AB" w14:paraId="2A5D5D3A" w14:textId="2F0729C6">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18">
            <w:r w:rsidRPr="00F55A79">
              <w:rPr>
                <w:rStyle w:val="Hyperlink"/>
                <w:noProof/>
              </w:rPr>
              <w:t>1.2.3.</w:t>
            </w:r>
            <w:r w:rsidRPr="00F55A79">
              <w:rPr>
                <w:rFonts w:asciiTheme="minorHAnsi" w:hAnsiTheme="minorHAnsi" w:cstheme="minorBidi"/>
                <w:noProof/>
                <w:kern w:val="2"/>
                <w:sz w:val="24"/>
                <w:szCs w:val="24"/>
                <w14:ligatures w14:val="standardContextual"/>
              </w:rPr>
              <w:tab/>
            </w:r>
            <w:r w:rsidRPr="00F55A79">
              <w:rPr>
                <w:rStyle w:val="Hyperlink"/>
                <w:noProof/>
              </w:rPr>
              <w:t>General Order (GO) 133</w:t>
            </w:r>
            <w:r w:rsidRPr="00F55A79">
              <w:rPr>
                <w:noProof/>
                <w:webHidden/>
              </w:rPr>
              <w:tab/>
            </w:r>
            <w:r w:rsidRPr="00F55A79">
              <w:rPr>
                <w:noProof/>
                <w:webHidden/>
              </w:rPr>
              <w:fldChar w:fldCharType="begin"/>
            </w:r>
            <w:r w:rsidRPr="00F55A79">
              <w:rPr>
                <w:noProof/>
                <w:webHidden/>
              </w:rPr>
              <w:instrText xml:space="preserve"> PAGEREF _Toc216163118 \h </w:instrText>
            </w:r>
            <w:r w:rsidRPr="00F55A79">
              <w:rPr>
                <w:noProof/>
                <w:webHidden/>
              </w:rPr>
            </w:r>
            <w:r w:rsidRPr="00F55A79">
              <w:rPr>
                <w:noProof/>
                <w:webHidden/>
              </w:rPr>
              <w:fldChar w:fldCharType="separate"/>
            </w:r>
            <w:r w:rsidR="00BA5597">
              <w:rPr>
                <w:noProof/>
                <w:webHidden/>
              </w:rPr>
              <w:t>7</w:t>
            </w:r>
            <w:r w:rsidRPr="00F55A79">
              <w:rPr>
                <w:noProof/>
                <w:webHidden/>
              </w:rPr>
              <w:fldChar w:fldCharType="end"/>
            </w:r>
          </w:hyperlink>
        </w:p>
        <w:p w:rsidRPr="00F55A79" w:rsidR="005142AB" w:rsidRDefault="005142AB" w14:paraId="5ACE3E1B" w14:textId="700B8241">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19">
            <w:r w:rsidRPr="00F55A79">
              <w:rPr>
                <w:rStyle w:val="Hyperlink"/>
                <w:noProof/>
              </w:rPr>
              <w:t>1.2.4.</w:t>
            </w:r>
            <w:r w:rsidRPr="00F55A79">
              <w:rPr>
                <w:rFonts w:asciiTheme="minorHAnsi" w:hAnsiTheme="minorHAnsi" w:cstheme="minorBidi"/>
                <w:noProof/>
                <w:kern w:val="2"/>
                <w:sz w:val="24"/>
                <w:szCs w:val="24"/>
                <w14:ligatures w14:val="standardContextual"/>
              </w:rPr>
              <w:tab/>
            </w:r>
            <w:r w:rsidRPr="00F55A79">
              <w:rPr>
                <w:rStyle w:val="Hyperlink"/>
                <w:noProof/>
              </w:rPr>
              <w:t>Public Purpose/Universal Service Programs</w:t>
            </w:r>
            <w:r w:rsidRPr="00F55A79">
              <w:rPr>
                <w:noProof/>
                <w:webHidden/>
              </w:rPr>
              <w:tab/>
            </w:r>
            <w:r w:rsidRPr="00F55A79">
              <w:rPr>
                <w:noProof/>
                <w:webHidden/>
              </w:rPr>
              <w:fldChar w:fldCharType="begin"/>
            </w:r>
            <w:r w:rsidRPr="00F55A79">
              <w:rPr>
                <w:noProof/>
                <w:webHidden/>
              </w:rPr>
              <w:instrText xml:space="preserve"> PAGEREF _Toc216163119 \h </w:instrText>
            </w:r>
            <w:r w:rsidRPr="00F55A79">
              <w:rPr>
                <w:noProof/>
                <w:webHidden/>
              </w:rPr>
            </w:r>
            <w:r w:rsidRPr="00F55A79">
              <w:rPr>
                <w:noProof/>
                <w:webHidden/>
              </w:rPr>
              <w:fldChar w:fldCharType="separate"/>
            </w:r>
            <w:r w:rsidR="00BA5597">
              <w:rPr>
                <w:noProof/>
                <w:webHidden/>
              </w:rPr>
              <w:t>7</w:t>
            </w:r>
            <w:r w:rsidRPr="00F55A79">
              <w:rPr>
                <w:noProof/>
                <w:webHidden/>
              </w:rPr>
              <w:fldChar w:fldCharType="end"/>
            </w:r>
          </w:hyperlink>
        </w:p>
        <w:p w:rsidRPr="00F55A79" w:rsidR="005142AB" w:rsidRDefault="005142AB" w14:paraId="353168F4" w14:textId="5C3FAF85">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20">
            <w:r w:rsidRPr="00F55A79">
              <w:rPr>
                <w:rStyle w:val="Hyperlink"/>
                <w:noProof/>
              </w:rPr>
              <w:t>1.2.4.1.</w:t>
            </w:r>
            <w:r w:rsidRPr="00F55A79">
              <w:rPr>
                <w:rFonts w:asciiTheme="minorHAnsi" w:hAnsiTheme="minorHAnsi" w:eastAsiaTheme="minorEastAsia"/>
                <w:noProof/>
                <w:kern w:val="2"/>
                <w:sz w:val="24"/>
                <w:szCs w:val="24"/>
                <w14:ligatures w14:val="standardContextual"/>
              </w:rPr>
              <w:tab/>
            </w:r>
            <w:r w:rsidRPr="00F55A79">
              <w:rPr>
                <w:rStyle w:val="Hyperlink"/>
                <w:noProof/>
              </w:rPr>
              <w:t>BEAD</w:t>
            </w:r>
            <w:r w:rsidRPr="00F55A79">
              <w:rPr>
                <w:noProof/>
                <w:webHidden/>
              </w:rPr>
              <w:tab/>
            </w:r>
            <w:r w:rsidRPr="00F55A79">
              <w:rPr>
                <w:noProof/>
                <w:webHidden/>
              </w:rPr>
              <w:fldChar w:fldCharType="begin"/>
            </w:r>
            <w:r w:rsidRPr="00F55A79">
              <w:rPr>
                <w:noProof/>
                <w:webHidden/>
              </w:rPr>
              <w:instrText xml:space="preserve"> PAGEREF _Toc216163120 \h </w:instrText>
            </w:r>
            <w:r w:rsidRPr="00F55A79">
              <w:rPr>
                <w:noProof/>
                <w:webHidden/>
              </w:rPr>
            </w:r>
            <w:r w:rsidRPr="00F55A79">
              <w:rPr>
                <w:noProof/>
                <w:webHidden/>
              </w:rPr>
              <w:fldChar w:fldCharType="separate"/>
            </w:r>
            <w:r w:rsidR="00BA5597">
              <w:rPr>
                <w:noProof/>
                <w:webHidden/>
              </w:rPr>
              <w:t>7</w:t>
            </w:r>
            <w:r w:rsidRPr="00F55A79">
              <w:rPr>
                <w:noProof/>
                <w:webHidden/>
              </w:rPr>
              <w:fldChar w:fldCharType="end"/>
            </w:r>
          </w:hyperlink>
        </w:p>
        <w:p w:rsidRPr="00F55A79" w:rsidR="005142AB" w:rsidRDefault="005142AB" w14:paraId="439415A2" w14:textId="28313A8E">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21">
            <w:r w:rsidRPr="00F55A79">
              <w:rPr>
                <w:rStyle w:val="Hyperlink"/>
                <w:noProof/>
              </w:rPr>
              <w:t>1.2.4.2.</w:t>
            </w:r>
            <w:r w:rsidRPr="00F55A79">
              <w:rPr>
                <w:rFonts w:asciiTheme="minorHAnsi" w:hAnsiTheme="minorHAnsi" w:eastAsiaTheme="minorEastAsia"/>
                <w:noProof/>
                <w:kern w:val="2"/>
                <w:sz w:val="24"/>
                <w:szCs w:val="24"/>
                <w14:ligatures w14:val="standardContextual"/>
              </w:rPr>
              <w:tab/>
            </w:r>
            <w:r w:rsidRPr="00F55A79">
              <w:rPr>
                <w:rStyle w:val="Hyperlink"/>
                <w:noProof/>
              </w:rPr>
              <w:t>California High-Cost Fund-B</w:t>
            </w:r>
            <w:r w:rsidRPr="00F55A79">
              <w:rPr>
                <w:noProof/>
                <w:webHidden/>
              </w:rPr>
              <w:tab/>
            </w:r>
            <w:r w:rsidRPr="00F55A79">
              <w:rPr>
                <w:noProof/>
                <w:webHidden/>
              </w:rPr>
              <w:fldChar w:fldCharType="begin"/>
            </w:r>
            <w:r w:rsidRPr="00F55A79">
              <w:rPr>
                <w:noProof/>
                <w:webHidden/>
              </w:rPr>
              <w:instrText xml:space="preserve"> PAGEREF _Toc216163121 \h </w:instrText>
            </w:r>
            <w:r w:rsidRPr="00F55A79">
              <w:rPr>
                <w:noProof/>
                <w:webHidden/>
              </w:rPr>
            </w:r>
            <w:r w:rsidRPr="00F55A79">
              <w:rPr>
                <w:noProof/>
                <w:webHidden/>
              </w:rPr>
              <w:fldChar w:fldCharType="separate"/>
            </w:r>
            <w:r w:rsidR="00BA5597">
              <w:rPr>
                <w:noProof/>
                <w:webHidden/>
              </w:rPr>
              <w:t>8</w:t>
            </w:r>
            <w:r w:rsidRPr="00F55A79">
              <w:rPr>
                <w:noProof/>
                <w:webHidden/>
              </w:rPr>
              <w:fldChar w:fldCharType="end"/>
            </w:r>
          </w:hyperlink>
        </w:p>
        <w:p w:rsidRPr="00F55A79" w:rsidR="005142AB" w:rsidRDefault="005142AB" w14:paraId="230EBC26" w14:textId="31E467E6">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22">
            <w:r w:rsidRPr="00F55A79">
              <w:rPr>
                <w:rStyle w:val="Hyperlink"/>
                <w:noProof/>
              </w:rPr>
              <w:t>1.2.4.3.</w:t>
            </w:r>
            <w:r w:rsidRPr="00F55A79">
              <w:rPr>
                <w:rFonts w:asciiTheme="minorHAnsi" w:hAnsiTheme="minorHAnsi" w:eastAsiaTheme="minorEastAsia"/>
                <w:noProof/>
                <w:kern w:val="2"/>
                <w:sz w:val="24"/>
                <w:szCs w:val="24"/>
                <w14:ligatures w14:val="standardContextual"/>
              </w:rPr>
              <w:tab/>
            </w:r>
            <w:r w:rsidRPr="00F55A79">
              <w:rPr>
                <w:rStyle w:val="Hyperlink"/>
                <w:noProof/>
              </w:rPr>
              <w:t>California Advanced Services Fund</w:t>
            </w:r>
            <w:r w:rsidRPr="00F55A79">
              <w:rPr>
                <w:noProof/>
                <w:webHidden/>
              </w:rPr>
              <w:tab/>
            </w:r>
            <w:r w:rsidRPr="00F55A79">
              <w:rPr>
                <w:noProof/>
                <w:webHidden/>
              </w:rPr>
              <w:fldChar w:fldCharType="begin"/>
            </w:r>
            <w:r w:rsidRPr="00F55A79">
              <w:rPr>
                <w:noProof/>
                <w:webHidden/>
              </w:rPr>
              <w:instrText xml:space="preserve"> PAGEREF _Toc216163122 \h </w:instrText>
            </w:r>
            <w:r w:rsidRPr="00F55A79">
              <w:rPr>
                <w:noProof/>
                <w:webHidden/>
              </w:rPr>
            </w:r>
            <w:r w:rsidRPr="00F55A79">
              <w:rPr>
                <w:noProof/>
                <w:webHidden/>
              </w:rPr>
              <w:fldChar w:fldCharType="separate"/>
            </w:r>
            <w:r w:rsidR="00BA5597">
              <w:rPr>
                <w:noProof/>
                <w:webHidden/>
              </w:rPr>
              <w:t>8</w:t>
            </w:r>
            <w:r w:rsidRPr="00F55A79">
              <w:rPr>
                <w:noProof/>
                <w:webHidden/>
              </w:rPr>
              <w:fldChar w:fldCharType="end"/>
            </w:r>
          </w:hyperlink>
        </w:p>
        <w:p w:rsidRPr="00F55A79" w:rsidR="005142AB" w:rsidRDefault="005142AB" w14:paraId="0754BE8C" w14:textId="4B14636A">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23">
            <w:r w:rsidRPr="00F55A79">
              <w:rPr>
                <w:rStyle w:val="Hyperlink"/>
                <w:noProof/>
              </w:rPr>
              <w:t>1.2.4.4.</w:t>
            </w:r>
            <w:r w:rsidRPr="00F55A79">
              <w:rPr>
                <w:rFonts w:asciiTheme="minorHAnsi" w:hAnsiTheme="minorHAnsi" w:eastAsiaTheme="minorEastAsia"/>
                <w:noProof/>
                <w:kern w:val="2"/>
                <w:sz w:val="24"/>
                <w:szCs w:val="24"/>
                <w14:ligatures w14:val="standardContextual"/>
              </w:rPr>
              <w:tab/>
            </w:r>
            <w:r w:rsidRPr="00F55A79">
              <w:rPr>
                <w:rStyle w:val="Hyperlink"/>
                <w:noProof/>
              </w:rPr>
              <w:t>The Federal Funding Account</w:t>
            </w:r>
            <w:r w:rsidRPr="00F55A79">
              <w:rPr>
                <w:noProof/>
                <w:webHidden/>
              </w:rPr>
              <w:tab/>
            </w:r>
            <w:r w:rsidRPr="00F55A79">
              <w:rPr>
                <w:noProof/>
                <w:webHidden/>
              </w:rPr>
              <w:fldChar w:fldCharType="begin"/>
            </w:r>
            <w:r w:rsidRPr="00F55A79">
              <w:rPr>
                <w:noProof/>
                <w:webHidden/>
              </w:rPr>
              <w:instrText xml:space="preserve"> PAGEREF _Toc216163123 \h </w:instrText>
            </w:r>
            <w:r w:rsidRPr="00F55A79">
              <w:rPr>
                <w:noProof/>
                <w:webHidden/>
              </w:rPr>
            </w:r>
            <w:r w:rsidRPr="00F55A79">
              <w:rPr>
                <w:noProof/>
                <w:webHidden/>
              </w:rPr>
              <w:fldChar w:fldCharType="separate"/>
            </w:r>
            <w:r w:rsidR="00BA5597">
              <w:rPr>
                <w:noProof/>
                <w:webHidden/>
              </w:rPr>
              <w:t>9</w:t>
            </w:r>
            <w:r w:rsidRPr="00F55A79">
              <w:rPr>
                <w:noProof/>
                <w:webHidden/>
              </w:rPr>
              <w:fldChar w:fldCharType="end"/>
            </w:r>
          </w:hyperlink>
        </w:p>
        <w:p w:rsidRPr="00F55A79" w:rsidR="005142AB" w:rsidRDefault="005142AB" w14:paraId="591EB1F0" w14:textId="42603DED">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24">
            <w:r w:rsidRPr="00F55A79">
              <w:rPr>
                <w:rStyle w:val="Hyperlink"/>
                <w:noProof/>
              </w:rPr>
              <w:t>1.2.4.5.</w:t>
            </w:r>
            <w:r w:rsidRPr="00F55A79">
              <w:rPr>
                <w:rFonts w:asciiTheme="minorHAnsi" w:hAnsiTheme="minorHAnsi" w:eastAsiaTheme="minorEastAsia"/>
                <w:noProof/>
                <w:kern w:val="2"/>
                <w:sz w:val="24"/>
                <w:szCs w:val="24"/>
                <w14:ligatures w14:val="standardContextual"/>
              </w:rPr>
              <w:tab/>
            </w:r>
            <w:r w:rsidRPr="00F55A79">
              <w:rPr>
                <w:rStyle w:val="Hyperlink"/>
                <w:noProof/>
              </w:rPr>
              <w:t>LifeLine</w:t>
            </w:r>
            <w:r w:rsidRPr="00F55A79">
              <w:rPr>
                <w:noProof/>
                <w:webHidden/>
              </w:rPr>
              <w:tab/>
            </w:r>
            <w:r w:rsidRPr="00F55A79">
              <w:rPr>
                <w:noProof/>
                <w:webHidden/>
              </w:rPr>
              <w:fldChar w:fldCharType="begin"/>
            </w:r>
            <w:r w:rsidRPr="00F55A79">
              <w:rPr>
                <w:noProof/>
                <w:webHidden/>
              </w:rPr>
              <w:instrText xml:space="preserve"> PAGEREF _Toc216163124 \h </w:instrText>
            </w:r>
            <w:r w:rsidRPr="00F55A79">
              <w:rPr>
                <w:noProof/>
                <w:webHidden/>
              </w:rPr>
            </w:r>
            <w:r w:rsidRPr="00F55A79">
              <w:rPr>
                <w:noProof/>
                <w:webHidden/>
              </w:rPr>
              <w:fldChar w:fldCharType="separate"/>
            </w:r>
            <w:r w:rsidR="00BA5597">
              <w:rPr>
                <w:noProof/>
                <w:webHidden/>
              </w:rPr>
              <w:t>10</w:t>
            </w:r>
            <w:r w:rsidRPr="00F55A79">
              <w:rPr>
                <w:noProof/>
                <w:webHidden/>
              </w:rPr>
              <w:fldChar w:fldCharType="end"/>
            </w:r>
          </w:hyperlink>
        </w:p>
        <w:p w:rsidRPr="00F55A79" w:rsidR="005142AB" w:rsidRDefault="005142AB" w14:paraId="099D1D0E" w14:textId="7AA93C54">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25">
            <w:r w:rsidRPr="00F55A79">
              <w:rPr>
                <w:rStyle w:val="Hyperlink"/>
                <w:noProof/>
              </w:rPr>
              <w:t>1.2.4.6.</w:t>
            </w:r>
            <w:r w:rsidRPr="00F55A79">
              <w:rPr>
                <w:rFonts w:asciiTheme="minorHAnsi" w:hAnsiTheme="minorHAnsi" w:eastAsiaTheme="minorEastAsia"/>
                <w:noProof/>
                <w:kern w:val="2"/>
                <w:sz w:val="24"/>
                <w:szCs w:val="24"/>
                <w14:ligatures w14:val="standardContextual"/>
              </w:rPr>
              <w:tab/>
            </w:r>
            <w:r w:rsidRPr="00F55A79">
              <w:rPr>
                <w:rStyle w:val="Hyperlink"/>
                <w:noProof/>
              </w:rPr>
              <w:t>Loan Loss Reserve Fund</w:t>
            </w:r>
            <w:r w:rsidRPr="00F55A79">
              <w:rPr>
                <w:noProof/>
                <w:webHidden/>
              </w:rPr>
              <w:tab/>
            </w:r>
            <w:r w:rsidRPr="00F55A79">
              <w:rPr>
                <w:noProof/>
                <w:webHidden/>
              </w:rPr>
              <w:fldChar w:fldCharType="begin"/>
            </w:r>
            <w:r w:rsidRPr="00F55A79">
              <w:rPr>
                <w:noProof/>
                <w:webHidden/>
              </w:rPr>
              <w:instrText xml:space="preserve"> PAGEREF _Toc216163125 \h </w:instrText>
            </w:r>
            <w:r w:rsidRPr="00F55A79">
              <w:rPr>
                <w:noProof/>
                <w:webHidden/>
              </w:rPr>
            </w:r>
            <w:r w:rsidRPr="00F55A79">
              <w:rPr>
                <w:noProof/>
                <w:webHidden/>
              </w:rPr>
              <w:fldChar w:fldCharType="separate"/>
            </w:r>
            <w:r w:rsidR="00BA5597">
              <w:rPr>
                <w:noProof/>
                <w:webHidden/>
              </w:rPr>
              <w:t>11</w:t>
            </w:r>
            <w:r w:rsidRPr="00F55A79">
              <w:rPr>
                <w:noProof/>
                <w:webHidden/>
              </w:rPr>
              <w:fldChar w:fldCharType="end"/>
            </w:r>
          </w:hyperlink>
        </w:p>
        <w:p w:rsidRPr="00F55A79" w:rsidR="005142AB" w:rsidRDefault="005142AB" w14:paraId="6B7065E5" w14:textId="4ADF71DE">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26">
            <w:r w:rsidRPr="00F55A79">
              <w:rPr>
                <w:rStyle w:val="Hyperlink"/>
                <w:noProof/>
              </w:rPr>
              <w:t>1.2.5.</w:t>
            </w:r>
            <w:r w:rsidRPr="00F55A79">
              <w:rPr>
                <w:rFonts w:asciiTheme="minorHAnsi" w:hAnsiTheme="minorHAnsi" w:cstheme="minorBidi"/>
                <w:noProof/>
                <w:kern w:val="2"/>
                <w:sz w:val="24"/>
                <w:szCs w:val="24"/>
                <w14:ligatures w14:val="standardContextual"/>
              </w:rPr>
              <w:tab/>
            </w:r>
            <w:r w:rsidRPr="00F55A79">
              <w:rPr>
                <w:rStyle w:val="Hyperlink"/>
                <w:noProof/>
              </w:rPr>
              <w:t>Verizon-FCC Letter</w:t>
            </w:r>
            <w:r w:rsidRPr="00F55A79">
              <w:rPr>
                <w:noProof/>
                <w:webHidden/>
              </w:rPr>
              <w:tab/>
            </w:r>
            <w:r w:rsidRPr="00F55A79">
              <w:rPr>
                <w:noProof/>
                <w:webHidden/>
              </w:rPr>
              <w:fldChar w:fldCharType="begin"/>
            </w:r>
            <w:r w:rsidRPr="00F55A79">
              <w:rPr>
                <w:noProof/>
                <w:webHidden/>
              </w:rPr>
              <w:instrText xml:space="preserve"> PAGEREF _Toc216163126 \h </w:instrText>
            </w:r>
            <w:r w:rsidRPr="00F55A79">
              <w:rPr>
                <w:noProof/>
                <w:webHidden/>
              </w:rPr>
            </w:r>
            <w:r w:rsidRPr="00F55A79">
              <w:rPr>
                <w:noProof/>
                <w:webHidden/>
              </w:rPr>
              <w:fldChar w:fldCharType="separate"/>
            </w:r>
            <w:r w:rsidR="00BA5597">
              <w:rPr>
                <w:noProof/>
                <w:webHidden/>
              </w:rPr>
              <w:t>11</w:t>
            </w:r>
            <w:r w:rsidRPr="00F55A79">
              <w:rPr>
                <w:noProof/>
                <w:webHidden/>
              </w:rPr>
              <w:fldChar w:fldCharType="end"/>
            </w:r>
          </w:hyperlink>
        </w:p>
        <w:p w:rsidRPr="00F55A79" w:rsidR="005142AB" w:rsidRDefault="005142AB" w14:paraId="5201EACA" w14:textId="5054A0FC">
          <w:pPr>
            <w:pStyle w:val="TOC2"/>
            <w:tabs>
              <w:tab w:val="right" w:leader="dot" w:pos="9350"/>
            </w:tabs>
            <w:rPr>
              <w:rFonts w:asciiTheme="minorHAnsi" w:hAnsiTheme="minorHAnsi" w:cstheme="minorBidi"/>
              <w:noProof/>
              <w:kern w:val="2"/>
              <w:sz w:val="24"/>
              <w:szCs w:val="24"/>
              <w14:ligatures w14:val="standardContextual"/>
            </w:rPr>
          </w:pPr>
          <w:hyperlink w:history="1" w:anchor="_Toc216163127">
            <w:r w:rsidRPr="00F55A79">
              <w:rPr>
                <w:rStyle w:val="Hyperlink"/>
                <w:noProof/>
              </w:rPr>
              <w:t>1.3.</w:t>
            </w:r>
            <w:r w:rsidRPr="00F55A79">
              <w:rPr>
                <w:rFonts w:asciiTheme="minorHAnsi" w:hAnsiTheme="minorHAnsi" w:cstheme="minorBidi"/>
                <w:noProof/>
                <w:kern w:val="2"/>
                <w:sz w:val="24"/>
                <w:szCs w:val="24"/>
                <w14:ligatures w14:val="standardContextual"/>
              </w:rPr>
              <w:tab/>
            </w:r>
            <w:r w:rsidRPr="00F55A79">
              <w:rPr>
                <w:rStyle w:val="Hyperlink"/>
                <w:noProof/>
              </w:rPr>
              <w:t>Related Proceedings</w:t>
            </w:r>
            <w:r w:rsidRPr="00F55A79">
              <w:rPr>
                <w:noProof/>
                <w:webHidden/>
              </w:rPr>
              <w:tab/>
            </w:r>
            <w:r w:rsidRPr="00F55A79">
              <w:rPr>
                <w:noProof/>
                <w:webHidden/>
              </w:rPr>
              <w:fldChar w:fldCharType="begin"/>
            </w:r>
            <w:r w:rsidRPr="00F55A79">
              <w:rPr>
                <w:noProof/>
                <w:webHidden/>
              </w:rPr>
              <w:instrText xml:space="preserve"> PAGEREF _Toc216163127 \h </w:instrText>
            </w:r>
            <w:r w:rsidRPr="00F55A79">
              <w:rPr>
                <w:noProof/>
                <w:webHidden/>
              </w:rPr>
            </w:r>
            <w:r w:rsidRPr="00F55A79">
              <w:rPr>
                <w:noProof/>
                <w:webHidden/>
              </w:rPr>
              <w:fldChar w:fldCharType="separate"/>
            </w:r>
            <w:r w:rsidR="00BA5597">
              <w:rPr>
                <w:noProof/>
                <w:webHidden/>
              </w:rPr>
              <w:t>12</w:t>
            </w:r>
            <w:r w:rsidRPr="00F55A79">
              <w:rPr>
                <w:noProof/>
                <w:webHidden/>
              </w:rPr>
              <w:fldChar w:fldCharType="end"/>
            </w:r>
          </w:hyperlink>
        </w:p>
        <w:p w:rsidRPr="00F55A79" w:rsidR="005142AB" w:rsidRDefault="005142AB" w14:paraId="2E99371A" w14:textId="49F57407">
          <w:pPr>
            <w:pStyle w:val="TOC2"/>
            <w:tabs>
              <w:tab w:val="right" w:leader="dot" w:pos="9350"/>
            </w:tabs>
            <w:rPr>
              <w:rFonts w:asciiTheme="minorHAnsi" w:hAnsiTheme="minorHAnsi" w:cstheme="minorBidi"/>
              <w:noProof/>
              <w:kern w:val="2"/>
              <w:sz w:val="24"/>
              <w:szCs w:val="24"/>
              <w14:ligatures w14:val="standardContextual"/>
            </w:rPr>
          </w:pPr>
          <w:hyperlink w:history="1" w:anchor="_Toc216163128">
            <w:r w:rsidRPr="00F55A79">
              <w:rPr>
                <w:rStyle w:val="Hyperlink"/>
                <w:noProof/>
              </w:rPr>
              <w:t>1.4.</w:t>
            </w:r>
            <w:r w:rsidRPr="00F55A79">
              <w:rPr>
                <w:rFonts w:asciiTheme="minorHAnsi" w:hAnsiTheme="minorHAnsi" w:cstheme="minorBidi"/>
                <w:noProof/>
                <w:kern w:val="2"/>
                <w:sz w:val="24"/>
                <w:szCs w:val="24"/>
                <w14:ligatures w14:val="standardContextual"/>
              </w:rPr>
              <w:tab/>
            </w:r>
            <w:r w:rsidRPr="00F55A79">
              <w:rPr>
                <w:rStyle w:val="Hyperlink"/>
                <w:noProof/>
              </w:rPr>
              <w:t>Procedural Background</w:t>
            </w:r>
            <w:r w:rsidRPr="00F55A79">
              <w:rPr>
                <w:noProof/>
                <w:webHidden/>
              </w:rPr>
              <w:tab/>
            </w:r>
            <w:r w:rsidRPr="00F55A79">
              <w:rPr>
                <w:noProof/>
                <w:webHidden/>
              </w:rPr>
              <w:fldChar w:fldCharType="begin"/>
            </w:r>
            <w:r w:rsidRPr="00F55A79">
              <w:rPr>
                <w:noProof/>
                <w:webHidden/>
              </w:rPr>
              <w:instrText xml:space="preserve"> PAGEREF _Toc216163128 \h </w:instrText>
            </w:r>
            <w:r w:rsidRPr="00F55A79">
              <w:rPr>
                <w:noProof/>
                <w:webHidden/>
              </w:rPr>
            </w:r>
            <w:r w:rsidRPr="00F55A79">
              <w:rPr>
                <w:noProof/>
                <w:webHidden/>
              </w:rPr>
              <w:fldChar w:fldCharType="separate"/>
            </w:r>
            <w:r w:rsidR="00BA5597">
              <w:rPr>
                <w:noProof/>
                <w:webHidden/>
              </w:rPr>
              <w:t>13</w:t>
            </w:r>
            <w:r w:rsidRPr="00F55A79">
              <w:rPr>
                <w:noProof/>
                <w:webHidden/>
              </w:rPr>
              <w:fldChar w:fldCharType="end"/>
            </w:r>
          </w:hyperlink>
        </w:p>
        <w:p w:rsidRPr="00F55A79" w:rsidR="005142AB" w:rsidRDefault="005142AB" w14:paraId="46E3B39E" w14:textId="0405B9E1">
          <w:pPr>
            <w:pStyle w:val="TOC2"/>
            <w:tabs>
              <w:tab w:val="right" w:leader="dot" w:pos="9350"/>
            </w:tabs>
            <w:rPr>
              <w:rFonts w:asciiTheme="minorHAnsi" w:hAnsiTheme="minorHAnsi" w:cstheme="minorBidi"/>
              <w:noProof/>
              <w:kern w:val="2"/>
              <w:sz w:val="24"/>
              <w:szCs w:val="24"/>
              <w14:ligatures w14:val="standardContextual"/>
            </w:rPr>
          </w:pPr>
          <w:hyperlink w:history="1" w:anchor="_Toc216163129">
            <w:r w:rsidRPr="00F55A79">
              <w:rPr>
                <w:rStyle w:val="Hyperlink"/>
                <w:noProof/>
              </w:rPr>
              <w:t>1.5.</w:t>
            </w:r>
            <w:r w:rsidRPr="00F55A79">
              <w:rPr>
                <w:rFonts w:asciiTheme="minorHAnsi" w:hAnsiTheme="minorHAnsi" w:cstheme="minorBidi"/>
                <w:noProof/>
                <w:kern w:val="2"/>
                <w:sz w:val="24"/>
                <w:szCs w:val="24"/>
                <w14:ligatures w14:val="standardContextual"/>
              </w:rPr>
              <w:tab/>
            </w:r>
            <w:r w:rsidRPr="00F55A79">
              <w:rPr>
                <w:rStyle w:val="Hyperlink"/>
                <w:noProof/>
              </w:rPr>
              <w:t>Submission Date</w:t>
            </w:r>
            <w:r w:rsidRPr="00F55A79">
              <w:rPr>
                <w:noProof/>
                <w:webHidden/>
              </w:rPr>
              <w:tab/>
            </w:r>
            <w:r w:rsidRPr="00F55A79">
              <w:rPr>
                <w:noProof/>
                <w:webHidden/>
              </w:rPr>
              <w:fldChar w:fldCharType="begin"/>
            </w:r>
            <w:r w:rsidRPr="00F55A79">
              <w:rPr>
                <w:noProof/>
                <w:webHidden/>
              </w:rPr>
              <w:instrText xml:space="preserve"> PAGEREF _Toc216163129 \h </w:instrText>
            </w:r>
            <w:r w:rsidRPr="00F55A79">
              <w:rPr>
                <w:noProof/>
                <w:webHidden/>
              </w:rPr>
            </w:r>
            <w:r w:rsidRPr="00F55A79">
              <w:rPr>
                <w:noProof/>
                <w:webHidden/>
              </w:rPr>
              <w:fldChar w:fldCharType="separate"/>
            </w:r>
            <w:r w:rsidR="00BA5597">
              <w:rPr>
                <w:noProof/>
                <w:webHidden/>
              </w:rPr>
              <w:t>16</w:t>
            </w:r>
            <w:r w:rsidRPr="00F55A79">
              <w:rPr>
                <w:noProof/>
                <w:webHidden/>
              </w:rPr>
              <w:fldChar w:fldCharType="end"/>
            </w:r>
          </w:hyperlink>
        </w:p>
        <w:p w:rsidRPr="00F55A79" w:rsidR="005142AB" w:rsidRDefault="005142AB" w14:paraId="286E7FB4" w14:textId="54F8B5DA">
          <w:pPr>
            <w:pStyle w:val="TOC1"/>
            <w:tabs>
              <w:tab w:val="right" w:leader="dot" w:pos="9350"/>
            </w:tabs>
            <w:rPr>
              <w:rFonts w:asciiTheme="minorHAnsi" w:hAnsiTheme="minorHAnsi" w:cstheme="minorBidi"/>
              <w:noProof/>
              <w:kern w:val="2"/>
              <w:sz w:val="24"/>
              <w:szCs w:val="24"/>
              <w14:ligatures w14:val="standardContextual"/>
            </w:rPr>
          </w:pPr>
          <w:hyperlink w:history="1" w:anchor="_Toc216163130">
            <w:r w:rsidRPr="00F55A79">
              <w:rPr>
                <w:rStyle w:val="Hyperlink"/>
                <w:noProof/>
              </w:rPr>
              <w:t>2.</w:t>
            </w:r>
            <w:r w:rsidRPr="00F55A79">
              <w:rPr>
                <w:rFonts w:asciiTheme="minorHAnsi" w:hAnsiTheme="minorHAnsi" w:cstheme="minorBidi"/>
                <w:noProof/>
                <w:kern w:val="2"/>
                <w:sz w:val="24"/>
                <w:szCs w:val="24"/>
                <w14:ligatures w14:val="standardContextual"/>
              </w:rPr>
              <w:tab/>
            </w:r>
            <w:r w:rsidRPr="00F55A79">
              <w:rPr>
                <w:rStyle w:val="Hyperlink"/>
                <w:noProof/>
              </w:rPr>
              <w:t>Jurisdiction</w:t>
            </w:r>
            <w:r w:rsidRPr="00F55A79">
              <w:rPr>
                <w:noProof/>
                <w:webHidden/>
              </w:rPr>
              <w:tab/>
            </w:r>
            <w:r w:rsidRPr="00F55A79">
              <w:rPr>
                <w:noProof/>
                <w:webHidden/>
              </w:rPr>
              <w:fldChar w:fldCharType="begin"/>
            </w:r>
            <w:r w:rsidRPr="00F55A79">
              <w:rPr>
                <w:noProof/>
                <w:webHidden/>
              </w:rPr>
              <w:instrText xml:space="preserve"> PAGEREF _Toc216163130 \h </w:instrText>
            </w:r>
            <w:r w:rsidRPr="00F55A79">
              <w:rPr>
                <w:noProof/>
                <w:webHidden/>
              </w:rPr>
            </w:r>
            <w:r w:rsidRPr="00F55A79">
              <w:rPr>
                <w:noProof/>
                <w:webHidden/>
              </w:rPr>
              <w:fldChar w:fldCharType="separate"/>
            </w:r>
            <w:r w:rsidR="00BA5597">
              <w:rPr>
                <w:noProof/>
                <w:webHidden/>
              </w:rPr>
              <w:t>17</w:t>
            </w:r>
            <w:r w:rsidRPr="00F55A79">
              <w:rPr>
                <w:noProof/>
                <w:webHidden/>
              </w:rPr>
              <w:fldChar w:fldCharType="end"/>
            </w:r>
          </w:hyperlink>
        </w:p>
        <w:p w:rsidRPr="00F55A79" w:rsidR="005142AB" w:rsidRDefault="005142AB" w14:paraId="3225E4EC" w14:textId="6DB79E9A">
          <w:pPr>
            <w:pStyle w:val="TOC1"/>
            <w:tabs>
              <w:tab w:val="right" w:leader="dot" w:pos="9350"/>
            </w:tabs>
            <w:rPr>
              <w:rFonts w:asciiTheme="minorHAnsi" w:hAnsiTheme="minorHAnsi" w:cstheme="minorBidi"/>
              <w:noProof/>
              <w:kern w:val="2"/>
              <w:sz w:val="24"/>
              <w:szCs w:val="24"/>
              <w14:ligatures w14:val="standardContextual"/>
            </w:rPr>
          </w:pPr>
          <w:hyperlink w:history="1" w:anchor="_Toc216163131">
            <w:r w:rsidRPr="00F55A79">
              <w:rPr>
                <w:rStyle w:val="Hyperlink"/>
                <w:noProof/>
              </w:rPr>
              <w:t>3.</w:t>
            </w:r>
            <w:r w:rsidRPr="00F55A79">
              <w:rPr>
                <w:rFonts w:asciiTheme="minorHAnsi" w:hAnsiTheme="minorHAnsi" w:cstheme="minorBidi"/>
                <w:noProof/>
                <w:kern w:val="2"/>
                <w:sz w:val="24"/>
                <w:szCs w:val="24"/>
                <w14:ligatures w14:val="standardContextual"/>
              </w:rPr>
              <w:tab/>
            </w:r>
            <w:r w:rsidRPr="00F55A79">
              <w:rPr>
                <w:rStyle w:val="Hyperlink"/>
                <w:noProof/>
              </w:rPr>
              <w:t>Issues Before the Commission</w:t>
            </w:r>
            <w:r w:rsidRPr="00F55A79">
              <w:rPr>
                <w:noProof/>
                <w:webHidden/>
              </w:rPr>
              <w:tab/>
            </w:r>
            <w:r w:rsidRPr="00F55A79">
              <w:rPr>
                <w:noProof/>
                <w:webHidden/>
              </w:rPr>
              <w:fldChar w:fldCharType="begin"/>
            </w:r>
            <w:r w:rsidRPr="00F55A79">
              <w:rPr>
                <w:noProof/>
                <w:webHidden/>
              </w:rPr>
              <w:instrText xml:space="preserve"> PAGEREF _Toc216163131 \h </w:instrText>
            </w:r>
            <w:r w:rsidRPr="00F55A79">
              <w:rPr>
                <w:noProof/>
                <w:webHidden/>
              </w:rPr>
            </w:r>
            <w:r w:rsidRPr="00F55A79">
              <w:rPr>
                <w:noProof/>
                <w:webHidden/>
              </w:rPr>
              <w:fldChar w:fldCharType="separate"/>
            </w:r>
            <w:r w:rsidR="00BA5597">
              <w:rPr>
                <w:noProof/>
                <w:webHidden/>
              </w:rPr>
              <w:t>17</w:t>
            </w:r>
            <w:r w:rsidRPr="00F55A79">
              <w:rPr>
                <w:noProof/>
                <w:webHidden/>
              </w:rPr>
              <w:fldChar w:fldCharType="end"/>
            </w:r>
          </w:hyperlink>
        </w:p>
        <w:p w:rsidRPr="00F55A79" w:rsidR="005142AB" w:rsidRDefault="005142AB" w14:paraId="72CC04FA" w14:textId="3100C1F8">
          <w:pPr>
            <w:pStyle w:val="TOC1"/>
            <w:tabs>
              <w:tab w:val="right" w:leader="dot" w:pos="9350"/>
            </w:tabs>
            <w:rPr>
              <w:rFonts w:asciiTheme="minorHAnsi" w:hAnsiTheme="minorHAnsi" w:cstheme="minorBidi"/>
              <w:noProof/>
              <w:kern w:val="2"/>
              <w:sz w:val="24"/>
              <w:szCs w:val="24"/>
              <w14:ligatures w14:val="standardContextual"/>
            </w:rPr>
          </w:pPr>
          <w:hyperlink w:history="1" w:anchor="_Toc216163132">
            <w:r w:rsidRPr="00F55A79">
              <w:rPr>
                <w:rStyle w:val="Hyperlink"/>
                <w:noProof/>
              </w:rPr>
              <w:t>4.</w:t>
            </w:r>
            <w:r w:rsidRPr="00F55A79">
              <w:rPr>
                <w:rFonts w:asciiTheme="minorHAnsi" w:hAnsiTheme="minorHAnsi" w:cstheme="minorBidi"/>
                <w:noProof/>
                <w:kern w:val="2"/>
                <w:sz w:val="24"/>
                <w:szCs w:val="24"/>
                <w14:ligatures w14:val="standardContextual"/>
              </w:rPr>
              <w:tab/>
            </w:r>
            <w:r w:rsidRPr="00F55A79">
              <w:rPr>
                <w:rStyle w:val="Hyperlink"/>
                <w:noProof/>
              </w:rPr>
              <w:t>Issue 1: Section 854(a)</w:t>
            </w:r>
            <w:r w:rsidRPr="00F55A79">
              <w:rPr>
                <w:noProof/>
                <w:webHidden/>
              </w:rPr>
              <w:tab/>
            </w:r>
            <w:r w:rsidRPr="00F55A79">
              <w:rPr>
                <w:noProof/>
                <w:webHidden/>
              </w:rPr>
              <w:fldChar w:fldCharType="begin"/>
            </w:r>
            <w:r w:rsidRPr="00F55A79">
              <w:rPr>
                <w:noProof/>
                <w:webHidden/>
              </w:rPr>
              <w:instrText xml:space="preserve"> PAGEREF _Toc216163132 \h </w:instrText>
            </w:r>
            <w:r w:rsidRPr="00F55A79">
              <w:rPr>
                <w:noProof/>
                <w:webHidden/>
              </w:rPr>
            </w:r>
            <w:r w:rsidRPr="00F55A79">
              <w:rPr>
                <w:noProof/>
                <w:webHidden/>
              </w:rPr>
              <w:fldChar w:fldCharType="separate"/>
            </w:r>
            <w:r w:rsidR="00BA5597">
              <w:rPr>
                <w:noProof/>
                <w:webHidden/>
              </w:rPr>
              <w:t>19</w:t>
            </w:r>
            <w:r w:rsidRPr="00F55A79">
              <w:rPr>
                <w:noProof/>
                <w:webHidden/>
              </w:rPr>
              <w:fldChar w:fldCharType="end"/>
            </w:r>
          </w:hyperlink>
        </w:p>
        <w:p w:rsidRPr="00F55A79" w:rsidR="005142AB" w:rsidRDefault="005142AB" w14:paraId="17E7E375" w14:textId="48ED1923">
          <w:pPr>
            <w:pStyle w:val="TOC2"/>
            <w:tabs>
              <w:tab w:val="right" w:leader="dot" w:pos="9350"/>
            </w:tabs>
            <w:rPr>
              <w:rFonts w:asciiTheme="minorHAnsi" w:hAnsiTheme="minorHAnsi" w:cstheme="minorBidi"/>
              <w:noProof/>
              <w:kern w:val="2"/>
              <w:sz w:val="24"/>
              <w:szCs w:val="24"/>
              <w14:ligatures w14:val="standardContextual"/>
            </w:rPr>
          </w:pPr>
          <w:hyperlink w:history="1" w:anchor="_Toc216163133">
            <w:r w:rsidRPr="00F55A79">
              <w:rPr>
                <w:rStyle w:val="Hyperlink"/>
                <w:noProof/>
              </w:rPr>
              <w:t>4.1.</w:t>
            </w:r>
            <w:r w:rsidRPr="00F55A79">
              <w:rPr>
                <w:rFonts w:asciiTheme="minorHAnsi" w:hAnsiTheme="minorHAnsi" w:cstheme="minorBidi"/>
                <w:noProof/>
                <w:kern w:val="2"/>
                <w:sz w:val="24"/>
                <w:szCs w:val="24"/>
                <w14:ligatures w14:val="standardContextual"/>
              </w:rPr>
              <w:tab/>
            </w:r>
            <w:r w:rsidRPr="00F55A79">
              <w:rPr>
                <w:rStyle w:val="Hyperlink"/>
                <w:noProof/>
              </w:rPr>
              <w:t>Background</w:t>
            </w:r>
            <w:r w:rsidRPr="00F55A79">
              <w:rPr>
                <w:noProof/>
                <w:webHidden/>
              </w:rPr>
              <w:tab/>
            </w:r>
            <w:r w:rsidRPr="00F55A79">
              <w:rPr>
                <w:noProof/>
                <w:webHidden/>
              </w:rPr>
              <w:fldChar w:fldCharType="begin"/>
            </w:r>
            <w:r w:rsidRPr="00F55A79">
              <w:rPr>
                <w:noProof/>
                <w:webHidden/>
              </w:rPr>
              <w:instrText xml:space="preserve"> PAGEREF _Toc216163133 \h </w:instrText>
            </w:r>
            <w:r w:rsidRPr="00F55A79">
              <w:rPr>
                <w:noProof/>
                <w:webHidden/>
              </w:rPr>
            </w:r>
            <w:r w:rsidRPr="00F55A79">
              <w:rPr>
                <w:noProof/>
                <w:webHidden/>
              </w:rPr>
              <w:fldChar w:fldCharType="separate"/>
            </w:r>
            <w:r w:rsidR="00BA5597">
              <w:rPr>
                <w:noProof/>
                <w:webHidden/>
              </w:rPr>
              <w:t>20</w:t>
            </w:r>
            <w:r w:rsidRPr="00F55A79">
              <w:rPr>
                <w:noProof/>
                <w:webHidden/>
              </w:rPr>
              <w:fldChar w:fldCharType="end"/>
            </w:r>
          </w:hyperlink>
        </w:p>
        <w:p w:rsidRPr="00F55A79" w:rsidR="005142AB" w:rsidRDefault="005142AB" w14:paraId="360DC410" w14:textId="386333D1">
          <w:pPr>
            <w:pStyle w:val="TOC2"/>
            <w:tabs>
              <w:tab w:val="right" w:leader="dot" w:pos="9350"/>
            </w:tabs>
            <w:rPr>
              <w:rFonts w:asciiTheme="minorHAnsi" w:hAnsiTheme="minorHAnsi" w:cstheme="minorBidi"/>
              <w:noProof/>
              <w:kern w:val="2"/>
              <w:sz w:val="24"/>
              <w:szCs w:val="24"/>
              <w14:ligatures w14:val="standardContextual"/>
            </w:rPr>
          </w:pPr>
          <w:hyperlink w:history="1" w:anchor="_Toc216163134">
            <w:r w:rsidRPr="00F55A79">
              <w:rPr>
                <w:rStyle w:val="Hyperlink"/>
                <w:noProof/>
              </w:rPr>
              <w:t>4.2.</w:t>
            </w:r>
            <w:r w:rsidRPr="00F55A79">
              <w:rPr>
                <w:rFonts w:asciiTheme="minorHAnsi" w:hAnsiTheme="minorHAnsi" w:cstheme="minorBidi"/>
                <w:noProof/>
                <w:kern w:val="2"/>
                <w:sz w:val="24"/>
                <w:szCs w:val="24"/>
                <w14:ligatures w14:val="standardContextual"/>
              </w:rPr>
              <w:tab/>
            </w:r>
            <w:r w:rsidRPr="00F55A79">
              <w:rPr>
                <w:rStyle w:val="Hyperlink"/>
                <w:noProof/>
              </w:rPr>
              <w:t>Joint Applicants’ Position</w:t>
            </w:r>
            <w:r w:rsidRPr="00F55A79">
              <w:rPr>
                <w:noProof/>
                <w:webHidden/>
              </w:rPr>
              <w:tab/>
            </w:r>
            <w:r w:rsidRPr="00F55A79">
              <w:rPr>
                <w:noProof/>
                <w:webHidden/>
              </w:rPr>
              <w:fldChar w:fldCharType="begin"/>
            </w:r>
            <w:r w:rsidRPr="00F55A79">
              <w:rPr>
                <w:noProof/>
                <w:webHidden/>
              </w:rPr>
              <w:instrText xml:space="preserve"> PAGEREF _Toc216163134 \h </w:instrText>
            </w:r>
            <w:r w:rsidRPr="00F55A79">
              <w:rPr>
                <w:noProof/>
                <w:webHidden/>
              </w:rPr>
            </w:r>
            <w:r w:rsidRPr="00F55A79">
              <w:rPr>
                <w:noProof/>
                <w:webHidden/>
              </w:rPr>
              <w:fldChar w:fldCharType="separate"/>
            </w:r>
            <w:r w:rsidR="00BA5597">
              <w:rPr>
                <w:noProof/>
                <w:webHidden/>
              </w:rPr>
              <w:t>22</w:t>
            </w:r>
            <w:r w:rsidRPr="00F55A79">
              <w:rPr>
                <w:noProof/>
                <w:webHidden/>
              </w:rPr>
              <w:fldChar w:fldCharType="end"/>
            </w:r>
          </w:hyperlink>
        </w:p>
        <w:p w:rsidRPr="00F55A79" w:rsidR="005142AB" w:rsidRDefault="005142AB" w14:paraId="49277B5E" w14:textId="11B73B71">
          <w:pPr>
            <w:pStyle w:val="TOC2"/>
            <w:tabs>
              <w:tab w:val="right" w:leader="dot" w:pos="9350"/>
            </w:tabs>
            <w:rPr>
              <w:rFonts w:asciiTheme="minorHAnsi" w:hAnsiTheme="minorHAnsi" w:cstheme="minorBidi"/>
              <w:noProof/>
              <w:kern w:val="2"/>
              <w:sz w:val="24"/>
              <w:szCs w:val="24"/>
              <w14:ligatures w14:val="standardContextual"/>
            </w:rPr>
          </w:pPr>
          <w:hyperlink w:history="1" w:anchor="_Toc216163135">
            <w:r w:rsidRPr="00F55A79">
              <w:rPr>
                <w:rStyle w:val="Hyperlink"/>
                <w:noProof/>
              </w:rPr>
              <w:t>4.3.</w:t>
            </w:r>
            <w:r w:rsidRPr="00F55A79">
              <w:rPr>
                <w:rFonts w:asciiTheme="minorHAnsi" w:hAnsiTheme="minorHAnsi" w:cstheme="minorBidi"/>
                <w:noProof/>
                <w:kern w:val="2"/>
                <w:sz w:val="24"/>
                <w:szCs w:val="24"/>
                <w14:ligatures w14:val="standardContextual"/>
              </w:rPr>
              <w:tab/>
            </w:r>
            <w:r w:rsidRPr="00F55A79">
              <w:rPr>
                <w:rStyle w:val="Hyperlink"/>
                <w:noProof/>
              </w:rPr>
              <w:t>Party Positions</w:t>
            </w:r>
            <w:r w:rsidRPr="00F55A79">
              <w:rPr>
                <w:noProof/>
                <w:webHidden/>
              </w:rPr>
              <w:tab/>
            </w:r>
            <w:r w:rsidRPr="00F55A79">
              <w:rPr>
                <w:noProof/>
                <w:webHidden/>
              </w:rPr>
              <w:fldChar w:fldCharType="begin"/>
            </w:r>
            <w:r w:rsidRPr="00F55A79">
              <w:rPr>
                <w:noProof/>
                <w:webHidden/>
              </w:rPr>
              <w:instrText xml:space="preserve"> PAGEREF _Toc216163135 \h </w:instrText>
            </w:r>
            <w:r w:rsidRPr="00F55A79">
              <w:rPr>
                <w:noProof/>
                <w:webHidden/>
              </w:rPr>
            </w:r>
            <w:r w:rsidRPr="00F55A79">
              <w:rPr>
                <w:noProof/>
                <w:webHidden/>
              </w:rPr>
              <w:fldChar w:fldCharType="separate"/>
            </w:r>
            <w:r w:rsidR="00BA5597">
              <w:rPr>
                <w:noProof/>
                <w:webHidden/>
              </w:rPr>
              <w:t>22</w:t>
            </w:r>
            <w:r w:rsidRPr="00F55A79">
              <w:rPr>
                <w:noProof/>
                <w:webHidden/>
              </w:rPr>
              <w:fldChar w:fldCharType="end"/>
            </w:r>
          </w:hyperlink>
        </w:p>
        <w:p w:rsidRPr="00F55A79" w:rsidR="005142AB" w:rsidRDefault="005142AB" w14:paraId="0AB4B206" w14:textId="2542B7CB">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36">
            <w:r w:rsidRPr="00F55A79">
              <w:rPr>
                <w:rStyle w:val="Hyperlink"/>
                <w:noProof/>
              </w:rPr>
              <w:t>4.3.1.</w:t>
            </w:r>
            <w:r w:rsidRPr="00F55A79">
              <w:rPr>
                <w:rFonts w:asciiTheme="minorHAnsi" w:hAnsiTheme="minorHAnsi" w:cstheme="minorBidi"/>
                <w:noProof/>
                <w:kern w:val="2"/>
                <w:sz w:val="24"/>
                <w:szCs w:val="24"/>
                <w14:ligatures w14:val="standardContextual"/>
              </w:rPr>
              <w:tab/>
            </w:r>
            <w:r w:rsidRPr="00F55A79">
              <w:rPr>
                <w:rStyle w:val="Hyperlink"/>
                <w:noProof/>
              </w:rPr>
              <w:t>CETF</w:t>
            </w:r>
            <w:r w:rsidRPr="00F55A79">
              <w:rPr>
                <w:noProof/>
                <w:webHidden/>
              </w:rPr>
              <w:tab/>
            </w:r>
            <w:r w:rsidRPr="00F55A79">
              <w:rPr>
                <w:noProof/>
                <w:webHidden/>
              </w:rPr>
              <w:fldChar w:fldCharType="begin"/>
            </w:r>
            <w:r w:rsidRPr="00F55A79">
              <w:rPr>
                <w:noProof/>
                <w:webHidden/>
              </w:rPr>
              <w:instrText xml:space="preserve"> PAGEREF _Toc216163136 \h </w:instrText>
            </w:r>
            <w:r w:rsidRPr="00F55A79">
              <w:rPr>
                <w:noProof/>
                <w:webHidden/>
              </w:rPr>
            </w:r>
            <w:r w:rsidRPr="00F55A79">
              <w:rPr>
                <w:noProof/>
                <w:webHidden/>
              </w:rPr>
              <w:fldChar w:fldCharType="separate"/>
            </w:r>
            <w:r w:rsidR="00BA5597">
              <w:rPr>
                <w:noProof/>
                <w:webHidden/>
              </w:rPr>
              <w:t>22</w:t>
            </w:r>
            <w:r w:rsidRPr="00F55A79">
              <w:rPr>
                <w:noProof/>
                <w:webHidden/>
              </w:rPr>
              <w:fldChar w:fldCharType="end"/>
            </w:r>
          </w:hyperlink>
        </w:p>
        <w:p w:rsidRPr="00F55A79" w:rsidR="005142AB" w:rsidRDefault="005142AB" w14:paraId="511E40BC" w14:textId="5FFFCAC9">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37">
            <w:r w:rsidRPr="00F55A79">
              <w:rPr>
                <w:rStyle w:val="Hyperlink"/>
                <w:noProof/>
              </w:rPr>
              <w:t>4.3.2.</w:t>
            </w:r>
            <w:r w:rsidRPr="00F55A79">
              <w:rPr>
                <w:rFonts w:asciiTheme="minorHAnsi" w:hAnsiTheme="minorHAnsi" w:cstheme="minorBidi"/>
                <w:noProof/>
                <w:kern w:val="2"/>
                <w:sz w:val="24"/>
                <w:szCs w:val="24"/>
                <w14:ligatures w14:val="standardContextual"/>
              </w:rPr>
              <w:tab/>
            </w:r>
            <w:r w:rsidRPr="00F55A79">
              <w:rPr>
                <w:rStyle w:val="Hyperlink"/>
                <w:noProof/>
              </w:rPr>
              <w:t>CforAT</w:t>
            </w:r>
            <w:r w:rsidRPr="00F55A79">
              <w:rPr>
                <w:noProof/>
                <w:webHidden/>
              </w:rPr>
              <w:tab/>
            </w:r>
            <w:r w:rsidRPr="00F55A79">
              <w:rPr>
                <w:noProof/>
                <w:webHidden/>
              </w:rPr>
              <w:fldChar w:fldCharType="begin"/>
            </w:r>
            <w:r w:rsidRPr="00F55A79">
              <w:rPr>
                <w:noProof/>
                <w:webHidden/>
              </w:rPr>
              <w:instrText xml:space="preserve"> PAGEREF _Toc216163137 \h </w:instrText>
            </w:r>
            <w:r w:rsidRPr="00F55A79">
              <w:rPr>
                <w:noProof/>
                <w:webHidden/>
              </w:rPr>
            </w:r>
            <w:r w:rsidRPr="00F55A79">
              <w:rPr>
                <w:noProof/>
                <w:webHidden/>
              </w:rPr>
              <w:fldChar w:fldCharType="separate"/>
            </w:r>
            <w:r w:rsidR="00BA5597">
              <w:rPr>
                <w:noProof/>
                <w:webHidden/>
              </w:rPr>
              <w:t>23</w:t>
            </w:r>
            <w:r w:rsidRPr="00F55A79">
              <w:rPr>
                <w:noProof/>
                <w:webHidden/>
              </w:rPr>
              <w:fldChar w:fldCharType="end"/>
            </w:r>
          </w:hyperlink>
        </w:p>
        <w:p w:rsidRPr="00F55A79" w:rsidR="005142AB" w:rsidRDefault="005142AB" w14:paraId="10A63AC0" w14:textId="000C2A58">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38">
            <w:r w:rsidRPr="00F55A79">
              <w:rPr>
                <w:rStyle w:val="Hyperlink"/>
                <w:noProof/>
              </w:rPr>
              <w:t>4.3.3.</w:t>
            </w:r>
            <w:r w:rsidRPr="00F55A79">
              <w:rPr>
                <w:rFonts w:asciiTheme="minorHAnsi" w:hAnsiTheme="minorHAnsi" w:cstheme="minorBidi"/>
                <w:noProof/>
                <w:kern w:val="2"/>
                <w:sz w:val="24"/>
                <w:szCs w:val="24"/>
                <w14:ligatures w14:val="standardContextual"/>
              </w:rPr>
              <w:tab/>
            </w:r>
            <w:r w:rsidRPr="00F55A79">
              <w:rPr>
                <w:rStyle w:val="Hyperlink"/>
                <w:noProof/>
              </w:rPr>
              <w:t>TURN</w:t>
            </w:r>
            <w:r w:rsidRPr="00F55A79">
              <w:rPr>
                <w:noProof/>
                <w:webHidden/>
              </w:rPr>
              <w:tab/>
            </w:r>
            <w:r w:rsidRPr="00F55A79">
              <w:rPr>
                <w:noProof/>
                <w:webHidden/>
              </w:rPr>
              <w:fldChar w:fldCharType="begin"/>
            </w:r>
            <w:r w:rsidRPr="00F55A79">
              <w:rPr>
                <w:noProof/>
                <w:webHidden/>
              </w:rPr>
              <w:instrText xml:space="preserve"> PAGEREF _Toc216163138 \h </w:instrText>
            </w:r>
            <w:r w:rsidRPr="00F55A79">
              <w:rPr>
                <w:noProof/>
                <w:webHidden/>
              </w:rPr>
            </w:r>
            <w:r w:rsidRPr="00F55A79">
              <w:rPr>
                <w:noProof/>
                <w:webHidden/>
              </w:rPr>
              <w:fldChar w:fldCharType="separate"/>
            </w:r>
            <w:r w:rsidR="00BA5597">
              <w:rPr>
                <w:noProof/>
                <w:webHidden/>
              </w:rPr>
              <w:t>24</w:t>
            </w:r>
            <w:r w:rsidRPr="00F55A79">
              <w:rPr>
                <w:noProof/>
                <w:webHidden/>
              </w:rPr>
              <w:fldChar w:fldCharType="end"/>
            </w:r>
          </w:hyperlink>
        </w:p>
        <w:p w:rsidRPr="00F55A79" w:rsidR="005142AB" w:rsidRDefault="005142AB" w14:paraId="5428920B" w14:textId="061D261D">
          <w:pPr>
            <w:pStyle w:val="TOC2"/>
            <w:tabs>
              <w:tab w:val="right" w:leader="dot" w:pos="9350"/>
            </w:tabs>
            <w:rPr>
              <w:rFonts w:asciiTheme="minorHAnsi" w:hAnsiTheme="minorHAnsi" w:cstheme="minorBidi"/>
              <w:noProof/>
              <w:kern w:val="2"/>
              <w:sz w:val="24"/>
              <w:szCs w:val="24"/>
              <w14:ligatures w14:val="standardContextual"/>
            </w:rPr>
          </w:pPr>
          <w:hyperlink w:history="1" w:anchor="_Toc216163139">
            <w:r w:rsidRPr="00F55A79">
              <w:rPr>
                <w:rStyle w:val="Hyperlink"/>
                <w:noProof/>
              </w:rPr>
              <w:t>4.4.</w:t>
            </w:r>
            <w:r w:rsidRPr="00F55A79">
              <w:rPr>
                <w:rFonts w:asciiTheme="minorHAnsi" w:hAnsiTheme="minorHAnsi" w:cstheme="minorBidi"/>
                <w:noProof/>
                <w:kern w:val="2"/>
                <w:sz w:val="24"/>
                <w:szCs w:val="24"/>
                <w14:ligatures w14:val="standardContextual"/>
              </w:rPr>
              <w:tab/>
            </w:r>
            <w:r w:rsidRPr="00F55A79">
              <w:rPr>
                <w:rStyle w:val="Hyperlink"/>
                <w:noProof/>
              </w:rPr>
              <w:t>Discussion</w:t>
            </w:r>
            <w:r w:rsidRPr="00F55A79">
              <w:rPr>
                <w:noProof/>
                <w:webHidden/>
              </w:rPr>
              <w:tab/>
            </w:r>
            <w:r w:rsidRPr="00F55A79">
              <w:rPr>
                <w:noProof/>
                <w:webHidden/>
              </w:rPr>
              <w:fldChar w:fldCharType="begin"/>
            </w:r>
            <w:r w:rsidRPr="00F55A79">
              <w:rPr>
                <w:noProof/>
                <w:webHidden/>
              </w:rPr>
              <w:instrText xml:space="preserve"> PAGEREF _Toc216163139 \h </w:instrText>
            </w:r>
            <w:r w:rsidRPr="00F55A79">
              <w:rPr>
                <w:noProof/>
                <w:webHidden/>
              </w:rPr>
            </w:r>
            <w:r w:rsidRPr="00F55A79">
              <w:rPr>
                <w:noProof/>
                <w:webHidden/>
              </w:rPr>
              <w:fldChar w:fldCharType="separate"/>
            </w:r>
            <w:r w:rsidR="00BA5597">
              <w:rPr>
                <w:noProof/>
                <w:webHidden/>
              </w:rPr>
              <w:t>24</w:t>
            </w:r>
            <w:r w:rsidRPr="00F55A79">
              <w:rPr>
                <w:noProof/>
                <w:webHidden/>
              </w:rPr>
              <w:fldChar w:fldCharType="end"/>
            </w:r>
          </w:hyperlink>
        </w:p>
        <w:p w:rsidRPr="00F55A79" w:rsidR="005142AB" w:rsidRDefault="005142AB" w14:paraId="337795F9" w14:textId="1324CBEE">
          <w:pPr>
            <w:pStyle w:val="TOC1"/>
            <w:tabs>
              <w:tab w:val="right" w:leader="dot" w:pos="9350"/>
            </w:tabs>
            <w:rPr>
              <w:rFonts w:asciiTheme="minorHAnsi" w:hAnsiTheme="minorHAnsi" w:cstheme="minorBidi"/>
              <w:noProof/>
              <w:kern w:val="2"/>
              <w:sz w:val="24"/>
              <w:szCs w:val="24"/>
              <w14:ligatures w14:val="standardContextual"/>
            </w:rPr>
          </w:pPr>
          <w:hyperlink w:history="1" w:anchor="_Toc216163140">
            <w:r w:rsidRPr="00F55A79">
              <w:rPr>
                <w:rStyle w:val="Hyperlink"/>
                <w:noProof/>
              </w:rPr>
              <w:t>5.</w:t>
            </w:r>
            <w:r w:rsidRPr="00F55A79">
              <w:rPr>
                <w:rFonts w:asciiTheme="minorHAnsi" w:hAnsiTheme="minorHAnsi" w:cstheme="minorBidi"/>
                <w:noProof/>
                <w:kern w:val="2"/>
                <w:sz w:val="24"/>
                <w:szCs w:val="24"/>
                <w14:ligatures w14:val="standardContextual"/>
              </w:rPr>
              <w:tab/>
            </w:r>
            <w:r w:rsidRPr="00F55A79">
              <w:rPr>
                <w:rStyle w:val="Hyperlink"/>
                <w:noProof/>
              </w:rPr>
              <w:t>Issue 2: Section 854(b)</w:t>
            </w:r>
            <w:r w:rsidRPr="00F55A79">
              <w:rPr>
                <w:noProof/>
                <w:webHidden/>
              </w:rPr>
              <w:tab/>
            </w:r>
            <w:r w:rsidRPr="00F55A79">
              <w:rPr>
                <w:noProof/>
                <w:webHidden/>
              </w:rPr>
              <w:fldChar w:fldCharType="begin"/>
            </w:r>
            <w:r w:rsidRPr="00F55A79">
              <w:rPr>
                <w:noProof/>
                <w:webHidden/>
              </w:rPr>
              <w:instrText xml:space="preserve"> PAGEREF _Toc216163140 \h </w:instrText>
            </w:r>
            <w:r w:rsidRPr="00F55A79">
              <w:rPr>
                <w:noProof/>
                <w:webHidden/>
              </w:rPr>
            </w:r>
            <w:r w:rsidRPr="00F55A79">
              <w:rPr>
                <w:noProof/>
                <w:webHidden/>
              </w:rPr>
              <w:fldChar w:fldCharType="separate"/>
            </w:r>
            <w:r w:rsidR="00BA5597">
              <w:rPr>
                <w:noProof/>
                <w:webHidden/>
              </w:rPr>
              <w:t>24</w:t>
            </w:r>
            <w:r w:rsidRPr="00F55A79">
              <w:rPr>
                <w:noProof/>
                <w:webHidden/>
              </w:rPr>
              <w:fldChar w:fldCharType="end"/>
            </w:r>
          </w:hyperlink>
        </w:p>
        <w:p w:rsidRPr="00F55A79" w:rsidR="005142AB" w:rsidRDefault="005142AB" w14:paraId="0DC15377" w14:textId="64FF9057">
          <w:pPr>
            <w:pStyle w:val="TOC2"/>
            <w:tabs>
              <w:tab w:val="right" w:leader="dot" w:pos="9350"/>
            </w:tabs>
            <w:rPr>
              <w:rFonts w:asciiTheme="minorHAnsi" w:hAnsiTheme="minorHAnsi" w:cstheme="minorBidi"/>
              <w:noProof/>
              <w:kern w:val="2"/>
              <w:sz w:val="24"/>
              <w:szCs w:val="24"/>
              <w14:ligatures w14:val="standardContextual"/>
            </w:rPr>
          </w:pPr>
          <w:hyperlink w:history="1" w:anchor="_Toc216163141">
            <w:r w:rsidRPr="00F55A79">
              <w:rPr>
                <w:rStyle w:val="Hyperlink"/>
                <w:noProof/>
              </w:rPr>
              <w:t>5.1.</w:t>
            </w:r>
            <w:r w:rsidRPr="00F55A79">
              <w:rPr>
                <w:rFonts w:asciiTheme="minorHAnsi" w:hAnsiTheme="minorHAnsi" w:cstheme="minorBidi"/>
                <w:noProof/>
                <w:kern w:val="2"/>
                <w:sz w:val="24"/>
                <w:szCs w:val="24"/>
                <w14:ligatures w14:val="standardContextual"/>
              </w:rPr>
              <w:tab/>
            </w:r>
            <w:r w:rsidRPr="00F55A79">
              <w:rPr>
                <w:rStyle w:val="Hyperlink"/>
                <w:noProof/>
              </w:rPr>
              <w:t>Ratepayer benefits</w:t>
            </w:r>
            <w:r w:rsidRPr="00F55A79">
              <w:rPr>
                <w:noProof/>
                <w:webHidden/>
              </w:rPr>
              <w:tab/>
            </w:r>
            <w:r w:rsidRPr="00F55A79">
              <w:rPr>
                <w:noProof/>
                <w:webHidden/>
              </w:rPr>
              <w:fldChar w:fldCharType="begin"/>
            </w:r>
            <w:r w:rsidRPr="00F55A79">
              <w:rPr>
                <w:noProof/>
                <w:webHidden/>
              </w:rPr>
              <w:instrText xml:space="preserve"> PAGEREF _Toc216163141 \h </w:instrText>
            </w:r>
            <w:r w:rsidRPr="00F55A79">
              <w:rPr>
                <w:noProof/>
                <w:webHidden/>
              </w:rPr>
            </w:r>
            <w:r w:rsidRPr="00F55A79">
              <w:rPr>
                <w:noProof/>
                <w:webHidden/>
              </w:rPr>
              <w:fldChar w:fldCharType="separate"/>
            </w:r>
            <w:r w:rsidR="00BA5597">
              <w:rPr>
                <w:noProof/>
                <w:webHidden/>
              </w:rPr>
              <w:t>25</w:t>
            </w:r>
            <w:r w:rsidRPr="00F55A79">
              <w:rPr>
                <w:noProof/>
                <w:webHidden/>
              </w:rPr>
              <w:fldChar w:fldCharType="end"/>
            </w:r>
          </w:hyperlink>
        </w:p>
        <w:p w:rsidRPr="00F55A79" w:rsidR="005142AB" w:rsidRDefault="005142AB" w14:paraId="4CABC62F" w14:textId="6F8A1F8E">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42">
            <w:r w:rsidRPr="00F55A79">
              <w:rPr>
                <w:rStyle w:val="Hyperlink"/>
                <w:noProof/>
              </w:rPr>
              <w:t>5.1.1.</w:t>
            </w:r>
            <w:r w:rsidRPr="00F55A79">
              <w:rPr>
                <w:rFonts w:asciiTheme="minorHAnsi" w:hAnsiTheme="minorHAnsi" w:cstheme="minorBidi"/>
                <w:noProof/>
                <w:kern w:val="2"/>
                <w:sz w:val="24"/>
                <w:szCs w:val="24"/>
                <w14:ligatures w14:val="standardContextual"/>
              </w:rPr>
              <w:tab/>
            </w:r>
            <w:r w:rsidRPr="00F55A79">
              <w:rPr>
                <w:rStyle w:val="Hyperlink"/>
                <w:noProof/>
              </w:rPr>
              <w:t>Background</w:t>
            </w:r>
            <w:r w:rsidRPr="00F55A79">
              <w:rPr>
                <w:noProof/>
                <w:webHidden/>
              </w:rPr>
              <w:tab/>
            </w:r>
            <w:r w:rsidRPr="00F55A79">
              <w:rPr>
                <w:noProof/>
                <w:webHidden/>
              </w:rPr>
              <w:fldChar w:fldCharType="begin"/>
            </w:r>
            <w:r w:rsidRPr="00F55A79">
              <w:rPr>
                <w:noProof/>
                <w:webHidden/>
              </w:rPr>
              <w:instrText xml:space="preserve"> PAGEREF _Toc216163142 \h </w:instrText>
            </w:r>
            <w:r w:rsidRPr="00F55A79">
              <w:rPr>
                <w:noProof/>
                <w:webHidden/>
              </w:rPr>
            </w:r>
            <w:r w:rsidRPr="00F55A79">
              <w:rPr>
                <w:noProof/>
                <w:webHidden/>
              </w:rPr>
              <w:fldChar w:fldCharType="separate"/>
            </w:r>
            <w:r w:rsidR="00BA5597">
              <w:rPr>
                <w:noProof/>
                <w:webHidden/>
              </w:rPr>
              <w:t>25</w:t>
            </w:r>
            <w:r w:rsidRPr="00F55A79">
              <w:rPr>
                <w:noProof/>
                <w:webHidden/>
              </w:rPr>
              <w:fldChar w:fldCharType="end"/>
            </w:r>
          </w:hyperlink>
        </w:p>
        <w:p w:rsidRPr="00F55A79" w:rsidR="005142AB" w:rsidRDefault="005142AB" w14:paraId="74DEDDA0" w14:textId="50BB9646">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43">
            <w:r w:rsidRPr="00F55A79">
              <w:rPr>
                <w:rStyle w:val="Hyperlink"/>
                <w:noProof/>
              </w:rPr>
              <w:t>5.1.2.</w:t>
            </w:r>
            <w:r w:rsidRPr="00F55A79">
              <w:rPr>
                <w:rFonts w:asciiTheme="minorHAnsi" w:hAnsiTheme="minorHAnsi" w:cstheme="minorBidi"/>
                <w:noProof/>
                <w:kern w:val="2"/>
                <w:sz w:val="24"/>
                <w:szCs w:val="24"/>
                <w14:ligatures w14:val="standardContextual"/>
              </w:rPr>
              <w:tab/>
            </w:r>
            <w:r w:rsidRPr="00F55A79">
              <w:rPr>
                <w:rStyle w:val="Hyperlink"/>
                <w:noProof/>
              </w:rPr>
              <w:t>Joint Applicants’ Position</w:t>
            </w:r>
            <w:r w:rsidRPr="00F55A79">
              <w:rPr>
                <w:noProof/>
                <w:webHidden/>
              </w:rPr>
              <w:tab/>
            </w:r>
            <w:r w:rsidRPr="00F55A79">
              <w:rPr>
                <w:noProof/>
                <w:webHidden/>
              </w:rPr>
              <w:fldChar w:fldCharType="begin"/>
            </w:r>
            <w:r w:rsidRPr="00F55A79">
              <w:rPr>
                <w:noProof/>
                <w:webHidden/>
              </w:rPr>
              <w:instrText xml:space="preserve"> PAGEREF _Toc216163143 \h </w:instrText>
            </w:r>
            <w:r w:rsidRPr="00F55A79">
              <w:rPr>
                <w:noProof/>
                <w:webHidden/>
              </w:rPr>
            </w:r>
            <w:r w:rsidRPr="00F55A79">
              <w:rPr>
                <w:noProof/>
                <w:webHidden/>
              </w:rPr>
              <w:fldChar w:fldCharType="separate"/>
            </w:r>
            <w:r w:rsidR="00BA5597">
              <w:rPr>
                <w:noProof/>
                <w:webHidden/>
              </w:rPr>
              <w:t>25</w:t>
            </w:r>
            <w:r w:rsidRPr="00F55A79">
              <w:rPr>
                <w:noProof/>
                <w:webHidden/>
              </w:rPr>
              <w:fldChar w:fldCharType="end"/>
            </w:r>
          </w:hyperlink>
        </w:p>
        <w:p w:rsidRPr="00F55A79" w:rsidR="005142AB" w:rsidRDefault="005142AB" w14:paraId="24E93A30" w14:textId="3349F26E">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44">
            <w:r w:rsidRPr="00F55A79">
              <w:rPr>
                <w:rStyle w:val="Hyperlink"/>
                <w:noProof/>
              </w:rPr>
              <w:t>5.1.3.</w:t>
            </w:r>
            <w:r w:rsidRPr="00F55A79">
              <w:rPr>
                <w:rFonts w:asciiTheme="minorHAnsi" w:hAnsiTheme="minorHAnsi" w:cstheme="minorBidi"/>
                <w:noProof/>
                <w:kern w:val="2"/>
                <w:sz w:val="24"/>
                <w:szCs w:val="24"/>
                <w14:ligatures w14:val="standardContextual"/>
              </w:rPr>
              <w:tab/>
            </w:r>
            <w:r w:rsidRPr="00F55A79">
              <w:rPr>
                <w:rStyle w:val="Hyperlink"/>
                <w:noProof/>
              </w:rPr>
              <w:t>Party Positions</w:t>
            </w:r>
            <w:r w:rsidRPr="00F55A79">
              <w:rPr>
                <w:noProof/>
                <w:webHidden/>
              </w:rPr>
              <w:tab/>
            </w:r>
            <w:r w:rsidRPr="00F55A79">
              <w:rPr>
                <w:noProof/>
                <w:webHidden/>
              </w:rPr>
              <w:fldChar w:fldCharType="begin"/>
            </w:r>
            <w:r w:rsidRPr="00F55A79">
              <w:rPr>
                <w:noProof/>
                <w:webHidden/>
              </w:rPr>
              <w:instrText xml:space="preserve"> PAGEREF _Toc216163144 \h </w:instrText>
            </w:r>
            <w:r w:rsidRPr="00F55A79">
              <w:rPr>
                <w:noProof/>
                <w:webHidden/>
              </w:rPr>
            </w:r>
            <w:r w:rsidRPr="00F55A79">
              <w:rPr>
                <w:noProof/>
                <w:webHidden/>
              </w:rPr>
              <w:fldChar w:fldCharType="separate"/>
            </w:r>
            <w:r w:rsidR="00BA5597">
              <w:rPr>
                <w:noProof/>
                <w:webHidden/>
              </w:rPr>
              <w:t>27</w:t>
            </w:r>
            <w:r w:rsidRPr="00F55A79">
              <w:rPr>
                <w:noProof/>
                <w:webHidden/>
              </w:rPr>
              <w:fldChar w:fldCharType="end"/>
            </w:r>
          </w:hyperlink>
        </w:p>
        <w:p w:rsidRPr="00F55A79" w:rsidR="005142AB" w:rsidRDefault="005142AB" w14:paraId="226A0F0B" w14:textId="4601304D">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45">
            <w:r w:rsidRPr="00F55A79">
              <w:rPr>
                <w:rStyle w:val="Hyperlink"/>
                <w:noProof/>
              </w:rPr>
              <w:t>5.1.3.1.</w:t>
            </w:r>
            <w:r w:rsidRPr="00F55A79">
              <w:rPr>
                <w:rFonts w:asciiTheme="minorHAnsi" w:hAnsiTheme="minorHAnsi" w:eastAsiaTheme="minorEastAsia"/>
                <w:noProof/>
                <w:kern w:val="2"/>
                <w:sz w:val="24"/>
                <w:szCs w:val="24"/>
                <w14:ligatures w14:val="standardContextual"/>
              </w:rPr>
              <w:tab/>
            </w:r>
            <w:r w:rsidRPr="00F55A79">
              <w:rPr>
                <w:rStyle w:val="Hyperlink"/>
                <w:noProof/>
              </w:rPr>
              <w:t>CETF</w:t>
            </w:r>
            <w:r w:rsidRPr="00F55A79">
              <w:rPr>
                <w:noProof/>
                <w:webHidden/>
              </w:rPr>
              <w:tab/>
            </w:r>
            <w:r w:rsidRPr="00F55A79">
              <w:rPr>
                <w:noProof/>
                <w:webHidden/>
              </w:rPr>
              <w:fldChar w:fldCharType="begin"/>
            </w:r>
            <w:r w:rsidRPr="00F55A79">
              <w:rPr>
                <w:noProof/>
                <w:webHidden/>
              </w:rPr>
              <w:instrText xml:space="preserve"> PAGEREF _Toc216163145 \h </w:instrText>
            </w:r>
            <w:r w:rsidRPr="00F55A79">
              <w:rPr>
                <w:noProof/>
                <w:webHidden/>
              </w:rPr>
            </w:r>
            <w:r w:rsidRPr="00F55A79">
              <w:rPr>
                <w:noProof/>
                <w:webHidden/>
              </w:rPr>
              <w:fldChar w:fldCharType="separate"/>
            </w:r>
            <w:r w:rsidR="00BA5597">
              <w:rPr>
                <w:noProof/>
                <w:webHidden/>
              </w:rPr>
              <w:t>27</w:t>
            </w:r>
            <w:r w:rsidRPr="00F55A79">
              <w:rPr>
                <w:noProof/>
                <w:webHidden/>
              </w:rPr>
              <w:fldChar w:fldCharType="end"/>
            </w:r>
          </w:hyperlink>
        </w:p>
        <w:p w:rsidRPr="00F55A79" w:rsidR="005142AB" w:rsidRDefault="005142AB" w14:paraId="59CFD709" w14:textId="42FDCA5E">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46">
            <w:r w:rsidRPr="00F55A79">
              <w:rPr>
                <w:rStyle w:val="Hyperlink"/>
                <w:noProof/>
              </w:rPr>
              <w:t>5.1.3.2.</w:t>
            </w:r>
            <w:r w:rsidRPr="00F55A79">
              <w:rPr>
                <w:rFonts w:asciiTheme="minorHAnsi" w:hAnsiTheme="minorHAnsi" w:eastAsiaTheme="minorEastAsia"/>
                <w:noProof/>
                <w:kern w:val="2"/>
                <w:sz w:val="24"/>
                <w:szCs w:val="24"/>
                <w14:ligatures w14:val="standardContextual"/>
              </w:rPr>
              <w:tab/>
            </w:r>
            <w:r w:rsidRPr="00F55A79">
              <w:rPr>
                <w:rStyle w:val="Hyperlink"/>
                <w:noProof/>
              </w:rPr>
              <w:t>CforAT</w:t>
            </w:r>
            <w:r w:rsidRPr="00F55A79">
              <w:rPr>
                <w:noProof/>
                <w:webHidden/>
              </w:rPr>
              <w:tab/>
            </w:r>
            <w:r w:rsidRPr="00F55A79">
              <w:rPr>
                <w:noProof/>
                <w:webHidden/>
              </w:rPr>
              <w:fldChar w:fldCharType="begin"/>
            </w:r>
            <w:r w:rsidRPr="00F55A79">
              <w:rPr>
                <w:noProof/>
                <w:webHidden/>
              </w:rPr>
              <w:instrText xml:space="preserve"> PAGEREF _Toc216163146 \h </w:instrText>
            </w:r>
            <w:r w:rsidRPr="00F55A79">
              <w:rPr>
                <w:noProof/>
                <w:webHidden/>
              </w:rPr>
            </w:r>
            <w:r w:rsidRPr="00F55A79">
              <w:rPr>
                <w:noProof/>
                <w:webHidden/>
              </w:rPr>
              <w:fldChar w:fldCharType="separate"/>
            </w:r>
            <w:r w:rsidR="00BA5597">
              <w:rPr>
                <w:noProof/>
                <w:webHidden/>
              </w:rPr>
              <w:t>27</w:t>
            </w:r>
            <w:r w:rsidRPr="00F55A79">
              <w:rPr>
                <w:noProof/>
                <w:webHidden/>
              </w:rPr>
              <w:fldChar w:fldCharType="end"/>
            </w:r>
          </w:hyperlink>
        </w:p>
        <w:p w:rsidRPr="00F55A79" w:rsidR="005142AB" w:rsidRDefault="005142AB" w14:paraId="15795D66" w14:textId="0D06D43C">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47">
            <w:r w:rsidRPr="00F55A79">
              <w:rPr>
                <w:rStyle w:val="Hyperlink"/>
                <w:noProof/>
              </w:rPr>
              <w:t>5.1.3.3.</w:t>
            </w:r>
            <w:r w:rsidRPr="00F55A79">
              <w:rPr>
                <w:rFonts w:asciiTheme="minorHAnsi" w:hAnsiTheme="minorHAnsi" w:eastAsiaTheme="minorEastAsia"/>
                <w:noProof/>
                <w:kern w:val="2"/>
                <w:sz w:val="24"/>
                <w:szCs w:val="24"/>
                <w14:ligatures w14:val="standardContextual"/>
              </w:rPr>
              <w:tab/>
            </w:r>
            <w:r w:rsidRPr="00F55A79">
              <w:rPr>
                <w:rStyle w:val="Hyperlink"/>
                <w:noProof/>
              </w:rPr>
              <w:t>TURN</w:t>
            </w:r>
            <w:r w:rsidRPr="00F55A79">
              <w:rPr>
                <w:noProof/>
                <w:webHidden/>
              </w:rPr>
              <w:tab/>
            </w:r>
            <w:r w:rsidRPr="00F55A79">
              <w:rPr>
                <w:noProof/>
                <w:webHidden/>
              </w:rPr>
              <w:fldChar w:fldCharType="begin"/>
            </w:r>
            <w:r w:rsidRPr="00F55A79">
              <w:rPr>
                <w:noProof/>
                <w:webHidden/>
              </w:rPr>
              <w:instrText xml:space="preserve"> PAGEREF _Toc216163147 \h </w:instrText>
            </w:r>
            <w:r w:rsidRPr="00F55A79">
              <w:rPr>
                <w:noProof/>
                <w:webHidden/>
              </w:rPr>
            </w:r>
            <w:r w:rsidRPr="00F55A79">
              <w:rPr>
                <w:noProof/>
                <w:webHidden/>
              </w:rPr>
              <w:fldChar w:fldCharType="separate"/>
            </w:r>
            <w:r w:rsidR="00BA5597">
              <w:rPr>
                <w:noProof/>
                <w:webHidden/>
              </w:rPr>
              <w:t>27</w:t>
            </w:r>
            <w:r w:rsidRPr="00F55A79">
              <w:rPr>
                <w:noProof/>
                <w:webHidden/>
              </w:rPr>
              <w:fldChar w:fldCharType="end"/>
            </w:r>
          </w:hyperlink>
        </w:p>
        <w:p w:rsidRPr="00F55A79" w:rsidR="005142AB" w:rsidRDefault="005142AB" w14:paraId="6C00BF75" w14:textId="11C644A0">
          <w:pPr>
            <w:pStyle w:val="TOC5"/>
            <w:tabs>
              <w:tab w:val="left" w:pos="2160"/>
              <w:tab w:val="right" w:leader="dot" w:pos="9350"/>
            </w:tabs>
            <w:rPr>
              <w:rFonts w:asciiTheme="minorHAnsi" w:hAnsiTheme="minorHAnsi" w:eastAsiaTheme="minorEastAsia"/>
              <w:noProof/>
              <w:kern w:val="2"/>
              <w:sz w:val="24"/>
              <w:szCs w:val="24"/>
              <w14:ligatures w14:val="standardContextual"/>
            </w:rPr>
          </w:pPr>
          <w:hyperlink w:history="1" w:anchor="_Toc216163148">
            <w:r w:rsidRPr="00F55A79">
              <w:rPr>
                <w:rStyle w:val="Hyperlink"/>
                <w:noProof/>
              </w:rPr>
              <w:t>5.1.3.3.1.</w:t>
            </w:r>
            <w:r w:rsidRPr="00F55A79">
              <w:rPr>
                <w:rFonts w:asciiTheme="minorHAnsi" w:hAnsiTheme="minorHAnsi" w:eastAsiaTheme="minorEastAsia"/>
                <w:noProof/>
                <w:kern w:val="2"/>
                <w:sz w:val="24"/>
                <w:szCs w:val="24"/>
                <w14:ligatures w14:val="standardContextual"/>
              </w:rPr>
              <w:tab/>
            </w:r>
            <w:r w:rsidRPr="00F55A79">
              <w:rPr>
                <w:rStyle w:val="Hyperlink"/>
                <w:noProof/>
              </w:rPr>
              <w:t>Infrastructure Deployment</w:t>
            </w:r>
            <w:r w:rsidRPr="00F55A79">
              <w:rPr>
                <w:noProof/>
                <w:webHidden/>
              </w:rPr>
              <w:tab/>
            </w:r>
            <w:r w:rsidRPr="00F55A79">
              <w:rPr>
                <w:noProof/>
                <w:webHidden/>
              </w:rPr>
              <w:fldChar w:fldCharType="begin"/>
            </w:r>
            <w:r w:rsidRPr="00F55A79">
              <w:rPr>
                <w:noProof/>
                <w:webHidden/>
              </w:rPr>
              <w:instrText xml:space="preserve"> PAGEREF _Toc216163148 \h </w:instrText>
            </w:r>
            <w:r w:rsidRPr="00F55A79">
              <w:rPr>
                <w:noProof/>
                <w:webHidden/>
              </w:rPr>
            </w:r>
            <w:r w:rsidRPr="00F55A79">
              <w:rPr>
                <w:noProof/>
                <w:webHidden/>
              </w:rPr>
              <w:fldChar w:fldCharType="separate"/>
            </w:r>
            <w:r w:rsidR="00BA5597">
              <w:rPr>
                <w:noProof/>
                <w:webHidden/>
              </w:rPr>
              <w:t>28</w:t>
            </w:r>
            <w:r w:rsidRPr="00F55A79">
              <w:rPr>
                <w:noProof/>
                <w:webHidden/>
              </w:rPr>
              <w:fldChar w:fldCharType="end"/>
            </w:r>
          </w:hyperlink>
        </w:p>
        <w:p w:rsidRPr="00F55A79" w:rsidR="005142AB" w:rsidRDefault="005142AB" w14:paraId="73BDEE8D" w14:textId="5F863F55">
          <w:pPr>
            <w:pStyle w:val="TOC5"/>
            <w:tabs>
              <w:tab w:val="left" w:pos="2160"/>
              <w:tab w:val="right" w:leader="dot" w:pos="9350"/>
            </w:tabs>
            <w:rPr>
              <w:rFonts w:asciiTheme="minorHAnsi" w:hAnsiTheme="minorHAnsi" w:eastAsiaTheme="minorEastAsia"/>
              <w:noProof/>
              <w:kern w:val="2"/>
              <w:sz w:val="24"/>
              <w:szCs w:val="24"/>
              <w14:ligatures w14:val="standardContextual"/>
            </w:rPr>
          </w:pPr>
          <w:hyperlink w:history="1" w:anchor="_Toc216163149">
            <w:r w:rsidRPr="00F55A79">
              <w:rPr>
                <w:rStyle w:val="Hyperlink"/>
                <w:noProof/>
              </w:rPr>
              <w:t>5.1.3.3.2.</w:t>
            </w:r>
            <w:r w:rsidRPr="00F55A79">
              <w:rPr>
                <w:rFonts w:asciiTheme="minorHAnsi" w:hAnsiTheme="minorHAnsi" w:eastAsiaTheme="minorEastAsia"/>
                <w:noProof/>
                <w:kern w:val="2"/>
                <w:sz w:val="24"/>
                <w:szCs w:val="24"/>
                <w14:ligatures w14:val="standardContextual"/>
              </w:rPr>
              <w:tab/>
            </w:r>
            <w:r w:rsidRPr="00F55A79">
              <w:rPr>
                <w:rStyle w:val="Hyperlink"/>
                <w:noProof/>
              </w:rPr>
              <w:t>Low-Income and Affordable Plans</w:t>
            </w:r>
            <w:r w:rsidRPr="00F55A79">
              <w:rPr>
                <w:noProof/>
                <w:webHidden/>
              </w:rPr>
              <w:tab/>
            </w:r>
            <w:r w:rsidRPr="00F55A79">
              <w:rPr>
                <w:noProof/>
                <w:webHidden/>
              </w:rPr>
              <w:fldChar w:fldCharType="begin"/>
            </w:r>
            <w:r w:rsidRPr="00F55A79">
              <w:rPr>
                <w:noProof/>
                <w:webHidden/>
              </w:rPr>
              <w:instrText xml:space="preserve"> PAGEREF _Toc216163149 \h </w:instrText>
            </w:r>
            <w:r w:rsidRPr="00F55A79">
              <w:rPr>
                <w:noProof/>
                <w:webHidden/>
              </w:rPr>
            </w:r>
            <w:r w:rsidRPr="00F55A79">
              <w:rPr>
                <w:noProof/>
                <w:webHidden/>
              </w:rPr>
              <w:fldChar w:fldCharType="separate"/>
            </w:r>
            <w:r w:rsidR="00BA5597">
              <w:rPr>
                <w:noProof/>
                <w:webHidden/>
              </w:rPr>
              <w:t>29</w:t>
            </w:r>
            <w:r w:rsidRPr="00F55A79">
              <w:rPr>
                <w:noProof/>
                <w:webHidden/>
              </w:rPr>
              <w:fldChar w:fldCharType="end"/>
            </w:r>
          </w:hyperlink>
        </w:p>
        <w:p w:rsidRPr="00F55A79" w:rsidR="005142AB" w:rsidRDefault="005142AB" w14:paraId="58758B96" w14:textId="720059C7">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50">
            <w:r w:rsidRPr="00F55A79">
              <w:rPr>
                <w:rStyle w:val="Hyperlink"/>
                <w:noProof/>
              </w:rPr>
              <w:t>5.1.4.</w:t>
            </w:r>
            <w:r w:rsidRPr="00F55A79">
              <w:rPr>
                <w:rFonts w:asciiTheme="minorHAnsi" w:hAnsiTheme="minorHAnsi" w:cstheme="minorBidi"/>
                <w:noProof/>
                <w:kern w:val="2"/>
                <w:sz w:val="24"/>
                <w:szCs w:val="24"/>
                <w14:ligatures w14:val="standardContextual"/>
              </w:rPr>
              <w:tab/>
            </w:r>
            <w:r w:rsidRPr="00F55A79">
              <w:rPr>
                <w:rStyle w:val="Hyperlink"/>
                <w:noProof/>
              </w:rPr>
              <w:t>Discussion</w:t>
            </w:r>
            <w:r w:rsidRPr="00F55A79">
              <w:rPr>
                <w:noProof/>
                <w:webHidden/>
              </w:rPr>
              <w:tab/>
            </w:r>
            <w:r w:rsidRPr="00F55A79">
              <w:rPr>
                <w:noProof/>
                <w:webHidden/>
              </w:rPr>
              <w:fldChar w:fldCharType="begin"/>
            </w:r>
            <w:r w:rsidRPr="00F55A79">
              <w:rPr>
                <w:noProof/>
                <w:webHidden/>
              </w:rPr>
              <w:instrText xml:space="preserve"> PAGEREF _Toc216163150 \h </w:instrText>
            </w:r>
            <w:r w:rsidRPr="00F55A79">
              <w:rPr>
                <w:noProof/>
                <w:webHidden/>
              </w:rPr>
            </w:r>
            <w:r w:rsidRPr="00F55A79">
              <w:rPr>
                <w:noProof/>
                <w:webHidden/>
              </w:rPr>
              <w:fldChar w:fldCharType="separate"/>
            </w:r>
            <w:r w:rsidR="00BA5597">
              <w:rPr>
                <w:noProof/>
                <w:webHidden/>
              </w:rPr>
              <w:t>30</w:t>
            </w:r>
            <w:r w:rsidRPr="00F55A79">
              <w:rPr>
                <w:noProof/>
                <w:webHidden/>
              </w:rPr>
              <w:fldChar w:fldCharType="end"/>
            </w:r>
          </w:hyperlink>
        </w:p>
        <w:p w:rsidRPr="00F55A79" w:rsidR="005142AB" w:rsidRDefault="005142AB" w14:paraId="3078D6C7" w14:textId="0DC90748">
          <w:pPr>
            <w:pStyle w:val="TOC2"/>
            <w:tabs>
              <w:tab w:val="right" w:leader="dot" w:pos="9350"/>
            </w:tabs>
            <w:rPr>
              <w:rFonts w:asciiTheme="minorHAnsi" w:hAnsiTheme="minorHAnsi" w:cstheme="minorBidi"/>
              <w:noProof/>
              <w:kern w:val="2"/>
              <w:sz w:val="24"/>
              <w:szCs w:val="24"/>
              <w14:ligatures w14:val="standardContextual"/>
            </w:rPr>
          </w:pPr>
          <w:hyperlink w:history="1" w:anchor="_Toc216163151">
            <w:r w:rsidRPr="00F55A79">
              <w:rPr>
                <w:rStyle w:val="Hyperlink"/>
                <w:noProof/>
              </w:rPr>
              <w:t>5.2.</w:t>
            </w:r>
            <w:r w:rsidRPr="00F55A79">
              <w:rPr>
                <w:rFonts w:asciiTheme="minorHAnsi" w:hAnsiTheme="minorHAnsi" w:cstheme="minorBidi"/>
                <w:noProof/>
                <w:kern w:val="2"/>
                <w:sz w:val="24"/>
                <w:szCs w:val="24"/>
                <w14:ligatures w14:val="standardContextual"/>
              </w:rPr>
              <w:tab/>
            </w:r>
            <w:r w:rsidRPr="00F55A79">
              <w:rPr>
                <w:rStyle w:val="Hyperlink"/>
                <w:noProof/>
              </w:rPr>
              <w:t>Competition</w:t>
            </w:r>
            <w:r w:rsidRPr="00F55A79">
              <w:rPr>
                <w:noProof/>
                <w:webHidden/>
              </w:rPr>
              <w:tab/>
            </w:r>
            <w:r w:rsidRPr="00F55A79">
              <w:rPr>
                <w:noProof/>
                <w:webHidden/>
              </w:rPr>
              <w:fldChar w:fldCharType="begin"/>
            </w:r>
            <w:r w:rsidRPr="00F55A79">
              <w:rPr>
                <w:noProof/>
                <w:webHidden/>
              </w:rPr>
              <w:instrText xml:space="preserve"> PAGEREF _Toc216163151 \h </w:instrText>
            </w:r>
            <w:r w:rsidRPr="00F55A79">
              <w:rPr>
                <w:noProof/>
                <w:webHidden/>
              </w:rPr>
            </w:r>
            <w:r w:rsidRPr="00F55A79">
              <w:rPr>
                <w:noProof/>
                <w:webHidden/>
              </w:rPr>
              <w:fldChar w:fldCharType="separate"/>
            </w:r>
            <w:r w:rsidR="00BA5597">
              <w:rPr>
                <w:noProof/>
                <w:webHidden/>
              </w:rPr>
              <w:t>30</w:t>
            </w:r>
            <w:r w:rsidRPr="00F55A79">
              <w:rPr>
                <w:noProof/>
                <w:webHidden/>
              </w:rPr>
              <w:fldChar w:fldCharType="end"/>
            </w:r>
          </w:hyperlink>
        </w:p>
        <w:p w:rsidRPr="00F55A79" w:rsidR="005142AB" w:rsidRDefault="005142AB" w14:paraId="26D46F9B" w14:textId="5EDAC6AE">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52">
            <w:r w:rsidRPr="00F55A79">
              <w:rPr>
                <w:rStyle w:val="Hyperlink"/>
                <w:noProof/>
              </w:rPr>
              <w:t>5.2.1.</w:t>
            </w:r>
            <w:r w:rsidRPr="00F55A79">
              <w:rPr>
                <w:rFonts w:asciiTheme="minorHAnsi" w:hAnsiTheme="minorHAnsi" w:cstheme="minorBidi"/>
                <w:noProof/>
                <w:kern w:val="2"/>
                <w:sz w:val="24"/>
                <w:szCs w:val="24"/>
                <w14:ligatures w14:val="standardContextual"/>
              </w:rPr>
              <w:tab/>
            </w:r>
            <w:r w:rsidRPr="00F55A79">
              <w:rPr>
                <w:rStyle w:val="Hyperlink"/>
                <w:noProof/>
              </w:rPr>
              <w:t>Background</w:t>
            </w:r>
            <w:r w:rsidRPr="00F55A79">
              <w:rPr>
                <w:noProof/>
                <w:webHidden/>
              </w:rPr>
              <w:tab/>
            </w:r>
            <w:r w:rsidRPr="00F55A79">
              <w:rPr>
                <w:noProof/>
                <w:webHidden/>
              </w:rPr>
              <w:fldChar w:fldCharType="begin"/>
            </w:r>
            <w:r w:rsidRPr="00F55A79">
              <w:rPr>
                <w:noProof/>
                <w:webHidden/>
              </w:rPr>
              <w:instrText xml:space="preserve"> PAGEREF _Toc216163152 \h </w:instrText>
            </w:r>
            <w:r w:rsidRPr="00F55A79">
              <w:rPr>
                <w:noProof/>
                <w:webHidden/>
              </w:rPr>
            </w:r>
            <w:r w:rsidRPr="00F55A79">
              <w:rPr>
                <w:noProof/>
                <w:webHidden/>
              </w:rPr>
              <w:fldChar w:fldCharType="separate"/>
            </w:r>
            <w:r w:rsidR="00BA5597">
              <w:rPr>
                <w:noProof/>
                <w:webHidden/>
              </w:rPr>
              <w:t>30</w:t>
            </w:r>
            <w:r w:rsidRPr="00F55A79">
              <w:rPr>
                <w:noProof/>
                <w:webHidden/>
              </w:rPr>
              <w:fldChar w:fldCharType="end"/>
            </w:r>
          </w:hyperlink>
        </w:p>
        <w:p w:rsidRPr="00F55A79" w:rsidR="005142AB" w:rsidRDefault="005142AB" w14:paraId="3ECA4295" w14:textId="379185BB">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53">
            <w:r w:rsidRPr="00F55A79">
              <w:rPr>
                <w:rStyle w:val="Hyperlink"/>
                <w:noProof/>
              </w:rPr>
              <w:t>5.2.2.</w:t>
            </w:r>
            <w:r w:rsidRPr="00F55A79">
              <w:rPr>
                <w:rFonts w:asciiTheme="minorHAnsi" w:hAnsiTheme="minorHAnsi" w:cstheme="minorBidi"/>
                <w:noProof/>
                <w:kern w:val="2"/>
                <w:sz w:val="24"/>
                <w:szCs w:val="24"/>
                <w14:ligatures w14:val="standardContextual"/>
              </w:rPr>
              <w:tab/>
            </w:r>
            <w:r w:rsidRPr="00F55A79">
              <w:rPr>
                <w:rStyle w:val="Hyperlink"/>
                <w:noProof/>
              </w:rPr>
              <w:t>Joint Applicants’ Position</w:t>
            </w:r>
            <w:r w:rsidRPr="00F55A79">
              <w:rPr>
                <w:noProof/>
                <w:webHidden/>
              </w:rPr>
              <w:tab/>
            </w:r>
            <w:r w:rsidRPr="00F55A79">
              <w:rPr>
                <w:noProof/>
                <w:webHidden/>
              </w:rPr>
              <w:fldChar w:fldCharType="begin"/>
            </w:r>
            <w:r w:rsidRPr="00F55A79">
              <w:rPr>
                <w:noProof/>
                <w:webHidden/>
              </w:rPr>
              <w:instrText xml:space="preserve"> PAGEREF _Toc216163153 \h </w:instrText>
            </w:r>
            <w:r w:rsidRPr="00F55A79">
              <w:rPr>
                <w:noProof/>
                <w:webHidden/>
              </w:rPr>
            </w:r>
            <w:r w:rsidRPr="00F55A79">
              <w:rPr>
                <w:noProof/>
                <w:webHidden/>
              </w:rPr>
              <w:fldChar w:fldCharType="separate"/>
            </w:r>
            <w:r w:rsidR="00BA5597">
              <w:rPr>
                <w:noProof/>
                <w:webHidden/>
              </w:rPr>
              <w:t>31</w:t>
            </w:r>
            <w:r w:rsidRPr="00F55A79">
              <w:rPr>
                <w:noProof/>
                <w:webHidden/>
              </w:rPr>
              <w:fldChar w:fldCharType="end"/>
            </w:r>
          </w:hyperlink>
        </w:p>
        <w:p w:rsidRPr="00F55A79" w:rsidR="005142AB" w:rsidRDefault="005142AB" w14:paraId="70692D96" w14:textId="55D1E38A">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54">
            <w:r w:rsidRPr="00F55A79">
              <w:rPr>
                <w:rStyle w:val="Hyperlink"/>
                <w:noProof/>
              </w:rPr>
              <w:t>5.2.3.</w:t>
            </w:r>
            <w:r w:rsidRPr="00F55A79">
              <w:rPr>
                <w:rFonts w:asciiTheme="minorHAnsi" w:hAnsiTheme="minorHAnsi" w:cstheme="minorBidi"/>
                <w:noProof/>
                <w:kern w:val="2"/>
                <w:sz w:val="24"/>
                <w:szCs w:val="24"/>
                <w14:ligatures w14:val="standardContextual"/>
              </w:rPr>
              <w:tab/>
            </w:r>
            <w:r w:rsidRPr="00F55A79">
              <w:rPr>
                <w:rStyle w:val="Hyperlink"/>
                <w:noProof/>
              </w:rPr>
              <w:t>Party Positions</w:t>
            </w:r>
            <w:r w:rsidRPr="00F55A79">
              <w:rPr>
                <w:noProof/>
                <w:webHidden/>
              </w:rPr>
              <w:tab/>
            </w:r>
            <w:r w:rsidRPr="00F55A79">
              <w:rPr>
                <w:noProof/>
                <w:webHidden/>
              </w:rPr>
              <w:fldChar w:fldCharType="begin"/>
            </w:r>
            <w:r w:rsidRPr="00F55A79">
              <w:rPr>
                <w:noProof/>
                <w:webHidden/>
              </w:rPr>
              <w:instrText xml:space="preserve"> PAGEREF _Toc216163154 \h </w:instrText>
            </w:r>
            <w:r w:rsidRPr="00F55A79">
              <w:rPr>
                <w:noProof/>
                <w:webHidden/>
              </w:rPr>
            </w:r>
            <w:r w:rsidRPr="00F55A79">
              <w:rPr>
                <w:noProof/>
                <w:webHidden/>
              </w:rPr>
              <w:fldChar w:fldCharType="separate"/>
            </w:r>
            <w:r w:rsidR="00BA5597">
              <w:rPr>
                <w:noProof/>
                <w:webHidden/>
              </w:rPr>
              <w:t>32</w:t>
            </w:r>
            <w:r w:rsidRPr="00F55A79">
              <w:rPr>
                <w:noProof/>
                <w:webHidden/>
              </w:rPr>
              <w:fldChar w:fldCharType="end"/>
            </w:r>
          </w:hyperlink>
        </w:p>
        <w:p w:rsidRPr="00F55A79" w:rsidR="005142AB" w:rsidRDefault="005142AB" w14:paraId="0E06BD12" w14:textId="492806E8">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55">
            <w:r w:rsidRPr="00F55A79">
              <w:rPr>
                <w:rStyle w:val="Hyperlink"/>
                <w:noProof/>
              </w:rPr>
              <w:t>5.2.3.1.</w:t>
            </w:r>
            <w:r w:rsidRPr="00F55A79">
              <w:rPr>
                <w:rFonts w:asciiTheme="minorHAnsi" w:hAnsiTheme="minorHAnsi" w:eastAsiaTheme="minorEastAsia"/>
                <w:noProof/>
                <w:kern w:val="2"/>
                <w:sz w:val="24"/>
                <w:szCs w:val="24"/>
                <w14:ligatures w14:val="standardContextual"/>
              </w:rPr>
              <w:tab/>
            </w:r>
            <w:r w:rsidRPr="00F55A79">
              <w:rPr>
                <w:rStyle w:val="Hyperlink"/>
                <w:noProof/>
              </w:rPr>
              <w:t>CETF</w:t>
            </w:r>
            <w:r w:rsidRPr="00F55A79">
              <w:rPr>
                <w:noProof/>
                <w:webHidden/>
              </w:rPr>
              <w:tab/>
            </w:r>
            <w:r w:rsidRPr="00F55A79">
              <w:rPr>
                <w:noProof/>
                <w:webHidden/>
              </w:rPr>
              <w:fldChar w:fldCharType="begin"/>
            </w:r>
            <w:r w:rsidRPr="00F55A79">
              <w:rPr>
                <w:noProof/>
                <w:webHidden/>
              </w:rPr>
              <w:instrText xml:space="preserve"> PAGEREF _Toc216163155 \h </w:instrText>
            </w:r>
            <w:r w:rsidRPr="00F55A79">
              <w:rPr>
                <w:noProof/>
                <w:webHidden/>
              </w:rPr>
            </w:r>
            <w:r w:rsidRPr="00F55A79">
              <w:rPr>
                <w:noProof/>
                <w:webHidden/>
              </w:rPr>
              <w:fldChar w:fldCharType="separate"/>
            </w:r>
            <w:r w:rsidR="00BA5597">
              <w:rPr>
                <w:noProof/>
                <w:webHidden/>
              </w:rPr>
              <w:t>32</w:t>
            </w:r>
            <w:r w:rsidRPr="00F55A79">
              <w:rPr>
                <w:noProof/>
                <w:webHidden/>
              </w:rPr>
              <w:fldChar w:fldCharType="end"/>
            </w:r>
          </w:hyperlink>
        </w:p>
        <w:p w:rsidRPr="00F55A79" w:rsidR="005142AB" w:rsidRDefault="005142AB" w14:paraId="33900C78" w14:textId="5C29A749">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56">
            <w:r w:rsidRPr="00F55A79">
              <w:rPr>
                <w:rStyle w:val="Hyperlink"/>
                <w:noProof/>
              </w:rPr>
              <w:t>5.2.3.2.</w:t>
            </w:r>
            <w:r w:rsidRPr="00F55A79">
              <w:rPr>
                <w:rFonts w:asciiTheme="minorHAnsi" w:hAnsiTheme="minorHAnsi" w:eastAsiaTheme="minorEastAsia"/>
                <w:noProof/>
                <w:kern w:val="2"/>
                <w:sz w:val="24"/>
                <w:szCs w:val="24"/>
                <w14:ligatures w14:val="standardContextual"/>
              </w:rPr>
              <w:tab/>
            </w:r>
            <w:r w:rsidRPr="00F55A79">
              <w:rPr>
                <w:rStyle w:val="Hyperlink"/>
                <w:noProof/>
              </w:rPr>
              <w:t>CforAT</w:t>
            </w:r>
            <w:r w:rsidRPr="00F55A79">
              <w:rPr>
                <w:noProof/>
                <w:webHidden/>
              </w:rPr>
              <w:tab/>
            </w:r>
            <w:r w:rsidRPr="00F55A79">
              <w:rPr>
                <w:noProof/>
                <w:webHidden/>
              </w:rPr>
              <w:fldChar w:fldCharType="begin"/>
            </w:r>
            <w:r w:rsidRPr="00F55A79">
              <w:rPr>
                <w:noProof/>
                <w:webHidden/>
              </w:rPr>
              <w:instrText xml:space="preserve"> PAGEREF _Toc216163156 \h </w:instrText>
            </w:r>
            <w:r w:rsidRPr="00F55A79">
              <w:rPr>
                <w:noProof/>
                <w:webHidden/>
              </w:rPr>
            </w:r>
            <w:r w:rsidRPr="00F55A79">
              <w:rPr>
                <w:noProof/>
                <w:webHidden/>
              </w:rPr>
              <w:fldChar w:fldCharType="separate"/>
            </w:r>
            <w:r w:rsidR="00BA5597">
              <w:rPr>
                <w:noProof/>
                <w:webHidden/>
              </w:rPr>
              <w:t>32</w:t>
            </w:r>
            <w:r w:rsidRPr="00F55A79">
              <w:rPr>
                <w:noProof/>
                <w:webHidden/>
              </w:rPr>
              <w:fldChar w:fldCharType="end"/>
            </w:r>
          </w:hyperlink>
        </w:p>
        <w:p w:rsidRPr="00F55A79" w:rsidR="005142AB" w:rsidRDefault="005142AB" w14:paraId="383B2286" w14:textId="3831F295">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57">
            <w:r w:rsidRPr="00F55A79">
              <w:rPr>
                <w:rStyle w:val="Hyperlink"/>
                <w:noProof/>
              </w:rPr>
              <w:t>5.2.3.3.</w:t>
            </w:r>
            <w:r w:rsidRPr="00F55A79">
              <w:rPr>
                <w:rFonts w:asciiTheme="minorHAnsi" w:hAnsiTheme="minorHAnsi" w:eastAsiaTheme="minorEastAsia"/>
                <w:noProof/>
                <w:kern w:val="2"/>
                <w:sz w:val="24"/>
                <w:szCs w:val="24"/>
                <w14:ligatures w14:val="standardContextual"/>
              </w:rPr>
              <w:tab/>
            </w:r>
            <w:r w:rsidRPr="00F55A79">
              <w:rPr>
                <w:rStyle w:val="Hyperlink"/>
                <w:noProof/>
              </w:rPr>
              <w:t>TURN</w:t>
            </w:r>
            <w:r w:rsidRPr="00F55A79">
              <w:rPr>
                <w:noProof/>
                <w:webHidden/>
              </w:rPr>
              <w:tab/>
            </w:r>
            <w:r w:rsidRPr="00F55A79">
              <w:rPr>
                <w:noProof/>
                <w:webHidden/>
              </w:rPr>
              <w:fldChar w:fldCharType="begin"/>
            </w:r>
            <w:r w:rsidRPr="00F55A79">
              <w:rPr>
                <w:noProof/>
                <w:webHidden/>
              </w:rPr>
              <w:instrText xml:space="preserve"> PAGEREF _Toc216163157 \h </w:instrText>
            </w:r>
            <w:r w:rsidRPr="00F55A79">
              <w:rPr>
                <w:noProof/>
                <w:webHidden/>
              </w:rPr>
            </w:r>
            <w:r w:rsidRPr="00F55A79">
              <w:rPr>
                <w:noProof/>
                <w:webHidden/>
              </w:rPr>
              <w:fldChar w:fldCharType="separate"/>
            </w:r>
            <w:r w:rsidR="00BA5597">
              <w:rPr>
                <w:noProof/>
                <w:webHidden/>
              </w:rPr>
              <w:t>33</w:t>
            </w:r>
            <w:r w:rsidRPr="00F55A79">
              <w:rPr>
                <w:noProof/>
                <w:webHidden/>
              </w:rPr>
              <w:fldChar w:fldCharType="end"/>
            </w:r>
          </w:hyperlink>
        </w:p>
        <w:p w:rsidRPr="00F55A79" w:rsidR="005142AB" w:rsidRDefault="005142AB" w14:paraId="4FA83ABB" w14:textId="3FF5F623">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58">
            <w:r w:rsidRPr="00F55A79">
              <w:rPr>
                <w:rStyle w:val="Hyperlink"/>
                <w:noProof/>
              </w:rPr>
              <w:t>5.2.4.</w:t>
            </w:r>
            <w:r w:rsidRPr="00F55A79">
              <w:rPr>
                <w:rFonts w:asciiTheme="minorHAnsi" w:hAnsiTheme="minorHAnsi" w:cstheme="minorBidi"/>
                <w:noProof/>
                <w:kern w:val="2"/>
                <w:sz w:val="24"/>
                <w:szCs w:val="24"/>
                <w14:ligatures w14:val="standardContextual"/>
              </w:rPr>
              <w:tab/>
            </w:r>
            <w:r w:rsidRPr="00F55A79">
              <w:rPr>
                <w:rStyle w:val="Hyperlink"/>
                <w:noProof/>
              </w:rPr>
              <w:t>Discussion</w:t>
            </w:r>
            <w:r w:rsidRPr="00F55A79">
              <w:rPr>
                <w:noProof/>
                <w:webHidden/>
              </w:rPr>
              <w:tab/>
            </w:r>
            <w:r w:rsidRPr="00F55A79">
              <w:rPr>
                <w:noProof/>
                <w:webHidden/>
              </w:rPr>
              <w:fldChar w:fldCharType="begin"/>
            </w:r>
            <w:r w:rsidRPr="00F55A79">
              <w:rPr>
                <w:noProof/>
                <w:webHidden/>
              </w:rPr>
              <w:instrText xml:space="preserve"> PAGEREF _Toc216163158 \h </w:instrText>
            </w:r>
            <w:r w:rsidRPr="00F55A79">
              <w:rPr>
                <w:noProof/>
                <w:webHidden/>
              </w:rPr>
            </w:r>
            <w:r w:rsidRPr="00F55A79">
              <w:rPr>
                <w:noProof/>
                <w:webHidden/>
              </w:rPr>
              <w:fldChar w:fldCharType="separate"/>
            </w:r>
            <w:r w:rsidR="00BA5597">
              <w:rPr>
                <w:noProof/>
                <w:webHidden/>
              </w:rPr>
              <w:t>33</w:t>
            </w:r>
            <w:r w:rsidRPr="00F55A79">
              <w:rPr>
                <w:noProof/>
                <w:webHidden/>
              </w:rPr>
              <w:fldChar w:fldCharType="end"/>
            </w:r>
          </w:hyperlink>
        </w:p>
        <w:p w:rsidRPr="00F55A79" w:rsidR="005142AB" w:rsidRDefault="005142AB" w14:paraId="03E1FFCA" w14:textId="7A0707BA">
          <w:pPr>
            <w:pStyle w:val="TOC1"/>
            <w:tabs>
              <w:tab w:val="right" w:leader="dot" w:pos="9350"/>
            </w:tabs>
            <w:rPr>
              <w:rFonts w:asciiTheme="minorHAnsi" w:hAnsiTheme="minorHAnsi" w:cstheme="minorBidi"/>
              <w:noProof/>
              <w:kern w:val="2"/>
              <w:sz w:val="24"/>
              <w:szCs w:val="24"/>
              <w14:ligatures w14:val="standardContextual"/>
            </w:rPr>
          </w:pPr>
          <w:hyperlink w:history="1" w:anchor="_Toc216163159">
            <w:r w:rsidRPr="00F55A79">
              <w:rPr>
                <w:rStyle w:val="Hyperlink"/>
                <w:noProof/>
              </w:rPr>
              <w:t>6.</w:t>
            </w:r>
            <w:r w:rsidRPr="00F55A79">
              <w:rPr>
                <w:rFonts w:asciiTheme="minorHAnsi" w:hAnsiTheme="minorHAnsi" w:cstheme="minorBidi"/>
                <w:noProof/>
                <w:kern w:val="2"/>
                <w:sz w:val="24"/>
                <w:szCs w:val="24"/>
                <w14:ligatures w14:val="standardContextual"/>
              </w:rPr>
              <w:tab/>
            </w:r>
            <w:r w:rsidRPr="00F55A79">
              <w:rPr>
                <w:rStyle w:val="Hyperlink"/>
                <w:noProof/>
              </w:rPr>
              <w:t>Issue 3: Section 854(c)</w:t>
            </w:r>
            <w:r w:rsidRPr="00F55A79">
              <w:rPr>
                <w:noProof/>
                <w:webHidden/>
              </w:rPr>
              <w:tab/>
            </w:r>
            <w:r w:rsidRPr="00F55A79">
              <w:rPr>
                <w:noProof/>
                <w:webHidden/>
              </w:rPr>
              <w:fldChar w:fldCharType="begin"/>
            </w:r>
            <w:r w:rsidRPr="00F55A79">
              <w:rPr>
                <w:noProof/>
                <w:webHidden/>
              </w:rPr>
              <w:instrText xml:space="preserve"> PAGEREF _Toc216163159 \h </w:instrText>
            </w:r>
            <w:r w:rsidRPr="00F55A79">
              <w:rPr>
                <w:noProof/>
                <w:webHidden/>
              </w:rPr>
            </w:r>
            <w:r w:rsidRPr="00F55A79">
              <w:rPr>
                <w:noProof/>
                <w:webHidden/>
              </w:rPr>
              <w:fldChar w:fldCharType="separate"/>
            </w:r>
            <w:r w:rsidR="00BA5597">
              <w:rPr>
                <w:noProof/>
                <w:webHidden/>
              </w:rPr>
              <w:t>33</w:t>
            </w:r>
            <w:r w:rsidRPr="00F55A79">
              <w:rPr>
                <w:noProof/>
                <w:webHidden/>
              </w:rPr>
              <w:fldChar w:fldCharType="end"/>
            </w:r>
          </w:hyperlink>
        </w:p>
        <w:p w:rsidRPr="00F55A79" w:rsidR="005142AB" w:rsidRDefault="005142AB" w14:paraId="101E926C" w14:textId="3EF7D04A">
          <w:pPr>
            <w:pStyle w:val="TOC2"/>
            <w:tabs>
              <w:tab w:val="right" w:leader="dot" w:pos="9350"/>
            </w:tabs>
            <w:rPr>
              <w:rFonts w:asciiTheme="minorHAnsi" w:hAnsiTheme="minorHAnsi" w:cstheme="minorBidi"/>
              <w:noProof/>
              <w:kern w:val="2"/>
              <w:sz w:val="24"/>
              <w:szCs w:val="24"/>
              <w14:ligatures w14:val="standardContextual"/>
            </w:rPr>
          </w:pPr>
          <w:hyperlink w:history="1" w:anchor="_Toc216163160">
            <w:r w:rsidRPr="00F55A79">
              <w:rPr>
                <w:rStyle w:val="Hyperlink"/>
                <w:noProof/>
              </w:rPr>
              <w:t>6.2.</w:t>
            </w:r>
            <w:r w:rsidRPr="00F55A79">
              <w:rPr>
                <w:rFonts w:asciiTheme="minorHAnsi" w:hAnsiTheme="minorHAnsi" w:cstheme="minorBidi"/>
                <w:noProof/>
                <w:kern w:val="2"/>
                <w:sz w:val="24"/>
                <w:szCs w:val="24"/>
                <w14:ligatures w14:val="standardContextual"/>
              </w:rPr>
              <w:tab/>
            </w:r>
            <w:r w:rsidRPr="00F55A79">
              <w:rPr>
                <w:rStyle w:val="Hyperlink"/>
                <w:noProof/>
              </w:rPr>
              <w:t>Financial Condition of Resulting Utility</w:t>
            </w:r>
            <w:r w:rsidRPr="00F55A79">
              <w:rPr>
                <w:noProof/>
                <w:webHidden/>
              </w:rPr>
              <w:tab/>
            </w:r>
            <w:r w:rsidRPr="00F55A79">
              <w:rPr>
                <w:noProof/>
                <w:webHidden/>
              </w:rPr>
              <w:fldChar w:fldCharType="begin"/>
            </w:r>
            <w:r w:rsidRPr="00F55A79">
              <w:rPr>
                <w:noProof/>
                <w:webHidden/>
              </w:rPr>
              <w:instrText xml:space="preserve"> PAGEREF _Toc216163160 \h </w:instrText>
            </w:r>
            <w:r w:rsidRPr="00F55A79">
              <w:rPr>
                <w:noProof/>
                <w:webHidden/>
              </w:rPr>
            </w:r>
            <w:r w:rsidRPr="00F55A79">
              <w:rPr>
                <w:noProof/>
                <w:webHidden/>
              </w:rPr>
              <w:fldChar w:fldCharType="separate"/>
            </w:r>
            <w:r w:rsidR="00BA5597">
              <w:rPr>
                <w:noProof/>
                <w:webHidden/>
              </w:rPr>
              <w:t>34</w:t>
            </w:r>
            <w:r w:rsidRPr="00F55A79">
              <w:rPr>
                <w:noProof/>
                <w:webHidden/>
              </w:rPr>
              <w:fldChar w:fldCharType="end"/>
            </w:r>
          </w:hyperlink>
        </w:p>
        <w:p w:rsidRPr="00F55A79" w:rsidR="005142AB" w:rsidRDefault="005142AB" w14:paraId="7FE3E8E3" w14:textId="63173216">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61">
            <w:r w:rsidRPr="00F55A79">
              <w:rPr>
                <w:rStyle w:val="Hyperlink"/>
                <w:noProof/>
              </w:rPr>
              <w:t>6.2.1.</w:t>
            </w:r>
            <w:r w:rsidRPr="00F55A79">
              <w:rPr>
                <w:rFonts w:asciiTheme="minorHAnsi" w:hAnsiTheme="minorHAnsi" w:cstheme="minorBidi"/>
                <w:noProof/>
                <w:kern w:val="2"/>
                <w:sz w:val="24"/>
                <w:szCs w:val="24"/>
                <w14:ligatures w14:val="standardContextual"/>
              </w:rPr>
              <w:tab/>
            </w:r>
            <w:r w:rsidRPr="00F55A79">
              <w:rPr>
                <w:rStyle w:val="Hyperlink"/>
                <w:noProof/>
              </w:rPr>
              <w:t>Background</w:t>
            </w:r>
            <w:r w:rsidRPr="00F55A79">
              <w:rPr>
                <w:noProof/>
                <w:webHidden/>
              </w:rPr>
              <w:tab/>
            </w:r>
            <w:r w:rsidRPr="00F55A79">
              <w:rPr>
                <w:noProof/>
                <w:webHidden/>
              </w:rPr>
              <w:fldChar w:fldCharType="begin"/>
            </w:r>
            <w:r w:rsidRPr="00F55A79">
              <w:rPr>
                <w:noProof/>
                <w:webHidden/>
              </w:rPr>
              <w:instrText xml:space="preserve"> PAGEREF _Toc216163161 \h </w:instrText>
            </w:r>
            <w:r w:rsidRPr="00F55A79">
              <w:rPr>
                <w:noProof/>
                <w:webHidden/>
              </w:rPr>
            </w:r>
            <w:r w:rsidRPr="00F55A79">
              <w:rPr>
                <w:noProof/>
                <w:webHidden/>
              </w:rPr>
              <w:fldChar w:fldCharType="separate"/>
            </w:r>
            <w:r w:rsidR="00BA5597">
              <w:rPr>
                <w:noProof/>
                <w:webHidden/>
              </w:rPr>
              <w:t>34</w:t>
            </w:r>
            <w:r w:rsidRPr="00F55A79">
              <w:rPr>
                <w:noProof/>
                <w:webHidden/>
              </w:rPr>
              <w:fldChar w:fldCharType="end"/>
            </w:r>
          </w:hyperlink>
        </w:p>
        <w:p w:rsidRPr="00F55A79" w:rsidR="005142AB" w:rsidRDefault="005142AB" w14:paraId="656A3A62" w14:textId="22FED9BB">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62">
            <w:r w:rsidRPr="00F55A79">
              <w:rPr>
                <w:rStyle w:val="Hyperlink"/>
                <w:noProof/>
              </w:rPr>
              <w:t>6.2.2.</w:t>
            </w:r>
            <w:r w:rsidRPr="00F55A79">
              <w:rPr>
                <w:rFonts w:asciiTheme="minorHAnsi" w:hAnsiTheme="minorHAnsi" w:cstheme="minorBidi"/>
                <w:noProof/>
                <w:kern w:val="2"/>
                <w:sz w:val="24"/>
                <w:szCs w:val="24"/>
                <w14:ligatures w14:val="standardContextual"/>
              </w:rPr>
              <w:tab/>
            </w:r>
            <w:r w:rsidRPr="00F55A79">
              <w:rPr>
                <w:rStyle w:val="Hyperlink"/>
                <w:noProof/>
              </w:rPr>
              <w:t>Joint Applicants’ Position</w:t>
            </w:r>
            <w:r w:rsidRPr="00F55A79">
              <w:rPr>
                <w:noProof/>
                <w:webHidden/>
              </w:rPr>
              <w:tab/>
            </w:r>
            <w:r w:rsidRPr="00F55A79">
              <w:rPr>
                <w:noProof/>
                <w:webHidden/>
              </w:rPr>
              <w:fldChar w:fldCharType="begin"/>
            </w:r>
            <w:r w:rsidRPr="00F55A79">
              <w:rPr>
                <w:noProof/>
                <w:webHidden/>
              </w:rPr>
              <w:instrText xml:space="preserve"> PAGEREF _Toc216163162 \h </w:instrText>
            </w:r>
            <w:r w:rsidRPr="00F55A79">
              <w:rPr>
                <w:noProof/>
                <w:webHidden/>
              </w:rPr>
            </w:r>
            <w:r w:rsidRPr="00F55A79">
              <w:rPr>
                <w:noProof/>
                <w:webHidden/>
              </w:rPr>
              <w:fldChar w:fldCharType="separate"/>
            </w:r>
            <w:r w:rsidR="00BA5597">
              <w:rPr>
                <w:noProof/>
                <w:webHidden/>
              </w:rPr>
              <w:t>35</w:t>
            </w:r>
            <w:r w:rsidRPr="00F55A79">
              <w:rPr>
                <w:noProof/>
                <w:webHidden/>
              </w:rPr>
              <w:fldChar w:fldCharType="end"/>
            </w:r>
          </w:hyperlink>
        </w:p>
        <w:p w:rsidRPr="00F55A79" w:rsidR="005142AB" w:rsidRDefault="005142AB" w14:paraId="374EAD6D" w14:textId="013D8060">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63">
            <w:r w:rsidRPr="00F55A79">
              <w:rPr>
                <w:rStyle w:val="Hyperlink"/>
                <w:noProof/>
              </w:rPr>
              <w:t>6.2.3.</w:t>
            </w:r>
            <w:r w:rsidRPr="00F55A79">
              <w:rPr>
                <w:rFonts w:asciiTheme="minorHAnsi" w:hAnsiTheme="minorHAnsi" w:cstheme="minorBidi"/>
                <w:noProof/>
                <w:kern w:val="2"/>
                <w:sz w:val="24"/>
                <w:szCs w:val="24"/>
                <w14:ligatures w14:val="standardContextual"/>
              </w:rPr>
              <w:tab/>
            </w:r>
            <w:r w:rsidRPr="00F55A79">
              <w:rPr>
                <w:rStyle w:val="Hyperlink"/>
                <w:noProof/>
              </w:rPr>
              <w:t>Party Positions</w:t>
            </w:r>
            <w:r w:rsidRPr="00F55A79">
              <w:rPr>
                <w:noProof/>
                <w:webHidden/>
              </w:rPr>
              <w:tab/>
            </w:r>
            <w:r w:rsidRPr="00F55A79">
              <w:rPr>
                <w:noProof/>
                <w:webHidden/>
              </w:rPr>
              <w:fldChar w:fldCharType="begin"/>
            </w:r>
            <w:r w:rsidRPr="00F55A79">
              <w:rPr>
                <w:noProof/>
                <w:webHidden/>
              </w:rPr>
              <w:instrText xml:space="preserve"> PAGEREF _Toc216163163 \h </w:instrText>
            </w:r>
            <w:r w:rsidRPr="00F55A79">
              <w:rPr>
                <w:noProof/>
                <w:webHidden/>
              </w:rPr>
            </w:r>
            <w:r w:rsidRPr="00F55A79">
              <w:rPr>
                <w:noProof/>
                <w:webHidden/>
              </w:rPr>
              <w:fldChar w:fldCharType="separate"/>
            </w:r>
            <w:r w:rsidR="00BA5597">
              <w:rPr>
                <w:noProof/>
                <w:webHidden/>
              </w:rPr>
              <w:t>36</w:t>
            </w:r>
            <w:r w:rsidRPr="00F55A79">
              <w:rPr>
                <w:noProof/>
                <w:webHidden/>
              </w:rPr>
              <w:fldChar w:fldCharType="end"/>
            </w:r>
          </w:hyperlink>
        </w:p>
        <w:p w:rsidRPr="00F55A79" w:rsidR="005142AB" w:rsidRDefault="005142AB" w14:paraId="605FF0AF" w14:textId="63021F36">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64">
            <w:r w:rsidRPr="00F55A79">
              <w:rPr>
                <w:rStyle w:val="Hyperlink"/>
                <w:noProof/>
              </w:rPr>
              <w:t>6.2.3.1.</w:t>
            </w:r>
            <w:r w:rsidRPr="00F55A79">
              <w:rPr>
                <w:rFonts w:asciiTheme="minorHAnsi" w:hAnsiTheme="minorHAnsi" w:eastAsiaTheme="minorEastAsia"/>
                <w:noProof/>
                <w:kern w:val="2"/>
                <w:sz w:val="24"/>
                <w:szCs w:val="24"/>
                <w14:ligatures w14:val="standardContextual"/>
              </w:rPr>
              <w:tab/>
            </w:r>
            <w:r w:rsidRPr="00F55A79">
              <w:rPr>
                <w:rStyle w:val="Hyperlink"/>
                <w:noProof/>
              </w:rPr>
              <w:t>CETF</w:t>
            </w:r>
            <w:r w:rsidRPr="00F55A79">
              <w:rPr>
                <w:noProof/>
                <w:webHidden/>
              </w:rPr>
              <w:tab/>
            </w:r>
            <w:r w:rsidRPr="00F55A79">
              <w:rPr>
                <w:noProof/>
                <w:webHidden/>
              </w:rPr>
              <w:fldChar w:fldCharType="begin"/>
            </w:r>
            <w:r w:rsidRPr="00F55A79">
              <w:rPr>
                <w:noProof/>
                <w:webHidden/>
              </w:rPr>
              <w:instrText xml:space="preserve"> PAGEREF _Toc216163164 \h </w:instrText>
            </w:r>
            <w:r w:rsidRPr="00F55A79">
              <w:rPr>
                <w:noProof/>
                <w:webHidden/>
              </w:rPr>
            </w:r>
            <w:r w:rsidRPr="00F55A79">
              <w:rPr>
                <w:noProof/>
                <w:webHidden/>
              </w:rPr>
              <w:fldChar w:fldCharType="separate"/>
            </w:r>
            <w:r w:rsidR="00BA5597">
              <w:rPr>
                <w:noProof/>
                <w:webHidden/>
              </w:rPr>
              <w:t>36</w:t>
            </w:r>
            <w:r w:rsidRPr="00F55A79">
              <w:rPr>
                <w:noProof/>
                <w:webHidden/>
              </w:rPr>
              <w:fldChar w:fldCharType="end"/>
            </w:r>
          </w:hyperlink>
        </w:p>
        <w:p w:rsidRPr="00F55A79" w:rsidR="005142AB" w:rsidRDefault="005142AB" w14:paraId="5BA14B5B" w14:textId="6F04C3E9">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65">
            <w:r w:rsidRPr="00F55A79">
              <w:rPr>
                <w:rStyle w:val="Hyperlink"/>
                <w:noProof/>
              </w:rPr>
              <w:t>6.2.3.2.</w:t>
            </w:r>
            <w:r w:rsidRPr="00F55A79">
              <w:rPr>
                <w:rFonts w:asciiTheme="minorHAnsi" w:hAnsiTheme="minorHAnsi" w:eastAsiaTheme="minorEastAsia"/>
                <w:noProof/>
                <w:kern w:val="2"/>
                <w:sz w:val="24"/>
                <w:szCs w:val="24"/>
                <w14:ligatures w14:val="standardContextual"/>
              </w:rPr>
              <w:tab/>
            </w:r>
            <w:r w:rsidRPr="00F55A79">
              <w:rPr>
                <w:rStyle w:val="Hyperlink"/>
                <w:noProof/>
              </w:rPr>
              <w:t>CforAT</w:t>
            </w:r>
            <w:r w:rsidRPr="00F55A79">
              <w:rPr>
                <w:noProof/>
                <w:webHidden/>
              </w:rPr>
              <w:tab/>
            </w:r>
            <w:r w:rsidRPr="00F55A79">
              <w:rPr>
                <w:noProof/>
                <w:webHidden/>
              </w:rPr>
              <w:fldChar w:fldCharType="begin"/>
            </w:r>
            <w:r w:rsidRPr="00F55A79">
              <w:rPr>
                <w:noProof/>
                <w:webHidden/>
              </w:rPr>
              <w:instrText xml:space="preserve"> PAGEREF _Toc216163165 \h </w:instrText>
            </w:r>
            <w:r w:rsidRPr="00F55A79">
              <w:rPr>
                <w:noProof/>
                <w:webHidden/>
              </w:rPr>
            </w:r>
            <w:r w:rsidRPr="00F55A79">
              <w:rPr>
                <w:noProof/>
                <w:webHidden/>
              </w:rPr>
              <w:fldChar w:fldCharType="separate"/>
            </w:r>
            <w:r w:rsidR="00BA5597">
              <w:rPr>
                <w:noProof/>
                <w:webHidden/>
              </w:rPr>
              <w:t>38</w:t>
            </w:r>
            <w:r w:rsidRPr="00F55A79">
              <w:rPr>
                <w:noProof/>
                <w:webHidden/>
              </w:rPr>
              <w:fldChar w:fldCharType="end"/>
            </w:r>
          </w:hyperlink>
        </w:p>
        <w:p w:rsidRPr="00F55A79" w:rsidR="005142AB" w:rsidRDefault="005142AB" w14:paraId="55D4BD78" w14:textId="649FE387">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66">
            <w:r w:rsidRPr="00F55A79">
              <w:rPr>
                <w:rStyle w:val="Hyperlink"/>
                <w:noProof/>
              </w:rPr>
              <w:t>6.2.3.3.</w:t>
            </w:r>
            <w:r w:rsidRPr="00F55A79">
              <w:rPr>
                <w:rFonts w:asciiTheme="minorHAnsi" w:hAnsiTheme="minorHAnsi" w:eastAsiaTheme="minorEastAsia"/>
                <w:noProof/>
                <w:kern w:val="2"/>
                <w:sz w:val="24"/>
                <w:szCs w:val="24"/>
                <w14:ligatures w14:val="standardContextual"/>
              </w:rPr>
              <w:tab/>
            </w:r>
            <w:r w:rsidRPr="00F55A79">
              <w:rPr>
                <w:rStyle w:val="Hyperlink"/>
                <w:noProof/>
              </w:rPr>
              <w:t>TURN</w:t>
            </w:r>
            <w:r w:rsidRPr="00F55A79">
              <w:rPr>
                <w:noProof/>
                <w:webHidden/>
              </w:rPr>
              <w:tab/>
            </w:r>
            <w:r w:rsidRPr="00F55A79">
              <w:rPr>
                <w:noProof/>
                <w:webHidden/>
              </w:rPr>
              <w:fldChar w:fldCharType="begin"/>
            </w:r>
            <w:r w:rsidRPr="00F55A79">
              <w:rPr>
                <w:noProof/>
                <w:webHidden/>
              </w:rPr>
              <w:instrText xml:space="preserve"> PAGEREF _Toc216163166 \h </w:instrText>
            </w:r>
            <w:r w:rsidRPr="00F55A79">
              <w:rPr>
                <w:noProof/>
                <w:webHidden/>
              </w:rPr>
            </w:r>
            <w:r w:rsidRPr="00F55A79">
              <w:rPr>
                <w:noProof/>
                <w:webHidden/>
              </w:rPr>
              <w:fldChar w:fldCharType="separate"/>
            </w:r>
            <w:r w:rsidR="00BA5597">
              <w:rPr>
                <w:noProof/>
                <w:webHidden/>
              </w:rPr>
              <w:t>39</w:t>
            </w:r>
            <w:r w:rsidRPr="00F55A79">
              <w:rPr>
                <w:noProof/>
                <w:webHidden/>
              </w:rPr>
              <w:fldChar w:fldCharType="end"/>
            </w:r>
          </w:hyperlink>
        </w:p>
        <w:p w:rsidRPr="00F55A79" w:rsidR="005142AB" w:rsidRDefault="005142AB" w14:paraId="5D759582" w14:textId="5A6355AB">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67">
            <w:r w:rsidRPr="00F55A79">
              <w:rPr>
                <w:rStyle w:val="Hyperlink"/>
                <w:noProof/>
              </w:rPr>
              <w:t>6.2.4.</w:t>
            </w:r>
            <w:r w:rsidRPr="00F55A79">
              <w:rPr>
                <w:rFonts w:asciiTheme="minorHAnsi" w:hAnsiTheme="minorHAnsi" w:cstheme="minorBidi"/>
                <w:noProof/>
                <w:kern w:val="2"/>
                <w:sz w:val="24"/>
                <w:szCs w:val="24"/>
                <w14:ligatures w14:val="standardContextual"/>
              </w:rPr>
              <w:tab/>
            </w:r>
            <w:r w:rsidRPr="00F55A79">
              <w:rPr>
                <w:rStyle w:val="Hyperlink"/>
                <w:noProof/>
              </w:rPr>
              <w:t>Discussion</w:t>
            </w:r>
            <w:r w:rsidRPr="00F55A79">
              <w:rPr>
                <w:noProof/>
                <w:webHidden/>
              </w:rPr>
              <w:tab/>
            </w:r>
            <w:r w:rsidRPr="00F55A79">
              <w:rPr>
                <w:noProof/>
                <w:webHidden/>
              </w:rPr>
              <w:fldChar w:fldCharType="begin"/>
            </w:r>
            <w:r w:rsidRPr="00F55A79">
              <w:rPr>
                <w:noProof/>
                <w:webHidden/>
              </w:rPr>
              <w:instrText xml:space="preserve"> PAGEREF _Toc216163167 \h </w:instrText>
            </w:r>
            <w:r w:rsidRPr="00F55A79">
              <w:rPr>
                <w:noProof/>
                <w:webHidden/>
              </w:rPr>
            </w:r>
            <w:r w:rsidRPr="00F55A79">
              <w:rPr>
                <w:noProof/>
                <w:webHidden/>
              </w:rPr>
              <w:fldChar w:fldCharType="separate"/>
            </w:r>
            <w:r w:rsidR="00BA5597">
              <w:rPr>
                <w:noProof/>
                <w:webHidden/>
              </w:rPr>
              <w:t>39</w:t>
            </w:r>
            <w:r w:rsidRPr="00F55A79">
              <w:rPr>
                <w:noProof/>
                <w:webHidden/>
              </w:rPr>
              <w:fldChar w:fldCharType="end"/>
            </w:r>
          </w:hyperlink>
        </w:p>
        <w:p w:rsidRPr="00F55A79" w:rsidR="005142AB" w:rsidRDefault="005142AB" w14:paraId="02F5922B" w14:textId="211A1E30">
          <w:pPr>
            <w:pStyle w:val="TOC2"/>
            <w:tabs>
              <w:tab w:val="right" w:leader="dot" w:pos="9350"/>
            </w:tabs>
            <w:rPr>
              <w:rFonts w:asciiTheme="minorHAnsi" w:hAnsiTheme="minorHAnsi" w:cstheme="minorBidi"/>
              <w:noProof/>
              <w:kern w:val="2"/>
              <w:sz w:val="24"/>
              <w:szCs w:val="24"/>
              <w14:ligatures w14:val="standardContextual"/>
            </w:rPr>
          </w:pPr>
          <w:hyperlink w:history="1" w:anchor="_Toc216163168">
            <w:r w:rsidRPr="00F55A79">
              <w:rPr>
                <w:rStyle w:val="Hyperlink"/>
                <w:noProof/>
              </w:rPr>
              <w:t>6.3.</w:t>
            </w:r>
            <w:r w:rsidRPr="00F55A79">
              <w:rPr>
                <w:rFonts w:asciiTheme="minorHAnsi" w:hAnsiTheme="minorHAnsi" w:cstheme="minorBidi"/>
                <w:noProof/>
                <w:kern w:val="2"/>
                <w:sz w:val="24"/>
                <w:szCs w:val="24"/>
                <w14:ligatures w14:val="standardContextual"/>
              </w:rPr>
              <w:tab/>
            </w:r>
            <w:r w:rsidRPr="00F55A79">
              <w:rPr>
                <w:rStyle w:val="Hyperlink"/>
                <w:noProof/>
              </w:rPr>
              <w:t>Service Quality</w:t>
            </w:r>
            <w:r w:rsidRPr="00F55A79">
              <w:rPr>
                <w:noProof/>
                <w:webHidden/>
              </w:rPr>
              <w:tab/>
            </w:r>
            <w:r w:rsidRPr="00F55A79">
              <w:rPr>
                <w:noProof/>
                <w:webHidden/>
              </w:rPr>
              <w:fldChar w:fldCharType="begin"/>
            </w:r>
            <w:r w:rsidRPr="00F55A79">
              <w:rPr>
                <w:noProof/>
                <w:webHidden/>
              </w:rPr>
              <w:instrText xml:space="preserve"> PAGEREF _Toc216163168 \h </w:instrText>
            </w:r>
            <w:r w:rsidRPr="00F55A79">
              <w:rPr>
                <w:noProof/>
                <w:webHidden/>
              </w:rPr>
            </w:r>
            <w:r w:rsidRPr="00F55A79">
              <w:rPr>
                <w:noProof/>
                <w:webHidden/>
              </w:rPr>
              <w:fldChar w:fldCharType="separate"/>
            </w:r>
            <w:r w:rsidR="00BA5597">
              <w:rPr>
                <w:noProof/>
                <w:webHidden/>
              </w:rPr>
              <w:t>39</w:t>
            </w:r>
            <w:r w:rsidRPr="00F55A79">
              <w:rPr>
                <w:noProof/>
                <w:webHidden/>
              </w:rPr>
              <w:fldChar w:fldCharType="end"/>
            </w:r>
          </w:hyperlink>
        </w:p>
        <w:p w:rsidRPr="00F55A79" w:rsidR="005142AB" w:rsidRDefault="005142AB" w14:paraId="21F52B5A" w14:textId="354F2F0C">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69">
            <w:r w:rsidRPr="00F55A79">
              <w:rPr>
                <w:rStyle w:val="Hyperlink"/>
                <w:noProof/>
              </w:rPr>
              <w:t>6.3.1.</w:t>
            </w:r>
            <w:r w:rsidRPr="00F55A79">
              <w:rPr>
                <w:rFonts w:asciiTheme="minorHAnsi" w:hAnsiTheme="minorHAnsi" w:cstheme="minorBidi"/>
                <w:noProof/>
                <w:kern w:val="2"/>
                <w:sz w:val="24"/>
                <w:szCs w:val="24"/>
                <w14:ligatures w14:val="standardContextual"/>
              </w:rPr>
              <w:tab/>
            </w:r>
            <w:r w:rsidRPr="00F55A79">
              <w:rPr>
                <w:rStyle w:val="Hyperlink"/>
                <w:noProof/>
              </w:rPr>
              <w:t>Background</w:t>
            </w:r>
            <w:r w:rsidRPr="00F55A79">
              <w:rPr>
                <w:noProof/>
                <w:webHidden/>
              </w:rPr>
              <w:tab/>
            </w:r>
            <w:r w:rsidRPr="00F55A79">
              <w:rPr>
                <w:noProof/>
                <w:webHidden/>
              </w:rPr>
              <w:fldChar w:fldCharType="begin"/>
            </w:r>
            <w:r w:rsidRPr="00F55A79">
              <w:rPr>
                <w:noProof/>
                <w:webHidden/>
              </w:rPr>
              <w:instrText xml:space="preserve"> PAGEREF _Toc216163169 \h </w:instrText>
            </w:r>
            <w:r w:rsidRPr="00F55A79">
              <w:rPr>
                <w:noProof/>
                <w:webHidden/>
              </w:rPr>
            </w:r>
            <w:r w:rsidRPr="00F55A79">
              <w:rPr>
                <w:noProof/>
                <w:webHidden/>
              </w:rPr>
              <w:fldChar w:fldCharType="separate"/>
            </w:r>
            <w:r w:rsidR="00BA5597">
              <w:rPr>
                <w:noProof/>
                <w:webHidden/>
              </w:rPr>
              <w:t>40</w:t>
            </w:r>
            <w:r w:rsidRPr="00F55A79">
              <w:rPr>
                <w:noProof/>
                <w:webHidden/>
              </w:rPr>
              <w:fldChar w:fldCharType="end"/>
            </w:r>
          </w:hyperlink>
        </w:p>
        <w:p w:rsidRPr="00F55A79" w:rsidR="005142AB" w:rsidRDefault="005142AB" w14:paraId="558CEA39" w14:textId="0F8B2CBC">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70">
            <w:r w:rsidRPr="00F55A79">
              <w:rPr>
                <w:rStyle w:val="Hyperlink"/>
                <w:noProof/>
              </w:rPr>
              <w:t>6.3.2.</w:t>
            </w:r>
            <w:r w:rsidRPr="00F55A79">
              <w:rPr>
                <w:rFonts w:asciiTheme="minorHAnsi" w:hAnsiTheme="minorHAnsi" w:cstheme="minorBidi"/>
                <w:noProof/>
                <w:kern w:val="2"/>
                <w:sz w:val="24"/>
                <w:szCs w:val="24"/>
                <w14:ligatures w14:val="standardContextual"/>
              </w:rPr>
              <w:tab/>
            </w:r>
            <w:r w:rsidRPr="00F55A79">
              <w:rPr>
                <w:rStyle w:val="Hyperlink"/>
                <w:noProof/>
              </w:rPr>
              <w:t>Joint Applicants’ Position</w:t>
            </w:r>
            <w:r w:rsidRPr="00F55A79">
              <w:rPr>
                <w:noProof/>
                <w:webHidden/>
              </w:rPr>
              <w:tab/>
            </w:r>
            <w:r w:rsidRPr="00F55A79">
              <w:rPr>
                <w:noProof/>
                <w:webHidden/>
              </w:rPr>
              <w:fldChar w:fldCharType="begin"/>
            </w:r>
            <w:r w:rsidRPr="00F55A79">
              <w:rPr>
                <w:noProof/>
                <w:webHidden/>
              </w:rPr>
              <w:instrText xml:space="preserve"> PAGEREF _Toc216163170 \h </w:instrText>
            </w:r>
            <w:r w:rsidRPr="00F55A79">
              <w:rPr>
                <w:noProof/>
                <w:webHidden/>
              </w:rPr>
            </w:r>
            <w:r w:rsidRPr="00F55A79">
              <w:rPr>
                <w:noProof/>
                <w:webHidden/>
              </w:rPr>
              <w:fldChar w:fldCharType="separate"/>
            </w:r>
            <w:r w:rsidR="00BA5597">
              <w:rPr>
                <w:noProof/>
                <w:webHidden/>
              </w:rPr>
              <w:t>40</w:t>
            </w:r>
            <w:r w:rsidRPr="00F55A79">
              <w:rPr>
                <w:noProof/>
                <w:webHidden/>
              </w:rPr>
              <w:fldChar w:fldCharType="end"/>
            </w:r>
          </w:hyperlink>
        </w:p>
        <w:p w:rsidRPr="00F55A79" w:rsidR="005142AB" w:rsidRDefault="005142AB" w14:paraId="1A0264FA" w14:textId="5F31491A">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71">
            <w:r w:rsidRPr="00F55A79">
              <w:rPr>
                <w:rStyle w:val="Hyperlink"/>
                <w:noProof/>
              </w:rPr>
              <w:t>6.3.3.</w:t>
            </w:r>
            <w:r w:rsidRPr="00F55A79">
              <w:rPr>
                <w:rFonts w:asciiTheme="minorHAnsi" w:hAnsiTheme="minorHAnsi" w:cstheme="minorBidi"/>
                <w:noProof/>
                <w:kern w:val="2"/>
                <w:sz w:val="24"/>
                <w:szCs w:val="24"/>
                <w14:ligatures w14:val="standardContextual"/>
              </w:rPr>
              <w:tab/>
            </w:r>
            <w:r w:rsidRPr="00F55A79">
              <w:rPr>
                <w:rStyle w:val="Hyperlink"/>
                <w:noProof/>
              </w:rPr>
              <w:t>Party Positions</w:t>
            </w:r>
            <w:r w:rsidRPr="00F55A79">
              <w:rPr>
                <w:noProof/>
                <w:webHidden/>
              </w:rPr>
              <w:tab/>
            </w:r>
            <w:r w:rsidRPr="00F55A79">
              <w:rPr>
                <w:noProof/>
                <w:webHidden/>
              </w:rPr>
              <w:fldChar w:fldCharType="begin"/>
            </w:r>
            <w:r w:rsidRPr="00F55A79">
              <w:rPr>
                <w:noProof/>
                <w:webHidden/>
              </w:rPr>
              <w:instrText xml:space="preserve"> PAGEREF _Toc216163171 \h </w:instrText>
            </w:r>
            <w:r w:rsidRPr="00F55A79">
              <w:rPr>
                <w:noProof/>
                <w:webHidden/>
              </w:rPr>
            </w:r>
            <w:r w:rsidRPr="00F55A79">
              <w:rPr>
                <w:noProof/>
                <w:webHidden/>
              </w:rPr>
              <w:fldChar w:fldCharType="separate"/>
            </w:r>
            <w:r w:rsidR="00BA5597">
              <w:rPr>
                <w:noProof/>
                <w:webHidden/>
              </w:rPr>
              <w:t>42</w:t>
            </w:r>
            <w:r w:rsidRPr="00F55A79">
              <w:rPr>
                <w:noProof/>
                <w:webHidden/>
              </w:rPr>
              <w:fldChar w:fldCharType="end"/>
            </w:r>
          </w:hyperlink>
        </w:p>
        <w:p w:rsidRPr="00F55A79" w:rsidR="005142AB" w:rsidRDefault="005142AB" w14:paraId="68E87D3F" w14:textId="19CB2226">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72">
            <w:r w:rsidRPr="00F55A79">
              <w:rPr>
                <w:rStyle w:val="Hyperlink"/>
                <w:noProof/>
              </w:rPr>
              <w:t>6.3.3.1.</w:t>
            </w:r>
            <w:r w:rsidRPr="00F55A79">
              <w:rPr>
                <w:rFonts w:asciiTheme="minorHAnsi" w:hAnsiTheme="minorHAnsi" w:eastAsiaTheme="minorEastAsia"/>
                <w:noProof/>
                <w:kern w:val="2"/>
                <w:sz w:val="24"/>
                <w:szCs w:val="24"/>
                <w14:ligatures w14:val="standardContextual"/>
              </w:rPr>
              <w:tab/>
            </w:r>
            <w:r w:rsidRPr="00F55A79">
              <w:rPr>
                <w:rStyle w:val="Hyperlink"/>
                <w:noProof/>
              </w:rPr>
              <w:t>CETF</w:t>
            </w:r>
            <w:r w:rsidRPr="00F55A79">
              <w:rPr>
                <w:noProof/>
                <w:webHidden/>
              </w:rPr>
              <w:tab/>
            </w:r>
            <w:r w:rsidRPr="00F55A79">
              <w:rPr>
                <w:noProof/>
                <w:webHidden/>
              </w:rPr>
              <w:fldChar w:fldCharType="begin"/>
            </w:r>
            <w:r w:rsidRPr="00F55A79">
              <w:rPr>
                <w:noProof/>
                <w:webHidden/>
              </w:rPr>
              <w:instrText xml:space="preserve"> PAGEREF _Toc216163172 \h </w:instrText>
            </w:r>
            <w:r w:rsidRPr="00F55A79">
              <w:rPr>
                <w:noProof/>
                <w:webHidden/>
              </w:rPr>
            </w:r>
            <w:r w:rsidRPr="00F55A79">
              <w:rPr>
                <w:noProof/>
                <w:webHidden/>
              </w:rPr>
              <w:fldChar w:fldCharType="separate"/>
            </w:r>
            <w:r w:rsidR="00BA5597">
              <w:rPr>
                <w:noProof/>
                <w:webHidden/>
              </w:rPr>
              <w:t>42</w:t>
            </w:r>
            <w:r w:rsidRPr="00F55A79">
              <w:rPr>
                <w:noProof/>
                <w:webHidden/>
              </w:rPr>
              <w:fldChar w:fldCharType="end"/>
            </w:r>
          </w:hyperlink>
        </w:p>
        <w:p w:rsidRPr="00F55A79" w:rsidR="005142AB" w:rsidRDefault="005142AB" w14:paraId="3A19BD18" w14:textId="1171DCC2">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73">
            <w:r w:rsidRPr="00F55A79">
              <w:rPr>
                <w:rStyle w:val="Hyperlink"/>
                <w:noProof/>
              </w:rPr>
              <w:t>6.3.3.2.</w:t>
            </w:r>
            <w:r w:rsidRPr="00F55A79">
              <w:rPr>
                <w:rFonts w:asciiTheme="minorHAnsi" w:hAnsiTheme="minorHAnsi" w:eastAsiaTheme="minorEastAsia"/>
                <w:noProof/>
                <w:kern w:val="2"/>
                <w:sz w:val="24"/>
                <w:szCs w:val="24"/>
                <w14:ligatures w14:val="standardContextual"/>
              </w:rPr>
              <w:tab/>
            </w:r>
            <w:r w:rsidRPr="00F55A79">
              <w:rPr>
                <w:rStyle w:val="Hyperlink"/>
                <w:noProof/>
              </w:rPr>
              <w:t>CforAT</w:t>
            </w:r>
            <w:r w:rsidRPr="00F55A79">
              <w:rPr>
                <w:noProof/>
                <w:webHidden/>
              </w:rPr>
              <w:tab/>
            </w:r>
            <w:r w:rsidRPr="00F55A79">
              <w:rPr>
                <w:noProof/>
                <w:webHidden/>
              </w:rPr>
              <w:fldChar w:fldCharType="begin"/>
            </w:r>
            <w:r w:rsidRPr="00F55A79">
              <w:rPr>
                <w:noProof/>
                <w:webHidden/>
              </w:rPr>
              <w:instrText xml:space="preserve"> PAGEREF _Toc216163173 \h </w:instrText>
            </w:r>
            <w:r w:rsidRPr="00F55A79">
              <w:rPr>
                <w:noProof/>
                <w:webHidden/>
              </w:rPr>
            </w:r>
            <w:r w:rsidRPr="00F55A79">
              <w:rPr>
                <w:noProof/>
                <w:webHidden/>
              </w:rPr>
              <w:fldChar w:fldCharType="separate"/>
            </w:r>
            <w:r w:rsidR="00BA5597">
              <w:rPr>
                <w:noProof/>
                <w:webHidden/>
              </w:rPr>
              <w:t>43</w:t>
            </w:r>
            <w:r w:rsidRPr="00F55A79">
              <w:rPr>
                <w:noProof/>
                <w:webHidden/>
              </w:rPr>
              <w:fldChar w:fldCharType="end"/>
            </w:r>
          </w:hyperlink>
        </w:p>
        <w:p w:rsidRPr="00F55A79" w:rsidR="005142AB" w:rsidRDefault="005142AB" w14:paraId="08780815" w14:textId="108ECC6E">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74">
            <w:r w:rsidRPr="00F55A79">
              <w:rPr>
                <w:rStyle w:val="Hyperlink"/>
                <w:noProof/>
              </w:rPr>
              <w:t>6.3.3.3.</w:t>
            </w:r>
            <w:r w:rsidRPr="00F55A79">
              <w:rPr>
                <w:rFonts w:asciiTheme="minorHAnsi" w:hAnsiTheme="minorHAnsi" w:eastAsiaTheme="minorEastAsia"/>
                <w:noProof/>
                <w:kern w:val="2"/>
                <w:sz w:val="24"/>
                <w:szCs w:val="24"/>
                <w14:ligatures w14:val="standardContextual"/>
              </w:rPr>
              <w:tab/>
            </w:r>
            <w:r w:rsidRPr="00F55A79">
              <w:rPr>
                <w:rStyle w:val="Hyperlink"/>
                <w:noProof/>
              </w:rPr>
              <w:t>TURN</w:t>
            </w:r>
            <w:r w:rsidRPr="00F55A79">
              <w:rPr>
                <w:noProof/>
                <w:webHidden/>
              </w:rPr>
              <w:tab/>
            </w:r>
            <w:r w:rsidRPr="00F55A79">
              <w:rPr>
                <w:noProof/>
                <w:webHidden/>
              </w:rPr>
              <w:fldChar w:fldCharType="begin"/>
            </w:r>
            <w:r w:rsidRPr="00F55A79">
              <w:rPr>
                <w:noProof/>
                <w:webHidden/>
              </w:rPr>
              <w:instrText xml:space="preserve"> PAGEREF _Toc216163174 \h </w:instrText>
            </w:r>
            <w:r w:rsidRPr="00F55A79">
              <w:rPr>
                <w:noProof/>
                <w:webHidden/>
              </w:rPr>
            </w:r>
            <w:r w:rsidRPr="00F55A79">
              <w:rPr>
                <w:noProof/>
                <w:webHidden/>
              </w:rPr>
              <w:fldChar w:fldCharType="separate"/>
            </w:r>
            <w:r w:rsidR="00BA5597">
              <w:rPr>
                <w:noProof/>
                <w:webHidden/>
              </w:rPr>
              <w:t>44</w:t>
            </w:r>
            <w:r w:rsidRPr="00F55A79">
              <w:rPr>
                <w:noProof/>
                <w:webHidden/>
              </w:rPr>
              <w:fldChar w:fldCharType="end"/>
            </w:r>
          </w:hyperlink>
        </w:p>
        <w:p w:rsidRPr="00F55A79" w:rsidR="005142AB" w:rsidRDefault="005142AB" w14:paraId="7FDAB03E" w14:textId="7C26FCE0">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75">
            <w:r w:rsidRPr="00F55A79">
              <w:rPr>
                <w:rStyle w:val="Hyperlink"/>
                <w:noProof/>
              </w:rPr>
              <w:t>6.3.4.</w:t>
            </w:r>
            <w:r w:rsidRPr="00F55A79">
              <w:rPr>
                <w:rFonts w:asciiTheme="minorHAnsi" w:hAnsiTheme="minorHAnsi" w:cstheme="minorBidi"/>
                <w:noProof/>
                <w:kern w:val="2"/>
                <w:sz w:val="24"/>
                <w:szCs w:val="24"/>
                <w14:ligatures w14:val="standardContextual"/>
              </w:rPr>
              <w:tab/>
            </w:r>
            <w:r w:rsidRPr="00F55A79">
              <w:rPr>
                <w:rStyle w:val="Hyperlink"/>
                <w:noProof/>
              </w:rPr>
              <w:t>Discussion</w:t>
            </w:r>
            <w:r w:rsidRPr="00F55A79">
              <w:rPr>
                <w:noProof/>
                <w:webHidden/>
              </w:rPr>
              <w:tab/>
            </w:r>
            <w:r w:rsidRPr="00F55A79">
              <w:rPr>
                <w:noProof/>
                <w:webHidden/>
              </w:rPr>
              <w:fldChar w:fldCharType="begin"/>
            </w:r>
            <w:r w:rsidRPr="00F55A79">
              <w:rPr>
                <w:noProof/>
                <w:webHidden/>
              </w:rPr>
              <w:instrText xml:space="preserve"> PAGEREF _Toc216163175 \h </w:instrText>
            </w:r>
            <w:r w:rsidRPr="00F55A79">
              <w:rPr>
                <w:noProof/>
                <w:webHidden/>
              </w:rPr>
            </w:r>
            <w:r w:rsidRPr="00F55A79">
              <w:rPr>
                <w:noProof/>
                <w:webHidden/>
              </w:rPr>
              <w:fldChar w:fldCharType="separate"/>
            </w:r>
            <w:r w:rsidR="00BA5597">
              <w:rPr>
                <w:noProof/>
                <w:webHidden/>
              </w:rPr>
              <w:t>46</w:t>
            </w:r>
            <w:r w:rsidRPr="00F55A79">
              <w:rPr>
                <w:noProof/>
                <w:webHidden/>
              </w:rPr>
              <w:fldChar w:fldCharType="end"/>
            </w:r>
          </w:hyperlink>
        </w:p>
        <w:p w:rsidRPr="00F55A79" w:rsidR="005142AB" w:rsidRDefault="005142AB" w14:paraId="03A83795" w14:textId="11192F8F">
          <w:pPr>
            <w:pStyle w:val="TOC2"/>
            <w:tabs>
              <w:tab w:val="right" w:leader="dot" w:pos="9350"/>
            </w:tabs>
            <w:rPr>
              <w:rFonts w:asciiTheme="minorHAnsi" w:hAnsiTheme="minorHAnsi" w:cstheme="minorBidi"/>
              <w:noProof/>
              <w:kern w:val="2"/>
              <w:sz w:val="24"/>
              <w:szCs w:val="24"/>
              <w14:ligatures w14:val="standardContextual"/>
            </w:rPr>
          </w:pPr>
          <w:hyperlink w:history="1" w:anchor="_Toc216163176">
            <w:r w:rsidRPr="00F55A79">
              <w:rPr>
                <w:rStyle w:val="Hyperlink"/>
                <w:noProof/>
              </w:rPr>
              <w:t>6.4.</w:t>
            </w:r>
            <w:r w:rsidRPr="00F55A79">
              <w:rPr>
                <w:rFonts w:asciiTheme="minorHAnsi" w:hAnsiTheme="minorHAnsi" w:cstheme="minorBidi"/>
                <w:noProof/>
                <w:kern w:val="2"/>
                <w:sz w:val="24"/>
                <w:szCs w:val="24"/>
                <w14:ligatures w14:val="standardContextual"/>
              </w:rPr>
              <w:tab/>
            </w:r>
            <w:r w:rsidRPr="00F55A79">
              <w:rPr>
                <w:rStyle w:val="Hyperlink"/>
                <w:noProof/>
              </w:rPr>
              <w:t>Management Quality</w:t>
            </w:r>
            <w:r w:rsidRPr="00F55A79">
              <w:rPr>
                <w:noProof/>
                <w:webHidden/>
              </w:rPr>
              <w:tab/>
            </w:r>
            <w:r w:rsidRPr="00F55A79">
              <w:rPr>
                <w:noProof/>
                <w:webHidden/>
              </w:rPr>
              <w:fldChar w:fldCharType="begin"/>
            </w:r>
            <w:r w:rsidRPr="00F55A79">
              <w:rPr>
                <w:noProof/>
                <w:webHidden/>
              </w:rPr>
              <w:instrText xml:space="preserve"> PAGEREF _Toc216163176 \h </w:instrText>
            </w:r>
            <w:r w:rsidRPr="00F55A79">
              <w:rPr>
                <w:noProof/>
                <w:webHidden/>
              </w:rPr>
            </w:r>
            <w:r w:rsidRPr="00F55A79">
              <w:rPr>
                <w:noProof/>
                <w:webHidden/>
              </w:rPr>
              <w:fldChar w:fldCharType="separate"/>
            </w:r>
            <w:r w:rsidR="00BA5597">
              <w:rPr>
                <w:noProof/>
                <w:webHidden/>
              </w:rPr>
              <w:t>47</w:t>
            </w:r>
            <w:r w:rsidRPr="00F55A79">
              <w:rPr>
                <w:noProof/>
                <w:webHidden/>
              </w:rPr>
              <w:fldChar w:fldCharType="end"/>
            </w:r>
          </w:hyperlink>
        </w:p>
        <w:p w:rsidRPr="00F55A79" w:rsidR="005142AB" w:rsidRDefault="005142AB" w14:paraId="676908BF" w14:textId="0B0A9727">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77">
            <w:r w:rsidRPr="00F55A79">
              <w:rPr>
                <w:rStyle w:val="Hyperlink"/>
                <w:noProof/>
              </w:rPr>
              <w:t>6.4.1.</w:t>
            </w:r>
            <w:r w:rsidRPr="00F55A79">
              <w:rPr>
                <w:rFonts w:asciiTheme="minorHAnsi" w:hAnsiTheme="minorHAnsi" w:cstheme="minorBidi"/>
                <w:noProof/>
                <w:kern w:val="2"/>
                <w:sz w:val="24"/>
                <w:szCs w:val="24"/>
                <w14:ligatures w14:val="standardContextual"/>
              </w:rPr>
              <w:tab/>
            </w:r>
            <w:r w:rsidRPr="00F55A79">
              <w:rPr>
                <w:rStyle w:val="Hyperlink"/>
                <w:noProof/>
              </w:rPr>
              <w:t>Background</w:t>
            </w:r>
            <w:r w:rsidRPr="00F55A79">
              <w:rPr>
                <w:noProof/>
                <w:webHidden/>
              </w:rPr>
              <w:tab/>
            </w:r>
            <w:r w:rsidRPr="00F55A79">
              <w:rPr>
                <w:noProof/>
                <w:webHidden/>
              </w:rPr>
              <w:fldChar w:fldCharType="begin"/>
            </w:r>
            <w:r w:rsidRPr="00F55A79">
              <w:rPr>
                <w:noProof/>
                <w:webHidden/>
              </w:rPr>
              <w:instrText xml:space="preserve"> PAGEREF _Toc216163177 \h </w:instrText>
            </w:r>
            <w:r w:rsidRPr="00F55A79">
              <w:rPr>
                <w:noProof/>
                <w:webHidden/>
              </w:rPr>
            </w:r>
            <w:r w:rsidRPr="00F55A79">
              <w:rPr>
                <w:noProof/>
                <w:webHidden/>
              </w:rPr>
              <w:fldChar w:fldCharType="separate"/>
            </w:r>
            <w:r w:rsidR="00BA5597">
              <w:rPr>
                <w:noProof/>
                <w:webHidden/>
              </w:rPr>
              <w:t>47</w:t>
            </w:r>
            <w:r w:rsidRPr="00F55A79">
              <w:rPr>
                <w:noProof/>
                <w:webHidden/>
              </w:rPr>
              <w:fldChar w:fldCharType="end"/>
            </w:r>
          </w:hyperlink>
        </w:p>
        <w:p w:rsidRPr="00F55A79" w:rsidR="005142AB" w:rsidRDefault="005142AB" w14:paraId="43817B60" w14:textId="4CC36C1F">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78">
            <w:r w:rsidRPr="00F55A79">
              <w:rPr>
                <w:rStyle w:val="Hyperlink"/>
                <w:noProof/>
              </w:rPr>
              <w:t>6.4.2.</w:t>
            </w:r>
            <w:r w:rsidRPr="00F55A79">
              <w:rPr>
                <w:rFonts w:asciiTheme="minorHAnsi" w:hAnsiTheme="minorHAnsi" w:cstheme="minorBidi"/>
                <w:noProof/>
                <w:kern w:val="2"/>
                <w:sz w:val="24"/>
                <w:szCs w:val="24"/>
                <w14:ligatures w14:val="standardContextual"/>
              </w:rPr>
              <w:tab/>
            </w:r>
            <w:r w:rsidRPr="00F55A79">
              <w:rPr>
                <w:rStyle w:val="Hyperlink"/>
                <w:noProof/>
              </w:rPr>
              <w:t>Joint Applicants’ Position</w:t>
            </w:r>
            <w:r w:rsidRPr="00F55A79">
              <w:rPr>
                <w:noProof/>
                <w:webHidden/>
              </w:rPr>
              <w:tab/>
            </w:r>
            <w:r w:rsidRPr="00F55A79">
              <w:rPr>
                <w:noProof/>
                <w:webHidden/>
              </w:rPr>
              <w:fldChar w:fldCharType="begin"/>
            </w:r>
            <w:r w:rsidRPr="00F55A79">
              <w:rPr>
                <w:noProof/>
                <w:webHidden/>
              </w:rPr>
              <w:instrText xml:space="preserve"> PAGEREF _Toc216163178 \h </w:instrText>
            </w:r>
            <w:r w:rsidRPr="00F55A79">
              <w:rPr>
                <w:noProof/>
                <w:webHidden/>
              </w:rPr>
            </w:r>
            <w:r w:rsidRPr="00F55A79">
              <w:rPr>
                <w:noProof/>
                <w:webHidden/>
              </w:rPr>
              <w:fldChar w:fldCharType="separate"/>
            </w:r>
            <w:r w:rsidR="00BA5597">
              <w:rPr>
                <w:noProof/>
                <w:webHidden/>
              </w:rPr>
              <w:t>47</w:t>
            </w:r>
            <w:r w:rsidRPr="00F55A79">
              <w:rPr>
                <w:noProof/>
                <w:webHidden/>
              </w:rPr>
              <w:fldChar w:fldCharType="end"/>
            </w:r>
          </w:hyperlink>
        </w:p>
        <w:p w:rsidRPr="00F55A79" w:rsidR="005142AB" w:rsidRDefault="005142AB" w14:paraId="5966F29B" w14:textId="7952E2CE">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79">
            <w:r w:rsidRPr="00F55A79">
              <w:rPr>
                <w:rStyle w:val="Hyperlink"/>
                <w:noProof/>
              </w:rPr>
              <w:t>6.4.3.</w:t>
            </w:r>
            <w:r w:rsidRPr="00F55A79">
              <w:rPr>
                <w:rFonts w:asciiTheme="minorHAnsi" w:hAnsiTheme="minorHAnsi" w:cstheme="minorBidi"/>
                <w:noProof/>
                <w:kern w:val="2"/>
                <w:sz w:val="24"/>
                <w:szCs w:val="24"/>
                <w14:ligatures w14:val="standardContextual"/>
              </w:rPr>
              <w:tab/>
            </w:r>
            <w:r w:rsidRPr="00F55A79">
              <w:rPr>
                <w:rStyle w:val="Hyperlink"/>
                <w:noProof/>
              </w:rPr>
              <w:t>Party Positions</w:t>
            </w:r>
            <w:r w:rsidRPr="00F55A79">
              <w:rPr>
                <w:noProof/>
                <w:webHidden/>
              </w:rPr>
              <w:tab/>
            </w:r>
            <w:r w:rsidRPr="00F55A79">
              <w:rPr>
                <w:noProof/>
                <w:webHidden/>
              </w:rPr>
              <w:fldChar w:fldCharType="begin"/>
            </w:r>
            <w:r w:rsidRPr="00F55A79">
              <w:rPr>
                <w:noProof/>
                <w:webHidden/>
              </w:rPr>
              <w:instrText xml:space="preserve"> PAGEREF _Toc216163179 \h </w:instrText>
            </w:r>
            <w:r w:rsidRPr="00F55A79">
              <w:rPr>
                <w:noProof/>
                <w:webHidden/>
              </w:rPr>
            </w:r>
            <w:r w:rsidRPr="00F55A79">
              <w:rPr>
                <w:noProof/>
                <w:webHidden/>
              </w:rPr>
              <w:fldChar w:fldCharType="separate"/>
            </w:r>
            <w:r w:rsidR="00BA5597">
              <w:rPr>
                <w:noProof/>
                <w:webHidden/>
              </w:rPr>
              <w:t>47</w:t>
            </w:r>
            <w:r w:rsidRPr="00F55A79">
              <w:rPr>
                <w:noProof/>
                <w:webHidden/>
              </w:rPr>
              <w:fldChar w:fldCharType="end"/>
            </w:r>
          </w:hyperlink>
        </w:p>
        <w:p w:rsidRPr="00F55A79" w:rsidR="005142AB" w:rsidRDefault="005142AB" w14:paraId="5D761141" w14:textId="4C8B6E8A">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80">
            <w:r w:rsidRPr="00F55A79">
              <w:rPr>
                <w:rStyle w:val="Hyperlink"/>
                <w:noProof/>
              </w:rPr>
              <w:t>6.4.3.1.</w:t>
            </w:r>
            <w:r w:rsidRPr="00F55A79">
              <w:rPr>
                <w:rFonts w:asciiTheme="minorHAnsi" w:hAnsiTheme="minorHAnsi" w:eastAsiaTheme="minorEastAsia"/>
                <w:noProof/>
                <w:kern w:val="2"/>
                <w:sz w:val="24"/>
                <w:szCs w:val="24"/>
                <w14:ligatures w14:val="standardContextual"/>
              </w:rPr>
              <w:tab/>
            </w:r>
            <w:r w:rsidRPr="00F55A79">
              <w:rPr>
                <w:rStyle w:val="Hyperlink"/>
                <w:noProof/>
              </w:rPr>
              <w:t>CETF</w:t>
            </w:r>
            <w:r w:rsidRPr="00F55A79">
              <w:rPr>
                <w:noProof/>
                <w:webHidden/>
              </w:rPr>
              <w:tab/>
            </w:r>
            <w:r w:rsidRPr="00F55A79">
              <w:rPr>
                <w:noProof/>
                <w:webHidden/>
              </w:rPr>
              <w:fldChar w:fldCharType="begin"/>
            </w:r>
            <w:r w:rsidRPr="00F55A79">
              <w:rPr>
                <w:noProof/>
                <w:webHidden/>
              </w:rPr>
              <w:instrText xml:space="preserve"> PAGEREF _Toc216163180 \h </w:instrText>
            </w:r>
            <w:r w:rsidRPr="00F55A79">
              <w:rPr>
                <w:noProof/>
                <w:webHidden/>
              </w:rPr>
            </w:r>
            <w:r w:rsidRPr="00F55A79">
              <w:rPr>
                <w:noProof/>
                <w:webHidden/>
              </w:rPr>
              <w:fldChar w:fldCharType="separate"/>
            </w:r>
            <w:r w:rsidR="00BA5597">
              <w:rPr>
                <w:noProof/>
                <w:webHidden/>
              </w:rPr>
              <w:t>47</w:t>
            </w:r>
            <w:r w:rsidRPr="00F55A79">
              <w:rPr>
                <w:noProof/>
                <w:webHidden/>
              </w:rPr>
              <w:fldChar w:fldCharType="end"/>
            </w:r>
          </w:hyperlink>
        </w:p>
        <w:p w:rsidRPr="00F55A79" w:rsidR="005142AB" w:rsidRDefault="005142AB" w14:paraId="1580C880" w14:textId="2D3134F3">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81">
            <w:r w:rsidRPr="00F55A79">
              <w:rPr>
                <w:rStyle w:val="Hyperlink"/>
                <w:noProof/>
              </w:rPr>
              <w:t>6.4.3.2.</w:t>
            </w:r>
            <w:r w:rsidRPr="00F55A79">
              <w:rPr>
                <w:rFonts w:asciiTheme="minorHAnsi" w:hAnsiTheme="minorHAnsi" w:eastAsiaTheme="minorEastAsia"/>
                <w:noProof/>
                <w:kern w:val="2"/>
                <w:sz w:val="24"/>
                <w:szCs w:val="24"/>
                <w14:ligatures w14:val="standardContextual"/>
              </w:rPr>
              <w:tab/>
            </w:r>
            <w:r w:rsidRPr="00F55A79">
              <w:rPr>
                <w:rStyle w:val="Hyperlink"/>
                <w:noProof/>
              </w:rPr>
              <w:t>CforAT</w:t>
            </w:r>
            <w:r w:rsidRPr="00F55A79">
              <w:rPr>
                <w:noProof/>
                <w:webHidden/>
              </w:rPr>
              <w:tab/>
            </w:r>
            <w:r w:rsidRPr="00F55A79">
              <w:rPr>
                <w:noProof/>
                <w:webHidden/>
              </w:rPr>
              <w:fldChar w:fldCharType="begin"/>
            </w:r>
            <w:r w:rsidRPr="00F55A79">
              <w:rPr>
                <w:noProof/>
                <w:webHidden/>
              </w:rPr>
              <w:instrText xml:space="preserve"> PAGEREF _Toc216163181 \h </w:instrText>
            </w:r>
            <w:r w:rsidRPr="00F55A79">
              <w:rPr>
                <w:noProof/>
                <w:webHidden/>
              </w:rPr>
            </w:r>
            <w:r w:rsidRPr="00F55A79">
              <w:rPr>
                <w:noProof/>
                <w:webHidden/>
              </w:rPr>
              <w:fldChar w:fldCharType="separate"/>
            </w:r>
            <w:r w:rsidR="00BA5597">
              <w:rPr>
                <w:noProof/>
                <w:webHidden/>
              </w:rPr>
              <w:t>47</w:t>
            </w:r>
            <w:r w:rsidRPr="00F55A79">
              <w:rPr>
                <w:noProof/>
                <w:webHidden/>
              </w:rPr>
              <w:fldChar w:fldCharType="end"/>
            </w:r>
          </w:hyperlink>
        </w:p>
        <w:p w:rsidRPr="00F55A79" w:rsidR="005142AB" w:rsidRDefault="005142AB" w14:paraId="0898A0D5" w14:textId="2E543F21">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82">
            <w:r w:rsidRPr="00F55A79">
              <w:rPr>
                <w:rStyle w:val="Hyperlink"/>
                <w:noProof/>
              </w:rPr>
              <w:t>6.4.3.3.</w:t>
            </w:r>
            <w:r w:rsidRPr="00F55A79">
              <w:rPr>
                <w:rFonts w:asciiTheme="minorHAnsi" w:hAnsiTheme="minorHAnsi" w:eastAsiaTheme="minorEastAsia"/>
                <w:noProof/>
                <w:kern w:val="2"/>
                <w:sz w:val="24"/>
                <w:szCs w:val="24"/>
                <w14:ligatures w14:val="standardContextual"/>
              </w:rPr>
              <w:tab/>
            </w:r>
            <w:r w:rsidRPr="00F55A79">
              <w:rPr>
                <w:rStyle w:val="Hyperlink"/>
                <w:noProof/>
              </w:rPr>
              <w:t>TURN</w:t>
            </w:r>
            <w:r w:rsidRPr="00F55A79">
              <w:rPr>
                <w:noProof/>
                <w:webHidden/>
              </w:rPr>
              <w:tab/>
            </w:r>
            <w:r w:rsidRPr="00F55A79">
              <w:rPr>
                <w:noProof/>
                <w:webHidden/>
              </w:rPr>
              <w:fldChar w:fldCharType="begin"/>
            </w:r>
            <w:r w:rsidRPr="00F55A79">
              <w:rPr>
                <w:noProof/>
                <w:webHidden/>
              </w:rPr>
              <w:instrText xml:space="preserve"> PAGEREF _Toc216163182 \h </w:instrText>
            </w:r>
            <w:r w:rsidRPr="00F55A79">
              <w:rPr>
                <w:noProof/>
                <w:webHidden/>
              </w:rPr>
            </w:r>
            <w:r w:rsidRPr="00F55A79">
              <w:rPr>
                <w:noProof/>
                <w:webHidden/>
              </w:rPr>
              <w:fldChar w:fldCharType="separate"/>
            </w:r>
            <w:r w:rsidR="00BA5597">
              <w:rPr>
                <w:noProof/>
                <w:webHidden/>
              </w:rPr>
              <w:t>48</w:t>
            </w:r>
            <w:r w:rsidRPr="00F55A79">
              <w:rPr>
                <w:noProof/>
                <w:webHidden/>
              </w:rPr>
              <w:fldChar w:fldCharType="end"/>
            </w:r>
          </w:hyperlink>
        </w:p>
        <w:p w:rsidRPr="00F55A79" w:rsidR="005142AB" w:rsidRDefault="005142AB" w14:paraId="625EC60C" w14:textId="0EF2BADE">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83">
            <w:r w:rsidRPr="00F55A79">
              <w:rPr>
                <w:rStyle w:val="Hyperlink"/>
                <w:noProof/>
              </w:rPr>
              <w:t>6.4.4.</w:t>
            </w:r>
            <w:r w:rsidRPr="00F55A79">
              <w:rPr>
                <w:rFonts w:asciiTheme="minorHAnsi" w:hAnsiTheme="minorHAnsi" w:cstheme="minorBidi"/>
                <w:noProof/>
                <w:kern w:val="2"/>
                <w:sz w:val="24"/>
                <w:szCs w:val="24"/>
                <w14:ligatures w14:val="standardContextual"/>
              </w:rPr>
              <w:tab/>
            </w:r>
            <w:r w:rsidRPr="00F55A79">
              <w:rPr>
                <w:rStyle w:val="Hyperlink"/>
                <w:noProof/>
              </w:rPr>
              <w:t>Discussion</w:t>
            </w:r>
            <w:r w:rsidRPr="00F55A79">
              <w:rPr>
                <w:noProof/>
                <w:webHidden/>
              </w:rPr>
              <w:tab/>
            </w:r>
            <w:r w:rsidRPr="00F55A79">
              <w:rPr>
                <w:noProof/>
                <w:webHidden/>
              </w:rPr>
              <w:fldChar w:fldCharType="begin"/>
            </w:r>
            <w:r w:rsidRPr="00F55A79">
              <w:rPr>
                <w:noProof/>
                <w:webHidden/>
              </w:rPr>
              <w:instrText xml:space="preserve"> PAGEREF _Toc216163183 \h </w:instrText>
            </w:r>
            <w:r w:rsidRPr="00F55A79">
              <w:rPr>
                <w:noProof/>
                <w:webHidden/>
              </w:rPr>
            </w:r>
            <w:r w:rsidRPr="00F55A79">
              <w:rPr>
                <w:noProof/>
                <w:webHidden/>
              </w:rPr>
              <w:fldChar w:fldCharType="separate"/>
            </w:r>
            <w:r w:rsidR="00BA5597">
              <w:rPr>
                <w:noProof/>
                <w:webHidden/>
              </w:rPr>
              <w:t>49</w:t>
            </w:r>
            <w:r w:rsidRPr="00F55A79">
              <w:rPr>
                <w:noProof/>
                <w:webHidden/>
              </w:rPr>
              <w:fldChar w:fldCharType="end"/>
            </w:r>
          </w:hyperlink>
        </w:p>
        <w:p w:rsidRPr="00F55A79" w:rsidR="005142AB" w:rsidRDefault="005142AB" w14:paraId="68E09CD0" w14:textId="37B3E2E8">
          <w:pPr>
            <w:pStyle w:val="TOC2"/>
            <w:tabs>
              <w:tab w:val="right" w:leader="dot" w:pos="9350"/>
            </w:tabs>
            <w:rPr>
              <w:rFonts w:asciiTheme="minorHAnsi" w:hAnsiTheme="minorHAnsi" w:cstheme="minorBidi"/>
              <w:noProof/>
              <w:kern w:val="2"/>
              <w:sz w:val="24"/>
              <w:szCs w:val="24"/>
              <w14:ligatures w14:val="standardContextual"/>
            </w:rPr>
          </w:pPr>
          <w:hyperlink w:history="1" w:anchor="_Toc216163184">
            <w:r w:rsidRPr="00F55A79">
              <w:rPr>
                <w:rStyle w:val="Hyperlink"/>
                <w:noProof/>
              </w:rPr>
              <w:t>6.5.</w:t>
            </w:r>
            <w:r w:rsidRPr="00F55A79">
              <w:rPr>
                <w:rFonts w:asciiTheme="minorHAnsi" w:hAnsiTheme="minorHAnsi" w:cstheme="minorBidi"/>
                <w:noProof/>
                <w:kern w:val="2"/>
                <w:sz w:val="24"/>
                <w:szCs w:val="24"/>
                <w14:ligatures w14:val="standardContextual"/>
              </w:rPr>
              <w:tab/>
            </w:r>
            <w:r w:rsidRPr="00F55A79">
              <w:rPr>
                <w:rStyle w:val="Hyperlink"/>
                <w:noProof/>
              </w:rPr>
              <w:t>Employees</w:t>
            </w:r>
            <w:r w:rsidRPr="00F55A79">
              <w:rPr>
                <w:noProof/>
                <w:webHidden/>
              </w:rPr>
              <w:tab/>
            </w:r>
            <w:r w:rsidRPr="00F55A79">
              <w:rPr>
                <w:noProof/>
                <w:webHidden/>
              </w:rPr>
              <w:fldChar w:fldCharType="begin"/>
            </w:r>
            <w:r w:rsidRPr="00F55A79">
              <w:rPr>
                <w:noProof/>
                <w:webHidden/>
              </w:rPr>
              <w:instrText xml:space="preserve"> PAGEREF _Toc216163184 \h </w:instrText>
            </w:r>
            <w:r w:rsidRPr="00F55A79">
              <w:rPr>
                <w:noProof/>
                <w:webHidden/>
              </w:rPr>
            </w:r>
            <w:r w:rsidRPr="00F55A79">
              <w:rPr>
                <w:noProof/>
                <w:webHidden/>
              </w:rPr>
              <w:fldChar w:fldCharType="separate"/>
            </w:r>
            <w:r w:rsidR="00BA5597">
              <w:rPr>
                <w:noProof/>
                <w:webHidden/>
              </w:rPr>
              <w:t>49</w:t>
            </w:r>
            <w:r w:rsidRPr="00F55A79">
              <w:rPr>
                <w:noProof/>
                <w:webHidden/>
              </w:rPr>
              <w:fldChar w:fldCharType="end"/>
            </w:r>
          </w:hyperlink>
        </w:p>
        <w:p w:rsidRPr="00F55A79" w:rsidR="005142AB" w:rsidRDefault="005142AB" w14:paraId="0BECCB55" w14:textId="3A1D4830">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85">
            <w:r w:rsidRPr="00F55A79">
              <w:rPr>
                <w:rStyle w:val="Hyperlink"/>
                <w:noProof/>
              </w:rPr>
              <w:t>6.5.1.</w:t>
            </w:r>
            <w:r w:rsidRPr="00F55A79">
              <w:rPr>
                <w:rFonts w:asciiTheme="minorHAnsi" w:hAnsiTheme="minorHAnsi" w:cstheme="minorBidi"/>
                <w:noProof/>
                <w:kern w:val="2"/>
                <w:sz w:val="24"/>
                <w:szCs w:val="24"/>
                <w14:ligatures w14:val="standardContextual"/>
              </w:rPr>
              <w:tab/>
            </w:r>
            <w:r w:rsidRPr="00F55A79">
              <w:rPr>
                <w:rStyle w:val="Hyperlink"/>
                <w:noProof/>
              </w:rPr>
              <w:t>Background</w:t>
            </w:r>
            <w:r w:rsidRPr="00F55A79">
              <w:rPr>
                <w:noProof/>
                <w:webHidden/>
              </w:rPr>
              <w:tab/>
            </w:r>
            <w:r w:rsidRPr="00F55A79">
              <w:rPr>
                <w:noProof/>
                <w:webHidden/>
              </w:rPr>
              <w:fldChar w:fldCharType="begin"/>
            </w:r>
            <w:r w:rsidRPr="00F55A79">
              <w:rPr>
                <w:noProof/>
                <w:webHidden/>
              </w:rPr>
              <w:instrText xml:space="preserve"> PAGEREF _Toc216163185 \h </w:instrText>
            </w:r>
            <w:r w:rsidRPr="00F55A79">
              <w:rPr>
                <w:noProof/>
                <w:webHidden/>
              </w:rPr>
            </w:r>
            <w:r w:rsidRPr="00F55A79">
              <w:rPr>
                <w:noProof/>
                <w:webHidden/>
              </w:rPr>
              <w:fldChar w:fldCharType="separate"/>
            </w:r>
            <w:r w:rsidR="00BA5597">
              <w:rPr>
                <w:noProof/>
                <w:webHidden/>
              </w:rPr>
              <w:t>49</w:t>
            </w:r>
            <w:r w:rsidRPr="00F55A79">
              <w:rPr>
                <w:noProof/>
                <w:webHidden/>
              </w:rPr>
              <w:fldChar w:fldCharType="end"/>
            </w:r>
          </w:hyperlink>
        </w:p>
        <w:p w:rsidRPr="00F55A79" w:rsidR="005142AB" w:rsidRDefault="005142AB" w14:paraId="16412159" w14:textId="24681057">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86">
            <w:r w:rsidRPr="00F55A79">
              <w:rPr>
                <w:rStyle w:val="Hyperlink"/>
                <w:noProof/>
              </w:rPr>
              <w:t>6.5.2.</w:t>
            </w:r>
            <w:r w:rsidRPr="00F55A79">
              <w:rPr>
                <w:rFonts w:asciiTheme="minorHAnsi" w:hAnsiTheme="minorHAnsi" w:cstheme="minorBidi"/>
                <w:noProof/>
                <w:kern w:val="2"/>
                <w:sz w:val="24"/>
                <w:szCs w:val="24"/>
                <w14:ligatures w14:val="standardContextual"/>
              </w:rPr>
              <w:tab/>
            </w:r>
            <w:r w:rsidRPr="00F55A79">
              <w:rPr>
                <w:rStyle w:val="Hyperlink"/>
                <w:noProof/>
              </w:rPr>
              <w:t>Joint Applicants’ Position</w:t>
            </w:r>
            <w:r w:rsidRPr="00F55A79">
              <w:rPr>
                <w:noProof/>
                <w:webHidden/>
              </w:rPr>
              <w:tab/>
            </w:r>
            <w:r w:rsidRPr="00F55A79">
              <w:rPr>
                <w:noProof/>
                <w:webHidden/>
              </w:rPr>
              <w:fldChar w:fldCharType="begin"/>
            </w:r>
            <w:r w:rsidRPr="00F55A79">
              <w:rPr>
                <w:noProof/>
                <w:webHidden/>
              </w:rPr>
              <w:instrText xml:space="preserve"> PAGEREF _Toc216163186 \h </w:instrText>
            </w:r>
            <w:r w:rsidRPr="00F55A79">
              <w:rPr>
                <w:noProof/>
                <w:webHidden/>
              </w:rPr>
            </w:r>
            <w:r w:rsidRPr="00F55A79">
              <w:rPr>
                <w:noProof/>
                <w:webHidden/>
              </w:rPr>
              <w:fldChar w:fldCharType="separate"/>
            </w:r>
            <w:r w:rsidR="00BA5597">
              <w:rPr>
                <w:noProof/>
                <w:webHidden/>
              </w:rPr>
              <w:t>50</w:t>
            </w:r>
            <w:r w:rsidRPr="00F55A79">
              <w:rPr>
                <w:noProof/>
                <w:webHidden/>
              </w:rPr>
              <w:fldChar w:fldCharType="end"/>
            </w:r>
          </w:hyperlink>
        </w:p>
        <w:p w:rsidRPr="00F55A79" w:rsidR="005142AB" w:rsidRDefault="005142AB" w14:paraId="5BA8FFEA" w14:textId="46A0229D">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87">
            <w:r w:rsidRPr="00F55A79">
              <w:rPr>
                <w:rStyle w:val="Hyperlink"/>
                <w:noProof/>
              </w:rPr>
              <w:t>6.5.3.</w:t>
            </w:r>
            <w:r w:rsidRPr="00F55A79">
              <w:rPr>
                <w:rFonts w:asciiTheme="minorHAnsi" w:hAnsiTheme="minorHAnsi" w:cstheme="minorBidi"/>
                <w:noProof/>
                <w:kern w:val="2"/>
                <w:sz w:val="24"/>
                <w:szCs w:val="24"/>
                <w14:ligatures w14:val="standardContextual"/>
              </w:rPr>
              <w:tab/>
            </w:r>
            <w:r w:rsidRPr="00F55A79">
              <w:rPr>
                <w:rStyle w:val="Hyperlink"/>
                <w:noProof/>
              </w:rPr>
              <w:t>Party Positions</w:t>
            </w:r>
            <w:r w:rsidRPr="00F55A79">
              <w:rPr>
                <w:noProof/>
                <w:webHidden/>
              </w:rPr>
              <w:tab/>
            </w:r>
            <w:r w:rsidRPr="00F55A79">
              <w:rPr>
                <w:noProof/>
                <w:webHidden/>
              </w:rPr>
              <w:fldChar w:fldCharType="begin"/>
            </w:r>
            <w:r w:rsidRPr="00F55A79">
              <w:rPr>
                <w:noProof/>
                <w:webHidden/>
              </w:rPr>
              <w:instrText xml:space="preserve"> PAGEREF _Toc216163187 \h </w:instrText>
            </w:r>
            <w:r w:rsidRPr="00F55A79">
              <w:rPr>
                <w:noProof/>
                <w:webHidden/>
              </w:rPr>
            </w:r>
            <w:r w:rsidRPr="00F55A79">
              <w:rPr>
                <w:noProof/>
                <w:webHidden/>
              </w:rPr>
              <w:fldChar w:fldCharType="separate"/>
            </w:r>
            <w:r w:rsidR="00BA5597">
              <w:rPr>
                <w:noProof/>
                <w:webHidden/>
              </w:rPr>
              <w:t>51</w:t>
            </w:r>
            <w:r w:rsidRPr="00F55A79">
              <w:rPr>
                <w:noProof/>
                <w:webHidden/>
              </w:rPr>
              <w:fldChar w:fldCharType="end"/>
            </w:r>
          </w:hyperlink>
        </w:p>
        <w:p w:rsidRPr="00F55A79" w:rsidR="005142AB" w:rsidRDefault="005142AB" w14:paraId="7D6E90C4" w14:textId="7DC8D9E6">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88">
            <w:r w:rsidRPr="00F55A79">
              <w:rPr>
                <w:rStyle w:val="Hyperlink"/>
                <w:noProof/>
              </w:rPr>
              <w:t>6.5.3.1.</w:t>
            </w:r>
            <w:r w:rsidRPr="00F55A79">
              <w:rPr>
                <w:rFonts w:asciiTheme="minorHAnsi" w:hAnsiTheme="minorHAnsi" w:eastAsiaTheme="minorEastAsia"/>
                <w:noProof/>
                <w:kern w:val="2"/>
                <w:sz w:val="24"/>
                <w:szCs w:val="24"/>
                <w14:ligatures w14:val="standardContextual"/>
              </w:rPr>
              <w:tab/>
            </w:r>
            <w:r w:rsidRPr="00F55A79">
              <w:rPr>
                <w:rStyle w:val="Hyperlink"/>
                <w:noProof/>
              </w:rPr>
              <w:t>CETF</w:t>
            </w:r>
            <w:r w:rsidRPr="00F55A79">
              <w:rPr>
                <w:noProof/>
                <w:webHidden/>
              </w:rPr>
              <w:tab/>
            </w:r>
            <w:r w:rsidRPr="00F55A79">
              <w:rPr>
                <w:noProof/>
                <w:webHidden/>
              </w:rPr>
              <w:fldChar w:fldCharType="begin"/>
            </w:r>
            <w:r w:rsidRPr="00F55A79">
              <w:rPr>
                <w:noProof/>
                <w:webHidden/>
              </w:rPr>
              <w:instrText xml:space="preserve"> PAGEREF _Toc216163188 \h </w:instrText>
            </w:r>
            <w:r w:rsidRPr="00F55A79">
              <w:rPr>
                <w:noProof/>
                <w:webHidden/>
              </w:rPr>
            </w:r>
            <w:r w:rsidRPr="00F55A79">
              <w:rPr>
                <w:noProof/>
                <w:webHidden/>
              </w:rPr>
              <w:fldChar w:fldCharType="separate"/>
            </w:r>
            <w:r w:rsidR="00BA5597">
              <w:rPr>
                <w:noProof/>
                <w:webHidden/>
              </w:rPr>
              <w:t>51</w:t>
            </w:r>
            <w:r w:rsidRPr="00F55A79">
              <w:rPr>
                <w:noProof/>
                <w:webHidden/>
              </w:rPr>
              <w:fldChar w:fldCharType="end"/>
            </w:r>
          </w:hyperlink>
        </w:p>
        <w:p w:rsidRPr="00F55A79" w:rsidR="005142AB" w:rsidRDefault="005142AB" w14:paraId="15B4AA77" w14:textId="054F6128">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89">
            <w:r w:rsidRPr="00F55A79">
              <w:rPr>
                <w:rStyle w:val="Hyperlink"/>
                <w:noProof/>
              </w:rPr>
              <w:t>6.5.3.2.</w:t>
            </w:r>
            <w:r w:rsidRPr="00F55A79">
              <w:rPr>
                <w:rFonts w:asciiTheme="minorHAnsi" w:hAnsiTheme="minorHAnsi" w:eastAsiaTheme="minorEastAsia"/>
                <w:noProof/>
                <w:kern w:val="2"/>
                <w:sz w:val="24"/>
                <w:szCs w:val="24"/>
                <w14:ligatures w14:val="standardContextual"/>
              </w:rPr>
              <w:tab/>
            </w:r>
            <w:r w:rsidRPr="00F55A79">
              <w:rPr>
                <w:rStyle w:val="Hyperlink"/>
                <w:noProof/>
              </w:rPr>
              <w:t>CforAT</w:t>
            </w:r>
            <w:r w:rsidRPr="00F55A79">
              <w:rPr>
                <w:noProof/>
                <w:webHidden/>
              </w:rPr>
              <w:tab/>
            </w:r>
            <w:r w:rsidRPr="00F55A79">
              <w:rPr>
                <w:noProof/>
                <w:webHidden/>
              </w:rPr>
              <w:fldChar w:fldCharType="begin"/>
            </w:r>
            <w:r w:rsidRPr="00F55A79">
              <w:rPr>
                <w:noProof/>
                <w:webHidden/>
              </w:rPr>
              <w:instrText xml:space="preserve"> PAGEREF _Toc216163189 \h </w:instrText>
            </w:r>
            <w:r w:rsidRPr="00F55A79">
              <w:rPr>
                <w:noProof/>
                <w:webHidden/>
              </w:rPr>
            </w:r>
            <w:r w:rsidRPr="00F55A79">
              <w:rPr>
                <w:noProof/>
                <w:webHidden/>
              </w:rPr>
              <w:fldChar w:fldCharType="separate"/>
            </w:r>
            <w:r w:rsidR="00BA5597">
              <w:rPr>
                <w:noProof/>
                <w:webHidden/>
              </w:rPr>
              <w:t>51</w:t>
            </w:r>
            <w:r w:rsidRPr="00F55A79">
              <w:rPr>
                <w:noProof/>
                <w:webHidden/>
              </w:rPr>
              <w:fldChar w:fldCharType="end"/>
            </w:r>
          </w:hyperlink>
        </w:p>
        <w:p w:rsidRPr="00F55A79" w:rsidR="005142AB" w:rsidRDefault="005142AB" w14:paraId="4EFC4310" w14:textId="18105527">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90">
            <w:r w:rsidRPr="00F55A79">
              <w:rPr>
                <w:rStyle w:val="Hyperlink"/>
                <w:noProof/>
              </w:rPr>
              <w:t>6.5.3.3.</w:t>
            </w:r>
            <w:r w:rsidRPr="00F55A79">
              <w:rPr>
                <w:rFonts w:asciiTheme="minorHAnsi" w:hAnsiTheme="minorHAnsi" w:eastAsiaTheme="minorEastAsia"/>
                <w:noProof/>
                <w:kern w:val="2"/>
                <w:sz w:val="24"/>
                <w:szCs w:val="24"/>
                <w14:ligatures w14:val="standardContextual"/>
              </w:rPr>
              <w:tab/>
            </w:r>
            <w:r w:rsidRPr="00F55A79">
              <w:rPr>
                <w:rStyle w:val="Hyperlink"/>
                <w:noProof/>
              </w:rPr>
              <w:t>TURN</w:t>
            </w:r>
            <w:r w:rsidRPr="00F55A79">
              <w:rPr>
                <w:noProof/>
                <w:webHidden/>
              </w:rPr>
              <w:tab/>
            </w:r>
            <w:r w:rsidRPr="00F55A79">
              <w:rPr>
                <w:noProof/>
                <w:webHidden/>
              </w:rPr>
              <w:fldChar w:fldCharType="begin"/>
            </w:r>
            <w:r w:rsidRPr="00F55A79">
              <w:rPr>
                <w:noProof/>
                <w:webHidden/>
              </w:rPr>
              <w:instrText xml:space="preserve"> PAGEREF _Toc216163190 \h </w:instrText>
            </w:r>
            <w:r w:rsidRPr="00F55A79">
              <w:rPr>
                <w:noProof/>
                <w:webHidden/>
              </w:rPr>
            </w:r>
            <w:r w:rsidRPr="00F55A79">
              <w:rPr>
                <w:noProof/>
                <w:webHidden/>
              </w:rPr>
              <w:fldChar w:fldCharType="separate"/>
            </w:r>
            <w:r w:rsidR="00BA5597">
              <w:rPr>
                <w:noProof/>
                <w:webHidden/>
              </w:rPr>
              <w:t>52</w:t>
            </w:r>
            <w:r w:rsidRPr="00F55A79">
              <w:rPr>
                <w:noProof/>
                <w:webHidden/>
              </w:rPr>
              <w:fldChar w:fldCharType="end"/>
            </w:r>
          </w:hyperlink>
        </w:p>
        <w:p w:rsidRPr="00F55A79" w:rsidR="005142AB" w:rsidRDefault="005142AB" w14:paraId="3EA5A09E" w14:textId="5E561093">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91">
            <w:r w:rsidRPr="00F55A79">
              <w:rPr>
                <w:rStyle w:val="Hyperlink"/>
                <w:noProof/>
              </w:rPr>
              <w:t>6.5.4.</w:t>
            </w:r>
            <w:r w:rsidRPr="00F55A79">
              <w:rPr>
                <w:rFonts w:asciiTheme="minorHAnsi" w:hAnsiTheme="minorHAnsi" w:cstheme="minorBidi"/>
                <w:noProof/>
                <w:kern w:val="2"/>
                <w:sz w:val="24"/>
                <w:szCs w:val="24"/>
                <w14:ligatures w14:val="standardContextual"/>
              </w:rPr>
              <w:tab/>
            </w:r>
            <w:r w:rsidRPr="00F55A79">
              <w:rPr>
                <w:rStyle w:val="Hyperlink"/>
                <w:noProof/>
              </w:rPr>
              <w:t>Discussion</w:t>
            </w:r>
            <w:r w:rsidRPr="00F55A79">
              <w:rPr>
                <w:noProof/>
                <w:webHidden/>
              </w:rPr>
              <w:tab/>
            </w:r>
            <w:r w:rsidRPr="00F55A79">
              <w:rPr>
                <w:noProof/>
                <w:webHidden/>
              </w:rPr>
              <w:fldChar w:fldCharType="begin"/>
            </w:r>
            <w:r w:rsidRPr="00F55A79">
              <w:rPr>
                <w:noProof/>
                <w:webHidden/>
              </w:rPr>
              <w:instrText xml:space="preserve"> PAGEREF _Toc216163191 \h </w:instrText>
            </w:r>
            <w:r w:rsidRPr="00F55A79">
              <w:rPr>
                <w:noProof/>
                <w:webHidden/>
              </w:rPr>
            </w:r>
            <w:r w:rsidRPr="00F55A79">
              <w:rPr>
                <w:noProof/>
                <w:webHidden/>
              </w:rPr>
              <w:fldChar w:fldCharType="separate"/>
            </w:r>
            <w:r w:rsidR="00BA5597">
              <w:rPr>
                <w:noProof/>
                <w:webHidden/>
              </w:rPr>
              <w:t>54</w:t>
            </w:r>
            <w:r w:rsidRPr="00F55A79">
              <w:rPr>
                <w:noProof/>
                <w:webHidden/>
              </w:rPr>
              <w:fldChar w:fldCharType="end"/>
            </w:r>
          </w:hyperlink>
        </w:p>
        <w:p w:rsidRPr="00F55A79" w:rsidR="005142AB" w:rsidRDefault="005142AB" w14:paraId="730FA523" w14:textId="1E8836DD">
          <w:pPr>
            <w:pStyle w:val="TOC2"/>
            <w:tabs>
              <w:tab w:val="right" w:leader="dot" w:pos="9350"/>
            </w:tabs>
            <w:rPr>
              <w:rFonts w:asciiTheme="minorHAnsi" w:hAnsiTheme="minorHAnsi" w:cstheme="minorBidi"/>
              <w:noProof/>
              <w:kern w:val="2"/>
              <w:sz w:val="24"/>
              <w:szCs w:val="24"/>
              <w14:ligatures w14:val="standardContextual"/>
            </w:rPr>
          </w:pPr>
          <w:hyperlink w:history="1" w:anchor="_Toc216163192">
            <w:r w:rsidRPr="00F55A79">
              <w:rPr>
                <w:rStyle w:val="Hyperlink"/>
                <w:noProof/>
              </w:rPr>
              <w:t>6.6.</w:t>
            </w:r>
            <w:r w:rsidRPr="00F55A79">
              <w:rPr>
                <w:rFonts w:asciiTheme="minorHAnsi" w:hAnsiTheme="minorHAnsi" w:cstheme="minorBidi"/>
                <w:noProof/>
                <w:kern w:val="2"/>
                <w:sz w:val="24"/>
                <w:szCs w:val="24"/>
                <w14:ligatures w14:val="standardContextual"/>
              </w:rPr>
              <w:tab/>
            </w:r>
            <w:r w:rsidRPr="00F55A79">
              <w:rPr>
                <w:rStyle w:val="Hyperlink"/>
                <w:noProof/>
              </w:rPr>
              <w:t>Shareholders</w:t>
            </w:r>
            <w:r w:rsidRPr="00F55A79">
              <w:rPr>
                <w:noProof/>
                <w:webHidden/>
              </w:rPr>
              <w:tab/>
            </w:r>
            <w:r w:rsidRPr="00F55A79">
              <w:rPr>
                <w:noProof/>
                <w:webHidden/>
              </w:rPr>
              <w:fldChar w:fldCharType="begin"/>
            </w:r>
            <w:r w:rsidRPr="00F55A79">
              <w:rPr>
                <w:noProof/>
                <w:webHidden/>
              </w:rPr>
              <w:instrText xml:space="preserve"> PAGEREF _Toc216163192 \h </w:instrText>
            </w:r>
            <w:r w:rsidRPr="00F55A79">
              <w:rPr>
                <w:noProof/>
                <w:webHidden/>
              </w:rPr>
            </w:r>
            <w:r w:rsidRPr="00F55A79">
              <w:rPr>
                <w:noProof/>
                <w:webHidden/>
              </w:rPr>
              <w:fldChar w:fldCharType="separate"/>
            </w:r>
            <w:r w:rsidR="00BA5597">
              <w:rPr>
                <w:noProof/>
                <w:webHidden/>
              </w:rPr>
              <w:t>54</w:t>
            </w:r>
            <w:r w:rsidRPr="00F55A79">
              <w:rPr>
                <w:noProof/>
                <w:webHidden/>
              </w:rPr>
              <w:fldChar w:fldCharType="end"/>
            </w:r>
          </w:hyperlink>
        </w:p>
        <w:p w:rsidRPr="00F55A79" w:rsidR="005142AB" w:rsidRDefault="005142AB" w14:paraId="3A3F2474" w14:textId="10A05FA6">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93">
            <w:r w:rsidRPr="00F55A79">
              <w:rPr>
                <w:rStyle w:val="Hyperlink"/>
                <w:noProof/>
              </w:rPr>
              <w:t>6.6.1.</w:t>
            </w:r>
            <w:r w:rsidRPr="00F55A79">
              <w:rPr>
                <w:rFonts w:asciiTheme="minorHAnsi" w:hAnsiTheme="minorHAnsi" w:cstheme="minorBidi"/>
                <w:noProof/>
                <w:kern w:val="2"/>
                <w:sz w:val="24"/>
                <w:szCs w:val="24"/>
                <w14:ligatures w14:val="standardContextual"/>
              </w:rPr>
              <w:tab/>
            </w:r>
            <w:r w:rsidRPr="00F55A79">
              <w:rPr>
                <w:rStyle w:val="Hyperlink"/>
                <w:noProof/>
              </w:rPr>
              <w:t>Joint Applicants’ Position</w:t>
            </w:r>
            <w:r w:rsidRPr="00F55A79">
              <w:rPr>
                <w:noProof/>
                <w:webHidden/>
              </w:rPr>
              <w:tab/>
            </w:r>
            <w:r w:rsidRPr="00F55A79">
              <w:rPr>
                <w:noProof/>
                <w:webHidden/>
              </w:rPr>
              <w:fldChar w:fldCharType="begin"/>
            </w:r>
            <w:r w:rsidRPr="00F55A79">
              <w:rPr>
                <w:noProof/>
                <w:webHidden/>
              </w:rPr>
              <w:instrText xml:space="preserve"> PAGEREF _Toc216163193 \h </w:instrText>
            </w:r>
            <w:r w:rsidRPr="00F55A79">
              <w:rPr>
                <w:noProof/>
                <w:webHidden/>
              </w:rPr>
            </w:r>
            <w:r w:rsidRPr="00F55A79">
              <w:rPr>
                <w:noProof/>
                <w:webHidden/>
              </w:rPr>
              <w:fldChar w:fldCharType="separate"/>
            </w:r>
            <w:r w:rsidR="00BA5597">
              <w:rPr>
                <w:noProof/>
                <w:webHidden/>
              </w:rPr>
              <w:t>54</w:t>
            </w:r>
            <w:r w:rsidRPr="00F55A79">
              <w:rPr>
                <w:noProof/>
                <w:webHidden/>
              </w:rPr>
              <w:fldChar w:fldCharType="end"/>
            </w:r>
          </w:hyperlink>
        </w:p>
        <w:p w:rsidRPr="00F55A79" w:rsidR="005142AB" w:rsidRDefault="005142AB" w14:paraId="23664FFB" w14:textId="4F43E453">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94">
            <w:r w:rsidRPr="00F55A79">
              <w:rPr>
                <w:rStyle w:val="Hyperlink"/>
                <w:noProof/>
              </w:rPr>
              <w:t>6.6.2.</w:t>
            </w:r>
            <w:r w:rsidRPr="00F55A79">
              <w:rPr>
                <w:rFonts w:asciiTheme="minorHAnsi" w:hAnsiTheme="minorHAnsi" w:cstheme="minorBidi"/>
                <w:noProof/>
                <w:kern w:val="2"/>
                <w:sz w:val="24"/>
                <w:szCs w:val="24"/>
                <w14:ligatures w14:val="standardContextual"/>
              </w:rPr>
              <w:tab/>
            </w:r>
            <w:r w:rsidRPr="00F55A79">
              <w:rPr>
                <w:rStyle w:val="Hyperlink"/>
                <w:noProof/>
              </w:rPr>
              <w:t>Party Positions</w:t>
            </w:r>
            <w:r w:rsidRPr="00F55A79">
              <w:rPr>
                <w:noProof/>
                <w:webHidden/>
              </w:rPr>
              <w:tab/>
            </w:r>
            <w:r w:rsidRPr="00F55A79">
              <w:rPr>
                <w:noProof/>
                <w:webHidden/>
              </w:rPr>
              <w:fldChar w:fldCharType="begin"/>
            </w:r>
            <w:r w:rsidRPr="00F55A79">
              <w:rPr>
                <w:noProof/>
                <w:webHidden/>
              </w:rPr>
              <w:instrText xml:space="preserve"> PAGEREF _Toc216163194 \h </w:instrText>
            </w:r>
            <w:r w:rsidRPr="00F55A79">
              <w:rPr>
                <w:noProof/>
                <w:webHidden/>
              </w:rPr>
            </w:r>
            <w:r w:rsidRPr="00F55A79">
              <w:rPr>
                <w:noProof/>
                <w:webHidden/>
              </w:rPr>
              <w:fldChar w:fldCharType="separate"/>
            </w:r>
            <w:r w:rsidR="00BA5597">
              <w:rPr>
                <w:noProof/>
                <w:webHidden/>
              </w:rPr>
              <w:t>55</w:t>
            </w:r>
            <w:r w:rsidRPr="00F55A79">
              <w:rPr>
                <w:noProof/>
                <w:webHidden/>
              </w:rPr>
              <w:fldChar w:fldCharType="end"/>
            </w:r>
          </w:hyperlink>
        </w:p>
        <w:p w:rsidRPr="00F55A79" w:rsidR="005142AB" w:rsidRDefault="005142AB" w14:paraId="271721DB" w14:textId="0EBE9103">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95">
            <w:r w:rsidRPr="00F55A79">
              <w:rPr>
                <w:rStyle w:val="Hyperlink"/>
                <w:noProof/>
              </w:rPr>
              <w:t>6.6.2.1.</w:t>
            </w:r>
            <w:r w:rsidRPr="00F55A79">
              <w:rPr>
                <w:rFonts w:asciiTheme="minorHAnsi" w:hAnsiTheme="minorHAnsi" w:eastAsiaTheme="minorEastAsia"/>
                <w:noProof/>
                <w:kern w:val="2"/>
                <w:sz w:val="24"/>
                <w:szCs w:val="24"/>
                <w14:ligatures w14:val="standardContextual"/>
              </w:rPr>
              <w:tab/>
            </w:r>
            <w:r w:rsidRPr="00F55A79">
              <w:rPr>
                <w:rStyle w:val="Hyperlink"/>
                <w:noProof/>
              </w:rPr>
              <w:t>CETF</w:t>
            </w:r>
            <w:r w:rsidRPr="00F55A79">
              <w:rPr>
                <w:noProof/>
                <w:webHidden/>
              </w:rPr>
              <w:tab/>
            </w:r>
            <w:r w:rsidRPr="00F55A79">
              <w:rPr>
                <w:noProof/>
                <w:webHidden/>
              </w:rPr>
              <w:fldChar w:fldCharType="begin"/>
            </w:r>
            <w:r w:rsidRPr="00F55A79">
              <w:rPr>
                <w:noProof/>
                <w:webHidden/>
              </w:rPr>
              <w:instrText xml:space="preserve"> PAGEREF _Toc216163195 \h </w:instrText>
            </w:r>
            <w:r w:rsidRPr="00F55A79">
              <w:rPr>
                <w:noProof/>
                <w:webHidden/>
              </w:rPr>
            </w:r>
            <w:r w:rsidRPr="00F55A79">
              <w:rPr>
                <w:noProof/>
                <w:webHidden/>
              </w:rPr>
              <w:fldChar w:fldCharType="separate"/>
            </w:r>
            <w:r w:rsidR="00BA5597">
              <w:rPr>
                <w:noProof/>
                <w:webHidden/>
              </w:rPr>
              <w:t>55</w:t>
            </w:r>
            <w:r w:rsidRPr="00F55A79">
              <w:rPr>
                <w:noProof/>
                <w:webHidden/>
              </w:rPr>
              <w:fldChar w:fldCharType="end"/>
            </w:r>
          </w:hyperlink>
        </w:p>
        <w:p w:rsidRPr="00F55A79" w:rsidR="005142AB" w:rsidRDefault="005142AB" w14:paraId="3D7AA7F3" w14:textId="103F1540">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96">
            <w:r w:rsidRPr="00F55A79">
              <w:rPr>
                <w:rStyle w:val="Hyperlink"/>
                <w:noProof/>
              </w:rPr>
              <w:t>6.6.2.2.</w:t>
            </w:r>
            <w:r w:rsidRPr="00F55A79">
              <w:rPr>
                <w:rFonts w:asciiTheme="minorHAnsi" w:hAnsiTheme="minorHAnsi" w:eastAsiaTheme="minorEastAsia"/>
                <w:noProof/>
                <w:kern w:val="2"/>
                <w:sz w:val="24"/>
                <w:szCs w:val="24"/>
                <w14:ligatures w14:val="standardContextual"/>
              </w:rPr>
              <w:tab/>
            </w:r>
            <w:r w:rsidRPr="00F55A79">
              <w:rPr>
                <w:rStyle w:val="Hyperlink"/>
                <w:noProof/>
              </w:rPr>
              <w:t>CforAT</w:t>
            </w:r>
            <w:r w:rsidRPr="00F55A79">
              <w:rPr>
                <w:noProof/>
                <w:webHidden/>
              </w:rPr>
              <w:tab/>
            </w:r>
            <w:r w:rsidRPr="00F55A79">
              <w:rPr>
                <w:noProof/>
                <w:webHidden/>
              </w:rPr>
              <w:fldChar w:fldCharType="begin"/>
            </w:r>
            <w:r w:rsidRPr="00F55A79">
              <w:rPr>
                <w:noProof/>
                <w:webHidden/>
              </w:rPr>
              <w:instrText xml:space="preserve"> PAGEREF _Toc216163196 \h </w:instrText>
            </w:r>
            <w:r w:rsidRPr="00F55A79">
              <w:rPr>
                <w:noProof/>
                <w:webHidden/>
              </w:rPr>
            </w:r>
            <w:r w:rsidRPr="00F55A79">
              <w:rPr>
                <w:noProof/>
                <w:webHidden/>
              </w:rPr>
              <w:fldChar w:fldCharType="separate"/>
            </w:r>
            <w:r w:rsidR="00BA5597">
              <w:rPr>
                <w:noProof/>
                <w:webHidden/>
              </w:rPr>
              <w:t>55</w:t>
            </w:r>
            <w:r w:rsidRPr="00F55A79">
              <w:rPr>
                <w:noProof/>
                <w:webHidden/>
              </w:rPr>
              <w:fldChar w:fldCharType="end"/>
            </w:r>
          </w:hyperlink>
        </w:p>
        <w:p w:rsidRPr="00F55A79" w:rsidR="005142AB" w:rsidRDefault="005142AB" w14:paraId="2589E381" w14:textId="7A62F74D">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97">
            <w:r w:rsidRPr="00F55A79">
              <w:rPr>
                <w:rStyle w:val="Hyperlink"/>
                <w:noProof/>
              </w:rPr>
              <w:t>6.6.2.3.</w:t>
            </w:r>
            <w:r w:rsidRPr="00F55A79">
              <w:rPr>
                <w:rFonts w:asciiTheme="minorHAnsi" w:hAnsiTheme="minorHAnsi" w:eastAsiaTheme="minorEastAsia"/>
                <w:noProof/>
                <w:kern w:val="2"/>
                <w:sz w:val="24"/>
                <w:szCs w:val="24"/>
                <w14:ligatures w14:val="standardContextual"/>
              </w:rPr>
              <w:tab/>
            </w:r>
            <w:r w:rsidRPr="00F55A79">
              <w:rPr>
                <w:rStyle w:val="Hyperlink"/>
                <w:noProof/>
              </w:rPr>
              <w:t>TURN</w:t>
            </w:r>
            <w:r w:rsidRPr="00F55A79">
              <w:rPr>
                <w:noProof/>
                <w:webHidden/>
              </w:rPr>
              <w:tab/>
            </w:r>
            <w:r w:rsidRPr="00F55A79">
              <w:rPr>
                <w:noProof/>
                <w:webHidden/>
              </w:rPr>
              <w:fldChar w:fldCharType="begin"/>
            </w:r>
            <w:r w:rsidRPr="00F55A79">
              <w:rPr>
                <w:noProof/>
                <w:webHidden/>
              </w:rPr>
              <w:instrText xml:space="preserve"> PAGEREF _Toc216163197 \h </w:instrText>
            </w:r>
            <w:r w:rsidRPr="00F55A79">
              <w:rPr>
                <w:noProof/>
                <w:webHidden/>
              </w:rPr>
            </w:r>
            <w:r w:rsidRPr="00F55A79">
              <w:rPr>
                <w:noProof/>
                <w:webHidden/>
              </w:rPr>
              <w:fldChar w:fldCharType="separate"/>
            </w:r>
            <w:r w:rsidR="00BA5597">
              <w:rPr>
                <w:noProof/>
                <w:webHidden/>
              </w:rPr>
              <w:t>55</w:t>
            </w:r>
            <w:r w:rsidRPr="00F55A79">
              <w:rPr>
                <w:noProof/>
                <w:webHidden/>
              </w:rPr>
              <w:fldChar w:fldCharType="end"/>
            </w:r>
          </w:hyperlink>
        </w:p>
        <w:p w:rsidRPr="00F55A79" w:rsidR="005142AB" w:rsidRDefault="005142AB" w14:paraId="35E9979E" w14:textId="3C4FCAF2">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98">
            <w:r w:rsidRPr="00F55A79">
              <w:rPr>
                <w:rStyle w:val="Hyperlink"/>
                <w:noProof/>
              </w:rPr>
              <w:t>6.6.3.</w:t>
            </w:r>
            <w:r w:rsidRPr="00F55A79">
              <w:rPr>
                <w:rFonts w:asciiTheme="minorHAnsi" w:hAnsiTheme="minorHAnsi" w:cstheme="minorBidi"/>
                <w:noProof/>
                <w:kern w:val="2"/>
                <w:sz w:val="24"/>
                <w:szCs w:val="24"/>
                <w14:ligatures w14:val="standardContextual"/>
              </w:rPr>
              <w:tab/>
            </w:r>
            <w:r w:rsidRPr="00F55A79">
              <w:rPr>
                <w:rStyle w:val="Hyperlink"/>
                <w:noProof/>
              </w:rPr>
              <w:t>Discussion</w:t>
            </w:r>
            <w:r w:rsidRPr="00F55A79">
              <w:rPr>
                <w:noProof/>
                <w:webHidden/>
              </w:rPr>
              <w:tab/>
            </w:r>
            <w:r w:rsidRPr="00F55A79">
              <w:rPr>
                <w:noProof/>
                <w:webHidden/>
              </w:rPr>
              <w:fldChar w:fldCharType="begin"/>
            </w:r>
            <w:r w:rsidRPr="00F55A79">
              <w:rPr>
                <w:noProof/>
                <w:webHidden/>
              </w:rPr>
              <w:instrText xml:space="preserve"> PAGEREF _Toc216163198 \h </w:instrText>
            </w:r>
            <w:r w:rsidRPr="00F55A79">
              <w:rPr>
                <w:noProof/>
                <w:webHidden/>
              </w:rPr>
            </w:r>
            <w:r w:rsidRPr="00F55A79">
              <w:rPr>
                <w:noProof/>
                <w:webHidden/>
              </w:rPr>
              <w:fldChar w:fldCharType="separate"/>
            </w:r>
            <w:r w:rsidR="00BA5597">
              <w:rPr>
                <w:noProof/>
                <w:webHidden/>
              </w:rPr>
              <w:t>55</w:t>
            </w:r>
            <w:r w:rsidRPr="00F55A79">
              <w:rPr>
                <w:noProof/>
                <w:webHidden/>
              </w:rPr>
              <w:fldChar w:fldCharType="end"/>
            </w:r>
          </w:hyperlink>
        </w:p>
        <w:p w:rsidRPr="00F55A79" w:rsidR="005142AB" w:rsidRDefault="005142AB" w14:paraId="5D6A5460" w14:textId="6392322A">
          <w:pPr>
            <w:pStyle w:val="TOC2"/>
            <w:tabs>
              <w:tab w:val="right" w:leader="dot" w:pos="9350"/>
            </w:tabs>
            <w:rPr>
              <w:rFonts w:asciiTheme="minorHAnsi" w:hAnsiTheme="minorHAnsi" w:cstheme="minorBidi"/>
              <w:noProof/>
              <w:kern w:val="2"/>
              <w:sz w:val="24"/>
              <w:szCs w:val="24"/>
              <w14:ligatures w14:val="standardContextual"/>
            </w:rPr>
          </w:pPr>
          <w:hyperlink w:history="1" w:anchor="_Toc216163199">
            <w:r w:rsidRPr="00F55A79">
              <w:rPr>
                <w:rStyle w:val="Hyperlink"/>
                <w:noProof/>
              </w:rPr>
              <w:t>6.7.</w:t>
            </w:r>
            <w:r w:rsidRPr="00F55A79">
              <w:rPr>
                <w:rFonts w:asciiTheme="minorHAnsi" w:hAnsiTheme="minorHAnsi" w:cstheme="minorBidi"/>
                <w:noProof/>
                <w:kern w:val="2"/>
                <w:sz w:val="24"/>
                <w:szCs w:val="24"/>
                <w14:ligatures w14:val="standardContextual"/>
              </w:rPr>
              <w:tab/>
            </w:r>
            <w:r w:rsidRPr="00F55A79">
              <w:rPr>
                <w:rStyle w:val="Hyperlink"/>
                <w:noProof/>
              </w:rPr>
              <w:t>Economic Benefits</w:t>
            </w:r>
            <w:r w:rsidRPr="00F55A79">
              <w:rPr>
                <w:noProof/>
                <w:webHidden/>
              </w:rPr>
              <w:tab/>
            </w:r>
            <w:r w:rsidRPr="00F55A79">
              <w:rPr>
                <w:noProof/>
                <w:webHidden/>
              </w:rPr>
              <w:fldChar w:fldCharType="begin"/>
            </w:r>
            <w:r w:rsidRPr="00F55A79">
              <w:rPr>
                <w:noProof/>
                <w:webHidden/>
              </w:rPr>
              <w:instrText xml:space="preserve"> PAGEREF _Toc216163199 \h </w:instrText>
            </w:r>
            <w:r w:rsidRPr="00F55A79">
              <w:rPr>
                <w:noProof/>
                <w:webHidden/>
              </w:rPr>
            </w:r>
            <w:r w:rsidRPr="00F55A79">
              <w:rPr>
                <w:noProof/>
                <w:webHidden/>
              </w:rPr>
              <w:fldChar w:fldCharType="separate"/>
            </w:r>
            <w:r w:rsidR="00BA5597">
              <w:rPr>
                <w:noProof/>
                <w:webHidden/>
              </w:rPr>
              <w:t>55</w:t>
            </w:r>
            <w:r w:rsidRPr="00F55A79">
              <w:rPr>
                <w:noProof/>
                <w:webHidden/>
              </w:rPr>
              <w:fldChar w:fldCharType="end"/>
            </w:r>
          </w:hyperlink>
        </w:p>
        <w:p w:rsidRPr="00F55A79" w:rsidR="005142AB" w:rsidRDefault="005142AB" w14:paraId="5333C7C2" w14:textId="39869A42">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00">
            <w:r w:rsidRPr="00F55A79">
              <w:rPr>
                <w:rStyle w:val="Hyperlink"/>
                <w:noProof/>
              </w:rPr>
              <w:t>6.7.1.</w:t>
            </w:r>
            <w:r w:rsidRPr="00F55A79">
              <w:rPr>
                <w:rFonts w:asciiTheme="minorHAnsi" w:hAnsiTheme="minorHAnsi" w:cstheme="minorBidi"/>
                <w:noProof/>
                <w:kern w:val="2"/>
                <w:sz w:val="24"/>
                <w:szCs w:val="24"/>
                <w14:ligatures w14:val="standardContextual"/>
              </w:rPr>
              <w:tab/>
            </w:r>
            <w:r w:rsidRPr="00F55A79">
              <w:rPr>
                <w:rStyle w:val="Hyperlink"/>
                <w:noProof/>
              </w:rPr>
              <w:t>Background</w:t>
            </w:r>
            <w:r w:rsidRPr="00F55A79">
              <w:rPr>
                <w:noProof/>
                <w:webHidden/>
              </w:rPr>
              <w:tab/>
            </w:r>
            <w:r w:rsidRPr="00F55A79">
              <w:rPr>
                <w:noProof/>
                <w:webHidden/>
              </w:rPr>
              <w:fldChar w:fldCharType="begin"/>
            </w:r>
            <w:r w:rsidRPr="00F55A79">
              <w:rPr>
                <w:noProof/>
                <w:webHidden/>
              </w:rPr>
              <w:instrText xml:space="preserve"> PAGEREF _Toc216163200 \h </w:instrText>
            </w:r>
            <w:r w:rsidRPr="00F55A79">
              <w:rPr>
                <w:noProof/>
                <w:webHidden/>
              </w:rPr>
            </w:r>
            <w:r w:rsidRPr="00F55A79">
              <w:rPr>
                <w:noProof/>
                <w:webHidden/>
              </w:rPr>
              <w:fldChar w:fldCharType="separate"/>
            </w:r>
            <w:r w:rsidR="00BA5597">
              <w:rPr>
                <w:noProof/>
                <w:webHidden/>
              </w:rPr>
              <w:t>55</w:t>
            </w:r>
            <w:r w:rsidRPr="00F55A79">
              <w:rPr>
                <w:noProof/>
                <w:webHidden/>
              </w:rPr>
              <w:fldChar w:fldCharType="end"/>
            </w:r>
          </w:hyperlink>
        </w:p>
        <w:p w:rsidRPr="00F55A79" w:rsidR="005142AB" w:rsidRDefault="005142AB" w14:paraId="04833200" w14:textId="459E0AF8">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01">
            <w:r w:rsidRPr="00F55A79">
              <w:rPr>
                <w:rStyle w:val="Hyperlink"/>
                <w:noProof/>
              </w:rPr>
              <w:t>6.7.2.</w:t>
            </w:r>
            <w:r w:rsidRPr="00F55A79">
              <w:rPr>
                <w:rFonts w:asciiTheme="minorHAnsi" w:hAnsiTheme="minorHAnsi" w:cstheme="minorBidi"/>
                <w:noProof/>
                <w:kern w:val="2"/>
                <w:sz w:val="24"/>
                <w:szCs w:val="24"/>
                <w14:ligatures w14:val="standardContextual"/>
              </w:rPr>
              <w:tab/>
            </w:r>
            <w:r w:rsidRPr="00F55A79">
              <w:rPr>
                <w:rStyle w:val="Hyperlink"/>
                <w:noProof/>
              </w:rPr>
              <w:t>Joint Applicants’ Position</w:t>
            </w:r>
            <w:r w:rsidRPr="00F55A79">
              <w:rPr>
                <w:noProof/>
                <w:webHidden/>
              </w:rPr>
              <w:tab/>
            </w:r>
            <w:r w:rsidRPr="00F55A79">
              <w:rPr>
                <w:noProof/>
                <w:webHidden/>
              </w:rPr>
              <w:fldChar w:fldCharType="begin"/>
            </w:r>
            <w:r w:rsidRPr="00F55A79">
              <w:rPr>
                <w:noProof/>
                <w:webHidden/>
              </w:rPr>
              <w:instrText xml:space="preserve"> PAGEREF _Toc216163201 \h </w:instrText>
            </w:r>
            <w:r w:rsidRPr="00F55A79">
              <w:rPr>
                <w:noProof/>
                <w:webHidden/>
              </w:rPr>
            </w:r>
            <w:r w:rsidRPr="00F55A79">
              <w:rPr>
                <w:noProof/>
                <w:webHidden/>
              </w:rPr>
              <w:fldChar w:fldCharType="separate"/>
            </w:r>
            <w:r w:rsidR="00BA5597">
              <w:rPr>
                <w:noProof/>
                <w:webHidden/>
              </w:rPr>
              <w:t>56</w:t>
            </w:r>
            <w:r w:rsidRPr="00F55A79">
              <w:rPr>
                <w:noProof/>
                <w:webHidden/>
              </w:rPr>
              <w:fldChar w:fldCharType="end"/>
            </w:r>
          </w:hyperlink>
        </w:p>
        <w:p w:rsidRPr="00F55A79" w:rsidR="005142AB" w:rsidRDefault="005142AB" w14:paraId="3821D948" w14:textId="1B34024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02">
            <w:r w:rsidRPr="00F55A79">
              <w:rPr>
                <w:rStyle w:val="Hyperlink"/>
                <w:noProof/>
              </w:rPr>
              <w:t>6.7.3.</w:t>
            </w:r>
            <w:r w:rsidRPr="00F55A79">
              <w:rPr>
                <w:rFonts w:asciiTheme="minorHAnsi" w:hAnsiTheme="minorHAnsi" w:cstheme="minorBidi"/>
                <w:noProof/>
                <w:kern w:val="2"/>
                <w:sz w:val="24"/>
                <w:szCs w:val="24"/>
                <w14:ligatures w14:val="standardContextual"/>
              </w:rPr>
              <w:tab/>
            </w:r>
            <w:r w:rsidRPr="00F55A79">
              <w:rPr>
                <w:rStyle w:val="Hyperlink"/>
                <w:noProof/>
              </w:rPr>
              <w:t>Party Positions</w:t>
            </w:r>
            <w:r w:rsidRPr="00F55A79">
              <w:rPr>
                <w:noProof/>
                <w:webHidden/>
              </w:rPr>
              <w:tab/>
            </w:r>
            <w:r w:rsidRPr="00F55A79">
              <w:rPr>
                <w:noProof/>
                <w:webHidden/>
              </w:rPr>
              <w:fldChar w:fldCharType="begin"/>
            </w:r>
            <w:r w:rsidRPr="00F55A79">
              <w:rPr>
                <w:noProof/>
                <w:webHidden/>
              </w:rPr>
              <w:instrText xml:space="preserve"> PAGEREF _Toc216163202 \h </w:instrText>
            </w:r>
            <w:r w:rsidRPr="00F55A79">
              <w:rPr>
                <w:noProof/>
                <w:webHidden/>
              </w:rPr>
            </w:r>
            <w:r w:rsidRPr="00F55A79">
              <w:rPr>
                <w:noProof/>
                <w:webHidden/>
              </w:rPr>
              <w:fldChar w:fldCharType="separate"/>
            </w:r>
            <w:r w:rsidR="00BA5597">
              <w:rPr>
                <w:noProof/>
                <w:webHidden/>
              </w:rPr>
              <w:t>57</w:t>
            </w:r>
            <w:r w:rsidRPr="00F55A79">
              <w:rPr>
                <w:noProof/>
                <w:webHidden/>
              </w:rPr>
              <w:fldChar w:fldCharType="end"/>
            </w:r>
          </w:hyperlink>
        </w:p>
        <w:p w:rsidRPr="00F55A79" w:rsidR="005142AB" w:rsidRDefault="005142AB" w14:paraId="05996A3D" w14:textId="2B0D8EB4">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203">
            <w:r w:rsidRPr="00F55A79">
              <w:rPr>
                <w:rStyle w:val="Hyperlink"/>
                <w:noProof/>
              </w:rPr>
              <w:t>6.7.3.1.</w:t>
            </w:r>
            <w:r w:rsidRPr="00F55A79">
              <w:rPr>
                <w:rFonts w:asciiTheme="minorHAnsi" w:hAnsiTheme="minorHAnsi" w:eastAsiaTheme="minorEastAsia"/>
                <w:noProof/>
                <w:kern w:val="2"/>
                <w:sz w:val="24"/>
                <w:szCs w:val="24"/>
                <w14:ligatures w14:val="standardContextual"/>
              </w:rPr>
              <w:tab/>
            </w:r>
            <w:r w:rsidRPr="00F55A79">
              <w:rPr>
                <w:rStyle w:val="Hyperlink"/>
                <w:noProof/>
              </w:rPr>
              <w:t>CETF</w:t>
            </w:r>
            <w:r w:rsidRPr="00F55A79">
              <w:rPr>
                <w:noProof/>
                <w:webHidden/>
              </w:rPr>
              <w:tab/>
            </w:r>
            <w:r w:rsidRPr="00F55A79">
              <w:rPr>
                <w:noProof/>
                <w:webHidden/>
              </w:rPr>
              <w:fldChar w:fldCharType="begin"/>
            </w:r>
            <w:r w:rsidRPr="00F55A79">
              <w:rPr>
                <w:noProof/>
                <w:webHidden/>
              </w:rPr>
              <w:instrText xml:space="preserve"> PAGEREF _Toc216163203 \h </w:instrText>
            </w:r>
            <w:r w:rsidRPr="00F55A79">
              <w:rPr>
                <w:noProof/>
                <w:webHidden/>
              </w:rPr>
            </w:r>
            <w:r w:rsidRPr="00F55A79">
              <w:rPr>
                <w:noProof/>
                <w:webHidden/>
              </w:rPr>
              <w:fldChar w:fldCharType="separate"/>
            </w:r>
            <w:r w:rsidR="00BA5597">
              <w:rPr>
                <w:noProof/>
                <w:webHidden/>
              </w:rPr>
              <w:t>57</w:t>
            </w:r>
            <w:r w:rsidRPr="00F55A79">
              <w:rPr>
                <w:noProof/>
                <w:webHidden/>
              </w:rPr>
              <w:fldChar w:fldCharType="end"/>
            </w:r>
          </w:hyperlink>
        </w:p>
        <w:p w:rsidRPr="00F55A79" w:rsidR="005142AB" w:rsidRDefault="005142AB" w14:paraId="698D59C9" w14:textId="32F99A6B">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204">
            <w:r w:rsidRPr="00F55A79">
              <w:rPr>
                <w:rStyle w:val="Hyperlink"/>
                <w:noProof/>
              </w:rPr>
              <w:t>6.7.3.2.</w:t>
            </w:r>
            <w:r w:rsidRPr="00F55A79">
              <w:rPr>
                <w:rFonts w:asciiTheme="minorHAnsi" w:hAnsiTheme="minorHAnsi" w:eastAsiaTheme="minorEastAsia"/>
                <w:noProof/>
                <w:kern w:val="2"/>
                <w:sz w:val="24"/>
                <w:szCs w:val="24"/>
                <w14:ligatures w14:val="standardContextual"/>
              </w:rPr>
              <w:tab/>
            </w:r>
            <w:r w:rsidRPr="00F55A79">
              <w:rPr>
                <w:rStyle w:val="Hyperlink"/>
                <w:noProof/>
              </w:rPr>
              <w:t>CforAT</w:t>
            </w:r>
            <w:r w:rsidRPr="00F55A79">
              <w:rPr>
                <w:noProof/>
                <w:webHidden/>
              </w:rPr>
              <w:tab/>
            </w:r>
            <w:r w:rsidRPr="00F55A79">
              <w:rPr>
                <w:noProof/>
                <w:webHidden/>
              </w:rPr>
              <w:fldChar w:fldCharType="begin"/>
            </w:r>
            <w:r w:rsidRPr="00F55A79">
              <w:rPr>
                <w:noProof/>
                <w:webHidden/>
              </w:rPr>
              <w:instrText xml:space="preserve"> PAGEREF _Toc216163204 \h </w:instrText>
            </w:r>
            <w:r w:rsidRPr="00F55A79">
              <w:rPr>
                <w:noProof/>
                <w:webHidden/>
              </w:rPr>
            </w:r>
            <w:r w:rsidRPr="00F55A79">
              <w:rPr>
                <w:noProof/>
                <w:webHidden/>
              </w:rPr>
              <w:fldChar w:fldCharType="separate"/>
            </w:r>
            <w:r w:rsidR="00BA5597">
              <w:rPr>
                <w:noProof/>
                <w:webHidden/>
              </w:rPr>
              <w:t>57</w:t>
            </w:r>
            <w:r w:rsidRPr="00F55A79">
              <w:rPr>
                <w:noProof/>
                <w:webHidden/>
              </w:rPr>
              <w:fldChar w:fldCharType="end"/>
            </w:r>
          </w:hyperlink>
        </w:p>
        <w:p w:rsidRPr="00F55A79" w:rsidR="005142AB" w:rsidRDefault="005142AB" w14:paraId="6EBA53A0" w14:textId="6E58F93C">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205">
            <w:r w:rsidRPr="00F55A79">
              <w:rPr>
                <w:rStyle w:val="Hyperlink"/>
                <w:noProof/>
              </w:rPr>
              <w:t>6.7.3.3.</w:t>
            </w:r>
            <w:r w:rsidRPr="00F55A79">
              <w:rPr>
                <w:rFonts w:asciiTheme="minorHAnsi" w:hAnsiTheme="minorHAnsi" w:eastAsiaTheme="minorEastAsia"/>
                <w:noProof/>
                <w:kern w:val="2"/>
                <w:sz w:val="24"/>
                <w:szCs w:val="24"/>
                <w14:ligatures w14:val="standardContextual"/>
              </w:rPr>
              <w:tab/>
            </w:r>
            <w:r w:rsidRPr="00F55A79">
              <w:rPr>
                <w:rStyle w:val="Hyperlink"/>
                <w:noProof/>
              </w:rPr>
              <w:t>TURN</w:t>
            </w:r>
            <w:r w:rsidRPr="00F55A79">
              <w:rPr>
                <w:noProof/>
                <w:webHidden/>
              </w:rPr>
              <w:tab/>
            </w:r>
            <w:r w:rsidRPr="00F55A79">
              <w:rPr>
                <w:noProof/>
                <w:webHidden/>
              </w:rPr>
              <w:fldChar w:fldCharType="begin"/>
            </w:r>
            <w:r w:rsidRPr="00F55A79">
              <w:rPr>
                <w:noProof/>
                <w:webHidden/>
              </w:rPr>
              <w:instrText xml:space="preserve"> PAGEREF _Toc216163205 \h </w:instrText>
            </w:r>
            <w:r w:rsidRPr="00F55A79">
              <w:rPr>
                <w:noProof/>
                <w:webHidden/>
              </w:rPr>
            </w:r>
            <w:r w:rsidRPr="00F55A79">
              <w:rPr>
                <w:noProof/>
                <w:webHidden/>
              </w:rPr>
              <w:fldChar w:fldCharType="separate"/>
            </w:r>
            <w:r w:rsidR="00BA5597">
              <w:rPr>
                <w:noProof/>
                <w:webHidden/>
              </w:rPr>
              <w:t>57</w:t>
            </w:r>
            <w:r w:rsidRPr="00F55A79">
              <w:rPr>
                <w:noProof/>
                <w:webHidden/>
              </w:rPr>
              <w:fldChar w:fldCharType="end"/>
            </w:r>
          </w:hyperlink>
        </w:p>
        <w:p w:rsidRPr="00F55A79" w:rsidR="005142AB" w:rsidRDefault="005142AB" w14:paraId="7D2718A2" w14:textId="38D9457B">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06">
            <w:r w:rsidRPr="00F55A79">
              <w:rPr>
                <w:rStyle w:val="Hyperlink"/>
                <w:noProof/>
              </w:rPr>
              <w:t>6.7.4.</w:t>
            </w:r>
            <w:r w:rsidRPr="00F55A79">
              <w:rPr>
                <w:rFonts w:asciiTheme="minorHAnsi" w:hAnsiTheme="minorHAnsi" w:cstheme="minorBidi"/>
                <w:noProof/>
                <w:kern w:val="2"/>
                <w:sz w:val="24"/>
                <w:szCs w:val="24"/>
                <w14:ligatures w14:val="standardContextual"/>
              </w:rPr>
              <w:tab/>
            </w:r>
            <w:r w:rsidRPr="00F55A79">
              <w:rPr>
                <w:rStyle w:val="Hyperlink"/>
                <w:noProof/>
              </w:rPr>
              <w:t>Discussion</w:t>
            </w:r>
            <w:r w:rsidRPr="00F55A79">
              <w:rPr>
                <w:noProof/>
                <w:webHidden/>
              </w:rPr>
              <w:tab/>
            </w:r>
            <w:r w:rsidRPr="00F55A79">
              <w:rPr>
                <w:noProof/>
                <w:webHidden/>
              </w:rPr>
              <w:fldChar w:fldCharType="begin"/>
            </w:r>
            <w:r w:rsidRPr="00F55A79">
              <w:rPr>
                <w:noProof/>
                <w:webHidden/>
              </w:rPr>
              <w:instrText xml:space="preserve"> PAGEREF _Toc216163206 \h </w:instrText>
            </w:r>
            <w:r w:rsidRPr="00F55A79">
              <w:rPr>
                <w:noProof/>
                <w:webHidden/>
              </w:rPr>
            </w:r>
            <w:r w:rsidRPr="00F55A79">
              <w:rPr>
                <w:noProof/>
                <w:webHidden/>
              </w:rPr>
              <w:fldChar w:fldCharType="separate"/>
            </w:r>
            <w:r w:rsidR="00BA5597">
              <w:rPr>
                <w:noProof/>
                <w:webHidden/>
              </w:rPr>
              <w:t>58</w:t>
            </w:r>
            <w:r w:rsidRPr="00F55A79">
              <w:rPr>
                <w:noProof/>
                <w:webHidden/>
              </w:rPr>
              <w:fldChar w:fldCharType="end"/>
            </w:r>
          </w:hyperlink>
        </w:p>
        <w:p w:rsidRPr="00F55A79" w:rsidR="005142AB" w:rsidRDefault="005142AB" w14:paraId="5FE8F443" w14:textId="1E7AD807">
          <w:pPr>
            <w:pStyle w:val="TOC2"/>
            <w:tabs>
              <w:tab w:val="right" w:leader="dot" w:pos="9350"/>
            </w:tabs>
            <w:rPr>
              <w:rFonts w:asciiTheme="minorHAnsi" w:hAnsiTheme="minorHAnsi" w:cstheme="minorBidi"/>
              <w:noProof/>
              <w:kern w:val="2"/>
              <w:sz w:val="24"/>
              <w:szCs w:val="24"/>
              <w14:ligatures w14:val="standardContextual"/>
            </w:rPr>
          </w:pPr>
          <w:hyperlink w:history="1" w:anchor="_Toc216163207">
            <w:r w:rsidRPr="00F55A79">
              <w:rPr>
                <w:rStyle w:val="Hyperlink"/>
                <w:noProof/>
              </w:rPr>
              <w:t>6.8.</w:t>
            </w:r>
            <w:r w:rsidRPr="00F55A79">
              <w:rPr>
                <w:rFonts w:asciiTheme="minorHAnsi" w:hAnsiTheme="minorHAnsi" w:cstheme="minorBidi"/>
                <w:noProof/>
                <w:kern w:val="2"/>
                <w:sz w:val="24"/>
                <w:szCs w:val="24"/>
                <w14:ligatures w14:val="standardContextual"/>
              </w:rPr>
              <w:tab/>
            </w:r>
            <w:r w:rsidRPr="00F55A79">
              <w:rPr>
                <w:rStyle w:val="Hyperlink"/>
                <w:noProof/>
              </w:rPr>
              <w:t>Jurisdiction and Capacity of the Commission</w:t>
            </w:r>
            <w:r w:rsidRPr="00F55A79">
              <w:rPr>
                <w:noProof/>
                <w:webHidden/>
              </w:rPr>
              <w:tab/>
            </w:r>
            <w:r w:rsidRPr="00F55A79">
              <w:rPr>
                <w:noProof/>
                <w:webHidden/>
              </w:rPr>
              <w:fldChar w:fldCharType="begin"/>
            </w:r>
            <w:r w:rsidRPr="00F55A79">
              <w:rPr>
                <w:noProof/>
                <w:webHidden/>
              </w:rPr>
              <w:instrText xml:space="preserve"> PAGEREF _Toc216163207 \h </w:instrText>
            </w:r>
            <w:r w:rsidRPr="00F55A79">
              <w:rPr>
                <w:noProof/>
                <w:webHidden/>
              </w:rPr>
            </w:r>
            <w:r w:rsidRPr="00F55A79">
              <w:rPr>
                <w:noProof/>
                <w:webHidden/>
              </w:rPr>
              <w:fldChar w:fldCharType="separate"/>
            </w:r>
            <w:r w:rsidR="00BA5597">
              <w:rPr>
                <w:noProof/>
                <w:webHidden/>
              </w:rPr>
              <w:t>58</w:t>
            </w:r>
            <w:r w:rsidRPr="00F55A79">
              <w:rPr>
                <w:noProof/>
                <w:webHidden/>
              </w:rPr>
              <w:fldChar w:fldCharType="end"/>
            </w:r>
          </w:hyperlink>
        </w:p>
        <w:p w:rsidRPr="00F55A79" w:rsidR="005142AB" w:rsidRDefault="005142AB" w14:paraId="06EFA076" w14:textId="500E48C0">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08">
            <w:r w:rsidRPr="00F55A79">
              <w:rPr>
                <w:rStyle w:val="Hyperlink"/>
                <w:noProof/>
              </w:rPr>
              <w:t>6.8.1.</w:t>
            </w:r>
            <w:r w:rsidRPr="00F55A79">
              <w:rPr>
                <w:rFonts w:asciiTheme="minorHAnsi" w:hAnsiTheme="minorHAnsi" w:cstheme="minorBidi"/>
                <w:noProof/>
                <w:kern w:val="2"/>
                <w:sz w:val="24"/>
                <w:szCs w:val="24"/>
                <w14:ligatures w14:val="standardContextual"/>
              </w:rPr>
              <w:tab/>
            </w:r>
            <w:r w:rsidRPr="00F55A79">
              <w:rPr>
                <w:rStyle w:val="Hyperlink"/>
                <w:noProof/>
              </w:rPr>
              <w:t>Joint Applicants’ Position</w:t>
            </w:r>
            <w:r w:rsidRPr="00F55A79">
              <w:rPr>
                <w:noProof/>
                <w:webHidden/>
              </w:rPr>
              <w:tab/>
            </w:r>
            <w:r w:rsidRPr="00F55A79">
              <w:rPr>
                <w:noProof/>
                <w:webHidden/>
              </w:rPr>
              <w:fldChar w:fldCharType="begin"/>
            </w:r>
            <w:r w:rsidRPr="00F55A79">
              <w:rPr>
                <w:noProof/>
                <w:webHidden/>
              </w:rPr>
              <w:instrText xml:space="preserve"> PAGEREF _Toc216163208 \h </w:instrText>
            </w:r>
            <w:r w:rsidRPr="00F55A79">
              <w:rPr>
                <w:noProof/>
                <w:webHidden/>
              </w:rPr>
            </w:r>
            <w:r w:rsidRPr="00F55A79">
              <w:rPr>
                <w:noProof/>
                <w:webHidden/>
              </w:rPr>
              <w:fldChar w:fldCharType="separate"/>
            </w:r>
            <w:r w:rsidR="00BA5597">
              <w:rPr>
                <w:noProof/>
                <w:webHidden/>
              </w:rPr>
              <w:t>58</w:t>
            </w:r>
            <w:r w:rsidRPr="00F55A79">
              <w:rPr>
                <w:noProof/>
                <w:webHidden/>
              </w:rPr>
              <w:fldChar w:fldCharType="end"/>
            </w:r>
          </w:hyperlink>
        </w:p>
        <w:p w:rsidRPr="00F55A79" w:rsidR="005142AB" w:rsidRDefault="005142AB" w14:paraId="31EB747B" w14:textId="7498FF98">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09">
            <w:r w:rsidRPr="00F55A79">
              <w:rPr>
                <w:rStyle w:val="Hyperlink"/>
                <w:noProof/>
              </w:rPr>
              <w:t>6.8.2.</w:t>
            </w:r>
            <w:r w:rsidRPr="00F55A79">
              <w:rPr>
                <w:rFonts w:asciiTheme="minorHAnsi" w:hAnsiTheme="minorHAnsi" w:cstheme="minorBidi"/>
                <w:noProof/>
                <w:kern w:val="2"/>
                <w:sz w:val="24"/>
                <w:szCs w:val="24"/>
                <w14:ligatures w14:val="standardContextual"/>
              </w:rPr>
              <w:tab/>
            </w:r>
            <w:r w:rsidRPr="00F55A79">
              <w:rPr>
                <w:rStyle w:val="Hyperlink"/>
                <w:noProof/>
              </w:rPr>
              <w:t>Party Positions</w:t>
            </w:r>
            <w:r w:rsidRPr="00F55A79">
              <w:rPr>
                <w:noProof/>
                <w:webHidden/>
              </w:rPr>
              <w:tab/>
            </w:r>
            <w:r w:rsidRPr="00F55A79">
              <w:rPr>
                <w:noProof/>
                <w:webHidden/>
              </w:rPr>
              <w:fldChar w:fldCharType="begin"/>
            </w:r>
            <w:r w:rsidRPr="00F55A79">
              <w:rPr>
                <w:noProof/>
                <w:webHidden/>
              </w:rPr>
              <w:instrText xml:space="preserve"> PAGEREF _Toc216163209 \h </w:instrText>
            </w:r>
            <w:r w:rsidRPr="00F55A79">
              <w:rPr>
                <w:noProof/>
                <w:webHidden/>
              </w:rPr>
            </w:r>
            <w:r w:rsidRPr="00F55A79">
              <w:rPr>
                <w:noProof/>
                <w:webHidden/>
              </w:rPr>
              <w:fldChar w:fldCharType="separate"/>
            </w:r>
            <w:r w:rsidR="00BA5597">
              <w:rPr>
                <w:noProof/>
                <w:webHidden/>
              </w:rPr>
              <w:t>59</w:t>
            </w:r>
            <w:r w:rsidRPr="00F55A79">
              <w:rPr>
                <w:noProof/>
                <w:webHidden/>
              </w:rPr>
              <w:fldChar w:fldCharType="end"/>
            </w:r>
          </w:hyperlink>
        </w:p>
        <w:p w:rsidRPr="00F55A79" w:rsidR="005142AB" w:rsidRDefault="005142AB" w14:paraId="30E07391" w14:textId="3B451987">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210">
            <w:r w:rsidRPr="00F55A79">
              <w:rPr>
                <w:rStyle w:val="Hyperlink"/>
                <w:noProof/>
              </w:rPr>
              <w:t>6.8.2.1.</w:t>
            </w:r>
            <w:r w:rsidRPr="00F55A79">
              <w:rPr>
                <w:rFonts w:asciiTheme="minorHAnsi" w:hAnsiTheme="minorHAnsi" w:eastAsiaTheme="minorEastAsia"/>
                <w:noProof/>
                <w:kern w:val="2"/>
                <w:sz w:val="24"/>
                <w:szCs w:val="24"/>
                <w14:ligatures w14:val="standardContextual"/>
              </w:rPr>
              <w:tab/>
            </w:r>
            <w:r w:rsidRPr="00F55A79">
              <w:rPr>
                <w:rStyle w:val="Hyperlink"/>
                <w:noProof/>
              </w:rPr>
              <w:t>CETF</w:t>
            </w:r>
            <w:r w:rsidRPr="00F55A79">
              <w:rPr>
                <w:noProof/>
                <w:webHidden/>
              </w:rPr>
              <w:tab/>
            </w:r>
            <w:r w:rsidRPr="00F55A79">
              <w:rPr>
                <w:noProof/>
                <w:webHidden/>
              </w:rPr>
              <w:fldChar w:fldCharType="begin"/>
            </w:r>
            <w:r w:rsidRPr="00F55A79">
              <w:rPr>
                <w:noProof/>
                <w:webHidden/>
              </w:rPr>
              <w:instrText xml:space="preserve"> PAGEREF _Toc216163210 \h </w:instrText>
            </w:r>
            <w:r w:rsidRPr="00F55A79">
              <w:rPr>
                <w:noProof/>
                <w:webHidden/>
              </w:rPr>
            </w:r>
            <w:r w:rsidRPr="00F55A79">
              <w:rPr>
                <w:noProof/>
                <w:webHidden/>
              </w:rPr>
              <w:fldChar w:fldCharType="separate"/>
            </w:r>
            <w:r w:rsidR="00BA5597">
              <w:rPr>
                <w:noProof/>
                <w:webHidden/>
              </w:rPr>
              <w:t>59</w:t>
            </w:r>
            <w:r w:rsidRPr="00F55A79">
              <w:rPr>
                <w:noProof/>
                <w:webHidden/>
              </w:rPr>
              <w:fldChar w:fldCharType="end"/>
            </w:r>
          </w:hyperlink>
        </w:p>
        <w:p w:rsidRPr="00F55A79" w:rsidR="005142AB" w:rsidRDefault="005142AB" w14:paraId="2DBE5632" w14:textId="068588B9">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211">
            <w:r w:rsidRPr="00F55A79">
              <w:rPr>
                <w:rStyle w:val="Hyperlink"/>
                <w:noProof/>
              </w:rPr>
              <w:t>6.8.2.2.</w:t>
            </w:r>
            <w:r w:rsidRPr="00F55A79">
              <w:rPr>
                <w:rFonts w:asciiTheme="minorHAnsi" w:hAnsiTheme="minorHAnsi" w:eastAsiaTheme="minorEastAsia"/>
                <w:noProof/>
                <w:kern w:val="2"/>
                <w:sz w:val="24"/>
                <w:szCs w:val="24"/>
                <w14:ligatures w14:val="standardContextual"/>
              </w:rPr>
              <w:tab/>
            </w:r>
            <w:r w:rsidRPr="00F55A79">
              <w:rPr>
                <w:rStyle w:val="Hyperlink"/>
                <w:noProof/>
              </w:rPr>
              <w:t>CforAT</w:t>
            </w:r>
            <w:r w:rsidRPr="00F55A79">
              <w:rPr>
                <w:noProof/>
                <w:webHidden/>
              </w:rPr>
              <w:tab/>
            </w:r>
            <w:r w:rsidRPr="00F55A79">
              <w:rPr>
                <w:noProof/>
                <w:webHidden/>
              </w:rPr>
              <w:fldChar w:fldCharType="begin"/>
            </w:r>
            <w:r w:rsidRPr="00F55A79">
              <w:rPr>
                <w:noProof/>
                <w:webHidden/>
              </w:rPr>
              <w:instrText xml:space="preserve"> PAGEREF _Toc216163211 \h </w:instrText>
            </w:r>
            <w:r w:rsidRPr="00F55A79">
              <w:rPr>
                <w:noProof/>
                <w:webHidden/>
              </w:rPr>
            </w:r>
            <w:r w:rsidRPr="00F55A79">
              <w:rPr>
                <w:noProof/>
                <w:webHidden/>
              </w:rPr>
              <w:fldChar w:fldCharType="separate"/>
            </w:r>
            <w:r w:rsidR="00BA5597">
              <w:rPr>
                <w:noProof/>
                <w:webHidden/>
              </w:rPr>
              <w:t>60</w:t>
            </w:r>
            <w:r w:rsidRPr="00F55A79">
              <w:rPr>
                <w:noProof/>
                <w:webHidden/>
              </w:rPr>
              <w:fldChar w:fldCharType="end"/>
            </w:r>
          </w:hyperlink>
        </w:p>
        <w:p w:rsidRPr="00F55A79" w:rsidR="005142AB" w:rsidRDefault="005142AB" w14:paraId="79FD91CE" w14:textId="34AF71B6">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212">
            <w:r w:rsidRPr="00F55A79">
              <w:rPr>
                <w:rStyle w:val="Hyperlink"/>
                <w:noProof/>
              </w:rPr>
              <w:t>6.8.2.3.</w:t>
            </w:r>
            <w:r w:rsidRPr="00F55A79">
              <w:rPr>
                <w:rFonts w:asciiTheme="minorHAnsi" w:hAnsiTheme="minorHAnsi" w:eastAsiaTheme="minorEastAsia"/>
                <w:noProof/>
                <w:kern w:val="2"/>
                <w:sz w:val="24"/>
                <w:szCs w:val="24"/>
                <w14:ligatures w14:val="standardContextual"/>
              </w:rPr>
              <w:tab/>
            </w:r>
            <w:r w:rsidRPr="00F55A79">
              <w:rPr>
                <w:rStyle w:val="Hyperlink"/>
                <w:noProof/>
              </w:rPr>
              <w:t>TURN</w:t>
            </w:r>
            <w:r w:rsidRPr="00F55A79">
              <w:rPr>
                <w:noProof/>
                <w:webHidden/>
              </w:rPr>
              <w:tab/>
            </w:r>
            <w:r w:rsidRPr="00F55A79">
              <w:rPr>
                <w:noProof/>
                <w:webHidden/>
              </w:rPr>
              <w:fldChar w:fldCharType="begin"/>
            </w:r>
            <w:r w:rsidRPr="00F55A79">
              <w:rPr>
                <w:noProof/>
                <w:webHidden/>
              </w:rPr>
              <w:instrText xml:space="preserve"> PAGEREF _Toc216163212 \h </w:instrText>
            </w:r>
            <w:r w:rsidRPr="00F55A79">
              <w:rPr>
                <w:noProof/>
                <w:webHidden/>
              </w:rPr>
            </w:r>
            <w:r w:rsidRPr="00F55A79">
              <w:rPr>
                <w:noProof/>
                <w:webHidden/>
              </w:rPr>
              <w:fldChar w:fldCharType="separate"/>
            </w:r>
            <w:r w:rsidR="00BA5597">
              <w:rPr>
                <w:noProof/>
                <w:webHidden/>
              </w:rPr>
              <w:t>60</w:t>
            </w:r>
            <w:r w:rsidRPr="00F55A79">
              <w:rPr>
                <w:noProof/>
                <w:webHidden/>
              </w:rPr>
              <w:fldChar w:fldCharType="end"/>
            </w:r>
          </w:hyperlink>
        </w:p>
        <w:p w:rsidRPr="00F55A79" w:rsidR="005142AB" w:rsidRDefault="005142AB" w14:paraId="0FCF7D48" w14:textId="260AEB3A">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13">
            <w:r w:rsidRPr="00F55A79">
              <w:rPr>
                <w:rStyle w:val="Hyperlink"/>
                <w:noProof/>
              </w:rPr>
              <w:t>6.8.3.</w:t>
            </w:r>
            <w:r w:rsidRPr="00F55A79">
              <w:rPr>
                <w:rFonts w:asciiTheme="minorHAnsi" w:hAnsiTheme="minorHAnsi" w:cstheme="minorBidi"/>
                <w:noProof/>
                <w:kern w:val="2"/>
                <w:sz w:val="24"/>
                <w:szCs w:val="24"/>
                <w14:ligatures w14:val="standardContextual"/>
              </w:rPr>
              <w:tab/>
            </w:r>
            <w:r w:rsidRPr="00F55A79">
              <w:rPr>
                <w:rStyle w:val="Hyperlink"/>
                <w:noProof/>
              </w:rPr>
              <w:t>Discussion</w:t>
            </w:r>
            <w:r w:rsidRPr="00F55A79">
              <w:rPr>
                <w:noProof/>
                <w:webHidden/>
              </w:rPr>
              <w:tab/>
            </w:r>
            <w:r w:rsidRPr="00F55A79">
              <w:rPr>
                <w:noProof/>
                <w:webHidden/>
              </w:rPr>
              <w:fldChar w:fldCharType="begin"/>
            </w:r>
            <w:r w:rsidRPr="00F55A79">
              <w:rPr>
                <w:noProof/>
                <w:webHidden/>
              </w:rPr>
              <w:instrText xml:space="preserve"> PAGEREF _Toc216163213 \h </w:instrText>
            </w:r>
            <w:r w:rsidRPr="00F55A79">
              <w:rPr>
                <w:noProof/>
                <w:webHidden/>
              </w:rPr>
            </w:r>
            <w:r w:rsidRPr="00F55A79">
              <w:rPr>
                <w:noProof/>
                <w:webHidden/>
              </w:rPr>
              <w:fldChar w:fldCharType="separate"/>
            </w:r>
            <w:r w:rsidR="00BA5597">
              <w:rPr>
                <w:noProof/>
                <w:webHidden/>
              </w:rPr>
              <w:t>60</w:t>
            </w:r>
            <w:r w:rsidRPr="00F55A79">
              <w:rPr>
                <w:noProof/>
                <w:webHidden/>
              </w:rPr>
              <w:fldChar w:fldCharType="end"/>
            </w:r>
          </w:hyperlink>
        </w:p>
        <w:p w:rsidRPr="00F55A79" w:rsidR="005142AB" w:rsidRDefault="005142AB" w14:paraId="2605E6EF" w14:textId="1AD7591E">
          <w:pPr>
            <w:pStyle w:val="TOC2"/>
            <w:tabs>
              <w:tab w:val="right" w:leader="dot" w:pos="9350"/>
            </w:tabs>
            <w:rPr>
              <w:rFonts w:asciiTheme="minorHAnsi" w:hAnsiTheme="minorHAnsi" w:cstheme="minorBidi"/>
              <w:noProof/>
              <w:kern w:val="2"/>
              <w:sz w:val="24"/>
              <w:szCs w:val="24"/>
              <w14:ligatures w14:val="standardContextual"/>
            </w:rPr>
          </w:pPr>
          <w:hyperlink w:history="1" w:anchor="_Toc216163214">
            <w:r w:rsidRPr="00F55A79">
              <w:rPr>
                <w:rStyle w:val="Hyperlink"/>
                <w:noProof/>
              </w:rPr>
              <w:t>6.9.</w:t>
            </w:r>
            <w:r w:rsidRPr="00F55A79">
              <w:rPr>
                <w:rFonts w:asciiTheme="minorHAnsi" w:hAnsiTheme="minorHAnsi" w:cstheme="minorBidi"/>
                <w:noProof/>
                <w:kern w:val="2"/>
                <w:sz w:val="24"/>
                <w:szCs w:val="24"/>
                <w14:ligatures w14:val="standardContextual"/>
              </w:rPr>
              <w:tab/>
            </w:r>
            <w:r w:rsidRPr="00F55A79">
              <w:rPr>
                <w:rStyle w:val="Hyperlink"/>
                <w:noProof/>
              </w:rPr>
              <w:t>Mitigation Measures</w:t>
            </w:r>
            <w:r w:rsidRPr="00F55A79">
              <w:rPr>
                <w:noProof/>
                <w:webHidden/>
              </w:rPr>
              <w:tab/>
            </w:r>
            <w:r w:rsidRPr="00F55A79">
              <w:rPr>
                <w:noProof/>
                <w:webHidden/>
              </w:rPr>
              <w:fldChar w:fldCharType="begin"/>
            </w:r>
            <w:r w:rsidRPr="00F55A79">
              <w:rPr>
                <w:noProof/>
                <w:webHidden/>
              </w:rPr>
              <w:instrText xml:space="preserve"> PAGEREF _Toc216163214 \h </w:instrText>
            </w:r>
            <w:r w:rsidRPr="00F55A79">
              <w:rPr>
                <w:noProof/>
                <w:webHidden/>
              </w:rPr>
            </w:r>
            <w:r w:rsidRPr="00F55A79">
              <w:rPr>
                <w:noProof/>
                <w:webHidden/>
              </w:rPr>
              <w:fldChar w:fldCharType="separate"/>
            </w:r>
            <w:r w:rsidR="00BA5597">
              <w:rPr>
                <w:noProof/>
                <w:webHidden/>
              </w:rPr>
              <w:t>61</w:t>
            </w:r>
            <w:r w:rsidRPr="00F55A79">
              <w:rPr>
                <w:noProof/>
                <w:webHidden/>
              </w:rPr>
              <w:fldChar w:fldCharType="end"/>
            </w:r>
          </w:hyperlink>
        </w:p>
        <w:p w:rsidRPr="00F55A79" w:rsidR="005142AB" w:rsidRDefault="005142AB" w14:paraId="4B792601" w14:textId="6041F681">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15">
            <w:r w:rsidRPr="00F55A79">
              <w:rPr>
                <w:rStyle w:val="Hyperlink"/>
                <w:noProof/>
              </w:rPr>
              <w:t>6.9.1.</w:t>
            </w:r>
            <w:r w:rsidRPr="00F55A79">
              <w:rPr>
                <w:rFonts w:asciiTheme="minorHAnsi" w:hAnsiTheme="minorHAnsi" w:cstheme="minorBidi"/>
                <w:noProof/>
                <w:kern w:val="2"/>
                <w:sz w:val="24"/>
                <w:szCs w:val="24"/>
                <w14:ligatures w14:val="standardContextual"/>
              </w:rPr>
              <w:tab/>
            </w:r>
            <w:r w:rsidRPr="00F55A79">
              <w:rPr>
                <w:rStyle w:val="Hyperlink"/>
                <w:noProof/>
              </w:rPr>
              <w:t>Joint Applicants’ Position</w:t>
            </w:r>
            <w:r w:rsidRPr="00F55A79">
              <w:rPr>
                <w:noProof/>
                <w:webHidden/>
              </w:rPr>
              <w:tab/>
            </w:r>
            <w:r w:rsidRPr="00F55A79">
              <w:rPr>
                <w:noProof/>
                <w:webHidden/>
              </w:rPr>
              <w:fldChar w:fldCharType="begin"/>
            </w:r>
            <w:r w:rsidRPr="00F55A79">
              <w:rPr>
                <w:noProof/>
                <w:webHidden/>
              </w:rPr>
              <w:instrText xml:space="preserve"> PAGEREF _Toc216163215 \h </w:instrText>
            </w:r>
            <w:r w:rsidRPr="00F55A79">
              <w:rPr>
                <w:noProof/>
                <w:webHidden/>
              </w:rPr>
            </w:r>
            <w:r w:rsidRPr="00F55A79">
              <w:rPr>
                <w:noProof/>
                <w:webHidden/>
              </w:rPr>
              <w:fldChar w:fldCharType="separate"/>
            </w:r>
            <w:r w:rsidR="00BA5597">
              <w:rPr>
                <w:noProof/>
                <w:webHidden/>
              </w:rPr>
              <w:t>61</w:t>
            </w:r>
            <w:r w:rsidRPr="00F55A79">
              <w:rPr>
                <w:noProof/>
                <w:webHidden/>
              </w:rPr>
              <w:fldChar w:fldCharType="end"/>
            </w:r>
          </w:hyperlink>
        </w:p>
        <w:p w:rsidRPr="00F55A79" w:rsidR="005142AB" w:rsidRDefault="005142AB" w14:paraId="01B3E3A3" w14:textId="04742DCB">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16">
            <w:r w:rsidRPr="00F55A79">
              <w:rPr>
                <w:rStyle w:val="Hyperlink"/>
                <w:noProof/>
              </w:rPr>
              <w:t>6.9.2.</w:t>
            </w:r>
            <w:r w:rsidRPr="00F55A79">
              <w:rPr>
                <w:rFonts w:asciiTheme="minorHAnsi" w:hAnsiTheme="minorHAnsi" w:cstheme="minorBidi"/>
                <w:noProof/>
                <w:kern w:val="2"/>
                <w:sz w:val="24"/>
                <w:szCs w:val="24"/>
                <w14:ligatures w14:val="standardContextual"/>
              </w:rPr>
              <w:tab/>
            </w:r>
            <w:r w:rsidRPr="00F55A79">
              <w:rPr>
                <w:rStyle w:val="Hyperlink"/>
                <w:noProof/>
              </w:rPr>
              <w:t>Party Positions</w:t>
            </w:r>
            <w:r w:rsidRPr="00F55A79">
              <w:rPr>
                <w:noProof/>
                <w:webHidden/>
              </w:rPr>
              <w:tab/>
            </w:r>
            <w:r w:rsidRPr="00F55A79">
              <w:rPr>
                <w:noProof/>
                <w:webHidden/>
              </w:rPr>
              <w:fldChar w:fldCharType="begin"/>
            </w:r>
            <w:r w:rsidRPr="00F55A79">
              <w:rPr>
                <w:noProof/>
                <w:webHidden/>
              </w:rPr>
              <w:instrText xml:space="preserve"> PAGEREF _Toc216163216 \h </w:instrText>
            </w:r>
            <w:r w:rsidRPr="00F55A79">
              <w:rPr>
                <w:noProof/>
                <w:webHidden/>
              </w:rPr>
            </w:r>
            <w:r w:rsidRPr="00F55A79">
              <w:rPr>
                <w:noProof/>
                <w:webHidden/>
              </w:rPr>
              <w:fldChar w:fldCharType="separate"/>
            </w:r>
            <w:r w:rsidR="00BA5597">
              <w:rPr>
                <w:noProof/>
                <w:webHidden/>
              </w:rPr>
              <w:t>61</w:t>
            </w:r>
            <w:r w:rsidRPr="00F55A79">
              <w:rPr>
                <w:noProof/>
                <w:webHidden/>
              </w:rPr>
              <w:fldChar w:fldCharType="end"/>
            </w:r>
          </w:hyperlink>
        </w:p>
        <w:p w:rsidRPr="00F55A79" w:rsidR="005142AB" w:rsidRDefault="005142AB" w14:paraId="6D308D93" w14:textId="0A84A5E5">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217">
            <w:r w:rsidRPr="00F55A79">
              <w:rPr>
                <w:rStyle w:val="Hyperlink"/>
                <w:noProof/>
              </w:rPr>
              <w:t>6.9.2.1.</w:t>
            </w:r>
            <w:r w:rsidRPr="00F55A79">
              <w:rPr>
                <w:rFonts w:asciiTheme="minorHAnsi" w:hAnsiTheme="minorHAnsi" w:eastAsiaTheme="minorEastAsia"/>
                <w:noProof/>
                <w:kern w:val="2"/>
                <w:sz w:val="24"/>
                <w:szCs w:val="24"/>
                <w14:ligatures w14:val="standardContextual"/>
              </w:rPr>
              <w:tab/>
            </w:r>
            <w:r w:rsidRPr="00F55A79">
              <w:rPr>
                <w:rStyle w:val="Hyperlink"/>
                <w:noProof/>
              </w:rPr>
              <w:t>CETF</w:t>
            </w:r>
            <w:r w:rsidRPr="00F55A79">
              <w:rPr>
                <w:noProof/>
                <w:webHidden/>
              </w:rPr>
              <w:tab/>
            </w:r>
            <w:r w:rsidRPr="00F55A79">
              <w:rPr>
                <w:noProof/>
                <w:webHidden/>
              </w:rPr>
              <w:fldChar w:fldCharType="begin"/>
            </w:r>
            <w:r w:rsidRPr="00F55A79">
              <w:rPr>
                <w:noProof/>
                <w:webHidden/>
              </w:rPr>
              <w:instrText xml:space="preserve"> PAGEREF _Toc216163217 \h </w:instrText>
            </w:r>
            <w:r w:rsidRPr="00F55A79">
              <w:rPr>
                <w:noProof/>
                <w:webHidden/>
              </w:rPr>
            </w:r>
            <w:r w:rsidRPr="00F55A79">
              <w:rPr>
                <w:noProof/>
                <w:webHidden/>
              </w:rPr>
              <w:fldChar w:fldCharType="separate"/>
            </w:r>
            <w:r w:rsidR="00BA5597">
              <w:rPr>
                <w:noProof/>
                <w:webHidden/>
              </w:rPr>
              <w:t>61</w:t>
            </w:r>
            <w:r w:rsidRPr="00F55A79">
              <w:rPr>
                <w:noProof/>
                <w:webHidden/>
              </w:rPr>
              <w:fldChar w:fldCharType="end"/>
            </w:r>
          </w:hyperlink>
        </w:p>
        <w:p w:rsidRPr="00F55A79" w:rsidR="005142AB" w:rsidRDefault="005142AB" w14:paraId="7AB4246E" w14:textId="34059987">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218">
            <w:r w:rsidRPr="00F55A79">
              <w:rPr>
                <w:rStyle w:val="Hyperlink"/>
                <w:noProof/>
              </w:rPr>
              <w:t>6.9.2.2.</w:t>
            </w:r>
            <w:r w:rsidRPr="00F55A79">
              <w:rPr>
                <w:rFonts w:asciiTheme="minorHAnsi" w:hAnsiTheme="minorHAnsi" w:eastAsiaTheme="minorEastAsia"/>
                <w:noProof/>
                <w:kern w:val="2"/>
                <w:sz w:val="24"/>
                <w:szCs w:val="24"/>
                <w14:ligatures w14:val="standardContextual"/>
              </w:rPr>
              <w:tab/>
            </w:r>
            <w:r w:rsidRPr="00F55A79">
              <w:rPr>
                <w:rStyle w:val="Hyperlink"/>
                <w:noProof/>
              </w:rPr>
              <w:t>CforAT</w:t>
            </w:r>
            <w:r w:rsidRPr="00F55A79">
              <w:rPr>
                <w:noProof/>
                <w:webHidden/>
              </w:rPr>
              <w:tab/>
            </w:r>
            <w:r w:rsidRPr="00F55A79">
              <w:rPr>
                <w:noProof/>
                <w:webHidden/>
              </w:rPr>
              <w:fldChar w:fldCharType="begin"/>
            </w:r>
            <w:r w:rsidRPr="00F55A79">
              <w:rPr>
                <w:noProof/>
                <w:webHidden/>
              </w:rPr>
              <w:instrText xml:space="preserve"> PAGEREF _Toc216163218 \h </w:instrText>
            </w:r>
            <w:r w:rsidRPr="00F55A79">
              <w:rPr>
                <w:noProof/>
                <w:webHidden/>
              </w:rPr>
            </w:r>
            <w:r w:rsidRPr="00F55A79">
              <w:rPr>
                <w:noProof/>
                <w:webHidden/>
              </w:rPr>
              <w:fldChar w:fldCharType="separate"/>
            </w:r>
            <w:r w:rsidR="00BA5597">
              <w:rPr>
                <w:noProof/>
                <w:webHidden/>
              </w:rPr>
              <w:t>62</w:t>
            </w:r>
            <w:r w:rsidRPr="00F55A79">
              <w:rPr>
                <w:noProof/>
                <w:webHidden/>
              </w:rPr>
              <w:fldChar w:fldCharType="end"/>
            </w:r>
          </w:hyperlink>
        </w:p>
        <w:p w:rsidRPr="00F55A79" w:rsidR="005142AB" w:rsidRDefault="005142AB" w14:paraId="6BE6939C" w14:textId="7AC3EFAB">
          <w:pPr>
            <w:pStyle w:val="TOC5"/>
            <w:tabs>
              <w:tab w:val="left" w:pos="2160"/>
              <w:tab w:val="right" w:leader="dot" w:pos="9350"/>
            </w:tabs>
            <w:rPr>
              <w:rFonts w:asciiTheme="minorHAnsi" w:hAnsiTheme="minorHAnsi" w:eastAsiaTheme="minorEastAsia"/>
              <w:noProof/>
              <w:kern w:val="2"/>
              <w:sz w:val="24"/>
              <w:szCs w:val="24"/>
              <w14:ligatures w14:val="standardContextual"/>
            </w:rPr>
          </w:pPr>
          <w:hyperlink w:history="1" w:anchor="_Toc216163219">
            <w:r w:rsidRPr="00F55A79">
              <w:rPr>
                <w:rStyle w:val="Hyperlink"/>
                <w:noProof/>
              </w:rPr>
              <w:t>6.9.2.2.1.</w:t>
            </w:r>
            <w:r w:rsidRPr="00F55A79">
              <w:rPr>
                <w:rFonts w:asciiTheme="minorHAnsi" w:hAnsiTheme="minorHAnsi" w:eastAsiaTheme="minorEastAsia"/>
                <w:noProof/>
                <w:kern w:val="2"/>
                <w:sz w:val="24"/>
                <w:szCs w:val="24"/>
                <w14:ligatures w14:val="standardContextual"/>
              </w:rPr>
              <w:tab/>
            </w:r>
            <w:r w:rsidRPr="00F55A79">
              <w:rPr>
                <w:rStyle w:val="Hyperlink"/>
                <w:noProof/>
              </w:rPr>
              <w:t>Broadband Commitments</w:t>
            </w:r>
            <w:r w:rsidRPr="00F55A79">
              <w:rPr>
                <w:noProof/>
                <w:webHidden/>
              </w:rPr>
              <w:tab/>
            </w:r>
            <w:r w:rsidRPr="00F55A79">
              <w:rPr>
                <w:noProof/>
                <w:webHidden/>
              </w:rPr>
              <w:fldChar w:fldCharType="begin"/>
            </w:r>
            <w:r w:rsidRPr="00F55A79">
              <w:rPr>
                <w:noProof/>
                <w:webHidden/>
              </w:rPr>
              <w:instrText xml:space="preserve"> PAGEREF _Toc216163219 \h </w:instrText>
            </w:r>
            <w:r w:rsidRPr="00F55A79">
              <w:rPr>
                <w:noProof/>
                <w:webHidden/>
              </w:rPr>
            </w:r>
            <w:r w:rsidRPr="00F55A79">
              <w:rPr>
                <w:noProof/>
                <w:webHidden/>
              </w:rPr>
              <w:fldChar w:fldCharType="separate"/>
            </w:r>
            <w:r w:rsidR="00BA5597">
              <w:rPr>
                <w:noProof/>
                <w:webHidden/>
              </w:rPr>
              <w:t>62</w:t>
            </w:r>
            <w:r w:rsidRPr="00F55A79">
              <w:rPr>
                <w:noProof/>
                <w:webHidden/>
              </w:rPr>
              <w:fldChar w:fldCharType="end"/>
            </w:r>
          </w:hyperlink>
        </w:p>
        <w:p w:rsidRPr="00F55A79" w:rsidR="005142AB" w:rsidRDefault="005142AB" w14:paraId="07B9A70F" w14:textId="669F6389">
          <w:pPr>
            <w:pStyle w:val="TOC5"/>
            <w:tabs>
              <w:tab w:val="left" w:pos="2160"/>
              <w:tab w:val="right" w:leader="dot" w:pos="9350"/>
            </w:tabs>
            <w:rPr>
              <w:rFonts w:asciiTheme="minorHAnsi" w:hAnsiTheme="minorHAnsi" w:eastAsiaTheme="minorEastAsia"/>
              <w:noProof/>
              <w:kern w:val="2"/>
              <w:sz w:val="24"/>
              <w:szCs w:val="24"/>
              <w14:ligatures w14:val="standardContextual"/>
            </w:rPr>
          </w:pPr>
          <w:hyperlink w:history="1" w:anchor="_Toc216163220">
            <w:r w:rsidRPr="00F55A79">
              <w:rPr>
                <w:rStyle w:val="Hyperlink"/>
                <w:noProof/>
              </w:rPr>
              <w:t>6.9.2.2.2.</w:t>
            </w:r>
            <w:r w:rsidRPr="00F55A79">
              <w:rPr>
                <w:rFonts w:asciiTheme="minorHAnsi" w:hAnsiTheme="minorHAnsi" w:eastAsiaTheme="minorEastAsia"/>
                <w:noProof/>
                <w:kern w:val="2"/>
                <w:sz w:val="24"/>
                <w:szCs w:val="24"/>
                <w14:ligatures w14:val="standardContextual"/>
              </w:rPr>
              <w:tab/>
            </w:r>
            <w:r w:rsidRPr="00F55A79">
              <w:rPr>
                <w:rStyle w:val="Hyperlink"/>
                <w:noProof/>
              </w:rPr>
              <w:t>Lifeline</w:t>
            </w:r>
            <w:r w:rsidRPr="00F55A79">
              <w:rPr>
                <w:noProof/>
                <w:webHidden/>
              </w:rPr>
              <w:tab/>
            </w:r>
            <w:r w:rsidRPr="00F55A79">
              <w:rPr>
                <w:noProof/>
                <w:webHidden/>
              </w:rPr>
              <w:fldChar w:fldCharType="begin"/>
            </w:r>
            <w:r w:rsidRPr="00F55A79">
              <w:rPr>
                <w:noProof/>
                <w:webHidden/>
              </w:rPr>
              <w:instrText xml:space="preserve"> PAGEREF _Toc216163220 \h </w:instrText>
            </w:r>
            <w:r w:rsidRPr="00F55A79">
              <w:rPr>
                <w:noProof/>
                <w:webHidden/>
              </w:rPr>
            </w:r>
            <w:r w:rsidRPr="00F55A79">
              <w:rPr>
                <w:noProof/>
                <w:webHidden/>
              </w:rPr>
              <w:fldChar w:fldCharType="separate"/>
            </w:r>
            <w:r w:rsidR="00BA5597">
              <w:rPr>
                <w:noProof/>
                <w:webHidden/>
              </w:rPr>
              <w:t>62</w:t>
            </w:r>
            <w:r w:rsidRPr="00F55A79">
              <w:rPr>
                <w:noProof/>
                <w:webHidden/>
              </w:rPr>
              <w:fldChar w:fldCharType="end"/>
            </w:r>
          </w:hyperlink>
        </w:p>
        <w:p w:rsidRPr="00F55A79" w:rsidR="005142AB" w:rsidRDefault="005142AB" w14:paraId="784AA6C3" w14:textId="0CBA15F3">
          <w:pPr>
            <w:pStyle w:val="TOC5"/>
            <w:tabs>
              <w:tab w:val="left" w:pos="2160"/>
              <w:tab w:val="right" w:leader="dot" w:pos="9350"/>
            </w:tabs>
            <w:rPr>
              <w:rFonts w:asciiTheme="minorHAnsi" w:hAnsiTheme="minorHAnsi" w:eastAsiaTheme="minorEastAsia"/>
              <w:noProof/>
              <w:kern w:val="2"/>
              <w:sz w:val="24"/>
              <w:szCs w:val="24"/>
              <w14:ligatures w14:val="standardContextual"/>
            </w:rPr>
          </w:pPr>
          <w:hyperlink w:history="1" w:anchor="_Toc216163221">
            <w:r w:rsidRPr="00F55A79">
              <w:rPr>
                <w:rStyle w:val="Hyperlink"/>
                <w:noProof/>
              </w:rPr>
              <w:t>6.9.2.2.3.</w:t>
            </w:r>
            <w:r w:rsidRPr="00F55A79">
              <w:rPr>
                <w:rFonts w:asciiTheme="minorHAnsi" w:hAnsiTheme="minorHAnsi" w:eastAsiaTheme="minorEastAsia"/>
                <w:noProof/>
                <w:kern w:val="2"/>
                <w:sz w:val="24"/>
                <w:szCs w:val="24"/>
                <w14:ligatures w14:val="standardContextual"/>
              </w:rPr>
              <w:tab/>
            </w:r>
            <w:r w:rsidRPr="00F55A79">
              <w:rPr>
                <w:rStyle w:val="Hyperlink"/>
                <w:noProof/>
              </w:rPr>
              <w:t>Service Quality</w:t>
            </w:r>
            <w:r w:rsidRPr="00F55A79">
              <w:rPr>
                <w:noProof/>
                <w:webHidden/>
              </w:rPr>
              <w:tab/>
            </w:r>
            <w:r w:rsidRPr="00F55A79">
              <w:rPr>
                <w:noProof/>
                <w:webHidden/>
              </w:rPr>
              <w:fldChar w:fldCharType="begin"/>
            </w:r>
            <w:r w:rsidRPr="00F55A79">
              <w:rPr>
                <w:noProof/>
                <w:webHidden/>
              </w:rPr>
              <w:instrText xml:space="preserve"> PAGEREF _Toc216163221 \h </w:instrText>
            </w:r>
            <w:r w:rsidRPr="00F55A79">
              <w:rPr>
                <w:noProof/>
                <w:webHidden/>
              </w:rPr>
            </w:r>
            <w:r w:rsidRPr="00F55A79">
              <w:rPr>
                <w:noProof/>
                <w:webHidden/>
              </w:rPr>
              <w:fldChar w:fldCharType="separate"/>
            </w:r>
            <w:r w:rsidR="00BA5597">
              <w:rPr>
                <w:noProof/>
                <w:webHidden/>
              </w:rPr>
              <w:t>63</w:t>
            </w:r>
            <w:r w:rsidRPr="00F55A79">
              <w:rPr>
                <w:noProof/>
                <w:webHidden/>
              </w:rPr>
              <w:fldChar w:fldCharType="end"/>
            </w:r>
          </w:hyperlink>
        </w:p>
        <w:p w:rsidRPr="00F55A79" w:rsidR="005142AB" w:rsidRDefault="005142AB" w14:paraId="62EC8F82" w14:textId="6A59100F">
          <w:pPr>
            <w:pStyle w:val="TOC5"/>
            <w:tabs>
              <w:tab w:val="left" w:pos="2160"/>
              <w:tab w:val="right" w:leader="dot" w:pos="9350"/>
            </w:tabs>
            <w:rPr>
              <w:rFonts w:asciiTheme="minorHAnsi" w:hAnsiTheme="minorHAnsi" w:eastAsiaTheme="minorEastAsia"/>
              <w:noProof/>
              <w:kern w:val="2"/>
              <w:sz w:val="24"/>
              <w:szCs w:val="24"/>
              <w14:ligatures w14:val="standardContextual"/>
            </w:rPr>
          </w:pPr>
          <w:hyperlink w:history="1" w:anchor="_Toc216163222">
            <w:r w:rsidRPr="00F55A79">
              <w:rPr>
                <w:rStyle w:val="Hyperlink"/>
                <w:noProof/>
              </w:rPr>
              <w:t>6.9.2.2.4.</w:t>
            </w:r>
            <w:r w:rsidRPr="00F55A79">
              <w:rPr>
                <w:rFonts w:asciiTheme="minorHAnsi" w:hAnsiTheme="minorHAnsi" w:eastAsiaTheme="minorEastAsia"/>
                <w:noProof/>
                <w:kern w:val="2"/>
                <w:sz w:val="24"/>
                <w:szCs w:val="24"/>
                <w14:ligatures w14:val="standardContextual"/>
              </w:rPr>
              <w:tab/>
            </w:r>
            <w:r w:rsidRPr="00F55A79">
              <w:rPr>
                <w:rStyle w:val="Hyperlink"/>
                <w:noProof/>
              </w:rPr>
              <w:t>Bond</w:t>
            </w:r>
            <w:r w:rsidRPr="00F55A79">
              <w:rPr>
                <w:noProof/>
                <w:webHidden/>
              </w:rPr>
              <w:tab/>
            </w:r>
            <w:r w:rsidRPr="00F55A79">
              <w:rPr>
                <w:noProof/>
                <w:webHidden/>
              </w:rPr>
              <w:fldChar w:fldCharType="begin"/>
            </w:r>
            <w:r w:rsidRPr="00F55A79">
              <w:rPr>
                <w:noProof/>
                <w:webHidden/>
              </w:rPr>
              <w:instrText xml:space="preserve"> PAGEREF _Toc216163222 \h </w:instrText>
            </w:r>
            <w:r w:rsidRPr="00F55A79">
              <w:rPr>
                <w:noProof/>
                <w:webHidden/>
              </w:rPr>
            </w:r>
            <w:r w:rsidRPr="00F55A79">
              <w:rPr>
                <w:noProof/>
                <w:webHidden/>
              </w:rPr>
              <w:fldChar w:fldCharType="separate"/>
            </w:r>
            <w:r w:rsidR="00BA5597">
              <w:rPr>
                <w:noProof/>
                <w:webHidden/>
              </w:rPr>
              <w:t>63</w:t>
            </w:r>
            <w:r w:rsidRPr="00F55A79">
              <w:rPr>
                <w:noProof/>
                <w:webHidden/>
              </w:rPr>
              <w:fldChar w:fldCharType="end"/>
            </w:r>
          </w:hyperlink>
        </w:p>
        <w:p w:rsidRPr="00F55A79" w:rsidR="005142AB" w:rsidRDefault="005142AB" w14:paraId="284A540E" w14:textId="23B44104">
          <w:pPr>
            <w:pStyle w:val="TOC5"/>
            <w:tabs>
              <w:tab w:val="left" w:pos="2160"/>
              <w:tab w:val="right" w:leader="dot" w:pos="9350"/>
            </w:tabs>
            <w:rPr>
              <w:rFonts w:asciiTheme="minorHAnsi" w:hAnsiTheme="minorHAnsi" w:eastAsiaTheme="minorEastAsia"/>
              <w:noProof/>
              <w:kern w:val="2"/>
              <w:sz w:val="24"/>
              <w:szCs w:val="24"/>
              <w14:ligatures w14:val="standardContextual"/>
            </w:rPr>
          </w:pPr>
          <w:hyperlink w:history="1" w:anchor="_Toc216163223">
            <w:r w:rsidRPr="00F55A79">
              <w:rPr>
                <w:rStyle w:val="Hyperlink"/>
                <w:noProof/>
              </w:rPr>
              <w:t>6.9.2.2.5.</w:t>
            </w:r>
            <w:r w:rsidRPr="00F55A79">
              <w:rPr>
                <w:rFonts w:asciiTheme="minorHAnsi" w:hAnsiTheme="minorHAnsi" w:eastAsiaTheme="minorEastAsia"/>
                <w:noProof/>
                <w:kern w:val="2"/>
                <w:sz w:val="24"/>
                <w:szCs w:val="24"/>
                <w14:ligatures w14:val="standardContextual"/>
              </w:rPr>
              <w:tab/>
            </w:r>
            <w:r w:rsidRPr="00F55A79">
              <w:rPr>
                <w:rStyle w:val="Hyperlink"/>
                <w:noProof/>
              </w:rPr>
              <w:t>Financial Condition</w:t>
            </w:r>
            <w:r w:rsidRPr="00F55A79">
              <w:rPr>
                <w:noProof/>
                <w:webHidden/>
              </w:rPr>
              <w:tab/>
            </w:r>
            <w:r w:rsidRPr="00F55A79">
              <w:rPr>
                <w:noProof/>
                <w:webHidden/>
              </w:rPr>
              <w:fldChar w:fldCharType="begin"/>
            </w:r>
            <w:r w:rsidRPr="00F55A79">
              <w:rPr>
                <w:noProof/>
                <w:webHidden/>
              </w:rPr>
              <w:instrText xml:space="preserve"> PAGEREF _Toc216163223 \h </w:instrText>
            </w:r>
            <w:r w:rsidRPr="00F55A79">
              <w:rPr>
                <w:noProof/>
                <w:webHidden/>
              </w:rPr>
            </w:r>
            <w:r w:rsidRPr="00F55A79">
              <w:rPr>
                <w:noProof/>
                <w:webHidden/>
              </w:rPr>
              <w:fldChar w:fldCharType="separate"/>
            </w:r>
            <w:r w:rsidR="00BA5597">
              <w:rPr>
                <w:noProof/>
                <w:webHidden/>
              </w:rPr>
              <w:t>63</w:t>
            </w:r>
            <w:r w:rsidRPr="00F55A79">
              <w:rPr>
                <w:noProof/>
                <w:webHidden/>
              </w:rPr>
              <w:fldChar w:fldCharType="end"/>
            </w:r>
          </w:hyperlink>
        </w:p>
        <w:p w:rsidRPr="00F55A79" w:rsidR="005142AB" w:rsidRDefault="005142AB" w14:paraId="46877128" w14:textId="70EC918F">
          <w:pPr>
            <w:pStyle w:val="TOC5"/>
            <w:tabs>
              <w:tab w:val="left" w:pos="2160"/>
              <w:tab w:val="right" w:leader="dot" w:pos="9350"/>
            </w:tabs>
            <w:rPr>
              <w:rFonts w:asciiTheme="minorHAnsi" w:hAnsiTheme="minorHAnsi" w:eastAsiaTheme="minorEastAsia"/>
              <w:noProof/>
              <w:kern w:val="2"/>
              <w:sz w:val="24"/>
              <w:szCs w:val="24"/>
              <w14:ligatures w14:val="standardContextual"/>
            </w:rPr>
          </w:pPr>
          <w:hyperlink w:history="1" w:anchor="_Toc216163224">
            <w:r w:rsidRPr="00F55A79">
              <w:rPr>
                <w:rStyle w:val="Hyperlink"/>
                <w:noProof/>
              </w:rPr>
              <w:t>6.9.2.2.6.</w:t>
            </w:r>
            <w:r w:rsidRPr="00F55A79">
              <w:rPr>
                <w:rFonts w:asciiTheme="minorHAnsi" w:hAnsiTheme="minorHAnsi" w:eastAsiaTheme="minorEastAsia"/>
                <w:noProof/>
                <w:kern w:val="2"/>
                <w:sz w:val="24"/>
                <w:szCs w:val="24"/>
                <w14:ligatures w14:val="standardContextual"/>
              </w:rPr>
              <w:tab/>
            </w:r>
            <w:r w:rsidRPr="00F55A79">
              <w:rPr>
                <w:rStyle w:val="Hyperlink"/>
                <w:noProof/>
              </w:rPr>
              <w:t>Compliance</w:t>
            </w:r>
            <w:r w:rsidRPr="00F55A79">
              <w:rPr>
                <w:noProof/>
                <w:webHidden/>
              </w:rPr>
              <w:tab/>
            </w:r>
            <w:r w:rsidRPr="00F55A79">
              <w:rPr>
                <w:noProof/>
                <w:webHidden/>
              </w:rPr>
              <w:fldChar w:fldCharType="begin"/>
            </w:r>
            <w:r w:rsidRPr="00F55A79">
              <w:rPr>
                <w:noProof/>
                <w:webHidden/>
              </w:rPr>
              <w:instrText xml:space="preserve"> PAGEREF _Toc216163224 \h </w:instrText>
            </w:r>
            <w:r w:rsidRPr="00F55A79">
              <w:rPr>
                <w:noProof/>
                <w:webHidden/>
              </w:rPr>
            </w:r>
            <w:r w:rsidRPr="00F55A79">
              <w:rPr>
                <w:noProof/>
                <w:webHidden/>
              </w:rPr>
              <w:fldChar w:fldCharType="separate"/>
            </w:r>
            <w:r w:rsidR="00BA5597">
              <w:rPr>
                <w:noProof/>
                <w:webHidden/>
              </w:rPr>
              <w:t>63</w:t>
            </w:r>
            <w:r w:rsidRPr="00F55A79">
              <w:rPr>
                <w:noProof/>
                <w:webHidden/>
              </w:rPr>
              <w:fldChar w:fldCharType="end"/>
            </w:r>
          </w:hyperlink>
        </w:p>
        <w:p w:rsidRPr="00F55A79" w:rsidR="005142AB" w:rsidRDefault="005142AB" w14:paraId="550CDDBA" w14:textId="7A0C7FFA">
          <w:pPr>
            <w:pStyle w:val="TOC5"/>
            <w:tabs>
              <w:tab w:val="left" w:pos="2160"/>
              <w:tab w:val="right" w:leader="dot" w:pos="9350"/>
            </w:tabs>
            <w:rPr>
              <w:rFonts w:asciiTheme="minorHAnsi" w:hAnsiTheme="minorHAnsi" w:eastAsiaTheme="minorEastAsia"/>
              <w:noProof/>
              <w:kern w:val="2"/>
              <w:sz w:val="24"/>
              <w:szCs w:val="24"/>
              <w14:ligatures w14:val="standardContextual"/>
            </w:rPr>
          </w:pPr>
          <w:hyperlink w:history="1" w:anchor="_Toc216163225">
            <w:r w:rsidRPr="00F55A79">
              <w:rPr>
                <w:rStyle w:val="Hyperlink"/>
                <w:noProof/>
              </w:rPr>
              <w:t>6.9.2.2.7.</w:t>
            </w:r>
            <w:r w:rsidRPr="00F55A79">
              <w:rPr>
                <w:rFonts w:asciiTheme="minorHAnsi" w:hAnsiTheme="minorHAnsi" w:eastAsiaTheme="minorEastAsia"/>
                <w:noProof/>
                <w:kern w:val="2"/>
                <w:sz w:val="24"/>
                <w:szCs w:val="24"/>
                <w14:ligatures w14:val="standardContextual"/>
              </w:rPr>
              <w:tab/>
            </w:r>
            <w:r w:rsidRPr="00F55A79">
              <w:rPr>
                <w:rStyle w:val="Hyperlink"/>
                <w:noProof/>
              </w:rPr>
              <w:t>Protections for non-union employees</w:t>
            </w:r>
            <w:r w:rsidRPr="00F55A79">
              <w:rPr>
                <w:noProof/>
                <w:webHidden/>
              </w:rPr>
              <w:tab/>
            </w:r>
            <w:r w:rsidRPr="00F55A79">
              <w:rPr>
                <w:noProof/>
                <w:webHidden/>
              </w:rPr>
              <w:fldChar w:fldCharType="begin"/>
            </w:r>
            <w:r w:rsidRPr="00F55A79">
              <w:rPr>
                <w:noProof/>
                <w:webHidden/>
              </w:rPr>
              <w:instrText xml:space="preserve"> PAGEREF _Toc216163225 \h </w:instrText>
            </w:r>
            <w:r w:rsidRPr="00F55A79">
              <w:rPr>
                <w:noProof/>
                <w:webHidden/>
              </w:rPr>
            </w:r>
            <w:r w:rsidRPr="00F55A79">
              <w:rPr>
                <w:noProof/>
                <w:webHidden/>
              </w:rPr>
              <w:fldChar w:fldCharType="separate"/>
            </w:r>
            <w:r w:rsidR="00BA5597">
              <w:rPr>
                <w:noProof/>
                <w:webHidden/>
              </w:rPr>
              <w:t>64</w:t>
            </w:r>
            <w:r w:rsidRPr="00F55A79">
              <w:rPr>
                <w:noProof/>
                <w:webHidden/>
              </w:rPr>
              <w:fldChar w:fldCharType="end"/>
            </w:r>
          </w:hyperlink>
        </w:p>
        <w:p w:rsidRPr="00F55A79" w:rsidR="005142AB" w:rsidRDefault="005142AB" w14:paraId="69A30C5F" w14:textId="466A748A">
          <w:pPr>
            <w:pStyle w:val="TOC5"/>
            <w:tabs>
              <w:tab w:val="left" w:pos="2160"/>
              <w:tab w:val="right" w:leader="dot" w:pos="9350"/>
            </w:tabs>
            <w:rPr>
              <w:rFonts w:asciiTheme="minorHAnsi" w:hAnsiTheme="minorHAnsi" w:eastAsiaTheme="minorEastAsia"/>
              <w:noProof/>
              <w:kern w:val="2"/>
              <w:sz w:val="24"/>
              <w:szCs w:val="24"/>
              <w14:ligatures w14:val="standardContextual"/>
            </w:rPr>
          </w:pPr>
          <w:hyperlink w:history="1" w:anchor="_Toc216163226">
            <w:r w:rsidRPr="00F55A79">
              <w:rPr>
                <w:rStyle w:val="Hyperlink"/>
                <w:noProof/>
              </w:rPr>
              <w:t>6.9.2.2.8.</w:t>
            </w:r>
            <w:r w:rsidRPr="00F55A79">
              <w:rPr>
                <w:rFonts w:asciiTheme="minorHAnsi" w:hAnsiTheme="minorHAnsi" w:eastAsiaTheme="minorEastAsia"/>
                <w:noProof/>
                <w:kern w:val="2"/>
                <w:sz w:val="24"/>
                <w:szCs w:val="24"/>
                <w14:ligatures w14:val="standardContextual"/>
              </w:rPr>
              <w:tab/>
            </w:r>
            <w:r w:rsidRPr="00F55A79">
              <w:rPr>
                <w:rStyle w:val="Hyperlink"/>
                <w:noProof/>
              </w:rPr>
              <w:t>GO 156</w:t>
            </w:r>
            <w:r w:rsidRPr="00F55A79">
              <w:rPr>
                <w:noProof/>
                <w:webHidden/>
              </w:rPr>
              <w:tab/>
            </w:r>
            <w:r w:rsidRPr="00F55A79">
              <w:rPr>
                <w:noProof/>
                <w:webHidden/>
              </w:rPr>
              <w:fldChar w:fldCharType="begin"/>
            </w:r>
            <w:r w:rsidRPr="00F55A79">
              <w:rPr>
                <w:noProof/>
                <w:webHidden/>
              </w:rPr>
              <w:instrText xml:space="preserve"> PAGEREF _Toc216163226 \h </w:instrText>
            </w:r>
            <w:r w:rsidRPr="00F55A79">
              <w:rPr>
                <w:noProof/>
                <w:webHidden/>
              </w:rPr>
            </w:r>
            <w:r w:rsidRPr="00F55A79">
              <w:rPr>
                <w:noProof/>
                <w:webHidden/>
              </w:rPr>
              <w:fldChar w:fldCharType="separate"/>
            </w:r>
            <w:r w:rsidR="00BA5597">
              <w:rPr>
                <w:noProof/>
                <w:webHidden/>
              </w:rPr>
              <w:t>64</w:t>
            </w:r>
            <w:r w:rsidRPr="00F55A79">
              <w:rPr>
                <w:noProof/>
                <w:webHidden/>
              </w:rPr>
              <w:fldChar w:fldCharType="end"/>
            </w:r>
          </w:hyperlink>
        </w:p>
        <w:p w:rsidRPr="00F55A79" w:rsidR="005142AB" w:rsidRDefault="005142AB" w14:paraId="2F1E969E" w14:textId="70EA2BEC">
          <w:pPr>
            <w:pStyle w:val="TOC5"/>
            <w:tabs>
              <w:tab w:val="left" w:pos="2160"/>
              <w:tab w:val="right" w:leader="dot" w:pos="9350"/>
            </w:tabs>
            <w:rPr>
              <w:rFonts w:asciiTheme="minorHAnsi" w:hAnsiTheme="minorHAnsi" w:eastAsiaTheme="minorEastAsia"/>
              <w:noProof/>
              <w:kern w:val="2"/>
              <w:sz w:val="24"/>
              <w:szCs w:val="24"/>
              <w14:ligatures w14:val="standardContextual"/>
            </w:rPr>
          </w:pPr>
          <w:hyperlink w:history="1" w:anchor="_Toc216163227">
            <w:r w:rsidRPr="00F55A79">
              <w:rPr>
                <w:rStyle w:val="Hyperlink"/>
                <w:noProof/>
              </w:rPr>
              <w:t>6.9.2.2.9.</w:t>
            </w:r>
            <w:r w:rsidRPr="00F55A79">
              <w:rPr>
                <w:rFonts w:asciiTheme="minorHAnsi" w:hAnsiTheme="minorHAnsi" w:eastAsiaTheme="minorEastAsia"/>
                <w:noProof/>
                <w:kern w:val="2"/>
                <w:sz w:val="24"/>
                <w:szCs w:val="24"/>
                <w14:ligatures w14:val="standardContextual"/>
              </w:rPr>
              <w:tab/>
            </w:r>
            <w:r w:rsidRPr="00F55A79">
              <w:rPr>
                <w:rStyle w:val="Hyperlink"/>
                <w:noProof/>
              </w:rPr>
              <w:t>External Monitoring</w:t>
            </w:r>
            <w:r w:rsidRPr="00F55A79">
              <w:rPr>
                <w:noProof/>
                <w:webHidden/>
              </w:rPr>
              <w:tab/>
            </w:r>
            <w:r w:rsidRPr="00F55A79">
              <w:rPr>
                <w:noProof/>
                <w:webHidden/>
              </w:rPr>
              <w:fldChar w:fldCharType="begin"/>
            </w:r>
            <w:r w:rsidRPr="00F55A79">
              <w:rPr>
                <w:noProof/>
                <w:webHidden/>
              </w:rPr>
              <w:instrText xml:space="preserve"> PAGEREF _Toc216163227 \h </w:instrText>
            </w:r>
            <w:r w:rsidRPr="00F55A79">
              <w:rPr>
                <w:noProof/>
                <w:webHidden/>
              </w:rPr>
            </w:r>
            <w:r w:rsidRPr="00F55A79">
              <w:rPr>
                <w:noProof/>
                <w:webHidden/>
              </w:rPr>
              <w:fldChar w:fldCharType="separate"/>
            </w:r>
            <w:r w:rsidR="00BA5597">
              <w:rPr>
                <w:noProof/>
                <w:webHidden/>
              </w:rPr>
              <w:t>64</w:t>
            </w:r>
            <w:r w:rsidRPr="00F55A79">
              <w:rPr>
                <w:noProof/>
                <w:webHidden/>
              </w:rPr>
              <w:fldChar w:fldCharType="end"/>
            </w:r>
          </w:hyperlink>
        </w:p>
        <w:p w:rsidRPr="00F55A79" w:rsidR="005142AB" w:rsidRDefault="005142AB" w14:paraId="4384F9C6" w14:textId="47480AC9">
          <w:pPr>
            <w:pStyle w:val="TOC5"/>
            <w:tabs>
              <w:tab w:val="left" w:pos="2592"/>
              <w:tab w:val="right" w:leader="dot" w:pos="9350"/>
            </w:tabs>
            <w:rPr>
              <w:rFonts w:asciiTheme="minorHAnsi" w:hAnsiTheme="minorHAnsi" w:eastAsiaTheme="minorEastAsia"/>
              <w:noProof/>
              <w:kern w:val="2"/>
              <w:sz w:val="24"/>
              <w:szCs w:val="24"/>
              <w14:ligatures w14:val="standardContextual"/>
            </w:rPr>
          </w:pPr>
          <w:hyperlink w:history="1" w:anchor="_Toc216163228">
            <w:r w:rsidRPr="00F55A79">
              <w:rPr>
                <w:rStyle w:val="Hyperlink"/>
                <w:noProof/>
              </w:rPr>
              <w:t>6.9.2.2.10.</w:t>
            </w:r>
            <w:r w:rsidRPr="00F55A79">
              <w:rPr>
                <w:rFonts w:asciiTheme="minorHAnsi" w:hAnsiTheme="minorHAnsi" w:eastAsiaTheme="minorEastAsia"/>
                <w:noProof/>
                <w:kern w:val="2"/>
                <w:sz w:val="24"/>
                <w:szCs w:val="24"/>
                <w14:ligatures w14:val="standardContextual"/>
              </w:rPr>
              <w:tab/>
            </w:r>
            <w:r w:rsidRPr="00F55A79">
              <w:rPr>
                <w:rStyle w:val="Hyperlink"/>
                <w:noProof/>
              </w:rPr>
              <w:t>Compliance</w:t>
            </w:r>
            <w:r w:rsidRPr="00F55A79">
              <w:rPr>
                <w:noProof/>
                <w:webHidden/>
              </w:rPr>
              <w:tab/>
            </w:r>
            <w:r w:rsidRPr="00F55A79">
              <w:rPr>
                <w:noProof/>
                <w:webHidden/>
              </w:rPr>
              <w:fldChar w:fldCharType="begin"/>
            </w:r>
            <w:r w:rsidRPr="00F55A79">
              <w:rPr>
                <w:noProof/>
                <w:webHidden/>
              </w:rPr>
              <w:instrText xml:space="preserve"> PAGEREF _Toc216163228 \h </w:instrText>
            </w:r>
            <w:r w:rsidRPr="00F55A79">
              <w:rPr>
                <w:noProof/>
                <w:webHidden/>
              </w:rPr>
            </w:r>
            <w:r w:rsidRPr="00F55A79">
              <w:rPr>
                <w:noProof/>
                <w:webHidden/>
              </w:rPr>
              <w:fldChar w:fldCharType="separate"/>
            </w:r>
            <w:r w:rsidR="00BA5597">
              <w:rPr>
                <w:noProof/>
                <w:webHidden/>
              </w:rPr>
              <w:t>65</w:t>
            </w:r>
            <w:r w:rsidRPr="00F55A79">
              <w:rPr>
                <w:noProof/>
                <w:webHidden/>
              </w:rPr>
              <w:fldChar w:fldCharType="end"/>
            </w:r>
          </w:hyperlink>
        </w:p>
        <w:p w:rsidRPr="00F55A79" w:rsidR="005142AB" w:rsidRDefault="005142AB" w14:paraId="5F6EFA9E" w14:textId="306C2FB4">
          <w:pPr>
            <w:pStyle w:val="TOC5"/>
            <w:tabs>
              <w:tab w:val="left" w:pos="2592"/>
              <w:tab w:val="right" w:leader="dot" w:pos="9350"/>
            </w:tabs>
            <w:rPr>
              <w:rFonts w:asciiTheme="minorHAnsi" w:hAnsiTheme="minorHAnsi" w:eastAsiaTheme="minorEastAsia"/>
              <w:noProof/>
              <w:kern w:val="2"/>
              <w:sz w:val="24"/>
              <w:szCs w:val="24"/>
              <w14:ligatures w14:val="standardContextual"/>
            </w:rPr>
          </w:pPr>
          <w:hyperlink w:history="1" w:anchor="_Toc216163229">
            <w:r w:rsidRPr="00F55A79">
              <w:rPr>
                <w:rStyle w:val="Hyperlink"/>
                <w:noProof/>
              </w:rPr>
              <w:t>6.9.2.2.11.</w:t>
            </w:r>
            <w:r w:rsidRPr="00F55A79">
              <w:rPr>
                <w:rFonts w:asciiTheme="minorHAnsi" w:hAnsiTheme="minorHAnsi" w:eastAsiaTheme="minorEastAsia"/>
                <w:noProof/>
                <w:kern w:val="2"/>
                <w:sz w:val="24"/>
                <w:szCs w:val="24"/>
                <w14:ligatures w14:val="standardContextual"/>
              </w:rPr>
              <w:tab/>
            </w:r>
            <w:r w:rsidRPr="00F55A79">
              <w:rPr>
                <w:rStyle w:val="Hyperlink"/>
                <w:noProof/>
              </w:rPr>
              <w:t>Enforcement</w:t>
            </w:r>
            <w:r w:rsidRPr="00F55A79">
              <w:rPr>
                <w:noProof/>
                <w:webHidden/>
              </w:rPr>
              <w:tab/>
            </w:r>
            <w:r w:rsidRPr="00F55A79">
              <w:rPr>
                <w:noProof/>
                <w:webHidden/>
              </w:rPr>
              <w:fldChar w:fldCharType="begin"/>
            </w:r>
            <w:r w:rsidRPr="00F55A79">
              <w:rPr>
                <w:noProof/>
                <w:webHidden/>
              </w:rPr>
              <w:instrText xml:space="preserve"> PAGEREF _Toc216163229 \h </w:instrText>
            </w:r>
            <w:r w:rsidRPr="00F55A79">
              <w:rPr>
                <w:noProof/>
                <w:webHidden/>
              </w:rPr>
            </w:r>
            <w:r w:rsidRPr="00F55A79">
              <w:rPr>
                <w:noProof/>
                <w:webHidden/>
              </w:rPr>
              <w:fldChar w:fldCharType="separate"/>
            </w:r>
            <w:r w:rsidR="00BA5597">
              <w:rPr>
                <w:noProof/>
                <w:webHidden/>
              </w:rPr>
              <w:t>66</w:t>
            </w:r>
            <w:r w:rsidRPr="00F55A79">
              <w:rPr>
                <w:noProof/>
                <w:webHidden/>
              </w:rPr>
              <w:fldChar w:fldCharType="end"/>
            </w:r>
          </w:hyperlink>
        </w:p>
        <w:p w:rsidRPr="00F55A79" w:rsidR="005142AB" w:rsidRDefault="005142AB" w14:paraId="3F91697F" w14:textId="32011126">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230">
            <w:r w:rsidRPr="00F55A79">
              <w:rPr>
                <w:rStyle w:val="Hyperlink"/>
                <w:noProof/>
              </w:rPr>
              <w:t>6.9.2.3.</w:t>
            </w:r>
            <w:r w:rsidRPr="00F55A79">
              <w:rPr>
                <w:rFonts w:asciiTheme="minorHAnsi" w:hAnsiTheme="minorHAnsi" w:eastAsiaTheme="minorEastAsia"/>
                <w:noProof/>
                <w:kern w:val="2"/>
                <w:sz w:val="24"/>
                <w:szCs w:val="24"/>
                <w14:ligatures w14:val="standardContextual"/>
              </w:rPr>
              <w:tab/>
            </w:r>
            <w:r w:rsidRPr="00F55A79">
              <w:rPr>
                <w:rStyle w:val="Hyperlink"/>
                <w:noProof/>
              </w:rPr>
              <w:t>TURN</w:t>
            </w:r>
            <w:r w:rsidRPr="00F55A79">
              <w:rPr>
                <w:noProof/>
                <w:webHidden/>
              </w:rPr>
              <w:tab/>
            </w:r>
            <w:r w:rsidRPr="00F55A79">
              <w:rPr>
                <w:noProof/>
                <w:webHidden/>
              </w:rPr>
              <w:fldChar w:fldCharType="begin"/>
            </w:r>
            <w:r w:rsidRPr="00F55A79">
              <w:rPr>
                <w:noProof/>
                <w:webHidden/>
              </w:rPr>
              <w:instrText xml:space="preserve"> PAGEREF _Toc216163230 \h </w:instrText>
            </w:r>
            <w:r w:rsidRPr="00F55A79">
              <w:rPr>
                <w:noProof/>
                <w:webHidden/>
              </w:rPr>
            </w:r>
            <w:r w:rsidRPr="00F55A79">
              <w:rPr>
                <w:noProof/>
                <w:webHidden/>
              </w:rPr>
              <w:fldChar w:fldCharType="separate"/>
            </w:r>
            <w:r w:rsidR="00BA5597">
              <w:rPr>
                <w:noProof/>
                <w:webHidden/>
              </w:rPr>
              <w:t>67</w:t>
            </w:r>
            <w:r w:rsidRPr="00F55A79">
              <w:rPr>
                <w:noProof/>
                <w:webHidden/>
              </w:rPr>
              <w:fldChar w:fldCharType="end"/>
            </w:r>
          </w:hyperlink>
        </w:p>
        <w:p w:rsidRPr="00F55A79" w:rsidR="005142AB" w:rsidRDefault="005142AB" w14:paraId="48890EC5" w14:textId="52F11ABB">
          <w:pPr>
            <w:pStyle w:val="TOC5"/>
            <w:tabs>
              <w:tab w:val="left" w:pos="2160"/>
              <w:tab w:val="right" w:leader="dot" w:pos="9350"/>
            </w:tabs>
            <w:rPr>
              <w:rFonts w:asciiTheme="minorHAnsi" w:hAnsiTheme="minorHAnsi" w:eastAsiaTheme="minorEastAsia"/>
              <w:noProof/>
              <w:kern w:val="2"/>
              <w:sz w:val="24"/>
              <w:szCs w:val="24"/>
              <w14:ligatures w14:val="standardContextual"/>
            </w:rPr>
          </w:pPr>
          <w:hyperlink w:history="1" w:anchor="_Toc216163231">
            <w:r w:rsidRPr="00F55A79">
              <w:rPr>
                <w:rStyle w:val="Hyperlink"/>
                <w:noProof/>
              </w:rPr>
              <w:t>6.9.2.3.1.</w:t>
            </w:r>
            <w:r w:rsidRPr="00F55A79">
              <w:rPr>
                <w:rFonts w:asciiTheme="minorHAnsi" w:hAnsiTheme="minorHAnsi" w:eastAsiaTheme="minorEastAsia"/>
                <w:noProof/>
                <w:kern w:val="2"/>
                <w:sz w:val="24"/>
                <w:szCs w:val="24"/>
                <w14:ligatures w14:val="standardContextual"/>
              </w:rPr>
              <w:tab/>
            </w:r>
            <w:r w:rsidRPr="00F55A79">
              <w:rPr>
                <w:rStyle w:val="Hyperlink"/>
                <w:noProof/>
              </w:rPr>
              <w:t>Affordable Voice and Broadband Offerings</w:t>
            </w:r>
            <w:r w:rsidRPr="00F55A79">
              <w:rPr>
                <w:noProof/>
                <w:webHidden/>
              </w:rPr>
              <w:tab/>
            </w:r>
            <w:r w:rsidRPr="00F55A79">
              <w:rPr>
                <w:noProof/>
                <w:webHidden/>
              </w:rPr>
              <w:fldChar w:fldCharType="begin"/>
            </w:r>
            <w:r w:rsidRPr="00F55A79">
              <w:rPr>
                <w:noProof/>
                <w:webHidden/>
              </w:rPr>
              <w:instrText xml:space="preserve"> PAGEREF _Toc216163231 \h </w:instrText>
            </w:r>
            <w:r w:rsidRPr="00F55A79">
              <w:rPr>
                <w:noProof/>
                <w:webHidden/>
              </w:rPr>
            </w:r>
            <w:r w:rsidRPr="00F55A79">
              <w:rPr>
                <w:noProof/>
                <w:webHidden/>
              </w:rPr>
              <w:fldChar w:fldCharType="separate"/>
            </w:r>
            <w:r w:rsidR="00BA5597">
              <w:rPr>
                <w:noProof/>
                <w:webHidden/>
              </w:rPr>
              <w:t>67</w:t>
            </w:r>
            <w:r w:rsidRPr="00F55A79">
              <w:rPr>
                <w:noProof/>
                <w:webHidden/>
              </w:rPr>
              <w:fldChar w:fldCharType="end"/>
            </w:r>
          </w:hyperlink>
        </w:p>
        <w:p w:rsidRPr="00F55A79" w:rsidR="005142AB" w:rsidRDefault="005142AB" w14:paraId="4D08690B" w14:textId="6C0182E1">
          <w:pPr>
            <w:pStyle w:val="TOC5"/>
            <w:tabs>
              <w:tab w:val="left" w:pos="2160"/>
              <w:tab w:val="right" w:leader="dot" w:pos="9350"/>
            </w:tabs>
            <w:rPr>
              <w:rFonts w:asciiTheme="minorHAnsi" w:hAnsiTheme="minorHAnsi" w:eastAsiaTheme="minorEastAsia"/>
              <w:noProof/>
              <w:kern w:val="2"/>
              <w:sz w:val="24"/>
              <w:szCs w:val="24"/>
              <w14:ligatures w14:val="standardContextual"/>
            </w:rPr>
          </w:pPr>
          <w:hyperlink w:history="1" w:anchor="_Toc216163232">
            <w:r w:rsidRPr="00F55A79">
              <w:rPr>
                <w:rStyle w:val="Hyperlink"/>
                <w:noProof/>
              </w:rPr>
              <w:t>6.9.2.3.2.</w:t>
            </w:r>
            <w:r w:rsidRPr="00F55A79">
              <w:rPr>
                <w:rFonts w:asciiTheme="minorHAnsi" w:hAnsiTheme="minorHAnsi" w:eastAsiaTheme="minorEastAsia"/>
                <w:noProof/>
                <w:kern w:val="2"/>
                <w:sz w:val="24"/>
                <w:szCs w:val="24"/>
                <w14:ligatures w14:val="standardContextual"/>
              </w:rPr>
              <w:tab/>
            </w:r>
            <w:r w:rsidRPr="00F55A79">
              <w:rPr>
                <w:rStyle w:val="Hyperlink"/>
                <w:noProof/>
              </w:rPr>
              <w:t>Service Quality and Network Resiliency</w:t>
            </w:r>
            <w:r w:rsidRPr="00F55A79">
              <w:rPr>
                <w:noProof/>
                <w:webHidden/>
              </w:rPr>
              <w:tab/>
            </w:r>
            <w:r w:rsidRPr="00F55A79">
              <w:rPr>
                <w:noProof/>
                <w:webHidden/>
              </w:rPr>
              <w:fldChar w:fldCharType="begin"/>
            </w:r>
            <w:r w:rsidRPr="00F55A79">
              <w:rPr>
                <w:noProof/>
                <w:webHidden/>
              </w:rPr>
              <w:instrText xml:space="preserve"> PAGEREF _Toc216163232 \h </w:instrText>
            </w:r>
            <w:r w:rsidRPr="00F55A79">
              <w:rPr>
                <w:noProof/>
                <w:webHidden/>
              </w:rPr>
            </w:r>
            <w:r w:rsidRPr="00F55A79">
              <w:rPr>
                <w:noProof/>
                <w:webHidden/>
              </w:rPr>
              <w:fldChar w:fldCharType="separate"/>
            </w:r>
            <w:r w:rsidR="00BA5597">
              <w:rPr>
                <w:noProof/>
                <w:webHidden/>
              </w:rPr>
              <w:t>70</w:t>
            </w:r>
            <w:r w:rsidRPr="00F55A79">
              <w:rPr>
                <w:noProof/>
                <w:webHidden/>
              </w:rPr>
              <w:fldChar w:fldCharType="end"/>
            </w:r>
          </w:hyperlink>
        </w:p>
        <w:p w:rsidRPr="00F55A79" w:rsidR="005142AB" w:rsidRDefault="005142AB" w14:paraId="56B29DCA" w14:textId="555FB901">
          <w:pPr>
            <w:pStyle w:val="TOC5"/>
            <w:tabs>
              <w:tab w:val="left" w:pos="2160"/>
              <w:tab w:val="right" w:leader="dot" w:pos="9350"/>
            </w:tabs>
            <w:rPr>
              <w:rFonts w:asciiTheme="minorHAnsi" w:hAnsiTheme="minorHAnsi" w:eastAsiaTheme="minorEastAsia"/>
              <w:noProof/>
              <w:kern w:val="2"/>
              <w:sz w:val="24"/>
              <w:szCs w:val="24"/>
              <w14:ligatures w14:val="standardContextual"/>
            </w:rPr>
          </w:pPr>
          <w:hyperlink w:history="1" w:anchor="_Toc216163233">
            <w:r w:rsidRPr="00F55A79">
              <w:rPr>
                <w:rStyle w:val="Hyperlink"/>
                <w:noProof/>
              </w:rPr>
              <w:t>6.9.2.3.1.</w:t>
            </w:r>
            <w:r w:rsidRPr="00F55A79">
              <w:rPr>
                <w:rFonts w:asciiTheme="minorHAnsi" w:hAnsiTheme="minorHAnsi" w:eastAsiaTheme="minorEastAsia"/>
                <w:noProof/>
                <w:kern w:val="2"/>
                <w:sz w:val="24"/>
                <w:szCs w:val="24"/>
                <w14:ligatures w14:val="standardContextual"/>
              </w:rPr>
              <w:tab/>
            </w:r>
            <w:r w:rsidRPr="00F55A79">
              <w:rPr>
                <w:rStyle w:val="Hyperlink"/>
                <w:noProof/>
              </w:rPr>
              <w:t>Infrastructure Deployments</w:t>
            </w:r>
            <w:r w:rsidRPr="00F55A79">
              <w:rPr>
                <w:noProof/>
                <w:webHidden/>
              </w:rPr>
              <w:tab/>
            </w:r>
            <w:r w:rsidRPr="00F55A79">
              <w:rPr>
                <w:noProof/>
                <w:webHidden/>
              </w:rPr>
              <w:fldChar w:fldCharType="begin"/>
            </w:r>
            <w:r w:rsidRPr="00F55A79">
              <w:rPr>
                <w:noProof/>
                <w:webHidden/>
              </w:rPr>
              <w:instrText xml:space="preserve"> PAGEREF _Toc216163233 \h </w:instrText>
            </w:r>
            <w:r w:rsidRPr="00F55A79">
              <w:rPr>
                <w:noProof/>
                <w:webHidden/>
              </w:rPr>
            </w:r>
            <w:r w:rsidRPr="00F55A79">
              <w:rPr>
                <w:noProof/>
                <w:webHidden/>
              </w:rPr>
              <w:fldChar w:fldCharType="separate"/>
            </w:r>
            <w:r w:rsidR="00BA5597">
              <w:rPr>
                <w:noProof/>
                <w:webHidden/>
              </w:rPr>
              <w:t>71</w:t>
            </w:r>
            <w:r w:rsidRPr="00F55A79">
              <w:rPr>
                <w:noProof/>
                <w:webHidden/>
              </w:rPr>
              <w:fldChar w:fldCharType="end"/>
            </w:r>
          </w:hyperlink>
        </w:p>
        <w:p w:rsidRPr="00F55A79" w:rsidR="005142AB" w:rsidRDefault="005142AB" w14:paraId="1D5C4393" w14:textId="6A76DCB6">
          <w:pPr>
            <w:pStyle w:val="TOC5"/>
            <w:tabs>
              <w:tab w:val="left" w:pos="2160"/>
              <w:tab w:val="right" w:leader="dot" w:pos="9350"/>
            </w:tabs>
            <w:rPr>
              <w:rFonts w:asciiTheme="minorHAnsi" w:hAnsiTheme="minorHAnsi" w:eastAsiaTheme="minorEastAsia"/>
              <w:noProof/>
              <w:kern w:val="2"/>
              <w:sz w:val="24"/>
              <w:szCs w:val="24"/>
              <w14:ligatures w14:val="standardContextual"/>
            </w:rPr>
          </w:pPr>
          <w:hyperlink w:history="1" w:anchor="_Toc216163234">
            <w:r w:rsidRPr="00F55A79">
              <w:rPr>
                <w:rStyle w:val="Hyperlink"/>
                <w:noProof/>
              </w:rPr>
              <w:t>6.9.2.3.2.</w:t>
            </w:r>
            <w:r w:rsidRPr="00F55A79">
              <w:rPr>
                <w:rFonts w:asciiTheme="minorHAnsi" w:hAnsiTheme="minorHAnsi" w:eastAsiaTheme="minorEastAsia"/>
                <w:noProof/>
                <w:kern w:val="2"/>
                <w:sz w:val="24"/>
                <w:szCs w:val="24"/>
                <w14:ligatures w14:val="standardContextual"/>
              </w:rPr>
              <w:tab/>
            </w:r>
            <w:r w:rsidRPr="00F55A79">
              <w:rPr>
                <w:rStyle w:val="Hyperlink"/>
                <w:noProof/>
              </w:rPr>
              <w:t>Compliance Monitor and Reporting</w:t>
            </w:r>
            <w:r w:rsidRPr="00F55A79">
              <w:rPr>
                <w:noProof/>
                <w:webHidden/>
              </w:rPr>
              <w:tab/>
            </w:r>
            <w:r w:rsidRPr="00F55A79">
              <w:rPr>
                <w:noProof/>
                <w:webHidden/>
              </w:rPr>
              <w:fldChar w:fldCharType="begin"/>
            </w:r>
            <w:r w:rsidRPr="00F55A79">
              <w:rPr>
                <w:noProof/>
                <w:webHidden/>
              </w:rPr>
              <w:instrText xml:space="preserve"> PAGEREF _Toc216163234 \h </w:instrText>
            </w:r>
            <w:r w:rsidRPr="00F55A79">
              <w:rPr>
                <w:noProof/>
                <w:webHidden/>
              </w:rPr>
            </w:r>
            <w:r w:rsidRPr="00F55A79">
              <w:rPr>
                <w:noProof/>
                <w:webHidden/>
              </w:rPr>
              <w:fldChar w:fldCharType="separate"/>
            </w:r>
            <w:r w:rsidR="00BA5597">
              <w:rPr>
                <w:noProof/>
                <w:webHidden/>
              </w:rPr>
              <w:t>72</w:t>
            </w:r>
            <w:r w:rsidRPr="00F55A79">
              <w:rPr>
                <w:noProof/>
                <w:webHidden/>
              </w:rPr>
              <w:fldChar w:fldCharType="end"/>
            </w:r>
          </w:hyperlink>
        </w:p>
        <w:p w:rsidRPr="00F55A79" w:rsidR="005142AB" w:rsidRDefault="005142AB" w14:paraId="7799152C" w14:textId="0C841AEE">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35">
            <w:r w:rsidRPr="00F55A79">
              <w:rPr>
                <w:rStyle w:val="Hyperlink"/>
                <w:noProof/>
              </w:rPr>
              <w:t>6.9.3.</w:t>
            </w:r>
            <w:r w:rsidRPr="00F55A79">
              <w:rPr>
                <w:rFonts w:asciiTheme="minorHAnsi" w:hAnsiTheme="minorHAnsi" w:cstheme="minorBidi"/>
                <w:noProof/>
                <w:kern w:val="2"/>
                <w:sz w:val="24"/>
                <w:szCs w:val="24"/>
                <w14:ligatures w14:val="standardContextual"/>
              </w:rPr>
              <w:tab/>
            </w:r>
            <w:r w:rsidRPr="00F55A79">
              <w:rPr>
                <w:rStyle w:val="Hyperlink"/>
                <w:noProof/>
              </w:rPr>
              <w:t>Discussion</w:t>
            </w:r>
            <w:r w:rsidRPr="00F55A79">
              <w:rPr>
                <w:noProof/>
                <w:webHidden/>
              </w:rPr>
              <w:tab/>
            </w:r>
            <w:r w:rsidRPr="00F55A79">
              <w:rPr>
                <w:noProof/>
                <w:webHidden/>
              </w:rPr>
              <w:fldChar w:fldCharType="begin"/>
            </w:r>
            <w:r w:rsidRPr="00F55A79">
              <w:rPr>
                <w:noProof/>
                <w:webHidden/>
              </w:rPr>
              <w:instrText xml:space="preserve"> PAGEREF _Toc216163235 \h </w:instrText>
            </w:r>
            <w:r w:rsidRPr="00F55A79">
              <w:rPr>
                <w:noProof/>
                <w:webHidden/>
              </w:rPr>
            </w:r>
            <w:r w:rsidRPr="00F55A79">
              <w:rPr>
                <w:noProof/>
                <w:webHidden/>
              </w:rPr>
              <w:fldChar w:fldCharType="separate"/>
            </w:r>
            <w:r w:rsidR="00BA5597">
              <w:rPr>
                <w:noProof/>
                <w:webHidden/>
              </w:rPr>
              <w:t>74</w:t>
            </w:r>
            <w:r w:rsidRPr="00F55A79">
              <w:rPr>
                <w:noProof/>
                <w:webHidden/>
              </w:rPr>
              <w:fldChar w:fldCharType="end"/>
            </w:r>
          </w:hyperlink>
        </w:p>
        <w:p w:rsidRPr="00F55A79" w:rsidR="005142AB" w:rsidRDefault="005142AB" w14:paraId="46CE30B8" w14:textId="4129183F">
          <w:pPr>
            <w:pStyle w:val="TOC1"/>
            <w:tabs>
              <w:tab w:val="right" w:leader="dot" w:pos="9350"/>
            </w:tabs>
            <w:rPr>
              <w:rFonts w:asciiTheme="minorHAnsi" w:hAnsiTheme="minorHAnsi" w:cstheme="minorBidi"/>
              <w:noProof/>
              <w:kern w:val="2"/>
              <w:sz w:val="24"/>
              <w:szCs w:val="24"/>
              <w14:ligatures w14:val="standardContextual"/>
            </w:rPr>
          </w:pPr>
          <w:hyperlink w:history="1" w:anchor="_Toc216163236">
            <w:r w:rsidRPr="00F55A79">
              <w:rPr>
                <w:rStyle w:val="Hyperlink"/>
                <w:noProof/>
              </w:rPr>
              <w:t>7.</w:t>
            </w:r>
            <w:r w:rsidRPr="00F55A79">
              <w:rPr>
                <w:rFonts w:asciiTheme="minorHAnsi" w:hAnsiTheme="minorHAnsi" w:cstheme="minorBidi"/>
                <w:noProof/>
                <w:kern w:val="2"/>
                <w:sz w:val="24"/>
                <w:szCs w:val="24"/>
                <w14:ligatures w14:val="standardContextual"/>
              </w:rPr>
              <w:tab/>
            </w:r>
            <w:r w:rsidRPr="00F55A79">
              <w:rPr>
                <w:rStyle w:val="Hyperlink"/>
                <w:noProof/>
              </w:rPr>
              <w:t>Issue 4: Environmental and Social Justice (ESJ) Impacts</w:t>
            </w:r>
            <w:r w:rsidRPr="00F55A79">
              <w:rPr>
                <w:noProof/>
                <w:webHidden/>
              </w:rPr>
              <w:tab/>
            </w:r>
            <w:r w:rsidRPr="00F55A79">
              <w:rPr>
                <w:noProof/>
                <w:webHidden/>
              </w:rPr>
              <w:fldChar w:fldCharType="begin"/>
            </w:r>
            <w:r w:rsidRPr="00F55A79">
              <w:rPr>
                <w:noProof/>
                <w:webHidden/>
              </w:rPr>
              <w:instrText xml:space="preserve"> PAGEREF _Toc216163236 \h </w:instrText>
            </w:r>
            <w:r w:rsidRPr="00F55A79">
              <w:rPr>
                <w:noProof/>
                <w:webHidden/>
              </w:rPr>
            </w:r>
            <w:r w:rsidRPr="00F55A79">
              <w:rPr>
                <w:noProof/>
                <w:webHidden/>
              </w:rPr>
              <w:fldChar w:fldCharType="separate"/>
            </w:r>
            <w:r w:rsidR="00BA5597">
              <w:rPr>
                <w:noProof/>
                <w:webHidden/>
              </w:rPr>
              <w:t>77</w:t>
            </w:r>
            <w:r w:rsidRPr="00F55A79">
              <w:rPr>
                <w:noProof/>
                <w:webHidden/>
              </w:rPr>
              <w:fldChar w:fldCharType="end"/>
            </w:r>
          </w:hyperlink>
        </w:p>
        <w:p w:rsidRPr="00F55A79" w:rsidR="005142AB" w:rsidRDefault="005142AB" w14:paraId="6F2FE6DF" w14:textId="62FE2A3F">
          <w:pPr>
            <w:pStyle w:val="TOC2"/>
            <w:tabs>
              <w:tab w:val="right" w:leader="dot" w:pos="9350"/>
            </w:tabs>
            <w:rPr>
              <w:rFonts w:asciiTheme="minorHAnsi" w:hAnsiTheme="minorHAnsi" w:cstheme="minorBidi"/>
              <w:noProof/>
              <w:kern w:val="2"/>
              <w:sz w:val="24"/>
              <w:szCs w:val="24"/>
              <w14:ligatures w14:val="standardContextual"/>
            </w:rPr>
          </w:pPr>
          <w:hyperlink w:history="1" w:anchor="_Toc216163237">
            <w:r w:rsidRPr="00F55A79">
              <w:rPr>
                <w:rStyle w:val="Hyperlink"/>
                <w:noProof/>
              </w:rPr>
              <w:t>7.1.</w:t>
            </w:r>
            <w:r w:rsidRPr="00F55A79">
              <w:rPr>
                <w:rFonts w:asciiTheme="minorHAnsi" w:hAnsiTheme="minorHAnsi" w:cstheme="minorBidi"/>
                <w:noProof/>
                <w:kern w:val="2"/>
                <w:sz w:val="24"/>
                <w:szCs w:val="24"/>
                <w14:ligatures w14:val="standardContextual"/>
              </w:rPr>
              <w:tab/>
            </w:r>
            <w:r w:rsidRPr="00F55A79">
              <w:rPr>
                <w:rStyle w:val="Hyperlink"/>
                <w:noProof/>
              </w:rPr>
              <w:t>Background</w:t>
            </w:r>
            <w:r w:rsidRPr="00F55A79">
              <w:rPr>
                <w:noProof/>
                <w:webHidden/>
              </w:rPr>
              <w:tab/>
            </w:r>
            <w:r w:rsidRPr="00F55A79">
              <w:rPr>
                <w:noProof/>
                <w:webHidden/>
              </w:rPr>
              <w:fldChar w:fldCharType="begin"/>
            </w:r>
            <w:r w:rsidRPr="00F55A79">
              <w:rPr>
                <w:noProof/>
                <w:webHidden/>
              </w:rPr>
              <w:instrText xml:space="preserve"> PAGEREF _Toc216163237 \h </w:instrText>
            </w:r>
            <w:r w:rsidRPr="00F55A79">
              <w:rPr>
                <w:noProof/>
                <w:webHidden/>
              </w:rPr>
            </w:r>
            <w:r w:rsidRPr="00F55A79">
              <w:rPr>
                <w:noProof/>
                <w:webHidden/>
              </w:rPr>
              <w:fldChar w:fldCharType="separate"/>
            </w:r>
            <w:r w:rsidR="00BA5597">
              <w:rPr>
                <w:noProof/>
                <w:webHidden/>
              </w:rPr>
              <w:t>77</w:t>
            </w:r>
            <w:r w:rsidRPr="00F55A79">
              <w:rPr>
                <w:noProof/>
                <w:webHidden/>
              </w:rPr>
              <w:fldChar w:fldCharType="end"/>
            </w:r>
          </w:hyperlink>
        </w:p>
        <w:p w:rsidRPr="00F55A79" w:rsidR="005142AB" w:rsidRDefault="005142AB" w14:paraId="1BB8E5A9" w14:textId="113A2D6F">
          <w:pPr>
            <w:pStyle w:val="TOC2"/>
            <w:tabs>
              <w:tab w:val="right" w:leader="dot" w:pos="9350"/>
            </w:tabs>
            <w:rPr>
              <w:rFonts w:asciiTheme="minorHAnsi" w:hAnsiTheme="minorHAnsi" w:cstheme="minorBidi"/>
              <w:noProof/>
              <w:kern w:val="2"/>
              <w:sz w:val="24"/>
              <w:szCs w:val="24"/>
              <w14:ligatures w14:val="standardContextual"/>
            </w:rPr>
          </w:pPr>
          <w:hyperlink w:history="1" w:anchor="_Toc216163238">
            <w:r w:rsidRPr="00F55A79">
              <w:rPr>
                <w:rStyle w:val="Hyperlink"/>
                <w:noProof/>
              </w:rPr>
              <w:t>7.2.</w:t>
            </w:r>
            <w:r w:rsidRPr="00F55A79">
              <w:rPr>
                <w:rFonts w:asciiTheme="minorHAnsi" w:hAnsiTheme="minorHAnsi" w:cstheme="minorBidi"/>
                <w:noProof/>
                <w:kern w:val="2"/>
                <w:sz w:val="24"/>
                <w:szCs w:val="24"/>
                <w14:ligatures w14:val="standardContextual"/>
              </w:rPr>
              <w:tab/>
            </w:r>
            <w:r w:rsidRPr="00F55A79">
              <w:rPr>
                <w:rStyle w:val="Hyperlink"/>
                <w:noProof/>
              </w:rPr>
              <w:t>Joint Applicants’ Position</w:t>
            </w:r>
            <w:r w:rsidRPr="00F55A79">
              <w:rPr>
                <w:noProof/>
                <w:webHidden/>
              </w:rPr>
              <w:tab/>
            </w:r>
            <w:r w:rsidRPr="00F55A79">
              <w:rPr>
                <w:noProof/>
                <w:webHidden/>
              </w:rPr>
              <w:fldChar w:fldCharType="begin"/>
            </w:r>
            <w:r w:rsidRPr="00F55A79">
              <w:rPr>
                <w:noProof/>
                <w:webHidden/>
              </w:rPr>
              <w:instrText xml:space="preserve"> PAGEREF _Toc216163238 \h </w:instrText>
            </w:r>
            <w:r w:rsidRPr="00F55A79">
              <w:rPr>
                <w:noProof/>
                <w:webHidden/>
              </w:rPr>
            </w:r>
            <w:r w:rsidRPr="00F55A79">
              <w:rPr>
                <w:noProof/>
                <w:webHidden/>
              </w:rPr>
              <w:fldChar w:fldCharType="separate"/>
            </w:r>
            <w:r w:rsidR="00BA5597">
              <w:rPr>
                <w:noProof/>
                <w:webHidden/>
              </w:rPr>
              <w:t>77</w:t>
            </w:r>
            <w:r w:rsidRPr="00F55A79">
              <w:rPr>
                <w:noProof/>
                <w:webHidden/>
              </w:rPr>
              <w:fldChar w:fldCharType="end"/>
            </w:r>
          </w:hyperlink>
        </w:p>
        <w:p w:rsidRPr="00F55A79" w:rsidR="005142AB" w:rsidRDefault="005142AB" w14:paraId="1F4F468F" w14:textId="0FD3CB6F">
          <w:pPr>
            <w:pStyle w:val="TOC2"/>
            <w:tabs>
              <w:tab w:val="right" w:leader="dot" w:pos="9350"/>
            </w:tabs>
            <w:rPr>
              <w:rFonts w:asciiTheme="minorHAnsi" w:hAnsiTheme="minorHAnsi" w:cstheme="minorBidi"/>
              <w:noProof/>
              <w:kern w:val="2"/>
              <w:sz w:val="24"/>
              <w:szCs w:val="24"/>
              <w14:ligatures w14:val="standardContextual"/>
            </w:rPr>
          </w:pPr>
          <w:hyperlink w:history="1" w:anchor="_Toc216163239">
            <w:r w:rsidRPr="00F55A79">
              <w:rPr>
                <w:rStyle w:val="Hyperlink"/>
                <w:noProof/>
              </w:rPr>
              <w:t>7.3.</w:t>
            </w:r>
            <w:r w:rsidRPr="00F55A79">
              <w:rPr>
                <w:rFonts w:asciiTheme="minorHAnsi" w:hAnsiTheme="minorHAnsi" w:cstheme="minorBidi"/>
                <w:noProof/>
                <w:kern w:val="2"/>
                <w:sz w:val="24"/>
                <w:szCs w:val="24"/>
                <w14:ligatures w14:val="standardContextual"/>
              </w:rPr>
              <w:tab/>
            </w:r>
            <w:r w:rsidRPr="00F55A79">
              <w:rPr>
                <w:rStyle w:val="Hyperlink"/>
                <w:noProof/>
              </w:rPr>
              <w:t>Party Positions</w:t>
            </w:r>
            <w:r w:rsidRPr="00F55A79">
              <w:rPr>
                <w:noProof/>
                <w:webHidden/>
              </w:rPr>
              <w:tab/>
            </w:r>
            <w:r w:rsidRPr="00F55A79">
              <w:rPr>
                <w:noProof/>
                <w:webHidden/>
              </w:rPr>
              <w:fldChar w:fldCharType="begin"/>
            </w:r>
            <w:r w:rsidRPr="00F55A79">
              <w:rPr>
                <w:noProof/>
                <w:webHidden/>
              </w:rPr>
              <w:instrText xml:space="preserve"> PAGEREF _Toc216163239 \h </w:instrText>
            </w:r>
            <w:r w:rsidRPr="00F55A79">
              <w:rPr>
                <w:noProof/>
                <w:webHidden/>
              </w:rPr>
            </w:r>
            <w:r w:rsidRPr="00F55A79">
              <w:rPr>
                <w:noProof/>
                <w:webHidden/>
              </w:rPr>
              <w:fldChar w:fldCharType="separate"/>
            </w:r>
            <w:r w:rsidR="00BA5597">
              <w:rPr>
                <w:noProof/>
                <w:webHidden/>
              </w:rPr>
              <w:t>78</w:t>
            </w:r>
            <w:r w:rsidRPr="00F55A79">
              <w:rPr>
                <w:noProof/>
                <w:webHidden/>
              </w:rPr>
              <w:fldChar w:fldCharType="end"/>
            </w:r>
          </w:hyperlink>
        </w:p>
        <w:p w:rsidRPr="00F55A79" w:rsidR="005142AB" w:rsidRDefault="005142AB" w14:paraId="3F529E56" w14:textId="1CD3EBFA">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40">
            <w:r w:rsidRPr="00F55A79">
              <w:rPr>
                <w:rStyle w:val="Hyperlink"/>
                <w:noProof/>
              </w:rPr>
              <w:t>7.3.1.</w:t>
            </w:r>
            <w:r w:rsidRPr="00F55A79">
              <w:rPr>
                <w:rFonts w:asciiTheme="minorHAnsi" w:hAnsiTheme="minorHAnsi" w:cstheme="minorBidi"/>
                <w:noProof/>
                <w:kern w:val="2"/>
                <w:sz w:val="24"/>
                <w:szCs w:val="24"/>
                <w14:ligatures w14:val="standardContextual"/>
              </w:rPr>
              <w:tab/>
            </w:r>
            <w:r w:rsidRPr="00F55A79">
              <w:rPr>
                <w:rStyle w:val="Hyperlink"/>
                <w:noProof/>
              </w:rPr>
              <w:t>CETF</w:t>
            </w:r>
            <w:r w:rsidRPr="00F55A79">
              <w:rPr>
                <w:noProof/>
                <w:webHidden/>
              </w:rPr>
              <w:tab/>
            </w:r>
            <w:r w:rsidRPr="00F55A79">
              <w:rPr>
                <w:noProof/>
                <w:webHidden/>
              </w:rPr>
              <w:fldChar w:fldCharType="begin"/>
            </w:r>
            <w:r w:rsidRPr="00F55A79">
              <w:rPr>
                <w:noProof/>
                <w:webHidden/>
              </w:rPr>
              <w:instrText xml:space="preserve"> PAGEREF _Toc216163240 \h </w:instrText>
            </w:r>
            <w:r w:rsidRPr="00F55A79">
              <w:rPr>
                <w:noProof/>
                <w:webHidden/>
              </w:rPr>
            </w:r>
            <w:r w:rsidRPr="00F55A79">
              <w:rPr>
                <w:noProof/>
                <w:webHidden/>
              </w:rPr>
              <w:fldChar w:fldCharType="separate"/>
            </w:r>
            <w:r w:rsidR="00BA5597">
              <w:rPr>
                <w:noProof/>
                <w:webHidden/>
              </w:rPr>
              <w:t>78</w:t>
            </w:r>
            <w:r w:rsidRPr="00F55A79">
              <w:rPr>
                <w:noProof/>
                <w:webHidden/>
              </w:rPr>
              <w:fldChar w:fldCharType="end"/>
            </w:r>
          </w:hyperlink>
        </w:p>
        <w:p w:rsidRPr="00F55A79" w:rsidR="005142AB" w:rsidRDefault="005142AB" w14:paraId="5F912088" w14:textId="593FC538">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41">
            <w:r w:rsidRPr="00F55A79">
              <w:rPr>
                <w:rStyle w:val="Hyperlink"/>
                <w:noProof/>
              </w:rPr>
              <w:t>7.3.2.</w:t>
            </w:r>
            <w:r w:rsidRPr="00F55A79">
              <w:rPr>
                <w:rFonts w:asciiTheme="minorHAnsi" w:hAnsiTheme="minorHAnsi" w:cstheme="minorBidi"/>
                <w:noProof/>
                <w:kern w:val="2"/>
                <w:sz w:val="24"/>
                <w:szCs w:val="24"/>
                <w14:ligatures w14:val="standardContextual"/>
              </w:rPr>
              <w:tab/>
            </w:r>
            <w:r w:rsidRPr="00F55A79">
              <w:rPr>
                <w:rStyle w:val="Hyperlink"/>
                <w:noProof/>
              </w:rPr>
              <w:t>CforAT</w:t>
            </w:r>
            <w:r w:rsidRPr="00F55A79">
              <w:rPr>
                <w:noProof/>
                <w:webHidden/>
              </w:rPr>
              <w:tab/>
            </w:r>
            <w:r w:rsidRPr="00F55A79">
              <w:rPr>
                <w:noProof/>
                <w:webHidden/>
              </w:rPr>
              <w:fldChar w:fldCharType="begin"/>
            </w:r>
            <w:r w:rsidRPr="00F55A79">
              <w:rPr>
                <w:noProof/>
                <w:webHidden/>
              </w:rPr>
              <w:instrText xml:space="preserve"> PAGEREF _Toc216163241 \h </w:instrText>
            </w:r>
            <w:r w:rsidRPr="00F55A79">
              <w:rPr>
                <w:noProof/>
                <w:webHidden/>
              </w:rPr>
            </w:r>
            <w:r w:rsidRPr="00F55A79">
              <w:rPr>
                <w:noProof/>
                <w:webHidden/>
              </w:rPr>
              <w:fldChar w:fldCharType="separate"/>
            </w:r>
            <w:r w:rsidR="00BA5597">
              <w:rPr>
                <w:noProof/>
                <w:webHidden/>
              </w:rPr>
              <w:t>78</w:t>
            </w:r>
            <w:r w:rsidRPr="00F55A79">
              <w:rPr>
                <w:noProof/>
                <w:webHidden/>
              </w:rPr>
              <w:fldChar w:fldCharType="end"/>
            </w:r>
          </w:hyperlink>
        </w:p>
        <w:p w:rsidRPr="00F55A79" w:rsidR="005142AB" w:rsidRDefault="005142AB" w14:paraId="5D99F2B2" w14:textId="7B376E39">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42">
            <w:r w:rsidRPr="00F55A79">
              <w:rPr>
                <w:rStyle w:val="Hyperlink"/>
                <w:noProof/>
              </w:rPr>
              <w:t>7.3.3.</w:t>
            </w:r>
            <w:r w:rsidRPr="00F55A79">
              <w:rPr>
                <w:rFonts w:asciiTheme="minorHAnsi" w:hAnsiTheme="minorHAnsi" w:cstheme="minorBidi"/>
                <w:noProof/>
                <w:kern w:val="2"/>
                <w:sz w:val="24"/>
                <w:szCs w:val="24"/>
                <w14:ligatures w14:val="standardContextual"/>
              </w:rPr>
              <w:tab/>
            </w:r>
            <w:r w:rsidRPr="00F55A79">
              <w:rPr>
                <w:rStyle w:val="Hyperlink"/>
                <w:noProof/>
              </w:rPr>
              <w:t>TURN</w:t>
            </w:r>
            <w:r w:rsidRPr="00F55A79">
              <w:rPr>
                <w:noProof/>
                <w:webHidden/>
              </w:rPr>
              <w:tab/>
            </w:r>
            <w:r w:rsidRPr="00F55A79">
              <w:rPr>
                <w:noProof/>
                <w:webHidden/>
              </w:rPr>
              <w:fldChar w:fldCharType="begin"/>
            </w:r>
            <w:r w:rsidRPr="00F55A79">
              <w:rPr>
                <w:noProof/>
                <w:webHidden/>
              </w:rPr>
              <w:instrText xml:space="preserve"> PAGEREF _Toc216163242 \h </w:instrText>
            </w:r>
            <w:r w:rsidRPr="00F55A79">
              <w:rPr>
                <w:noProof/>
                <w:webHidden/>
              </w:rPr>
            </w:r>
            <w:r w:rsidRPr="00F55A79">
              <w:rPr>
                <w:noProof/>
                <w:webHidden/>
              </w:rPr>
              <w:fldChar w:fldCharType="separate"/>
            </w:r>
            <w:r w:rsidR="00BA5597">
              <w:rPr>
                <w:noProof/>
                <w:webHidden/>
              </w:rPr>
              <w:t>79</w:t>
            </w:r>
            <w:r w:rsidRPr="00F55A79">
              <w:rPr>
                <w:noProof/>
                <w:webHidden/>
              </w:rPr>
              <w:fldChar w:fldCharType="end"/>
            </w:r>
          </w:hyperlink>
        </w:p>
        <w:p w:rsidRPr="00F55A79" w:rsidR="005142AB" w:rsidRDefault="005142AB" w14:paraId="76008914" w14:textId="099FDF6E">
          <w:pPr>
            <w:pStyle w:val="TOC2"/>
            <w:tabs>
              <w:tab w:val="right" w:leader="dot" w:pos="9350"/>
            </w:tabs>
            <w:rPr>
              <w:rFonts w:asciiTheme="minorHAnsi" w:hAnsiTheme="minorHAnsi" w:cstheme="minorBidi"/>
              <w:noProof/>
              <w:kern w:val="2"/>
              <w:sz w:val="24"/>
              <w:szCs w:val="24"/>
              <w14:ligatures w14:val="standardContextual"/>
            </w:rPr>
          </w:pPr>
          <w:hyperlink w:history="1" w:anchor="_Toc216163243">
            <w:r w:rsidRPr="00F55A79">
              <w:rPr>
                <w:rStyle w:val="Hyperlink"/>
                <w:noProof/>
              </w:rPr>
              <w:t>7.4.</w:t>
            </w:r>
            <w:r w:rsidRPr="00F55A79">
              <w:rPr>
                <w:rFonts w:asciiTheme="minorHAnsi" w:hAnsiTheme="minorHAnsi" w:cstheme="minorBidi"/>
                <w:noProof/>
                <w:kern w:val="2"/>
                <w:sz w:val="24"/>
                <w:szCs w:val="24"/>
                <w14:ligatures w14:val="standardContextual"/>
              </w:rPr>
              <w:tab/>
            </w:r>
            <w:r w:rsidRPr="00F55A79">
              <w:rPr>
                <w:rStyle w:val="Hyperlink"/>
                <w:noProof/>
              </w:rPr>
              <w:t>Discussion</w:t>
            </w:r>
            <w:r w:rsidRPr="00F55A79">
              <w:rPr>
                <w:noProof/>
                <w:webHidden/>
              </w:rPr>
              <w:tab/>
            </w:r>
            <w:r w:rsidRPr="00F55A79">
              <w:rPr>
                <w:noProof/>
                <w:webHidden/>
              </w:rPr>
              <w:fldChar w:fldCharType="begin"/>
            </w:r>
            <w:r w:rsidRPr="00F55A79">
              <w:rPr>
                <w:noProof/>
                <w:webHidden/>
              </w:rPr>
              <w:instrText xml:space="preserve"> PAGEREF _Toc216163243 \h </w:instrText>
            </w:r>
            <w:r w:rsidRPr="00F55A79">
              <w:rPr>
                <w:noProof/>
                <w:webHidden/>
              </w:rPr>
            </w:r>
            <w:r w:rsidRPr="00F55A79">
              <w:rPr>
                <w:noProof/>
                <w:webHidden/>
              </w:rPr>
              <w:fldChar w:fldCharType="separate"/>
            </w:r>
            <w:r w:rsidR="00BA5597">
              <w:rPr>
                <w:noProof/>
                <w:webHidden/>
              </w:rPr>
              <w:t>80</w:t>
            </w:r>
            <w:r w:rsidRPr="00F55A79">
              <w:rPr>
                <w:noProof/>
                <w:webHidden/>
              </w:rPr>
              <w:fldChar w:fldCharType="end"/>
            </w:r>
          </w:hyperlink>
        </w:p>
        <w:p w:rsidRPr="00F55A79" w:rsidR="005142AB" w:rsidRDefault="005142AB" w14:paraId="0D97AC1F" w14:textId="7AE3866A">
          <w:pPr>
            <w:pStyle w:val="TOC1"/>
            <w:tabs>
              <w:tab w:val="right" w:leader="dot" w:pos="9350"/>
            </w:tabs>
            <w:rPr>
              <w:rFonts w:asciiTheme="minorHAnsi" w:hAnsiTheme="minorHAnsi" w:cstheme="minorBidi"/>
              <w:noProof/>
              <w:kern w:val="2"/>
              <w:sz w:val="24"/>
              <w:szCs w:val="24"/>
              <w14:ligatures w14:val="standardContextual"/>
            </w:rPr>
          </w:pPr>
          <w:hyperlink w:history="1" w:anchor="_Toc216163244">
            <w:r w:rsidRPr="00F55A79">
              <w:rPr>
                <w:rStyle w:val="Hyperlink"/>
                <w:noProof/>
              </w:rPr>
              <w:t>8.</w:t>
            </w:r>
            <w:r w:rsidRPr="00F55A79">
              <w:rPr>
                <w:rFonts w:asciiTheme="minorHAnsi" w:hAnsiTheme="minorHAnsi" w:cstheme="minorBidi"/>
                <w:noProof/>
                <w:kern w:val="2"/>
                <w:sz w:val="24"/>
                <w:szCs w:val="24"/>
                <w14:ligatures w14:val="standardContextual"/>
              </w:rPr>
              <w:tab/>
            </w:r>
            <w:r w:rsidRPr="00F55A79">
              <w:rPr>
                <w:rStyle w:val="Hyperlink"/>
                <w:noProof/>
              </w:rPr>
              <w:t>Issue 5: Frontier’s Prior Obligations</w:t>
            </w:r>
            <w:r w:rsidRPr="00F55A79">
              <w:rPr>
                <w:noProof/>
                <w:webHidden/>
              </w:rPr>
              <w:tab/>
            </w:r>
            <w:r w:rsidRPr="00F55A79">
              <w:rPr>
                <w:noProof/>
                <w:webHidden/>
              </w:rPr>
              <w:fldChar w:fldCharType="begin"/>
            </w:r>
            <w:r w:rsidRPr="00F55A79">
              <w:rPr>
                <w:noProof/>
                <w:webHidden/>
              </w:rPr>
              <w:instrText xml:space="preserve"> PAGEREF _Toc216163244 \h </w:instrText>
            </w:r>
            <w:r w:rsidRPr="00F55A79">
              <w:rPr>
                <w:noProof/>
                <w:webHidden/>
              </w:rPr>
            </w:r>
            <w:r w:rsidRPr="00F55A79">
              <w:rPr>
                <w:noProof/>
                <w:webHidden/>
              </w:rPr>
              <w:fldChar w:fldCharType="separate"/>
            </w:r>
            <w:r w:rsidR="00BA5597">
              <w:rPr>
                <w:noProof/>
                <w:webHidden/>
              </w:rPr>
              <w:t>80</w:t>
            </w:r>
            <w:r w:rsidRPr="00F55A79">
              <w:rPr>
                <w:noProof/>
                <w:webHidden/>
              </w:rPr>
              <w:fldChar w:fldCharType="end"/>
            </w:r>
          </w:hyperlink>
        </w:p>
        <w:p w:rsidRPr="00F55A79" w:rsidR="005142AB" w:rsidRDefault="005142AB" w14:paraId="0EB2CB73" w14:textId="2335004D">
          <w:pPr>
            <w:pStyle w:val="TOC2"/>
            <w:tabs>
              <w:tab w:val="right" w:leader="dot" w:pos="9350"/>
            </w:tabs>
            <w:rPr>
              <w:rFonts w:asciiTheme="minorHAnsi" w:hAnsiTheme="minorHAnsi" w:cstheme="minorBidi"/>
              <w:noProof/>
              <w:kern w:val="2"/>
              <w:sz w:val="24"/>
              <w:szCs w:val="24"/>
              <w14:ligatures w14:val="standardContextual"/>
            </w:rPr>
          </w:pPr>
          <w:hyperlink w:history="1" w:anchor="_Toc216163245">
            <w:r w:rsidRPr="00F55A79">
              <w:rPr>
                <w:rStyle w:val="Hyperlink"/>
                <w:noProof/>
              </w:rPr>
              <w:t>8.1.</w:t>
            </w:r>
            <w:r w:rsidRPr="00F55A79">
              <w:rPr>
                <w:rFonts w:asciiTheme="minorHAnsi" w:hAnsiTheme="minorHAnsi" w:cstheme="minorBidi"/>
                <w:noProof/>
                <w:kern w:val="2"/>
                <w:sz w:val="24"/>
                <w:szCs w:val="24"/>
                <w14:ligatures w14:val="standardContextual"/>
              </w:rPr>
              <w:tab/>
            </w:r>
            <w:r w:rsidRPr="00F55A79">
              <w:rPr>
                <w:rStyle w:val="Hyperlink"/>
                <w:noProof/>
              </w:rPr>
              <w:t>General</w:t>
            </w:r>
            <w:r w:rsidRPr="00F55A79">
              <w:rPr>
                <w:noProof/>
                <w:webHidden/>
              </w:rPr>
              <w:tab/>
            </w:r>
            <w:r w:rsidRPr="00F55A79">
              <w:rPr>
                <w:noProof/>
                <w:webHidden/>
              </w:rPr>
              <w:fldChar w:fldCharType="begin"/>
            </w:r>
            <w:r w:rsidRPr="00F55A79">
              <w:rPr>
                <w:noProof/>
                <w:webHidden/>
              </w:rPr>
              <w:instrText xml:space="preserve"> PAGEREF _Toc216163245 \h </w:instrText>
            </w:r>
            <w:r w:rsidRPr="00F55A79">
              <w:rPr>
                <w:noProof/>
                <w:webHidden/>
              </w:rPr>
            </w:r>
            <w:r w:rsidRPr="00F55A79">
              <w:rPr>
                <w:noProof/>
                <w:webHidden/>
              </w:rPr>
              <w:fldChar w:fldCharType="separate"/>
            </w:r>
            <w:r w:rsidR="00BA5597">
              <w:rPr>
                <w:noProof/>
                <w:webHidden/>
              </w:rPr>
              <w:t>80</w:t>
            </w:r>
            <w:r w:rsidRPr="00F55A79">
              <w:rPr>
                <w:noProof/>
                <w:webHidden/>
              </w:rPr>
              <w:fldChar w:fldCharType="end"/>
            </w:r>
          </w:hyperlink>
        </w:p>
        <w:p w:rsidRPr="00F55A79" w:rsidR="005142AB" w:rsidRDefault="005142AB" w14:paraId="7C33B85D" w14:textId="7CC9EEA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46">
            <w:r w:rsidRPr="00F55A79">
              <w:rPr>
                <w:rStyle w:val="Hyperlink"/>
                <w:noProof/>
              </w:rPr>
              <w:t>8.1.1.</w:t>
            </w:r>
            <w:r w:rsidRPr="00F55A79">
              <w:rPr>
                <w:rFonts w:asciiTheme="minorHAnsi" w:hAnsiTheme="minorHAnsi" w:cstheme="minorBidi"/>
                <w:noProof/>
                <w:kern w:val="2"/>
                <w:sz w:val="24"/>
                <w:szCs w:val="24"/>
                <w14:ligatures w14:val="standardContextual"/>
              </w:rPr>
              <w:tab/>
            </w:r>
            <w:r w:rsidRPr="00F55A79">
              <w:rPr>
                <w:rStyle w:val="Hyperlink"/>
                <w:noProof/>
              </w:rPr>
              <w:t>CETF</w:t>
            </w:r>
            <w:r w:rsidRPr="00F55A79">
              <w:rPr>
                <w:noProof/>
                <w:webHidden/>
              </w:rPr>
              <w:tab/>
            </w:r>
            <w:r w:rsidRPr="00F55A79">
              <w:rPr>
                <w:noProof/>
                <w:webHidden/>
              </w:rPr>
              <w:fldChar w:fldCharType="begin"/>
            </w:r>
            <w:r w:rsidRPr="00F55A79">
              <w:rPr>
                <w:noProof/>
                <w:webHidden/>
              </w:rPr>
              <w:instrText xml:space="preserve"> PAGEREF _Toc216163246 \h </w:instrText>
            </w:r>
            <w:r w:rsidRPr="00F55A79">
              <w:rPr>
                <w:noProof/>
                <w:webHidden/>
              </w:rPr>
            </w:r>
            <w:r w:rsidRPr="00F55A79">
              <w:rPr>
                <w:noProof/>
                <w:webHidden/>
              </w:rPr>
              <w:fldChar w:fldCharType="separate"/>
            </w:r>
            <w:r w:rsidR="00BA5597">
              <w:rPr>
                <w:noProof/>
                <w:webHidden/>
              </w:rPr>
              <w:t>80</w:t>
            </w:r>
            <w:r w:rsidRPr="00F55A79">
              <w:rPr>
                <w:noProof/>
                <w:webHidden/>
              </w:rPr>
              <w:fldChar w:fldCharType="end"/>
            </w:r>
          </w:hyperlink>
        </w:p>
        <w:p w:rsidRPr="00F55A79" w:rsidR="005142AB" w:rsidRDefault="005142AB" w14:paraId="6734D3D3" w14:textId="043C308C">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47">
            <w:r w:rsidRPr="00F55A79">
              <w:rPr>
                <w:rStyle w:val="Hyperlink"/>
                <w:noProof/>
              </w:rPr>
              <w:t>8.1.2.</w:t>
            </w:r>
            <w:r w:rsidRPr="00F55A79">
              <w:rPr>
                <w:rFonts w:asciiTheme="minorHAnsi" w:hAnsiTheme="minorHAnsi" w:cstheme="minorBidi"/>
                <w:noProof/>
                <w:kern w:val="2"/>
                <w:sz w:val="24"/>
                <w:szCs w:val="24"/>
                <w14:ligatures w14:val="standardContextual"/>
              </w:rPr>
              <w:tab/>
            </w:r>
            <w:r w:rsidRPr="00F55A79">
              <w:rPr>
                <w:rStyle w:val="Hyperlink"/>
                <w:noProof/>
              </w:rPr>
              <w:t>CforAT</w:t>
            </w:r>
            <w:r w:rsidRPr="00F55A79">
              <w:rPr>
                <w:noProof/>
                <w:webHidden/>
              </w:rPr>
              <w:tab/>
            </w:r>
            <w:r w:rsidRPr="00F55A79">
              <w:rPr>
                <w:noProof/>
                <w:webHidden/>
              </w:rPr>
              <w:fldChar w:fldCharType="begin"/>
            </w:r>
            <w:r w:rsidRPr="00F55A79">
              <w:rPr>
                <w:noProof/>
                <w:webHidden/>
              </w:rPr>
              <w:instrText xml:space="preserve"> PAGEREF _Toc216163247 \h </w:instrText>
            </w:r>
            <w:r w:rsidRPr="00F55A79">
              <w:rPr>
                <w:noProof/>
                <w:webHidden/>
              </w:rPr>
            </w:r>
            <w:r w:rsidRPr="00F55A79">
              <w:rPr>
                <w:noProof/>
                <w:webHidden/>
              </w:rPr>
              <w:fldChar w:fldCharType="separate"/>
            </w:r>
            <w:r w:rsidR="00BA5597">
              <w:rPr>
                <w:noProof/>
                <w:webHidden/>
              </w:rPr>
              <w:t>81</w:t>
            </w:r>
            <w:r w:rsidRPr="00F55A79">
              <w:rPr>
                <w:noProof/>
                <w:webHidden/>
              </w:rPr>
              <w:fldChar w:fldCharType="end"/>
            </w:r>
          </w:hyperlink>
        </w:p>
        <w:p w:rsidRPr="00F55A79" w:rsidR="005142AB" w:rsidRDefault="005142AB" w14:paraId="70AF3239" w14:textId="05F3E18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48">
            <w:r w:rsidRPr="00F55A79">
              <w:rPr>
                <w:rStyle w:val="Hyperlink"/>
                <w:noProof/>
              </w:rPr>
              <w:t>8.1.3.</w:t>
            </w:r>
            <w:r w:rsidRPr="00F55A79">
              <w:rPr>
                <w:rFonts w:asciiTheme="minorHAnsi" w:hAnsiTheme="minorHAnsi" w:cstheme="minorBidi"/>
                <w:noProof/>
                <w:kern w:val="2"/>
                <w:sz w:val="24"/>
                <w:szCs w:val="24"/>
                <w14:ligatures w14:val="standardContextual"/>
              </w:rPr>
              <w:tab/>
            </w:r>
            <w:r w:rsidRPr="00F55A79">
              <w:rPr>
                <w:rStyle w:val="Hyperlink"/>
                <w:noProof/>
              </w:rPr>
              <w:t>TURN</w:t>
            </w:r>
            <w:r w:rsidRPr="00F55A79">
              <w:rPr>
                <w:noProof/>
                <w:webHidden/>
              </w:rPr>
              <w:tab/>
            </w:r>
            <w:r w:rsidRPr="00F55A79">
              <w:rPr>
                <w:noProof/>
                <w:webHidden/>
              </w:rPr>
              <w:fldChar w:fldCharType="begin"/>
            </w:r>
            <w:r w:rsidRPr="00F55A79">
              <w:rPr>
                <w:noProof/>
                <w:webHidden/>
              </w:rPr>
              <w:instrText xml:space="preserve"> PAGEREF _Toc216163248 \h </w:instrText>
            </w:r>
            <w:r w:rsidRPr="00F55A79">
              <w:rPr>
                <w:noProof/>
                <w:webHidden/>
              </w:rPr>
            </w:r>
            <w:r w:rsidRPr="00F55A79">
              <w:rPr>
                <w:noProof/>
                <w:webHidden/>
              </w:rPr>
              <w:fldChar w:fldCharType="separate"/>
            </w:r>
            <w:r w:rsidR="00BA5597">
              <w:rPr>
                <w:noProof/>
                <w:webHidden/>
              </w:rPr>
              <w:t>81</w:t>
            </w:r>
            <w:r w:rsidRPr="00F55A79">
              <w:rPr>
                <w:noProof/>
                <w:webHidden/>
              </w:rPr>
              <w:fldChar w:fldCharType="end"/>
            </w:r>
          </w:hyperlink>
        </w:p>
        <w:p w:rsidRPr="00F55A79" w:rsidR="005142AB" w:rsidRDefault="005142AB" w14:paraId="0C26961E" w14:textId="64595CEB">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49">
            <w:r w:rsidRPr="00F55A79">
              <w:rPr>
                <w:rStyle w:val="Hyperlink"/>
                <w:noProof/>
              </w:rPr>
              <w:t>8.1.4.</w:t>
            </w:r>
            <w:r w:rsidRPr="00F55A79">
              <w:rPr>
                <w:rFonts w:asciiTheme="minorHAnsi" w:hAnsiTheme="minorHAnsi" w:cstheme="minorBidi"/>
                <w:noProof/>
                <w:kern w:val="2"/>
                <w:sz w:val="24"/>
                <w:szCs w:val="24"/>
                <w14:ligatures w14:val="standardContextual"/>
              </w:rPr>
              <w:tab/>
            </w:r>
            <w:r w:rsidRPr="00F55A79">
              <w:rPr>
                <w:rStyle w:val="Hyperlink"/>
                <w:noProof/>
              </w:rPr>
              <w:t>Discussion</w:t>
            </w:r>
            <w:r w:rsidRPr="00F55A79">
              <w:rPr>
                <w:noProof/>
                <w:webHidden/>
              </w:rPr>
              <w:tab/>
            </w:r>
            <w:r w:rsidRPr="00F55A79">
              <w:rPr>
                <w:noProof/>
                <w:webHidden/>
              </w:rPr>
              <w:fldChar w:fldCharType="begin"/>
            </w:r>
            <w:r w:rsidRPr="00F55A79">
              <w:rPr>
                <w:noProof/>
                <w:webHidden/>
              </w:rPr>
              <w:instrText xml:space="preserve"> PAGEREF _Toc216163249 \h </w:instrText>
            </w:r>
            <w:r w:rsidRPr="00F55A79">
              <w:rPr>
                <w:noProof/>
                <w:webHidden/>
              </w:rPr>
            </w:r>
            <w:r w:rsidRPr="00F55A79">
              <w:rPr>
                <w:noProof/>
                <w:webHidden/>
              </w:rPr>
              <w:fldChar w:fldCharType="separate"/>
            </w:r>
            <w:r w:rsidR="00BA5597">
              <w:rPr>
                <w:noProof/>
                <w:webHidden/>
              </w:rPr>
              <w:t>82</w:t>
            </w:r>
            <w:r w:rsidRPr="00F55A79">
              <w:rPr>
                <w:noProof/>
                <w:webHidden/>
              </w:rPr>
              <w:fldChar w:fldCharType="end"/>
            </w:r>
          </w:hyperlink>
        </w:p>
        <w:p w:rsidRPr="00F55A79" w:rsidR="005142AB" w:rsidRDefault="005142AB" w14:paraId="3F59B578" w14:textId="0BE2EDE1">
          <w:pPr>
            <w:pStyle w:val="TOC2"/>
            <w:tabs>
              <w:tab w:val="right" w:leader="dot" w:pos="9350"/>
            </w:tabs>
            <w:rPr>
              <w:rFonts w:asciiTheme="minorHAnsi" w:hAnsiTheme="minorHAnsi" w:cstheme="minorBidi"/>
              <w:noProof/>
              <w:kern w:val="2"/>
              <w:sz w:val="24"/>
              <w:szCs w:val="24"/>
              <w14:ligatures w14:val="standardContextual"/>
            </w:rPr>
          </w:pPr>
          <w:hyperlink w:history="1" w:anchor="_Toc216163250">
            <w:r w:rsidRPr="00F55A79">
              <w:rPr>
                <w:rStyle w:val="Hyperlink"/>
                <w:noProof/>
              </w:rPr>
              <w:t>8.2.</w:t>
            </w:r>
            <w:r w:rsidRPr="00F55A79">
              <w:rPr>
                <w:rFonts w:asciiTheme="minorHAnsi" w:hAnsiTheme="minorHAnsi" w:cstheme="minorBidi"/>
                <w:noProof/>
                <w:kern w:val="2"/>
                <w:sz w:val="24"/>
                <w:szCs w:val="24"/>
                <w14:ligatures w14:val="standardContextual"/>
              </w:rPr>
              <w:tab/>
            </w:r>
            <w:r w:rsidRPr="00F55A79">
              <w:rPr>
                <w:rStyle w:val="Hyperlink"/>
                <w:noProof/>
              </w:rPr>
              <w:t>COLR</w:t>
            </w:r>
            <w:r w:rsidRPr="00F55A79">
              <w:rPr>
                <w:noProof/>
                <w:webHidden/>
              </w:rPr>
              <w:tab/>
            </w:r>
            <w:r w:rsidRPr="00F55A79">
              <w:rPr>
                <w:noProof/>
                <w:webHidden/>
              </w:rPr>
              <w:fldChar w:fldCharType="begin"/>
            </w:r>
            <w:r w:rsidRPr="00F55A79">
              <w:rPr>
                <w:noProof/>
                <w:webHidden/>
              </w:rPr>
              <w:instrText xml:space="preserve"> PAGEREF _Toc216163250 \h </w:instrText>
            </w:r>
            <w:r w:rsidRPr="00F55A79">
              <w:rPr>
                <w:noProof/>
                <w:webHidden/>
              </w:rPr>
            </w:r>
            <w:r w:rsidRPr="00F55A79">
              <w:rPr>
                <w:noProof/>
                <w:webHidden/>
              </w:rPr>
              <w:fldChar w:fldCharType="separate"/>
            </w:r>
            <w:r w:rsidR="00BA5597">
              <w:rPr>
                <w:noProof/>
                <w:webHidden/>
              </w:rPr>
              <w:t>82</w:t>
            </w:r>
            <w:r w:rsidRPr="00F55A79">
              <w:rPr>
                <w:noProof/>
                <w:webHidden/>
              </w:rPr>
              <w:fldChar w:fldCharType="end"/>
            </w:r>
          </w:hyperlink>
        </w:p>
        <w:p w:rsidRPr="00F55A79" w:rsidR="005142AB" w:rsidRDefault="005142AB" w14:paraId="6F939BC0" w14:textId="1DEA26B0">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51">
            <w:r w:rsidRPr="00F55A79">
              <w:rPr>
                <w:rStyle w:val="Hyperlink"/>
                <w:noProof/>
              </w:rPr>
              <w:t>8.2.1.</w:t>
            </w:r>
            <w:r w:rsidRPr="00F55A79">
              <w:rPr>
                <w:rFonts w:asciiTheme="minorHAnsi" w:hAnsiTheme="minorHAnsi" w:cstheme="minorBidi"/>
                <w:noProof/>
                <w:kern w:val="2"/>
                <w:sz w:val="24"/>
                <w:szCs w:val="24"/>
                <w14:ligatures w14:val="standardContextual"/>
              </w:rPr>
              <w:tab/>
            </w:r>
            <w:r w:rsidRPr="00F55A79">
              <w:rPr>
                <w:rStyle w:val="Hyperlink"/>
                <w:noProof/>
              </w:rPr>
              <w:t>Background</w:t>
            </w:r>
            <w:r w:rsidRPr="00F55A79">
              <w:rPr>
                <w:noProof/>
                <w:webHidden/>
              </w:rPr>
              <w:tab/>
            </w:r>
            <w:r w:rsidRPr="00F55A79">
              <w:rPr>
                <w:noProof/>
                <w:webHidden/>
              </w:rPr>
              <w:fldChar w:fldCharType="begin"/>
            </w:r>
            <w:r w:rsidRPr="00F55A79">
              <w:rPr>
                <w:noProof/>
                <w:webHidden/>
              </w:rPr>
              <w:instrText xml:space="preserve"> PAGEREF _Toc216163251 \h </w:instrText>
            </w:r>
            <w:r w:rsidRPr="00F55A79">
              <w:rPr>
                <w:noProof/>
                <w:webHidden/>
              </w:rPr>
            </w:r>
            <w:r w:rsidRPr="00F55A79">
              <w:rPr>
                <w:noProof/>
                <w:webHidden/>
              </w:rPr>
              <w:fldChar w:fldCharType="separate"/>
            </w:r>
            <w:r w:rsidR="00BA5597">
              <w:rPr>
                <w:noProof/>
                <w:webHidden/>
              </w:rPr>
              <w:t>82</w:t>
            </w:r>
            <w:r w:rsidRPr="00F55A79">
              <w:rPr>
                <w:noProof/>
                <w:webHidden/>
              </w:rPr>
              <w:fldChar w:fldCharType="end"/>
            </w:r>
          </w:hyperlink>
        </w:p>
        <w:p w:rsidRPr="00F55A79" w:rsidR="005142AB" w:rsidRDefault="005142AB" w14:paraId="0CCB08D1" w14:textId="0E13F79D">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52">
            <w:r w:rsidRPr="00F55A79">
              <w:rPr>
                <w:rStyle w:val="Hyperlink"/>
                <w:noProof/>
              </w:rPr>
              <w:t>8.2.2.</w:t>
            </w:r>
            <w:r w:rsidRPr="00F55A79">
              <w:rPr>
                <w:rFonts w:asciiTheme="minorHAnsi" w:hAnsiTheme="minorHAnsi" w:cstheme="minorBidi"/>
                <w:noProof/>
                <w:kern w:val="2"/>
                <w:sz w:val="24"/>
                <w:szCs w:val="24"/>
                <w14:ligatures w14:val="standardContextual"/>
              </w:rPr>
              <w:tab/>
            </w:r>
            <w:r w:rsidRPr="00F55A79">
              <w:rPr>
                <w:rStyle w:val="Hyperlink"/>
                <w:noProof/>
              </w:rPr>
              <w:t>Joint Applicants’ Position</w:t>
            </w:r>
            <w:r w:rsidRPr="00F55A79">
              <w:rPr>
                <w:noProof/>
                <w:webHidden/>
              </w:rPr>
              <w:tab/>
            </w:r>
            <w:r w:rsidRPr="00F55A79">
              <w:rPr>
                <w:noProof/>
                <w:webHidden/>
              </w:rPr>
              <w:fldChar w:fldCharType="begin"/>
            </w:r>
            <w:r w:rsidRPr="00F55A79">
              <w:rPr>
                <w:noProof/>
                <w:webHidden/>
              </w:rPr>
              <w:instrText xml:space="preserve"> PAGEREF _Toc216163252 \h </w:instrText>
            </w:r>
            <w:r w:rsidRPr="00F55A79">
              <w:rPr>
                <w:noProof/>
                <w:webHidden/>
              </w:rPr>
            </w:r>
            <w:r w:rsidRPr="00F55A79">
              <w:rPr>
                <w:noProof/>
                <w:webHidden/>
              </w:rPr>
              <w:fldChar w:fldCharType="separate"/>
            </w:r>
            <w:r w:rsidR="00BA5597">
              <w:rPr>
                <w:noProof/>
                <w:webHidden/>
              </w:rPr>
              <w:t>83</w:t>
            </w:r>
            <w:r w:rsidRPr="00F55A79">
              <w:rPr>
                <w:noProof/>
                <w:webHidden/>
              </w:rPr>
              <w:fldChar w:fldCharType="end"/>
            </w:r>
          </w:hyperlink>
        </w:p>
        <w:p w:rsidRPr="00F55A79" w:rsidR="005142AB" w:rsidRDefault="005142AB" w14:paraId="641DFB56" w14:textId="788D6EC5">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53">
            <w:r w:rsidRPr="00F55A79">
              <w:rPr>
                <w:rStyle w:val="Hyperlink"/>
                <w:noProof/>
              </w:rPr>
              <w:t>8.2.3.</w:t>
            </w:r>
            <w:r w:rsidRPr="00F55A79">
              <w:rPr>
                <w:rFonts w:asciiTheme="minorHAnsi" w:hAnsiTheme="minorHAnsi" w:cstheme="minorBidi"/>
                <w:noProof/>
                <w:kern w:val="2"/>
                <w:sz w:val="24"/>
                <w:szCs w:val="24"/>
                <w14:ligatures w14:val="standardContextual"/>
              </w:rPr>
              <w:tab/>
            </w:r>
            <w:r w:rsidRPr="00F55A79">
              <w:rPr>
                <w:rStyle w:val="Hyperlink"/>
                <w:noProof/>
              </w:rPr>
              <w:t>Party Positions</w:t>
            </w:r>
            <w:r w:rsidRPr="00F55A79">
              <w:rPr>
                <w:noProof/>
                <w:webHidden/>
              </w:rPr>
              <w:tab/>
            </w:r>
            <w:r w:rsidRPr="00F55A79">
              <w:rPr>
                <w:noProof/>
                <w:webHidden/>
              </w:rPr>
              <w:fldChar w:fldCharType="begin"/>
            </w:r>
            <w:r w:rsidRPr="00F55A79">
              <w:rPr>
                <w:noProof/>
                <w:webHidden/>
              </w:rPr>
              <w:instrText xml:space="preserve"> PAGEREF _Toc216163253 \h </w:instrText>
            </w:r>
            <w:r w:rsidRPr="00F55A79">
              <w:rPr>
                <w:noProof/>
                <w:webHidden/>
              </w:rPr>
            </w:r>
            <w:r w:rsidRPr="00F55A79">
              <w:rPr>
                <w:noProof/>
                <w:webHidden/>
              </w:rPr>
              <w:fldChar w:fldCharType="separate"/>
            </w:r>
            <w:r w:rsidR="00BA5597">
              <w:rPr>
                <w:noProof/>
                <w:webHidden/>
              </w:rPr>
              <w:t>83</w:t>
            </w:r>
            <w:r w:rsidRPr="00F55A79">
              <w:rPr>
                <w:noProof/>
                <w:webHidden/>
              </w:rPr>
              <w:fldChar w:fldCharType="end"/>
            </w:r>
          </w:hyperlink>
        </w:p>
        <w:p w:rsidRPr="00F55A79" w:rsidR="005142AB" w:rsidRDefault="005142AB" w14:paraId="6D400208" w14:textId="4066ADC1">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254">
            <w:r w:rsidRPr="00F55A79">
              <w:rPr>
                <w:rStyle w:val="Hyperlink"/>
                <w:noProof/>
              </w:rPr>
              <w:t>8.2.3.1.</w:t>
            </w:r>
            <w:r w:rsidRPr="00F55A79">
              <w:rPr>
                <w:rFonts w:asciiTheme="minorHAnsi" w:hAnsiTheme="minorHAnsi" w:eastAsiaTheme="minorEastAsia"/>
                <w:noProof/>
                <w:kern w:val="2"/>
                <w:sz w:val="24"/>
                <w:szCs w:val="24"/>
                <w14:ligatures w14:val="standardContextual"/>
              </w:rPr>
              <w:tab/>
            </w:r>
            <w:r w:rsidRPr="00F55A79">
              <w:rPr>
                <w:rStyle w:val="Hyperlink"/>
                <w:noProof/>
              </w:rPr>
              <w:t>CETF</w:t>
            </w:r>
            <w:r w:rsidRPr="00F55A79">
              <w:rPr>
                <w:noProof/>
                <w:webHidden/>
              </w:rPr>
              <w:tab/>
            </w:r>
            <w:r w:rsidRPr="00F55A79">
              <w:rPr>
                <w:noProof/>
                <w:webHidden/>
              </w:rPr>
              <w:fldChar w:fldCharType="begin"/>
            </w:r>
            <w:r w:rsidRPr="00F55A79">
              <w:rPr>
                <w:noProof/>
                <w:webHidden/>
              </w:rPr>
              <w:instrText xml:space="preserve"> PAGEREF _Toc216163254 \h </w:instrText>
            </w:r>
            <w:r w:rsidRPr="00F55A79">
              <w:rPr>
                <w:noProof/>
                <w:webHidden/>
              </w:rPr>
            </w:r>
            <w:r w:rsidRPr="00F55A79">
              <w:rPr>
                <w:noProof/>
                <w:webHidden/>
              </w:rPr>
              <w:fldChar w:fldCharType="separate"/>
            </w:r>
            <w:r w:rsidR="00BA5597">
              <w:rPr>
                <w:noProof/>
                <w:webHidden/>
              </w:rPr>
              <w:t>83</w:t>
            </w:r>
            <w:r w:rsidRPr="00F55A79">
              <w:rPr>
                <w:noProof/>
                <w:webHidden/>
              </w:rPr>
              <w:fldChar w:fldCharType="end"/>
            </w:r>
          </w:hyperlink>
        </w:p>
        <w:p w:rsidRPr="00F55A79" w:rsidR="005142AB" w:rsidRDefault="005142AB" w14:paraId="4B9AED68" w14:textId="1FA67F3C">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255">
            <w:r w:rsidRPr="00F55A79">
              <w:rPr>
                <w:rStyle w:val="Hyperlink"/>
                <w:noProof/>
              </w:rPr>
              <w:t>8.2.3.2.</w:t>
            </w:r>
            <w:r w:rsidRPr="00F55A79">
              <w:rPr>
                <w:rFonts w:asciiTheme="minorHAnsi" w:hAnsiTheme="minorHAnsi" w:eastAsiaTheme="minorEastAsia"/>
                <w:noProof/>
                <w:kern w:val="2"/>
                <w:sz w:val="24"/>
                <w:szCs w:val="24"/>
                <w14:ligatures w14:val="standardContextual"/>
              </w:rPr>
              <w:tab/>
            </w:r>
            <w:r w:rsidRPr="00F55A79">
              <w:rPr>
                <w:rStyle w:val="Hyperlink"/>
                <w:noProof/>
              </w:rPr>
              <w:t>TURN</w:t>
            </w:r>
            <w:r w:rsidRPr="00F55A79">
              <w:rPr>
                <w:noProof/>
                <w:webHidden/>
              </w:rPr>
              <w:tab/>
            </w:r>
            <w:r w:rsidRPr="00F55A79">
              <w:rPr>
                <w:noProof/>
                <w:webHidden/>
              </w:rPr>
              <w:fldChar w:fldCharType="begin"/>
            </w:r>
            <w:r w:rsidRPr="00F55A79">
              <w:rPr>
                <w:noProof/>
                <w:webHidden/>
              </w:rPr>
              <w:instrText xml:space="preserve"> PAGEREF _Toc216163255 \h </w:instrText>
            </w:r>
            <w:r w:rsidRPr="00F55A79">
              <w:rPr>
                <w:noProof/>
                <w:webHidden/>
              </w:rPr>
            </w:r>
            <w:r w:rsidRPr="00F55A79">
              <w:rPr>
                <w:noProof/>
                <w:webHidden/>
              </w:rPr>
              <w:fldChar w:fldCharType="separate"/>
            </w:r>
            <w:r w:rsidR="00BA5597">
              <w:rPr>
                <w:noProof/>
                <w:webHidden/>
              </w:rPr>
              <w:t>83</w:t>
            </w:r>
            <w:r w:rsidRPr="00F55A79">
              <w:rPr>
                <w:noProof/>
                <w:webHidden/>
              </w:rPr>
              <w:fldChar w:fldCharType="end"/>
            </w:r>
          </w:hyperlink>
        </w:p>
        <w:p w:rsidRPr="00F55A79" w:rsidR="005142AB" w:rsidRDefault="005142AB" w14:paraId="11929C68" w14:textId="372D2543">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56">
            <w:r w:rsidRPr="00F55A79">
              <w:rPr>
                <w:rStyle w:val="Hyperlink"/>
                <w:noProof/>
              </w:rPr>
              <w:t>8.2.4.</w:t>
            </w:r>
            <w:r w:rsidRPr="00F55A79">
              <w:rPr>
                <w:rFonts w:asciiTheme="minorHAnsi" w:hAnsiTheme="minorHAnsi" w:cstheme="minorBidi"/>
                <w:noProof/>
                <w:kern w:val="2"/>
                <w:sz w:val="24"/>
                <w:szCs w:val="24"/>
                <w14:ligatures w14:val="standardContextual"/>
              </w:rPr>
              <w:tab/>
            </w:r>
            <w:r w:rsidRPr="00F55A79">
              <w:rPr>
                <w:rStyle w:val="Hyperlink"/>
                <w:noProof/>
              </w:rPr>
              <w:t>Discussion</w:t>
            </w:r>
            <w:r w:rsidRPr="00F55A79">
              <w:rPr>
                <w:noProof/>
                <w:webHidden/>
              </w:rPr>
              <w:tab/>
            </w:r>
            <w:r w:rsidRPr="00F55A79">
              <w:rPr>
                <w:noProof/>
                <w:webHidden/>
              </w:rPr>
              <w:fldChar w:fldCharType="begin"/>
            </w:r>
            <w:r w:rsidRPr="00F55A79">
              <w:rPr>
                <w:noProof/>
                <w:webHidden/>
              </w:rPr>
              <w:instrText xml:space="preserve"> PAGEREF _Toc216163256 \h </w:instrText>
            </w:r>
            <w:r w:rsidRPr="00F55A79">
              <w:rPr>
                <w:noProof/>
                <w:webHidden/>
              </w:rPr>
            </w:r>
            <w:r w:rsidRPr="00F55A79">
              <w:rPr>
                <w:noProof/>
                <w:webHidden/>
              </w:rPr>
              <w:fldChar w:fldCharType="separate"/>
            </w:r>
            <w:r w:rsidR="00BA5597">
              <w:rPr>
                <w:noProof/>
                <w:webHidden/>
              </w:rPr>
              <w:t>84</w:t>
            </w:r>
            <w:r w:rsidRPr="00F55A79">
              <w:rPr>
                <w:noProof/>
                <w:webHidden/>
              </w:rPr>
              <w:fldChar w:fldCharType="end"/>
            </w:r>
          </w:hyperlink>
        </w:p>
        <w:p w:rsidRPr="00F55A79" w:rsidR="005142AB" w:rsidRDefault="005142AB" w14:paraId="4086EB4B" w14:textId="23401A63">
          <w:pPr>
            <w:pStyle w:val="TOC2"/>
            <w:tabs>
              <w:tab w:val="right" w:leader="dot" w:pos="9350"/>
            </w:tabs>
            <w:rPr>
              <w:rFonts w:asciiTheme="minorHAnsi" w:hAnsiTheme="minorHAnsi" w:cstheme="minorBidi"/>
              <w:noProof/>
              <w:kern w:val="2"/>
              <w:sz w:val="24"/>
              <w:szCs w:val="24"/>
              <w14:ligatures w14:val="standardContextual"/>
            </w:rPr>
          </w:pPr>
          <w:hyperlink w:history="1" w:anchor="_Toc216163257">
            <w:r w:rsidRPr="00F55A79">
              <w:rPr>
                <w:rStyle w:val="Hyperlink"/>
                <w:noProof/>
              </w:rPr>
              <w:t>8.3.</w:t>
            </w:r>
            <w:r w:rsidRPr="00F55A79">
              <w:rPr>
                <w:rFonts w:asciiTheme="minorHAnsi" w:hAnsiTheme="minorHAnsi" w:cstheme="minorBidi"/>
                <w:noProof/>
                <w:kern w:val="2"/>
                <w:sz w:val="24"/>
                <w:szCs w:val="24"/>
                <w14:ligatures w14:val="standardContextual"/>
              </w:rPr>
              <w:tab/>
            </w:r>
            <w:r w:rsidRPr="00F55A79">
              <w:rPr>
                <w:rStyle w:val="Hyperlink"/>
                <w:noProof/>
              </w:rPr>
              <w:t>Lifeline</w:t>
            </w:r>
            <w:r w:rsidRPr="00F55A79">
              <w:rPr>
                <w:noProof/>
                <w:webHidden/>
              </w:rPr>
              <w:tab/>
            </w:r>
            <w:r w:rsidRPr="00F55A79">
              <w:rPr>
                <w:noProof/>
                <w:webHidden/>
              </w:rPr>
              <w:fldChar w:fldCharType="begin"/>
            </w:r>
            <w:r w:rsidRPr="00F55A79">
              <w:rPr>
                <w:noProof/>
                <w:webHidden/>
              </w:rPr>
              <w:instrText xml:space="preserve"> PAGEREF _Toc216163257 \h </w:instrText>
            </w:r>
            <w:r w:rsidRPr="00F55A79">
              <w:rPr>
                <w:noProof/>
                <w:webHidden/>
              </w:rPr>
            </w:r>
            <w:r w:rsidRPr="00F55A79">
              <w:rPr>
                <w:noProof/>
                <w:webHidden/>
              </w:rPr>
              <w:fldChar w:fldCharType="separate"/>
            </w:r>
            <w:r w:rsidR="00BA5597">
              <w:rPr>
                <w:noProof/>
                <w:webHidden/>
              </w:rPr>
              <w:t>84</w:t>
            </w:r>
            <w:r w:rsidRPr="00F55A79">
              <w:rPr>
                <w:noProof/>
                <w:webHidden/>
              </w:rPr>
              <w:fldChar w:fldCharType="end"/>
            </w:r>
          </w:hyperlink>
        </w:p>
        <w:p w:rsidRPr="00F55A79" w:rsidR="005142AB" w:rsidRDefault="005142AB" w14:paraId="12FD67DA" w14:textId="7328CF3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58">
            <w:r w:rsidRPr="00F55A79">
              <w:rPr>
                <w:rStyle w:val="Hyperlink"/>
                <w:noProof/>
              </w:rPr>
              <w:t>8.3.1.</w:t>
            </w:r>
            <w:r w:rsidRPr="00F55A79">
              <w:rPr>
                <w:rFonts w:asciiTheme="minorHAnsi" w:hAnsiTheme="minorHAnsi" w:cstheme="minorBidi"/>
                <w:noProof/>
                <w:kern w:val="2"/>
                <w:sz w:val="24"/>
                <w:szCs w:val="24"/>
                <w14:ligatures w14:val="standardContextual"/>
              </w:rPr>
              <w:tab/>
            </w:r>
            <w:r w:rsidRPr="00F55A79">
              <w:rPr>
                <w:rStyle w:val="Hyperlink"/>
                <w:noProof/>
              </w:rPr>
              <w:t>Background</w:t>
            </w:r>
            <w:r w:rsidRPr="00F55A79">
              <w:rPr>
                <w:noProof/>
                <w:webHidden/>
              </w:rPr>
              <w:tab/>
            </w:r>
            <w:r w:rsidRPr="00F55A79">
              <w:rPr>
                <w:noProof/>
                <w:webHidden/>
              </w:rPr>
              <w:fldChar w:fldCharType="begin"/>
            </w:r>
            <w:r w:rsidRPr="00F55A79">
              <w:rPr>
                <w:noProof/>
                <w:webHidden/>
              </w:rPr>
              <w:instrText xml:space="preserve"> PAGEREF _Toc216163258 \h </w:instrText>
            </w:r>
            <w:r w:rsidRPr="00F55A79">
              <w:rPr>
                <w:noProof/>
                <w:webHidden/>
              </w:rPr>
            </w:r>
            <w:r w:rsidRPr="00F55A79">
              <w:rPr>
                <w:noProof/>
                <w:webHidden/>
              </w:rPr>
              <w:fldChar w:fldCharType="separate"/>
            </w:r>
            <w:r w:rsidR="00BA5597">
              <w:rPr>
                <w:noProof/>
                <w:webHidden/>
              </w:rPr>
              <w:t>84</w:t>
            </w:r>
            <w:r w:rsidRPr="00F55A79">
              <w:rPr>
                <w:noProof/>
                <w:webHidden/>
              </w:rPr>
              <w:fldChar w:fldCharType="end"/>
            </w:r>
          </w:hyperlink>
        </w:p>
        <w:p w:rsidRPr="00F55A79" w:rsidR="005142AB" w:rsidRDefault="005142AB" w14:paraId="1E85D43D" w14:textId="2CF91ED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59">
            <w:r w:rsidRPr="00F55A79">
              <w:rPr>
                <w:rStyle w:val="Hyperlink"/>
                <w:noProof/>
              </w:rPr>
              <w:t>8.3.2.</w:t>
            </w:r>
            <w:r w:rsidRPr="00F55A79">
              <w:rPr>
                <w:rFonts w:asciiTheme="minorHAnsi" w:hAnsiTheme="minorHAnsi" w:cstheme="minorBidi"/>
                <w:noProof/>
                <w:kern w:val="2"/>
                <w:sz w:val="24"/>
                <w:szCs w:val="24"/>
                <w14:ligatures w14:val="standardContextual"/>
              </w:rPr>
              <w:tab/>
            </w:r>
            <w:r w:rsidRPr="00F55A79">
              <w:rPr>
                <w:rStyle w:val="Hyperlink"/>
                <w:noProof/>
              </w:rPr>
              <w:t>Party Positions</w:t>
            </w:r>
            <w:r w:rsidRPr="00F55A79">
              <w:rPr>
                <w:noProof/>
                <w:webHidden/>
              </w:rPr>
              <w:tab/>
            </w:r>
            <w:r w:rsidRPr="00F55A79">
              <w:rPr>
                <w:noProof/>
                <w:webHidden/>
              </w:rPr>
              <w:fldChar w:fldCharType="begin"/>
            </w:r>
            <w:r w:rsidRPr="00F55A79">
              <w:rPr>
                <w:noProof/>
                <w:webHidden/>
              </w:rPr>
              <w:instrText xml:space="preserve"> PAGEREF _Toc216163259 \h </w:instrText>
            </w:r>
            <w:r w:rsidRPr="00F55A79">
              <w:rPr>
                <w:noProof/>
                <w:webHidden/>
              </w:rPr>
            </w:r>
            <w:r w:rsidRPr="00F55A79">
              <w:rPr>
                <w:noProof/>
                <w:webHidden/>
              </w:rPr>
              <w:fldChar w:fldCharType="separate"/>
            </w:r>
            <w:r w:rsidR="00BA5597">
              <w:rPr>
                <w:noProof/>
                <w:webHidden/>
              </w:rPr>
              <w:t>85</w:t>
            </w:r>
            <w:r w:rsidRPr="00F55A79">
              <w:rPr>
                <w:noProof/>
                <w:webHidden/>
              </w:rPr>
              <w:fldChar w:fldCharType="end"/>
            </w:r>
          </w:hyperlink>
        </w:p>
        <w:p w:rsidRPr="00F55A79" w:rsidR="005142AB" w:rsidRDefault="005142AB" w14:paraId="0F2BEAED" w14:textId="2908A1CC">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260">
            <w:r w:rsidRPr="00F55A79">
              <w:rPr>
                <w:rStyle w:val="Hyperlink"/>
                <w:noProof/>
              </w:rPr>
              <w:t>8.3.2.1.</w:t>
            </w:r>
            <w:r w:rsidRPr="00F55A79">
              <w:rPr>
                <w:rFonts w:asciiTheme="minorHAnsi" w:hAnsiTheme="minorHAnsi" w:eastAsiaTheme="minorEastAsia"/>
                <w:noProof/>
                <w:kern w:val="2"/>
                <w:sz w:val="24"/>
                <w:szCs w:val="24"/>
                <w14:ligatures w14:val="standardContextual"/>
              </w:rPr>
              <w:tab/>
            </w:r>
            <w:r w:rsidRPr="00F55A79">
              <w:rPr>
                <w:rStyle w:val="Hyperlink"/>
                <w:noProof/>
              </w:rPr>
              <w:t>Joint Applicants</w:t>
            </w:r>
            <w:r w:rsidRPr="00F55A79">
              <w:rPr>
                <w:noProof/>
                <w:webHidden/>
              </w:rPr>
              <w:tab/>
            </w:r>
            <w:r w:rsidRPr="00F55A79">
              <w:rPr>
                <w:noProof/>
                <w:webHidden/>
              </w:rPr>
              <w:fldChar w:fldCharType="begin"/>
            </w:r>
            <w:r w:rsidRPr="00F55A79">
              <w:rPr>
                <w:noProof/>
                <w:webHidden/>
              </w:rPr>
              <w:instrText xml:space="preserve"> PAGEREF _Toc216163260 \h </w:instrText>
            </w:r>
            <w:r w:rsidRPr="00F55A79">
              <w:rPr>
                <w:noProof/>
                <w:webHidden/>
              </w:rPr>
            </w:r>
            <w:r w:rsidRPr="00F55A79">
              <w:rPr>
                <w:noProof/>
                <w:webHidden/>
              </w:rPr>
              <w:fldChar w:fldCharType="separate"/>
            </w:r>
            <w:r w:rsidR="00BA5597">
              <w:rPr>
                <w:noProof/>
                <w:webHidden/>
              </w:rPr>
              <w:t>85</w:t>
            </w:r>
            <w:r w:rsidRPr="00F55A79">
              <w:rPr>
                <w:noProof/>
                <w:webHidden/>
              </w:rPr>
              <w:fldChar w:fldCharType="end"/>
            </w:r>
          </w:hyperlink>
        </w:p>
        <w:p w:rsidRPr="00F55A79" w:rsidR="005142AB" w:rsidRDefault="005142AB" w14:paraId="22E03382" w14:textId="0C090E6F">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261">
            <w:r w:rsidRPr="00F55A79">
              <w:rPr>
                <w:rStyle w:val="Hyperlink"/>
                <w:noProof/>
              </w:rPr>
              <w:t>8.3.2.2.</w:t>
            </w:r>
            <w:r w:rsidRPr="00F55A79">
              <w:rPr>
                <w:rFonts w:asciiTheme="minorHAnsi" w:hAnsiTheme="minorHAnsi" w:eastAsiaTheme="minorEastAsia"/>
                <w:noProof/>
                <w:kern w:val="2"/>
                <w:sz w:val="24"/>
                <w:szCs w:val="24"/>
                <w14:ligatures w14:val="standardContextual"/>
              </w:rPr>
              <w:tab/>
            </w:r>
            <w:r w:rsidRPr="00F55A79">
              <w:rPr>
                <w:rStyle w:val="Hyperlink"/>
                <w:noProof/>
              </w:rPr>
              <w:t>CETF</w:t>
            </w:r>
            <w:r w:rsidRPr="00F55A79">
              <w:rPr>
                <w:noProof/>
                <w:webHidden/>
              </w:rPr>
              <w:tab/>
            </w:r>
            <w:r w:rsidRPr="00F55A79">
              <w:rPr>
                <w:noProof/>
                <w:webHidden/>
              </w:rPr>
              <w:fldChar w:fldCharType="begin"/>
            </w:r>
            <w:r w:rsidRPr="00F55A79">
              <w:rPr>
                <w:noProof/>
                <w:webHidden/>
              </w:rPr>
              <w:instrText xml:space="preserve"> PAGEREF _Toc216163261 \h </w:instrText>
            </w:r>
            <w:r w:rsidRPr="00F55A79">
              <w:rPr>
                <w:noProof/>
                <w:webHidden/>
              </w:rPr>
            </w:r>
            <w:r w:rsidRPr="00F55A79">
              <w:rPr>
                <w:noProof/>
                <w:webHidden/>
              </w:rPr>
              <w:fldChar w:fldCharType="separate"/>
            </w:r>
            <w:r w:rsidR="00BA5597">
              <w:rPr>
                <w:noProof/>
                <w:webHidden/>
              </w:rPr>
              <w:t>85</w:t>
            </w:r>
            <w:r w:rsidRPr="00F55A79">
              <w:rPr>
                <w:noProof/>
                <w:webHidden/>
              </w:rPr>
              <w:fldChar w:fldCharType="end"/>
            </w:r>
          </w:hyperlink>
        </w:p>
        <w:p w:rsidRPr="00F55A79" w:rsidR="005142AB" w:rsidRDefault="005142AB" w14:paraId="0E24B88E" w14:textId="79D86167">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262">
            <w:r w:rsidRPr="00F55A79">
              <w:rPr>
                <w:rStyle w:val="Hyperlink"/>
                <w:noProof/>
              </w:rPr>
              <w:t>8.3.2.3.</w:t>
            </w:r>
            <w:r w:rsidRPr="00F55A79">
              <w:rPr>
                <w:rFonts w:asciiTheme="minorHAnsi" w:hAnsiTheme="minorHAnsi" w:eastAsiaTheme="minorEastAsia"/>
                <w:noProof/>
                <w:kern w:val="2"/>
                <w:sz w:val="24"/>
                <w:szCs w:val="24"/>
                <w14:ligatures w14:val="standardContextual"/>
              </w:rPr>
              <w:tab/>
            </w:r>
            <w:r w:rsidRPr="00F55A79">
              <w:rPr>
                <w:rStyle w:val="Hyperlink"/>
                <w:noProof/>
              </w:rPr>
              <w:t>TURN</w:t>
            </w:r>
            <w:r w:rsidRPr="00F55A79">
              <w:rPr>
                <w:noProof/>
                <w:webHidden/>
              </w:rPr>
              <w:tab/>
            </w:r>
            <w:r w:rsidRPr="00F55A79">
              <w:rPr>
                <w:noProof/>
                <w:webHidden/>
              </w:rPr>
              <w:fldChar w:fldCharType="begin"/>
            </w:r>
            <w:r w:rsidRPr="00F55A79">
              <w:rPr>
                <w:noProof/>
                <w:webHidden/>
              </w:rPr>
              <w:instrText xml:space="preserve"> PAGEREF _Toc216163262 \h </w:instrText>
            </w:r>
            <w:r w:rsidRPr="00F55A79">
              <w:rPr>
                <w:noProof/>
                <w:webHidden/>
              </w:rPr>
            </w:r>
            <w:r w:rsidRPr="00F55A79">
              <w:rPr>
                <w:noProof/>
                <w:webHidden/>
              </w:rPr>
              <w:fldChar w:fldCharType="separate"/>
            </w:r>
            <w:r w:rsidR="00BA5597">
              <w:rPr>
                <w:noProof/>
                <w:webHidden/>
              </w:rPr>
              <w:t>85</w:t>
            </w:r>
            <w:r w:rsidRPr="00F55A79">
              <w:rPr>
                <w:noProof/>
                <w:webHidden/>
              </w:rPr>
              <w:fldChar w:fldCharType="end"/>
            </w:r>
          </w:hyperlink>
        </w:p>
        <w:p w:rsidRPr="00F55A79" w:rsidR="005142AB" w:rsidRDefault="005142AB" w14:paraId="31C8C726" w14:textId="254C4D22">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63">
            <w:r w:rsidRPr="00F55A79">
              <w:rPr>
                <w:rStyle w:val="Hyperlink"/>
                <w:noProof/>
              </w:rPr>
              <w:t>8.3.3.</w:t>
            </w:r>
            <w:r w:rsidRPr="00F55A79">
              <w:rPr>
                <w:rFonts w:asciiTheme="minorHAnsi" w:hAnsiTheme="minorHAnsi" w:cstheme="minorBidi"/>
                <w:noProof/>
                <w:kern w:val="2"/>
                <w:sz w:val="24"/>
                <w:szCs w:val="24"/>
                <w14:ligatures w14:val="standardContextual"/>
              </w:rPr>
              <w:tab/>
            </w:r>
            <w:r w:rsidRPr="00F55A79">
              <w:rPr>
                <w:rStyle w:val="Hyperlink"/>
                <w:noProof/>
              </w:rPr>
              <w:t>Discussion</w:t>
            </w:r>
            <w:r w:rsidRPr="00F55A79">
              <w:rPr>
                <w:noProof/>
                <w:webHidden/>
              </w:rPr>
              <w:tab/>
            </w:r>
            <w:r w:rsidRPr="00F55A79">
              <w:rPr>
                <w:noProof/>
                <w:webHidden/>
              </w:rPr>
              <w:fldChar w:fldCharType="begin"/>
            </w:r>
            <w:r w:rsidRPr="00F55A79">
              <w:rPr>
                <w:noProof/>
                <w:webHidden/>
              </w:rPr>
              <w:instrText xml:space="preserve"> PAGEREF _Toc216163263 \h </w:instrText>
            </w:r>
            <w:r w:rsidRPr="00F55A79">
              <w:rPr>
                <w:noProof/>
                <w:webHidden/>
              </w:rPr>
            </w:r>
            <w:r w:rsidRPr="00F55A79">
              <w:rPr>
                <w:noProof/>
                <w:webHidden/>
              </w:rPr>
              <w:fldChar w:fldCharType="separate"/>
            </w:r>
            <w:r w:rsidR="00BA5597">
              <w:rPr>
                <w:noProof/>
                <w:webHidden/>
              </w:rPr>
              <w:t>86</w:t>
            </w:r>
            <w:r w:rsidRPr="00F55A79">
              <w:rPr>
                <w:noProof/>
                <w:webHidden/>
              </w:rPr>
              <w:fldChar w:fldCharType="end"/>
            </w:r>
          </w:hyperlink>
        </w:p>
        <w:p w:rsidRPr="00F55A79" w:rsidR="005142AB" w:rsidRDefault="005142AB" w14:paraId="7E8CD30B" w14:textId="0D9BCB99">
          <w:pPr>
            <w:pStyle w:val="TOC2"/>
            <w:tabs>
              <w:tab w:val="right" w:leader="dot" w:pos="9350"/>
            </w:tabs>
            <w:rPr>
              <w:rFonts w:asciiTheme="minorHAnsi" w:hAnsiTheme="minorHAnsi" w:cstheme="minorBidi"/>
              <w:noProof/>
              <w:kern w:val="2"/>
              <w:sz w:val="24"/>
              <w:szCs w:val="24"/>
              <w14:ligatures w14:val="standardContextual"/>
            </w:rPr>
          </w:pPr>
          <w:hyperlink w:history="1" w:anchor="_Toc216163264">
            <w:r w:rsidRPr="00F55A79">
              <w:rPr>
                <w:rStyle w:val="Hyperlink"/>
                <w:noProof/>
              </w:rPr>
              <w:t>8.4.</w:t>
            </w:r>
            <w:r w:rsidRPr="00F55A79">
              <w:rPr>
                <w:rFonts w:asciiTheme="minorHAnsi" w:hAnsiTheme="minorHAnsi" w:cstheme="minorBidi"/>
                <w:noProof/>
                <w:kern w:val="2"/>
                <w:sz w:val="24"/>
                <w:szCs w:val="24"/>
                <w14:ligatures w14:val="standardContextual"/>
              </w:rPr>
              <w:tab/>
            </w:r>
            <w:r w:rsidRPr="00F55A79">
              <w:rPr>
                <w:rStyle w:val="Hyperlink"/>
                <w:noProof/>
              </w:rPr>
              <w:t>D.21-04-008 and California Tribes</w:t>
            </w:r>
            <w:r w:rsidRPr="00F55A79">
              <w:rPr>
                <w:noProof/>
                <w:webHidden/>
              </w:rPr>
              <w:tab/>
            </w:r>
            <w:r w:rsidRPr="00F55A79">
              <w:rPr>
                <w:noProof/>
                <w:webHidden/>
              </w:rPr>
              <w:fldChar w:fldCharType="begin"/>
            </w:r>
            <w:r w:rsidRPr="00F55A79">
              <w:rPr>
                <w:noProof/>
                <w:webHidden/>
              </w:rPr>
              <w:instrText xml:space="preserve"> PAGEREF _Toc216163264 \h </w:instrText>
            </w:r>
            <w:r w:rsidRPr="00F55A79">
              <w:rPr>
                <w:noProof/>
                <w:webHidden/>
              </w:rPr>
            </w:r>
            <w:r w:rsidRPr="00F55A79">
              <w:rPr>
                <w:noProof/>
                <w:webHidden/>
              </w:rPr>
              <w:fldChar w:fldCharType="separate"/>
            </w:r>
            <w:r w:rsidR="00BA5597">
              <w:rPr>
                <w:noProof/>
                <w:webHidden/>
              </w:rPr>
              <w:t>87</w:t>
            </w:r>
            <w:r w:rsidRPr="00F55A79">
              <w:rPr>
                <w:noProof/>
                <w:webHidden/>
              </w:rPr>
              <w:fldChar w:fldCharType="end"/>
            </w:r>
          </w:hyperlink>
        </w:p>
        <w:p w:rsidRPr="00F55A79" w:rsidR="005142AB" w:rsidRDefault="005142AB" w14:paraId="7B894FD1" w14:textId="6863CD67">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65">
            <w:r w:rsidRPr="00F55A79">
              <w:rPr>
                <w:rStyle w:val="Hyperlink"/>
                <w:noProof/>
              </w:rPr>
              <w:t>8.4.1.</w:t>
            </w:r>
            <w:r w:rsidRPr="00F55A79">
              <w:rPr>
                <w:rFonts w:asciiTheme="minorHAnsi" w:hAnsiTheme="minorHAnsi" w:cstheme="minorBidi"/>
                <w:noProof/>
                <w:kern w:val="2"/>
                <w:sz w:val="24"/>
                <w:szCs w:val="24"/>
                <w14:ligatures w14:val="standardContextual"/>
              </w:rPr>
              <w:tab/>
            </w:r>
            <w:r w:rsidRPr="00F55A79">
              <w:rPr>
                <w:rStyle w:val="Hyperlink"/>
                <w:noProof/>
              </w:rPr>
              <w:t>Background</w:t>
            </w:r>
            <w:r w:rsidRPr="00F55A79">
              <w:rPr>
                <w:noProof/>
                <w:webHidden/>
              </w:rPr>
              <w:tab/>
            </w:r>
            <w:r w:rsidRPr="00F55A79">
              <w:rPr>
                <w:noProof/>
                <w:webHidden/>
              </w:rPr>
              <w:fldChar w:fldCharType="begin"/>
            </w:r>
            <w:r w:rsidRPr="00F55A79">
              <w:rPr>
                <w:noProof/>
                <w:webHidden/>
              </w:rPr>
              <w:instrText xml:space="preserve"> PAGEREF _Toc216163265 \h </w:instrText>
            </w:r>
            <w:r w:rsidRPr="00F55A79">
              <w:rPr>
                <w:noProof/>
                <w:webHidden/>
              </w:rPr>
            </w:r>
            <w:r w:rsidRPr="00F55A79">
              <w:rPr>
                <w:noProof/>
                <w:webHidden/>
              </w:rPr>
              <w:fldChar w:fldCharType="separate"/>
            </w:r>
            <w:r w:rsidR="00BA5597">
              <w:rPr>
                <w:noProof/>
                <w:webHidden/>
              </w:rPr>
              <w:t>87</w:t>
            </w:r>
            <w:r w:rsidRPr="00F55A79">
              <w:rPr>
                <w:noProof/>
                <w:webHidden/>
              </w:rPr>
              <w:fldChar w:fldCharType="end"/>
            </w:r>
          </w:hyperlink>
        </w:p>
        <w:p w:rsidRPr="00F55A79" w:rsidR="005142AB" w:rsidRDefault="005142AB" w14:paraId="5DC80AD2" w14:textId="345D1219">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66">
            <w:r w:rsidRPr="00F55A79">
              <w:rPr>
                <w:rStyle w:val="Hyperlink"/>
                <w:noProof/>
              </w:rPr>
              <w:t>8.4.2.</w:t>
            </w:r>
            <w:r w:rsidRPr="00F55A79">
              <w:rPr>
                <w:rFonts w:asciiTheme="minorHAnsi" w:hAnsiTheme="minorHAnsi" w:cstheme="minorBidi"/>
                <w:noProof/>
                <w:kern w:val="2"/>
                <w:sz w:val="24"/>
                <w:szCs w:val="24"/>
                <w14:ligatures w14:val="standardContextual"/>
              </w:rPr>
              <w:tab/>
            </w:r>
            <w:r w:rsidRPr="00F55A79">
              <w:rPr>
                <w:rStyle w:val="Hyperlink"/>
                <w:noProof/>
              </w:rPr>
              <w:t>Party Positions</w:t>
            </w:r>
            <w:r w:rsidRPr="00F55A79">
              <w:rPr>
                <w:noProof/>
                <w:webHidden/>
              </w:rPr>
              <w:tab/>
            </w:r>
            <w:r w:rsidRPr="00F55A79">
              <w:rPr>
                <w:noProof/>
                <w:webHidden/>
              </w:rPr>
              <w:fldChar w:fldCharType="begin"/>
            </w:r>
            <w:r w:rsidRPr="00F55A79">
              <w:rPr>
                <w:noProof/>
                <w:webHidden/>
              </w:rPr>
              <w:instrText xml:space="preserve"> PAGEREF _Toc216163266 \h </w:instrText>
            </w:r>
            <w:r w:rsidRPr="00F55A79">
              <w:rPr>
                <w:noProof/>
                <w:webHidden/>
              </w:rPr>
            </w:r>
            <w:r w:rsidRPr="00F55A79">
              <w:rPr>
                <w:noProof/>
                <w:webHidden/>
              </w:rPr>
              <w:fldChar w:fldCharType="separate"/>
            </w:r>
            <w:r w:rsidR="00BA5597">
              <w:rPr>
                <w:noProof/>
                <w:webHidden/>
              </w:rPr>
              <w:t>87</w:t>
            </w:r>
            <w:r w:rsidRPr="00F55A79">
              <w:rPr>
                <w:noProof/>
                <w:webHidden/>
              </w:rPr>
              <w:fldChar w:fldCharType="end"/>
            </w:r>
          </w:hyperlink>
        </w:p>
        <w:p w:rsidRPr="00F55A79" w:rsidR="005142AB" w:rsidRDefault="005142AB" w14:paraId="5E540AE8" w14:textId="3F80781C">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267">
            <w:r w:rsidRPr="00F55A79">
              <w:rPr>
                <w:rStyle w:val="Hyperlink"/>
                <w:noProof/>
              </w:rPr>
              <w:t>8.4.2.1.</w:t>
            </w:r>
            <w:r w:rsidRPr="00F55A79">
              <w:rPr>
                <w:rFonts w:asciiTheme="minorHAnsi" w:hAnsiTheme="minorHAnsi" w:eastAsiaTheme="minorEastAsia"/>
                <w:noProof/>
                <w:kern w:val="2"/>
                <w:sz w:val="24"/>
                <w:szCs w:val="24"/>
                <w14:ligatures w14:val="standardContextual"/>
              </w:rPr>
              <w:tab/>
            </w:r>
            <w:r w:rsidRPr="00F55A79">
              <w:rPr>
                <w:rStyle w:val="Hyperlink"/>
                <w:noProof/>
              </w:rPr>
              <w:t>Joint Applicants</w:t>
            </w:r>
            <w:r w:rsidRPr="00F55A79">
              <w:rPr>
                <w:noProof/>
                <w:webHidden/>
              </w:rPr>
              <w:tab/>
            </w:r>
            <w:r w:rsidRPr="00F55A79">
              <w:rPr>
                <w:noProof/>
                <w:webHidden/>
              </w:rPr>
              <w:fldChar w:fldCharType="begin"/>
            </w:r>
            <w:r w:rsidRPr="00F55A79">
              <w:rPr>
                <w:noProof/>
                <w:webHidden/>
              </w:rPr>
              <w:instrText xml:space="preserve"> PAGEREF _Toc216163267 \h </w:instrText>
            </w:r>
            <w:r w:rsidRPr="00F55A79">
              <w:rPr>
                <w:noProof/>
                <w:webHidden/>
              </w:rPr>
            </w:r>
            <w:r w:rsidRPr="00F55A79">
              <w:rPr>
                <w:noProof/>
                <w:webHidden/>
              </w:rPr>
              <w:fldChar w:fldCharType="separate"/>
            </w:r>
            <w:r w:rsidR="00BA5597">
              <w:rPr>
                <w:noProof/>
                <w:webHidden/>
              </w:rPr>
              <w:t>87</w:t>
            </w:r>
            <w:r w:rsidRPr="00F55A79">
              <w:rPr>
                <w:noProof/>
                <w:webHidden/>
              </w:rPr>
              <w:fldChar w:fldCharType="end"/>
            </w:r>
          </w:hyperlink>
        </w:p>
        <w:p w:rsidRPr="00F55A79" w:rsidR="005142AB" w:rsidRDefault="005142AB" w14:paraId="59334058" w14:textId="6E9EF358">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268">
            <w:r w:rsidRPr="00F55A79">
              <w:rPr>
                <w:rStyle w:val="Hyperlink"/>
                <w:noProof/>
              </w:rPr>
              <w:t>8.4.2.2.</w:t>
            </w:r>
            <w:r w:rsidRPr="00F55A79">
              <w:rPr>
                <w:rFonts w:asciiTheme="minorHAnsi" w:hAnsiTheme="minorHAnsi" w:eastAsiaTheme="minorEastAsia"/>
                <w:noProof/>
                <w:kern w:val="2"/>
                <w:sz w:val="24"/>
                <w:szCs w:val="24"/>
                <w14:ligatures w14:val="standardContextual"/>
              </w:rPr>
              <w:tab/>
            </w:r>
            <w:r w:rsidRPr="00F55A79">
              <w:rPr>
                <w:rStyle w:val="Hyperlink"/>
                <w:noProof/>
              </w:rPr>
              <w:t>CETF</w:t>
            </w:r>
            <w:r w:rsidRPr="00F55A79">
              <w:rPr>
                <w:noProof/>
                <w:webHidden/>
              </w:rPr>
              <w:tab/>
            </w:r>
            <w:r w:rsidRPr="00F55A79">
              <w:rPr>
                <w:noProof/>
                <w:webHidden/>
              </w:rPr>
              <w:fldChar w:fldCharType="begin"/>
            </w:r>
            <w:r w:rsidRPr="00F55A79">
              <w:rPr>
                <w:noProof/>
                <w:webHidden/>
              </w:rPr>
              <w:instrText xml:space="preserve"> PAGEREF _Toc216163268 \h </w:instrText>
            </w:r>
            <w:r w:rsidRPr="00F55A79">
              <w:rPr>
                <w:noProof/>
                <w:webHidden/>
              </w:rPr>
            </w:r>
            <w:r w:rsidRPr="00F55A79">
              <w:rPr>
                <w:noProof/>
                <w:webHidden/>
              </w:rPr>
              <w:fldChar w:fldCharType="separate"/>
            </w:r>
            <w:r w:rsidR="00BA5597">
              <w:rPr>
                <w:noProof/>
                <w:webHidden/>
              </w:rPr>
              <w:t>87</w:t>
            </w:r>
            <w:r w:rsidRPr="00F55A79">
              <w:rPr>
                <w:noProof/>
                <w:webHidden/>
              </w:rPr>
              <w:fldChar w:fldCharType="end"/>
            </w:r>
          </w:hyperlink>
        </w:p>
        <w:p w:rsidRPr="00F55A79" w:rsidR="005142AB" w:rsidRDefault="005142AB" w14:paraId="1E38568C" w14:textId="2710B262">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269">
            <w:r w:rsidRPr="00F55A79">
              <w:rPr>
                <w:rStyle w:val="Hyperlink"/>
                <w:noProof/>
              </w:rPr>
              <w:t>8.4.2.3.</w:t>
            </w:r>
            <w:r w:rsidRPr="00F55A79">
              <w:rPr>
                <w:rFonts w:asciiTheme="minorHAnsi" w:hAnsiTheme="minorHAnsi" w:eastAsiaTheme="minorEastAsia"/>
                <w:noProof/>
                <w:kern w:val="2"/>
                <w:sz w:val="24"/>
                <w:szCs w:val="24"/>
                <w14:ligatures w14:val="standardContextual"/>
              </w:rPr>
              <w:tab/>
            </w:r>
            <w:r w:rsidRPr="00F55A79">
              <w:rPr>
                <w:rStyle w:val="Hyperlink"/>
                <w:noProof/>
              </w:rPr>
              <w:t>CforAT</w:t>
            </w:r>
            <w:r w:rsidRPr="00F55A79">
              <w:rPr>
                <w:noProof/>
                <w:webHidden/>
              </w:rPr>
              <w:tab/>
            </w:r>
            <w:r w:rsidRPr="00F55A79">
              <w:rPr>
                <w:noProof/>
                <w:webHidden/>
              </w:rPr>
              <w:fldChar w:fldCharType="begin"/>
            </w:r>
            <w:r w:rsidRPr="00F55A79">
              <w:rPr>
                <w:noProof/>
                <w:webHidden/>
              </w:rPr>
              <w:instrText xml:space="preserve"> PAGEREF _Toc216163269 \h </w:instrText>
            </w:r>
            <w:r w:rsidRPr="00F55A79">
              <w:rPr>
                <w:noProof/>
                <w:webHidden/>
              </w:rPr>
            </w:r>
            <w:r w:rsidRPr="00F55A79">
              <w:rPr>
                <w:noProof/>
                <w:webHidden/>
              </w:rPr>
              <w:fldChar w:fldCharType="separate"/>
            </w:r>
            <w:r w:rsidR="00BA5597">
              <w:rPr>
                <w:noProof/>
                <w:webHidden/>
              </w:rPr>
              <w:t>88</w:t>
            </w:r>
            <w:r w:rsidRPr="00F55A79">
              <w:rPr>
                <w:noProof/>
                <w:webHidden/>
              </w:rPr>
              <w:fldChar w:fldCharType="end"/>
            </w:r>
          </w:hyperlink>
        </w:p>
        <w:p w:rsidRPr="00F55A79" w:rsidR="005142AB" w:rsidRDefault="005142AB" w14:paraId="725D05E2" w14:textId="4F98DD15">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270">
            <w:r w:rsidRPr="00F55A79">
              <w:rPr>
                <w:rStyle w:val="Hyperlink"/>
                <w:noProof/>
              </w:rPr>
              <w:t>8.4.2.4.</w:t>
            </w:r>
            <w:r w:rsidRPr="00F55A79">
              <w:rPr>
                <w:rFonts w:asciiTheme="minorHAnsi" w:hAnsiTheme="minorHAnsi" w:eastAsiaTheme="minorEastAsia"/>
                <w:noProof/>
                <w:kern w:val="2"/>
                <w:sz w:val="24"/>
                <w:szCs w:val="24"/>
                <w14:ligatures w14:val="standardContextual"/>
              </w:rPr>
              <w:tab/>
            </w:r>
            <w:r w:rsidRPr="00F55A79">
              <w:rPr>
                <w:rStyle w:val="Hyperlink"/>
                <w:noProof/>
              </w:rPr>
              <w:t>TURN</w:t>
            </w:r>
            <w:r w:rsidRPr="00F55A79">
              <w:rPr>
                <w:noProof/>
                <w:webHidden/>
              </w:rPr>
              <w:tab/>
            </w:r>
            <w:r w:rsidRPr="00F55A79">
              <w:rPr>
                <w:noProof/>
                <w:webHidden/>
              </w:rPr>
              <w:fldChar w:fldCharType="begin"/>
            </w:r>
            <w:r w:rsidRPr="00F55A79">
              <w:rPr>
                <w:noProof/>
                <w:webHidden/>
              </w:rPr>
              <w:instrText xml:space="preserve"> PAGEREF _Toc216163270 \h </w:instrText>
            </w:r>
            <w:r w:rsidRPr="00F55A79">
              <w:rPr>
                <w:noProof/>
                <w:webHidden/>
              </w:rPr>
            </w:r>
            <w:r w:rsidRPr="00F55A79">
              <w:rPr>
                <w:noProof/>
                <w:webHidden/>
              </w:rPr>
              <w:fldChar w:fldCharType="separate"/>
            </w:r>
            <w:r w:rsidR="00BA5597">
              <w:rPr>
                <w:noProof/>
                <w:webHidden/>
              </w:rPr>
              <w:t>88</w:t>
            </w:r>
            <w:r w:rsidRPr="00F55A79">
              <w:rPr>
                <w:noProof/>
                <w:webHidden/>
              </w:rPr>
              <w:fldChar w:fldCharType="end"/>
            </w:r>
          </w:hyperlink>
        </w:p>
        <w:p w:rsidRPr="00F55A79" w:rsidR="005142AB" w:rsidRDefault="005142AB" w14:paraId="75B7A4D0" w14:textId="1FA23CAD">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71">
            <w:r w:rsidRPr="00F55A79">
              <w:rPr>
                <w:rStyle w:val="Hyperlink"/>
                <w:noProof/>
              </w:rPr>
              <w:t>8.4.3.</w:t>
            </w:r>
            <w:r w:rsidRPr="00F55A79">
              <w:rPr>
                <w:rFonts w:asciiTheme="minorHAnsi" w:hAnsiTheme="minorHAnsi" w:cstheme="minorBidi"/>
                <w:noProof/>
                <w:kern w:val="2"/>
                <w:sz w:val="24"/>
                <w:szCs w:val="24"/>
                <w14:ligatures w14:val="standardContextual"/>
              </w:rPr>
              <w:tab/>
            </w:r>
            <w:r w:rsidRPr="00F55A79">
              <w:rPr>
                <w:rStyle w:val="Hyperlink"/>
                <w:noProof/>
              </w:rPr>
              <w:t>Discussion</w:t>
            </w:r>
            <w:r w:rsidRPr="00F55A79">
              <w:rPr>
                <w:noProof/>
                <w:webHidden/>
              </w:rPr>
              <w:tab/>
            </w:r>
            <w:r w:rsidRPr="00F55A79">
              <w:rPr>
                <w:noProof/>
                <w:webHidden/>
              </w:rPr>
              <w:fldChar w:fldCharType="begin"/>
            </w:r>
            <w:r w:rsidRPr="00F55A79">
              <w:rPr>
                <w:noProof/>
                <w:webHidden/>
              </w:rPr>
              <w:instrText xml:space="preserve"> PAGEREF _Toc216163271 \h </w:instrText>
            </w:r>
            <w:r w:rsidRPr="00F55A79">
              <w:rPr>
                <w:noProof/>
                <w:webHidden/>
              </w:rPr>
            </w:r>
            <w:r w:rsidRPr="00F55A79">
              <w:rPr>
                <w:noProof/>
                <w:webHidden/>
              </w:rPr>
              <w:fldChar w:fldCharType="separate"/>
            </w:r>
            <w:r w:rsidR="00BA5597">
              <w:rPr>
                <w:noProof/>
                <w:webHidden/>
              </w:rPr>
              <w:t>89</w:t>
            </w:r>
            <w:r w:rsidRPr="00F55A79">
              <w:rPr>
                <w:noProof/>
                <w:webHidden/>
              </w:rPr>
              <w:fldChar w:fldCharType="end"/>
            </w:r>
          </w:hyperlink>
        </w:p>
        <w:p w:rsidRPr="00F55A79" w:rsidR="005142AB" w:rsidRDefault="005142AB" w14:paraId="213AA731" w14:textId="55632B90">
          <w:pPr>
            <w:pStyle w:val="TOC1"/>
            <w:tabs>
              <w:tab w:val="right" w:leader="dot" w:pos="9350"/>
            </w:tabs>
            <w:rPr>
              <w:rFonts w:asciiTheme="minorHAnsi" w:hAnsiTheme="minorHAnsi" w:cstheme="minorBidi"/>
              <w:noProof/>
              <w:kern w:val="2"/>
              <w:sz w:val="24"/>
              <w:szCs w:val="24"/>
              <w14:ligatures w14:val="standardContextual"/>
            </w:rPr>
          </w:pPr>
          <w:hyperlink w:history="1" w:anchor="_Toc216163272">
            <w:r w:rsidRPr="00F55A79">
              <w:rPr>
                <w:rStyle w:val="Hyperlink"/>
                <w:noProof/>
              </w:rPr>
              <w:t>9.</w:t>
            </w:r>
            <w:r w:rsidRPr="00F55A79">
              <w:rPr>
                <w:rFonts w:asciiTheme="minorHAnsi" w:hAnsiTheme="minorHAnsi" w:cstheme="minorBidi"/>
                <w:noProof/>
                <w:kern w:val="2"/>
                <w:sz w:val="24"/>
                <w:szCs w:val="24"/>
                <w14:ligatures w14:val="standardContextual"/>
              </w:rPr>
              <w:tab/>
            </w:r>
            <w:r w:rsidRPr="00F55A79">
              <w:rPr>
                <w:rStyle w:val="Hyperlink"/>
                <w:noProof/>
              </w:rPr>
              <w:t>Issue 6: Additional Commitments</w:t>
            </w:r>
            <w:r w:rsidRPr="00F55A79">
              <w:rPr>
                <w:noProof/>
                <w:webHidden/>
              </w:rPr>
              <w:tab/>
            </w:r>
            <w:r w:rsidRPr="00F55A79">
              <w:rPr>
                <w:noProof/>
                <w:webHidden/>
              </w:rPr>
              <w:fldChar w:fldCharType="begin"/>
            </w:r>
            <w:r w:rsidRPr="00F55A79">
              <w:rPr>
                <w:noProof/>
                <w:webHidden/>
              </w:rPr>
              <w:instrText xml:space="preserve"> PAGEREF _Toc216163272 \h </w:instrText>
            </w:r>
            <w:r w:rsidRPr="00F55A79">
              <w:rPr>
                <w:noProof/>
                <w:webHidden/>
              </w:rPr>
            </w:r>
            <w:r w:rsidRPr="00F55A79">
              <w:rPr>
                <w:noProof/>
                <w:webHidden/>
              </w:rPr>
              <w:fldChar w:fldCharType="separate"/>
            </w:r>
            <w:r w:rsidR="00BA5597">
              <w:rPr>
                <w:noProof/>
                <w:webHidden/>
              </w:rPr>
              <w:t>89</w:t>
            </w:r>
            <w:r w:rsidRPr="00F55A79">
              <w:rPr>
                <w:noProof/>
                <w:webHidden/>
              </w:rPr>
              <w:fldChar w:fldCharType="end"/>
            </w:r>
          </w:hyperlink>
        </w:p>
        <w:p w:rsidRPr="00F55A79" w:rsidR="005142AB" w:rsidRDefault="005142AB" w14:paraId="622CBE5E" w14:textId="0BDC204C">
          <w:pPr>
            <w:pStyle w:val="TOC2"/>
            <w:tabs>
              <w:tab w:val="right" w:leader="dot" w:pos="9350"/>
            </w:tabs>
            <w:rPr>
              <w:rFonts w:asciiTheme="minorHAnsi" w:hAnsiTheme="minorHAnsi" w:cstheme="minorBidi"/>
              <w:noProof/>
              <w:kern w:val="2"/>
              <w:sz w:val="24"/>
              <w:szCs w:val="24"/>
              <w14:ligatures w14:val="standardContextual"/>
            </w:rPr>
          </w:pPr>
          <w:hyperlink w:history="1" w:anchor="_Toc216163273">
            <w:r w:rsidRPr="00F55A79">
              <w:rPr>
                <w:rStyle w:val="Hyperlink"/>
                <w:noProof/>
              </w:rPr>
              <w:t>9.1.</w:t>
            </w:r>
            <w:r w:rsidRPr="00F55A79">
              <w:rPr>
                <w:rFonts w:asciiTheme="minorHAnsi" w:hAnsiTheme="minorHAnsi" w:cstheme="minorBidi"/>
                <w:noProof/>
                <w:kern w:val="2"/>
                <w:sz w:val="24"/>
                <w:szCs w:val="24"/>
                <w14:ligatures w14:val="standardContextual"/>
              </w:rPr>
              <w:tab/>
            </w:r>
            <w:r w:rsidRPr="00F55A79">
              <w:rPr>
                <w:rStyle w:val="Hyperlink"/>
                <w:noProof/>
              </w:rPr>
              <w:t>Joint Applicant Commitments</w:t>
            </w:r>
            <w:r w:rsidRPr="00F55A79">
              <w:rPr>
                <w:noProof/>
                <w:webHidden/>
              </w:rPr>
              <w:tab/>
            </w:r>
            <w:r w:rsidRPr="00F55A79">
              <w:rPr>
                <w:noProof/>
                <w:webHidden/>
              </w:rPr>
              <w:fldChar w:fldCharType="begin"/>
            </w:r>
            <w:r w:rsidRPr="00F55A79">
              <w:rPr>
                <w:noProof/>
                <w:webHidden/>
              </w:rPr>
              <w:instrText xml:space="preserve"> PAGEREF _Toc216163273 \h </w:instrText>
            </w:r>
            <w:r w:rsidRPr="00F55A79">
              <w:rPr>
                <w:noProof/>
                <w:webHidden/>
              </w:rPr>
            </w:r>
            <w:r w:rsidRPr="00F55A79">
              <w:rPr>
                <w:noProof/>
                <w:webHidden/>
              </w:rPr>
              <w:fldChar w:fldCharType="separate"/>
            </w:r>
            <w:r w:rsidR="00BA5597">
              <w:rPr>
                <w:noProof/>
                <w:webHidden/>
              </w:rPr>
              <w:t>89</w:t>
            </w:r>
            <w:r w:rsidRPr="00F55A79">
              <w:rPr>
                <w:noProof/>
                <w:webHidden/>
              </w:rPr>
              <w:fldChar w:fldCharType="end"/>
            </w:r>
          </w:hyperlink>
        </w:p>
        <w:p w:rsidRPr="00F55A79" w:rsidR="005142AB" w:rsidRDefault="005142AB" w14:paraId="6990057F" w14:textId="045F6788">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74">
            <w:r w:rsidRPr="00F55A79">
              <w:rPr>
                <w:rStyle w:val="Hyperlink"/>
                <w:noProof/>
              </w:rPr>
              <w:t>9.1.1.</w:t>
            </w:r>
            <w:r w:rsidRPr="00F55A79">
              <w:rPr>
                <w:rFonts w:asciiTheme="minorHAnsi" w:hAnsiTheme="minorHAnsi" w:cstheme="minorBidi"/>
                <w:noProof/>
                <w:kern w:val="2"/>
                <w:sz w:val="24"/>
                <w:szCs w:val="24"/>
                <w14:ligatures w14:val="standardContextual"/>
              </w:rPr>
              <w:tab/>
            </w:r>
            <w:r w:rsidRPr="00F55A79">
              <w:rPr>
                <w:rStyle w:val="Hyperlink"/>
                <w:noProof/>
              </w:rPr>
              <w:t>Workforce Development Program</w:t>
            </w:r>
            <w:r w:rsidRPr="00F55A79">
              <w:rPr>
                <w:noProof/>
                <w:webHidden/>
              </w:rPr>
              <w:tab/>
            </w:r>
            <w:r w:rsidRPr="00F55A79">
              <w:rPr>
                <w:noProof/>
                <w:webHidden/>
              </w:rPr>
              <w:fldChar w:fldCharType="begin"/>
            </w:r>
            <w:r w:rsidRPr="00F55A79">
              <w:rPr>
                <w:noProof/>
                <w:webHidden/>
              </w:rPr>
              <w:instrText xml:space="preserve"> PAGEREF _Toc216163274 \h </w:instrText>
            </w:r>
            <w:r w:rsidRPr="00F55A79">
              <w:rPr>
                <w:noProof/>
                <w:webHidden/>
              </w:rPr>
            </w:r>
            <w:r w:rsidRPr="00F55A79">
              <w:rPr>
                <w:noProof/>
                <w:webHidden/>
              </w:rPr>
              <w:fldChar w:fldCharType="separate"/>
            </w:r>
            <w:r w:rsidR="00BA5597">
              <w:rPr>
                <w:noProof/>
                <w:webHidden/>
              </w:rPr>
              <w:t>90</w:t>
            </w:r>
            <w:r w:rsidRPr="00F55A79">
              <w:rPr>
                <w:noProof/>
                <w:webHidden/>
              </w:rPr>
              <w:fldChar w:fldCharType="end"/>
            </w:r>
          </w:hyperlink>
        </w:p>
        <w:p w:rsidRPr="00F55A79" w:rsidR="005142AB" w:rsidRDefault="005142AB" w14:paraId="552FC1D0" w14:textId="0A35FE0F">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75">
            <w:r w:rsidRPr="00F55A79">
              <w:rPr>
                <w:rStyle w:val="Hyperlink"/>
                <w:noProof/>
              </w:rPr>
              <w:t>9.1.2.</w:t>
            </w:r>
            <w:r w:rsidRPr="00F55A79">
              <w:rPr>
                <w:rFonts w:asciiTheme="minorHAnsi" w:hAnsiTheme="minorHAnsi" w:cstheme="minorBidi"/>
                <w:noProof/>
                <w:kern w:val="2"/>
                <w:sz w:val="24"/>
                <w:szCs w:val="24"/>
                <w14:ligatures w14:val="standardContextual"/>
              </w:rPr>
              <w:tab/>
            </w:r>
            <w:r w:rsidRPr="00F55A79">
              <w:rPr>
                <w:rStyle w:val="Hyperlink"/>
                <w:noProof/>
              </w:rPr>
              <w:t>Employee Experience Information</w:t>
            </w:r>
            <w:r w:rsidRPr="00F55A79">
              <w:rPr>
                <w:noProof/>
                <w:webHidden/>
              </w:rPr>
              <w:tab/>
            </w:r>
            <w:r w:rsidRPr="00F55A79">
              <w:rPr>
                <w:noProof/>
                <w:webHidden/>
              </w:rPr>
              <w:fldChar w:fldCharType="begin"/>
            </w:r>
            <w:r w:rsidRPr="00F55A79">
              <w:rPr>
                <w:noProof/>
                <w:webHidden/>
              </w:rPr>
              <w:instrText xml:space="preserve"> PAGEREF _Toc216163275 \h </w:instrText>
            </w:r>
            <w:r w:rsidRPr="00F55A79">
              <w:rPr>
                <w:noProof/>
                <w:webHidden/>
              </w:rPr>
            </w:r>
            <w:r w:rsidRPr="00F55A79">
              <w:rPr>
                <w:noProof/>
                <w:webHidden/>
              </w:rPr>
              <w:fldChar w:fldCharType="separate"/>
            </w:r>
            <w:r w:rsidR="00BA5597">
              <w:rPr>
                <w:noProof/>
                <w:webHidden/>
              </w:rPr>
              <w:t>91</w:t>
            </w:r>
            <w:r w:rsidRPr="00F55A79">
              <w:rPr>
                <w:noProof/>
                <w:webHidden/>
              </w:rPr>
              <w:fldChar w:fldCharType="end"/>
            </w:r>
          </w:hyperlink>
        </w:p>
        <w:p w:rsidRPr="00F55A79" w:rsidR="005142AB" w:rsidRDefault="005142AB" w14:paraId="242B18E3" w14:textId="5FEB8ACA">
          <w:pPr>
            <w:pStyle w:val="TOC2"/>
            <w:tabs>
              <w:tab w:val="right" w:leader="dot" w:pos="9350"/>
            </w:tabs>
            <w:rPr>
              <w:rFonts w:asciiTheme="minorHAnsi" w:hAnsiTheme="minorHAnsi" w:cstheme="minorBidi"/>
              <w:noProof/>
              <w:kern w:val="2"/>
              <w:sz w:val="24"/>
              <w:szCs w:val="24"/>
              <w14:ligatures w14:val="standardContextual"/>
            </w:rPr>
          </w:pPr>
          <w:hyperlink w:history="1" w:anchor="_Toc216163276">
            <w:r w:rsidRPr="00F55A79">
              <w:rPr>
                <w:rStyle w:val="Hyperlink"/>
                <w:noProof/>
              </w:rPr>
              <w:t>9.2.</w:t>
            </w:r>
            <w:r w:rsidRPr="00F55A79">
              <w:rPr>
                <w:rFonts w:asciiTheme="minorHAnsi" w:hAnsiTheme="minorHAnsi" w:cstheme="minorBidi"/>
                <w:noProof/>
                <w:kern w:val="2"/>
                <w:sz w:val="24"/>
                <w:szCs w:val="24"/>
                <w14:ligatures w14:val="standardContextual"/>
              </w:rPr>
              <w:tab/>
            </w:r>
            <w:r w:rsidRPr="00F55A79">
              <w:rPr>
                <w:rStyle w:val="Hyperlink"/>
                <w:noProof/>
              </w:rPr>
              <w:t>Joint Applicants’ Position</w:t>
            </w:r>
            <w:r w:rsidRPr="00F55A79">
              <w:rPr>
                <w:noProof/>
                <w:webHidden/>
              </w:rPr>
              <w:tab/>
            </w:r>
            <w:r w:rsidRPr="00F55A79">
              <w:rPr>
                <w:noProof/>
                <w:webHidden/>
              </w:rPr>
              <w:fldChar w:fldCharType="begin"/>
            </w:r>
            <w:r w:rsidRPr="00F55A79">
              <w:rPr>
                <w:noProof/>
                <w:webHidden/>
              </w:rPr>
              <w:instrText xml:space="preserve"> PAGEREF _Toc216163276 \h </w:instrText>
            </w:r>
            <w:r w:rsidRPr="00F55A79">
              <w:rPr>
                <w:noProof/>
                <w:webHidden/>
              </w:rPr>
            </w:r>
            <w:r w:rsidRPr="00F55A79">
              <w:rPr>
                <w:noProof/>
                <w:webHidden/>
              </w:rPr>
              <w:fldChar w:fldCharType="separate"/>
            </w:r>
            <w:r w:rsidR="00BA5597">
              <w:rPr>
                <w:noProof/>
                <w:webHidden/>
              </w:rPr>
              <w:t>91</w:t>
            </w:r>
            <w:r w:rsidRPr="00F55A79">
              <w:rPr>
                <w:noProof/>
                <w:webHidden/>
              </w:rPr>
              <w:fldChar w:fldCharType="end"/>
            </w:r>
          </w:hyperlink>
        </w:p>
        <w:p w:rsidRPr="00F55A79" w:rsidR="005142AB" w:rsidRDefault="005142AB" w14:paraId="24668B84" w14:textId="4BEB78C6">
          <w:pPr>
            <w:pStyle w:val="TOC2"/>
            <w:tabs>
              <w:tab w:val="right" w:leader="dot" w:pos="9350"/>
            </w:tabs>
            <w:rPr>
              <w:rFonts w:asciiTheme="minorHAnsi" w:hAnsiTheme="minorHAnsi" w:cstheme="minorBidi"/>
              <w:noProof/>
              <w:kern w:val="2"/>
              <w:sz w:val="24"/>
              <w:szCs w:val="24"/>
              <w14:ligatures w14:val="standardContextual"/>
            </w:rPr>
          </w:pPr>
          <w:hyperlink w:history="1" w:anchor="_Toc216163277">
            <w:r w:rsidRPr="00F55A79">
              <w:rPr>
                <w:rStyle w:val="Hyperlink"/>
                <w:noProof/>
              </w:rPr>
              <w:t>9.3.</w:t>
            </w:r>
            <w:r w:rsidRPr="00F55A79">
              <w:rPr>
                <w:rFonts w:asciiTheme="minorHAnsi" w:hAnsiTheme="minorHAnsi" w:cstheme="minorBidi"/>
                <w:noProof/>
                <w:kern w:val="2"/>
                <w:sz w:val="24"/>
                <w:szCs w:val="24"/>
                <w14:ligatures w14:val="standardContextual"/>
              </w:rPr>
              <w:tab/>
            </w:r>
            <w:r w:rsidRPr="00F55A79">
              <w:rPr>
                <w:rStyle w:val="Hyperlink"/>
                <w:noProof/>
              </w:rPr>
              <w:t>Party Positions</w:t>
            </w:r>
            <w:r w:rsidRPr="00F55A79">
              <w:rPr>
                <w:noProof/>
                <w:webHidden/>
              </w:rPr>
              <w:tab/>
            </w:r>
            <w:r w:rsidRPr="00F55A79">
              <w:rPr>
                <w:noProof/>
                <w:webHidden/>
              </w:rPr>
              <w:fldChar w:fldCharType="begin"/>
            </w:r>
            <w:r w:rsidRPr="00F55A79">
              <w:rPr>
                <w:noProof/>
                <w:webHidden/>
              </w:rPr>
              <w:instrText xml:space="preserve"> PAGEREF _Toc216163277 \h </w:instrText>
            </w:r>
            <w:r w:rsidRPr="00F55A79">
              <w:rPr>
                <w:noProof/>
                <w:webHidden/>
              </w:rPr>
            </w:r>
            <w:r w:rsidRPr="00F55A79">
              <w:rPr>
                <w:noProof/>
                <w:webHidden/>
              </w:rPr>
              <w:fldChar w:fldCharType="separate"/>
            </w:r>
            <w:r w:rsidR="00BA5597">
              <w:rPr>
                <w:noProof/>
                <w:webHidden/>
              </w:rPr>
              <w:t>92</w:t>
            </w:r>
            <w:r w:rsidRPr="00F55A79">
              <w:rPr>
                <w:noProof/>
                <w:webHidden/>
              </w:rPr>
              <w:fldChar w:fldCharType="end"/>
            </w:r>
          </w:hyperlink>
        </w:p>
        <w:p w:rsidRPr="00F55A79" w:rsidR="005142AB" w:rsidRDefault="005142AB" w14:paraId="0D0312A2" w14:textId="18AA2D9A">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78">
            <w:r w:rsidRPr="00F55A79">
              <w:rPr>
                <w:rStyle w:val="Hyperlink"/>
                <w:noProof/>
              </w:rPr>
              <w:t>9.3.1.</w:t>
            </w:r>
            <w:r w:rsidRPr="00F55A79">
              <w:rPr>
                <w:rFonts w:asciiTheme="minorHAnsi" w:hAnsiTheme="minorHAnsi" w:cstheme="minorBidi"/>
                <w:noProof/>
                <w:kern w:val="2"/>
                <w:sz w:val="24"/>
                <w:szCs w:val="24"/>
                <w14:ligatures w14:val="standardContextual"/>
              </w:rPr>
              <w:tab/>
            </w:r>
            <w:r w:rsidRPr="00F55A79">
              <w:rPr>
                <w:rStyle w:val="Hyperlink"/>
                <w:noProof/>
              </w:rPr>
              <w:t>TURN</w:t>
            </w:r>
            <w:r w:rsidRPr="00F55A79">
              <w:rPr>
                <w:noProof/>
                <w:webHidden/>
              </w:rPr>
              <w:tab/>
            </w:r>
            <w:r w:rsidRPr="00F55A79">
              <w:rPr>
                <w:noProof/>
                <w:webHidden/>
              </w:rPr>
              <w:fldChar w:fldCharType="begin"/>
            </w:r>
            <w:r w:rsidRPr="00F55A79">
              <w:rPr>
                <w:noProof/>
                <w:webHidden/>
              </w:rPr>
              <w:instrText xml:space="preserve"> PAGEREF _Toc216163278 \h </w:instrText>
            </w:r>
            <w:r w:rsidRPr="00F55A79">
              <w:rPr>
                <w:noProof/>
                <w:webHidden/>
              </w:rPr>
            </w:r>
            <w:r w:rsidRPr="00F55A79">
              <w:rPr>
                <w:noProof/>
                <w:webHidden/>
              </w:rPr>
              <w:fldChar w:fldCharType="separate"/>
            </w:r>
            <w:r w:rsidR="00BA5597">
              <w:rPr>
                <w:noProof/>
                <w:webHidden/>
              </w:rPr>
              <w:t>92</w:t>
            </w:r>
            <w:r w:rsidRPr="00F55A79">
              <w:rPr>
                <w:noProof/>
                <w:webHidden/>
              </w:rPr>
              <w:fldChar w:fldCharType="end"/>
            </w:r>
          </w:hyperlink>
        </w:p>
        <w:p w:rsidRPr="00F55A79" w:rsidR="005142AB" w:rsidRDefault="005142AB" w14:paraId="49EE95DC" w14:textId="7D0FE4AD">
          <w:pPr>
            <w:pStyle w:val="TOC2"/>
            <w:tabs>
              <w:tab w:val="right" w:leader="dot" w:pos="9350"/>
            </w:tabs>
            <w:rPr>
              <w:rFonts w:asciiTheme="minorHAnsi" w:hAnsiTheme="minorHAnsi" w:cstheme="minorBidi"/>
              <w:noProof/>
              <w:kern w:val="2"/>
              <w:sz w:val="24"/>
              <w:szCs w:val="24"/>
              <w14:ligatures w14:val="standardContextual"/>
            </w:rPr>
          </w:pPr>
          <w:hyperlink w:history="1" w:anchor="_Toc216163279">
            <w:r w:rsidRPr="00F55A79">
              <w:rPr>
                <w:rStyle w:val="Hyperlink"/>
                <w:noProof/>
              </w:rPr>
              <w:t>9.4.</w:t>
            </w:r>
            <w:r w:rsidRPr="00F55A79">
              <w:rPr>
                <w:rFonts w:asciiTheme="minorHAnsi" w:hAnsiTheme="minorHAnsi" w:cstheme="minorBidi"/>
                <w:noProof/>
                <w:kern w:val="2"/>
                <w:sz w:val="24"/>
                <w:szCs w:val="24"/>
                <w14:ligatures w14:val="standardContextual"/>
              </w:rPr>
              <w:tab/>
            </w:r>
            <w:r w:rsidRPr="00F55A79">
              <w:rPr>
                <w:rStyle w:val="Hyperlink"/>
                <w:noProof/>
              </w:rPr>
              <w:t>Discussion</w:t>
            </w:r>
            <w:r w:rsidRPr="00F55A79">
              <w:rPr>
                <w:noProof/>
                <w:webHidden/>
              </w:rPr>
              <w:tab/>
            </w:r>
            <w:r w:rsidRPr="00F55A79">
              <w:rPr>
                <w:noProof/>
                <w:webHidden/>
              </w:rPr>
              <w:fldChar w:fldCharType="begin"/>
            </w:r>
            <w:r w:rsidRPr="00F55A79">
              <w:rPr>
                <w:noProof/>
                <w:webHidden/>
              </w:rPr>
              <w:instrText xml:space="preserve"> PAGEREF _Toc216163279 \h </w:instrText>
            </w:r>
            <w:r w:rsidRPr="00F55A79">
              <w:rPr>
                <w:noProof/>
                <w:webHidden/>
              </w:rPr>
            </w:r>
            <w:r w:rsidRPr="00F55A79">
              <w:rPr>
                <w:noProof/>
                <w:webHidden/>
              </w:rPr>
              <w:fldChar w:fldCharType="separate"/>
            </w:r>
            <w:r w:rsidR="00BA5597">
              <w:rPr>
                <w:noProof/>
                <w:webHidden/>
              </w:rPr>
              <w:t>93</w:t>
            </w:r>
            <w:r w:rsidRPr="00F55A79">
              <w:rPr>
                <w:noProof/>
                <w:webHidden/>
              </w:rPr>
              <w:fldChar w:fldCharType="end"/>
            </w:r>
          </w:hyperlink>
        </w:p>
        <w:p w:rsidRPr="00F55A79" w:rsidR="005142AB" w:rsidRDefault="005142AB" w14:paraId="60F7FDEC" w14:textId="6C1CFF3D">
          <w:pPr>
            <w:pStyle w:val="TOC1"/>
            <w:tabs>
              <w:tab w:val="right" w:leader="dot" w:pos="9350"/>
            </w:tabs>
            <w:rPr>
              <w:rFonts w:asciiTheme="minorHAnsi" w:hAnsiTheme="minorHAnsi" w:cstheme="minorBidi"/>
              <w:noProof/>
              <w:kern w:val="2"/>
              <w:sz w:val="24"/>
              <w:szCs w:val="24"/>
              <w14:ligatures w14:val="standardContextual"/>
            </w:rPr>
          </w:pPr>
          <w:hyperlink w:history="1" w:anchor="_Toc216163280">
            <w:r w:rsidRPr="00F55A79">
              <w:rPr>
                <w:rStyle w:val="Hyperlink"/>
                <w:noProof/>
              </w:rPr>
              <w:t>10.</w:t>
            </w:r>
            <w:r w:rsidRPr="00F55A79">
              <w:rPr>
                <w:rFonts w:asciiTheme="minorHAnsi" w:hAnsiTheme="minorHAnsi" w:cstheme="minorBidi"/>
                <w:noProof/>
                <w:kern w:val="2"/>
                <w:sz w:val="24"/>
                <w:szCs w:val="24"/>
                <w14:ligatures w14:val="standardContextual"/>
              </w:rPr>
              <w:tab/>
            </w:r>
            <w:r w:rsidRPr="00F55A79">
              <w:rPr>
                <w:rStyle w:val="Hyperlink"/>
                <w:noProof/>
              </w:rPr>
              <w:t>Issue 7: Diversity, Equity, and Inclusion (DEI)</w:t>
            </w:r>
            <w:r w:rsidRPr="00F55A79">
              <w:rPr>
                <w:noProof/>
                <w:webHidden/>
              </w:rPr>
              <w:tab/>
            </w:r>
            <w:r w:rsidRPr="00F55A79">
              <w:rPr>
                <w:noProof/>
                <w:webHidden/>
              </w:rPr>
              <w:fldChar w:fldCharType="begin"/>
            </w:r>
            <w:r w:rsidRPr="00F55A79">
              <w:rPr>
                <w:noProof/>
                <w:webHidden/>
              </w:rPr>
              <w:instrText xml:space="preserve"> PAGEREF _Toc216163280 \h </w:instrText>
            </w:r>
            <w:r w:rsidRPr="00F55A79">
              <w:rPr>
                <w:noProof/>
                <w:webHidden/>
              </w:rPr>
            </w:r>
            <w:r w:rsidRPr="00F55A79">
              <w:rPr>
                <w:noProof/>
                <w:webHidden/>
              </w:rPr>
              <w:fldChar w:fldCharType="separate"/>
            </w:r>
            <w:r w:rsidR="00BA5597">
              <w:rPr>
                <w:noProof/>
                <w:webHidden/>
              </w:rPr>
              <w:t>93</w:t>
            </w:r>
            <w:r w:rsidRPr="00F55A79">
              <w:rPr>
                <w:noProof/>
                <w:webHidden/>
              </w:rPr>
              <w:fldChar w:fldCharType="end"/>
            </w:r>
          </w:hyperlink>
        </w:p>
        <w:p w:rsidRPr="00F55A79" w:rsidR="005142AB" w:rsidRDefault="005142AB" w14:paraId="24D5413E" w14:textId="643B07F0">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16163281">
            <w:r w:rsidRPr="00F55A79">
              <w:rPr>
                <w:rStyle w:val="Hyperlink"/>
                <w:noProof/>
              </w:rPr>
              <w:t>10.1.</w:t>
            </w:r>
            <w:r w:rsidRPr="00F55A79">
              <w:rPr>
                <w:rFonts w:asciiTheme="minorHAnsi" w:hAnsiTheme="minorHAnsi" w:cstheme="minorBidi"/>
                <w:noProof/>
                <w:kern w:val="2"/>
                <w:sz w:val="24"/>
                <w:szCs w:val="24"/>
                <w14:ligatures w14:val="standardContextual"/>
              </w:rPr>
              <w:tab/>
            </w:r>
            <w:r w:rsidRPr="00F55A79">
              <w:rPr>
                <w:rStyle w:val="Hyperlink"/>
                <w:noProof/>
              </w:rPr>
              <w:t>Background</w:t>
            </w:r>
            <w:r w:rsidRPr="00F55A79">
              <w:rPr>
                <w:noProof/>
                <w:webHidden/>
              </w:rPr>
              <w:tab/>
            </w:r>
            <w:r w:rsidRPr="00F55A79">
              <w:rPr>
                <w:noProof/>
                <w:webHidden/>
              </w:rPr>
              <w:fldChar w:fldCharType="begin"/>
            </w:r>
            <w:r w:rsidRPr="00F55A79">
              <w:rPr>
                <w:noProof/>
                <w:webHidden/>
              </w:rPr>
              <w:instrText xml:space="preserve"> PAGEREF _Toc216163281 \h </w:instrText>
            </w:r>
            <w:r w:rsidRPr="00F55A79">
              <w:rPr>
                <w:noProof/>
                <w:webHidden/>
              </w:rPr>
            </w:r>
            <w:r w:rsidRPr="00F55A79">
              <w:rPr>
                <w:noProof/>
                <w:webHidden/>
              </w:rPr>
              <w:fldChar w:fldCharType="separate"/>
            </w:r>
            <w:r w:rsidR="00BA5597">
              <w:rPr>
                <w:noProof/>
                <w:webHidden/>
              </w:rPr>
              <w:t>93</w:t>
            </w:r>
            <w:r w:rsidRPr="00F55A79">
              <w:rPr>
                <w:noProof/>
                <w:webHidden/>
              </w:rPr>
              <w:fldChar w:fldCharType="end"/>
            </w:r>
          </w:hyperlink>
        </w:p>
        <w:p w:rsidRPr="00F55A79" w:rsidR="005142AB" w:rsidRDefault="005142AB" w14:paraId="2434C0B1" w14:textId="65BE8BF5">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16163282">
            <w:r w:rsidRPr="00F55A79">
              <w:rPr>
                <w:rStyle w:val="Hyperlink"/>
                <w:noProof/>
              </w:rPr>
              <w:t>10.2.</w:t>
            </w:r>
            <w:r w:rsidRPr="00F55A79">
              <w:rPr>
                <w:rFonts w:asciiTheme="minorHAnsi" w:hAnsiTheme="minorHAnsi" w:cstheme="minorBidi"/>
                <w:noProof/>
                <w:kern w:val="2"/>
                <w:sz w:val="24"/>
                <w:szCs w:val="24"/>
                <w14:ligatures w14:val="standardContextual"/>
              </w:rPr>
              <w:tab/>
            </w:r>
            <w:r w:rsidRPr="00F55A79">
              <w:rPr>
                <w:rStyle w:val="Hyperlink"/>
                <w:noProof/>
              </w:rPr>
              <w:t>Consistency with California Law</w:t>
            </w:r>
            <w:r w:rsidRPr="00F55A79">
              <w:rPr>
                <w:noProof/>
                <w:webHidden/>
              </w:rPr>
              <w:tab/>
            </w:r>
            <w:r w:rsidRPr="00F55A79">
              <w:rPr>
                <w:noProof/>
                <w:webHidden/>
              </w:rPr>
              <w:fldChar w:fldCharType="begin"/>
            </w:r>
            <w:r w:rsidRPr="00F55A79">
              <w:rPr>
                <w:noProof/>
                <w:webHidden/>
              </w:rPr>
              <w:instrText xml:space="preserve"> PAGEREF _Toc216163282 \h </w:instrText>
            </w:r>
            <w:r w:rsidRPr="00F55A79">
              <w:rPr>
                <w:noProof/>
                <w:webHidden/>
              </w:rPr>
            </w:r>
            <w:r w:rsidRPr="00F55A79">
              <w:rPr>
                <w:noProof/>
                <w:webHidden/>
              </w:rPr>
              <w:fldChar w:fldCharType="separate"/>
            </w:r>
            <w:r w:rsidR="00BA5597">
              <w:rPr>
                <w:noProof/>
                <w:webHidden/>
              </w:rPr>
              <w:t>96</w:t>
            </w:r>
            <w:r w:rsidRPr="00F55A79">
              <w:rPr>
                <w:noProof/>
                <w:webHidden/>
              </w:rPr>
              <w:fldChar w:fldCharType="end"/>
            </w:r>
          </w:hyperlink>
        </w:p>
        <w:p w:rsidRPr="00F55A79" w:rsidR="005142AB" w:rsidRDefault="005142AB" w14:paraId="16D0FFA0" w14:textId="23298125">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16163283">
            <w:r w:rsidRPr="00F55A79">
              <w:rPr>
                <w:rStyle w:val="Hyperlink"/>
                <w:noProof/>
              </w:rPr>
              <w:t>10.3.</w:t>
            </w:r>
            <w:r w:rsidRPr="00F55A79">
              <w:rPr>
                <w:rFonts w:asciiTheme="minorHAnsi" w:hAnsiTheme="minorHAnsi" w:cstheme="minorBidi"/>
                <w:noProof/>
                <w:kern w:val="2"/>
                <w:sz w:val="24"/>
                <w:szCs w:val="24"/>
                <w14:ligatures w14:val="standardContextual"/>
              </w:rPr>
              <w:tab/>
            </w:r>
            <w:r w:rsidRPr="00F55A79">
              <w:rPr>
                <w:rStyle w:val="Hyperlink"/>
                <w:noProof/>
              </w:rPr>
              <w:t>Party Positions</w:t>
            </w:r>
            <w:r w:rsidRPr="00F55A79">
              <w:rPr>
                <w:noProof/>
                <w:webHidden/>
              </w:rPr>
              <w:tab/>
            </w:r>
            <w:r w:rsidRPr="00F55A79">
              <w:rPr>
                <w:noProof/>
                <w:webHidden/>
              </w:rPr>
              <w:fldChar w:fldCharType="begin"/>
            </w:r>
            <w:r w:rsidRPr="00F55A79">
              <w:rPr>
                <w:noProof/>
                <w:webHidden/>
              </w:rPr>
              <w:instrText xml:space="preserve"> PAGEREF _Toc216163283 \h </w:instrText>
            </w:r>
            <w:r w:rsidRPr="00F55A79">
              <w:rPr>
                <w:noProof/>
                <w:webHidden/>
              </w:rPr>
            </w:r>
            <w:r w:rsidRPr="00F55A79">
              <w:rPr>
                <w:noProof/>
                <w:webHidden/>
              </w:rPr>
              <w:fldChar w:fldCharType="separate"/>
            </w:r>
            <w:r w:rsidR="00BA5597">
              <w:rPr>
                <w:noProof/>
                <w:webHidden/>
              </w:rPr>
              <w:t>97</w:t>
            </w:r>
            <w:r w:rsidRPr="00F55A79">
              <w:rPr>
                <w:noProof/>
                <w:webHidden/>
              </w:rPr>
              <w:fldChar w:fldCharType="end"/>
            </w:r>
          </w:hyperlink>
        </w:p>
        <w:p w:rsidRPr="00F55A79" w:rsidR="005142AB" w:rsidRDefault="005142AB" w14:paraId="6AEB4EE0" w14:textId="6463CC97">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16163284">
            <w:r w:rsidRPr="00F55A79">
              <w:rPr>
                <w:rStyle w:val="Hyperlink"/>
                <w:noProof/>
              </w:rPr>
              <w:t>10.3.1.</w:t>
            </w:r>
            <w:r w:rsidRPr="00F55A79">
              <w:rPr>
                <w:rFonts w:asciiTheme="minorHAnsi" w:hAnsiTheme="minorHAnsi" w:cstheme="minorBidi"/>
                <w:noProof/>
                <w:kern w:val="2"/>
                <w:sz w:val="24"/>
                <w:szCs w:val="24"/>
                <w14:ligatures w14:val="standardContextual"/>
              </w:rPr>
              <w:tab/>
            </w:r>
            <w:r w:rsidRPr="00F55A79">
              <w:rPr>
                <w:rStyle w:val="Hyperlink"/>
                <w:noProof/>
              </w:rPr>
              <w:t>Joint Applicants</w:t>
            </w:r>
            <w:r w:rsidRPr="00F55A79">
              <w:rPr>
                <w:noProof/>
                <w:webHidden/>
              </w:rPr>
              <w:tab/>
            </w:r>
            <w:r w:rsidRPr="00F55A79">
              <w:rPr>
                <w:noProof/>
                <w:webHidden/>
              </w:rPr>
              <w:fldChar w:fldCharType="begin"/>
            </w:r>
            <w:r w:rsidRPr="00F55A79">
              <w:rPr>
                <w:noProof/>
                <w:webHidden/>
              </w:rPr>
              <w:instrText xml:space="preserve"> PAGEREF _Toc216163284 \h </w:instrText>
            </w:r>
            <w:r w:rsidRPr="00F55A79">
              <w:rPr>
                <w:noProof/>
                <w:webHidden/>
              </w:rPr>
            </w:r>
            <w:r w:rsidRPr="00F55A79">
              <w:rPr>
                <w:noProof/>
                <w:webHidden/>
              </w:rPr>
              <w:fldChar w:fldCharType="separate"/>
            </w:r>
            <w:r w:rsidR="00BA5597">
              <w:rPr>
                <w:noProof/>
                <w:webHidden/>
              </w:rPr>
              <w:t>97</w:t>
            </w:r>
            <w:r w:rsidRPr="00F55A79">
              <w:rPr>
                <w:noProof/>
                <w:webHidden/>
              </w:rPr>
              <w:fldChar w:fldCharType="end"/>
            </w:r>
          </w:hyperlink>
        </w:p>
        <w:p w:rsidRPr="00F55A79" w:rsidR="005142AB" w:rsidRDefault="005142AB" w14:paraId="603DD897" w14:textId="4E793ECF">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16163285">
            <w:r w:rsidRPr="00F55A79">
              <w:rPr>
                <w:rStyle w:val="Hyperlink"/>
                <w:noProof/>
              </w:rPr>
              <w:t>10.3.2.</w:t>
            </w:r>
            <w:r w:rsidRPr="00F55A79">
              <w:rPr>
                <w:rFonts w:asciiTheme="minorHAnsi" w:hAnsiTheme="minorHAnsi" w:cstheme="minorBidi"/>
                <w:noProof/>
                <w:kern w:val="2"/>
                <w:sz w:val="24"/>
                <w:szCs w:val="24"/>
                <w14:ligatures w14:val="standardContextual"/>
              </w:rPr>
              <w:tab/>
            </w:r>
            <w:r w:rsidRPr="00F55A79">
              <w:rPr>
                <w:rStyle w:val="Hyperlink"/>
                <w:noProof/>
              </w:rPr>
              <w:t>CETF</w:t>
            </w:r>
            <w:r w:rsidRPr="00F55A79">
              <w:rPr>
                <w:noProof/>
                <w:webHidden/>
              </w:rPr>
              <w:tab/>
            </w:r>
            <w:r w:rsidRPr="00F55A79">
              <w:rPr>
                <w:noProof/>
                <w:webHidden/>
              </w:rPr>
              <w:fldChar w:fldCharType="begin"/>
            </w:r>
            <w:r w:rsidRPr="00F55A79">
              <w:rPr>
                <w:noProof/>
                <w:webHidden/>
              </w:rPr>
              <w:instrText xml:space="preserve"> PAGEREF _Toc216163285 \h </w:instrText>
            </w:r>
            <w:r w:rsidRPr="00F55A79">
              <w:rPr>
                <w:noProof/>
                <w:webHidden/>
              </w:rPr>
            </w:r>
            <w:r w:rsidRPr="00F55A79">
              <w:rPr>
                <w:noProof/>
                <w:webHidden/>
              </w:rPr>
              <w:fldChar w:fldCharType="separate"/>
            </w:r>
            <w:r w:rsidR="00BA5597">
              <w:rPr>
                <w:noProof/>
                <w:webHidden/>
              </w:rPr>
              <w:t>97</w:t>
            </w:r>
            <w:r w:rsidRPr="00F55A79">
              <w:rPr>
                <w:noProof/>
                <w:webHidden/>
              </w:rPr>
              <w:fldChar w:fldCharType="end"/>
            </w:r>
          </w:hyperlink>
        </w:p>
        <w:p w:rsidRPr="00F55A79" w:rsidR="005142AB" w:rsidRDefault="005142AB" w14:paraId="3FAB0461" w14:textId="5AB0C0D0">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16163286">
            <w:r w:rsidRPr="00F55A79">
              <w:rPr>
                <w:rStyle w:val="Hyperlink"/>
                <w:noProof/>
              </w:rPr>
              <w:t>10.3.3.</w:t>
            </w:r>
            <w:r w:rsidRPr="00F55A79">
              <w:rPr>
                <w:rFonts w:asciiTheme="minorHAnsi" w:hAnsiTheme="minorHAnsi" w:cstheme="minorBidi"/>
                <w:noProof/>
                <w:kern w:val="2"/>
                <w:sz w:val="24"/>
                <w:szCs w:val="24"/>
                <w14:ligatures w14:val="standardContextual"/>
              </w:rPr>
              <w:tab/>
            </w:r>
            <w:r w:rsidRPr="00F55A79">
              <w:rPr>
                <w:rStyle w:val="Hyperlink"/>
                <w:noProof/>
              </w:rPr>
              <w:t>CforAT</w:t>
            </w:r>
            <w:r w:rsidRPr="00F55A79">
              <w:rPr>
                <w:noProof/>
                <w:webHidden/>
              </w:rPr>
              <w:tab/>
            </w:r>
            <w:r w:rsidRPr="00F55A79">
              <w:rPr>
                <w:noProof/>
                <w:webHidden/>
              </w:rPr>
              <w:fldChar w:fldCharType="begin"/>
            </w:r>
            <w:r w:rsidRPr="00F55A79">
              <w:rPr>
                <w:noProof/>
                <w:webHidden/>
              </w:rPr>
              <w:instrText xml:space="preserve"> PAGEREF _Toc216163286 \h </w:instrText>
            </w:r>
            <w:r w:rsidRPr="00F55A79">
              <w:rPr>
                <w:noProof/>
                <w:webHidden/>
              </w:rPr>
            </w:r>
            <w:r w:rsidRPr="00F55A79">
              <w:rPr>
                <w:noProof/>
                <w:webHidden/>
              </w:rPr>
              <w:fldChar w:fldCharType="separate"/>
            </w:r>
            <w:r w:rsidR="00BA5597">
              <w:rPr>
                <w:noProof/>
                <w:webHidden/>
              </w:rPr>
              <w:t>98</w:t>
            </w:r>
            <w:r w:rsidRPr="00F55A79">
              <w:rPr>
                <w:noProof/>
                <w:webHidden/>
              </w:rPr>
              <w:fldChar w:fldCharType="end"/>
            </w:r>
          </w:hyperlink>
        </w:p>
        <w:p w:rsidRPr="00F55A79" w:rsidR="005142AB" w:rsidRDefault="005142AB" w14:paraId="1ED3C9D1" w14:textId="3C0D7E8A">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16163287">
            <w:r w:rsidRPr="00F55A79">
              <w:rPr>
                <w:rStyle w:val="Hyperlink"/>
                <w:noProof/>
              </w:rPr>
              <w:t>10.3.4.</w:t>
            </w:r>
            <w:r w:rsidRPr="00F55A79">
              <w:rPr>
                <w:rFonts w:asciiTheme="minorHAnsi" w:hAnsiTheme="minorHAnsi" w:cstheme="minorBidi"/>
                <w:noProof/>
                <w:kern w:val="2"/>
                <w:sz w:val="24"/>
                <w:szCs w:val="24"/>
                <w14:ligatures w14:val="standardContextual"/>
              </w:rPr>
              <w:tab/>
            </w:r>
            <w:r w:rsidRPr="00F55A79">
              <w:rPr>
                <w:rStyle w:val="Hyperlink"/>
                <w:noProof/>
              </w:rPr>
              <w:t>TURN</w:t>
            </w:r>
            <w:r w:rsidRPr="00F55A79">
              <w:rPr>
                <w:noProof/>
                <w:webHidden/>
              </w:rPr>
              <w:tab/>
            </w:r>
            <w:r w:rsidRPr="00F55A79">
              <w:rPr>
                <w:noProof/>
                <w:webHidden/>
              </w:rPr>
              <w:fldChar w:fldCharType="begin"/>
            </w:r>
            <w:r w:rsidRPr="00F55A79">
              <w:rPr>
                <w:noProof/>
                <w:webHidden/>
              </w:rPr>
              <w:instrText xml:space="preserve"> PAGEREF _Toc216163287 \h </w:instrText>
            </w:r>
            <w:r w:rsidRPr="00F55A79">
              <w:rPr>
                <w:noProof/>
                <w:webHidden/>
              </w:rPr>
            </w:r>
            <w:r w:rsidRPr="00F55A79">
              <w:rPr>
                <w:noProof/>
                <w:webHidden/>
              </w:rPr>
              <w:fldChar w:fldCharType="separate"/>
            </w:r>
            <w:r w:rsidR="00BA5597">
              <w:rPr>
                <w:noProof/>
                <w:webHidden/>
              </w:rPr>
              <w:t>98</w:t>
            </w:r>
            <w:r w:rsidRPr="00F55A79">
              <w:rPr>
                <w:noProof/>
                <w:webHidden/>
              </w:rPr>
              <w:fldChar w:fldCharType="end"/>
            </w:r>
          </w:hyperlink>
        </w:p>
        <w:p w:rsidRPr="00F55A79" w:rsidR="005142AB" w:rsidRDefault="005142AB" w14:paraId="3DF222D4" w14:textId="0440B948">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16163288">
            <w:r w:rsidRPr="00F55A79">
              <w:rPr>
                <w:rStyle w:val="Hyperlink"/>
                <w:noProof/>
              </w:rPr>
              <w:t>10.4.</w:t>
            </w:r>
            <w:r w:rsidRPr="00F55A79">
              <w:rPr>
                <w:rFonts w:asciiTheme="minorHAnsi" w:hAnsiTheme="minorHAnsi" w:cstheme="minorBidi"/>
                <w:noProof/>
                <w:kern w:val="2"/>
                <w:sz w:val="24"/>
                <w:szCs w:val="24"/>
                <w14:ligatures w14:val="standardContextual"/>
              </w:rPr>
              <w:tab/>
            </w:r>
            <w:r w:rsidRPr="00F55A79">
              <w:rPr>
                <w:rStyle w:val="Hyperlink"/>
                <w:noProof/>
              </w:rPr>
              <w:t>Discussion</w:t>
            </w:r>
            <w:r w:rsidRPr="00F55A79">
              <w:rPr>
                <w:noProof/>
                <w:webHidden/>
              </w:rPr>
              <w:tab/>
            </w:r>
            <w:r w:rsidRPr="00F55A79">
              <w:rPr>
                <w:noProof/>
                <w:webHidden/>
              </w:rPr>
              <w:fldChar w:fldCharType="begin"/>
            </w:r>
            <w:r w:rsidRPr="00F55A79">
              <w:rPr>
                <w:noProof/>
                <w:webHidden/>
              </w:rPr>
              <w:instrText xml:space="preserve"> PAGEREF _Toc216163288 \h </w:instrText>
            </w:r>
            <w:r w:rsidRPr="00F55A79">
              <w:rPr>
                <w:noProof/>
                <w:webHidden/>
              </w:rPr>
            </w:r>
            <w:r w:rsidRPr="00F55A79">
              <w:rPr>
                <w:noProof/>
                <w:webHidden/>
              </w:rPr>
              <w:fldChar w:fldCharType="separate"/>
            </w:r>
            <w:r w:rsidR="00BA5597">
              <w:rPr>
                <w:noProof/>
                <w:webHidden/>
              </w:rPr>
              <w:t>100</w:t>
            </w:r>
            <w:r w:rsidRPr="00F55A79">
              <w:rPr>
                <w:noProof/>
                <w:webHidden/>
              </w:rPr>
              <w:fldChar w:fldCharType="end"/>
            </w:r>
          </w:hyperlink>
        </w:p>
        <w:p w:rsidRPr="00F55A79" w:rsidR="005142AB" w:rsidRDefault="005142AB" w14:paraId="0D2EF8EF" w14:textId="1DB919D6">
          <w:pPr>
            <w:pStyle w:val="TOC1"/>
            <w:tabs>
              <w:tab w:val="right" w:leader="dot" w:pos="9350"/>
            </w:tabs>
            <w:rPr>
              <w:rFonts w:asciiTheme="minorHAnsi" w:hAnsiTheme="minorHAnsi" w:cstheme="minorBidi"/>
              <w:noProof/>
              <w:kern w:val="2"/>
              <w:sz w:val="24"/>
              <w:szCs w:val="24"/>
              <w14:ligatures w14:val="standardContextual"/>
            </w:rPr>
          </w:pPr>
          <w:hyperlink w:history="1" w:anchor="_Toc216163289">
            <w:r w:rsidRPr="00F55A79">
              <w:rPr>
                <w:rStyle w:val="Hyperlink"/>
                <w:noProof/>
              </w:rPr>
              <w:t>11.</w:t>
            </w:r>
            <w:r w:rsidRPr="00F55A79">
              <w:rPr>
                <w:rFonts w:asciiTheme="minorHAnsi" w:hAnsiTheme="minorHAnsi" w:cstheme="minorBidi"/>
                <w:noProof/>
                <w:kern w:val="2"/>
                <w:sz w:val="24"/>
                <w:szCs w:val="24"/>
                <w14:ligatures w14:val="standardContextual"/>
              </w:rPr>
              <w:tab/>
            </w:r>
            <w:r w:rsidRPr="00F55A79">
              <w:rPr>
                <w:rStyle w:val="Hyperlink"/>
                <w:noProof/>
              </w:rPr>
              <w:t>Settlement Agreements</w:t>
            </w:r>
            <w:r w:rsidRPr="00F55A79">
              <w:rPr>
                <w:noProof/>
                <w:webHidden/>
              </w:rPr>
              <w:tab/>
            </w:r>
            <w:r w:rsidRPr="00F55A79">
              <w:rPr>
                <w:noProof/>
                <w:webHidden/>
              </w:rPr>
              <w:fldChar w:fldCharType="begin"/>
            </w:r>
            <w:r w:rsidRPr="00F55A79">
              <w:rPr>
                <w:noProof/>
                <w:webHidden/>
              </w:rPr>
              <w:instrText xml:space="preserve"> PAGEREF _Toc216163289 \h </w:instrText>
            </w:r>
            <w:r w:rsidRPr="00F55A79">
              <w:rPr>
                <w:noProof/>
                <w:webHidden/>
              </w:rPr>
            </w:r>
            <w:r w:rsidRPr="00F55A79">
              <w:rPr>
                <w:noProof/>
                <w:webHidden/>
              </w:rPr>
              <w:fldChar w:fldCharType="separate"/>
            </w:r>
            <w:r w:rsidR="00BA5597">
              <w:rPr>
                <w:noProof/>
                <w:webHidden/>
              </w:rPr>
              <w:t>101</w:t>
            </w:r>
            <w:r w:rsidRPr="00F55A79">
              <w:rPr>
                <w:noProof/>
                <w:webHidden/>
              </w:rPr>
              <w:fldChar w:fldCharType="end"/>
            </w:r>
          </w:hyperlink>
        </w:p>
        <w:p w:rsidRPr="00F55A79" w:rsidR="005142AB" w:rsidRDefault="005142AB" w14:paraId="5E109B19" w14:textId="24404A17">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16163290">
            <w:r w:rsidRPr="00F55A79">
              <w:rPr>
                <w:rStyle w:val="Hyperlink"/>
                <w:noProof/>
              </w:rPr>
              <w:t>11.1.</w:t>
            </w:r>
            <w:r w:rsidRPr="00F55A79">
              <w:rPr>
                <w:rFonts w:asciiTheme="minorHAnsi" w:hAnsiTheme="minorHAnsi" w:cstheme="minorBidi"/>
                <w:noProof/>
                <w:kern w:val="2"/>
                <w:sz w:val="24"/>
                <w:szCs w:val="24"/>
                <w14:ligatures w14:val="standardContextual"/>
              </w:rPr>
              <w:tab/>
            </w:r>
            <w:r w:rsidRPr="00F55A79">
              <w:rPr>
                <w:rStyle w:val="Hyperlink"/>
                <w:noProof/>
              </w:rPr>
              <w:t>Background</w:t>
            </w:r>
            <w:r w:rsidRPr="00F55A79">
              <w:rPr>
                <w:noProof/>
                <w:webHidden/>
              </w:rPr>
              <w:tab/>
            </w:r>
            <w:r w:rsidRPr="00F55A79">
              <w:rPr>
                <w:noProof/>
                <w:webHidden/>
              </w:rPr>
              <w:fldChar w:fldCharType="begin"/>
            </w:r>
            <w:r w:rsidRPr="00F55A79">
              <w:rPr>
                <w:noProof/>
                <w:webHidden/>
              </w:rPr>
              <w:instrText xml:space="preserve"> PAGEREF _Toc216163290 \h </w:instrText>
            </w:r>
            <w:r w:rsidRPr="00F55A79">
              <w:rPr>
                <w:noProof/>
                <w:webHidden/>
              </w:rPr>
            </w:r>
            <w:r w:rsidRPr="00F55A79">
              <w:rPr>
                <w:noProof/>
                <w:webHidden/>
              </w:rPr>
              <w:fldChar w:fldCharType="separate"/>
            </w:r>
            <w:r w:rsidR="00BA5597">
              <w:rPr>
                <w:noProof/>
                <w:webHidden/>
              </w:rPr>
              <w:t>101</w:t>
            </w:r>
            <w:r w:rsidRPr="00F55A79">
              <w:rPr>
                <w:noProof/>
                <w:webHidden/>
              </w:rPr>
              <w:fldChar w:fldCharType="end"/>
            </w:r>
          </w:hyperlink>
        </w:p>
        <w:p w:rsidRPr="00F55A79" w:rsidR="005142AB" w:rsidRDefault="005142AB" w14:paraId="3E1B09B7" w14:textId="4EAC8A06">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16163291">
            <w:r w:rsidRPr="00F55A79">
              <w:rPr>
                <w:rStyle w:val="Hyperlink"/>
                <w:noProof/>
              </w:rPr>
              <w:t>11.2.</w:t>
            </w:r>
            <w:r w:rsidRPr="00F55A79">
              <w:rPr>
                <w:rFonts w:asciiTheme="minorHAnsi" w:hAnsiTheme="minorHAnsi" w:cstheme="minorBidi"/>
                <w:noProof/>
                <w:kern w:val="2"/>
                <w:sz w:val="24"/>
                <w:szCs w:val="24"/>
                <w14:ligatures w14:val="standardContextual"/>
              </w:rPr>
              <w:tab/>
            </w:r>
            <w:r w:rsidRPr="00F55A79">
              <w:rPr>
                <w:rStyle w:val="Hyperlink"/>
                <w:noProof/>
              </w:rPr>
              <w:t>Standard of Review</w:t>
            </w:r>
            <w:r w:rsidRPr="00F55A79">
              <w:rPr>
                <w:noProof/>
                <w:webHidden/>
              </w:rPr>
              <w:tab/>
            </w:r>
            <w:r w:rsidRPr="00F55A79">
              <w:rPr>
                <w:noProof/>
                <w:webHidden/>
              </w:rPr>
              <w:fldChar w:fldCharType="begin"/>
            </w:r>
            <w:r w:rsidRPr="00F55A79">
              <w:rPr>
                <w:noProof/>
                <w:webHidden/>
              </w:rPr>
              <w:instrText xml:space="preserve"> PAGEREF _Toc216163291 \h </w:instrText>
            </w:r>
            <w:r w:rsidRPr="00F55A79">
              <w:rPr>
                <w:noProof/>
                <w:webHidden/>
              </w:rPr>
            </w:r>
            <w:r w:rsidRPr="00F55A79">
              <w:rPr>
                <w:noProof/>
                <w:webHidden/>
              </w:rPr>
              <w:fldChar w:fldCharType="separate"/>
            </w:r>
            <w:r w:rsidR="00BA5597">
              <w:rPr>
                <w:noProof/>
                <w:webHidden/>
              </w:rPr>
              <w:t>102</w:t>
            </w:r>
            <w:r w:rsidRPr="00F55A79">
              <w:rPr>
                <w:noProof/>
                <w:webHidden/>
              </w:rPr>
              <w:fldChar w:fldCharType="end"/>
            </w:r>
          </w:hyperlink>
        </w:p>
        <w:p w:rsidRPr="00F55A79" w:rsidR="005142AB" w:rsidRDefault="005142AB" w14:paraId="2E508015" w14:textId="34B0B08E">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16163292">
            <w:r w:rsidRPr="00F55A79">
              <w:rPr>
                <w:rStyle w:val="Hyperlink"/>
                <w:noProof/>
              </w:rPr>
              <w:t>11.3.</w:t>
            </w:r>
            <w:r w:rsidRPr="00F55A79">
              <w:rPr>
                <w:rFonts w:asciiTheme="minorHAnsi" w:hAnsiTheme="minorHAnsi" w:cstheme="minorBidi"/>
                <w:noProof/>
                <w:kern w:val="2"/>
                <w:sz w:val="24"/>
                <w:szCs w:val="24"/>
                <w14:ligatures w14:val="standardContextual"/>
              </w:rPr>
              <w:tab/>
            </w:r>
            <w:r w:rsidRPr="00F55A79">
              <w:rPr>
                <w:rStyle w:val="Hyperlink"/>
                <w:noProof/>
              </w:rPr>
              <w:t>Party Positions</w:t>
            </w:r>
            <w:r w:rsidRPr="00F55A79">
              <w:rPr>
                <w:noProof/>
                <w:webHidden/>
              </w:rPr>
              <w:tab/>
            </w:r>
            <w:r w:rsidRPr="00F55A79">
              <w:rPr>
                <w:noProof/>
                <w:webHidden/>
              </w:rPr>
              <w:fldChar w:fldCharType="begin"/>
            </w:r>
            <w:r w:rsidRPr="00F55A79">
              <w:rPr>
                <w:noProof/>
                <w:webHidden/>
              </w:rPr>
              <w:instrText xml:space="preserve"> PAGEREF _Toc216163292 \h </w:instrText>
            </w:r>
            <w:r w:rsidRPr="00F55A79">
              <w:rPr>
                <w:noProof/>
                <w:webHidden/>
              </w:rPr>
            </w:r>
            <w:r w:rsidRPr="00F55A79">
              <w:rPr>
                <w:noProof/>
                <w:webHidden/>
              </w:rPr>
              <w:fldChar w:fldCharType="separate"/>
            </w:r>
            <w:r w:rsidR="00BA5597">
              <w:rPr>
                <w:noProof/>
                <w:webHidden/>
              </w:rPr>
              <w:t>102</w:t>
            </w:r>
            <w:r w:rsidRPr="00F55A79">
              <w:rPr>
                <w:noProof/>
                <w:webHidden/>
              </w:rPr>
              <w:fldChar w:fldCharType="end"/>
            </w:r>
          </w:hyperlink>
        </w:p>
        <w:p w:rsidRPr="00F55A79" w:rsidR="005142AB" w:rsidRDefault="005142AB" w14:paraId="614E6DDC" w14:textId="6D79F488">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16163293">
            <w:r w:rsidRPr="00F55A79">
              <w:rPr>
                <w:rStyle w:val="Hyperlink"/>
                <w:noProof/>
              </w:rPr>
              <w:t>11.3.1.</w:t>
            </w:r>
            <w:r w:rsidRPr="00F55A79">
              <w:rPr>
                <w:rFonts w:asciiTheme="minorHAnsi" w:hAnsiTheme="minorHAnsi" w:cstheme="minorBidi"/>
                <w:noProof/>
                <w:kern w:val="2"/>
                <w:sz w:val="24"/>
                <w:szCs w:val="24"/>
                <w14:ligatures w14:val="standardContextual"/>
              </w:rPr>
              <w:tab/>
            </w:r>
            <w:r w:rsidRPr="00F55A79">
              <w:rPr>
                <w:rStyle w:val="Hyperlink"/>
                <w:noProof/>
              </w:rPr>
              <w:t>Joint Applicants</w:t>
            </w:r>
            <w:r w:rsidRPr="00F55A79">
              <w:rPr>
                <w:noProof/>
                <w:webHidden/>
              </w:rPr>
              <w:tab/>
            </w:r>
            <w:r w:rsidRPr="00F55A79">
              <w:rPr>
                <w:noProof/>
                <w:webHidden/>
              </w:rPr>
              <w:fldChar w:fldCharType="begin"/>
            </w:r>
            <w:r w:rsidRPr="00F55A79">
              <w:rPr>
                <w:noProof/>
                <w:webHidden/>
              </w:rPr>
              <w:instrText xml:space="preserve"> PAGEREF _Toc216163293 \h </w:instrText>
            </w:r>
            <w:r w:rsidRPr="00F55A79">
              <w:rPr>
                <w:noProof/>
                <w:webHidden/>
              </w:rPr>
            </w:r>
            <w:r w:rsidRPr="00F55A79">
              <w:rPr>
                <w:noProof/>
                <w:webHidden/>
              </w:rPr>
              <w:fldChar w:fldCharType="separate"/>
            </w:r>
            <w:r w:rsidR="00BA5597">
              <w:rPr>
                <w:noProof/>
                <w:webHidden/>
              </w:rPr>
              <w:t>102</w:t>
            </w:r>
            <w:r w:rsidRPr="00F55A79">
              <w:rPr>
                <w:noProof/>
                <w:webHidden/>
              </w:rPr>
              <w:fldChar w:fldCharType="end"/>
            </w:r>
          </w:hyperlink>
        </w:p>
        <w:p w:rsidRPr="00F55A79" w:rsidR="005142AB" w:rsidRDefault="005142AB" w14:paraId="18D96EA9" w14:textId="43DBE452">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16163294">
            <w:r w:rsidRPr="00F55A79">
              <w:rPr>
                <w:rStyle w:val="Hyperlink"/>
                <w:noProof/>
              </w:rPr>
              <w:t>11.3.2.</w:t>
            </w:r>
            <w:r w:rsidRPr="00F55A79">
              <w:rPr>
                <w:rFonts w:asciiTheme="minorHAnsi" w:hAnsiTheme="minorHAnsi" w:cstheme="minorBidi"/>
                <w:noProof/>
                <w:kern w:val="2"/>
                <w:sz w:val="24"/>
                <w:szCs w:val="24"/>
                <w14:ligatures w14:val="standardContextual"/>
              </w:rPr>
              <w:tab/>
            </w:r>
            <w:r w:rsidRPr="00F55A79">
              <w:rPr>
                <w:rStyle w:val="Hyperlink"/>
                <w:noProof/>
              </w:rPr>
              <w:t>Cal Advocates</w:t>
            </w:r>
            <w:r w:rsidRPr="00F55A79">
              <w:rPr>
                <w:noProof/>
                <w:webHidden/>
              </w:rPr>
              <w:tab/>
            </w:r>
            <w:r w:rsidRPr="00F55A79">
              <w:rPr>
                <w:noProof/>
                <w:webHidden/>
              </w:rPr>
              <w:fldChar w:fldCharType="begin"/>
            </w:r>
            <w:r w:rsidRPr="00F55A79">
              <w:rPr>
                <w:noProof/>
                <w:webHidden/>
              </w:rPr>
              <w:instrText xml:space="preserve"> PAGEREF _Toc216163294 \h </w:instrText>
            </w:r>
            <w:r w:rsidRPr="00F55A79">
              <w:rPr>
                <w:noProof/>
                <w:webHidden/>
              </w:rPr>
            </w:r>
            <w:r w:rsidRPr="00F55A79">
              <w:rPr>
                <w:noProof/>
                <w:webHidden/>
              </w:rPr>
              <w:fldChar w:fldCharType="separate"/>
            </w:r>
            <w:r w:rsidR="00BA5597">
              <w:rPr>
                <w:noProof/>
                <w:webHidden/>
              </w:rPr>
              <w:t>103</w:t>
            </w:r>
            <w:r w:rsidRPr="00F55A79">
              <w:rPr>
                <w:noProof/>
                <w:webHidden/>
              </w:rPr>
              <w:fldChar w:fldCharType="end"/>
            </w:r>
          </w:hyperlink>
        </w:p>
        <w:p w:rsidRPr="00F55A79" w:rsidR="005142AB" w:rsidRDefault="005142AB" w14:paraId="687705C9" w14:textId="235616B5">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16163295">
            <w:r w:rsidRPr="00F55A79">
              <w:rPr>
                <w:rStyle w:val="Hyperlink"/>
                <w:noProof/>
              </w:rPr>
              <w:t>11.3.3.</w:t>
            </w:r>
            <w:r w:rsidRPr="00F55A79">
              <w:rPr>
                <w:rFonts w:asciiTheme="minorHAnsi" w:hAnsiTheme="minorHAnsi" w:cstheme="minorBidi"/>
                <w:noProof/>
                <w:kern w:val="2"/>
                <w:sz w:val="24"/>
                <w:szCs w:val="24"/>
                <w14:ligatures w14:val="standardContextual"/>
              </w:rPr>
              <w:tab/>
            </w:r>
            <w:r w:rsidRPr="00F55A79">
              <w:rPr>
                <w:rStyle w:val="Hyperlink"/>
                <w:noProof/>
              </w:rPr>
              <w:t>CforAT</w:t>
            </w:r>
            <w:r w:rsidRPr="00F55A79">
              <w:rPr>
                <w:noProof/>
                <w:webHidden/>
              </w:rPr>
              <w:tab/>
            </w:r>
            <w:r w:rsidRPr="00F55A79">
              <w:rPr>
                <w:noProof/>
                <w:webHidden/>
              </w:rPr>
              <w:fldChar w:fldCharType="begin"/>
            </w:r>
            <w:r w:rsidRPr="00F55A79">
              <w:rPr>
                <w:noProof/>
                <w:webHidden/>
              </w:rPr>
              <w:instrText xml:space="preserve"> PAGEREF _Toc216163295 \h </w:instrText>
            </w:r>
            <w:r w:rsidRPr="00F55A79">
              <w:rPr>
                <w:noProof/>
                <w:webHidden/>
              </w:rPr>
            </w:r>
            <w:r w:rsidRPr="00F55A79">
              <w:rPr>
                <w:noProof/>
                <w:webHidden/>
              </w:rPr>
              <w:fldChar w:fldCharType="separate"/>
            </w:r>
            <w:r w:rsidR="00BA5597">
              <w:rPr>
                <w:noProof/>
                <w:webHidden/>
              </w:rPr>
              <w:t>104</w:t>
            </w:r>
            <w:r w:rsidRPr="00F55A79">
              <w:rPr>
                <w:noProof/>
                <w:webHidden/>
              </w:rPr>
              <w:fldChar w:fldCharType="end"/>
            </w:r>
          </w:hyperlink>
        </w:p>
        <w:p w:rsidRPr="00F55A79" w:rsidR="005142AB" w:rsidRDefault="005142AB" w14:paraId="3925D94B" w14:textId="41F3235B">
          <w:pPr>
            <w:pStyle w:val="TOC4"/>
            <w:tabs>
              <w:tab w:val="left" w:pos="2160"/>
              <w:tab w:val="right" w:leader="dot" w:pos="9350"/>
            </w:tabs>
            <w:rPr>
              <w:rFonts w:asciiTheme="minorHAnsi" w:hAnsiTheme="minorHAnsi" w:eastAsiaTheme="minorEastAsia"/>
              <w:noProof/>
              <w:kern w:val="2"/>
              <w:sz w:val="24"/>
              <w:szCs w:val="24"/>
              <w14:ligatures w14:val="standardContextual"/>
            </w:rPr>
          </w:pPr>
          <w:hyperlink w:history="1" w:anchor="_Toc216163296">
            <w:r w:rsidRPr="00F55A79">
              <w:rPr>
                <w:rStyle w:val="Hyperlink"/>
                <w:noProof/>
              </w:rPr>
              <w:t>11.3.3.1.</w:t>
            </w:r>
            <w:r w:rsidRPr="00F55A79">
              <w:rPr>
                <w:rFonts w:asciiTheme="minorHAnsi" w:hAnsiTheme="minorHAnsi" w:eastAsiaTheme="minorEastAsia"/>
                <w:noProof/>
                <w:kern w:val="2"/>
                <w:sz w:val="24"/>
                <w:szCs w:val="24"/>
                <w14:ligatures w14:val="standardContextual"/>
              </w:rPr>
              <w:tab/>
            </w:r>
            <w:r w:rsidRPr="00F55A79">
              <w:rPr>
                <w:rStyle w:val="Hyperlink"/>
                <w:noProof/>
              </w:rPr>
              <w:t>Cal Advocates Settlement</w:t>
            </w:r>
            <w:r w:rsidRPr="00F55A79">
              <w:rPr>
                <w:noProof/>
                <w:webHidden/>
              </w:rPr>
              <w:tab/>
            </w:r>
            <w:r w:rsidRPr="00F55A79">
              <w:rPr>
                <w:noProof/>
                <w:webHidden/>
              </w:rPr>
              <w:fldChar w:fldCharType="begin"/>
            </w:r>
            <w:r w:rsidRPr="00F55A79">
              <w:rPr>
                <w:noProof/>
                <w:webHidden/>
              </w:rPr>
              <w:instrText xml:space="preserve"> PAGEREF _Toc216163296 \h </w:instrText>
            </w:r>
            <w:r w:rsidRPr="00F55A79">
              <w:rPr>
                <w:noProof/>
                <w:webHidden/>
              </w:rPr>
            </w:r>
            <w:r w:rsidRPr="00F55A79">
              <w:rPr>
                <w:noProof/>
                <w:webHidden/>
              </w:rPr>
              <w:fldChar w:fldCharType="separate"/>
            </w:r>
            <w:r w:rsidR="00BA5597">
              <w:rPr>
                <w:noProof/>
                <w:webHidden/>
              </w:rPr>
              <w:t>105</w:t>
            </w:r>
            <w:r w:rsidRPr="00F55A79">
              <w:rPr>
                <w:noProof/>
                <w:webHidden/>
              </w:rPr>
              <w:fldChar w:fldCharType="end"/>
            </w:r>
          </w:hyperlink>
        </w:p>
        <w:p w:rsidRPr="00F55A79" w:rsidR="005142AB" w:rsidRDefault="005142AB" w14:paraId="7C0DF3F3" w14:textId="5FD1BF55">
          <w:pPr>
            <w:pStyle w:val="TOC5"/>
            <w:tabs>
              <w:tab w:val="left" w:pos="2592"/>
              <w:tab w:val="right" w:leader="dot" w:pos="9350"/>
            </w:tabs>
            <w:rPr>
              <w:rFonts w:asciiTheme="minorHAnsi" w:hAnsiTheme="minorHAnsi" w:eastAsiaTheme="minorEastAsia"/>
              <w:noProof/>
              <w:kern w:val="2"/>
              <w:sz w:val="24"/>
              <w:szCs w:val="24"/>
              <w14:ligatures w14:val="standardContextual"/>
            </w:rPr>
          </w:pPr>
          <w:hyperlink w:history="1" w:anchor="_Toc216163297">
            <w:r w:rsidRPr="00F55A79">
              <w:rPr>
                <w:rStyle w:val="Hyperlink"/>
                <w:noProof/>
              </w:rPr>
              <w:t>11.3.3.1.1.</w:t>
            </w:r>
            <w:r w:rsidRPr="00F55A79">
              <w:rPr>
                <w:rFonts w:asciiTheme="minorHAnsi" w:hAnsiTheme="minorHAnsi" w:eastAsiaTheme="minorEastAsia"/>
                <w:noProof/>
                <w:kern w:val="2"/>
                <w:sz w:val="24"/>
                <w:szCs w:val="24"/>
                <w14:ligatures w14:val="standardContextual"/>
              </w:rPr>
              <w:tab/>
            </w:r>
            <w:r w:rsidRPr="00F55A79">
              <w:rPr>
                <w:rStyle w:val="Hyperlink"/>
                <w:noProof/>
              </w:rPr>
              <w:t>Broadband Deployment</w:t>
            </w:r>
            <w:r w:rsidRPr="00F55A79">
              <w:rPr>
                <w:noProof/>
                <w:webHidden/>
              </w:rPr>
              <w:tab/>
            </w:r>
            <w:r w:rsidRPr="00F55A79">
              <w:rPr>
                <w:noProof/>
                <w:webHidden/>
              </w:rPr>
              <w:fldChar w:fldCharType="begin"/>
            </w:r>
            <w:r w:rsidRPr="00F55A79">
              <w:rPr>
                <w:noProof/>
                <w:webHidden/>
              </w:rPr>
              <w:instrText xml:space="preserve"> PAGEREF _Toc216163297 \h </w:instrText>
            </w:r>
            <w:r w:rsidRPr="00F55A79">
              <w:rPr>
                <w:noProof/>
                <w:webHidden/>
              </w:rPr>
            </w:r>
            <w:r w:rsidRPr="00F55A79">
              <w:rPr>
                <w:noProof/>
                <w:webHidden/>
              </w:rPr>
              <w:fldChar w:fldCharType="separate"/>
            </w:r>
            <w:r w:rsidR="00BA5597">
              <w:rPr>
                <w:noProof/>
                <w:webHidden/>
              </w:rPr>
              <w:t>105</w:t>
            </w:r>
            <w:r w:rsidRPr="00F55A79">
              <w:rPr>
                <w:noProof/>
                <w:webHidden/>
              </w:rPr>
              <w:fldChar w:fldCharType="end"/>
            </w:r>
          </w:hyperlink>
        </w:p>
        <w:p w:rsidRPr="00F55A79" w:rsidR="005142AB" w:rsidRDefault="005142AB" w14:paraId="3E54AC16" w14:textId="7521203F">
          <w:pPr>
            <w:pStyle w:val="TOC5"/>
            <w:tabs>
              <w:tab w:val="left" w:pos="2592"/>
              <w:tab w:val="right" w:leader="dot" w:pos="9350"/>
            </w:tabs>
            <w:rPr>
              <w:rFonts w:asciiTheme="minorHAnsi" w:hAnsiTheme="minorHAnsi" w:eastAsiaTheme="minorEastAsia"/>
              <w:noProof/>
              <w:kern w:val="2"/>
              <w:sz w:val="24"/>
              <w:szCs w:val="24"/>
              <w14:ligatures w14:val="standardContextual"/>
            </w:rPr>
          </w:pPr>
          <w:hyperlink w:history="1" w:anchor="_Toc216163298">
            <w:r w:rsidRPr="00F55A79">
              <w:rPr>
                <w:rStyle w:val="Hyperlink"/>
                <w:noProof/>
              </w:rPr>
              <w:t>11.3.3.1.2.</w:t>
            </w:r>
            <w:r w:rsidRPr="00F55A79">
              <w:rPr>
                <w:rFonts w:asciiTheme="minorHAnsi" w:hAnsiTheme="minorHAnsi" w:eastAsiaTheme="minorEastAsia"/>
                <w:noProof/>
                <w:kern w:val="2"/>
                <w:sz w:val="24"/>
                <w:szCs w:val="24"/>
                <w14:ligatures w14:val="standardContextual"/>
              </w:rPr>
              <w:tab/>
            </w:r>
            <w:r w:rsidRPr="00F55A79">
              <w:rPr>
                <w:rStyle w:val="Hyperlink"/>
                <w:noProof/>
              </w:rPr>
              <w:t>Affordability</w:t>
            </w:r>
            <w:r w:rsidRPr="00F55A79">
              <w:rPr>
                <w:noProof/>
                <w:webHidden/>
              </w:rPr>
              <w:tab/>
            </w:r>
            <w:r w:rsidRPr="00F55A79">
              <w:rPr>
                <w:noProof/>
                <w:webHidden/>
              </w:rPr>
              <w:fldChar w:fldCharType="begin"/>
            </w:r>
            <w:r w:rsidRPr="00F55A79">
              <w:rPr>
                <w:noProof/>
                <w:webHidden/>
              </w:rPr>
              <w:instrText xml:space="preserve"> PAGEREF _Toc216163298 \h </w:instrText>
            </w:r>
            <w:r w:rsidRPr="00F55A79">
              <w:rPr>
                <w:noProof/>
                <w:webHidden/>
              </w:rPr>
            </w:r>
            <w:r w:rsidRPr="00F55A79">
              <w:rPr>
                <w:noProof/>
                <w:webHidden/>
              </w:rPr>
              <w:fldChar w:fldCharType="separate"/>
            </w:r>
            <w:r w:rsidR="00BA5597">
              <w:rPr>
                <w:noProof/>
                <w:webHidden/>
              </w:rPr>
              <w:t>106</w:t>
            </w:r>
            <w:r w:rsidRPr="00F55A79">
              <w:rPr>
                <w:noProof/>
                <w:webHidden/>
              </w:rPr>
              <w:fldChar w:fldCharType="end"/>
            </w:r>
          </w:hyperlink>
        </w:p>
        <w:p w:rsidRPr="00F55A79" w:rsidR="005142AB" w:rsidRDefault="005142AB" w14:paraId="515A96BE" w14:textId="3B1D5DDA">
          <w:pPr>
            <w:pStyle w:val="TOC5"/>
            <w:tabs>
              <w:tab w:val="left" w:pos="2592"/>
              <w:tab w:val="right" w:leader="dot" w:pos="9350"/>
            </w:tabs>
            <w:rPr>
              <w:rFonts w:asciiTheme="minorHAnsi" w:hAnsiTheme="minorHAnsi" w:eastAsiaTheme="minorEastAsia"/>
              <w:noProof/>
              <w:kern w:val="2"/>
              <w:sz w:val="24"/>
              <w:szCs w:val="24"/>
              <w14:ligatures w14:val="standardContextual"/>
            </w:rPr>
          </w:pPr>
          <w:hyperlink w:history="1" w:anchor="_Toc216163299">
            <w:r w:rsidRPr="00F55A79">
              <w:rPr>
                <w:rStyle w:val="Hyperlink"/>
                <w:noProof/>
              </w:rPr>
              <w:t>11.3.3.1.3.</w:t>
            </w:r>
            <w:r w:rsidRPr="00F55A79">
              <w:rPr>
                <w:rFonts w:asciiTheme="minorHAnsi" w:hAnsiTheme="minorHAnsi" w:eastAsiaTheme="minorEastAsia"/>
                <w:noProof/>
                <w:kern w:val="2"/>
                <w:sz w:val="24"/>
                <w:szCs w:val="24"/>
                <w14:ligatures w14:val="standardContextual"/>
              </w:rPr>
              <w:tab/>
            </w:r>
            <w:r w:rsidRPr="00F55A79">
              <w:rPr>
                <w:rStyle w:val="Hyperlink"/>
                <w:noProof/>
              </w:rPr>
              <w:t>Service Quality</w:t>
            </w:r>
            <w:r w:rsidRPr="00F55A79">
              <w:rPr>
                <w:noProof/>
                <w:webHidden/>
              </w:rPr>
              <w:tab/>
            </w:r>
            <w:r w:rsidRPr="00F55A79">
              <w:rPr>
                <w:noProof/>
                <w:webHidden/>
              </w:rPr>
              <w:fldChar w:fldCharType="begin"/>
            </w:r>
            <w:r w:rsidRPr="00F55A79">
              <w:rPr>
                <w:noProof/>
                <w:webHidden/>
              </w:rPr>
              <w:instrText xml:space="preserve"> PAGEREF _Toc216163299 \h </w:instrText>
            </w:r>
            <w:r w:rsidRPr="00F55A79">
              <w:rPr>
                <w:noProof/>
                <w:webHidden/>
              </w:rPr>
            </w:r>
            <w:r w:rsidRPr="00F55A79">
              <w:rPr>
                <w:noProof/>
                <w:webHidden/>
              </w:rPr>
              <w:fldChar w:fldCharType="separate"/>
            </w:r>
            <w:r w:rsidR="00BA5597">
              <w:rPr>
                <w:noProof/>
                <w:webHidden/>
              </w:rPr>
              <w:t>107</w:t>
            </w:r>
            <w:r w:rsidRPr="00F55A79">
              <w:rPr>
                <w:noProof/>
                <w:webHidden/>
              </w:rPr>
              <w:fldChar w:fldCharType="end"/>
            </w:r>
          </w:hyperlink>
        </w:p>
        <w:p w:rsidRPr="00F55A79" w:rsidR="005142AB" w:rsidRDefault="005142AB" w14:paraId="1B55CD32" w14:textId="73BC0D50">
          <w:pPr>
            <w:pStyle w:val="TOC5"/>
            <w:tabs>
              <w:tab w:val="left" w:pos="2592"/>
              <w:tab w:val="right" w:leader="dot" w:pos="9350"/>
            </w:tabs>
            <w:rPr>
              <w:rFonts w:asciiTheme="minorHAnsi" w:hAnsiTheme="minorHAnsi" w:eastAsiaTheme="minorEastAsia"/>
              <w:noProof/>
              <w:kern w:val="2"/>
              <w:sz w:val="24"/>
              <w:szCs w:val="24"/>
              <w14:ligatures w14:val="standardContextual"/>
            </w:rPr>
          </w:pPr>
          <w:hyperlink w:history="1" w:anchor="_Toc216163300">
            <w:r w:rsidRPr="00F55A79">
              <w:rPr>
                <w:rStyle w:val="Hyperlink"/>
                <w:noProof/>
              </w:rPr>
              <w:t>11.3.3.1.4.</w:t>
            </w:r>
            <w:r w:rsidRPr="00F55A79">
              <w:rPr>
                <w:rFonts w:asciiTheme="minorHAnsi" w:hAnsiTheme="minorHAnsi" w:eastAsiaTheme="minorEastAsia"/>
                <w:noProof/>
                <w:kern w:val="2"/>
                <w:sz w:val="24"/>
                <w:szCs w:val="24"/>
                <w14:ligatures w14:val="standardContextual"/>
              </w:rPr>
              <w:tab/>
            </w:r>
            <w:r w:rsidRPr="00F55A79">
              <w:rPr>
                <w:rStyle w:val="Hyperlink"/>
                <w:noProof/>
              </w:rPr>
              <w:t>Performance Bonds</w:t>
            </w:r>
            <w:r w:rsidRPr="00F55A79">
              <w:rPr>
                <w:noProof/>
                <w:webHidden/>
              </w:rPr>
              <w:tab/>
            </w:r>
            <w:r w:rsidRPr="00F55A79">
              <w:rPr>
                <w:noProof/>
                <w:webHidden/>
              </w:rPr>
              <w:fldChar w:fldCharType="begin"/>
            </w:r>
            <w:r w:rsidRPr="00F55A79">
              <w:rPr>
                <w:noProof/>
                <w:webHidden/>
              </w:rPr>
              <w:instrText xml:space="preserve"> PAGEREF _Toc216163300 \h </w:instrText>
            </w:r>
            <w:r w:rsidRPr="00F55A79">
              <w:rPr>
                <w:noProof/>
                <w:webHidden/>
              </w:rPr>
            </w:r>
            <w:r w:rsidRPr="00F55A79">
              <w:rPr>
                <w:noProof/>
                <w:webHidden/>
              </w:rPr>
              <w:fldChar w:fldCharType="separate"/>
            </w:r>
            <w:r w:rsidR="00BA5597">
              <w:rPr>
                <w:noProof/>
                <w:webHidden/>
              </w:rPr>
              <w:t>108</w:t>
            </w:r>
            <w:r w:rsidRPr="00F55A79">
              <w:rPr>
                <w:noProof/>
                <w:webHidden/>
              </w:rPr>
              <w:fldChar w:fldCharType="end"/>
            </w:r>
          </w:hyperlink>
        </w:p>
        <w:p w:rsidRPr="00F55A79" w:rsidR="005142AB" w:rsidRDefault="005142AB" w14:paraId="45ADA64B" w14:textId="06C68D7C">
          <w:pPr>
            <w:pStyle w:val="TOC4"/>
            <w:tabs>
              <w:tab w:val="left" w:pos="2160"/>
              <w:tab w:val="right" w:leader="dot" w:pos="9350"/>
            </w:tabs>
            <w:rPr>
              <w:rFonts w:asciiTheme="minorHAnsi" w:hAnsiTheme="minorHAnsi" w:eastAsiaTheme="minorEastAsia"/>
              <w:noProof/>
              <w:kern w:val="2"/>
              <w:sz w:val="24"/>
              <w:szCs w:val="24"/>
              <w14:ligatures w14:val="standardContextual"/>
            </w:rPr>
          </w:pPr>
          <w:hyperlink w:history="1" w:anchor="_Toc216163301">
            <w:r w:rsidRPr="00F55A79">
              <w:rPr>
                <w:rStyle w:val="Hyperlink"/>
                <w:noProof/>
              </w:rPr>
              <w:t>11.3.3.2.</w:t>
            </w:r>
            <w:r w:rsidRPr="00F55A79">
              <w:rPr>
                <w:rFonts w:asciiTheme="minorHAnsi" w:hAnsiTheme="minorHAnsi" w:eastAsiaTheme="minorEastAsia"/>
                <w:noProof/>
                <w:kern w:val="2"/>
                <w:sz w:val="24"/>
                <w:szCs w:val="24"/>
                <w14:ligatures w14:val="standardContextual"/>
              </w:rPr>
              <w:tab/>
            </w:r>
            <w:r w:rsidRPr="00F55A79">
              <w:rPr>
                <w:rStyle w:val="Hyperlink"/>
                <w:noProof/>
              </w:rPr>
              <w:t>CWA Settlement</w:t>
            </w:r>
            <w:r w:rsidRPr="00F55A79">
              <w:rPr>
                <w:noProof/>
                <w:webHidden/>
              </w:rPr>
              <w:tab/>
            </w:r>
            <w:r w:rsidRPr="00F55A79">
              <w:rPr>
                <w:noProof/>
                <w:webHidden/>
              </w:rPr>
              <w:fldChar w:fldCharType="begin"/>
            </w:r>
            <w:r w:rsidRPr="00F55A79">
              <w:rPr>
                <w:noProof/>
                <w:webHidden/>
              </w:rPr>
              <w:instrText xml:space="preserve"> PAGEREF _Toc216163301 \h </w:instrText>
            </w:r>
            <w:r w:rsidRPr="00F55A79">
              <w:rPr>
                <w:noProof/>
                <w:webHidden/>
              </w:rPr>
            </w:r>
            <w:r w:rsidRPr="00F55A79">
              <w:rPr>
                <w:noProof/>
                <w:webHidden/>
              </w:rPr>
              <w:fldChar w:fldCharType="separate"/>
            </w:r>
            <w:r w:rsidR="00BA5597">
              <w:rPr>
                <w:noProof/>
                <w:webHidden/>
              </w:rPr>
              <w:t>109</w:t>
            </w:r>
            <w:r w:rsidRPr="00F55A79">
              <w:rPr>
                <w:noProof/>
                <w:webHidden/>
              </w:rPr>
              <w:fldChar w:fldCharType="end"/>
            </w:r>
          </w:hyperlink>
        </w:p>
        <w:p w:rsidRPr="00F55A79" w:rsidR="005142AB" w:rsidRDefault="005142AB" w14:paraId="31D16EC1" w14:textId="6194D20E">
          <w:pPr>
            <w:pStyle w:val="TOC4"/>
            <w:tabs>
              <w:tab w:val="left" w:pos="2160"/>
              <w:tab w:val="right" w:leader="dot" w:pos="9350"/>
            </w:tabs>
            <w:rPr>
              <w:rFonts w:asciiTheme="minorHAnsi" w:hAnsiTheme="minorHAnsi" w:eastAsiaTheme="minorEastAsia"/>
              <w:noProof/>
              <w:kern w:val="2"/>
              <w:sz w:val="24"/>
              <w:szCs w:val="24"/>
              <w14:ligatures w14:val="standardContextual"/>
            </w:rPr>
          </w:pPr>
          <w:hyperlink w:history="1" w:anchor="_Toc216163302">
            <w:r w:rsidRPr="00F55A79">
              <w:rPr>
                <w:rStyle w:val="Hyperlink"/>
                <w:noProof/>
              </w:rPr>
              <w:t>11.3.3.3.</w:t>
            </w:r>
            <w:r w:rsidRPr="00F55A79">
              <w:rPr>
                <w:rFonts w:asciiTheme="minorHAnsi" w:hAnsiTheme="minorHAnsi" w:eastAsiaTheme="minorEastAsia"/>
                <w:noProof/>
                <w:kern w:val="2"/>
                <w:sz w:val="24"/>
                <w:szCs w:val="24"/>
                <w14:ligatures w14:val="standardContextual"/>
              </w:rPr>
              <w:tab/>
            </w:r>
            <w:r w:rsidRPr="00F55A79">
              <w:rPr>
                <w:rStyle w:val="Hyperlink"/>
                <w:noProof/>
              </w:rPr>
              <w:t>CETF Settlement</w:t>
            </w:r>
            <w:r w:rsidRPr="00F55A79">
              <w:rPr>
                <w:noProof/>
                <w:webHidden/>
              </w:rPr>
              <w:tab/>
            </w:r>
            <w:r w:rsidRPr="00F55A79">
              <w:rPr>
                <w:noProof/>
                <w:webHidden/>
              </w:rPr>
              <w:fldChar w:fldCharType="begin"/>
            </w:r>
            <w:r w:rsidRPr="00F55A79">
              <w:rPr>
                <w:noProof/>
                <w:webHidden/>
              </w:rPr>
              <w:instrText xml:space="preserve"> PAGEREF _Toc216163302 \h </w:instrText>
            </w:r>
            <w:r w:rsidRPr="00F55A79">
              <w:rPr>
                <w:noProof/>
                <w:webHidden/>
              </w:rPr>
            </w:r>
            <w:r w:rsidRPr="00F55A79">
              <w:rPr>
                <w:noProof/>
                <w:webHidden/>
              </w:rPr>
              <w:fldChar w:fldCharType="separate"/>
            </w:r>
            <w:r w:rsidR="00BA5597">
              <w:rPr>
                <w:noProof/>
                <w:webHidden/>
              </w:rPr>
              <w:t>110</w:t>
            </w:r>
            <w:r w:rsidRPr="00F55A79">
              <w:rPr>
                <w:noProof/>
                <w:webHidden/>
              </w:rPr>
              <w:fldChar w:fldCharType="end"/>
            </w:r>
          </w:hyperlink>
        </w:p>
        <w:p w:rsidRPr="00F55A79" w:rsidR="005142AB" w:rsidRDefault="005142AB" w14:paraId="4A929DFB" w14:textId="012A80D8">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16163303">
            <w:r w:rsidRPr="00F55A79">
              <w:rPr>
                <w:rStyle w:val="Hyperlink"/>
                <w:noProof/>
              </w:rPr>
              <w:t>11.3.4.</w:t>
            </w:r>
            <w:r w:rsidRPr="00F55A79">
              <w:rPr>
                <w:rFonts w:asciiTheme="minorHAnsi" w:hAnsiTheme="minorHAnsi" w:cstheme="minorBidi"/>
                <w:noProof/>
                <w:kern w:val="2"/>
                <w:sz w:val="24"/>
                <w:szCs w:val="24"/>
                <w14:ligatures w14:val="standardContextual"/>
              </w:rPr>
              <w:tab/>
            </w:r>
            <w:r w:rsidRPr="00F55A79">
              <w:rPr>
                <w:rStyle w:val="Hyperlink"/>
                <w:noProof/>
              </w:rPr>
              <w:t>CETF</w:t>
            </w:r>
            <w:r w:rsidRPr="00F55A79">
              <w:rPr>
                <w:noProof/>
                <w:webHidden/>
              </w:rPr>
              <w:tab/>
            </w:r>
            <w:r w:rsidRPr="00F55A79">
              <w:rPr>
                <w:noProof/>
                <w:webHidden/>
              </w:rPr>
              <w:fldChar w:fldCharType="begin"/>
            </w:r>
            <w:r w:rsidRPr="00F55A79">
              <w:rPr>
                <w:noProof/>
                <w:webHidden/>
              </w:rPr>
              <w:instrText xml:space="preserve"> PAGEREF _Toc216163303 \h </w:instrText>
            </w:r>
            <w:r w:rsidRPr="00F55A79">
              <w:rPr>
                <w:noProof/>
                <w:webHidden/>
              </w:rPr>
            </w:r>
            <w:r w:rsidRPr="00F55A79">
              <w:rPr>
                <w:noProof/>
                <w:webHidden/>
              </w:rPr>
              <w:fldChar w:fldCharType="separate"/>
            </w:r>
            <w:r w:rsidR="00BA5597">
              <w:rPr>
                <w:noProof/>
                <w:webHidden/>
              </w:rPr>
              <w:t>110</w:t>
            </w:r>
            <w:r w:rsidRPr="00F55A79">
              <w:rPr>
                <w:noProof/>
                <w:webHidden/>
              </w:rPr>
              <w:fldChar w:fldCharType="end"/>
            </w:r>
          </w:hyperlink>
        </w:p>
        <w:p w:rsidRPr="00F55A79" w:rsidR="005142AB" w:rsidRDefault="005142AB" w14:paraId="75C3850A" w14:textId="0F99B74C">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16163304">
            <w:r w:rsidRPr="00F55A79">
              <w:rPr>
                <w:rStyle w:val="Hyperlink"/>
                <w:noProof/>
              </w:rPr>
              <w:t>11.3.5.</w:t>
            </w:r>
            <w:r w:rsidRPr="00F55A79">
              <w:rPr>
                <w:rFonts w:asciiTheme="minorHAnsi" w:hAnsiTheme="minorHAnsi" w:cstheme="minorBidi"/>
                <w:noProof/>
                <w:kern w:val="2"/>
                <w:sz w:val="24"/>
                <w:szCs w:val="24"/>
                <w14:ligatures w14:val="standardContextual"/>
              </w:rPr>
              <w:tab/>
            </w:r>
            <w:r w:rsidRPr="00F55A79">
              <w:rPr>
                <w:rStyle w:val="Hyperlink"/>
                <w:noProof/>
              </w:rPr>
              <w:t>TURN</w:t>
            </w:r>
            <w:r w:rsidRPr="00F55A79">
              <w:rPr>
                <w:noProof/>
                <w:webHidden/>
              </w:rPr>
              <w:tab/>
            </w:r>
            <w:r w:rsidRPr="00F55A79">
              <w:rPr>
                <w:noProof/>
                <w:webHidden/>
              </w:rPr>
              <w:fldChar w:fldCharType="begin"/>
            </w:r>
            <w:r w:rsidRPr="00F55A79">
              <w:rPr>
                <w:noProof/>
                <w:webHidden/>
              </w:rPr>
              <w:instrText xml:space="preserve"> PAGEREF _Toc216163304 \h </w:instrText>
            </w:r>
            <w:r w:rsidRPr="00F55A79">
              <w:rPr>
                <w:noProof/>
                <w:webHidden/>
              </w:rPr>
            </w:r>
            <w:r w:rsidRPr="00F55A79">
              <w:rPr>
                <w:noProof/>
                <w:webHidden/>
              </w:rPr>
              <w:fldChar w:fldCharType="separate"/>
            </w:r>
            <w:r w:rsidR="00BA5597">
              <w:rPr>
                <w:noProof/>
                <w:webHidden/>
              </w:rPr>
              <w:t>111</w:t>
            </w:r>
            <w:r w:rsidRPr="00F55A79">
              <w:rPr>
                <w:noProof/>
                <w:webHidden/>
              </w:rPr>
              <w:fldChar w:fldCharType="end"/>
            </w:r>
          </w:hyperlink>
        </w:p>
        <w:p w:rsidRPr="00F55A79" w:rsidR="005142AB" w:rsidRDefault="005142AB" w14:paraId="68D3CF2F" w14:textId="30A3F5D4">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16163305">
            <w:r w:rsidRPr="00F55A79">
              <w:rPr>
                <w:rStyle w:val="Hyperlink"/>
                <w:noProof/>
              </w:rPr>
              <w:t>11.4.</w:t>
            </w:r>
            <w:r w:rsidRPr="00F55A79">
              <w:rPr>
                <w:rFonts w:asciiTheme="minorHAnsi" w:hAnsiTheme="minorHAnsi" w:cstheme="minorBidi"/>
                <w:noProof/>
                <w:kern w:val="2"/>
                <w:sz w:val="24"/>
                <w:szCs w:val="24"/>
                <w14:ligatures w14:val="standardContextual"/>
              </w:rPr>
              <w:tab/>
            </w:r>
            <w:r w:rsidRPr="00F55A79">
              <w:rPr>
                <w:rStyle w:val="Hyperlink"/>
                <w:noProof/>
              </w:rPr>
              <w:t>Joint Applicants’ Response</w:t>
            </w:r>
            <w:r w:rsidRPr="00F55A79">
              <w:rPr>
                <w:noProof/>
                <w:webHidden/>
              </w:rPr>
              <w:tab/>
            </w:r>
            <w:r w:rsidRPr="00F55A79">
              <w:rPr>
                <w:noProof/>
                <w:webHidden/>
              </w:rPr>
              <w:fldChar w:fldCharType="begin"/>
            </w:r>
            <w:r w:rsidRPr="00F55A79">
              <w:rPr>
                <w:noProof/>
                <w:webHidden/>
              </w:rPr>
              <w:instrText xml:space="preserve"> PAGEREF _Toc216163305 \h </w:instrText>
            </w:r>
            <w:r w:rsidRPr="00F55A79">
              <w:rPr>
                <w:noProof/>
                <w:webHidden/>
              </w:rPr>
            </w:r>
            <w:r w:rsidRPr="00F55A79">
              <w:rPr>
                <w:noProof/>
                <w:webHidden/>
              </w:rPr>
              <w:fldChar w:fldCharType="separate"/>
            </w:r>
            <w:r w:rsidR="00BA5597">
              <w:rPr>
                <w:noProof/>
                <w:webHidden/>
              </w:rPr>
              <w:t>111</w:t>
            </w:r>
            <w:r w:rsidRPr="00F55A79">
              <w:rPr>
                <w:noProof/>
                <w:webHidden/>
              </w:rPr>
              <w:fldChar w:fldCharType="end"/>
            </w:r>
          </w:hyperlink>
        </w:p>
        <w:p w:rsidRPr="00F55A79" w:rsidR="005142AB" w:rsidRDefault="005142AB" w14:paraId="20C03656" w14:textId="690E4649">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16163306">
            <w:r w:rsidRPr="00F55A79">
              <w:rPr>
                <w:rStyle w:val="Hyperlink"/>
                <w:noProof/>
              </w:rPr>
              <w:t>11.5.</w:t>
            </w:r>
            <w:r w:rsidRPr="00F55A79">
              <w:rPr>
                <w:rFonts w:asciiTheme="minorHAnsi" w:hAnsiTheme="minorHAnsi" w:cstheme="minorBidi"/>
                <w:noProof/>
                <w:kern w:val="2"/>
                <w:sz w:val="24"/>
                <w:szCs w:val="24"/>
                <w14:ligatures w14:val="standardContextual"/>
              </w:rPr>
              <w:tab/>
            </w:r>
            <w:r w:rsidRPr="00F55A79">
              <w:rPr>
                <w:rStyle w:val="Hyperlink"/>
                <w:noProof/>
              </w:rPr>
              <w:t>Discussion</w:t>
            </w:r>
            <w:r w:rsidRPr="00F55A79">
              <w:rPr>
                <w:noProof/>
                <w:webHidden/>
              </w:rPr>
              <w:tab/>
            </w:r>
            <w:r w:rsidRPr="00F55A79">
              <w:rPr>
                <w:noProof/>
                <w:webHidden/>
              </w:rPr>
              <w:fldChar w:fldCharType="begin"/>
            </w:r>
            <w:r w:rsidRPr="00F55A79">
              <w:rPr>
                <w:noProof/>
                <w:webHidden/>
              </w:rPr>
              <w:instrText xml:space="preserve"> PAGEREF _Toc216163306 \h </w:instrText>
            </w:r>
            <w:r w:rsidRPr="00F55A79">
              <w:rPr>
                <w:noProof/>
                <w:webHidden/>
              </w:rPr>
            </w:r>
            <w:r w:rsidRPr="00F55A79">
              <w:rPr>
                <w:noProof/>
                <w:webHidden/>
              </w:rPr>
              <w:fldChar w:fldCharType="separate"/>
            </w:r>
            <w:r w:rsidR="00BA5597">
              <w:rPr>
                <w:noProof/>
                <w:webHidden/>
              </w:rPr>
              <w:t>112</w:t>
            </w:r>
            <w:r w:rsidRPr="00F55A79">
              <w:rPr>
                <w:noProof/>
                <w:webHidden/>
              </w:rPr>
              <w:fldChar w:fldCharType="end"/>
            </w:r>
          </w:hyperlink>
        </w:p>
        <w:p w:rsidRPr="00F55A79" w:rsidR="005142AB" w:rsidRDefault="005142AB" w14:paraId="08F1492D" w14:textId="1D51A137">
          <w:pPr>
            <w:pStyle w:val="TOC1"/>
            <w:tabs>
              <w:tab w:val="right" w:leader="dot" w:pos="9350"/>
            </w:tabs>
            <w:rPr>
              <w:rFonts w:asciiTheme="minorHAnsi" w:hAnsiTheme="minorHAnsi" w:cstheme="minorBidi"/>
              <w:noProof/>
              <w:kern w:val="2"/>
              <w:sz w:val="24"/>
              <w:szCs w:val="24"/>
              <w14:ligatures w14:val="standardContextual"/>
            </w:rPr>
          </w:pPr>
          <w:hyperlink w:history="1" w:anchor="_Toc216163307">
            <w:r w:rsidRPr="00F55A79">
              <w:rPr>
                <w:rStyle w:val="Hyperlink"/>
                <w:noProof/>
              </w:rPr>
              <w:t>12.</w:t>
            </w:r>
            <w:r w:rsidRPr="00F55A79">
              <w:rPr>
                <w:rFonts w:asciiTheme="minorHAnsi" w:hAnsiTheme="minorHAnsi" w:cstheme="minorBidi"/>
                <w:noProof/>
                <w:kern w:val="2"/>
                <w:sz w:val="24"/>
                <w:szCs w:val="24"/>
                <w14:ligatures w14:val="standardContextual"/>
              </w:rPr>
              <w:tab/>
            </w:r>
            <w:r w:rsidRPr="00F55A79">
              <w:rPr>
                <w:rStyle w:val="Hyperlink"/>
                <w:noProof/>
              </w:rPr>
              <w:t>Summary of Public Comment</w:t>
            </w:r>
            <w:r w:rsidRPr="00F55A79">
              <w:rPr>
                <w:noProof/>
                <w:webHidden/>
              </w:rPr>
              <w:tab/>
            </w:r>
            <w:r w:rsidRPr="00F55A79">
              <w:rPr>
                <w:noProof/>
                <w:webHidden/>
              </w:rPr>
              <w:fldChar w:fldCharType="begin"/>
            </w:r>
            <w:r w:rsidRPr="00F55A79">
              <w:rPr>
                <w:noProof/>
                <w:webHidden/>
              </w:rPr>
              <w:instrText xml:space="preserve"> PAGEREF _Toc216163307 \h </w:instrText>
            </w:r>
            <w:r w:rsidRPr="00F55A79">
              <w:rPr>
                <w:noProof/>
                <w:webHidden/>
              </w:rPr>
            </w:r>
            <w:r w:rsidRPr="00F55A79">
              <w:rPr>
                <w:noProof/>
                <w:webHidden/>
              </w:rPr>
              <w:fldChar w:fldCharType="separate"/>
            </w:r>
            <w:r w:rsidR="00BA5597">
              <w:rPr>
                <w:noProof/>
                <w:webHidden/>
              </w:rPr>
              <w:t>112</w:t>
            </w:r>
            <w:r w:rsidRPr="00F55A79">
              <w:rPr>
                <w:noProof/>
                <w:webHidden/>
              </w:rPr>
              <w:fldChar w:fldCharType="end"/>
            </w:r>
          </w:hyperlink>
        </w:p>
        <w:p w:rsidRPr="00F55A79" w:rsidR="005142AB" w:rsidRDefault="005142AB" w14:paraId="2B910536" w14:textId="49BCC58C">
          <w:pPr>
            <w:pStyle w:val="TOC1"/>
            <w:tabs>
              <w:tab w:val="right" w:leader="dot" w:pos="9350"/>
            </w:tabs>
            <w:rPr>
              <w:rFonts w:asciiTheme="minorHAnsi" w:hAnsiTheme="minorHAnsi" w:cstheme="minorBidi"/>
              <w:noProof/>
              <w:kern w:val="2"/>
              <w:sz w:val="24"/>
              <w:szCs w:val="24"/>
              <w14:ligatures w14:val="standardContextual"/>
            </w:rPr>
          </w:pPr>
          <w:hyperlink w:history="1" w:anchor="_Toc216163308">
            <w:r w:rsidRPr="00F55A79">
              <w:rPr>
                <w:rStyle w:val="Hyperlink"/>
                <w:noProof/>
              </w:rPr>
              <w:t>13.</w:t>
            </w:r>
            <w:r w:rsidRPr="00F55A79">
              <w:rPr>
                <w:rFonts w:asciiTheme="minorHAnsi" w:hAnsiTheme="minorHAnsi" w:cstheme="minorBidi"/>
                <w:noProof/>
                <w:kern w:val="2"/>
                <w:sz w:val="24"/>
                <w:szCs w:val="24"/>
                <w14:ligatures w14:val="standardContextual"/>
              </w:rPr>
              <w:tab/>
            </w:r>
            <w:r w:rsidRPr="00F55A79">
              <w:rPr>
                <w:rStyle w:val="Hyperlink"/>
                <w:noProof/>
              </w:rPr>
              <w:t>Additional Comments</w:t>
            </w:r>
            <w:r w:rsidRPr="00F55A79">
              <w:rPr>
                <w:noProof/>
                <w:webHidden/>
              </w:rPr>
              <w:tab/>
            </w:r>
            <w:r w:rsidRPr="00F55A79">
              <w:rPr>
                <w:noProof/>
                <w:webHidden/>
              </w:rPr>
              <w:fldChar w:fldCharType="begin"/>
            </w:r>
            <w:r w:rsidRPr="00F55A79">
              <w:rPr>
                <w:noProof/>
                <w:webHidden/>
              </w:rPr>
              <w:instrText xml:space="preserve"> PAGEREF _Toc216163308 \h </w:instrText>
            </w:r>
            <w:r w:rsidRPr="00F55A79">
              <w:rPr>
                <w:noProof/>
                <w:webHidden/>
              </w:rPr>
            </w:r>
            <w:r w:rsidRPr="00F55A79">
              <w:rPr>
                <w:noProof/>
                <w:webHidden/>
              </w:rPr>
              <w:fldChar w:fldCharType="separate"/>
            </w:r>
            <w:r w:rsidR="00BA5597">
              <w:rPr>
                <w:noProof/>
                <w:webHidden/>
              </w:rPr>
              <w:t>113</w:t>
            </w:r>
            <w:r w:rsidRPr="00F55A79">
              <w:rPr>
                <w:noProof/>
                <w:webHidden/>
              </w:rPr>
              <w:fldChar w:fldCharType="end"/>
            </w:r>
          </w:hyperlink>
        </w:p>
        <w:p w:rsidRPr="00F55A79" w:rsidR="005142AB" w:rsidRDefault="005142AB" w14:paraId="7581B57E" w14:textId="15DE0589">
          <w:pPr>
            <w:pStyle w:val="TOC1"/>
            <w:tabs>
              <w:tab w:val="right" w:leader="dot" w:pos="9350"/>
            </w:tabs>
            <w:rPr>
              <w:rFonts w:asciiTheme="minorHAnsi" w:hAnsiTheme="minorHAnsi" w:cstheme="minorBidi"/>
              <w:noProof/>
              <w:kern w:val="2"/>
              <w:sz w:val="24"/>
              <w:szCs w:val="24"/>
              <w14:ligatures w14:val="standardContextual"/>
            </w:rPr>
          </w:pPr>
          <w:hyperlink w:history="1" w:anchor="_Toc216163309">
            <w:r w:rsidRPr="00F55A79">
              <w:rPr>
                <w:rStyle w:val="Hyperlink"/>
                <w:noProof/>
              </w:rPr>
              <w:t>14.</w:t>
            </w:r>
            <w:r w:rsidRPr="00F55A79">
              <w:rPr>
                <w:rFonts w:asciiTheme="minorHAnsi" w:hAnsiTheme="minorHAnsi" w:cstheme="minorBidi"/>
                <w:noProof/>
                <w:kern w:val="2"/>
                <w:sz w:val="24"/>
                <w:szCs w:val="24"/>
                <w14:ligatures w14:val="standardContextual"/>
              </w:rPr>
              <w:tab/>
            </w:r>
            <w:r w:rsidRPr="00F55A79">
              <w:rPr>
                <w:rStyle w:val="Hyperlink"/>
                <w:noProof/>
              </w:rPr>
              <w:t>Procedural Matters</w:t>
            </w:r>
            <w:r w:rsidRPr="00F55A79">
              <w:rPr>
                <w:noProof/>
                <w:webHidden/>
              </w:rPr>
              <w:tab/>
            </w:r>
            <w:r w:rsidRPr="00F55A79">
              <w:rPr>
                <w:noProof/>
                <w:webHidden/>
              </w:rPr>
              <w:fldChar w:fldCharType="begin"/>
            </w:r>
            <w:r w:rsidRPr="00F55A79">
              <w:rPr>
                <w:noProof/>
                <w:webHidden/>
              </w:rPr>
              <w:instrText xml:space="preserve"> PAGEREF _Toc216163309 \h </w:instrText>
            </w:r>
            <w:r w:rsidRPr="00F55A79">
              <w:rPr>
                <w:noProof/>
                <w:webHidden/>
              </w:rPr>
            </w:r>
            <w:r w:rsidRPr="00F55A79">
              <w:rPr>
                <w:noProof/>
                <w:webHidden/>
              </w:rPr>
              <w:fldChar w:fldCharType="separate"/>
            </w:r>
            <w:r w:rsidR="00BA5597">
              <w:rPr>
                <w:noProof/>
                <w:webHidden/>
              </w:rPr>
              <w:t>114</w:t>
            </w:r>
            <w:r w:rsidRPr="00F55A79">
              <w:rPr>
                <w:noProof/>
                <w:webHidden/>
              </w:rPr>
              <w:fldChar w:fldCharType="end"/>
            </w:r>
          </w:hyperlink>
        </w:p>
        <w:p w:rsidRPr="00F55A79" w:rsidR="005142AB" w:rsidRDefault="005142AB" w14:paraId="0C1C8A8D" w14:textId="42C450A1">
          <w:pPr>
            <w:pStyle w:val="TOC1"/>
            <w:tabs>
              <w:tab w:val="right" w:leader="dot" w:pos="9350"/>
            </w:tabs>
            <w:rPr>
              <w:rFonts w:asciiTheme="minorHAnsi" w:hAnsiTheme="minorHAnsi" w:cstheme="minorBidi"/>
              <w:noProof/>
              <w:kern w:val="2"/>
              <w:sz w:val="24"/>
              <w:szCs w:val="24"/>
              <w14:ligatures w14:val="standardContextual"/>
            </w:rPr>
          </w:pPr>
          <w:hyperlink w:history="1" w:anchor="_Toc216163310">
            <w:r w:rsidRPr="00F55A79">
              <w:rPr>
                <w:rStyle w:val="Hyperlink"/>
                <w:noProof/>
              </w:rPr>
              <w:t>15.</w:t>
            </w:r>
            <w:r w:rsidRPr="00F55A79">
              <w:rPr>
                <w:rFonts w:asciiTheme="minorHAnsi" w:hAnsiTheme="minorHAnsi" w:cstheme="minorBidi"/>
                <w:noProof/>
                <w:kern w:val="2"/>
                <w:sz w:val="24"/>
                <w:szCs w:val="24"/>
                <w14:ligatures w14:val="standardContextual"/>
              </w:rPr>
              <w:tab/>
            </w:r>
            <w:r w:rsidRPr="00F55A79">
              <w:rPr>
                <w:rStyle w:val="Hyperlink"/>
                <w:noProof/>
              </w:rPr>
              <w:t>Comments on Proposed Decision</w:t>
            </w:r>
            <w:r w:rsidRPr="00F55A79">
              <w:rPr>
                <w:noProof/>
                <w:webHidden/>
              </w:rPr>
              <w:tab/>
            </w:r>
            <w:r w:rsidRPr="00F55A79">
              <w:rPr>
                <w:noProof/>
                <w:webHidden/>
              </w:rPr>
              <w:fldChar w:fldCharType="begin"/>
            </w:r>
            <w:r w:rsidRPr="00F55A79">
              <w:rPr>
                <w:noProof/>
                <w:webHidden/>
              </w:rPr>
              <w:instrText xml:space="preserve"> PAGEREF _Toc216163310 \h </w:instrText>
            </w:r>
            <w:r w:rsidRPr="00F55A79">
              <w:rPr>
                <w:noProof/>
                <w:webHidden/>
              </w:rPr>
            </w:r>
            <w:r w:rsidRPr="00F55A79">
              <w:rPr>
                <w:noProof/>
                <w:webHidden/>
              </w:rPr>
              <w:fldChar w:fldCharType="separate"/>
            </w:r>
            <w:r w:rsidR="00BA5597">
              <w:rPr>
                <w:noProof/>
                <w:webHidden/>
              </w:rPr>
              <w:t>114</w:t>
            </w:r>
            <w:r w:rsidRPr="00F55A79">
              <w:rPr>
                <w:noProof/>
                <w:webHidden/>
              </w:rPr>
              <w:fldChar w:fldCharType="end"/>
            </w:r>
          </w:hyperlink>
        </w:p>
        <w:p w:rsidRPr="00F55A79" w:rsidR="005142AB" w:rsidRDefault="005142AB" w14:paraId="3DFC0CBA" w14:textId="230F0894">
          <w:pPr>
            <w:pStyle w:val="TOC1"/>
            <w:tabs>
              <w:tab w:val="right" w:leader="dot" w:pos="9350"/>
            </w:tabs>
            <w:rPr>
              <w:rFonts w:asciiTheme="minorHAnsi" w:hAnsiTheme="minorHAnsi" w:cstheme="minorBidi"/>
              <w:noProof/>
              <w:kern w:val="2"/>
              <w:sz w:val="24"/>
              <w:szCs w:val="24"/>
              <w14:ligatures w14:val="standardContextual"/>
            </w:rPr>
          </w:pPr>
          <w:hyperlink w:history="1" w:anchor="_Toc216163311">
            <w:r w:rsidRPr="00F55A79">
              <w:rPr>
                <w:rStyle w:val="Hyperlink"/>
                <w:noProof/>
              </w:rPr>
              <w:t>16.</w:t>
            </w:r>
            <w:r w:rsidRPr="00F55A79">
              <w:rPr>
                <w:rFonts w:asciiTheme="minorHAnsi" w:hAnsiTheme="minorHAnsi" w:cstheme="minorBidi"/>
                <w:noProof/>
                <w:kern w:val="2"/>
                <w:sz w:val="24"/>
                <w:szCs w:val="24"/>
                <w14:ligatures w14:val="standardContextual"/>
              </w:rPr>
              <w:tab/>
            </w:r>
            <w:r w:rsidRPr="00F55A79">
              <w:rPr>
                <w:rStyle w:val="Hyperlink"/>
                <w:noProof/>
              </w:rPr>
              <w:t>Assignment of Proceeding</w:t>
            </w:r>
            <w:r w:rsidRPr="00F55A79">
              <w:rPr>
                <w:noProof/>
                <w:webHidden/>
              </w:rPr>
              <w:tab/>
            </w:r>
            <w:r w:rsidRPr="00F55A79">
              <w:rPr>
                <w:noProof/>
                <w:webHidden/>
              </w:rPr>
              <w:fldChar w:fldCharType="begin"/>
            </w:r>
            <w:r w:rsidRPr="00F55A79">
              <w:rPr>
                <w:noProof/>
                <w:webHidden/>
              </w:rPr>
              <w:instrText xml:space="preserve"> PAGEREF _Toc216163311 \h </w:instrText>
            </w:r>
            <w:r w:rsidRPr="00F55A79">
              <w:rPr>
                <w:noProof/>
                <w:webHidden/>
              </w:rPr>
            </w:r>
            <w:r w:rsidRPr="00F55A79">
              <w:rPr>
                <w:noProof/>
                <w:webHidden/>
              </w:rPr>
              <w:fldChar w:fldCharType="separate"/>
            </w:r>
            <w:r w:rsidR="00BA5597">
              <w:rPr>
                <w:noProof/>
                <w:webHidden/>
              </w:rPr>
              <w:t>120</w:t>
            </w:r>
            <w:r w:rsidRPr="00F55A79">
              <w:rPr>
                <w:noProof/>
                <w:webHidden/>
              </w:rPr>
              <w:fldChar w:fldCharType="end"/>
            </w:r>
          </w:hyperlink>
        </w:p>
        <w:p w:rsidRPr="00F55A79" w:rsidR="005142AB" w:rsidRDefault="005142AB" w14:paraId="09811CAE" w14:textId="396656A9">
          <w:pPr>
            <w:pStyle w:val="TOC1"/>
            <w:tabs>
              <w:tab w:val="right" w:leader="dot" w:pos="9350"/>
            </w:tabs>
            <w:rPr>
              <w:rFonts w:asciiTheme="minorHAnsi" w:hAnsiTheme="minorHAnsi" w:cstheme="minorBidi"/>
              <w:noProof/>
              <w:kern w:val="2"/>
              <w:sz w:val="24"/>
              <w:szCs w:val="24"/>
              <w14:ligatures w14:val="standardContextual"/>
            </w:rPr>
          </w:pPr>
          <w:hyperlink w:history="1" w:anchor="_Toc216163312">
            <w:r w:rsidRPr="00F55A79">
              <w:rPr>
                <w:rStyle w:val="Hyperlink"/>
                <w:noProof/>
              </w:rPr>
              <w:t>Findings of Fact</w:t>
            </w:r>
            <w:r w:rsidRPr="00F55A79">
              <w:rPr>
                <w:noProof/>
                <w:webHidden/>
              </w:rPr>
              <w:tab/>
            </w:r>
            <w:r w:rsidRPr="00F55A79">
              <w:rPr>
                <w:noProof/>
                <w:webHidden/>
              </w:rPr>
              <w:fldChar w:fldCharType="begin"/>
            </w:r>
            <w:r w:rsidRPr="00F55A79">
              <w:rPr>
                <w:noProof/>
                <w:webHidden/>
              </w:rPr>
              <w:instrText xml:space="preserve"> PAGEREF _Toc216163312 \h </w:instrText>
            </w:r>
            <w:r w:rsidRPr="00F55A79">
              <w:rPr>
                <w:noProof/>
                <w:webHidden/>
              </w:rPr>
            </w:r>
            <w:r w:rsidRPr="00F55A79">
              <w:rPr>
                <w:noProof/>
                <w:webHidden/>
              </w:rPr>
              <w:fldChar w:fldCharType="separate"/>
            </w:r>
            <w:r w:rsidR="00BA5597">
              <w:rPr>
                <w:noProof/>
                <w:webHidden/>
              </w:rPr>
              <w:t>120</w:t>
            </w:r>
            <w:r w:rsidRPr="00F55A79">
              <w:rPr>
                <w:noProof/>
                <w:webHidden/>
              </w:rPr>
              <w:fldChar w:fldCharType="end"/>
            </w:r>
          </w:hyperlink>
        </w:p>
        <w:p w:rsidRPr="00F55A79" w:rsidR="005142AB" w:rsidRDefault="005142AB" w14:paraId="39360246" w14:textId="0B04238E">
          <w:pPr>
            <w:pStyle w:val="TOC1"/>
            <w:tabs>
              <w:tab w:val="right" w:leader="dot" w:pos="9350"/>
            </w:tabs>
            <w:rPr>
              <w:rFonts w:asciiTheme="minorHAnsi" w:hAnsiTheme="minorHAnsi" w:cstheme="minorBidi"/>
              <w:noProof/>
              <w:kern w:val="2"/>
              <w:sz w:val="24"/>
              <w:szCs w:val="24"/>
              <w14:ligatures w14:val="standardContextual"/>
            </w:rPr>
          </w:pPr>
          <w:hyperlink w:history="1" w:anchor="_Toc216163313">
            <w:r w:rsidRPr="00F55A79">
              <w:rPr>
                <w:rStyle w:val="Hyperlink"/>
                <w:noProof/>
              </w:rPr>
              <w:t>Conclusions of Law</w:t>
            </w:r>
            <w:r w:rsidRPr="00F55A79">
              <w:rPr>
                <w:noProof/>
                <w:webHidden/>
              </w:rPr>
              <w:tab/>
            </w:r>
            <w:r w:rsidRPr="00F55A79">
              <w:rPr>
                <w:noProof/>
                <w:webHidden/>
              </w:rPr>
              <w:fldChar w:fldCharType="begin"/>
            </w:r>
            <w:r w:rsidRPr="00F55A79">
              <w:rPr>
                <w:noProof/>
                <w:webHidden/>
              </w:rPr>
              <w:instrText xml:space="preserve"> PAGEREF _Toc216163313 \h </w:instrText>
            </w:r>
            <w:r w:rsidRPr="00F55A79">
              <w:rPr>
                <w:noProof/>
                <w:webHidden/>
              </w:rPr>
            </w:r>
            <w:r w:rsidRPr="00F55A79">
              <w:rPr>
                <w:noProof/>
                <w:webHidden/>
              </w:rPr>
              <w:fldChar w:fldCharType="separate"/>
            </w:r>
            <w:r w:rsidR="00BA5597">
              <w:rPr>
                <w:noProof/>
                <w:webHidden/>
              </w:rPr>
              <w:t>124</w:t>
            </w:r>
            <w:r w:rsidRPr="00F55A79">
              <w:rPr>
                <w:noProof/>
                <w:webHidden/>
              </w:rPr>
              <w:fldChar w:fldCharType="end"/>
            </w:r>
          </w:hyperlink>
        </w:p>
        <w:p w:rsidRPr="00F55A79" w:rsidR="005142AB" w:rsidRDefault="005142AB" w14:paraId="680200B5" w14:textId="790D737A">
          <w:pPr>
            <w:pStyle w:val="TOC1"/>
            <w:tabs>
              <w:tab w:val="right" w:leader="dot" w:pos="9350"/>
            </w:tabs>
            <w:rPr>
              <w:rFonts w:asciiTheme="minorHAnsi" w:hAnsiTheme="minorHAnsi" w:cstheme="minorBidi"/>
              <w:noProof/>
              <w:kern w:val="2"/>
              <w:sz w:val="24"/>
              <w:szCs w:val="24"/>
              <w14:ligatures w14:val="standardContextual"/>
            </w:rPr>
          </w:pPr>
          <w:hyperlink w:history="1" w:anchor="_Toc216163314">
            <w:r w:rsidRPr="00F55A79">
              <w:rPr>
                <w:rStyle w:val="Hyperlink"/>
                <w:noProof/>
              </w:rPr>
              <w:t>ORDER</w:t>
            </w:r>
            <w:r w:rsidRPr="00F55A79">
              <w:rPr>
                <w:noProof/>
                <w:webHidden/>
              </w:rPr>
              <w:tab/>
            </w:r>
            <w:r w:rsidRPr="00F55A79">
              <w:rPr>
                <w:noProof/>
                <w:webHidden/>
              </w:rPr>
              <w:fldChar w:fldCharType="begin"/>
            </w:r>
            <w:r w:rsidRPr="00F55A79">
              <w:rPr>
                <w:noProof/>
                <w:webHidden/>
              </w:rPr>
              <w:instrText xml:space="preserve"> PAGEREF _Toc216163314 \h </w:instrText>
            </w:r>
            <w:r w:rsidRPr="00F55A79">
              <w:rPr>
                <w:noProof/>
                <w:webHidden/>
              </w:rPr>
            </w:r>
            <w:r w:rsidRPr="00F55A79">
              <w:rPr>
                <w:noProof/>
                <w:webHidden/>
              </w:rPr>
              <w:fldChar w:fldCharType="separate"/>
            </w:r>
            <w:r w:rsidR="00BA5597">
              <w:rPr>
                <w:noProof/>
                <w:webHidden/>
              </w:rPr>
              <w:t>125</w:t>
            </w:r>
            <w:r w:rsidRPr="00F55A79">
              <w:rPr>
                <w:noProof/>
                <w:webHidden/>
              </w:rPr>
              <w:fldChar w:fldCharType="end"/>
            </w:r>
          </w:hyperlink>
        </w:p>
        <w:p w:rsidRPr="00F55A79" w:rsidR="00D82A43" w:rsidP="008C7413" w:rsidRDefault="008C7413" w14:paraId="2597B48B" w14:textId="2FE21252">
          <w:pPr>
            <w:pStyle w:val="TOC1"/>
            <w:tabs>
              <w:tab w:val="right" w:leader="dot" w:pos="9350"/>
            </w:tabs>
          </w:pPr>
          <w:r w:rsidRPr="00F55A79">
            <w:rPr>
              <w:rFonts w:asciiTheme="minorHAnsi" w:hAnsiTheme="minorHAnsi"/>
              <w:sz w:val="22"/>
            </w:rPr>
            <w:fldChar w:fldCharType="end"/>
          </w:r>
        </w:p>
      </w:sdtContent>
    </w:sdt>
    <w:p w:rsidRPr="00F55A79" w:rsidR="00150F4B" w:rsidP="00D50119" w:rsidRDefault="00150F4B" w14:paraId="5EF8CD85" w14:textId="77777777">
      <w:pPr>
        <w:spacing w:line="240" w:lineRule="auto"/>
        <w:ind w:firstLine="0"/>
        <w:rPr>
          <w:rFonts w:cs="Arial"/>
          <w:b/>
          <w:szCs w:val="26"/>
        </w:rPr>
      </w:pPr>
    </w:p>
    <w:p w:rsidRPr="00F55A79" w:rsidR="00F97B50" w:rsidP="00BA5597" w:rsidRDefault="0098655A" w14:paraId="7A0637E6" w14:textId="232F1EBD">
      <w:pPr>
        <w:spacing w:line="240" w:lineRule="auto"/>
        <w:ind w:left="1710" w:hanging="1710"/>
        <w:rPr>
          <w:bCs/>
        </w:rPr>
      </w:pPr>
      <w:r w:rsidRPr="00F55A79">
        <w:rPr>
          <w:rFonts w:cs="Arial"/>
          <w:b/>
          <w:szCs w:val="26"/>
        </w:rPr>
        <w:t>Appendix A</w:t>
      </w:r>
      <w:r w:rsidRPr="00F55A79">
        <w:rPr>
          <w:rFonts w:cs="Arial"/>
          <w:bCs/>
          <w:szCs w:val="26"/>
        </w:rPr>
        <w:t xml:space="preserve"> </w:t>
      </w:r>
      <w:r w:rsidRPr="00F55A79" w:rsidR="000B4022">
        <w:rPr>
          <w:rFonts w:cs="Arial"/>
          <w:bCs/>
          <w:szCs w:val="26"/>
        </w:rPr>
        <w:t>–</w:t>
      </w:r>
      <w:r w:rsidRPr="00F55A79" w:rsidR="00F97B50">
        <w:rPr>
          <w:rFonts w:cs="Arial"/>
          <w:bCs/>
          <w:szCs w:val="26"/>
        </w:rPr>
        <w:t xml:space="preserve"> </w:t>
      </w:r>
      <w:r w:rsidRPr="00F55A79" w:rsidR="000B4022">
        <w:rPr>
          <w:rFonts w:cs="Arial"/>
          <w:bCs/>
          <w:szCs w:val="26"/>
        </w:rPr>
        <w:t xml:space="preserve">Public Advocates Office at the </w:t>
      </w:r>
      <w:r w:rsidRPr="00F55A79" w:rsidR="00EB32F3">
        <w:rPr>
          <w:rFonts w:cs="Arial"/>
          <w:bCs/>
          <w:szCs w:val="26"/>
        </w:rPr>
        <w:t xml:space="preserve">California Public Utilities </w:t>
      </w:r>
      <w:r w:rsidRPr="00F55A79" w:rsidR="00F97B50">
        <w:rPr>
          <w:bCs/>
        </w:rPr>
        <w:t>C</w:t>
      </w:r>
      <w:r w:rsidRPr="00F55A79" w:rsidR="000B4022">
        <w:rPr>
          <w:bCs/>
        </w:rPr>
        <w:t>ommission</w:t>
      </w:r>
      <w:r w:rsidRPr="00F55A79" w:rsidR="00F97B50">
        <w:rPr>
          <w:bCs/>
        </w:rPr>
        <w:t xml:space="preserve"> Settlement Agreement</w:t>
      </w:r>
    </w:p>
    <w:p w:rsidRPr="00F55A79" w:rsidR="0098655A" w:rsidP="004509D0" w:rsidRDefault="0098655A" w14:paraId="44C5CEF3" w14:textId="684DF4D8">
      <w:pPr>
        <w:spacing w:line="240" w:lineRule="auto"/>
        <w:ind w:firstLine="0"/>
        <w:rPr>
          <w:rFonts w:cs="Arial"/>
          <w:bCs/>
          <w:color w:val="000000" w:themeColor="text1"/>
          <w:szCs w:val="26"/>
        </w:rPr>
      </w:pPr>
      <w:r w:rsidRPr="00F55A79">
        <w:rPr>
          <w:rFonts w:cs="Arial"/>
          <w:b/>
          <w:color w:val="000000" w:themeColor="text1"/>
          <w:szCs w:val="26"/>
        </w:rPr>
        <w:t>Appendix B</w:t>
      </w:r>
      <w:r w:rsidRPr="00F55A79">
        <w:rPr>
          <w:rFonts w:cs="Arial"/>
          <w:bCs/>
          <w:color w:val="000000" w:themeColor="text1"/>
          <w:szCs w:val="26"/>
        </w:rPr>
        <w:t xml:space="preserve"> </w:t>
      </w:r>
      <w:r w:rsidRPr="00F55A79" w:rsidR="000B4022">
        <w:rPr>
          <w:rFonts w:cs="Arial"/>
          <w:bCs/>
          <w:color w:val="000000" w:themeColor="text1"/>
          <w:szCs w:val="26"/>
        </w:rPr>
        <w:t>–</w:t>
      </w:r>
      <w:r w:rsidRPr="00F55A79" w:rsidR="00F97B50">
        <w:rPr>
          <w:rFonts w:cs="Arial"/>
          <w:bCs/>
          <w:color w:val="000000" w:themeColor="text1"/>
          <w:szCs w:val="26"/>
        </w:rPr>
        <w:t xml:space="preserve"> C</w:t>
      </w:r>
      <w:r w:rsidRPr="00F55A79" w:rsidR="000B4022">
        <w:rPr>
          <w:rFonts w:cs="Arial"/>
          <w:bCs/>
          <w:color w:val="000000" w:themeColor="text1"/>
          <w:szCs w:val="26"/>
        </w:rPr>
        <w:t>alifornia Emerging Technology Fund</w:t>
      </w:r>
      <w:r w:rsidRPr="00F55A79" w:rsidR="00F97B50">
        <w:rPr>
          <w:rFonts w:cs="Arial"/>
          <w:bCs/>
          <w:color w:val="000000" w:themeColor="text1"/>
          <w:szCs w:val="26"/>
        </w:rPr>
        <w:t xml:space="preserve"> Settlement Agreement</w:t>
      </w:r>
    </w:p>
    <w:p w:rsidRPr="00F55A79" w:rsidR="00F97B50" w:rsidP="00BA5597" w:rsidRDefault="0098655A" w14:paraId="72B70F04" w14:textId="0EB9CED2">
      <w:pPr>
        <w:spacing w:line="240" w:lineRule="auto"/>
        <w:ind w:left="1710" w:hanging="1710"/>
        <w:rPr>
          <w:rFonts w:cs="Arial"/>
          <w:bCs/>
          <w:color w:val="000000" w:themeColor="text1"/>
          <w:szCs w:val="26"/>
        </w:rPr>
      </w:pPr>
      <w:r w:rsidRPr="00F55A79">
        <w:rPr>
          <w:rFonts w:cs="Arial"/>
          <w:b/>
          <w:color w:val="000000" w:themeColor="text1"/>
          <w:szCs w:val="26"/>
        </w:rPr>
        <w:t>Appendix C</w:t>
      </w:r>
      <w:r w:rsidRPr="00F55A79" w:rsidR="00F97B50">
        <w:rPr>
          <w:rFonts w:cs="Arial"/>
          <w:bCs/>
          <w:color w:val="000000" w:themeColor="text1"/>
          <w:szCs w:val="26"/>
        </w:rPr>
        <w:t xml:space="preserve"> </w:t>
      </w:r>
      <w:r w:rsidRPr="00F55A79" w:rsidR="002B115B">
        <w:rPr>
          <w:rFonts w:cs="Arial"/>
          <w:bCs/>
          <w:color w:val="000000" w:themeColor="text1"/>
          <w:szCs w:val="26"/>
        </w:rPr>
        <w:t>–</w:t>
      </w:r>
      <w:r w:rsidRPr="00F55A79" w:rsidR="00F97B50">
        <w:rPr>
          <w:rFonts w:cs="Arial"/>
          <w:bCs/>
          <w:color w:val="000000" w:themeColor="text1"/>
          <w:szCs w:val="26"/>
        </w:rPr>
        <w:t xml:space="preserve"> C</w:t>
      </w:r>
      <w:r w:rsidRPr="00F55A79" w:rsidR="002B115B">
        <w:rPr>
          <w:rFonts w:cs="Arial"/>
          <w:bCs/>
          <w:color w:val="000000" w:themeColor="text1"/>
          <w:szCs w:val="26"/>
        </w:rPr>
        <w:t>ommunications Workers of America, District 9</w:t>
      </w:r>
      <w:r w:rsidRPr="00F55A79" w:rsidR="00F97B50">
        <w:rPr>
          <w:rFonts w:cs="Arial"/>
          <w:bCs/>
          <w:color w:val="000000" w:themeColor="text1"/>
          <w:szCs w:val="26"/>
        </w:rPr>
        <w:t xml:space="preserve"> Settlement Agreement</w:t>
      </w:r>
    </w:p>
    <w:p w:rsidRPr="00F55A79" w:rsidR="00F97B50" w:rsidP="004509D0" w:rsidRDefault="00080D00" w14:paraId="59E59A05" w14:textId="53C93898">
      <w:pPr>
        <w:spacing w:line="240" w:lineRule="auto"/>
        <w:ind w:firstLine="0"/>
        <w:rPr>
          <w:rFonts w:cs="Arial"/>
          <w:bCs/>
          <w:szCs w:val="26"/>
        </w:rPr>
      </w:pPr>
      <w:r w:rsidRPr="00F55A79">
        <w:rPr>
          <w:rFonts w:cs="Arial"/>
          <w:b/>
          <w:szCs w:val="26"/>
        </w:rPr>
        <w:t>Appendix D</w:t>
      </w:r>
      <w:r w:rsidRPr="00F55A79">
        <w:rPr>
          <w:rFonts w:cs="Arial"/>
          <w:bCs/>
          <w:szCs w:val="26"/>
        </w:rPr>
        <w:t xml:space="preserve"> </w:t>
      </w:r>
      <w:r w:rsidRPr="00F55A79" w:rsidR="002E60D4">
        <w:rPr>
          <w:rFonts w:cs="Arial"/>
          <w:bCs/>
          <w:szCs w:val="26"/>
        </w:rPr>
        <w:t>–</w:t>
      </w:r>
      <w:r w:rsidRPr="00F55A79" w:rsidR="00F97B50">
        <w:rPr>
          <w:rFonts w:cs="Arial"/>
          <w:bCs/>
          <w:szCs w:val="26"/>
        </w:rPr>
        <w:t xml:space="preserve"> </w:t>
      </w:r>
      <w:r w:rsidRPr="00627C4A" w:rsidR="00627C4A">
        <w:rPr>
          <w:rFonts w:cs="Arial"/>
          <w:bCs/>
          <w:szCs w:val="26"/>
        </w:rPr>
        <w:t>List of Wire Centers</w:t>
      </w:r>
    </w:p>
    <w:p w:rsidRPr="00F55A79" w:rsidR="00D44DB6" w:rsidP="00EB32F3" w:rsidRDefault="00D44DB6" w14:paraId="31718F28" w14:textId="0707D700">
      <w:pPr>
        <w:spacing w:line="240" w:lineRule="auto"/>
        <w:ind w:left="1710" w:hanging="1710"/>
        <w:rPr>
          <w:rFonts w:cs="Arial"/>
          <w:b/>
          <w:bCs/>
          <w:szCs w:val="26"/>
        </w:rPr>
        <w:sectPr w:rsidRPr="00F55A79" w:rsidR="00D44DB6" w:rsidSect="00D44DB6">
          <w:headerReference w:type="default" r:id="rId15"/>
          <w:footerReference w:type="default" r:id="rId16"/>
          <w:pgSz w:w="12240" w:h="15840"/>
          <w:pgMar w:top="1728" w:right="1440" w:bottom="1440" w:left="1440" w:header="720" w:footer="720" w:gutter="0"/>
          <w:pgNumType w:fmt="lowerRoman" w:start="1"/>
          <w:cols w:space="720"/>
          <w:docGrid w:linePitch="360"/>
        </w:sectPr>
      </w:pPr>
    </w:p>
    <w:p w:rsidRPr="00F55A79" w:rsidR="00D9324A" w:rsidP="00124524" w:rsidRDefault="00124524" w14:paraId="0A377142" w14:textId="4DDF58EA">
      <w:pPr>
        <w:pStyle w:val="Standard"/>
        <w:spacing w:line="240" w:lineRule="auto"/>
        <w:ind w:firstLine="0"/>
        <w:jc w:val="center"/>
        <w:rPr>
          <w:rFonts w:ascii="Arial" w:hAnsi="Arial" w:cs="Arial"/>
          <w:b/>
          <w:bCs/>
          <w:color w:val="000000" w:themeColor="text1"/>
        </w:rPr>
      </w:pPr>
      <w:bookmarkStart w:name="_Toc8123714" w:id="1"/>
      <w:r w:rsidRPr="00F55A79">
        <w:rPr>
          <w:rFonts w:ascii="Arial" w:hAnsi="Arial" w:cs="Arial"/>
          <w:b/>
          <w:bCs/>
          <w:color w:val="000000" w:themeColor="text1"/>
        </w:rPr>
        <w:lastRenderedPageBreak/>
        <w:t xml:space="preserve">GRANTING </w:t>
      </w:r>
      <w:r w:rsidRPr="00F55A79" w:rsidR="004855AA">
        <w:rPr>
          <w:rFonts w:ascii="Arial" w:hAnsi="Arial" w:cs="Arial"/>
          <w:b/>
          <w:bCs/>
          <w:color w:val="000000" w:themeColor="text1"/>
        </w:rPr>
        <w:t>TRANSFER OF CONTROL</w:t>
      </w:r>
      <w:r w:rsidRPr="00F55A79">
        <w:rPr>
          <w:rFonts w:ascii="Arial" w:hAnsi="Arial" w:cs="Arial"/>
          <w:b/>
          <w:bCs/>
          <w:color w:val="000000" w:themeColor="text1"/>
        </w:rPr>
        <w:t xml:space="preserve"> </w:t>
      </w:r>
    </w:p>
    <w:p w:rsidRPr="00F55A79" w:rsidR="00295836" w:rsidP="00124524" w:rsidRDefault="00124524" w14:paraId="71149C63" w14:textId="557BD216">
      <w:pPr>
        <w:pStyle w:val="Standard"/>
        <w:spacing w:line="240" w:lineRule="auto"/>
        <w:ind w:firstLine="0"/>
        <w:jc w:val="center"/>
        <w:rPr>
          <w:rFonts w:ascii="Arial" w:hAnsi="Arial" w:cs="Arial"/>
          <w:b/>
          <w:bCs/>
          <w:color w:val="000000" w:themeColor="text1"/>
        </w:rPr>
      </w:pPr>
      <w:r w:rsidRPr="00F55A79">
        <w:rPr>
          <w:rFonts w:ascii="Arial" w:hAnsi="Arial" w:cs="Arial"/>
          <w:b/>
          <w:bCs/>
          <w:color w:val="000000" w:themeColor="text1"/>
        </w:rPr>
        <w:t>SUBJECT TO CONDITIONS</w:t>
      </w:r>
    </w:p>
    <w:p w:rsidRPr="00F55A79" w:rsidR="00D9324A" w:rsidP="00124524" w:rsidRDefault="00D9324A" w14:paraId="1110780A" w14:textId="77777777">
      <w:pPr>
        <w:pStyle w:val="Standard"/>
        <w:spacing w:line="240" w:lineRule="auto"/>
        <w:ind w:firstLine="0"/>
        <w:jc w:val="center"/>
        <w:rPr>
          <w:rFonts w:ascii="Arial" w:hAnsi="Arial" w:cs="Arial"/>
          <w:b/>
          <w:bCs/>
          <w:color w:val="000000" w:themeColor="text1"/>
        </w:rPr>
      </w:pPr>
    </w:p>
    <w:p w:rsidRPr="00F55A79" w:rsidR="005A148C" w:rsidP="005A148C" w:rsidRDefault="005A148C" w14:paraId="12619F7F" w14:textId="77777777">
      <w:pPr>
        <w:pStyle w:val="Dummy"/>
      </w:pPr>
      <w:bookmarkStart w:name="_Toc216163112" w:id="2"/>
      <w:r w:rsidRPr="00F55A79">
        <w:t>Summary</w:t>
      </w:r>
      <w:bookmarkEnd w:id="1"/>
      <w:bookmarkEnd w:id="2"/>
    </w:p>
    <w:p w:rsidRPr="00F55A79" w:rsidR="00624139" w:rsidP="006E6574" w:rsidRDefault="00817C95" w14:paraId="35344446" w14:textId="4A299B32">
      <w:pPr>
        <w:pStyle w:val="Standard"/>
        <w:rPr>
          <w:color w:val="000000" w:themeColor="text1"/>
        </w:rPr>
      </w:pPr>
      <w:r w:rsidRPr="00F55A79">
        <w:rPr>
          <w:color w:val="000000" w:themeColor="text1"/>
        </w:rPr>
        <w:t xml:space="preserve">This decision </w:t>
      </w:r>
      <w:r w:rsidRPr="00F55A79" w:rsidR="003167DE">
        <w:rPr>
          <w:color w:val="000000" w:themeColor="text1"/>
        </w:rPr>
        <w:t>authorizes</w:t>
      </w:r>
      <w:r w:rsidRPr="00F55A79" w:rsidR="00653C24">
        <w:rPr>
          <w:color w:val="000000" w:themeColor="text1"/>
        </w:rPr>
        <w:t xml:space="preserve"> </w:t>
      </w:r>
      <w:r w:rsidRPr="00F55A79" w:rsidR="00D624B1">
        <w:rPr>
          <w:color w:val="000000" w:themeColor="text1"/>
        </w:rPr>
        <w:t>the</w:t>
      </w:r>
      <w:r w:rsidRPr="00F55A79" w:rsidR="00653C24">
        <w:rPr>
          <w:color w:val="000000" w:themeColor="text1"/>
        </w:rPr>
        <w:t xml:space="preserve"> transfer of control of</w:t>
      </w:r>
      <w:r w:rsidRPr="00F55A79" w:rsidR="003B146B">
        <w:rPr>
          <w:color w:val="000000" w:themeColor="text1"/>
        </w:rPr>
        <w:t xml:space="preserve"> </w:t>
      </w:r>
      <w:r w:rsidRPr="00F55A79" w:rsidR="00653C24">
        <w:rPr>
          <w:color w:val="000000" w:themeColor="text1"/>
        </w:rPr>
        <w:t>Frontier Communications Parent, Inc. and its</w:t>
      </w:r>
      <w:r w:rsidRPr="00F55A79" w:rsidR="003B146B">
        <w:rPr>
          <w:color w:val="000000" w:themeColor="text1"/>
        </w:rPr>
        <w:t xml:space="preserve"> California subsidiaries</w:t>
      </w:r>
      <w:r w:rsidRPr="00F55A79" w:rsidR="00653C24">
        <w:rPr>
          <w:color w:val="000000" w:themeColor="text1"/>
        </w:rPr>
        <w:t xml:space="preserve"> to Verizon Communications, Inc.</w:t>
      </w:r>
      <w:r w:rsidRPr="00F55A79" w:rsidR="00A23149">
        <w:rPr>
          <w:color w:val="000000" w:themeColor="text1"/>
        </w:rPr>
        <w:t xml:space="preserve">, </w:t>
      </w:r>
      <w:r w:rsidRPr="00F55A79" w:rsidR="00E76C44">
        <w:rPr>
          <w:color w:val="000000" w:themeColor="text1"/>
        </w:rPr>
        <w:t>pursuant to Pu</w:t>
      </w:r>
      <w:r w:rsidRPr="00F55A79" w:rsidR="00007F3A">
        <w:rPr>
          <w:color w:val="000000" w:themeColor="text1"/>
        </w:rPr>
        <w:t>b</w:t>
      </w:r>
      <w:r w:rsidRPr="00F55A79" w:rsidR="00E76C44">
        <w:rPr>
          <w:color w:val="000000" w:themeColor="text1"/>
        </w:rPr>
        <w:t>lic Utilities Code Section 854</w:t>
      </w:r>
      <w:r w:rsidRPr="00F55A79" w:rsidR="00007F3A">
        <w:rPr>
          <w:color w:val="000000" w:themeColor="text1"/>
        </w:rPr>
        <w:t xml:space="preserve"> </w:t>
      </w:r>
      <w:r w:rsidRPr="00F55A79" w:rsidR="00A23149">
        <w:rPr>
          <w:color w:val="000000" w:themeColor="text1"/>
        </w:rPr>
        <w:t>and adopt</w:t>
      </w:r>
      <w:r w:rsidRPr="00F55A79" w:rsidR="00653C24">
        <w:rPr>
          <w:color w:val="000000" w:themeColor="text1"/>
        </w:rPr>
        <w:t>s</w:t>
      </w:r>
      <w:r w:rsidRPr="00F55A79" w:rsidR="00A23149">
        <w:rPr>
          <w:color w:val="000000" w:themeColor="text1"/>
        </w:rPr>
        <w:t xml:space="preserve"> </w:t>
      </w:r>
      <w:r w:rsidRPr="00F55A79" w:rsidR="00487211">
        <w:rPr>
          <w:color w:val="000000" w:themeColor="text1"/>
        </w:rPr>
        <w:t>three</w:t>
      </w:r>
      <w:r w:rsidRPr="00F55A79" w:rsidR="00A23149">
        <w:rPr>
          <w:color w:val="000000" w:themeColor="text1"/>
        </w:rPr>
        <w:t xml:space="preserve"> settlement agreements</w:t>
      </w:r>
      <w:r w:rsidRPr="00F55A79" w:rsidR="003B146B">
        <w:rPr>
          <w:color w:val="000000" w:themeColor="text1"/>
        </w:rPr>
        <w:t xml:space="preserve">.  This authorization is subject to </w:t>
      </w:r>
      <w:r w:rsidRPr="00F55A79" w:rsidR="006B59DA">
        <w:rPr>
          <w:color w:val="000000" w:themeColor="text1"/>
        </w:rPr>
        <w:t>additional c</w:t>
      </w:r>
      <w:r w:rsidRPr="00F55A79" w:rsidR="003167DE">
        <w:rPr>
          <w:color w:val="000000" w:themeColor="text1"/>
        </w:rPr>
        <w:t>onditions</w:t>
      </w:r>
      <w:r w:rsidRPr="00F55A79" w:rsidR="00FB33BD">
        <w:rPr>
          <w:color w:val="000000" w:themeColor="text1"/>
        </w:rPr>
        <w:t>,</w:t>
      </w:r>
      <w:r w:rsidRPr="00F55A79" w:rsidR="006B59DA">
        <w:rPr>
          <w:color w:val="000000" w:themeColor="text1"/>
        </w:rPr>
        <w:t xml:space="preserve"> including ongoing monitoring and enforcement</w:t>
      </w:r>
      <w:r w:rsidRPr="00F55A79" w:rsidR="00295836">
        <w:rPr>
          <w:color w:val="000000" w:themeColor="text1"/>
        </w:rPr>
        <w:t>.</w:t>
      </w:r>
      <w:r w:rsidRPr="00F55A79" w:rsidR="00914EB5">
        <w:rPr>
          <w:color w:val="000000" w:themeColor="text1"/>
        </w:rPr>
        <w:t xml:space="preserve"> </w:t>
      </w:r>
      <w:r w:rsidRPr="00F55A79" w:rsidR="003167DE">
        <w:rPr>
          <w:color w:val="000000" w:themeColor="text1"/>
        </w:rPr>
        <w:t xml:space="preserve"> </w:t>
      </w:r>
    </w:p>
    <w:p w:rsidRPr="00F55A79" w:rsidR="0073353F" w:rsidP="006E6574" w:rsidRDefault="00914EB5" w14:paraId="2C29B79C" w14:textId="69D6A7AD">
      <w:pPr>
        <w:pStyle w:val="Standard"/>
        <w:rPr>
          <w:color w:val="FF0000"/>
        </w:rPr>
      </w:pPr>
      <w:r w:rsidRPr="00F55A79">
        <w:t>This proceeding is closed.</w:t>
      </w:r>
    </w:p>
    <w:p w:rsidRPr="00F55A79" w:rsidR="005A148C" w:rsidP="00080D00" w:rsidRDefault="002C7FE9" w14:paraId="5775A58D" w14:textId="77777777">
      <w:pPr>
        <w:pStyle w:val="Heading1"/>
      </w:pPr>
      <w:bookmarkStart w:name="_Toc8123715" w:id="3"/>
      <w:bookmarkStart w:name="_Toc216163113" w:id="4"/>
      <w:r w:rsidRPr="00F55A79">
        <w:t>Background</w:t>
      </w:r>
      <w:bookmarkEnd w:id="3"/>
      <w:bookmarkEnd w:id="4"/>
    </w:p>
    <w:p w:rsidRPr="00F55A79" w:rsidR="003266B6" w:rsidP="00775210" w:rsidRDefault="003266B6" w14:paraId="41311F05" w14:textId="4E1EA033">
      <w:pPr>
        <w:pStyle w:val="Heading2"/>
      </w:pPr>
      <w:bookmarkStart w:name="_Toc216163114" w:id="5"/>
      <w:r w:rsidRPr="00F55A79">
        <w:t>Proposed Transaction</w:t>
      </w:r>
      <w:bookmarkEnd w:id="5"/>
    </w:p>
    <w:p w:rsidRPr="00F55A79" w:rsidR="007D6B03" w:rsidP="007D6B03" w:rsidRDefault="007D6B03" w14:paraId="3C4F3339" w14:textId="1C10026F">
      <w:pPr>
        <w:pStyle w:val="Standard"/>
        <w:rPr>
          <w:color w:val="000000" w:themeColor="text1"/>
        </w:rPr>
      </w:pPr>
      <w:r w:rsidRPr="00F55A79">
        <w:rPr>
          <w:color w:val="000000" w:themeColor="text1"/>
        </w:rPr>
        <w:t>Verizon Communications Inc. (Verizon) and Frontier Communications Parent, Inc., Frontier California Inc.</w:t>
      </w:r>
      <w:r w:rsidRPr="00F55A79" w:rsidR="0015109A">
        <w:rPr>
          <w:color w:val="000000" w:themeColor="text1"/>
        </w:rPr>
        <w:t xml:space="preserve"> (Frontier California)</w:t>
      </w:r>
      <w:r w:rsidRPr="00F55A79">
        <w:rPr>
          <w:color w:val="000000" w:themeColor="text1"/>
        </w:rPr>
        <w:t>, Citizens Telecommunications Company of California Inc.</w:t>
      </w:r>
      <w:r w:rsidRPr="00F55A79" w:rsidR="00DC6C31">
        <w:rPr>
          <w:color w:val="000000" w:themeColor="text1"/>
        </w:rPr>
        <w:t xml:space="preserve"> (CTC California)</w:t>
      </w:r>
      <w:r w:rsidRPr="00F55A79">
        <w:rPr>
          <w:color w:val="000000" w:themeColor="text1"/>
        </w:rPr>
        <w:t>, Frontier Communications of the Southwest Inc.</w:t>
      </w:r>
      <w:r w:rsidRPr="00F55A79" w:rsidR="00DC6C31">
        <w:rPr>
          <w:color w:val="000000" w:themeColor="text1"/>
        </w:rPr>
        <w:t xml:space="preserve"> (</w:t>
      </w:r>
      <w:r w:rsidRPr="00F55A79" w:rsidR="00DC6C31">
        <w:t>Frontier Southwest)</w:t>
      </w:r>
      <w:r w:rsidRPr="00F55A79">
        <w:rPr>
          <w:color w:val="000000" w:themeColor="text1"/>
        </w:rPr>
        <w:t>, Frontier Communications Online and Long Distance Inc.</w:t>
      </w:r>
      <w:r w:rsidRPr="00F55A79" w:rsidR="001646E2">
        <w:rPr>
          <w:color w:val="000000" w:themeColor="text1"/>
        </w:rPr>
        <w:t xml:space="preserve"> (Frontier LD)</w:t>
      </w:r>
      <w:r w:rsidRPr="00F55A79">
        <w:rPr>
          <w:color w:val="000000" w:themeColor="text1"/>
        </w:rPr>
        <w:t>, and Frontier Communications of America, Inc</w:t>
      </w:r>
      <w:r w:rsidRPr="00F55A79" w:rsidR="001646E2">
        <w:rPr>
          <w:color w:val="000000" w:themeColor="text1"/>
        </w:rPr>
        <w:t xml:space="preserve"> (Frontier America)</w:t>
      </w:r>
      <w:r w:rsidRPr="00F55A79" w:rsidR="006A1EBF">
        <w:t>—</w:t>
      </w:r>
      <w:r w:rsidRPr="00F55A79" w:rsidR="006A1EBF">
        <w:rPr>
          <w:color w:val="000000" w:themeColor="text1"/>
        </w:rPr>
        <w:t>c</w:t>
      </w:r>
      <w:r w:rsidRPr="00F55A79">
        <w:rPr>
          <w:color w:val="000000" w:themeColor="text1"/>
        </w:rPr>
        <w:t>ollectively</w:t>
      </w:r>
      <w:r w:rsidRPr="00F55A79" w:rsidR="00FC791B">
        <w:rPr>
          <w:color w:val="000000" w:themeColor="text1"/>
        </w:rPr>
        <w:t>,</w:t>
      </w:r>
      <w:r w:rsidRPr="00F55A79">
        <w:rPr>
          <w:color w:val="000000" w:themeColor="text1"/>
        </w:rPr>
        <w:t xml:space="preserve"> Frontier</w:t>
      </w:r>
      <w:r w:rsidRPr="00F55A79" w:rsidR="006A1EBF">
        <w:t>—</w:t>
      </w:r>
      <w:r w:rsidRPr="00F55A79">
        <w:rPr>
          <w:color w:val="000000" w:themeColor="text1"/>
        </w:rPr>
        <w:t>filed</w:t>
      </w:r>
      <w:r w:rsidRPr="00F55A79" w:rsidR="00FC791B">
        <w:rPr>
          <w:color w:val="000000" w:themeColor="text1"/>
        </w:rPr>
        <w:t xml:space="preserve"> </w:t>
      </w:r>
      <w:r w:rsidRPr="00F55A79">
        <w:rPr>
          <w:color w:val="000000" w:themeColor="text1"/>
        </w:rPr>
        <w:t>the instant Application.  We refer to Verizon and Frontier</w:t>
      </w:r>
      <w:r w:rsidRPr="00F55A79" w:rsidR="00D930C8">
        <w:rPr>
          <w:color w:val="000000" w:themeColor="text1"/>
        </w:rPr>
        <w:t xml:space="preserve"> collectively</w:t>
      </w:r>
      <w:r w:rsidRPr="00F55A79">
        <w:rPr>
          <w:color w:val="000000" w:themeColor="text1"/>
        </w:rPr>
        <w:t xml:space="preserve"> as the Joint Applicants.</w:t>
      </w:r>
    </w:p>
    <w:p w:rsidRPr="00F55A79" w:rsidR="004C71C7" w:rsidP="00914EB5" w:rsidRDefault="004C71C7" w14:paraId="6E975531" w14:textId="6F03126B">
      <w:pPr>
        <w:pStyle w:val="Standard"/>
      </w:pPr>
      <w:r w:rsidRPr="00F55A79">
        <w:t xml:space="preserve">The Joint Applicants requested approval of a proposed parent-level transaction in which Verizon </w:t>
      </w:r>
      <w:r w:rsidRPr="00F55A79" w:rsidR="00B54CCB">
        <w:t>would</w:t>
      </w:r>
      <w:r w:rsidRPr="00F55A79">
        <w:t xml:space="preserve"> acquire 100 percent of Frontier and its California subsidiaries. </w:t>
      </w:r>
      <w:r w:rsidRPr="00F55A79" w:rsidR="00D90A54">
        <w:t xml:space="preserve"> </w:t>
      </w:r>
      <w:r w:rsidRPr="00F55A79">
        <w:t>In California, the entities to be transferred include Frontier’s California incumbent local exchange carrier</w:t>
      </w:r>
      <w:r w:rsidRPr="00F55A79" w:rsidR="009873B8">
        <w:t>s</w:t>
      </w:r>
      <w:r w:rsidRPr="00F55A79">
        <w:t xml:space="preserve"> (ILEC)</w:t>
      </w:r>
      <w:r w:rsidRPr="00F55A79" w:rsidR="0052546C">
        <w:rPr>
          <w:rStyle w:val="FootnoteReference"/>
        </w:rPr>
        <w:footnoteReference w:id="2"/>
      </w:r>
      <w:r w:rsidRPr="00F55A79">
        <w:t xml:space="preserve"> and long-distance or interexchange (IXC) subsidiaries. </w:t>
      </w:r>
      <w:r w:rsidRPr="00F55A79" w:rsidR="0052546C">
        <w:t xml:space="preserve"> </w:t>
      </w:r>
      <w:r w:rsidRPr="00F55A79">
        <w:t xml:space="preserve">Frontier’s ILEC subsidiaries include </w:t>
      </w:r>
      <w:r w:rsidRPr="00F55A79">
        <w:lastRenderedPageBreak/>
        <w:t>Frontier California,</w:t>
      </w:r>
      <w:r w:rsidRPr="00F55A79" w:rsidR="00344169">
        <w:rPr>
          <w:rStyle w:val="FootnoteReference"/>
        </w:rPr>
        <w:footnoteReference w:id="3"/>
      </w:r>
      <w:r w:rsidRPr="00F55A79">
        <w:t xml:space="preserve"> CTC California,</w:t>
      </w:r>
      <w:r w:rsidRPr="00F55A79" w:rsidR="00AD4D5D">
        <w:rPr>
          <w:rStyle w:val="FootnoteReference"/>
        </w:rPr>
        <w:footnoteReference w:id="4"/>
      </w:r>
      <w:r w:rsidRPr="00F55A79">
        <w:t xml:space="preserve"> and Frontier Southwest (collectively, Frontier ILECs). </w:t>
      </w:r>
      <w:r w:rsidRPr="00F55A79" w:rsidR="0052546C">
        <w:t xml:space="preserve"> </w:t>
      </w:r>
      <w:r w:rsidRPr="00F55A79">
        <w:t>Frontier’s long-distance or IXC subsidiaries are Frontier LD and Frontier America.</w:t>
      </w:r>
    </w:p>
    <w:p w:rsidRPr="00F55A79" w:rsidR="00455ECF" w:rsidP="00091D88" w:rsidRDefault="006A1EBF" w14:paraId="1C67288F" w14:textId="3E773112">
      <w:pPr>
        <w:pStyle w:val="Standard"/>
        <w:rPr>
          <w:color w:val="000000" w:themeColor="text1"/>
        </w:rPr>
      </w:pPr>
      <w:r w:rsidRPr="00F55A79">
        <w:t xml:space="preserve">The </w:t>
      </w:r>
      <w:r w:rsidRPr="00F55A79" w:rsidR="009873B8">
        <w:t>Joint Applicants</w:t>
      </w:r>
      <w:r w:rsidRPr="00F55A79">
        <w:t xml:space="preserve"> </w:t>
      </w:r>
      <w:r w:rsidRPr="00F55A79" w:rsidR="009873B8">
        <w:t xml:space="preserve">requested </w:t>
      </w:r>
      <w:r w:rsidRPr="00F55A79">
        <w:t>review</w:t>
      </w:r>
      <w:r w:rsidRPr="00F55A79" w:rsidR="009873B8">
        <w:t xml:space="preserve"> of</w:t>
      </w:r>
      <w:r w:rsidRPr="00F55A79">
        <w:t xml:space="preserve"> t</w:t>
      </w:r>
      <w:r w:rsidRPr="00F55A79" w:rsidR="00455ECF">
        <w:t>his transaction under Public Utilities Code (Pub. Util. Code) Section 854.</w:t>
      </w:r>
      <w:r w:rsidRPr="00F55A79" w:rsidR="00091D88">
        <w:t xml:space="preserve">  At least one Frontier California Operating Subsidiary—Frontier California—has gross annual </w:t>
      </w:r>
      <w:r w:rsidRPr="00F55A79" w:rsidR="00091D88">
        <w:rPr>
          <w:color w:val="000000" w:themeColor="text1"/>
        </w:rPr>
        <w:t>California revenues exceeding $500 million.</w:t>
      </w:r>
      <w:r w:rsidRPr="00F55A79" w:rsidR="00091D88">
        <w:rPr>
          <w:rStyle w:val="FootnoteReference"/>
          <w:color w:val="000000" w:themeColor="text1"/>
        </w:rPr>
        <w:footnoteReference w:id="5"/>
      </w:r>
      <w:r w:rsidRPr="00F55A79" w:rsidR="00091D88">
        <w:rPr>
          <w:color w:val="000000" w:themeColor="text1"/>
        </w:rPr>
        <w:t xml:space="preserve">  As a result, </w:t>
      </w:r>
      <w:r w:rsidRPr="00F55A79" w:rsidR="007216FB">
        <w:rPr>
          <w:color w:val="000000" w:themeColor="text1"/>
        </w:rPr>
        <w:t>the transaction is subject to the requirements of Section 854</w:t>
      </w:r>
      <w:r w:rsidRPr="00F55A79" w:rsidR="009873B8">
        <w:rPr>
          <w:color w:val="000000" w:themeColor="text1"/>
        </w:rPr>
        <w:t xml:space="preserve">(a), </w:t>
      </w:r>
      <w:r w:rsidRPr="00F55A79" w:rsidR="007216FB">
        <w:rPr>
          <w:color w:val="000000" w:themeColor="text1"/>
        </w:rPr>
        <w:t>(b) and</w:t>
      </w:r>
      <w:r w:rsidRPr="00F55A79" w:rsidR="009873B8">
        <w:rPr>
          <w:color w:val="000000" w:themeColor="text1"/>
        </w:rPr>
        <w:t xml:space="preserve"> </w:t>
      </w:r>
      <w:r w:rsidRPr="00F55A79" w:rsidR="007216FB">
        <w:rPr>
          <w:color w:val="000000" w:themeColor="text1"/>
        </w:rPr>
        <w:t>(c)</w:t>
      </w:r>
      <w:r w:rsidRPr="00F55A79" w:rsidR="00091D88">
        <w:rPr>
          <w:color w:val="000000" w:themeColor="text1"/>
        </w:rPr>
        <w:t>.</w:t>
      </w:r>
    </w:p>
    <w:p w:rsidRPr="00F55A79" w:rsidR="00914EB5" w:rsidP="00914EB5" w:rsidRDefault="00C74587" w14:paraId="6EF01DA3" w14:textId="40E14028">
      <w:pPr>
        <w:pStyle w:val="Standard"/>
      </w:pPr>
      <w:r w:rsidRPr="00F55A79">
        <w:rPr>
          <w:color w:val="000000" w:themeColor="text1"/>
        </w:rPr>
        <w:t>Under the Agreement and Plan of Merger between Verizon and Frontier, dated September 4</w:t>
      </w:r>
      <w:r w:rsidRPr="00F55A79" w:rsidR="00914EB5">
        <w:rPr>
          <w:color w:val="000000" w:themeColor="text1"/>
        </w:rPr>
        <w:t>, 2024</w:t>
      </w:r>
      <w:r w:rsidRPr="00F55A79">
        <w:rPr>
          <w:color w:val="000000" w:themeColor="text1"/>
        </w:rPr>
        <w:t xml:space="preserve">, a wholly owned subsidiary of Verizon that was created for the purpose of the Transaction </w:t>
      </w:r>
      <w:r w:rsidRPr="00F55A79" w:rsidR="00B61201">
        <w:rPr>
          <w:color w:val="000000" w:themeColor="text1"/>
        </w:rPr>
        <w:t>would</w:t>
      </w:r>
      <w:r w:rsidRPr="00F55A79">
        <w:rPr>
          <w:color w:val="000000" w:themeColor="text1"/>
        </w:rPr>
        <w:t xml:space="preserve"> merge </w:t>
      </w:r>
      <w:r w:rsidRPr="00F55A79" w:rsidR="00B61201">
        <w:rPr>
          <w:color w:val="000000" w:themeColor="text1"/>
        </w:rPr>
        <w:t>with</w:t>
      </w:r>
      <w:r w:rsidRPr="00F55A79">
        <w:rPr>
          <w:color w:val="000000" w:themeColor="text1"/>
        </w:rPr>
        <w:t xml:space="preserve"> Frontier Communications Parent, Inc.</w:t>
      </w:r>
      <w:r w:rsidRPr="00F55A79" w:rsidR="00B61201">
        <w:rPr>
          <w:color w:val="000000" w:themeColor="text1"/>
        </w:rPr>
        <w:t xml:space="preserve"> (Frontier Parent)</w:t>
      </w:r>
      <w:r w:rsidRPr="00F55A79">
        <w:rPr>
          <w:color w:val="000000" w:themeColor="text1"/>
        </w:rPr>
        <w:t xml:space="preserve">. </w:t>
      </w:r>
      <w:r w:rsidRPr="00F55A79" w:rsidR="00B61201">
        <w:rPr>
          <w:color w:val="000000" w:themeColor="text1"/>
        </w:rPr>
        <w:t xml:space="preserve"> </w:t>
      </w:r>
      <w:r w:rsidRPr="00F55A79">
        <w:rPr>
          <w:color w:val="000000" w:themeColor="text1"/>
        </w:rPr>
        <w:t xml:space="preserve">Frontier Parent </w:t>
      </w:r>
      <w:r w:rsidRPr="00F55A79" w:rsidR="00B61201">
        <w:rPr>
          <w:color w:val="000000" w:themeColor="text1"/>
        </w:rPr>
        <w:t>would</w:t>
      </w:r>
      <w:r w:rsidRPr="00F55A79">
        <w:rPr>
          <w:color w:val="000000" w:themeColor="text1"/>
        </w:rPr>
        <w:t xml:space="preserve"> </w:t>
      </w:r>
      <w:r w:rsidRPr="00F55A79" w:rsidR="00B61201">
        <w:rPr>
          <w:color w:val="000000" w:themeColor="text1"/>
        </w:rPr>
        <w:t>therefore</w:t>
      </w:r>
      <w:r w:rsidRPr="00F55A79">
        <w:rPr>
          <w:color w:val="000000" w:themeColor="text1"/>
        </w:rPr>
        <w:t xml:space="preserve"> become a wholly owned, direct subsidiary of Verizon, and the California </w:t>
      </w:r>
      <w:r w:rsidRPr="00F55A79" w:rsidR="00873C2A">
        <w:rPr>
          <w:color w:val="000000" w:themeColor="text1"/>
        </w:rPr>
        <w:t>s</w:t>
      </w:r>
      <w:r w:rsidRPr="00F55A79">
        <w:rPr>
          <w:color w:val="000000" w:themeColor="text1"/>
        </w:rPr>
        <w:t xml:space="preserve">ubsidiaries </w:t>
      </w:r>
      <w:r w:rsidRPr="00F55A79" w:rsidR="00B61201">
        <w:t>would</w:t>
      </w:r>
      <w:r w:rsidRPr="00F55A79">
        <w:t xml:space="preserve"> become indirect, wholly owned subsidiaries of Verizon.</w:t>
      </w:r>
    </w:p>
    <w:p w:rsidRPr="00F55A79" w:rsidR="00055931" w:rsidP="00ED2BF4" w:rsidRDefault="00ED2BF4" w14:paraId="2E3B9952" w14:textId="77777777">
      <w:pPr>
        <w:pStyle w:val="Standard"/>
      </w:pPr>
      <w:r w:rsidRPr="00F55A79">
        <w:t>Verizon seeks to indirectly acquire the California operating subsidiaries’ various authorities to offer incumbent and competitive local exchange and interexchange services, ETC designations, and all other regulatory certifications</w:t>
      </w:r>
      <w:r w:rsidRPr="00F55A79" w:rsidR="00055931">
        <w:t xml:space="preserve">.  According to the Joint Applicants, </w:t>
      </w:r>
      <w:r w:rsidRPr="00F55A79">
        <w:t>the California operating subsidiaries w</w:t>
      </w:r>
      <w:r w:rsidRPr="00F55A79" w:rsidR="00055931">
        <w:t>ould</w:t>
      </w:r>
      <w:r w:rsidRPr="00F55A79">
        <w:t xml:space="preserve"> retain their respective certifications following the </w:t>
      </w:r>
      <w:r w:rsidRPr="00F55A79" w:rsidR="00055931">
        <w:t>proposed t</w:t>
      </w:r>
      <w:r w:rsidRPr="00F55A79">
        <w:t xml:space="preserve">ransaction.  </w:t>
      </w:r>
    </w:p>
    <w:p w:rsidRPr="00F55A79" w:rsidR="00ED2BF4" w:rsidP="00ED2BF4" w:rsidRDefault="00055931" w14:paraId="10D3800F" w14:textId="1C7CA08D">
      <w:pPr>
        <w:pStyle w:val="Standard"/>
      </w:pPr>
      <w:r w:rsidRPr="00F55A79">
        <w:t>T</w:t>
      </w:r>
      <w:r w:rsidRPr="00F55A79" w:rsidR="00ED2BF4">
        <w:t>he Joint Applicants argue that the certifications are not being “transferred” within the meaning of D.13-05-035.</w:t>
      </w:r>
      <w:r w:rsidRPr="00F55A79" w:rsidR="00ED2BF4">
        <w:rPr>
          <w:rStyle w:val="FootnoteReference"/>
        </w:rPr>
        <w:footnoteReference w:id="6"/>
      </w:r>
      <w:r w:rsidRPr="00F55A79" w:rsidR="00ED2BF4">
        <w:t xml:space="preserve">  Nonetheless,</w:t>
      </w:r>
      <w:r w:rsidRPr="00F55A79">
        <w:t xml:space="preserve"> they</w:t>
      </w:r>
      <w:r w:rsidRPr="00F55A79" w:rsidR="00ED2BF4">
        <w:t xml:space="preserve"> provided </w:t>
      </w:r>
      <w:r w:rsidRPr="00F55A79" w:rsidR="00ED2BF4">
        <w:lastRenderedPageBreak/>
        <w:t>various certifications and other documents including Verizon and Frontier’s Certificate of Incorporation</w:t>
      </w:r>
      <w:r w:rsidRPr="00F55A79" w:rsidR="00D95496">
        <w:t xml:space="preserve"> and articles of incorporation.</w:t>
      </w:r>
      <w:r w:rsidRPr="00F55A79" w:rsidR="00ED2BF4">
        <w:rPr>
          <w:rStyle w:val="FootnoteReference"/>
        </w:rPr>
        <w:footnoteReference w:id="7"/>
      </w:r>
      <w:r w:rsidRPr="00F55A79" w:rsidR="00ED2BF4">
        <w:t xml:space="preserve">   </w:t>
      </w:r>
    </w:p>
    <w:p w:rsidRPr="00F55A79" w:rsidR="0079192C" w:rsidP="00080D00" w:rsidRDefault="0079192C" w14:paraId="577E0372" w14:textId="4910FB07">
      <w:pPr>
        <w:pStyle w:val="Heading2"/>
      </w:pPr>
      <w:bookmarkStart w:name="_Toc215483139" w:id="6"/>
      <w:bookmarkStart w:name="_Toc215483860" w:id="7"/>
      <w:bookmarkStart w:name="_Toc216163115" w:id="8"/>
      <w:bookmarkEnd w:id="6"/>
      <w:bookmarkEnd w:id="7"/>
      <w:r w:rsidRPr="00F55A79">
        <w:t>Additional Background</w:t>
      </w:r>
      <w:bookmarkEnd w:id="8"/>
    </w:p>
    <w:p w:rsidRPr="00F55A79" w:rsidR="005A115E" w:rsidP="00080D00" w:rsidRDefault="000665AA" w14:paraId="055FD169" w14:textId="26E76AAD">
      <w:pPr>
        <w:pStyle w:val="Heading3"/>
      </w:pPr>
      <w:bookmarkStart w:name="_Toc216163116" w:id="9"/>
      <w:r w:rsidRPr="00F55A79">
        <w:t xml:space="preserve">Frontier </w:t>
      </w:r>
      <w:r w:rsidRPr="00F55A79" w:rsidR="00C73CE5">
        <w:t>Customer Connections and Trends</w:t>
      </w:r>
      <w:bookmarkEnd w:id="9"/>
    </w:p>
    <w:p w:rsidRPr="00F55A79" w:rsidR="001475D7" w:rsidP="001475D7" w:rsidRDefault="001475D7" w14:paraId="6D4755EA" w14:textId="057A9E59">
      <w:pPr>
        <w:rPr>
          <w:rStyle w:val="StandardChar"/>
          <w:color w:val="000000" w:themeColor="text1"/>
        </w:rPr>
      </w:pPr>
      <w:r w:rsidRPr="00F55A79">
        <w:rPr>
          <w:color w:val="000000" w:themeColor="text1"/>
        </w:rPr>
        <w:t xml:space="preserve">Frontier California is the fifth largest fixed broadband service provider in </w:t>
      </w:r>
      <w:r w:rsidRPr="00F55A79">
        <w:rPr>
          <w:rStyle w:val="StandardChar"/>
          <w:color w:val="000000" w:themeColor="text1"/>
        </w:rPr>
        <w:t>California as of June 2024.</w:t>
      </w:r>
      <w:r w:rsidRPr="00F55A79" w:rsidR="003A3508">
        <w:rPr>
          <w:rStyle w:val="StandardChar"/>
          <w:color w:val="000000" w:themeColor="text1"/>
          <w:vertAlign w:val="superscript"/>
        </w:rPr>
        <w:footnoteReference w:id="8"/>
      </w:r>
      <w:r w:rsidRPr="00F55A79">
        <w:rPr>
          <w:rStyle w:val="StandardChar"/>
          <w:color w:val="000000" w:themeColor="text1"/>
        </w:rPr>
        <w:t xml:space="preserve">  </w:t>
      </w:r>
      <w:r w:rsidRPr="00F55A79" w:rsidR="00A713E0">
        <w:rPr>
          <w:rFonts w:eastAsia="Book Antiqua" w:cs="Book Antiqua"/>
          <w:color w:val="000000" w:themeColor="text1"/>
          <w:kern w:val="2"/>
          <w:szCs w:val="26"/>
          <w14:ligatures w14:val="standardContextual"/>
        </w:rPr>
        <w:t>Frontier California’s service territories include urban and suburban areas in southern California, as well as suburban and rural areas in central and northern California.</w:t>
      </w:r>
      <w:r w:rsidRPr="00F55A79" w:rsidR="00A713E0">
        <w:rPr>
          <w:rStyle w:val="FootnoteReference"/>
          <w:rFonts w:eastAsia="Book Antiqua" w:cs="Book Antiqua"/>
          <w:color w:val="000000" w:themeColor="text1"/>
          <w:kern w:val="2"/>
          <w:szCs w:val="26"/>
          <w14:ligatures w14:val="standardContextual"/>
        </w:rPr>
        <w:footnoteReference w:id="9"/>
      </w:r>
      <w:r w:rsidRPr="00F55A79" w:rsidR="00A713E0">
        <w:rPr>
          <w:rFonts w:eastAsia="Book Antiqua" w:cs="Book Antiqua"/>
          <w:color w:val="000000" w:themeColor="text1"/>
          <w:kern w:val="2"/>
          <w:szCs w:val="26"/>
          <w14:ligatures w14:val="standardContextual"/>
        </w:rPr>
        <w:t xml:space="preserve">  CTC California serves suburban and rural areas in northern California, including Elk Grove and Susanville.</w:t>
      </w:r>
      <w:r w:rsidRPr="00F55A79" w:rsidR="00A713E0">
        <w:rPr>
          <w:rStyle w:val="FootnoteReference"/>
          <w:rFonts w:eastAsia="Book Antiqua" w:cs="Book Antiqua"/>
          <w:color w:val="000000" w:themeColor="text1"/>
          <w:kern w:val="2"/>
          <w:szCs w:val="26"/>
          <w14:ligatures w14:val="standardContextual"/>
        </w:rPr>
        <w:footnoteReference w:id="10"/>
      </w:r>
      <w:r w:rsidRPr="00F55A79" w:rsidR="00A713E0">
        <w:rPr>
          <w:rFonts w:eastAsia="Book Antiqua" w:cs="Book Antiqua"/>
          <w:color w:val="000000" w:themeColor="text1"/>
          <w:kern w:val="2"/>
          <w:szCs w:val="26"/>
          <w14:ligatures w14:val="standardContextual"/>
        </w:rPr>
        <w:t xml:space="preserve">  Frontier Southwest serves mostly rural areas in southern and eastern California.</w:t>
      </w:r>
      <w:r w:rsidRPr="00F55A79" w:rsidR="00A713E0">
        <w:rPr>
          <w:rStyle w:val="FootnoteReference"/>
          <w:rFonts w:eastAsia="Book Antiqua" w:cs="Book Antiqua"/>
          <w:color w:val="000000" w:themeColor="text1"/>
          <w:kern w:val="2"/>
          <w:szCs w:val="26"/>
          <w14:ligatures w14:val="standardContextual"/>
        </w:rPr>
        <w:footnoteReference w:id="11"/>
      </w:r>
      <w:r w:rsidRPr="00F55A79" w:rsidR="00A713E0">
        <w:rPr>
          <w:rFonts w:eastAsia="Book Antiqua" w:cs="Book Antiqua"/>
          <w:color w:val="000000" w:themeColor="text1"/>
          <w:kern w:val="2"/>
          <w:szCs w:val="26"/>
          <w14:ligatures w14:val="standardContextual"/>
        </w:rPr>
        <w:t xml:space="preserve"> </w:t>
      </w:r>
      <w:r w:rsidRPr="00F55A79" w:rsidR="0045123B">
        <w:rPr>
          <w:rFonts w:eastAsia="Book Antiqua" w:cs="Book Antiqua"/>
          <w:color w:val="000000" w:themeColor="text1"/>
          <w:kern w:val="2"/>
          <w:szCs w:val="26"/>
          <w14:ligatures w14:val="standardContextual"/>
        </w:rPr>
        <w:t xml:space="preserve"> </w:t>
      </w:r>
      <w:r w:rsidRPr="00F55A79" w:rsidR="00A713E0">
        <w:rPr>
          <w:rFonts w:eastAsia="Book Antiqua" w:cs="Book Antiqua"/>
          <w:color w:val="000000" w:themeColor="text1"/>
          <w:kern w:val="2"/>
          <w:szCs w:val="26"/>
          <w14:ligatures w14:val="standardContextual"/>
        </w:rPr>
        <w:t>See Figure 1 for a map of Frontier service territory.</w:t>
      </w:r>
      <w:r w:rsidRPr="00F55A79" w:rsidR="00A713E0">
        <w:rPr>
          <w:rStyle w:val="FootnoteReference"/>
        </w:rPr>
        <w:footnoteReference w:id="12"/>
      </w:r>
    </w:p>
    <w:p w:rsidRPr="00F55A79" w:rsidR="00A37E88" w:rsidP="00A37E88" w:rsidRDefault="00A37E88" w14:paraId="03913251" w14:textId="13E8068C">
      <w:pPr>
        <w:pStyle w:val="Caption"/>
      </w:pPr>
      <w:r w:rsidRPr="00F55A79">
        <w:lastRenderedPageBreak/>
        <w:t xml:space="preserve">Figure </w:t>
      </w:r>
      <w:r w:rsidR="00B12820">
        <w:fldChar w:fldCharType="begin"/>
      </w:r>
      <w:r w:rsidR="00B12820">
        <w:instrText xml:space="preserve"> SEQ Figure \* ARABIC </w:instrText>
      </w:r>
      <w:r w:rsidR="00B12820">
        <w:fldChar w:fldCharType="separate"/>
      </w:r>
      <w:r w:rsidR="00B12820">
        <w:rPr>
          <w:noProof/>
        </w:rPr>
        <w:t>1</w:t>
      </w:r>
      <w:r w:rsidR="00B12820">
        <w:rPr>
          <w:noProof/>
        </w:rPr>
        <w:fldChar w:fldCharType="end"/>
      </w:r>
      <w:r w:rsidRPr="00F55A79">
        <w:t>: Frontier Service Territory</w:t>
      </w:r>
    </w:p>
    <w:p w:rsidRPr="00F55A79" w:rsidR="00A37E88" w:rsidP="00A37E88" w:rsidRDefault="00A37E88" w14:paraId="04CF54B6" w14:textId="77777777">
      <w:pPr>
        <w:pStyle w:val="Standard"/>
        <w:ind w:firstLine="0"/>
        <w:jc w:val="center"/>
        <w:rPr>
          <w:color w:val="000000" w:themeColor="text1"/>
        </w:rPr>
      </w:pPr>
      <w:r w:rsidRPr="00F55A79">
        <w:rPr>
          <w:noProof/>
          <w:color w:val="000000" w:themeColor="text1"/>
        </w:rPr>
        <w:drawing>
          <wp:inline distT="0" distB="0" distL="0" distR="0" wp14:anchorId="6E15433D" wp14:editId="26CE55FB">
            <wp:extent cx="3519080" cy="3505200"/>
            <wp:effectExtent l="0" t="0" r="5715" b="0"/>
            <wp:docPr id="7" name="Content Placeholder 6" descr="P281#yIS1">
              <a:extLst xmlns:a="http://schemas.openxmlformats.org/drawingml/2006/main">
                <a:ext uri="{FF2B5EF4-FFF2-40B4-BE49-F238E27FC236}">
                  <a16:creationId xmlns:a16="http://schemas.microsoft.com/office/drawing/2014/main" id="{6765281F-746F-1B0A-2FED-51E790C6527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Content Placeholder 6" descr="P281#yIS1">
                      <a:extLst>
                        <a:ext uri="{FF2B5EF4-FFF2-40B4-BE49-F238E27FC236}">
                          <a16:creationId xmlns:a16="http://schemas.microsoft.com/office/drawing/2014/main" id="{6765281F-746F-1B0A-2FED-51E790C65270}"/>
                        </a:ext>
                      </a:extLst>
                    </pic:cNvPr>
                    <pic:cNvPicPr>
                      <a:picLocks noGrp="1"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28348" cy="3514432"/>
                    </a:xfrm>
                    <a:prstGeom prst="rect">
                      <a:avLst/>
                    </a:prstGeom>
                    <a:noFill/>
                  </pic:spPr>
                </pic:pic>
              </a:graphicData>
            </a:graphic>
          </wp:inline>
        </w:drawing>
      </w:r>
    </w:p>
    <w:p w:rsidRPr="00F55A79" w:rsidR="00EC761B" w:rsidP="00EC761B" w:rsidRDefault="00EC761B" w14:paraId="1079DB0A" w14:textId="20E8F16D">
      <w:pPr>
        <w:rPr>
          <w:color w:val="000000" w:themeColor="text1"/>
        </w:rPr>
      </w:pPr>
      <w:r w:rsidRPr="00F55A79">
        <w:rPr>
          <w:color w:val="000000" w:themeColor="text1"/>
        </w:rPr>
        <w:t xml:space="preserve">As of 2024, Frontier reported to the Commission that it had a total of approximately 314,000 working lines for traditional telephone service companies. The number of working lines has declined from about 1,558,456 in 2016 (See Figure </w:t>
      </w:r>
      <w:r w:rsidRPr="00F55A79" w:rsidR="001919EA">
        <w:rPr>
          <w:color w:val="000000" w:themeColor="text1"/>
        </w:rPr>
        <w:t>2</w:t>
      </w:r>
      <w:r w:rsidRPr="00F55A79">
        <w:rPr>
          <w:color w:val="000000" w:themeColor="text1"/>
        </w:rPr>
        <w:t>).</w:t>
      </w:r>
    </w:p>
    <w:p w:rsidRPr="00F55A79" w:rsidR="00550CCB" w:rsidP="00550CCB" w:rsidRDefault="00550CCB" w14:paraId="7A0F74BB" w14:textId="77FF6739">
      <w:pPr>
        <w:keepNext/>
        <w:spacing w:after="200" w:line="240" w:lineRule="auto"/>
        <w:rPr>
          <w:b/>
          <w:bCs/>
          <w:color w:val="000000" w:themeColor="text1"/>
        </w:rPr>
      </w:pPr>
      <w:r w:rsidRPr="00F55A79">
        <w:rPr>
          <w:b/>
          <w:bCs/>
          <w:color w:val="000000" w:themeColor="text1"/>
        </w:rPr>
        <w:lastRenderedPageBreak/>
        <w:t xml:space="preserve">Figure </w:t>
      </w:r>
      <w:r w:rsidRPr="00F55A79" w:rsidR="001919EA">
        <w:rPr>
          <w:b/>
          <w:bCs/>
          <w:color w:val="000000" w:themeColor="text1"/>
        </w:rPr>
        <w:t>2</w:t>
      </w:r>
      <w:r w:rsidRPr="00F55A79">
        <w:rPr>
          <w:b/>
          <w:bCs/>
          <w:color w:val="000000" w:themeColor="text1"/>
        </w:rPr>
        <w:t xml:space="preserve">: Frontier ILEC </w:t>
      </w:r>
      <w:r w:rsidRPr="00F55A79" w:rsidR="00AA494F">
        <w:rPr>
          <w:b/>
          <w:bCs/>
          <w:color w:val="000000" w:themeColor="text1"/>
        </w:rPr>
        <w:t xml:space="preserve">Traditional Telephone Service </w:t>
      </w:r>
      <w:r w:rsidRPr="00F55A79">
        <w:rPr>
          <w:b/>
          <w:bCs/>
          <w:color w:val="000000" w:themeColor="text1"/>
        </w:rPr>
        <w:t>Lines</w:t>
      </w:r>
      <w:r w:rsidRPr="00F55A79">
        <w:rPr>
          <w:b/>
          <w:bCs/>
          <w:color w:val="000000" w:themeColor="text1"/>
          <w:vertAlign w:val="superscript"/>
        </w:rPr>
        <w:footnoteReference w:id="13"/>
      </w:r>
    </w:p>
    <w:p w:rsidRPr="00F55A79" w:rsidR="00550CCB" w:rsidP="00550CCB" w:rsidRDefault="00550CCB" w14:paraId="3DFE2ED9" w14:textId="77777777">
      <w:pPr>
        <w:keepNext/>
        <w:ind w:firstLine="0"/>
        <w:jc w:val="center"/>
      </w:pPr>
      <w:r w:rsidRPr="00F55A79">
        <w:rPr>
          <w:noProof/>
        </w:rPr>
        <w:drawing>
          <wp:inline distT="0" distB="0" distL="0" distR="0" wp14:anchorId="73C5B1ED" wp14:editId="632F919F">
            <wp:extent cx="5086350" cy="2400300"/>
            <wp:effectExtent l="0" t="0" r="0" b="0"/>
            <wp:docPr id="110439930" name="Chart 1" descr="P318#yIS1">
              <a:extLst xmlns:a="http://schemas.openxmlformats.org/drawingml/2006/main">
                <a:ext uri="{FF2B5EF4-FFF2-40B4-BE49-F238E27FC236}">
                  <a16:creationId xmlns:a16="http://schemas.microsoft.com/office/drawing/2014/main" id="{579FEB2F-838B-22EB-30A1-8175A38D3947}"/>
                </a:ext>
                <a:ext uri="{147F2762-F138-4A5C-976F-8EAC2B608ADB}">
                  <a16:predDERef xmlns:a16="http://schemas.microsoft.com/office/drawing/2014/main" pred="{C769E978-4567-CC54-2701-160AEBF85E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Pr="00F55A79" w:rsidR="0060655B" w:rsidP="0020472E" w:rsidRDefault="00550CCB" w14:paraId="11696FC2" w14:textId="75F3764A">
      <w:pPr>
        <w:rPr>
          <w:color w:val="000000" w:themeColor="text1"/>
        </w:rPr>
      </w:pPr>
      <w:r w:rsidRPr="00F55A79">
        <w:rPr>
          <w:color w:val="000000" w:themeColor="text1"/>
        </w:rPr>
        <w:t xml:space="preserve">Although the number of Frontier’s traditional telephone service customers is relatively small compared to the total customer base of Frontier, various public participants in this proceeding noted the importance of this traditional telephone </w:t>
      </w:r>
      <w:r w:rsidRPr="00F55A79">
        <w:rPr>
          <w:rStyle w:val="StandardChar"/>
        </w:rPr>
        <w:t>service for reliability and safety.</w:t>
      </w:r>
      <w:r w:rsidRPr="00F55A79">
        <w:rPr>
          <w:color w:val="000000" w:themeColor="text1"/>
          <w:vertAlign w:val="superscript"/>
        </w:rPr>
        <w:footnoteReference w:id="14"/>
      </w:r>
      <w:r w:rsidRPr="00F55A79">
        <w:rPr>
          <w:color w:val="000000" w:themeColor="text1"/>
        </w:rPr>
        <w:t xml:space="preserve"> </w:t>
      </w:r>
    </w:p>
    <w:p w:rsidRPr="00F55A79" w:rsidR="00BF5DDD" w:rsidP="0060655B" w:rsidRDefault="00BF5DDD" w14:paraId="672C81DD" w14:textId="16C4A7E3">
      <w:pPr>
        <w:pStyle w:val="Heading3"/>
      </w:pPr>
      <w:bookmarkStart w:name="_Toc216163117" w:id="10"/>
      <w:r w:rsidRPr="00F55A79">
        <w:t xml:space="preserve">Carrier of Last Resort </w:t>
      </w:r>
      <w:r w:rsidRPr="00F55A79" w:rsidR="007C3C00">
        <w:t>(COLR)</w:t>
      </w:r>
      <w:bookmarkEnd w:id="10"/>
    </w:p>
    <w:p w:rsidRPr="00F55A79" w:rsidR="006A09B4" w:rsidP="006A09B4" w:rsidRDefault="006A09B4" w14:paraId="2C630360" w14:textId="77777777">
      <w:pPr>
        <w:rPr>
          <w:color w:val="000000" w:themeColor="text1"/>
        </w:rPr>
      </w:pPr>
      <w:r w:rsidRPr="00F55A79">
        <w:rPr>
          <w:color w:val="000000" w:themeColor="text1"/>
        </w:rPr>
        <w:t>A Carrier of Last Resort (COLR) is a telecommunications company that is required to offer basic telephone service to anyone who asks for it in a certain area — no matter where they live or what their income is.  This ensures that all Californians have access to essential, reliable, and affordable telecommunications service.</w:t>
      </w:r>
    </w:p>
    <w:p w:rsidRPr="00F55A79" w:rsidR="006A09B4" w:rsidP="006A09B4" w:rsidRDefault="00526297" w14:paraId="6D8536CA" w14:textId="49F3F8D2">
      <w:pPr>
        <w:pStyle w:val="Standard"/>
      </w:pPr>
      <w:r w:rsidRPr="00F55A79">
        <w:lastRenderedPageBreak/>
        <w:t>As of</w:t>
      </w:r>
      <w:r w:rsidRPr="00F55A79" w:rsidR="006A09B4">
        <w:t xml:space="preserve"> June 2025, Frontier is the second-largest COLR in California, accounting for 9.34 percent of 2,430,233 working lines.</w:t>
      </w:r>
      <w:r w:rsidRPr="00F55A79" w:rsidR="006A09B4">
        <w:rPr>
          <w:rStyle w:val="FootnoteReference"/>
        </w:rPr>
        <w:footnoteReference w:id="15"/>
      </w:r>
      <w:r w:rsidRPr="00F55A79" w:rsidR="006A09B4">
        <w:t xml:space="preserve">  </w:t>
      </w:r>
    </w:p>
    <w:p w:rsidRPr="00F55A79" w:rsidR="00526927" w:rsidP="00080D00" w:rsidRDefault="00526927" w14:paraId="59DEE714" w14:textId="5EE236BF">
      <w:pPr>
        <w:pStyle w:val="Heading3"/>
      </w:pPr>
      <w:bookmarkStart w:name="_Toc215483144" w:id="11"/>
      <w:bookmarkStart w:name="_Toc215483865" w:id="12"/>
      <w:bookmarkStart w:name="_Toc216163118" w:id="13"/>
      <w:bookmarkEnd w:id="11"/>
      <w:bookmarkEnd w:id="12"/>
      <w:r w:rsidRPr="00F55A79">
        <w:t>General Order (GO) 133</w:t>
      </w:r>
      <w:bookmarkEnd w:id="13"/>
    </w:p>
    <w:p w:rsidRPr="00F55A79" w:rsidR="00801509" w:rsidP="00801509" w:rsidRDefault="003666EF" w14:paraId="6ADDBDD3" w14:textId="06A58323">
      <w:pPr>
        <w:pStyle w:val="Standard"/>
        <w:rPr>
          <w:color w:val="000000" w:themeColor="text1"/>
        </w:rPr>
      </w:pPr>
      <w:r w:rsidRPr="00F55A79">
        <w:rPr>
          <w:color w:val="000000" w:themeColor="text1"/>
        </w:rPr>
        <w:t>General Order (GO) 133</w:t>
      </w:r>
      <w:r w:rsidRPr="00F55A79" w:rsidR="0038443E">
        <w:rPr>
          <w:color w:val="000000" w:themeColor="text1"/>
        </w:rPr>
        <w:t xml:space="preserve">, established </w:t>
      </w:r>
      <w:r w:rsidRPr="00F55A79" w:rsidR="003669E8">
        <w:rPr>
          <w:color w:val="000000" w:themeColor="text1"/>
        </w:rPr>
        <w:t xml:space="preserve">minimum </w:t>
      </w:r>
      <w:r w:rsidRPr="00F55A79" w:rsidR="0038443E">
        <w:t>service quality standards</w:t>
      </w:r>
      <w:r w:rsidRPr="00F55A79" w:rsidR="0041235A">
        <w:t xml:space="preserve"> for telephone corporations</w:t>
      </w:r>
      <w:r w:rsidRPr="00F55A79" w:rsidR="003D7DF1">
        <w:t>.</w:t>
      </w:r>
      <w:r w:rsidRPr="00F55A79" w:rsidR="003D7DF1">
        <w:rPr>
          <w:rStyle w:val="FootnoteReference"/>
          <w:color w:val="000000" w:themeColor="text1"/>
        </w:rPr>
        <w:footnoteReference w:id="16"/>
      </w:r>
      <w:r w:rsidRPr="00F55A79" w:rsidR="0038443E">
        <w:rPr>
          <w:color w:val="000000" w:themeColor="text1"/>
        </w:rPr>
        <w:t xml:space="preserve"> </w:t>
      </w:r>
      <w:r w:rsidRPr="00F55A79" w:rsidR="00FC6C9C">
        <w:rPr>
          <w:color w:val="000000" w:themeColor="text1"/>
        </w:rPr>
        <w:t xml:space="preserve"> </w:t>
      </w:r>
      <w:r w:rsidRPr="00F55A79" w:rsidR="00A154F3">
        <w:rPr>
          <w:color w:val="000000" w:themeColor="text1"/>
        </w:rPr>
        <w:t xml:space="preserve">D.25-09-031 in open rulemaking </w:t>
      </w:r>
      <w:r w:rsidRPr="00F55A79" w:rsidR="00174282">
        <w:rPr>
          <w:color w:val="000000" w:themeColor="text1"/>
        </w:rPr>
        <w:t xml:space="preserve">(R.) 22-03-016 adopted GO 133-E, revised service quality standards to </w:t>
      </w:r>
      <w:r w:rsidRPr="00F55A79" w:rsidR="003F5CC1">
        <w:rPr>
          <w:color w:val="000000" w:themeColor="text1"/>
        </w:rPr>
        <w:t>extend</w:t>
      </w:r>
      <w:r w:rsidRPr="00F55A79" w:rsidR="00801509">
        <w:rPr>
          <w:color w:val="000000" w:themeColor="text1"/>
        </w:rPr>
        <w:t xml:space="preserve"> </w:t>
      </w:r>
      <w:r w:rsidRPr="00F55A79" w:rsidR="006A49C0">
        <w:rPr>
          <w:color w:val="000000" w:themeColor="text1"/>
        </w:rPr>
        <w:t>to</w:t>
      </w:r>
      <w:r w:rsidRPr="00F55A79" w:rsidR="002E1B35">
        <w:rPr>
          <w:color w:val="000000" w:themeColor="text1"/>
        </w:rPr>
        <w:t xml:space="preserve"> </w:t>
      </w:r>
      <w:r w:rsidRPr="00F55A79" w:rsidR="00801509">
        <w:rPr>
          <w:color w:val="000000" w:themeColor="text1"/>
        </w:rPr>
        <w:t>voice over internet protocol</w:t>
      </w:r>
      <w:r w:rsidRPr="00F55A79" w:rsidR="002E1B35">
        <w:rPr>
          <w:color w:val="000000" w:themeColor="text1"/>
        </w:rPr>
        <w:t xml:space="preserve"> </w:t>
      </w:r>
      <w:r w:rsidRPr="00F55A79" w:rsidR="00801509">
        <w:rPr>
          <w:color w:val="000000" w:themeColor="text1"/>
        </w:rPr>
        <w:t xml:space="preserve">(VoIP) </w:t>
      </w:r>
      <w:r w:rsidRPr="00F55A79" w:rsidR="002E1B35">
        <w:rPr>
          <w:color w:val="000000" w:themeColor="text1"/>
        </w:rPr>
        <w:t>customers</w:t>
      </w:r>
      <w:r w:rsidRPr="00F55A79" w:rsidR="00801509">
        <w:rPr>
          <w:color w:val="000000" w:themeColor="text1"/>
        </w:rPr>
        <w:t xml:space="preserve">. </w:t>
      </w:r>
      <w:r w:rsidRPr="00F55A79" w:rsidR="002E1B35">
        <w:rPr>
          <w:color w:val="000000" w:themeColor="text1"/>
        </w:rPr>
        <w:t xml:space="preserve"> The Commission is </w:t>
      </w:r>
      <w:r w:rsidRPr="00F55A79" w:rsidR="008F485C">
        <w:rPr>
          <w:color w:val="000000" w:themeColor="text1"/>
        </w:rPr>
        <w:t xml:space="preserve">also </w:t>
      </w:r>
      <w:r w:rsidRPr="00F55A79" w:rsidR="002E1B35">
        <w:rPr>
          <w:color w:val="000000" w:themeColor="text1"/>
        </w:rPr>
        <w:t>considering n</w:t>
      </w:r>
      <w:r w:rsidRPr="00F55A79" w:rsidR="00801509">
        <w:rPr>
          <w:color w:val="000000" w:themeColor="text1"/>
        </w:rPr>
        <w:t xml:space="preserve">ew </w:t>
      </w:r>
      <w:r w:rsidRPr="00F55A79" w:rsidR="008F485C">
        <w:rPr>
          <w:color w:val="000000" w:themeColor="text1"/>
        </w:rPr>
        <w:t>service quality standards</w:t>
      </w:r>
      <w:r w:rsidRPr="00F55A79" w:rsidR="00801509">
        <w:rPr>
          <w:color w:val="000000" w:themeColor="text1"/>
        </w:rPr>
        <w:t xml:space="preserve"> for wireless service in Phase 2 of </w:t>
      </w:r>
      <w:r w:rsidRPr="00F55A79" w:rsidR="002E1B35">
        <w:rPr>
          <w:color w:val="000000" w:themeColor="text1"/>
        </w:rPr>
        <w:t>R.22-03-016</w:t>
      </w:r>
      <w:r w:rsidRPr="00F55A79" w:rsidR="00801509">
        <w:rPr>
          <w:color w:val="000000" w:themeColor="text1"/>
        </w:rPr>
        <w:t>.</w:t>
      </w:r>
    </w:p>
    <w:p w:rsidRPr="00F55A79" w:rsidR="00A03A95" w:rsidP="00080D00" w:rsidRDefault="003F0C4F" w14:paraId="03CEF455" w14:textId="48755F89">
      <w:pPr>
        <w:pStyle w:val="Heading3"/>
      </w:pPr>
      <w:bookmarkStart w:name="_Toc216163119" w:id="14"/>
      <w:r w:rsidRPr="00F55A79">
        <w:t>Public Purpose/Universal Service Programs</w:t>
      </w:r>
      <w:bookmarkEnd w:id="14"/>
    </w:p>
    <w:p w:rsidRPr="00F55A79" w:rsidR="00977972" w:rsidP="00A03A95" w:rsidRDefault="00AE619E" w14:paraId="77E79F75" w14:textId="1174462C">
      <w:pPr>
        <w:pStyle w:val="Standard"/>
        <w:rPr>
          <w:color w:val="000000" w:themeColor="text1"/>
        </w:rPr>
      </w:pPr>
      <w:r w:rsidRPr="00F55A79">
        <w:rPr>
          <w:color w:val="000000" w:themeColor="text1"/>
        </w:rPr>
        <w:t>Telecommunications providers in California participate in various p</w:t>
      </w:r>
      <w:r w:rsidRPr="00F55A79" w:rsidR="00A03A95">
        <w:rPr>
          <w:color w:val="000000" w:themeColor="text1"/>
        </w:rPr>
        <w:t xml:space="preserve">ublic purpose or universal service programs, </w:t>
      </w:r>
      <w:r w:rsidRPr="00F55A79">
        <w:rPr>
          <w:color w:val="000000" w:themeColor="text1"/>
        </w:rPr>
        <w:t>as described below.</w:t>
      </w:r>
      <w:r w:rsidRPr="00F55A79" w:rsidR="00A03A95">
        <w:rPr>
          <w:color w:val="000000" w:themeColor="text1"/>
        </w:rPr>
        <w:t xml:space="preserve"> </w:t>
      </w:r>
    </w:p>
    <w:p w:rsidRPr="00F55A79" w:rsidR="00977972" w:rsidP="00096D54" w:rsidRDefault="00977972" w14:paraId="53040519" w14:textId="77777777">
      <w:pPr>
        <w:pStyle w:val="Heading4"/>
      </w:pPr>
      <w:bookmarkStart w:name="_Toc216163120" w:id="15"/>
      <w:r w:rsidRPr="00F55A79">
        <w:t>BEAD</w:t>
      </w:r>
      <w:bookmarkEnd w:id="15"/>
    </w:p>
    <w:p w:rsidRPr="00F55A79" w:rsidR="0064235B" w:rsidP="00EA0728" w:rsidRDefault="00CD3F66" w14:paraId="030C1EB2" w14:textId="20BD5C64">
      <w:pPr>
        <w:pStyle w:val="Standard"/>
        <w:rPr>
          <w:color w:val="000000" w:themeColor="text1"/>
        </w:rPr>
      </w:pPr>
      <w:r w:rsidRPr="00F55A79">
        <w:t>Broadband Equity Access and Deployment Program (BEAD) is a federal grant program that aims to connect every American to high-speed internet by funding partnerships to build infrastructure.</w:t>
      </w:r>
      <w:r w:rsidRPr="00F55A79">
        <w:rPr>
          <w:rStyle w:val="FootnoteReference"/>
        </w:rPr>
        <w:footnoteReference w:id="17"/>
      </w:r>
      <w:r w:rsidRPr="00F55A79" w:rsidR="00CF6832">
        <w:t xml:space="preserve"> California was awarded </w:t>
      </w:r>
      <w:r w:rsidRPr="00F55A79" w:rsidR="00460F95">
        <w:rPr>
          <w:szCs w:val="26"/>
        </w:rPr>
        <w:lastRenderedPageBreak/>
        <w:t xml:space="preserve">approximately </w:t>
      </w:r>
      <w:r w:rsidRPr="00F55A79" w:rsidR="00CF6832">
        <w:rPr>
          <w:szCs w:val="26"/>
        </w:rPr>
        <w:t>$1</w:t>
      </w:r>
      <w:r w:rsidRPr="00F55A79" w:rsidR="00460F95">
        <w:rPr>
          <w:szCs w:val="26"/>
        </w:rPr>
        <w:t>.</w:t>
      </w:r>
      <w:r w:rsidRPr="00F55A79" w:rsidR="00CF6832">
        <w:rPr>
          <w:szCs w:val="26"/>
        </w:rPr>
        <w:t>86</w:t>
      </w:r>
      <w:r w:rsidRPr="00F55A79" w:rsidR="00460F95">
        <w:rPr>
          <w:szCs w:val="26"/>
        </w:rPr>
        <w:t xml:space="preserve"> billion</w:t>
      </w:r>
      <w:r w:rsidRPr="00F55A79" w:rsidR="00CF6832">
        <w:rPr>
          <w:szCs w:val="26"/>
        </w:rPr>
        <w:t xml:space="preserve"> for BEAD</w:t>
      </w:r>
      <w:r w:rsidRPr="00F55A79" w:rsidR="00A04AA6">
        <w:rPr>
          <w:szCs w:val="26"/>
        </w:rPr>
        <w:t xml:space="preserve"> for this purpose</w:t>
      </w:r>
      <w:r w:rsidRPr="00F55A79" w:rsidR="00CF6832">
        <w:rPr>
          <w:szCs w:val="26"/>
        </w:rPr>
        <w:t>.</w:t>
      </w:r>
      <w:r w:rsidRPr="00F55A79" w:rsidR="00A04AA6">
        <w:rPr>
          <w:szCs w:val="26"/>
        </w:rPr>
        <w:t xml:space="preserve"> </w:t>
      </w:r>
      <w:r w:rsidRPr="00F55A79" w:rsidR="00EA0728">
        <w:rPr>
          <w:szCs w:val="26"/>
        </w:rPr>
        <w:t xml:space="preserve"> </w:t>
      </w:r>
      <w:r w:rsidRPr="00F55A79" w:rsidR="00EA0728">
        <w:rPr>
          <w:rStyle w:val="StandardChar"/>
        </w:rPr>
        <w:t>In 2025, the Commission carried out the review of proposed BEAD project applications</w:t>
      </w:r>
      <w:r w:rsidRPr="00F55A79" w:rsidR="00CB3FE4">
        <w:rPr>
          <w:rStyle w:val="StandardChar"/>
          <w:color w:val="000000" w:themeColor="text1"/>
        </w:rPr>
        <w:t>.</w:t>
      </w:r>
      <w:r w:rsidRPr="00F55A79" w:rsidR="00CB3FE4">
        <w:rPr>
          <w:color w:val="000000" w:themeColor="text1"/>
          <w:kern w:val="2"/>
          <w:szCs w:val="26"/>
          <w:vertAlign w:val="superscript"/>
          <w14:ligatures w14:val="standardContextual"/>
        </w:rPr>
        <w:footnoteReference w:id="18"/>
      </w:r>
    </w:p>
    <w:p w:rsidRPr="00F55A79" w:rsidR="00977972" w:rsidP="00096D54" w:rsidRDefault="00A03A95" w14:paraId="624E5D6E" w14:textId="77777777">
      <w:pPr>
        <w:pStyle w:val="Heading4"/>
      </w:pPr>
      <w:bookmarkStart w:name="_Toc215483147" w:id="16"/>
      <w:bookmarkStart w:name="_Toc215483868" w:id="17"/>
      <w:bookmarkStart w:name="_Toc215483149" w:id="18"/>
      <w:bookmarkStart w:name="_Toc215483870" w:id="19"/>
      <w:bookmarkStart w:name="_Toc216163121" w:id="20"/>
      <w:bookmarkEnd w:id="16"/>
      <w:bookmarkEnd w:id="17"/>
      <w:bookmarkEnd w:id="18"/>
      <w:bookmarkEnd w:id="19"/>
      <w:r w:rsidRPr="00F55A79">
        <w:t>California High-Cost Fund-B</w:t>
      </w:r>
      <w:bookmarkEnd w:id="20"/>
    </w:p>
    <w:p w:rsidRPr="00F55A79" w:rsidR="00011B54" w:rsidP="00011B54" w:rsidRDefault="00011B54" w14:paraId="4A2599AB" w14:textId="5AA8790F">
      <w:pPr>
        <w:pStyle w:val="Standard"/>
        <w:rPr>
          <w:color w:val="000000" w:themeColor="text1"/>
        </w:rPr>
      </w:pPr>
      <w:r w:rsidRPr="00F55A79">
        <w:t>The California High</w:t>
      </w:r>
      <w:r w:rsidRPr="00F55A79" w:rsidR="0097092B">
        <w:t>-</w:t>
      </w:r>
      <w:r w:rsidRPr="00F55A79">
        <w:t>Cost Fund-B (CHCF-B) program</w:t>
      </w:r>
      <w:r w:rsidRPr="00F55A79" w:rsidR="007F4A70">
        <w:rPr>
          <w:vertAlign w:val="superscript"/>
        </w:rPr>
        <w:footnoteReference w:id="19"/>
      </w:r>
      <w:r w:rsidRPr="00F55A79">
        <w:t xml:space="preserve"> provides subsidies to COLRs for providing basic local telephone service to residential customers in high-cost areas</w:t>
      </w:r>
      <w:r w:rsidRPr="00F55A79" w:rsidR="00513740">
        <w:t>.</w:t>
      </w:r>
      <w:r w:rsidRPr="00F55A79" w:rsidR="0027617A">
        <w:rPr>
          <w:rStyle w:val="FootnoteReference"/>
          <w:color w:val="000000" w:themeColor="text1"/>
        </w:rPr>
        <w:footnoteReference w:id="20"/>
      </w:r>
      <w:r w:rsidRPr="00F55A79" w:rsidR="0027617A">
        <w:rPr>
          <w:color w:val="000000" w:themeColor="text1"/>
        </w:rPr>
        <w:t xml:space="preserve"> </w:t>
      </w:r>
      <w:r w:rsidRPr="00F55A79" w:rsidR="00513740">
        <w:rPr>
          <w:color w:val="000000" w:themeColor="text1"/>
        </w:rPr>
        <w:t xml:space="preserve"> The purpose of t</w:t>
      </w:r>
      <w:r w:rsidRPr="00F55A79" w:rsidR="0027617A">
        <w:rPr>
          <w:color w:val="000000" w:themeColor="text1"/>
        </w:rPr>
        <w:t>he CHCF-B program is</w:t>
      </w:r>
      <w:r w:rsidRPr="00F55A79" w:rsidR="007F4A70">
        <w:rPr>
          <w:color w:val="000000" w:themeColor="text1"/>
        </w:rPr>
        <w:t xml:space="preserve"> to keep basic telephone service affordable</w:t>
      </w:r>
      <w:r w:rsidRPr="00F55A79" w:rsidR="00513740">
        <w:rPr>
          <w:color w:val="000000" w:themeColor="text1"/>
        </w:rPr>
        <w:t xml:space="preserve"> in areas with low population density</w:t>
      </w:r>
      <w:r w:rsidRPr="00F55A79">
        <w:rPr>
          <w:color w:val="000000" w:themeColor="text1"/>
        </w:rPr>
        <w:t>.</w:t>
      </w:r>
      <w:r w:rsidRPr="00F55A79" w:rsidR="0027617A">
        <w:rPr>
          <w:color w:val="000000" w:themeColor="text1"/>
        </w:rPr>
        <w:t xml:space="preserve"> </w:t>
      </w:r>
      <w:r w:rsidRPr="00F55A79">
        <w:rPr>
          <w:color w:val="000000" w:themeColor="text1"/>
        </w:rPr>
        <w:t xml:space="preserve">CHCF-B is funded by a surcharge billed </w:t>
      </w:r>
      <w:r w:rsidRPr="00F55A79" w:rsidR="007F4A70">
        <w:rPr>
          <w:color w:val="000000" w:themeColor="text1"/>
        </w:rPr>
        <w:t xml:space="preserve">to all customers </w:t>
      </w:r>
      <w:r w:rsidRPr="00F55A79">
        <w:rPr>
          <w:color w:val="000000" w:themeColor="text1"/>
        </w:rPr>
        <w:t xml:space="preserve">and collected by telecommunications carriers. </w:t>
      </w:r>
    </w:p>
    <w:p w:rsidRPr="00F55A79" w:rsidR="00011B54" w:rsidP="007F4A70" w:rsidRDefault="007F4A70" w14:paraId="50A6ED80" w14:textId="6675AEDD">
      <w:pPr>
        <w:pStyle w:val="Standard"/>
        <w:rPr>
          <w:color w:val="000000" w:themeColor="text1"/>
        </w:rPr>
      </w:pPr>
      <w:r w:rsidRPr="00F55A79">
        <w:rPr>
          <w:color w:val="000000" w:themeColor="text1"/>
        </w:rPr>
        <w:t xml:space="preserve">Frontier California, Inc., Frontier Communications of the Southwest, and </w:t>
      </w:r>
      <w:r w:rsidRPr="00F55A79" w:rsidR="00521E1F">
        <w:rPr>
          <w:color w:val="000000" w:themeColor="text1"/>
        </w:rPr>
        <w:t>CTC</w:t>
      </w:r>
      <w:r w:rsidRPr="00F55A79">
        <w:rPr>
          <w:color w:val="000000" w:themeColor="text1"/>
        </w:rPr>
        <w:t xml:space="preserve"> </w:t>
      </w:r>
      <w:r w:rsidRPr="00F55A79" w:rsidR="00521E1F">
        <w:rPr>
          <w:color w:val="000000" w:themeColor="text1"/>
        </w:rPr>
        <w:t xml:space="preserve">California </w:t>
      </w:r>
      <w:r w:rsidRPr="00F55A79">
        <w:rPr>
          <w:color w:val="000000" w:themeColor="text1"/>
        </w:rPr>
        <w:t xml:space="preserve">are among the providers that </w:t>
      </w:r>
      <w:r w:rsidRPr="00F55A79" w:rsidR="00011B54">
        <w:rPr>
          <w:color w:val="000000" w:themeColor="text1"/>
        </w:rPr>
        <w:t>receive CHCF-B support</w:t>
      </w:r>
      <w:r w:rsidRPr="00F55A79">
        <w:rPr>
          <w:color w:val="000000" w:themeColor="text1"/>
        </w:rPr>
        <w:t>.</w:t>
      </w:r>
    </w:p>
    <w:p w:rsidRPr="00F55A79" w:rsidR="002F32EE" w:rsidP="009F55CD" w:rsidRDefault="002F32EE" w14:paraId="5A6DBE93" w14:textId="62F969CC">
      <w:pPr>
        <w:pStyle w:val="Heading4"/>
      </w:pPr>
      <w:bookmarkStart w:name="_Toc215483151" w:id="21"/>
      <w:bookmarkStart w:name="_Toc215483872" w:id="22"/>
      <w:bookmarkStart w:name="_Toc216163122" w:id="23"/>
      <w:bookmarkEnd w:id="21"/>
      <w:bookmarkEnd w:id="22"/>
      <w:r w:rsidRPr="00F55A79">
        <w:t>California Advanced Services Fund</w:t>
      </w:r>
      <w:bookmarkEnd w:id="23"/>
      <w:r w:rsidRPr="00F55A79">
        <w:t xml:space="preserve"> </w:t>
      </w:r>
    </w:p>
    <w:p w:rsidRPr="00F55A79" w:rsidR="000909DB" w:rsidP="000909DB" w:rsidRDefault="000909DB" w14:paraId="61FD74E2" w14:textId="77777777">
      <w:pPr>
        <w:pStyle w:val="Standard"/>
      </w:pPr>
      <w:r w:rsidRPr="00F55A79">
        <w:t xml:space="preserve">The California Advanced Services Fund (CASF) is a broadband grant program with four active accounts:  </w:t>
      </w:r>
    </w:p>
    <w:p w:rsidRPr="00F55A79" w:rsidR="000909DB" w:rsidP="00096D54" w:rsidRDefault="000909DB" w14:paraId="5379DF63" w14:textId="7DA29787">
      <w:pPr>
        <w:pStyle w:val="ListBullet"/>
        <w:tabs>
          <w:tab w:val="clear" w:pos="360"/>
          <w:tab w:val="num" w:pos="1080"/>
        </w:tabs>
        <w:ind w:left="1080"/>
      </w:pPr>
      <w:r w:rsidRPr="00F55A79">
        <w:t xml:space="preserve">The Broadband Infrastructure Grant Account, which provides grants to deploy broadband </w:t>
      </w:r>
      <w:r w:rsidRPr="00F55A79" w:rsidR="00310ECD">
        <w:t xml:space="preserve">infrastructure to enable service </w:t>
      </w:r>
      <w:r w:rsidRPr="00F55A79">
        <w:t>to unserved households;</w:t>
      </w:r>
    </w:p>
    <w:p w:rsidRPr="00F55A79" w:rsidR="000909DB" w:rsidP="00096D54" w:rsidRDefault="000909DB" w14:paraId="057BB847" w14:textId="4FAA5A9F">
      <w:pPr>
        <w:pStyle w:val="ListBullet"/>
        <w:tabs>
          <w:tab w:val="clear" w:pos="360"/>
          <w:tab w:val="num" w:pos="1080"/>
        </w:tabs>
        <w:ind w:left="1080"/>
      </w:pPr>
      <w:r w:rsidRPr="00F55A79">
        <w:t>The Adoption Account, which provides grants to increase publicly available or after-school broadband access and digital inclusion, such as digital literacy training programs.</w:t>
      </w:r>
    </w:p>
    <w:p w:rsidRPr="00F55A79" w:rsidR="000909DB" w:rsidP="00096D54" w:rsidRDefault="000909DB" w14:paraId="76593110" w14:textId="543C0217">
      <w:pPr>
        <w:pStyle w:val="ListBullet"/>
        <w:tabs>
          <w:tab w:val="clear" w:pos="360"/>
          <w:tab w:val="num" w:pos="1080"/>
        </w:tabs>
        <w:ind w:left="1080"/>
      </w:pPr>
      <w:r w:rsidRPr="00F55A79">
        <w:t xml:space="preserve">The Rural and Urban Regional Broadband Consortia Account, which provides grants to regional consortia — typically a group of several </w:t>
      </w:r>
      <w:r w:rsidRPr="00F55A79">
        <w:lastRenderedPageBreak/>
        <w:t>contiguous counties — to facilitate the deployment of broadband infrastructure by assisting infrastructure grant applicants in the project development or grant application process.</w:t>
      </w:r>
    </w:p>
    <w:p w:rsidRPr="00F55A79" w:rsidR="000909DB" w:rsidP="00096D54" w:rsidRDefault="000909DB" w14:paraId="56BC38A2" w14:textId="47329F2A">
      <w:pPr>
        <w:pStyle w:val="ListBullet"/>
        <w:tabs>
          <w:tab w:val="clear" w:pos="360"/>
          <w:tab w:val="num" w:pos="1080"/>
        </w:tabs>
        <w:ind w:left="1080"/>
      </w:pPr>
      <w:r w:rsidRPr="00F55A79">
        <w:t>The Public Housing Account, which provides grants dedicated to broadband connectivity and adoption in publicly supported housing communities.</w:t>
      </w:r>
    </w:p>
    <w:p w:rsidRPr="00F55A79" w:rsidR="002F32EE" w:rsidP="00096D54" w:rsidRDefault="00CE5BEA" w14:paraId="75988242" w14:textId="7101A35A">
      <w:pPr>
        <w:pStyle w:val="Standard"/>
        <w:rPr>
          <w:color w:val="000000" w:themeColor="text1"/>
        </w:rPr>
      </w:pPr>
      <w:r w:rsidRPr="00F55A79">
        <w:t>According to the Joint Applicants, Frontier has received 23 CASF grants.</w:t>
      </w:r>
      <w:r w:rsidRPr="00F55A79">
        <w:rPr>
          <w:rStyle w:val="FootnoteReference"/>
          <w:color w:val="000000" w:themeColor="text1"/>
        </w:rPr>
        <w:footnoteReference w:id="21"/>
      </w:r>
      <w:r w:rsidRPr="00F55A79">
        <w:rPr>
          <w:color w:val="000000" w:themeColor="text1"/>
        </w:rPr>
        <w:t xml:space="preserve"> In the last five years, Frontier has completed six CASF grant projects and has one CASF grant project </w:t>
      </w:r>
      <w:r w:rsidRPr="00F55A79">
        <w:t>pending completion for Northeast Phase 1.</w:t>
      </w:r>
      <w:r w:rsidRPr="00F55A79">
        <w:rPr>
          <w:rStyle w:val="FootnoteReference"/>
          <w:color w:val="000000" w:themeColor="text1"/>
        </w:rPr>
        <w:footnoteReference w:id="22"/>
      </w:r>
      <w:r w:rsidRPr="00F55A79">
        <w:rPr>
          <w:color w:val="000000" w:themeColor="text1"/>
        </w:rPr>
        <w:t xml:space="preserve">  In 2023, </w:t>
      </w:r>
      <w:r w:rsidRPr="00F55A79">
        <w:t>Frontier applied for 12 new CASF grants.</w:t>
      </w:r>
      <w:r w:rsidRPr="00F55A79">
        <w:rPr>
          <w:rStyle w:val="FootnoteReference"/>
          <w:color w:val="000000" w:themeColor="text1"/>
        </w:rPr>
        <w:footnoteReference w:id="23"/>
      </w:r>
    </w:p>
    <w:p w:rsidRPr="00F55A79" w:rsidR="00A04AA6" w:rsidP="00096D54" w:rsidRDefault="006E3652" w14:paraId="6A2075E4" w14:textId="08E72ADA">
      <w:pPr>
        <w:pStyle w:val="Heading4"/>
      </w:pPr>
      <w:bookmarkStart w:name="_Toc216163123" w:id="24"/>
      <w:r w:rsidRPr="00F55A79">
        <w:t>The Federal Funding Account</w:t>
      </w:r>
      <w:bookmarkEnd w:id="24"/>
      <w:r w:rsidRPr="00F55A79">
        <w:t xml:space="preserve"> </w:t>
      </w:r>
    </w:p>
    <w:p w:rsidRPr="00F55A79" w:rsidR="006C2B68" w:rsidP="006C2B68" w:rsidRDefault="006C2B68" w14:paraId="1225BA7A" w14:textId="77777777">
      <w:pPr>
        <w:pStyle w:val="Standard"/>
      </w:pPr>
      <w:r w:rsidRPr="00F55A79">
        <w:t>The Federal Funding Account (FFA) is a $2 billion grant program for last-mile broadband infrastructure projects to connect unserved Californians, in accordance with Senate Bill 156 (Chapter 112, Statutes of 2021).</w:t>
      </w:r>
    </w:p>
    <w:p w:rsidRPr="00F55A79" w:rsidR="006C2B68" w:rsidP="00033C62" w:rsidRDefault="006C2B68" w14:paraId="4C6F919E" w14:textId="212F1B79">
      <w:pPr>
        <w:pStyle w:val="Standard"/>
        <w:rPr>
          <w:rFonts w:ascii="Times New Roman" w:hAnsi="Times New Roman" w:eastAsia="Calibri" w:cs="Times New Roman"/>
          <w:sz w:val="24"/>
          <w:szCs w:val="24"/>
        </w:rPr>
      </w:pPr>
      <w:r w:rsidRPr="00F55A79">
        <w:t xml:space="preserve">In 2025, the Commission awarded over $1 billion in broadband grants </w:t>
      </w:r>
      <w:r w:rsidRPr="00F55A79" w:rsidR="0097092B">
        <w:t xml:space="preserve">for </w:t>
      </w:r>
      <w:r w:rsidRPr="00F55A79" w:rsidR="00A82A8B">
        <w:t xml:space="preserve">113 last-mile projects </w:t>
      </w:r>
      <w:r w:rsidRPr="00F55A79">
        <w:t xml:space="preserve">across 52 counties in the first round of FFA funding.  </w:t>
      </w:r>
      <w:r w:rsidRPr="00F55A79" w:rsidR="00A82A8B">
        <w:t>In that first round, Frontier was awarded over $26 million for four projects in Riverside, San Bernardino, and Ventura counties.</w:t>
      </w:r>
      <w:r w:rsidRPr="00F55A79" w:rsidR="00033C62">
        <w:rPr>
          <w:rFonts w:eastAsia="Calibri" w:cs="Times New Roman"/>
          <w:vertAlign w:val="superscript"/>
        </w:rPr>
        <w:footnoteReference w:id="24"/>
      </w:r>
      <w:r w:rsidRPr="00F55A79" w:rsidR="00033C62">
        <w:rPr>
          <w:rFonts w:eastAsia="Calibri" w:cs="Times New Roman"/>
        </w:rPr>
        <w:t xml:space="preserve"> </w:t>
      </w:r>
      <w:r w:rsidRPr="00F55A79" w:rsidR="00033C62">
        <w:t xml:space="preserve"> </w:t>
      </w:r>
      <w:r w:rsidRPr="00F55A79">
        <w:t>A second funding round opened later in 2025 for the six counties that did not receive FFA awards in the first round.</w:t>
      </w:r>
    </w:p>
    <w:p w:rsidRPr="00F55A79" w:rsidR="006C2B68" w:rsidP="006C2B68" w:rsidRDefault="00CE5BEA" w14:paraId="6F32362F" w14:textId="018C1718">
      <w:pPr>
        <w:pStyle w:val="Standard"/>
      </w:pPr>
      <w:r w:rsidRPr="00F55A79">
        <w:lastRenderedPageBreak/>
        <w:t>The Joint Applicants noted that in 2023, Frontier applied for FFA grants and was awarded one FFA grant in Riverside County and two FFA grants in San Bernardino County in August 2024.</w:t>
      </w:r>
      <w:r w:rsidRPr="00F55A79">
        <w:rPr>
          <w:rStyle w:val="FootnoteReference"/>
        </w:rPr>
        <w:footnoteReference w:id="25"/>
      </w:r>
    </w:p>
    <w:p w:rsidRPr="00F55A79" w:rsidR="00EA7E2E" w:rsidP="00096D54" w:rsidRDefault="00EA7E2E" w14:paraId="4FFF7D57" w14:textId="0CB2A9FF">
      <w:pPr>
        <w:pStyle w:val="Heading4"/>
      </w:pPr>
      <w:bookmarkStart w:name="_Toc215483155" w:id="25"/>
      <w:bookmarkStart w:name="_Toc215483876" w:id="26"/>
      <w:bookmarkStart w:name="_Toc216163124" w:id="27"/>
      <w:bookmarkEnd w:id="25"/>
      <w:bookmarkEnd w:id="26"/>
      <w:r w:rsidRPr="00F55A79">
        <w:t>Life</w:t>
      </w:r>
      <w:r w:rsidRPr="00F55A79" w:rsidR="00196A4C">
        <w:t>L</w:t>
      </w:r>
      <w:r w:rsidRPr="00F55A79">
        <w:t>ine</w:t>
      </w:r>
      <w:bookmarkEnd w:id="27"/>
    </w:p>
    <w:p w:rsidRPr="00F55A79" w:rsidR="00EA7E2E" w:rsidP="00EA7E2E" w:rsidRDefault="00EA7E2E" w14:paraId="17785FA1" w14:textId="2CAF8227">
      <w:pPr>
        <w:pStyle w:val="Standard"/>
        <w:rPr>
          <w:color w:val="000000" w:themeColor="text1"/>
        </w:rPr>
      </w:pPr>
      <w:r w:rsidRPr="00F55A79">
        <w:t>The Life</w:t>
      </w:r>
      <w:r w:rsidRPr="00F55A79" w:rsidR="000B2A80">
        <w:t>l</w:t>
      </w:r>
      <w:r w:rsidRPr="00F55A79">
        <w:t>ine program provides discounts on basic landline and wireless phone service to qualifying low-income residents to help them stay connected.</w:t>
      </w:r>
      <w:r w:rsidRPr="00F55A79">
        <w:rPr>
          <w:rStyle w:val="FootnoteReference"/>
        </w:rPr>
        <w:footnoteReference w:id="26"/>
      </w:r>
      <w:r w:rsidRPr="00F55A79">
        <w:t xml:space="preserve"> Eligibility can be established either by meeting household income requirements or by meeting eligibility requirements for other programs.</w:t>
      </w:r>
      <w:r w:rsidRPr="00F55A79">
        <w:rPr>
          <w:rStyle w:val="FootnoteReference"/>
        </w:rPr>
        <w:footnoteReference w:id="27"/>
      </w:r>
      <w:r w:rsidRPr="00F55A79">
        <w:t xml:space="preserve">  Each program participant receives up to a $19 discount from California </w:t>
      </w:r>
      <w:r w:rsidRPr="00F55A79" w:rsidR="000B2A80">
        <w:t>Life</w:t>
      </w:r>
      <w:r w:rsidRPr="00F55A79" w:rsidR="005B74C7">
        <w:t>L</w:t>
      </w:r>
      <w:r w:rsidRPr="00F55A79" w:rsidR="000B2A80">
        <w:t xml:space="preserve">ine </w:t>
      </w:r>
      <w:r w:rsidRPr="00F55A79">
        <w:t xml:space="preserve">in addition to up to a $9.25 discount from Federal </w:t>
      </w:r>
      <w:r w:rsidRPr="00F55A79" w:rsidR="000B2A80">
        <w:t>Lifeline</w:t>
      </w:r>
      <w:r w:rsidRPr="00F55A79">
        <w:t>.</w:t>
      </w:r>
      <w:r w:rsidRPr="00F55A79">
        <w:rPr>
          <w:rStyle w:val="FootnoteReference"/>
          <w:color w:val="000000" w:themeColor="text1"/>
        </w:rPr>
        <w:footnoteReference w:id="28"/>
      </w:r>
      <w:r w:rsidRPr="00F55A79">
        <w:rPr>
          <w:color w:val="000000" w:themeColor="text1"/>
        </w:rPr>
        <w:t xml:space="preserve">  Each household must choose to </w:t>
      </w:r>
      <w:r w:rsidRPr="00F55A79">
        <w:t>get a discount on service for either a home phone or a cell phone.</w:t>
      </w:r>
      <w:r w:rsidRPr="00F55A79">
        <w:rPr>
          <w:rStyle w:val="FootnoteReference"/>
          <w:color w:val="000000" w:themeColor="text1"/>
        </w:rPr>
        <w:footnoteReference w:id="29"/>
      </w:r>
      <w:r w:rsidRPr="00F55A79" w:rsidR="005B74C7">
        <w:t xml:space="preserve">  In </w:t>
      </w:r>
      <w:r w:rsidRPr="00F55A79" w:rsidR="00131D2D">
        <w:t>August</w:t>
      </w:r>
      <w:r w:rsidRPr="00F55A79" w:rsidR="005B74C7">
        <w:t xml:space="preserve"> 2025, the Commission approved a home broadband pilot through California LifeLine that offers both standalone broadband and bundled voice services.</w:t>
      </w:r>
      <w:r w:rsidRPr="00F55A79" w:rsidR="005B74C7">
        <w:rPr>
          <w:rStyle w:val="FootnoteReference"/>
        </w:rPr>
        <w:footnoteReference w:id="30"/>
      </w:r>
    </w:p>
    <w:p w:rsidRPr="00F55A79" w:rsidR="00870BE4" w:rsidP="00271420" w:rsidRDefault="00870BE4" w14:paraId="598E928D" w14:textId="66C82519">
      <w:pPr>
        <w:rPr>
          <w:color w:val="000000" w:themeColor="text1"/>
        </w:rPr>
      </w:pPr>
      <w:r w:rsidRPr="00F55A79">
        <w:rPr>
          <w:rStyle w:val="StandardChar"/>
        </w:rPr>
        <w:lastRenderedPageBreak/>
        <w:t xml:space="preserve">Frontier offers federal and state </w:t>
      </w:r>
      <w:r w:rsidRPr="00F55A79" w:rsidR="000B2A80">
        <w:rPr>
          <w:rStyle w:val="StandardChar"/>
        </w:rPr>
        <w:t>Lifeline</w:t>
      </w:r>
      <w:r w:rsidRPr="00F55A79">
        <w:rPr>
          <w:rStyle w:val="StandardChar"/>
        </w:rPr>
        <w:t xml:space="preserve"> broadband service discounts</w:t>
      </w:r>
      <w:r w:rsidRPr="00F55A79" w:rsidR="00813C0B">
        <w:rPr>
          <w:rStyle w:val="StandardChar"/>
        </w:rPr>
        <w:t xml:space="preserve"> in addition to landline (voice only) LifeLine, and Verizon offers LifeLine through TracFone</w:t>
      </w:r>
      <w:r w:rsidRPr="00F55A79">
        <w:rPr>
          <w:rStyle w:val="StandardChar"/>
        </w:rPr>
        <w:t>.</w:t>
      </w:r>
      <w:r w:rsidRPr="00F55A79">
        <w:rPr>
          <w:rStyle w:val="FootnoteReference"/>
          <w:color w:val="000000" w:themeColor="text1"/>
        </w:rPr>
        <w:footnoteReference w:id="31"/>
      </w:r>
      <w:r w:rsidRPr="00F55A79">
        <w:rPr>
          <w:color w:val="000000" w:themeColor="text1"/>
        </w:rPr>
        <w:t xml:space="preserve"> </w:t>
      </w:r>
      <w:r w:rsidRPr="00F55A79" w:rsidR="00271420">
        <w:rPr>
          <w:color w:val="000000" w:themeColor="text1"/>
        </w:rPr>
        <w:t xml:space="preserve"> </w:t>
      </w:r>
    </w:p>
    <w:p w:rsidRPr="00F55A79" w:rsidR="00384270" w:rsidP="00096D54" w:rsidRDefault="00384270" w14:paraId="2E01C833" w14:textId="247204C6">
      <w:pPr>
        <w:pStyle w:val="Heading4"/>
      </w:pPr>
      <w:bookmarkStart w:name="_Toc216163125" w:id="28"/>
      <w:r w:rsidRPr="00F55A79">
        <w:t>Loan Loss Reserve</w:t>
      </w:r>
      <w:r w:rsidRPr="00F55A79" w:rsidR="00D60E10">
        <w:t xml:space="preserve"> Fund</w:t>
      </w:r>
      <w:bookmarkEnd w:id="28"/>
    </w:p>
    <w:p w:rsidRPr="00F55A79" w:rsidR="00D60E10" w:rsidP="000F1C5B" w:rsidRDefault="00D60E10" w14:paraId="319A2570" w14:textId="0A823D87">
      <w:pPr>
        <w:rPr>
          <w:color w:val="000000" w:themeColor="text1"/>
        </w:rPr>
      </w:pPr>
      <w:r w:rsidRPr="00F55A79">
        <w:rPr>
          <w:color w:val="000000" w:themeColor="text1"/>
        </w:rPr>
        <w:t xml:space="preserve">The Broadband Loan Loss Reserve Fund is a $50 million fund that provides a credit enhancement related to financing local broadband infrastructure development. The reserve fund expands the ability of local governments, tribes, and non-profits to secure financing for building last-mile projects, with an emphasis on public broadband networks. The Loan Loss Reserve Fund provides collateral to local governments to enable more favorable borrowing rates and terms for bonds issued to deploy broadband infrastructure. </w:t>
      </w:r>
    </w:p>
    <w:p w:rsidRPr="00F55A79" w:rsidR="00D60E10" w:rsidP="000F1C5B" w:rsidRDefault="00D60E10" w14:paraId="268BEAB7" w14:textId="6F7A70E2">
      <w:pPr>
        <w:rPr>
          <w:color w:val="000000" w:themeColor="text1"/>
        </w:rPr>
      </w:pPr>
      <w:r w:rsidRPr="00F55A79">
        <w:rPr>
          <w:color w:val="000000" w:themeColor="text1"/>
        </w:rPr>
        <w:t>The Loan Loss Reserve Fund was established in 2021 as a part of S</w:t>
      </w:r>
      <w:r w:rsidRPr="00F55A79" w:rsidR="00B57AE3">
        <w:rPr>
          <w:color w:val="000000" w:themeColor="text1"/>
        </w:rPr>
        <w:t xml:space="preserve">enate </w:t>
      </w:r>
      <w:r w:rsidRPr="00F55A79">
        <w:rPr>
          <w:color w:val="000000" w:themeColor="text1"/>
        </w:rPr>
        <w:t>B</w:t>
      </w:r>
      <w:r w:rsidRPr="00F55A79" w:rsidR="00B57AE3">
        <w:rPr>
          <w:color w:val="000000" w:themeColor="text1"/>
        </w:rPr>
        <w:t>ill</w:t>
      </w:r>
      <w:r w:rsidRPr="00F55A79">
        <w:rPr>
          <w:color w:val="000000" w:themeColor="text1"/>
        </w:rPr>
        <w:t xml:space="preserve"> 156, codified in Pub</w:t>
      </w:r>
      <w:r w:rsidRPr="00F55A79" w:rsidR="00B57AE3">
        <w:rPr>
          <w:color w:val="000000" w:themeColor="text1"/>
        </w:rPr>
        <w:t>.</w:t>
      </w:r>
      <w:r w:rsidRPr="00F55A79">
        <w:rPr>
          <w:color w:val="000000" w:themeColor="text1"/>
        </w:rPr>
        <w:t xml:space="preserve"> Util</w:t>
      </w:r>
      <w:r w:rsidRPr="00F55A79" w:rsidR="00B57AE3">
        <w:rPr>
          <w:color w:val="000000" w:themeColor="text1"/>
        </w:rPr>
        <w:t>.</w:t>
      </w:r>
      <w:r w:rsidRPr="00F55A79">
        <w:rPr>
          <w:color w:val="000000" w:themeColor="text1"/>
        </w:rPr>
        <w:t xml:space="preserve"> Code</w:t>
      </w:r>
      <w:r w:rsidRPr="00F55A79" w:rsidR="00B57AE3">
        <w:rPr>
          <w:color w:val="000000" w:themeColor="text1"/>
        </w:rPr>
        <w:t xml:space="preserve"> Section</w:t>
      </w:r>
      <w:r w:rsidRPr="00F55A79">
        <w:rPr>
          <w:color w:val="000000" w:themeColor="text1"/>
        </w:rPr>
        <w:t xml:space="preserve"> 281.2.</w:t>
      </w:r>
    </w:p>
    <w:p w:rsidRPr="00F55A79" w:rsidR="00185455" w:rsidDel="00BA0541" w:rsidP="00080D00" w:rsidRDefault="00185455" w14:paraId="74245279" w14:textId="7E244E42">
      <w:pPr>
        <w:pStyle w:val="Heading3"/>
      </w:pPr>
      <w:bookmarkStart w:name="_Toc215483158" w:id="29"/>
      <w:bookmarkStart w:name="_Toc215483879" w:id="30"/>
      <w:bookmarkStart w:name="_Toc215483159" w:id="31"/>
      <w:bookmarkStart w:name="_Toc215483880" w:id="32"/>
      <w:bookmarkStart w:name="_Toc216163126" w:id="33"/>
      <w:bookmarkEnd w:id="29"/>
      <w:bookmarkEnd w:id="30"/>
      <w:bookmarkEnd w:id="31"/>
      <w:bookmarkEnd w:id="32"/>
      <w:r w:rsidRPr="00F55A79" w:rsidDel="00BA0541">
        <w:t>Verizon</w:t>
      </w:r>
      <w:r w:rsidRPr="00F55A79" w:rsidDel="00BA0541" w:rsidR="00FE1538">
        <w:t>-FCC</w:t>
      </w:r>
      <w:r w:rsidRPr="00F55A79" w:rsidDel="00BA0541">
        <w:t xml:space="preserve"> Letter</w:t>
      </w:r>
      <w:bookmarkEnd w:id="33"/>
    </w:p>
    <w:p w:rsidRPr="00F55A79" w:rsidR="00A50B33" w:rsidDel="00BA0541" w:rsidP="007B637B" w:rsidRDefault="00A50B33" w14:paraId="69058695" w14:textId="7CFA2D93">
      <w:pPr>
        <w:pStyle w:val="Standard"/>
      </w:pPr>
      <w:r w:rsidRPr="00F55A79" w:rsidDel="00BA0541">
        <w:t xml:space="preserve">On May 16, 2025, the Federal Communications Commission (FCC) approved </w:t>
      </w:r>
      <w:r w:rsidRPr="00F55A79" w:rsidDel="00BA0541" w:rsidR="00854051">
        <w:t xml:space="preserve">the Joint Applicants’ transaction </w:t>
      </w:r>
      <w:r w:rsidRPr="00F55A79" w:rsidDel="00BA0541" w:rsidR="005164E0">
        <w:t>at the federal level.</w:t>
      </w:r>
      <w:r w:rsidRPr="00F55A79" w:rsidR="00171AC6">
        <w:rPr>
          <w:rStyle w:val="FootnoteReference"/>
        </w:rPr>
        <w:footnoteReference w:id="32"/>
      </w:r>
      <w:r w:rsidRPr="00F55A79" w:rsidDel="00BA0541" w:rsidR="00854051">
        <w:t xml:space="preserve"> </w:t>
      </w:r>
      <w:r w:rsidRPr="00F55A79" w:rsidDel="00BA0541">
        <w:t xml:space="preserve"> </w:t>
      </w:r>
      <w:r w:rsidRPr="00F55A79" w:rsidDel="00BA0541" w:rsidR="007B637B">
        <w:t xml:space="preserve">In a news release at the time of the approval, FCC Chairman Brendan Carr noted that Verizon had “committed to ending </w:t>
      </w:r>
      <w:r w:rsidRPr="00F55A79" w:rsidR="00F5535F">
        <w:t>[diversity, equity, and inclusion (</w:t>
      </w:r>
      <w:r w:rsidRPr="00F55A79" w:rsidDel="00BA0541" w:rsidR="007B637B">
        <w:t>DEI</w:t>
      </w:r>
      <w:r w:rsidRPr="00F55A79" w:rsidR="00F5535F">
        <w:t>)]</w:t>
      </w:r>
      <w:r w:rsidRPr="00F55A79" w:rsidDel="00BA0541" w:rsidR="007B637B">
        <w:t>-related practices.”</w:t>
      </w:r>
      <w:r w:rsidRPr="00F55A79" w:rsidR="00171AC6">
        <w:rPr>
          <w:rStyle w:val="FootnoteReference"/>
        </w:rPr>
        <w:footnoteReference w:id="33"/>
      </w:r>
      <w:r w:rsidRPr="00F55A79" w:rsidR="00171AC6">
        <w:rPr>
          <w:rStyle w:val="FootnoteReference"/>
        </w:rPr>
        <w:t xml:space="preserve"> </w:t>
      </w:r>
      <w:r w:rsidRPr="00F55A79" w:rsidDel="00BA0541" w:rsidR="007B637B">
        <w:t xml:space="preserve"> A May 15, 2025, letter from Verizon Executive Vice President &amp; Chief Legal Officer Vandana Venkatesh to Chairman Carr (Verizon</w:t>
      </w:r>
      <w:r w:rsidRPr="00F55A79" w:rsidDel="00BA0541" w:rsidR="00FE1538">
        <w:t>-FCC</w:t>
      </w:r>
      <w:r w:rsidRPr="00F55A79" w:rsidDel="00BA0541" w:rsidR="007B637B">
        <w:t xml:space="preserve"> </w:t>
      </w:r>
      <w:r w:rsidRPr="00F55A79" w:rsidDel="00BA0541" w:rsidR="007B637B">
        <w:lastRenderedPageBreak/>
        <w:t>Letter) detailed the specific changes that it would make to DEI practices.</w:t>
      </w:r>
      <w:r w:rsidRPr="00F55A79" w:rsidR="00F5535F">
        <w:rPr>
          <w:rStyle w:val="FootnoteReference"/>
        </w:rPr>
        <w:footnoteReference w:id="34"/>
      </w:r>
      <w:r w:rsidRPr="00F55A79" w:rsidDel="00BA0541" w:rsidR="009B5D77">
        <w:t xml:space="preserve">  </w:t>
      </w:r>
      <w:r w:rsidRPr="00F55A79" w:rsidDel="00BA0541" w:rsidR="007B637B">
        <w:t>Among these changes were modified approaches to supplier diversity, employee diversity and workforce reporting requirements.</w:t>
      </w:r>
    </w:p>
    <w:p w:rsidRPr="00F55A79" w:rsidR="00553D93" w:rsidDel="00BA0541" w:rsidP="007B637B" w:rsidRDefault="00533D8F" w14:paraId="5C2311E3" w14:textId="2F8EF65C">
      <w:pPr>
        <w:pStyle w:val="Standard"/>
      </w:pPr>
      <w:r w:rsidRPr="00F55A79" w:rsidDel="00BA0541">
        <w:t xml:space="preserve">On May </w:t>
      </w:r>
      <w:r w:rsidRPr="00F55A79" w:rsidDel="00BA0541" w:rsidR="005759CC">
        <w:t>29</w:t>
      </w:r>
      <w:r w:rsidRPr="00F55A79" w:rsidDel="00BA0541">
        <w:t>, 2025, in response to the Verizon</w:t>
      </w:r>
      <w:r w:rsidRPr="00F55A79" w:rsidDel="00BA0541" w:rsidR="00FE1538">
        <w:t>-FCC</w:t>
      </w:r>
      <w:r w:rsidRPr="00F55A79" w:rsidDel="00BA0541">
        <w:t xml:space="preserve"> Letter, the assigned commissioner issued a</w:t>
      </w:r>
      <w:r w:rsidRPr="00F55A79" w:rsidDel="00BA0541" w:rsidR="00A66758">
        <w:t xml:space="preserve">n Amended Scoping Memo that added a seventh </w:t>
      </w:r>
      <w:r w:rsidRPr="00F55A79" w:rsidDel="00BA0541" w:rsidR="00906F3E">
        <w:t>issue to the scope of this proceeding, as detailed in Section 3 herein.</w:t>
      </w:r>
    </w:p>
    <w:p w:rsidRPr="00F55A79" w:rsidR="00D365EA" w:rsidP="00D365EA" w:rsidRDefault="00D365EA" w14:paraId="11AC97F3" w14:textId="77777777">
      <w:pPr>
        <w:pStyle w:val="Heading2"/>
      </w:pPr>
      <w:bookmarkStart w:name="_Toc216163127" w:id="34"/>
      <w:bookmarkStart w:name="_Toc8123717" w:id="35"/>
      <w:r w:rsidRPr="00F55A79">
        <w:t>Related Proceedings</w:t>
      </w:r>
      <w:bookmarkEnd w:id="34"/>
      <w:r w:rsidRPr="00F55A79">
        <w:t xml:space="preserve"> </w:t>
      </w:r>
    </w:p>
    <w:p w:rsidRPr="00F55A79" w:rsidR="00D365EA" w:rsidP="00D365EA" w:rsidRDefault="00D365EA" w14:paraId="254DF2E9" w14:textId="77777777">
      <w:pPr>
        <w:pStyle w:val="Standard"/>
        <w:rPr>
          <w:color w:val="000000" w:themeColor="text1"/>
        </w:rPr>
      </w:pPr>
      <w:r w:rsidRPr="00F55A79">
        <w:rPr>
          <w:color w:val="000000" w:themeColor="text1"/>
        </w:rPr>
        <w:t xml:space="preserve">Verizon and Frontier have participated in various proceedings that are relevant to the resolution of this Application.  </w:t>
      </w:r>
    </w:p>
    <w:p w:rsidRPr="00F55A79" w:rsidR="00D365EA" w:rsidP="00D365EA" w:rsidRDefault="00D365EA" w14:paraId="3A6C9FE0" w14:textId="77777777">
      <w:pPr>
        <w:pStyle w:val="Standard"/>
        <w:rPr>
          <w:color w:val="000000" w:themeColor="text1"/>
        </w:rPr>
      </w:pPr>
      <w:r w:rsidRPr="00F55A79">
        <w:rPr>
          <w:color w:val="000000" w:themeColor="text1"/>
        </w:rPr>
        <w:t xml:space="preserve">Decision (D.) 09-10-056 granted the joint application of Verizon and Frontier to transfer 13 telephone </w:t>
      </w:r>
      <w:r w:rsidRPr="00F55A79">
        <w:t>exchanges from Verizon to Frontier.</w:t>
      </w:r>
      <w:r w:rsidRPr="00F55A79">
        <w:rPr>
          <w:rStyle w:val="FootnoteReference"/>
          <w:color w:val="000000" w:themeColor="text1"/>
        </w:rPr>
        <w:footnoteReference w:id="35"/>
      </w:r>
      <w:r w:rsidRPr="00F55A79">
        <w:rPr>
          <w:color w:val="000000" w:themeColor="text1"/>
        </w:rPr>
        <w:t xml:space="preserve">  </w:t>
      </w:r>
    </w:p>
    <w:p w:rsidRPr="00F55A79" w:rsidR="00D365EA" w:rsidP="00D365EA" w:rsidRDefault="00D365EA" w14:paraId="743E15EF" w14:textId="77777777">
      <w:pPr>
        <w:pStyle w:val="Standard"/>
        <w:rPr>
          <w:color w:val="000000" w:themeColor="text1"/>
        </w:rPr>
      </w:pPr>
      <w:r w:rsidRPr="00F55A79">
        <w:rPr>
          <w:color w:val="000000" w:themeColor="text1"/>
        </w:rPr>
        <w:t xml:space="preserve">D.15-12-005 approved of the sale of Verizon’s California land line </w:t>
      </w:r>
      <w:r w:rsidRPr="00F55A79">
        <w:t>businesses to Frontier, subject to certain conditions.</w:t>
      </w:r>
      <w:r w:rsidRPr="00F55A79">
        <w:rPr>
          <w:rStyle w:val="FootnoteReference"/>
          <w:color w:val="000000" w:themeColor="text1"/>
        </w:rPr>
        <w:footnoteReference w:id="36"/>
      </w:r>
      <w:r w:rsidRPr="00F55A79">
        <w:rPr>
          <w:color w:val="000000" w:themeColor="text1"/>
        </w:rPr>
        <w:t xml:space="preserve">  Included in this sale was Verizon California (U-1002-C), which became Frontier California after the </w:t>
      </w:r>
      <w:r w:rsidRPr="00F55A79">
        <w:t>transaction closed.</w:t>
      </w:r>
      <w:r w:rsidRPr="00F55A79">
        <w:rPr>
          <w:rStyle w:val="FootnoteReference"/>
          <w:color w:val="000000" w:themeColor="text1"/>
        </w:rPr>
        <w:footnoteReference w:id="37"/>
      </w:r>
      <w:r w:rsidRPr="00F55A79">
        <w:rPr>
          <w:color w:val="000000" w:themeColor="text1"/>
        </w:rPr>
        <w:t xml:space="preserve">  D.15-12-005 was subsequently modified in a 2019 </w:t>
      </w:r>
      <w:r w:rsidRPr="00F55A79">
        <w:t>settlement.</w:t>
      </w:r>
      <w:r w:rsidRPr="00F55A79">
        <w:rPr>
          <w:rStyle w:val="FootnoteReference"/>
          <w:color w:val="000000" w:themeColor="text1"/>
        </w:rPr>
        <w:footnoteReference w:id="38"/>
      </w:r>
      <w:r w:rsidRPr="00F55A79">
        <w:rPr>
          <w:color w:val="000000" w:themeColor="text1"/>
        </w:rPr>
        <w:t xml:space="preserve">  </w:t>
      </w:r>
    </w:p>
    <w:p w:rsidRPr="00F55A79" w:rsidR="00D365EA" w:rsidP="00D365EA" w:rsidRDefault="00D365EA" w14:paraId="0CDC6F8F" w14:textId="77777777">
      <w:pPr>
        <w:pStyle w:val="Standard"/>
        <w:rPr>
          <w:rFonts w:ascii="Cambria" w:hAnsi="Cambria"/>
          <w:color w:val="000000" w:themeColor="text1"/>
        </w:rPr>
      </w:pPr>
      <w:r w:rsidRPr="00F55A79">
        <w:rPr>
          <w:color w:val="000000" w:themeColor="text1"/>
        </w:rPr>
        <w:t xml:space="preserve">In Investigation (I.) 19-12-009, the Commission imposed a penalty of $1,454,000 for outages and service interruptions that occurred when Verizon transferred its </w:t>
      </w:r>
      <w:r w:rsidRPr="00F55A79">
        <w:t>California voice, internet, and video services to Frontier.</w:t>
      </w:r>
      <w:r w:rsidRPr="00F55A79">
        <w:rPr>
          <w:rStyle w:val="FootnoteReference"/>
          <w:color w:val="000000" w:themeColor="text1"/>
        </w:rPr>
        <w:footnoteReference w:id="39"/>
      </w:r>
      <w:r w:rsidRPr="00F55A79">
        <w:rPr>
          <w:color w:val="000000" w:themeColor="text1"/>
        </w:rPr>
        <w:t xml:space="preserve"> </w:t>
      </w:r>
      <w:r w:rsidRPr="00F55A79">
        <w:rPr>
          <w:color w:val="000000" w:themeColor="text1"/>
        </w:rPr>
        <w:lastRenderedPageBreak/>
        <w:t xml:space="preserve">Separately, Frontier had </w:t>
      </w:r>
      <w:r w:rsidRPr="00F55A79">
        <w:t>paid almost $1,000,000 in customer credits related to the service outages.</w:t>
      </w:r>
      <w:r w:rsidRPr="00F55A79">
        <w:rPr>
          <w:rStyle w:val="FootnoteReference"/>
        </w:rPr>
        <w:footnoteReference w:id="40"/>
      </w:r>
    </w:p>
    <w:p w:rsidRPr="00F55A79" w:rsidR="00D365EA" w:rsidP="00D365EA" w:rsidRDefault="00D365EA" w14:paraId="7FB06CA1" w14:textId="77777777">
      <w:pPr>
        <w:pStyle w:val="Standard"/>
        <w:rPr>
          <w:color w:val="000000" w:themeColor="text1"/>
        </w:rPr>
      </w:pPr>
      <w:r w:rsidRPr="00F55A79">
        <w:rPr>
          <w:color w:val="000000" w:themeColor="text1"/>
        </w:rPr>
        <w:t xml:space="preserve">In D.21-04-008, the Commission approved, with conditions, the corporate </w:t>
      </w:r>
      <w:r w:rsidRPr="00F55A79">
        <w:t>restructuring of Frontier following bankruptcy.</w:t>
      </w:r>
      <w:r w:rsidRPr="00F55A79">
        <w:rPr>
          <w:rStyle w:val="FootnoteReference"/>
          <w:color w:val="000000" w:themeColor="text1"/>
        </w:rPr>
        <w:footnoteReference w:id="41"/>
      </w:r>
      <w:r w:rsidRPr="00F55A79">
        <w:rPr>
          <w:color w:val="000000" w:themeColor="text1"/>
        </w:rPr>
        <w:t xml:space="preserve"> </w:t>
      </w:r>
    </w:p>
    <w:p w:rsidRPr="00F55A79" w:rsidR="00D365EA" w:rsidP="00D365EA" w:rsidRDefault="00D365EA" w14:paraId="2E4458B9" w14:textId="77777777">
      <w:pPr>
        <w:pStyle w:val="Standard"/>
        <w:rPr>
          <w:color w:val="000000" w:themeColor="text1"/>
        </w:rPr>
      </w:pPr>
      <w:r w:rsidRPr="00F55A79">
        <w:t>D.21-11-030 approved, with conditions, the transfer of control of TracFone Wireless, Inc. to Verizon.</w:t>
      </w:r>
      <w:r w:rsidRPr="00F55A79">
        <w:rPr>
          <w:rStyle w:val="FootnoteReference"/>
          <w:color w:val="000000" w:themeColor="text1"/>
        </w:rPr>
        <w:footnoteReference w:id="42"/>
      </w:r>
      <w:r w:rsidRPr="00F55A79">
        <w:rPr>
          <w:color w:val="000000" w:themeColor="text1"/>
        </w:rPr>
        <w:t xml:space="preserve">  </w:t>
      </w:r>
    </w:p>
    <w:p w:rsidRPr="00F55A79" w:rsidR="0063491C" w:rsidP="00080D00" w:rsidRDefault="0063491C" w14:paraId="1982020E" w14:textId="77777777">
      <w:pPr>
        <w:pStyle w:val="Heading2"/>
      </w:pPr>
      <w:bookmarkStart w:name="_Toc216163128" w:id="36"/>
      <w:r w:rsidRPr="00F55A79">
        <w:t>Procedural Background</w:t>
      </w:r>
      <w:bookmarkEnd w:id="35"/>
      <w:bookmarkEnd w:id="36"/>
    </w:p>
    <w:p w:rsidRPr="00F55A79" w:rsidR="002C5050" w:rsidP="000B4022" w:rsidRDefault="000B4022" w14:paraId="3D27314A" w14:textId="1E1D57B3">
      <w:pPr>
        <w:rPr>
          <w:color w:val="000000" w:themeColor="text1"/>
        </w:rPr>
      </w:pPr>
      <w:r w:rsidRPr="00F55A79">
        <w:rPr>
          <w:color w:val="000000" w:themeColor="text1"/>
        </w:rPr>
        <w:t xml:space="preserve">October 18, 2024, the Joint Applicants filed this application for transfer of control of Frontier and its affiliates to Verizon. </w:t>
      </w:r>
      <w:r w:rsidRPr="00F55A79" w:rsidR="002C5050">
        <w:rPr>
          <w:color w:val="000000" w:themeColor="text1"/>
        </w:rPr>
        <w:t xml:space="preserve">On February 4, 2025, </w:t>
      </w:r>
      <w:r w:rsidRPr="00F55A79">
        <w:rPr>
          <w:color w:val="000000" w:themeColor="text1"/>
        </w:rPr>
        <w:t>Public Advocates Office at the Commission (</w:t>
      </w:r>
      <w:r w:rsidRPr="00F55A79" w:rsidR="002C5050">
        <w:rPr>
          <w:color w:val="000000" w:themeColor="text1"/>
        </w:rPr>
        <w:t>Cal Advocates</w:t>
      </w:r>
      <w:r w:rsidRPr="00F55A79">
        <w:rPr>
          <w:color w:val="000000" w:themeColor="text1"/>
        </w:rPr>
        <w:t>)</w:t>
      </w:r>
      <w:r w:rsidRPr="00F55A79" w:rsidR="002C5050">
        <w:rPr>
          <w:color w:val="000000" w:themeColor="text1"/>
        </w:rPr>
        <w:t xml:space="preserve">, </w:t>
      </w:r>
      <w:r w:rsidRPr="00F55A79">
        <w:rPr>
          <w:color w:val="000000" w:themeColor="text1"/>
        </w:rPr>
        <w:t>The Utility Reform Network (</w:t>
      </w:r>
      <w:r w:rsidRPr="00F55A79" w:rsidR="002C5050">
        <w:rPr>
          <w:color w:val="000000" w:themeColor="text1"/>
        </w:rPr>
        <w:t>TURN</w:t>
      </w:r>
      <w:r w:rsidRPr="00F55A79">
        <w:rPr>
          <w:color w:val="000000" w:themeColor="text1"/>
        </w:rPr>
        <w:t>)</w:t>
      </w:r>
      <w:r w:rsidRPr="00F55A79" w:rsidR="002C5050">
        <w:rPr>
          <w:color w:val="000000" w:themeColor="text1"/>
        </w:rPr>
        <w:t xml:space="preserve">, and </w:t>
      </w:r>
      <w:r w:rsidRPr="00F55A79">
        <w:rPr>
          <w:color w:val="000000" w:themeColor="text1"/>
        </w:rPr>
        <w:t>Center for Accessible Technology (</w:t>
      </w:r>
      <w:r w:rsidRPr="00F55A79" w:rsidR="002C5050">
        <w:rPr>
          <w:color w:val="000000" w:themeColor="text1"/>
        </w:rPr>
        <w:t>CforAT</w:t>
      </w:r>
      <w:r w:rsidRPr="00F55A79">
        <w:rPr>
          <w:color w:val="000000" w:themeColor="text1"/>
        </w:rPr>
        <w:t>)</w:t>
      </w:r>
      <w:r w:rsidRPr="00F55A79" w:rsidR="002C5050">
        <w:rPr>
          <w:color w:val="000000" w:themeColor="text1"/>
        </w:rPr>
        <w:t xml:space="preserve"> filed a joint motion to amend the scoping memo and ruling.  Verizon and Frontier opposed this joint motion and </w:t>
      </w:r>
      <w:r w:rsidRPr="00F55A79">
        <w:rPr>
          <w:color w:val="000000" w:themeColor="text1"/>
        </w:rPr>
        <w:t>California Emerging Technology Fund (</w:t>
      </w:r>
      <w:r w:rsidRPr="00F55A79" w:rsidR="002C5050">
        <w:rPr>
          <w:color w:val="000000" w:themeColor="text1"/>
        </w:rPr>
        <w:t>CETF</w:t>
      </w:r>
      <w:r w:rsidRPr="00F55A79">
        <w:rPr>
          <w:color w:val="000000" w:themeColor="text1"/>
        </w:rPr>
        <w:t>)</w:t>
      </w:r>
      <w:r w:rsidRPr="00F55A79" w:rsidR="002C5050">
        <w:rPr>
          <w:color w:val="000000" w:themeColor="text1"/>
        </w:rPr>
        <w:t xml:space="preserve"> responded to it in respective February 19, 2025 filings.  The Assigned Commissioner denied this motion on April 16, 2025.</w:t>
      </w:r>
    </w:p>
    <w:p w:rsidRPr="00F55A79" w:rsidR="002C5050" w:rsidP="002C5050" w:rsidRDefault="002C5050" w14:paraId="239AC2BE" w14:textId="79F42C17">
      <w:pPr>
        <w:rPr>
          <w:color w:val="000000" w:themeColor="text1"/>
        </w:rPr>
      </w:pPr>
      <w:r w:rsidRPr="00F55A79">
        <w:rPr>
          <w:color w:val="000000" w:themeColor="text1"/>
        </w:rPr>
        <w:t xml:space="preserve">The Joint Applicants served direct testimony on January 24, 2025 and supplemental testimony in response to a March 26, 2025 </w:t>
      </w:r>
      <w:r w:rsidR="00E2684D">
        <w:rPr>
          <w:color w:val="000000" w:themeColor="text1"/>
        </w:rPr>
        <w:t>Administrative Law Judge (</w:t>
      </w:r>
      <w:r w:rsidRPr="00F55A79">
        <w:rPr>
          <w:color w:val="000000" w:themeColor="text1"/>
        </w:rPr>
        <w:t>ALJ</w:t>
      </w:r>
      <w:r w:rsidR="00E2684D">
        <w:rPr>
          <w:color w:val="000000" w:themeColor="text1"/>
        </w:rPr>
        <w:t>)</w:t>
      </w:r>
      <w:r w:rsidRPr="00F55A79">
        <w:rPr>
          <w:color w:val="000000" w:themeColor="text1"/>
        </w:rPr>
        <w:t xml:space="preserve"> Ruling on April 25, 2025.</w:t>
      </w:r>
    </w:p>
    <w:p w:rsidRPr="00F55A79" w:rsidR="002C5050" w:rsidP="002C5050" w:rsidRDefault="002C5050" w14:paraId="032DCB38" w14:textId="12EE4873">
      <w:pPr>
        <w:rPr>
          <w:color w:val="000000" w:themeColor="text1"/>
        </w:rPr>
      </w:pPr>
      <w:r w:rsidRPr="00F55A79">
        <w:rPr>
          <w:color w:val="000000" w:themeColor="text1"/>
        </w:rPr>
        <w:t xml:space="preserve">On March 28, 2025, the </w:t>
      </w:r>
      <w:r w:rsidRPr="00F55A79" w:rsidR="008F485C">
        <w:rPr>
          <w:color w:val="000000" w:themeColor="text1"/>
        </w:rPr>
        <w:t>a</w:t>
      </w:r>
      <w:r w:rsidRPr="00F55A79">
        <w:rPr>
          <w:color w:val="000000" w:themeColor="text1"/>
        </w:rPr>
        <w:t xml:space="preserve">ssigned ALJs filed notice of public participation hearings.  Those public participation hearings took place on May 29, June 11, June 16, June 18, June 24, June 30, July 7, and July 15, 2025, with two sessions on </w:t>
      </w:r>
      <w:r w:rsidRPr="00F55A79">
        <w:rPr>
          <w:color w:val="000000" w:themeColor="text1"/>
        </w:rPr>
        <w:lastRenderedPageBreak/>
        <w:t>each day.  Twelve of the sessions were held in person in locations throughout the state and four were conducted virtually.</w:t>
      </w:r>
    </w:p>
    <w:p w:rsidRPr="00F55A79" w:rsidR="002C5050" w:rsidP="002C5050" w:rsidRDefault="002C5050" w14:paraId="0ED9CECE" w14:textId="1C804A2D">
      <w:pPr>
        <w:rPr>
          <w:color w:val="000000" w:themeColor="text1"/>
        </w:rPr>
      </w:pPr>
      <w:r w:rsidRPr="00F55A79">
        <w:rPr>
          <w:color w:val="000000" w:themeColor="text1"/>
        </w:rPr>
        <w:t xml:space="preserve">Cal Advocates, CETF, CforAT, and TURN served opening testimony on May 1, 2025.  Verizon, Frontier, Cal Advocates, and TURN served rebuttal testimony on May 15, 2025. </w:t>
      </w:r>
    </w:p>
    <w:p w:rsidRPr="00F55A79" w:rsidR="002C5050" w:rsidP="002C5050" w:rsidRDefault="002C5050" w14:paraId="54DF75CD" w14:textId="0E269157">
      <w:pPr>
        <w:rPr>
          <w:color w:val="000000" w:themeColor="text1"/>
        </w:rPr>
      </w:pPr>
      <w:r w:rsidRPr="00F55A79">
        <w:rPr>
          <w:color w:val="000000" w:themeColor="text1"/>
        </w:rPr>
        <w:t xml:space="preserve">On May 29, 2025, the Assigned Commissioner issued an Amended Scoping Memo and Ruling (Amended Scoping Memo).  In response to questions in the Amended Scoping Memo and Ruling, the Joint Applicants served Second Supplemental Testimony on June 18, 2025. </w:t>
      </w:r>
      <w:r w:rsidRPr="00F55A79" w:rsidR="008C02A8">
        <w:rPr>
          <w:color w:val="000000" w:themeColor="text1"/>
        </w:rPr>
        <w:t xml:space="preserve"> </w:t>
      </w:r>
      <w:r w:rsidRPr="00F55A79">
        <w:rPr>
          <w:color w:val="000000" w:themeColor="text1"/>
        </w:rPr>
        <w:t>Following submission of Second Supplemental Testimony, the Assigned Commissioner issued</w:t>
      </w:r>
      <w:r w:rsidRPr="00F55A79" w:rsidR="008C02A8">
        <w:rPr>
          <w:color w:val="000000" w:themeColor="text1"/>
        </w:rPr>
        <w:t xml:space="preserve"> a ruling</w:t>
      </w:r>
      <w:r w:rsidRPr="00F55A79">
        <w:rPr>
          <w:color w:val="000000" w:themeColor="text1"/>
        </w:rPr>
        <w:t xml:space="preserve"> </w:t>
      </w:r>
      <w:r w:rsidRPr="00F55A79" w:rsidR="00806834">
        <w:rPr>
          <w:color w:val="000000" w:themeColor="text1"/>
        </w:rPr>
        <w:t xml:space="preserve">on July 23, 2025 that required </w:t>
      </w:r>
      <w:r w:rsidRPr="00F55A79" w:rsidR="00B63784">
        <w:rPr>
          <w:color w:val="000000" w:themeColor="text1"/>
        </w:rPr>
        <w:t xml:space="preserve">the Joint Applicants to serve </w:t>
      </w:r>
      <w:r w:rsidRPr="00F55A79" w:rsidR="00806834">
        <w:rPr>
          <w:color w:val="000000" w:themeColor="text1"/>
        </w:rPr>
        <w:t>additional testimony</w:t>
      </w:r>
      <w:r w:rsidRPr="00F55A79">
        <w:rPr>
          <w:color w:val="000000" w:themeColor="text1"/>
        </w:rPr>
        <w:t xml:space="preserve">.  The Joint Applicants responded with Third Supplemental Testimony on </w:t>
      </w:r>
      <w:r w:rsidRPr="00F55A79" w:rsidR="008C02A8">
        <w:rPr>
          <w:color w:val="000000" w:themeColor="text1"/>
        </w:rPr>
        <w:t>July 30, 2025</w:t>
      </w:r>
      <w:r w:rsidRPr="00F55A79">
        <w:rPr>
          <w:color w:val="000000" w:themeColor="text1"/>
        </w:rPr>
        <w:t>.</w:t>
      </w:r>
    </w:p>
    <w:p w:rsidRPr="00F55A79" w:rsidR="002C5050" w:rsidP="002C5050" w:rsidRDefault="002C5050" w14:paraId="1BB71676" w14:textId="33CAC653">
      <w:pPr>
        <w:rPr>
          <w:color w:val="000000" w:themeColor="text1"/>
        </w:rPr>
      </w:pPr>
      <w:r w:rsidRPr="00F55A79">
        <w:rPr>
          <w:color w:val="000000" w:themeColor="text1"/>
        </w:rPr>
        <w:t>On May 30, 2025, the Joint Applicants filed a motion to strike portions of testimony from Cal Advocate</w:t>
      </w:r>
      <w:r w:rsidRPr="00F55A79" w:rsidR="00093E39">
        <w:rPr>
          <w:color w:val="000000" w:themeColor="text1"/>
        </w:rPr>
        <w:t>s’ testimony</w:t>
      </w:r>
      <w:r w:rsidRPr="00F55A79">
        <w:rPr>
          <w:color w:val="000000" w:themeColor="text1"/>
        </w:rPr>
        <w:t>.  CforAT and Cal Advocates responded to the motion on June 16, 2025 and the Joint Applicants replied to the responses on June 26, 2025.  An assigned ALJ granted the motion, in part, on July 21, 2025.</w:t>
      </w:r>
    </w:p>
    <w:p w:rsidRPr="00F55A79" w:rsidR="002C5050" w:rsidP="002C5050" w:rsidRDefault="002C5050" w14:paraId="59E5704D" w14:textId="4700354D">
      <w:pPr>
        <w:rPr>
          <w:color w:val="000000" w:themeColor="text1"/>
        </w:rPr>
      </w:pPr>
      <w:r w:rsidRPr="00F55A79">
        <w:rPr>
          <w:color w:val="000000" w:themeColor="text1"/>
        </w:rPr>
        <w:t>On July 3, 2025, the Joint Applicants filed notice of a tribal information session.</w:t>
      </w:r>
    </w:p>
    <w:p w:rsidRPr="00F55A79" w:rsidR="004468D8" w:rsidP="002C5050" w:rsidRDefault="002C5050" w14:paraId="20C1CC4E" w14:textId="20C05DDB">
      <w:pPr>
        <w:rPr>
          <w:color w:val="000000" w:themeColor="text1"/>
        </w:rPr>
      </w:pPr>
      <w:r w:rsidRPr="00F55A79">
        <w:rPr>
          <w:color w:val="000000" w:themeColor="text1"/>
        </w:rPr>
        <w:t xml:space="preserve">On July </w:t>
      </w:r>
      <w:r w:rsidRPr="00F55A79" w:rsidR="004468D8">
        <w:rPr>
          <w:color w:val="000000" w:themeColor="text1"/>
        </w:rPr>
        <w:t>23</w:t>
      </w:r>
      <w:r w:rsidRPr="00F55A79">
        <w:rPr>
          <w:color w:val="000000" w:themeColor="text1"/>
        </w:rPr>
        <w:t xml:space="preserve">, 2025, </w:t>
      </w:r>
      <w:r w:rsidRPr="00F55A79" w:rsidR="004468D8">
        <w:rPr>
          <w:color w:val="000000" w:themeColor="text1"/>
        </w:rPr>
        <w:t xml:space="preserve">the </w:t>
      </w:r>
      <w:r w:rsidRPr="00F55A79" w:rsidR="008F485C">
        <w:rPr>
          <w:color w:val="000000" w:themeColor="text1"/>
        </w:rPr>
        <w:t>a</w:t>
      </w:r>
      <w:r w:rsidRPr="00F55A79" w:rsidR="004468D8">
        <w:rPr>
          <w:color w:val="000000" w:themeColor="text1"/>
        </w:rPr>
        <w:t xml:space="preserve">ssigned Commissioner </w:t>
      </w:r>
      <w:r w:rsidRPr="00F55A79" w:rsidR="003D0A4E">
        <w:rPr>
          <w:color w:val="000000" w:themeColor="text1"/>
        </w:rPr>
        <w:t>issued a ruling requiring additional testimony from the Joint Parties, due July 20, 2025 and referred to as Third Supplemental Testimony.</w:t>
      </w:r>
      <w:r w:rsidRPr="00F55A79" w:rsidR="0079208E">
        <w:rPr>
          <w:color w:val="000000" w:themeColor="text1"/>
        </w:rPr>
        <w:t xml:space="preserve">  Also on July 23, 2025, the </w:t>
      </w:r>
      <w:r w:rsidRPr="00F55A79" w:rsidR="008F485C">
        <w:rPr>
          <w:color w:val="000000" w:themeColor="text1"/>
        </w:rPr>
        <w:t>a</w:t>
      </w:r>
      <w:r w:rsidRPr="00F55A79" w:rsidR="0079208E">
        <w:rPr>
          <w:color w:val="000000" w:themeColor="text1"/>
        </w:rPr>
        <w:t>ssigned ALJ issued a ruling modifying the procedural schedule.</w:t>
      </w:r>
    </w:p>
    <w:p w:rsidRPr="00F55A79" w:rsidR="00D70AE1" w:rsidP="002C5050" w:rsidRDefault="008A4925" w14:paraId="3D8C2EDA" w14:textId="14959982">
      <w:pPr>
        <w:rPr>
          <w:color w:val="000000" w:themeColor="text1"/>
        </w:rPr>
      </w:pPr>
      <w:r w:rsidRPr="00F55A79">
        <w:rPr>
          <w:color w:val="000000" w:themeColor="text1"/>
        </w:rPr>
        <w:t xml:space="preserve">On August 1, 2025, CforAT </w:t>
      </w:r>
      <w:r w:rsidRPr="00F55A79" w:rsidR="00E90C5F">
        <w:rPr>
          <w:color w:val="000000" w:themeColor="text1"/>
        </w:rPr>
        <w:t xml:space="preserve">filed a motion requesting stay of the proceeding to conduct additional discovery </w:t>
      </w:r>
      <w:r w:rsidRPr="00F55A79" w:rsidR="00FF4D5F">
        <w:rPr>
          <w:color w:val="000000" w:themeColor="text1"/>
        </w:rPr>
        <w:t xml:space="preserve">and submit rebuttal testimony. </w:t>
      </w:r>
      <w:r w:rsidRPr="00F55A79" w:rsidR="00B96AB3">
        <w:rPr>
          <w:color w:val="000000" w:themeColor="text1"/>
        </w:rPr>
        <w:t xml:space="preserve"> The </w:t>
      </w:r>
      <w:r w:rsidRPr="00F55A79" w:rsidR="00B96AB3">
        <w:rPr>
          <w:color w:val="000000" w:themeColor="text1"/>
        </w:rPr>
        <w:lastRenderedPageBreak/>
        <w:t>Joint Applicants responded to this motion on August 5, 2025</w:t>
      </w:r>
      <w:r w:rsidRPr="00F55A79" w:rsidR="00DF7493">
        <w:rPr>
          <w:color w:val="000000" w:themeColor="text1"/>
        </w:rPr>
        <w:t xml:space="preserve">.  The assigned ALJ </w:t>
      </w:r>
      <w:r w:rsidRPr="00F55A79" w:rsidR="0054466C">
        <w:rPr>
          <w:color w:val="000000" w:themeColor="text1"/>
        </w:rPr>
        <w:t>granted</w:t>
      </w:r>
      <w:r w:rsidRPr="00F55A79" w:rsidR="00DF7493">
        <w:rPr>
          <w:color w:val="000000" w:themeColor="text1"/>
        </w:rPr>
        <w:t xml:space="preserve"> this motion, in part, </w:t>
      </w:r>
      <w:r w:rsidRPr="00F55A79" w:rsidR="0054466C">
        <w:rPr>
          <w:color w:val="000000" w:themeColor="text1"/>
        </w:rPr>
        <w:t>on August 12, 2025.</w:t>
      </w:r>
    </w:p>
    <w:p w:rsidRPr="00F55A79" w:rsidR="00F95BB2" w:rsidP="00D70AE1" w:rsidRDefault="00BC5181" w14:paraId="5E358AE6" w14:textId="3C0E6F20">
      <w:pPr>
        <w:rPr>
          <w:color w:val="000000" w:themeColor="text1"/>
        </w:rPr>
      </w:pPr>
      <w:r w:rsidRPr="00F55A79">
        <w:rPr>
          <w:color w:val="000000" w:themeColor="text1"/>
        </w:rPr>
        <w:t xml:space="preserve">On August 6, 2025, </w:t>
      </w:r>
      <w:r w:rsidRPr="00F55A79" w:rsidR="007C0A77">
        <w:rPr>
          <w:color w:val="000000" w:themeColor="text1"/>
        </w:rPr>
        <w:t>Communication Workers of America District 9 (</w:t>
      </w:r>
      <w:r w:rsidRPr="00F55A79" w:rsidR="002C5050">
        <w:rPr>
          <w:color w:val="000000" w:themeColor="text1"/>
        </w:rPr>
        <w:t>CWA</w:t>
      </w:r>
      <w:r w:rsidRPr="00F55A79" w:rsidR="007C0A77">
        <w:rPr>
          <w:color w:val="000000" w:themeColor="text1"/>
        </w:rPr>
        <w:t>) filed a motion to become a party</w:t>
      </w:r>
      <w:r w:rsidRPr="00F55A79" w:rsidR="00D45390">
        <w:rPr>
          <w:color w:val="000000" w:themeColor="text1"/>
        </w:rPr>
        <w:t xml:space="preserve">.  Verizon responded to this motion on August 11, 2025 and </w:t>
      </w:r>
      <w:r w:rsidRPr="00F55A79" w:rsidR="00911211">
        <w:rPr>
          <w:color w:val="000000" w:themeColor="text1"/>
        </w:rPr>
        <w:t xml:space="preserve">on August 13, 2025, </w:t>
      </w:r>
      <w:r w:rsidRPr="00F55A79" w:rsidR="00D45390">
        <w:rPr>
          <w:color w:val="000000" w:themeColor="text1"/>
        </w:rPr>
        <w:t xml:space="preserve">the assigned ALJ </w:t>
      </w:r>
      <w:r w:rsidRPr="00F55A79" w:rsidR="00911211">
        <w:rPr>
          <w:color w:val="000000" w:themeColor="text1"/>
        </w:rPr>
        <w:t>authorized</w:t>
      </w:r>
      <w:r w:rsidRPr="00F55A79" w:rsidR="00D45390">
        <w:rPr>
          <w:color w:val="000000" w:themeColor="text1"/>
        </w:rPr>
        <w:t xml:space="preserve"> CWA</w:t>
      </w:r>
      <w:r w:rsidRPr="00F55A79" w:rsidR="00911211">
        <w:rPr>
          <w:color w:val="000000" w:themeColor="text1"/>
        </w:rPr>
        <w:t xml:space="preserve"> to respond to Verizon.  </w:t>
      </w:r>
      <w:r w:rsidRPr="00F55A79" w:rsidR="00BE370C">
        <w:rPr>
          <w:color w:val="000000" w:themeColor="text1"/>
        </w:rPr>
        <w:t>CforAT and TURN jointly responded to the CWA motion</w:t>
      </w:r>
      <w:r w:rsidRPr="00F55A79" w:rsidR="00174CC7">
        <w:rPr>
          <w:color w:val="000000" w:themeColor="text1"/>
        </w:rPr>
        <w:t>, and</w:t>
      </w:r>
      <w:r w:rsidRPr="00F55A79" w:rsidR="00BE370C">
        <w:rPr>
          <w:color w:val="000000" w:themeColor="text1"/>
        </w:rPr>
        <w:t xml:space="preserve"> </w:t>
      </w:r>
      <w:r w:rsidRPr="00F55A79" w:rsidR="00174CC7">
        <w:rPr>
          <w:color w:val="000000" w:themeColor="text1"/>
        </w:rPr>
        <w:t xml:space="preserve">CWA responded to Verizon, </w:t>
      </w:r>
      <w:r w:rsidRPr="00F55A79" w:rsidR="00BE370C">
        <w:rPr>
          <w:color w:val="000000" w:themeColor="text1"/>
        </w:rPr>
        <w:t xml:space="preserve">on August 14, 2025. </w:t>
      </w:r>
      <w:r w:rsidRPr="00F55A79" w:rsidR="00174CC7">
        <w:rPr>
          <w:color w:val="000000" w:themeColor="text1"/>
        </w:rPr>
        <w:t xml:space="preserve"> On August 15, 2025, </w:t>
      </w:r>
      <w:r w:rsidRPr="00F55A79" w:rsidR="005F314E">
        <w:rPr>
          <w:color w:val="000000" w:themeColor="text1"/>
        </w:rPr>
        <w:t xml:space="preserve">the </w:t>
      </w:r>
      <w:r w:rsidRPr="00F55A79" w:rsidR="008F485C">
        <w:rPr>
          <w:color w:val="000000" w:themeColor="text1"/>
        </w:rPr>
        <w:t>a</w:t>
      </w:r>
      <w:r w:rsidRPr="00F55A79" w:rsidR="005F314E">
        <w:rPr>
          <w:color w:val="000000" w:themeColor="text1"/>
        </w:rPr>
        <w:t>ssigned ALJ granted CWA’s motion for party status.</w:t>
      </w:r>
    </w:p>
    <w:p w:rsidRPr="00F55A79" w:rsidR="00A83259" w:rsidP="002C5050" w:rsidRDefault="00A83259" w14:paraId="06B28F7B" w14:textId="5D0CDBB9">
      <w:pPr>
        <w:rPr>
          <w:color w:val="000000" w:themeColor="text1"/>
        </w:rPr>
      </w:pPr>
      <w:r w:rsidRPr="00F55A79">
        <w:rPr>
          <w:color w:val="000000" w:themeColor="text1"/>
        </w:rPr>
        <w:t>On August 12, 2025, parties submitted a Joint Case Management Statement.</w:t>
      </w:r>
    </w:p>
    <w:p w:rsidRPr="00F55A79" w:rsidR="002C5050" w:rsidP="002C5050" w:rsidRDefault="002C5050" w14:paraId="11F39883" w14:textId="3D4E7A31">
      <w:pPr>
        <w:rPr>
          <w:color w:val="000000" w:themeColor="text1"/>
        </w:rPr>
      </w:pPr>
      <w:r w:rsidRPr="00F55A79">
        <w:rPr>
          <w:color w:val="000000" w:themeColor="text1"/>
        </w:rPr>
        <w:t xml:space="preserve">On August 21, 2025, the Santa Ynez Band of Chumash Indians (Chumash Tribe) filed a motion to become a party to the proceeding.  The assigned ALJ granted this motion on </w:t>
      </w:r>
      <w:r w:rsidRPr="00F55A79" w:rsidR="00190391">
        <w:rPr>
          <w:color w:val="000000" w:themeColor="text1"/>
        </w:rPr>
        <w:t>September 2</w:t>
      </w:r>
      <w:r w:rsidRPr="00F55A79">
        <w:rPr>
          <w:color w:val="000000" w:themeColor="text1"/>
        </w:rPr>
        <w:t>, 2025.</w:t>
      </w:r>
    </w:p>
    <w:p w:rsidRPr="00F55A79" w:rsidR="002C5050" w:rsidP="002C5050" w:rsidRDefault="002C5050" w14:paraId="1A5C718C" w14:textId="382CBF39">
      <w:pPr>
        <w:rPr>
          <w:color w:val="000000" w:themeColor="text1"/>
        </w:rPr>
      </w:pPr>
      <w:r w:rsidRPr="00F55A79">
        <w:rPr>
          <w:color w:val="000000" w:themeColor="text1"/>
        </w:rPr>
        <w:t>On September 4, 2025, the Joint Applicants submitted three joint motions for adoption of settlement agreement</w:t>
      </w:r>
      <w:r w:rsidRPr="00F55A79" w:rsidR="006122F1">
        <w:rPr>
          <w:color w:val="000000" w:themeColor="text1"/>
        </w:rPr>
        <w:t xml:space="preserve"> with counterparties</w:t>
      </w:r>
      <w:r w:rsidRPr="00F55A79">
        <w:rPr>
          <w:color w:val="000000" w:themeColor="text1"/>
        </w:rPr>
        <w:t xml:space="preserve">, covering agreements with: </w:t>
      </w:r>
      <w:r w:rsidRPr="00F55A79" w:rsidR="008F485C">
        <w:rPr>
          <w:color w:val="000000" w:themeColor="text1"/>
        </w:rPr>
        <w:t xml:space="preserve"> (</w:t>
      </w:r>
      <w:r w:rsidRPr="00F55A79">
        <w:rPr>
          <w:color w:val="000000" w:themeColor="text1"/>
        </w:rPr>
        <w:t xml:space="preserve">1) Cal Advocates, </w:t>
      </w:r>
      <w:r w:rsidRPr="00F55A79" w:rsidR="008F485C">
        <w:rPr>
          <w:color w:val="000000" w:themeColor="text1"/>
        </w:rPr>
        <w:t>(</w:t>
      </w:r>
      <w:r w:rsidRPr="00F55A79">
        <w:rPr>
          <w:color w:val="000000" w:themeColor="text1"/>
        </w:rPr>
        <w:t xml:space="preserve">2) CETF, and </w:t>
      </w:r>
      <w:r w:rsidRPr="00F55A79" w:rsidR="008F485C">
        <w:rPr>
          <w:color w:val="000000" w:themeColor="text1"/>
        </w:rPr>
        <w:t>(</w:t>
      </w:r>
      <w:r w:rsidRPr="00F55A79">
        <w:rPr>
          <w:color w:val="000000" w:themeColor="text1"/>
        </w:rPr>
        <w:t>3) CWA.</w:t>
      </w:r>
      <w:r w:rsidRPr="00F55A79" w:rsidR="006B3244">
        <w:rPr>
          <w:color w:val="000000" w:themeColor="text1"/>
        </w:rPr>
        <w:t xml:space="preserve">  These settlement agreements are reproduced here as Exhibits A, B, and C, respectively.</w:t>
      </w:r>
      <w:r w:rsidRPr="00F55A79">
        <w:rPr>
          <w:color w:val="000000" w:themeColor="text1"/>
        </w:rPr>
        <w:t xml:space="preserve"> </w:t>
      </w:r>
    </w:p>
    <w:p w:rsidRPr="00F55A79" w:rsidR="002C5050" w:rsidP="002C5050" w:rsidRDefault="00C71FAC" w14:paraId="3A871D3F" w14:textId="49024FD3">
      <w:pPr>
        <w:rPr>
          <w:color w:val="000000" w:themeColor="text1"/>
        </w:rPr>
      </w:pPr>
      <w:r w:rsidRPr="00F55A79">
        <w:rPr>
          <w:color w:val="000000" w:themeColor="text1"/>
        </w:rPr>
        <w:t>On September 4, 202</w:t>
      </w:r>
      <w:r w:rsidRPr="00F55A79" w:rsidR="0045123B">
        <w:rPr>
          <w:color w:val="000000" w:themeColor="text1"/>
        </w:rPr>
        <w:t>5</w:t>
      </w:r>
      <w:r w:rsidRPr="00F55A79">
        <w:rPr>
          <w:color w:val="000000" w:themeColor="text1"/>
        </w:rPr>
        <w:t xml:space="preserve">, </w:t>
      </w:r>
      <w:r w:rsidRPr="00F55A79" w:rsidR="00D55B87">
        <w:rPr>
          <w:color w:val="000000" w:themeColor="text1"/>
        </w:rPr>
        <w:t xml:space="preserve">the assigned ALJ issued a ruling setting the hearing schedule. </w:t>
      </w:r>
      <w:r w:rsidRPr="00F55A79" w:rsidR="002C5050">
        <w:rPr>
          <w:color w:val="000000" w:themeColor="text1"/>
        </w:rPr>
        <w:t>Parties submitted a</w:t>
      </w:r>
      <w:r w:rsidRPr="00F55A79" w:rsidR="00A83259">
        <w:rPr>
          <w:color w:val="000000" w:themeColor="text1"/>
        </w:rPr>
        <w:t xml:space="preserve"> second</w:t>
      </w:r>
      <w:r w:rsidRPr="00F55A79" w:rsidR="002C5050">
        <w:rPr>
          <w:color w:val="000000" w:themeColor="text1"/>
        </w:rPr>
        <w:t xml:space="preserve"> Joint Case Management Statement on September 5, </w:t>
      </w:r>
      <w:r w:rsidRPr="00F55A79" w:rsidR="002C5050">
        <w:rPr>
          <w:rStyle w:val="StandardChar"/>
        </w:rPr>
        <w:t>2025.</w:t>
      </w:r>
      <w:r w:rsidRPr="00F55A79" w:rsidR="00F26624">
        <w:rPr>
          <w:rStyle w:val="FootnoteReference"/>
          <w:color w:val="000000" w:themeColor="text1"/>
        </w:rPr>
        <w:footnoteReference w:id="43"/>
      </w:r>
      <w:r w:rsidRPr="00F55A79" w:rsidR="00D55B87">
        <w:rPr>
          <w:rStyle w:val="StandardChar"/>
        </w:rPr>
        <w:t xml:space="preserve">  </w:t>
      </w:r>
      <w:r w:rsidRPr="00F55A79" w:rsidR="002C5050">
        <w:rPr>
          <w:color w:val="000000" w:themeColor="text1"/>
        </w:rPr>
        <w:t>Evidentiary Hearings were held September 9-10, 2025.</w:t>
      </w:r>
    </w:p>
    <w:p w:rsidRPr="00F55A79" w:rsidR="00E11A56" w:rsidP="002C5050" w:rsidRDefault="00C92CB8" w14:paraId="5724DC47" w14:textId="798D4130">
      <w:r w:rsidRPr="00F55A79">
        <w:rPr>
          <w:color w:val="000000" w:themeColor="text1"/>
        </w:rPr>
        <w:t xml:space="preserve">On September 5, 2025, the Joint Applicants filed a motion to modify the procedural schedule.  </w:t>
      </w:r>
      <w:r w:rsidRPr="00F55A79" w:rsidR="003208C3">
        <w:rPr>
          <w:color w:val="000000" w:themeColor="text1"/>
        </w:rPr>
        <w:t>CforAT</w:t>
      </w:r>
      <w:r w:rsidRPr="00F55A79" w:rsidR="00C77A95">
        <w:rPr>
          <w:color w:val="000000" w:themeColor="text1"/>
        </w:rPr>
        <w:t xml:space="preserve"> and TURN</w:t>
      </w:r>
      <w:r w:rsidRPr="00F55A79" w:rsidR="003208C3">
        <w:rPr>
          <w:color w:val="000000" w:themeColor="text1"/>
        </w:rPr>
        <w:t xml:space="preserve"> </w:t>
      </w:r>
      <w:r w:rsidRPr="00F55A79">
        <w:rPr>
          <w:color w:val="000000" w:themeColor="text1"/>
        </w:rPr>
        <w:t>responded to this motion on September 10, 2025</w:t>
      </w:r>
      <w:r w:rsidRPr="00F55A79" w:rsidR="00C77A95">
        <w:rPr>
          <w:color w:val="000000" w:themeColor="text1"/>
        </w:rPr>
        <w:t xml:space="preserve">.  The assigned ALJ granted </w:t>
      </w:r>
      <w:r w:rsidRPr="00F55A79" w:rsidR="0027185D">
        <w:rPr>
          <w:color w:val="000000" w:themeColor="text1"/>
        </w:rPr>
        <w:t xml:space="preserve">Frontier’s </w:t>
      </w:r>
      <w:r w:rsidRPr="00F55A79" w:rsidR="001553F3">
        <w:rPr>
          <w:color w:val="000000" w:themeColor="text1"/>
        </w:rPr>
        <w:t xml:space="preserve">September 11, 2025 request to respond to CforAT and TURN on September 11, 2025, and granted CETF’s </w:t>
      </w:r>
      <w:r w:rsidRPr="00F55A79" w:rsidR="001553F3">
        <w:rPr>
          <w:color w:val="000000" w:themeColor="text1"/>
        </w:rPr>
        <w:lastRenderedPageBreak/>
        <w:t>request for party responses to CforAT and TURN on September 1</w:t>
      </w:r>
      <w:r w:rsidRPr="00F55A79" w:rsidR="00107863">
        <w:rPr>
          <w:color w:val="000000" w:themeColor="text1"/>
        </w:rPr>
        <w:t>2</w:t>
      </w:r>
      <w:r w:rsidRPr="00F55A79" w:rsidR="001553F3">
        <w:rPr>
          <w:color w:val="000000" w:themeColor="text1"/>
        </w:rPr>
        <w:t>, 2025</w:t>
      </w:r>
      <w:r w:rsidRPr="00F55A79" w:rsidR="0027185D">
        <w:rPr>
          <w:color w:val="000000" w:themeColor="text1"/>
        </w:rPr>
        <w:t xml:space="preserve">.  </w:t>
      </w:r>
      <w:r w:rsidRPr="00F55A79" w:rsidR="00557712">
        <w:rPr>
          <w:color w:val="000000" w:themeColor="text1"/>
        </w:rPr>
        <w:t xml:space="preserve">On September 12, 2025 the Joint Applicants </w:t>
      </w:r>
      <w:r w:rsidRPr="00F55A79" w:rsidR="00266014">
        <w:rPr>
          <w:color w:val="000000" w:themeColor="text1"/>
        </w:rPr>
        <w:t xml:space="preserve">and CETF </w:t>
      </w:r>
      <w:r w:rsidRPr="00F55A79" w:rsidR="00557712">
        <w:rPr>
          <w:color w:val="000000" w:themeColor="text1"/>
        </w:rPr>
        <w:t xml:space="preserve">responded to the motion. </w:t>
      </w:r>
      <w:r w:rsidRPr="00F55A79" w:rsidR="00107863">
        <w:rPr>
          <w:color w:val="000000" w:themeColor="text1"/>
        </w:rPr>
        <w:t xml:space="preserve"> The assigned ALJ granted the motion to modify the procedural schedule, in part, </w:t>
      </w:r>
      <w:r w:rsidRPr="00F55A79" w:rsidR="008F485C">
        <w:rPr>
          <w:color w:val="000000" w:themeColor="text1"/>
        </w:rPr>
        <w:t>on</w:t>
      </w:r>
      <w:r w:rsidRPr="00F55A79" w:rsidR="00107863">
        <w:rPr>
          <w:color w:val="000000" w:themeColor="text1"/>
        </w:rPr>
        <w:t xml:space="preserve"> September 18, 2025.</w:t>
      </w:r>
    </w:p>
    <w:p w:rsidRPr="00F55A79" w:rsidR="00485F0C" w:rsidP="002C5050" w:rsidRDefault="00485F0C" w14:paraId="32B01935" w14:textId="0327AADB">
      <w:r w:rsidRPr="00F55A79">
        <w:t>On October 9, 2025</w:t>
      </w:r>
      <w:r w:rsidRPr="00F55A79" w:rsidR="00F14854">
        <w:t>, CforAT filed a motion for oral argument.</w:t>
      </w:r>
      <w:r w:rsidRPr="00F55A79" w:rsidR="000D5E41">
        <w:t xml:space="preserve">  </w:t>
      </w:r>
      <w:r w:rsidRPr="00F55A79" w:rsidR="00F442C7">
        <w:t>The Joint Applicants responded to this motion on October 23, 2025.</w:t>
      </w:r>
    </w:p>
    <w:p w:rsidRPr="00F55A79" w:rsidR="002C5050" w:rsidP="002C5050" w:rsidRDefault="002C5050" w14:paraId="6C79CEB4" w14:textId="0716581F">
      <w:pPr>
        <w:rPr>
          <w:color w:val="000000" w:themeColor="text1"/>
        </w:rPr>
      </w:pPr>
      <w:r w:rsidRPr="00F55A79">
        <w:t xml:space="preserve">On October 10, 2025, the Joint Applicants, Cal Advocates, CETF, CforAT, CWA, and TURN </w:t>
      </w:r>
      <w:r w:rsidRPr="00F55A79">
        <w:rPr>
          <w:color w:val="000000" w:themeColor="text1"/>
        </w:rPr>
        <w:t>served Opening Briefs</w:t>
      </w:r>
      <w:r w:rsidRPr="00F55A79" w:rsidR="00AB7272">
        <w:rPr>
          <w:color w:val="000000" w:themeColor="text1"/>
        </w:rPr>
        <w:t xml:space="preserve"> and responses to motions to approve settlement</w:t>
      </w:r>
      <w:r w:rsidRPr="00F55A79">
        <w:rPr>
          <w:color w:val="000000" w:themeColor="text1"/>
        </w:rPr>
        <w:t xml:space="preserve">. </w:t>
      </w:r>
      <w:r w:rsidRPr="00F55A79" w:rsidR="00F14854">
        <w:rPr>
          <w:color w:val="000000" w:themeColor="text1"/>
        </w:rPr>
        <w:t xml:space="preserve"> </w:t>
      </w:r>
      <w:r w:rsidRPr="00F55A79">
        <w:rPr>
          <w:color w:val="000000" w:themeColor="text1"/>
        </w:rPr>
        <w:t xml:space="preserve">The Joint Applicants’ Opening Brief contained additional commitments beyond the commitments made in the </w:t>
      </w:r>
      <w:r w:rsidRPr="00F55A79">
        <w:rPr>
          <w:rStyle w:val="StandardChar"/>
          <w:color w:val="000000" w:themeColor="text1"/>
        </w:rPr>
        <w:t>settlement agreements.</w:t>
      </w:r>
      <w:r w:rsidRPr="00F55A79">
        <w:rPr>
          <w:color w:val="000000" w:themeColor="text1"/>
          <w:vertAlign w:val="superscript"/>
        </w:rPr>
        <w:footnoteReference w:id="44"/>
      </w:r>
    </w:p>
    <w:p w:rsidRPr="00F55A79" w:rsidR="002C5050" w:rsidP="002C5050" w:rsidRDefault="0003011D" w14:paraId="17FBC0E9" w14:textId="491532E3">
      <w:pPr>
        <w:rPr>
          <w:color w:val="000000" w:themeColor="text1"/>
        </w:rPr>
      </w:pPr>
      <w:r w:rsidRPr="00F55A79">
        <w:rPr>
          <w:color w:val="000000" w:themeColor="text1"/>
        </w:rPr>
        <w:t>The Chumash Tribe filed an opening brief on October 13, 2025</w:t>
      </w:r>
      <w:r w:rsidRPr="00F55A79" w:rsidR="005125C7">
        <w:rPr>
          <w:color w:val="000000" w:themeColor="text1"/>
        </w:rPr>
        <w:t xml:space="preserve">.  </w:t>
      </w:r>
      <w:r w:rsidRPr="00F55A79" w:rsidR="007455B6">
        <w:rPr>
          <w:color w:val="000000" w:themeColor="text1"/>
        </w:rPr>
        <w:t xml:space="preserve">On October 17, 2025, </w:t>
      </w:r>
      <w:r w:rsidRPr="00F55A79" w:rsidR="00F56DE9">
        <w:rPr>
          <w:color w:val="000000" w:themeColor="text1"/>
        </w:rPr>
        <w:t>the Chumash Tribe filed a motion to accept late filing of its opening brief.</w:t>
      </w:r>
      <w:r w:rsidRPr="00F55A79" w:rsidR="007455B6">
        <w:rPr>
          <w:color w:val="000000" w:themeColor="text1"/>
        </w:rPr>
        <w:t xml:space="preserve"> </w:t>
      </w:r>
      <w:r w:rsidRPr="00F55A79" w:rsidR="00F56DE9">
        <w:rPr>
          <w:color w:val="000000" w:themeColor="text1"/>
        </w:rPr>
        <w:t xml:space="preserve"> </w:t>
      </w:r>
      <w:r w:rsidRPr="00F55A79" w:rsidR="002B2811">
        <w:rPr>
          <w:color w:val="000000" w:themeColor="text1"/>
        </w:rPr>
        <w:t>An ALJ ruling on October 30, 2025 required the Chumash Tribe</w:t>
      </w:r>
      <w:r w:rsidRPr="00F55A79" w:rsidR="008F187E">
        <w:rPr>
          <w:color w:val="000000" w:themeColor="text1"/>
        </w:rPr>
        <w:t xml:space="preserve"> to resubmit its </w:t>
      </w:r>
      <w:r w:rsidRPr="00F55A79" w:rsidR="002B2811">
        <w:rPr>
          <w:color w:val="000000" w:themeColor="text1"/>
        </w:rPr>
        <w:t>opening brief as a settlement</w:t>
      </w:r>
      <w:r w:rsidRPr="00F55A79" w:rsidR="007561DD">
        <w:rPr>
          <w:color w:val="000000" w:themeColor="text1"/>
        </w:rPr>
        <w:t xml:space="preserve"> </w:t>
      </w:r>
      <w:r w:rsidRPr="00F55A79" w:rsidR="002B2811">
        <w:rPr>
          <w:color w:val="000000" w:themeColor="text1"/>
        </w:rPr>
        <w:t>agreement by written motion</w:t>
      </w:r>
      <w:r w:rsidRPr="00F55A79" w:rsidR="007561DD">
        <w:rPr>
          <w:color w:val="000000" w:themeColor="text1"/>
        </w:rPr>
        <w:t xml:space="preserve">. </w:t>
      </w:r>
      <w:r w:rsidRPr="00F55A79" w:rsidR="005125C7">
        <w:rPr>
          <w:color w:val="000000" w:themeColor="text1"/>
        </w:rPr>
        <w:t xml:space="preserve"> </w:t>
      </w:r>
      <w:r w:rsidRPr="00F55A79" w:rsidR="007561DD">
        <w:rPr>
          <w:color w:val="000000" w:themeColor="text1"/>
        </w:rPr>
        <w:t xml:space="preserve">The </w:t>
      </w:r>
      <w:r w:rsidRPr="00F55A79" w:rsidR="002B2811">
        <w:rPr>
          <w:color w:val="000000" w:themeColor="text1"/>
        </w:rPr>
        <w:t>Chumash Tribe re-submit</w:t>
      </w:r>
      <w:r w:rsidRPr="00F55A79" w:rsidR="007561DD">
        <w:rPr>
          <w:color w:val="000000" w:themeColor="text1"/>
        </w:rPr>
        <w:t>ted</w:t>
      </w:r>
      <w:r w:rsidRPr="00F55A79" w:rsidR="002B2811">
        <w:rPr>
          <w:color w:val="000000" w:themeColor="text1"/>
        </w:rPr>
        <w:t xml:space="preserve"> its opening brief through </w:t>
      </w:r>
      <w:r w:rsidRPr="00F55A79" w:rsidR="007561DD">
        <w:rPr>
          <w:color w:val="000000" w:themeColor="text1"/>
        </w:rPr>
        <w:t xml:space="preserve">a </w:t>
      </w:r>
      <w:r w:rsidRPr="00F55A79" w:rsidR="002B2811">
        <w:rPr>
          <w:color w:val="000000" w:themeColor="text1"/>
        </w:rPr>
        <w:t>motion pursuant to Rule 11.1 and Rule 12.1</w:t>
      </w:r>
      <w:r w:rsidRPr="00F55A79" w:rsidR="007561DD">
        <w:rPr>
          <w:color w:val="000000" w:themeColor="text1"/>
        </w:rPr>
        <w:t xml:space="preserve"> on October 31, 2025.  </w:t>
      </w:r>
    </w:p>
    <w:p w:rsidR="00EE3060" w:rsidP="00096D54" w:rsidRDefault="002C5050" w14:paraId="2B958837" w14:textId="5C67B205">
      <w:pPr>
        <w:rPr>
          <w:color w:val="000000" w:themeColor="text1"/>
        </w:rPr>
      </w:pPr>
      <w:r w:rsidRPr="00F55A79">
        <w:rPr>
          <w:color w:val="000000" w:themeColor="text1"/>
        </w:rPr>
        <w:t>The Joint Applicants, Cal Advocates, CETF, CforAT, and TURN served Reply Briefs on October 31, 2025.</w:t>
      </w:r>
    </w:p>
    <w:p w:rsidR="00E2684D" w:rsidP="00096D54" w:rsidRDefault="00E2684D" w14:paraId="402AEE83" w14:textId="6F38A245">
      <w:pPr>
        <w:rPr>
          <w:color w:val="000000" w:themeColor="text1"/>
        </w:rPr>
      </w:pPr>
      <w:r>
        <w:rPr>
          <w:color w:val="000000" w:themeColor="text1"/>
        </w:rPr>
        <w:t>On January 12, 2026, oral arguments were held.</w:t>
      </w:r>
    </w:p>
    <w:p w:rsidRPr="00F55A79" w:rsidR="00E2684D" w:rsidP="00096D54" w:rsidRDefault="00E2684D" w14:paraId="160691D7" w14:textId="564DC39F">
      <w:pPr>
        <w:rPr>
          <w:color w:val="000000" w:themeColor="text1"/>
        </w:rPr>
      </w:pPr>
      <w:r>
        <w:rPr>
          <w:color w:val="000000" w:themeColor="text1"/>
        </w:rPr>
        <w:t>The assigned ALJ ruling granted two motions by TURN by e-mail on January 13, 2026.</w:t>
      </w:r>
    </w:p>
    <w:p w:rsidRPr="00F55A79" w:rsidR="00683B2C" w:rsidP="00080D00" w:rsidRDefault="00683B2C" w14:paraId="22976825" w14:textId="77777777">
      <w:pPr>
        <w:pStyle w:val="Heading2"/>
      </w:pPr>
      <w:bookmarkStart w:name="_Toc216163129" w:id="37"/>
      <w:r w:rsidRPr="00F55A79">
        <w:t>Submission Date</w:t>
      </w:r>
      <w:bookmarkEnd w:id="37"/>
    </w:p>
    <w:p w:rsidRPr="00F55A79" w:rsidR="00683B2C" w:rsidP="006E6574" w:rsidRDefault="00683B2C" w14:paraId="30E93D4F" w14:textId="4A82FE13">
      <w:pPr>
        <w:pStyle w:val="Standard"/>
      </w:pPr>
      <w:r w:rsidRPr="00F55A79">
        <w:t xml:space="preserve">This matter was submitted on </w:t>
      </w:r>
      <w:r w:rsidR="00133E75">
        <w:t>January 1</w:t>
      </w:r>
      <w:r w:rsidR="00E2684D">
        <w:t>3</w:t>
      </w:r>
      <w:r w:rsidR="00133E75">
        <w:t>, 2026</w:t>
      </w:r>
      <w:r w:rsidRPr="00F55A79" w:rsidR="00A14CBB">
        <w:t xml:space="preserve"> </w:t>
      </w:r>
      <w:r w:rsidRPr="00F55A79">
        <w:t>upon</w:t>
      </w:r>
      <w:r w:rsidR="00E2684D">
        <w:t xml:space="preserve"> the ALJ e-mail ruling </w:t>
      </w:r>
      <w:r w:rsidRPr="00E2684D" w:rsidR="00E2684D">
        <w:t>granting motions</w:t>
      </w:r>
      <w:r w:rsidRPr="00F55A79">
        <w:t>.</w:t>
      </w:r>
    </w:p>
    <w:p w:rsidRPr="00F55A79" w:rsidR="005A148C" w:rsidP="00080D00" w:rsidRDefault="0063491C" w14:paraId="7EE1CAA0" w14:textId="78F2A123">
      <w:pPr>
        <w:pStyle w:val="Heading1"/>
      </w:pPr>
      <w:bookmarkStart w:name="_Toc8123718" w:id="38"/>
      <w:bookmarkStart w:name="_Toc216163130" w:id="39"/>
      <w:r w:rsidRPr="00F55A79">
        <w:lastRenderedPageBreak/>
        <w:t>Jurisdiction</w:t>
      </w:r>
      <w:bookmarkEnd w:id="38"/>
      <w:bookmarkEnd w:id="39"/>
    </w:p>
    <w:p w:rsidRPr="00F55A79" w:rsidR="00A713E0" w:rsidP="008F485C" w:rsidRDefault="008F485C" w14:paraId="58A1A469" w14:textId="3C7741C1">
      <w:pPr>
        <w:rPr>
          <w:color w:val="000000" w:themeColor="text1"/>
          <w:kern w:val="2"/>
          <w:szCs w:val="26"/>
          <w14:ligatures w14:val="standardContextual"/>
        </w:rPr>
      </w:pPr>
      <w:r w:rsidRPr="00F55A79">
        <w:rPr>
          <w:color w:val="000000" w:themeColor="text1"/>
        </w:rPr>
        <w:t xml:space="preserve">The Commission has authority to review transfer of control for telephone corporations pursuant to </w:t>
      </w:r>
      <w:r w:rsidRPr="00F55A79" w:rsidR="00BC131A">
        <w:rPr>
          <w:color w:val="000000" w:themeColor="text1"/>
          <w:kern w:val="2"/>
          <w:szCs w:val="26"/>
          <w14:ligatures w14:val="standardContextual"/>
        </w:rPr>
        <w:t xml:space="preserve">Pub. Util. Code Section 854. </w:t>
      </w:r>
      <w:r w:rsidRPr="00F55A79" w:rsidR="00483FB7">
        <w:rPr>
          <w:color w:val="000000" w:themeColor="text1"/>
          <w:kern w:val="2"/>
          <w:szCs w:val="26"/>
          <w14:ligatures w14:val="standardContextual"/>
        </w:rPr>
        <w:t xml:space="preserve"> </w:t>
      </w:r>
    </w:p>
    <w:p w:rsidRPr="00F55A79" w:rsidR="00A713E0" w:rsidP="00A713E0" w:rsidRDefault="008F485C" w14:paraId="3C4C7712" w14:textId="5DCCB555">
      <w:pPr>
        <w:rPr>
          <w:rFonts w:eastAsia="Book Antiqua" w:cs="Book Antiqua"/>
          <w:color w:val="EE0000"/>
          <w:kern w:val="2"/>
          <w:szCs w:val="26"/>
          <w14:ligatures w14:val="standardContextual"/>
        </w:rPr>
      </w:pPr>
      <w:r w:rsidRPr="00F55A79">
        <w:rPr>
          <w:rFonts w:eastAsia="Book Antiqua" w:cs="Book Antiqua"/>
          <w:color w:val="000000" w:themeColor="text1"/>
          <w:kern w:val="2"/>
          <w:szCs w:val="26"/>
          <w14:ligatures w14:val="standardContextual"/>
        </w:rPr>
        <w:t xml:space="preserve">Frontier is a telephone </w:t>
      </w:r>
      <w:r w:rsidRPr="00F55A79">
        <w:rPr>
          <w:rFonts w:eastAsia="Book Antiqua" w:cs="Book Antiqua"/>
          <w:kern w:val="2"/>
          <w:szCs w:val="26"/>
          <w14:ligatures w14:val="standardContextual"/>
        </w:rPr>
        <w:t>corporation and its affiliates hold various registrations with the Commission</w:t>
      </w:r>
      <w:r w:rsidRPr="00F55A79" w:rsidR="00ED2BF4">
        <w:rPr>
          <w:rFonts w:eastAsia="Book Antiqua" w:cs="Book Antiqua"/>
          <w:kern w:val="2"/>
          <w:szCs w:val="26"/>
          <w14:ligatures w14:val="standardContextual"/>
        </w:rPr>
        <w:t xml:space="preserve">. </w:t>
      </w:r>
      <w:r w:rsidRPr="00F55A79">
        <w:rPr>
          <w:rFonts w:eastAsia="Book Antiqua" w:cs="Book Antiqua"/>
          <w:kern w:val="2"/>
          <w:szCs w:val="26"/>
          <w14:ligatures w14:val="standardContextual"/>
        </w:rPr>
        <w:t xml:space="preserve"> </w:t>
      </w:r>
      <w:r w:rsidRPr="00F55A79" w:rsidR="00A713E0">
        <w:rPr>
          <w:rFonts w:eastAsia="Book Antiqua" w:cs="Book Antiqua"/>
          <w:color w:val="000000" w:themeColor="text1"/>
          <w:kern w:val="2"/>
          <w:szCs w:val="26"/>
          <w14:ligatures w14:val="standardContextual"/>
        </w:rPr>
        <w:t>Frontier California (</w:t>
      </w:r>
      <w:r w:rsidRPr="00F55A79" w:rsidR="00A713E0">
        <w:rPr>
          <w:rFonts w:cs="Arial"/>
          <w:color w:val="000000" w:themeColor="text1"/>
          <w:szCs w:val="26"/>
        </w:rPr>
        <w:t>U1002C)</w:t>
      </w:r>
      <w:r w:rsidRPr="00F55A79" w:rsidR="00A713E0">
        <w:rPr>
          <w:rFonts w:eastAsia="Book Antiqua" w:cs="Book Antiqua"/>
          <w:color w:val="000000" w:themeColor="text1"/>
          <w:kern w:val="2"/>
          <w:szCs w:val="26"/>
          <w14:ligatures w14:val="standardContextual"/>
        </w:rPr>
        <w:t xml:space="preserve">, CTC California </w:t>
      </w:r>
      <w:r w:rsidRPr="00F55A79" w:rsidR="00A713E0">
        <w:rPr>
          <w:rFonts w:cs="Arial"/>
          <w:color w:val="000000" w:themeColor="text1"/>
          <w:szCs w:val="26"/>
        </w:rPr>
        <w:t>(U1024C)</w:t>
      </w:r>
      <w:r w:rsidRPr="00F55A79" w:rsidR="00A713E0">
        <w:rPr>
          <w:rFonts w:eastAsia="Book Antiqua" w:cs="Book Antiqua"/>
          <w:color w:val="000000" w:themeColor="text1"/>
          <w:kern w:val="2"/>
          <w:szCs w:val="26"/>
          <w14:ligatures w14:val="standardContextual"/>
        </w:rPr>
        <w:t>, and Frontier Southwest (</w:t>
      </w:r>
      <w:r w:rsidRPr="00F55A79" w:rsidR="00A713E0">
        <w:rPr>
          <w:rFonts w:cs="Arial"/>
          <w:color w:val="000000" w:themeColor="text1"/>
          <w:szCs w:val="26"/>
        </w:rPr>
        <w:t xml:space="preserve">U1026C) </w:t>
      </w:r>
      <w:r w:rsidRPr="00F55A79" w:rsidR="00A713E0">
        <w:rPr>
          <w:rFonts w:eastAsia="Book Antiqua" w:cs="Book Antiqua"/>
          <w:color w:val="000000" w:themeColor="text1"/>
          <w:kern w:val="2"/>
          <w:szCs w:val="26"/>
          <w14:ligatures w14:val="standardContextual"/>
        </w:rPr>
        <w:t>are wholly owned subsidiaries of Frontier.</w:t>
      </w:r>
      <w:r w:rsidRPr="00F55A79" w:rsidR="00A713E0">
        <w:rPr>
          <w:rStyle w:val="FootnoteReference"/>
          <w:rFonts w:eastAsia="Book Antiqua" w:cs="Book Antiqua"/>
          <w:color w:val="000000" w:themeColor="text1"/>
          <w:kern w:val="2"/>
          <w:szCs w:val="26"/>
          <w14:ligatures w14:val="standardContextual"/>
        </w:rPr>
        <w:footnoteReference w:id="45"/>
      </w:r>
      <w:r w:rsidRPr="00F55A79" w:rsidR="00A713E0">
        <w:rPr>
          <w:rFonts w:eastAsia="Book Antiqua" w:cs="Book Antiqua"/>
          <w:color w:val="000000" w:themeColor="text1"/>
          <w:kern w:val="2"/>
          <w:szCs w:val="26"/>
          <w14:ligatures w14:val="standardContextual"/>
        </w:rPr>
        <w:t xml:space="preserve">  Each serves as an ILEC in California</w:t>
      </w:r>
      <w:r w:rsidRPr="00F55A79" w:rsidR="00ED2BF4">
        <w:rPr>
          <w:rFonts w:eastAsia="Book Antiqua" w:cs="Book Antiqua"/>
          <w:color w:val="000000" w:themeColor="text1"/>
          <w:kern w:val="2"/>
          <w:szCs w:val="26"/>
          <w14:ligatures w14:val="standardContextual"/>
        </w:rPr>
        <w:t xml:space="preserve"> and </w:t>
      </w:r>
      <w:r w:rsidRPr="00F55A79" w:rsidR="00A713E0">
        <w:rPr>
          <w:rFonts w:eastAsia="Book Antiqua" w:cs="Book Antiqua"/>
          <w:color w:val="000000" w:themeColor="text1"/>
          <w:kern w:val="2"/>
          <w:szCs w:val="26"/>
          <w14:ligatures w14:val="standardContextual"/>
        </w:rPr>
        <w:t xml:space="preserve">is an Eligible Telecommunications Carrier (ETC) in California. </w:t>
      </w:r>
      <w:r w:rsidRPr="00F55A79" w:rsidR="00ED2BF4">
        <w:rPr>
          <w:rFonts w:eastAsia="Book Antiqua" w:cs="Book Antiqua"/>
          <w:color w:val="000000" w:themeColor="text1"/>
          <w:kern w:val="2"/>
          <w:szCs w:val="26"/>
          <w14:ligatures w14:val="standardContextual"/>
        </w:rPr>
        <w:t xml:space="preserve"> </w:t>
      </w:r>
      <w:r w:rsidRPr="00F55A79" w:rsidR="00A713E0">
        <w:rPr>
          <w:rFonts w:eastAsia="Book Antiqua" w:cs="Book Antiqua"/>
          <w:color w:val="000000" w:themeColor="text1"/>
          <w:kern w:val="2"/>
          <w:szCs w:val="26"/>
          <w14:ligatures w14:val="standardContextual"/>
        </w:rPr>
        <w:t>Frontier America and Frontier LD are also wholly owned subsidiaries of Frontier. These companies operate as IXCs in California.</w:t>
      </w:r>
      <w:r w:rsidRPr="00F55A79" w:rsidR="00ED2BF4">
        <w:rPr>
          <w:rFonts w:eastAsia="Book Antiqua" w:cs="Book Antiqua"/>
          <w:color w:val="000000" w:themeColor="text1"/>
          <w:kern w:val="2"/>
          <w:szCs w:val="26"/>
          <w14:ligatures w14:val="standardContextual"/>
        </w:rPr>
        <w:t xml:space="preserve">  </w:t>
      </w:r>
      <w:r w:rsidRPr="00F55A79" w:rsidR="00A713E0">
        <w:rPr>
          <w:rFonts w:eastAsia="Book Antiqua" w:cs="Book Antiqua"/>
          <w:color w:val="000000" w:themeColor="text1"/>
          <w:kern w:val="2"/>
          <w:szCs w:val="26"/>
          <w14:ligatures w14:val="standardContextual"/>
        </w:rPr>
        <w:t xml:space="preserve">Frontier America is also a </w:t>
      </w:r>
      <w:r w:rsidRPr="00F55A79" w:rsidR="00ED2BF4">
        <w:rPr>
          <w:rFonts w:eastAsia="Book Antiqua" w:cs="Book Antiqua"/>
          <w:color w:val="000000" w:themeColor="text1"/>
          <w:kern w:val="2"/>
          <w:szCs w:val="26"/>
          <w14:ligatures w14:val="standardContextual"/>
        </w:rPr>
        <w:t>competitive local exchange carrier (</w:t>
      </w:r>
      <w:r w:rsidRPr="00F55A79" w:rsidR="00A713E0">
        <w:rPr>
          <w:rFonts w:eastAsia="Book Antiqua" w:cs="Book Antiqua"/>
          <w:color w:val="000000" w:themeColor="text1"/>
          <w:kern w:val="2"/>
          <w:szCs w:val="26"/>
          <w14:ligatures w14:val="standardContextual"/>
        </w:rPr>
        <w:t>CLEC</w:t>
      </w:r>
      <w:r w:rsidRPr="00F55A79" w:rsidR="00ED2BF4">
        <w:rPr>
          <w:rFonts w:eastAsia="Book Antiqua" w:cs="Book Antiqua"/>
          <w:color w:val="000000" w:themeColor="text1"/>
          <w:kern w:val="2"/>
          <w:szCs w:val="26"/>
          <w14:ligatures w14:val="standardContextual"/>
        </w:rPr>
        <w:t>)</w:t>
      </w:r>
      <w:r w:rsidRPr="00F55A79" w:rsidR="00A713E0">
        <w:rPr>
          <w:rFonts w:eastAsia="Book Antiqua" w:cs="Book Antiqua"/>
          <w:color w:val="000000" w:themeColor="text1"/>
          <w:kern w:val="2"/>
          <w:szCs w:val="26"/>
          <w14:ligatures w14:val="standardContextual"/>
        </w:rPr>
        <w:t xml:space="preserve"> and holds a VoIP registration pursuant to Section 285.</w:t>
      </w:r>
      <w:r w:rsidRPr="00F55A79" w:rsidR="00A713E0">
        <w:rPr>
          <w:rStyle w:val="FootnoteReference"/>
          <w:rFonts w:eastAsia="Book Antiqua" w:cs="Book Antiqua"/>
          <w:color w:val="000000" w:themeColor="text1"/>
          <w:kern w:val="2"/>
          <w:szCs w:val="26"/>
          <w14:ligatures w14:val="standardContextual"/>
        </w:rPr>
        <w:footnoteReference w:id="46"/>
      </w:r>
    </w:p>
    <w:p w:rsidRPr="00F55A79" w:rsidR="00ED2BF4" w:rsidP="00217F46" w:rsidRDefault="00217F46" w14:paraId="00350CEF" w14:textId="40A3ECB4">
      <w:pPr>
        <w:rPr>
          <w:rFonts w:eastAsia="Book Antiqua" w:cs="Book Antiqua"/>
          <w:kern w:val="2"/>
          <w:szCs w:val="26"/>
          <w14:ligatures w14:val="standardContextual"/>
        </w:rPr>
      </w:pPr>
      <w:r w:rsidRPr="00F55A79">
        <w:rPr>
          <w:rFonts w:eastAsia="Book Antiqua" w:cs="Book Antiqua"/>
          <w:kern w:val="2"/>
          <w:szCs w:val="26"/>
          <w14:ligatures w14:val="standardContextual"/>
        </w:rPr>
        <w:t xml:space="preserve">Verizon Communications, Inc. (Verizon) is a publicly traded Delaware corporation headquartered in New York, New York. </w:t>
      </w:r>
      <w:r w:rsidRPr="00F55A79" w:rsidR="004D5EBB">
        <w:rPr>
          <w:rFonts w:eastAsia="Book Antiqua" w:cs="Book Antiqua"/>
          <w:kern w:val="2"/>
          <w:szCs w:val="26"/>
          <w14:ligatures w14:val="standardContextual"/>
        </w:rPr>
        <w:t xml:space="preserve"> </w:t>
      </w:r>
      <w:r w:rsidRPr="00F55A79">
        <w:rPr>
          <w:rFonts w:eastAsia="Book Antiqua" w:cs="Book Antiqua"/>
          <w:kern w:val="2"/>
          <w:szCs w:val="26"/>
          <w14:ligatures w14:val="standardContextual"/>
        </w:rPr>
        <w:t>Verizon is a holding company whose operating subsidiaries offer voice, data, and video services in California and elsewhere.</w:t>
      </w:r>
      <w:r w:rsidRPr="00F55A79" w:rsidR="004D5EBB">
        <w:rPr>
          <w:rStyle w:val="FootnoteReference"/>
          <w:rFonts w:eastAsia="Book Antiqua" w:cs="Book Antiqua"/>
          <w:kern w:val="2"/>
          <w:szCs w:val="26"/>
          <w14:ligatures w14:val="standardContextual"/>
        </w:rPr>
        <w:footnoteReference w:id="47"/>
      </w:r>
      <w:r w:rsidRPr="00F55A79">
        <w:rPr>
          <w:rFonts w:eastAsia="Book Antiqua" w:cs="Book Antiqua"/>
          <w:kern w:val="2"/>
          <w:szCs w:val="26"/>
          <w14:ligatures w14:val="standardContextual"/>
        </w:rPr>
        <w:t xml:space="preserve"> </w:t>
      </w:r>
      <w:r w:rsidRPr="00F55A79" w:rsidR="008F485C">
        <w:rPr>
          <w:rFonts w:eastAsia="Book Antiqua" w:cs="Book Antiqua"/>
          <w:kern w:val="2"/>
          <w:szCs w:val="26"/>
          <w14:ligatures w14:val="standardContextual"/>
        </w:rPr>
        <w:t xml:space="preserve"> </w:t>
      </w:r>
    </w:p>
    <w:p w:rsidRPr="00F55A79" w:rsidR="00062BF4" w:rsidP="0040118E" w:rsidRDefault="008F485C" w14:paraId="0A50137C" w14:textId="4D72A648">
      <w:pPr>
        <w:rPr>
          <w:rFonts w:eastAsia="Book Antiqua" w:cs="Book Antiqua"/>
          <w:kern w:val="2"/>
          <w:szCs w:val="26"/>
          <w14:ligatures w14:val="standardContextual"/>
        </w:rPr>
      </w:pPr>
      <w:r w:rsidRPr="00F55A79">
        <w:rPr>
          <w:rFonts w:eastAsia="Book Antiqua" w:cs="Book Antiqua"/>
          <w:kern w:val="2"/>
          <w:szCs w:val="26"/>
          <w14:ligatures w14:val="standardContextual"/>
        </w:rPr>
        <w:t>Since Frontier is a telephone corporation subject to the Commission’s jurisdiction,</w:t>
      </w:r>
      <w:r w:rsidRPr="00F55A79" w:rsidR="001939CE">
        <w:rPr>
          <w:rStyle w:val="FootnoteReference"/>
          <w:rFonts w:eastAsia="Book Antiqua" w:cs="Book Antiqua"/>
          <w:kern w:val="2"/>
          <w:szCs w:val="26"/>
          <w14:ligatures w14:val="standardContextual"/>
        </w:rPr>
        <w:footnoteReference w:id="48"/>
      </w:r>
      <w:r w:rsidRPr="00F55A79">
        <w:rPr>
          <w:rFonts w:eastAsia="Book Antiqua" w:cs="Book Antiqua"/>
          <w:kern w:val="2"/>
          <w:szCs w:val="26"/>
          <w14:ligatures w14:val="standardContextual"/>
        </w:rPr>
        <w:t xml:space="preserve"> the Commission has jurisdiction to review Frontier’s request for transfer of control to Verizon pursuant to Pub. Util. Code Section 854. </w:t>
      </w:r>
    </w:p>
    <w:p w:rsidRPr="00F55A79" w:rsidR="005A148C" w:rsidP="00080D00" w:rsidRDefault="005939A5" w14:paraId="79FCEC0E" w14:textId="77777777">
      <w:pPr>
        <w:pStyle w:val="Heading1"/>
      </w:pPr>
      <w:bookmarkStart w:name="_Toc8123719" w:id="40"/>
      <w:bookmarkStart w:name="_Toc216163131" w:id="41"/>
      <w:r w:rsidRPr="00F55A79">
        <w:t xml:space="preserve">Issues Before the </w:t>
      </w:r>
      <w:bookmarkEnd w:id="40"/>
      <w:r w:rsidRPr="00F55A79" w:rsidR="008A08BF">
        <w:t>Commission</w:t>
      </w:r>
      <w:bookmarkEnd w:id="41"/>
    </w:p>
    <w:p w:rsidRPr="00F55A79" w:rsidR="00C236DD" w:rsidP="00A44E8D" w:rsidRDefault="00AA23DF" w14:paraId="34FA36F2" w14:textId="7BAC8189">
      <w:pPr>
        <w:pStyle w:val="Standard"/>
        <w:rPr>
          <w:color w:val="FF0000"/>
        </w:rPr>
      </w:pPr>
      <w:r w:rsidRPr="00F55A79">
        <w:t>The issues considered with respect to the proposed transaction are:</w:t>
      </w:r>
    </w:p>
    <w:p w:rsidRPr="00F55A79" w:rsidR="00C236DD" w:rsidP="00080D00" w:rsidRDefault="00C236DD" w14:paraId="464D1125" w14:textId="721ACF13">
      <w:pPr>
        <w:pStyle w:val="ListAlpha"/>
        <w:numPr>
          <w:ilvl w:val="7"/>
          <w:numId w:val="9"/>
        </w:numPr>
        <w:ind w:right="1440"/>
      </w:pPr>
      <w:r w:rsidRPr="00F55A79">
        <w:lastRenderedPageBreak/>
        <w:t>Does the proposed transaction satisfy the requirements of Section 854(a)?</w:t>
      </w:r>
    </w:p>
    <w:p w:rsidRPr="00F55A79" w:rsidR="00D76D0B" w:rsidP="00080D00" w:rsidRDefault="00C236DD" w14:paraId="0CA815E2" w14:textId="0987055D">
      <w:pPr>
        <w:pStyle w:val="ListAlpha"/>
        <w:numPr>
          <w:ilvl w:val="7"/>
          <w:numId w:val="9"/>
        </w:numPr>
        <w:ind w:right="1440"/>
      </w:pPr>
      <w:r w:rsidRPr="00F55A79">
        <w:t>Does the proposed transaction satisfy the requirements of Section 854(b)?</w:t>
      </w:r>
    </w:p>
    <w:p w:rsidRPr="00F55A79" w:rsidR="00C236DD" w:rsidP="00080D00" w:rsidRDefault="00C236DD" w14:paraId="318D384D" w14:textId="3AEF62A5">
      <w:pPr>
        <w:pStyle w:val="ListAlpha"/>
        <w:numPr>
          <w:ilvl w:val="8"/>
          <w:numId w:val="9"/>
        </w:numPr>
        <w:ind w:left="1440" w:right="1440"/>
      </w:pPr>
      <w:r w:rsidRPr="00F55A79">
        <w:t>Does the proposed transaction provide short-term and long-term economic benefits to ratepayers?</w:t>
      </w:r>
    </w:p>
    <w:p w:rsidRPr="00F55A79" w:rsidR="00C236DD" w:rsidP="00080D00" w:rsidRDefault="00C236DD" w14:paraId="7FB73CFD" w14:textId="3785A6D4">
      <w:pPr>
        <w:pStyle w:val="ListAlpha"/>
        <w:numPr>
          <w:ilvl w:val="8"/>
          <w:numId w:val="9"/>
        </w:numPr>
        <w:ind w:left="1440" w:right="1440"/>
      </w:pPr>
      <w:r w:rsidRPr="00F55A79">
        <w:t xml:space="preserve">Does the proposed transaction adversely affect competition? </w:t>
      </w:r>
    </w:p>
    <w:p w:rsidRPr="00F55A79" w:rsidR="00C236DD" w:rsidP="00080D00" w:rsidRDefault="00C236DD" w14:paraId="5A824A38" w14:textId="4F33A2C9">
      <w:pPr>
        <w:pStyle w:val="ListAlpha"/>
        <w:numPr>
          <w:ilvl w:val="7"/>
          <w:numId w:val="9"/>
        </w:numPr>
        <w:ind w:right="1440"/>
      </w:pPr>
      <w:r w:rsidRPr="00F55A79">
        <w:t>Does the proposed transaction satisfy the requirements of Section 854(c)?</w:t>
      </w:r>
    </w:p>
    <w:p w:rsidRPr="00F55A79" w:rsidR="00C236DD" w:rsidP="00080D00" w:rsidRDefault="00C236DD" w14:paraId="20AC6554" w14:textId="1F48906D">
      <w:pPr>
        <w:pStyle w:val="ListAlpha"/>
        <w:numPr>
          <w:ilvl w:val="8"/>
          <w:numId w:val="9"/>
        </w:numPr>
        <w:ind w:left="1440" w:right="1440"/>
      </w:pPr>
      <w:r w:rsidRPr="00F55A79">
        <w:t>Does the proposed transaction maintain or improve the financial condition of the resulting public utility doing business in the state?</w:t>
      </w:r>
    </w:p>
    <w:p w:rsidRPr="00F55A79" w:rsidR="00C236DD" w:rsidP="00080D00" w:rsidRDefault="00C236DD" w14:paraId="2A9E6A03" w14:textId="3DD975D9">
      <w:pPr>
        <w:pStyle w:val="ListAlpha"/>
        <w:numPr>
          <w:ilvl w:val="8"/>
          <w:numId w:val="9"/>
        </w:numPr>
        <w:ind w:left="1440" w:right="1440"/>
      </w:pPr>
      <w:r w:rsidRPr="00F55A79">
        <w:t xml:space="preserve">Does the proposed transaction maintain or improve the </w:t>
      </w:r>
      <w:r w:rsidRPr="00F55A79" w:rsidR="004D68D7">
        <w:t>q</w:t>
      </w:r>
      <w:r w:rsidRPr="00F55A79">
        <w:t>uality of service to public utility ratepayers in the state?</w:t>
      </w:r>
    </w:p>
    <w:p w:rsidRPr="00F55A79" w:rsidR="00C236DD" w:rsidP="00080D00" w:rsidRDefault="00C236DD" w14:paraId="25D88B6A" w14:textId="5A8ACDE9">
      <w:pPr>
        <w:pStyle w:val="ListAlpha"/>
        <w:numPr>
          <w:ilvl w:val="8"/>
          <w:numId w:val="9"/>
        </w:numPr>
        <w:ind w:left="1440" w:right="1440"/>
      </w:pPr>
      <w:r w:rsidRPr="00F55A79">
        <w:t>Does the proposed transaction maintain or improve the quality of management of the resulting public utility doing business in the state?</w:t>
      </w:r>
    </w:p>
    <w:p w:rsidRPr="00F55A79" w:rsidR="00C236DD" w:rsidP="00080D00" w:rsidRDefault="00C236DD" w14:paraId="6BA31F86" w14:textId="1A0A59CF">
      <w:pPr>
        <w:pStyle w:val="ListAlpha"/>
        <w:numPr>
          <w:ilvl w:val="8"/>
          <w:numId w:val="9"/>
        </w:numPr>
        <w:ind w:left="1440" w:right="1440"/>
      </w:pPr>
      <w:r w:rsidRPr="00F55A79">
        <w:t>Is the proposed transaction fair and reasonable to affected public utility employees, including both union and nonunion employees?</w:t>
      </w:r>
    </w:p>
    <w:p w:rsidRPr="00F55A79" w:rsidR="00C236DD" w:rsidP="00080D00" w:rsidRDefault="00C236DD" w14:paraId="6C952AB0" w14:textId="1A241ED6">
      <w:pPr>
        <w:pStyle w:val="ListAlpha"/>
        <w:numPr>
          <w:ilvl w:val="8"/>
          <w:numId w:val="9"/>
        </w:numPr>
        <w:ind w:left="1440" w:right="1440"/>
      </w:pPr>
      <w:r w:rsidRPr="00F55A79">
        <w:t>Is the proposed transaction fair and reasonable to the majority of all affected public utility shareholders?</w:t>
      </w:r>
    </w:p>
    <w:p w:rsidRPr="00F55A79" w:rsidR="00C236DD" w:rsidP="00080D00" w:rsidRDefault="00C236DD" w14:paraId="4381CCC0" w14:textId="76BFB9E7">
      <w:pPr>
        <w:pStyle w:val="ListAlpha"/>
        <w:numPr>
          <w:ilvl w:val="8"/>
          <w:numId w:val="9"/>
        </w:numPr>
        <w:ind w:left="1440" w:right="1440"/>
      </w:pPr>
      <w:r w:rsidRPr="00F55A79">
        <w:t>Is the proposed transaction beneficial on an overall basis to state and local economies and the communities in the area served by the resulting public utility?</w:t>
      </w:r>
    </w:p>
    <w:p w:rsidRPr="00F55A79" w:rsidR="00D15EB7" w:rsidP="00080D00" w:rsidRDefault="00C236DD" w14:paraId="0563BA2A" w14:textId="13FC1B5B">
      <w:pPr>
        <w:pStyle w:val="ListAlpha"/>
        <w:numPr>
          <w:ilvl w:val="8"/>
          <w:numId w:val="9"/>
        </w:numPr>
        <w:ind w:left="1440" w:right="1440"/>
      </w:pPr>
      <w:r w:rsidRPr="00F55A79">
        <w:t>Would the proposed transaction preserve the jurisdiction of the Commission and the capacity of the Commission to effectively regulate and audit public utility operations in the state?</w:t>
      </w:r>
    </w:p>
    <w:p w:rsidRPr="00F55A79" w:rsidR="00260567" w:rsidP="00080D00" w:rsidRDefault="00260567" w14:paraId="1FE23F36" w14:textId="30B2607C">
      <w:pPr>
        <w:pStyle w:val="ListAlpha"/>
        <w:numPr>
          <w:ilvl w:val="8"/>
          <w:numId w:val="9"/>
        </w:numPr>
        <w:ind w:left="1440" w:right="1440"/>
      </w:pPr>
      <w:r w:rsidRPr="00F55A79">
        <w:t xml:space="preserve">Does the proposed transaction provide mitigation measures to prevent significant adverse consequences that may result? </w:t>
      </w:r>
    </w:p>
    <w:p w:rsidRPr="00F55A79" w:rsidR="00260567" w:rsidP="00080D00" w:rsidRDefault="00260567" w14:paraId="3DEDD3E3" w14:textId="65A8C5EF">
      <w:pPr>
        <w:pStyle w:val="ListAlpha"/>
        <w:numPr>
          <w:ilvl w:val="7"/>
          <w:numId w:val="9"/>
        </w:numPr>
        <w:ind w:right="1440"/>
      </w:pPr>
      <w:r w:rsidRPr="00F55A79">
        <w:lastRenderedPageBreak/>
        <w:t xml:space="preserve">What impacts would the proposed transaction have on environmental and social justice </w:t>
      </w:r>
      <w:r w:rsidRPr="00F55A79" w:rsidR="00312F88">
        <w:t xml:space="preserve">(ESJ) </w:t>
      </w:r>
      <w:r w:rsidRPr="00F55A79">
        <w:t>communities? Would approval of the transaction affect the achievement of any of the nine goals of the Commission’s Environmental and Social Justice Action Plan</w:t>
      </w:r>
      <w:r w:rsidRPr="00F55A79" w:rsidR="00DB0E08">
        <w:t xml:space="preserve"> (ESJ Action Plan)</w:t>
      </w:r>
      <w:r w:rsidRPr="00F55A79">
        <w:t>?</w:t>
      </w:r>
    </w:p>
    <w:p w:rsidRPr="00F55A79" w:rsidR="00260567" w:rsidP="00080D00" w:rsidRDefault="00260567" w14:paraId="758EB6E4" w14:textId="36D240CA">
      <w:pPr>
        <w:pStyle w:val="ListAlpha"/>
        <w:numPr>
          <w:ilvl w:val="7"/>
          <w:numId w:val="9"/>
        </w:numPr>
        <w:ind w:right="1440"/>
      </w:pPr>
      <w:r w:rsidRPr="00F55A79">
        <w:t xml:space="preserve">How will Frontier maintain its obligations pursuant to prior Commission decisions if the proposed transaction is approved? How should the Commission ensure that these obligations are met? </w:t>
      </w:r>
    </w:p>
    <w:p w:rsidRPr="00F55A79" w:rsidR="005939A5" w:rsidP="00080D00" w:rsidRDefault="00260567" w14:paraId="76F8D2D0" w14:textId="5B1766EA">
      <w:pPr>
        <w:pStyle w:val="ListAlpha"/>
        <w:numPr>
          <w:ilvl w:val="7"/>
          <w:numId w:val="9"/>
        </w:numPr>
        <w:ind w:right="1440"/>
        <w:rPr>
          <w:color w:val="000000" w:themeColor="text1"/>
        </w:rPr>
      </w:pPr>
      <w:r w:rsidRPr="00F55A79">
        <w:t xml:space="preserve">What commitments have the Applicants made, including additional investments in California, as part of this Application? What methods </w:t>
      </w:r>
      <w:r w:rsidRPr="00F55A79">
        <w:rPr>
          <w:color w:val="000000" w:themeColor="text1"/>
        </w:rPr>
        <w:t>should the Commission use to determine whether the Applicants have met those commitments? How are these commitments in the public interest?</w:t>
      </w:r>
    </w:p>
    <w:p w:rsidRPr="00F55A79" w:rsidR="00912C8B" w:rsidP="00080D00" w:rsidRDefault="00912C8B" w14:paraId="2407A3B4" w14:textId="2228882F">
      <w:pPr>
        <w:pStyle w:val="ListAlpha"/>
        <w:numPr>
          <w:ilvl w:val="7"/>
          <w:numId w:val="9"/>
        </w:numPr>
        <w:ind w:right="1440"/>
        <w:rPr>
          <w:color w:val="000000" w:themeColor="text1"/>
        </w:rPr>
      </w:pPr>
      <w:r w:rsidRPr="00F55A79">
        <w:rPr>
          <w:color w:val="000000" w:themeColor="text1"/>
        </w:rPr>
        <w:t xml:space="preserve">The </w:t>
      </w:r>
      <w:r w:rsidRPr="00F55A79" w:rsidR="0076658F">
        <w:t>May 15, 2025</w:t>
      </w:r>
      <w:r w:rsidRPr="00F55A79" w:rsidR="00FE1538">
        <w:t xml:space="preserve"> </w:t>
      </w:r>
      <w:r w:rsidRPr="00F55A79">
        <w:rPr>
          <w:color w:val="000000" w:themeColor="text1"/>
        </w:rPr>
        <w:t>Verizon</w:t>
      </w:r>
      <w:r w:rsidRPr="00F55A79" w:rsidR="00FE1538">
        <w:rPr>
          <w:color w:val="000000" w:themeColor="text1"/>
        </w:rPr>
        <w:t>-</w:t>
      </w:r>
      <w:r w:rsidRPr="00F55A79" w:rsidR="00FE1538">
        <w:t>FCC</w:t>
      </w:r>
      <w:r w:rsidRPr="00F55A79">
        <w:t xml:space="preserve"> Letter</w:t>
      </w:r>
      <w:r w:rsidRPr="00F55A79" w:rsidR="00793665">
        <w:rPr>
          <w:rStyle w:val="FootnoteReference"/>
          <w:color w:val="000000" w:themeColor="text1"/>
        </w:rPr>
        <w:footnoteReference w:id="49"/>
      </w:r>
      <w:r w:rsidRPr="00F55A79">
        <w:rPr>
          <w:color w:val="000000" w:themeColor="text1"/>
        </w:rPr>
        <w:t xml:space="preserve"> details broad changes that Verizon will make to its </w:t>
      </w:r>
      <w:r w:rsidRPr="00F55A79" w:rsidR="0076658F">
        <w:rPr>
          <w:color w:val="000000" w:themeColor="text1"/>
        </w:rPr>
        <w:t>Diversity, Equity, and Inclusion (</w:t>
      </w:r>
      <w:r w:rsidRPr="00F55A79">
        <w:rPr>
          <w:color w:val="000000" w:themeColor="text1"/>
        </w:rPr>
        <w:t>DEI</w:t>
      </w:r>
      <w:r w:rsidRPr="00F55A79" w:rsidR="0076658F">
        <w:rPr>
          <w:color w:val="000000" w:themeColor="text1"/>
        </w:rPr>
        <w:t>)</w:t>
      </w:r>
      <w:r w:rsidRPr="00F55A79">
        <w:rPr>
          <w:color w:val="000000" w:themeColor="text1"/>
        </w:rPr>
        <w:t xml:space="preserve"> practices.</w:t>
      </w:r>
    </w:p>
    <w:p w:rsidRPr="00F55A79" w:rsidR="00912C8B" w:rsidP="00080D00" w:rsidRDefault="00912C8B" w14:paraId="6AB71567" w14:textId="6667FBA7">
      <w:pPr>
        <w:pStyle w:val="ListAlpha"/>
        <w:numPr>
          <w:ilvl w:val="8"/>
          <w:numId w:val="9"/>
        </w:numPr>
        <w:ind w:left="1440" w:right="1440"/>
        <w:rPr>
          <w:color w:val="000000" w:themeColor="text1"/>
        </w:rPr>
      </w:pPr>
      <w:r w:rsidRPr="00F55A79">
        <w:rPr>
          <w:color w:val="000000" w:themeColor="text1"/>
        </w:rPr>
        <w:t>Are the commitments detailed in the Verizon</w:t>
      </w:r>
      <w:r w:rsidRPr="00F55A79" w:rsidR="00FE1538">
        <w:rPr>
          <w:color w:val="000000" w:themeColor="text1"/>
        </w:rPr>
        <w:t>-FCC</w:t>
      </w:r>
      <w:r w:rsidRPr="00F55A79">
        <w:rPr>
          <w:color w:val="000000" w:themeColor="text1"/>
        </w:rPr>
        <w:t xml:space="preserve"> Letter consistent with the requirements of Sections 8281-8290.2, with G</w:t>
      </w:r>
      <w:r w:rsidRPr="00F55A79" w:rsidR="0076658F">
        <w:rPr>
          <w:color w:val="000000" w:themeColor="text1"/>
        </w:rPr>
        <w:t xml:space="preserve">eneral </w:t>
      </w:r>
      <w:r w:rsidRPr="00F55A79">
        <w:rPr>
          <w:color w:val="000000" w:themeColor="text1"/>
        </w:rPr>
        <w:t>O</w:t>
      </w:r>
      <w:r w:rsidRPr="00F55A79" w:rsidR="0076658F">
        <w:rPr>
          <w:color w:val="000000" w:themeColor="text1"/>
        </w:rPr>
        <w:t>rder (GO)</w:t>
      </w:r>
      <w:r w:rsidRPr="00F55A79">
        <w:rPr>
          <w:color w:val="000000" w:themeColor="text1"/>
        </w:rPr>
        <w:t xml:space="preserve"> 156, and with any other relevant provisions of California law?</w:t>
      </w:r>
    </w:p>
    <w:p w:rsidRPr="00F55A79" w:rsidR="002F7EA7" w:rsidP="00080D00" w:rsidRDefault="00912C8B" w14:paraId="200BAF1F" w14:textId="60ED3301">
      <w:pPr>
        <w:pStyle w:val="ListAlpha"/>
        <w:numPr>
          <w:ilvl w:val="8"/>
          <w:numId w:val="9"/>
        </w:numPr>
        <w:ind w:left="1440" w:right="1440"/>
        <w:rPr>
          <w:color w:val="000000" w:themeColor="text1"/>
        </w:rPr>
      </w:pPr>
      <w:r w:rsidRPr="00F55A79">
        <w:rPr>
          <w:color w:val="000000" w:themeColor="text1"/>
        </w:rPr>
        <w:t>How should the Verizon</w:t>
      </w:r>
      <w:r w:rsidRPr="00F55A79" w:rsidR="00FE1538">
        <w:rPr>
          <w:color w:val="000000" w:themeColor="text1"/>
        </w:rPr>
        <w:t>-FCC</w:t>
      </w:r>
      <w:r w:rsidRPr="00F55A79">
        <w:rPr>
          <w:color w:val="000000" w:themeColor="text1"/>
        </w:rPr>
        <w:t xml:space="preserve"> Letter commitments impact</w:t>
      </w:r>
      <w:r w:rsidRPr="00F55A79" w:rsidR="00AB6BE6">
        <w:rPr>
          <w:color w:val="000000" w:themeColor="text1"/>
        </w:rPr>
        <w:t xml:space="preserve"> </w:t>
      </w:r>
      <w:r w:rsidRPr="00F55A79">
        <w:rPr>
          <w:color w:val="000000" w:themeColor="text1"/>
        </w:rPr>
        <w:t>the Commission’s review of this transaction pursuant to Section 854, including consideration of whether the transaction is in the public interest under Section 854(c)?</w:t>
      </w:r>
    </w:p>
    <w:p w:rsidRPr="00F55A79" w:rsidR="002A37A7" w:rsidP="00096D54" w:rsidRDefault="00BA6F4D" w14:paraId="4729B5B9" w14:textId="2C381329">
      <w:pPr>
        <w:pStyle w:val="Heading1"/>
        <w:rPr>
          <w:color w:val="000000" w:themeColor="text1"/>
        </w:rPr>
      </w:pPr>
      <w:bookmarkStart w:name="_Toc215483183" w:id="42"/>
      <w:bookmarkStart w:name="_Toc215483904" w:id="43"/>
      <w:bookmarkStart w:name="_Toc216163132" w:id="44"/>
      <w:bookmarkEnd w:id="42"/>
      <w:bookmarkEnd w:id="43"/>
      <w:r w:rsidRPr="00F55A79">
        <w:rPr>
          <w:color w:val="000000" w:themeColor="text1"/>
        </w:rPr>
        <w:t xml:space="preserve">Issue 1: </w:t>
      </w:r>
      <w:r w:rsidRPr="00F55A79" w:rsidR="002A37A7">
        <w:rPr>
          <w:color w:val="000000" w:themeColor="text1"/>
        </w:rPr>
        <w:t>Section 854(a)</w:t>
      </w:r>
      <w:bookmarkEnd w:id="44"/>
    </w:p>
    <w:p w:rsidRPr="00F55A79" w:rsidR="00050BA7" w:rsidP="004E680F" w:rsidRDefault="00050BA7" w14:paraId="3F2B0861" w14:textId="57972DE3">
      <w:pPr>
        <w:pStyle w:val="Standard"/>
      </w:pPr>
      <w:r w:rsidRPr="00F55A79">
        <w:rPr>
          <w:color w:val="000000" w:themeColor="text1"/>
        </w:rPr>
        <w:t xml:space="preserve">We have reviewed the proposed transaction and find that </w:t>
      </w:r>
      <w:r w:rsidRPr="00F55A79" w:rsidR="00125CEB">
        <w:rPr>
          <w:color w:val="000000" w:themeColor="text1"/>
        </w:rPr>
        <w:t>the Joint Applicants meet the requirements of</w:t>
      </w:r>
      <w:r w:rsidRPr="00F55A79">
        <w:rPr>
          <w:color w:val="000000" w:themeColor="text1"/>
        </w:rPr>
        <w:t xml:space="preserve"> Section 854(a)</w:t>
      </w:r>
      <w:r w:rsidRPr="00F55A79" w:rsidR="00F2210B">
        <w:rPr>
          <w:color w:val="000000" w:themeColor="text1"/>
        </w:rPr>
        <w:t xml:space="preserve">  </w:t>
      </w:r>
    </w:p>
    <w:p w:rsidRPr="00F55A79" w:rsidR="00FD62D7" w:rsidP="00080D00" w:rsidRDefault="007C5FD3" w14:paraId="2466E861" w14:textId="693A7E70">
      <w:pPr>
        <w:pStyle w:val="Heading2"/>
        <w:rPr>
          <w:color w:val="000000" w:themeColor="text1"/>
        </w:rPr>
      </w:pPr>
      <w:bookmarkStart w:name="_Toc216163133" w:id="45"/>
      <w:r w:rsidRPr="00F55A79">
        <w:rPr>
          <w:color w:val="000000" w:themeColor="text1"/>
        </w:rPr>
        <w:lastRenderedPageBreak/>
        <w:t>Background</w:t>
      </w:r>
      <w:bookmarkEnd w:id="45"/>
    </w:p>
    <w:p w:rsidRPr="00F55A79" w:rsidR="009F41CA" w:rsidP="00FD62D7" w:rsidRDefault="009F41CA" w14:paraId="321ED204" w14:textId="29762D0C">
      <w:pPr>
        <w:pStyle w:val="Standard"/>
        <w:rPr>
          <w:color w:val="000000" w:themeColor="text1"/>
        </w:rPr>
      </w:pPr>
      <w:r w:rsidRPr="00F55A79">
        <w:rPr>
          <w:color w:val="000000" w:themeColor="text1"/>
        </w:rPr>
        <w:t>Section 854(a)</w:t>
      </w:r>
      <w:r w:rsidRPr="00F55A79" w:rsidR="00BA6F4D">
        <w:rPr>
          <w:rStyle w:val="FootnoteReference"/>
          <w:color w:val="000000" w:themeColor="text1"/>
        </w:rPr>
        <w:t xml:space="preserve"> </w:t>
      </w:r>
      <w:r w:rsidRPr="00F55A79" w:rsidR="000A4EC2">
        <w:rPr>
          <w:color w:val="000000" w:themeColor="text1"/>
        </w:rPr>
        <w:t>states</w:t>
      </w:r>
      <w:r w:rsidRPr="00F55A79">
        <w:rPr>
          <w:color w:val="000000" w:themeColor="text1"/>
        </w:rPr>
        <w:t xml:space="preserve"> that</w:t>
      </w:r>
      <w:r w:rsidRPr="00F55A79" w:rsidR="00C54BE5">
        <w:rPr>
          <w:color w:val="000000" w:themeColor="text1"/>
        </w:rPr>
        <w:t>:</w:t>
      </w:r>
      <w:r w:rsidRPr="00F55A79">
        <w:rPr>
          <w:color w:val="000000" w:themeColor="text1"/>
        </w:rPr>
        <w:t xml:space="preserve"> </w:t>
      </w:r>
    </w:p>
    <w:p w:rsidRPr="00F55A79" w:rsidR="009F41CA" w:rsidP="00A70678" w:rsidRDefault="009F41CA" w14:paraId="36C85DBD" w14:textId="4C7C5DAA">
      <w:pPr>
        <w:pStyle w:val="BlockQuote"/>
      </w:pPr>
      <w:r w:rsidRPr="00F55A79">
        <w:rPr>
          <w:color w:val="000000" w:themeColor="text1"/>
        </w:rPr>
        <w:t>A person or corporation, whether or not organized under the laws of this state, shall not directly or indirectly merge, acquire, or control</w:t>
      </w:r>
      <w:r w:rsidRPr="00F55A79" w:rsidR="004C4D2E">
        <w:rPr>
          <w:color w:val="000000" w:themeColor="text1"/>
        </w:rPr>
        <w:t xml:space="preserve"> … </w:t>
      </w:r>
      <w:r w:rsidRPr="00F55A79">
        <w:rPr>
          <w:color w:val="000000" w:themeColor="text1"/>
        </w:rPr>
        <w:t xml:space="preserve">any public utility organized and doing business in this state without first securing authorization to do so from the commission. The </w:t>
      </w:r>
      <w:r w:rsidRPr="00F55A79">
        <w:t>commission may establish, by order or rule, the definitions of what constitutes a merger, acquisition, or control activity that is subject to this section. Any merger, acquisition, or control without that prior authorization is void. A public utility organized and doing business under the laws of this state, and a subsidiary or affiliate of, or corporation holding a controlling interest in, a public utility, shall not aid or abet any violation of this section.</w:t>
      </w:r>
    </w:p>
    <w:p w:rsidRPr="00F55A79" w:rsidR="00D2466A" w:rsidP="004E680F" w:rsidRDefault="00D2466A" w14:paraId="39A2A11B" w14:textId="5DA1F58F">
      <w:pPr>
        <w:pStyle w:val="Standard"/>
        <w:rPr>
          <w:color w:val="000000" w:themeColor="text1"/>
        </w:rPr>
      </w:pPr>
      <w:r w:rsidRPr="00F55A79">
        <w:t xml:space="preserve">The purpose of this and related code sections is to enable the Commission, before any transfer of public utility authority is consummated, to review the proposal and to take such action, as a condition of the transfer, as the public interest </w:t>
      </w:r>
      <w:r w:rsidRPr="00F55A79">
        <w:rPr>
          <w:color w:val="000000" w:themeColor="text1"/>
        </w:rPr>
        <w:t>may require.</w:t>
      </w:r>
      <w:r w:rsidRPr="00F55A79">
        <w:rPr>
          <w:color w:val="000000" w:themeColor="text1"/>
          <w:vertAlign w:val="superscript"/>
        </w:rPr>
        <w:footnoteReference w:id="50"/>
      </w:r>
      <w:r w:rsidRPr="00F55A79">
        <w:rPr>
          <w:color w:val="000000" w:themeColor="text1"/>
        </w:rPr>
        <w:t xml:space="preserve"> The Commission has broad discretion under Pub Util. Section 854 to approve or reject a proposed transaction.</w:t>
      </w:r>
    </w:p>
    <w:p w:rsidRPr="00F55A79" w:rsidR="00125CEB" w:rsidP="006F2122" w:rsidRDefault="001E7348" w14:paraId="56C789DD" w14:textId="75B0A410">
      <w:pPr>
        <w:pStyle w:val="Standard"/>
        <w:rPr>
          <w:color w:val="000000" w:themeColor="text1"/>
        </w:rPr>
      </w:pPr>
      <w:r w:rsidRPr="00F55A79">
        <w:rPr>
          <w:color w:val="000000" w:themeColor="text1"/>
        </w:rPr>
        <w:t>According to the Joint Applicants, the proposed transaction would occur through the merger of Frontier Parent with a new direct wholly owned subsidiary of Verizon, France Merger Sub Inc., created for purposes of the transaction.  France Merger Sub Inc. is a Delaware corporation.</w:t>
      </w:r>
      <w:r w:rsidRPr="00F55A79">
        <w:rPr>
          <w:rStyle w:val="FootnoteReference"/>
          <w:color w:val="000000" w:themeColor="text1"/>
        </w:rPr>
        <w:footnoteReference w:id="51"/>
      </w:r>
      <w:r w:rsidRPr="00F55A79">
        <w:rPr>
          <w:color w:val="000000" w:themeColor="text1"/>
        </w:rPr>
        <w:t xml:space="preserve">  Following the proposed transaction, Frontier Parent would be the surviving entity</w:t>
      </w:r>
      <w:r w:rsidRPr="00F55A79" w:rsidR="00370261">
        <w:rPr>
          <w:rStyle w:val="FootnoteReference"/>
          <w:color w:val="000000" w:themeColor="text1"/>
        </w:rPr>
        <w:footnoteReference w:id="52"/>
      </w:r>
      <w:r w:rsidRPr="00F55A79">
        <w:rPr>
          <w:color w:val="000000" w:themeColor="text1"/>
        </w:rPr>
        <w:t xml:space="preserve"> and will become a wholly owned, direct subsidiary of Verizon, and Frontier’s subsidiaries </w:t>
      </w:r>
      <w:r w:rsidRPr="00F55A79">
        <w:rPr>
          <w:color w:val="000000" w:themeColor="text1"/>
        </w:rPr>
        <w:lastRenderedPageBreak/>
        <w:t>would become indirect, wholly owned subsidiaries of Verizon.</w:t>
      </w:r>
      <w:r w:rsidRPr="00F55A79">
        <w:rPr>
          <w:rStyle w:val="FootnoteReference"/>
          <w:color w:val="000000" w:themeColor="text1"/>
        </w:rPr>
        <w:footnoteReference w:id="53"/>
      </w:r>
      <w:r w:rsidRPr="00F55A79">
        <w:rPr>
          <w:color w:val="000000" w:themeColor="text1"/>
        </w:rPr>
        <w:t xml:space="preserve">  According to the Joint Applicants, as “this Transaction is occurring at the holding company level, there is no “merger” or “transfer” of any public utility operations or assets.”</w:t>
      </w:r>
      <w:r w:rsidRPr="00F55A79">
        <w:rPr>
          <w:rStyle w:val="FootnoteReference"/>
          <w:color w:val="000000" w:themeColor="text1"/>
        </w:rPr>
        <w:footnoteReference w:id="54"/>
      </w:r>
    </w:p>
    <w:p w:rsidRPr="00F55A79" w:rsidR="00376F8B" w:rsidP="006F2122" w:rsidRDefault="00376F8B" w14:paraId="0F725F6E" w14:textId="7FB19A3F">
      <w:pPr>
        <w:pStyle w:val="Standard"/>
        <w:rPr>
          <w:color w:val="000000" w:themeColor="text1"/>
        </w:rPr>
      </w:pPr>
      <w:r w:rsidRPr="00F55A79">
        <w:rPr>
          <w:color w:val="000000" w:themeColor="text1"/>
        </w:rPr>
        <w:t>In their application, the Joint Applicants provided charts th</w:t>
      </w:r>
      <w:r w:rsidRPr="00F55A79" w:rsidR="00125CEB">
        <w:rPr>
          <w:color w:val="000000" w:themeColor="text1"/>
        </w:rPr>
        <w:t>at</w:t>
      </w:r>
      <w:r w:rsidRPr="00F55A79">
        <w:rPr>
          <w:color w:val="000000" w:themeColor="text1"/>
        </w:rPr>
        <w:t xml:space="preserve"> illustrated proposed pre- and post-closing ownership structures.</w:t>
      </w:r>
      <w:r w:rsidRPr="00F55A79">
        <w:rPr>
          <w:rStyle w:val="FootnoteReference"/>
          <w:color w:val="000000" w:themeColor="text1"/>
        </w:rPr>
        <w:footnoteReference w:id="55"/>
      </w:r>
      <w:r w:rsidRPr="00F55A79">
        <w:rPr>
          <w:color w:val="000000" w:themeColor="text1"/>
        </w:rPr>
        <w:t xml:space="preserve">  In addition, t</w:t>
      </w:r>
      <w:r w:rsidRPr="00F55A79" w:rsidR="0038372F">
        <w:rPr>
          <w:color w:val="000000" w:themeColor="text1"/>
        </w:rPr>
        <w:t>he Joint Applicants provided organizational documents for each of the applicants and evidence of the California operating subsidiaries’ qualifications to do business in California.</w:t>
      </w:r>
      <w:r w:rsidRPr="00F55A79" w:rsidR="0038372F">
        <w:rPr>
          <w:rStyle w:val="FootnoteReference"/>
          <w:color w:val="000000" w:themeColor="text1"/>
        </w:rPr>
        <w:footnoteReference w:id="56"/>
      </w:r>
      <w:r w:rsidRPr="00F55A79" w:rsidR="0038372F">
        <w:rPr>
          <w:color w:val="000000" w:themeColor="text1"/>
        </w:rPr>
        <w:t xml:space="preserve">  </w:t>
      </w:r>
    </w:p>
    <w:p w:rsidRPr="00F55A79" w:rsidR="006F2122" w:rsidP="006F2122" w:rsidRDefault="006F2122" w14:paraId="120687DC" w14:textId="2D73663D">
      <w:pPr>
        <w:pStyle w:val="Standard"/>
        <w:rPr>
          <w:color w:val="EE0000"/>
        </w:rPr>
      </w:pPr>
      <w:r w:rsidRPr="00F55A79">
        <w:rPr>
          <w:color w:val="000000" w:themeColor="text1"/>
        </w:rPr>
        <w:t>Pursuant to Rule 3.6(e), which requires the submission of a financial statement in connection with “merger proceedings” and “other transfer proceedings,” the Joint Applicants provided financial statements.</w:t>
      </w:r>
      <w:r w:rsidRPr="00F55A79">
        <w:rPr>
          <w:rStyle w:val="FootnoteReference"/>
          <w:color w:val="000000" w:themeColor="text1"/>
        </w:rPr>
        <w:footnoteReference w:id="57"/>
      </w:r>
      <w:r w:rsidRPr="00F55A79">
        <w:rPr>
          <w:color w:val="000000" w:themeColor="text1"/>
        </w:rPr>
        <w:t xml:space="preserve">  The Joint Applicants stated that this transaction is best characterized as an “other transfer proceeding” under Rule 3.6(e), since the transfer of control will be effectuated through a “holding company” merger of Verizon and Frontier at the parent company level.</w:t>
      </w:r>
      <w:r w:rsidRPr="00F55A79">
        <w:rPr>
          <w:rStyle w:val="FootnoteReference"/>
          <w:color w:val="000000" w:themeColor="text1"/>
        </w:rPr>
        <w:footnoteReference w:id="58"/>
      </w:r>
      <w:r w:rsidRPr="00F55A79">
        <w:rPr>
          <w:color w:val="000000" w:themeColor="text1"/>
        </w:rPr>
        <w:t xml:space="preserve">  According to the Joint Applicants, the California operating subsidiaries will not be merged and will instead continue in their current corporate and operational forms after the holding company merger. </w:t>
      </w:r>
    </w:p>
    <w:p w:rsidRPr="00F55A79" w:rsidR="00332A6F" w:rsidP="00332A6F" w:rsidRDefault="00B218A4" w14:paraId="3F17460C" w14:textId="6708A0C5">
      <w:pPr>
        <w:pStyle w:val="Heading2"/>
      </w:pPr>
      <w:bookmarkStart w:name="_Toc216163134" w:id="46"/>
      <w:r w:rsidRPr="00F55A79">
        <w:lastRenderedPageBreak/>
        <w:t>Joint Applicants’</w:t>
      </w:r>
      <w:r w:rsidRPr="00F55A79" w:rsidR="00332A6F">
        <w:t xml:space="preserve"> </w:t>
      </w:r>
      <w:r w:rsidRPr="00F55A79">
        <w:t>Position</w:t>
      </w:r>
      <w:bookmarkEnd w:id="46"/>
    </w:p>
    <w:p w:rsidRPr="00F55A79" w:rsidR="000F0F4B" w:rsidP="00294313" w:rsidRDefault="00E4045E" w14:paraId="08082D13" w14:textId="69AB7526">
      <w:pPr>
        <w:pStyle w:val="Standard"/>
      </w:pPr>
      <w:r w:rsidRPr="00F55A79">
        <w:rPr>
          <w:color w:val="000000" w:themeColor="text1"/>
        </w:rPr>
        <w:t xml:space="preserve">The Joint </w:t>
      </w:r>
      <w:r w:rsidRPr="00F55A79" w:rsidR="005A72CA">
        <w:rPr>
          <w:color w:val="000000" w:themeColor="text1"/>
        </w:rPr>
        <w:t xml:space="preserve">Applicants </w:t>
      </w:r>
      <w:r w:rsidRPr="00F55A79">
        <w:rPr>
          <w:color w:val="000000" w:themeColor="text1"/>
        </w:rPr>
        <w:t xml:space="preserve">noted various </w:t>
      </w:r>
      <w:r w:rsidRPr="00F55A79" w:rsidR="0007448B">
        <w:rPr>
          <w:color w:val="000000" w:themeColor="text1"/>
        </w:rPr>
        <w:t xml:space="preserve">prior Commission decisions that </w:t>
      </w:r>
      <w:r w:rsidRPr="00F55A79" w:rsidR="006A62FB">
        <w:rPr>
          <w:color w:val="000000" w:themeColor="text1"/>
        </w:rPr>
        <w:t xml:space="preserve">have </w:t>
      </w:r>
      <w:r w:rsidRPr="00F55A79" w:rsidR="00A75A2A">
        <w:t xml:space="preserve">addressed compliance with </w:t>
      </w:r>
      <w:r w:rsidRPr="00F55A79" w:rsidR="00C71DE0">
        <w:t xml:space="preserve">Section </w:t>
      </w:r>
      <w:r w:rsidRPr="00F55A79" w:rsidR="00A75A2A">
        <w:t>854(a)</w:t>
      </w:r>
      <w:r w:rsidRPr="00F55A79" w:rsidR="00A2097D">
        <w:rPr>
          <w:rStyle w:val="FootnoteReference"/>
          <w:color w:val="000000" w:themeColor="text1"/>
        </w:rPr>
        <w:footnoteReference w:id="59"/>
      </w:r>
      <w:r w:rsidRPr="00F55A79" w:rsidR="00A75A2A">
        <w:rPr>
          <w:color w:val="000000" w:themeColor="text1"/>
        </w:rPr>
        <w:t xml:space="preserve"> </w:t>
      </w:r>
      <w:r w:rsidRPr="00F55A79" w:rsidR="00FD3683">
        <w:rPr>
          <w:color w:val="000000" w:themeColor="text1"/>
        </w:rPr>
        <w:t xml:space="preserve">and proposed </w:t>
      </w:r>
      <w:r w:rsidRPr="00F55A79" w:rsidR="00E44DCE">
        <w:rPr>
          <w:color w:val="000000" w:themeColor="text1"/>
        </w:rPr>
        <w:t xml:space="preserve">methods for the Commission to evaluate compliance </w:t>
      </w:r>
      <w:r w:rsidRPr="00F55A79" w:rsidR="00FC35B8">
        <w:rPr>
          <w:color w:val="000000" w:themeColor="text1"/>
        </w:rPr>
        <w:t>with this statute</w:t>
      </w:r>
      <w:r w:rsidRPr="00F55A79" w:rsidR="00A75A2A">
        <w:t>.</w:t>
      </w:r>
      <w:r w:rsidRPr="00F55A79" w:rsidR="00860FE9">
        <w:t xml:space="preserve">  </w:t>
      </w:r>
      <w:r w:rsidRPr="00F55A79" w:rsidR="00294313">
        <w:t>In their Application the Joint Parties noted that, in</w:t>
      </w:r>
      <w:r w:rsidRPr="00F55A79" w:rsidR="005D18CB">
        <w:t xml:space="preserve"> D.15-12-005,</w:t>
      </w:r>
      <w:r w:rsidRPr="00F55A79" w:rsidR="00294313">
        <w:t xml:space="preserve"> </w:t>
      </w:r>
      <w:r w:rsidRPr="00F55A79" w:rsidR="005D18CB">
        <w:t xml:space="preserve">the Commission found </w:t>
      </w:r>
      <w:r w:rsidRPr="00F55A79" w:rsidR="00294313">
        <w:t xml:space="preserve">the transaction between Verizon and Frontier in the public interest </w:t>
      </w:r>
      <w:r w:rsidRPr="00F55A79">
        <w:t>an</w:t>
      </w:r>
      <w:r w:rsidRPr="00F55A79" w:rsidR="00294313">
        <w:t>d</w:t>
      </w:r>
      <w:r w:rsidRPr="00F55A79">
        <w:t xml:space="preserve"> stated</w:t>
      </w:r>
      <w:r w:rsidRPr="00F55A79" w:rsidR="00294313">
        <w:t xml:space="preserve"> that “the interest requirement of [Section] 854(a) is satisfied if the public, including the customers of Verizon and Frontier, is no worse off after the Transaction than it was before it.”</w:t>
      </w:r>
      <w:r w:rsidRPr="00F55A79" w:rsidR="00294313">
        <w:rPr>
          <w:rStyle w:val="FootnoteReference"/>
          <w:color w:val="000000" w:themeColor="text1"/>
        </w:rPr>
        <w:footnoteReference w:id="60"/>
      </w:r>
      <w:r w:rsidRPr="00F55A79" w:rsidR="00294313">
        <w:rPr>
          <w:color w:val="000000" w:themeColor="text1"/>
        </w:rPr>
        <w:t xml:space="preserve"> </w:t>
      </w:r>
    </w:p>
    <w:p w:rsidRPr="00F55A79" w:rsidR="00B218A4" w:rsidP="00096D54" w:rsidRDefault="00B218A4" w14:paraId="4813CA8A" w14:textId="5C3CE9D8">
      <w:pPr>
        <w:pStyle w:val="Heading2"/>
      </w:pPr>
      <w:bookmarkStart w:name="_Toc216163135" w:id="47"/>
      <w:r w:rsidRPr="00F55A79">
        <w:t>Party Positions</w:t>
      </w:r>
      <w:bookmarkEnd w:id="47"/>
    </w:p>
    <w:p w:rsidRPr="00F55A79" w:rsidR="003548A3" w:rsidP="00096D54" w:rsidRDefault="003548A3" w14:paraId="4AA71BF7" w14:textId="0B0843EF">
      <w:pPr>
        <w:pStyle w:val="Heading3"/>
      </w:pPr>
      <w:bookmarkStart w:name="_Toc215483189" w:id="48"/>
      <w:bookmarkStart w:name="_Toc215483910" w:id="49"/>
      <w:bookmarkStart w:name="_Toc216163136" w:id="50"/>
      <w:bookmarkEnd w:id="48"/>
      <w:bookmarkEnd w:id="49"/>
      <w:r w:rsidRPr="00F55A79">
        <w:t>CETF</w:t>
      </w:r>
      <w:bookmarkEnd w:id="50"/>
    </w:p>
    <w:p w:rsidRPr="00F55A79" w:rsidR="00240325" w:rsidP="00240325" w:rsidRDefault="007E43C3" w14:paraId="617176D0" w14:textId="0788A0B9">
      <w:pPr>
        <w:pStyle w:val="Standard"/>
        <w:rPr>
          <w:color w:val="000000" w:themeColor="text1"/>
        </w:rPr>
      </w:pPr>
      <w:r w:rsidRPr="00F55A79">
        <w:t>CETF</w:t>
      </w:r>
      <w:r w:rsidRPr="00F55A79" w:rsidR="00860FE9">
        <w:t xml:space="preserve"> noted that</w:t>
      </w:r>
      <w:r w:rsidRPr="00F55A79">
        <w:t xml:space="preserve"> </w:t>
      </w:r>
      <w:r w:rsidRPr="00F55A79" w:rsidR="00BC6434">
        <w:t>t</w:t>
      </w:r>
      <w:r w:rsidRPr="00F55A79" w:rsidR="00240325">
        <w:t>he Joint Applicants properly applied for preapproval by the Commission for the proposed acquisition of Frontier by Verizon per Section 854(a).</w:t>
      </w:r>
      <w:r w:rsidRPr="00F55A79" w:rsidR="00860FE9">
        <w:rPr>
          <w:rStyle w:val="FootnoteReference"/>
        </w:rPr>
        <w:footnoteReference w:id="61"/>
      </w:r>
      <w:r w:rsidRPr="00F55A79" w:rsidR="00240325">
        <w:t xml:space="preserve"> </w:t>
      </w:r>
      <w:r w:rsidRPr="00F55A79" w:rsidR="00860FE9">
        <w:t xml:space="preserve"> </w:t>
      </w:r>
      <w:r w:rsidRPr="00F55A79" w:rsidR="000F1763">
        <w:t>CETF stated that t</w:t>
      </w:r>
      <w:r w:rsidRPr="00F55A79" w:rsidR="00240325">
        <w:t>he record</w:t>
      </w:r>
      <w:r w:rsidRPr="00F55A79" w:rsidR="000F1763">
        <w:t xml:space="preserve"> of this proceeding, developed over a more than a year,</w:t>
      </w:r>
      <w:r w:rsidRPr="00F55A79" w:rsidR="00240325">
        <w:t xml:space="preserve"> </w:t>
      </w:r>
      <w:r w:rsidRPr="00F55A79" w:rsidR="000F1763">
        <w:t xml:space="preserve">is </w:t>
      </w:r>
      <w:r w:rsidRPr="00F55A79" w:rsidR="000F1763">
        <w:rPr>
          <w:color w:val="000000" w:themeColor="text1"/>
        </w:rPr>
        <w:t>thorough –</w:t>
      </w:r>
      <w:r w:rsidRPr="00F55A79" w:rsidR="00240325">
        <w:rPr>
          <w:color w:val="000000" w:themeColor="text1"/>
        </w:rPr>
        <w:t xml:space="preserve"> </w:t>
      </w:r>
      <w:r w:rsidRPr="00F55A79" w:rsidR="000F1763">
        <w:rPr>
          <w:color w:val="000000" w:themeColor="text1"/>
        </w:rPr>
        <w:t>and includes</w:t>
      </w:r>
      <w:r w:rsidRPr="00F55A79" w:rsidR="00240325">
        <w:rPr>
          <w:color w:val="000000" w:themeColor="text1"/>
        </w:rPr>
        <w:t xml:space="preserve"> data requests and responses, ten witnesses, three rounds of testimony, two days of hearing, and numerous public </w:t>
      </w:r>
      <w:r w:rsidRPr="00F55A79" w:rsidR="00240325">
        <w:t>participation hearings.</w:t>
      </w:r>
      <w:r w:rsidRPr="00F55A79" w:rsidR="000F1763">
        <w:rPr>
          <w:rStyle w:val="FootnoteReference"/>
          <w:color w:val="000000" w:themeColor="text1"/>
        </w:rPr>
        <w:footnoteReference w:id="62"/>
      </w:r>
      <w:r w:rsidRPr="00F55A79" w:rsidR="00240325">
        <w:rPr>
          <w:color w:val="000000" w:themeColor="text1"/>
        </w:rPr>
        <w:t xml:space="preserve"> </w:t>
      </w:r>
      <w:r w:rsidRPr="00F55A79" w:rsidR="000F1763">
        <w:rPr>
          <w:color w:val="000000" w:themeColor="text1"/>
        </w:rPr>
        <w:t xml:space="preserve"> CETF also stated that the </w:t>
      </w:r>
      <w:r w:rsidRPr="00F55A79" w:rsidR="004E55DB">
        <w:rPr>
          <w:color w:val="000000" w:themeColor="text1"/>
        </w:rPr>
        <w:t>s</w:t>
      </w:r>
      <w:r w:rsidRPr="00F55A79" w:rsidR="00240325">
        <w:rPr>
          <w:color w:val="000000" w:themeColor="text1"/>
        </w:rPr>
        <w:t xml:space="preserve">ettlement </w:t>
      </w:r>
      <w:r w:rsidRPr="00F55A79" w:rsidR="004E55DB">
        <w:rPr>
          <w:color w:val="000000" w:themeColor="text1"/>
        </w:rPr>
        <w:t>a</w:t>
      </w:r>
      <w:r w:rsidRPr="00F55A79" w:rsidR="00240325">
        <w:rPr>
          <w:color w:val="000000" w:themeColor="text1"/>
        </w:rPr>
        <w:t xml:space="preserve">greements </w:t>
      </w:r>
      <w:r w:rsidRPr="00F55A79" w:rsidR="00240325">
        <w:rPr>
          <w:color w:val="000000" w:themeColor="text1"/>
        </w:rPr>
        <w:lastRenderedPageBreak/>
        <w:t xml:space="preserve">between </w:t>
      </w:r>
      <w:r w:rsidRPr="00F55A79" w:rsidR="000F1763">
        <w:rPr>
          <w:color w:val="000000" w:themeColor="text1"/>
        </w:rPr>
        <w:t>“</w:t>
      </w:r>
      <w:r w:rsidRPr="00F55A79" w:rsidR="00240325">
        <w:rPr>
          <w:color w:val="000000" w:themeColor="text1"/>
        </w:rPr>
        <w:t xml:space="preserve">have brought substantial and broad voluntary commitments from </w:t>
      </w:r>
      <w:r w:rsidRPr="00F55A79" w:rsidR="00240325">
        <w:t>Verizon.</w:t>
      </w:r>
      <w:r w:rsidRPr="00F55A79" w:rsidR="000F1763">
        <w:t>”</w:t>
      </w:r>
      <w:r w:rsidRPr="00F55A79" w:rsidR="000F1763">
        <w:rPr>
          <w:rStyle w:val="FootnoteReference"/>
          <w:color w:val="000000" w:themeColor="text1"/>
        </w:rPr>
        <w:footnoteReference w:id="63"/>
      </w:r>
    </w:p>
    <w:p w:rsidRPr="00F55A79" w:rsidR="00DB52BC" w:rsidP="00A70678" w:rsidRDefault="00DB52BC" w14:paraId="68EDDB2D" w14:textId="1BA2ABD7">
      <w:pPr>
        <w:pStyle w:val="Heading3"/>
        <w:rPr>
          <w:color w:val="000000" w:themeColor="text1"/>
        </w:rPr>
      </w:pPr>
      <w:bookmarkStart w:name="_Toc216163137" w:id="51"/>
      <w:r w:rsidRPr="00F55A79">
        <w:rPr>
          <w:color w:val="000000" w:themeColor="text1"/>
        </w:rPr>
        <w:t>Cfo</w:t>
      </w:r>
      <w:r w:rsidRPr="00F55A79" w:rsidR="0026788A">
        <w:rPr>
          <w:color w:val="000000" w:themeColor="text1"/>
        </w:rPr>
        <w:t>r</w:t>
      </w:r>
      <w:r w:rsidRPr="00F55A79">
        <w:rPr>
          <w:color w:val="000000" w:themeColor="text1"/>
        </w:rPr>
        <w:t>AT</w:t>
      </w:r>
      <w:bookmarkEnd w:id="51"/>
    </w:p>
    <w:p w:rsidRPr="00F55A79" w:rsidR="009D2BF9" w:rsidP="005C04BA" w:rsidRDefault="005F686D" w14:paraId="34C3A909" w14:textId="46F4A6A4">
      <w:pPr>
        <w:pStyle w:val="Standard"/>
      </w:pPr>
      <w:r w:rsidRPr="00F55A79">
        <w:rPr>
          <w:color w:val="000000" w:themeColor="text1"/>
        </w:rPr>
        <w:t xml:space="preserve">CforAT noted that </w:t>
      </w:r>
      <w:r w:rsidRPr="00F55A79" w:rsidR="005C04BA">
        <w:rPr>
          <w:color w:val="000000" w:themeColor="text1"/>
        </w:rPr>
        <w:t xml:space="preserve">“where necessary and appropriate, the Commission may attach conditions to a transaction in order to protect and promote the public </w:t>
      </w:r>
      <w:r w:rsidRPr="00F55A79" w:rsidR="005C04BA">
        <w:t>interest.”</w:t>
      </w:r>
      <w:r w:rsidRPr="00F55A79" w:rsidR="005C04BA">
        <w:rPr>
          <w:rStyle w:val="FootnoteReference"/>
          <w:color w:val="000000" w:themeColor="text1"/>
        </w:rPr>
        <w:footnoteReference w:id="64"/>
      </w:r>
      <w:r w:rsidRPr="00F55A79" w:rsidR="005C04BA">
        <w:rPr>
          <w:color w:val="000000" w:themeColor="text1"/>
        </w:rPr>
        <w:t xml:space="preserve">  CforAT</w:t>
      </w:r>
      <w:r w:rsidRPr="00F55A79" w:rsidR="00787150">
        <w:rPr>
          <w:color w:val="000000" w:themeColor="text1"/>
        </w:rPr>
        <w:t xml:space="preserve"> noted that</w:t>
      </w:r>
      <w:r w:rsidRPr="00F55A79" w:rsidR="005C04BA">
        <w:rPr>
          <w:color w:val="000000" w:themeColor="text1"/>
        </w:rPr>
        <w:t xml:space="preserve"> the Joint Applicants bear the burden of demonstrating that the proposed transaction is in the public interest as required by Public </w:t>
      </w:r>
      <w:r w:rsidRPr="00F55A79" w:rsidR="005C04BA">
        <w:t>Utilities Code section 854, subdivision (e).</w:t>
      </w:r>
      <w:r w:rsidRPr="00F55A79" w:rsidR="00787150">
        <w:rPr>
          <w:rStyle w:val="FootnoteReference"/>
          <w:color w:val="000000" w:themeColor="text1"/>
        </w:rPr>
        <w:footnoteReference w:id="65"/>
      </w:r>
      <w:r w:rsidRPr="00F55A79" w:rsidR="00787150">
        <w:rPr>
          <w:color w:val="000000" w:themeColor="text1"/>
        </w:rPr>
        <w:t xml:space="preserve"> </w:t>
      </w:r>
      <w:r w:rsidRPr="00F55A79" w:rsidR="005C04BA">
        <w:rPr>
          <w:color w:val="000000" w:themeColor="text1"/>
        </w:rPr>
        <w:t xml:space="preserve"> </w:t>
      </w:r>
      <w:r w:rsidRPr="00F55A79" w:rsidR="00787150">
        <w:rPr>
          <w:color w:val="000000" w:themeColor="text1"/>
        </w:rPr>
        <w:t>According to CforAT, t</w:t>
      </w:r>
      <w:r w:rsidRPr="00F55A79" w:rsidR="005C04BA">
        <w:rPr>
          <w:color w:val="000000" w:themeColor="text1"/>
        </w:rPr>
        <w:t xml:space="preserve">his burden requires that Joint Applicants, by a preponderance of the evidence, demonstrate that the proposed transaction will result in a net benefit to the public interest, i.e. the public interest benefits of the proposed transaction </w:t>
      </w:r>
      <w:r w:rsidRPr="00F55A79" w:rsidR="005C04BA">
        <w:t>outweigh the public interest harms.</w:t>
      </w:r>
      <w:r w:rsidRPr="00F55A79" w:rsidR="00787150">
        <w:rPr>
          <w:rStyle w:val="FootnoteReference"/>
          <w:color w:val="000000" w:themeColor="text1"/>
        </w:rPr>
        <w:footnoteReference w:id="66"/>
      </w:r>
      <w:r w:rsidRPr="00F55A79" w:rsidR="005C04BA">
        <w:rPr>
          <w:color w:val="000000" w:themeColor="text1"/>
        </w:rPr>
        <w:t xml:space="preserve"> </w:t>
      </w:r>
      <w:r w:rsidRPr="00F55A79" w:rsidR="00F63A97">
        <w:rPr>
          <w:color w:val="000000" w:themeColor="text1"/>
        </w:rPr>
        <w:t xml:space="preserve"> CforAT stated that “</w:t>
      </w:r>
      <w:r w:rsidRPr="00F55A79" w:rsidR="00EA61B9">
        <w:rPr>
          <w:color w:val="000000" w:themeColor="text1"/>
        </w:rPr>
        <w:t>[</w:t>
      </w:r>
      <w:r w:rsidRPr="00F55A79" w:rsidR="00F63A97">
        <w:rPr>
          <w:color w:val="000000" w:themeColor="text1"/>
        </w:rPr>
        <w:t>o</w:t>
      </w:r>
      <w:r w:rsidRPr="00F55A79" w:rsidR="00EA61B9">
        <w:rPr>
          <w:color w:val="000000" w:themeColor="text1"/>
        </w:rPr>
        <w:t>]</w:t>
      </w:r>
      <w:r w:rsidRPr="00F55A79" w:rsidR="005C04BA">
        <w:rPr>
          <w:color w:val="000000" w:themeColor="text1"/>
        </w:rPr>
        <w:t>verall, the public interest benefits of the proposed transaction do not outweigh the public interest harms</w:t>
      </w:r>
      <w:r w:rsidRPr="00F55A79" w:rsidR="00EA61B9">
        <w:rPr>
          <w:color w:val="000000" w:themeColor="text1"/>
        </w:rPr>
        <w:t xml:space="preserve">” and noted that the </w:t>
      </w:r>
      <w:r w:rsidRPr="00F55A79" w:rsidR="005C04BA">
        <w:rPr>
          <w:color w:val="000000" w:themeColor="text1"/>
        </w:rPr>
        <w:t xml:space="preserve">Commission may not be able to impose sufficient mitigation measures to prevent significant adverse consequences that may result </w:t>
      </w:r>
      <w:r w:rsidRPr="00F55A79" w:rsidR="005C04BA">
        <w:t>from the proposed transaction.</w:t>
      </w:r>
      <w:r w:rsidRPr="00F55A79" w:rsidR="00EA61B9">
        <w:rPr>
          <w:rStyle w:val="FootnoteReference"/>
          <w:color w:val="000000" w:themeColor="text1"/>
        </w:rPr>
        <w:footnoteReference w:id="67"/>
      </w:r>
      <w:r w:rsidRPr="00F55A79" w:rsidR="005C04BA">
        <w:rPr>
          <w:color w:val="000000" w:themeColor="text1"/>
        </w:rPr>
        <w:t xml:space="preserve"> </w:t>
      </w:r>
      <w:r w:rsidRPr="00F55A79" w:rsidR="00EA61B9">
        <w:rPr>
          <w:color w:val="000000" w:themeColor="text1"/>
        </w:rPr>
        <w:t xml:space="preserve"> CforAT stated that, if</w:t>
      </w:r>
      <w:r w:rsidRPr="00F55A79" w:rsidR="005C04BA">
        <w:rPr>
          <w:color w:val="000000" w:themeColor="text1"/>
        </w:rPr>
        <w:t xml:space="preserve"> the Commission approve</w:t>
      </w:r>
      <w:r w:rsidRPr="00F55A79" w:rsidR="00EA61B9">
        <w:rPr>
          <w:color w:val="000000" w:themeColor="text1"/>
        </w:rPr>
        <w:t>s</w:t>
      </w:r>
      <w:r w:rsidRPr="00F55A79" w:rsidR="005C04BA">
        <w:rPr>
          <w:color w:val="000000" w:themeColor="text1"/>
        </w:rPr>
        <w:t xml:space="preserve"> the transaction, it should impose </w:t>
      </w:r>
      <w:r w:rsidRPr="00F55A79" w:rsidR="00EA61B9">
        <w:rPr>
          <w:color w:val="000000" w:themeColor="text1"/>
        </w:rPr>
        <w:t>“</w:t>
      </w:r>
      <w:r w:rsidRPr="00F55A79" w:rsidR="005C04BA">
        <w:rPr>
          <w:color w:val="000000" w:themeColor="text1"/>
        </w:rPr>
        <w:t>multiple meaningful mitigation measures beyond the pending settlements and create a robust,</w:t>
      </w:r>
      <w:r w:rsidRPr="00F55A79" w:rsidR="0028167A">
        <w:rPr>
          <w:color w:val="000000" w:themeColor="text1"/>
        </w:rPr>
        <w:t xml:space="preserve"> and escape-proof, enforcement mechanism to ensure that the transaction does not harm the public </w:t>
      </w:r>
      <w:r w:rsidRPr="00F55A79" w:rsidR="0028167A">
        <w:lastRenderedPageBreak/>
        <w:t>interest. If the Commission cannot do so, it must deny the proposed transaction.”</w:t>
      </w:r>
      <w:r w:rsidRPr="00F55A79" w:rsidR="0028167A">
        <w:rPr>
          <w:vertAlign w:val="superscript"/>
        </w:rPr>
        <w:footnoteReference w:id="68"/>
      </w:r>
    </w:p>
    <w:p w:rsidRPr="00F55A79" w:rsidR="00DB52BC" w:rsidP="005574C4" w:rsidRDefault="00DB52BC" w14:paraId="0EDFBB92" w14:textId="77777777">
      <w:pPr>
        <w:pStyle w:val="Heading3"/>
      </w:pPr>
      <w:bookmarkStart w:name="_Toc216163138" w:id="52"/>
      <w:r w:rsidRPr="00F55A79">
        <w:t>TURN</w:t>
      </w:r>
      <w:bookmarkEnd w:id="52"/>
    </w:p>
    <w:p w:rsidRPr="00F55A79" w:rsidR="00642C4B" w:rsidP="00A75A2A" w:rsidRDefault="00642C4B" w14:paraId="6B6E4A35" w14:textId="68244F73">
      <w:pPr>
        <w:pStyle w:val="Standard"/>
        <w:rPr>
          <w:color w:val="000000" w:themeColor="text1"/>
        </w:rPr>
      </w:pPr>
      <w:r w:rsidRPr="00F55A79">
        <w:rPr>
          <w:color w:val="000000" w:themeColor="text1"/>
        </w:rPr>
        <w:t>TURN recommend</w:t>
      </w:r>
      <w:r w:rsidRPr="00F55A79" w:rsidR="00C4209C">
        <w:rPr>
          <w:color w:val="000000" w:themeColor="text1"/>
        </w:rPr>
        <w:t>ed</w:t>
      </w:r>
      <w:r w:rsidRPr="00F55A79">
        <w:rPr>
          <w:color w:val="000000" w:themeColor="text1"/>
        </w:rPr>
        <w:t xml:space="preserve"> that the Commission adopt mitigation measure</w:t>
      </w:r>
      <w:r w:rsidRPr="00F55A79" w:rsidR="00C4209C">
        <w:rPr>
          <w:color w:val="000000" w:themeColor="text1"/>
        </w:rPr>
        <w:t>s</w:t>
      </w:r>
      <w:r w:rsidRPr="00F55A79">
        <w:rPr>
          <w:color w:val="000000" w:themeColor="text1"/>
        </w:rPr>
        <w:t xml:space="preserve"> if it </w:t>
      </w:r>
      <w:r w:rsidRPr="00F55A79">
        <w:t>approves Verizon’s acquisition of Frontier.</w:t>
      </w:r>
      <w:r w:rsidRPr="00F55A79" w:rsidR="00C4209C">
        <w:rPr>
          <w:rStyle w:val="FootnoteReference"/>
          <w:color w:val="000000" w:themeColor="text1"/>
        </w:rPr>
        <w:footnoteReference w:id="69"/>
      </w:r>
      <w:r w:rsidRPr="00F55A79">
        <w:rPr>
          <w:color w:val="000000" w:themeColor="text1"/>
        </w:rPr>
        <w:t xml:space="preserve"> </w:t>
      </w:r>
      <w:r w:rsidRPr="00F55A79" w:rsidR="006F143B">
        <w:rPr>
          <w:color w:val="000000" w:themeColor="text1"/>
        </w:rPr>
        <w:t xml:space="preserve"> </w:t>
      </w:r>
      <w:r w:rsidRPr="00F55A79" w:rsidR="00C4209C">
        <w:rPr>
          <w:color w:val="000000" w:themeColor="text1"/>
        </w:rPr>
        <w:t>TURN stated that, a</w:t>
      </w:r>
      <w:r w:rsidRPr="00F55A79">
        <w:rPr>
          <w:color w:val="000000" w:themeColor="text1"/>
        </w:rPr>
        <w:t xml:space="preserve">s proposed, the transaction is not in the public interest and does not satisfy the requirements of </w:t>
      </w:r>
      <w:r w:rsidRPr="00F55A79" w:rsidR="00C4209C">
        <w:t xml:space="preserve">Section </w:t>
      </w:r>
      <w:r w:rsidRPr="00F55A79">
        <w:t>854(a).</w:t>
      </w:r>
      <w:r w:rsidRPr="00F55A79" w:rsidR="00C4209C">
        <w:rPr>
          <w:rStyle w:val="FootnoteReference"/>
          <w:color w:val="000000" w:themeColor="text1"/>
        </w:rPr>
        <w:footnoteReference w:id="70"/>
      </w:r>
      <w:r w:rsidRPr="00F55A79">
        <w:rPr>
          <w:color w:val="000000" w:themeColor="text1"/>
        </w:rPr>
        <w:t xml:space="preserve"> </w:t>
      </w:r>
    </w:p>
    <w:p w:rsidRPr="00F55A79" w:rsidR="00B218A4" w:rsidP="00A70678" w:rsidRDefault="00B218A4" w14:paraId="1468697D" w14:textId="6329D6EB">
      <w:pPr>
        <w:pStyle w:val="Heading2"/>
      </w:pPr>
      <w:bookmarkStart w:name="_Toc216163139" w:id="53"/>
      <w:r w:rsidRPr="00F55A79">
        <w:t>Discussion</w:t>
      </w:r>
      <w:bookmarkEnd w:id="53"/>
    </w:p>
    <w:p w:rsidRPr="00F55A79" w:rsidR="00376F8B" w:rsidP="00DD11D7" w:rsidRDefault="00F84AE0" w14:paraId="5D54C855" w14:textId="172D441E">
      <w:pPr>
        <w:pStyle w:val="Standard"/>
        <w:rPr>
          <w:color w:val="000000" w:themeColor="text1"/>
        </w:rPr>
      </w:pPr>
      <w:r w:rsidRPr="00F55A79">
        <w:rPr>
          <w:color w:val="000000" w:themeColor="text1"/>
        </w:rPr>
        <w:t>No party has argued that the Joint Applicants have undertaken the proposed transaction without prior authorization</w:t>
      </w:r>
      <w:r w:rsidRPr="00F55A79" w:rsidR="00125CEB">
        <w:rPr>
          <w:color w:val="000000" w:themeColor="text1"/>
        </w:rPr>
        <w:t>,</w:t>
      </w:r>
      <w:r w:rsidRPr="00F55A79" w:rsidR="00D10B48">
        <w:rPr>
          <w:color w:val="000000" w:themeColor="text1"/>
        </w:rPr>
        <w:t xml:space="preserve"> and we agree with this assessment</w:t>
      </w:r>
      <w:r w:rsidRPr="00F55A79">
        <w:rPr>
          <w:color w:val="000000" w:themeColor="text1"/>
        </w:rPr>
        <w:t xml:space="preserve">. </w:t>
      </w:r>
      <w:r w:rsidRPr="00F55A79" w:rsidR="00F80807">
        <w:rPr>
          <w:color w:val="000000" w:themeColor="text1"/>
        </w:rPr>
        <w:t xml:space="preserve"> </w:t>
      </w:r>
      <w:r w:rsidRPr="00F55A79" w:rsidR="00555003">
        <w:rPr>
          <w:color w:val="000000" w:themeColor="text1"/>
        </w:rPr>
        <w:t>Verizon operat</w:t>
      </w:r>
      <w:r w:rsidRPr="00F55A79" w:rsidR="0038372F">
        <w:rPr>
          <w:color w:val="000000" w:themeColor="text1"/>
        </w:rPr>
        <w:t>es</w:t>
      </w:r>
      <w:r w:rsidRPr="00F55A79" w:rsidR="00555003">
        <w:rPr>
          <w:color w:val="000000" w:themeColor="text1"/>
        </w:rPr>
        <w:t xml:space="preserve"> as a licensed carrier</w:t>
      </w:r>
      <w:r w:rsidRPr="00F55A79" w:rsidR="00125CEB">
        <w:rPr>
          <w:color w:val="000000" w:themeColor="text1"/>
        </w:rPr>
        <w:t xml:space="preserve"> in California, </w:t>
      </w:r>
      <w:r w:rsidRPr="00F55A79" w:rsidR="00775210">
        <w:rPr>
          <w:color w:val="000000" w:themeColor="text1"/>
        </w:rPr>
        <w:t>as do</w:t>
      </w:r>
      <w:r w:rsidRPr="00F55A79" w:rsidR="00125CEB">
        <w:rPr>
          <w:color w:val="000000" w:themeColor="text1"/>
        </w:rPr>
        <w:t xml:space="preserve"> </w:t>
      </w:r>
      <w:r w:rsidRPr="00F55A79" w:rsidR="00775210">
        <w:rPr>
          <w:color w:val="000000" w:themeColor="text1"/>
        </w:rPr>
        <w:t>the Frontier subsidiaries</w:t>
      </w:r>
      <w:r w:rsidRPr="00F55A79" w:rsidR="00555003">
        <w:rPr>
          <w:color w:val="000000" w:themeColor="text1"/>
        </w:rPr>
        <w:t>.</w:t>
      </w:r>
      <w:r w:rsidRPr="00F55A79" w:rsidR="00775210">
        <w:rPr>
          <w:color w:val="000000" w:themeColor="text1"/>
        </w:rPr>
        <w:t xml:space="preserve">  We identify no specific harms regarding the structure of the proposed transaction.  </w:t>
      </w:r>
      <w:r w:rsidRPr="00F55A79">
        <w:rPr>
          <w:color w:val="000000" w:themeColor="text1"/>
        </w:rPr>
        <w:t xml:space="preserve">We </w:t>
      </w:r>
      <w:r w:rsidRPr="00F55A79" w:rsidR="00775210">
        <w:rPr>
          <w:color w:val="000000" w:themeColor="text1"/>
        </w:rPr>
        <w:t xml:space="preserve">therefore </w:t>
      </w:r>
      <w:r w:rsidRPr="00F55A79">
        <w:rPr>
          <w:color w:val="000000" w:themeColor="text1"/>
        </w:rPr>
        <w:t xml:space="preserve">find that </w:t>
      </w:r>
      <w:r w:rsidRPr="00F55A79" w:rsidR="00D10B48">
        <w:rPr>
          <w:color w:val="000000" w:themeColor="text1"/>
        </w:rPr>
        <w:t>the proposed transaction meets the requirements of Section 854(a)</w:t>
      </w:r>
      <w:r w:rsidRPr="00F55A79">
        <w:rPr>
          <w:color w:val="000000" w:themeColor="text1"/>
        </w:rPr>
        <w:t>.</w:t>
      </w:r>
      <w:r w:rsidRPr="00F55A79" w:rsidR="008B45FD">
        <w:rPr>
          <w:color w:val="000000" w:themeColor="text1"/>
        </w:rPr>
        <w:t xml:space="preserve">  </w:t>
      </w:r>
    </w:p>
    <w:p w:rsidRPr="00F55A79" w:rsidR="00DD11D7" w:rsidP="00DD11D7" w:rsidRDefault="00775210" w14:paraId="16024FDD" w14:textId="7B6E87F1">
      <w:pPr>
        <w:pStyle w:val="Standard"/>
        <w:rPr>
          <w:color w:val="000000" w:themeColor="text1"/>
        </w:rPr>
      </w:pPr>
      <w:r w:rsidRPr="00F55A79">
        <w:rPr>
          <w:color w:val="000000" w:themeColor="text1"/>
        </w:rPr>
        <w:t>Nonetheless,</w:t>
      </w:r>
      <w:r w:rsidRPr="00F55A79" w:rsidR="008B45FD">
        <w:rPr>
          <w:color w:val="000000" w:themeColor="text1"/>
        </w:rPr>
        <w:t xml:space="preserve"> we agree with TURN and CforAT that </w:t>
      </w:r>
      <w:r w:rsidRPr="00F55A79" w:rsidR="00852C31">
        <w:rPr>
          <w:color w:val="000000" w:themeColor="text1"/>
        </w:rPr>
        <w:t>robust mitigation measures and enforcement mechanisms are needed to ensure that this transaction is in the public interest</w:t>
      </w:r>
      <w:r w:rsidRPr="00F55A79" w:rsidR="00376F8B">
        <w:rPr>
          <w:color w:val="000000" w:themeColor="text1"/>
        </w:rPr>
        <w:t>,</w:t>
      </w:r>
      <w:r w:rsidRPr="00F55A79" w:rsidR="00852C31">
        <w:rPr>
          <w:color w:val="000000" w:themeColor="text1"/>
        </w:rPr>
        <w:t xml:space="preserve"> and adopt such </w:t>
      </w:r>
      <w:r w:rsidRPr="00F55A79" w:rsidR="006F143B">
        <w:rPr>
          <w:color w:val="000000" w:themeColor="text1"/>
        </w:rPr>
        <w:t xml:space="preserve">mitigation and enforcement </w:t>
      </w:r>
      <w:r w:rsidRPr="00F55A79" w:rsidR="00297F34">
        <w:rPr>
          <w:color w:val="000000" w:themeColor="text1"/>
        </w:rPr>
        <w:t>measures herein</w:t>
      </w:r>
      <w:r w:rsidRPr="00F55A79" w:rsidR="00376F8B">
        <w:rPr>
          <w:color w:val="000000" w:themeColor="text1"/>
        </w:rPr>
        <w:t xml:space="preserve">, </w:t>
      </w:r>
      <w:r w:rsidRPr="00F55A79" w:rsidR="00125CEB">
        <w:rPr>
          <w:color w:val="000000" w:themeColor="text1"/>
        </w:rPr>
        <w:t>these mitigation measures are more appropriate to consider</w:t>
      </w:r>
      <w:r w:rsidRPr="00F55A79" w:rsidR="00376F8B">
        <w:rPr>
          <w:color w:val="000000" w:themeColor="text1"/>
        </w:rPr>
        <w:t xml:space="preserve"> </w:t>
      </w:r>
      <w:r w:rsidRPr="00F55A79" w:rsidR="00125CEB">
        <w:rPr>
          <w:color w:val="000000" w:themeColor="text1"/>
        </w:rPr>
        <w:t>in review under Section 854(c)(8)</w:t>
      </w:r>
      <w:r w:rsidRPr="00F55A79" w:rsidR="00297F34">
        <w:rPr>
          <w:color w:val="000000" w:themeColor="text1"/>
        </w:rPr>
        <w:t>.</w:t>
      </w:r>
      <w:r w:rsidRPr="00F55A79" w:rsidR="00852C31">
        <w:rPr>
          <w:color w:val="000000" w:themeColor="text1"/>
        </w:rPr>
        <w:t xml:space="preserve"> </w:t>
      </w:r>
    </w:p>
    <w:p w:rsidRPr="00F55A79" w:rsidR="002A37A7" w:rsidP="00096D54" w:rsidRDefault="00BA6F4D" w14:paraId="4B90D247" w14:textId="2DB95BB4">
      <w:pPr>
        <w:pStyle w:val="Heading1"/>
        <w:rPr>
          <w:color w:val="000000" w:themeColor="text1"/>
        </w:rPr>
      </w:pPr>
      <w:bookmarkStart w:name="_Toc216163140" w:id="54"/>
      <w:r w:rsidRPr="00F55A79">
        <w:rPr>
          <w:color w:val="000000" w:themeColor="text1"/>
        </w:rPr>
        <w:t xml:space="preserve">Issue 2: </w:t>
      </w:r>
      <w:r w:rsidRPr="00F55A79" w:rsidR="002A37A7">
        <w:rPr>
          <w:color w:val="000000" w:themeColor="text1"/>
        </w:rPr>
        <w:t>Section 854(b)</w:t>
      </w:r>
      <w:bookmarkEnd w:id="54"/>
    </w:p>
    <w:p w:rsidRPr="00F55A79" w:rsidR="00C54BE5" w:rsidP="00C54BE5" w:rsidRDefault="00C54BE5" w14:paraId="7654B8F3" w14:textId="26C5ACC6">
      <w:pPr>
        <w:pStyle w:val="Standard"/>
        <w:rPr>
          <w:color w:val="000000" w:themeColor="text1"/>
        </w:rPr>
      </w:pPr>
      <w:r w:rsidRPr="00F55A79">
        <w:rPr>
          <w:color w:val="000000" w:themeColor="text1"/>
        </w:rPr>
        <w:t>Section 854(</w:t>
      </w:r>
      <w:r w:rsidRPr="00F55A79" w:rsidR="00E64056">
        <w:rPr>
          <w:color w:val="000000" w:themeColor="text1"/>
        </w:rPr>
        <w:t>b</w:t>
      </w:r>
      <w:r w:rsidRPr="00F55A79">
        <w:rPr>
          <w:color w:val="000000" w:themeColor="text1"/>
        </w:rPr>
        <w:t xml:space="preserve">) </w:t>
      </w:r>
      <w:r w:rsidRPr="00F55A79" w:rsidR="00836927">
        <w:rPr>
          <w:color w:val="000000" w:themeColor="text1"/>
        </w:rPr>
        <w:t>states</w:t>
      </w:r>
      <w:r w:rsidRPr="00F55A79" w:rsidR="003340ED">
        <w:rPr>
          <w:color w:val="000000" w:themeColor="text1"/>
        </w:rPr>
        <w:t>, in relevant part,</w:t>
      </w:r>
      <w:r w:rsidRPr="00F55A79">
        <w:rPr>
          <w:color w:val="000000" w:themeColor="text1"/>
        </w:rPr>
        <w:t xml:space="preserve"> that: </w:t>
      </w:r>
    </w:p>
    <w:p w:rsidRPr="00F55A79" w:rsidR="00C54BE5" w:rsidP="004E680F" w:rsidRDefault="00C54BE5" w14:paraId="1EBC9926" w14:textId="21267085">
      <w:pPr>
        <w:pStyle w:val="ListAlpha"/>
        <w:numPr>
          <w:ilvl w:val="0"/>
          <w:numId w:val="0"/>
        </w:numPr>
        <w:ind w:left="720"/>
      </w:pPr>
      <w:r w:rsidRPr="00F55A79">
        <w:rPr>
          <w:color w:val="000000" w:themeColor="text1"/>
        </w:rPr>
        <w:t xml:space="preserve">Before authorizing the merger, acquisition, or control of any electrical, gas, or telephone corporation organized and doing business in this state, if any utility that is a party to the proposed transaction has gross annual </w:t>
      </w:r>
      <w:r w:rsidRPr="00F55A79">
        <w:rPr>
          <w:color w:val="000000" w:themeColor="text1"/>
        </w:rPr>
        <w:lastRenderedPageBreak/>
        <w:t>California revenues exceeding $500</w:t>
      </w:r>
      <w:r w:rsidRPr="00F55A79" w:rsidR="00BE2457">
        <w:rPr>
          <w:color w:val="000000" w:themeColor="text1"/>
        </w:rPr>
        <w:t xml:space="preserve"> million</w:t>
      </w:r>
      <w:r w:rsidRPr="00F55A79">
        <w:rPr>
          <w:color w:val="000000" w:themeColor="text1"/>
        </w:rPr>
        <w:t xml:space="preserve">, the commission shall find that the proposal </w:t>
      </w:r>
      <w:r w:rsidRPr="00F55A79">
        <w:t>does all of the following:</w:t>
      </w:r>
    </w:p>
    <w:p w:rsidRPr="00F55A79" w:rsidR="00C54BE5" w:rsidP="00050BA7" w:rsidRDefault="00C54BE5" w14:paraId="444C01EC" w14:textId="60A9ADDD">
      <w:pPr>
        <w:pStyle w:val="ListAlpha"/>
        <w:ind w:right="1440"/>
      </w:pPr>
      <w:r w:rsidRPr="00F55A79">
        <w:t>Provide short-term and long-term economic benefits to ratepayers.</w:t>
      </w:r>
    </w:p>
    <w:p w:rsidRPr="00F55A79" w:rsidR="00C54BE5" w:rsidP="004E680F" w:rsidRDefault="00050BA7" w14:paraId="21096841" w14:textId="6F9905DD">
      <w:pPr>
        <w:pStyle w:val="ListAlpha"/>
        <w:numPr>
          <w:ilvl w:val="0"/>
          <w:numId w:val="0"/>
        </w:numPr>
        <w:ind w:left="720"/>
      </w:pPr>
      <w:r w:rsidRPr="00F55A79">
        <w:t xml:space="preserve">(3) </w:t>
      </w:r>
      <w:r w:rsidRPr="00F55A79" w:rsidR="00C54BE5">
        <w:t>Not adversely affect competition. In making this finding, the commission shall request an advisory opinion from the Attorney General regarding whether competition will be adversely affected and what mitigation measures could be adopted to avoid this result.</w:t>
      </w:r>
    </w:p>
    <w:p w:rsidRPr="00F55A79" w:rsidR="00C54BE5" w:rsidP="00DD11D7" w:rsidRDefault="00B9241B" w14:paraId="1DA98DB2" w14:textId="211CE961">
      <w:pPr>
        <w:pStyle w:val="Standard"/>
        <w:rPr>
          <w:color w:val="000000" w:themeColor="text1"/>
        </w:rPr>
      </w:pPr>
      <w:r w:rsidRPr="00F55A79">
        <w:rPr>
          <w:color w:val="000000" w:themeColor="text1"/>
        </w:rPr>
        <w:t xml:space="preserve">Verizon is a telephone corporation organized and doing business in California and has gross annual California revenues exceeding </w:t>
      </w:r>
      <w:r w:rsidRPr="00F55A79" w:rsidR="00BE2457">
        <w:t>$500 million</w:t>
      </w:r>
      <w:r w:rsidRPr="00F55A79">
        <w:rPr>
          <w:color w:val="000000" w:themeColor="text1"/>
        </w:rPr>
        <w:t>. Therefore, Verizon is subject to the requirements under Section 854(</w:t>
      </w:r>
      <w:r w:rsidRPr="00F55A79" w:rsidR="00050BA7">
        <w:rPr>
          <w:color w:val="000000" w:themeColor="text1"/>
        </w:rPr>
        <w:t>b</w:t>
      </w:r>
      <w:r w:rsidRPr="00F55A79">
        <w:rPr>
          <w:color w:val="000000" w:themeColor="text1"/>
        </w:rPr>
        <w:t>).</w:t>
      </w:r>
    </w:p>
    <w:p w:rsidRPr="00F55A79" w:rsidR="00DD11D7" w:rsidP="00DD11D7" w:rsidRDefault="00F84AE0" w14:paraId="0849BBAC" w14:textId="1CBA9989">
      <w:pPr>
        <w:pStyle w:val="Standard"/>
        <w:rPr>
          <w:color w:val="000000" w:themeColor="text1"/>
        </w:rPr>
      </w:pPr>
      <w:r w:rsidRPr="00F55A79">
        <w:rPr>
          <w:color w:val="000000" w:themeColor="text1"/>
        </w:rPr>
        <w:t xml:space="preserve">In the following </w:t>
      </w:r>
      <w:r w:rsidRPr="00F55A79" w:rsidR="00806EF2">
        <w:rPr>
          <w:color w:val="000000" w:themeColor="text1"/>
        </w:rPr>
        <w:t xml:space="preserve">sub-sections, we evaluate whether the Joint Applicants </w:t>
      </w:r>
      <w:r w:rsidRPr="00F55A79" w:rsidR="00806EF2">
        <w:t>have met the requirements of subsections</w:t>
      </w:r>
      <w:r w:rsidRPr="00F55A79" w:rsidR="00836927">
        <w:t xml:space="preserve"> (1) and (3)</w:t>
      </w:r>
      <w:r w:rsidRPr="00F55A79" w:rsidR="00806EF2">
        <w:t xml:space="preserve"> of Section 854(</w:t>
      </w:r>
      <w:r w:rsidRPr="00F55A79" w:rsidR="00E64056">
        <w:t>b</w:t>
      </w:r>
      <w:r w:rsidRPr="00F55A79" w:rsidR="00806EF2">
        <w:t>)</w:t>
      </w:r>
      <w:r w:rsidRPr="00F55A79" w:rsidR="00836927">
        <w:t>.</w:t>
      </w:r>
      <w:r w:rsidRPr="00F55A79" w:rsidR="00836927">
        <w:rPr>
          <w:rStyle w:val="FootnoteReference"/>
          <w:color w:val="000000" w:themeColor="text1"/>
        </w:rPr>
        <w:footnoteReference w:id="71"/>
      </w:r>
      <w:r w:rsidRPr="00F55A79" w:rsidR="00836927">
        <w:rPr>
          <w:color w:val="000000" w:themeColor="text1"/>
        </w:rPr>
        <w:t xml:space="preserve"> We</w:t>
      </w:r>
      <w:r w:rsidRPr="00F55A79" w:rsidR="00806EF2">
        <w:rPr>
          <w:color w:val="000000" w:themeColor="text1"/>
        </w:rPr>
        <w:t xml:space="preserve"> find that </w:t>
      </w:r>
      <w:r w:rsidRPr="00F55A79" w:rsidR="00E91713">
        <w:rPr>
          <w:color w:val="000000" w:themeColor="text1"/>
        </w:rPr>
        <w:t xml:space="preserve">the </w:t>
      </w:r>
      <w:r w:rsidRPr="00F55A79" w:rsidR="007E078B">
        <w:rPr>
          <w:color w:val="000000" w:themeColor="text1"/>
        </w:rPr>
        <w:t>proposed transaction</w:t>
      </w:r>
      <w:r w:rsidRPr="00F55A79" w:rsidR="00E91713">
        <w:rPr>
          <w:color w:val="000000" w:themeColor="text1"/>
        </w:rPr>
        <w:t xml:space="preserve"> can meet these requirements if certain conditions are met</w:t>
      </w:r>
      <w:r w:rsidRPr="00F55A79" w:rsidR="00806EF2">
        <w:rPr>
          <w:color w:val="000000" w:themeColor="text1"/>
        </w:rPr>
        <w:t>.</w:t>
      </w:r>
    </w:p>
    <w:p w:rsidRPr="00F55A79" w:rsidR="00DD11D7" w:rsidP="00B809C2" w:rsidRDefault="00DD11D7" w14:paraId="3EFA4EF4" w14:textId="59A0E701">
      <w:pPr>
        <w:pStyle w:val="Heading2"/>
        <w:numPr>
          <w:ilvl w:val="1"/>
          <w:numId w:val="57"/>
        </w:numPr>
        <w:rPr>
          <w:color w:val="000000" w:themeColor="text1"/>
        </w:rPr>
      </w:pPr>
      <w:bookmarkStart w:name="_Toc216163141" w:id="55"/>
      <w:r w:rsidRPr="00F55A79">
        <w:rPr>
          <w:color w:val="000000" w:themeColor="text1"/>
        </w:rPr>
        <w:t xml:space="preserve">Ratepayer </w:t>
      </w:r>
      <w:r w:rsidRPr="00F55A79" w:rsidR="0045123B">
        <w:rPr>
          <w:color w:val="000000" w:themeColor="text1"/>
        </w:rPr>
        <w:t>B</w:t>
      </w:r>
      <w:r w:rsidRPr="00F55A79">
        <w:rPr>
          <w:color w:val="000000" w:themeColor="text1"/>
        </w:rPr>
        <w:t>enefits</w:t>
      </w:r>
      <w:bookmarkEnd w:id="55"/>
      <w:r w:rsidRPr="00F55A79">
        <w:rPr>
          <w:color w:val="000000" w:themeColor="text1"/>
        </w:rPr>
        <w:t xml:space="preserve"> </w:t>
      </w:r>
    </w:p>
    <w:p w:rsidRPr="00F55A79" w:rsidR="005C21B3" w:rsidP="00A70678" w:rsidRDefault="007C5FD3" w14:paraId="097747F5" w14:textId="729DDA01">
      <w:pPr>
        <w:pStyle w:val="Heading3"/>
        <w:rPr>
          <w:color w:val="000000" w:themeColor="text1"/>
        </w:rPr>
      </w:pPr>
      <w:bookmarkStart w:name="_Toc216163142" w:id="56"/>
      <w:r w:rsidRPr="00F55A79">
        <w:rPr>
          <w:color w:val="000000" w:themeColor="text1"/>
        </w:rPr>
        <w:t>Background</w:t>
      </w:r>
      <w:bookmarkEnd w:id="56"/>
    </w:p>
    <w:p w:rsidRPr="00F55A79" w:rsidR="005C21B3" w:rsidP="00176A32" w:rsidRDefault="00176A32" w14:paraId="7A6ECEEB" w14:textId="67E19BAF">
      <w:pPr>
        <w:pStyle w:val="Standard"/>
        <w:rPr>
          <w:color w:val="000000" w:themeColor="text1"/>
        </w:rPr>
      </w:pPr>
      <w:r w:rsidRPr="00F55A79">
        <w:rPr>
          <w:color w:val="000000" w:themeColor="text1"/>
        </w:rPr>
        <w:t>Under Section 854(</w:t>
      </w:r>
      <w:r w:rsidRPr="00F55A79" w:rsidR="00BB077F">
        <w:rPr>
          <w:color w:val="000000" w:themeColor="text1"/>
        </w:rPr>
        <w:t>b</w:t>
      </w:r>
      <w:r w:rsidRPr="00F55A79">
        <w:rPr>
          <w:color w:val="000000" w:themeColor="text1"/>
        </w:rPr>
        <w:t xml:space="preserve">)(1), we evaluated whether the proposed transaction would provide short-term and long-term economic benefits to ratepayers. </w:t>
      </w:r>
      <w:r w:rsidRPr="00F55A79" w:rsidR="00775210">
        <w:rPr>
          <w:color w:val="000000" w:themeColor="text1"/>
        </w:rPr>
        <w:t xml:space="preserve"> We find that the proposed transaction will provide short-term and long-term economic benefits to ratepayers if additional conditions are met.</w:t>
      </w:r>
    </w:p>
    <w:p w:rsidRPr="00F55A79" w:rsidR="002279E3" w:rsidP="00FB7D25" w:rsidRDefault="00C53E61" w14:paraId="2A254080" w14:textId="1F332DF8">
      <w:pPr>
        <w:pStyle w:val="Heading3"/>
        <w:rPr>
          <w:color w:val="000000" w:themeColor="text1"/>
        </w:rPr>
      </w:pPr>
      <w:bookmarkStart w:name="_Toc216163143" w:id="57"/>
      <w:r w:rsidRPr="00F55A79">
        <w:rPr>
          <w:color w:val="000000" w:themeColor="text1"/>
        </w:rPr>
        <w:t>Joint Applicants’ Position</w:t>
      </w:r>
      <w:bookmarkEnd w:id="57"/>
    </w:p>
    <w:p w:rsidRPr="00F55A79" w:rsidR="00594386" w:rsidP="00594386" w:rsidRDefault="00DE41D7" w14:paraId="2B57DC90" w14:textId="3434F2DC">
      <w:pPr>
        <w:pStyle w:val="Standard"/>
        <w:rPr>
          <w:color w:val="000000" w:themeColor="text1"/>
        </w:rPr>
      </w:pPr>
      <w:r w:rsidRPr="00F55A79">
        <w:rPr>
          <w:color w:val="000000" w:themeColor="text1"/>
        </w:rPr>
        <w:t xml:space="preserve">In its testimony, Verizon stated that the transaction will generate significant short-term and long-term economic benefits for California ratepayers. Verizon said that, following the close of the transaction, it will offer its service plans to many current Frontier customers, including a national low-income </w:t>
      </w:r>
      <w:r w:rsidRPr="00F55A79">
        <w:rPr>
          <w:color w:val="000000" w:themeColor="text1"/>
        </w:rPr>
        <w:lastRenderedPageBreak/>
        <w:t>broadband plan and bundled service options not offered Frontier today. In addition, “consumers in the Frontier territories will have access to the full</w:t>
      </w:r>
      <w:r w:rsidRPr="00F55A79" w:rsidR="00570045">
        <w:rPr>
          <w:color w:val="000000" w:themeColor="text1"/>
        </w:rPr>
        <w:t xml:space="preserve"> </w:t>
      </w:r>
      <w:r w:rsidRPr="00F55A79">
        <w:rPr>
          <w:color w:val="000000" w:themeColor="text1"/>
        </w:rPr>
        <w:t>range of Verizon service plans for which they are eligible</w:t>
      </w:r>
      <w:r w:rsidRPr="00F55A79" w:rsidR="00594386">
        <w:rPr>
          <w:color w:val="000000" w:themeColor="text1"/>
        </w:rPr>
        <w:t xml:space="preserve"> … [with]</w:t>
      </w:r>
      <w:r w:rsidRPr="00F55A79">
        <w:rPr>
          <w:color w:val="000000" w:themeColor="text1"/>
        </w:rPr>
        <w:t xml:space="preserve"> a variety of speed </w:t>
      </w:r>
      <w:r w:rsidRPr="00F55A79">
        <w:t>and pricing choices for next-generation services.</w:t>
      </w:r>
      <w:r w:rsidRPr="00F55A79" w:rsidR="00594386">
        <w:t>”</w:t>
      </w:r>
      <w:r w:rsidRPr="00F55A79" w:rsidR="00594386">
        <w:rPr>
          <w:rStyle w:val="FootnoteReference"/>
          <w:color w:val="000000" w:themeColor="text1"/>
        </w:rPr>
        <w:footnoteReference w:id="72"/>
      </w:r>
      <w:r w:rsidRPr="00F55A79">
        <w:rPr>
          <w:color w:val="000000" w:themeColor="text1"/>
        </w:rPr>
        <w:t xml:space="preserve"> </w:t>
      </w:r>
    </w:p>
    <w:p w:rsidRPr="00F55A79" w:rsidR="007A153B" w:rsidP="00DE41D7" w:rsidRDefault="005F1108" w14:paraId="72039985" w14:textId="6E3A6D30">
      <w:pPr>
        <w:pStyle w:val="Standard"/>
        <w:rPr>
          <w:color w:val="000000" w:themeColor="text1"/>
        </w:rPr>
      </w:pPr>
      <w:r w:rsidRPr="00F55A79">
        <w:t>As</w:t>
      </w:r>
      <w:r w:rsidRPr="00F55A79" w:rsidR="00EC3CAF">
        <w:t xml:space="preserve"> </w:t>
      </w:r>
      <w:r w:rsidRPr="00F55A79">
        <w:t>example</w:t>
      </w:r>
      <w:r w:rsidRPr="00F55A79" w:rsidR="00DE654D">
        <w:t>s</w:t>
      </w:r>
      <w:r w:rsidRPr="00F55A79">
        <w:t xml:space="preserve">, </w:t>
      </w:r>
      <w:r w:rsidRPr="00F55A79" w:rsidR="001323DC">
        <w:t xml:space="preserve">Verizon </w:t>
      </w:r>
      <w:r w:rsidRPr="00F55A79" w:rsidR="009D6D30">
        <w:t>cited</w:t>
      </w:r>
      <w:r w:rsidRPr="00F55A79" w:rsidR="00DE654D">
        <w:t xml:space="preserve"> the following</w:t>
      </w:r>
      <w:r w:rsidRPr="00F55A79" w:rsidR="007A153B">
        <w:t>:</w:t>
      </w:r>
      <w:r w:rsidRPr="00F55A79" w:rsidR="00DE654D">
        <w:rPr>
          <w:rStyle w:val="FootnoteReference"/>
          <w:color w:val="000000" w:themeColor="text1"/>
        </w:rPr>
        <w:footnoteReference w:id="73"/>
      </w:r>
    </w:p>
    <w:p w:rsidRPr="00F55A79" w:rsidR="007A153B" w:rsidP="005814F3" w:rsidRDefault="007A153B" w14:paraId="15FA2386" w14:textId="3DCC9300">
      <w:pPr>
        <w:pStyle w:val="ListBullet"/>
        <w:tabs>
          <w:tab w:val="clear" w:pos="360"/>
          <w:tab w:val="num" w:pos="1080"/>
        </w:tabs>
        <w:ind w:left="1080" w:right="1440"/>
      </w:pPr>
      <w:r w:rsidRPr="00F55A79">
        <w:t>I</w:t>
      </w:r>
      <w:r w:rsidRPr="00F55A79" w:rsidR="009D6D30">
        <w:t xml:space="preserve">ts </w:t>
      </w:r>
      <w:r w:rsidRPr="00F55A79" w:rsidR="00EC3CAF">
        <w:t xml:space="preserve">$20/month </w:t>
      </w:r>
      <w:r w:rsidRPr="00F55A79" w:rsidR="009D6D30">
        <w:t>“</w:t>
      </w:r>
      <w:r w:rsidRPr="00F55A79" w:rsidR="001323DC">
        <w:t xml:space="preserve">voluntary, nationwide low-income pricing </w:t>
      </w:r>
      <w:r w:rsidRPr="00F55A79" w:rsidR="009D6D30">
        <w:t>b</w:t>
      </w:r>
      <w:r w:rsidRPr="00F55A79" w:rsidR="001323DC">
        <w:t>roadband option</w:t>
      </w:r>
      <w:r w:rsidRPr="00F55A79" w:rsidR="009D6D30">
        <w:t xml:space="preserve">,” </w:t>
      </w:r>
      <w:r w:rsidRPr="00F55A79" w:rsidR="001323DC">
        <w:t xml:space="preserve">Verizon Forward. </w:t>
      </w:r>
    </w:p>
    <w:p w:rsidRPr="00F55A79" w:rsidR="00831FB5" w:rsidP="005814F3" w:rsidRDefault="007A153B" w14:paraId="12CA7F67" w14:textId="3FC48F03">
      <w:pPr>
        <w:pStyle w:val="ListBullet"/>
        <w:tabs>
          <w:tab w:val="clear" w:pos="360"/>
          <w:tab w:val="num" w:pos="1080"/>
        </w:tabs>
        <w:ind w:left="1080" w:right="1440"/>
      </w:pPr>
      <w:r w:rsidRPr="00F55A79">
        <w:t>Its</w:t>
      </w:r>
      <w:r w:rsidRPr="00F55A79" w:rsidR="001228D3">
        <w:t xml:space="preserve"> myHome</w:t>
      </w:r>
      <w:r w:rsidRPr="00F55A79">
        <w:t xml:space="preserve"> program, which</w:t>
      </w:r>
      <w:r w:rsidRPr="00F55A79" w:rsidR="001228D3">
        <w:t xml:space="preserve"> allows customers to select plans </w:t>
      </w:r>
      <w:r w:rsidRPr="00F55A79">
        <w:t xml:space="preserve">that </w:t>
      </w:r>
      <w:r w:rsidRPr="00F55A79" w:rsidR="001228D3">
        <w:t>match their requirements based on service and price</w:t>
      </w:r>
      <w:r w:rsidRPr="00F55A79">
        <w:t xml:space="preserve"> and offers discount </w:t>
      </w:r>
      <w:r w:rsidRPr="00F55A79" w:rsidR="001228D3">
        <w:t>subscription</w:t>
      </w:r>
      <w:r w:rsidRPr="00F55A79">
        <w:t xml:space="preserve"> offerings</w:t>
      </w:r>
      <w:r w:rsidRPr="00F55A79" w:rsidR="001228D3">
        <w:t xml:space="preserve">. </w:t>
      </w:r>
    </w:p>
    <w:p w:rsidRPr="00F55A79" w:rsidR="00831FB5" w:rsidP="005814F3" w:rsidRDefault="00831FB5" w14:paraId="67B77E0F" w14:textId="4FD5AA53">
      <w:pPr>
        <w:pStyle w:val="ListBullet"/>
        <w:tabs>
          <w:tab w:val="clear" w:pos="360"/>
          <w:tab w:val="num" w:pos="1080"/>
        </w:tabs>
        <w:ind w:left="1080" w:right="1440"/>
      </w:pPr>
      <w:r w:rsidRPr="00F55A79">
        <w:t>A</w:t>
      </w:r>
      <w:r w:rsidRPr="00F55A79" w:rsidR="001228D3">
        <w:t xml:space="preserve">n expanded menu of services. </w:t>
      </w:r>
    </w:p>
    <w:p w:rsidRPr="00F55A79" w:rsidR="008C4426" w:rsidP="005814F3" w:rsidRDefault="008C4426" w14:paraId="64F3912B" w14:textId="2FD34F8A">
      <w:pPr>
        <w:pStyle w:val="ListBullet"/>
        <w:tabs>
          <w:tab w:val="clear" w:pos="360"/>
          <w:tab w:val="num" w:pos="1080"/>
        </w:tabs>
        <w:ind w:left="1080" w:right="1440"/>
        <w:rPr>
          <w:color w:val="000000" w:themeColor="text1"/>
        </w:rPr>
      </w:pPr>
      <w:r w:rsidRPr="00F55A79">
        <w:t>“C</w:t>
      </w:r>
      <w:r w:rsidRPr="00F55A79" w:rsidR="001228D3">
        <w:t>onsistent pricin</w:t>
      </w:r>
      <w:r w:rsidRPr="00F55A79">
        <w:t>g</w:t>
      </w:r>
      <w:r w:rsidRPr="00F55A79" w:rsidR="00936BF3">
        <w:t>.</w:t>
      </w:r>
      <w:r w:rsidRPr="00F55A79">
        <w:t>”</w:t>
      </w:r>
      <w:r w:rsidRPr="00F55A79" w:rsidR="009707B2">
        <w:t xml:space="preserve"> </w:t>
      </w:r>
      <w:r w:rsidRPr="00F55A79" w:rsidR="001228D3">
        <w:t>Verizon</w:t>
      </w:r>
      <w:r w:rsidRPr="00F55A79" w:rsidR="00936BF3">
        <w:t xml:space="preserve"> stated that it</w:t>
      </w:r>
      <w:r w:rsidRPr="00F55A79" w:rsidR="001228D3">
        <w:t xml:space="preserve"> does not engage in extensive promotional </w:t>
      </w:r>
      <w:r w:rsidRPr="00F55A79" w:rsidR="001228D3">
        <w:rPr>
          <w:color w:val="000000" w:themeColor="text1"/>
        </w:rPr>
        <w:t>pricing</w:t>
      </w:r>
      <w:r w:rsidRPr="00F55A79" w:rsidR="00936BF3">
        <w:rPr>
          <w:color w:val="000000" w:themeColor="text1"/>
        </w:rPr>
        <w:t xml:space="preserve"> and</w:t>
      </w:r>
      <w:r w:rsidRPr="00F55A79" w:rsidR="001228D3">
        <w:rPr>
          <w:color w:val="000000" w:themeColor="text1"/>
        </w:rPr>
        <w:t xml:space="preserve"> customers pay the same rates whether they are new or existing</w:t>
      </w:r>
      <w:r w:rsidRPr="00F55A79" w:rsidR="00A73EBD">
        <w:rPr>
          <w:color w:val="000000" w:themeColor="text1"/>
        </w:rPr>
        <w:t xml:space="preserve"> customers</w:t>
      </w:r>
      <w:r w:rsidRPr="00F55A79" w:rsidR="001228D3">
        <w:rPr>
          <w:color w:val="000000" w:themeColor="text1"/>
        </w:rPr>
        <w:t xml:space="preserve">. </w:t>
      </w:r>
    </w:p>
    <w:p w:rsidRPr="00F55A79" w:rsidR="00DE654D" w:rsidP="005814F3" w:rsidRDefault="00DE654D" w14:paraId="4FB6CDFF" w14:textId="64AEFBB4">
      <w:pPr>
        <w:pStyle w:val="ListBullet"/>
        <w:tabs>
          <w:tab w:val="clear" w:pos="360"/>
          <w:tab w:val="num" w:pos="1080"/>
        </w:tabs>
        <w:ind w:left="1080" w:right="1440"/>
        <w:rPr>
          <w:color w:val="000000" w:themeColor="text1"/>
        </w:rPr>
      </w:pPr>
      <w:r w:rsidRPr="00F55A79">
        <w:rPr>
          <w:color w:val="000000" w:themeColor="text1"/>
        </w:rPr>
        <w:t>Its offering of discounted, bundled services that include mobile wireless, which Frontier does not provide.</w:t>
      </w:r>
    </w:p>
    <w:p w:rsidRPr="00F55A79" w:rsidR="00A25254" w:rsidP="005814F3" w:rsidRDefault="00082D34" w14:paraId="1E0A6E64" w14:textId="5541EFCF">
      <w:pPr>
        <w:pStyle w:val="ListBullet"/>
        <w:tabs>
          <w:tab w:val="clear" w:pos="360"/>
          <w:tab w:val="num" w:pos="1080"/>
        </w:tabs>
        <w:ind w:left="1080" w:right="1440"/>
        <w:rPr>
          <w:color w:val="000000" w:themeColor="text1"/>
        </w:rPr>
      </w:pPr>
      <w:r w:rsidRPr="00F55A79">
        <w:rPr>
          <w:color w:val="000000" w:themeColor="text1"/>
        </w:rPr>
        <w:t>“</w:t>
      </w:r>
      <w:r w:rsidRPr="00F55A79" w:rsidR="00A25254">
        <w:rPr>
          <w:color w:val="000000" w:themeColor="text1"/>
        </w:rPr>
        <w:t>[A]</w:t>
      </w:r>
      <w:r w:rsidRPr="00F55A79">
        <w:rPr>
          <w:color w:val="000000" w:themeColor="text1"/>
        </w:rPr>
        <w:t>dded amenities and expanded choices</w:t>
      </w:r>
      <w:r w:rsidRPr="00F55A79" w:rsidR="00A25254">
        <w:rPr>
          <w:color w:val="000000" w:themeColor="text1"/>
        </w:rPr>
        <w:t>”</w:t>
      </w:r>
      <w:r w:rsidRPr="00F55A79">
        <w:rPr>
          <w:color w:val="000000" w:themeColor="text1"/>
        </w:rPr>
        <w:t xml:space="preserve"> </w:t>
      </w:r>
      <w:r w:rsidRPr="00F55A79" w:rsidR="00A25254">
        <w:rPr>
          <w:color w:val="000000" w:themeColor="text1"/>
        </w:rPr>
        <w:t>including</w:t>
      </w:r>
      <w:r w:rsidRPr="00F55A79">
        <w:rPr>
          <w:color w:val="000000" w:themeColor="text1"/>
        </w:rPr>
        <w:t xml:space="preserve"> certain forms of </w:t>
      </w:r>
      <w:r w:rsidRPr="00F55A79" w:rsidR="00936BF3">
        <w:rPr>
          <w:color w:val="000000" w:themeColor="text1"/>
        </w:rPr>
        <w:t xml:space="preserve">free </w:t>
      </w:r>
      <w:r w:rsidRPr="00F55A79">
        <w:rPr>
          <w:color w:val="000000" w:themeColor="text1"/>
        </w:rPr>
        <w:t>Wi-Fi</w:t>
      </w:r>
      <w:r w:rsidRPr="00F55A79" w:rsidR="00936BF3">
        <w:rPr>
          <w:color w:val="000000" w:themeColor="text1"/>
        </w:rPr>
        <w:t xml:space="preserve"> </w:t>
      </w:r>
      <w:r w:rsidRPr="00F55A79">
        <w:rPr>
          <w:color w:val="000000" w:themeColor="text1"/>
        </w:rPr>
        <w:t>and third-party protection services, such as Cloud and Verizon Home Device Protect</w:t>
      </w:r>
      <w:r w:rsidRPr="00F55A79" w:rsidR="00A25254">
        <w:rPr>
          <w:color w:val="000000" w:themeColor="text1"/>
        </w:rPr>
        <w:t>,</w:t>
      </w:r>
      <w:r w:rsidRPr="00F55A79">
        <w:rPr>
          <w:color w:val="000000" w:themeColor="text1"/>
        </w:rPr>
        <w:t xml:space="preserve"> </w:t>
      </w:r>
      <w:r w:rsidRPr="00F55A79" w:rsidR="00B66AAE">
        <w:rPr>
          <w:color w:val="000000" w:themeColor="text1"/>
        </w:rPr>
        <w:t xml:space="preserve">and additional streaming </w:t>
      </w:r>
      <w:r w:rsidRPr="00F55A79">
        <w:rPr>
          <w:color w:val="000000" w:themeColor="text1"/>
        </w:rPr>
        <w:t xml:space="preserve">content choices. </w:t>
      </w:r>
    </w:p>
    <w:p w:rsidRPr="00F55A79" w:rsidR="00082D34" w:rsidP="003D2C4C" w:rsidRDefault="003D2C4C" w14:paraId="1E95AD86" w14:textId="5D99C811">
      <w:pPr>
        <w:pStyle w:val="Standard"/>
      </w:pPr>
      <w:r w:rsidRPr="00F55A79">
        <w:t>In addition, Verizon said that since no</w:t>
      </w:r>
      <w:r w:rsidRPr="00F55A79" w:rsidR="00082D34">
        <w:t xml:space="preserve"> customer migration</w:t>
      </w:r>
      <w:r w:rsidRPr="00F55A79">
        <w:t xml:space="preserve"> would be needed, </w:t>
      </w:r>
      <w:r w:rsidRPr="00F55A79" w:rsidR="00082D34">
        <w:t xml:space="preserve">the </w:t>
      </w:r>
      <w:r w:rsidRPr="00F55A79">
        <w:t>t</w:t>
      </w:r>
      <w:r w:rsidRPr="00F55A79" w:rsidR="00082D34">
        <w:t xml:space="preserve">ransaction </w:t>
      </w:r>
      <w:r w:rsidRPr="00F55A79">
        <w:t>would</w:t>
      </w:r>
      <w:r w:rsidRPr="00F55A79" w:rsidR="00082D34">
        <w:t xml:space="preserve"> be seamless to Frontier</w:t>
      </w:r>
      <w:r w:rsidRPr="00F55A79">
        <w:t xml:space="preserve"> </w:t>
      </w:r>
      <w:r w:rsidRPr="00F55A79" w:rsidR="00082D34">
        <w:t>customers.</w:t>
      </w:r>
    </w:p>
    <w:p w:rsidRPr="00F55A79" w:rsidR="00297F34" w:rsidP="003D2C4C" w:rsidRDefault="00297F34" w14:paraId="5038B6D5" w14:textId="06B8C551">
      <w:pPr>
        <w:pStyle w:val="Standard"/>
      </w:pPr>
      <w:r w:rsidRPr="00F55A79">
        <w:t>Under the proposed settlement agreements, Verizon</w:t>
      </w:r>
      <w:r w:rsidRPr="00F55A79" w:rsidR="00050BA7">
        <w:t xml:space="preserve"> also</w:t>
      </w:r>
      <w:r w:rsidRPr="00F55A79">
        <w:t xml:space="preserve"> agr</w:t>
      </w:r>
      <w:r w:rsidRPr="00F55A79" w:rsidR="00B80897">
        <w:t>eed to additional measures to provide short-term and long-term economic benefits to ratepayers</w:t>
      </w:r>
      <w:r w:rsidRPr="00F55A79" w:rsidR="00775210">
        <w:t xml:space="preserve"> as detailed in Section 9</w:t>
      </w:r>
      <w:r w:rsidRPr="00F55A79" w:rsidR="00B80897">
        <w:t>.</w:t>
      </w:r>
    </w:p>
    <w:p w:rsidRPr="00F55A79" w:rsidR="00CE02CA" w:rsidP="0048293C" w:rsidRDefault="00CE02CA" w14:paraId="3A44CE2E" w14:textId="2BAC504F">
      <w:pPr>
        <w:pStyle w:val="Heading3"/>
      </w:pPr>
      <w:bookmarkStart w:name="_Toc216163144" w:id="58"/>
      <w:r w:rsidRPr="00F55A79">
        <w:lastRenderedPageBreak/>
        <w:t>Party Positions</w:t>
      </w:r>
      <w:bookmarkEnd w:id="58"/>
    </w:p>
    <w:p w:rsidRPr="00F55A79" w:rsidR="00DB52BC" w:rsidP="0048293C" w:rsidRDefault="00DB52BC" w14:paraId="662A8BDD" w14:textId="500D097D">
      <w:pPr>
        <w:pStyle w:val="Heading4"/>
      </w:pPr>
      <w:bookmarkStart w:name="_Toc216163145" w:id="59"/>
      <w:r w:rsidRPr="00F55A79">
        <w:t>CETF</w:t>
      </w:r>
      <w:bookmarkEnd w:id="59"/>
      <w:r w:rsidRPr="00F55A79">
        <w:t xml:space="preserve"> </w:t>
      </w:r>
    </w:p>
    <w:p w:rsidRPr="00F55A79" w:rsidR="004177CB" w:rsidP="0048293C" w:rsidRDefault="00C53874" w14:paraId="498E7F19" w14:textId="5FB5044E">
      <w:pPr>
        <w:pStyle w:val="Standard"/>
        <w:rPr>
          <w:color w:val="000000" w:themeColor="text1"/>
        </w:rPr>
      </w:pPr>
      <w:r w:rsidRPr="00F55A79">
        <w:t>CETF recommended that the Commission answer th</w:t>
      </w:r>
      <w:r w:rsidRPr="00F55A79" w:rsidR="00B80897">
        <w:t>e</w:t>
      </w:r>
      <w:r w:rsidRPr="00F55A79">
        <w:t xml:space="preserve"> question </w:t>
      </w:r>
      <w:r w:rsidRPr="00F55A79" w:rsidR="00B80897">
        <w:t xml:space="preserve">of whether the proposed transaction would provide short-term and long-term economic benefits to ratepayers </w:t>
      </w:r>
      <w:r w:rsidRPr="00F55A79">
        <w:t>“with a resounding yes.”</w:t>
      </w:r>
      <w:r w:rsidRPr="00F55A79">
        <w:rPr>
          <w:rStyle w:val="FootnoteReference"/>
        </w:rPr>
        <w:footnoteReference w:id="74"/>
      </w:r>
      <w:r w:rsidRPr="00F55A79" w:rsidR="00B80897">
        <w:t xml:space="preserve"> </w:t>
      </w:r>
      <w:r w:rsidRPr="00F55A79" w:rsidR="00775210">
        <w:t xml:space="preserve"> </w:t>
      </w:r>
      <w:r w:rsidRPr="00F55A79">
        <w:t xml:space="preserve">CETF </w:t>
      </w:r>
      <w:r w:rsidRPr="00F55A79" w:rsidR="00B749B7">
        <w:t>cited various short-term economic benefits to consumers</w:t>
      </w:r>
      <w:r w:rsidRPr="00F55A79" w:rsidR="00B80897">
        <w:t xml:space="preserve"> included in its own settlement agreement with the Joint Applicants.</w:t>
      </w:r>
    </w:p>
    <w:p w:rsidRPr="00F55A79" w:rsidR="004177CB" w:rsidP="0048293C" w:rsidRDefault="004177CB" w14:paraId="1C7F7462" w14:textId="51ABF90A">
      <w:pPr>
        <w:pStyle w:val="Standard"/>
        <w:rPr>
          <w:color w:val="000000" w:themeColor="text1"/>
        </w:rPr>
      </w:pPr>
      <w:r w:rsidRPr="00F55A79">
        <w:rPr>
          <w:color w:val="000000" w:themeColor="text1"/>
        </w:rPr>
        <w:t xml:space="preserve">CETF urged a finding of substantial short-term and long-term economic benefits to Frontier landline consumers and California Verizon wireless consumers. </w:t>
      </w:r>
      <w:r w:rsidRPr="00F55A79" w:rsidR="00BC7B01">
        <w:rPr>
          <w:color w:val="000000" w:themeColor="text1"/>
        </w:rPr>
        <w:t xml:space="preserve"> According to CETF, Verizon’s</w:t>
      </w:r>
      <w:r w:rsidRPr="00F55A79">
        <w:rPr>
          <w:color w:val="000000" w:themeColor="text1"/>
        </w:rPr>
        <w:t xml:space="preserve"> commitments are </w:t>
      </w:r>
      <w:r w:rsidRPr="00F55A79" w:rsidR="00C91E06">
        <w:rPr>
          <w:color w:val="000000" w:themeColor="text1"/>
        </w:rPr>
        <w:t>“</w:t>
      </w:r>
      <w:r w:rsidRPr="00F55A79">
        <w:rPr>
          <w:color w:val="000000" w:themeColor="text1"/>
        </w:rPr>
        <w:t>appropriate, comparable and fair</w:t>
      </w:r>
      <w:r w:rsidRPr="00F55A79" w:rsidR="00C91E06">
        <w:rPr>
          <w:color w:val="000000" w:themeColor="text1"/>
        </w:rPr>
        <w:t>”</w:t>
      </w:r>
      <w:r w:rsidRPr="00F55A79" w:rsidR="00BC7B01">
        <w:rPr>
          <w:color w:val="000000" w:themeColor="text1"/>
        </w:rPr>
        <w:t xml:space="preserve"> </w:t>
      </w:r>
      <w:r w:rsidRPr="00F55A79" w:rsidR="00C91E06">
        <w:rPr>
          <w:color w:val="000000" w:themeColor="text1"/>
        </w:rPr>
        <w:t>when</w:t>
      </w:r>
      <w:r w:rsidRPr="00F55A79">
        <w:rPr>
          <w:color w:val="000000" w:themeColor="text1"/>
        </w:rPr>
        <w:t xml:space="preserve"> compared to past telecommunications </w:t>
      </w:r>
      <w:r w:rsidRPr="00F55A79">
        <w:t>transactions.</w:t>
      </w:r>
      <w:r w:rsidRPr="00F55A79" w:rsidR="00C91E06">
        <w:rPr>
          <w:rStyle w:val="FootnoteReference"/>
          <w:color w:val="000000" w:themeColor="text1"/>
        </w:rPr>
        <w:footnoteReference w:id="75"/>
      </w:r>
    </w:p>
    <w:p w:rsidRPr="00F55A79" w:rsidR="00DB52BC" w:rsidP="0048293C" w:rsidRDefault="00DB52BC" w14:paraId="09447C4C" w14:textId="61DEE50B">
      <w:pPr>
        <w:pStyle w:val="Heading4"/>
      </w:pPr>
      <w:bookmarkStart w:name="_Toc216163146" w:id="60"/>
      <w:r w:rsidRPr="00F55A79">
        <w:t>Cfo</w:t>
      </w:r>
      <w:r w:rsidRPr="00F55A79" w:rsidR="0026788A">
        <w:t>r</w:t>
      </w:r>
      <w:r w:rsidRPr="00F55A79">
        <w:t>AT</w:t>
      </w:r>
      <w:bookmarkEnd w:id="60"/>
    </w:p>
    <w:p w:rsidRPr="00F55A79" w:rsidR="00F3564A" w:rsidP="0048293C" w:rsidRDefault="006D2702" w14:paraId="5850DA58" w14:textId="79D3F20F">
      <w:pPr>
        <w:pStyle w:val="Standard"/>
        <w:rPr>
          <w:color w:val="000000" w:themeColor="text1"/>
        </w:rPr>
      </w:pPr>
      <w:r w:rsidRPr="00F55A79">
        <w:rPr>
          <w:color w:val="000000" w:themeColor="text1"/>
        </w:rPr>
        <w:t xml:space="preserve">CforAT stated that “it is not clear whether the proposed transaction would provide short- or long-term economic benefits to ratepayers, and any potential </w:t>
      </w:r>
      <w:r w:rsidRPr="00F55A79">
        <w:t>benefits would be limited.”</w:t>
      </w:r>
      <w:r w:rsidRPr="00F55A79">
        <w:rPr>
          <w:rStyle w:val="FootnoteReference"/>
          <w:color w:val="000000" w:themeColor="text1"/>
        </w:rPr>
        <w:footnoteReference w:id="76"/>
      </w:r>
      <w:r w:rsidRPr="00F55A79">
        <w:rPr>
          <w:color w:val="000000" w:themeColor="text1"/>
        </w:rPr>
        <w:t xml:space="preserve"> </w:t>
      </w:r>
      <w:r w:rsidRPr="00F55A79" w:rsidR="00775210">
        <w:rPr>
          <w:color w:val="000000" w:themeColor="text1"/>
        </w:rPr>
        <w:t xml:space="preserve"> </w:t>
      </w:r>
      <w:r w:rsidRPr="00F55A79">
        <w:rPr>
          <w:color w:val="000000" w:themeColor="text1"/>
        </w:rPr>
        <w:t xml:space="preserve">CforAT also stated that the Joint Applicants “have failed to meet their burden of demonstrating that any benefits outweigh the </w:t>
      </w:r>
      <w:r w:rsidRPr="00F55A79">
        <w:t>proposed transaction’s harms.”</w:t>
      </w:r>
      <w:r w:rsidRPr="00F55A79">
        <w:rPr>
          <w:rStyle w:val="FootnoteReference"/>
          <w:color w:val="000000" w:themeColor="text1"/>
        </w:rPr>
        <w:footnoteReference w:id="77"/>
      </w:r>
    </w:p>
    <w:p w:rsidRPr="00F55A79" w:rsidR="00DB52BC" w:rsidP="0048293C" w:rsidRDefault="00DB52BC" w14:paraId="23612F60" w14:textId="77777777">
      <w:pPr>
        <w:pStyle w:val="Heading4"/>
      </w:pPr>
      <w:bookmarkStart w:name="_Toc216163147" w:id="61"/>
      <w:r w:rsidRPr="00F55A79">
        <w:t>TURN</w:t>
      </w:r>
      <w:bookmarkEnd w:id="61"/>
    </w:p>
    <w:p w:rsidRPr="00F55A79" w:rsidR="00FC35B8" w:rsidP="001B6A5D" w:rsidRDefault="001B6A5D" w14:paraId="398D21FA" w14:textId="30F671EF">
      <w:pPr>
        <w:pStyle w:val="Standard"/>
      </w:pPr>
      <w:r w:rsidRPr="00F55A79">
        <w:t xml:space="preserve">TURN argued that the proposed transaction does not satisfy the requirements of Section 854(b) unless the Commission adopts </w:t>
      </w:r>
      <w:r w:rsidRPr="00F55A79" w:rsidR="007D2E54">
        <w:t xml:space="preserve">certain </w:t>
      </w:r>
      <w:r w:rsidRPr="00F55A79">
        <w:t>mitigation measures</w:t>
      </w:r>
      <w:r w:rsidRPr="00F55A79" w:rsidR="005A2526">
        <w:t xml:space="preserve"> as detailed </w:t>
      </w:r>
      <w:r w:rsidR="002B3E92">
        <w:t>in</w:t>
      </w:r>
      <w:r w:rsidRPr="00F55A79" w:rsidR="00A93E4C">
        <w:t xml:space="preserve"> Section 6.9</w:t>
      </w:r>
      <w:r w:rsidRPr="00F55A79" w:rsidR="00BA79E0">
        <w:t>.</w:t>
      </w:r>
      <w:r w:rsidRPr="00F55A79" w:rsidR="005A2526">
        <w:rPr>
          <w:rStyle w:val="FootnoteReference"/>
        </w:rPr>
        <w:footnoteReference w:id="78"/>
      </w:r>
      <w:r w:rsidRPr="00F55A79" w:rsidR="005A2526">
        <w:t xml:space="preserve">  </w:t>
      </w:r>
    </w:p>
    <w:p w:rsidRPr="00F55A79" w:rsidR="001D61BB" w:rsidP="00096D54" w:rsidRDefault="001D61BB" w14:paraId="7456514A" w14:textId="1A915C51">
      <w:pPr>
        <w:pStyle w:val="Heading5"/>
      </w:pPr>
      <w:bookmarkStart w:name="_Toc216163148" w:id="62"/>
      <w:r w:rsidRPr="00F55A79">
        <w:lastRenderedPageBreak/>
        <w:t>Infrastructure Deployment</w:t>
      </w:r>
      <w:bookmarkEnd w:id="62"/>
    </w:p>
    <w:p w:rsidRPr="00F55A79" w:rsidR="003D4657" w:rsidP="0048293C" w:rsidRDefault="00506EF3" w14:paraId="69F721FC" w14:textId="53BC4543">
      <w:pPr>
        <w:pStyle w:val="Standard"/>
        <w:rPr>
          <w:color w:val="000000" w:themeColor="text1"/>
        </w:rPr>
      </w:pPr>
      <w:r w:rsidRPr="00F55A79">
        <w:rPr>
          <w:color w:val="000000" w:themeColor="text1"/>
        </w:rPr>
        <w:t>TURN argued that t</w:t>
      </w:r>
      <w:r w:rsidRPr="00F55A79" w:rsidR="008A087B">
        <w:rPr>
          <w:color w:val="000000" w:themeColor="text1"/>
        </w:rPr>
        <w:t xml:space="preserve">he proposed transaction has negative short-term and long-term economic consequences for communities and households, particularly if Verizon discontinues or significantly slows the pace of Frontier’s fiber deployment, or if low-income households have less access to affordable voice and broadband services.  </w:t>
      </w:r>
      <w:r w:rsidRPr="00F55A79">
        <w:rPr>
          <w:color w:val="000000" w:themeColor="text1"/>
        </w:rPr>
        <w:t>TURN noted that b</w:t>
      </w:r>
      <w:r w:rsidRPr="00F55A79" w:rsidR="008A087B">
        <w:rPr>
          <w:color w:val="000000" w:themeColor="text1"/>
        </w:rPr>
        <w:t xml:space="preserve">roadband services are no longer a </w:t>
      </w:r>
      <w:r w:rsidRPr="00F55A79" w:rsidR="008A087B">
        <w:t>luxury but necessary for daily living</w:t>
      </w:r>
      <w:r w:rsidRPr="00F55A79" w:rsidR="00DC150A">
        <w:t>.</w:t>
      </w:r>
      <w:r w:rsidRPr="00F55A79" w:rsidR="008A087B">
        <w:rPr>
          <w:rStyle w:val="FootnoteReference"/>
          <w:color w:val="000000" w:themeColor="text1"/>
        </w:rPr>
        <w:footnoteReference w:id="79"/>
      </w:r>
      <w:r w:rsidRPr="00F55A79" w:rsidR="008E2CD2">
        <w:rPr>
          <w:color w:val="000000" w:themeColor="text1"/>
        </w:rPr>
        <w:t xml:space="preserve"> </w:t>
      </w:r>
      <w:r w:rsidRPr="00F55A79" w:rsidR="003661BC">
        <w:rPr>
          <w:color w:val="000000" w:themeColor="text1"/>
        </w:rPr>
        <w:t xml:space="preserve"> </w:t>
      </w:r>
      <w:r w:rsidRPr="00F55A79" w:rsidR="00DC150A">
        <w:rPr>
          <w:color w:val="000000" w:themeColor="text1"/>
        </w:rPr>
        <w:t>Therefore, TURN argued th</w:t>
      </w:r>
      <w:r w:rsidRPr="00F55A79" w:rsidR="008E2CD2">
        <w:rPr>
          <w:color w:val="000000" w:themeColor="text1"/>
        </w:rPr>
        <w:t xml:space="preserve">at the Commission should </w:t>
      </w:r>
      <w:r w:rsidRPr="00F55A79" w:rsidR="00AA29F7">
        <w:rPr>
          <w:color w:val="000000" w:themeColor="text1"/>
        </w:rPr>
        <w:t xml:space="preserve"> “</w:t>
      </w:r>
      <w:r w:rsidRPr="00F55A79" w:rsidR="008E2CD2">
        <w:rPr>
          <w:color w:val="000000" w:themeColor="text1"/>
        </w:rPr>
        <w:t xml:space="preserve">consider whether any households in Frontier’s service territory may receive the status quo or worse access to </w:t>
      </w:r>
      <w:r w:rsidRPr="00F55A79" w:rsidR="00AA29F7">
        <w:rPr>
          <w:color w:val="000000" w:themeColor="text1"/>
        </w:rPr>
        <w:t>…</w:t>
      </w:r>
      <w:r w:rsidRPr="00F55A79" w:rsidR="008E2CD2">
        <w:rPr>
          <w:color w:val="000000" w:themeColor="text1"/>
        </w:rPr>
        <w:t xml:space="preserve"> voice and broadband services as a result of the transaction, because that access has economic and </w:t>
      </w:r>
      <w:r w:rsidRPr="00F55A79" w:rsidR="008E2CD2">
        <w:t>health implications.”</w:t>
      </w:r>
      <w:r w:rsidRPr="00F55A79" w:rsidR="008E2CD2">
        <w:rPr>
          <w:rStyle w:val="FootnoteReference"/>
          <w:color w:val="000000" w:themeColor="text1"/>
        </w:rPr>
        <w:footnoteReference w:id="80"/>
      </w:r>
    </w:p>
    <w:p w:rsidRPr="00F55A79" w:rsidR="001D61BB" w:rsidP="006D7F1F" w:rsidRDefault="00BB5D94" w14:paraId="756AD98D" w14:textId="49781508">
      <w:pPr>
        <w:pStyle w:val="Standard"/>
      </w:pPr>
      <w:r w:rsidRPr="00F55A79">
        <w:t>TURN</w:t>
      </w:r>
      <w:r w:rsidRPr="00F55A79" w:rsidR="003D4657">
        <w:t xml:space="preserve"> argued </w:t>
      </w:r>
      <w:r w:rsidRPr="00F55A79" w:rsidR="009D1E5B">
        <w:t xml:space="preserve">the Joint Applicants </w:t>
      </w:r>
      <w:r w:rsidRPr="00F55A79" w:rsidR="003D4657">
        <w:t xml:space="preserve">make </w:t>
      </w:r>
      <w:r w:rsidRPr="00F55A79" w:rsidR="009D1E5B">
        <w:t>“</w:t>
      </w:r>
      <w:r w:rsidRPr="00F55A79" w:rsidR="003D4657">
        <w:t>only nominal commitments to continue Frontier</w:t>
      </w:r>
      <w:r w:rsidRPr="00F55A79" w:rsidR="002245E5">
        <w:t>’s</w:t>
      </w:r>
      <w:r w:rsidRPr="00F55A79" w:rsidR="003D4657">
        <w:t xml:space="preserve"> fiber deployment”</w:t>
      </w:r>
      <w:r w:rsidRPr="00F55A79" w:rsidR="003D4657">
        <w:rPr>
          <w:rStyle w:val="FootnoteReference"/>
          <w:color w:val="000000" w:themeColor="text1"/>
        </w:rPr>
        <w:footnoteReference w:id="81"/>
      </w:r>
      <w:r w:rsidRPr="00F55A79" w:rsidR="003D4657">
        <w:t xml:space="preserve"> despite </w:t>
      </w:r>
      <w:r w:rsidRPr="00F55A79" w:rsidR="009D1E5B">
        <w:t>stating</w:t>
      </w:r>
      <w:r w:rsidRPr="00F55A79" w:rsidR="003D4657">
        <w:t xml:space="preserve"> that “</w:t>
      </w:r>
      <w:r w:rsidRPr="00F55A79" w:rsidR="008E2CD2">
        <w:t xml:space="preserve">Verizon can apply its financial strength and expertise </w:t>
      </w:r>
      <w:r w:rsidRPr="00F55A79" w:rsidR="009D1E5B">
        <w:t>…</w:t>
      </w:r>
      <w:r w:rsidRPr="00F55A79" w:rsidR="008E2CD2">
        <w:t xml:space="preserve"> to</w:t>
      </w:r>
      <w:r w:rsidRPr="00F55A79">
        <w:t xml:space="preserve"> </w:t>
      </w:r>
      <w:r w:rsidRPr="00F55A79" w:rsidR="008E2CD2">
        <w:t xml:space="preserve">continue its fiber deployment and improve </w:t>
      </w:r>
      <w:r w:rsidRPr="00F55A79">
        <w:t>service</w:t>
      </w:r>
      <w:r w:rsidRPr="00F55A79" w:rsidR="008E2CD2">
        <w:t xml:space="preserve"> quality for customers.</w:t>
      </w:r>
      <w:r w:rsidRPr="00F55A79" w:rsidR="003D4657">
        <w:t>”</w:t>
      </w:r>
      <w:r w:rsidRPr="00F55A79">
        <w:rPr>
          <w:rStyle w:val="FootnoteReference"/>
          <w:color w:val="000000" w:themeColor="text1"/>
        </w:rPr>
        <w:footnoteReference w:id="82"/>
      </w:r>
      <w:r w:rsidRPr="00F55A79" w:rsidR="00E25C75">
        <w:t xml:space="preserve">  TURN contrasts </w:t>
      </w:r>
      <w:r w:rsidRPr="00F55A79" w:rsidR="002E6BB4">
        <w:t>Verizon’s “nominal commitments” with those from Frontier, which, acc</w:t>
      </w:r>
      <w:r w:rsidRPr="00F55A79" w:rsidR="003160DB">
        <w:t>ording to TURN, “</w:t>
      </w:r>
      <w:r w:rsidRPr="00F55A79" w:rsidR="008E2CD2">
        <w:t>has</w:t>
      </w:r>
      <w:r w:rsidRPr="00F55A79" w:rsidR="00DE399C">
        <w:t xml:space="preserve"> </w:t>
      </w:r>
      <w:r w:rsidRPr="00F55A79" w:rsidR="008E2CD2">
        <w:t>indicated that it would continue to build to a robust number of households.</w:t>
      </w:r>
      <w:r w:rsidRPr="00F55A79" w:rsidR="003160DB">
        <w:t>”</w:t>
      </w:r>
      <w:r w:rsidRPr="00F55A79" w:rsidR="003160DB">
        <w:rPr>
          <w:rStyle w:val="FootnoteReference"/>
          <w:color w:val="000000" w:themeColor="text1"/>
        </w:rPr>
        <w:footnoteReference w:id="83"/>
      </w:r>
      <w:r w:rsidRPr="00F55A79" w:rsidR="00A34FE8">
        <w:t xml:space="preserve"> TURN </w:t>
      </w:r>
      <w:r w:rsidRPr="00F55A79" w:rsidR="00000730">
        <w:t>stated</w:t>
      </w:r>
      <w:r w:rsidRPr="00F55A79" w:rsidR="00A34FE8">
        <w:t xml:space="preserve"> that Verizon,</w:t>
      </w:r>
      <w:r w:rsidRPr="00F55A79" w:rsidR="00000730">
        <w:t xml:space="preserve"> </w:t>
      </w:r>
      <w:r w:rsidRPr="00F55A79" w:rsidR="00A34FE8">
        <w:t xml:space="preserve">“with its vast capital resources, could use Frontier’s </w:t>
      </w:r>
      <w:r w:rsidRPr="00F55A79" w:rsidR="00A34FE8">
        <w:lastRenderedPageBreak/>
        <w:t>fiber deployment engine</w:t>
      </w:r>
      <w:r w:rsidRPr="00F55A79" w:rsidR="00000730">
        <w:t>”</w:t>
      </w:r>
      <w:r w:rsidRPr="00F55A79" w:rsidR="00A34FE8">
        <w:rPr>
          <w:rStyle w:val="FootnoteReference"/>
          <w:color w:val="000000" w:themeColor="text1"/>
        </w:rPr>
        <w:footnoteReference w:id="84"/>
      </w:r>
      <w:r w:rsidRPr="00F55A79" w:rsidR="00A34FE8">
        <w:t xml:space="preserve"> to accomplish </w:t>
      </w:r>
      <w:r w:rsidRPr="00F55A79" w:rsidR="00000730">
        <w:t>additional fiber buildout</w:t>
      </w:r>
      <w:r w:rsidRPr="00F55A79" w:rsidR="00A34FE8">
        <w:t xml:space="preserve"> within </w:t>
      </w:r>
      <w:r w:rsidRPr="00F55A79" w:rsidR="00000730">
        <w:t>three</w:t>
      </w:r>
      <w:r w:rsidRPr="00F55A79" w:rsidR="003E315A">
        <w:t xml:space="preserve"> </w:t>
      </w:r>
      <w:r w:rsidRPr="00F55A79" w:rsidR="00A34FE8">
        <w:t>years.</w:t>
      </w:r>
      <w:r w:rsidRPr="00F55A79" w:rsidR="00A34FE8">
        <w:rPr>
          <w:rStyle w:val="FootnoteReference"/>
          <w:color w:val="000000" w:themeColor="text1"/>
        </w:rPr>
        <w:footnoteReference w:id="85"/>
      </w:r>
      <w:r w:rsidRPr="00F55A79" w:rsidR="00EE5B70">
        <w:t xml:space="preserve"> </w:t>
      </w:r>
    </w:p>
    <w:p w:rsidRPr="00F55A79" w:rsidR="00502C71" w:rsidP="00BF7781" w:rsidRDefault="00865965" w14:paraId="068A7497" w14:textId="2693D5E7">
      <w:pPr>
        <w:pStyle w:val="Standard"/>
        <w:rPr>
          <w:color w:val="000000" w:themeColor="text1"/>
        </w:rPr>
      </w:pPr>
      <w:r w:rsidRPr="00F55A79">
        <w:rPr>
          <w:color w:val="000000" w:themeColor="text1"/>
        </w:rPr>
        <w:t xml:space="preserve">TURN also stated concerns regarding Section 854(b) and California and federal </w:t>
      </w:r>
      <w:r w:rsidRPr="00F55A79" w:rsidR="000B2A80">
        <w:rPr>
          <w:color w:val="000000" w:themeColor="text1"/>
        </w:rPr>
        <w:t>Lifeline</w:t>
      </w:r>
      <w:r w:rsidRPr="00F55A79">
        <w:rPr>
          <w:color w:val="000000" w:themeColor="text1"/>
        </w:rPr>
        <w:t xml:space="preserve"> voice and </w:t>
      </w:r>
      <w:r w:rsidRPr="00F55A79">
        <w:t>broadband plans.</w:t>
      </w:r>
      <w:r w:rsidRPr="00F55A79">
        <w:rPr>
          <w:rStyle w:val="FootnoteReference"/>
          <w:color w:val="000000" w:themeColor="text1"/>
        </w:rPr>
        <w:footnoteReference w:id="86"/>
      </w:r>
      <w:r w:rsidRPr="00F55A79">
        <w:rPr>
          <w:color w:val="000000" w:themeColor="text1"/>
        </w:rPr>
        <w:t xml:space="preserve">  </w:t>
      </w:r>
      <w:r w:rsidRPr="00F55A79" w:rsidR="00B95946">
        <w:rPr>
          <w:color w:val="000000" w:themeColor="text1"/>
        </w:rPr>
        <w:t>TURN argued that “</w:t>
      </w:r>
      <w:r w:rsidRPr="00F55A79">
        <w:rPr>
          <w:color w:val="000000" w:themeColor="text1"/>
        </w:rPr>
        <w:t>there are no</w:t>
      </w:r>
      <w:r w:rsidRPr="00F55A79" w:rsidR="00B95946">
        <w:rPr>
          <w:color w:val="000000" w:themeColor="text1"/>
        </w:rPr>
        <w:t xml:space="preserve"> </w:t>
      </w:r>
      <w:r w:rsidRPr="00F55A79">
        <w:rPr>
          <w:color w:val="000000" w:themeColor="text1"/>
        </w:rPr>
        <w:t xml:space="preserve">short-term and long-term economic benefits for California </w:t>
      </w:r>
      <w:r w:rsidRPr="00F55A79" w:rsidR="000B2A80">
        <w:rPr>
          <w:color w:val="000000" w:themeColor="text1"/>
        </w:rPr>
        <w:t>Life</w:t>
      </w:r>
      <w:r w:rsidRPr="00F55A79" w:rsidR="002E642D">
        <w:rPr>
          <w:color w:val="000000" w:themeColor="text1"/>
        </w:rPr>
        <w:t>L</w:t>
      </w:r>
      <w:r w:rsidRPr="00F55A79" w:rsidR="000B2A80">
        <w:rPr>
          <w:color w:val="000000" w:themeColor="text1"/>
        </w:rPr>
        <w:t>ine</w:t>
      </w:r>
      <w:r w:rsidRPr="00F55A79">
        <w:rPr>
          <w:color w:val="000000" w:themeColor="text1"/>
        </w:rPr>
        <w:t xml:space="preserve"> and federal </w:t>
      </w:r>
      <w:r w:rsidRPr="00F55A79" w:rsidR="000B2A80">
        <w:rPr>
          <w:color w:val="000000" w:themeColor="text1"/>
        </w:rPr>
        <w:t>Lifeline</w:t>
      </w:r>
      <w:r w:rsidRPr="00F55A79">
        <w:rPr>
          <w:color w:val="000000" w:themeColor="text1"/>
        </w:rPr>
        <w:t xml:space="preserve"> </w:t>
      </w:r>
      <w:r w:rsidRPr="00F55A79">
        <w:t>services</w:t>
      </w:r>
      <w:r w:rsidRPr="00F55A79" w:rsidR="00B95946">
        <w:t>”</w:t>
      </w:r>
      <w:r w:rsidRPr="00F55A79" w:rsidR="00850F61">
        <w:t xml:space="preserve"> in the Joint Applicants’ proposals</w:t>
      </w:r>
      <w:r w:rsidRPr="00F55A79">
        <w:t>.</w:t>
      </w:r>
      <w:r w:rsidRPr="00F55A79" w:rsidR="00850F61">
        <w:rPr>
          <w:rStyle w:val="FootnoteReference"/>
          <w:color w:val="000000" w:themeColor="text1"/>
        </w:rPr>
        <w:footnoteReference w:id="87"/>
      </w:r>
      <w:r w:rsidRPr="00F55A79">
        <w:rPr>
          <w:color w:val="000000" w:themeColor="text1"/>
        </w:rPr>
        <w:t xml:space="preserve"> </w:t>
      </w:r>
      <w:r w:rsidRPr="00F55A79" w:rsidR="00936BF3">
        <w:rPr>
          <w:color w:val="000000" w:themeColor="text1"/>
        </w:rPr>
        <w:t xml:space="preserve"> </w:t>
      </w:r>
      <w:r w:rsidRPr="00F55A79" w:rsidR="009D28CE">
        <w:rPr>
          <w:color w:val="000000" w:themeColor="text1"/>
        </w:rPr>
        <w:t xml:space="preserve">Further, TURN argued that </w:t>
      </w:r>
      <w:r w:rsidRPr="00F55A79" w:rsidR="00502C71">
        <w:rPr>
          <w:color w:val="000000" w:themeColor="text1"/>
        </w:rPr>
        <w:t xml:space="preserve">the </w:t>
      </w:r>
      <w:r w:rsidRPr="00F55A79" w:rsidR="000B2A80">
        <w:rPr>
          <w:color w:val="000000" w:themeColor="text1"/>
        </w:rPr>
        <w:t>Lifeline</w:t>
      </w:r>
      <w:r w:rsidRPr="00F55A79">
        <w:rPr>
          <w:color w:val="000000" w:themeColor="text1"/>
        </w:rPr>
        <w:t xml:space="preserve"> commitments </w:t>
      </w:r>
      <w:r w:rsidRPr="00F55A79" w:rsidR="00502C71">
        <w:rPr>
          <w:color w:val="000000" w:themeColor="text1"/>
        </w:rPr>
        <w:t xml:space="preserve">made </w:t>
      </w:r>
      <w:r w:rsidRPr="00F55A79">
        <w:rPr>
          <w:color w:val="000000" w:themeColor="text1"/>
        </w:rPr>
        <w:t>in the CETF</w:t>
      </w:r>
      <w:r w:rsidRPr="00F55A79" w:rsidR="00502C71">
        <w:rPr>
          <w:color w:val="000000" w:themeColor="text1"/>
        </w:rPr>
        <w:t xml:space="preserve"> </w:t>
      </w:r>
      <w:r w:rsidRPr="00F55A79">
        <w:rPr>
          <w:color w:val="000000" w:themeColor="text1"/>
        </w:rPr>
        <w:t>and Cal Advocates settlement</w:t>
      </w:r>
      <w:r w:rsidRPr="00F55A79" w:rsidR="00502C71">
        <w:rPr>
          <w:color w:val="000000" w:themeColor="text1"/>
        </w:rPr>
        <w:t xml:space="preserve"> agreements</w:t>
      </w:r>
    </w:p>
    <w:p w:rsidRPr="00F55A79" w:rsidR="00314484" w:rsidP="00BF7781" w:rsidRDefault="00865965" w14:paraId="5A6BFAB6" w14:textId="3738F1E0">
      <w:pPr>
        <w:pStyle w:val="BlockQuote"/>
        <w:rPr>
          <w:color w:val="000000" w:themeColor="text1"/>
        </w:rPr>
      </w:pPr>
      <w:r w:rsidRPr="00F55A79">
        <w:t>include poison pills that would allow Verizon to</w:t>
      </w:r>
      <w:r w:rsidRPr="00F55A79" w:rsidR="00502C71">
        <w:t xml:space="preserve"> </w:t>
      </w:r>
      <w:r w:rsidRPr="00F55A79">
        <w:t xml:space="preserve">evade its California </w:t>
      </w:r>
      <w:r w:rsidRPr="00F55A79" w:rsidR="000B2A80">
        <w:t>Lifeline</w:t>
      </w:r>
      <w:r w:rsidRPr="00F55A79">
        <w:t xml:space="preserve"> and federal </w:t>
      </w:r>
      <w:r w:rsidRPr="00F55A79" w:rsidR="000B2A80">
        <w:t>Lifeline</w:t>
      </w:r>
      <w:r w:rsidRPr="00F55A79">
        <w:t xml:space="preserve"> commitments in those settlements as easily as Verizon</w:t>
      </w:r>
      <w:r w:rsidRPr="00F55A79" w:rsidR="00502C71">
        <w:t xml:space="preserve"> </w:t>
      </w:r>
      <w:r w:rsidRPr="00F55A79">
        <w:t>unilaterally determining that has been a “material change” in either program</w:t>
      </w:r>
      <w:r w:rsidRPr="00F55A79" w:rsidR="00314484">
        <w:t>…</w:t>
      </w:r>
      <w:r w:rsidRPr="00F55A79">
        <w:t>.</w:t>
      </w:r>
      <w:r w:rsidRPr="00F55A79" w:rsidR="00314484">
        <w:rPr>
          <w:rStyle w:val="FootnoteReference"/>
          <w:color w:val="000000" w:themeColor="text1"/>
        </w:rPr>
        <w:footnoteReference w:id="88"/>
      </w:r>
      <w:r w:rsidRPr="00F55A79">
        <w:rPr>
          <w:color w:val="000000" w:themeColor="text1"/>
        </w:rPr>
        <w:t xml:space="preserve"> </w:t>
      </w:r>
    </w:p>
    <w:p w:rsidRPr="00F55A79" w:rsidR="00D84F19" w:rsidP="00BF7781" w:rsidRDefault="00314484" w14:paraId="331BADB6" w14:textId="537006AF">
      <w:pPr>
        <w:pStyle w:val="Standard"/>
        <w:ind w:firstLine="0"/>
        <w:rPr>
          <w:color w:val="000000" w:themeColor="text1"/>
        </w:rPr>
      </w:pPr>
      <w:r w:rsidRPr="00F55A79">
        <w:rPr>
          <w:color w:val="000000" w:themeColor="text1"/>
        </w:rPr>
        <w:t>TURN stated that it</w:t>
      </w:r>
      <w:r w:rsidRPr="00F55A79" w:rsidR="00865965">
        <w:rPr>
          <w:color w:val="000000" w:themeColor="text1"/>
        </w:rPr>
        <w:t xml:space="preserve"> is</w:t>
      </w:r>
      <w:r w:rsidRPr="00F55A79">
        <w:rPr>
          <w:color w:val="000000" w:themeColor="text1"/>
        </w:rPr>
        <w:t xml:space="preserve"> therefore</w:t>
      </w:r>
      <w:r w:rsidRPr="00F55A79" w:rsidR="00865965">
        <w:rPr>
          <w:color w:val="000000" w:themeColor="text1"/>
        </w:rPr>
        <w:t xml:space="preserve"> unclear</w:t>
      </w:r>
      <w:r w:rsidRPr="00F55A79">
        <w:rPr>
          <w:color w:val="000000" w:themeColor="text1"/>
        </w:rPr>
        <w:t xml:space="preserve"> </w:t>
      </w:r>
      <w:r w:rsidRPr="00F55A79" w:rsidR="00865965">
        <w:rPr>
          <w:color w:val="000000" w:themeColor="text1"/>
        </w:rPr>
        <w:t xml:space="preserve">whether the Verizon commitments to </w:t>
      </w:r>
      <w:r w:rsidRPr="00F55A79" w:rsidR="00865965">
        <w:t xml:space="preserve">offer California and federal </w:t>
      </w:r>
      <w:r w:rsidRPr="00F55A79" w:rsidR="000B2A80">
        <w:t>Lifeline</w:t>
      </w:r>
      <w:r w:rsidRPr="00F55A79" w:rsidR="00865965">
        <w:t xml:space="preserve">, </w:t>
      </w:r>
      <w:r w:rsidRPr="00F55A79">
        <w:t>“</w:t>
      </w:r>
      <w:r w:rsidRPr="00F55A79" w:rsidR="00865965">
        <w:t>with easy triggers for poison</w:t>
      </w:r>
      <w:r w:rsidRPr="00F55A79">
        <w:t xml:space="preserve"> </w:t>
      </w:r>
      <w:r w:rsidRPr="00F55A79" w:rsidR="00865965">
        <w:t>pills,</w:t>
      </w:r>
      <w:r w:rsidRPr="00F55A79">
        <w:t>”</w:t>
      </w:r>
      <w:r w:rsidRPr="00F55A79" w:rsidR="00865965">
        <w:t xml:space="preserve"> would provide any short-term or long-term economic benefits.</w:t>
      </w:r>
      <w:r w:rsidRPr="00F55A79">
        <w:rPr>
          <w:rStyle w:val="FootnoteReference"/>
          <w:color w:val="000000" w:themeColor="text1"/>
        </w:rPr>
        <w:footnoteReference w:id="89"/>
      </w:r>
    </w:p>
    <w:p w:rsidRPr="00F55A79" w:rsidR="00014206" w:rsidP="00096D54" w:rsidRDefault="00014206" w14:paraId="2DF69F3E" w14:textId="77777777">
      <w:pPr>
        <w:pStyle w:val="Heading5"/>
        <w:rPr>
          <w:color w:val="000000" w:themeColor="text1"/>
        </w:rPr>
      </w:pPr>
      <w:bookmarkStart w:name="_Toc216163149" w:id="63"/>
      <w:r w:rsidRPr="00F55A79">
        <w:rPr>
          <w:color w:val="000000" w:themeColor="text1"/>
        </w:rPr>
        <w:t>Low-Income and Affordable Plans</w:t>
      </w:r>
      <w:bookmarkEnd w:id="63"/>
    </w:p>
    <w:p w:rsidRPr="00F55A79" w:rsidR="00D2457C" w:rsidP="00BF7781" w:rsidRDefault="00401E58" w14:paraId="75CFBCA5" w14:textId="70DB6F64">
      <w:pPr>
        <w:pStyle w:val="Standard"/>
        <w:rPr>
          <w:color w:val="000000" w:themeColor="text1"/>
        </w:rPr>
      </w:pPr>
      <w:r w:rsidRPr="00F55A79">
        <w:rPr>
          <w:color w:val="000000" w:themeColor="text1"/>
        </w:rPr>
        <w:t xml:space="preserve">TURN also cautioned that the </w:t>
      </w:r>
      <w:r w:rsidRPr="00F55A79" w:rsidR="000F303C">
        <w:rPr>
          <w:color w:val="000000" w:themeColor="text1"/>
        </w:rPr>
        <w:t xml:space="preserve">Application and proposed settlement </w:t>
      </w:r>
      <w:r w:rsidRPr="00F55A79" w:rsidR="000F303C">
        <w:t>agreements could result in reduced access to low-income and affordable plans.</w:t>
      </w:r>
      <w:r w:rsidRPr="00F55A79" w:rsidR="000F303C">
        <w:rPr>
          <w:rStyle w:val="FootnoteReference"/>
          <w:color w:val="000000" w:themeColor="text1"/>
        </w:rPr>
        <w:footnoteReference w:id="90"/>
      </w:r>
      <w:r w:rsidRPr="00F55A79" w:rsidR="0089184C">
        <w:rPr>
          <w:color w:val="000000" w:themeColor="text1"/>
        </w:rPr>
        <w:t xml:space="preserve">  Specifically, TURN argued that </w:t>
      </w:r>
      <w:r w:rsidRPr="00F55A79" w:rsidR="00E34791">
        <w:rPr>
          <w:color w:val="000000" w:themeColor="text1"/>
        </w:rPr>
        <w:t xml:space="preserve">adoption of </w:t>
      </w:r>
      <w:r w:rsidRPr="00F55A79" w:rsidR="00B97C0E">
        <w:rPr>
          <w:color w:val="000000" w:themeColor="text1"/>
        </w:rPr>
        <w:t xml:space="preserve">the CETF settlement would prohibit any new customers from signing up for the Frontier Fundamentals affordable </w:t>
      </w:r>
      <w:r w:rsidRPr="00F55A79" w:rsidR="00B97C0E">
        <w:rPr>
          <w:color w:val="000000" w:themeColor="text1"/>
        </w:rPr>
        <w:lastRenderedPageBreak/>
        <w:t>broadband plan</w:t>
      </w:r>
      <w:r w:rsidRPr="00F55A79" w:rsidR="00E34791">
        <w:rPr>
          <w:color w:val="000000" w:themeColor="text1"/>
        </w:rPr>
        <w:t xml:space="preserve"> and “</w:t>
      </w:r>
      <w:r w:rsidRPr="00F55A79" w:rsidR="00B97C0E">
        <w:rPr>
          <w:color w:val="000000" w:themeColor="text1"/>
        </w:rPr>
        <w:t xml:space="preserve">eliminate affordable service for customers served by </w:t>
      </w:r>
      <w:r w:rsidRPr="00F55A79" w:rsidR="00B97C0E">
        <w:t>copper.</w:t>
      </w:r>
      <w:r w:rsidRPr="00F55A79" w:rsidR="00E34791">
        <w:t>”</w:t>
      </w:r>
      <w:r w:rsidRPr="00F55A79" w:rsidR="00E34791">
        <w:rPr>
          <w:rStyle w:val="FootnoteReference"/>
          <w:color w:val="000000" w:themeColor="text1"/>
        </w:rPr>
        <w:footnoteReference w:id="91"/>
      </w:r>
      <w:r w:rsidRPr="00F55A79" w:rsidR="00B63E5E">
        <w:rPr>
          <w:color w:val="000000" w:themeColor="text1"/>
        </w:rPr>
        <w:t xml:space="preserve">  In addition, TURN </w:t>
      </w:r>
      <w:r w:rsidRPr="00F55A79" w:rsidR="000F0CAD">
        <w:rPr>
          <w:color w:val="000000" w:themeColor="text1"/>
        </w:rPr>
        <w:t xml:space="preserve">noted limitations in Verizon’s </w:t>
      </w:r>
      <w:r w:rsidRPr="00F55A79" w:rsidR="00B97C0E">
        <w:rPr>
          <w:color w:val="000000" w:themeColor="text1"/>
        </w:rPr>
        <w:t>voluntary offer</w:t>
      </w:r>
      <w:r w:rsidRPr="00F55A79" w:rsidR="000F0CAD">
        <w:rPr>
          <w:color w:val="000000" w:themeColor="text1"/>
        </w:rPr>
        <w:t xml:space="preserve"> of the Verizon Forward </w:t>
      </w:r>
      <w:r w:rsidRPr="00F55A79" w:rsidR="00B97C0E">
        <w:t>low-income</w:t>
      </w:r>
      <w:r w:rsidRPr="00F55A79" w:rsidR="000F0CAD">
        <w:t xml:space="preserve"> plan.</w:t>
      </w:r>
      <w:r w:rsidRPr="00F55A79" w:rsidR="00487271">
        <w:rPr>
          <w:rStyle w:val="FootnoteReference"/>
          <w:color w:val="000000" w:themeColor="text1"/>
        </w:rPr>
        <w:footnoteReference w:id="92"/>
      </w:r>
      <w:r w:rsidRPr="00F55A79" w:rsidR="000F0CAD">
        <w:rPr>
          <w:color w:val="000000" w:themeColor="text1"/>
        </w:rPr>
        <w:t xml:space="preserve">  According to TURN,</w:t>
      </w:r>
      <w:r w:rsidRPr="00F55A79" w:rsidR="00B97C0E">
        <w:rPr>
          <w:color w:val="000000" w:themeColor="text1"/>
        </w:rPr>
        <w:t xml:space="preserve"> Verizon Forward  </w:t>
      </w:r>
      <w:r w:rsidRPr="00F55A79" w:rsidR="000F0CAD">
        <w:rPr>
          <w:color w:val="000000" w:themeColor="text1"/>
        </w:rPr>
        <w:t>“</w:t>
      </w:r>
      <w:r w:rsidRPr="00F55A79" w:rsidR="00B97C0E">
        <w:rPr>
          <w:color w:val="000000" w:themeColor="text1"/>
        </w:rPr>
        <w:t xml:space="preserve">appears to be severely limited to technologies that are not likely available to qualifying households, and requires a savvy customer to know to ask and who to ask because the full eligibility criteria is </w:t>
      </w:r>
      <w:r w:rsidRPr="00F55A79" w:rsidR="00B97C0E">
        <w:t>not available on Verizon’s website.</w:t>
      </w:r>
      <w:r w:rsidRPr="00F55A79" w:rsidR="000F0CAD">
        <w:t>”</w:t>
      </w:r>
      <w:r w:rsidRPr="00F55A79" w:rsidR="00B97C0E">
        <w:rPr>
          <w:rStyle w:val="FootnoteReference"/>
          <w:color w:val="000000" w:themeColor="text1"/>
        </w:rPr>
        <w:footnoteReference w:id="93"/>
      </w:r>
    </w:p>
    <w:p w:rsidRPr="00F55A79" w:rsidR="00CE02CA" w:rsidP="00BF7781" w:rsidRDefault="00CE02CA" w14:paraId="37F288C2" w14:textId="37006829">
      <w:pPr>
        <w:pStyle w:val="Heading3"/>
        <w:rPr>
          <w:color w:val="000000" w:themeColor="text1"/>
        </w:rPr>
      </w:pPr>
      <w:bookmarkStart w:name="_Toc216163150" w:id="64"/>
      <w:r w:rsidRPr="00F55A79">
        <w:rPr>
          <w:color w:val="000000" w:themeColor="text1"/>
        </w:rPr>
        <w:t>Discussion</w:t>
      </w:r>
      <w:bookmarkEnd w:id="64"/>
    </w:p>
    <w:p w:rsidRPr="00F55A79" w:rsidR="00910ABC" w:rsidP="00910ABC" w:rsidRDefault="002E642D" w14:paraId="1099B0FD" w14:textId="557CEAA0">
      <w:pPr>
        <w:pStyle w:val="Standard"/>
        <w:rPr>
          <w:color w:val="000000" w:themeColor="text1"/>
        </w:rPr>
      </w:pPr>
      <w:r w:rsidRPr="00F55A79">
        <w:rPr>
          <w:color w:val="000000" w:themeColor="text1"/>
        </w:rPr>
        <w:t>The application, along with the settlement agreements, may provide substantial customer benefits, including additional service options, affordable pricing plans, infrastructure development, and service quality improvements.  To ensure that these commitments materialize as stated, we adopt additional mitigation measures in Section 6.9.  Specifically, w</w:t>
      </w:r>
      <w:r w:rsidRPr="00F55A79" w:rsidR="00910ABC">
        <w:rPr>
          <w:color w:val="000000" w:themeColor="text1"/>
        </w:rPr>
        <w:t>e agree with TURN that</w:t>
      </w:r>
      <w:r w:rsidRPr="00F55A79">
        <w:rPr>
          <w:color w:val="000000" w:themeColor="text1"/>
        </w:rPr>
        <w:t>: (1)</w:t>
      </w:r>
      <w:r w:rsidRPr="00F55A79" w:rsidR="00910ABC">
        <w:rPr>
          <w:color w:val="000000" w:themeColor="text1"/>
        </w:rPr>
        <w:t xml:space="preserve"> </w:t>
      </w:r>
      <w:r w:rsidRPr="00F55A79" w:rsidR="00DA4004">
        <w:rPr>
          <w:color w:val="000000" w:themeColor="text1"/>
        </w:rPr>
        <w:t xml:space="preserve">ongoing fiber deployment is </w:t>
      </w:r>
      <w:r w:rsidRPr="00F55A79" w:rsidR="002D7755">
        <w:rPr>
          <w:color w:val="000000" w:themeColor="text1"/>
        </w:rPr>
        <w:t xml:space="preserve">needed </w:t>
      </w:r>
      <w:r w:rsidRPr="00F55A79" w:rsidR="00DA4004">
        <w:rPr>
          <w:color w:val="000000" w:themeColor="text1"/>
        </w:rPr>
        <w:t xml:space="preserve">and that </w:t>
      </w:r>
      <w:r w:rsidRPr="00F55A79" w:rsidR="00910ABC">
        <w:rPr>
          <w:color w:val="000000" w:themeColor="text1"/>
        </w:rPr>
        <w:t>Verizon</w:t>
      </w:r>
      <w:r w:rsidRPr="00F55A79" w:rsidR="00DA4004">
        <w:rPr>
          <w:color w:val="000000" w:themeColor="text1"/>
        </w:rPr>
        <w:t xml:space="preserve"> should be required to </w:t>
      </w:r>
      <w:r w:rsidRPr="00F55A79" w:rsidR="00CF387C">
        <w:rPr>
          <w:color w:val="000000" w:themeColor="text1"/>
        </w:rPr>
        <w:t>expand its fiber network</w:t>
      </w:r>
      <w:r w:rsidRPr="00F55A79">
        <w:rPr>
          <w:color w:val="000000" w:themeColor="text1"/>
        </w:rPr>
        <w:t>; (2) additional LifeLine protections are needed; and (3) additional efforts are needed to ensure availability of an enrollment in affordable plans</w:t>
      </w:r>
      <w:r w:rsidRPr="00F55A79" w:rsidR="00CF387C">
        <w:rPr>
          <w:color w:val="000000" w:themeColor="text1"/>
        </w:rPr>
        <w:t>.</w:t>
      </w:r>
    </w:p>
    <w:p w:rsidRPr="00F55A79" w:rsidR="00DD11D7" w:rsidP="00A70678" w:rsidRDefault="00DD11D7" w14:paraId="2E6232F5" w14:textId="0C9E3E0F">
      <w:pPr>
        <w:pStyle w:val="Heading2"/>
        <w:rPr>
          <w:color w:val="000000" w:themeColor="text1"/>
        </w:rPr>
      </w:pPr>
      <w:bookmarkStart w:name="_Toc216163151" w:id="65"/>
      <w:r w:rsidRPr="00F55A79">
        <w:rPr>
          <w:color w:val="000000" w:themeColor="text1"/>
        </w:rPr>
        <w:t>Competition</w:t>
      </w:r>
      <w:bookmarkEnd w:id="65"/>
    </w:p>
    <w:p w:rsidRPr="00F55A79" w:rsidR="005C21B3" w:rsidP="00A70678" w:rsidRDefault="007C5FD3" w14:paraId="36CDC288" w14:textId="593B08AA">
      <w:pPr>
        <w:pStyle w:val="Heading3"/>
      </w:pPr>
      <w:bookmarkStart w:name="_Toc216163152" w:id="66"/>
      <w:r w:rsidRPr="00F55A79">
        <w:t>Background</w:t>
      </w:r>
      <w:bookmarkEnd w:id="66"/>
    </w:p>
    <w:p w:rsidRPr="00F55A79" w:rsidR="00F53975" w:rsidP="00252AE1" w:rsidRDefault="00252AE1" w14:paraId="5C46613E" w14:textId="52B92AEC">
      <w:pPr>
        <w:pStyle w:val="Standard"/>
        <w:rPr>
          <w:color w:val="000000" w:themeColor="text1"/>
        </w:rPr>
      </w:pPr>
      <w:r w:rsidRPr="00F55A79">
        <w:rPr>
          <w:color w:val="000000" w:themeColor="text1"/>
        </w:rPr>
        <w:t xml:space="preserve">Under </w:t>
      </w:r>
      <w:r w:rsidRPr="00F55A79">
        <w:t>Section 854(</w:t>
      </w:r>
      <w:r w:rsidRPr="00F55A79" w:rsidR="00DB11DF">
        <w:t>b</w:t>
      </w:r>
      <w:r w:rsidRPr="00F55A79">
        <w:t>)(3),</w:t>
      </w:r>
      <w:r w:rsidRPr="00F55A79" w:rsidR="004C699A">
        <w:rPr>
          <w:rStyle w:val="FootnoteReference"/>
          <w:color w:val="000000" w:themeColor="text1"/>
        </w:rPr>
        <w:footnoteReference w:id="94"/>
      </w:r>
      <w:r w:rsidRPr="00F55A79">
        <w:rPr>
          <w:color w:val="000000" w:themeColor="text1"/>
        </w:rPr>
        <w:t xml:space="preserve"> we evaluated </w:t>
      </w:r>
      <w:r w:rsidRPr="00F55A79" w:rsidR="00F53975">
        <w:rPr>
          <w:color w:val="000000" w:themeColor="text1"/>
        </w:rPr>
        <w:t>whether the proposed transaction could adversely affect competition</w:t>
      </w:r>
      <w:r w:rsidRPr="00F55A79">
        <w:rPr>
          <w:color w:val="000000" w:themeColor="text1"/>
        </w:rPr>
        <w:t>.</w:t>
      </w:r>
      <w:r w:rsidR="00F8126B">
        <w:rPr>
          <w:color w:val="000000" w:themeColor="text1"/>
        </w:rPr>
        <w:t xml:space="preserve"> </w:t>
      </w:r>
      <w:r w:rsidRPr="00F55A79" w:rsidR="00FD7F0E">
        <w:rPr>
          <w:color w:val="000000" w:themeColor="text1"/>
        </w:rPr>
        <w:t xml:space="preserve"> </w:t>
      </w:r>
      <w:r w:rsidRPr="00F55A79" w:rsidR="00A96FD5">
        <w:rPr>
          <w:color w:val="000000" w:themeColor="text1"/>
        </w:rPr>
        <w:t xml:space="preserve">Upon review of the record, we find one </w:t>
      </w:r>
      <w:r w:rsidRPr="00F55A79" w:rsidR="007E04BE">
        <w:rPr>
          <w:color w:val="000000" w:themeColor="text1"/>
        </w:rPr>
        <w:t>aspect of t</w:t>
      </w:r>
      <w:r w:rsidRPr="00F55A79" w:rsidR="00A96FD5">
        <w:rPr>
          <w:color w:val="000000" w:themeColor="text1"/>
        </w:rPr>
        <w:t xml:space="preserve">he proposed transaction </w:t>
      </w:r>
      <w:r w:rsidRPr="00F55A79" w:rsidR="007E04BE">
        <w:rPr>
          <w:color w:val="000000" w:themeColor="text1"/>
        </w:rPr>
        <w:t>c</w:t>
      </w:r>
      <w:r w:rsidRPr="00F55A79" w:rsidR="00A96FD5">
        <w:rPr>
          <w:color w:val="000000" w:themeColor="text1"/>
        </w:rPr>
        <w:t xml:space="preserve">ould adversely affect competition </w:t>
      </w:r>
      <w:r w:rsidRPr="00F55A79" w:rsidR="007E04BE">
        <w:rPr>
          <w:color w:val="000000" w:themeColor="text1"/>
        </w:rPr>
        <w:t xml:space="preserve">– access to </w:t>
      </w:r>
      <w:r w:rsidRPr="00F55A79" w:rsidR="007E04BE">
        <w:rPr>
          <w:color w:val="000000" w:themeColor="text1"/>
        </w:rPr>
        <w:lastRenderedPageBreak/>
        <w:t xml:space="preserve">backhaul – and therefore adopt a condition to require </w:t>
      </w:r>
      <w:r w:rsidRPr="00F55A79" w:rsidR="00334651">
        <w:rPr>
          <w:color w:val="000000" w:themeColor="text1"/>
        </w:rPr>
        <w:t xml:space="preserve">non-discriminatory access to </w:t>
      </w:r>
      <w:r w:rsidRPr="00F55A79" w:rsidR="007E04BE">
        <w:rPr>
          <w:color w:val="000000" w:themeColor="text1"/>
        </w:rPr>
        <w:t>backhaul</w:t>
      </w:r>
      <w:r w:rsidRPr="00F55A79" w:rsidR="00A96FD5">
        <w:rPr>
          <w:color w:val="000000" w:themeColor="text1"/>
        </w:rPr>
        <w:t xml:space="preserve">.  </w:t>
      </w:r>
    </w:p>
    <w:p w:rsidRPr="00F55A79" w:rsidR="00B86E08" w:rsidP="00252AE1" w:rsidRDefault="00B86E08" w14:paraId="79809C82" w14:textId="7C593D21">
      <w:pPr>
        <w:pStyle w:val="Standard"/>
        <w:rPr>
          <w:color w:val="000000" w:themeColor="text1"/>
        </w:rPr>
      </w:pPr>
      <w:r w:rsidRPr="00F55A79">
        <w:rPr>
          <w:color w:val="000000" w:themeColor="text1"/>
        </w:rPr>
        <w:t>We note that Commission</w:t>
      </w:r>
      <w:r w:rsidRPr="00F55A79" w:rsidR="00FA3A14">
        <w:rPr>
          <w:color w:val="000000" w:themeColor="text1"/>
        </w:rPr>
        <w:t xml:space="preserve"> staff</w:t>
      </w:r>
      <w:r w:rsidRPr="00F55A79">
        <w:rPr>
          <w:color w:val="000000" w:themeColor="text1"/>
        </w:rPr>
        <w:t xml:space="preserve"> requested an advisory opinion from the Attorney General regarding whether competition will be adversely affected and what mitigation measures could be adopted to avoid this result.  </w:t>
      </w:r>
      <w:r w:rsidRPr="00F55A79" w:rsidR="00FA3A14">
        <w:rPr>
          <w:color w:val="000000" w:themeColor="text1"/>
        </w:rPr>
        <w:t>The Attorney General</w:t>
      </w:r>
      <w:r w:rsidRPr="00F55A79">
        <w:rPr>
          <w:color w:val="000000" w:themeColor="text1"/>
        </w:rPr>
        <w:t xml:space="preserve"> declined to provide a formal opinion.</w:t>
      </w:r>
    </w:p>
    <w:p w:rsidRPr="00F55A79" w:rsidR="00ED6D63" w:rsidP="00A70678" w:rsidRDefault="00ED6D63" w14:paraId="34E84580" w14:textId="77777777">
      <w:pPr>
        <w:pStyle w:val="Heading3"/>
      </w:pPr>
      <w:bookmarkStart w:name="_Toc216163153" w:id="67"/>
      <w:r w:rsidRPr="00F55A79">
        <w:t>Joint Applicants’ Position</w:t>
      </w:r>
      <w:bookmarkEnd w:id="67"/>
    </w:p>
    <w:p w:rsidRPr="00F55A79" w:rsidR="005C21B3" w:rsidP="005C21B3" w:rsidRDefault="005C21B3" w14:paraId="28315404" w14:textId="12507820">
      <w:pPr>
        <w:pStyle w:val="Standard"/>
        <w:rPr>
          <w:color w:val="000000" w:themeColor="text1"/>
        </w:rPr>
      </w:pPr>
      <w:r w:rsidRPr="00F55A79">
        <w:rPr>
          <w:color w:val="000000" w:themeColor="text1"/>
        </w:rPr>
        <w:t xml:space="preserve">In its opening testimony, Verizon stated that the transaction will not reduce competition because Verizon is not an ILEC anywhere in California, and Frontier is not a mobile wireless </w:t>
      </w:r>
      <w:r w:rsidRPr="00F55A79">
        <w:t>carrier anywhere in California.</w:t>
      </w:r>
      <w:r w:rsidRPr="00F55A79">
        <w:rPr>
          <w:rStyle w:val="FootnoteReference"/>
          <w:color w:val="000000" w:themeColor="text1"/>
        </w:rPr>
        <w:footnoteReference w:id="95"/>
      </w:r>
    </w:p>
    <w:p w:rsidRPr="00F55A79" w:rsidR="007D015D" w:rsidP="007D015D" w:rsidRDefault="007D015D" w14:paraId="70C5E0DE" w14:textId="0B5EA9A9">
      <w:pPr>
        <w:pStyle w:val="Standard"/>
        <w:rPr>
          <w:color w:val="000000" w:themeColor="text1"/>
        </w:rPr>
      </w:pPr>
      <w:r w:rsidRPr="00F55A79">
        <w:rPr>
          <w:color w:val="000000" w:themeColor="text1"/>
        </w:rPr>
        <w:t xml:space="preserve">Verizon provided </w:t>
      </w:r>
      <w:r w:rsidRPr="00F55A79" w:rsidR="00B61545">
        <w:rPr>
          <w:color w:val="000000" w:themeColor="text1"/>
        </w:rPr>
        <w:t>an</w:t>
      </w:r>
      <w:r w:rsidRPr="00F55A79">
        <w:rPr>
          <w:color w:val="000000" w:themeColor="text1"/>
        </w:rPr>
        <w:t xml:space="preserve"> assessment of </w:t>
      </w:r>
      <w:r w:rsidRPr="00F55A79" w:rsidR="00AB6F5F">
        <w:rPr>
          <w:color w:val="000000" w:themeColor="text1"/>
        </w:rPr>
        <w:t xml:space="preserve">its competitive position following the </w:t>
      </w:r>
      <w:r w:rsidRPr="00F55A79" w:rsidR="00AB6F5F">
        <w:t>proposed transaction.</w:t>
      </w:r>
      <w:r w:rsidRPr="00F55A79" w:rsidR="00BD69E7">
        <w:rPr>
          <w:rStyle w:val="FootnoteReference"/>
          <w:color w:val="000000" w:themeColor="text1"/>
        </w:rPr>
        <w:footnoteReference w:id="96"/>
      </w:r>
      <w:r w:rsidRPr="00F55A79" w:rsidR="00AB6F5F">
        <w:rPr>
          <w:color w:val="000000" w:themeColor="text1"/>
        </w:rPr>
        <w:t xml:space="preserve"> </w:t>
      </w:r>
      <w:r w:rsidRPr="00F55A79" w:rsidR="00F406DA">
        <w:rPr>
          <w:color w:val="000000" w:themeColor="text1"/>
        </w:rPr>
        <w:t xml:space="preserve"> </w:t>
      </w:r>
      <w:r w:rsidRPr="00F55A79" w:rsidR="00BD69E7">
        <w:rPr>
          <w:color w:val="000000" w:themeColor="text1"/>
        </w:rPr>
        <w:t>This assessment covered</w:t>
      </w:r>
      <w:r w:rsidRPr="00F55A79" w:rsidR="00AB6F5F">
        <w:rPr>
          <w:color w:val="000000" w:themeColor="text1"/>
        </w:rPr>
        <w:t xml:space="preserve"> </w:t>
      </w:r>
      <w:r w:rsidRPr="00F55A79" w:rsidR="00BD69E7">
        <w:rPr>
          <w:color w:val="000000" w:themeColor="text1"/>
        </w:rPr>
        <w:t>b</w:t>
      </w:r>
      <w:r w:rsidRPr="00F55A79">
        <w:rPr>
          <w:color w:val="000000" w:themeColor="text1"/>
        </w:rPr>
        <w:t xml:space="preserve">roadband </w:t>
      </w:r>
      <w:r w:rsidRPr="00F55A79" w:rsidR="00BD69E7">
        <w:rPr>
          <w:color w:val="000000" w:themeColor="text1"/>
        </w:rPr>
        <w:t>c</w:t>
      </w:r>
      <w:r w:rsidRPr="00F55A79">
        <w:rPr>
          <w:color w:val="000000" w:themeColor="text1"/>
        </w:rPr>
        <w:t>ompetition</w:t>
      </w:r>
      <w:r w:rsidRPr="00F55A79" w:rsidR="00BD69E7">
        <w:rPr>
          <w:color w:val="000000" w:themeColor="text1"/>
        </w:rPr>
        <w:t>, c</w:t>
      </w:r>
      <w:r w:rsidRPr="00F55A79">
        <w:rPr>
          <w:color w:val="000000" w:themeColor="text1"/>
        </w:rPr>
        <w:t xml:space="preserve">ompetition between </w:t>
      </w:r>
      <w:r w:rsidRPr="00F55A79" w:rsidR="00BD69E7">
        <w:rPr>
          <w:color w:val="000000" w:themeColor="text1"/>
        </w:rPr>
        <w:t>wireline and mobile wireless services, w</w:t>
      </w:r>
      <w:r w:rsidRPr="00F55A79">
        <w:rPr>
          <w:color w:val="000000" w:themeColor="text1"/>
        </w:rPr>
        <w:t xml:space="preserve">holesale </w:t>
      </w:r>
      <w:r w:rsidRPr="00F55A79" w:rsidR="00BD69E7">
        <w:rPr>
          <w:color w:val="000000" w:themeColor="text1"/>
        </w:rPr>
        <w:t>c</w:t>
      </w:r>
      <w:r w:rsidRPr="00F55A79">
        <w:rPr>
          <w:color w:val="000000" w:themeColor="text1"/>
        </w:rPr>
        <w:t>ompetition</w:t>
      </w:r>
      <w:r w:rsidRPr="00F55A79" w:rsidR="00BD69E7">
        <w:rPr>
          <w:color w:val="000000" w:themeColor="text1"/>
        </w:rPr>
        <w:t>, and c</w:t>
      </w:r>
      <w:r w:rsidRPr="00F55A79">
        <w:rPr>
          <w:color w:val="000000" w:themeColor="text1"/>
        </w:rPr>
        <w:t xml:space="preserve">ompetition for </w:t>
      </w:r>
      <w:r w:rsidRPr="00F55A79" w:rsidR="00BD69E7">
        <w:rPr>
          <w:color w:val="000000" w:themeColor="text1"/>
        </w:rPr>
        <w:t>b</w:t>
      </w:r>
      <w:r w:rsidRPr="00F55A79">
        <w:rPr>
          <w:color w:val="000000" w:themeColor="text1"/>
        </w:rPr>
        <w:t xml:space="preserve">usiness </w:t>
      </w:r>
      <w:r w:rsidRPr="00F55A79" w:rsidR="00BD69E7">
        <w:rPr>
          <w:color w:val="000000" w:themeColor="text1"/>
        </w:rPr>
        <w:t>c</w:t>
      </w:r>
      <w:r w:rsidRPr="00F55A79">
        <w:rPr>
          <w:color w:val="000000" w:themeColor="text1"/>
        </w:rPr>
        <w:t>ustomers</w:t>
      </w:r>
      <w:r w:rsidRPr="00F55A79" w:rsidR="00BD69E7">
        <w:rPr>
          <w:color w:val="000000" w:themeColor="text1"/>
        </w:rPr>
        <w:t xml:space="preserve">. </w:t>
      </w:r>
    </w:p>
    <w:p w:rsidRPr="00F55A79" w:rsidR="006562C9" w:rsidP="006562C9" w:rsidRDefault="007E04BE" w14:paraId="2485A700" w14:textId="4D021892">
      <w:pPr>
        <w:pStyle w:val="Standard"/>
        <w:rPr>
          <w:color w:val="000000" w:themeColor="text1"/>
        </w:rPr>
      </w:pPr>
      <w:r w:rsidRPr="00F55A79">
        <w:rPr>
          <w:color w:val="000000" w:themeColor="text1"/>
        </w:rPr>
        <w:t>According to Verizon, t</w:t>
      </w:r>
      <w:r w:rsidRPr="00F55A79" w:rsidR="006562C9">
        <w:rPr>
          <w:color w:val="000000" w:themeColor="text1"/>
        </w:rPr>
        <w:t xml:space="preserve">here are some overlaps of fiber facilities for non-mass-market uses, </w:t>
      </w:r>
      <w:r w:rsidRPr="00F55A79">
        <w:rPr>
          <w:color w:val="000000" w:themeColor="text1"/>
        </w:rPr>
        <w:t>but</w:t>
      </w:r>
      <w:r w:rsidRPr="00F55A79" w:rsidR="006562C9">
        <w:rPr>
          <w:color w:val="000000" w:themeColor="text1"/>
        </w:rPr>
        <w:t xml:space="preserve"> those facilities’ overlaps are not related to fiber</w:t>
      </w:r>
      <w:r w:rsidRPr="00F55A79" w:rsidR="004F1039">
        <w:rPr>
          <w:color w:val="000000" w:themeColor="text1"/>
        </w:rPr>
        <w:t xml:space="preserve"> </w:t>
      </w:r>
      <w:r w:rsidRPr="00F55A79" w:rsidR="006562C9">
        <w:rPr>
          <w:color w:val="000000" w:themeColor="text1"/>
        </w:rPr>
        <w:t xml:space="preserve">facilities serving </w:t>
      </w:r>
      <w:r w:rsidRPr="00F55A79" w:rsidR="006562C9">
        <w:t>everyday customers.</w:t>
      </w:r>
      <w:r w:rsidRPr="00F55A79">
        <w:rPr>
          <w:rStyle w:val="FootnoteReference"/>
          <w:color w:val="000000" w:themeColor="text1"/>
        </w:rPr>
        <w:footnoteReference w:id="97"/>
      </w:r>
    </w:p>
    <w:p w:rsidRPr="00F55A79" w:rsidR="006562C9" w:rsidP="006562C9" w:rsidRDefault="00581AD0" w14:paraId="7828DB43" w14:textId="7F076B7B">
      <w:pPr>
        <w:pStyle w:val="Standard"/>
      </w:pPr>
      <w:r w:rsidRPr="00F55A79">
        <w:rPr>
          <w:color w:val="000000" w:themeColor="text1"/>
        </w:rPr>
        <w:t>Regarding</w:t>
      </w:r>
      <w:r w:rsidRPr="00F55A79" w:rsidR="006562C9">
        <w:rPr>
          <w:color w:val="000000" w:themeColor="text1"/>
        </w:rPr>
        <w:t xml:space="preserve"> mobile wireless, </w:t>
      </w:r>
      <w:r w:rsidRPr="00F55A79" w:rsidR="00075E9A">
        <w:rPr>
          <w:color w:val="000000" w:themeColor="text1"/>
        </w:rPr>
        <w:t xml:space="preserve">Verizon stated that </w:t>
      </w:r>
      <w:r w:rsidRPr="00F55A79" w:rsidR="006562C9">
        <w:rPr>
          <w:color w:val="000000" w:themeColor="text1"/>
        </w:rPr>
        <w:t xml:space="preserve">after the </w:t>
      </w:r>
      <w:r w:rsidRPr="00F55A79" w:rsidR="00075E9A">
        <w:rPr>
          <w:color w:val="000000" w:themeColor="text1"/>
        </w:rPr>
        <w:t>proposed t</w:t>
      </w:r>
      <w:r w:rsidRPr="00F55A79" w:rsidR="006562C9">
        <w:rPr>
          <w:color w:val="000000" w:themeColor="text1"/>
        </w:rPr>
        <w:t xml:space="preserve">ransaction is complete, </w:t>
      </w:r>
      <w:r w:rsidRPr="00F55A79" w:rsidR="00075E9A">
        <w:rPr>
          <w:color w:val="000000" w:themeColor="text1"/>
        </w:rPr>
        <w:t>it “</w:t>
      </w:r>
      <w:r w:rsidRPr="00F55A79">
        <w:rPr>
          <w:color w:val="000000" w:themeColor="text1"/>
        </w:rPr>
        <w:t>could</w:t>
      </w:r>
      <w:r w:rsidRPr="00F55A79" w:rsidR="006562C9">
        <w:rPr>
          <w:color w:val="000000" w:themeColor="text1"/>
        </w:rPr>
        <w:t xml:space="preserve"> offer a bundle of home broadband and mobile wireless services to Frontier</w:t>
      </w:r>
      <w:r w:rsidRPr="00F55A79" w:rsidR="00DB75EE">
        <w:rPr>
          <w:color w:val="000000" w:themeColor="text1"/>
        </w:rPr>
        <w:t>’s</w:t>
      </w:r>
      <w:r w:rsidRPr="00F55A79" w:rsidR="006562C9">
        <w:rPr>
          <w:color w:val="000000" w:themeColor="text1"/>
        </w:rPr>
        <w:t xml:space="preserve"> fiber customers—an offering Frontier is unable to make </w:t>
      </w:r>
      <w:r w:rsidRPr="00F55A79" w:rsidR="006562C9">
        <w:t>today.</w:t>
      </w:r>
      <w:r w:rsidRPr="00F55A79" w:rsidR="00075E9A">
        <w:t>”</w:t>
      </w:r>
      <w:r w:rsidRPr="00F55A79" w:rsidR="00075E9A">
        <w:rPr>
          <w:rStyle w:val="FootnoteReference"/>
          <w:color w:val="000000" w:themeColor="text1"/>
        </w:rPr>
        <w:footnoteReference w:id="98"/>
      </w:r>
      <w:r w:rsidRPr="00F55A79" w:rsidR="006562C9">
        <w:rPr>
          <w:color w:val="000000" w:themeColor="text1"/>
        </w:rPr>
        <w:t xml:space="preserve"> </w:t>
      </w:r>
      <w:r w:rsidRPr="00F55A79" w:rsidR="005E24FF">
        <w:rPr>
          <w:color w:val="000000" w:themeColor="text1"/>
        </w:rPr>
        <w:t xml:space="preserve"> </w:t>
      </w:r>
      <w:r w:rsidRPr="00F55A79" w:rsidR="00075E9A">
        <w:rPr>
          <w:color w:val="000000" w:themeColor="text1"/>
        </w:rPr>
        <w:t>Verizon stated that would</w:t>
      </w:r>
      <w:r w:rsidRPr="00F55A79" w:rsidR="006562C9">
        <w:rPr>
          <w:color w:val="000000" w:themeColor="text1"/>
        </w:rPr>
        <w:t xml:space="preserve"> continue to make mobile wireless service available to customers in Frontier’s territory, as well as continue to offer </w:t>
      </w:r>
      <w:r w:rsidRPr="00F55A79" w:rsidR="006562C9">
        <w:rPr>
          <w:color w:val="000000" w:themeColor="text1"/>
        </w:rPr>
        <w:lastRenderedPageBreak/>
        <w:t xml:space="preserve">fixed wireless </w:t>
      </w:r>
      <w:r w:rsidRPr="00F55A79" w:rsidR="006562C9">
        <w:t>in parts of Frontier’s territory.</w:t>
      </w:r>
      <w:r w:rsidRPr="00F55A79" w:rsidR="00075E9A">
        <w:rPr>
          <w:vertAlign w:val="superscript"/>
        </w:rPr>
        <w:footnoteReference w:id="99"/>
      </w:r>
      <w:r w:rsidRPr="00F55A79" w:rsidR="00CD2121">
        <w:t xml:space="preserve">  </w:t>
      </w:r>
      <w:r w:rsidRPr="00F55A79" w:rsidR="00247DE2">
        <w:t>Verizon contended that</w:t>
      </w:r>
      <w:r w:rsidRPr="00F55A79" w:rsidR="00247DE2">
        <w:rPr>
          <w:color w:val="000000" w:themeColor="text1"/>
        </w:rPr>
        <w:t xml:space="preserve"> o</w:t>
      </w:r>
      <w:r w:rsidRPr="00F55A79" w:rsidR="006562C9">
        <w:rPr>
          <w:color w:val="000000" w:themeColor="text1"/>
        </w:rPr>
        <w:t xml:space="preserve">ther wireless providers are </w:t>
      </w:r>
      <w:r w:rsidRPr="00F55A79" w:rsidR="00247DE2">
        <w:rPr>
          <w:color w:val="000000" w:themeColor="text1"/>
        </w:rPr>
        <w:t>“</w:t>
      </w:r>
      <w:r w:rsidRPr="00F55A79" w:rsidR="006562C9">
        <w:rPr>
          <w:color w:val="000000" w:themeColor="text1"/>
        </w:rPr>
        <w:t xml:space="preserve">also aggressively competing with their own mobile and fixed wireless options. </w:t>
      </w:r>
      <w:r w:rsidRPr="00F55A79" w:rsidR="00CD746B">
        <w:rPr>
          <w:color w:val="000000" w:themeColor="text1"/>
        </w:rPr>
        <w:t xml:space="preserve"> </w:t>
      </w:r>
      <w:r w:rsidRPr="00F55A79" w:rsidR="006562C9">
        <w:rPr>
          <w:color w:val="000000" w:themeColor="text1"/>
        </w:rPr>
        <w:t xml:space="preserve">Consequently, the Transaction will not result in a reduction in the number of competitors or eliminate the possibility of a future new competitor in any Frontier service area. </w:t>
      </w:r>
      <w:r w:rsidRPr="00F55A79" w:rsidR="00CD746B">
        <w:rPr>
          <w:color w:val="000000" w:themeColor="text1"/>
        </w:rPr>
        <w:t xml:space="preserve"> </w:t>
      </w:r>
      <w:r w:rsidRPr="00F55A79" w:rsidR="006562C9">
        <w:rPr>
          <w:color w:val="000000" w:themeColor="text1"/>
        </w:rPr>
        <w:t xml:space="preserve">The Transaction thus does not pose </w:t>
      </w:r>
      <w:r w:rsidRPr="00F55A79" w:rsidR="006562C9">
        <w:t>any threat of competitive harm.</w:t>
      </w:r>
      <w:r w:rsidRPr="00F55A79" w:rsidR="00247DE2">
        <w:t>”</w:t>
      </w:r>
      <w:r w:rsidRPr="00F55A79" w:rsidR="00247DE2">
        <w:rPr>
          <w:vertAlign w:val="superscript"/>
        </w:rPr>
        <w:footnoteReference w:id="100"/>
      </w:r>
    </w:p>
    <w:p w:rsidRPr="00F55A79" w:rsidR="009B33FA" w:rsidP="0052765F" w:rsidRDefault="009B33FA" w14:paraId="60F11407" w14:textId="4D559E24">
      <w:pPr>
        <w:pStyle w:val="Heading3"/>
        <w:rPr>
          <w:color w:val="000000" w:themeColor="text1"/>
        </w:rPr>
      </w:pPr>
      <w:bookmarkStart w:name="_Toc216163154" w:id="68"/>
      <w:r w:rsidRPr="00F55A79">
        <w:rPr>
          <w:color w:val="000000" w:themeColor="text1"/>
        </w:rPr>
        <w:t>Party Positions</w:t>
      </w:r>
      <w:bookmarkEnd w:id="68"/>
    </w:p>
    <w:p w:rsidRPr="00F55A79" w:rsidR="009B33FA" w:rsidP="0052765F" w:rsidRDefault="009B33FA" w14:paraId="46B1672C" w14:textId="5E7CD6B5">
      <w:pPr>
        <w:pStyle w:val="Heading4"/>
        <w:rPr>
          <w:color w:val="000000" w:themeColor="text1"/>
        </w:rPr>
      </w:pPr>
      <w:bookmarkStart w:name="_Toc216163155" w:id="69"/>
      <w:r w:rsidRPr="00F55A79">
        <w:rPr>
          <w:color w:val="000000" w:themeColor="text1"/>
        </w:rPr>
        <w:t>CETF</w:t>
      </w:r>
      <w:bookmarkEnd w:id="69"/>
    </w:p>
    <w:p w:rsidRPr="00F55A79" w:rsidR="009B33FA" w:rsidP="0052765F" w:rsidRDefault="00144CB8" w14:paraId="6BB2531D" w14:textId="01CFBEC3">
      <w:pPr>
        <w:pStyle w:val="Standard"/>
        <w:rPr>
          <w:color w:val="000000" w:themeColor="text1"/>
        </w:rPr>
      </w:pPr>
      <w:r w:rsidRPr="00F55A79">
        <w:rPr>
          <w:color w:val="000000" w:themeColor="text1"/>
        </w:rPr>
        <w:t xml:space="preserve">CETF did not provided testimony </w:t>
      </w:r>
      <w:r w:rsidRPr="00F55A79" w:rsidR="00DC69FC">
        <w:rPr>
          <w:color w:val="000000" w:themeColor="text1"/>
        </w:rPr>
        <w:t>regarding</w:t>
      </w:r>
      <w:r w:rsidRPr="00F55A79">
        <w:rPr>
          <w:color w:val="000000" w:themeColor="text1"/>
        </w:rPr>
        <w:t xml:space="preserve"> competition, but noted positive impacts of Verizon having an owned landline network in the </w:t>
      </w:r>
      <w:r w:rsidRPr="00F55A79" w:rsidR="00D92C93">
        <w:rPr>
          <w:color w:val="000000" w:themeColor="text1"/>
        </w:rPr>
        <w:t>s</w:t>
      </w:r>
      <w:r w:rsidRPr="00F55A79">
        <w:rPr>
          <w:color w:val="000000" w:themeColor="text1"/>
        </w:rPr>
        <w:t xml:space="preserve">tate to </w:t>
      </w:r>
      <w:r w:rsidRPr="00F55A79">
        <w:t xml:space="preserve">offload its California wireless traffic to connect to the global </w:t>
      </w:r>
      <w:r w:rsidRPr="00F55A79" w:rsidR="00D92C93">
        <w:t>i</w:t>
      </w:r>
      <w:r w:rsidRPr="00F55A79">
        <w:t>nternet and the public switched telephone network.</w:t>
      </w:r>
      <w:r w:rsidRPr="00F55A79" w:rsidR="00992FA9">
        <w:rPr>
          <w:rStyle w:val="FootnoteReference"/>
          <w:color w:val="000000" w:themeColor="text1"/>
        </w:rPr>
        <w:footnoteReference w:id="101"/>
      </w:r>
      <w:r w:rsidRPr="00F55A79" w:rsidR="00992FA9">
        <w:rPr>
          <w:color w:val="000000" w:themeColor="text1"/>
        </w:rPr>
        <w:t xml:space="preserve"> </w:t>
      </w:r>
      <w:r w:rsidRPr="00F55A79">
        <w:rPr>
          <w:color w:val="000000" w:themeColor="text1"/>
        </w:rPr>
        <w:t xml:space="preserve"> </w:t>
      </w:r>
      <w:r w:rsidRPr="00F55A79" w:rsidR="00D92C93">
        <w:rPr>
          <w:color w:val="000000" w:themeColor="text1"/>
        </w:rPr>
        <w:t>CETF also noted that</w:t>
      </w:r>
      <w:r w:rsidRPr="00F55A79">
        <w:rPr>
          <w:color w:val="000000" w:themeColor="text1"/>
        </w:rPr>
        <w:t xml:space="preserve">, given Frontier’s ailing financial situation, there are important benefits of Verizon purchasing the Frontier network </w:t>
      </w:r>
      <w:r w:rsidRPr="00F55A79">
        <w:t xml:space="preserve">to provide financial stability to </w:t>
      </w:r>
      <w:r w:rsidRPr="00F55A79">
        <w:rPr>
          <w:color w:val="000000" w:themeColor="text1"/>
        </w:rPr>
        <w:t xml:space="preserve">the second largest incumbent landline telephone system in the </w:t>
      </w:r>
      <w:r w:rsidRPr="00F55A79" w:rsidR="00D92C93">
        <w:rPr>
          <w:color w:val="000000" w:themeColor="text1"/>
        </w:rPr>
        <w:t>s</w:t>
      </w:r>
      <w:r w:rsidRPr="00F55A79">
        <w:rPr>
          <w:color w:val="000000" w:themeColor="text1"/>
        </w:rPr>
        <w:t>tate.</w:t>
      </w:r>
      <w:r w:rsidRPr="00F55A79" w:rsidR="00D92C93">
        <w:rPr>
          <w:rStyle w:val="FootnoteReference"/>
          <w:color w:val="000000" w:themeColor="text1"/>
        </w:rPr>
        <w:footnoteReference w:id="102"/>
      </w:r>
      <w:r w:rsidRPr="00F55A79" w:rsidR="00D92C93">
        <w:rPr>
          <w:color w:val="000000" w:themeColor="text1"/>
        </w:rPr>
        <w:t xml:space="preserve"> </w:t>
      </w:r>
      <w:r w:rsidRPr="00F55A79">
        <w:rPr>
          <w:color w:val="000000" w:themeColor="text1"/>
        </w:rPr>
        <w:t xml:space="preserve"> </w:t>
      </w:r>
      <w:r w:rsidRPr="00F55A79" w:rsidR="00E94483">
        <w:rPr>
          <w:color w:val="000000" w:themeColor="text1"/>
        </w:rPr>
        <w:t>CETF stated that, g</w:t>
      </w:r>
      <w:r w:rsidRPr="00F55A79">
        <w:rPr>
          <w:color w:val="000000" w:themeColor="text1"/>
        </w:rPr>
        <w:t xml:space="preserve">iven the reliance on the Frontier landline network by its customers, it is important to ensure that this landline network remains </w:t>
      </w:r>
      <w:r w:rsidRPr="00F55A79">
        <w:t>stable and in reliable working condition.</w:t>
      </w:r>
      <w:r w:rsidRPr="00F55A79" w:rsidR="00E94483">
        <w:rPr>
          <w:rStyle w:val="FootnoteReference"/>
          <w:color w:val="000000" w:themeColor="text1"/>
        </w:rPr>
        <w:footnoteReference w:id="103"/>
      </w:r>
    </w:p>
    <w:p w:rsidRPr="00F55A79" w:rsidR="00DB52BC" w:rsidP="0052765F" w:rsidRDefault="00DB52BC" w14:paraId="16837361" w14:textId="708558ED">
      <w:pPr>
        <w:pStyle w:val="Heading4"/>
        <w:rPr>
          <w:color w:val="000000" w:themeColor="text1"/>
        </w:rPr>
      </w:pPr>
      <w:bookmarkStart w:name="_Toc216163156" w:id="70"/>
      <w:r w:rsidRPr="00F55A79">
        <w:rPr>
          <w:color w:val="000000" w:themeColor="text1"/>
        </w:rPr>
        <w:t>Cfo</w:t>
      </w:r>
      <w:r w:rsidRPr="00F55A79" w:rsidR="0026788A">
        <w:rPr>
          <w:color w:val="000000" w:themeColor="text1"/>
        </w:rPr>
        <w:t>r</w:t>
      </w:r>
      <w:r w:rsidRPr="00F55A79">
        <w:rPr>
          <w:color w:val="000000" w:themeColor="text1"/>
        </w:rPr>
        <w:t>AT</w:t>
      </w:r>
      <w:bookmarkEnd w:id="70"/>
    </w:p>
    <w:p w:rsidRPr="00F55A79" w:rsidR="002110BC" w:rsidP="0052765F" w:rsidRDefault="002110BC" w14:paraId="6236086C" w14:textId="7411D6D6">
      <w:pPr>
        <w:pStyle w:val="Standard"/>
        <w:rPr>
          <w:color w:val="000000" w:themeColor="text1"/>
        </w:rPr>
      </w:pPr>
      <w:r w:rsidRPr="00F55A79">
        <w:rPr>
          <w:color w:val="000000" w:themeColor="text1"/>
        </w:rPr>
        <w:t xml:space="preserve">CforAT stated that the Joint Applicants failed to prove that the proposed transaction will not </w:t>
      </w:r>
      <w:r w:rsidRPr="00F55A79">
        <w:t>adversely affect competition.</w:t>
      </w:r>
      <w:r w:rsidRPr="00F55A79">
        <w:rPr>
          <w:rStyle w:val="FootnoteReference"/>
          <w:color w:val="000000" w:themeColor="text1"/>
        </w:rPr>
        <w:footnoteReference w:id="104"/>
      </w:r>
      <w:r w:rsidRPr="00F55A79">
        <w:rPr>
          <w:color w:val="000000" w:themeColor="text1"/>
        </w:rPr>
        <w:t xml:space="preserve"> </w:t>
      </w:r>
      <w:r w:rsidRPr="00F55A79" w:rsidR="003C5D30">
        <w:rPr>
          <w:color w:val="000000" w:themeColor="text1"/>
        </w:rPr>
        <w:t xml:space="preserve"> CforAT stated that the </w:t>
      </w:r>
      <w:r w:rsidRPr="00F55A79">
        <w:rPr>
          <w:color w:val="000000" w:themeColor="text1"/>
        </w:rPr>
        <w:t xml:space="preserve">Joint </w:t>
      </w:r>
      <w:r w:rsidRPr="00F55A79">
        <w:rPr>
          <w:color w:val="000000" w:themeColor="text1"/>
        </w:rPr>
        <w:lastRenderedPageBreak/>
        <w:t>Applicants</w:t>
      </w:r>
      <w:r w:rsidRPr="00F55A79" w:rsidR="003C5D30">
        <w:rPr>
          <w:color w:val="000000" w:themeColor="text1"/>
        </w:rPr>
        <w:t xml:space="preserve">’ </w:t>
      </w:r>
      <w:r w:rsidRPr="00F55A79">
        <w:rPr>
          <w:color w:val="000000" w:themeColor="text1"/>
        </w:rPr>
        <w:t>“competition analysis” is deeply flawed</w:t>
      </w:r>
      <w:r w:rsidRPr="00F55A79" w:rsidR="00D34DCA">
        <w:rPr>
          <w:color w:val="000000" w:themeColor="text1"/>
        </w:rPr>
        <w:t xml:space="preserve"> and</w:t>
      </w:r>
      <w:r w:rsidRPr="00F55A79">
        <w:rPr>
          <w:color w:val="000000" w:themeColor="text1"/>
        </w:rPr>
        <w:t xml:space="preserve"> disregards long-standing practices used to evaluate the competitive effects of mergers and </w:t>
      </w:r>
      <w:r w:rsidRPr="00F55A79">
        <w:t>acquisitions</w:t>
      </w:r>
      <w:r w:rsidRPr="00F55A79" w:rsidR="00D34DCA">
        <w:t>.</w:t>
      </w:r>
      <w:r w:rsidRPr="00F55A79" w:rsidR="00D34DCA">
        <w:rPr>
          <w:rStyle w:val="FootnoteReference"/>
          <w:color w:val="000000" w:themeColor="text1"/>
        </w:rPr>
        <w:footnoteReference w:id="105"/>
      </w:r>
      <w:r w:rsidRPr="00F55A79" w:rsidR="00D34DCA">
        <w:rPr>
          <w:color w:val="000000" w:themeColor="text1"/>
        </w:rPr>
        <w:t xml:space="preserve"> </w:t>
      </w:r>
      <w:r w:rsidRPr="00F55A79" w:rsidR="00CD746B">
        <w:rPr>
          <w:color w:val="000000" w:themeColor="text1"/>
        </w:rPr>
        <w:t xml:space="preserve"> </w:t>
      </w:r>
      <w:r w:rsidRPr="00F55A79" w:rsidR="00D34DCA">
        <w:rPr>
          <w:color w:val="000000" w:themeColor="text1"/>
        </w:rPr>
        <w:t>CforAT said the analysis rested on “</w:t>
      </w:r>
      <w:r w:rsidRPr="00F55A79">
        <w:rPr>
          <w:color w:val="000000" w:themeColor="text1"/>
        </w:rPr>
        <w:t xml:space="preserve">superficial analysis and two particularly </w:t>
      </w:r>
      <w:r w:rsidRPr="00F55A79">
        <w:t>faulty assumptions.</w:t>
      </w:r>
      <w:r w:rsidRPr="00F55A79" w:rsidR="00D34DCA">
        <w:t>”</w:t>
      </w:r>
      <w:r w:rsidRPr="00F55A79" w:rsidR="00D34DCA">
        <w:rPr>
          <w:rStyle w:val="FootnoteReference"/>
          <w:color w:val="000000" w:themeColor="text1"/>
        </w:rPr>
        <w:footnoteReference w:id="106"/>
      </w:r>
    </w:p>
    <w:p w:rsidRPr="00F55A79" w:rsidR="00DB52BC" w:rsidP="0052765F" w:rsidRDefault="00DB52BC" w14:paraId="4BEE13D3" w14:textId="77777777">
      <w:pPr>
        <w:pStyle w:val="Heading4"/>
      </w:pPr>
      <w:bookmarkStart w:name="_Toc216163157" w:id="71"/>
      <w:r w:rsidRPr="00F55A79">
        <w:t>TURN</w:t>
      </w:r>
      <w:bookmarkEnd w:id="71"/>
    </w:p>
    <w:p w:rsidRPr="00F55A79" w:rsidR="00ED6D63" w:rsidP="0052765F" w:rsidRDefault="00A40B8D" w14:paraId="340F49E2" w14:textId="0CFE85A7">
      <w:pPr>
        <w:pStyle w:val="Standard"/>
        <w:rPr>
          <w:color w:val="000000" w:themeColor="text1"/>
        </w:rPr>
      </w:pPr>
      <w:r w:rsidRPr="00F55A79">
        <w:rPr>
          <w:color w:val="000000" w:themeColor="text1"/>
        </w:rPr>
        <w:t>TURN did not</w:t>
      </w:r>
      <w:r w:rsidRPr="00F55A79" w:rsidR="00FE08CE">
        <w:rPr>
          <w:color w:val="000000" w:themeColor="text1"/>
        </w:rPr>
        <w:t xml:space="preserve"> directly</w:t>
      </w:r>
      <w:r w:rsidRPr="00F55A79">
        <w:rPr>
          <w:color w:val="000000" w:themeColor="text1"/>
        </w:rPr>
        <w:t xml:space="preserve"> address whether the transaction would meet the requirements of Section </w:t>
      </w:r>
      <w:r w:rsidRPr="00F55A79" w:rsidR="00533D67">
        <w:rPr>
          <w:color w:val="000000" w:themeColor="text1"/>
        </w:rPr>
        <w:t>854(b)(3)</w:t>
      </w:r>
      <w:r w:rsidRPr="00F55A79" w:rsidR="00ED6D63">
        <w:rPr>
          <w:color w:val="000000" w:themeColor="text1"/>
        </w:rPr>
        <w:t>.</w:t>
      </w:r>
    </w:p>
    <w:p w:rsidRPr="00F55A79" w:rsidR="00ED6D63" w:rsidP="0052765F" w:rsidRDefault="00ED6D63" w14:paraId="63A644C9" w14:textId="028E9C50">
      <w:pPr>
        <w:pStyle w:val="Heading3"/>
      </w:pPr>
      <w:bookmarkStart w:name="_Toc216163158" w:id="72"/>
      <w:r w:rsidRPr="00F55A79">
        <w:t>Discussion</w:t>
      </w:r>
      <w:bookmarkEnd w:id="72"/>
    </w:p>
    <w:p w:rsidRPr="00F55A79" w:rsidR="00ED6D63" w:rsidP="00ED6D63" w:rsidRDefault="00E905F3" w14:paraId="1FA81422" w14:textId="1676AE14">
      <w:pPr>
        <w:pStyle w:val="Standard"/>
        <w:rPr>
          <w:color w:val="000000" w:themeColor="text1"/>
        </w:rPr>
      </w:pPr>
      <w:r w:rsidRPr="00F55A79">
        <w:rPr>
          <w:color w:val="000000" w:themeColor="text1"/>
        </w:rPr>
        <w:t xml:space="preserve">We </w:t>
      </w:r>
      <w:r w:rsidRPr="00F55A79" w:rsidR="00CD746B">
        <w:rPr>
          <w:color w:val="000000" w:themeColor="text1"/>
        </w:rPr>
        <w:t xml:space="preserve">have evaluated the potential impact of the proposed transaction on competition and </w:t>
      </w:r>
      <w:r w:rsidRPr="00F55A79" w:rsidR="00FE4719">
        <w:rPr>
          <w:color w:val="000000" w:themeColor="text1"/>
        </w:rPr>
        <w:t>are persuaded</w:t>
      </w:r>
      <w:r w:rsidRPr="00F55A79" w:rsidR="00B523F4">
        <w:rPr>
          <w:color w:val="000000" w:themeColor="text1"/>
        </w:rPr>
        <w:t xml:space="preserve"> by the Joint Applicants </w:t>
      </w:r>
      <w:r w:rsidRPr="00F55A79" w:rsidR="00FE4719">
        <w:rPr>
          <w:color w:val="000000" w:themeColor="text1"/>
        </w:rPr>
        <w:t xml:space="preserve">that </w:t>
      </w:r>
      <w:r w:rsidRPr="00F55A79" w:rsidR="002553F3">
        <w:rPr>
          <w:color w:val="000000" w:themeColor="text1"/>
        </w:rPr>
        <w:t xml:space="preserve">the proposed transaction will not result in a reduction in the number of competitors or eliminate the possibility of a future new competitor in any Frontier service area. </w:t>
      </w:r>
      <w:r w:rsidRPr="00F55A79" w:rsidR="000A5A90">
        <w:rPr>
          <w:color w:val="000000" w:themeColor="text1"/>
        </w:rPr>
        <w:t xml:space="preserve"> In addition, we are persuaded by CETF that, given Frontier’s financial situation, Verizon’s acquisition of the Frontier network </w:t>
      </w:r>
      <w:r w:rsidRPr="00F55A79" w:rsidR="000A5A90">
        <w:t xml:space="preserve">can provide needed financial stability to </w:t>
      </w:r>
      <w:r w:rsidRPr="00F55A79" w:rsidR="000A5A90">
        <w:rPr>
          <w:color w:val="000000" w:themeColor="text1"/>
        </w:rPr>
        <w:t>Frontier</w:t>
      </w:r>
      <w:r w:rsidRPr="00F55A79" w:rsidR="0045123B">
        <w:rPr>
          <w:color w:val="000000" w:themeColor="text1"/>
        </w:rPr>
        <w:t>’s</w:t>
      </w:r>
      <w:r w:rsidRPr="00F55A79" w:rsidR="000A5A90">
        <w:rPr>
          <w:color w:val="000000" w:themeColor="text1"/>
        </w:rPr>
        <w:t xml:space="preserve"> system.  </w:t>
      </w:r>
      <w:r w:rsidRPr="00F55A79" w:rsidR="00E2063E">
        <w:rPr>
          <w:color w:val="000000" w:themeColor="text1"/>
        </w:rPr>
        <w:t>A</w:t>
      </w:r>
      <w:r w:rsidRPr="00F55A79" w:rsidR="0068441F">
        <w:rPr>
          <w:color w:val="000000" w:themeColor="text1"/>
        </w:rPr>
        <w:t xml:space="preserve">ny harm to competition is mitigated by </w:t>
      </w:r>
      <w:r w:rsidRPr="00F55A79" w:rsidR="0045123B">
        <w:rPr>
          <w:color w:val="000000" w:themeColor="text1"/>
        </w:rPr>
        <w:t xml:space="preserve">the </w:t>
      </w:r>
      <w:r w:rsidRPr="00F55A79" w:rsidR="0068441F">
        <w:rPr>
          <w:color w:val="000000" w:themeColor="text1"/>
        </w:rPr>
        <w:t xml:space="preserve">terms of the settlement agreements and </w:t>
      </w:r>
      <w:r w:rsidRPr="00F55A79" w:rsidR="00924D43">
        <w:rPr>
          <w:color w:val="000000" w:themeColor="text1"/>
        </w:rPr>
        <w:t xml:space="preserve">Commission </w:t>
      </w:r>
      <w:r w:rsidRPr="00F55A79" w:rsidR="0068441F">
        <w:rPr>
          <w:color w:val="000000" w:themeColor="text1"/>
        </w:rPr>
        <w:t>conditions</w:t>
      </w:r>
      <w:r w:rsidRPr="00F55A79" w:rsidR="00FE4719">
        <w:rPr>
          <w:color w:val="000000" w:themeColor="text1"/>
        </w:rPr>
        <w:t xml:space="preserve">.  We therefore </w:t>
      </w:r>
      <w:r w:rsidRPr="00F55A79" w:rsidR="00CD746B">
        <w:rPr>
          <w:color w:val="000000" w:themeColor="text1"/>
        </w:rPr>
        <w:t xml:space="preserve">find that </w:t>
      </w:r>
      <w:r w:rsidRPr="00F55A79" w:rsidR="00924D43">
        <w:rPr>
          <w:color w:val="000000" w:themeColor="text1"/>
        </w:rPr>
        <w:t>the proposed transaction</w:t>
      </w:r>
      <w:r w:rsidRPr="00F55A79" w:rsidR="00F962D2">
        <w:rPr>
          <w:color w:val="000000" w:themeColor="text1"/>
        </w:rPr>
        <w:t xml:space="preserve"> meets the requirements o</w:t>
      </w:r>
      <w:r w:rsidRPr="00F55A79" w:rsidR="004F00F3">
        <w:rPr>
          <w:color w:val="000000" w:themeColor="text1"/>
        </w:rPr>
        <w:t>f</w:t>
      </w:r>
      <w:r w:rsidRPr="00F55A79" w:rsidR="00F962D2">
        <w:rPr>
          <w:color w:val="000000" w:themeColor="text1"/>
        </w:rPr>
        <w:t xml:space="preserve"> </w:t>
      </w:r>
      <w:r w:rsidRPr="00F55A79" w:rsidR="00672A69">
        <w:rPr>
          <w:color w:val="000000" w:themeColor="text1"/>
        </w:rPr>
        <w:t>Section 854(b)</w:t>
      </w:r>
      <w:r w:rsidRPr="00F55A79" w:rsidR="006F3BDF">
        <w:rPr>
          <w:color w:val="000000" w:themeColor="text1"/>
        </w:rPr>
        <w:t>.</w:t>
      </w:r>
    </w:p>
    <w:p w:rsidRPr="00F55A79" w:rsidR="002A37A7" w:rsidP="002A37A7" w:rsidRDefault="00BA6F4D" w14:paraId="3F902279" w14:textId="2A04CA9C">
      <w:pPr>
        <w:pStyle w:val="Heading1"/>
        <w:rPr>
          <w:color w:val="000000" w:themeColor="text1"/>
        </w:rPr>
      </w:pPr>
      <w:bookmarkStart w:name="_Toc216163159" w:id="73"/>
      <w:r w:rsidRPr="00F55A79">
        <w:rPr>
          <w:color w:val="000000" w:themeColor="text1"/>
        </w:rPr>
        <w:t xml:space="preserve">Issue </w:t>
      </w:r>
      <w:r w:rsidRPr="00F55A79" w:rsidR="00E04826">
        <w:rPr>
          <w:color w:val="000000" w:themeColor="text1"/>
        </w:rPr>
        <w:t>3</w:t>
      </w:r>
      <w:r w:rsidRPr="00F55A79">
        <w:rPr>
          <w:color w:val="000000" w:themeColor="text1"/>
        </w:rPr>
        <w:t xml:space="preserve">: </w:t>
      </w:r>
      <w:r w:rsidRPr="00F55A79" w:rsidR="002A37A7">
        <w:rPr>
          <w:color w:val="000000" w:themeColor="text1"/>
        </w:rPr>
        <w:t>Section 854(c</w:t>
      </w:r>
      <w:r w:rsidRPr="00F55A79" w:rsidR="001776FC">
        <w:rPr>
          <w:color w:val="000000" w:themeColor="text1"/>
        </w:rPr>
        <w:t>)</w:t>
      </w:r>
      <w:bookmarkEnd w:id="73"/>
      <w:r w:rsidRPr="00F55A79" w:rsidR="001776FC">
        <w:rPr>
          <w:color w:val="000000" w:themeColor="text1"/>
        </w:rPr>
        <w:t xml:space="preserve"> </w:t>
      </w:r>
    </w:p>
    <w:p w:rsidRPr="00F55A79" w:rsidR="00E171E9" w:rsidP="00DD11D7" w:rsidRDefault="00E171E9" w14:paraId="420932BB" w14:textId="56789120">
      <w:pPr>
        <w:pStyle w:val="Standard"/>
        <w:rPr>
          <w:color w:val="000000" w:themeColor="text1"/>
        </w:rPr>
      </w:pPr>
      <w:r w:rsidRPr="00F55A79">
        <w:rPr>
          <w:color w:val="000000" w:themeColor="text1"/>
        </w:rPr>
        <w:t>Section 854(</w:t>
      </w:r>
      <w:r w:rsidRPr="00F55A79" w:rsidR="00915C00">
        <w:rPr>
          <w:color w:val="000000" w:themeColor="text1"/>
        </w:rPr>
        <w:t>c</w:t>
      </w:r>
      <w:r w:rsidRPr="00F55A79">
        <w:rPr>
          <w:color w:val="000000" w:themeColor="text1"/>
        </w:rPr>
        <w:t xml:space="preserve">) states that: </w:t>
      </w:r>
    </w:p>
    <w:p w:rsidRPr="00F55A79" w:rsidR="00E171E9" w:rsidP="00E171E9" w:rsidRDefault="00E171E9" w14:paraId="519C4F1D" w14:textId="218949CD">
      <w:pPr>
        <w:pStyle w:val="BlockQuote"/>
        <w:rPr>
          <w:color w:val="000000" w:themeColor="text1"/>
        </w:rPr>
      </w:pPr>
      <w:r w:rsidRPr="00F55A79">
        <w:rPr>
          <w:color w:val="000000" w:themeColor="text1"/>
        </w:rPr>
        <w:t>Before authorizing the merger, acquisition, or control of any electrical, gas, or telephone corporation organized and doing business in this state, if any entity that is a party to the proposed transaction has gross annual California revenues exceeding $500</w:t>
      </w:r>
      <w:r w:rsidRPr="00F55A79" w:rsidR="00BE2457">
        <w:rPr>
          <w:color w:val="000000" w:themeColor="text1"/>
        </w:rPr>
        <w:t xml:space="preserve"> million</w:t>
      </w:r>
      <w:r w:rsidRPr="00F55A79">
        <w:rPr>
          <w:color w:val="000000" w:themeColor="text1"/>
        </w:rPr>
        <w:t>, the commission shall consider each of the criteria listed in paragraphs (1) to (8), inclusive, and find, on balance, that the merger, acquisition, or control proposal is in the public interest.</w:t>
      </w:r>
    </w:p>
    <w:p w:rsidRPr="00F55A79" w:rsidR="00E171E9" w:rsidP="00A70678" w:rsidRDefault="00E171E9" w14:paraId="6AC78F0B" w14:textId="3EA278EC">
      <w:pPr>
        <w:pStyle w:val="ListAlpha"/>
        <w:ind w:right="1440"/>
      </w:pPr>
      <w:r w:rsidRPr="00F55A79">
        <w:lastRenderedPageBreak/>
        <w:t>Maintain or improve the financial condition of the resulting public utility doing business in the state.</w:t>
      </w:r>
    </w:p>
    <w:p w:rsidRPr="00F55A79" w:rsidR="00E171E9" w:rsidP="00A70678" w:rsidRDefault="00E171E9" w14:paraId="744239D4" w14:textId="12579EEF">
      <w:pPr>
        <w:pStyle w:val="ListAlpha"/>
        <w:ind w:right="1440"/>
      </w:pPr>
      <w:r w:rsidRPr="00F55A79">
        <w:t>Maintain or improve the quality of service to public utility ratepayers in the state.</w:t>
      </w:r>
    </w:p>
    <w:p w:rsidRPr="00F55A79" w:rsidR="00E171E9" w:rsidP="00A70678" w:rsidRDefault="00E171E9" w14:paraId="51C1B2A4" w14:textId="0474E6B6">
      <w:pPr>
        <w:pStyle w:val="ListAlpha"/>
        <w:ind w:right="1440"/>
      </w:pPr>
      <w:r w:rsidRPr="00F55A79">
        <w:t>Maintain or improve the quality of management of the resulting public utility doing business in the state.</w:t>
      </w:r>
    </w:p>
    <w:p w:rsidRPr="00F55A79" w:rsidR="00E171E9" w:rsidP="00A70678" w:rsidRDefault="00E171E9" w14:paraId="05AFD20E" w14:textId="29C95F06">
      <w:pPr>
        <w:pStyle w:val="ListAlpha"/>
        <w:ind w:right="1440"/>
      </w:pPr>
      <w:r w:rsidRPr="00F55A79">
        <w:t xml:space="preserve"> Be fair and reasonable to affected public utility employees, including both union and nonunion employees.</w:t>
      </w:r>
    </w:p>
    <w:p w:rsidRPr="00F55A79" w:rsidR="00E171E9" w:rsidP="00A70678" w:rsidRDefault="00E171E9" w14:paraId="1561BE2B" w14:textId="3BA29E36">
      <w:pPr>
        <w:pStyle w:val="ListAlpha"/>
        <w:ind w:right="1440"/>
      </w:pPr>
      <w:r w:rsidRPr="00F55A79">
        <w:t>Be fair and reasonable to the majority of all affected public utility shareholders.</w:t>
      </w:r>
    </w:p>
    <w:p w:rsidRPr="00F55A79" w:rsidR="00E171E9" w:rsidP="00A70678" w:rsidRDefault="00E171E9" w14:paraId="7E6A4589" w14:textId="11E8ADFD">
      <w:pPr>
        <w:pStyle w:val="ListAlpha"/>
        <w:ind w:right="1440"/>
      </w:pPr>
      <w:r w:rsidRPr="00F55A79">
        <w:t>Be beneficial on an overall basis to state and local economies and to the communities in the area served by the resulting public utility.</w:t>
      </w:r>
    </w:p>
    <w:p w:rsidRPr="00F55A79" w:rsidR="00E171E9" w:rsidP="00A70678" w:rsidRDefault="00E171E9" w14:paraId="1EEE5B1C" w14:textId="3D5FBE06">
      <w:pPr>
        <w:pStyle w:val="ListAlpha"/>
        <w:ind w:right="1440"/>
      </w:pPr>
      <w:r w:rsidRPr="00F55A79">
        <w:t>Preserve the jurisdiction of the commission and the capacity of the commission to effectively regulate and audit public utility operations in the state.</w:t>
      </w:r>
    </w:p>
    <w:p w:rsidRPr="00F55A79" w:rsidR="00E171E9" w:rsidP="00A70678" w:rsidRDefault="00E171E9" w14:paraId="799095FF" w14:textId="1532582C">
      <w:pPr>
        <w:pStyle w:val="ListAlpha"/>
        <w:ind w:right="1440"/>
      </w:pPr>
      <w:r w:rsidRPr="00F55A79">
        <w:t>Provide mitigation measures to prevent significant adverse consequences that may result.</w:t>
      </w:r>
    </w:p>
    <w:p w:rsidRPr="00F55A79" w:rsidR="00DD11D7" w:rsidP="00DD11D7" w:rsidRDefault="007351C7" w14:paraId="5E9C0219" w14:textId="57F5AA21">
      <w:pPr>
        <w:pStyle w:val="Standard"/>
        <w:rPr>
          <w:color w:val="000000" w:themeColor="text1"/>
        </w:rPr>
      </w:pPr>
      <w:r w:rsidRPr="00F55A79">
        <w:rPr>
          <w:color w:val="000000" w:themeColor="text1"/>
        </w:rPr>
        <w:t xml:space="preserve">The following </w:t>
      </w:r>
      <w:r w:rsidRPr="00F55A79" w:rsidR="00377B0A">
        <w:rPr>
          <w:color w:val="000000" w:themeColor="text1"/>
        </w:rPr>
        <w:t>sub-sections examine each of these criteria.</w:t>
      </w:r>
      <w:r w:rsidRPr="00F55A79" w:rsidR="004F00F3">
        <w:rPr>
          <w:color w:val="000000" w:themeColor="text1"/>
        </w:rPr>
        <w:t xml:space="preserve"> </w:t>
      </w:r>
      <w:r w:rsidRPr="00F55A79" w:rsidR="00806EF2">
        <w:rPr>
          <w:color w:val="000000" w:themeColor="text1"/>
        </w:rPr>
        <w:t xml:space="preserve"> </w:t>
      </w:r>
      <w:r w:rsidRPr="00F55A79" w:rsidR="00B30FA7">
        <w:rPr>
          <w:color w:val="000000" w:themeColor="text1"/>
        </w:rPr>
        <w:t>On balance, we</w:t>
      </w:r>
      <w:r w:rsidRPr="00F55A79" w:rsidR="00806EF2">
        <w:rPr>
          <w:color w:val="000000" w:themeColor="text1"/>
        </w:rPr>
        <w:t xml:space="preserve"> find that </w:t>
      </w:r>
      <w:r w:rsidRPr="00F55A79" w:rsidR="00054AFC">
        <w:rPr>
          <w:color w:val="000000" w:themeColor="text1"/>
        </w:rPr>
        <w:t>the proposed transaction is in the public interest</w:t>
      </w:r>
      <w:r w:rsidRPr="00F55A79" w:rsidR="00FA3D6D">
        <w:rPr>
          <w:color w:val="000000" w:themeColor="text1"/>
        </w:rPr>
        <w:t xml:space="preserve">, given commitments made in settlement agreements and </w:t>
      </w:r>
      <w:r w:rsidRPr="00F55A79" w:rsidR="00DE0D0D">
        <w:rPr>
          <w:color w:val="000000" w:themeColor="text1"/>
        </w:rPr>
        <w:t>necessary additional conditions identified in this decision</w:t>
      </w:r>
      <w:r w:rsidRPr="00F55A79" w:rsidR="00806EF2">
        <w:rPr>
          <w:color w:val="000000" w:themeColor="text1"/>
        </w:rPr>
        <w:t>.</w:t>
      </w:r>
    </w:p>
    <w:p w:rsidRPr="00F55A79" w:rsidR="0027056B" w:rsidP="00A70678" w:rsidRDefault="0027056B" w14:paraId="71A07134" w14:textId="423985CD">
      <w:pPr>
        <w:pStyle w:val="Heading2"/>
        <w:rPr>
          <w:color w:val="000000" w:themeColor="text1"/>
        </w:rPr>
      </w:pPr>
      <w:bookmarkStart w:name="_Toc216163160" w:id="74"/>
      <w:r w:rsidRPr="00F55A79">
        <w:rPr>
          <w:color w:val="000000" w:themeColor="text1"/>
        </w:rPr>
        <w:t xml:space="preserve">Financial </w:t>
      </w:r>
      <w:r w:rsidRPr="00F55A79" w:rsidR="006F113A">
        <w:rPr>
          <w:color w:val="000000" w:themeColor="text1"/>
        </w:rPr>
        <w:t>C</w:t>
      </w:r>
      <w:r w:rsidRPr="00F55A79">
        <w:rPr>
          <w:color w:val="000000" w:themeColor="text1"/>
        </w:rPr>
        <w:t xml:space="preserve">ondition of </w:t>
      </w:r>
      <w:r w:rsidRPr="00F55A79" w:rsidR="006F113A">
        <w:rPr>
          <w:color w:val="000000" w:themeColor="text1"/>
        </w:rPr>
        <w:t>R</w:t>
      </w:r>
      <w:r w:rsidRPr="00F55A79">
        <w:rPr>
          <w:color w:val="000000" w:themeColor="text1"/>
        </w:rPr>
        <w:t xml:space="preserve">esulting </w:t>
      </w:r>
      <w:r w:rsidRPr="00F55A79" w:rsidR="006F113A">
        <w:rPr>
          <w:color w:val="000000" w:themeColor="text1"/>
        </w:rPr>
        <w:t>U</w:t>
      </w:r>
      <w:r w:rsidRPr="00F55A79">
        <w:rPr>
          <w:color w:val="000000" w:themeColor="text1"/>
        </w:rPr>
        <w:t>tility</w:t>
      </w:r>
      <w:bookmarkEnd w:id="74"/>
      <w:r w:rsidRPr="00F55A79">
        <w:rPr>
          <w:color w:val="000000" w:themeColor="text1"/>
        </w:rPr>
        <w:t xml:space="preserve"> </w:t>
      </w:r>
    </w:p>
    <w:p w:rsidRPr="00F55A79" w:rsidR="005C21B3" w:rsidP="00A70678" w:rsidRDefault="007C5FD3" w14:paraId="47B46624" w14:textId="35335809">
      <w:pPr>
        <w:pStyle w:val="Heading3"/>
        <w:rPr>
          <w:color w:val="000000" w:themeColor="text1"/>
        </w:rPr>
      </w:pPr>
      <w:bookmarkStart w:name="_Toc216163161" w:id="75"/>
      <w:r w:rsidRPr="00F55A79">
        <w:rPr>
          <w:color w:val="000000" w:themeColor="text1"/>
        </w:rPr>
        <w:t>Background</w:t>
      </w:r>
      <w:bookmarkEnd w:id="75"/>
    </w:p>
    <w:p w:rsidRPr="00F55A79" w:rsidR="00E326FC" w:rsidP="00412A76" w:rsidRDefault="00E326FC" w14:paraId="77944FC6" w14:textId="38A55C83">
      <w:pPr>
        <w:pStyle w:val="Standard"/>
        <w:rPr>
          <w:color w:val="000000" w:themeColor="text1"/>
        </w:rPr>
      </w:pPr>
      <w:r w:rsidRPr="00F55A79">
        <w:rPr>
          <w:color w:val="000000" w:themeColor="text1"/>
        </w:rPr>
        <w:t xml:space="preserve">Pursuant to </w:t>
      </w:r>
      <w:r w:rsidRPr="00F55A79" w:rsidR="00412A76">
        <w:rPr>
          <w:color w:val="000000" w:themeColor="text1"/>
        </w:rPr>
        <w:t>Section 854(c)(1), w</w:t>
      </w:r>
      <w:r w:rsidRPr="00F55A79">
        <w:rPr>
          <w:color w:val="000000" w:themeColor="text1"/>
        </w:rPr>
        <w:t>e considered whether the proposed transaction would maintain or improve the financial condition of the resulting public utility doing business in the state.</w:t>
      </w:r>
      <w:r w:rsidRPr="00F55A79" w:rsidR="00412A76">
        <w:rPr>
          <w:color w:val="000000" w:themeColor="text1"/>
        </w:rPr>
        <w:t xml:space="preserve"> We find that </w:t>
      </w:r>
      <w:r w:rsidRPr="00F55A79" w:rsidR="00F7051C">
        <w:rPr>
          <w:color w:val="000000" w:themeColor="text1"/>
        </w:rPr>
        <w:t xml:space="preserve">under certain conditions, detailed </w:t>
      </w:r>
      <w:r w:rsidRPr="00F55A79" w:rsidR="00842C14">
        <w:rPr>
          <w:color w:val="000000" w:themeColor="text1"/>
        </w:rPr>
        <w:t xml:space="preserve">in </w:t>
      </w:r>
      <w:r w:rsidRPr="00F55A79" w:rsidR="00D365EA">
        <w:rPr>
          <w:color w:val="000000" w:themeColor="text1"/>
        </w:rPr>
        <w:t xml:space="preserve">Ordering Paragraphs </w:t>
      </w:r>
      <w:r w:rsidRPr="00F55A79" w:rsidR="00B94830">
        <w:rPr>
          <w:color w:val="000000" w:themeColor="text1"/>
        </w:rPr>
        <w:t>2</w:t>
      </w:r>
      <w:r w:rsidRPr="00F55A79" w:rsidR="00D365EA">
        <w:rPr>
          <w:color w:val="000000" w:themeColor="text1"/>
        </w:rPr>
        <w:t xml:space="preserve"> to </w:t>
      </w:r>
      <w:r w:rsidRPr="00F55A79" w:rsidR="00B94830">
        <w:rPr>
          <w:color w:val="000000" w:themeColor="text1"/>
        </w:rPr>
        <w:t>3</w:t>
      </w:r>
      <w:bookmarkStart w:name="_Hlk202346360" w:id="76"/>
      <w:r w:rsidRPr="00F55A79" w:rsidR="00D65DD0">
        <w:rPr>
          <w:color w:val="000000" w:themeColor="text1"/>
        </w:rPr>
        <w:t>1</w:t>
      </w:r>
      <w:r w:rsidRPr="00F55A79" w:rsidR="003C6E84">
        <w:rPr>
          <w:color w:val="000000" w:themeColor="text1"/>
        </w:rPr>
        <w:t>,</w:t>
      </w:r>
      <w:r w:rsidRPr="00F55A79" w:rsidR="00F7051C">
        <w:rPr>
          <w:color w:val="000000" w:themeColor="text1"/>
        </w:rPr>
        <w:t xml:space="preserve"> the transaction meets this requirement</w:t>
      </w:r>
      <w:r w:rsidRPr="00F55A79" w:rsidR="00412A76">
        <w:rPr>
          <w:color w:val="000000" w:themeColor="text1"/>
        </w:rPr>
        <w:t>.</w:t>
      </w:r>
    </w:p>
    <w:p w:rsidRPr="00F55A79" w:rsidR="00696315" w:rsidP="00FB7D25" w:rsidRDefault="00C53E61" w14:paraId="592819B1" w14:textId="7456F9A7">
      <w:pPr>
        <w:pStyle w:val="Heading3"/>
      </w:pPr>
      <w:bookmarkStart w:name="_Toc216163162" w:id="77"/>
      <w:bookmarkEnd w:id="76"/>
      <w:r w:rsidRPr="00F55A79">
        <w:lastRenderedPageBreak/>
        <w:t>Joint Applicants’ Position</w:t>
      </w:r>
      <w:bookmarkEnd w:id="77"/>
    </w:p>
    <w:p w:rsidRPr="00F55A79" w:rsidR="00AE0F0D" w:rsidP="00AE0F0D" w:rsidRDefault="00C43FC3" w14:paraId="69C97E4F" w14:textId="0094374B">
      <w:pPr>
        <w:pStyle w:val="Standard"/>
        <w:rPr>
          <w:color w:val="000000" w:themeColor="text1"/>
        </w:rPr>
      </w:pPr>
      <w:r w:rsidRPr="00F55A79">
        <w:rPr>
          <w:color w:val="000000" w:themeColor="text1"/>
        </w:rPr>
        <w:t xml:space="preserve">Verizon stated in its opening testimony that the transaction would </w:t>
      </w:r>
      <w:r w:rsidRPr="00F55A79">
        <w:t>strengthen the financial condition of Frontier’s California operating subsidiaries.</w:t>
      </w:r>
      <w:r w:rsidRPr="00F55A79">
        <w:rPr>
          <w:rStyle w:val="FootnoteReference"/>
          <w:color w:val="000000" w:themeColor="text1"/>
        </w:rPr>
        <w:footnoteReference w:id="107"/>
      </w:r>
    </w:p>
    <w:p w:rsidRPr="00F55A79" w:rsidR="0070638C" w:rsidP="00C7663A" w:rsidRDefault="0070638C" w14:paraId="3BFCD81C" w14:textId="46FB872D">
      <w:pPr>
        <w:pStyle w:val="Standard"/>
        <w:rPr>
          <w:color w:val="000000" w:themeColor="text1"/>
        </w:rPr>
      </w:pPr>
      <w:r w:rsidRPr="00F55A79">
        <w:rPr>
          <w:color w:val="000000" w:themeColor="text1"/>
        </w:rPr>
        <w:t xml:space="preserve">The Joint Applicants noted that “Frontier faces significant obstacles to its continued growth and long-term competitiveness.” </w:t>
      </w:r>
      <w:r w:rsidRPr="00F55A79" w:rsidR="00325FF0">
        <w:rPr>
          <w:color w:val="000000" w:themeColor="text1"/>
        </w:rPr>
        <w:t>According to Verizon, a</w:t>
      </w:r>
      <w:r w:rsidRPr="00F55A79" w:rsidR="00C7663A">
        <w:rPr>
          <w:color w:val="000000" w:themeColor="text1"/>
        </w:rPr>
        <w:t xml:space="preserve">fter </w:t>
      </w:r>
      <w:r w:rsidRPr="00F55A79" w:rsidR="00325FF0">
        <w:rPr>
          <w:color w:val="000000" w:themeColor="text1"/>
        </w:rPr>
        <w:t xml:space="preserve">Frontier </w:t>
      </w:r>
      <w:r w:rsidRPr="00F55A79" w:rsidR="00C7663A">
        <w:rPr>
          <w:color w:val="000000" w:themeColor="text1"/>
        </w:rPr>
        <w:t>emer</w:t>
      </w:r>
      <w:r w:rsidRPr="00F55A79" w:rsidR="00325FF0">
        <w:rPr>
          <w:color w:val="000000" w:themeColor="text1"/>
        </w:rPr>
        <w:t>ged</w:t>
      </w:r>
      <w:r w:rsidRPr="00F55A79" w:rsidR="00C7663A">
        <w:rPr>
          <w:color w:val="000000" w:themeColor="text1"/>
        </w:rPr>
        <w:t xml:space="preserve"> from its bankruptcy in 2021, Frontier shifted to a fiber</w:t>
      </w:r>
      <w:r w:rsidRPr="00F55A79" w:rsidR="00325FF0">
        <w:rPr>
          <w:color w:val="000000" w:themeColor="text1"/>
        </w:rPr>
        <w:t>-</w:t>
      </w:r>
      <w:r w:rsidRPr="00F55A79" w:rsidR="00C7663A">
        <w:rPr>
          <w:color w:val="000000" w:themeColor="text1"/>
        </w:rPr>
        <w:t>first strategy</w:t>
      </w:r>
      <w:r w:rsidRPr="00F55A79" w:rsidR="00AE0F0D">
        <w:rPr>
          <w:color w:val="000000" w:themeColor="text1"/>
        </w:rPr>
        <w:t xml:space="preserve"> </w:t>
      </w:r>
      <w:r w:rsidRPr="00F55A79" w:rsidR="00C7663A">
        <w:rPr>
          <w:color w:val="000000" w:themeColor="text1"/>
        </w:rPr>
        <w:t xml:space="preserve">and targeted 10 million </w:t>
      </w:r>
      <w:r w:rsidRPr="00F55A79" w:rsidR="00E96D48">
        <w:rPr>
          <w:color w:val="000000" w:themeColor="text1"/>
        </w:rPr>
        <w:t xml:space="preserve">or more </w:t>
      </w:r>
      <w:r w:rsidRPr="00F55A79" w:rsidR="00C7663A">
        <w:rPr>
          <w:color w:val="000000" w:themeColor="text1"/>
        </w:rPr>
        <w:t xml:space="preserve">locations nationwide with fiber by 2026. </w:t>
      </w:r>
      <w:r w:rsidRPr="00F55A79" w:rsidR="00325FF0">
        <w:rPr>
          <w:color w:val="000000" w:themeColor="text1"/>
        </w:rPr>
        <w:t>Although</w:t>
      </w:r>
      <w:r w:rsidRPr="00F55A79" w:rsidR="00C7663A">
        <w:rPr>
          <w:color w:val="000000" w:themeColor="text1"/>
        </w:rPr>
        <w:t xml:space="preserve"> Frontier </w:t>
      </w:r>
      <w:r w:rsidRPr="00F55A79" w:rsidR="00325FF0">
        <w:rPr>
          <w:color w:val="000000" w:themeColor="text1"/>
        </w:rPr>
        <w:t>was</w:t>
      </w:r>
      <w:r w:rsidRPr="00F55A79" w:rsidR="00C7663A">
        <w:rPr>
          <w:color w:val="000000" w:themeColor="text1"/>
        </w:rPr>
        <w:t xml:space="preserve"> on track to meet this goal</w:t>
      </w:r>
      <w:r w:rsidRPr="00F55A79" w:rsidR="00325FF0">
        <w:rPr>
          <w:color w:val="000000" w:themeColor="text1"/>
        </w:rPr>
        <w:t xml:space="preserve"> as of </w:t>
      </w:r>
      <w:r w:rsidRPr="00F55A79" w:rsidR="00DB6FA6">
        <w:rPr>
          <w:color w:val="000000" w:themeColor="text1"/>
        </w:rPr>
        <w:t>January 2025</w:t>
      </w:r>
      <w:r w:rsidRPr="00F55A79" w:rsidR="00C7663A">
        <w:rPr>
          <w:color w:val="000000" w:themeColor="text1"/>
        </w:rPr>
        <w:t xml:space="preserve">, it incurred a significant amount of debt as a result. </w:t>
      </w:r>
      <w:r w:rsidRPr="00F55A79" w:rsidR="00CE31F0">
        <w:rPr>
          <w:color w:val="000000" w:themeColor="text1"/>
        </w:rPr>
        <w:t xml:space="preserve"> </w:t>
      </w:r>
      <w:r w:rsidRPr="00F55A79" w:rsidR="00C7663A">
        <w:rPr>
          <w:color w:val="000000" w:themeColor="text1"/>
        </w:rPr>
        <w:t xml:space="preserve">These debt obligations may place a </w:t>
      </w:r>
      <w:r w:rsidRPr="00F55A79" w:rsidR="00C7663A">
        <w:t>significant strain on Frontier’s ability to make additional investments in its network going forward, including future investment in California.</w:t>
      </w:r>
      <w:r w:rsidRPr="00F55A79" w:rsidR="00C7663A">
        <w:rPr>
          <w:rStyle w:val="FootnoteReference"/>
          <w:color w:val="000000" w:themeColor="text1"/>
        </w:rPr>
        <w:footnoteReference w:id="108"/>
      </w:r>
      <w:r w:rsidRPr="00F55A79" w:rsidR="00C7663A">
        <w:rPr>
          <w:color w:val="000000" w:themeColor="text1"/>
        </w:rPr>
        <w:t xml:space="preserve"> </w:t>
      </w:r>
      <w:r w:rsidRPr="00F55A79">
        <w:rPr>
          <w:color w:val="000000" w:themeColor="text1"/>
        </w:rPr>
        <w:t xml:space="preserve">After a review of opportunities to navigate its future competitiveness, Frontier determined that the </w:t>
      </w:r>
      <w:r w:rsidRPr="00F55A79" w:rsidR="00DB6FA6">
        <w:rPr>
          <w:color w:val="000000" w:themeColor="text1"/>
        </w:rPr>
        <w:t xml:space="preserve">proposed </w:t>
      </w:r>
      <w:r w:rsidRPr="00F55A79" w:rsidR="00834206">
        <w:rPr>
          <w:color w:val="000000" w:themeColor="text1"/>
        </w:rPr>
        <w:t>t</w:t>
      </w:r>
      <w:r w:rsidRPr="00F55A79">
        <w:rPr>
          <w:color w:val="000000" w:themeColor="text1"/>
        </w:rPr>
        <w:t xml:space="preserve">ransaction would allow </w:t>
      </w:r>
      <w:r w:rsidRPr="00F55A79" w:rsidR="00834206">
        <w:rPr>
          <w:color w:val="000000" w:themeColor="text1"/>
        </w:rPr>
        <w:t>it to continue its</w:t>
      </w:r>
      <w:r w:rsidRPr="00F55A79">
        <w:rPr>
          <w:color w:val="000000" w:themeColor="text1"/>
        </w:rPr>
        <w:t xml:space="preserve"> fiber deployment strategy and </w:t>
      </w:r>
      <w:r w:rsidRPr="00F55A79" w:rsidR="005A66E9">
        <w:rPr>
          <w:color w:val="000000" w:themeColor="text1"/>
        </w:rPr>
        <w:t>“</w:t>
      </w:r>
      <w:r w:rsidRPr="00F55A79">
        <w:rPr>
          <w:color w:val="000000" w:themeColor="text1"/>
        </w:rPr>
        <w:t xml:space="preserve">will result in better service options for Frontier </w:t>
      </w:r>
      <w:r w:rsidRPr="00F55A79">
        <w:t>customers.</w:t>
      </w:r>
      <w:r w:rsidRPr="00F55A79" w:rsidR="005A66E9">
        <w:t>”</w:t>
      </w:r>
      <w:r w:rsidRPr="00F55A79" w:rsidR="005A66E9">
        <w:rPr>
          <w:rStyle w:val="FootnoteReference"/>
          <w:color w:val="000000" w:themeColor="text1"/>
        </w:rPr>
        <w:footnoteReference w:id="109"/>
      </w:r>
      <w:r w:rsidRPr="00F55A79">
        <w:rPr>
          <w:color w:val="000000" w:themeColor="text1"/>
        </w:rPr>
        <w:t xml:space="preserve"> </w:t>
      </w:r>
    </w:p>
    <w:p w:rsidRPr="00F55A79" w:rsidR="0070638C" w:rsidP="006B25B6" w:rsidRDefault="0070638C" w14:paraId="0BACFBDA" w14:textId="4516DA70">
      <w:pPr>
        <w:pStyle w:val="Standard"/>
        <w:rPr>
          <w:color w:val="000000" w:themeColor="text1"/>
        </w:rPr>
      </w:pPr>
      <w:r w:rsidRPr="00F55A79">
        <w:rPr>
          <w:color w:val="000000" w:themeColor="text1"/>
        </w:rPr>
        <w:t xml:space="preserve">Verizon </w:t>
      </w:r>
      <w:r w:rsidRPr="00F55A79" w:rsidR="006B25B6">
        <w:rPr>
          <w:color w:val="000000" w:themeColor="text1"/>
        </w:rPr>
        <w:t xml:space="preserve">stated that it </w:t>
      </w:r>
      <w:r w:rsidRPr="00F55A79">
        <w:rPr>
          <w:color w:val="000000" w:themeColor="text1"/>
        </w:rPr>
        <w:t xml:space="preserve">possesses the financial standing and expertise necessary to optimize the Frontier network. With a market capitalization of approximately $164 billion, revenues of </w:t>
      </w:r>
      <w:r w:rsidRPr="00F55A79" w:rsidR="006B25B6">
        <w:rPr>
          <w:color w:val="000000" w:themeColor="text1"/>
        </w:rPr>
        <w:t>a</w:t>
      </w:r>
      <w:r w:rsidRPr="00F55A79">
        <w:rPr>
          <w:color w:val="000000" w:themeColor="text1"/>
        </w:rPr>
        <w:t>pproximately $134 billion</w:t>
      </w:r>
      <w:r w:rsidRPr="00F55A79" w:rsidR="006B25B6">
        <w:rPr>
          <w:color w:val="000000" w:themeColor="text1"/>
        </w:rPr>
        <w:t>,</w:t>
      </w:r>
      <w:r w:rsidRPr="00F55A79">
        <w:rPr>
          <w:color w:val="000000" w:themeColor="text1"/>
        </w:rPr>
        <w:t xml:space="preserve"> and free cash flow of $18.7 billion in 2023, Verizon </w:t>
      </w:r>
      <w:r w:rsidRPr="00F55A79" w:rsidR="006B25B6">
        <w:rPr>
          <w:color w:val="000000" w:themeColor="text1"/>
        </w:rPr>
        <w:t xml:space="preserve">argued that it </w:t>
      </w:r>
      <w:r w:rsidRPr="00F55A79">
        <w:rPr>
          <w:color w:val="000000" w:themeColor="text1"/>
        </w:rPr>
        <w:t xml:space="preserve">has the financial </w:t>
      </w:r>
      <w:r w:rsidRPr="00F55A79">
        <w:t xml:space="preserve">qualifications to undertake the </w:t>
      </w:r>
      <w:r w:rsidRPr="00F55A79" w:rsidR="006B25B6">
        <w:t>t</w:t>
      </w:r>
      <w:r w:rsidRPr="00F55A79">
        <w:t xml:space="preserve">ransaction and operate the Frontier companies and assets. Verizon </w:t>
      </w:r>
      <w:r w:rsidRPr="00F55A79" w:rsidR="006B25B6">
        <w:t>stated that it “</w:t>
      </w:r>
      <w:r w:rsidRPr="00F55A79">
        <w:t xml:space="preserve">will build on Frontier’s post-bankruptcy efforts </w:t>
      </w:r>
      <w:r w:rsidRPr="00F55A79">
        <w:lastRenderedPageBreak/>
        <w:t>to deliver better service, increase value, and offer more choice to current Frontier customers.</w:t>
      </w:r>
      <w:r w:rsidRPr="00F55A79" w:rsidR="006B25B6">
        <w:t>”</w:t>
      </w:r>
      <w:r w:rsidRPr="00F55A79" w:rsidR="006B25B6">
        <w:rPr>
          <w:rStyle w:val="FootnoteReference"/>
          <w:color w:val="000000" w:themeColor="text1"/>
        </w:rPr>
        <w:footnoteReference w:id="110"/>
      </w:r>
    </w:p>
    <w:p w:rsidRPr="00F55A79" w:rsidR="00DF2FA8" w:rsidP="00096D54" w:rsidRDefault="00696315" w14:paraId="2C28E02C" w14:textId="07315A8F">
      <w:pPr>
        <w:pStyle w:val="Heading3"/>
      </w:pPr>
      <w:bookmarkStart w:name="_Toc216163163" w:id="78"/>
      <w:r w:rsidRPr="00F55A79">
        <w:t>Party Positions</w:t>
      </w:r>
      <w:bookmarkEnd w:id="78"/>
    </w:p>
    <w:p w:rsidRPr="00F55A79" w:rsidR="00EF1C68" w:rsidP="00096D54" w:rsidRDefault="00EF1C68" w14:paraId="22BAEDFF" w14:textId="32BB4B3E">
      <w:pPr>
        <w:pStyle w:val="Heading4"/>
      </w:pPr>
      <w:bookmarkStart w:name="_Toc216163164" w:id="79"/>
      <w:r w:rsidRPr="00F55A79">
        <w:t>CETF</w:t>
      </w:r>
      <w:bookmarkEnd w:id="79"/>
    </w:p>
    <w:p w:rsidRPr="00F55A79" w:rsidR="00E04133" w:rsidP="00E0052E" w:rsidRDefault="00E04133" w14:paraId="37E96215" w14:textId="08D32FE9">
      <w:pPr>
        <w:pStyle w:val="Standard"/>
        <w:rPr>
          <w:color w:val="000000" w:themeColor="text1"/>
        </w:rPr>
      </w:pPr>
      <w:r w:rsidRPr="00F55A79">
        <w:t xml:space="preserve">CETF recommended that the Commission find that the proposed transaction improves the financial condition of </w:t>
      </w:r>
      <w:r w:rsidRPr="00F55A79">
        <w:rPr>
          <w:color w:val="000000" w:themeColor="text1"/>
        </w:rPr>
        <w:t xml:space="preserve">Frontier.  </w:t>
      </w:r>
      <w:r w:rsidRPr="00F55A79" w:rsidR="006647A1">
        <w:rPr>
          <w:color w:val="000000" w:themeColor="text1"/>
        </w:rPr>
        <w:t xml:space="preserve">According to </w:t>
      </w:r>
      <w:r w:rsidRPr="00F55A79" w:rsidR="008957EF">
        <w:rPr>
          <w:color w:val="000000" w:themeColor="text1"/>
        </w:rPr>
        <w:t>CETF “</w:t>
      </w:r>
      <w:r w:rsidRPr="00F55A79" w:rsidR="00540BD2">
        <w:rPr>
          <w:color w:val="000000" w:themeColor="text1"/>
        </w:rPr>
        <w:t xml:space="preserve">There is no dispute over the fact that the proposed Verizon transaction will improve the current financial </w:t>
      </w:r>
      <w:r w:rsidRPr="00F55A79" w:rsidR="00540BD2">
        <w:t>condition of Frontier.</w:t>
      </w:r>
      <w:r w:rsidRPr="00F55A79" w:rsidR="008957EF">
        <w:t>”</w:t>
      </w:r>
      <w:r w:rsidRPr="00F55A79" w:rsidR="008957EF">
        <w:rPr>
          <w:rStyle w:val="FootnoteReference"/>
          <w:color w:val="000000" w:themeColor="text1"/>
        </w:rPr>
        <w:footnoteReference w:id="111"/>
      </w:r>
    </w:p>
    <w:p w:rsidRPr="00F55A79" w:rsidR="00540BD2" w:rsidP="00E0052E" w:rsidRDefault="008957EF" w14:paraId="09719D3C" w14:textId="5F0AAF06">
      <w:pPr>
        <w:pStyle w:val="Standard"/>
        <w:rPr>
          <w:color w:val="000000" w:themeColor="text1"/>
        </w:rPr>
      </w:pPr>
      <w:r w:rsidRPr="00F55A79">
        <w:rPr>
          <w:color w:val="000000" w:themeColor="text1"/>
        </w:rPr>
        <w:t xml:space="preserve">CETF cited </w:t>
      </w:r>
      <w:r w:rsidRPr="00F55A79" w:rsidR="00540BD2">
        <w:rPr>
          <w:color w:val="000000" w:themeColor="text1"/>
        </w:rPr>
        <w:t xml:space="preserve">Frontier </w:t>
      </w:r>
      <w:r w:rsidRPr="00F55A79">
        <w:rPr>
          <w:color w:val="000000" w:themeColor="text1"/>
        </w:rPr>
        <w:t>r</w:t>
      </w:r>
      <w:r w:rsidRPr="00F55A79" w:rsidR="00540BD2">
        <w:rPr>
          <w:color w:val="000000" w:themeColor="text1"/>
        </w:rPr>
        <w:t xml:space="preserve">ebuttal </w:t>
      </w:r>
      <w:r w:rsidRPr="00F55A79">
        <w:rPr>
          <w:color w:val="000000" w:themeColor="text1"/>
        </w:rPr>
        <w:t>t</w:t>
      </w:r>
      <w:r w:rsidRPr="00F55A79" w:rsidR="00540BD2">
        <w:rPr>
          <w:color w:val="000000" w:themeColor="text1"/>
        </w:rPr>
        <w:t>estimony</w:t>
      </w:r>
      <w:r w:rsidRPr="00F55A79">
        <w:rPr>
          <w:color w:val="000000" w:themeColor="text1"/>
        </w:rPr>
        <w:t xml:space="preserve"> that stated,</w:t>
      </w:r>
    </w:p>
    <w:p w:rsidRPr="00F55A79" w:rsidR="00DE7CC7" w:rsidP="00E0052E" w:rsidRDefault="00540BD2" w14:paraId="0FD1FBAC" w14:textId="4DA09011">
      <w:pPr>
        <w:pStyle w:val="BlockQuote"/>
        <w:rPr>
          <w:color w:val="000000" w:themeColor="text1"/>
        </w:rPr>
      </w:pPr>
      <w:r w:rsidRPr="00F55A79">
        <w:rPr>
          <w:color w:val="000000" w:themeColor="text1"/>
        </w:rPr>
        <w:t>Frontier is reaching the end of its capacity to continue aggressively investing in service quality improvements and fiber upgrades in its 25–state service territory, including</w:t>
      </w:r>
      <w:r w:rsidRPr="00F55A79" w:rsidR="008957EF">
        <w:rPr>
          <w:color w:val="000000" w:themeColor="text1"/>
        </w:rPr>
        <w:t xml:space="preserve"> </w:t>
      </w:r>
      <w:r w:rsidRPr="00F55A79">
        <w:rPr>
          <w:color w:val="000000" w:themeColor="text1"/>
        </w:rPr>
        <w:t>California. . . Frontier’s financial position will not support significant continued</w:t>
      </w:r>
      <w:r w:rsidRPr="00F55A79" w:rsidR="00DE7CC7">
        <w:rPr>
          <w:color w:val="000000" w:themeColor="text1"/>
        </w:rPr>
        <w:t xml:space="preserve"> investment beyond the amount necessary to complete Frontier’s nationwide goal of 10 million fiber passings by the end of 2026. Absent a further capital infusion that Verizon’s ownership can provide, the financial reality for Frontier is that it would have to move into a more conservative investment mode in which network upgrades would be minimal and based on Frontier’s ability to successfully increase cash flow through revenue growth from the fiber locations already passed. . . By contrast, if the Transaction is approved, Verizon has access to extensive additional capital, and it can position Frontier’s network for continued modernization and evolution. . . Verizon brings its</w:t>
      </w:r>
      <w:r w:rsidRPr="00F55A79" w:rsidR="00A90505">
        <w:rPr>
          <w:color w:val="000000" w:themeColor="text1"/>
        </w:rPr>
        <w:t xml:space="preserve"> </w:t>
      </w:r>
      <w:r w:rsidRPr="00F55A79" w:rsidR="00DE7CC7">
        <w:rPr>
          <w:color w:val="000000" w:themeColor="text1"/>
        </w:rPr>
        <w:t>access to the financial markets, economies of scale, diversified service platform,</w:t>
      </w:r>
      <w:r w:rsidRPr="00F55A79" w:rsidR="00A90505">
        <w:rPr>
          <w:color w:val="000000" w:themeColor="text1"/>
        </w:rPr>
        <w:t xml:space="preserve"> </w:t>
      </w:r>
      <w:r w:rsidRPr="00F55A79" w:rsidR="00DE7CC7">
        <w:rPr>
          <w:color w:val="000000" w:themeColor="text1"/>
        </w:rPr>
        <w:t>enhanced product and service portfolio, and extensive resources to bear in setting up</w:t>
      </w:r>
      <w:r w:rsidRPr="00F55A79" w:rsidR="00A90505">
        <w:rPr>
          <w:color w:val="000000" w:themeColor="text1"/>
        </w:rPr>
        <w:t xml:space="preserve"> </w:t>
      </w:r>
      <w:r w:rsidRPr="00F55A79" w:rsidR="00DE7CC7">
        <w:rPr>
          <w:color w:val="000000" w:themeColor="text1"/>
        </w:rPr>
        <w:t>Frontier and its customers for success going forward.</w:t>
      </w:r>
      <w:r w:rsidRPr="00F55A79" w:rsidR="00A90505">
        <w:rPr>
          <w:rStyle w:val="FootnoteReference"/>
          <w:color w:val="000000" w:themeColor="text1"/>
        </w:rPr>
        <w:footnoteReference w:id="112"/>
      </w:r>
    </w:p>
    <w:p w:rsidRPr="00F55A79" w:rsidR="002C3911" w:rsidP="00E0052E" w:rsidRDefault="00DE7CC7" w14:paraId="244EDD37" w14:textId="336BB946">
      <w:pPr>
        <w:pStyle w:val="Standard"/>
      </w:pPr>
      <w:r w:rsidRPr="00F55A79">
        <w:lastRenderedPageBreak/>
        <w:t xml:space="preserve">CETF </w:t>
      </w:r>
      <w:r w:rsidRPr="00F55A79" w:rsidR="002C3911">
        <w:t xml:space="preserve">stated that it </w:t>
      </w:r>
      <w:r w:rsidRPr="00F55A79">
        <w:t>finds persuasive the customer count data provided by Frontier</w:t>
      </w:r>
      <w:r w:rsidRPr="00F55A79" w:rsidR="002C3911">
        <w:t xml:space="preserve">, specifically </w:t>
      </w:r>
      <w:r w:rsidRPr="00F55A79">
        <w:t xml:space="preserve">that since December 31, 2021, Frontier’s </w:t>
      </w:r>
      <w:r w:rsidRPr="00F55A79" w:rsidR="00DA0E8C">
        <w:t xml:space="preserve">California </w:t>
      </w:r>
      <w:r w:rsidRPr="00F55A79" w:rsidR="00DB75EE">
        <w:t>ILECs</w:t>
      </w:r>
      <w:r w:rsidRPr="00F55A79">
        <w:t xml:space="preserve"> have lost 44</w:t>
      </w:r>
      <w:r w:rsidRPr="00F55A79" w:rsidR="002C3911">
        <w:t xml:space="preserve"> percent</w:t>
      </w:r>
      <w:r w:rsidRPr="00F55A79">
        <w:t xml:space="preserve"> of their telephone access lines, dropping from 482,261 access lines to 267,930 access lines</w:t>
      </w:r>
      <w:r w:rsidRPr="00F55A79" w:rsidR="00B81AD5">
        <w:t>.</w:t>
      </w:r>
      <w:r w:rsidRPr="00F55A79" w:rsidR="00DA0E8C">
        <w:rPr>
          <w:rStyle w:val="FootnoteReference"/>
        </w:rPr>
        <w:footnoteReference w:id="113"/>
      </w:r>
      <w:r w:rsidRPr="00F55A79" w:rsidR="00DA0E8C">
        <w:t xml:space="preserve">  Frontier attributed this decline to</w:t>
      </w:r>
      <w:r w:rsidRPr="00F55A79">
        <w:t xml:space="preserve"> competition from wireless carriers, cable competitors, fixed wireless operators, and satellite alternatives.</w:t>
      </w:r>
      <w:r w:rsidRPr="00F55A79" w:rsidR="002C3911">
        <w:rPr>
          <w:rStyle w:val="FootnoteReference"/>
        </w:rPr>
        <w:footnoteReference w:id="114"/>
      </w:r>
    </w:p>
    <w:p w:rsidRPr="00F55A79" w:rsidR="00077C25" w:rsidP="00E0052E" w:rsidRDefault="003C3D9A" w14:paraId="20A8780F" w14:textId="56439F0C">
      <w:pPr>
        <w:pStyle w:val="Standard"/>
        <w:rPr>
          <w:color w:val="000000" w:themeColor="text1"/>
        </w:rPr>
      </w:pPr>
      <w:r w:rsidRPr="00F55A79">
        <w:t xml:space="preserve">CETF noted that </w:t>
      </w:r>
      <w:r w:rsidRPr="00F55A79" w:rsidR="00DA0E8C">
        <w:t>Verizon argued that its</w:t>
      </w:r>
      <w:r w:rsidRPr="00F55A79" w:rsidR="00DE7CC7">
        <w:t xml:space="preserve"> competitors are not subject to the same level of regulation, have lower cost models, are better resourced, and provide more service offerings at lower costs.</w:t>
      </w:r>
      <w:r w:rsidRPr="00F55A79" w:rsidR="00DA0E8C">
        <w:rPr>
          <w:rStyle w:val="FootnoteReference"/>
        </w:rPr>
        <w:footnoteReference w:id="115"/>
      </w:r>
      <w:r w:rsidRPr="00F55A79" w:rsidR="00F36CAD">
        <w:t xml:space="preserve"> </w:t>
      </w:r>
      <w:r w:rsidRPr="00F55A79" w:rsidR="00DE7CC7">
        <w:t xml:space="preserve"> </w:t>
      </w:r>
      <w:r w:rsidRPr="00F55A79" w:rsidR="00EA19BD">
        <w:t>In addition, Verizon</w:t>
      </w:r>
      <w:r w:rsidRPr="00F55A79" w:rsidR="00DE7CC7">
        <w:t xml:space="preserve"> noted the </w:t>
      </w:r>
      <w:r w:rsidRPr="00F55A79" w:rsidR="00DE7CC7">
        <w:rPr>
          <w:color w:val="000000" w:themeColor="text1"/>
        </w:rPr>
        <w:t xml:space="preserve">transformation of the federal universal service high-cost program which has largely eliminated support for voice services and instead tied support to </w:t>
      </w:r>
      <w:r w:rsidRPr="00F55A79" w:rsidR="00DB75EE">
        <w:rPr>
          <w:color w:val="000000" w:themeColor="text1"/>
        </w:rPr>
        <w:t xml:space="preserve">the </w:t>
      </w:r>
      <w:r w:rsidRPr="00F55A79" w:rsidR="00DE7CC7">
        <w:rPr>
          <w:color w:val="000000" w:themeColor="text1"/>
        </w:rPr>
        <w:t xml:space="preserve">provision of </w:t>
      </w:r>
      <w:r w:rsidRPr="00F55A79" w:rsidR="00DE7CC7">
        <w:t>broadband to certain locations.</w:t>
      </w:r>
      <w:r w:rsidRPr="00F55A79" w:rsidR="00EA19BD">
        <w:rPr>
          <w:rStyle w:val="FootnoteReference"/>
          <w:color w:val="000000" w:themeColor="text1"/>
        </w:rPr>
        <w:footnoteReference w:id="116"/>
      </w:r>
      <w:r w:rsidRPr="00F55A79" w:rsidR="00EA19BD">
        <w:rPr>
          <w:color w:val="000000" w:themeColor="text1"/>
        </w:rPr>
        <w:t xml:space="preserve"> </w:t>
      </w:r>
      <w:r w:rsidRPr="00F55A79" w:rsidR="00DE7CC7">
        <w:rPr>
          <w:color w:val="000000" w:themeColor="text1"/>
        </w:rPr>
        <w:t xml:space="preserve"> </w:t>
      </w:r>
      <w:r w:rsidRPr="00F55A79">
        <w:rPr>
          <w:color w:val="000000" w:themeColor="text1"/>
        </w:rPr>
        <w:t>CETF argued that t</w:t>
      </w:r>
      <w:r w:rsidRPr="00F55A79" w:rsidR="00DE7CC7">
        <w:rPr>
          <w:color w:val="000000" w:themeColor="text1"/>
        </w:rPr>
        <w:t xml:space="preserve">his means that in most cases, Frontier </w:t>
      </w:r>
      <w:r w:rsidRPr="00F55A79" w:rsidR="00F36CAD">
        <w:rPr>
          <w:color w:val="000000" w:themeColor="text1"/>
        </w:rPr>
        <w:t xml:space="preserve">would </w:t>
      </w:r>
      <w:r w:rsidRPr="00F55A79" w:rsidR="00DE7CC7">
        <w:rPr>
          <w:color w:val="000000" w:themeColor="text1"/>
        </w:rPr>
        <w:t xml:space="preserve">not be able to have access to the universal service high-cost program </w:t>
      </w:r>
      <w:r w:rsidRPr="00F55A79" w:rsidR="00F36CAD">
        <w:rPr>
          <w:color w:val="000000" w:themeColor="text1"/>
        </w:rPr>
        <w:t xml:space="preserve">without broadband </w:t>
      </w:r>
      <w:r w:rsidRPr="00F55A79" w:rsidR="00DE7CC7">
        <w:rPr>
          <w:color w:val="000000" w:themeColor="text1"/>
        </w:rPr>
        <w:t xml:space="preserve">upgrades, which it cannot afford starting </w:t>
      </w:r>
      <w:r w:rsidRPr="00F55A79" w:rsidR="00DE7CC7">
        <w:t>next year.</w:t>
      </w:r>
      <w:r w:rsidRPr="00F55A79">
        <w:rPr>
          <w:rStyle w:val="FootnoteReference"/>
          <w:color w:val="000000" w:themeColor="text1"/>
        </w:rPr>
        <w:footnoteReference w:id="117"/>
      </w:r>
    </w:p>
    <w:p w:rsidRPr="00F55A79" w:rsidR="00DC7965" w:rsidP="00E0052E" w:rsidRDefault="00DE7CC7" w14:paraId="3BEF80BB" w14:textId="061779B3">
      <w:pPr>
        <w:pStyle w:val="Standard"/>
      </w:pPr>
      <w:r w:rsidRPr="00F55A79">
        <w:t xml:space="preserve">CETF </w:t>
      </w:r>
      <w:r w:rsidRPr="00F55A79" w:rsidR="00077C25">
        <w:t>also stated its</w:t>
      </w:r>
      <w:r w:rsidRPr="00F55A79">
        <w:t xml:space="preserve"> concerns about Frontier</w:t>
      </w:r>
      <w:r w:rsidRPr="00F55A79" w:rsidR="00077C25">
        <w:t>’s</w:t>
      </w:r>
      <w:r w:rsidRPr="00F55A79">
        <w:t xml:space="preserve"> debt profile.</w:t>
      </w:r>
      <w:r w:rsidRPr="00F55A79" w:rsidR="00077C25">
        <w:rPr>
          <w:rStyle w:val="FootnoteReference"/>
        </w:rPr>
        <w:footnoteReference w:id="118"/>
      </w:r>
      <w:r w:rsidRPr="00F55A79">
        <w:t xml:space="preserve"> </w:t>
      </w:r>
      <w:r w:rsidRPr="00F55A79" w:rsidR="00233093">
        <w:t>Citing to Verizon testimony, CETF noted that a</w:t>
      </w:r>
      <w:r w:rsidRPr="00F55A79">
        <w:t>s of March 31, 2025, Frontier ha</w:t>
      </w:r>
      <w:r w:rsidRPr="00F55A79" w:rsidR="00233093">
        <w:t>d</w:t>
      </w:r>
      <w:r w:rsidRPr="00F55A79">
        <w:t xml:space="preserve"> approximately $11.7 billion of total debt. </w:t>
      </w:r>
      <w:r w:rsidRPr="00F55A79" w:rsidR="00233093">
        <w:t xml:space="preserve"> </w:t>
      </w:r>
      <w:r w:rsidRPr="00F55A79">
        <w:t>In 2026, $1.35 billion of debt becomes due and debt maturities then increase to $3.65 billion in 2028, and average $2.2 billion per year thereafter through 2031. There is $800 million</w:t>
      </w:r>
      <w:r w:rsidRPr="00F55A79" w:rsidR="00DC7965">
        <w:t xml:space="preserve"> in interest expense </w:t>
      </w:r>
      <w:r w:rsidRPr="00F55A79" w:rsidR="00DC7965">
        <w:lastRenderedPageBreak/>
        <w:t>per year, in addition.</w:t>
      </w:r>
      <w:r w:rsidRPr="00F55A79" w:rsidR="00DC7965">
        <w:rPr>
          <w:rStyle w:val="FootnoteReference"/>
        </w:rPr>
        <w:footnoteReference w:id="119"/>
      </w:r>
      <w:r w:rsidRPr="00F55A79" w:rsidR="00BD5D05">
        <w:t xml:space="preserve"> </w:t>
      </w:r>
      <w:r w:rsidRPr="00F55A79" w:rsidR="00DC7965">
        <w:t>Much of the debt is related to the fiber deployment of Frontier since 2021 that will end by 2026.</w:t>
      </w:r>
      <w:r w:rsidRPr="00F55A79" w:rsidR="00DC7965">
        <w:rPr>
          <w:rStyle w:val="FootnoteReference"/>
        </w:rPr>
        <w:footnoteReference w:id="120"/>
      </w:r>
    </w:p>
    <w:p w:rsidRPr="00F55A79" w:rsidR="00EF1C68" w:rsidP="00E0052E" w:rsidRDefault="00233093" w14:paraId="487B2008" w14:textId="6AD582E6">
      <w:pPr>
        <w:pStyle w:val="Standard"/>
      </w:pPr>
      <w:r w:rsidRPr="00F55A79">
        <w:t xml:space="preserve">CETF underscored that </w:t>
      </w:r>
      <w:r w:rsidRPr="00F55A79" w:rsidR="00DC7965">
        <w:t>Verizon is a well-resourced corporation</w:t>
      </w:r>
      <w:r w:rsidRPr="00F55A79">
        <w:t xml:space="preserve"> with a </w:t>
      </w:r>
      <w:r w:rsidRPr="00F55A79" w:rsidR="00DC7965">
        <w:t>publicly reported total operating revenue of $134.8 billion for 2024.</w:t>
      </w:r>
      <w:r w:rsidRPr="00F55A79" w:rsidR="00DC7965">
        <w:rPr>
          <w:rStyle w:val="FootnoteReference"/>
        </w:rPr>
        <w:footnoteReference w:id="121"/>
      </w:r>
      <w:r w:rsidRPr="00F55A79" w:rsidR="00DC7965">
        <w:t xml:space="preserve"> </w:t>
      </w:r>
    </w:p>
    <w:p w:rsidRPr="00F55A79" w:rsidR="00DB52BC" w:rsidP="00096D54" w:rsidRDefault="00DB52BC" w14:paraId="67321D95" w14:textId="70CA7A18">
      <w:pPr>
        <w:pStyle w:val="Heading4"/>
      </w:pPr>
      <w:bookmarkStart w:name="_Toc216163165" w:id="80"/>
      <w:r w:rsidRPr="00F55A79">
        <w:t>Cfo</w:t>
      </w:r>
      <w:r w:rsidRPr="00F55A79" w:rsidR="0026788A">
        <w:t>r</w:t>
      </w:r>
      <w:r w:rsidRPr="00F55A79">
        <w:t>AT</w:t>
      </w:r>
      <w:bookmarkEnd w:id="80"/>
    </w:p>
    <w:p w:rsidRPr="00F55A79" w:rsidR="008F4522" w:rsidP="00E0052E" w:rsidRDefault="009C4628" w14:paraId="0B15EB1D" w14:textId="63A8C7A3">
      <w:pPr>
        <w:pStyle w:val="Standard"/>
        <w:rPr>
          <w:color w:val="000000" w:themeColor="text1"/>
        </w:rPr>
      </w:pPr>
      <w:r w:rsidRPr="00F55A79">
        <w:rPr>
          <w:color w:val="000000" w:themeColor="text1"/>
        </w:rPr>
        <w:t>CforAT argued that “</w:t>
      </w:r>
      <w:r w:rsidRPr="00F55A79" w:rsidR="008F4522">
        <w:rPr>
          <w:color w:val="000000" w:themeColor="text1"/>
        </w:rPr>
        <w:t xml:space="preserve">it is unknown whether the proposed transaction will maintain or improve </w:t>
      </w:r>
      <w:r w:rsidRPr="00F55A79" w:rsidR="008F4522">
        <w:t>the financial condition of the combined company.</w:t>
      </w:r>
      <w:r w:rsidRPr="00F55A79">
        <w:t>”</w:t>
      </w:r>
      <w:r w:rsidRPr="00F55A79">
        <w:rPr>
          <w:rStyle w:val="FootnoteReference"/>
          <w:color w:val="000000" w:themeColor="text1"/>
        </w:rPr>
        <w:footnoteReference w:id="122"/>
      </w:r>
      <w:r w:rsidRPr="00F55A79">
        <w:rPr>
          <w:color w:val="000000" w:themeColor="text1"/>
        </w:rPr>
        <w:t xml:space="preserve"> </w:t>
      </w:r>
      <w:r w:rsidRPr="00F55A79" w:rsidR="008F4522">
        <w:rPr>
          <w:color w:val="000000" w:themeColor="text1"/>
        </w:rPr>
        <w:t xml:space="preserve"> </w:t>
      </w:r>
      <w:r w:rsidRPr="00F55A79" w:rsidR="0010607C">
        <w:rPr>
          <w:color w:val="000000" w:themeColor="text1"/>
        </w:rPr>
        <w:t>CforAT noted that although</w:t>
      </w:r>
      <w:r w:rsidRPr="00F55A79">
        <w:rPr>
          <w:color w:val="000000" w:themeColor="text1"/>
        </w:rPr>
        <w:t xml:space="preserve"> Joint Applicants have described the financial condition of their individual companies, </w:t>
      </w:r>
      <w:r w:rsidRPr="00F55A79" w:rsidR="0010607C">
        <w:rPr>
          <w:color w:val="000000" w:themeColor="text1"/>
        </w:rPr>
        <w:t>“</w:t>
      </w:r>
      <w:r w:rsidRPr="00F55A79">
        <w:rPr>
          <w:color w:val="000000" w:themeColor="text1"/>
        </w:rPr>
        <w:t xml:space="preserve">they provide no analysis of the financial </w:t>
      </w:r>
      <w:r w:rsidRPr="00F55A79">
        <w:rPr>
          <w:color w:val="000000" w:themeColor="text1"/>
          <w:szCs w:val="26"/>
        </w:rPr>
        <w:t>condition of the combined company</w:t>
      </w:r>
      <w:r w:rsidRPr="00F55A79" w:rsidR="0010607C">
        <w:rPr>
          <w:color w:val="000000" w:themeColor="text1"/>
          <w:szCs w:val="26"/>
        </w:rPr>
        <w:t>”</w:t>
      </w:r>
      <w:r w:rsidRPr="00F55A79">
        <w:rPr>
          <w:rStyle w:val="FootnoteReference"/>
          <w:color w:val="000000" w:themeColor="text1"/>
          <w:szCs w:val="26"/>
        </w:rPr>
        <w:footnoteReference w:id="123"/>
      </w:r>
      <w:r w:rsidRPr="00F55A79">
        <w:rPr>
          <w:color w:val="000000" w:themeColor="text1"/>
          <w:szCs w:val="26"/>
        </w:rPr>
        <w:t xml:space="preserve"> </w:t>
      </w:r>
      <w:r w:rsidRPr="00F55A79" w:rsidR="00BA3C7D">
        <w:rPr>
          <w:color w:val="000000" w:themeColor="text1"/>
          <w:szCs w:val="26"/>
        </w:rPr>
        <w:t>and have failed to prove that</w:t>
      </w:r>
      <w:r w:rsidRPr="00F55A79" w:rsidR="00BA3C7D">
        <w:rPr>
          <w:color w:val="000000" w:themeColor="text1"/>
        </w:rPr>
        <w:t xml:space="preserve"> </w:t>
      </w:r>
      <w:r w:rsidRPr="00F55A79" w:rsidR="0010607C">
        <w:rPr>
          <w:color w:val="000000" w:themeColor="text1"/>
        </w:rPr>
        <w:t xml:space="preserve"> </w:t>
      </w:r>
      <w:r w:rsidRPr="00F55A79">
        <w:rPr>
          <w:color w:val="000000" w:themeColor="text1"/>
        </w:rPr>
        <w:t>that the proposed transaction will maintain or improve the resulting company’s financial condition</w:t>
      </w:r>
      <w:r w:rsidRPr="00F55A79" w:rsidR="00BA3C7D">
        <w:rPr>
          <w:color w:val="000000" w:themeColor="text1"/>
        </w:rPr>
        <w:t>.  Therefore, CforAT argue</w:t>
      </w:r>
      <w:r w:rsidRPr="00F55A79" w:rsidR="003661BC">
        <w:rPr>
          <w:color w:val="000000" w:themeColor="text1"/>
        </w:rPr>
        <w:t>d</w:t>
      </w:r>
      <w:r w:rsidRPr="00F55A79" w:rsidR="00BA3C7D">
        <w:rPr>
          <w:color w:val="000000" w:themeColor="text1"/>
        </w:rPr>
        <w:t xml:space="preserve"> that the</w:t>
      </w:r>
      <w:r w:rsidRPr="00F55A79">
        <w:rPr>
          <w:color w:val="000000" w:themeColor="text1"/>
        </w:rPr>
        <w:t xml:space="preserve"> Commission should find that Joint Applicants have failed to demonstrate that the proposed transaction will maintain or </w:t>
      </w:r>
      <w:r w:rsidRPr="00F55A79">
        <w:t>improve the financial condition of the combined company.</w:t>
      </w:r>
      <w:r w:rsidRPr="00F55A79" w:rsidR="00291617">
        <w:rPr>
          <w:rStyle w:val="FootnoteReference"/>
          <w:color w:val="000000" w:themeColor="text1"/>
        </w:rPr>
        <w:footnoteReference w:id="124"/>
      </w:r>
      <w:r w:rsidRPr="00F55A79">
        <w:rPr>
          <w:color w:val="000000" w:themeColor="text1"/>
        </w:rPr>
        <w:t xml:space="preserve"> If the Commission approve</w:t>
      </w:r>
      <w:r w:rsidRPr="00F55A79" w:rsidR="00291617">
        <w:rPr>
          <w:color w:val="000000" w:themeColor="text1"/>
        </w:rPr>
        <w:t>s</w:t>
      </w:r>
      <w:r w:rsidRPr="00F55A79">
        <w:rPr>
          <w:color w:val="000000" w:themeColor="text1"/>
        </w:rPr>
        <w:t xml:space="preserve"> the </w:t>
      </w:r>
      <w:r w:rsidRPr="00F55A79" w:rsidR="00BA3C7D">
        <w:rPr>
          <w:color w:val="000000" w:themeColor="text1"/>
        </w:rPr>
        <w:t>transaction</w:t>
      </w:r>
      <w:r w:rsidRPr="00F55A79">
        <w:rPr>
          <w:color w:val="000000" w:themeColor="text1"/>
        </w:rPr>
        <w:t>,</w:t>
      </w:r>
      <w:r w:rsidRPr="00F55A79" w:rsidR="00BA3C7D">
        <w:rPr>
          <w:color w:val="000000" w:themeColor="text1"/>
        </w:rPr>
        <w:t xml:space="preserve"> CforAT argue</w:t>
      </w:r>
      <w:r w:rsidRPr="00F55A79" w:rsidR="003661BC">
        <w:rPr>
          <w:color w:val="000000" w:themeColor="text1"/>
        </w:rPr>
        <w:t>d</w:t>
      </w:r>
      <w:r w:rsidRPr="00F55A79" w:rsidR="00BA3C7D">
        <w:rPr>
          <w:color w:val="000000" w:themeColor="text1"/>
        </w:rPr>
        <w:t xml:space="preserve"> that the Commission</w:t>
      </w:r>
      <w:r w:rsidRPr="00F55A79">
        <w:rPr>
          <w:color w:val="000000" w:themeColor="text1"/>
        </w:rPr>
        <w:t xml:space="preserve"> should require Verizon </w:t>
      </w:r>
      <w:r w:rsidRPr="00F55A79" w:rsidR="00BA3C7D">
        <w:rPr>
          <w:color w:val="000000" w:themeColor="text1"/>
        </w:rPr>
        <w:t xml:space="preserve">to </w:t>
      </w:r>
      <w:r w:rsidRPr="00F55A79">
        <w:rPr>
          <w:color w:val="000000" w:themeColor="text1"/>
        </w:rPr>
        <w:t>obtain performance bonds sufficient to ensure that the combined company will continue to provide service to customers in Frontier’s service territory for at least five years following the close of the transaction.</w:t>
      </w:r>
      <w:r w:rsidRPr="00F55A79">
        <w:rPr>
          <w:rStyle w:val="FootnoteReference"/>
          <w:color w:val="000000" w:themeColor="text1"/>
        </w:rPr>
        <w:footnoteReference w:id="125"/>
      </w:r>
    </w:p>
    <w:p w:rsidRPr="00F55A79" w:rsidR="00E326FC" w:rsidP="00096D54" w:rsidRDefault="00DB52BC" w14:paraId="4D633EC3" w14:textId="0C99EF7F">
      <w:pPr>
        <w:pStyle w:val="Heading4"/>
      </w:pPr>
      <w:bookmarkStart w:name="_Toc216163166" w:id="81"/>
      <w:r w:rsidRPr="00F55A79">
        <w:lastRenderedPageBreak/>
        <w:t>TURN</w:t>
      </w:r>
      <w:bookmarkEnd w:id="81"/>
    </w:p>
    <w:p w:rsidRPr="00F55A79" w:rsidR="008A2C77" w:rsidP="00E0052E" w:rsidRDefault="008A2C77" w14:paraId="493EF231" w14:textId="4998CE6C">
      <w:pPr>
        <w:pStyle w:val="Standard"/>
      </w:pPr>
      <w:r w:rsidRPr="00F55A79">
        <w:rPr>
          <w:color w:val="000000" w:themeColor="text1"/>
        </w:rPr>
        <w:t xml:space="preserve">TURN argued that, without mitigation measures, the proposed transaction </w:t>
      </w:r>
      <w:r w:rsidRPr="00F55A79">
        <w:t xml:space="preserve">may not meaningfully maintain or improve the financial condition of </w:t>
      </w:r>
      <w:r w:rsidRPr="00F55A79" w:rsidR="00003094">
        <w:t>“</w:t>
      </w:r>
      <w:r w:rsidRPr="00F55A79">
        <w:t>Verizon’s Frontier.</w:t>
      </w:r>
      <w:r w:rsidRPr="00F55A79" w:rsidR="00003094">
        <w:t>”</w:t>
      </w:r>
      <w:r w:rsidRPr="00F55A79">
        <w:rPr>
          <w:rStyle w:val="FootnoteReference"/>
          <w:color w:val="000000" w:themeColor="text1"/>
        </w:rPr>
        <w:footnoteReference w:id="126"/>
      </w:r>
      <w:r w:rsidRPr="00F55A79">
        <w:rPr>
          <w:color w:val="000000" w:themeColor="text1"/>
        </w:rPr>
        <w:t xml:space="preserve">  </w:t>
      </w:r>
      <w:r w:rsidRPr="00F55A79" w:rsidR="002D3AA2">
        <w:rPr>
          <w:color w:val="000000" w:themeColor="text1"/>
        </w:rPr>
        <w:t xml:space="preserve">According to TURN, </w:t>
      </w:r>
      <w:r w:rsidRPr="00F55A79">
        <w:rPr>
          <w:color w:val="000000" w:themeColor="text1"/>
        </w:rPr>
        <w:t xml:space="preserve">Frontier </w:t>
      </w:r>
      <w:r w:rsidRPr="00F55A79" w:rsidR="008312E0">
        <w:rPr>
          <w:color w:val="000000" w:themeColor="text1"/>
        </w:rPr>
        <w:t xml:space="preserve">has </w:t>
      </w:r>
      <w:r w:rsidRPr="00F55A79">
        <w:rPr>
          <w:color w:val="000000" w:themeColor="text1"/>
        </w:rPr>
        <w:t>repeatedly stated that the main benefit of this transaction is that Verizon would use its</w:t>
      </w:r>
      <w:r w:rsidRPr="00F55A79" w:rsidR="00BB7ED4">
        <w:rPr>
          <w:color w:val="000000" w:themeColor="text1"/>
        </w:rPr>
        <w:t xml:space="preserve"> financial strength to further </w:t>
      </w:r>
      <w:r w:rsidRPr="00F55A79" w:rsidR="00BB7ED4">
        <w:t>Frontier’s deployment of fiber infrastructure.</w:t>
      </w:r>
      <w:r w:rsidRPr="00F55A79" w:rsidR="00BB118F">
        <w:rPr>
          <w:rStyle w:val="FootnoteReference"/>
          <w:color w:val="000000" w:themeColor="text1"/>
        </w:rPr>
        <w:footnoteReference w:id="127"/>
      </w:r>
      <w:r w:rsidRPr="00F55A79" w:rsidR="009262C9">
        <w:rPr>
          <w:color w:val="000000" w:themeColor="text1"/>
        </w:rPr>
        <w:t xml:space="preserve"> </w:t>
      </w:r>
      <w:r w:rsidRPr="00F55A79" w:rsidR="00BB7ED4">
        <w:rPr>
          <w:color w:val="000000" w:themeColor="text1"/>
        </w:rPr>
        <w:t xml:space="preserve"> However, Verizon has repeated</w:t>
      </w:r>
      <w:r w:rsidRPr="00F55A79" w:rsidR="00DB75EE">
        <w:rPr>
          <w:color w:val="000000" w:themeColor="text1"/>
        </w:rPr>
        <w:t>ly</w:t>
      </w:r>
      <w:r w:rsidRPr="00F55A79" w:rsidR="00BB7ED4">
        <w:rPr>
          <w:color w:val="000000" w:themeColor="text1"/>
        </w:rPr>
        <w:t xml:space="preserve"> refused to commit to using its financial strength to further Frontier’s </w:t>
      </w:r>
      <w:r w:rsidRPr="00F55A79" w:rsidR="00BB7ED4">
        <w:t>deployment of fiber infrastructure.</w:t>
      </w:r>
      <w:r w:rsidRPr="00F55A79" w:rsidR="00BB7ED4">
        <w:rPr>
          <w:rStyle w:val="FootnoteReference"/>
          <w:color w:val="000000" w:themeColor="text1"/>
        </w:rPr>
        <w:footnoteReference w:id="128"/>
      </w:r>
      <w:r w:rsidRPr="00F55A79" w:rsidR="00BB7ED4">
        <w:rPr>
          <w:color w:val="000000" w:themeColor="text1"/>
        </w:rPr>
        <w:t xml:space="preserve"> Therefore, </w:t>
      </w:r>
      <w:r w:rsidRPr="00F55A79" w:rsidR="009262C9">
        <w:rPr>
          <w:color w:val="000000" w:themeColor="text1"/>
        </w:rPr>
        <w:t>TURN argued that it is</w:t>
      </w:r>
      <w:r w:rsidRPr="00F55A79" w:rsidR="00BB7ED4">
        <w:rPr>
          <w:color w:val="000000" w:themeColor="text1"/>
        </w:rPr>
        <w:t xml:space="preserve"> unclear whether Frontier will maintain or improve its financial strength under Verizon’s </w:t>
      </w:r>
      <w:r w:rsidRPr="00F55A79" w:rsidR="00BB7ED4">
        <w:t>ownership</w:t>
      </w:r>
      <w:r w:rsidRPr="00F55A79" w:rsidR="009262C9">
        <w:t xml:space="preserve"> without mitigation measures</w:t>
      </w:r>
      <w:r w:rsidRPr="00F55A79" w:rsidR="00BB7ED4">
        <w:t>.</w:t>
      </w:r>
      <w:r w:rsidRPr="00F55A79" w:rsidR="002D3AA2">
        <w:rPr>
          <w:rStyle w:val="FootnoteReference"/>
          <w:color w:val="000000" w:themeColor="text1"/>
        </w:rPr>
        <w:footnoteReference w:id="129"/>
      </w:r>
    </w:p>
    <w:p w:rsidRPr="00F55A79" w:rsidR="00696315" w:rsidP="00DD5413" w:rsidRDefault="00696315" w14:paraId="459A4BBD" w14:textId="190BE64C">
      <w:pPr>
        <w:pStyle w:val="Heading3"/>
      </w:pPr>
      <w:bookmarkStart w:name="_Toc216163167" w:id="82"/>
      <w:r w:rsidRPr="00F55A79">
        <w:t>Discussion</w:t>
      </w:r>
      <w:bookmarkEnd w:id="82"/>
    </w:p>
    <w:p w:rsidRPr="00F55A79" w:rsidR="00E326FC" w:rsidP="00E326FC" w:rsidRDefault="00731463" w14:paraId="005D2D71" w14:textId="5FF4E109">
      <w:pPr>
        <w:pStyle w:val="Standard"/>
        <w:rPr>
          <w:color w:val="000000" w:themeColor="text1"/>
        </w:rPr>
      </w:pPr>
      <w:r w:rsidRPr="00F55A79">
        <w:rPr>
          <w:color w:val="000000" w:themeColor="text1"/>
        </w:rPr>
        <w:t xml:space="preserve">We agree with </w:t>
      </w:r>
      <w:r w:rsidRPr="00F55A79" w:rsidR="00281E6B">
        <w:rPr>
          <w:color w:val="000000" w:themeColor="text1"/>
        </w:rPr>
        <w:t xml:space="preserve">the Joint Applicants and </w:t>
      </w:r>
      <w:r w:rsidRPr="00F55A79" w:rsidR="003C3D9A">
        <w:rPr>
          <w:color w:val="000000" w:themeColor="text1"/>
        </w:rPr>
        <w:t>CETF</w:t>
      </w:r>
      <w:r w:rsidRPr="00F55A79">
        <w:rPr>
          <w:color w:val="000000" w:themeColor="text1"/>
        </w:rPr>
        <w:t xml:space="preserve"> that </w:t>
      </w:r>
      <w:r w:rsidRPr="00F55A79" w:rsidR="003C3D9A">
        <w:rPr>
          <w:color w:val="000000" w:themeColor="text1"/>
        </w:rPr>
        <w:t xml:space="preserve">the </w:t>
      </w:r>
      <w:r w:rsidRPr="00F55A79" w:rsidR="000F7F65">
        <w:rPr>
          <w:color w:val="000000" w:themeColor="text1"/>
        </w:rPr>
        <w:t xml:space="preserve">financial </w:t>
      </w:r>
      <w:r w:rsidRPr="00F55A79" w:rsidR="003C3D9A">
        <w:rPr>
          <w:color w:val="000000" w:themeColor="text1"/>
        </w:rPr>
        <w:t xml:space="preserve">condition of </w:t>
      </w:r>
      <w:r w:rsidRPr="00F55A79" w:rsidR="000F7F65">
        <w:rPr>
          <w:color w:val="000000" w:themeColor="text1"/>
        </w:rPr>
        <w:t xml:space="preserve">Frontier </w:t>
      </w:r>
      <w:r w:rsidRPr="00F55A79" w:rsidR="00A7697D">
        <w:rPr>
          <w:color w:val="000000" w:themeColor="text1"/>
        </w:rPr>
        <w:t>c</w:t>
      </w:r>
      <w:r w:rsidRPr="00F55A79" w:rsidR="000F7F65">
        <w:rPr>
          <w:color w:val="000000" w:themeColor="text1"/>
        </w:rPr>
        <w:t>ould be meaningfully improved by approval of the proposed transaction</w:t>
      </w:r>
      <w:r w:rsidRPr="00F55A79">
        <w:rPr>
          <w:color w:val="000000" w:themeColor="text1"/>
        </w:rPr>
        <w:t>.</w:t>
      </w:r>
      <w:r w:rsidRPr="00F55A79" w:rsidR="007F1192">
        <w:rPr>
          <w:color w:val="000000" w:themeColor="text1"/>
        </w:rPr>
        <w:t xml:space="preserve"> </w:t>
      </w:r>
      <w:r w:rsidRPr="00F55A79" w:rsidR="008033AC">
        <w:rPr>
          <w:color w:val="000000" w:themeColor="text1"/>
        </w:rPr>
        <w:t xml:space="preserve">In coming to this conclusion, we considered </w:t>
      </w:r>
      <w:r w:rsidRPr="00F55A79" w:rsidR="007F1192">
        <w:rPr>
          <w:color w:val="000000" w:themeColor="text1"/>
        </w:rPr>
        <w:t>Frontier</w:t>
      </w:r>
      <w:r w:rsidRPr="00F55A79" w:rsidR="008033AC">
        <w:rPr>
          <w:color w:val="000000" w:themeColor="text1"/>
        </w:rPr>
        <w:t>’s</w:t>
      </w:r>
      <w:r w:rsidRPr="00F55A79" w:rsidR="007F1192">
        <w:rPr>
          <w:color w:val="000000" w:themeColor="text1"/>
        </w:rPr>
        <w:t xml:space="preserve"> significant debt </w:t>
      </w:r>
      <w:r w:rsidRPr="00F55A79" w:rsidR="008033AC">
        <w:rPr>
          <w:color w:val="000000" w:themeColor="text1"/>
        </w:rPr>
        <w:t>post-</w:t>
      </w:r>
      <w:r w:rsidRPr="00F55A79" w:rsidR="007F1192">
        <w:rPr>
          <w:color w:val="000000" w:themeColor="text1"/>
        </w:rPr>
        <w:t xml:space="preserve">bankruptcy and </w:t>
      </w:r>
      <w:r w:rsidRPr="00F55A79" w:rsidR="008033AC">
        <w:rPr>
          <w:color w:val="000000" w:themeColor="text1"/>
        </w:rPr>
        <w:t>agree that this merger with Verizon will maintain or improve the financial position of the combined company.</w:t>
      </w:r>
      <w:r w:rsidRPr="00F55A79" w:rsidR="000F7F65">
        <w:rPr>
          <w:color w:val="000000" w:themeColor="text1"/>
        </w:rPr>
        <w:t xml:space="preserve"> </w:t>
      </w:r>
      <w:r w:rsidRPr="00F55A79">
        <w:rPr>
          <w:color w:val="000000" w:themeColor="text1"/>
        </w:rPr>
        <w:t xml:space="preserve">We therefore find that </w:t>
      </w:r>
      <w:r w:rsidRPr="00F55A79" w:rsidR="00A048CA">
        <w:rPr>
          <w:color w:val="000000" w:themeColor="text1"/>
        </w:rPr>
        <w:t>this transaction meets the requirements of Section 854(c)(1)</w:t>
      </w:r>
      <w:r w:rsidRPr="00F55A79">
        <w:rPr>
          <w:color w:val="000000" w:themeColor="text1"/>
        </w:rPr>
        <w:t>.</w:t>
      </w:r>
    </w:p>
    <w:p w:rsidRPr="00F55A79" w:rsidR="0027056B" w:rsidP="00A70678" w:rsidRDefault="0027056B" w14:paraId="3323BA46" w14:textId="498CE9F5">
      <w:pPr>
        <w:pStyle w:val="Heading2"/>
        <w:rPr>
          <w:color w:val="000000" w:themeColor="text1"/>
        </w:rPr>
      </w:pPr>
      <w:bookmarkStart w:name="_Toc216163168" w:id="83"/>
      <w:r w:rsidRPr="00F55A79">
        <w:rPr>
          <w:color w:val="000000" w:themeColor="text1"/>
        </w:rPr>
        <w:t>Service Quality</w:t>
      </w:r>
      <w:bookmarkEnd w:id="83"/>
    </w:p>
    <w:p w:rsidRPr="00F55A79" w:rsidR="007B0E39" w:rsidP="007B0E39" w:rsidRDefault="007B0E39" w14:paraId="79EC0261" w14:textId="047238E7">
      <w:pPr>
        <w:pStyle w:val="Standard"/>
      </w:pPr>
      <w:r w:rsidRPr="00F55A79">
        <w:rPr>
          <w:color w:val="000000" w:themeColor="text1"/>
        </w:rPr>
        <w:t>Pursuant to Section 854(c)(2), we considered whether the proposed transaction would maintain or improve the quality of service to public utility ratepayers in the state.  We find that, under certain conditions detailed here</w:t>
      </w:r>
      <w:r w:rsidRPr="00F55A79" w:rsidR="00281E6B">
        <w:rPr>
          <w:color w:val="000000" w:themeColor="text1"/>
        </w:rPr>
        <w:t>in</w:t>
      </w:r>
      <w:r w:rsidRPr="00F55A79">
        <w:rPr>
          <w:color w:val="000000" w:themeColor="text1"/>
        </w:rPr>
        <w:t>, the transaction meets the requirements of Section 854(c)(2).</w:t>
      </w:r>
    </w:p>
    <w:p w:rsidRPr="00F55A79" w:rsidR="005C21B3" w:rsidP="00A70678" w:rsidRDefault="007C5FD3" w14:paraId="201DF164" w14:textId="20CC666B">
      <w:pPr>
        <w:pStyle w:val="Heading3"/>
      </w:pPr>
      <w:bookmarkStart w:name="_Toc216163169" w:id="84"/>
      <w:r w:rsidRPr="00F55A79">
        <w:lastRenderedPageBreak/>
        <w:t>Background</w:t>
      </w:r>
      <w:bookmarkEnd w:id="84"/>
    </w:p>
    <w:p w:rsidRPr="00F55A79" w:rsidR="00604BCC" w:rsidP="00604BCC" w:rsidRDefault="00604BCC" w14:paraId="6FCA9F16" w14:textId="30199C62">
      <w:pPr>
        <w:pStyle w:val="Standard"/>
        <w:rPr>
          <w:color w:val="000000" w:themeColor="text1"/>
        </w:rPr>
      </w:pPr>
      <w:r w:rsidRPr="00F55A79">
        <w:rPr>
          <w:color w:val="000000" w:themeColor="text1"/>
        </w:rPr>
        <w:t>Investigation (I.) 19-12-009 examined the lack of customer support provided during migration of customers from Verizon to Frontier in 2016 and large scale outages.  As a result of this investigation, Frontier was assessed a $1,454,000 penalty for outages and service interruptions.</w:t>
      </w:r>
      <w:r w:rsidRPr="00F55A79">
        <w:rPr>
          <w:rStyle w:val="FootnoteReference"/>
          <w:color w:val="000000" w:themeColor="text1"/>
        </w:rPr>
        <w:footnoteReference w:id="130"/>
      </w:r>
    </w:p>
    <w:p w:rsidRPr="00F55A79" w:rsidR="004502D4" w:rsidP="004502D4" w:rsidRDefault="004E726C" w14:paraId="7062D006" w14:textId="275115E7">
      <w:pPr>
        <w:pStyle w:val="Standard"/>
        <w:rPr>
          <w:color w:val="000000" w:themeColor="text1"/>
        </w:rPr>
      </w:pPr>
      <w:r w:rsidRPr="00F55A79">
        <w:rPr>
          <w:color w:val="000000" w:themeColor="text1"/>
        </w:rPr>
        <w:t xml:space="preserve">In total, </w:t>
      </w:r>
      <w:r w:rsidRPr="00F55A79" w:rsidR="004502D4">
        <w:rPr>
          <w:color w:val="000000" w:themeColor="text1"/>
        </w:rPr>
        <w:t xml:space="preserve">the CPUC has fined Frontier a total of more than $6.5 </w:t>
      </w:r>
      <w:r w:rsidRPr="00F55A79" w:rsidR="00E80F1A">
        <w:rPr>
          <w:color w:val="000000" w:themeColor="text1"/>
        </w:rPr>
        <w:t xml:space="preserve">million </w:t>
      </w:r>
      <w:r w:rsidRPr="00F55A79" w:rsidR="004502D4">
        <w:rPr>
          <w:color w:val="000000" w:themeColor="text1"/>
        </w:rPr>
        <w:t xml:space="preserve">for failure to comply with GO 133 service quality performance for out of service </w:t>
      </w:r>
      <w:r w:rsidRPr="00F55A79" w:rsidR="00230ED2">
        <w:rPr>
          <w:color w:val="000000" w:themeColor="text1"/>
        </w:rPr>
        <w:t xml:space="preserve">(OOS) </w:t>
      </w:r>
      <w:r w:rsidRPr="00F55A79" w:rsidR="004502D4">
        <w:rPr>
          <w:color w:val="000000" w:themeColor="text1"/>
        </w:rPr>
        <w:t>repairs every year</w:t>
      </w:r>
      <w:r w:rsidRPr="00F55A79">
        <w:rPr>
          <w:color w:val="000000" w:themeColor="text1"/>
        </w:rPr>
        <w:t xml:space="preserve"> since 2018,</w:t>
      </w:r>
      <w:r w:rsidRPr="00F55A79" w:rsidR="004502D4">
        <w:rPr>
          <w:color w:val="000000" w:themeColor="text1"/>
        </w:rPr>
        <w:t>.</w:t>
      </w:r>
      <w:r w:rsidRPr="00F55A79" w:rsidR="00587DEA">
        <w:rPr>
          <w:rStyle w:val="FootnoteReference"/>
          <w:color w:val="000000" w:themeColor="text1"/>
        </w:rPr>
        <w:footnoteReference w:id="131"/>
      </w:r>
      <w:r w:rsidRPr="00F55A79" w:rsidR="004502D4">
        <w:rPr>
          <w:color w:val="000000" w:themeColor="text1"/>
        </w:rPr>
        <w:t xml:space="preserve"> </w:t>
      </w:r>
      <w:r w:rsidRPr="00F55A79" w:rsidR="00587DEA">
        <w:rPr>
          <w:color w:val="000000" w:themeColor="text1"/>
        </w:rPr>
        <w:t xml:space="preserve"> </w:t>
      </w:r>
      <w:r w:rsidRPr="00F55A79" w:rsidR="004E680F">
        <w:rPr>
          <w:color w:val="000000" w:themeColor="text1"/>
        </w:rPr>
        <w:t>T</w:t>
      </w:r>
      <w:r w:rsidRPr="00F55A79" w:rsidR="004502D4">
        <w:rPr>
          <w:color w:val="000000" w:themeColor="text1"/>
        </w:rPr>
        <w:t>he Commission found, among other things, that Frontier did not consistently maintain its networks to withstand environmental and weather-related conditions and that it had cut back on preventative maintenance expenditures.</w:t>
      </w:r>
      <w:r w:rsidRPr="00F55A79" w:rsidR="004502D4">
        <w:rPr>
          <w:rStyle w:val="FootnoteReference"/>
          <w:color w:val="000000" w:themeColor="text1"/>
        </w:rPr>
        <w:footnoteReference w:id="132"/>
      </w:r>
    </w:p>
    <w:p w:rsidRPr="00F55A79" w:rsidR="00DF2FA8" w:rsidP="00EA6998" w:rsidRDefault="00C53E61" w14:paraId="3F4BB1D1" w14:textId="7FB986CC">
      <w:pPr>
        <w:pStyle w:val="Heading3"/>
        <w:rPr>
          <w:color w:val="000000" w:themeColor="text1"/>
        </w:rPr>
      </w:pPr>
      <w:bookmarkStart w:name="_Toc216163170" w:id="85"/>
      <w:r w:rsidRPr="00F55A79">
        <w:rPr>
          <w:color w:val="000000" w:themeColor="text1"/>
        </w:rPr>
        <w:t>Joint Applicants’ Position</w:t>
      </w:r>
      <w:bookmarkEnd w:id="85"/>
    </w:p>
    <w:p w:rsidRPr="00F55A79" w:rsidR="0070315F" w:rsidP="0070315F" w:rsidRDefault="00826129" w14:paraId="4EC85126" w14:textId="6E5F2925">
      <w:pPr>
        <w:pStyle w:val="Standard"/>
        <w:rPr>
          <w:color w:val="000000" w:themeColor="text1"/>
        </w:rPr>
      </w:pPr>
      <w:r w:rsidRPr="00F55A79">
        <w:rPr>
          <w:color w:val="000000" w:themeColor="text1"/>
        </w:rPr>
        <w:t>The Joint Applicants argued that the transaction would meet the requirements of Section 854(c)(2).</w:t>
      </w:r>
      <w:r w:rsidRPr="00F55A79">
        <w:rPr>
          <w:rStyle w:val="FootnoteReference"/>
          <w:color w:val="000000" w:themeColor="text1"/>
        </w:rPr>
        <w:footnoteReference w:id="133"/>
      </w:r>
      <w:r w:rsidRPr="00F55A79">
        <w:rPr>
          <w:color w:val="000000" w:themeColor="text1"/>
        </w:rPr>
        <w:t xml:space="preserve"> </w:t>
      </w:r>
      <w:r w:rsidRPr="00F55A79" w:rsidR="00550CF3">
        <w:rPr>
          <w:color w:val="000000" w:themeColor="text1"/>
        </w:rPr>
        <w:t xml:space="preserve"> </w:t>
      </w:r>
      <w:r w:rsidRPr="00F55A79" w:rsidR="00EA6998">
        <w:rPr>
          <w:color w:val="000000" w:themeColor="text1"/>
        </w:rPr>
        <w:t>According to Verizon, the proposed acquisition</w:t>
      </w:r>
      <w:r w:rsidRPr="00F55A79" w:rsidR="00BA38BE">
        <w:rPr>
          <w:color w:val="000000" w:themeColor="text1"/>
        </w:rPr>
        <w:t xml:space="preserve"> will facilitate the buildout of Frontier’s fiber network</w:t>
      </w:r>
      <w:r w:rsidRPr="00F55A79" w:rsidR="004F7F2B">
        <w:rPr>
          <w:color w:val="000000" w:themeColor="text1"/>
        </w:rPr>
        <w:t xml:space="preserve"> and give </w:t>
      </w:r>
      <w:r w:rsidRPr="00F55A79" w:rsidR="00EA6998">
        <w:rPr>
          <w:color w:val="000000" w:themeColor="text1"/>
        </w:rPr>
        <w:t xml:space="preserve">Frontier’s approximately </w:t>
      </w:r>
      <w:r w:rsidRPr="00F55A79" w:rsidR="004F7F2B">
        <w:rPr>
          <w:color w:val="000000" w:themeColor="text1"/>
        </w:rPr>
        <w:t xml:space="preserve">700,000 </w:t>
      </w:r>
      <w:r w:rsidRPr="00F55A79" w:rsidR="00EA6998">
        <w:rPr>
          <w:color w:val="000000" w:themeColor="text1"/>
        </w:rPr>
        <w:t xml:space="preserve">fiber subscribers </w:t>
      </w:r>
      <w:r w:rsidRPr="00F55A79" w:rsidR="00EA6998">
        <w:t>in California</w:t>
      </w:r>
      <w:r w:rsidRPr="00F55A79" w:rsidR="004F7F2B">
        <w:t xml:space="preserve"> better access to </w:t>
      </w:r>
      <w:r w:rsidRPr="00F55A79" w:rsidR="00EA6998">
        <w:t>premium broadband services.</w:t>
      </w:r>
      <w:r w:rsidRPr="00F55A79" w:rsidR="004F7F2B">
        <w:rPr>
          <w:rStyle w:val="FootnoteReference"/>
          <w:color w:val="000000" w:themeColor="text1"/>
        </w:rPr>
        <w:footnoteReference w:id="134"/>
      </w:r>
      <w:r w:rsidRPr="00F55A79" w:rsidR="00EA6998">
        <w:rPr>
          <w:color w:val="000000" w:themeColor="text1"/>
        </w:rPr>
        <w:t xml:space="preserve"> </w:t>
      </w:r>
      <w:r w:rsidRPr="00F55A79">
        <w:rPr>
          <w:color w:val="000000" w:themeColor="text1"/>
        </w:rPr>
        <w:t xml:space="preserve"> </w:t>
      </w:r>
    </w:p>
    <w:p w:rsidRPr="00F55A79" w:rsidR="0070315F" w:rsidP="0070315F" w:rsidRDefault="00826129" w14:paraId="0BD96FF7" w14:textId="4226E26C">
      <w:pPr>
        <w:pStyle w:val="Standard"/>
        <w:rPr>
          <w:color w:val="000000" w:themeColor="text1"/>
        </w:rPr>
      </w:pPr>
      <w:r w:rsidRPr="00F55A79">
        <w:rPr>
          <w:color w:val="000000" w:themeColor="text1"/>
        </w:rPr>
        <w:t xml:space="preserve">In addition, </w:t>
      </w:r>
      <w:r w:rsidRPr="00F55A79" w:rsidR="005E1DDE">
        <w:rPr>
          <w:color w:val="000000" w:themeColor="text1"/>
        </w:rPr>
        <w:t xml:space="preserve">The Joint Applicants </w:t>
      </w:r>
      <w:r w:rsidRPr="00F55A79">
        <w:rPr>
          <w:color w:val="000000" w:themeColor="text1"/>
        </w:rPr>
        <w:t xml:space="preserve">stated that </w:t>
      </w:r>
      <w:r w:rsidRPr="00F55A79" w:rsidR="005E1DDE">
        <w:rPr>
          <w:color w:val="000000" w:themeColor="text1"/>
        </w:rPr>
        <w:t xml:space="preserve">Verizon </w:t>
      </w:r>
      <w:r w:rsidRPr="00F55A79" w:rsidR="00015F3F">
        <w:rPr>
          <w:color w:val="000000" w:themeColor="text1"/>
        </w:rPr>
        <w:t xml:space="preserve">is </w:t>
      </w:r>
      <w:r w:rsidRPr="00F55A79">
        <w:rPr>
          <w:color w:val="000000" w:themeColor="text1"/>
        </w:rPr>
        <w:t>“</w:t>
      </w:r>
      <w:r w:rsidRPr="00F55A79" w:rsidR="00015F3F">
        <w:rPr>
          <w:color w:val="000000" w:themeColor="text1"/>
        </w:rPr>
        <w:t xml:space="preserve">managerially, technically, and financially well-qualified to complete the acquisition, assume ownership and control of the California Operating Subsidiaries, and operate </w:t>
      </w:r>
      <w:r w:rsidRPr="00F55A79" w:rsidR="00015F3F">
        <w:rPr>
          <w:color w:val="000000" w:themeColor="text1"/>
        </w:rPr>
        <w:lastRenderedPageBreak/>
        <w:t>Frontier’s network.</w:t>
      </w:r>
      <w:r w:rsidRPr="00F55A79">
        <w:rPr>
          <w:color w:val="000000" w:themeColor="text1"/>
        </w:rPr>
        <w:t>”</w:t>
      </w:r>
      <w:r w:rsidRPr="00F55A79">
        <w:rPr>
          <w:rStyle w:val="FootnoteReference"/>
          <w:color w:val="000000" w:themeColor="text1"/>
        </w:rPr>
        <w:footnoteReference w:id="135"/>
      </w:r>
      <w:r w:rsidRPr="00F55A79" w:rsidR="00015F3F">
        <w:rPr>
          <w:color w:val="000000" w:themeColor="text1"/>
        </w:rPr>
        <w:t xml:space="preserve"> </w:t>
      </w:r>
      <w:r w:rsidRPr="00F55A79" w:rsidR="00550CF3">
        <w:rPr>
          <w:color w:val="000000" w:themeColor="text1"/>
        </w:rPr>
        <w:t xml:space="preserve"> </w:t>
      </w:r>
      <w:r w:rsidRPr="00F55A79" w:rsidR="005E1DDE">
        <w:rPr>
          <w:color w:val="000000" w:themeColor="text1"/>
        </w:rPr>
        <w:t>According to the Joint Applicants</w:t>
      </w:r>
      <w:r w:rsidRPr="00F55A79" w:rsidR="0070315F">
        <w:rPr>
          <w:color w:val="000000" w:themeColor="text1"/>
        </w:rPr>
        <w:t xml:space="preserve">, </w:t>
      </w:r>
      <w:r w:rsidRPr="00F55A79" w:rsidR="005E1DDE">
        <w:rPr>
          <w:color w:val="000000" w:themeColor="text1"/>
        </w:rPr>
        <w:t>“</w:t>
      </w:r>
      <w:r w:rsidRPr="00F55A79" w:rsidR="0070315F">
        <w:rPr>
          <w:color w:val="000000" w:themeColor="text1"/>
        </w:rPr>
        <w:t>as the former owner of most of Frontier’s California facilities, Verizon is uniquely familiar with portions of Frontier’s network, the service areas and customers at issue.</w:t>
      </w:r>
      <w:r w:rsidRPr="00F55A79" w:rsidR="005E1DDE">
        <w:rPr>
          <w:color w:val="000000" w:themeColor="text1"/>
        </w:rPr>
        <w:t>”</w:t>
      </w:r>
      <w:r w:rsidRPr="00F55A79" w:rsidR="005E1DDE">
        <w:rPr>
          <w:rStyle w:val="FootnoteReference"/>
          <w:color w:val="000000" w:themeColor="text1"/>
        </w:rPr>
        <w:footnoteReference w:id="136"/>
      </w:r>
      <w:r w:rsidRPr="00F55A79" w:rsidR="0070315F">
        <w:rPr>
          <w:color w:val="000000" w:themeColor="text1"/>
        </w:rPr>
        <w:t xml:space="preserve"> </w:t>
      </w:r>
    </w:p>
    <w:p w:rsidRPr="00F55A79" w:rsidR="0070315F" w:rsidP="0070315F" w:rsidRDefault="009B189B" w14:paraId="269E04B6" w14:textId="5149C425">
      <w:pPr>
        <w:pStyle w:val="Standard"/>
        <w:rPr>
          <w:color w:val="000000" w:themeColor="text1"/>
        </w:rPr>
      </w:pPr>
      <w:r w:rsidRPr="00F55A79">
        <w:rPr>
          <w:color w:val="000000" w:themeColor="text1"/>
        </w:rPr>
        <w:t>Verizon</w:t>
      </w:r>
      <w:r w:rsidRPr="00F55A79" w:rsidR="001D726A">
        <w:rPr>
          <w:color w:val="000000" w:themeColor="text1"/>
        </w:rPr>
        <w:t xml:space="preserve"> also noted that </w:t>
      </w:r>
      <w:r w:rsidRPr="00F55A79">
        <w:rPr>
          <w:color w:val="000000" w:themeColor="text1"/>
        </w:rPr>
        <w:t>it</w:t>
      </w:r>
      <w:r w:rsidRPr="00F55A79" w:rsidR="001D726A">
        <w:rPr>
          <w:color w:val="000000" w:themeColor="text1"/>
        </w:rPr>
        <w:t xml:space="preserve"> had</w:t>
      </w:r>
      <w:r w:rsidRPr="00F55A79" w:rsidR="0070315F">
        <w:rPr>
          <w:color w:val="000000" w:themeColor="text1"/>
        </w:rPr>
        <w:t xml:space="preserve"> a market capitalization of approximately </w:t>
      </w:r>
      <w:r w:rsidRPr="00F55A79" w:rsidR="0070315F">
        <w:t>$185 billion,</w:t>
      </w:r>
      <w:r w:rsidRPr="00F55A79" w:rsidR="006E33DC">
        <w:rPr>
          <w:rStyle w:val="FootnoteReference"/>
          <w:color w:val="000000" w:themeColor="text1"/>
        </w:rPr>
        <w:footnoteReference w:id="137"/>
      </w:r>
      <w:r w:rsidRPr="00F55A79" w:rsidR="0070315F">
        <w:rPr>
          <w:color w:val="000000" w:themeColor="text1"/>
        </w:rPr>
        <w:t xml:space="preserve"> revenues of approximately $134 billion</w:t>
      </w:r>
      <w:r w:rsidRPr="00F55A79" w:rsidR="001D726A">
        <w:rPr>
          <w:color w:val="000000" w:themeColor="text1"/>
        </w:rPr>
        <w:t>,</w:t>
      </w:r>
      <w:r w:rsidRPr="00F55A79" w:rsidR="0070315F">
        <w:rPr>
          <w:color w:val="000000" w:themeColor="text1"/>
        </w:rPr>
        <w:t xml:space="preserve"> and free cash flow of </w:t>
      </w:r>
      <w:r w:rsidRPr="00F55A79" w:rsidR="0070315F">
        <w:t>$18.7 billion in 2023</w:t>
      </w:r>
      <w:r w:rsidRPr="00F55A79" w:rsidR="001D726A">
        <w:t>.</w:t>
      </w:r>
      <w:r w:rsidRPr="00F55A79" w:rsidR="0070315F">
        <w:rPr>
          <w:rStyle w:val="FootnoteReference"/>
          <w:color w:val="000000" w:themeColor="text1"/>
        </w:rPr>
        <w:footnoteReference w:id="138"/>
      </w:r>
      <w:r w:rsidRPr="00F55A79" w:rsidR="0070315F">
        <w:rPr>
          <w:color w:val="000000" w:themeColor="text1"/>
        </w:rPr>
        <w:t xml:space="preserve"> </w:t>
      </w:r>
      <w:r w:rsidRPr="00F55A79" w:rsidR="001D4DF0">
        <w:rPr>
          <w:color w:val="000000" w:themeColor="text1"/>
        </w:rPr>
        <w:t xml:space="preserve"> </w:t>
      </w:r>
      <w:r w:rsidRPr="00F55A79" w:rsidR="0070315F">
        <w:rPr>
          <w:color w:val="000000" w:themeColor="text1"/>
        </w:rPr>
        <w:t xml:space="preserve">Verizon </w:t>
      </w:r>
      <w:r w:rsidRPr="00F55A79" w:rsidR="00F46960">
        <w:rPr>
          <w:color w:val="000000" w:themeColor="text1"/>
        </w:rPr>
        <w:t xml:space="preserve">stated that it </w:t>
      </w:r>
      <w:r w:rsidRPr="00F55A79" w:rsidR="0070315F">
        <w:rPr>
          <w:color w:val="000000" w:themeColor="text1"/>
        </w:rPr>
        <w:t xml:space="preserve">has the financial qualifications to undertake the </w:t>
      </w:r>
      <w:r w:rsidRPr="00F55A79" w:rsidR="00F46960">
        <w:rPr>
          <w:color w:val="000000" w:themeColor="text1"/>
        </w:rPr>
        <w:t>proposed t</w:t>
      </w:r>
      <w:r w:rsidRPr="00F55A79" w:rsidR="0070315F">
        <w:rPr>
          <w:color w:val="000000" w:themeColor="text1"/>
        </w:rPr>
        <w:t xml:space="preserve">ransaction and operate the Frontier companies and </w:t>
      </w:r>
      <w:r w:rsidRPr="00F55A79" w:rsidR="0070315F">
        <w:t>assets.</w:t>
      </w:r>
      <w:r w:rsidRPr="00F55A79" w:rsidR="00F46960">
        <w:rPr>
          <w:rStyle w:val="FootnoteReference"/>
          <w:color w:val="000000" w:themeColor="text1"/>
        </w:rPr>
        <w:footnoteReference w:id="139"/>
      </w:r>
    </w:p>
    <w:p w:rsidRPr="00F55A79" w:rsidR="0070315F" w:rsidP="0070315F" w:rsidRDefault="0072137F" w14:paraId="5C1B136B" w14:textId="3470D2DD">
      <w:pPr>
        <w:pStyle w:val="Standard"/>
        <w:rPr>
          <w:color w:val="000000" w:themeColor="text1"/>
        </w:rPr>
      </w:pPr>
      <w:r w:rsidRPr="00F55A79">
        <w:rPr>
          <w:color w:val="000000" w:themeColor="text1"/>
        </w:rPr>
        <w:t>The Joint Applicants noted that</w:t>
      </w:r>
      <w:r w:rsidRPr="00F55A79" w:rsidR="0070315F">
        <w:rPr>
          <w:color w:val="000000" w:themeColor="text1"/>
        </w:rPr>
        <w:t xml:space="preserve"> Frontier </w:t>
      </w:r>
      <w:r w:rsidRPr="00F55A79">
        <w:rPr>
          <w:color w:val="000000" w:themeColor="text1"/>
        </w:rPr>
        <w:t>“</w:t>
      </w:r>
      <w:r w:rsidRPr="00F55A79" w:rsidR="0070315F">
        <w:rPr>
          <w:color w:val="000000" w:themeColor="text1"/>
        </w:rPr>
        <w:t>is well on its way to completing its plan to build out its fiber network to 10 million homes by 2026</w:t>
      </w:r>
      <w:r w:rsidRPr="00F55A79" w:rsidR="00552C9C">
        <w:rPr>
          <w:color w:val="000000" w:themeColor="text1"/>
        </w:rPr>
        <w:t xml:space="preserve"> [but] </w:t>
      </w:r>
      <w:r w:rsidRPr="00F55A79" w:rsidR="0070315F">
        <w:rPr>
          <w:color w:val="000000" w:themeColor="text1"/>
        </w:rPr>
        <w:t xml:space="preserve">does not have funding in place </w:t>
      </w:r>
      <w:r w:rsidRPr="00F55A79" w:rsidR="0070315F">
        <w:t>for further investment or additional fiber buildouts beyond that point.</w:t>
      </w:r>
      <w:r w:rsidRPr="00F55A79">
        <w:t>”</w:t>
      </w:r>
      <w:r w:rsidRPr="00F55A79">
        <w:rPr>
          <w:rStyle w:val="FootnoteReference"/>
        </w:rPr>
        <w:footnoteReference w:id="140"/>
      </w:r>
      <w:r w:rsidRPr="00F55A79">
        <w:t xml:space="preserve"> </w:t>
      </w:r>
      <w:r w:rsidRPr="00F55A79" w:rsidR="0070315F">
        <w:t xml:space="preserve"> </w:t>
      </w:r>
      <w:r w:rsidRPr="00F55A79" w:rsidR="00552C9C">
        <w:t>According to the Joint Applicants, t</w:t>
      </w:r>
      <w:r w:rsidRPr="00F55A79" w:rsidR="0070315F">
        <w:t xml:space="preserve">he </w:t>
      </w:r>
      <w:r w:rsidRPr="00F55A79" w:rsidR="00552C9C">
        <w:t>proposed t</w:t>
      </w:r>
      <w:r w:rsidRPr="00F55A79" w:rsidR="0070315F">
        <w:t xml:space="preserve">ransaction </w:t>
      </w:r>
      <w:r w:rsidRPr="00F55A79" w:rsidR="00552C9C">
        <w:t>would</w:t>
      </w:r>
      <w:r w:rsidRPr="00F55A79" w:rsidR="0070315F">
        <w:t xml:space="preserve"> </w:t>
      </w:r>
      <w:r w:rsidRPr="00F55A79" w:rsidR="00EE28BB">
        <w:t>“</w:t>
      </w:r>
      <w:r w:rsidRPr="00F55A79" w:rsidR="0070315F">
        <w:t>ensure that Frontier’s current planned buildout is completed (if not completed by closing) and provide financial resources to consider future fiber deployment.</w:t>
      </w:r>
      <w:r w:rsidRPr="00F55A79" w:rsidR="00EE28BB">
        <w:t>”</w:t>
      </w:r>
      <w:r w:rsidRPr="00F55A79" w:rsidR="00EE28BB">
        <w:rPr>
          <w:rStyle w:val="FootnoteReference"/>
        </w:rPr>
        <w:footnoteReference w:id="141"/>
      </w:r>
      <w:r w:rsidRPr="00F55A79" w:rsidR="0070315F">
        <w:t xml:space="preserve"> </w:t>
      </w:r>
      <w:r w:rsidRPr="00F55A79" w:rsidR="00EE28BB">
        <w:t>The Joint Applicants also stated that</w:t>
      </w:r>
      <w:r w:rsidRPr="00F55A79" w:rsidR="0070315F">
        <w:t xml:space="preserve"> the </w:t>
      </w:r>
      <w:r w:rsidRPr="00F55A79" w:rsidR="00EE28BB">
        <w:t xml:space="preserve">proposed transaction would </w:t>
      </w:r>
      <w:r w:rsidRPr="00F55A79" w:rsidR="0070315F">
        <w:t xml:space="preserve">not impact either company’s </w:t>
      </w:r>
      <w:r w:rsidRPr="00F55A79" w:rsidR="00EE28BB">
        <w:t xml:space="preserve">BEAD </w:t>
      </w:r>
      <w:r w:rsidRPr="00F55A79" w:rsidR="0070315F">
        <w:t>plans</w:t>
      </w:r>
      <w:r w:rsidRPr="00F55A79" w:rsidR="00EE28BB">
        <w:t>: “</w:t>
      </w:r>
      <w:r w:rsidRPr="00F55A79" w:rsidR="0070315F">
        <w:t xml:space="preserve">both companies are evaluating BEAD and other broadband subsidy opportunities independently </w:t>
      </w:r>
      <w:r w:rsidRPr="00F55A79" w:rsidR="0070315F">
        <w:lastRenderedPageBreak/>
        <w:t>of one another and, following closing, Verizon will honor all commitments Frontier has made in any broadband grants or deployment programs, including BEAD.</w:t>
      </w:r>
      <w:r w:rsidRPr="00F55A79" w:rsidR="00EE28BB">
        <w:t>”</w:t>
      </w:r>
      <w:r w:rsidRPr="00F55A79" w:rsidR="00EE28BB">
        <w:rPr>
          <w:rStyle w:val="FootnoteReference"/>
          <w:color w:val="000000" w:themeColor="text1"/>
        </w:rPr>
        <w:footnoteReference w:id="142"/>
      </w:r>
      <w:r w:rsidRPr="00F55A79" w:rsidR="0070315F">
        <w:rPr>
          <w:color w:val="000000" w:themeColor="text1"/>
        </w:rPr>
        <w:t xml:space="preserve"> </w:t>
      </w:r>
    </w:p>
    <w:p w:rsidRPr="00F55A79" w:rsidR="001F20CE" w:rsidP="001F20CE" w:rsidRDefault="00D05968" w14:paraId="591E078D" w14:textId="2400CA38">
      <w:pPr>
        <w:pStyle w:val="Standard"/>
        <w:rPr>
          <w:color w:val="000000" w:themeColor="text1"/>
        </w:rPr>
      </w:pPr>
      <w:r w:rsidRPr="00F55A79">
        <w:t>The Joint Applicants stated that, f</w:t>
      </w:r>
      <w:r w:rsidRPr="00F55A79" w:rsidR="001F20CE">
        <w:t xml:space="preserve">ollowing the close of the </w:t>
      </w:r>
      <w:r w:rsidRPr="00F55A79">
        <w:t>proposed t</w:t>
      </w:r>
      <w:r w:rsidRPr="00F55A79" w:rsidR="001F20CE">
        <w:t xml:space="preserve">ransaction, </w:t>
      </w:r>
      <w:r w:rsidRPr="00F55A79">
        <w:t>Verizon would</w:t>
      </w:r>
      <w:r w:rsidRPr="00F55A79" w:rsidR="001F20CE">
        <w:t xml:space="preserve"> </w:t>
      </w:r>
      <w:r w:rsidRPr="00F55A79">
        <w:t>“</w:t>
      </w:r>
      <w:r w:rsidRPr="00F55A79" w:rsidR="001F20CE">
        <w:t>conduct an in-depth audit of Frontier’s fiber and copper networks</w:t>
      </w:r>
      <w:r w:rsidRPr="00F55A79">
        <w:t>”</w:t>
      </w:r>
      <w:r w:rsidRPr="00F55A79" w:rsidR="001F20CE">
        <w:t xml:space="preserve"> and will implement measures</w:t>
      </w:r>
      <w:r w:rsidRPr="00F55A79" w:rsidR="00DB75EE">
        <w:t xml:space="preserve"> to</w:t>
      </w:r>
      <w:r w:rsidRPr="00F55A79" w:rsidR="001F20CE">
        <w:t xml:space="preserve"> align the networks with Verizon’s standards.</w:t>
      </w:r>
      <w:r w:rsidRPr="00F55A79">
        <w:rPr>
          <w:rStyle w:val="FootnoteReference"/>
          <w:color w:val="000000" w:themeColor="text1"/>
        </w:rPr>
        <w:footnoteReference w:id="143"/>
      </w:r>
      <w:r w:rsidRPr="00F55A79" w:rsidR="001F20CE">
        <w:rPr>
          <w:color w:val="000000" w:themeColor="text1"/>
        </w:rPr>
        <w:t xml:space="preserve"> </w:t>
      </w:r>
      <w:r w:rsidRPr="00F55A79">
        <w:rPr>
          <w:color w:val="000000" w:themeColor="text1"/>
        </w:rPr>
        <w:t xml:space="preserve"> </w:t>
      </w:r>
      <w:r w:rsidRPr="00F55A79" w:rsidR="001F20CE">
        <w:rPr>
          <w:color w:val="000000" w:themeColor="text1"/>
        </w:rPr>
        <w:t xml:space="preserve">As part of this review, </w:t>
      </w:r>
      <w:r w:rsidRPr="00F55A79" w:rsidR="001D4DF0">
        <w:rPr>
          <w:color w:val="000000" w:themeColor="text1"/>
        </w:rPr>
        <w:t>the Joint Applicants stated that “</w:t>
      </w:r>
      <w:r w:rsidRPr="00F55A79" w:rsidR="001F20CE">
        <w:rPr>
          <w:color w:val="000000" w:themeColor="text1"/>
        </w:rPr>
        <w:t xml:space="preserve">Verizon will determine how best to address Frontier’s service quality and </w:t>
      </w:r>
      <w:r w:rsidRPr="00F55A79" w:rsidR="001F20CE">
        <w:t>compliance with General Order 133’s service metrics.</w:t>
      </w:r>
      <w:r w:rsidRPr="00F55A79" w:rsidR="001D4DF0">
        <w:t>”</w:t>
      </w:r>
      <w:r w:rsidRPr="00F55A79" w:rsidR="001D4DF0">
        <w:rPr>
          <w:rStyle w:val="FootnoteReference"/>
          <w:color w:val="000000" w:themeColor="text1"/>
        </w:rPr>
        <w:footnoteReference w:id="144"/>
      </w:r>
    </w:p>
    <w:p w:rsidRPr="00F55A79" w:rsidR="00044E1C" w:rsidP="001F20CE" w:rsidRDefault="00044E1C" w14:paraId="4EB817E1" w14:textId="049DB23A">
      <w:pPr>
        <w:pStyle w:val="Standard"/>
        <w:rPr>
          <w:color w:val="000000" w:themeColor="text1"/>
        </w:rPr>
      </w:pPr>
      <w:r w:rsidRPr="00F55A79">
        <w:rPr>
          <w:color w:val="000000" w:themeColor="text1"/>
        </w:rPr>
        <w:t xml:space="preserve">Following the </w:t>
      </w:r>
      <w:r w:rsidRPr="00F55A79" w:rsidR="0041362D">
        <w:rPr>
          <w:color w:val="000000" w:themeColor="text1"/>
        </w:rPr>
        <w:t xml:space="preserve">submission of the settlement agreements, the Joint </w:t>
      </w:r>
      <w:r w:rsidRPr="00F55A79" w:rsidR="0041362D">
        <w:t xml:space="preserve">Applicants noted the </w:t>
      </w:r>
      <w:r w:rsidRPr="00F55A79" w:rsidR="0004558F">
        <w:t xml:space="preserve">commitments they had made to an in-depth audit of Frontier’s fiber and copper networks within twelve months of closing and to bring them </w:t>
      </w:r>
      <w:r w:rsidRPr="00F55A79" w:rsidR="00DB75EE">
        <w:t xml:space="preserve">up </w:t>
      </w:r>
      <w:r w:rsidRPr="00F55A79" w:rsidR="0004558F">
        <w:t>to the Commission’s wireline service quality standards pursuant to GO 133-D.</w:t>
      </w:r>
      <w:r w:rsidRPr="00F55A79" w:rsidR="0004558F">
        <w:rPr>
          <w:rStyle w:val="FootnoteReference"/>
          <w:color w:val="000000" w:themeColor="text1"/>
        </w:rPr>
        <w:footnoteReference w:id="145"/>
      </w:r>
    </w:p>
    <w:p w:rsidRPr="00F55A79" w:rsidR="00EA6998" w:rsidP="00096D54" w:rsidRDefault="00EA6998" w14:paraId="60084F42" w14:textId="296A1765">
      <w:pPr>
        <w:pStyle w:val="Heading3"/>
      </w:pPr>
      <w:bookmarkStart w:name="_Toc216163171" w:id="86"/>
      <w:r w:rsidRPr="00F55A79">
        <w:t>Party Positions</w:t>
      </w:r>
      <w:bookmarkEnd w:id="86"/>
    </w:p>
    <w:p w:rsidRPr="00F55A79" w:rsidR="00DB52BC" w:rsidP="00096D54" w:rsidRDefault="00DB52BC" w14:paraId="6E928013" w14:textId="77777777">
      <w:pPr>
        <w:pStyle w:val="Heading4"/>
      </w:pPr>
      <w:bookmarkStart w:name="_Toc216163172" w:id="87"/>
      <w:r w:rsidRPr="00F55A79">
        <w:t>CETF</w:t>
      </w:r>
      <w:bookmarkEnd w:id="87"/>
      <w:r w:rsidRPr="00F55A79">
        <w:t xml:space="preserve"> </w:t>
      </w:r>
    </w:p>
    <w:p w:rsidRPr="00F55A79" w:rsidR="00DD2399" w:rsidP="00731463" w:rsidRDefault="00D16CA3" w14:paraId="494762C6" w14:textId="21B9949B">
      <w:pPr>
        <w:pStyle w:val="Standard"/>
      </w:pPr>
      <w:r w:rsidRPr="00F55A79">
        <w:rPr>
          <w:color w:val="000000" w:themeColor="text1"/>
        </w:rPr>
        <w:t xml:space="preserve">CETF recommended that the Commission find that the proposed </w:t>
      </w:r>
      <w:r w:rsidRPr="00F55A79">
        <w:t>Transaction will improve the quality of service to consumers.</w:t>
      </w:r>
      <w:r w:rsidRPr="00F55A79">
        <w:rPr>
          <w:rStyle w:val="FootnoteReference"/>
          <w:color w:val="000000" w:themeColor="text1"/>
        </w:rPr>
        <w:footnoteReference w:id="146"/>
      </w:r>
      <w:r w:rsidRPr="00F55A79" w:rsidR="00F93B85">
        <w:rPr>
          <w:color w:val="000000" w:themeColor="text1"/>
        </w:rPr>
        <w:t xml:space="preserve">  Specifically, C</w:t>
      </w:r>
      <w:r w:rsidRPr="00F55A79" w:rsidR="00DD2399">
        <w:rPr>
          <w:color w:val="000000" w:themeColor="text1"/>
        </w:rPr>
        <w:t xml:space="preserve">ETF </w:t>
      </w:r>
      <w:r w:rsidRPr="00F55A79" w:rsidR="00DD2399">
        <w:t xml:space="preserve">noted that Frontier has struggled </w:t>
      </w:r>
      <w:r w:rsidRPr="00F55A79" w:rsidR="00DB75EE">
        <w:t>with</w:t>
      </w:r>
      <w:r w:rsidRPr="00F55A79" w:rsidR="00DD2399">
        <w:t xml:space="preserve"> </w:t>
      </w:r>
      <w:r w:rsidRPr="00F55A79" w:rsidR="00F93B85">
        <w:t xml:space="preserve">service </w:t>
      </w:r>
      <w:r w:rsidRPr="00F55A79" w:rsidR="00DD2399">
        <w:t xml:space="preserve">quality challenges due to </w:t>
      </w:r>
      <w:r w:rsidRPr="00F55A79" w:rsidR="00DB75EE">
        <w:t xml:space="preserve">a </w:t>
      </w:r>
      <w:r w:rsidRPr="00F55A79" w:rsidR="00DD2399">
        <w:t>shortage of financial resources</w:t>
      </w:r>
      <w:r w:rsidRPr="00F55A79" w:rsidR="00F93B85">
        <w:t xml:space="preserve"> and that</w:t>
      </w:r>
      <w:r w:rsidRPr="00F55A79" w:rsidR="00DD2399">
        <w:t xml:space="preserve"> Frontier </w:t>
      </w:r>
      <w:r w:rsidRPr="00F55A79" w:rsidR="00F93B85">
        <w:t>faced s</w:t>
      </w:r>
      <w:r w:rsidRPr="00F55A79" w:rsidR="00DD2399">
        <w:t xml:space="preserve">tiff competition from competitors with lower cost structures, less regulation, more service offerings, </w:t>
      </w:r>
      <w:r w:rsidRPr="00F55A79" w:rsidR="00DD2399">
        <w:lastRenderedPageBreak/>
        <w:t xml:space="preserve">and lower </w:t>
      </w:r>
      <w:r w:rsidRPr="00F55A79" w:rsidR="00DD2399">
        <w:rPr>
          <w:color w:val="000000" w:themeColor="text1"/>
        </w:rPr>
        <w:t>prices.</w:t>
      </w:r>
      <w:r w:rsidRPr="00F55A79">
        <w:rPr>
          <w:rStyle w:val="FootnoteReference"/>
          <w:color w:val="000000" w:themeColor="text1"/>
        </w:rPr>
        <w:footnoteReference w:id="147"/>
      </w:r>
      <w:r w:rsidRPr="00F55A79" w:rsidR="00DD2399">
        <w:rPr>
          <w:color w:val="000000" w:themeColor="text1"/>
          <w:sz w:val="16"/>
          <w:szCs w:val="16"/>
        </w:rPr>
        <w:t xml:space="preserve"> </w:t>
      </w:r>
      <w:r w:rsidRPr="00F55A79" w:rsidR="00F93B85">
        <w:rPr>
          <w:color w:val="000000" w:themeColor="text1"/>
          <w:sz w:val="16"/>
          <w:szCs w:val="16"/>
        </w:rPr>
        <w:t xml:space="preserve"> </w:t>
      </w:r>
      <w:r w:rsidRPr="00F55A79" w:rsidR="001D4DF0">
        <w:rPr>
          <w:color w:val="000000" w:themeColor="text1"/>
          <w:sz w:val="16"/>
          <w:szCs w:val="16"/>
        </w:rPr>
        <w:t xml:space="preserve"> </w:t>
      </w:r>
      <w:r w:rsidRPr="00F55A79" w:rsidR="00F93B85">
        <w:rPr>
          <w:color w:val="000000" w:themeColor="text1"/>
        </w:rPr>
        <w:t xml:space="preserve">CETF further noted that </w:t>
      </w:r>
      <w:r w:rsidRPr="00F55A79" w:rsidR="00ED2A49">
        <w:rPr>
          <w:color w:val="000000" w:themeColor="text1"/>
        </w:rPr>
        <w:t xml:space="preserve">the </w:t>
      </w:r>
      <w:r w:rsidRPr="00F55A79" w:rsidR="00DD2399">
        <w:rPr>
          <w:color w:val="000000" w:themeColor="text1"/>
        </w:rPr>
        <w:t xml:space="preserve">CWA and Cal Advocates </w:t>
      </w:r>
      <w:r w:rsidRPr="00F55A79" w:rsidR="00ED2A49">
        <w:rPr>
          <w:color w:val="000000" w:themeColor="text1"/>
        </w:rPr>
        <w:t>settlement a</w:t>
      </w:r>
      <w:r w:rsidRPr="00F55A79" w:rsidR="00DD2399">
        <w:rPr>
          <w:color w:val="000000" w:themeColor="text1"/>
        </w:rPr>
        <w:t>greement</w:t>
      </w:r>
      <w:r w:rsidRPr="00F55A79" w:rsidR="00ED2A49">
        <w:rPr>
          <w:color w:val="000000" w:themeColor="text1"/>
        </w:rPr>
        <w:t>s</w:t>
      </w:r>
      <w:r w:rsidRPr="00F55A79" w:rsidR="00DD2399">
        <w:rPr>
          <w:color w:val="000000" w:themeColor="text1"/>
        </w:rPr>
        <w:t xml:space="preserve"> </w:t>
      </w:r>
      <w:r w:rsidRPr="00F55A79" w:rsidR="00ED2A49">
        <w:rPr>
          <w:color w:val="000000" w:themeColor="text1"/>
        </w:rPr>
        <w:t>would</w:t>
      </w:r>
      <w:r w:rsidRPr="00F55A79" w:rsidR="00DD2399">
        <w:rPr>
          <w:color w:val="000000" w:themeColor="text1"/>
        </w:rPr>
        <w:t xml:space="preserve"> bring improvements to upgrade the Frontier network up to the Verizon </w:t>
      </w:r>
      <w:r w:rsidRPr="00F55A79" w:rsidR="00DD2399">
        <w:t>standard and the</w:t>
      </w:r>
      <w:r w:rsidRPr="00F55A79" w:rsidR="00ED2A49">
        <w:t xml:space="preserve"> Commission’s</w:t>
      </w:r>
      <w:r w:rsidRPr="00F55A79" w:rsidR="00DD2399">
        <w:t xml:space="preserve"> standards.</w:t>
      </w:r>
      <w:r w:rsidRPr="00F55A79" w:rsidR="00ED2A49">
        <w:rPr>
          <w:vertAlign w:val="superscript"/>
        </w:rPr>
        <w:footnoteReference w:id="148"/>
      </w:r>
    </w:p>
    <w:p w:rsidRPr="00F55A79" w:rsidR="00DB52BC" w:rsidP="00096D54" w:rsidRDefault="00DB52BC" w14:paraId="054848D9" w14:textId="3E7C4FED">
      <w:pPr>
        <w:pStyle w:val="Heading4"/>
      </w:pPr>
      <w:bookmarkStart w:name="_Toc216163173" w:id="88"/>
      <w:r w:rsidRPr="00F55A79">
        <w:t>Cfo</w:t>
      </w:r>
      <w:r w:rsidRPr="00F55A79" w:rsidR="0026788A">
        <w:t>r</w:t>
      </w:r>
      <w:r w:rsidRPr="00F55A79">
        <w:t>AT</w:t>
      </w:r>
      <w:bookmarkEnd w:id="88"/>
    </w:p>
    <w:p w:rsidRPr="00F55A79" w:rsidR="00E93A3E" w:rsidP="00731463" w:rsidRDefault="006B41F0" w14:paraId="505536D1" w14:textId="58F84AD8">
      <w:pPr>
        <w:pStyle w:val="Standard"/>
        <w:rPr>
          <w:color w:val="000000" w:themeColor="text1"/>
        </w:rPr>
      </w:pPr>
      <w:r w:rsidRPr="00F55A79">
        <w:t xml:space="preserve">CforAT cast doubt on </w:t>
      </w:r>
      <w:r w:rsidRPr="00F55A79" w:rsidR="00E93A3E">
        <w:t>Verizon</w:t>
      </w:r>
      <w:r w:rsidRPr="00F55A79" w:rsidR="008D664C">
        <w:t>’s purported</w:t>
      </w:r>
      <w:r w:rsidRPr="00F55A79" w:rsidR="00E93A3E">
        <w:t xml:space="preserve"> </w:t>
      </w:r>
      <w:r w:rsidRPr="00F55A79" w:rsidR="008D664C">
        <w:t xml:space="preserve">use of </w:t>
      </w:r>
      <w:r w:rsidRPr="00F55A79" w:rsidR="00E93A3E">
        <w:t>innovative tools and technology to further improve Frontier’s network reliability.</w:t>
      </w:r>
      <w:r w:rsidRPr="00F55A79" w:rsidR="008D664C">
        <w:rPr>
          <w:rStyle w:val="FootnoteReference"/>
          <w:color w:val="000000" w:themeColor="text1"/>
        </w:rPr>
        <w:footnoteReference w:id="149"/>
      </w:r>
      <w:r w:rsidRPr="00F55A79" w:rsidR="00E93A3E">
        <w:rPr>
          <w:color w:val="000000" w:themeColor="text1"/>
        </w:rPr>
        <w:t xml:space="preserve"> </w:t>
      </w:r>
      <w:r w:rsidRPr="00F55A79" w:rsidR="0022027B">
        <w:rPr>
          <w:color w:val="000000" w:themeColor="text1"/>
        </w:rPr>
        <w:t xml:space="preserve"> Further</w:t>
      </w:r>
      <w:r w:rsidRPr="00F55A79" w:rsidR="00DA0D59">
        <w:rPr>
          <w:color w:val="000000" w:themeColor="text1"/>
        </w:rPr>
        <w:t xml:space="preserve">, CforAT argued that </w:t>
      </w:r>
      <w:r w:rsidRPr="00F55A79" w:rsidR="00E93A3E">
        <w:rPr>
          <w:color w:val="000000" w:themeColor="text1"/>
        </w:rPr>
        <w:t xml:space="preserve">Verizon </w:t>
      </w:r>
      <w:r w:rsidRPr="00F55A79" w:rsidR="00F455E3">
        <w:rPr>
          <w:color w:val="000000" w:themeColor="text1"/>
        </w:rPr>
        <w:t>“</w:t>
      </w:r>
      <w:r w:rsidRPr="00F55A79" w:rsidR="00E93A3E">
        <w:rPr>
          <w:color w:val="000000" w:themeColor="text1"/>
        </w:rPr>
        <w:t xml:space="preserve">has </w:t>
      </w:r>
      <w:r w:rsidRPr="00F55A79" w:rsidR="00E93A3E">
        <w:t>identified initiatives that it might implement. While the implication is that Verizon will take steps that will improve the service quality of Frontier’s network, the record does not demonstrate that this is the case.</w:t>
      </w:r>
      <w:r w:rsidRPr="00F55A79" w:rsidR="00F455E3">
        <w:t>”</w:t>
      </w:r>
      <w:r w:rsidRPr="00F55A79" w:rsidR="00F455E3">
        <w:rPr>
          <w:rStyle w:val="FootnoteReference"/>
          <w:color w:val="000000" w:themeColor="text1"/>
        </w:rPr>
        <w:footnoteReference w:id="150"/>
      </w:r>
    </w:p>
    <w:p w:rsidRPr="00F55A79" w:rsidR="00386763" w:rsidP="00731463" w:rsidRDefault="00F455E3" w14:paraId="6B424AB2" w14:textId="59851FFD">
      <w:pPr>
        <w:pStyle w:val="Standard"/>
        <w:rPr>
          <w:color w:val="000000" w:themeColor="text1"/>
        </w:rPr>
      </w:pPr>
      <w:r w:rsidRPr="00F55A79">
        <w:t xml:space="preserve">CforAT stated that </w:t>
      </w:r>
      <w:r w:rsidRPr="00F55A79" w:rsidR="00E93A3E">
        <w:t xml:space="preserve">Joint Applicants fail to justify their conclusion with any real analysis, </w:t>
      </w:r>
      <w:r w:rsidRPr="00F55A79">
        <w:t>“</w:t>
      </w:r>
      <w:r w:rsidRPr="00F55A79" w:rsidR="00E93A3E">
        <w:t>apparently hoping that the Commission will take their assertions at face value.</w:t>
      </w:r>
      <w:r w:rsidRPr="00F55A79">
        <w:t>”</w:t>
      </w:r>
      <w:r w:rsidRPr="00F55A79">
        <w:rPr>
          <w:rStyle w:val="FootnoteReference"/>
          <w:color w:val="000000" w:themeColor="text1"/>
        </w:rPr>
        <w:footnoteReference w:id="151"/>
      </w:r>
      <w:r w:rsidRPr="00F55A79" w:rsidR="00E93A3E">
        <w:rPr>
          <w:color w:val="000000" w:themeColor="text1"/>
        </w:rPr>
        <w:t xml:space="preserve"> </w:t>
      </w:r>
      <w:r w:rsidRPr="00F55A79" w:rsidR="00A7697D">
        <w:rPr>
          <w:color w:val="000000" w:themeColor="text1"/>
        </w:rPr>
        <w:t xml:space="preserve"> </w:t>
      </w:r>
      <w:r w:rsidRPr="00F55A79" w:rsidR="00056CB6">
        <w:rPr>
          <w:color w:val="000000" w:themeColor="text1"/>
        </w:rPr>
        <w:t>CforAT further noted that p</w:t>
      </w:r>
      <w:r w:rsidRPr="00F55A79" w:rsidR="006B41F0">
        <w:rPr>
          <w:color w:val="000000" w:themeColor="text1"/>
        </w:rPr>
        <w:t>rior to Verizon’s sale of its wireless assets to Frontier in 2015, Verizon did not adequately maintain its wireline network</w:t>
      </w:r>
      <w:r w:rsidRPr="00F55A79" w:rsidR="00386763">
        <w:rPr>
          <w:color w:val="000000" w:themeColor="text1"/>
        </w:rPr>
        <w:t>, and</w:t>
      </w:r>
    </w:p>
    <w:p w:rsidRPr="00F55A79" w:rsidR="006B41F0" w:rsidP="00731463" w:rsidRDefault="006B41F0" w14:paraId="7AA8832D" w14:textId="7B91B8E6">
      <w:pPr>
        <w:pStyle w:val="BlockQuote"/>
      </w:pPr>
      <w:r w:rsidRPr="00F55A79">
        <w:rPr>
          <w:color w:val="000000" w:themeColor="text1"/>
        </w:rPr>
        <w:t xml:space="preserve">Now that it seeks to reacquire the network facilities that it previously sold to Frontier, Verizon apparently expects the Commission to believe that its past inability or unwillingness to maintain its network will </w:t>
      </w:r>
      <w:r w:rsidRPr="00F55A79">
        <w:t>not be repeated, and that they will do better now. This is especially questionable because Verizon has not been responsible for wireline facilities for almost a decade.</w:t>
      </w:r>
      <w:r w:rsidRPr="00F55A79" w:rsidR="00386763">
        <w:rPr>
          <w:rStyle w:val="FootnoteReference"/>
        </w:rPr>
        <w:footnoteReference w:id="152"/>
      </w:r>
    </w:p>
    <w:p w:rsidRPr="00F55A79" w:rsidR="006B41F0" w:rsidP="00E72517" w:rsidRDefault="00386763" w14:paraId="2DBD3F26" w14:textId="43F5D512">
      <w:pPr>
        <w:pStyle w:val="Standard"/>
        <w:ind w:firstLine="0"/>
      </w:pPr>
      <w:r w:rsidRPr="00F55A79">
        <w:lastRenderedPageBreak/>
        <w:t>CforAT caution</w:t>
      </w:r>
      <w:r w:rsidRPr="00F55A79" w:rsidR="00E72517">
        <w:t>ed</w:t>
      </w:r>
      <w:r w:rsidRPr="00F55A79">
        <w:t xml:space="preserve"> </w:t>
      </w:r>
      <w:r w:rsidRPr="00F55A79" w:rsidR="006B41F0">
        <w:t xml:space="preserve">the Commission </w:t>
      </w:r>
      <w:r w:rsidRPr="00F55A79">
        <w:t xml:space="preserve">to </w:t>
      </w:r>
      <w:r w:rsidRPr="00F55A79" w:rsidR="006B41F0">
        <w:t>be skeptical of claims that Verizon will be able to quickly audit and repair Frontier’s network, with no additional information or analysis.</w:t>
      </w:r>
      <w:r w:rsidRPr="00F55A79">
        <w:rPr>
          <w:rStyle w:val="FootnoteReference"/>
        </w:rPr>
        <w:footnoteReference w:id="153"/>
      </w:r>
    </w:p>
    <w:p w:rsidRPr="00F55A79" w:rsidR="006B41F0" w:rsidP="00731463" w:rsidRDefault="00386763" w14:paraId="2B38F7C8" w14:textId="16B5A288">
      <w:pPr>
        <w:pStyle w:val="Standard"/>
        <w:rPr>
          <w:color w:val="000000" w:themeColor="text1"/>
        </w:rPr>
      </w:pPr>
      <w:r w:rsidRPr="00F55A79">
        <w:t>CforAT further ask</w:t>
      </w:r>
      <w:r w:rsidRPr="00F55A79" w:rsidR="00E72517">
        <w:t>ed</w:t>
      </w:r>
      <w:r w:rsidRPr="00F55A79">
        <w:t xml:space="preserve"> t</w:t>
      </w:r>
      <w:r w:rsidRPr="00F55A79" w:rsidR="006B41F0">
        <w:t xml:space="preserve">he Commission </w:t>
      </w:r>
      <w:r w:rsidRPr="00F55A79">
        <w:t>to</w:t>
      </w:r>
      <w:r w:rsidRPr="00F55A79" w:rsidR="006B41F0">
        <w:t xml:space="preserve"> find that Joint Applicants have failed to demonstrate that the proposed transaction will maintain or improve the quality of service to public utility ratepayers in the state. </w:t>
      </w:r>
      <w:r w:rsidRPr="00F55A79" w:rsidR="00E64724">
        <w:t xml:space="preserve"> </w:t>
      </w:r>
      <w:r w:rsidRPr="00F55A79">
        <w:t>If</w:t>
      </w:r>
      <w:r w:rsidRPr="00F55A79" w:rsidR="006B41F0">
        <w:t xml:space="preserve"> the Commission</w:t>
      </w:r>
      <w:r w:rsidRPr="00F55A79">
        <w:t xml:space="preserve"> approves the transaction, CforAT recommend</w:t>
      </w:r>
      <w:r w:rsidRPr="00F55A79" w:rsidR="00E72517">
        <w:t>ed</w:t>
      </w:r>
      <w:r w:rsidRPr="00F55A79">
        <w:t xml:space="preserve"> that </w:t>
      </w:r>
      <w:r w:rsidRPr="00F55A79" w:rsidR="006B41F0">
        <w:t>it should require that the combined company audit Frontier’s network and service quality and take action to bring them into compliance with the Commission’s service quality metrics no later than one year after the close of the transaction.</w:t>
      </w:r>
      <w:r w:rsidRPr="00F55A79">
        <w:rPr>
          <w:rStyle w:val="FootnoteReference"/>
          <w:color w:val="000000" w:themeColor="text1"/>
        </w:rPr>
        <w:footnoteReference w:id="154"/>
      </w:r>
    </w:p>
    <w:p w:rsidRPr="00F55A79" w:rsidR="00DB52BC" w:rsidP="00096D54" w:rsidRDefault="00DB52BC" w14:paraId="0527A0F2" w14:textId="0CBEA04A">
      <w:pPr>
        <w:pStyle w:val="Heading4"/>
        <w:rPr>
          <w:color w:val="000000" w:themeColor="text1"/>
        </w:rPr>
      </w:pPr>
      <w:bookmarkStart w:name="_Toc216163174" w:id="89"/>
      <w:r w:rsidRPr="00F55A79">
        <w:rPr>
          <w:color w:val="000000" w:themeColor="text1"/>
        </w:rPr>
        <w:t>TURN</w:t>
      </w:r>
      <w:bookmarkEnd w:id="89"/>
    </w:p>
    <w:p w:rsidRPr="00F55A79" w:rsidR="00BB118F" w:rsidP="00731463" w:rsidRDefault="00C7766C" w14:paraId="5D6180A5" w14:textId="17D252D5">
      <w:pPr>
        <w:pStyle w:val="Standard"/>
        <w:rPr>
          <w:color w:val="000000" w:themeColor="text1"/>
        </w:rPr>
      </w:pPr>
      <w:r w:rsidRPr="00F55A79">
        <w:rPr>
          <w:color w:val="000000" w:themeColor="text1"/>
        </w:rPr>
        <w:t xml:space="preserve">TURN </w:t>
      </w:r>
      <w:r w:rsidRPr="00F55A79">
        <w:t>argued that – a</w:t>
      </w:r>
      <w:r w:rsidRPr="00F55A79" w:rsidR="00BB118F">
        <w:t>bsent</w:t>
      </w:r>
      <w:r w:rsidRPr="00F55A79">
        <w:t xml:space="preserve"> </w:t>
      </w:r>
      <w:r w:rsidRPr="00F55A79" w:rsidR="00BB118F">
        <w:t>mitigation measures above and beyond service quality conditions contained in the settlements reached by CETF, Cal Advocates and CWA</w:t>
      </w:r>
      <w:r w:rsidRPr="00F55A79">
        <w:t xml:space="preserve"> – </w:t>
      </w:r>
      <w:r w:rsidRPr="00F55A79" w:rsidR="00BB118F">
        <w:t>the</w:t>
      </w:r>
      <w:r w:rsidRPr="00F55A79">
        <w:t xml:space="preserve"> </w:t>
      </w:r>
      <w:r w:rsidRPr="00F55A79" w:rsidR="00BB118F">
        <w:t>proposed transaction does not maintain or improve Frontier’s quality of service.</w:t>
      </w:r>
      <w:r w:rsidRPr="00F55A79">
        <w:rPr>
          <w:rStyle w:val="FootnoteReference"/>
          <w:color w:val="000000" w:themeColor="text1"/>
        </w:rPr>
        <w:footnoteReference w:id="155"/>
      </w:r>
      <w:r w:rsidRPr="00F55A79" w:rsidR="00BB118F">
        <w:rPr>
          <w:color w:val="000000" w:themeColor="text1"/>
        </w:rPr>
        <w:t xml:space="preserve"> </w:t>
      </w:r>
      <w:r w:rsidRPr="00F55A79">
        <w:rPr>
          <w:color w:val="000000" w:themeColor="text1"/>
        </w:rPr>
        <w:t xml:space="preserve"> TURN </w:t>
      </w:r>
      <w:r w:rsidRPr="00F55A79" w:rsidR="003920EE">
        <w:rPr>
          <w:color w:val="000000" w:themeColor="text1"/>
        </w:rPr>
        <w:t>a</w:t>
      </w:r>
      <w:r w:rsidRPr="00F55A79">
        <w:rPr>
          <w:color w:val="000000" w:themeColor="text1"/>
        </w:rPr>
        <w:t>rgued that</w:t>
      </w:r>
      <w:r w:rsidRPr="00F55A79" w:rsidR="00BB118F">
        <w:rPr>
          <w:color w:val="000000" w:themeColor="text1"/>
        </w:rPr>
        <w:t xml:space="preserve"> </w:t>
      </w:r>
      <w:r w:rsidRPr="00F55A79" w:rsidR="00BB118F">
        <w:t>the Cal Advocates and CWA settlements fail to ensure that Verizon will bring Frontier’s networks into compliance with the Commission’s GO 133 service quality metrics</w:t>
      </w:r>
      <w:r w:rsidRPr="00F55A79" w:rsidR="00BB118F">
        <w:rPr>
          <w:rStyle w:val="FootnoteReference"/>
          <w:color w:val="000000" w:themeColor="text1"/>
        </w:rPr>
        <w:footnoteReference w:id="156"/>
      </w:r>
      <w:r w:rsidRPr="00F55A79" w:rsidR="00BB118F">
        <w:rPr>
          <w:color w:val="000000" w:themeColor="text1"/>
        </w:rPr>
        <w:t>—</w:t>
      </w:r>
      <w:r w:rsidRPr="00F55A79" w:rsidR="00BB118F">
        <w:t>including the conditions necessary to maintain future compliance.</w:t>
      </w:r>
      <w:r w:rsidRPr="00F55A79">
        <w:rPr>
          <w:rStyle w:val="FootnoteReference"/>
          <w:color w:val="000000" w:themeColor="text1"/>
        </w:rPr>
        <w:footnoteReference w:id="157"/>
      </w:r>
    </w:p>
    <w:p w:rsidRPr="00F55A79" w:rsidR="003403C4" w:rsidP="00731463" w:rsidRDefault="003920EE" w14:paraId="20093888" w14:textId="3B31BF8C">
      <w:pPr>
        <w:pStyle w:val="Standard"/>
        <w:rPr>
          <w:color w:val="000000" w:themeColor="text1"/>
        </w:rPr>
      </w:pPr>
      <w:r w:rsidRPr="00F55A79">
        <w:rPr>
          <w:color w:val="000000" w:themeColor="text1"/>
        </w:rPr>
        <w:t xml:space="preserve">TURN </w:t>
      </w:r>
      <w:r w:rsidRPr="00F55A79">
        <w:t>also argued that</w:t>
      </w:r>
      <w:r w:rsidRPr="00F55A79" w:rsidR="00BB118F">
        <w:t xml:space="preserve"> </w:t>
      </w:r>
      <w:r w:rsidRPr="00F55A79">
        <w:t>“</w:t>
      </w:r>
      <w:r w:rsidRPr="00F55A79" w:rsidR="00BB118F">
        <w:t xml:space="preserve">the record demonstrates that Frontier’s consistent failure to meet or exceed the Commission’s adjusted </w:t>
      </w:r>
      <w:r w:rsidRPr="00F55A79" w:rsidR="00587DEA">
        <w:t>[</w:t>
      </w:r>
      <w:r w:rsidRPr="00F55A79" w:rsidR="00BB118F">
        <w:t>OOS</w:t>
      </w:r>
      <w:r w:rsidRPr="00F55A79" w:rsidR="00587DEA">
        <w:t>]</w:t>
      </w:r>
      <w:r w:rsidRPr="00F55A79" w:rsidR="00BB118F">
        <w:t xml:space="preserve"> metrics is correlated </w:t>
      </w:r>
      <w:r w:rsidRPr="00F55A79" w:rsidR="00BB118F">
        <w:lastRenderedPageBreak/>
        <w:t xml:space="preserve">in a decline in </w:t>
      </w:r>
      <w:r w:rsidRPr="00F55A79" w:rsidR="000B2A80">
        <w:t>Lifeline</w:t>
      </w:r>
      <w:r w:rsidRPr="00F55A79" w:rsidR="00BB118F">
        <w:t xml:space="preserve"> subscribership.</w:t>
      </w:r>
      <w:r w:rsidRPr="00F55A79">
        <w:t>”</w:t>
      </w:r>
      <w:r w:rsidRPr="00F55A79" w:rsidR="00BB118F">
        <w:rPr>
          <w:rStyle w:val="FootnoteReference"/>
          <w:color w:val="000000" w:themeColor="text1"/>
        </w:rPr>
        <w:footnoteReference w:id="158"/>
      </w:r>
      <w:r w:rsidRPr="00F55A79">
        <w:rPr>
          <w:color w:val="000000" w:themeColor="text1"/>
        </w:rPr>
        <w:t xml:space="preserve"> </w:t>
      </w:r>
      <w:r w:rsidRPr="00F55A79" w:rsidR="00F9385C">
        <w:rPr>
          <w:color w:val="000000" w:themeColor="text1"/>
        </w:rPr>
        <w:t xml:space="preserve"> In particular, </w:t>
      </w:r>
      <w:r w:rsidRPr="00F55A79" w:rsidR="00F9385C">
        <w:t>TURN noted that i</w:t>
      </w:r>
      <w:r w:rsidRPr="00F55A79">
        <w:t>n the Frontier bankruptcy</w:t>
      </w:r>
      <w:r w:rsidRPr="00F55A79" w:rsidR="00F9385C">
        <w:t xml:space="preserve"> proceeding</w:t>
      </w:r>
      <w:r w:rsidRPr="00F55A79">
        <w:t xml:space="preserve">, the compliance monitor </w:t>
      </w:r>
      <w:r w:rsidRPr="00F55A79" w:rsidR="00BB118F">
        <w:t>found that Frontier had complied with GO 133-D requirements by paying a fine, despite not meeting the OOS metric.</w:t>
      </w:r>
      <w:r w:rsidRPr="00F55A79" w:rsidR="00BB118F">
        <w:rPr>
          <w:rStyle w:val="FootnoteReference"/>
          <w:color w:val="000000" w:themeColor="text1"/>
        </w:rPr>
        <w:footnoteReference w:id="159"/>
      </w:r>
      <w:r w:rsidRPr="00F55A79" w:rsidR="00BB118F">
        <w:rPr>
          <w:color w:val="000000" w:themeColor="text1"/>
        </w:rPr>
        <w:t xml:space="preserve">  </w:t>
      </w:r>
      <w:r w:rsidRPr="00F55A79" w:rsidR="004C5622">
        <w:rPr>
          <w:color w:val="000000" w:themeColor="text1"/>
        </w:rPr>
        <w:t>According to TURN, c</w:t>
      </w:r>
      <w:r w:rsidRPr="00F55A79" w:rsidR="00BB118F">
        <w:rPr>
          <w:color w:val="000000" w:themeColor="text1"/>
        </w:rPr>
        <w:t xml:space="preserve">onsumers suffer from </w:t>
      </w:r>
      <w:r w:rsidRPr="00F55A79" w:rsidR="00BB118F">
        <w:t>poor service quality on essential voice services when Frontier “complies” by paying a fine.</w:t>
      </w:r>
      <w:r w:rsidRPr="00F55A79" w:rsidR="00BB118F">
        <w:rPr>
          <w:rStyle w:val="FootnoteReference"/>
          <w:color w:val="000000" w:themeColor="text1"/>
        </w:rPr>
        <w:footnoteReference w:id="160"/>
      </w:r>
      <w:r w:rsidRPr="00F55A79" w:rsidR="00BB118F">
        <w:rPr>
          <w:color w:val="000000" w:themeColor="text1"/>
        </w:rPr>
        <w:t xml:space="preserve">  T</w:t>
      </w:r>
      <w:r w:rsidRPr="00F55A79" w:rsidR="002C0258">
        <w:rPr>
          <w:color w:val="000000" w:themeColor="text1"/>
        </w:rPr>
        <w:t>URN argued that t</w:t>
      </w:r>
      <w:r w:rsidRPr="00F55A79" w:rsidR="00BB118F">
        <w:rPr>
          <w:color w:val="000000" w:themeColor="text1"/>
        </w:rPr>
        <w:t xml:space="preserve">he </w:t>
      </w:r>
      <w:r w:rsidRPr="00F55A79" w:rsidR="00BB118F">
        <w:t xml:space="preserve">Commission should hold Verizon accountable for </w:t>
      </w:r>
      <w:r w:rsidRPr="00F55A79" w:rsidR="0063069F">
        <w:t>meeting OOS metrics rather than paying fines.</w:t>
      </w:r>
      <w:r w:rsidRPr="00F55A79" w:rsidR="003403C4">
        <w:rPr>
          <w:rStyle w:val="FootnoteReference"/>
          <w:color w:val="000000" w:themeColor="text1"/>
        </w:rPr>
        <w:footnoteReference w:id="161"/>
      </w:r>
    </w:p>
    <w:p w:rsidRPr="00F55A79" w:rsidR="003403C4" w:rsidP="00731463" w:rsidRDefault="003403C4" w14:paraId="31147020" w14:textId="79AA06D6">
      <w:pPr>
        <w:pStyle w:val="Standard"/>
        <w:rPr>
          <w:color w:val="000000" w:themeColor="text1"/>
        </w:rPr>
      </w:pPr>
      <w:r w:rsidRPr="00F55A79">
        <w:rPr>
          <w:color w:val="000000" w:themeColor="text1"/>
        </w:rPr>
        <w:t xml:space="preserve">Relatedly, TURN acknowledges that the Commission recently adopted more stringent GO 133-E service quality metrics, but those new metrics do not take effect until </w:t>
      </w:r>
      <w:r w:rsidRPr="00F55A79">
        <w:t>January 1, 2027.  Therefore, TURN recommended that any service quality-related conditions should meet the improved compliance metrics set forth in GO 133-E.</w:t>
      </w:r>
      <w:r w:rsidRPr="00F55A79">
        <w:rPr>
          <w:rStyle w:val="FootnoteReference"/>
          <w:color w:val="000000" w:themeColor="text1"/>
        </w:rPr>
        <w:footnoteReference w:id="162"/>
      </w:r>
    </w:p>
    <w:p w:rsidRPr="00F55A79" w:rsidR="006D31CC" w:rsidP="006D31CC" w:rsidRDefault="00850CC5" w14:paraId="43ED9CB4" w14:textId="515BC478">
      <w:pPr>
        <w:pStyle w:val="Standard"/>
        <w:rPr>
          <w:color w:val="000000" w:themeColor="text1"/>
        </w:rPr>
      </w:pPr>
      <w:r w:rsidRPr="00F55A79">
        <w:t>TURN stated that, u</w:t>
      </w:r>
      <w:r w:rsidRPr="00F55A79" w:rsidR="003403C4">
        <w:t xml:space="preserve">nder the current rules, </w:t>
      </w:r>
      <w:r w:rsidRPr="00F55A79" w:rsidR="00A10A7D">
        <w:t>“</w:t>
      </w:r>
      <w:r w:rsidRPr="00F55A79" w:rsidR="003403C4">
        <w:t xml:space="preserve">Frontier’s </w:t>
      </w:r>
      <w:r w:rsidRPr="00F55A79" w:rsidR="00A10A7D">
        <w:t>c</w:t>
      </w:r>
      <w:r w:rsidRPr="00F55A79" w:rsidR="003403C4">
        <w:t>hronic failure to meet or exceed the GO 133-D service quality metrics is the status quo.</w:t>
      </w:r>
      <w:r w:rsidRPr="00F55A79" w:rsidR="00A10A7D">
        <w:t>”</w:t>
      </w:r>
      <w:r w:rsidRPr="00F55A79" w:rsidR="00A10A7D">
        <w:rPr>
          <w:rStyle w:val="FootnoteReference"/>
        </w:rPr>
        <w:footnoteReference w:id="163"/>
      </w:r>
      <w:r w:rsidRPr="00F55A79" w:rsidR="003403C4">
        <w:t xml:space="preserve"> </w:t>
      </w:r>
      <w:r w:rsidRPr="00F55A79" w:rsidR="00963148">
        <w:t xml:space="preserve"> </w:t>
      </w:r>
      <w:r w:rsidRPr="00F55A79" w:rsidR="000F1815">
        <w:t xml:space="preserve">TURN </w:t>
      </w:r>
      <w:r w:rsidRPr="00F55A79" w:rsidR="000F1815">
        <w:rPr>
          <w:color w:val="000000" w:themeColor="text1"/>
        </w:rPr>
        <w:t xml:space="preserve">noted that </w:t>
      </w:r>
      <w:r w:rsidRPr="00F55A79" w:rsidR="003403C4">
        <w:rPr>
          <w:color w:val="000000" w:themeColor="text1"/>
        </w:rPr>
        <w:t>Frontier California was only in compliance with the GO 133-D’s Out-</w:t>
      </w:r>
      <w:r w:rsidRPr="00F55A79" w:rsidR="003403C4">
        <w:t>of-Service (OOS) metric</w:t>
      </w:r>
      <w:r w:rsidRPr="00F55A79" w:rsidR="00FF09F1">
        <w:rPr>
          <w:rStyle w:val="FootnoteReference"/>
          <w:color w:val="000000" w:themeColor="text1"/>
        </w:rPr>
        <w:footnoteReference w:id="164"/>
      </w:r>
      <w:r w:rsidRPr="00F55A79" w:rsidR="003403C4">
        <w:t xml:space="preserve"> for 25 out of the 111</w:t>
      </w:r>
      <w:r w:rsidRPr="00F55A79" w:rsidR="003403C4">
        <w:rPr>
          <w:color w:val="000000" w:themeColor="text1"/>
        </w:rPr>
        <w:t xml:space="preserve"> </w:t>
      </w:r>
      <w:r w:rsidRPr="00F55A79" w:rsidR="003403C4">
        <w:t>months between January 2016 through March 2025</w:t>
      </w:r>
      <w:r w:rsidRPr="00F55A79" w:rsidR="000F1815">
        <w:t xml:space="preserve">, </w:t>
      </w:r>
      <w:r w:rsidRPr="00F55A79" w:rsidR="003403C4">
        <w:t>a compliance rate of 23 percent.</w:t>
      </w:r>
      <w:r w:rsidRPr="00F55A79" w:rsidR="000F1815">
        <w:rPr>
          <w:rStyle w:val="FootnoteReference"/>
          <w:color w:val="000000" w:themeColor="text1"/>
        </w:rPr>
        <w:footnoteReference w:id="165"/>
      </w:r>
      <w:r w:rsidRPr="00F55A79" w:rsidR="003403C4">
        <w:rPr>
          <w:color w:val="000000" w:themeColor="text1"/>
        </w:rPr>
        <w:t xml:space="preserve"> </w:t>
      </w:r>
      <w:r w:rsidRPr="00F55A79" w:rsidR="000F1815">
        <w:rPr>
          <w:color w:val="000000" w:themeColor="text1"/>
        </w:rPr>
        <w:t xml:space="preserve"> </w:t>
      </w:r>
      <w:r w:rsidRPr="00F55A79" w:rsidR="00060040">
        <w:rPr>
          <w:color w:val="000000" w:themeColor="text1"/>
        </w:rPr>
        <w:t xml:space="preserve">TURN further noted that </w:t>
      </w:r>
      <w:r w:rsidRPr="00F55A79" w:rsidR="00060040">
        <w:rPr>
          <w:color w:val="000000" w:themeColor="text1"/>
        </w:rPr>
        <w:lastRenderedPageBreak/>
        <w:t xml:space="preserve">a </w:t>
      </w:r>
      <w:r w:rsidRPr="00F55A79" w:rsidR="003403C4">
        <w:rPr>
          <w:color w:val="000000" w:themeColor="text1"/>
        </w:rPr>
        <w:t xml:space="preserve"> recent Commission resolution reflects that Frontier California and Frontier </w:t>
      </w:r>
      <w:r w:rsidRPr="00F55A79" w:rsidR="003403C4">
        <w:t>Citizens’ OOS did not meet the Commission’s standards “for eight consecutive months in 2024</w:t>
      </w:r>
      <w:r w:rsidRPr="00F55A79" w:rsidR="00D67D13">
        <w:t>.”</w:t>
      </w:r>
      <w:r w:rsidRPr="00F55A79" w:rsidR="00D67D13">
        <w:rPr>
          <w:vertAlign w:val="superscript"/>
        </w:rPr>
        <w:footnoteReference w:id="166"/>
      </w:r>
      <w:r w:rsidRPr="00F55A79" w:rsidR="00D67D13">
        <w:t xml:space="preserve"> </w:t>
      </w:r>
      <w:r w:rsidRPr="00F55A79" w:rsidR="006D31CC">
        <w:t xml:space="preserve"> TURN </w:t>
      </w:r>
      <w:r w:rsidRPr="00F55A79" w:rsidR="00CA21EF">
        <w:t>stated</w:t>
      </w:r>
      <w:r w:rsidRPr="00F55A79" w:rsidR="006D31CC">
        <w:t xml:space="preserve"> that the</w:t>
      </w:r>
      <w:r w:rsidRPr="00F55A79" w:rsidR="00CA21EF">
        <w:t xml:space="preserve"> outages</w:t>
      </w:r>
      <w:r w:rsidRPr="00F55A79" w:rsidR="006D31CC">
        <w:t xml:space="preserve"> </w:t>
      </w:r>
      <w:r w:rsidRPr="00F55A79" w:rsidR="00D047A6">
        <w:t>are ongoing</w:t>
      </w:r>
      <w:r w:rsidRPr="00F55A79" w:rsidR="00A12686">
        <w:t>,</w:t>
      </w:r>
      <w:r w:rsidRPr="00F55A79" w:rsidR="00A12686">
        <w:rPr>
          <w:vertAlign w:val="superscript"/>
        </w:rPr>
        <w:footnoteReference w:id="167"/>
      </w:r>
      <w:r w:rsidRPr="00F55A79" w:rsidR="00A12686">
        <w:rPr>
          <w:color w:val="000000" w:themeColor="text1"/>
        </w:rPr>
        <w:t xml:space="preserve"> </w:t>
      </w:r>
      <w:r w:rsidRPr="00F55A79" w:rsidR="00CA21EF">
        <w:rPr>
          <w:color w:val="000000" w:themeColor="text1"/>
        </w:rPr>
        <w:t xml:space="preserve">and argued that </w:t>
      </w:r>
      <w:r w:rsidRPr="00F55A79" w:rsidR="006D31CC">
        <w:rPr>
          <w:color w:val="000000" w:themeColor="text1"/>
        </w:rPr>
        <w:t>the record reflects that Frontier’s service quality has been better under Frontier’s ownership</w:t>
      </w:r>
      <w:r w:rsidRPr="00F55A79" w:rsidR="00CA21EF">
        <w:rPr>
          <w:color w:val="000000" w:themeColor="text1"/>
        </w:rPr>
        <w:t xml:space="preserve"> than under Verizon’s prior </w:t>
      </w:r>
      <w:r w:rsidRPr="00F55A79" w:rsidR="00CA21EF">
        <w:t>ownership</w:t>
      </w:r>
      <w:r w:rsidRPr="00F55A79" w:rsidR="006D31CC">
        <w:t>.</w:t>
      </w:r>
      <w:r w:rsidRPr="00F55A79" w:rsidR="006D31CC">
        <w:rPr>
          <w:rStyle w:val="FootnoteReference"/>
          <w:color w:val="000000" w:themeColor="text1"/>
        </w:rPr>
        <w:footnoteReference w:id="168"/>
      </w:r>
    </w:p>
    <w:p w:rsidRPr="00F55A79" w:rsidR="002C09EE" w:rsidP="002C09EE" w:rsidRDefault="006D31CC" w14:paraId="4DC7ECF5" w14:textId="2F105112">
      <w:pPr>
        <w:pStyle w:val="Standard"/>
      </w:pPr>
      <w:r w:rsidRPr="00F55A79">
        <w:rPr>
          <w:color w:val="000000" w:themeColor="text1"/>
        </w:rPr>
        <w:t xml:space="preserve">According to TURN, these OOS outages are “not trivial,” </w:t>
      </w:r>
      <w:r w:rsidRPr="00F55A79" w:rsidR="00A12686">
        <w:rPr>
          <w:color w:val="000000" w:themeColor="text1"/>
        </w:rPr>
        <w:t xml:space="preserve">and </w:t>
      </w:r>
      <w:r w:rsidRPr="00F55A79" w:rsidR="00173145">
        <w:rPr>
          <w:color w:val="000000" w:themeColor="text1"/>
        </w:rPr>
        <w:t>result in unr</w:t>
      </w:r>
      <w:r w:rsidRPr="00F55A79" w:rsidR="006A2114">
        <w:rPr>
          <w:color w:val="000000" w:themeColor="text1"/>
        </w:rPr>
        <w:t xml:space="preserve">eliable access to 911, 988, and </w:t>
      </w:r>
      <w:r w:rsidRPr="00F55A79" w:rsidR="006A2114">
        <w:t>other emergency services.</w:t>
      </w:r>
      <w:r w:rsidRPr="00F55A79" w:rsidR="006A2114">
        <w:rPr>
          <w:rStyle w:val="FootnoteReference"/>
          <w:color w:val="000000" w:themeColor="text1"/>
        </w:rPr>
        <w:footnoteReference w:id="169"/>
      </w:r>
      <w:r w:rsidRPr="00F55A79" w:rsidR="006A2114">
        <w:rPr>
          <w:color w:val="000000" w:themeColor="text1"/>
        </w:rPr>
        <w:t xml:space="preserve"> </w:t>
      </w:r>
      <w:r w:rsidRPr="00F55A79" w:rsidR="00E7201F">
        <w:rPr>
          <w:color w:val="000000" w:themeColor="text1"/>
        </w:rPr>
        <w:t xml:space="preserve"> Therefore, according to TURN</w:t>
      </w:r>
      <w:r w:rsidRPr="00F55A79" w:rsidR="00E7201F">
        <w:t xml:space="preserve">, </w:t>
      </w:r>
      <w:r w:rsidRPr="00F55A79" w:rsidR="006A2114">
        <w:t>this transaction</w:t>
      </w:r>
      <w:r w:rsidRPr="00F55A79" w:rsidR="006A2114">
        <w:rPr>
          <w:color w:val="000000" w:themeColor="text1"/>
        </w:rPr>
        <w:t xml:space="preserve"> is not in the public interest absent mitigating measures to prevent harm to </w:t>
      </w:r>
      <w:r w:rsidRPr="00F55A79" w:rsidR="006A2114">
        <w:t>Frontier’s customers due to poor service quality</w:t>
      </w:r>
      <w:r w:rsidRPr="00F55A79" w:rsidR="001F39BD">
        <w:t xml:space="preserve"> beyond those in the settlement agreements</w:t>
      </w:r>
      <w:r w:rsidRPr="00F55A79" w:rsidR="006A2114">
        <w:t>.</w:t>
      </w:r>
      <w:r w:rsidRPr="00F55A79" w:rsidR="001F39BD">
        <w:rPr>
          <w:vertAlign w:val="superscript"/>
        </w:rPr>
        <w:footnoteReference w:id="170"/>
      </w:r>
    </w:p>
    <w:p w:rsidRPr="00F55A79" w:rsidR="002C09EE" w:rsidP="00B809C2" w:rsidRDefault="002C09EE" w14:paraId="23D68D47" w14:textId="408F1FE8">
      <w:pPr>
        <w:pStyle w:val="Heading3"/>
      </w:pPr>
      <w:bookmarkStart w:name="_Toc216163175" w:id="90"/>
      <w:r w:rsidRPr="00F55A79">
        <w:t>Discussion</w:t>
      </w:r>
      <w:bookmarkEnd w:id="90"/>
    </w:p>
    <w:p w:rsidRPr="00F55A79" w:rsidR="000B5C96" w:rsidP="00D12FB4" w:rsidRDefault="00607888" w14:paraId="570D138A" w14:textId="5A219E52">
      <w:pPr>
        <w:pStyle w:val="Standard"/>
        <w:rPr>
          <w:color w:val="000000" w:themeColor="text1"/>
        </w:rPr>
      </w:pPr>
      <w:r w:rsidRPr="00F55A79">
        <w:rPr>
          <w:color w:val="000000" w:themeColor="text1"/>
        </w:rPr>
        <w:t xml:space="preserve">We agree with </w:t>
      </w:r>
      <w:r w:rsidRPr="00F55A79" w:rsidR="00E64724">
        <w:rPr>
          <w:color w:val="000000" w:themeColor="text1"/>
        </w:rPr>
        <w:t xml:space="preserve">CforAT and TURN that </w:t>
      </w:r>
      <w:r w:rsidRPr="00F55A79" w:rsidR="00D12FB4">
        <w:rPr>
          <w:color w:val="000000" w:themeColor="text1"/>
        </w:rPr>
        <w:t xml:space="preserve">Verizon did not </w:t>
      </w:r>
      <w:r w:rsidRPr="00F55A79" w:rsidR="00E64724">
        <w:rPr>
          <w:color w:val="000000" w:themeColor="text1"/>
        </w:rPr>
        <w:t xml:space="preserve">adequately </w:t>
      </w:r>
      <w:r w:rsidRPr="00F55A79" w:rsidR="00D12FB4">
        <w:rPr>
          <w:color w:val="000000" w:themeColor="text1"/>
        </w:rPr>
        <w:t xml:space="preserve">address </w:t>
      </w:r>
      <w:r w:rsidRPr="00F55A79" w:rsidR="00E64724">
        <w:rPr>
          <w:color w:val="000000" w:themeColor="text1"/>
        </w:rPr>
        <w:t xml:space="preserve">its plans to </w:t>
      </w:r>
      <w:r w:rsidRPr="00F55A79" w:rsidR="00D12FB4">
        <w:rPr>
          <w:color w:val="000000" w:themeColor="text1"/>
        </w:rPr>
        <w:t>build</w:t>
      </w:r>
      <w:r w:rsidRPr="00F55A79" w:rsidR="00E64724">
        <w:rPr>
          <w:color w:val="000000" w:themeColor="text1"/>
        </w:rPr>
        <w:t xml:space="preserve"> </w:t>
      </w:r>
      <w:r w:rsidRPr="00F55A79" w:rsidR="00D12FB4">
        <w:rPr>
          <w:color w:val="000000" w:themeColor="text1"/>
        </w:rPr>
        <w:t xml:space="preserve">out its network in all areas or address how </w:t>
      </w:r>
      <w:r w:rsidRPr="00F55A79" w:rsidR="007345A7">
        <w:rPr>
          <w:color w:val="000000" w:themeColor="text1"/>
        </w:rPr>
        <w:t>it would serve customers not already scheduled to receive buildouts.</w:t>
      </w:r>
      <w:r w:rsidRPr="00F55A79" w:rsidR="006D7F1F">
        <w:rPr>
          <w:color w:val="000000" w:themeColor="text1"/>
        </w:rPr>
        <w:t xml:space="preserve"> </w:t>
      </w:r>
      <w:r w:rsidRPr="00F55A79" w:rsidR="004E726C">
        <w:rPr>
          <w:color w:val="000000" w:themeColor="text1"/>
        </w:rPr>
        <w:t xml:space="preserve"> </w:t>
      </w:r>
      <w:r w:rsidRPr="00F55A79" w:rsidR="00E64724">
        <w:rPr>
          <w:color w:val="000000" w:themeColor="text1"/>
        </w:rPr>
        <w:t xml:space="preserve">In addition, we </w:t>
      </w:r>
      <w:r w:rsidRPr="00F55A79" w:rsidR="00E068F7">
        <w:rPr>
          <w:color w:val="000000" w:themeColor="text1"/>
        </w:rPr>
        <w:t xml:space="preserve">agree with </w:t>
      </w:r>
      <w:r w:rsidRPr="00F55A79" w:rsidR="00E64724">
        <w:rPr>
          <w:color w:val="000000" w:themeColor="text1"/>
        </w:rPr>
        <w:t xml:space="preserve">CforAT and </w:t>
      </w:r>
      <w:r w:rsidRPr="00F55A79" w:rsidR="00E068F7">
        <w:rPr>
          <w:color w:val="000000" w:themeColor="text1"/>
        </w:rPr>
        <w:t xml:space="preserve">TURN that Frontier’s pattern of outages </w:t>
      </w:r>
      <w:r w:rsidRPr="00F55A79">
        <w:rPr>
          <w:color w:val="000000" w:themeColor="text1"/>
        </w:rPr>
        <w:t>is not trivial and affects customer safety.</w:t>
      </w:r>
      <w:r w:rsidRPr="00F55A79" w:rsidR="004E726C">
        <w:rPr>
          <w:color w:val="000000" w:themeColor="text1"/>
        </w:rPr>
        <w:t xml:space="preserve">  Nonetheless, the Commission is addressing service quality in a separate proceeding.</w:t>
      </w:r>
    </w:p>
    <w:p w:rsidRPr="00F55A79" w:rsidR="00E068F7" w:rsidP="00D12FB4" w:rsidRDefault="00E64724" w14:paraId="1CD4955F" w14:textId="1AA5B3EA">
      <w:pPr>
        <w:pStyle w:val="Standard"/>
        <w:rPr>
          <w:color w:val="000000" w:themeColor="text1"/>
        </w:rPr>
      </w:pPr>
      <w:r w:rsidRPr="00F55A79">
        <w:rPr>
          <w:color w:val="000000" w:themeColor="text1"/>
        </w:rPr>
        <w:t xml:space="preserve">Given the lack of robust </w:t>
      </w:r>
      <w:r w:rsidRPr="00F55A79" w:rsidR="000B5C96">
        <w:rPr>
          <w:color w:val="000000" w:themeColor="text1"/>
        </w:rPr>
        <w:t xml:space="preserve">plans to ensure </w:t>
      </w:r>
      <w:r w:rsidRPr="00F55A79" w:rsidR="004E726C">
        <w:rPr>
          <w:color w:val="000000" w:themeColor="text1"/>
        </w:rPr>
        <w:t>network expansion</w:t>
      </w:r>
      <w:r w:rsidRPr="00F55A79" w:rsidR="000B5C96">
        <w:rPr>
          <w:color w:val="000000" w:themeColor="text1"/>
        </w:rPr>
        <w:t xml:space="preserve">, we adopt conditions detailed in </w:t>
      </w:r>
      <w:r w:rsidRPr="00F55A79" w:rsidR="00D365EA">
        <w:rPr>
          <w:color w:val="000000" w:themeColor="text1"/>
        </w:rPr>
        <w:t xml:space="preserve">Ordering Paragraphs </w:t>
      </w:r>
      <w:r w:rsidRPr="00F55A79" w:rsidR="00B94830">
        <w:rPr>
          <w:color w:val="000000" w:themeColor="text1"/>
        </w:rPr>
        <w:t>2</w:t>
      </w:r>
      <w:r w:rsidRPr="00F55A79" w:rsidR="00D365EA">
        <w:rPr>
          <w:color w:val="000000" w:themeColor="text1"/>
        </w:rPr>
        <w:t xml:space="preserve"> to </w:t>
      </w:r>
      <w:r w:rsidRPr="00F55A79" w:rsidR="00B94830">
        <w:rPr>
          <w:color w:val="000000" w:themeColor="text1"/>
        </w:rPr>
        <w:t>3</w:t>
      </w:r>
      <w:r w:rsidRPr="00F55A79" w:rsidR="00526115">
        <w:rPr>
          <w:color w:val="000000" w:themeColor="text1"/>
        </w:rPr>
        <w:t>1</w:t>
      </w:r>
      <w:r w:rsidRPr="00F55A79" w:rsidR="00C604BA">
        <w:rPr>
          <w:color w:val="000000" w:themeColor="text1"/>
        </w:rPr>
        <w:t>, which include network buildout and</w:t>
      </w:r>
      <w:r w:rsidRPr="00F55A79" w:rsidR="004E726C">
        <w:rPr>
          <w:color w:val="000000" w:themeColor="text1"/>
        </w:rPr>
        <w:t xml:space="preserve"> a requirement for provision of backup power</w:t>
      </w:r>
      <w:r w:rsidRPr="00F55A79" w:rsidR="000B5C96">
        <w:rPr>
          <w:color w:val="000000" w:themeColor="text1"/>
        </w:rPr>
        <w:t xml:space="preserve">. </w:t>
      </w:r>
    </w:p>
    <w:p w:rsidRPr="00F55A79" w:rsidR="0027056B" w:rsidP="00A70678" w:rsidRDefault="0027056B" w14:paraId="7CADD5EF" w14:textId="2697EDD8">
      <w:pPr>
        <w:pStyle w:val="Heading2"/>
        <w:rPr>
          <w:color w:val="000000" w:themeColor="text1"/>
        </w:rPr>
      </w:pPr>
      <w:bookmarkStart w:name="_Toc216163176" w:id="91"/>
      <w:r w:rsidRPr="00F55A79">
        <w:rPr>
          <w:color w:val="000000" w:themeColor="text1"/>
        </w:rPr>
        <w:lastRenderedPageBreak/>
        <w:t>Management Quality</w:t>
      </w:r>
      <w:bookmarkEnd w:id="91"/>
    </w:p>
    <w:p w:rsidRPr="00F55A79" w:rsidR="007C5FD3" w:rsidP="00A70678" w:rsidRDefault="007C5FD3" w14:paraId="40D6A60B" w14:textId="77777777">
      <w:pPr>
        <w:pStyle w:val="Heading3"/>
      </w:pPr>
      <w:bookmarkStart w:name="_Toc216163177" w:id="92"/>
      <w:r w:rsidRPr="00F55A79">
        <w:t>Background</w:t>
      </w:r>
      <w:bookmarkEnd w:id="92"/>
    </w:p>
    <w:p w:rsidRPr="00F55A79" w:rsidR="005C21B3" w:rsidP="00897FE9" w:rsidRDefault="00897FE9" w14:paraId="3D840AAF" w14:textId="7BAFC69E">
      <w:pPr>
        <w:pStyle w:val="Standard"/>
        <w:rPr>
          <w:color w:val="000000" w:themeColor="text1"/>
        </w:rPr>
      </w:pPr>
      <w:r w:rsidRPr="00F55A79">
        <w:rPr>
          <w:color w:val="000000" w:themeColor="text1"/>
        </w:rPr>
        <w:t xml:space="preserve">Pursuant to Section 854(c)(3), we considered whether the proposed transaction would maintain or improve the quality of management of the resulting public utility doing business in the state.  We </w:t>
      </w:r>
      <w:r w:rsidRPr="00F55A79" w:rsidR="00731463">
        <w:rPr>
          <w:color w:val="000000" w:themeColor="text1"/>
        </w:rPr>
        <w:t xml:space="preserve">find </w:t>
      </w:r>
      <w:r w:rsidRPr="00F55A79">
        <w:rPr>
          <w:color w:val="000000" w:themeColor="text1"/>
        </w:rPr>
        <w:t xml:space="preserve">that </w:t>
      </w:r>
      <w:r w:rsidRPr="00F55A79" w:rsidR="00DB75EE">
        <w:rPr>
          <w:color w:val="000000" w:themeColor="text1"/>
        </w:rPr>
        <w:t xml:space="preserve">it </w:t>
      </w:r>
      <w:r w:rsidRPr="00F55A79" w:rsidR="001313BF">
        <w:rPr>
          <w:color w:val="000000" w:themeColor="text1"/>
        </w:rPr>
        <w:t>would maintain or improve the quality of management of the resulting public utility</w:t>
      </w:r>
      <w:r w:rsidRPr="00F55A79">
        <w:rPr>
          <w:color w:val="000000" w:themeColor="text1"/>
        </w:rPr>
        <w:t>.</w:t>
      </w:r>
    </w:p>
    <w:p w:rsidRPr="00F55A79" w:rsidR="005C21B3" w:rsidP="005C21B3" w:rsidRDefault="005C21B3" w14:paraId="52B182C4" w14:textId="77777777">
      <w:pPr>
        <w:pStyle w:val="Heading3"/>
        <w:rPr>
          <w:color w:val="000000" w:themeColor="text1"/>
        </w:rPr>
      </w:pPr>
      <w:bookmarkStart w:name="_Toc216163178" w:id="93"/>
      <w:r w:rsidRPr="00F55A79">
        <w:rPr>
          <w:color w:val="000000" w:themeColor="text1"/>
        </w:rPr>
        <w:t>Joint Applicants’ Position</w:t>
      </w:r>
      <w:bookmarkEnd w:id="93"/>
    </w:p>
    <w:p w:rsidRPr="00F55A79" w:rsidR="0059152B" w:rsidP="0059152B" w:rsidRDefault="0059152B" w14:paraId="0E8F9066" w14:textId="29531469">
      <w:pPr>
        <w:pStyle w:val="Standard"/>
        <w:rPr>
          <w:color w:val="000000" w:themeColor="text1"/>
        </w:rPr>
      </w:pPr>
      <w:r w:rsidRPr="00F55A79">
        <w:rPr>
          <w:color w:val="000000" w:themeColor="text1"/>
        </w:rPr>
        <w:t xml:space="preserve">Verizon stated that “California Frontier customers will benefit from Verizon’s experienced </w:t>
      </w:r>
      <w:r w:rsidRPr="00F55A79">
        <w:t>management team”</w:t>
      </w:r>
      <w:r w:rsidRPr="00F55A79">
        <w:rPr>
          <w:rStyle w:val="FootnoteReference"/>
          <w:color w:val="000000" w:themeColor="text1"/>
        </w:rPr>
        <w:footnoteReference w:id="171"/>
      </w:r>
      <w:r w:rsidRPr="00F55A79">
        <w:rPr>
          <w:color w:val="000000" w:themeColor="text1"/>
        </w:rPr>
        <w:t xml:space="preserve"> and provided biographies of its </w:t>
      </w:r>
      <w:r w:rsidRPr="00F55A79">
        <w:t>executive leadership team.</w:t>
      </w:r>
      <w:r w:rsidRPr="00F55A79">
        <w:rPr>
          <w:rStyle w:val="FootnoteReference"/>
          <w:color w:val="000000" w:themeColor="text1"/>
        </w:rPr>
        <w:footnoteReference w:id="172"/>
      </w:r>
    </w:p>
    <w:p w:rsidRPr="00F55A79" w:rsidR="005C21B3" w:rsidP="00455A4C" w:rsidRDefault="005C21B3" w14:paraId="642D2719" w14:textId="3E6EC46D">
      <w:pPr>
        <w:pStyle w:val="Heading3"/>
      </w:pPr>
      <w:bookmarkStart w:name="_Toc216163179" w:id="94"/>
      <w:r w:rsidRPr="00F55A79">
        <w:t>Party Positions</w:t>
      </w:r>
      <w:bookmarkEnd w:id="94"/>
    </w:p>
    <w:p w:rsidRPr="00F55A79" w:rsidR="00DB52BC" w:rsidP="00455A4C" w:rsidRDefault="00DB52BC" w14:paraId="18C31160" w14:textId="77777777">
      <w:pPr>
        <w:pStyle w:val="Heading4"/>
      </w:pPr>
      <w:bookmarkStart w:name="_Toc216163180" w:id="95"/>
      <w:r w:rsidRPr="00F55A79">
        <w:t>CETF</w:t>
      </w:r>
      <w:bookmarkEnd w:id="95"/>
      <w:r w:rsidRPr="00F55A79">
        <w:t xml:space="preserve"> </w:t>
      </w:r>
    </w:p>
    <w:p w:rsidRPr="00F55A79" w:rsidR="00A9442B" w:rsidP="00455A4C" w:rsidRDefault="004511A2" w14:paraId="6692A6F4" w14:textId="725B18EE">
      <w:pPr>
        <w:pStyle w:val="Standard"/>
        <w:rPr>
          <w:color w:val="000000" w:themeColor="text1"/>
        </w:rPr>
      </w:pPr>
      <w:r w:rsidRPr="00F55A79">
        <w:t xml:space="preserve">CETF </w:t>
      </w:r>
      <w:r w:rsidRPr="00F55A79" w:rsidR="00731463">
        <w:t xml:space="preserve">recommended </w:t>
      </w:r>
      <w:r w:rsidRPr="00F55A79">
        <w:t xml:space="preserve">that the Commission find that the </w:t>
      </w:r>
      <w:r w:rsidRPr="00F55A79" w:rsidR="000B5C96">
        <w:t>proposed t</w:t>
      </w:r>
      <w:r w:rsidRPr="00F55A79">
        <w:t>ransaction will provide benefits by improving the quality of management to Frontier.</w:t>
      </w:r>
      <w:r w:rsidRPr="00F55A79">
        <w:rPr>
          <w:rStyle w:val="FootnoteReference"/>
          <w:color w:val="000000" w:themeColor="text1"/>
        </w:rPr>
        <w:footnoteReference w:id="173"/>
      </w:r>
      <w:r w:rsidRPr="00F55A79">
        <w:rPr>
          <w:color w:val="000000" w:themeColor="text1"/>
        </w:rPr>
        <w:t xml:space="preserve">  </w:t>
      </w:r>
      <w:r w:rsidRPr="00F55A79" w:rsidR="00F20FFA">
        <w:rPr>
          <w:color w:val="000000" w:themeColor="text1"/>
        </w:rPr>
        <w:t xml:space="preserve">According to CETF, </w:t>
      </w:r>
      <w:r w:rsidRPr="00F55A79" w:rsidR="00A9442B">
        <w:rPr>
          <w:color w:val="000000" w:themeColor="text1"/>
        </w:rPr>
        <w:t xml:space="preserve">Verizon has the depth of management that will be able to apply its knowledge of both wireless and wireline networks to successfully </w:t>
      </w:r>
      <w:r w:rsidRPr="00F55A79" w:rsidR="00A9442B">
        <w:t>operate and maintain the Frontier network.</w:t>
      </w:r>
      <w:r w:rsidRPr="00F55A79" w:rsidR="00F20FFA">
        <w:rPr>
          <w:rStyle w:val="FootnoteReference"/>
          <w:color w:val="000000" w:themeColor="text1"/>
        </w:rPr>
        <w:footnoteReference w:id="174"/>
      </w:r>
      <w:r w:rsidRPr="00F55A79" w:rsidR="00A9442B">
        <w:rPr>
          <w:color w:val="000000" w:themeColor="text1"/>
        </w:rPr>
        <w:t xml:space="preserve"> </w:t>
      </w:r>
    </w:p>
    <w:p w:rsidRPr="00F55A79" w:rsidR="00DB52BC" w:rsidP="00455A4C" w:rsidRDefault="00DB52BC" w14:paraId="0E7E4721" w14:textId="6DA65994">
      <w:pPr>
        <w:pStyle w:val="Heading4"/>
      </w:pPr>
      <w:bookmarkStart w:name="_Toc216163181" w:id="96"/>
      <w:r w:rsidRPr="00F55A79">
        <w:t>Cfo</w:t>
      </w:r>
      <w:r w:rsidRPr="00F55A79" w:rsidR="0026788A">
        <w:t>r</w:t>
      </w:r>
      <w:r w:rsidRPr="00F55A79">
        <w:t>AT</w:t>
      </w:r>
      <w:bookmarkEnd w:id="96"/>
    </w:p>
    <w:p w:rsidRPr="00F55A79" w:rsidR="00691C0A" w:rsidP="00455A4C" w:rsidRDefault="00691C0A" w14:paraId="4069A145" w14:textId="2BCD3814">
      <w:pPr>
        <w:pStyle w:val="Standard"/>
        <w:rPr>
          <w:color w:val="000000" w:themeColor="text1"/>
        </w:rPr>
      </w:pPr>
      <w:r w:rsidRPr="00F55A79">
        <w:rPr>
          <w:color w:val="000000" w:themeColor="text1"/>
        </w:rPr>
        <w:t xml:space="preserve">CforAT stated that the Commission should find that Joint Applicants have failed to demonstrate that the proposed transaction will maintain or improve the quality of management of the resulting public utility doing business in the </w:t>
      </w:r>
      <w:r w:rsidRPr="00F55A79">
        <w:t>state.</w:t>
      </w:r>
      <w:r w:rsidRPr="00F55A79">
        <w:rPr>
          <w:rStyle w:val="FootnoteReference"/>
          <w:color w:val="000000" w:themeColor="text1"/>
        </w:rPr>
        <w:footnoteReference w:id="175"/>
      </w:r>
      <w:r w:rsidRPr="00F55A79">
        <w:rPr>
          <w:color w:val="000000" w:themeColor="text1"/>
        </w:rPr>
        <w:t xml:space="preserve"> </w:t>
      </w:r>
      <w:r w:rsidRPr="00F55A79" w:rsidR="00FD3C4D">
        <w:rPr>
          <w:color w:val="000000" w:themeColor="text1"/>
        </w:rPr>
        <w:t xml:space="preserve"> </w:t>
      </w:r>
      <w:r w:rsidRPr="00F55A79">
        <w:rPr>
          <w:color w:val="000000" w:themeColor="text1"/>
        </w:rPr>
        <w:t xml:space="preserve">If the Commission does approve the proposed transaction, </w:t>
      </w:r>
      <w:r w:rsidRPr="00F55A79" w:rsidR="00FD3C4D">
        <w:rPr>
          <w:color w:val="000000" w:themeColor="text1"/>
        </w:rPr>
        <w:t xml:space="preserve">CforAT </w:t>
      </w:r>
      <w:r w:rsidRPr="00F55A79" w:rsidR="00FD3C4D">
        <w:rPr>
          <w:color w:val="000000" w:themeColor="text1"/>
        </w:rPr>
        <w:lastRenderedPageBreak/>
        <w:t xml:space="preserve">stated that </w:t>
      </w:r>
      <w:r w:rsidRPr="00F55A79">
        <w:rPr>
          <w:color w:val="000000" w:themeColor="text1"/>
        </w:rPr>
        <w:t xml:space="preserve">it should include a robust compliance and enforcement mechanism similar to the one the </w:t>
      </w:r>
      <w:r w:rsidRPr="00F55A79">
        <w:t>Commission imposed in D.21-11-030.</w:t>
      </w:r>
      <w:r w:rsidRPr="00F55A79">
        <w:rPr>
          <w:rStyle w:val="FootnoteReference"/>
          <w:color w:val="000000" w:themeColor="text1"/>
        </w:rPr>
        <w:footnoteReference w:id="176"/>
      </w:r>
      <w:r w:rsidRPr="00F55A79">
        <w:rPr>
          <w:color w:val="000000" w:themeColor="text1"/>
        </w:rPr>
        <w:t xml:space="preserve"> </w:t>
      </w:r>
      <w:r w:rsidRPr="00F55A79" w:rsidR="00001D4E">
        <w:rPr>
          <w:color w:val="000000" w:themeColor="text1"/>
        </w:rPr>
        <w:t xml:space="preserve"> </w:t>
      </w:r>
      <w:r w:rsidRPr="00F55A79">
        <w:rPr>
          <w:color w:val="000000" w:themeColor="text1"/>
        </w:rPr>
        <w:t xml:space="preserve">Additionally, the Commission should require that Verizon may only seek changes to any merger </w:t>
      </w:r>
      <w:r w:rsidRPr="00F55A79">
        <w:t>condition through a petition for modification, and that it may not seek changes to settlement agreements at all.</w:t>
      </w:r>
      <w:r w:rsidRPr="00F55A79">
        <w:rPr>
          <w:rStyle w:val="FootnoteReference"/>
          <w:color w:val="000000" w:themeColor="text1"/>
        </w:rPr>
        <w:footnoteReference w:id="177"/>
      </w:r>
    </w:p>
    <w:p w:rsidRPr="00F55A79" w:rsidR="002F60DC" w:rsidP="00455A4C" w:rsidRDefault="001E0EB5" w14:paraId="5B657BC1" w14:textId="01BDDD75">
      <w:pPr>
        <w:pStyle w:val="Standard"/>
        <w:rPr>
          <w:color w:val="000000" w:themeColor="text1"/>
        </w:rPr>
      </w:pPr>
      <w:r w:rsidRPr="00F55A79">
        <w:rPr>
          <w:color w:val="000000" w:themeColor="text1"/>
        </w:rPr>
        <w:t>As support for these assertions, CforAT noted that “</w:t>
      </w:r>
      <w:r w:rsidRPr="00F55A79" w:rsidR="002F60DC">
        <w:rPr>
          <w:color w:val="000000" w:themeColor="text1"/>
        </w:rPr>
        <w:t>Verizon has a history of poor maintenance and upkeep of wireline assets</w:t>
      </w:r>
      <w:r w:rsidRPr="00F55A79">
        <w:rPr>
          <w:color w:val="000000" w:themeColor="text1"/>
        </w:rPr>
        <w:t xml:space="preserve">,” </w:t>
      </w:r>
      <w:r w:rsidRPr="00F55A79" w:rsidR="002F60DC">
        <w:rPr>
          <w:color w:val="000000" w:themeColor="text1"/>
        </w:rPr>
        <w:t>includ</w:t>
      </w:r>
      <w:r w:rsidRPr="00F55A79">
        <w:rPr>
          <w:color w:val="000000" w:themeColor="text1"/>
        </w:rPr>
        <w:t>ing</w:t>
      </w:r>
      <w:r w:rsidRPr="00F55A79" w:rsidR="002F60DC">
        <w:rPr>
          <w:color w:val="000000" w:themeColor="text1"/>
        </w:rPr>
        <w:t xml:space="preserve"> failures to perform necessary </w:t>
      </w:r>
      <w:r w:rsidRPr="00F55A79" w:rsidR="002F60DC">
        <w:t>maintenance and inaccurate record-keeping.</w:t>
      </w:r>
      <w:r w:rsidRPr="00F55A79" w:rsidR="003C640B">
        <w:rPr>
          <w:rStyle w:val="FootnoteReference"/>
          <w:color w:val="000000" w:themeColor="text1"/>
        </w:rPr>
        <w:footnoteReference w:id="178"/>
      </w:r>
      <w:r w:rsidRPr="00F55A79" w:rsidR="002F60DC">
        <w:rPr>
          <w:color w:val="000000" w:themeColor="text1"/>
        </w:rPr>
        <w:t xml:space="preserve"> </w:t>
      </w:r>
      <w:r w:rsidRPr="00F55A79" w:rsidR="00BC765D">
        <w:rPr>
          <w:color w:val="000000" w:themeColor="text1"/>
        </w:rPr>
        <w:t xml:space="preserve"> CforAT also cited</w:t>
      </w:r>
      <w:r w:rsidRPr="00F55A79" w:rsidR="002B00BA">
        <w:rPr>
          <w:color w:val="000000" w:themeColor="text1"/>
        </w:rPr>
        <w:t>: (1)</w:t>
      </w:r>
      <w:r w:rsidRPr="00F55A79" w:rsidR="00BC765D">
        <w:rPr>
          <w:color w:val="000000" w:themeColor="text1"/>
        </w:rPr>
        <w:t xml:space="preserve"> “</w:t>
      </w:r>
      <w:r w:rsidRPr="00F55A79" w:rsidR="002F60DC">
        <w:rPr>
          <w:color w:val="000000" w:themeColor="text1"/>
        </w:rPr>
        <w:t>Verizon’s historical focus on wealthier, more lucrative customers to the detriment of lower-income customers</w:t>
      </w:r>
      <w:r w:rsidRPr="00F55A79" w:rsidR="006F6127">
        <w:rPr>
          <w:color w:val="000000" w:themeColor="text1"/>
        </w:rPr>
        <w:t>,</w:t>
      </w:r>
      <w:r w:rsidRPr="00F55A79" w:rsidR="00BC765D">
        <w:rPr>
          <w:color w:val="000000" w:themeColor="text1"/>
        </w:rPr>
        <w:t>”</w:t>
      </w:r>
      <w:r w:rsidRPr="00F55A79" w:rsidR="006F6127">
        <w:rPr>
          <w:color w:val="000000" w:themeColor="text1"/>
        </w:rPr>
        <w:t xml:space="preserve"> including </w:t>
      </w:r>
      <w:r w:rsidRPr="00F55A79" w:rsidR="002F60DC">
        <w:rPr>
          <w:color w:val="000000" w:themeColor="text1"/>
        </w:rPr>
        <w:t xml:space="preserve">a disproportionate number </w:t>
      </w:r>
      <w:r w:rsidRPr="00F55A79" w:rsidR="002F60DC">
        <w:t>of people with disabilities and people of color</w:t>
      </w:r>
      <w:r w:rsidRPr="00F55A79" w:rsidR="002B00BA">
        <w:t>;</w:t>
      </w:r>
      <w:r w:rsidRPr="00F55A79" w:rsidR="006F6127">
        <w:rPr>
          <w:rStyle w:val="FootnoteReference"/>
          <w:color w:val="000000" w:themeColor="text1"/>
        </w:rPr>
        <w:footnoteReference w:id="179"/>
      </w:r>
      <w:r w:rsidRPr="00F55A79" w:rsidR="002F60DC">
        <w:rPr>
          <w:color w:val="000000" w:themeColor="text1"/>
        </w:rPr>
        <w:t xml:space="preserve"> </w:t>
      </w:r>
      <w:r w:rsidRPr="00F55A79" w:rsidR="002B00BA">
        <w:rPr>
          <w:color w:val="000000" w:themeColor="text1"/>
        </w:rPr>
        <w:t>(2)</w:t>
      </w:r>
      <w:r w:rsidRPr="00F55A79" w:rsidR="002F60DC">
        <w:rPr>
          <w:color w:val="000000" w:themeColor="text1"/>
        </w:rPr>
        <w:t xml:space="preserve"> Verizon’s </w:t>
      </w:r>
      <w:r w:rsidRPr="00F55A79" w:rsidR="002B00BA">
        <w:rPr>
          <w:color w:val="000000" w:themeColor="text1"/>
        </w:rPr>
        <w:t>“</w:t>
      </w:r>
      <w:r w:rsidRPr="00F55A79" w:rsidR="002F60DC">
        <w:rPr>
          <w:color w:val="000000" w:themeColor="text1"/>
        </w:rPr>
        <w:t xml:space="preserve">tepid </w:t>
      </w:r>
      <w:r w:rsidRPr="00F55A79" w:rsidR="002F60DC">
        <w:t>commitments to service quality</w:t>
      </w:r>
      <w:r w:rsidRPr="00F55A79" w:rsidR="002B00BA">
        <w:t>;”</w:t>
      </w:r>
      <w:r w:rsidRPr="00F55A79" w:rsidR="008552B3">
        <w:rPr>
          <w:rStyle w:val="FootnoteReference"/>
          <w:color w:val="000000" w:themeColor="text1"/>
        </w:rPr>
        <w:footnoteReference w:id="180"/>
      </w:r>
      <w:r w:rsidRPr="00F55A79" w:rsidR="002F60DC">
        <w:rPr>
          <w:color w:val="000000" w:themeColor="text1"/>
        </w:rPr>
        <w:t xml:space="preserve"> </w:t>
      </w:r>
      <w:r w:rsidRPr="00F55A79" w:rsidR="002B00BA">
        <w:rPr>
          <w:color w:val="000000" w:themeColor="text1"/>
        </w:rPr>
        <w:t xml:space="preserve">(3) </w:t>
      </w:r>
      <w:r w:rsidRPr="00F55A79" w:rsidR="002F60DC">
        <w:rPr>
          <w:color w:val="000000" w:themeColor="text1"/>
        </w:rPr>
        <w:t xml:space="preserve">Verizon’s </w:t>
      </w:r>
      <w:r w:rsidRPr="00F55A79" w:rsidR="005674A0">
        <w:rPr>
          <w:color w:val="000000" w:themeColor="text1"/>
        </w:rPr>
        <w:t>“</w:t>
      </w:r>
      <w:r w:rsidRPr="00F55A79" w:rsidR="002F60DC">
        <w:rPr>
          <w:color w:val="000000" w:themeColor="text1"/>
        </w:rPr>
        <w:t xml:space="preserve">failure to comply with prior </w:t>
      </w:r>
      <w:r w:rsidRPr="00F55A79" w:rsidR="002F60DC">
        <w:t>merger commitments</w:t>
      </w:r>
      <w:r w:rsidRPr="00F55A79" w:rsidR="00E23723">
        <w:t>,</w:t>
      </w:r>
      <w:r w:rsidRPr="00F55A79" w:rsidR="005674A0">
        <w:t>”</w:t>
      </w:r>
      <w:r w:rsidRPr="00F55A79" w:rsidR="00C26FD7">
        <w:rPr>
          <w:rStyle w:val="FootnoteReference"/>
          <w:color w:val="000000" w:themeColor="text1"/>
        </w:rPr>
        <w:footnoteReference w:id="181"/>
      </w:r>
      <w:r w:rsidRPr="00F55A79" w:rsidR="002F60DC">
        <w:rPr>
          <w:color w:val="000000" w:themeColor="text1"/>
        </w:rPr>
        <w:t xml:space="preserve"> </w:t>
      </w:r>
      <w:r w:rsidRPr="00F55A79" w:rsidR="00E23723">
        <w:rPr>
          <w:color w:val="000000" w:themeColor="text1"/>
        </w:rPr>
        <w:t xml:space="preserve">and (4) the “abrupt” replacement of Verizon’s </w:t>
      </w:r>
      <w:r w:rsidRPr="00F55A79" w:rsidR="00DB75EE">
        <w:t>Chief Executive Officer (</w:t>
      </w:r>
      <w:r w:rsidRPr="00F55A79" w:rsidR="00E23723">
        <w:rPr>
          <w:color w:val="000000" w:themeColor="text1"/>
        </w:rPr>
        <w:t>CEO</w:t>
      </w:r>
      <w:r w:rsidRPr="00F55A79" w:rsidR="00DB75EE">
        <w:rPr>
          <w:color w:val="000000" w:themeColor="text1"/>
        </w:rPr>
        <w:t>)</w:t>
      </w:r>
      <w:r w:rsidRPr="00F55A79" w:rsidR="00E23723">
        <w:rPr>
          <w:color w:val="000000" w:themeColor="text1"/>
        </w:rPr>
        <w:t xml:space="preserve"> in </w:t>
      </w:r>
      <w:r w:rsidRPr="00F55A79" w:rsidR="00D41DED">
        <w:t>October 2025.</w:t>
      </w:r>
      <w:r w:rsidRPr="00F55A79" w:rsidR="00D41DED">
        <w:rPr>
          <w:rStyle w:val="FootnoteReference"/>
          <w:color w:val="000000" w:themeColor="text1"/>
        </w:rPr>
        <w:footnoteReference w:id="182"/>
      </w:r>
    </w:p>
    <w:p w:rsidRPr="00F55A79" w:rsidR="00DB52BC" w:rsidP="00455A4C" w:rsidRDefault="00DB52BC" w14:paraId="1D7B72DD" w14:textId="77777777">
      <w:pPr>
        <w:pStyle w:val="Heading4"/>
        <w:rPr>
          <w:color w:val="000000" w:themeColor="text1"/>
        </w:rPr>
      </w:pPr>
      <w:bookmarkStart w:name="_Toc216163182" w:id="97"/>
      <w:r w:rsidRPr="00F55A79">
        <w:rPr>
          <w:color w:val="000000" w:themeColor="text1"/>
        </w:rPr>
        <w:t>TURN</w:t>
      </w:r>
      <w:bookmarkEnd w:id="97"/>
    </w:p>
    <w:p w:rsidRPr="00F55A79" w:rsidR="008B0DEA" w:rsidP="00455A4C" w:rsidRDefault="00A35EA5" w14:paraId="246E135C" w14:textId="414C56DF">
      <w:pPr>
        <w:pStyle w:val="Standard"/>
      </w:pPr>
      <w:r w:rsidRPr="00F55A79">
        <w:t>TURN argued that i</w:t>
      </w:r>
      <w:r w:rsidRPr="00F55A79" w:rsidR="008B0DEA">
        <w:t>t is unclear if the proposed transaction would maintain or improve the quality of management of Frontier’s business in the state.</w:t>
      </w:r>
      <w:r w:rsidRPr="00F55A79" w:rsidR="00DC300E">
        <w:rPr>
          <w:rStyle w:val="FootnoteReference"/>
          <w:color w:val="000000" w:themeColor="text1"/>
        </w:rPr>
        <w:footnoteReference w:id="183"/>
      </w:r>
      <w:r w:rsidRPr="00F55A79" w:rsidR="008B0DEA">
        <w:rPr>
          <w:color w:val="000000" w:themeColor="text1"/>
        </w:rPr>
        <w:t xml:space="preserve"> </w:t>
      </w:r>
      <w:r w:rsidRPr="00F55A79" w:rsidR="00DC300E">
        <w:rPr>
          <w:color w:val="000000" w:themeColor="text1"/>
        </w:rPr>
        <w:t xml:space="preserve"> </w:t>
      </w:r>
      <w:r w:rsidRPr="00F55A79" w:rsidR="00ED314C">
        <w:rPr>
          <w:color w:val="000000" w:themeColor="text1"/>
        </w:rPr>
        <w:t xml:space="preserve">TURN noted that Verizon had </w:t>
      </w:r>
      <w:r w:rsidRPr="00F55A79" w:rsidR="00ED314C">
        <w:t>replaced its</w:t>
      </w:r>
      <w:r w:rsidRPr="00F55A79" w:rsidR="008B0DEA">
        <w:t xml:space="preserve"> </w:t>
      </w:r>
      <w:r w:rsidRPr="00F55A79" w:rsidR="00ED314C">
        <w:t xml:space="preserve">CEO just before opening briefs were </w:t>
      </w:r>
      <w:r w:rsidRPr="00F55A79" w:rsidR="00ED314C">
        <w:lastRenderedPageBreak/>
        <w:t xml:space="preserve">due in this proceeding, and that </w:t>
      </w:r>
      <w:r w:rsidRPr="00F55A79" w:rsidR="008B0DEA">
        <w:t>Verizon’s witnesses</w:t>
      </w:r>
      <w:r w:rsidRPr="00F55A79">
        <w:t xml:space="preserve"> relied on statements and commitments made by </w:t>
      </w:r>
      <w:r w:rsidRPr="00F55A79" w:rsidR="00ED314C">
        <w:t>the former CEO</w:t>
      </w:r>
      <w:r w:rsidRPr="00F55A79">
        <w:t xml:space="preserve"> </w:t>
      </w:r>
      <w:r w:rsidRPr="00F55A79" w:rsidR="00ED314C">
        <w:t xml:space="preserve">when </w:t>
      </w:r>
      <w:r w:rsidRPr="00F55A79">
        <w:t>claiming that the transaction would maintain or improve the quality of management.</w:t>
      </w:r>
      <w:r w:rsidRPr="00F55A79">
        <w:rPr>
          <w:rStyle w:val="FootnoteReference"/>
        </w:rPr>
        <w:footnoteReference w:id="184"/>
      </w:r>
      <w:r w:rsidRPr="00F55A79">
        <w:t xml:space="preserve">  T</w:t>
      </w:r>
      <w:r w:rsidRPr="00F55A79" w:rsidR="00ED314C">
        <w:t>URN therefore s</w:t>
      </w:r>
      <w:r w:rsidRPr="00F55A79" w:rsidR="009862A1">
        <w:t xml:space="preserve">tated </w:t>
      </w:r>
      <w:r w:rsidRPr="00F55A79" w:rsidR="00ED314C">
        <w:t>that</w:t>
      </w:r>
      <w:r w:rsidRPr="00F55A79">
        <w:t xml:space="preserve"> there appears to be insufficient record to determine whether the replacement of </w:t>
      </w:r>
      <w:r w:rsidRPr="00F55A79" w:rsidR="009862A1">
        <w:t>the CEO</w:t>
      </w:r>
      <w:r w:rsidRPr="00F55A79">
        <w:t xml:space="preserve"> would impact the quality of management that Verizon would bring to this transaction.</w:t>
      </w:r>
      <w:r w:rsidRPr="00F55A79" w:rsidR="009862A1">
        <w:rPr>
          <w:rStyle w:val="FootnoteReference"/>
        </w:rPr>
        <w:footnoteReference w:id="185"/>
      </w:r>
    </w:p>
    <w:p w:rsidRPr="00F55A79" w:rsidR="005C21B3" w:rsidP="00B809C2" w:rsidRDefault="005C21B3" w14:paraId="7D59D72C" w14:textId="5D4817F6">
      <w:pPr>
        <w:pStyle w:val="Heading3"/>
      </w:pPr>
      <w:bookmarkStart w:name="_Toc216163183" w:id="98"/>
      <w:r w:rsidRPr="00F55A79">
        <w:t>Discussion</w:t>
      </w:r>
      <w:bookmarkEnd w:id="98"/>
    </w:p>
    <w:p w:rsidRPr="00F55A79" w:rsidR="00DF2FA8" w:rsidP="00A70678" w:rsidRDefault="006F20ED" w14:paraId="7355B6DE" w14:textId="61FA3865">
      <w:pPr>
        <w:pStyle w:val="Standard"/>
        <w:rPr>
          <w:color w:val="000000" w:themeColor="text1"/>
        </w:rPr>
      </w:pPr>
      <w:r w:rsidRPr="00F55A79">
        <w:rPr>
          <w:color w:val="000000" w:themeColor="text1"/>
        </w:rPr>
        <w:t xml:space="preserve">We find that </w:t>
      </w:r>
      <w:r w:rsidRPr="00F55A79" w:rsidR="001313BF">
        <w:rPr>
          <w:color w:val="000000" w:themeColor="text1"/>
        </w:rPr>
        <w:t>the proposed transaction would maintain or improve the quality of management of the resulting public utility</w:t>
      </w:r>
      <w:r w:rsidRPr="00F55A79" w:rsidR="00CF143F">
        <w:rPr>
          <w:color w:val="000000" w:themeColor="text1"/>
        </w:rPr>
        <w:t>, once accounting for the conditions detailed herein</w:t>
      </w:r>
      <w:r w:rsidRPr="00F55A79" w:rsidR="00DF2FA8">
        <w:rPr>
          <w:color w:val="000000" w:themeColor="text1"/>
        </w:rPr>
        <w:t>.</w:t>
      </w:r>
      <w:r w:rsidRPr="00F55A79" w:rsidR="00CF143F">
        <w:rPr>
          <w:color w:val="000000" w:themeColor="text1"/>
        </w:rPr>
        <w:t xml:space="preserve">  </w:t>
      </w:r>
      <w:r w:rsidRPr="00F55A79" w:rsidR="00540D9B">
        <w:rPr>
          <w:color w:val="000000" w:themeColor="text1"/>
        </w:rPr>
        <w:t>We a</w:t>
      </w:r>
      <w:r w:rsidRPr="00F55A79" w:rsidR="00CF143F">
        <w:rPr>
          <w:color w:val="000000" w:themeColor="text1"/>
        </w:rPr>
        <w:t>cknowledg</w:t>
      </w:r>
      <w:r w:rsidRPr="00F55A79" w:rsidR="00540D9B">
        <w:rPr>
          <w:color w:val="000000" w:themeColor="text1"/>
        </w:rPr>
        <w:t>e</w:t>
      </w:r>
      <w:r w:rsidRPr="00F55A79" w:rsidR="00CF143F">
        <w:rPr>
          <w:color w:val="000000" w:themeColor="text1"/>
        </w:rPr>
        <w:t xml:space="preserve"> the concerns raised by CforAT</w:t>
      </w:r>
      <w:r w:rsidRPr="00F55A79" w:rsidR="0082673A">
        <w:rPr>
          <w:color w:val="000000" w:themeColor="text1"/>
        </w:rPr>
        <w:t xml:space="preserve"> and TURN regarding </w:t>
      </w:r>
      <w:r w:rsidRPr="00F55A79" w:rsidR="00540D9B">
        <w:rPr>
          <w:color w:val="000000" w:themeColor="text1"/>
        </w:rPr>
        <w:t xml:space="preserve">past </w:t>
      </w:r>
      <w:r w:rsidRPr="00F55A79" w:rsidR="0082673A">
        <w:rPr>
          <w:color w:val="000000" w:themeColor="text1"/>
        </w:rPr>
        <w:t>service quality</w:t>
      </w:r>
      <w:r w:rsidRPr="00F55A79" w:rsidR="00540D9B">
        <w:rPr>
          <w:color w:val="000000" w:themeColor="text1"/>
        </w:rPr>
        <w:t xml:space="preserve"> and </w:t>
      </w:r>
      <w:r w:rsidRPr="00F55A79" w:rsidR="0082673A">
        <w:rPr>
          <w:color w:val="000000" w:themeColor="text1"/>
        </w:rPr>
        <w:t>compliance, and</w:t>
      </w:r>
      <w:r w:rsidRPr="00F55A79" w:rsidR="00546608">
        <w:rPr>
          <w:color w:val="000000" w:themeColor="text1"/>
        </w:rPr>
        <w:t xml:space="preserve"> we</w:t>
      </w:r>
      <w:r w:rsidRPr="00F55A79" w:rsidR="0082673A">
        <w:rPr>
          <w:color w:val="000000" w:themeColor="text1"/>
        </w:rPr>
        <w:t xml:space="preserve"> </w:t>
      </w:r>
      <w:r w:rsidRPr="00F55A79" w:rsidR="00540D9B">
        <w:rPr>
          <w:color w:val="000000" w:themeColor="text1"/>
        </w:rPr>
        <w:t xml:space="preserve">note </w:t>
      </w:r>
      <w:r w:rsidRPr="00F55A79" w:rsidR="00C4025B">
        <w:rPr>
          <w:color w:val="000000" w:themeColor="text1"/>
        </w:rPr>
        <w:t>the limited record regarding</w:t>
      </w:r>
      <w:r w:rsidRPr="00F55A79" w:rsidR="00540D9B">
        <w:rPr>
          <w:color w:val="000000" w:themeColor="text1"/>
        </w:rPr>
        <w:t xml:space="preserve"> the </w:t>
      </w:r>
      <w:r w:rsidRPr="00F55A79" w:rsidR="00546608">
        <w:rPr>
          <w:color w:val="000000" w:themeColor="text1"/>
        </w:rPr>
        <w:t>newly instated CEO</w:t>
      </w:r>
      <w:r w:rsidRPr="00F55A79" w:rsidR="00010F81">
        <w:rPr>
          <w:color w:val="000000" w:themeColor="text1"/>
        </w:rPr>
        <w:t xml:space="preserve"> and consider the mitigation measures detailed in Section 6.9 and Ordering Paragraphs </w:t>
      </w:r>
      <w:r w:rsidRPr="00F55A79" w:rsidR="00117351">
        <w:rPr>
          <w:color w:val="000000" w:themeColor="text1"/>
        </w:rPr>
        <w:t>2-3</w:t>
      </w:r>
      <w:r w:rsidRPr="00F55A79" w:rsidR="00526115">
        <w:rPr>
          <w:color w:val="000000" w:themeColor="text1"/>
        </w:rPr>
        <w:t>1</w:t>
      </w:r>
      <w:r w:rsidRPr="00F55A79" w:rsidR="00010F81">
        <w:rPr>
          <w:color w:val="000000" w:themeColor="text1"/>
        </w:rPr>
        <w:t xml:space="preserve"> to be sufficient to address these concerns</w:t>
      </w:r>
      <w:r w:rsidRPr="00F55A79" w:rsidR="00546608">
        <w:rPr>
          <w:color w:val="000000" w:themeColor="text1"/>
        </w:rPr>
        <w:t xml:space="preserve">. </w:t>
      </w:r>
      <w:r w:rsidRPr="00F55A79" w:rsidR="00C4025B">
        <w:rPr>
          <w:color w:val="000000" w:themeColor="text1"/>
        </w:rPr>
        <w:t xml:space="preserve"> </w:t>
      </w:r>
      <w:r w:rsidRPr="00F55A79" w:rsidR="0082673A">
        <w:rPr>
          <w:color w:val="000000" w:themeColor="text1"/>
        </w:rPr>
        <w:t xml:space="preserve"> </w:t>
      </w:r>
    </w:p>
    <w:p w:rsidRPr="00F55A79" w:rsidR="0027056B" w:rsidP="0027056B" w:rsidRDefault="0027056B" w14:paraId="33F52F1B" w14:textId="796B85AE">
      <w:pPr>
        <w:pStyle w:val="Heading2"/>
      </w:pPr>
      <w:bookmarkStart w:name="_Toc216163184" w:id="99"/>
      <w:r w:rsidRPr="00F55A79">
        <w:t>Employees</w:t>
      </w:r>
      <w:bookmarkEnd w:id="99"/>
    </w:p>
    <w:p w:rsidRPr="00F55A79" w:rsidR="005C21B3" w:rsidP="00FB7D25" w:rsidRDefault="007C5FD3" w14:paraId="2310CFCC" w14:textId="3F73CE24">
      <w:pPr>
        <w:pStyle w:val="Heading3"/>
      </w:pPr>
      <w:bookmarkStart w:name="_Toc216163185" w:id="100"/>
      <w:r w:rsidRPr="00F55A79">
        <w:t>Background</w:t>
      </w:r>
      <w:bookmarkEnd w:id="100"/>
    </w:p>
    <w:p w:rsidRPr="00F55A79" w:rsidR="00897FE9" w:rsidP="00897FE9" w:rsidRDefault="00897FE9" w14:paraId="3B0ED3E3" w14:textId="6ADBA0DA">
      <w:pPr>
        <w:pStyle w:val="Standard"/>
        <w:rPr>
          <w:color w:val="000000" w:themeColor="text1"/>
        </w:rPr>
      </w:pPr>
      <w:r w:rsidRPr="00F55A79">
        <w:t xml:space="preserve">Pursuant to Section 854(c)(4), we considered whether the proposed transaction would </w:t>
      </w:r>
      <w:r w:rsidRPr="00F55A79" w:rsidR="008F2384">
        <w:rPr>
          <w:color w:val="000000" w:themeColor="text1"/>
        </w:rPr>
        <w:t>be fair and reasonable to affected employees, including both union and non</w:t>
      </w:r>
      <w:r w:rsidRPr="00F55A79" w:rsidR="00892733">
        <w:rPr>
          <w:color w:val="000000" w:themeColor="text1"/>
        </w:rPr>
        <w:t>-</w:t>
      </w:r>
      <w:r w:rsidRPr="00F55A79" w:rsidR="008F2384">
        <w:rPr>
          <w:color w:val="000000" w:themeColor="text1"/>
        </w:rPr>
        <w:t>union employees</w:t>
      </w:r>
      <w:r w:rsidRPr="00F55A79">
        <w:rPr>
          <w:color w:val="000000" w:themeColor="text1"/>
        </w:rPr>
        <w:t>.</w:t>
      </w:r>
      <w:r w:rsidRPr="00F55A79">
        <w:t xml:space="preserve"> </w:t>
      </w:r>
      <w:r w:rsidRPr="00F55A79" w:rsidR="00AC5A5F">
        <w:t xml:space="preserve"> </w:t>
      </w:r>
      <w:r w:rsidRPr="00F55A79">
        <w:rPr>
          <w:color w:val="000000" w:themeColor="text1"/>
        </w:rPr>
        <w:t xml:space="preserve">We </w:t>
      </w:r>
      <w:r w:rsidRPr="00F55A79" w:rsidR="009E19B8">
        <w:rPr>
          <w:color w:val="000000" w:themeColor="text1"/>
        </w:rPr>
        <w:t xml:space="preserve">find </w:t>
      </w:r>
      <w:r w:rsidRPr="00F55A79">
        <w:rPr>
          <w:color w:val="000000" w:themeColor="text1"/>
        </w:rPr>
        <w:t>that</w:t>
      </w:r>
      <w:r w:rsidRPr="00F55A79" w:rsidR="00AC5A5F">
        <w:rPr>
          <w:color w:val="000000" w:themeColor="text1"/>
        </w:rPr>
        <w:t xml:space="preserve"> the CWA settlement </w:t>
      </w:r>
      <w:r w:rsidRPr="00F55A79" w:rsidR="006730FA">
        <w:rPr>
          <w:color w:val="000000" w:themeColor="text1"/>
        </w:rPr>
        <w:t xml:space="preserve">agreement </w:t>
      </w:r>
      <w:r w:rsidRPr="00F55A79" w:rsidR="00D2367E">
        <w:rPr>
          <w:color w:val="000000" w:themeColor="text1"/>
        </w:rPr>
        <w:t xml:space="preserve">ensures the transaction would be fair and reasonable to affected </w:t>
      </w:r>
      <w:r w:rsidRPr="00F55A79" w:rsidR="006730FA">
        <w:rPr>
          <w:color w:val="000000" w:themeColor="text1"/>
        </w:rPr>
        <w:t xml:space="preserve">Frontier </w:t>
      </w:r>
      <w:r w:rsidRPr="00F55A79" w:rsidR="00D2367E">
        <w:rPr>
          <w:color w:val="000000" w:themeColor="text1"/>
        </w:rPr>
        <w:t xml:space="preserve">union employees.  However, we find that the proposed transaction may not be fair and reasonable to affected non-union employees </w:t>
      </w:r>
      <w:r w:rsidRPr="00F55A79" w:rsidR="006730FA">
        <w:rPr>
          <w:color w:val="000000" w:themeColor="text1"/>
        </w:rPr>
        <w:t xml:space="preserve">of Frontier </w:t>
      </w:r>
      <w:r w:rsidRPr="00F55A79" w:rsidR="00D2367E">
        <w:rPr>
          <w:color w:val="000000" w:themeColor="text1"/>
        </w:rPr>
        <w:t xml:space="preserve">and therefore adopt conditions to ensure </w:t>
      </w:r>
      <w:r w:rsidRPr="00F55A79" w:rsidR="006730FA">
        <w:rPr>
          <w:color w:val="000000" w:themeColor="text1"/>
        </w:rPr>
        <w:t>fairness for non-union employees</w:t>
      </w:r>
      <w:r w:rsidRPr="00F55A79">
        <w:rPr>
          <w:color w:val="000000" w:themeColor="text1"/>
        </w:rPr>
        <w:t>.</w:t>
      </w:r>
    </w:p>
    <w:p w:rsidRPr="00F55A79" w:rsidR="005C21B3" w:rsidP="005C21B3" w:rsidRDefault="005C21B3" w14:paraId="4B497FB2" w14:textId="77777777">
      <w:pPr>
        <w:pStyle w:val="Heading3"/>
        <w:rPr>
          <w:color w:val="000000" w:themeColor="text1"/>
        </w:rPr>
      </w:pPr>
      <w:bookmarkStart w:name="_Toc216163186" w:id="101"/>
      <w:r w:rsidRPr="00F55A79">
        <w:rPr>
          <w:color w:val="000000" w:themeColor="text1"/>
        </w:rPr>
        <w:lastRenderedPageBreak/>
        <w:t>Joint Applicants’ Position</w:t>
      </w:r>
      <w:bookmarkEnd w:id="101"/>
    </w:p>
    <w:p w:rsidRPr="00F55A79" w:rsidR="003529CE" w:rsidP="00E72517" w:rsidRDefault="00A03796" w14:paraId="528FA6A2" w14:textId="755640CC">
      <w:pPr>
        <w:pStyle w:val="Standard"/>
      </w:pPr>
      <w:r w:rsidRPr="00F55A79">
        <w:t>According to Verizon, the proposed transaction will provide continuity for Frontier’s employees, including the technicians that work on Frontier’s network.</w:t>
      </w:r>
      <w:r w:rsidRPr="00F55A79">
        <w:rPr>
          <w:rStyle w:val="FootnoteReference"/>
        </w:rPr>
        <w:footnoteReference w:id="186"/>
      </w:r>
      <w:r w:rsidRPr="00F55A79">
        <w:t xml:space="preserve"> </w:t>
      </w:r>
      <w:r w:rsidRPr="00F55A79" w:rsidR="00001D4E">
        <w:t xml:space="preserve"> </w:t>
      </w:r>
      <w:r w:rsidRPr="00F55A79">
        <w:t>Verizon stated that it “has longstanding relationships with CWA and the International Brotherhood of Electrical Workers (IBEW), each of which represents employees at Verizon and Frontier.”</w:t>
      </w:r>
      <w:r w:rsidRPr="00F55A79">
        <w:rPr>
          <w:rStyle w:val="FootnoteReference"/>
        </w:rPr>
        <w:footnoteReference w:id="187"/>
      </w:r>
      <w:r w:rsidRPr="00F55A79">
        <w:t xml:space="preserve"> Verizon </w:t>
      </w:r>
      <w:r w:rsidRPr="00F55A79" w:rsidR="003529CE">
        <w:t>stated in its application that it would</w:t>
      </w:r>
      <w:r w:rsidRPr="00F55A79">
        <w:t xml:space="preserve"> honor Frontier’s collective bargaining agreements covering Frontier’s unionized workforce, including in California.</w:t>
      </w:r>
      <w:r w:rsidRPr="00F55A79" w:rsidR="003529CE">
        <w:rPr>
          <w:rStyle w:val="FootnoteReference"/>
        </w:rPr>
        <w:footnoteReference w:id="188"/>
      </w:r>
      <w:r w:rsidRPr="00F55A79">
        <w:t xml:space="preserve"> </w:t>
      </w:r>
      <w:r w:rsidRPr="00F55A79" w:rsidR="00AA2D9E">
        <w:t xml:space="preserve"> </w:t>
      </w:r>
      <w:r w:rsidRPr="00F55A79" w:rsidR="003529CE">
        <w:t>In addition, Verizon stated that it had agreed</w:t>
      </w:r>
      <w:r w:rsidRPr="00F55A79">
        <w:t xml:space="preserve"> </w:t>
      </w:r>
      <w:r w:rsidRPr="00F55A79" w:rsidR="003529CE">
        <w:t>to maintain and provide the following for</w:t>
      </w:r>
      <w:r w:rsidRPr="00F55A79">
        <w:t xml:space="preserve"> employees who are not represented by unions for no less than one year following the effective date</w:t>
      </w:r>
      <w:r w:rsidRPr="00F55A79" w:rsidR="003529CE">
        <w:t xml:space="preserve"> of the transaction</w:t>
      </w:r>
      <w:r w:rsidRPr="00F55A79">
        <w:t>:</w:t>
      </w:r>
      <w:r w:rsidRPr="00F55A79" w:rsidR="003529CE">
        <w:rPr>
          <w:rStyle w:val="FootnoteReference"/>
        </w:rPr>
        <w:footnoteReference w:id="189"/>
      </w:r>
      <w:r w:rsidRPr="00F55A79">
        <w:t xml:space="preserve"> </w:t>
      </w:r>
    </w:p>
    <w:p w:rsidRPr="00F55A79" w:rsidR="003529CE" w:rsidP="006F20ED" w:rsidRDefault="003529CE" w14:paraId="3730D1A7" w14:textId="105E1976">
      <w:pPr>
        <w:pStyle w:val="ListBullet"/>
        <w:tabs>
          <w:tab w:val="clear" w:pos="360"/>
          <w:tab w:val="num" w:pos="1080"/>
        </w:tabs>
        <w:ind w:left="1080" w:right="1440"/>
        <w:rPr>
          <w:color w:val="000000" w:themeColor="text1"/>
        </w:rPr>
      </w:pPr>
      <w:r w:rsidRPr="00F55A79">
        <w:rPr>
          <w:color w:val="000000" w:themeColor="text1"/>
        </w:rPr>
        <w:t>B</w:t>
      </w:r>
      <w:r w:rsidRPr="00F55A79" w:rsidR="00A03796">
        <w:rPr>
          <w:color w:val="000000" w:themeColor="text1"/>
        </w:rPr>
        <w:t xml:space="preserve">ase salary or wage rate, target annual cash bonus or commission-based opportunity, and target equity award opportunity, in each case, that are no less favorable than what was provided by Frontier; </w:t>
      </w:r>
    </w:p>
    <w:p w:rsidRPr="00F55A79" w:rsidR="003529CE" w:rsidP="006F20ED" w:rsidRDefault="003529CE" w14:paraId="2E741C2B" w14:textId="4A628379">
      <w:pPr>
        <w:pStyle w:val="ListBullet"/>
        <w:tabs>
          <w:tab w:val="clear" w:pos="360"/>
          <w:tab w:val="num" w:pos="1080"/>
        </w:tabs>
        <w:ind w:left="1080" w:right="1440"/>
        <w:rPr>
          <w:color w:val="000000" w:themeColor="text1"/>
        </w:rPr>
      </w:pPr>
      <w:r w:rsidRPr="00F55A79">
        <w:rPr>
          <w:color w:val="000000" w:themeColor="text1"/>
        </w:rPr>
        <w:t>Q</w:t>
      </w:r>
      <w:r w:rsidRPr="00F55A79" w:rsidR="00A03796">
        <w:rPr>
          <w:color w:val="000000" w:themeColor="text1"/>
        </w:rPr>
        <w:t xml:space="preserve">ualifying severance benefits for qualifying separations that are no less favorable than the severance benefits in place at Frontier; and </w:t>
      </w:r>
    </w:p>
    <w:p w:rsidRPr="00F55A79" w:rsidR="005C21B3" w:rsidP="006F20ED" w:rsidRDefault="003529CE" w14:paraId="5DB49DD0" w14:textId="6E766580">
      <w:pPr>
        <w:pStyle w:val="ListBullet"/>
        <w:tabs>
          <w:tab w:val="clear" w:pos="360"/>
          <w:tab w:val="num" w:pos="1080"/>
        </w:tabs>
        <w:ind w:left="1080" w:right="1440"/>
      </w:pPr>
      <w:r w:rsidRPr="00F55A79">
        <w:rPr>
          <w:color w:val="000000" w:themeColor="text1"/>
        </w:rPr>
        <w:t>B</w:t>
      </w:r>
      <w:r w:rsidRPr="00F55A79" w:rsidR="00A03796">
        <w:rPr>
          <w:color w:val="000000" w:themeColor="text1"/>
        </w:rPr>
        <w:t xml:space="preserve">enefits plans and arrangements that are no less favorable in the aggregate than what was provided by Frontier (other </w:t>
      </w:r>
      <w:r w:rsidRPr="00F55A79" w:rsidR="00A03796">
        <w:t xml:space="preserve">than defined benefit pension, supplemental retirement, post-retirement medical and life, and deferred compensation benefits). </w:t>
      </w:r>
    </w:p>
    <w:p w:rsidRPr="00F55A79" w:rsidR="005C21B3" w:rsidP="00ED3CD5" w:rsidRDefault="005C21B3" w14:paraId="75171FB5" w14:textId="71D8CC00">
      <w:pPr>
        <w:pStyle w:val="Heading3"/>
      </w:pPr>
      <w:bookmarkStart w:name="_Toc216163187" w:id="102"/>
      <w:r w:rsidRPr="00F55A79">
        <w:lastRenderedPageBreak/>
        <w:t>Party Positions</w:t>
      </w:r>
      <w:bookmarkEnd w:id="102"/>
    </w:p>
    <w:p w:rsidRPr="00F55A79" w:rsidR="008A298D" w:rsidP="00ED3CD5" w:rsidRDefault="008A298D" w14:paraId="4AA6D62E" w14:textId="77777777">
      <w:pPr>
        <w:pStyle w:val="Heading4"/>
      </w:pPr>
      <w:bookmarkStart w:name="_Toc216163188" w:id="103"/>
      <w:r w:rsidRPr="00F55A79">
        <w:t>CETF</w:t>
      </w:r>
      <w:bookmarkEnd w:id="103"/>
      <w:r w:rsidRPr="00F55A79">
        <w:t xml:space="preserve"> </w:t>
      </w:r>
    </w:p>
    <w:p w:rsidRPr="00F55A79" w:rsidR="00F20FFA" w:rsidP="00ED3CD5" w:rsidRDefault="00E46F66" w14:paraId="5B04B9AC" w14:textId="01F590EB">
      <w:pPr>
        <w:pStyle w:val="Standard"/>
      </w:pPr>
      <w:r w:rsidRPr="00F55A79">
        <w:t>CETF recommended that the Commission find the transaction to be fair and reasonable to the employees of Frontier, including both union and nonunion employees.</w:t>
      </w:r>
      <w:r w:rsidRPr="00F55A79">
        <w:rPr>
          <w:rStyle w:val="FootnoteReference"/>
        </w:rPr>
        <w:footnoteReference w:id="190"/>
      </w:r>
      <w:r w:rsidRPr="00F55A79">
        <w:t xml:space="preserve"> </w:t>
      </w:r>
      <w:r w:rsidRPr="00F55A79" w:rsidR="006730FA">
        <w:t xml:space="preserve"> </w:t>
      </w:r>
      <w:r w:rsidRPr="00F55A79">
        <w:t xml:space="preserve">CETF </w:t>
      </w:r>
      <w:r w:rsidRPr="00F55A79" w:rsidR="00AB3339">
        <w:t xml:space="preserve">noted its support for </w:t>
      </w:r>
      <w:r w:rsidRPr="00F55A79" w:rsidR="00F50EAF">
        <w:t xml:space="preserve">provisions in </w:t>
      </w:r>
      <w:r w:rsidRPr="00F55A79">
        <w:t xml:space="preserve">Verizon and CWA’s </w:t>
      </w:r>
      <w:r w:rsidRPr="00F55A79" w:rsidR="00F50EAF">
        <w:t>a</w:t>
      </w:r>
      <w:r w:rsidRPr="00F55A79">
        <w:t xml:space="preserve">greement, </w:t>
      </w:r>
      <w:r w:rsidRPr="00F55A79" w:rsidR="00F50EAF">
        <w:t>for (1)</w:t>
      </w:r>
      <w:r w:rsidRPr="00F55A79">
        <w:t xml:space="preserve"> job security provided to all of Frontier’s union employees</w:t>
      </w:r>
      <w:r w:rsidRPr="00F55A79" w:rsidR="00F50EAF">
        <w:t>, and (2)</w:t>
      </w:r>
      <w:r w:rsidRPr="00F55A79">
        <w:t xml:space="preserve"> hir</w:t>
      </w:r>
      <w:r w:rsidRPr="00F55A79" w:rsidR="00F50EAF">
        <w:t xml:space="preserve">ing of </w:t>
      </w:r>
      <w:r w:rsidRPr="00F55A79">
        <w:t>100 new CWA employee</w:t>
      </w:r>
      <w:r w:rsidRPr="00F55A79" w:rsidR="00AB3339">
        <w:t>s</w:t>
      </w:r>
      <w:r w:rsidRPr="00F55A79">
        <w:t xml:space="preserve"> per year for six years</w:t>
      </w:r>
      <w:r w:rsidRPr="00F55A79" w:rsidR="00AB3339">
        <w:t>, resulting in</w:t>
      </w:r>
      <w:r w:rsidRPr="00F55A79">
        <w:t xml:space="preserve"> 600 new jobs.</w:t>
      </w:r>
      <w:r w:rsidRPr="00F55A79" w:rsidR="00F50EAF">
        <w:rPr>
          <w:rStyle w:val="FootnoteReference"/>
        </w:rPr>
        <w:footnoteReference w:id="191"/>
      </w:r>
      <w:r w:rsidRPr="00F55A79">
        <w:t xml:space="preserve"> </w:t>
      </w:r>
    </w:p>
    <w:p w:rsidRPr="00F55A79" w:rsidR="008A298D" w:rsidP="00ED3CD5" w:rsidRDefault="008A298D" w14:paraId="7D738A1C" w14:textId="792CCCFC">
      <w:pPr>
        <w:pStyle w:val="Heading4"/>
      </w:pPr>
      <w:bookmarkStart w:name="_Toc216163189" w:id="104"/>
      <w:r w:rsidRPr="00F55A79">
        <w:t>Cfo</w:t>
      </w:r>
      <w:r w:rsidRPr="00F55A79" w:rsidR="0026788A">
        <w:t>r</w:t>
      </w:r>
      <w:r w:rsidRPr="00F55A79">
        <w:t>AT</w:t>
      </w:r>
      <w:bookmarkEnd w:id="104"/>
    </w:p>
    <w:p w:rsidRPr="00F55A79" w:rsidR="0048094C" w:rsidP="00ED3CD5" w:rsidRDefault="0048094C" w14:paraId="7F586C8C" w14:textId="6F34DCBF">
      <w:pPr>
        <w:pStyle w:val="Standard"/>
        <w:rPr>
          <w:color w:val="000000" w:themeColor="text1"/>
        </w:rPr>
      </w:pPr>
      <w:r w:rsidRPr="00F55A79">
        <w:t>CforAT noted that the settlement agreement with CWA focused only on union employees and noted concerns about the proposed transaction’s effects on non-union employees.</w:t>
      </w:r>
      <w:r w:rsidRPr="00F55A79">
        <w:rPr>
          <w:rStyle w:val="FootnoteReference"/>
          <w:color w:val="000000" w:themeColor="text1"/>
        </w:rPr>
        <w:footnoteReference w:id="192"/>
      </w:r>
      <w:r w:rsidRPr="00F55A79">
        <w:rPr>
          <w:color w:val="000000" w:themeColor="text1"/>
        </w:rPr>
        <w:t xml:space="preserve"> </w:t>
      </w:r>
      <w:r w:rsidRPr="00F55A79" w:rsidR="00444416">
        <w:rPr>
          <w:color w:val="000000" w:themeColor="text1"/>
        </w:rPr>
        <w:t xml:space="preserve"> CforAT noted</w:t>
      </w:r>
      <w:r w:rsidRPr="00F55A79" w:rsidR="003B0108">
        <w:rPr>
          <w:color w:val="000000" w:themeColor="text1"/>
        </w:rPr>
        <w:t>, for example,</w:t>
      </w:r>
      <w:r w:rsidRPr="00F55A79" w:rsidR="00444416">
        <w:rPr>
          <w:color w:val="000000" w:themeColor="text1"/>
        </w:rPr>
        <w:t xml:space="preserve"> that </w:t>
      </w:r>
      <w:r w:rsidRPr="00F55A79">
        <w:rPr>
          <w:color w:val="000000" w:themeColor="text1"/>
        </w:rPr>
        <w:t xml:space="preserve">Verizon </w:t>
      </w:r>
      <w:r w:rsidRPr="00F55A79" w:rsidR="00444416">
        <w:rPr>
          <w:color w:val="000000" w:themeColor="text1"/>
        </w:rPr>
        <w:t xml:space="preserve">had not </w:t>
      </w:r>
      <w:r w:rsidRPr="00F55A79">
        <w:t>commit</w:t>
      </w:r>
      <w:r w:rsidRPr="00F55A79" w:rsidR="00444416">
        <w:t>ted</w:t>
      </w:r>
      <w:r w:rsidRPr="00F55A79">
        <w:t xml:space="preserve"> to offering retirement benefits</w:t>
      </w:r>
      <w:r w:rsidRPr="00F55A79" w:rsidR="00444416">
        <w:t xml:space="preserve"> to non-union employees</w:t>
      </w:r>
      <w:r w:rsidRPr="00F55A79" w:rsidR="00A46001">
        <w:t xml:space="preserve"> and</w:t>
      </w:r>
      <w:r w:rsidRPr="00F55A79">
        <w:t xml:space="preserve"> does not commit to maintaining benefits plans and arrangements for each Frontier employee. </w:t>
      </w:r>
      <w:r w:rsidRPr="00F55A79" w:rsidR="00A46001">
        <w:t xml:space="preserve"> </w:t>
      </w:r>
      <w:r w:rsidRPr="00F55A79">
        <w:t xml:space="preserve">Rather, </w:t>
      </w:r>
      <w:r w:rsidRPr="00F55A79" w:rsidR="00A46001">
        <w:t>Verizon</w:t>
      </w:r>
      <w:r w:rsidRPr="00F55A79">
        <w:t xml:space="preserve"> will provide plans and arrangements that are “no less favorable in the aggregate.”</w:t>
      </w:r>
      <w:r w:rsidRPr="00F55A79" w:rsidR="00A46001">
        <w:rPr>
          <w:rStyle w:val="FootnoteReference"/>
          <w:color w:val="000000" w:themeColor="text1"/>
        </w:rPr>
        <w:footnoteReference w:id="193"/>
      </w:r>
      <w:r w:rsidRPr="00F55A79">
        <w:rPr>
          <w:color w:val="000000" w:themeColor="text1"/>
        </w:rPr>
        <w:t xml:space="preserve"> </w:t>
      </w:r>
    </w:p>
    <w:p w:rsidRPr="00F55A79" w:rsidR="008600E4" w:rsidP="00ED3CD5" w:rsidRDefault="0048094C" w14:paraId="39DB30B9" w14:textId="2D2DBE78">
      <w:pPr>
        <w:pStyle w:val="Standard"/>
        <w:rPr>
          <w:color w:val="000000" w:themeColor="text1"/>
        </w:rPr>
      </w:pPr>
      <w:r w:rsidRPr="00F55A79">
        <w:rPr>
          <w:color w:val="000000" w:themeColor="text1"/>
        </w:rPr>
        <w:t>CforAT</w:t>
      </w:r>
      <w:r w:rsidRPr="00F55A79" w:rsidR="003B0108">
        <w:rPr>
          <w:color w:val="000000" w:themeColor="text1"/>
        </w:rPr>
        <w:t xml:space="preserve"> stated that if</w:t>
      </w:r>
      <w:r w:rsidRPr="00F55A79">
        <w:rPr>
          <w:color w:val="000000" w:themeColor="text1"/>
        </w:rPr>
        <w:t xml:space="preserve"> the Commission approve</w:t>
      </w:r>
      <w:r w:rsidRPr="00F55A79" w:rsidR="003B0108">
        <w:rPr>
          <w:color w:val="000000" w:themeColor="text1"/>
        </w:rPr>
        <w:t>s</w:t>
      </w:r>
      <w:r w:rsidRPr="00F55A79">
        <w:rPr>
          <w:color w:val="000000" w:themeColor="text1"/>
        </w:rPr>
        <w:t xml:space="preserve"> the transaction, it should require </w:t>
      </w:r>
      <w:r w:rsidRPr="00F55A79" w:rsidR="00A0634D">
        <w:rPr>
          <w:color w:val="000000" w:themeColor="text1"/>
        </w:rPr>
        <w:t xml:space="preserve">that </w:t>
      </w:r>
      <w:r w:rsidRPr="00F55A79">
        <w:rPr>
          <w:color w:val="000000" w:themeColor="text1"/>
        </w:rPr>
        <w:t xml:space="preserve">Frontier employees </w:t>
      </w:r>
      <w:r w:rsidRPr="00F55A79" w:rsidR="00A0634D">
        <w:t>receive</w:t>
      </w:r>
      <w:r w:rsidRPr="00F55A79">
        <w:t xml:space="preserve"> the same compensation they received from Frontier</w:t>
      </w:r>
      <w:r w:rsidRPr="00F55A79" w:rsidR="00A0634D">
        <w:t>,</w:t>
      </w:r>
      <w:r w:rsidRPr="00F55A79">
        <w:t xml:space="preserve"> or the same compensation a Verizon employee receives for the same role, whichever is higher</w:t>
      </w:r>
      <w:r w:rsidRPr="00F55A79" w:rsidR="00DB6C7E">
        <w:t>,</w:t>
      </w:r>
      <w:r w:rsidRPr="00F55A79">
        <w:t xml:space="preserve"> for a minimum of five years</w:t>
      </w:r>
      <w:r w:rsidRPr="00F55A79" w:rsidR="00DB6C7E">
        <w:t>.</w:t>
      </w:r>
      <w:r w:rsidRPr="00F55A79" w:rsidR="00DB6C7E">
        <w:rPr>
          <w:rStyle w:val="FootnoteReference"/>
          <w:color w:val="000000" w:themeColor="text1"/>
        </w:rPr>
        <w:footnoteReference w:id="194"/>
      </w:r>
    </w:p>
    <w:p w:rsidRPr="00F55A79" w:rsidR="008A298D" w:rsidP="00ED3CD5" w:rsidRDefault="008A298D" w14:paraId="5486477C" w14:textId="77777777">
      <w:pPr>
        <w:pStyle w:val="Heading4"/>
      </w:pPr>
      <w:bookmarkStart w:name="_Toc216163190" w:id="105"/>
      <w:r w:rsidRPr="00F55A79">
        <w:lastRenderedPageBreak/>
        <w:t>TURN</w:t>
      </w:r>
      <w:bookmarkEnd w:id="105"/>
    </w:p>
    <w:p w:rsidRPr="00F55A79" w:rsidR="00337A4C" w:rsidP="006E0AC8" w:rsidRDefault="00BE228F" w14:paraId="25D95D19" w14:textId="6AA587D7">
      <w:pPr>
        <w:pStyle w:val="Standard"/>
        <w:rPr>
          <w:color w:val="000000" w:themeColor="text1"/>
        </w:rPr>
      </w:pPr>
      <w:r w:rsidRPr="00F55A79">
        <w:t>TURN argued that, w</w:t>
      </w:r>
      <w:r w:rsidRPr="00F55A79" w:rsidR="005607B2">
        <w:t>ithout additional mitigation measures, the proposed transaction is likely not in the public interest and there is inadequate record to evaluate whether the proposed transaction would be fair to non</w:t>
      </w:r>
      <w:r w:rsidRPr="00F55A79">
        <w:t>-</w:t>
      </w:r>
      <w:r w:rsidRPr="00F55A79" w:rsidR="005607B2">
        <w:t>union employees.</w:t>
      </w:r>
      <w:r w:rsidRPr="00F55A79" w:rsidR="005607B2">
        <w:rPr>
          <w:rStyle w:val="FootnoteReference"/>
          <w:color w:val="000000" w:themeColor="text1"/>
        </w:rPr>
        <w:footnoteReference w:id="195"/>
      </w:r>
      <w:r w:rsidRPr="00F55A79" w:rsidR="005607B2">
        <w:rPr>
          <w:color w:val="000000" w:themeColor="text1"/>
        </w:rPr>
        <w:t xml:space="preserve"> </w:t>
      </w:r>
      <w:r w:rsidRPr="00F55A79" w:rsidR="008E4515">
        <w:rPr>
          <w:color w:val="000000" w:themeColor="text1"/>
        </w:rPr>
        <w:t xml:space="preserve"> </w:t>
      </w:r>
      <w:r w:rsidRPr="00F55A79" w:rsidR="005607B2">
        <w:rPr>
          <w:color w:val="000000" w:themeColor="text1"/>
        </w:rPr>
        <w:t>TURN strongly urge</w:t>
      </w:r>
      <w:r w:rsidRPr="00F55A79" w:rsidR="008E4515">
        <w:rPr>
          <w:color w:val="000000" w:themeColor="text1"/>
        </w:rPr>
        <w:t>d</w:t>
      </w:r>
      <w:r w:rsidRPr="00F55A79" w:rsidR="005607B2">
        <w:rPr>
          <w:color w:val="000000" w:themeColor="text1"/>
        </w:rPr>
        <w:t xml:space="preserve"> the Commission to evaluate and adopt mitigation conditions regarding the</w:t>
      </w:r>
      <w:r w:rsidRPr="00F55A79" w:rsidR="00F11B4A">
        <w:rPr>
          <w:color w:val="000000" w:themeColor="text1"/>
        </w:rPr>
        <w:t xml:space="preserve"> </w:t>
      </w:r>
      <w:r w:rsidRPr="00F55A79" w:rsidR="005607B2">
        <w:rPr>
          <w:color w:val="000000" w:themeColor="text1"/>
        </w:rPr>
        <w:t xml:space="preserve">transaction’s impact on affected employees, both union and nonunion, </w:t>
      </w:r>
      <w:r w:rsidRPr="00F55A79" w:rsidR="008E4515">
        <w:rPr>
          <w:color w:val="000000" w:themeColor="text1"/>
        </w:rPr>
        <w:t>“</w:t>
      </w:r>
      <w:r w:rsidRPr="00F55A79" w:rsidR="005607B2">
        <w:t>because staffing affects service</w:t>
      </w:r>
      <w:r w:rsidRPr="00F55A79" w:rsidR="00F11B4A">
        <w:t xml:space="preserve"> </w:t>
      </w:r>
      <w:r w:rsidRPr="00F55A79" w:rsidR="005607B2">
        <w:t>quality, service quality affects consumers’ meaningful access to emergency services.</w:t>
      </w:r>
      <w:r w:rsidRPr="00F55A79" w:rsidR="008E4515">
        <w:t>”</w:t>
      </w:r>
      <w:r w:rsidRPr="00F55A79" w:rsidR="00F11B4A">
        <w:rPr>
          <w:rStyle w:val="FootnoteReference"/>
          <w:color w:val="000000" w:themeColor="text1"/>
        </w:rPr>
        <w:footnoteReference w:id="196"/>
      </w:r>
      <w:r w:rsidRPr="00F55A79" w:rsidR="00AD7D2B">
        <w:rPr>
          <w:color w:val="000000" w:themeColor="text1"/>
        </w:rPr>
        <w:t xml:space="preserve"> </w:t>
      </w:r>
      <w:r w:rsidRPr="00F55A79" w:rsidR="005607B2">
        <w:rPr>
          <w:color w:val="000000" w:themeColor="text1"/>
        </w:rPr>
        <w:t xml:space="preserve"> </w:t>
      </w:r>
      <w:r w:rsidRPr="00F55A79" w:rsidR="008E4515">
        <w:t>According to TURN, b</w:t>
      </w:r>
      <w:r w:rsidRPr="00F55A79" w:rsidR="005607B2">
        <w:t>oth the Cal</w:t>
      </w:r>
      <w:r w:rsidRPr="00F55A79" w:rsidR="00AD7D2B">
        <w:t xml:space="preserve"> </w:t>
      </w:r>
      <w:r w:rsidRPr="00F55A79" w:rsidR="005607B2">
        <w:t xml:space="preserve">Advocates and CWA settlement agreements </w:t>
      </w:r>
      <w:r w:rsidRPr="00F55A79" w:rsidR="008E4515">
        <w:t>“</w:t>
      </w:r>
      <w:r w:rsidRPr="00F55A79" w:rsidR="005607B2">
        <w:t>fail to provide meaningful conditions that address the nexus</w:t>
      </w:r>
      <w:r w:rsidRPr="00F55A79" w:rsidR="00F11B4A">
        <w:t xml:space="preserve"> </w:t>
      </w:r>
      <w:r w:rsidRPr="00F55A79" w:rsidR="005607B2">
        <w:t>between staffing and service quality.</w:t>
      </w:r>
      <w:r w:rsidRPr="00F55A79" w:rsidR="008E4515">
        <w:t>”</w:t>
      </w:r>
      <w:r w:rsidRPr="00F55A79" w:rsidR="00F11B4A">
        <w:rPr>
          <w:rStyle w:val="FootnoteReference"/>
          <w:color w:val="000000" w:themeColor="text1"/>
        </w:rPr>
        <w:footnoteReference w:id="197"/>
      </w:r>
    </w:p>
    <w:p w:rsidRPr="00F55A79" w:rsidR="006E0AC8" w:rsidP="006E0AC8" w:rsidRDefault="006E2B9B" w14:paraId="5D8A2662" w14:textId="314B588B">
      <w:pPr>
        <w:pStyle w:val="Standard"/>
        <w:rPr>
          <w:szCs w:val="26"/>
        </w:rPr>
      </w:pPr>
      <w:r w:rsidRPr="00F55A79">
        <w:t xml:space="preserve">TURN noted that </w:t>
      </w:r>
      <w:r w:rsidRPr="00F55A79" w:rsidR="005607B2">
        <w:t>Frontier previously stated that its failure to meet or exceed the</w:t>
      </w:r>
      <w:r w:rsidRPr="00F55A79" w:rsidR="00F11B4A">
        <w:t xml:space="preserve"> </w:t>
      </w:r>
      <w:r w:rsidRPr="00F55A79" w:rsidR="005607B2">
        <w:t xml:space="preserve">Out of Service (OOS) </w:t>
      </w:r>
      <w:r w:rsidRPr="00F55A79" w:rsidR="002B50E9">
        <w:t xml:space="preserve">restoration </w:t>
      </w:r>
      <w:r w:rsidRPr="00F55A79" w:rsidR="005607B2">
        <w:t xml:space="preserve">metric </w:t>
      </w:r>
      <w:r w:rsidRPr="00F55A79" w:rsidR="002B50E9">
        <w:t>“</w:t>
      </w:r>
      <w:r w:rsidRPr="00F55A79" w:rsidR="005607B2">
        <w:t>is the result of staffing limitations that make it challenging to</w:t>
      </w:r>
      <w:r w:rsidRPr="00F55A79" w:rsidR="00F11B4A">
        <w:t xml:space="preserve"> </w:t>
      </w:r>
      <w:r w:rsidRPr="00F55A79" w:rsidR="005607B2">
        <w:t>satisfy the OOS restoration standard during times of peak workflow.”</w:t>
      </w:r>
      <w:r w:rsidRPr="00F55A79" w:rsidR="00F11B4A">
        <w:rPr>
          <w:rStyle w:val="FootnoteReference"/>
        </w:rPr>
        <w:footnoteReference w:id="198"/>
      </w:r>
      <w:r w:rsidRPr="00F55A79" w:rsidR="005607B2">
        <w:t xml:space="preserve"> </w:t>
      </w:r>
      <w:r w:rsidRPr="00F55A79" w:rsidR="002B50E9">
        <w:t xml:space="preserve"> </w:t>
      </w:r>
      <w:r w:rsidRPr="00F55A79" w:rsidR="00CE4091">
        <w:t xml:space="preserve">TURN noted that </w:t>
      </w:r>
      <w:r w:rsidRPr="00F55A79" w:rsidR="005607B2">
        <w:t>Frontier believe</w:t>
      </w:r>
      <w:r w:rsidRPr="00F55A79" w:rsidR="00CE4091">
        <w:t>d</w:t>
      </w:r>
      <w:r w:rsidRPr="00F55A79" w:rsidR="005607B2">
        <w:t xml:space="preserve"> it</w:t>
      </w:r>
      <w:r w:rsidRPr="00F55A79" w:rsidR="00F11B4A">
        <w:t xml:space="preserve"> </w:t>
      </w:r>
      <w:r w:rsidRPr="00F55A79" w:rsidR="005607B2">
        <w:t>may have “addressed these resource issues by retaining additional technicians</w:t>
      </w:r>
      <w:r w:rsidRPr="00F55A79" w:rsidR="00CE4091">
        <w:t>,”</w:t>
      </w:r>
      <w:r w:rsidRPr="00F55A79" w:rsidR="00CE4091">
        <w:rPr>
          <w:rStyle w:val="FootnoteReference"/>
        </w:rPr>
        <w:footnoteReference w:id="199"/>
      </w:r>
      <w:r w:rsidRPr="00F55A79" w:rsidR="00CE4091">
        <w:t xml:space="preserve"> </w:t>
      </w:r>
      <w:r w:rsidRPr="00F55A79" w:rsidR="00CE4091">
        <w:rPr>
          <w:szCs w:val="26"/>
        </w:rPr>
        <w:t xml:space="preserve">but </w:t>
      </w:r>
      <w:r w:rsidRPr="00F55A79" w:rsidR="005607B2">
        <w:t xml:space="preserve">Verizon </w:t>
      </w:r>
      <w:r w:rsidRPr="00F55A79" w:rsidR="00CE4091">
        <w:t xml:space="preserve">did not affirm it </w:t>
      </w:r>
      <w:r w:rsidRPr="00F55A79" w:rsidR="005607B2">
        <w:t xml:space="preserve">would hire additional staff if </w:t>
      </w:r>
      <w:r w:rsidRPr="00F55A79" w:rsidR="00FD5ECA">
        <w:t xml:space="preserve">needed </w:t>
      </w:r>
      <w:r w:rsidRPr="00F55A79" w:rsidR="005607B2">
        <w:t>to address GO 133-D non-compliance</w:t>
      </w:r>
      <w:r w:rsidRPr="00F55A79" w:rsidR="006E0AC8">
        <w:t>.</w:t>
      </w:r>
      <w:r w:rsidRPr="00F55A79" w:rsidR="008B73FC">
        <w:rPr>
          <w:rStyle w:val="FootnoteReference"/>
          <w:szCs w:val="26"/>
        </w:rPr>
        <w:footnoteReference w:id="200"/>
      </w:r>
      <w:r w:rsidRPr="00F55A79" w:rsidR="008B73FC">
        <w:rPr>
          <w:szCs w:val="26"/>
        </w:rPr>
        <w:t xml:space="preserve"> </w:t>
      </w:r>
    </w:p>
    <w:p w:rsidRPr="00F55A79" w:rsidR="006E0AC8" w:rsidP="006E0AC8" w:rsidRDefault="001A4747" w14:paraId="46CD566D" w14:textId="20C09ACC">
      <w:pPr>
        <w:pStyle w:val="Standard"/>
        <w:rPr>
          <w:color w:val="000000" w:themeColor="text1"/>
          <w:szCs w:val="26"/>
        </w:rPr>
      </w:pPr>
      <w:r w:rsidRPr="00F55A79">
        <w:rPr>
          <w:szCs w:val="26"/>
        </w:rPr>
        <w:lastRenderedPageBreak/>
        <w:t>TURN further noted that although t</w:t>
      </w:r>
      <w:r w:rsidRPr="00F55A79" w:rsidR="006E0AC8">
        <w:rPr>
          <w:szCs w:val="26"/>
        </w:rPr>
        <w:t>he Cal Advocates and CWA settlements acknowledge that additional staffing may be required,</w:t>
      </w:r>
      <w:r w:rsidRPr="00F55A79" w:rsidR="00A769D4">
        <w:rPr>
          <w:szCs w:val="26"/>
        </w:rPr>
        <w:t xml:space="preserve"> </w:t>
      </w:r>
      <w:r w:rsidRPr="00F55A79">
        <w:rPr>
          <w:szCs w:val="26"/>
        </w:rPr>
        <w:t>“</w:t>
      </w:r>
      <w:r w:rsidRPr="00F55A79" w:rsidR="006E0AC8">
        <w:rPr>
          <w:szCs w:val="26"/>
        </w:rPr>
        <w:t xml:space="preserve">Verizon is under no </w:t>
      </w:r>
      <w:r w:rsidRPr="00F55A79" w:rsidR="006E0AC8">
        <w:t>meaningful or enforceable obligation to hire additional</w:t>
      </w:r>
      <w:r w:rsidRPr="00F55A79" w:rsidR="00A769D4">
        <w:t xml:space="preserve"> </w:t>
      </w:r>
      <w:r w:rsidRPr="00F55A79" w:rsidR="006E0AC8">
        <w:t>staff if Verizon unilaterally decides that staffing levels are adequate or by paying fines to meet the GO</w:t>
      </w:r>
      <w:r w:rsidRPr="00F55A79" w:rsidR="00A769D4">
        <w:t xml:space="preserve"> </w:t>
      </w:r>
      <w:r w:rsidRPr="00F55A79" w:rsidR="006E0AC8">
        <w:t>133 requirement</w:t>
      </w:r>
      <w:r w:rsidRPr="00F55A79">
        <w:t>.”</w:t>
      </w:r>
      <w:r w:rsidRPr="00F55A79">
        <w:rPr>
          <w:rStyle w:val="FootnoteReference"/>
          <w:szCs w:val="26"/>
        </w:rPr>
        <w:footnoteReference w:id="201"/>
      </w:r>
    </w:p>
    <w:p w:rsidRPr="00F55A79" w:rsidR="0011637B" w:rsidP="008907F2" w:rsidRDefault="00C5391B" w14:paraId="33CC5332" w14:textId="13606299">
      <w:pPr>
        <w:pStyle w:val="Standard"/>
        <w:rPr>
          <w:szCs w:val="26"/>
        </w:rPr>
      </w:pPr>
      <w:r w:rsidRPr="00F55A79">
        <w:rPr>
          <w:color w:val="000000" w:themeColor="text1"/>
          <w:szCs w:val="26"/>
        </w:rPr>
        <w:t xml:space="preserve">In addition, </w:t>
      </w:r>
      <w:r w:rsidRPr="00F55A79" w:rsidR="00D7541A">
        <w:rPr>
          <w:color w:val="000000" w:themeColor="text1"/>
          <w:szCs w:val="26"/>
        </w:rPr>
        <w:t xml:space="preserve">TURN noted that </w:t>
      </w:r>
      <w:r w:rsidRPr="00F55A79" w:rsidR="006E0AC8">
        <w:rPr>
          <w:color w:val="000000" w:themeColor="text1"/>
          <w:szCs w:val="26"/>
        </w:rPr>
        <w:t xml:space="preserve">Verizon </w:t>
      </w:r>
      <w:r w:rsidRPr="00F55A79" w:rsidR="00D7541A">
        <w:rPr>
          <w:color w:val="000000" w:themeColor="text1"/>
          <w:szCs w:val="26"/>
        </w:rPr>
        <w:t>had</w:t>
      </w:r>
      <w:r w:rsidRPr="00F55A79" w:rsidR="00121525">
        <w:rPr>
          <w:color w:val="000000" w:themeColor="text1"/>
          <w:szCs w:val="26"/>
        </w:rPr>
        <w:t xml:space="preserve"> suggested </w:t>
      </w:r>
      <w:r w:rsidRPr="00F55A79" w:rsidR="006E0AC8">
        <w:rPr>
          <w:color w:val="000000" w:themeColor="text1"/>
          <w:szCs w:val="26"/>
        </w:rPr>
        <w:t xml:space="preserve">it does not know what it would </w:t>
      </w:r>
      <w:r w:rsidRPr="00F55A79" w:rsidR="006E0AC8">
        <w:t>take to bring Frontier’s network into compliance with GO 133 without an audit</w:t>
      </w:r>
      <w:r w:rsidRPr="00F55A79" w:rsidR="00121525">
        <w:t>,</w:t>
      </w:r>
      <w:r w:rsidRPr="00F55A79" w:rsidR="006E0AC8">
        <w:t xml:space="preserve"> </w:t>
      </w:r>
      <w:r w:rsidRPr="00F55A79" w:rsidR="00121525">
        <w:t xml:space="preserve">but also said its </w:t>
      </w:r>
      <w:r w:rsidRPr="00F55A79" w:rsidR="006E0AC8">
        <w:t>various network tools would potentially address non-compliance</w:t>
      </w:r>
      <w:r w:rsidRPr="00F55A79" w:rsidR="00FF5165">
        <w:t>.</w:t>
      </w:r>
      <w:r w:rsidRPr="00F55A79" w:rsidR="00FF5165">
        <w:rPr>
          <w:rStyle w:val="FootnoteReference"/>
          <w:color w:val="000000" w:themeColor="text1"/>
          <w:szCs w:val="26"/>
        </w:rPr>
        <w:footnoteReference w:id="202"/>
      </w:r>
      <w:r w:rsidRPr="00F55A79" w:rsidR="00FF5165">
        <w:rPr>
          <w:color w:val="000000" w:themeColor="text1"/>
          <w:szCs w:val="26"/>
        </w:rPr>
        <w:t xml:space="preserve"> </w:t>
      </w:r>
      <w:r w:rsidRPr="00F55A79" w:rsidR="0011637B">
        <w:rPr>
          <w:color w:val="000000" w:themeColor="text1"/>
          <w:szCs w:val="26"/>
        </w:rPr>
        <w:t xml:space="preserve"> </w:t>
      </w:r>
      <w:r w:rsidRPr="00F55A79" w:rsidR="00FF5165">
        <w:rPr>
          <w:rStyle w:val="FootnoteReference"/>
          <w:color w:val="000000" w:themeColor="text1"/>
          <w:szCs w:val="26"/>
          <w:vertAlign w:val="baseline"/>
        </w:rPr>
        <w:t>T</w:t>
      </w:r>
      <w:r w:rsidRPr="00F55A79" w:rsidR="00FF5165">
        <w:rPr>
          <w:color w:val="000000" w:themeColor="text1"/>
          <w:szCs w:val="26"/>
        </w:rPr>
        <w:t>URN noted, h</w:t>
      </w:r>
      <w:r w:rsidRPr="00F55A79" w:rsidR="008907F2">
        <w:rPr>
          <w:color w:val="000000" w:themeColor="text1"/>
          <w:szCs w:val="26"/>
        </w:rPr>
        <w:t>owever, that it is unclear</w:t>
      </w:r>
      <w:r w:rsidRPr="00F55A79" w:rsidR="00001D4E">
        <w:rPr>
          <w:rFonts w:ascii="ZWAdobeF" w:hAnsi="ZWAdobeF" w:cs="ZWAdobeF"/>
          <w:color w:val="000000" w:themeColor="text1"/>
          <w:szCs w:val="26"/>
        </w:rPr>
        <w:t xml:space="preserve"> </w:t>
      </w:r>
      <w:r w:rsidRPr="00F55A79" w:rsidR="008907F2">
        <w:rPr>
          <w:color w:val="000000" w:themeColor="text1"/>
          <w:szCs w:val="26"/>
        </w:rPr>
        <w:t xml:space="preserve">whether Verizon’s remote tools are available to all relevant networks, </w:t>
      </w:r>
      <w:r w:rsidRPr="00F55A79" w:rsidR="008907F2">
        <w:t>including to fix customer-based trouble issues in Verizon’s mobile wireless and copper networks.</w:t>
      </w:r>
      <w:r w:rsidRPr="00F55A79" w:rsidR="008907F2">
        <w:rPr>
          <w:rStyle w:val="FootnoteReference"/>
          <w:szCs w:val="26"/>
        </w:rPr>
        <w:footnoteReference w:id="203"/>
      </w:r>
      <w:r w:rsidRPr="00F55A79" w:rsidR="008907F2">
        <w:rPr>
          <w:szCs w:val="26"/>
        </w:rPr>
        <w:t xml:space="preserve">  </w:t>
      </w:r>
    </w:p>
    <w:p w:rsidRPr="00F55A79" w:rsidR="005C21B3" w:rsidP="00096D54" w:rsidRDefault="0011637B" w14:paraId="13285938" w14:textId="0177257A">
      <w:pPr>
        <w:pStyle w:val="Standard"/>
        <w:rPr>
          <w:szCs w:val="26"/>
        </w:rPr>
      </w:pPr>
      <w:r w:rsidRPr="00F55A79">
        <w:rPr>
          <w:szCs w:val="26"/>
        </w:rPr>
        <w:t xml:space="preserve">According to TURN, </w:t>
      </w:r>
      <w:r w:rsidRPr="00F55A79" w:rsidR="008907F2">
        <w:rPr>
          <w:szCs w:val="26"/>
        </w:rPr>
        <w:t xml:space="preserve">Verizon’s </w:t>
      </w:r>
      <w:r w:rsidRPr="00F55A79">
        <w:rPr>
          <w:szCs w:val="26"/>
        </w:rPr>
        <w:t>“</w:t>
      </w:r>
      <w:r w:rsidRPr="00F55A79" w:rsidR="008907F2">
        <w:rPr>
          <w:szCs w:val="26"/>
        </w:rPr>
        <w:t>evasive</w:t>
      </w:r>
      <w:r w:rsidRPr="00F55A79">
        <w:rPr>
          <w:szCs w:val="26"/>
        </w:rPr>
        <w:t>”</w:t>
      </w:r>
      <w:r w:rsidRPr="00F55A79" w:rsidR="008907F2">
        <w:rPr>
          <w:szCs w:val="26"/>
        </w:rPr>
        <w:t xml:space="preserve"> answers regarding hiring additional staff to bring Frontier’s networks into compliance with GO 133 should raise concerns that Verizon may not take the necessary steps to bring Frontier’s network into compliance if the Commission does not adopt sufficient </w:t>
      </w:r>
      <w:r w:rsidRPr="00F55A79" w:rsidR="008907F2">
        <w:t>enforcement mechanisms.</w:t>
      </w:r>
      <w:r w:rsidRPr="00F55A79">
        <w:rPr>
          <w:rStyle w:val="FootnoteReference"/>
          <w:szCs w:val="26"/>
        </w:rPr>
        <w:footnoteReference w:id="204"/>
      </w:r>
      <w:r w:rsidRPr="00F55A79">
        <w:rPr>
          <w:szCs w:val="26"/>
        </w:rPr>
        <w:t xml:space="preserve">  </w:t>
      </w:r>
      <w:r w:rsidRPr="00F55A79" w:rsidR="008907F2">
        <w:rPr>
          <w:szCs w:val="26"/>
        </w:rPr>
        <w:t>TURN recommend</w:t>
      </w:r>
      <w:r w:rsidRPr="00F55A79" w:rsidR="00F5151C">
        <w:rPr>
          <w:szCs w:val="26"/>
        </w:rPr>
        <w:t xml:space="preserve">ed </w:t>
      </w:r>
      <w:r w:rsidRPr="00F55A79" w:rsidR="008907F2">
        <w:rPr>
          <w:szCs w:val="26"/>
        </w:rPr>
        <w:t xml:space="preserve">an independent compliance monitor </w:t>
      </w:r>
      <w:r w:rsidRPr="00F55A79" w:rsidR="00F5151C">
        <w:rPr>
          <w:szCs w:val="26"/>
        </w:rPr>
        <w:t>to</w:t>
      </w:r>
      <w:r w:rsidRPr="00F55A79" w:rsidR="008907F2">
        <w:rPr>
          <w:szCs w:val="26"/>
        </w:rPr>
        <w:t xml:space="preserve"> mitigate the harms to consumers if </w:t>
      </w:r>
      <w:r w:rsidRPr="00F55A79" w:rsidR="008907F2">
        <w:t>Verizon is unwilling to hire and maintain staff for the provision of safe and reliable services.</w:t>
      </w:r>
      <w:r w:rsidRPr="00F55A79" w:rsidR="009F3637">
        <w:rPr>
          <w:rStyle w:val="FootnoteReference"/>
          <w:szCs w:val="26"/>
        </w:rPr>
        <w:footnoteReference w:id="205"/>
      </w:r>
    </w:p>
    <w:p w:rsidRPr="00F55A79" w:rsidR="005C21B3" w:rsidP="00ED3CD5" w:rsidRDefault="005C21B3" w14:paraId="0DF37391" w14:textId="77777777">
      <w:pPr>
        <w:pStyle w:val="Heading3"/>
        <w:rPr>
          <w:szCs w:val="26"/>
        </w:rPr>
      </w:pPr>
      <w:bookmarkStart w:name="_Toc216163191" w:id="106"/>
      <w:r w:rsidRPr="00F55A79">
        <w:rPr>
          <w:szCs w:val="26"/>
        </w:rPr>
        <w:lastRenderedPageBreak/>
        <w:t>Discussion</w:t>
      </w:r>
      <w:bookmarkEnd w:id="106"/>
    </w:p>
    <w:p w:rsidRPr="00F55A79" w:rsidR="00DF2FA8" w:rsidP="00DF2FA8" w:rsidRDefault="0011637B" w14:paraId="192CA981" w14:textId="1A0EB6E9">
      <w:pPr>
        <w:pStyle w:val="Standard"/>
        <w:rPr>
          <w:szCs w:val="26"/>
        </w:rPr>
      </w:pPr>
      <w:r w:rsidRPr="00F55A79">
        <w:rPr>
          <w:color w:val="000000" w:themeColor="text1"/>
          <w:szCs w:val="26"/>
        </w:rPr>
        <w:t xml:space="preserve">We agree with </w:t>
      </w:r>
      <w:r w:rsidRPr="00F55A79" w:rsidR="00434EB1">
        <w:rPr>
          <w:color w:val="000000" w:themeColor="text1"/>
          <w:szCs w:val="26"/>
        </w:rPr>
        <w:t>TURN</w:t>
      </w:r>
      <w:r w:rsidRPr="00F55A79">
        <w:rPr>
          <w:color w:val="000000" w:themeColor="text1"/>
          <w:szCs w:val="26"/>
        </w:rPr>
        <w:t xml:space="preserve"> and</w:t>
      </w:r>
      <w:r w:rsidRPr="00F55A79" w:rsidR="00434EB1">
        <w:rPr>
          <w:color w:val="000000" w:themeColor="text1"/>
          <w:szCs w:val="26"/>
        </w:rPr>
        <w:t xml:space="preserve"> CforAT and</w:t>
      </w:r>
      <w:r w:rsidRPr="00F55A79">
        <w:rPr>
          <w:color w:val="000000" w:themeColor="text1"/>
          <w:szCs w:val="26"/>
        </w:rPr>
        <w:t xml:space="preserve"> find that </w:t>
      </w:r>
      <w:r w:rsidRPr="00F55A79" w:rsidR="000F004C">
        <w:rPr>
          <w:color w:val="000000" w:themeColor="text1"/>
          <w:szCs w:val="26"/>
        </w:rPr>
        <w:t>additional measures to protect non-union employees are needed</w:t>
      </w:r>
      <w:r w:rsidRPr="00F55A79">
        <w:rPr>
          <w:color w:val="000000" w:themeColor="text1"/>
          <w:szCs w:val="26"/>
        </w:rPr>
        <w:t>.</w:t>
      </w:r>
      <w:r w:rsidRPr="00F55A79" w:rsidR="000F004C">
        <w:rPr>
          <w:color w:val="000000" w:themeColor="text1"/>
          <w:szCs w:val="26"/>
        </w:rPr>
        <w:t xml:space="preserve">  These measures</w:t>
      </w:r>
      <w:r w:rsidRPr="00F55A79" w:rsidR="00B94830">
        <w:rPr>
          <w:color w:val="000000" w:themeColor="text1"/>
          <w:szCs w:val="26"/>
        </w:rPr>
        <w:t xml:space="preserve"> dovetail with conditions detailed in Section 10</w:t>
      </w:r>
      <w:r w:rsidRPr="00F55A79" w:rsidR="000F004C">
        <w:rPr>
          <w:color w:val="000000" w:themeColor="text1"/>
          <w:szCs w:val="26"/>
        </w:rPr>
        <w:t xml:space="preserve"> are included in conditions detailed in </w:t>
      </w:r>
      <w:r w:rsidRPr="00F55A79" w:rsidR="00D365EA">
        <w:rPr>
          <w:color w:val="000000" w:themeColor="text1"/>
        </w:rPr>
        <w:t xml:space="preserve">Ordering Paragraphs </w:t>
      </w:r>
      <w:r w:rsidRPr="00F55A79" w:rsidR="00733608">
        <w:rPr>
          <w:color w:val="000000" w:themeColor="text1"/>
        </w:rPr>
        <w:t>4</w:t>
      </w:r>
      <w:r w:rsidRPr="00F55A79" w:rsidR="00D365EA">
        <w:rPr>
          <w:color w:val="000000" w:themeColor="text1"/>
        </w:rPr>
        <w:t xml:space="preserve"> to </w:t>
      </w:r>
      <w:r w:rsidRPr="00F55A79" w:rsidR="00FE2B1A">
        <w:rPr>
          <w:color w:val="000000" w:themeColor="text1"/>
        </w:rPr>
        <w:t>11</w:t>
      </w:r>
      <w:r w:rsidRPr="00F55A79" w:rsidR="000F004C">
        <w:rPr>
          <w:color w:val="000000" w:themeColor="text1"/>
          <w:szCs w:val="26"/>
        </w:rPr>
        <w:t>.</w:t>
      </w:r>
    </w:p>
    <w:p w:rsidRPr="00F55A79" w:rsidR="0027056B" w:rsidP="0027056B" w:rsidRDefault="0027056B" w14:paraId="601CED42" w14:textId="7DC30718">
      <w:pPr>
        <w:pStyle w:val="Heading2"/>
      </w:pPr>
      <w:bookmarkStart w:name="_Toc216163192" w:id="107"/>
      <w:r w:rsidRPr="00F55A79">
        <w:t>Shareholders</w:t>
      </w:r>
      <w:bookmarkEnd w:id="107"/>
    </w:p>
    <w:p w:rsidRPr="00F55A79" w:rsidR="003B38CD" w:rsidP="003B38CD" w:rsidRDefault="003B38CD" w14:paraId="1D5C4BFB" w14:textId="6B98B791">
      <w:pPr>
        <w:pStyle w:val="Standard"/>
        <w:rPr>
          <w:szCs w:val="26"/>
        </w:rPr>
      </w:pPr>
      <w:r w:rsidRPr="00F55A79">
        <w:rPr>
          <w:szCs w:val="26"/>
        </w:rPr>
        <w:t xml:space="preserve">Upon review, we find that the proposed transaction would meet the requirements of </w:t>
      </w:r>
      <w:r w:rsidRPr="00F55A79">
        <w:rPr>
          <w:color w:val="000000" w:themeColor="text1"/>
          <w:szCs w:val="26"/>
        </w:rPr>
        <w:t>Section 854(c)(5).</w:t>
      </w:r>
    </w:p>
    <w:p w:rsidRPr="00F55A79" w:rsidR="007C5FD3" w:rsidP="007C5FD3" w:rsidRDefault="007C5FD3" w14:paraId="58149C2C" w14:textId="77777777">
      <w:pPr>
        <w:rPr>
          <w:rFonts w:ascii="Arial" w:hAnsi="Arial" w:eastAsiaTheme="majorEastAsia" w:cstheme="majorBidi"/>
          <w:b/>
          <w:szCs w:val="26"/>
        </w:rPr>
      </w:pPr>
      <w:r w:rsidRPr="00F55A79">
        <w:rPr>
          <w:rFonts w:ascii="Arial" w:hAnsi="Arial" w:eastAsiaTheme="majorEastAsia" w:cstheme="majorBidi"/>
          <w:b/>
          <w:szCs w:val="26"/>
        </w:rPr>
        <w:t>Background</w:t>
      </w:r>
    </w:p>
    <w:p w:rsidRPr="00F55A79" w:rsidR="00897FE9" w:rsidP="00897FE9" w:rsidRDefault="00897FE9" w14:paraId="1B66E9DC" w14:textId="15A2302F">
      <w:pPr>
        <w:pStyle w:val="Standard"/>
        <w:rPr>
          <w:color w:val="000000" w:themeColor="text1"/>
          <w:szCs w:val="26"/>
        </w:rPr>
      </w:pPr>
      <w:r w:rsidRPr="00F55A79">
        <w:rPr>
          <w:color w:val="000000" w:themeColor="text1"/>
          <w:szCs w:val="26"/>
        </w:rPr>
        <w:t>Pursuant to Section 854(c)(5), we considered whether the proposed transaction would</w:t>
      </w:r>
      <w:r w:rsidRPr="00F55A79" w:rsidR="004F4CD3">
        <w:rPr>
          <w:color w:val="000000" w:themeColor="text1"/>
          <w:szCs w:val="26"/>
        </w:rPr>
        <w:t xml:space="preserve"> be</w:t>
      </w:r>
      <w:r w:rsidRPr="00F55A79">
        <w:rPr>
          <w:color w:val="000000" w:themeColor="text1"/>
          <w:szCs w:val="26"/>
        </w:rPr>
        <w:t xml:space="preserve"> </w:t>
      </w:r>
      <w:r w:rsidRPr="00F55A79" w:rsidR="004F4CD3">
        <w:rPr>
          <w:color w:val="000000" w:themeColor="text1"/>
          <w:szCs w:val="26"/>
        </w:rPr>
        <w:t>fair and reasonable to the majority of</w:t>
      </w:r>
      <w:r w:rsidRPr="00F55A79" w:rsidR="00B77849">
        <w:rPr>
          <w:color w:val="000000" w:themeColor="text1"/>
          <w:szCs w:val="26"/>
        </w:rPr>
        <w:t xml:space="preserve"> Verizon and</w:t>
      </w:r>
      <w:r w:rsidRPr="00F55A79" w:rsidR="004F4CD3">
        <w:rPr>
          <w:color w:val="000000" w:themeColor="text1"/>
          <w:szCs w:val="26"/>
        </w:rPr>
        <w:t xml:space="preserve"> Frontier’s shareholders.</w:t>
      </w:r>
      <w:r w:rsidRPr="00F55A79">
        <w:rPr>
          <w:color w:val="000000" w:themeColor="text1"/>
          <w:szCs w:val="26"/>
        </w:rPr>
        <w:t xml:space="preserve">  We </w:t>
      </w:r>
      <w:r w:rsidRPr="00F55A79" w:rsidR="009E19B8">
        <w:rPr>
          <w:color w:val="000000" w:themeColor="text1"/>
          <w:szCs w:val="26"/>
        </w:rPr>
        <w:t xml:space="preserve">find </w:t>
      </w:r>
      <w:r w:rsidRPr="00F55A79">
        <w:rPr>
          <w:color w:val="000000" w:themeColor="text1"/>
          <w:szCs w:val="26"/>
        </w:rPr>
        <w:t xml:space="preserve">that </w:t>
      </w:r>
      <w:r w:rsidRPr="00F55A79" w:rsidR="00434EB1">
        <w:rPr>
          <w:color w:val="000000" w:themeColor="text1"/>
          <w:szCs w:val="26"/>
        </w:rPr>
        <w:t>the proposed transaction would be fair and reasonable to the majority of Verizon and Frontier’s shareholders</w:t>
      </w:r>
      <w:r w:rsidRPr="00F55A79">
        <w:rPr>
          <w:color w:val="000000" w:themeColor="text1"/>
          <w:szCs w:val="26"/>
        </w:rPr>
        <w:t>.</w:t>
      </w:r>
    </w:p>
    <w:p w:rsidRPr="00F55A79" w:rsidR="005C21B3" w:rsidP="00ED3CD5" w:rsidRDefault="005C21B3" w14:paraId="41C7116C" w14:textId="77777777">
      <w:pPr>
        <w:pStyle w:val="Heading3"/>
        <w:rPr>
          <w:szCs w:val="26"/>
        </w:rPr>
      </w:pPr>
      <w:bookmarkStart w:name="_Toc216163193" w:id="108"/>
      <w:r w:rsidRPr="00F55A79">
        <w:rPr>
          <w:szCs w:val="26"/>
        </w:rPr>
        <w:t>Joint Applicants’ Position</w:t>
      </w:r>
      <w:bookmarkEnd w:id="108"/>
    </w:p>
    <w:p w:rsidRPr="00F55A79" w:rsidR="00B77849" w:rsidP="00ED3CD5" w:rsidRDefault="00B77849" w14:paraId="792D67CF" w14:textId="0D4B810F">
      <w:pPr>
        <w:pStyle w:val="Standard"/>
        <w:rPr>
          <w:color w:val="000000" w:themeColor="text1"/>
          <w:szCs w:val="26"/>
        </w:rPr>
      </w:pPr>
      <w:r w:rsidRPr="00F55A79">
        <w:rPr>
          <w:color w:val="000000" w:themeColor="text1"/>
          <w:szCs w:val="26"/>
        </w:rPr>
        <w:t xml:space="preserve">According to Verizon, the proposed transaction would be fair and reasonable to Verizon’s and Frontier’s shareholders. </w:t>
      </w:r>
      <w:r w:rsidRPr="00F55A79" w:rsidR="0011637B">
        <w:rPr>
          <w:color w:val="000000" w:themeColor="text1"/>
          <w:szCs w:val="26"/>
        </w:rPr>
        <w:t xml:space="preserve"> </w:t>
      </w:r>
      <w:r w:rsidRPr="00F55A79" w:rsidR="00A52623">
        <w:rPr>
          <w:color w:val="000000" w:themeColor="text1"/>
          <w:szCs w:val="26"/>
        </w:rPr>
        <w:t xml:space="preserve">Verizon anticipates that the </w:t>
      </w:r>
      <w:r w:rsidRPr="00F55A79" w:rsidR="00A52623">
        <w:t>t</w:t>
      </w:r>
      <w:r w:rsidRPr="00F55A79">
        <w:t xml:space="preserve">ransaction </w:t>
      </w:r>
      <w:r w:rsidRPr="00F55A79" w:rsidR="00A52623">
        <w:t>would</w:t>
      </w:r>
      <w:r w:rsidRPr="00F55A79">
        <w:t xml:space="preserve"> strengthen Frontier’s networks, improve service quality, expand consumer choices, and increase ties with the local</w:t>
      </w:r>
      <w:r w:rsidRPr="00F55A79" w:rsidR="0013238C">
        <w:t xml:space="preserve"> </w:t>
      </w:r>
      <w:r w:rsidRPr="00F55A79">
        <w:t>communities that Frontier supports.</w:t>
      </w:r>
      <w:r w:rsidRPr="00F55A79" w:rsidR="00A52623">
        <w:rPr>
          <w:rStyle w:val="FootnoteReference"/>
          <w:color w:val="000000" w:themeColor="text1"/>
          <w:szCs w:val="26"/>
        </w:rPr>
        <w:footnoteReference w:id="206"/>
      </w:r>
      <w:r w:rsidRPr="00F55A79">
        <w:rPr>
          <w:color w:val="000000" w:themeColor="text1"/>
          <w:szCs w:val="26"/>
        </w:rPr>
        <w:t xml:space="preserve"> </w:t>
      </w:r>
      <w:r w:rsidRPr="00F55A79" w:rsidR="00683DE6">
        <w:rPr>
          <w:color w:val="000000" w:themeColor="text1"/>
          <w:szCs w:val="26"/>
        </w:rPr>
        <w:t xml:space="preserve"> </w:t>
      </w:r>
      <w:r w:rsidRPr="00F55A79" w:rsidR="00A52623">
        <w:rPr>
          <w:color w:val="000000" w:themeColor="text1"/>
          <w:szCs w:val="26"/>
        </w:rPr>
        <w:t xml:space="preserve">In addition, </w:t>
      </w:r>
      <w:r w:rsidRPr="00F55A79" w:rsidR="002B7A86">
        <w:rPr>
          <w:color w:val="000000" w:themeColor="text1"/>
          <w:szCs w:val="26"/>
        </w:rPr>
        <w:t xml:space="preserve">the </w:t>
      </w:r>
      <w:r w:rsidRPr="00F55A79" w:rsidR="002B7A86">
        <w:t>Joint Applicants</w:t>
      </w:r>
      <w:r w:rsidRPr="00F55A79" w:rsidR="00A52623">
        <w:t xml:space="preserve"> noted that </w:t>
      </w:r>
      <w:r w:rsidRPr="00F55A79">
        <w:t xml:space="preserve">Verizon’s and Frontier’s boards of directors concluded that the </w:t>
      </w:r>
      <w:r w:rsidRPr="00F55A79" w:rsidR="002B7A86">
        <w:t>t</w:t>
      </w:r>
      <w:r w:rsidRPr="00F55A79">
        <w:t>ransaction is in the interest of the shareholders of the respective companies.</w:t>
      </w:r>
      <w:r w:rsidRPr="00F55A79">
        <w:rPr>
          <w:rStyle w:val="FootnoteReference"/>
          <w:color w:val="000000" w:themeColor="text1"/>
          <w:szCs w:val="26"/>
        </w:rPr>
        <w:footnoteReference w:id="207"/>
      </w:r>
    </w:p>
    <w:p w:rsidRPr="00F55A79" w:rsidR="005C21B3" w:rsidP="00ED3CD5" w:rsidRDefault="005C21B3" w14:paraId="0FEDC707" w14:textId="77777777">
      <w:pPr>
        <w:pStyle w:val="Heading3"/>
      </w:pPr>
      <w:bookmarkStart w:name="_Toc216163194" w:id="109"/>
      <w:r w:rsidRPr="00F55A79">
        <w:lastRenderedPageBreak/>
        <w:t>Party Positions</w:t>
      </w:r>
      <w:bookmarkEnd w:id="109"/>
    </w:p>
    <w:p w:rsidRPr="00F55A79" w:rsidR="008A298D" w:rsidP="00ED3CD5" w:rsidRDefault="008A298D" w14:paraId="01F01B87" w14:textId="77777777">
      <w:pPr>
        <w:pStyle w:val="Heading4"/>
      </w:pPr>
      <w:bookmarkStart w:name="_Toc216163195" w:id="110"/>
      <w:r w:rsidRPr="00F55A79">
        <w:t>CETF</w:t>
      </w:r>
      <w:bookmarkEnd w:id="110"/>
      <w:r w:rsidRPr="00F55A79">
        <w:t xml:space="preserve"> </w:t>
      </w:r>
    </w:p>
    <w:p w:rsidRPr="00F55A79" w:rsidR="00AA26D8" w:rsidP="0011637B" w:rsidRDefault="00810723" w14:paraId="7871A6FF" w14:textId="0C81D84F">
      <w:pPr>
        <w:pStyle w:val="Standard"/>
      </w:pPr>
      <w:r w:rsidRPr="00F55A79">
        <w:rPr>
          <w:color w:val="000000" w:themeColor="text1"/>
        </w:rPr>
        <w:t xml:space="preserve">CETF recommended that </w:t>
      </w:r>
      <w:r w:rsidRPr="00F55A79">
        <w:t>the Commission find numerous benefits for the majority of affected Frontier consumers</w:t>
      </w:r>
      <w:r w:rsidRPr="00F55A79" w:rsidR="0011637B">
        <w:t xml:space="preserve"> and noted various aspects of the settlement agreements that could benefit shareholders</w:t>
      </w:r>
      <w:r w:rsidRPr="00F55A79">
        <w:t>.</w:t>
      </w:r>
      <w:r w:rsidRPr="00F55A79">
        <w:rPr>
          <w:rStyle w:val="FootnoteReference"/>
          <w:color w:val="000000" w:themeColor="text1"/>
        </w:rPr>
        <w:footnoteReference w:id="208"/>
      </w:r>
      <w:r w:rsidRPr="00F55A79" w:rsidR="00E8179E">
        <w:rPr>
          <w:color w:val="000000" w:themeColor="text1"/>
        </w:rPr>
        <w:t xml:space="preserve"> </w:t>
      </w:r>
    </w:p>
    <w:p w:rsidRPr="00F55A79" w:rsidR="008A298D" w:rsidP="00ED3CD5" w:rsidRDefault="008F418C" w14:paraId="735CB0C7" w14:textId="7EF116F2">
      <w:pPr>
        <w:pStyle w:val="Heading4"/>
      </w:pPr>
      <w:bookmarkStart w:name="_Toc216163196" w:id="111"/>
      <w:r w:rsidRPr="00F55A79">
        <w:t>CforAT</w:t>
      </w:r>
      <w:bookmarkEnd w:id="111"/>
    </w:p>
    <w:p w:rsidRPr="00F55A79" w:rsidR="00DF35EB" w:rsidP="00ED3CD5" w:rsidRDefault="004C688B" w14:paraId="543FF60D" w14:textId="0A8EED23">
      <w:pPr>
        <w:pStyle w:val="Standard"/>
        <w:rPr>
          <w:color w:val="000000" w:themeColor="text1"/>
        </w:rPr>
      </w:pPr>
      <w:r w:rsidRPr="00F55A79">
        <w:t>CforAT did not respond to this question.</w:t>
      </w:r>
      <w:r w:rsidRPr="00F55A79" w:rsidR="00B24E35">
        <w:rPr>
          <w:rStyle w:val="FootnoteReference"/>
          <w:color w:val="000000" w:themeColor="text1"/>
        </w:rPr>
        <w:footnoteReference w:id="209"/>
      </w:r>
    </w:p>
    <w:p w:rsidRPr="00F55A79" w:rsidR="008A298D" w:rsidP="00ED3CD5" w:rsidRDefault="008A298D" w14:paraId="45F6BEFA" w14:textId="77777777">
      <w:pPr>
        <w:pStyle w:val="Heading4"/>
        <w:rPr>
          <w:color w:val="000000" w:themeColor="text1"/>
        </w:rPr>
      </w:pPr>
      <w:bookmarkStart w:name="_Toc216163197" w:id="112"/>
      <w:r w:rsidRPr="00F55A79">
        <w:rPr>
          <w:color w:val="000000" w:themeColor="text1"/>
        </w:rPr>
        <w:t>TURN</w:t>
      </w:r>
      <w:bookmarkEnd w:id="112"/>
    </w:p>
    <w:p w:rsidRPr="00F55A79" w:rsidR="005C21B3" w:rsidP="00ED3CD5" w:rsidRDefault="00FD161E" w14:paraId="2FF8FF7B" w14:textId="1CB18A2A">
      <w:pPr>
        <w:pStyle w:val="Standard"/>
        <w:rPr>
          <w:color w:val="000000" w:themeColor="text1"/>
        </w:rPr>
      </w:pPr>
      <w:r w:rsidRPr="00F55A79">
        <w:t xml:space="preserve">TURN did not </w:t>
      </w:r>
      <w:r w:rsidRPr="00F55A79" w:rsidR="00843B21">
        <w:t>address whether</w:t>
      </w:r>
      <w:r w:rsidRPr="00F55A79">
        <w:t xml:space="preserve"> the</w:t>
      </w:r>
      <w:r w:rsidRPr="00F55A79" w:rsidR="00DF35EB">
        <w:t xml:space="preserve"> proposed </w:t>
      </w:r>
      <w:r w:rsidRPr="00F55A79">
        <w:t>transaction met this statutory requirement</w:t>
      </w:r>
      <w:r w:rsidRPr="00F55A79" w:rsidR="005C21B3">
        <w:t>.</w:t>
      </w:r>
      <w:r w:rsidRPr="00F55A79" w:rsidR="00843B21">
        <w:rPr>
          <w:rStyle w:val="FootnoteReference"/>
          <w:color w:val="000000" w:themeColor="text1"/>
        </w:rPr>
        <w:footnoteReference w:id="210"/>
      </w:r>
    </w:p>
    <w:p w:rsidRPr="00F55A79" w:rsidR="005C21B3" w:rsidP="00E27EAF" w:rsidRDefault="005C21B3" w14:paraId="7E6DE467" w14:textId="77777777">
      <w:pPr>
        <w:pStyle w:val="Heading3"/>
        <w:rPr>
          <w:color w:val="000000" w:themeColor="text1"/>
        </w:rPr>
      </w:pPr>
      <w:bookmarkStart w:name="_Toc216163198" w:id="113"/>
      <w:r w:rsidRPr="00F55A79">
        <w:rPr>
          <w:color w:val="000000" w:themeColor="text1"/>
        </w:rPr>
        <w:t>Discussion</w:t>
      </w:r>
      <w:bookmarkEnd w:id="113"/>
    </w:p>
    <w:p w:rsidRPr="00F55A79" w:rsidR="00DF2FA8" w:rsidP="004F00F3" w:rsidRDefault="004F00F3" w14:paraId="6A267453" w14:textId="775557FC">
      <w:pPr>
        <w:pStyle w:val="Standard"/>
        <w:rPr>
          <w:color w:val="000000" w:themeColor="text1"/>
        </w:rPr>
      </w:pPr>
      <w:r w:rsidRPr="00F55A79">
        <w:rPr>
          <w:color w:val="000000" w:themeColor="text1"/>
        </w:rPr>
        <w:t>Noting that Verizon’s and Frontier’s boards of directors have concluded that the transaction is in the interest of the shareholders of the respective companies, we agree with the Joint Applicants</w:t>
      </w:r>
      <w:r w:rsidRPr="00F55A79" w:rsidR="003B38CD">
        <w:rPr>
          <w:color w:val="000000" w:themeColor="text1"/>
        </w:rPr>
        <w:t xml:space="preserve"> that </w:t>
      </w:r>
      <w:r w:rsidRPr="00F55A79" w:rsidR="00F25E16">
        <w:rPr>
          <w:color w:val="000000" w:themeColor="text1"/>
        </w:rPr>
        <w:t xml:space="preserve">it </w:t>
      </w:r>
      <w:r w:rsidRPr="00F55A79" w:rsidR="003B38CD">
        <w:rPr>
          <w:color w:val="000000" w:themeColor="text1"/>
        </w:rPr>
        <w:t>meet</w:t>
      </w:r>
      <w:r w:rsidRPr="00F55A79" w:rsidR="00C84E6A">
        <w:rPr>
          <w:color w:val="000000" w:themeColor="text1"/>
        </w:rPr>
        <w:t>s</w:t>
      </w:r>
      <w:r w:rsidRPr="00F55A79" w:rsidR="003B38CD">
        <w:rPr>
          <w:color w:val="000000" w:themeColor="text1"/>
        </w:rPr>
        <w:t xml:space="preserve"> the requirements of Section 854(c)(5)</w:t>
      </w:r>
      <w:r w:rsidRPr="00F55A79">
        <w:rPr>
          <w:color w:val="000000" w:themeColor="text1"/>
        </w:rPr>
        <w:t>.</w:t>
      </w:r>
    </w:p>
    <w:p w:rsidRPr="00F55A79" w:rsidR="0027056B" w:rsidP="00ED3CD5" w:rsidRDefault="00F505F9" w14:paraId="50C6DDA2" w14:textId="26AE553A">
      <w:pPr>
        <w:pStyle w:val="Heading2"/>
      </w:pPr>
      <w:bookmarkStart w:name="_Toc216163199" w:id="114"/>
      <w:r w:rsidRPr="00F55A79">
        <w:t>Economic</w:t>
      </w:r>
      <w:r w:rsidRPr="00F55A79" w:rsidR="0027056B">
        <w:t xml:space="preserve"> Benefits</w:t>
      </w:r>
      <w:bookmarkEnd w:id="114"/>
      <w:r w:rsidRPr="00F55A79" w:rsidR="0027056B">
        <w:t xml:space="preserve"> </w:t>
      </w:r>
    </w:p>
    <w:p w:rsidRPr="00F55A79" w:rsidR="00391348" w:rsidP="00ED3CD5" w:rsidRDefault="00D46AE4" w14:paraId="5FB26CEF" w14:textId="364DB4EC">
      <w:pPr>
        <w:pStyle w:val="Standard"/>
        <w:rPr>
          <w:color w:val="000000" w:themeColor="text1"/>
        </w:rPr>
      </w:pPr>
      <w:r w:rsidRPr="00F55A79">
        <w:rPr>
          <w:color w:val="000000" w:themeColor="text1"/>
        </w:rPr>
        <w:t>Upon review of the record, we find that the proposed transaction meets the requirements of Section 854(c)(6).</w:t>
      </w:r>
    </w:p>
    <w:p w:rsidRPr="00F55A79" w:rsidR="007C5FD3" w:rsidP="00ED3CD5" w:rsidRDefault="007C5FD3" w14:paraId="46B9E732" w14:textId="77777777">
      <w:pPr>
        <w:pStyle w:val="Heading3"/>
        <w:rPr>
          <w:color w:val="000000" w:themeColor="text1"/>
        </w:rPr>
      </w:pPr>
      <w:bookmarkStart w:name="_Toc216163200" w:id="115"/>
      <w:r w:rsidRPr="00F55A79">
        <w:rPr>
          <w:color w:val="000000" w:themeColor="text1"/>
        </w:rPr>
        <w:t>Background</w:t>
      </w:r>
      <w:bookmarkEnd w:id="115"/>
    </w:p>
    <w:p w:rsidRPr="00F55A79" w:rsidR="00897FE9" w:rsidP="00ED3CD5" w:rsidRDefault="00897FE9" w14:paraId="120985CD" w14:textId="117A709A">
      <w:pPr>
        <w:pStyle w:val="Standard"/>
        <w:rPr>
          <w:color w:val="000000" w:themeColor="text1"/>
        </w:rPr>
      </w:pPr>
      <w:r w:rsidRPr="00F55A79">
        <w:rPr>
          <w:color w:val="000000" w:themeColor="text1"/>
        </w:rPr>
        <w:t xml:space="preserve">Pursuant to Section 854(c)(6), we considered whether the proposed transaction would </w:t>
      </w:r>
      <w:r w:rsidRPr="00F55A79" w:rsidR="00E83FB3">
        <w:rPr>
          <w:color w:val="000000" w:themeColor="text1"/>
        </w:rPr>
        <w:t>be beneficial on an overall basis to state and local economies and to the communities in the area served by the resulting public utility</w:t>
      </w:r>
      <w:r w:rsidRPr="00F55A79">
        <w:rPr>
          <w:color w:val="000000" w:themeColor="text1"/>
        </w:rPr>
        <w:t xml:space="preserve">.  </w:t>
      </w:r>
    </w:p>
    <w:p w:rsidRPr="00F55A79" w:rsidR="005C21B3" w:rsidP="00ED3CD5" w:rsidRDefault="005C21B3" w14:paraId="6FEA32B8" w14:textId="77777777">
      <w:pPr>
        <w:pStyle w:val="Heading3"/>
        <w:rPr>
          <w:color w:val="000000" w:themeColor="text1"/>
        </w:rPr>
      </w:pPr>
      <w:bookmarkStart w:name="_Toc216163201" w:id="116"/>
      <w:r w:rsidRPr="00F55A79">
        <w:rPr>
          <w:color w:val="000000" w:themeColor="text1"/>
        </w:rPr>
        <w:lastRenderedPageBreak/>
        <w:t>Joint Applicants’ Position</w:t>
      </w:r>
      <w:bookmarkEnd w:id="116"/>
    </w:p>
    <w:p w:rsidRPr="00F55A79" w:rsidR="005E6AD0" w:rsidP="005E6AD0" w:rsidRDefault="00434EB1" w14:paraId="3E11A137" w14:textId="1F61644B">
      <w:pPr>
        <w:pStyle w:val="Standard"/>
        <w:rPr>
          <w:color w:val="000000" w:themeColor="text1"/>
        </w:rPr>
      </w:pPr>
      <w:r w:rsidRPr="00F55A79">
        <w:rPr>
          <w:color w:val="000000" w:themeColor="text1"/>
        </w:rPr>
        <w:t>The Joint Applicants</w:t>
      </w:r>
      <w:r w:rsidRPr="00F55A79" w:rsidR="00BA1C4F">
        <w:rPr>
          <w:color w:val="000000" w:themeColor="text1"/>
        </w:rPr>
        <w:t xml:space="preserve"> stated that </w:t>
      </w:r>
      <w:r w:rsidRPr="00F55A79" w:rsidR="00902554">
        <w:rPr>
          <w:color w:val="000000" w:themeColor="text1"/>
        </w:rPr>
        <w:t>the proposed transaction will provide short-term and long-term economic benefits to ratepayers.</w:t>
      </w:r>
      <w:r w:rsidRPr="00F55A79" w:rsidR="00902554">
        <w:rPr>
          <w:rStyle w:val="FootnoteReference"/>
          <w:color w:val="000000" w:themeColor="text1"/>
        </w:rPr>
        <w:footnoteReference w:id="211"/>
      </w:r>
      <w:r w:rsidRPr="00F55A79" w:rsidR="002C7863">
        <w:rPr>
          <w:color w:val="000000" w:themeColor="text1"/>
        </w:rPr>
        <w:t xml:space="preserve">  According to the Joint Applicants,</w:t>
      </w:r>
      <w:r w:rsidRPr="00F55A79" w:rsidR="005E6AD0">
        <w:rPr>
          <w:color w:val="000000" w:themeColor="text1"/>
        </w:rPr>
        <w:t xml:space="preserve"> ratepayers will benefit immediately from access to </w:t>
      </w:r>
      <w:r w:rsidRPr="00F55A79" w:rsidR="002C7863">
        <w:rPr>
          <w:color w:val="000000" w:themeColor="text1"/>
        </w:rPr>
        <w:t xml:space="preserve">the </w:t>
      </w:r>
      <w:r w:rsidRPr="00F55A79" w:rsidR="005E6AD0">
        <w:rPr>
          <w:color w:val="000000" w:themeColor="text1"/>
        </w:rPr>
        <w:t>Verizon Forward plan, expanded Life</w:t>
      </w:r>
      <w:r w:rsidRPr="00F55A79" w:rsidR="002C7863">
        <w:rPr>
          <w:color w:val="000000" w:themeColor="text1"/>
        </w:rPr>
        <w:t>l</w:t>
      </w:r>
      <w:r w:rsidRPr="00F55A79" w:rsidR="005E6AD0">
        <w:rPr>
          <w:color w:val="000000" w:themeColor="text1"/>
        </w:rPr>
        <w:t>ine marketing, enhanced outreach funding, increased service options.</w:t>
      </w:r>
      <w:r w:rsidRPr="00F55A79" w:rsidR="005E6AD0">
        <w:rPr>
          <w:rStyle w:val="FootnoteReference"/>
          <w:color w:val="000000" w:themeColor="text1"/>
        </w:rPr>
        <w:footnoteReference w:id="212"/>
      </w:r>
      <w:r w:rsidRPr="00F55A79" w:rsidR="005E6AD0">
        <w:rPr>
          <w:color w:val="000000" w:themeColor="text1"/>
        </w:rPr>
        <w:t xml:space="preserve">  In the longer term, </w:t>
      </w:r>
      <w:r w:rsidRPr="00F55A79" w:rsidR="002C7863">
        <w:rPr>
          <w:color w:val="000000" w:themeColor="text1"/>
        </w:rPr>
        <w:t xml:space="preserve">the Joint Applicants argued that </w:t>
      </w:r>
      <w:r w:rsidRPr="00F55A79" w:rsidR="005E6AD0">
        <w:t>ratepayers will benefit from being served by a stronger, more financially healthy company that will have a greater capacity to invest in networks and services and enhance the competitive market.</w:t>
      </w:r>
      <w:r w:rsidRPr="00F55A79" w:rsidR="002C7863">
        <w:rPr>
          <w:rStyle w:val="FootnoteReference"/>
          <w:color w:val="000000" w:themeColor="text1"/>
        </w:rPr>
        <w:footnoteReference w:id="213"/>
      </w:r>
      <w:r w:rsidRPr="00F55A79" w:rsidR="005E6AD0">
        <w:rPr>
          <w:color w:val="000000" w:themeColor="text1"/>
        </w:rPr>
        <w:t xml:space="preserve">  </w:t>
      </w:r>
      <w:r w:rsidRPr="00F55A79" w:rsidR="002C7863">
        <w:rPr>
          <w:color w:val="000000" w:themeColor="text1"/>
        </w:rPr>
        <w:t xml:space="preserve">The Joint Applicants further noted that </w:t>
      </w:r>
      <w:r w:rsidRPr="00F55A79" w:rsidR="005E6AD0">
        <w:rPr>
          <w:color w:val="000000" w:themeColor="text1"/>
        </w:rPr>
        <w:t xml:space="preserve">California consumers will benefit from significant commitments </w:t>
      </w:r>
      <w:r w:rsidRPr="00F55A79" w:rsidR="00B269EB">
        <w:t xml:space="preserve">made </w:t>
      </w:r>
      <w:r w:rsidRPr="00F55A79" w:rsidR="002C7863">
        <w:t xml:space="preserve">in the settlement </w:t>
      </w:r>
      <w:r w:rsidRPr="00F55A79" w:rsidR="009E713D">
        <w:t>agreements</w:t>
      </w:r>
      <w:r w:rsidRPr="00F55A79" w:rsidR="005E6AD0">
        <w:t>.</w:t>
      </w:r>
      <w:r w:rsidRPr="00F55A79" w:rsidR="005E6AD0">
        <w:rPr>
          <w:rStyle w:val="FootnoteReference"/>
          <w:color w:val="000000" w:themeColor="text1"/>
        </w:rPr>
        <w:footnoteReference w:id="214"/>
      </w:r>
      <w:r w:rsidRPr="00F55A79" w:rsidR="005E6AD0">
        <w:rPr>
          <w:color w:val="000000" w:themeColor="text1"/>
        </w:rPr>
        <w:t xml:space="preserve"> </w:t>
      </w:r>
    </w:p>
    <w:p w:rsidRPr="00F55A79" w:rsidR="005E6AD0" w:rsidP="005E6AD0" w:rsidRDefault="00B671C7" w14:paraId="05A8F0FC" w14:textId="33C8E640">
      <w:pPr>
        <w:pStyle w:val="Standard"/>
        <w:rPr>
          <w:color w:val="000000" w:themeColor="text1"/>
        </w:rPr>
      </w:pPr>
      <w:r w:rsidRPr="00F55A79">
        <w:rPr>
          <w:color w:val="000000" w:themeColor="text1"/>
        </w:rPr>
        <w:t>The Joint Applicants contrasted the</w:t>
      </w:r>
      <w:r w:rsidRPr="00F55A79" w:rsidR="005E6AD0">
        <w:rPr>
          <w:color w:val="000000" w:themeColor="text1"/>
        </w:rPr>
        <w:t xml:space="preserve"> economic </w:t>
      </w:r>
      <w:r w:rsidRPr="00F55A79" w:rsidR="005E6AD0">
        <w:t xml:space="preserve">benefits </w:t>
      </w:r>
      <w:r w:rsidRPr="00F55A79">
        <w:t xml:space="preserve">of the transaction with </w:t>
      </w:r>
      <w:r w:rsidRPr="00F55A79" w:rsidR="005E6AD0">
        <w:t>what</w:t>
      </w:r>
      <w:r w:rsidRPr="00F55A79">
        <w:t xml:space="preserve"> otherwise</w:t>
      </w:r>
      <w:r w:rsidRPr="00F55A79" w:rsidR="005E6AD0">
        <w:t xml:space="preserve"> </w:t>
      </w:r>
      <w:r w:rsidRPr="00F55A79">
        <w:t>could</w:t>
      </w:r>
      <w:r w:rsidRPr="00F55A79" w:rsidR="005E6AD0">
        <w:t xml:space="preserve"> happen</w:t>
      </w:r>
      <w:r w:rsidRPr="00F55A79">
        <w:t xml:space="preserve"> to Frontier and its customers.</w:t>
      </w:r>
      <w:r w:rsidRPr="00F55A79">
        <w:rPr>
          <w:rStyle w:val="FootnoteReference"/>
          <w:color w:val="000000" w:themeColor="text1"/>
        </w:rPr>
        <w:footnoteReference w:id="215"/>
      </w:r>
      <w:r w:rsidRPr="00F55A79">
        <w:rPr>
          <w:color w:val="000000" w:themeColor="text1"/>
        </w:rPr>
        <w:t xml:space="preserve">  </w:t>
      </w:r>
      <w:r w:rsidRPr="00F55A79" w:rsidR="00B269EB">
        <w:rPr>
          <w:color w:val="000000" w:themeColor="text1"/>
        </w:rPr>
        <w:t xml:space="preserve">For example, the Joint </w:t>
      </w:r>
      <w:r w:rsidRPr="00F55A79" w:rsidR="00B269EB">
        <w:t xml:space="preserve">Applicants noted that </w:t>
      </w:r>
      <w:r w:rsidRPr="00F55A79">
        <w:t xml:space="preserve">Frontier lacks sufficient funding for future network buildouts and </w:t>
      </w:r>
      <w:r w:rsidRPr="00F55A79" w:rsidR="00B269EB">
        <w:t>would</w:t>
      </w:r>
      <w:r w:rsidRPr="00F55A79">
        <w:t xml:space="preserve"> will likely have to increase rates</w:t>
      </w:r>
      <w:r w:rsidRPr="00F55A79" w:rsidR="00B269EB">
        <w:t xml:space="preserve"> if the transaction did not occur</w:t>
      </w:r>
      <w:r w:rsidRPr="00F55A79">
        <w:t>.</w:t>
      </w:r>
      <w:r w:rsidRPr="00F55A79">
        <w:rPr>
          <w:rStyle w:val="FootnoteReference"/>
          <w:color w:val="000000" w:themeColor="text1"/>
        </w:rPr>
        <w:footnoteReference w:id="216"/>
      </w:r>
      <w:r w:rsidRPr="00F55A79">
        <w:rPr>
          <w:color w:val="000000" w:themeColor="text1"/>
        </w:rPr>
        <w:t xml:space="preserve"> </w:t>
      </w:r>
      <w:r w:rsidRPr="00F55A79" w:rsidR="00BB2BA9">
        <w:rPr>
          <w:color w:val="000000" w:themeColor="text1"/>
        </w:rPr>
        <w:t xml:space="preserve"> </w:t>
      </w:r>
      <w:r w:rsidRPr="00F55A79" w:rsidR="0038387E">
        <w:rPr>
          <w:color w:val="000000" w:themeColor="text1"/>
        </w:rPr>
        <w:t>According to the Joint Applicants,</w:t>
      </w:r>
      <w:r w:rsidRPr="00F55A79">
        <w:rPr>
          <w:color w:val="000000" w:themeColor="text1"/>
        </w:rPr>
        <w:t xml:space="preserve"> “the benefits of Verizon’s ownership of Frontier are compelling, and include enhanced capital investment, more innovative and expansive service bundles, enhanced resources and </w:t>
      </w:r>
      <w:r w:rsidRPr="00F55A79">
        <w:rPr>
          <w:color w:val="000000" w:themeColor="text1"/>
        </w:rPr>
        <w:lastRenderedPageBreak/>
        <w:t>expertise, and greater efficiency due to Verizon’s economies of scale and diversification.”</w:t>
      </w:r>
      <w:r w:rsidRPr="00F55A79" w:rsidR="00BB2BA9">
        <w:rPr>
          <w:rStyle w:val="FootnoteReference"/>
          <w:color w:val="000000" w:themeColor="text1"/>
        </w:rPr>
        <w:footnoteReference w:id="217"/>
      </w:r>
    </w:p>
    <w:p w:rsidRPr="00F55A79" w:rsidR="005C21B3" w:rsidP="005E6AD0" w:rsidRDefault="005C21B3" w14:paraId="0E4A567F" w14:textId="592F464E">
      <w:pPr>
        <w:pStyle w:val="Heading3"/>
      </w:pPr>
      <w:bookmarkStart w:name="_Toc216163202" w:id="117"/>
      <w:r w:rsidRPr="00F55A79">
        <w:t>Party Positions</w:t>
      </w:r>
      <w:bookmarkEnd w:id="117"/>
    </w:p>
    <w:p w:rsidRPr="00F55A79" w:rsidR="008A298D" w:rsidP="00ED3CD5" w:rsidRDefault="008A298D" w14:paraId="73C277DA" w14:textId="77777777">
      <w:pPr>
        <w:pStyle w:val="Heading4"/>
      </w:pPr>
      <w:bookmarkStart w:name="_Toc216163203" w:id="118"/>
      <w:r w:rsidRPr="00F55A79">
        <w:t>CETF</w:t>
      </w:r>
      <w:bookmarkEnd w:id="118"/>
      <w:r w:rsidRPr="00F55A79">
        <w:t xml:space="preserve"> </w:t>
      </w:r>
    </w:p>
    <w:p w:rsidRPr="00F55A79" w:rsidR="001C692A" w:rsidP="00A048CA" w:rsidRDefault="00F505F9" w14:paraId="6B1298F4" w14:textId="1C038492">
      <w:pPr>
        <w:pStyle w:val="Standard"/>
      </w:pPr>
      <w:r w:rsidRPr="00F55A79">
        <w:rPr>
          <w:color w:val="000000" w:themeColor="text1"/>
        </w:rPr>
        <w:t xml:space="preserve">CETF noted various public benefits from this transaction for state and local communities and the communities in those areas, particularly regarding digital </w:t>
      </w:r>
      <w:r w:rsidRPr="00F55A79">
        <w:t>inclusion and digital equity.</w:t>
      </w:r>
      <w:r w:rsidRPr="00F55A79">
        <w:rPr>
          <w:rStyle w:val="FootnoteReference"/>
          <w:color w:val="000000" w:themeColor="text1"/>
        </w:rPr>
        <w:footnoteReference w:id="218"/>
      </w:r>
      <w:r w:rsidRPr="00F55A79" w:rsidR="0038387E">
        <w:rPr>
          <w:color w:val="000000" w:themeColor="text1"/>
        </w:rPr>
        <w:t xml:space="preserve"> </w:t>
      </w:r>
    </w:p>
    <w:p w:rsidRPr="00F55A79" w:rsidR="008A298D" w:rsidP="00ED3CD5" w:rsidRDefault="008F418C" w14:paraId="067CE98C" w14:textId="68A29594">
      <w:pPr>
        <w:pStyle w:val="Heading4"/>
      </w:pPr>
      <w:bookmarkStart w:name="_Toc216163204" w:id="119"/>
      <w:r w:rsidRPr="00F55A79">
        <w:t>CforAT</w:t>
      </w:r>
      <w:bookmarkEnd w:id="119"/>
    </w:p>
    <w:p w:rsidRPr="00F55A79" w:rsidR="005653B8" w:rsidP="00ED3CD5" w:rsidRDefault="009B2F50" w14:paraId="7D3F690B" w14:textId="26180AF7">
      <w:pPr>
        <w:pStyle w:val="Standard"/>
        <w:rPr>
          <w:color w:val="000000" w:themeColor="text1"/>
        </w:rPr>
      </w:pPr>
      <w:r w:rsidRPr="00F55A79">
        <w:rPr>
          <w:color w:val="000000" w:themeColor="text1"/>
        </w:rPr>
        <w:t xml:space="preserve">CforAT stated that the proposed transaction will harm state and local economies and the communities in the area served by the resulting public utility, particularly people with disabilities, people of color, women, and LGBTQ+ </w:t>
      </w:r>
      <w:r w:rsidRPr="00F55A79">
        <w:t>individuals.</w:t>
      </w:r>
      <w:r w:rsidRPr="00F55A79">
        <w:rPr>
          <w:rStyle w:val="FootnoteReference"/>
          <w:color w:val="000000" w:themeColor="text1"/>
        </w:rPr>
        <w:footnoteReference w:id="219"/>
      </w:r>
    </w:p>
    <w:p w:rsidRPr="00F55A79" w:rsidR="008A298D" w:rsidP="00ED3CD5" w:rsidRDefault="008A298D" w14:paraId="01186360" w14:textId="77777777">
      <w:pPr>
        <w:pStyle w:val="Heading4"/>
      </w:pPr>
      <w:bookmarkStart w:name="_Toc216163205" w:id="120"/>
      <w:r w:rsidRPr="00F55A79">
        <w:t>TURN</w:t>
      </w:r>
      <w:bookmarkEnd w:id="120"/>
    </w:p>
    <w:p w:rsidRPr="00F55A79" w:rsidR="004E67D3" w:rsidP="00ED3CD5" w:rsidRDefault="00B24E35" w14:paraId="298B8A5B" w14:textId="103A175F">
      <w:pPr>
        <w:pStyle w:val="Standard"/>
        <w:rPr>
          <w:color w:val="000000" w:themeColor="text1"/>
        </w:rPr>
      </w:pPr>
      <w:r w:rsidRPr="00F55A79">
        <w:t>TURN stated that, a</w:t>
      </w:r>
      <w:r w:rsidRPr="00F55A79" w:rsidR="004E67D3">
        <w:t>bsent additional mitigation measures, the transaction is not likely to be in the public interest regarding state and local economies and communities.</w:t>
      </w:r>
      <w:r w:rsidRPr="00F55A79">
        <w:rPr>
          <w:vertAlign w:val="superscript"/>
        </w:rPr>
        <w:footnoteReference w:id="220"/>
      </w:r>
      <w:r w:rsidRPr="00F55A79" w:rsidR="004E67D3">
        <w:t xml:space="preserve"> </w:t>
      </w:r>
      <w:r w:rsidRPr="00F55A79" w:rsidR="007F23F8">
        <w:t xml:space="preserve"> </w:t>
      </w:r>
      <w:r w:rsidRPr="00F55A79" w:rsidR="00E645B9">
        <w:t>TURN</w:t>
      </w:r>
      <w:r w:rsidRPr="00F55A79" w:rsidR="00E645B9">
        <w:rPr>
          <w:color w:val="000000" w:themeColor="text1"/>
        </w:rPr>
        <w:t xml:space="preserve"> argued that,</w:t>
      </w:r>
      <w:r w:rsidRPr="00F55A79" w:rsidR="004E67D3">
        <w:rPr>
          <w:color w:val="000000" w:themeColor="text1"/>
        </w:rPr>
        <w:t xml:space="preserve"> as written, there is no transparency or accountability for the public interest benefits</w:t>
      </w:r>
      <w:r w:rsidRPr="00F55A79" w:rsidR="00E645B9">
        <w:rPr>
          <w:color w:val="000000" w:themeColor="text1"/>
        </w:rPr>
        <w:t xml:space="preserve"> claimed in the CETF settlement </w:t>
      </w:r>
      <w:r w:rsidRPr="00F55A79" w:rsidR="00E645B9">
        <w:t>agreement.</w:t>
      </w:r>
      <w:r w:rsidRPr="00F55A79" w:rsidR="00E645B9">
        <w:rPr>
          <w:rStyle w:val="FootnoteReference"/>
          <w:color w:val="000000" w:themeColor="text1"/>
        </w:rPr>
        <w:footnoteReference w:id="221"/>
      </w:r>
      <w:r w:rsidRPr="00F55A79" w:rsidR="00E645B9">
        <w:rPr>
          <w:color w:val="000000" w:themeColor="text1"/>
        </w:rPr>
        <w:t xml:space="preserve">  </w:t>
      </w:r>
      <w:r w:rsidRPr="00F55A79" w:rsidR="004E67D3">
        <w:rPr>
          <w:color w:val="000000" w:themeColor="text1"/>
        </w:rPr>
        <w:t xml:space="preserve">Therefore, </w:t>
      </w:r>
      <w:r w:rsidRPr="00F55A79" w:rsidR="00635471">
        <w:rPr>
          <w:color w:val="000000" w:themeColor="text1"/>
        </w:rPr>
        <w:t xml:space="preserve">TURN argued that </w:t>
      </w:r>
      <w:r w:rsidRPr="00F55A79" w:rsidR="004E67D3">
        <w:rPr>
          <w:color w:val="000000" w:themeColor="text1"/>
        </w:rPr>
        <w:t xml:space="preserve">if the Commission finds that these conditions make the transaction in the public interest regarding state and local </w:t>
      </w:r>
      <w:r w:rsidRPr="00F55A79" w:rsidR="004E67D3">
        <w:rPr>
          <w:color w:val="000000" w:themeColor="text1"/>
        </w:rPr>
        <w:lastRenderedPageBreak/>
        <w:t>economies and communities, the Commission should require CETF to report the progress of these activities, including a financial statement with itemized categories showing the expenditure of the funds</w:t>
      </w:r>
      <w:r w:rsidRPr="00F55A79" w:rsidR="00D44D14">
        <w:rPr>
          <w:color w:val="000000" w:themeColor="text1"/>
        </w:rPr>
        <w:t xml:space="preserve"> that is subject to the </w:t>
      </w:r>
      <w:r w:rsidRPr="00F55A79" w:rsidR="00D44D14">
        <w:t>Commission’s audit process.</w:t>
      </w:r>
      <w:r w:rsidRPr="00F55A79" w:rsidR="00635471">
        <w:rPr>
          <w:rStyle w:val="FootnoteReference"/>
          <w:color w:val="000000" w:themeColor="text1"/>
        </w:rPr>
        <w:footnoteReference w:id="222"/>
      </w:r>
    </w:p>
    <w:p w:rsidRPr="00F55A79" w:rsidR="005C21B3" w:rsidP="00AD1FAC" w:rsidRDefault="005C21B3" w14:paraId="71A7526B" w14:textId="77777777">
      <w:pPr>
        <w:pStyle w:val="Heading3"/>
        <w:rPr>
          <w:color w:val="000000" w:themeColor="text1"/>
        </w:rPr>
      </w:pPr>
      <w:bookmarkStart w:name="_Toc216163206" w:id="121"/>
      <w:r w:rsidRPr="00F55A79">
        <w:rPr>
          <w:color w:val="000000" w:themeColor="text1"/>
        </w:rPr>
        <w:t>Discussion</w:t>
      </w:r>
      <w:bookmarkEnd w:id="121"/>
    </w:p>
    <w:p w:rsidRPr="00F55A79" w:rsidR="00DF2FA8" w:rsidP="00ED3CD5" w:rsidRDefault="0038387E" w14:paraId="64385416" w14:textId="3EE1C561">
      <w:pPr>
        <w:pStyle w:val="Standard"/>
        <w:rPr>
          <w:color w:val="000000" w:themeColor="text1"/>
        </w:rPr>
      </w:pPr>
      <w:r w:rsidRPr="00F55A79">
        <w:rPr>
          <w:color w:val="000000" w:themeColor="text1"/>
        </w:rPr>
        <w:t xml:space="preserve">We agree with the Joint Applicants and </w:t>
      </w:r>
      <w:r w:rsidRPr="00F55A79" w:rsidR="00A048CA">
        <w:rPr>
          <w:color w:val="000000" w:themeColor="text1"/>
        </w:rPr>
        <w:t xml:space="preserve">CETF </w:t>
      </w:r>
      <w:r w:rsidRPr="00F55A79" w:rsidR="00D46AE4">
        <w:rPr>
          <w:color w:val="000000" w:themeColor="text1"/>
        </w:rPr>
        <w:t xml:space="preserve">that the proposed transaction </w:t>
      </w:r>
      <w:r w:rsidRPr="00F55A79" w:rsidR="00812382">
        <w:rPr>
          <w:color w:val="000000" w:themeColor="text1"/>
        </w:rPr>
        <w:t xml:space="preserve">meets the requirements of Section 854(c)(6) when taking into account the settlement agreements and </w:t>
      </w:r>
      <w:r w:rsidRPr="00F55A79" w:rsidR="00756672">
        <w:rPr>
          <w:color w:val="000000" w:themeColor="text1"/>
        </w:rPr>
        <w:t xml:space="preserve">additional necessary </w:t>
      </w:r>
      <w:r w:rsidRPr="00F55A79" w:rsidR="00812382">
        <w:rPr>
          <w:color w:val="000000" w:themeColor="text1"/>
        </w:rPr>
        <w:t>conditions described herein</w:t>
      </w:r>
      <w:r w:rsidRPr="00F55A79" w:rsidR="005C21B3">
        <w:rPr>
          <w:color w:val="000000" w:themeColor="text1"/>
        </w:rPr>
        <w:t>.</w:t>
      </w:r>
    </w:p>
    <w:p w:rsidRPr="00F55A79" w:rsidR="0027056B" w:rsidP="00E27EAF" w:rsidRDefault="0027056B" w14:paraId="00204CF2" w14:textId="47E69283">
      <w:pPr>
        <w:pStyle w:val="Heading2"/>
        <w:rPr>
          <w:color w:val="000000" w:themeColor="text1"/>
        </w:rPr>
      </w:pPr>
      <w:bookmarkStart w:name="_Toc216163207" w:id="122"/>
      <w:r w:rsidRPr="00F55A79">
        <w:rPr>
          <w:color w:val="000000" w:themeColor="text1"/>
        </w:rPr>
        <w:t>Jurisdiction and Capacity of the Commission</w:t>
      </w:r>
      <w:bookmarkEnd w:id="122"/>
    </w:p>
    <w:p w:rsidRPr="00F55A79" w:rsidR="00185455" w:rsidP="00E27EAF" w:rsidRDefault="00185455" w14:paraId="5A4FD38D" w14:textId="377AA967">
      <w:pPr>
        <w:pStyle w:val="Standard"/>
        <w:rPr>
          <w:color w:val="000000" w:themeColor="text1"/>
        </w:rPr>
      </w:pPr>
      <w:r w:rsidRPr="00F55A79">
        <w:rPr>
          <w:color w:val="000000" w:themeColor="text1"/>
        </w:rPr>
        <w:t xml:space="preserve">Pursuant to Section 854(c)(7), we considered whether the proposed transaction would </w:t>
      </w:r>
      <w:r w:rsidRPr="00F55A79" w:rsidR="00FD7277">
        <w:rPr>
          <w:color w:val="000000" w:themeColor="text1"/>
        </w:rPr>
        <w:t>preserve the jurisdiction of the Commission and the capacity of the Commission to effectively regulate and audit public utility operations in the state</w:t>
      </w:r>
      <w:r w:rsidRPr="00F55A79">
        <w:rPr>
          <w:color w:val="000000" w:themeColor="text1"/>
        </w:rPr>
        <w:t xml:space="preserve">.  We </w:t>
      </w:r>
      <w:r w:rsidRPr="00F55A79" w:rsidR="009E19B8">
        <w:rPr>
          <w:color w:val="000000" w:themeColor="text1"/>
        </w:rPr>
        <w:t xml:space="preserve">find </w:t>
      </w:r>
      <w:r w:rsidRPr="00F55A79">
        <w:rPr>
          <w:color w:val="000000" w:themeColor="text1"/>
        </w:rPr>
        <w:t xml:space="preserve">that </w:t>
      </w:r>
      <w:r w:rsidRPr="00F55A79" w:rsidR="00590B75">
        <w:rPr>
          <w:color w:val="000000" w:themeColor="text1"/>
        </w:rPr>
        <w:t>the proposed transaction would preserve the jurisdiction of the Commission and the capacity of the Commission</w:t>
      </w:r>
      <w:r w:rsidRPr="00F55A79">
        <w:rPr>
          <w:color w:val="000000" w:themeColor="text1"/>
        </w:rPr>
        <w:t>.</w:t>
      </w:r>
    </w:p>
    <w:p w:rsidRPr="00F55A79" w:rsidR="00185455" w:rsidP="00E27EAF" w:rsidRDefault="00185455" w14:paraId="4373B8D7" w14:textId="77777777">
      <w:pPr>
        <w:pStyle w:val="Heading3"/>
        <w:rPr>
          <w:color w:val="000000" w:themeColor="text1"/>
        </w:rPr>
      </w:pPr>
      <w:bookmarkStart w:name="_Toc216163208" w:id="123"/>
      <w:r w:rsidRPr="00F55A79">
        <w:rPr>
          <w:color w:val="000000" w:themeColor="text1"/>
        </w:rPr>
        <w:t>Joint Applicants’ Position</w:t>
      </w:r>
      <w:bookmarkEnd w:id="123"/>
    </w:p>
    <w:p w:rsidRPr="00F55A79" w:rsidR="009A1BC6" w:rsidP="00ED3CD5" w:rsidRDefault="00907F2C" w14:paraId="34DED396" w14:textId="5A411FB6">
      <w:pPr>
        <w:pStyle w:val="Standard"/>
      </w:pPr>
      <w:r w:rsidRPr="00F55A79">
        <w:rPr>
          <w:color w:val="000000" w:themeColor="text1"/>
        </w:rPr>
        <w:t>According to the Joint Applicants, t</w:t>
      </w:r>
      <w:r w:rsidRPr="00F55A79" w:rsidR="009A1BC6">
        <w:rPr>
          <w:color w:val="000000" w:themeColor="text1"/>
        </w:rPr>
        <w:t xml:space="preserve">he proposed Transaction </w:t>
      </w:r>
      <w:r w:rsidRPr="00F55A79">
        <w:rPr>
          <w:color w:val="000000" w:themeColor="text1"/>
        </w:rPr>
        <w:t>would</w:t>
      </w:r>
      <w:r w:rsidRPr="00F55A79" w:rsidR="009A1BC6">
        <w:rPr>
          <w:color w:val="000000" w:themeColor="text1"/>
        </w:rPr>
        <w:t xml:space="preserve"> not alter the Commission’s jurisdiction over the California </w:t>
      </w:r>
      <w:r w:rsidRPr="00F55A79" w:rsidR="00187004">
        <w:rPr>
          <w:color w:val="000000" w:themeColor="text1"/>
        </w:rPr>
        <w:t>o</w:t>
      </w:r>
      <w:r w:rsidRPr="00F55A79" w:rsidR="009A1BC6">
        <w:rPr>
          <w:color w:val="000000" w:themeColor="text1"/>
        </w:rPr>
        <w:t xml:space="preserve">perating </w:t>
      </w:r>
      <w:r w:rsidRPr="00F55A79" w:rsidR="00187004">
        <w:rPr>
          <w:color w:val="000000" w:themeColor="text1"/>
        </w:rPr>
        <w:t>s</w:t>
      </w:r>
      <w:r w:rsidRPr="00F55A79" w:rsidR="009A1BC6">
        <w:rPr>
          <w:color w:val="000000" w:themeColor="text1"/>
        </w:rPr>
        <w:t xml:space="preserve">ubsidiaries. </w:t>
      </w:r>
      <w:r w:rsidRPr="00F55A79" w:rsidR="00187004">
        <w:t>Verizon and Frontier stated that t</w:t>
      </w:r>
      <w:r w:rsidRPr="00F55A79" w:rsidR="009A1BC6">
        <w:t>he three California ILECs</w:t>
      </w:r>
      <w:r w:rsidRPr="00F55A79" w:rsidR="00187004">
        <w:rPr>
          <w:rStyle w:val="FootnoteReference"/>
          <w:color w:val="000000" w:themeColor="text1"/>
        </w:rPr>
        <w:footnoteReference w:id="223"/>
      </w:r>
      <w:r w:rsidRPr="00F55A79" w:rsidR="00187004">
        <w:rPr>
          <w:color w:val="000000" w:themeColor="text1"/>
        </w:rPr>
        <w:t xml:space="preserve"> </w:t>
      </w:r>
      <w:r w:rsidRPr="00F55A79" w:rsidR="00DB7400">
        <w:rPr>
          <w:color w:val="000000" w:themeColor="text1"/>
        </w:rPr>
        <w:t xml:space="preserve">now </w:t>
      </w:r>
      <w:r w:rsidRPr="00F55A79" w:rsidR="009A1BC6">
        <w:rPr>
          <w:color w:val="000000" w:themeColor="text1"/>
        </w:rPr>
        <w:t>operate</w:t>
      </w:r>
      <w:r w:rsidRPr="00F55A79" w:rsidR="00EE29C4">
        <w:rPr>
          <w:color w:val="000000" w:themeColor="text1"/>
        </w:rPr>
        <w:t xml:space="preserve"> </w:t>
      </w:r>
      <w:r w:rsidRPr="00F55A79" w:rsidR="009A1BC6">
        <w:rPr>
          <w:color w:val="000000" w:themeColor="text1"/>
        </w:rPr>
        <w:t xml:space="preserve">under </w:t>
      </w:r>
      <w:r w:rsidRPr="00F55A79" w:rsidR="005E6DCD">
        <w:rPr>
          <w:color w:val="000000" w:themeColor="text1"/>
        </w:rPr>
        <w:t xml:space="preserve">Uniform </w:t>
      </w:r>
      <w:r w:rsidRPr="00F55A79" w:rsidR="005E6DCD">
        <w:t>Regulatory Framework (</w:t>
      </w:r>
      <w:r w:rsidRPr="00F55A79" w:rsidR="009A1BC6">
        <w:t>URF</w:t>
      </w:r>
      <w:r w:rsidRPr="00F55A79" w:rsidR="005E6DCD">
        <w:t>) rules</w:t>
      </w:r>
      <w:r w:rsidRPr="00F55A79" w:rsidR="00DB7400">
        <w:rPr>
          <w:rStyle w:val="FootnoteReference"/>
          <w:color w:val="000000" w:themeColor="text1"/>
        </w:rPr>
        <w:footnoteReference w:id="224"/>
      </w:r>
      <w:r w:rsidRPr="00F55A79" w:rsidR="009A1BC6">
        <w:rPr>
          <w:color w:val="000000" w:themeColor="text1"/>
        </w:rPr>
        <w:t xml:space="preserve"> and </w:t>
      </w:r>
      <w:r w:rsidRPr="00F55A79" w:rsidR="00187004">
        <w:rPr>
          <w:color w:val="000000" w:themeColor="text1"/>
        </w:rPr>
        <w:t xml:space="preserve">would </w:t>
      </w:r>
      <w:r w:rsidRPr="00F55A79" w:rsidR="009A1BC6">
        <w:rPr>
          <w:color w:val="000000" w:themeColor="text1"/>
        </w:rPr>
        <w:t xml:space="preserve">operate under URF </w:t>
      </w:r>
      <w:r w:rsidRPr="00F55A79" w:rsidR="009A1BC6">
        <w:t xml:space="preserve">after the </w:t>
      </w:r>
      <w:r w:rsidRPr="00F55A79" w:rsidR="00187004">
        <w:t>proposed t</w:t>
      </w:r>
      <w:r w:rsidRPr="00F55A79" w:rsidR="009A1BC6">
        <w:t>ransaction.</w:t>
      </w:r>
      <w:r w:rsidRPr="00F55A79" w:rsidR="00187004">
        <w:rPr>
          <w:rStyle w:val="FootnoteReference"/>
          <w:color w:val="000000" w:themeColor="text1"/>
        </w:rPr>
        <w:footnoteReference w:id="225"/>
      </w:r>
      <w:r w:rsidRPr="00F55A79" w:rsidR="009A1BC6">
        <w:rPr>
          <w:color w:val="000000" w:themeColor="text1"/>
        </w:rPr>
        <w:t xml:space="preserve"> </w:t>
      </w:r>
      <w:r w:rsidRPr="00F55A79" w:rsidR="008976C1">
        <w:rPr>
          <w:color w:val="000000" w:themeColor="text1"/>
        </w:rPr>
        <w:t xml:space="preserve"> </w:t>
      </w:r>
      <w:r w:rsidRPr="00F55A79" w:rsidR="009A1BC6">
        <w:rPr>
          <w:color w:val="000000" w:themeColor="text1"/>
        </w:rPr>
        <w:t xml:space="preserve">Frontier’s two long distance companies in </w:t>
      </w:r>
      <w:r w:rsidRPr="00F55A79" w:rsidR="009A1BC6">
        <w:t>California</w:t>
      </w:r>
      <w:r w:rsidRPr="00F55A79" w:rsidR="0021159F">
        <w:rPr>
          <w:rStyle w:val="FootnoteReference"/>
          <w:color w:val="000000" w:themeColor="text1"/>
        </w:rPr>
        <w:footnoteReference w:id="226"/>
      </w:r>
      <w:r w:rsidRPr="00F55A79" w:rsidR="009A1BC6">
        <w:rPr>
          <w:color w:val="000000" w:themeColor="text1"/>
        </w:rPr>
        <w:t xml:space="preserve"> w</w:t>
      </w:r>
      <w:r w:rsidRPr="00F55A79" w:rsidR="00187004">
        <w:rPr>
          <w:color w:val="000000" w:themeColor="text1"/>
        </w:rPr>
        <w:t>ould</w:t>
      </w:r>
      <w:r w:rsidRPr="00F55A79" w:rsidR="009A1BC6">
        <w:rPr>
          <w:color w:val="000000" w:themeColor="text1"/>
        </w:rPr>
        <w:t xml:space="preserve"> remain subject to the limited regulations applicable to </w:t>
      </w:r>
      <w:r w:rsidRPr="00F55A79" w:rsidR="005E7CC7">
        <w:rPr>
          <w:color w:val="000000" w:themeColor="text1"/>
        </w:rPr>
        <w:t>I</w:t>
      </w:r>
      <w:r w:rsidRPr="00F55A79" w:rsidR="009A1BC6">
        <w:rPr>
          <w:color w:val="000000" w:themeColor="text1"/>
        </w:rPr>
        <w:t xml:space="preserve">XCs. </w:t>
      </w:r>
      <w:r w:rsidRPr="00F55A79" w:rsidR="00493415">
        <w:rPr>
          <w:color w:val="000000" w:themeColor="text1"/>
        </w:rPr>
        <w:t xml:space="preserve"> </w:t>
      </w:r>
      <w:r w:rsidRPr="00F55A79" w:rsidR="009A1BC6">
        <w:rPr>
          <w:color w:val="000000" w:themeColor="text1"/>
        </w:rPr>
        <w:lastRenderedPageBreak/>
        <w:t xml:space="preserve">In addition, the </w:t>
      </w:r>
      <w:r w:rsidRPr="00F55A79" w:rsidR="006C54E9">
        <w:rPr>
          <w:color w:val="000000" w:themeColor="text1"/>
        </w:rPr>
        <w:t xml:space="preserve">Joint Applicants stated that the </w:t>
      </w:r>
      <w:r w:rsidRPr="00F55A79" w:rsidR="0021159F">
        <w:rPr>
          <w:color w:val="000000" w:themeColor="text1"/>
        </w:rPr>
        <w:t xml:space="preserve">proposed </w:t>
      </w:r>
      <w:r w:rsidRPr="00F55A79" w:rsidR="0021159F">
        <w:t>t</w:t>
      </w:r>
      <w:r w:rsidRPr="00F55A79" w:rsidR="009A1BC6">
        <w:t xml:space="preserve">ransaction </w:t>
      </w:r>
      <w:r w:rsidRPr="00F55A79" w:rsidR="00C01105">
        <w:t>would</w:t>
      </w:r>
      <w:r w:rsidRPr="00F55A79" w:rsidR="009A1BC6">
        <w:t xml:space="preserve"> not change the California </w:t>
      </w:r>
      <w:r w:rsidRPr="00F55A79" w:rsidR="0021159F">
        <w:t xml:space="preserve">operating subsidiaries’ </w:t>
      </w:r>
      <w:r w:rsidRPr="00F55A79" w:rsidR="009A1BC6">
        <w:t>participation in California’s public purpose or universal service programs.</w:t>
      </w:r>
      <w:r w:rsidRPr="00F55A79" w:rsidR="007A4D26">
        <w:rPr>
          <w:rStyle w:val="FootnoteReference"/>
        </w:rPr>
        <w:footnoteReference w:id="227"/>
      </w:r>
      <w:r w:rsidRPr="00F55A79" w:rsidR="009A1BC6">
        <w:t xml:space="preserve"> </w:t>
      </w:r>
    </w:p>
    <w:p w:rsidRPr="00F55A79" w:rsidR="007C26C9" w:rsidP="00ED3CD5" w:rsidRDefault="009A1BC6" w14:paraId="43AE6730" w14:textId="7CBD1B3C">
      <w:pPr>
        <w:pStyle w:val="Standard"/>
        <w:rPr>
          <w:color w:val="000000" w:themeColor="text1"/>
        </w:rPr>
      </w:pPr>
      <w:r w:rsidRPr="00F55A79">
        <w:rPr>
          <w:color w:val="000000" w:themeColor="text1"/>
        </w:rPr>
        <w:t xml:space="preserve">Following the transaction, Verizon </w:t>
      </w:r>
      <w:r w:rsidRPr="00F55A79" w:rsidR="00812C49">
        <w:rPr>
          <w:color w:val="000000" w:themeColor="text1"/>
        </w:rPr>
        <w:t>said it would</w:t>
      </w:r>
      <w:r w:rsidRPr="00F55A79">
        <w:rPr>
          <w:color w:val="000000" w:themeColor="text1"/>
        </w:rPr>
        <w:t xml:space="preserve"> continue to provide basic voice telecommunications services and work to meet applicable COLR and other obligations associated with the public purpose and universal service </w:t>
      </w:r>
      <w:r w:rsidRPr="00F55A79">
        <w:t>programs.</w:t>
      </w:r>
      <w:r w:rsidRPr="00F55A79" w:rsidR="00812C49">
        <w:rPr>
          <w:rStyle w:val="FootnoteReference"/>
          <w:color w:val="000000" w:themeColor="text1"/>
        </w:rPr>
        <w:footnoteReference w:id="228"/>
      </w:r>
      <w:r w:rsidRPr="00F55A79" w:rsidR="000C722C">
        <w:rPr>
          <w:color w:val="000000" w:themeColor="text1"/>
        </w:rPr>
        <w:t xml:space="preserve">  </w:t>
      </w:r>
      <w:r w:rsidRPr="00F55A79">
        <w:rPr>
          <w:color w:val="000000" w:themeColor="text1"/>
        </w:rPr>
        <w:t xml:space="preserve">Verizon </w:t>
      </w:r>
      <w:r w:rsidRPr="00F55A79" w:rsidR="000C722C">
        <w:rPr>
          <w:color w:val="000000" w:themeColor="text1"/>
        </w:rPr>
        <w:t>also said it would</w:t>
      </w:r>
      <w:r w:rsidRPr="00F55A79">
        <w:rPr>
          <w:color w:val="000000" w:themeColor="text1"/>
        </w:rPr>
        <w:t xml:space="preserve"> </w:t>
      </w:r>
      <w:r w:rsidRPr="00F55A79" w:rsidR="000C722C">
        <w:rPr>
          <w:color w:val="000000" w:themeColor="text1"/>
        </w:rPr>
        <w:t>“</w:t>
      </w:r>
      <w:r w:rsidRPr="00F55A79">
        <w:rPr>
          <w:color w:val="000000" w:themeColor="text1"/>
        </w:rPr>
        <w:t xml:space="preserve">work to fulfill any remaining compliance obligations and commitments Frontier made in connection with the </w:t>
      </w:r>
      <w:r w:rsidRPr="00F55A79">
        <w:t>acquisition of Verizon’s ILEC operations in</w:t>
      </w:r>
      <w:r w:rsidRPr="00F55A79" w:rsidR="007C26C9">
        <w:t xml:space="preserve"> 2016</w:t>
      </w:r>
      <w:r w:rsidRPr="00F55A79" w:rsidR="007C26C9">
        <w:rPr>
          <w:rStyle w:val="FootnoteReference"/>
          <w:color w:val="000000" w:themeColor="text1"/>
        </w:rPr>
        <w:footnoteReference w:id="229"/>
      </w:r>
      <w:r w:rsidRPr="00F55A79" w:rsidR="007C26C9">
        <w:rPr>
          <w:color w:val="000000" w:themeColor="text1"/>
        </w:rPr>
        <w:t xml:space="preserve"> and as part of Frontier’s 2021 corporate reorganization </w:t>
      </w:r>
      <w:r w:rsidRPr="00F55A79" w:rsidR="007C26C9">
        <w:t>and transfer.</w:t>
      </w:r>
      <w:r w:rsidRPr="00F55A79" w:rsidR="000C722C">
        <w:t>”</w:t>
      </w:r>
      <w:r w:rsidRPr="00F55A79" w:rsidR="00DD2707">
        <w:rPr>
          <w:rStyle w:val="FootnoteReference"/>
          <w:color w:val="000000" w:themeColor="text1"/>
        </w:rPr>
        <w:footnoteReference w:id="230"/>
      </w:r>
    </w:p>
    <w:p w:rsidRPr="00F55A79" w:rsidR="0011637B" w:rsidP="0011637B" w:rsidRDefault="0011637B" w14:paraId="2F142EEA" w14:textId="0B2D707A">
      <w:pPr>
        <w:pStyle w:val="Heading3"/>
      </w:pPr>
      <w:bookmarkStart w:name="_Toc216163209" w:id="124"/>
      <w:r w:rsidRPr="00F55A79">
        <w:t>Party Positions</w:t>
      </w:r>
      <w:bookmarkEnd w:id="124"/>
    </w:p>
    <w:p w:rsidRPr="00F55A79" w:rsidR="0010012B" w:rsidP="00ED3CD5" w:rsidRDefault="0010012B" w14:paraId="7AA13FE9" w14:textId="77777777">
      <w:pPr>
        <w:pStyle w:val="Heading4"/>
      </w:pPr>
      <w:bookmarkStart w:name="_Toc216163210" w:id="125"/>
      <w:r w:rsidRPr="00F55A79">
        <w:t>CETF</w:t>
      </w:r>
      <w:bookmarkEnd w:id="125"/>
      <w:r w:rsidRPr="00F55A79">
        <w:t xml:space="preserve"> </w:t>
      </w:r>
    </w:p>
    <w:p w:rsidRPr="00F55A79" w:rsidR="00A837C9" w:rsidP="00ED3CD5" w:rsidRDefault="00BE6B56" w14:paraId="4568D628" w14:textId="78E7C34D">
      <w:pPr>
        <w:pStyle w:val="Standard"/>
      </w:pPr>
      <w:r w:rsidRPr="00F55A79">
        <w:t xml:space="preserve">CETF stated that </w:t>
      </w:r>
      <w:r w:rsidRPr="00F55A79" w:rsidR="00A837C9">
        <w:t>the Commission will continue to regulate Verizon in the same manner that it regulated Frontier</w:t>
      </w:r>
      <w:r w:rsidRPr="00F55A79" w:rsidR="009311E8">
        <w:t xml:space="preserve"> with </w:t>
      </w:r>
      <w:r w:rsidRPr="00F55A79" w:rsidR="00A837C9">
        <w:t>no change.</w:t>
      </w:r>
      <w:r w:rsidRPr="00F55A79" w:rsidR="009311E8">
        <w:rPr>
          <w:rStyle w:val="FootnoteReference"/>
        </w:rPr>
        <w:footnoteReference w:id="231"/>
      </w:r>
      <w:r w:rsidRPr="00F55A79" w:rsidR="00A837C9">
        <w:t xml:space="preserve"> </w:t>
      </w:r>
      <w:r w:rsidRPr="00F55A79" w:rsidR="009311E8">
        <w:t xml:space="preserve"> </w:t>
      </w:r>
      <w:r w:rsidRPr="00F55A79" w:rsidR="00A837C9">
        <w:t xml:space="preserve">In its </w:t>
      </w:r>
      <w:r w:rsidRPr="00F55A79" w:rsidR="009311E8">
        <w:t>a</w:t>
      </w:r>
      <w:r w:rsidRPr="00F55A79" w:rsidR="00A837C9">
        <w:t>pplication, Verizon pledge</w:t>
      </w:r>
      <w:r w:rsidRPr="00F55A79" w:rsidR="009311E8">
        <w:t>d</w:t>
      </w:r>
      <w:r w:rsidRPr="00F55A79" w:rsidR="00A837C9">
        <w:t xml:space="preserve"> to maintain Frontier’s status as a </w:t>
      </w:r>
      <w:r w:rsidRPr="00F55A79" w:rsidR="009311E8">
        <w:t xml:space="preserve">COLR and </w:t>
      </w:r>
      <w:r w:rsidRPr="00F55A79" w:rsidR="00A837C9">
        <w:t>E</w:t>
      </w:r>
      <w:r w:rsidRPr="00F55A79" w:rsidR="009311E8">
        <w:t>TC, and according to CETF, t</w:t>
      </w:r>
      <w:r w:rsidRPr="00F55A79" w:rsidR="00A837C9">
        <w:t xml:space="preserve">he Commission will </w:t>
      </w:r>
      <w:r w:rsidRPr="00F55A79" w:rsidR="009311E8">
        <w:t xml:space="preserve">therefore </w:t>
      </w:r>
      <w:r w:rsidRPr="00F55A79" w:rsidR="00A837C9">
        <w:t xml:space="preserve">retain </w:t>
      </w:r>
      <w:r w:rsidRPr="00F55A79" w:rsidR="009311E8">
        <w:t>the</w:t>
      </w:r>
      <w:r w:rsidRPr="00F55A79" w:rsidR="00A837C9">
        <w:t xml:space="preserve"> same regulatory authority over Verizon’s Frontier landline network.</w:t>
      </w:r>
      <w:r w:rsidRPr="00F55A79" w:rsidR="00A837C9">
        <w:rPr>
          <w:rStyle w:val="FootnoteReference"/>
        </w:rPr>
        <w:footnoteReference w:id="232"/>
      </w:r>
    </w:p>
    <w:p w:rsidRPr="00F55A79" w:rsidR="0010012B" w:rsidP="00ED3CD5" w:rsidRDefault="008F418C" w14:paraId="171DB473" w14:textId="17D44271">
      <w:pPr>
        <w:pStyle w:val="Heading4"/>
      </w:pPr>
      <w:bookmarkStart w:name="_Toc216163211" w:id="126"/>
      <w:r w:rsidRPr="00F55A79">
        <w:lastRenderedPageBreak/>
        <w:t>CforAT</w:t>
      </w:r>
      <w:bookmarkEnd w:id="126"/>
    </w:p>
    <w:p w:rsidRPr="00F55A79" w:rsidR="001845B3" w:rsidP="00ED3CD5" w:rsidRDefault="001845B3" w14:paraId="71CBE9C7" w14:textId="5E828CD1">
      <w:pPr>
        <w:pStyle w:val="Standard"/>
      </w:pPr>
      <w:r w:rsidRPr="00F55A79">
        <w:rPr>
          <w:color w:val="000000" w:themeColor="text1"/>
        </w:rPr>
        <w:t xml:space="preserve">CforAT argued that Verizon’s past behavior indicates that Commission approval of the proposed transaction could make it difficult to preserve the </w:t>
      </w:r>
      <w:r w:rsidRPr="00F55A79">
        <w:t>Commission’s jurisdiction.</w:t>
      </w:r>
      <w:r w:rsidRPr="00F55A79">
        <w:rPr>
          <w:vertAlign w:val="superscript"/>
        </w:rPr>
        <w:footnoteReference w:id="233"/>
      </w:r>
      <w:r w:rsidRPr="00F55A79">
        <w:t xml:space="preserve"> </w:t>
      </w:r>
      <w:r w:rsidRPr="00F55A79" w:rsidR="007A0BD2">
        <w:t xml:space="preserve"> </w:t>
      </w:r>
      <w:r w:rsidRPr="00F55A79">
        <w:t>According to CforAT, “Verizon consistently pushes back against Commission’s jurisdiction over the services it provides”</w:t>
      </w:r>
      <w:r w:rsidRPr="00F55A79" w:rsidR="00EF055D">
        <w:t xml:space="preserve"> and provided various examples of </w:t>
      </w:r>
      <w:r w:rsidRPr="00F55A79" w:rsidR="007A0BD2">
        <w:t>Verizon’s alleged pushback.</w:t>
      </w:r>
      <w:r w:rsidRPr="00F55A79" w:rsidR="007A0BD2">
        <w:rPr>
          <w:vertAlign w:val="superscript"/>
        </w:rPr>
        <w:footnoteReference w:id="234"/>
      </w:r>
      <w:r w:rsidRPr="00F55A79">
        <w:t xml:space="preserve"> </w:t>
      </w:r>
      <w:r w:rsidRPr="00F55A79" w:rsidR="007A0BD2">
        <w:t xml:space="preserve"> According to CforA</w:t>
      </w:r>
      <w:r w:rsidRPr="00F55A79" w:rsidR="00590B75">
        <w:t>T</w:t>
      </w:r>
      <w:r w:rsidRPr="00F55A79" w:rsidR="007A0BD2">
        <w:t>, t</w:t>
      </w:r>
      <w:r w:rsidRPr="00F55A79">
        <w:t>he Commission should not grant an application submitted by a</w:t>
      </w:r>
      <w:r w:rsidRPr="00F55A79">
        <w:rPr>
          <w:color w:val="000000" w:themeColor="text1"/>
        </w:rPr>
        <w:t xml:space="preserve"> party that threatens to seek elimination of the Commission’s jurisdiction </w:t>
      </w:r>
      <w:r w:rsidRPr="00F55A79">
        <w:t>over supplier diversity</w:t>
      </w:r>
      <w:r w:rsidRPr="00F55A79" w:rsidR="0079649F">
        <w:t xml:space="preserve"> and recommended that the Commission deny the instant application</w:t>
      </w:r>
      <w:r w:rsidRPr="00F55A79">
        <w:t>.</w:t>
      </w:r>
      <w:r w:rsidRPr="00F55A79" w:rsidR="007A0BD2">
        <w:rPr>
          <w:vertAlign w:val="superscript"/>
        </w:rPr>
        <w:footnoteReference w:id="235"/>
      </w:r>
    </w:p>
    <w:p w:rsidRPr="00F55A79" w:rsidR="0010012B" w:rsidP="00ED3CD5" w:rsidRDefault="0010012B" w14:paraId="69A05B58" w14:textId="02076C21">
      <w:pPr>
        <w:pStyle w:val="Heading4"/>
        <w:rPr>
          <w:color w:val="000000" w:themeColor="text1"/>
        </w:rPr>
      </w:pPr>
      <w:bookmarkStart w:name="_Toc216163212" w:id="127"/>
      <w:r w:rsidRPr="00F55A79">
        <w:rPr>
          <w:color w:val="000000" w:themeColor="text1"/>
        </w:rPr>
        <w:t>TURN</w:t>
      </w:r>
      <w:bookmarkEnd w:id="127"/>
    </w:p>
    <w:p w:rsidRPr="00F55A79" w:rsidR="00D44D14" w:rsidP="00A022F6" w:rsidRDefault="00D44D14" w14:paraId="6F575684" w14:textId="706C036F">
      <w:pPr>
        <w:pStyle w:val="Standard"/>
      </w:pPr>
      <w:r w:rsidRPr="00F55A79">
        <w:t>TURN recommend</w:t>
      </w:r>
      <w:r w:rsidRPr="00F55A79" w:rsidR="00771A87">
        <w:t>ed</w:t>
      </w:r>
      <w:r w:rsidRPr="00F55A79">
        <w:t xml:space="preserve"> that the Commission’s decision in this proceeding</w:t>
      </w:r>
      <w:r w:rsidRPr="00F55A79" w:rsidR="00FC4E36">
        <w:t xml:space="preserve"> </w:t>
      </w:r>
      <w:r w:rsidRPr="00F55A79">
        <w:t>explicitly state that the decision does not and is not intended to reduce the Commission’s jurisdiction to regulate and audit the Joint Applicants to this proceeding.</w:t>
      </w:r>
      <w:r w:rsidRPr="00F55A79" w:rsidR="00771A87">
        <w:rPr>
          <w:rStyle w:val="FootnoteReference"/>
        </w:rPr>
        <w:footnoteReference w:id="236"/>
      </w:r>
    </w:p>
    <w:p w:rsidRPr="00F55A79" w:rsidR="00185455" w:rsidP="0011637B" w:rsidRDefault="00185455" w14:paraId="60EFCDEF" w14:textId="77777777">
      <w:pPr>
        <w:pStyle w:val="Heading3"/>
        <w:rPr>
          <w:color w:val="000000" w:themeColor="text1"/>
        </w:rPr>
      </w:pPr>
      <w:bookmarkStart w:name="_Toc216163213" w:id="128"/>
      <w:r w:rsidRPr="00F55A79">
        <w:rPr>
          <w:color w:val="000000" w:themeColor="text1"/>
        </w:rPr>
        <w:t>Discussion</w:t>
      </w:r>
      <w:bookmarkEnd w:id="128"/>
    </w:p>
    <w:p w:rsidRPr="00F55A79" w:rsidR="00AB4321" w:rsidP="00ED3CD5" w:rsidRDefault="00DF5FC5" w14:paraId="0A46BF41" w14:textId="3B8934C9">
      <w:pPr>
        <w:pStyle w:val="Standard"/>
        <w:rPr>
          <w:color w:val="000000" w:themeColor="text1"/>
        </w:rPr>
      </w:pPr>
      <w:r w:rsidRPr="00F55A79">
        <w:rPr>
          <w:color w:val="000000" w:themeColor="text1"/>
        </w:rPr>
        <w:t>Upon review of the record, w</w:t>
      </w:r>
      <w:r w:rsidRPr="00F55A79" w:rsidR="00590B75">
        <w:rPr>
          <w:color w:val="000000" w:themeColor="text1"/>
        </w:rPr>
        <w:t>e find that the proposed transaction would preserve the jurisdiction of the Commission and the capacity of the Commission.</w:t>
      </w:r>
      <w:r w:rsidRPr="00F55A79" w:rsidR="00860AF3">
        <w:rPr>
          <w:color w:val="000000" w:themeColor="text1"/>
        </w:rPr>
        <w:t xml:space="preserve"> </w:t>
      </w:r>
      <w:r w:rsidRPr="00F55A79" w:rsidR="006F2122">
        <w:rPr>
          <w:color w:val="000000" w:themeColor="text1"/>
        </w:rPr>
        <w:t>Following the transaction,</w:t>
      </w:r>
      <w:r w:rsidRPr="00F55A79" w:rsidR="00860AF3">
        <w:rPr>
          <w:color w:val="000000" w:themeColor="text1"/>
        </w:rPr>
        <w:t xml:space="preserve"> Verizon </w:t>
      </w:r>
      <w:r w:rsidRPr="00F55A79" w:rsidR="004F00F3">
        <w:rPr>
          <w:color w:val="000000" w:themeColor="text1"/>
        </w:rPr>
        <w:t xml:space="preserve">and Frontier </w:t>
      </w:r>
      <w:r w:rsidRPr="00F55A79" w:rsidR="00860AF3">
        <w:rPr>
          <w:color w:val="000000" w:themeColor="text1"/>
        </w:rPr>
        <w:t xml:space="preserve">will continue to operate under </w:t>
      </w:r>
      <w:r w:rsidRPr="00F55A79" w:rsidR="004F00F3">
        <w:rPr>
          <w:color w:val="000000" w:themeColor="text1"/>
        </w:rPr>
        <w:t>their</w:t>
      </w:r>
      <w:r w:rsidRPr="00F55A79" w:rsidR="00860AF3">
        <w:rPr>
          <w:color w:val="000000" w:themeColor="text1"/>
        </w:rPr>
        <w:t xml:space="preserve"> existing </w:t>
      </w:r>
      <w:r w:rsidRPr="00F55A79" w:rsidR="004F00F3">
        <w:rPr>
          <w:color w:val="000000" w:themeColor="text1"/>
        </w:rPr>
        <w:t>authorities,</w:t>
      </w:r>
      <w:r w:rsidRPr="00F55A79" w:rsidR="00860AF3">
        <w:rPr>
          <w:color w:val="000000" w:themeColor="text1"/>
        </w:rPr>
        <w:t xml:space="preserve"> provide the same services as before</w:t>
      </w:r>
      <w:r w:rsidRPr="00F55A79" w:rsidR="004F00F3">
        <w:rPr>
          <w:color w:val="000000" w:themeColor="text1"/>
        </w:rPr>
        <w:t xml:space="preserve"> the transaction, and would remain under the same jurisdiction</w:t>
      </w:r>
      <w:r w:rsidRPr="00F55A79" w:rsidR="00860AF3">
        <w:rPr>
          <w:color w:val="000000" w:themeColor="text1"/>
        </w:rPr>
        <w:t>.</w:t>
      </w:r>
    </w:p>
    <w:p w:rsidRPr="00F55A79" w:rsidR="00AB4321" w:rsidP="00E27EAF" w:rsidRDefault="008815FE" w14:paraId="5723D8BC" w14:textId="52CDF19E">
      <w:pPr>
        <w:pStyle w:val="Heading2"/>
      </w:pPr>
      <w:bookmarkStart w:name="_Toc216163214" w:id="129"/>
      <w:r w:rsidRPr="00F55A79">
        <w:lastRenderedPageBreak/>
        <w:t>M</w:t>
      </w:r>
      <w:r w:rsidRPr="00F55A79">
        <w:rPr>
          <w:color w:val="000000" w:themeColor="text1"/>
        </w:rPr>
        <w:t>itigation Measures</w:t>
      </w:r>
      <w:bookmarkEnd w:id="129"/>
    </w:p>
    <w:p w:rsidRPr="00F55A79" w:rsidR="00AB4321" w:rsidP="00E27EAF" w:rsidRDefault="00AB4321" w14:paraId="153E8003" w14:textId="5C49E104">
      <w:pPr>
        <w:pStyle w:val="Standard"/>
        <w:rPr>
          <w:color w:val="000000" w:themeColor="text1"/>
        </w:rPr>
      </w:pPr>
      <w:r w:rsidRPr="00F55A79">
        <w:t>Pursuant to Section 854(c)(</w:t>
      </w:r>
      <w:r w:rsidRPr="00F55A79" w:rsidR="000E660E">
        <w:t>8</w:t>
      </w:r>
      <w:r w:rsidRPr="00F55A79">
        <w:t>), we considered whether the proposed transact</w:t>
      </w:r>
      <w:r w:rsidRPr="00F55A79">
        <w:rPr>
          <w:color w:val="000000" w:themeColor="text1"/>
        </w:rPr>
        <w:t xml:space="preserve">ion would </w:t>
      </w:r>
      <w:r w:rsidRPr="00F55A79" w:rsidR="00021DCE">
        <w:rPr>
          <w:color w:val="000000" w:themeColor="text1"/>
        </w:rPr>
        <w:t>require</w:t>
      </w:r>
      <w:r w:rsidRPr="00F55A79" w:rsidR="009327B5">
        <w:rPr>
          <w:color w:val="000000" w:themeColor="text1"/>
        </w:rPr>
        <w:t xml:space="preserve"> mitigation measures to prevent significant adverse consequences that may result</w:t>
      </w:r>
      <w:r w:rsidRPr="00F55A79" w:rsidR="00021DCE">
        <w:rPr>
          <w:color w:val="000000" w:themeColor="text1"/>
        </w:rPr>
        <w:t xml:space="preserve"> from the proposed transfer of control</w:t>
      </w:r>
      <w:r w:rsidRPr="00F55A79">
        <w:rPr>
          <w:color w:val="000000" w:themeColor="text1"/>
        </w:rPr>
        <w:t>.</w:t>
      </w:r>
      <w:r w:rsidRPr="00F55A79" w:rsidR="00FB7D25">
        <w:rPr>
          <w:color w:val="000000" w:themeColor="text1"/>
        </w:rPr>
        <w:t xml:space="preserve">  Given the breadth of concerns raised by non-settling parties, we adopt mitigation measures to prevent adverse consequences.</w:t>
      </w:r>
    </w:p>
    <w:p w:rsidRPr="00F55A79" w:rsidR="00AB4321" w:rsidP="00E27EAF" w:rsidRDefault="00AB4321" w14:paraId="19C1B328" w14:textId="77777777">
      <w:pPr>
        <w:pStyle w:val="Heading3"/>
        <w:rPr>
          <w:color w:val="000000" w:themeColor="text1"/>
        </w:rPr>
      </w:pPr>
      <w:bookmarkStart w:name="_Toc216163215" w:id="130"/>
      <w:r w:rsidRPr="00F55A79">
        <w:rPr>
          <w:color w:val="000000" w:themeColor="text1"/>
        </w:rPr>
        <w:t>Joint Applicants’ Position</w:t>
      </w:r>
      <w:bookmarkEnd w:id="130"/>
    </w:p>
    <w:p w:rsidRPr="00F55A79" w:rsidR="000E660E" w:rsidP="00ED3CD5" w:rsidRDefault="000E660E" w14:paraId="48FB8ABF" w14:textId="65EABC0F">
      <w:pPr>
        <w:pStyle w:val="Standard"/>
        <w:rPr>
          <w:color w:val="000000" w:themeColor="text1"/>
        </w:rPr>
      </w:pPr>
      <w:r w:rsidRPr="00F55A79">
        <w:rPr>
          <w:color w:val="000000" w:themeColor="text1"/>
        </w:rPr>
        <w:t xml:space="preserve">Verizon stated that the proposed transaction “will result in no adverse </w:t>
      </w:r>
      <w:r w:rsidRPr="00F55A79">
        <w:t>consequences to customers, employees, shareholders, or the public in California. Accordingly, no mitigation measures are necessary under Section 854(c)(8) in order for the Commission to find that the Transaction is in the public interest.”</w:t>
      </w:r>
      <w:r w:rsidRPr="00F55A79">
        <w:rPr>
          <w:vertAlign w:val="superscript"/>
        </w:rPr>
        <w:footnoteReference w:id="237"/>
      </w:r>
    </w:p>
    <w:p w:rsidRPr="00F55A79" w:rsidR="00AB4321" w:rsidP="00ED3CD5" w:rsidRDefault="00AB4321" w14:paraId="769F9BE8" w14:textId="77777777">
      <w:pPr>
        <w:pStyle w:val="Heading3"/>
      </w:pPr>
      <w:bookmarkStart w:name="_Toc216163216" w:id="131"/>
      <w:r w:rsidRPr="00F55A79">
        <w:t>Party Positions</w:t>
      </w:r>
      <w:bookmarkEnd w:id="131"/>
    </w:p>
    <w:p w:rsidRPr="00F55A79" w:rsidR="00AB4321" w:rsidP="00ED3CD5" w:rsidRDefault="00AB4321" w14:paraId="31D27C77" w14:textId="77777777">
      <w:pPr>
        <w:pStyle w:val="Heading4"/>
      </w:pPr>
      <w:bookmarkStart w:name="_Toc216163217" w:id="132"/>
      <w:r w:rsidRPr="00F55A79">
        <w:t>CETF</w:t>
      </w:r>
      <w:bookmarkEnd w:id="132"/>
      <w:r w:rsidRPr="00F55A79">
        <w:t xml:space="preserve"> </w:t>
      </w:r>
    </w:p>
    <w:p w:rsidRPr="00F55A79" w:rsidR="00E8207B" w:rsidP="00A022F6" w:rsidRDefault="008724D6" w14:paraId="2A9B7578" w14:textId="2BE6ACA5">
      <w:pPr>
        <w:pStyle w:val="Standard"/>
      </w:pPr>
      <w:r w:rsidRPr="00F55A79">
        <w:t>CETF argued that three initial settlement agreements “provide many mitigation measures to ensure there are no significant adverse consequences.”</w:t>
      </w:r>
      <w:r w:rsidRPr="00F55A79">
        <w:rPr>
          <w:rStyle w:val="FootnoteReference"/>
        </w:rPr>
        <w:footnoteReference w:id="238"/>
      </w:r>
      <w:r w:rsidRPr="00F55A79">
        <w:rPr>
          <w:vertAlign w:val="superscript"/>
        </w:rPr>
        <w:t xml:space="preserve"> </w:t>
      </w:r>
      <w:r w:rsidRPr="00F55A79" w:rsidR="0058248A">
        <w:t>CETF noted that</w:t>
      </w:r>
      <w:r w:rsidRPr="00F55A79">
        <w:t xml:space="preserve"> there are numerous guardrails on network quality, reliability, and service continuity</w:t>
      </w:r>
      <w:r w:rsidRPr="00F55A79" w:rsidR="0058248A">
        <w:t>,</w:t>
      </w:r>
      <w:r w:rsidRPr="00F55A79" w:rsidR="0058248A">
        <w:rPr>
          <w:rStyle w:val="FootnoteReference"/>
        </w:rPr>
        <w:footnoteReference w:id="239"/>
      </w:r>
      <w:r w:rsidRPr="00F55A79" w:rsidR="00A022F6">
        <w:t xml:space="preserve"> </w:t>
      </w:r>
      <w:r w:rsidRPr="00F55A79" w:rsidR="008B4388">
        <w:t>as well as workforce protections to avoid service degradation from labor shocks,</w:t>
      </w:r>
      <w:r w:rsidRPr="00F55A79" w:rsidR="008B4388">
        <w:rPr>
          <w:rStyle w:val="FootnoteReference"/>
        </w:rPr>
        <w:footnoteReference w:id="240"/>
      </w:r>
      <w:r w:rsidRPr="00F55A79" w:rsidR="00F55200">
        <w:t xml:space="preserve"> and</w:t>
      </w:r>
      <w:r w:rsidRPr="00F55A79" w:rsidR="0058248A">
        <w:t xml:space="preserve"> </w:t>
      </w:r>
      <w:r w:rsidRPr="00F55A79" w:rsidR="00F55200">
        <w:t>deployment obligations tied to enforceable security.</w:t>
      </w:r>
      <w:r w:rsidRPr="00F55A79" w:rsidR="00F55200">
        <w:rPr>
          <w:rStyle w:val="FootnoteReference"/>
        </w:rPr>
        <w:footnoteReference w:id="241"/>
      </w:r>
      <w:r w:rsidRPr="00F55A79" w:rsidR="00F55200">
        <w:t xml:space="preserve"> </w:t>
      </w:r>
      <w:r w:rsidRPr="00F55A79" w:rsidR="00A022F6">
        <w:t xml:space="preserve"> </w:t>
      </w:r>
      <w:r w:rsidRPr="00F55A79" w:rsidR="00F55200">
        <w:t xml:space="preserve">Further, CETF stated that </w:t>
      </w:r>
      <w:r w:rsidRPr="00F55A79" w:rsidR="00E87EBC">
        <w:t xml:space="preserve">there is built into the settlement Agreements a level of coordination between Verizon and the </w:t>
      </w:r>
      <w:r w:rsidRPr="00F55A79" w:rsidR="0046167C">
        <w:t>i</w:t>
      </w:r>
      <w:r w:rsidRPr="00F55A79" w:rsidR="00E87EBC">
        <w:t>ntervenors to help mitigate</w:t>
      </w:r>
      <w:r w:rsidRPr="00F55A79" w:rsidR="0046167C">
        <w:t xml:space="preserve"> infrastructure</w:t>
      </w:r>
      <w:r w:rsidRPr="00F55A79" w:rsidR="00E87EBC">
        <w:t xml:space="preserve"> build delays</w:t>
      </w:r>
      <w:r w:rsidRPr="00F55A79" w:rsidR="0046167C">
        <w:t xml:space="preserve">, as well as “very significant affordability </w:t>
      </w:r>
      <w:r w:rsidRPr="00F55A79" w:rsidR="0046167C">
        <w:lastRenderedPageBreak/>
        <w:t>protections</w:t>
      </w:r>
      <w:r w:rsidRPr="00F55A79" w:rsidR="00E87EBC">
        <w:t>.</w:t>
      </w:r>
      <w:r w:rsidRPr="00F55A79" w:rsidR="0046167C">
        <w:t>”</w:t>
      </w:r>
      <w:r w:rsidRPr="00F55A79" w:rsidR="00E87EBC">
        <w:rPr>
          <w:rStyle w:val="FootnoteReference"/>
        </w:rPr>
        <w:footnoteReference w:id="242"/>
      </w:r>
      <w:r w:rsidRPr="00F55A79" w:rsidR="002F4099">
        <w:t xml:space="preserve"> </w:t>
      </w:r>
      <w:r w:rsidRPr="00F55A79" w:rsidR="002C09EE">
        <w:t xml:space="preserve"> </w:t>
      </w:r>
      <w:r w:rsidRPr="00F55A79" w:rsidR="002F4099">
        <w:t>CETF argued that “the risk mitigation is robust with these protections.”</w:t>
      </w:r>
      <w:r w:rsidRPr="00F55A79" w:rsidR="002F4099">
        <w:rPr>
          <w:rStyle w:val="FootnoteReference"/>
        </w:rPr>
        <w:footnoteReference w:id="243"/>
      </w:r>
    </w:p>
    <w:p w:rsidRPr="00F55A79" w:rsidR="00AB4321" w:rsidP="00ED3CD5" w:rsidRDefault="008F418C" w14:paraId="72FDB273" w14:textId="03023C57">
      <w:pPr>
        <w:pStyle w:val="Heading4"/>
      </w:pPr>
      <w:bookmarkStart w:name="_Toc216163218" w:id="133"/>
      <w:r w:rsidRPr="00F55A79">
        <w:t>CforAT</w:t>
      </w:r>
      <w:bookmarkEnd w:id="133"/>
    </w:p>
    <w:p w:rsidRPr="00F55A79" w:rsidR="00436A58" w:rsidP="004D6475" w:rsidRDefault="009A4AC4" w14:paraId="321CECB8" w14:textId="77777777">
      <w:pPr>
        <w:pStyle w:val="Standard"/>
      </w:pPr>
      <w:r w:rsidRPr="00F55A79">
        <w:t xml:space="preserve">CforAT stated that the Joint Applicants’ proposed commitments and settlement agreements provide </w:t>
      </w:r>
      <w:r w:rsidRPr="00F55A79" w:rsidR="00C25147">
        <w:t>insufficient</w:t>
      </w:r>
      <w:r w:rsidRPr="00F55A79">
        <w:t xml:space="preserve"> </w:t>
      </w:r>
      <w:r w:rsidRPr="00F55A79" w:rsidR="00C25147">
        <w:t>mitigation for the</w:t>
      </w:r>
      <w:r w:rsidRPr="00F55A79">
        <w:t xml:space="preserve"> </w:t>
      </w:r>
      <w:r w:rsidRPr="00F55A79" w:rsidR="00C25147">
        <w:t>“</w:t>
      </w:r>
      <w:r w:rsidRPr="00F55A79">
        <w:t>significant public interest harms that would occur if the Commission approves the transaction.</w:t>
      </w:r>
      <w:r w:rsidRPr="00F55A79" w:rsidR="00C25147">
        <w:t>”</w:t>
      </w:r>
      <w:r w:rsidRPr="00F55A79" w:rsidR="00C25147">
        <w:rPr>
          <w:vertAlign w:val="superscript"/>
        </w:rPr>
        <w:footnoteReference w:id="244"/>
      </w:r>
      <w:r w:rsidRPr="00F55A79">
        <w:rPr>
          <w:vertAlign w:val="superscript"/>
        </w:rPr>
        <w:t xml:space="preserve"> </w:t>
      </w:r>
      <w:r w:rsidRPr="00F55A79" w:rsidR="009A7467">
        <w:t>CforAT therefore ask</w:t>
      </w:r>
      <w:r w:rsidRPr="00F55A79" w:rsidR="004D6475">
        <w:t>ed</w:t>
      </w:r>
      <w:r w:rsidRPr="00F55A79">
        <w:t xml:space="preserve"> the Commission </w:t>
      </w:r>
      <w:r w:rsidRPr="00F55A79" w:rsidR="009A7467">
        <w:t>to</w:t>
      </w:r>
      <w:r w:rsidRPr="00F55A79">
        <w:t xml:space="preserve"> deny the proposed transaction</w:t>
      </w:r>
      <w:r w:rsidRPr="00F55A79" w:rsidR="009A7467">
        <w:t xml:space="preserve"> or, alternately, </w:t>
      </w:r>
      <w:r w:rsidRPr="00F55A79">
        <w:t xml:space="preserve">add </w:t>
      </w:r>
      <w:r w:rsidRPr="00F55A79" w:rsidR="009A7467">
        <w:t>“</w:t>
      </w:r>
      <w:r w:rsidRPr="00F55A79" w:rsidR="00083409">
        <w:t>further meaningful mitigation measures and an enforcement</w:t>
      </w:r>
      <w:r w:rsidRPr="00F55A79" w:rsidR="004D6475">
        <w:t xml:space="preserve"> </w:t>
      </w:r>
      <w:r w:rsidRPr="00F55A79" w:rsidR="00083409">
        <w:t>mechanism that holds Verizon strictly accountable for any failure to comply with those measures.”</w:t>
      </w:r>
      <w:r w:rsidRPr="00F55A79" w:rsidR="00083409">
        <w:rPr>
          <w:rStyle w:val="FootnoteReference"/>
        </w:rPr>
        <w:footnoteReference w:id="245"/>
      </w:r>
    </w:p>
    <w:p w:rsidRPr="00F55A79" w:rsidR="00436A58" w:rsidP="004D6475" w:rsidRDefault="00436A58" w14:paraId="2CE20D1B" w14:textId="6898B5B0">
      <w:pPr>
        <w:pStyle w:val="Standard"/>
      </w:pPr>
      <w:r w:rsidRPr="00F55A79">
        <w:t>CforAT proposed the following proposed mitigation measures:</w:t>
      </w:r>
      <w:r w:rsidRPr="00F55A79">
        <w:rPr>
          <w:rStyle w:val="FootnoteReference"/>
        </w:rPr>
        <w:footnoteReference w:id="246"/>
      </w:r>
    </w:p>
    <w:p w:rsidRPr="00F55A79" w:rsidR="00436A58" w:rsidP="003224F3" w:rsidRDefault="00436A58" w14:paraId="566EBE84" w14:textId="77777777">
      <w:pPr>
        <w:pStyle w:val="Heading5"/>
      </w:pPr>
      <w:bookmarkStart w:name="_Toc216163219" w:id="134"/>
      <w:r w:rsidRPr="00F55A79">
        <w:t>Broadband Commitments</w:t>
      </w:r>
      <w:bookmarkEnd w:id="134"/>
    </w:p>
    <w:p w:rsidRPr="00F55A79" w:rsidR="00436A58" w:rsidP="00436A58" w:rsidRDefault="00436A58" w14:paraId="718FBD98" w14:textId="275BA194">
      <w:pPr>
        <w:pStyle w:val="Standard"/>
      </w:pPr>
      <w:r w:rsidRPr="00F55A79">
        <w:t>When Verizon completes its 2026 final Plan of Record, including identification of the locations where it intends to build wireless macro sites and broadband passings, it must provide the plan to Commission Staff who will review it and verify that the locations meet the terms of the settlement agreement.</w:t>
      </w:r>
    </w:p>
    <w:p w:rsidRPr="00F55A79" w:rsidR="00436A58" w:rsidP="003224F3" w:rsidRDefault="00436A58" w14:paraId="326962C9" w14:textId="0F2F6061">
      <w:pPr>
        <w:pStyle w:val="Heading5"/>
      </w:pPr>
      <w:bookmarkStart w:name="_Toc216163220" w:id="135"/>
      <w:r w:rsidRPr="00F55A79">
        <w:t>Lifeline</w:t>
      </w:r>
      <w:bookmarkEnd w:id="135"/>
    </w:p>
    <w:p w:rsidRPr="00F55A79" w:rsidR="00436A58" w:rsidP="00436A58" w:rsidRDefault="00436A58" w14:paraId="0FFF8886" w14:textId="66CD1ABE">
      <w:pPr>
        <w:pStyle w:val="Standard"/>
      </w:pPr>
      <w:r w:rsidRPr="00F55A79">
        <w:t xml:space="preserve">The Commission should ensure that former Frontier customers can still obtain the LifeLine services by requiring that combined company continue to </w:t>
      </w:r>
      <w:r w:rsidRPr="00F55A79">
        <w:lastRenderedPageBreak/>
        <w:t>offer wireline LifeLine throughout Frontier’s service territory until at least November 22, 2041, the same period set in the Verizon/TracFone merger.</w:t>
      </w:r>
    </w:p>
    <w:p w:rsidRPr="00F55A79" w:rsidR="00436A58" w:rsidP="003224F3" w:rsidRDefault="00436A58" w14:paraId="59252571" w14:textId="4CE1D0D1">
      <w:pPr>
        <w:pStyle w:val="Heading5"/>
      </w:pPr>
      <w:bookmarkStart w:name="_Toc216163221" w:id="136"/>
      <w:r w:rsidRPr="00F55A79">
        <w:t>Service Quality</w:t>
      </w:r>
      <w:bookmarkEnd w:id="136"/>
    </w:p>
    <w:p w:rsidRPr="00F55A79" w:rsidR="00436A58" w:rsidP="00436A58" w:rsidRDefault="00436A58" w14:paraId="011A32B3" w14:textId="2697981A">
      <w:pPr>
        <w:pStyle w:val="Standard"/>
      </w:pPr>
      <w:r w:rsidRPr="00F55A79">
        <w:t>The Commission should require that the combined company audit Frontier’s network and service quality and take action to bring them into compliance with the Commission’s service quality metrics no later than one year after the close of the transaction.</w:t>
      </w:r>
    </w:p>
    <w:p w:rsidRPr="00F55A79" w:rsidR="00436A58" w:rsidP="003224F3" w:rsidRDefault="00436A58" w14:paraId="6517BDEA" w14:textId="246FD66F">
      <w:pPr>
        <w:pStyle w:val="Heading5"/>
      </w:pPr>
      <w:bookmarkStart w:name="_Toc216163222" w:id="137"/>
      <w:r w:rsidRPr="00F55A79">
        <w:t>Bond</w:t>
      </w:r>
      <w:bookmarkEnd w:id="137"/>
    </w:p>
    <w:p w:rsidRPr="00F55A79" w:rsidR="00436A58" w:rsidP="00436A58" w:rsidRDefault="00436A58" w14:paraId="5ADD9F63" w14:textId="226285B0">
      <w:pPr>
        <w:pStyle w:val="Standard"/>
      </w:pPr>
      <w:r w:rsidRPr="00F55A79">
        <w:t>Verizon may only seek reduction of its bond based on its completion of the lower percentage of either its cell site or fiber passing buildouts. Notwithstanding the level of buildout completion, the Commission should require Verizon to maintain at least $75 million in performance bonds until it has completely fulfilled its buildout obligations.</w:t>
      </w:r>
    </w:p>
    <w:p w:rsidRPr="00F55A79" w:rsidR="00436A58" w:rsidP="003224F3" w:rsidRDefault="00436A58" w14:paraId="0338750E" w14:textId="56D29FCE">
      <w:pPr>
        <w:pStyle w:val="Heading5"/>
      </w:pPr>
      <w:bookmarkStart w:name="_Toc216163223" w:id="138"/>
      <w:r w:rsidRPr="00F55A79">
        <w:t>Financial Condition</w:t>
      </w:r>
      <w:bookmarkEnd w:id="138"/>
    </w:p>
    <w:p w:rsidRPr="00F55A79" w:rsidR="00436A58" w:rsidP="00436A58" w:rsidRDefault="00436A58" w14:paraId="23DB2F57" w14:textId="26A747F6">
      <w:pPr>
        <w:pStyle w:val="Standard"/>
      </w:pPr>
      <w:r w:rsidRPr="00F55A79">
        <w:t>The Commission should require Verizon to obtain performance bonds sufficient to ensure that the combined company will continue to provide service to customers in Frontier’s service territory for at least five years following the close of the transaction.</w:t>
      </w:r>
    </w:p>
    <w:p w:rsidRPr="00F55A79" w:rsidR="00436A58" w:rsidP="003224F3" w:rsidRDefault="00436A58" w14:paraId="5D5E5957" w14:textId="59E76722">
      <w:pPr>
        <w:pStyle w:val="Heading5"/>
      </w:pPr>
      <w:bookmarkStart w:name="_Toc216163224" w:id="139"/>
      <w:r w:rsidRPr="00F55A79">
        <w:t>Compliance</w:t>
      </w:r>
      <w:bookmarkEnd w:id="139"/>
    </w:p>
    <w:p w:rsidRPr="00F55A79" w:rsidR="00436A58" w:rsidP="00436A58" w:rsidRDefault="00436A58" w14:paraId="07965140" w14:textId="77FB8E97">
      <w:pPr>
        <w:pStyle w:val="Standard"/>
      </w:pPr>
      <w:r w:rsidRPr="00F55A79">
        <w:t>The Commission should establish a robust compliance and enforcement mechanism similar to the one the Commission imposed in D.21-11-030. Additionally, the Commission should require that Verizon may only seek changes to any merger conditions through a petition for modification, and that it may not seek changes to settlement agreements at all.</w:t>
      </w:r>
    </w:p>
    <w:p w:rsidRPr="00F55A79" w:rsidR="00436A58" w:rsidP="003224F3" w:rsidRDefault="00436A58" w14:paraId="2CB7B448" w14:textId="4F76F14C">
      <w:pPr>
        <w:pStyle w:val="Heading5"/>
      </w:pPr>
      <w:bookmarkStart w:name="_Toc216163225" w:id="140"/>
      <w:r w:rsidRPr="00F55A79">
        <w:lastRenderedPageBreak/>
        <w:t>Protections for non-union employees</w:t>
      </w:r>
      <w:bookmarkEnd w:id="140"/>
    </w:p>
    <w:p w:rsidRPr="00F55A79" w:rsidR="00436A58" w:rsidP="00436A58" w:rsidRDefault="00436A58" w14:paraId="1E8BF232" w14:textId="4912FA93">
      <w:pPr>
        <w:pStyle w:val="Standard"/>
      </w:pPr>
      <w:r w:rsidRPr="00F55A79">
        <w:t>The Commission should require the combined company to provide former Frontier employees with the same compensation they received from Frontier or the same compensation a Verizon employee receives for the same role, whichever is higher. The Commission should impose this requirement for a minimum of five years.</w:t>
      </w:r>
    </w:p>
    <w:p w:rsidRPr="00F55A79" w:rsidR="00436A58" w:rsidP="003224F3" w:rsidRDefault="00436A58" w14:paraId="79D718F0" w14:textId="31B4EC44">
      <w:pPr>
        <w:pStyle w:val="Heading5"/>
      </w:pPr>
      <w:bookmarkStart w:name="_Toc216163226" w:id="141"/>
      <w:r w:rsidRPr="00F55A79">
        <w:t>GO 156</w:t>
      </w:r>
      <w:bookmarkEnd w:id="141"/>
    </w:p>
    <w:p w:rsidRPr="00F55A79" w:rsidR="00436A58" w:rsidP="00436A58" w:rsidRDefault="00436A58" w14:paraId="4BE4B8E8" w14:textId="1FFE42FA">
      <w:pPr>
        <w:pStyle w:val="Standard"/>
      </w:pPr>
      <w:r w:rsidRPr="00F55A79">
        <w:t>The Commission should condition any approval of the transaction on Verizon’s compliance with General Order 156, including the requirement that Verizon set quantitative goals for diverse spending.</w:t>
      </w:r>
    </w:p>
    <w:p w:rsidRPr="00F55A79" w:rsidR="00436A58" w:rsidP="003224F3" w:rsidRDefault="00436A58" w14:paraId="209670BA" w14:textId="3294E631">
      <w:pPr>
        <w:pStyle w:val="Heading5"/>
      </w:pPr>
      <w:bookmarkStart w:name="_Toc216163227" w:id="142"/>
      <w:r w:rsidRPr="00F55A79">
        <w:t>External Monitoring</w:t>
      </w:r>
      <w:bookmarkEnd w:id="142"/>
    </w:p>
    <w:p w:rsidRPr="00F55A79" w:rsidR="00436A58" w:rsidP="00436A58" w:rsidRDefault="00436A58" w14:paraId="397F6616" w14:textId="1FA46A11">
      <w:pPr>
        <w:pStyle w:val="Standard"/>
      </w:pPr>
      <w:r w:rsidRPr="00F55A79">
        <w:t xml:space="preserve">To determine whether Verizon’s efforts are actually resulting in diverse hiring and contracting, the Commission should increase oversight of Verizon’s efforts by requiring that Verizon regularly provide data to the Commission, parties to this proceeding, and the public, including: </w:t>
      </w:r>
    </w:p>
    <w:p w:rsidRPr="00F55A79" w:rsidR="00540116" w:rsidP="00540116" w:rsidRDefault="00436A58" w14:paraId="677635AB" w14:textId="77777777">
      <w:pPr>
        <w:pStyle w:val="ListBullet"/>
      </w:pPr>
      <w:r w:rsidRPr="00F55A79">
        <w:t>California-Specific Data: The Commission should require the combined company to provide, on a quarterly basis, California-specific data, disaggregated by GO 156 categories and broken down into smaller areas (e.g., counties or census tracts) as necessary.</w:t>
      </w:r>
    </w:p>
    <w:p w:rsidRPr="00F55A79" w:rsidR="00540116" w:rsidP="00540116" w:rsidRDefault="00436A58" w14:paraId="5FCB061C" w14:textId="77777777">
      <w:pPr>
        <w:pStyle w:val="ListBullet"/>
      </w:pPr>
      <w:r w:rsidRPr="00F55A79">
        <w:t xml:space="preserve">Internal Diversity: The Commission should require that the combined company provide, on a quarterly basis, public employee diversity metrics disaggregated by GO 156 characteristics. These metrics should include average length of employment, job title, and pay grade. </w:t>
      </w:r>
      <w:r w:rsidRPr="00F55A79" w:rsidR="00540116">
        <w:t xml:space="preserve"> </w:t>
      </w:r>
      <w:r w:rsidRPr="00F55A79">
        <w:t>Additionally, the Commission should require that the combined company provide, on a quarterly basis, public anonymized data regarding the number and nature of employee complaints regarding discrimination or harassment, including the resolution of those complaints.</w:t>
      </w:r>
    </w:p>
    <w:p w:rsidRPr="00F55A79" w:rsidR="00540116" w:rsidP="003224F3" w:rsidRDefault="00436A58" w14:paraId="33EE40B2" w14:textId="390FD35E">
      <w:pPr>
        <w:pStyle w:val="ListBullet"/>
      </w:pPr>
      <w:r w:rsidRPr="00F55A79">
        <w:t>Small Business Contracting</w:t>
      </w:r>
      <w:r w:rsidRPr="00F55A79" w:rsidR="00540116">
        <w:t xml:space="preserve">: To determine whether Verizon’s focus on small business organizations, including its Small Business Accelerator Program, is resulting in equitable opportunities for diverse contractors, the combined </w:t>
      </w:r>
      <w:r w:rsidRPr="00F55A79" w:rsidR="00540116">
        <w:lastRenderedPageBreak/>
        <w:t xml:space="preserve">company should provide, on a quarterly basis, data disaggregated by GO 156 characteristics about the number, business location (i.e., where the contractor is located), work location (i.e., where the contractor performs the work), and payment. </w:t>
      </w:r>
    </w:p>
    <w:p w:rsidRPr="00F55A79" w:rsidR="00540116" w:rsidP="00FB7D25" w:rsidRDefault="00436A58" w14:paraId="7EE6082E" w14:textId="4B391542">
      <w:pPr>
        <w:pStyle w:val="ListBullet"/>
      </w:pPr>
      <w:r w:rsidRPr="00F55A79">
        <w:t>Small Business Subcontractors</w:t>
      </w:r>
      <w:r w:rsidRPr="00F55A79" w:rsidR="00540116">
        <w:t xml:space="preserve">:  To determine whether Verizon’s focus on small business organizations, including its Small Business Accelerator Program, is resulting in equitable opportunities for diverse subcontractors, the combined company should provide, on a quarterly basis, data disaggregated by certain GO 156 characteristics. </w:t>
      </w:r>
    </w:p>
    <w:p w:rsidRPr="00F55A79" w:rsidR="00436A58" w:rsidP="003224F3" w:rsidRDefault="00436A58" w14:paraId="67CFABDD" w14:textId="567313D7">
      <w:pPr>
        <w:pStyle w:val="ListBullet"/>
      </w:pPr>
      <w:r w:rsidRPr="00F55A79">
        <w:t>Community Outreach</w:t>
      </w:r>
      <w:r w:rsidRPr="00F55A79" w:rsidR="00540116">
        <w:t>: To determine whether Verizon’s focus on small business organizations, including its Small Business Accelerator Program, is resulting in equitable opportunities for diverse contractors, the combined company should provide, on a quarterly basis, data disaggregated by certain GO 156 characteristics.</w:t>
      </w:r>
    </w:p>
    <w:p w:rsidRPr="00F55A79" w:rsidR="00436A58" w:rsidP="003224F3" w:rsidRDefault="00436A58" w14:paraId="2501200B" w14:textId="306374B7">
      <w:pPr>
        <w:pStyle w:val="Heading5"/>
      </w:pPr>
      <w:bookmarkStart w:name="_Toc216163228" w:id="143"/>
      <w:r w:rsidRPr="00F55A79">
        <w:t>Compliance</w:t>
      </w:r>
      <w:bookmarkEnd w:id="143"/>
    </w:p>
    <w:p w:rsidRPr="00F55A79" w:rsidR="00436A58" w:rsidP="00436A58" w:rsidRDefault="00540116" w14:paraId="3737174B" w14:textId="0E7EEBBD">
      <w:pPr>
        <w:pStyle w:val="Standard"/>
      </w:pPr>
      <w:r w:rsidRPr="00F55A79">
        <w:t>T</w:t>
      </w:r>
      <w:r w:rsidRPr="00F55A79" w:rsidR="00436A58">
        <w:t>he Commission should appoint an independent third-party monitor</w:t>
      </w:r>
      <w:r w:rsidRPr="00F55A79">
        <w:t xml:space="preserve"> who </w:t>
      </w:r>
      <w:r w:rsidRPr="00F55A79" w:rsidR="00436A58">
        <w:t xml:space="preserve">should be responsible for reviewing the combined company’s recruiting and outreach, including communications, events, and practices. </w:t>
      </w:r>
      <w:r w:rsidRPr="00F55A79">
        <w:t xml:space="preserve"> </w:t>
      </w:r>
      <w:r w:rsidRPr="00F55A79" w:rsidR="00436A58">
        <w:t>If the monitor finds that the combined company’s efforts are insufficient to reach diverse communities, it should have the power to direct the combined company to comply with reasonable requirements regarding:</w:t>
      </w:r>
    </w:p>
    <w:p w:rsidRPr="00F55A79" w:rsidR="00436A58" w:rsidP="00436A58" w:rsidRDefault="00436A58" w14:paraId="35EC625D" w14:textId="271DB821">
      <w:pPr>
        <w:pStyle w:val="Standard"/>
      </w:pPr>
      <w:r w:rsidRPr="00F55A79">
        <w:t>• Adopting best practices for workforce and supplier recruitment;</w:t>
      </w:r>
    </w:p>
    <w:p w:rsidRPr="00F55A79" w:rsidR="00436A58" w:rsidP="00436A58" w:rsidRDefault="00436A58" w14:paraId="64447E57" w14:textId="291D76FA">
      <w:pPr>
        <w:pStyle w:val="Standard"/>
      </w:pPr>
      <w:r w:rsidRPr="00F55A79">
        <w:t>• Additional stakeholder engagement and outreach;</w:t>
      </w:r>
    </w:p>
    <w:p w:rsidRPr="00F55A79" w:rsidR="00436A58" w:rsidP="00436A58" w:rsidRDefault="00436A58" w14:paraId="1D03728A" w14:textId="61030244">
      <w:pPr>
        <w:pStyle w:val="Standard"/>
      </w:pPr>
      <w:r w:rsidRPr="00F55A79">
        <w:t>• Additional local or regional recruitment events;</w:t>
      </w:r>
    </w:p>
    <w:p w:rsidRPr="00F55A79" w:rsidR="00436A58" w:rsidP="00436A58" w:rsidRDefault="00436A58" w14:paraId="4C9A050F" w14:textId="22E96389">
      <w:pPr>
        <w:pStyle w:val="Standard"/>
      </w:pPr>
      <w:r w:rsidRPr="00F55A79">
        <w:t>• Additional matchmaking and mentorship opportunities; and</w:t>
      </w:r>
    </w:p>
    <w:p w:rsidRPr="00F55A79" w:rsidR="00436A58" w:rsidP="00540116" w:rsidRDefault="00436A58" w14:paraId="332A4DC7" w14:textId="61460020">
      <w:pPr>
        <w:pStyle w:val="Standard"/>
      </w:pPr>
      <w:r w:rsidRPr="00F55A79">
        <w:t>• Meetings with intervenors in this proceeding and other stakeholders.</w:t>
      </w:r>
      <w:r w:rsidRPr="00F55A79" w:rsidR="00540116">
        <w:t xml:space="preserve">  </w:t>
      </w:r>
      <w:r w:rsidRPr="00F55A79">
        <w:t>The Commission should also consider giving the compliance monitor the ability to address any disparities in compensation among Verizon employees and refer those disparities to the appropriate agencies as necessary.</w:t>
      </w:r>
    </w:p>
    <w:p w:rsidRPr="00F55A79" w:rsidR="00436A58" w:rsidP="003224F3" w:rsidRDefault="00436A58" w14:paraId="78F69FE2" w14:textId="77777777">
      <w:pPr>
        <w:pStyle w:val="Heading5"/>
      </w:pPr>
      <w:bookmarkStart w:name="_Toc216163229" w:id="144"/>
      <w:r w:rsidRPr="00F55A79">
        <w:lastRenderedPageBreak/>
        <w:t>Enforcement</w:t>
      </w:r>
      <w:bookmarkEnd w:id="144"/>
    </w:p>
    <w:p w:rsidRPr="00F55A79" w:rsidR="00436A58" w:rsidP="00436A58" w:rsidRDefault="00540116" w14:paraId="2860A414" w14:textId="13B2532B">
      <w:pPr>
        <w:pStyle w:val="Standard"/>
      </w:pPr>
      <w:r w:rsidRPr="00F55A79">
        <w:t xml:space="preserve">According to CforAT, </w:t>
      </w:r>
      <w:r w:rsidRPr="00F55A79" w:rsidR="00436A58">
        <w:t>Verizon has a history of failing to comply with merger mitigation measures, including mitigation measures that the Commission found were critical to protect the public interest. Accordingly, the Commission should include a robust mechanism for ensuring Verizon’s compliance. This mechanism should include:</w:t>
      </w:r>
    </w:p>
    <w:p w:rsidRPr="00F55A79" w:rsidR="00436A58" w:rsidP="00436A58" w:rsidRDefault="00436A58" w14:paraId="30291712" w14:textId="745CD486">
      <w:pPr>
        <w:pStyle w:val="Standard"/>
      </w:pPr>
      <w:r w:rsidRPr="00F55A79">
        <w:t>• A requirement that the combined company adhere to all mitigation measures without exception.</w:t>
      </w:r>
    </w:p>
    <w:p w:rsidRPr="00F55A79" w:rsidR="00436A58" w:rsidP="00436A58" w:rsidRDefault="00436A58" w14:paraId="0E1D8209" w14:textId="2A10B1AE">
      <w:pPr>
        <w:pStyle w:val="Standard"/>
      </w:pPr>
      <w:r w:rsidRPr="00F55A79">
        <w:t>• Verizon’s payment of a bond, five percent of which will be returned to the combined company each year that it fully complies with all mitigation measures. If at any point the combined company fails to fully comply with all mitigation measures, the remainder of the bond should be forfeit.</w:t>
      </w:r>
    </w:p>
    <w:p w:rsidRPr="00F55A79" w:rsidR="00436A58" w:rsidP="00436A58" w:rsidRDefault="00436A58" w14:paraId="5FD7EE93" w14:textId="263436B2">
      <w:pPr>
        <w:pStyle w:val="Standard"/>
      </w:pPr>
      <w:r w:rsidRPr="00F55A79">
        <w:t>• A requirement that if a party seeks the modification, elimination, or waiver of any of the mitigation measures, it may only do so by filing a petition for modification in this proceeding;</w:t>
      </w:r>
    </w:p>
    <w:p w:rsidRPr="00F55A79" w:rsidR="00436A58" w:rsidP="00436A58" w:rsidRDefault="00436A58" w14:paraId="66753CFF" w14:textId="1B209533">
      <w:pPr>
        <w:pStyle w:val="Standard"/>
      </w:pPr>
      <w:r w:rsidRPr="00F55A79">
        <w:t>• A requirement that if the combined company, or any of its affiliates, seek approval of a subsequent merger or acquisition, its application must report on the combined company’s compliance with the mitigation measures in this proceeding.</w:t>
      </w:r>
    </w:p>
    <w:p w:rsidRPr="00F55A79" w:rsidR="00540116" w:rsidP="00436A58" w:rsidRDefault="00436A58" w14:paraId="02B22B03" w14:textId="5A0301FC">
      <w:pPr>
        <w:pStyle w:val="Standard"/>
        <w:rPr>
          <w:rFonts w:ascii="Arial" w:hAnsi="Arial" w:eastAsiaTheme="majorEastAsia" w:cstheme="majorBidi"/>
          <w:b/>
          <w:szCs w:val="26"/>
        </w:rPr>
      </w:pPr>
      <w:r w:rsidRPr="00F55A79">
        <w:rPr>
          <w:rFonts w:ascii="Arial" w:hAnsi="Arial" w:eastAsiaTheme="majorEastAsia" w:cstheme="majorBidi"/>
          <w:b/>
          <w:szCs w:val="26"/>
        </w:rPr>
        <w:t xml:space="preserve">12. </w:t>
      </w:r>
      <w:r w:rsidRPr="00F55A79" w:rsidR="00540116">
        <w:rPr>
          <w:rFonts w:ascii="Arial" w:hAnsi="Arial" w:eastAsiaTheme="majorEastAsia" w:cstheme="majorBidi"/>
          <w:b/>
          <w:szCs w:val="26"/>
        </w:rPr>
        <w:t>Past Mitigation Measures</w:t>
      </w:r>
    </w:p>
    <w:p w:rsidRPr="00F55A79" w:rsidR="00083409" w:rsidP="004D6475" w:rsidRDefault="00540116" w14:paraId="2D08CEFA" w14:textId="69D60A3D">
      <w:pPr>
        <w:pStyle w:val="Standard"/>
      </w:pPr>
      <w:r w:rsidRPr="00F55A79">
        <w:t>According to CforAT, “[t]he Commission should not give much weight to mitigation measures that have been unsuccessful in the past</w:t>
      </w:r>
      <w:r w:rsidRPr="00F55A79" w:rsidR="00436A58">
        <w:t>.</w:t>
      </w:r>
      <w:r w:rsidRPr="00F55A79">
        <w:t xml:space="preserve">  CforAT noted that “[r]</w:t>
      </w:r>
      <w:r w:rsidRPr="00F55A79" w:rsidR="00436A58">
        <w:t>equirements that a combined company meet regularly with stakeholders or an advisory committee have generally had a negligible impact on DEI, because the stakeholders and/or committee lack the authority to bind the combined company to an agreement.</w:t>
      </w:r>
      <w:r w:rsidRPr="00F55A79">
        <w:t>”  Also, CforAT stated that “[m]</w:t>
      </w:r>
      <w:r w:rsidRPr="00F55A79" w:rsidR="00436A58">
        <w:t xml:space="preserve">itigation measures that </w:t>
      </w:r>
      <w:r w:rsidRPr="00F55A79" w:rsidR="00436A58">
        <w:lastRenderedPageBreak/>
        <w:t>include qualifiers such as “reasonable efforts” or “appropriately sized,” or that require the combined company to “seriously consider” feedback from stakeholders have been unsuccessful because they allow the combined company to use its own discretion as to what constitutes actions that are reasonable, appropriate, or serious.</w:t>
      </w:r>
      <w:r w:rsidRPr="00F55A79" w:rsidR="00907769">
        <w:t xml:space="preserve"> </w:t>
      </w:r>
      <w:r w:rsidRPr="00F55A79" w:rsidR="00DF5FC5">
        <w:t xml:space="preserve"> </w:t>
      </w:r>
    </w:p>
    <w:p w:rsidRPr="00F55A79" w:rsidR="00AB4321" w:rsidP="00ED3CD5" w:rsidRDefault="00AB4321" w14:paraId="09B3E216" w14:textId="332027D7">
      <w:pPr>
        <w:pStyle w:val="Heading4"/>
      </w:pPr>
      <w:bookmarkStart w:name="_Toc216163230" w:id="145"/>
      <w:r w:rsidRPr="00F55A79">
        <w:t>TURN</w:t>
      </w:r>
      <w:bookmarkEnd w:id="145"/>
    </w:p>
    <w:p w:rsidRPr="00F55A79" w:rsidR="004F00F3" w:rsidP="00ED3CD5" w:rsidRDefault="00372815" w14:paraId="70703839" w14:textId="77777777">
      <w:pPr>
        <w:pStyle w:val="Standard"/>
      </w:pPr>
      <w:r w:rsidRPr="00F55A79">
        <w:t xml:space="preserve">TURN </w:t>
      </w:r>
      <w:r w:rsidRPr="00F55A79" w:rsidR="00FC4E36">
        <w:t>summarize</w:t>
      </w:r>
      <w:r w:rsidRPr="00F55A79" w:rsidR="00EA7A56">
        <w:t>d</w:t>
      </w:r>
      <w:r w:rsidRPr="00F55A79" w:rsidR="00FC4E36">
        <w:t xml:space="preserve"> the mitigation measures it recommend</w:t>
      </w:r>
      <w:r w:rsidRPr="00F55A79" w:rsidR="00EA7A56">
        <w:t>ed</w:t>
      </w:r>
      <w:r w:rsidRPr="00F55A79" w:rsidR="00FC4E36">
        <w:t xml:space="preserve"> if the Commission approves the</w:t>
      </w:r>
      <w:r w:rsidRPr="00F55A79" w:rsidR="004D6475">
        <w:t xml:space="preserve"> proposed</w:t>
      </w:r>
      <w:r w:rsidRPr="00F55A79" w:rsidR="00FC4E36">
        <w:t xml:space="preserve"> </w:t>
      </w:r>
      <w:r w:rsidRPr="00F55A79" w:rsidR="004D6475">
        <w:t>transaction</w:t>
      </w:r>
      <w:r w:rsidRPr="00F55A79" w:rsidR="00FC4E36">
        <w:t>.</w:t>
      </w:r>
      <w:r w:rsidRPr="00F55A79" w:rsidR="00FC4E36">
        <w:rPr>
          <w:vertAlign w:val="superscript"/>
        </w:rPr>
        <w:footnoteReference w:id="247"/>
      </w:r>
      <w:r w:rsidRPr="00F55A79" w:rsidR="006F2122">
        <w:t xml:space="preserve"> </w:t>
      </w:r>
      <w:r w:rsidRPr="00F55A79" w:rsidR="000E4E93">
        <w:t xml:space="preserve"> </w:t>
      </w:r>
    </w:p>
    <w:p w:rsidRPr="00F55A79" w:rsidR="004F00F3" w:rsidP="004F00F3" w:rsidRDefault="004F00F3" w14:paraId="5B8B6982" w14:textId="45D417B3">
      <w:pPr>
        <w:pStyle w:val="Heading5"/>
      </w:pPr>
      <w:bookmarkStart w:name="_Toc216163231" w:id="146"/>
      <w:r w:rsidRPr="00F55A79">
        <w:t>Affordable Voice and Broadband Offerings</w:t>
      </w:r>
      <w:bookmarkEnd w:id="146"/>
    </w:p>
    <w:p w:rsidRPr="00F55A79" w:rsidR="002478DF" w:rsidP="002478DF" w:rsidRDefault="002478DF" w14:paraId="1AF16A25" w14:textId="77777777">
      <w:pPr>
        <w:pStyle w:val="Standard"/>
      </w:pPr>
      <w:r w:rsidRPr="00F55A79">
        <w:t>According to TURN, the Commission should require Verizon to:</w:t>
      </w:r>
    </w:p>
    <w:p w:rsidRPr="00F55A79" w:rsidR="004F00F3" w:rsidP="002478DF" w:rsidRDefault="002478DF" w14:paraId="6832F976" w14:textId="4088E4DF">
      <w:pPr>
        <w:pStyle w:val="Standard"/>
      </w:pPr>
      <w:r w:rsidRPr="00F55A79">
        <w:t xml:space="preserve">(3) </w:t>
      </w:r>
      <w:r w:rsidRPr="00F55A79" w:rsidR="004F00F3">
        <w:t>offer the Verizon Forward company discount throughout Frontier’s</w:t>
      </w:r>
      <w:r w:rsidRPr="00F55A79">
        <w:t xml:space="preserve"> </w:t>
      </w:r>
      <w:r w:rsidRPr="00F55A79" w:rsidR="004F00F3">
        <w:t>service territory in California on at least one service offering, that does not require a credit check, for</w:t>
      </w:r>
      <w:r w:rsidRPr="00F55A79">
        <w:t xml:space="preserve"> </w:t>
      </w:r>
      <w:r w:rsidRPr="00F55A79" w:rsidR="004F00F3">
        <w:t>each of the following: fiber at home service, fixed wireless at home services, fiber or fixed wireless</w:t>
      </w:r>
      <w:r w:rsidRPr="00F55A79">
        <w:t xml:space="preserve"> </w:t>
      </w:r>
      <w:r w:rsidRPr="00F55A79" w:rsidR="004F00F3">
        <w:t>service bundled with post-paid mobile service, fiber or fixed wireless service bundled with pre-paid</w:t>
      </w:r>
      <w:r w:rsidRPr="00F55A79">
        <w:t xml:space="preserve"> </w:t>
      </w:r>
      <w:r w:rsidRPr="00F55A79" w:rsidR="004F00F3">
        <w:t>mobile service, copper home service (where fiber is not available) bundled with post-paid mobile</w:t>
      </w:r>
      <w:r w:rsidRPr="00F55A79">
        <w:t xml:space="preserve"> </w:t>
      </w:r>
      <w:r w:rsidRPr="00F55A79" w:rsidR="004F00F3">
        <w:t>service, and copper home service (where fiber is not available) bundled with pre-paid mobile service.</w:t>
      </w:r>
      <w:r w:rsidRPr="00F55A79">
        <w:t xml:space="preserve"> </w:t>
      </w:r>
      <w:r w:rsidRPr="00F55A79" w:rsidR="00484B76">
        <w:t xml:space="preserve"> </w:t>
      </w:r>
      <w:r w:rsidRPr="00F55A79">
        <w:t xml:space="preserve">According to TURN, </w:t>
      </w:r>
      <w:r w:rsidRPr="00F55A79" w:rsidR="004F00F3">
        <w:t>Verizon has stated that one of the benefits of this transaction is the Verizon Forward company discount.</w:t>
      </w:r>
      <w:r w:rsidRPr="00F55A79">
        <w:t xml:space="preserve">  </w:t>
      </w:r>
      <w:r w:rsidRPr="00F55A79" w:rsidR="004F00F3">
        <w:t>The purpose of this mitigation measure is to broaden the reach of the Verizon Forward company</w:t>
      </w:r>
      <w:r w:rsidRPr="00F55A79">
        <w:t xml:space="preserve"> </w:t>
      </w:r>
      <w:r w:rsidRPr="00F55A79" w:rsidR="004F00F3">
        <w:t>discount so that low-income households that may only have access to copper-based service or pre-paid</w:t>
      </w:r>
      <w:r w:rsidRPr="00F55A79">
        <w:t xml:space="preserve"> </w:t>
      </w:r>
      <w:r w:rsidRPr="00F55A79" w:rsidR="004F00F3">
        <w:t>mobile service are not excluded from realizing the benefits of the Verizon Forward discount.</w:t>
      </w:r>
    </w:p>
    <w:p w:rsidRPr="00F55A79" w:rsidR="004F00F3" w:rsidP="002478DF" w:rsidRDefault="002478DF" w14:paraId="4E1ABACC" w14:textId="79CE724A">
      <w:pPr>
        <w:pStyle w:val="Standard"/>
      </w:pPr>
      <w:r w:rsidRPr="00F55A79">
        <w:lastRenderedPageBreak/>
        <w:t xml:space="preserve">(4) </w:t>
      </w:r>
      <w:r w:rsidRPr="00F55A79" w:rsidR="004F00F3">
        <w:t>For five years, prohibit Verizon from raising the price of the services that are eligible for the</w:t>
      </w:r>
      <w:r w:rsidRPr="00F55A79">
        <w:t xml:space="preserve"> </w:t>
      </w:r>
      <w:r w:rsidRPr="00F55A79" w:rsidR="004F00F3">
        <w:t>Verizon Forward discount. Verizon has agreed in settlements that it will not diminish the</w:t>
      </w:r>
      <w:r w:rsidRPr="00F55A79">
        <w:t xml:space="preserve"> </w:t>
      </w:r>
      <w:r w:rsidRPr="00F55A79" w:rsidR="004F00F3">
        <w:t>value of its Verizon Forward company discount. The purpose of this mitigation measure is to prohibit</w:t>
      </w:r>
      <w:r w:rsidRPr="00F55A79">
        <w:t xml:space="preserve"> </w:t>
      </w:r>
      <w:r w:rsidRPr="00F55A79" w:rsidR="004F00F3">
        <w:t>Verizon from diminishing the value by keeping the discount the same but raising the price of the</w:t>
      </w:r>
      <w:r w:rsidRPr="00F55A79">
        <w:t xml:space="preserve"> </w:t>
      </w:r>
      <w:r w:rsidRPr="00F55A79" w:rsidR="004F00F3">
        <w:t>underlying service. If Verizon needs to raise the price of the underlying service within the five</w:t>
      </w:r>
      <w:r w:rsidRPr="00F55A79">
        <w:t>-</w:t>
      </w:r>
      <w:r w:rsidRPr="00F55A79" w:rsidR="004F00F3">
        <w:t>year</w:t>
      </w:r>
      <w:r w:rsidRPr="00F55A79">
        <w:t xml:space="preserve"> </w:t>
      </w:r>
      <w:r w:rsidRPr="00F55A79" w:rsidR="004F00F3">
        <w:t>period, the Commission should require Verizon to file a Tier 2 advice letter indicating the price increase</w:t>
      </w:r>
      <w:r w:rsidRPr="00F55A79">
        <w:t xml:space="preserve"> </w:t>
      </w:r>
      <w:r w:rsidRPr="00F55A79" w:rsidR="004F00F3">
        <w:t>of the underlying service and the value increase of the Verizon Forward disc</w:t>
      </w:r>
      <w:r w:rsidRPr="00F55A79">
        <w:t>o</w:t>
      </w:r>
      <w:r w:rsidRPr="00F55A79" w:rsidR="004F00F3">
        <w:t>unt on that</w:t>
      </w:r>
      <w:r w:rsidRPr="00F55A79">
        <w:t xml:space="preserve"> </w:t>
      </w:r>
      <w:r w:rsidRPr="00F55A79" w:rsidR="004F00F3">
        <w:t>service so that the overall effect is that the value of the Verizon Forward company discount is not</w:t>
      </w:r>
      <w:r w:rsidRPr="00F55A79">
        <w:t xml:space="preserve"> </w:t>
      </w:r>
      <w:r w:rsidRPr="00F55A79" w:rsidR="004F00F3">
        <w:t>diminished.</w:t>
      </w:r>
    </w:p>
    <w:p w:rsidRPr="00F55A79" w:rsidR="002478DF" w:rsidP="002478DF" w:rsidRDefault="002478DF" w14:paraId="5A57BD44" w14:textId="6537C580">
      <w:pPr>
        <w:pStyle w:val="Standard"/>
      </w:pPr>
      <w:r w:rsidRPr="00F55A79">
        <w:t>(5)</w:t>
      </w:r>
      <w:r w:rsidRPr="00F55A79" w:rsidR="004F00F3">
        <w:t xml:space="preserve"> Require Verizon to offer Frontier Fundamentals throughout its California service territory.</w:t>
      </w:r>
      <w:r w:rsidRPr="00F55A79">
        <w:t xml:space="preserve">  According to TURN, </w:t>
      </w:r>
      <w:r w:rsidRPr="00F55A79" w:rsidR="004F00F3">
        <w:t>Frontier is one of the few wireline providers that offers broadband services as part of its California</w:t>
      </w:r>
      <w:r w:rsidRPr="00F55A79">
        <w:t xml:space="preserve"> </w:t>
      </w:r>
      <w:r w:rsidRPr="00F55A79" w:rsidR="004F00F3">
        <w:t>LifeLine and federal Lifeline services; however, it is limited to certain regions of Frontier’s service</w:t>
      </w:r>
      <w:r w:rsidRPr="00F55A79">
        <w:t xml:space="preserve"> </w:t>
      </w:r>
      <w:r w:rsidRPr="00F55A79" w:rsidR="004F00F3">
        <w:t>territory and Verizon has indicated a willingness to prohibit new customers from obtaining that service.</w:t>
      </w:r>
      <w:r w:rsidRPr="00F55A79">
        <w:t xml:space="preserve">  </w:t>
      </w:r>
      <w:r w:rsidRPr="00F55A79" w:rsidR="004F00F3">
        <w:t>The purpose of this mitigation measure is to prevent Verizon from effectively ending a Frontier</w:t>
      </w:r>
      <w:r w:rsidRPr="00F55A79">
        <w:t xml:space="preserve"> </w:t>
      </w:r>
      <w:r w:rsidRPr="00F55A79" w:rsidR="004F00F3">
        <w:t>broadband Lifeline service.</w:t>
      </w:r>
    </w:p>
    <w:p w:rsidRPr="00F55A79" w:rsidR="004F00F3" w:rsidP="002478DF" w:rsidRDefault="002478DF" w14:paraId="2A97795C" w14:textId="64143F30">
      <w:pPr>
        <w:pStyle w:val="Standard"/>
      </w:pPr>
      <w:r w:rsidRPr="00F55A79">
        <w:t>(</w:t>
      </w:r>
      <w:r w:rsidRPr="00F55A79" w:rsidR="004F00F3">
        <w:t>6</w:t>
      </w:r>
      <w:r w:rsidRPr="00F55A79">
        <w:t>)</w:t>
      </w:r>
      <w:r w:rsidRPr="00F55A79" w:rsidR="004F00F3">
        <w:t xml:space="preserve"> Require Verizon to advertise Frontier services that are eligible for Verizon Forward company</w:t>
      </w:r>
      <w:r w:rsidRPr="00F55A79">
        <w:t xml:space="preserve"> </w:t>
      </w:r>
      <w:r w:rsidRPr="00F55A79" w:rsidR="004F00F3">
        <w:t>discount, California LifeLine services, federal Lifeline service, and Frontier Fundamental service by</w:t>
      </w:r>
      <w:r w:rsidRPr="00F55A79">
        <w:t xml:space="preserve"> </w:t>
      </w:r>
      <w:r w:rsidRPr="00F55A79" w:rsidR="004F00F3">
        <w:t>expending at least $1 million dollars over three years in Frontier’s service territory, including expending</w:t>
      </w:r>
      <w:r w:rsidRPr="00F55A79">
        <w:t xml:space="preserve"> </w:t>
      </w:r>
      <w:r w:rsidRPr="00F55A79" w:rsidR="004F00F3">
        <w:t>at least $300,000 per year on advertisements of these services in local community media (i.e.</w:t>
      </w:r>
      <w:r w:rsidRPr="00F55A79">
        <w:t xml:space="preserve"> </w:t>
      </w:r>
      <w:r w:rsidRPr="00F55A79" w:rsidR="004F00F3">
        <w:t>newspapers, radio) and the local media’s language, and expending at least $300,000 per year on</w:t>
      </w:r>
      <w:r w:rsidRPr="00F55A79">
        <w:t xml:space="preserve"> </w:t>
      </w:r>
      <w:r w:rsidRPr="00F55A79" w:rsidR="004F00F3">
        <w:t xml:space="preserve">advertisements of these services in ESJ communities. </w:t>
      </w:r>
      <w:r w:rsidRPr="00F55A79" w:rsidR="004F00F3">
        <w:lastRenderedPageBreak/>
        <w:t>Eligible households cannot obtain affordable</w:t>
      </w:r>
      <w:r w:rsidRPr="00F55A79">
        <w:t xml:space="preserve"> </w:t>
      </w:r>
      <w:r w:rsidRPr="00F55A79" w:rsidR="004F00F3">
        <w:t>service if they do not know that it exists. The purpose of this mitigation measure is to prevent Verizon</w:t>
      </w:r>
      <w:r w:rsidRPr="00F55A79">
        <w:t xml:space="preserve"> </w:t>
      </w:r>
      <w:r w:rsidRPr="00F55A79" w:rsidR="004F00F3">
        <w:t>from effectively avoiding providing service to low-income communities by failing to publicize the</w:t>
      </w:r>
      <w:r w:rsidRPr="00F55A79">
        <w:t xml:space="preserve"> </w:t>
      </w:r>
      <w:r w:rsidRPr="00F55A79" w:rsidR="004F00F3">
        <w:t>availability of the affordable offerings.</w:t>
      </w:r>
    </w:p>
    <w:p w:rsidRPr="00F55A79" w:rsidR="004F00F3" w:rsidP="002478DF" w:rsidRDefault="002478DF" w14:paraId="2BF2B557" w14:textId="7C714C67">
      <w:pPr>
        <w:pStyle w:val="Standard"/>
      </w:pPr>
      <w:r w:rsidRPr="00F55A79">
        <w:t xml:space="preserve">(7) </w:t>
      </w:r>
      <w:r w:rsidRPr="00F55A79" w:rsidR="004F00F3">
        <w:t xml:space="preserve"> Require Verizon to publish the full eligibility criteria for its Verizon Forward company</w:t>
      </w:r>
      <w:r w:rsidRPr="00F55A79">
        <w:t xml:space="preserve"> </w:t>
      </w:r>
      <w:r w:rsidRPr="00F55A79" w:rsidR="004F00F3">
        <w:t>discount, California LifeLine service, federal Lifeline service, and Frontier Fundamental service on a</w:t>
      </w:r>
      <w:r w:rsidRPr="00F55A79">
        <w:t xml:space="preserve"> </w:t>
      </w:r>
      <w:r w:rsidRPr="00F55A79" w:rsidR="004F00F3">
        <w:t>dedicated Verizon webpage that apply to Verizon’s and Frontier’s services, which can be found by a</w:t>
      </w:r>
      <w:r w:rsidRPr="00F55A79">
        <w:t xml:space="preserve"> </w:t>
      </w:r>
      <w:r w:rsidRPr="00F55A79" w:rsidR="004F00F3">
        <w:t>prominent link on the home page for Verizon’s website. The record of this proceeding indicates that</w:t>
      </w:r>
      <w:r w:rsidRPr="00F55A79">
        <w:t xml:space="preserve"> </w:t>
      </w:r>
      <w:r w:rsidRPr="00F55A79" w:rsidR="004F00F3">
        <w:t>Verizon has not previously included the full eligibility criteria on their website for the Verizon Forward</w:t>
      </w:r>
      <w:r w:rsidRPr="00F55A79">
        <w:t xml:space="preserve"> </w:t>
      </w:r>
      <w:r w:rsidRPr="00F55A79" w:rsidR="004F00F3">
        <w:t>company discount. The purpose of this mitigation measure is to prevent Verizon from effectively</w:t>
      </w:r>
      <w:r w:rsidRPr="00F55A79">
        <w:t xml:space="preserve"> </w:t>
      </w:r>
      <w:r w:rsidRPr="00F55A79" w:rsidR="004F00F3">
        <w:t>avoiding providing service to low-income communities by failing to fully indicate the eligibility criteria</w:t>
      </w:r>
      <w:r w:rsidRPr="00F55A79">
        <w:t xml:space="preserve"> </w:t>
      </w:r>
      <w:r w:rsidRPr="00F55A79" w:rsidR="004F00F3">
        <w:t>for its affordable offerings.</w:t>
      </w:r>
    </w:p>
    <w:p w:rsidRPr="00F55A79" w:rsidR="004F00F3" w:rsidP="002478DF" w:rsidRDefault="002478DF" w14:paraId="4FDDADD8" w14:textId="47AC5AE5">
      <w:pPr>
        <w:pStyle w:val="Standard"/>
      </w:pPr>
      <w:r w:rsidRPr="00F55A79">
        <w:t>(8)</w:t>
      </w:r>
      <w:r w:rsidRPr="00F55A79" w:rsidR="004F00F3">
        <w:t xml:space="preserve"> Require Verizon to advertise its Verizon Forward company discount, California LifeLine</w:t>
      </w:r>
      <w:r w:rsidRPr="00F55A79">
        <w:t xml:space="preserve"> </w:t>
      </w:r>
      <w:r w:rsidRPr="00F55A79" w:rsidR="004F00F3">
        <w:t>service, federal Lifeline service, and Frontier Fundamental service in all of its Verizon-owned stores;</w:t>
      </w:r>
      <w:r w:rsidRPr="00F55A79">
        <w:t xml:space="preserve"> </w:t>
      </w:r>
      <w:r w:rsidRPr="00F55A79" w:rsidR="004F00F3">
        <w:t>and require Verizon to train service representatives at the Verizon-owned stores to enroll customers in</w:t>
      </w:r>
      <w:r w:rsidRPr="00F55A79">
        <w:t xml:space="preserve"> </w:t>
      </w:r>
      <w:r w:rsidRPr="00F55A79" w:rsidR="004F00F3">
        <w:t>services that are receive the Verizon Forward company discount, California LifeLine subsidy, federal</w:t>
      </w:r>
      <w:r w:rsidRPr="00F55A79">
        <w:t xml:space="preserve"> </w:t>
      </w:r>
      <w:r w:rsidRPr="00F55A79" w:rsidR="004F00F3">
        <w:t xml:space="preserve">Lifeline subsidy. </w:t>
      </w:r>
      <w:r w:rsidRPr="00F55A79">
        <w:t>According to TURN, t</w:t>
      </w:r>
      <w:r w:rsidRPr="00F55A79" w:rsidR="004F00F3">
        <w:t>he purpose of this mitigation measure is to prevent Verizon from effectively avowing</w:t>
      </w:r>
      <w:r w:rsidRPr="00F55A79">
        <w:t xml:space="preserve"> </w:t>
      </w:r>
      <w:r w:rsidRPr="00F55A79" w:rsidR="004F00F3">
        <w:t>providing service to low-income eligible households by not advertising or enrolling customers in</w:t>
      </w:r>
      <w:r w:rsidRPr="00F55A79">
        <w:t xml:space="preserve"> </w:t>
      </w:r>
      <w:r w:rsidRPr="00F55A79" w:rsidR="004F00F3">
        <w:t>affordable offerings at its Verizon-owned stores.</w:t>
      </w:r>
    </w:p>
    <w:p w:rsidRPr="00F55A79" w:rsidR="002478DF" w:rsidP="002478DF" w:rsidRDefault="002478DF" w14:paraId="6145CB9B" w14:textId="77777777">
      <w:pPr>
        <w:pStyle w:val="Standard"/>
      </w:pPr>
      <w:r w:rsidRPr="00F55A79">
        <w:t>(9)</w:t>
      </w:r>
      <w:r w:rsidRPr="00F55A79" w:rsidR="004F00F3">
        <w:t xml:space="preserve"> Prevent Verizon from relinquishing the ETC designations of Frontier’s entities for twenty</w:t>
      </w:r>
      <w:r w:rsidRPr="00F55A79">
        <w:t xml:space="preserve"> </w:t>
      </w:r>
      <w:r w:rsidRPr="00F55A79" w:rsidR="004F00F3">
        <w:t xml:space="preserve">years. Frontier currently offers Lifeline services through each </w:t>
      </w:r>
      <w:r w:rsidRPr="00F55A79" w:rsidR="004F00F3">
        <w:lastRenderedPageBreak/>
        <w:t>of its subsidiaries. This mitigation</w:t>
      </w:r>
      <w:r w:rsidRPr="00F55A79">
        <w:t xml:space="preserve"> </w:t>
      </w:r>
      <w:r w:rsidRPr="00F55A79" w:rsidR="004F00F3">
        <w:t>measure is to prevent any potential harm from Verizon discontinuing those services.</w:t>
      </w:r>
      <w:r w:rsidRPr="00F55A79">
        <w:t xml:space="preserve"> </w:t>
      </w:r>
    </w:p>
    <w:p w:rsidRPr="00F55A79" w:rsidR="004F00F3" w:rsidP="002478DF" w:rsidRDefault="002478DF" w14:paraId="6286D7A9" w14:textId="6F14679B">
      <w:pPr>
        <w:pStyle w:val="Standard"/>
      </w:pPr>
      <w:r w:rsidRPr="00F55A79">
        <w:t xml:space="preserve">(10) </w:t>
      </w:r>
      <w:r w:rsidRPr="00F55A79" w:rsidR="004F00F3">
        <w:t>Require Frontier to rescind its opt-out of providing federal Lifeline broadband service</w:t>
      </w:r>
      <w:r w:rsidRPr="00F55A79">
        <w:t xml:space="preserve"> </w:t>
      </w:r>
      <w:r w:rsidRPr="00F55A79" w:rsidR="004F00F3">
        <w:t xml:space="preserve">throughout its California service territory. </w:t>
      </w:r>
      <w:r w:rsidRPr="00F55A79" w:rsidR="00580C06">
        <w:t xml:space="preserve"> </w:t>
      </w:r>
      <w:r w:rsidRPr="00F55A79" w:rsidR="004F00F3">
        <w:t>Frontier currently offers broadband Lifeline service in select</w:t>
      </w:r>
      <w:r w:rsidRPr="00F55A79">
        <w:t xml:space="preserve"> </w:t>
      </w:r>
      <w:r w:rsidRPr="00F55A79" w:rsidR="004F00F3">
        <w:t>areas of California. This mitigation measure is to prevent any harm from Verizon further limiting the</w:t>
      </w:r>
      <w:r w:rsidRPr="00F55A79">
        <w:t xml:space="preserve"> </w:t>
      </w:r>
      <w:r w:rsidRPr="00F55A79" w:rsidR="004F00F3">
        <w:t>areas where Frontier offers broadband Lifeline.</w:t>
      </w:r>
    </w:p>
    <w:p w:rsidRPr="00F55A79" w:rsidR="004F00F3" w:rsidP="002478DF" w:rsidRDefault="002478DF" w14:paraId="77046CF9" w14:textId="3796C093">
      <w:pPr>
        <w:pStyle w:val="Standard"/>
      </w:pPr>
      <w:r w:rsidRPr="00F55A79">
        <w:t xml:space="preserve">(11) </w:t>
      </w:r>
      <w:r w:rsidRPr="00F55A79" w:rsidR="004F00F3">
        <w:t xml:space="preserve"> Require Verizon to offer at least one broadband service on all technologies that is eligible</w:t>
      </w:r>
      <w:r w:rsidRPr="00F55A79">
        <w:t xml:space="preserve"> </w:t>
      </w:r>
      <w:r w:rsidRPr="00F55A79" w:rsidR="004F00F3">
        <w:t>for California Lifeline and federal Lifeline support. For locations where Verizon cannot offer such a</w:t>
      </w:r>
      <w:r w:rsidRPr="00F55A79">
        <w:t xml:space="preserve"> </w:t>
      </w:r>
      <w:r w:rsidRPr="00F55A79" w:rsidR="004F00F3">
        <w:t>service because the technology available does not meet the federal Lifeline definition of broadband,</w:t>
      </w:r>
      <w:r w:rsidRPr="00F55A79">
        <w:t xml:space="preserve"> </w:t>
      </w:r>
      <w:r w:rsidRPr="00F55A79" w:rsidR="004F00F3">
        <w:t>Verizon can satisfy this requirement by participating in the California At-Home Broadband Pilot or its</w:t>
      </w:r>
      <w:r w:rsidRPr="00F55A79">
        <w:t xml:space="preserve"> </w:t>
      </w:r>
      <w:r w:rsidRPr="00F55A79" w:rsidR="004F00F3">
        <w:t>successor(s).</w:t>
      </w:r>
    </w:p>
    <w:p w:rsidRPr="00F55A79" w:rsidR="004F00F3" w:rsidP="002478DF" w:rsidRDefault="004F00F3" w14:paraId="7FD58683" w14:textId="308B7610">
      <w:pPr>
        <w:pStyle w:val="Heading5"/>
      </w:pPr>
      <w:bookmarkStart w:name="_Toc216163232" w:id="147"/>
      <w:r w:rsidRPr="00F55A79">
        <w:t>Service Quality and Network Resiliency</w:t>
      </w:r>
      <w:bookmarkEnd w:id="147"/>
    </w:p>
    <w:p w:rsidRPr="00F55A79" w:rsidR="004F00F3" w:rsidP="002478DF" w:rsidRDefault="002478DF" w14:paraId="0E1E45AA" w14:textId="34AE41F6">
      <w:pPr>
        <w:pStyle w:val="Standard"/>
      </w:pPr>
      <w:r w:rsidRPr="00F55A79">
        <w:t>(</w:t>
      </w:r>
      <w:r w:rsidRPr="00F55A79" w:rsidR="004F00F3">
        <w:t>12.</w:t>
      </w:r>
      <w:r w:rsidRPr="00F55A79">
        <w:t>)</w:t>
      </w:r>
      <w:r w:rsidRPr="00F55A79" w:rsidR="004F00F3">
        <w:t xml:space="preserve"> Require Verizon to designate an executive that can address consumer issues with Frontier’s</w:t>
      </w:r>
      <w:r w:rsidRPr="00F55A79">
        <w:t xml:space="preserve"> </w:t>
      </w:r>
      <w:r w:rsidRPr="00F55A79" w:rsidR="004F00F3">
        <w:t>service availability and service quality. Require Verizon to provide the name, phone number, and email</w:t>
      </w:r>
      <w:r w:rsidRPr="00F55A79">
        <w:t xml:space="preserve"> </w:t>
      </w:r>
      <w:r w:rsidRPr="00F55A79" w:rsidR="004F00F3">
        <w:t>address of that designated an executive to the intervening parties so that the intervening parties can</w:t>
      </w:r>
      <w:r w:rsidRPr="00F55A79">
        <w:t xml:space="preserve"> </w:t>
      </w:r>
      <w:r w:rsidRPr="00F55A79" w:rsidR="004F00F3">
        <w:t>contact and resolve any service availability and service quality issues the intervening parties’</w:t>
      </w:r>
      <w:r w:rsidRPr="00F55A79">
        <w:t xml:space="preserve"> </w:t>
      </w:r>
      <w:r w:rsidRPr="00F55A79" w:rsidR="004F00F3">
        <w:t>constituents are experiencing. The executive must be authorized to address consumer concerns. In the</w:t>
      </w:r>
      <w:r w:rsidRPr="00F55A79">
        <w:t xml:space="preserve"> </w:t>
      </w:r>
      <w:r w:rsidRPr="00F55A79" w:rsidR="004F00F3">
        <w:t xml:space="preserve">2015 Frontier acquisition of Verizon, </w:t>
      </w:r>
      <w:r w:rsidRPr="00F55A79">
        <w:t xml:space="preserve">TURN noted that </w:t>
      </w:r>
      <w:r w:rsidRPr="00F55A79" w:rsidR="004F00F3">
        <w:t>customers experienced significant service interruptions</w:t>
      </w:r>
      <w:r w:rsidRPr="00F55A79">
        <w:t xml:space="preserve"> </w:t>
      </w:r>
      <w:r w:rsidRPr="00F55A79" w:rsidR="004F00F3">
        <w:t xml:space="preserve">following approval of that merger. </w:t>
      </w:r>
      <w:r w:rsidRPr="00F55A79">
        <w:t xml:space="preserve"> </w:t>
      </w:r>
      <w:r w:rsidRPr="00F55A79" w:rsidR="004F00F3">
        <w:t>This mitigation measure is to prevent harms to consumers from the</w:t>
      </w:r>
      <w:r w:rsidRPr="00F55A79">
        <w:t xml:space="preserve"> </w:t>
      </w:r>
      <w:r w:rsidRPr="00F55A79" w:rsidR="004F00F3">
        <w:t xml:space="preserve">planned integration of Verizon and Frontier’s systems, </w:t>
      </w:r>
      <w:r w:rsidRPr="00F55A79" w:rsidR="004F00F3">
        <w:lastRenderedPageBreak/>
        <w:t>which the Joint Applicants have indicated will</w:t>
      </w:r>
      <w:r w:rsidRPr="00F55A79">
        <w:t xml:space="preserve"> </w:t>
      </w:r>
      <w:r w:rsidRPr="00F55A79" w:rsidR="004F00F3">
        <w:t>not take place immediately following the close of the transaction but at some unspecified date.</w:t>
      </w:r>
    </w:p>
    <w:p w:rsidRPr="00F55A79" w:rsidR="004F00F3" w:rsidP="002478DF" w:rsidRDefault="002478DF" w14:paraId="0A7E39B1" w14:textId="64CD5087">
      <w:pPr>
        <w:pStyle w:val="Standard"/>
      </w:pPr>
      <w:r w:rsidRPr="00F55A79">
        <w:t>(</w:t>
      </w:r>
      <w:r w:rsidRPr="00F55A79" w:rsidR="004F00F3">
        <w:t>13.</w:t>
      </w:r>
      <w:r w:rsidRPr="00F55A79">
        <w:t>)</w:t>
      </w:r>
      <w:r w:rsidRPr="00F55A79" w:rsidR="004F00F3">
        <w:t xml:space="preserve"> Require Verizon to have 72-hour of back-up batteries throughout the California service</w:t>
      </w:r>
      <w:r w:rsidRPr="00F55A79">
        <w:t xml:space="preserve"> </w:t>
      </w:r>
      <w:r w:rsidRPr="00F55A79" w:rsidR="004F00F3">
        <w:t>territory with adequate staffing at each central office to avoid loss of service due to a power outage.</w:t>
      </w:r>
      <w:r w:rsidRPr="00F55A79">
        <w:t xml:space="preserve"> </w:t>
      </w:r>
      <w:r w:rsidRPr="00F55A79" w:rsidR="00604BCC">
        <w:t xml:space="preserve"> </w:t>
      </w:r>
      <w:r w:rsidRPr="00F55A79" w:rsidR="004F00F3">
        <w:t xml:space="preserve">Require Verizon to provide back-up power to new customers on fiber-based service. </w:t>
      </w:r>
      <w:r w:rsidRPr="00F55A79" w:rsidR="00604BCC">
        <w:t xml:space="preserve"> </w:t>
      </w:r>
      <w:r w:rsidRPr="00F55A79" w:rsidR="004F00F3">
        <w:t>As technology</w:t>
      </w:r>
      <w:r w:rsidRPr="00F55A79">
        <w:t xml:space="preserve"> </w:t>
      </w:r>
      <w:r w:rsidRPr="00F55A79" w:rsidR="004F00F3">
        <w:t>transitions from copper to fiber, the fiber technology is inferior in the sense that it does not carry its own</w:t>
      </w:r>
      <w:r w:rsidRPr="00F55A79">
        <w:t xml:space="preserve"> </w:t>
      </w:r>
      <w:r w:rsidRPr="00F55A79" w:rsidR="004F00F3">
        <w:t>electrical charge like copper and therefore requires additional power. This mitigation measure is to</w:t>
      </w:r>
      <w:r w:rsidRPr="00F55A79">
        <w:t xml:space="preserve"> </w:t>
      </w:r>
      <w:r w:rsidRPr="00F55A79" w:rsidR="004F00F3">
        <w:t>prevent lost of service due to power outages.</w:t>
      </w:r>
    </w:p>
    <w:p w:rsidRPr="00F55A79" w:rsidR="004F00F3" w:rsidP="002478DF" w:rsidRDefault="002478DF" w14:paraId="5178D9C4" w14:textId="527BDBD7">
      <w:pPr>
        <w:pStyle w:val="Standard"/>
      </w:pPr>
      <w:r w:rsidRPr="00F55A79">
        <w:t>(</w:t>
      </w:r>
      <w:r w:rsidRPr="00F55A79" w:rsidR="004F00F3">
        <w:t>14.</w:t>
      </w:r>
      <w:r w:rsidRPr="00F55A79">
        <w:t>)</w:t>
      </w:r>
      <w:r w:rsidRPr="00F55A79" w:rsidR="004F00F3">
        <w:t xml:space="preserve"> Prohibit Verizon from laying off union and non-union employees, except for cause, if</w:t>
      </w:r>
      <w:r w:rsidRPr="00F55A79">
        <w:t xml:space="preserve"> </w:t>
      </w:r>
      <w:r w:rsidRPr="00F55A79" w:rsidR="004F00F3">
        <w:t>Verizon’s Frontier has failed to meet any Commission’s GO 133 service quality metric for three</w:t>
      </w:r>
      <w:r w:rsidRPr="00F55A79">
        <w:t xml:space="preserve"> </w:t>
      </w:r>
      <w:r w:rsidRPr="00F55A79" w:rsidR="004F00F3">
        <w:t>consecutive months. Frontier has identified a lack of staffing as the root cause of its service quality</w:t>
      </w:r>
      <w:r w:rsidRPr="00F55A79">
        <w:t xml:space="preserve"> </w:t>
      </w:r>
      <w:r w:rsidRPr="00F55A79" w:rsidR="004F00F3">
        <w:t>issues. This mitigation measure is to prevent harms to consumers due to poor service quality that stems</w:t>
      </w:r>
      <w:r w:rsidRPr="00F55A79">
        <w:t xml:space="preserve"> </w:t>
      </w:r>
      <w:r w:rsidRPr="00F55A79" w:rsidR="004F00F3">
        <w:t>from a lack of staffing.</w:t>
      </w:r>
    </w:p>
    <w:p w:rsidRPr="00F55A79" w:rsidR="00021DCE" w:rsidP="00021DCE" w:rsidRDefault="00021DCE" w14:paraId="7BC7C13D" w14:textId="77777777">
      <w:pPr>
        <w:pStyle w:val="Heading5"/>
        <w:numPr>
          <w:ilvl w:val="4"/>
          <w:numId w:val="76"/>
        </w:numPr>
      </w:pPr>
      <w:bookmarkStart w:name="_Toc216163233" w:id="148"/>
      <w:r w:rsidRPr="00F55A79">
        <w:t>Infrastructure Deployments</w:t>
      </w:r>
      <w:bookmarkEnd w:id="148"/>
    </w:p>
    <w:p w:rsidRPr="00F55A79" w:rsidR="00021DCE" w:rsidP="00021DCE" w:rsidRDefault="00021DCE" w14:paraId="394D3DC4" w14:textId="184585E2">
      <w:pPr>
        <w:pStyle w:val="Standard"/>
      </w:pPr>
      <w:r w:rsidRPr="00F55A79">
        <w:t>According to TURN, the Commission should require Verizon to: (1) Continue Frontier’s planned fiber deployment to all locations in Frontier’s Approve Build Universe, including multi-family units (MDUs), within 3 years of the close of the transaction. The purpose of this mitigation measure is to avoid potential harms to customers of halting or slowing Frontier’s planned fiber deployment to all locations in its Approve</w:t>
      </w:r>
      <w:r w:rsidR="00D1300A">
        <w:t>d</w:t>
      </w:r>
      <w:r w:rsidRPr="00F55A79">
        <w:t xml:space="preserve"> Build Universe. (2) Apply to federal and state grants to build fiber to ESJ communities outside of Frontier’s Approved Build Universe but served by copper within 5 years of the close of the transaction.  According to TURN, access to broadband services is now essential to everyday living and the lack of broadband access affects the health of </w:t>
      </w:r>
      <w:r w:rsidRPr="00F55A79">
        <w:lastRenderedPageBreak/>
        <w:t xml:space="preserve">community members. </w:t>
      </w:r>
      <w:r w:rsidR="00953B48">
        <w:t xml:space="preserve"> </w:t>
      </w:r>
      <w:r w:rsidRPr="00F55A79">
        <w:t>The purpose of this mitigation measure is to avoid potential harms to copper customers if Verizon does not continue to apply for grants to build to and upgrade Frontier’s copper network.</w:t>
      </w:r>
    </w:p>
    <w:p w:rsidRPr="00F55A79" w:rsidR="004F00F3" w:rsidP="002478DF" w:rsidRDefault="004F00F3" w14:paraId="24470A86" w14:textId="39AA6637">
      <w:pPr>
        <w:pStyle w:val="Heading5"/>
      </w:pPr>
      <w:bookmarkStart w:name="_Toc216163234" w:id="149"/>
      <w:r w:rsidRPr="00F55A79">
        <w:t>Compliance Monitor and Reporting</w:t>
      </w:r>
      <w:bookmarkEnd w:id="149"/>
    </w:p>
    <w:p w:rsidRPr="00F55A79" w:rsidR="004F00F3" w:rsidP="002478DF" w:rsidRDefault="002478DF" w14:paraId="18D17DE8" w14:textId="2C187569">
      <w:pPr>
        <w:pStyle w:val="Standard"/>
      </w:pPr>
      <w:r w:rsidRPr="00F55A79">
        <w:t>(</w:t>
      </w:r>
      <w:r w:rsidRPr="00F55A79" w:rsidR="004F00F3">
        <w:t>15.</w:t>
      </w:r>
      <w:r w:rsidRPr="00F55A79">
        <w:t>)</w:t>
      </w:r>
      <w:r w:rsidRPr="00F55A79" w:rsidR="004F00F3">
        <w:t xml:space="preserve"> Starting within 30 days of the close of the proceeding, and until twelve months after Verizon</w:t>
      </w:r>
      <w:r w:rsidRPr="00F55A79">
        <w:t xml:space="preserve"> </w:t>
      </w:r>
      <w:r w:rsidRPr="00F55A79" w:rsidR="004F00F3">
        <w:t>has fulfilled all of its obligations acquired as a result of this proceeding, the Commission should require</w:t>
      </w:r>
      <w:r w:rsidRPr="00F55A79">
        <w:t xml:space="preserve"> </w:t>
      </w:r>
      <w:r w:rsidRPr="00F55A79" w:rsidR="004F00F3">
        <w:t>Verizon pay for a Commission-hired independent compliance monitor to ensure that Verizon is in</w:t>
      </w:r>
      <w:r w:rsidRPr="00F55A79">
        <w:t xml:space="preserve"> </w:t>
      </w:r>
      <w:r w:rsidRPr="00F55A79" w:rsidR="004F00F3">
        <w:t>compliance with all of the Commission-ordered conditions and any adopted settlements. This condition</w:t>
      </w:r>
      <w:r w:rsidRPr="00F55A79">
        <w:t xml:space="preserve"> </w:t>
      </w:r>
      <w:r w:rsidRPr="00F55A79" w:rsidR="004F00F3">
        <w:t>is similar to the</w:t>
      </w:r>
      <w:r w:rsidRPr="00F55A79">
        <w:t xml:space="preserve"> </w:t>
      </w:r>
      <w:r w:rsidRPr="00F55A79" w:rsidR="004F00F3">
        <w:t xml:space="preserve"> compliance monitor requirement in the Frontier Bankruptcy decision. The record</w:t>
      </w:r>
      <w:r w:rsidRPr="00F55A79">
        <w:t xml:space="preserve"> </w:t>
      </w:r>
      <w:r w:rsidRPr="00F55A79" w:rsidR="004F00F3">
        <w:t>indicates that Verizon has previously requested and was granted waivers of conditions that the</w:t>
      </w:r>
      <w:r w:rsidRPr="00F55A79">
        <w:t xml:space="preserve"> </w:t>
      </w:r>
      <w:r w:rsidRPr="00F55A79" w:rsidR="004F00F3">
        <w:t xml:space="preserve">Commission relied on </w:t>
      </w:r>
      <w:r w:rsidRPr="00F55A79">
        <w:t>when</w:t>
      </w:r>
      <w:r w:rsidRPr="00F55A79" w:rsidR="004F00F3">
        <w:t xml:space="preserve"> approving Verizon’s acquisition of TracFone. The purpose of this mitigation</w:t>
      </w:r>
      <w:r w:rsidRPr="00F55A79">
        <w:t xml:space="preserve"> </w:t>
      </w:r>
      <w:r w:rsidRPr="00F55A79" w:rsidR="004F00F3">
        <w:t>measure is to prevent any potential harms from Verizon non-compliance with the conditions that the</w:t>
      </w:r>
      <w:r w:rsidRPr="00F55A79">
        <w:t xml:space="preserve"> </w:t>
      </w:r>
      <w:r w:rsidRPr="00F55A79" w:rsidR="004F00F3">
        <w:t>Commission relies on if it approves Verizon’s acquisition of Frontier in this proceeding.</w:t>
      </w:r>
    </w:p>
    <w:p w:rsidRPr="00F55A79" w:rsidR="004F00F3" w:rsidP="002478DF" w:rsidRDefault="002478DF" w14:paraId="4AB528A2" w14:textId="5728E79E">
      <w:pPr>
        <w:pStyle w:val="Standard"/>
      </w:pPr>
      <w:r w:rsidRPr="00F55A79">
        <w:t>(</w:t>
      </w:r>
      <w:r w:rsidRPr="00F55A79" w:rsidR="004F00F3">
        <w:t>16.</w:t>
      </w:r>
      <w:r w:rsidRPr="00F55A79">
        <w:t>)</w:t>
      </w:r>
      <w:r w:rsidRPr="00F55A79" w:rsidR="004F00F3">
        <w:t xml:space="preserve"> Require reporting for each settlement condition that the Commission approves where</w:t>
      </w:r>
      <w:r w:rsidRPr="00F55A79">
        <w:t xml:space="preserve"> </w:t>
      </w:r>
      <w:r w:rsidRPr="00F55A79" w:rsidR="004F00F3">
        <w:t>Verizon is expending money or gives money to a settling party (</w:t>
      </w:r>
      <w:r w:rsidRPr="00F55A79">
        <w:t>e.g.,</w:t>
      </w:r>
      <w:r w:rsidRPr="00F55A79" w:rsidR="004F00F3">
        <w:t xml:space="preserve"> CETF’s Digital Equity Ecosystem).</w:t>
      </w:r>
      <w:r w:rsidRPr="00F55A79">
        <w:t xml:space="preserve"> </w:t>
      </w:r>
      <w:r w:rsidRPr="00F55A79" w:rsidR="004F00F3">
        <w:t>This reporting is necessary for transparency and accountability of the expenditure of any funding that</w:t>
      </w:r>
      <w:r w:rsidRPr="00F55A79">
        <w:t xml:space="preserve"> </w:t>
      </w:r>
      <w:r w:rsidRPr="00F55A79" w:rsidR="004F00F3">
        <w:t>the Commission finds makes this transaction in the public interest. The accounting of any reporting</w:t>
      </w:r>
      <w:r w:rsidRPr="00F55A79">
        <w:t xml:space="preserve"> </w:t>
      </w:r>
      <w:r w:rsidRPr="00F55A79" w:rsidR="004F00F3">
        <w:t xml:space="preserve">requirements should also be subject to the Commission’s audit process. </w:t>
      </w:r>
      <w:r w:rsidRPr="00F55A79" w:rsidR="00D02602">
        <w:t xml:space="preserve"> </w:t>
      </w:r>
      <w:r w:rsidRPr="00F55A79" w:rsidR="004F00F3">
        <w:t>The purpose of this mitigation</w:t>
      </w:r>
      <w:r w:rsidRPr="00F55A79">
        <w:t xml:space="preserve"> </w:t>
      </w:r>
      <w:r w:rsidRPr="00F55A79" w:rsidR="004F00F3">
        <w:t>measure is to prevent any potential harm to consumers from the failure to properly expend these funds in</w:t>
      </w:r>
      <w:r w:rsidRPr="00F55A79">
        <w:t xml:space="preserve"> </w:t>
      </w:r>
      <w:r w:rsidRPr="00F55A79" w:rsidR="004F00F3">
        <w:t>a manner the Commission found was necessary for this transaction to be in the public interest.</w:t>
      </w:r>
    </w:p>
    <w:p w:rsidRPr="00F55A79" w:rsidR="004F00F3" w:rsidP="002478DF" w:rsidRDefault="007C499A" w14:paraId="3DC17EBF" w14:textId="29A0A2EB">
      <w:pPr>
        <w:pStyle w:val="Standard"/>
      </w:pPr>
      <w:r>
        <w:lastRenderedPageBreak/>
        <w:t>(</w:t>
      </w:r>
      <w:r w:rsidRPr="00F55A79" w:rsidR="004F00F3">
        <w:t>17.</w:t>
      </w:r>
      <w:r>
        <w:t>)</w:t>
      </w:r>
      <w:r w:rsidRPr="00F55A79" w:rsidR="004F00F3">
        <w:t xml:space="preserve"> Require reporting of the consultations and stakeholder meeting that the Commission</w:t>
      </w:r>
      <w:r w:rsidRPr="00F55A79" w:rsidR="002478DF">
        <w:t xml:space="preserve"> </w:t>
      </w:r>
      <w:r w:rsidRPr="00F55A79" w:rsidR="004F00F3">
        <w:t>approves as a condition of this transaction or in any settlement (i.e. consultations with RBCs/MPOs,</w:t>
      </w:r>
      <w:r w:rsidRPr="00F55A79" w:rsidR="002478DF">
        <w:t xml:space="preserve"> </w:t>
      </w:r>
      <w:r w:rsidRPr="00F55A79" w:rsidR="004F00F3">
        <w:t>convenings on service quality issues). This reporting is necessary for transparency and accountability of</w:t>
      </w:r>
      <w:r w:rsidRPr="00F55A79" w:rsidR="002478DF">
        <w:t xml:space="preserve"> </w:t>
      </w:r>
      <w:r w:rsidRPr="00F55A79" w:rsidR="004F00F3">
        <w:t>the consultations and stakeholder meeting that the Commission finds makes this transaction in the public</w:t>
      </w:r>
      <w:r w:rsidRPr="00F55A79" w:rsidR="002478DF">
        <w:t xml:space="preserve"> </w:t>
      </w:r>
      <w:r w:rsidRPr="00F55A79" w:rsidR="004F00F3">
        <w:t>interest. The purpose of this mitigation measure is to prevent any potential harm to consumers from the</w:t>
      </w:r>
      <w:r w:rsidRPr="00F55A79" w:rsidR="002478DF">
        <w:t xml:space="preserve"> </w:t>
      </w:r>
      <w:r w:rsidRPr="00F55A79" w:rsidR="004F00F3">
        <w:t>failure to properly consult or meet with stakeholders in a manner the Commission found was necessary</w:t>
      </w:r>
      <w:r w:rsidRPr="00F55A79" w:rsidR="002478DF">
        <w:t xml:space="preserve"> </w:t>
      </w:r>
      <w:r w:rsidRPr="00F55A79" w:rsidR="004F00F3">
        <w:t>for this transaction to be in the public interest.</w:t>
      </w:r>
    </w:p>
    <w:p w:rsidRPr="00F55A79" w:rsidR="004F00F3" w:rsidP="002478DF" w:rsidRDefault="007C499A" w14:paraId="0DBE1CA9" w14:textId="3B4B88AB">
      <w:pPr>
        <w:pStyle w:val="Standard"/>
      </w:pPr>
      <w:r>
        <w:t>(</w:t>
      </w:r>
      <w:r w:rsidRPr="00F55A79" w:rsidR="004F00F3">
        <w:t>18.</w:t>
      </w:r>
      <w:r>
        <w:t>)</w:t>
      </w:r>
      <w:r w:rsidRPr="00F55A79" w:rsidR="004F00F3">
        <w:t xml:space="preserve"> Require Verizon to include an attachment to its GO 156 annual reports that include CETF’s</w:t>
      </w:r>
      <w:r w:rsidRPr="00F55A79" w:rsidR="002478DF">
        <w:t xml:space="preserve"> </w:t>
      </w:r>
      <w:r w:rsidRPr="00F55A79" w:rsidR="004F00F3">
        <w:t>recommendations regarding Verizon’s small business incubator, and whether Verizon accepted or</w:t>
      </w:r>
      <w:r w:rsidRPr="00F55A79" w:rsidR="002478DF">
        <w:t xml:space="preserve"> </w:t>
      </w:r>
      <w:r w:rsidRPr="00F55A79" w:rsidR="004F00F3">
        <w:t>rejected CETF’s recommendations. If Verizon determines this attachment contains confidential</w:t>
      </w:r>
      <w:r w:rsidRPr="00F55A79" w:rsidR="002478DF">
        <w:t xml:space="preserve"> </w:t>
      </w:r>
      <w:r w:rsidRPr="00F55A79" w:rsidR="004F00F3">
        <w:t>information, the Commission should require Verizon to serve the fully unredacted version to the parties</w:t>
      </w:r>
      <w:r w:rsidRPr="00F55A79" w:rsidR="002478DF">
        <w:t xml:space="preserve"> </w:t>
      </w:r>
      <w:r w:rsidRPr="00F55A79" w:rsidR="004F00F3">
        <w:t>to this proceeding that have authorization to review Verizon’s and Frontier’s confidential information in</w:t>
      </w:r>
      <w:r w:rsidRPr="00F55A79" w:rsidR="002478DF">
        <w:t xml:space="preserve"> </w:t>
      </w:r>
      <w:r w:rsidRPr="00F55A79" w:rsidR="004F00F3">
        <w:t>this proceeding.</w:t>
      </w:r>
    </w:p>
    <w:p w:rsidRPr="00F55A79" w:rsidR="004F00F3" w:rsidP="002478DF" w:rsidRDefault="007C499A" w14:paraId="786237B3" w14:textId="2FFBDDA1">
      <w:pPr>
        <w:pStyle w:val="Standard"/>
      </w:pPr>
      <w:r>
        <w:t>(</w:t>
      </w:r>
      <w:r w:rsidRPr="00F55A79" w:rsidR="004F00F3">
        <w:t>19.</w:t>
      </w:r>
      <w:r>
        <w:t>)</w:t>
      </w:r>
      <w:r w:rsidRPr="00F55A79" w:rsidR="004F00F3">
        <w:t xml:space="preserve"> The Commission should explicitly require that Verizon is responsible for compliance with</w:t>
      </w:r>
      <w:r w:rsidRPr="00F55A79" w:rsidR="002478DF">
        <w:t xml:space="preserve"> </w:t>
      </w:r>
      <w:r w:rsidRPr="00F55A79" w:rsidR="004F00F3">
        <w:t>the Frontier Bankruptcy decision, including the R</w:t>
      </w:r>
      <w:r w:rsidRPr="00F55A79" w:rsidR="00441A87">
        <w:t xml:space="preserve">ight of First Offer </w:t>
      </w:r>
      <w:r w:rsidRPr="00F55A79" w:rsidR="004F00F3">
        <w:t>and obligations to Tribes. In the Frontier</w:t>
      </w:r>
      <w:r w:rsidRPr="00F55A79" w:rsidR="002478DF">
        <w:t xml:space="preserve"> </w:t>
      </w:r>
      <w:r w:rsidRPr="00F55A79" w:rsidR="004F00F3">
        <w:t>Bankruptcy decision, the Commission found that these conditions were in the public interest even if they</w:t>
      </w:r>
      <w:r w:rsidRPr="00F55A79" w:rsidR="002478DF">
        <w:t xml:space="preserve"> </w:t>
      </w:r>
      <w:r w:rsidRPr="00F55A79" w:rsidR="004F00F3">
        <w:t>were not explicitly required by Commission resolution. The purpose of this mitigation measure its to</w:t>
      </w:r>
      <w:r w:rsidRPr="00F55A79" w:rsidR="002478DF">
        <w:t xml:space="preserve"> </w:t>
      </w:r>
      <w:r w:rsidRPr="00F55A79" w:rsidR="004F00F3">
        <w:t>prevent any potential harms caused by Frontier evading its obligations under the Frontier Bankruptcy</w:t>
      </w:r>
      <w:r w:rsidRPr="00F55A79" w:rsidR="002478DF">
        <w:t xml:space="preserve"> </w:t>
      </w:r>
      <w:r w:rsidRPr="00F55A79" w:rsidR="004F00F3">
        <w:t>decision by selling to a different owner.</w:t>
      </w:r>
    </w:p>
    <w:p w:rsidRPr="00F55A79" w:rsidR="00FC4E36" w:rsidP="00021DCE" w:rsidRDefault="007C499A" w14:paraId="7376FF21" w14:textId="2A598D3B">
      <w:pPr>
        <w:pStyle w:val="Standard"/>
      </w:pPr>
      <w:r>
        <w:t>(</w:t>
      </w:r>
      <w:r w:rsidRPr="00F55A79" w:rsidR="004F00F3">
        <w:t>20.</w:t>
      </w:r>
      <w:r>
        <w:t>)</w:t>
      </w:r>
      <w:r w:rsidRPr="00F55A79" w:rsidR="004F00F3">
        <w:t xml:space="preserve"> With respect to COLR obligations, the Commission should require the compliance monitor</w:t>
      </w:r>
      <w:r w:rsidRPr="00F55A79" w:rsidR="002478DF">
        <w:t xml:space="preserve"> </w:t>
      </w:r>
      <w:r w:rsidRPr="00F55A79" w:rsidR="004F00F3">
        <w:t xml:space="preserve">to verify ongoing compliance with the Commission’s </w:t>
      </w:r>
      <w:r w:rsidRPr="00F55A79" w:rsidR="004F00F3">
        <w:lastRenderedPageBreak/>
        <w:t>requirements. The record of this proceeding</w:t>
      </w:r>
      <w:r w:rsidRPr="00F55A79" w:rsidR="002478DF">
        <w:t xml:space="preserve"> </w:t>
      </w:r>
      <w:r w:rsidRPr="00F55A79" w:rsidR="004F00F3">
        <w:t>indicates that Verizon is a mobile provider first and may have incentives to prioritize its mobile services</w:t>
      </w:r>
      <w:r w:rsidRPr="00F55A79" w:rsidR="002478DF">
        <w:t xml:space="preserve"> </w:t>
      </w:r>
      <w:r w:rsidRPr="00F55A79" w:rsidR="004F00F3">
        <w:t xml:space="preserve">over its newly re-acquired landline services through the acquisition of Frontier. </w:t>
      </w:r>
      <w:r w:rsidRPr="00F55A79" w:rsidR="00E83F5C">
        <w:t xml:space="preserve"> </w:t>
      </w:r>
      <w:r w:rsidRPr="00F55A79" w:rsidR="004F00F3">
        <w:t>The purpose of this</w:t>
      </w:r>
      <w:r w:rsidRPr="00F55A79" w:rsidR="002478DF">
        <w:t xml:space="preserve"> </w:t>
      </w:r>
      <w:r w:rsidRPr="00F55A79" w:rsidR="004F00F3">
        <w:t>mitigation measure is to prevent any potential harms to consumers from landline service not being Verizon’s top priority.</w:t>
      </w:r>
    </w:p>
    <w:p w:rsidRPr="00F55A79" w:rsidR="00AB4321" w:rsidP="00E27EAF" w:rsidRDefault="00AB4321" w14:paraId="5BD8CB81" w14:textId="77777777">
      <w:pPr>
        <w:pStyle w:val="Heading3"/>
        <w:rPr>
          <w:color w:val="000000" w:themeColor="text1"/>
        </w:rPr>
      </w:pPr>
      <w:bookmarkStart w:name="_Toc216163235" w:id="150"/>
      <w:r w:rsidRPr="00F55A79">
        <w:rPr>
          <w:color w:val="000000" w:themeColor="text1"/>
        </w:rPr>
        <w:t>Discussion</w:t>
      </w:r>
      <w:bookmarkEnd w:id="150"/>
    </w:p>
    <w:p w:rsidRPr="00F55A79" w:rsidR="00436A58" w:rsidP="00E235B7" w:rsidRDefault="00484B76" w14:paraId="1DD0795C" w14:textId="7B845F07">
      <w:pPr>
        <w:pStyle w:val="Standard"/>
        <w:rPr>
          <w:color w:val="000000" w:themeColor="text1"/>
        </w:rPr>
      </w:pPr>
      <w:r w:rsidRPr="00F55A79">
        <w:rPr>
          <w:color w:val="000000" w:themeColor="text1"/>
        </w:rPr>
        <w:t xml:space="preserve">Upon review of the settlement agreements and party comments, we have identified </w:t>
      </w:r>
      <w:r w:rsidRPr="00F55A79" w:rsidR="00021DCE">
        <w:rPr>
          <w:color w:val="000000" w:themeColor="text1"/>
        </w:rPr>
        <w:t>mitigation measures necessary for</w:t>
      </w:r>
      <w:r w:rsidRPr="00F55A79">
        <w:rPr>
          <w:color w:val="000000" w:themeColor="text1"/>
        </w:rPr>
        <w:t xml:space="preserve"> the proposed transaction </w:t>
      </w:r>
      <w:r w:rsidRPr="00F55A79" w:rsidR="00021DCE">
        <w:rPr>
          <w:color w:val="000000" w:themeColor="text1"/>
        </w:rPr>
        <w:t>to</w:t>
      </w:r>
      <w:r w:rsidRPr="00F55A79">
        <w:rPr>
          <w:color w:val="000000" w:themeColor="text1"/>
        </w:rPr>
        <w:t xml:space="preserve"> be in the public interest and mitigate harms identified in the record to the greatest practicable extent.  </w:t>
      </w:r>
    </w:p>
    <w:p w:rsidRPr="00F55A79" w:rsidR="00436A58" w:rsidP="00021DCE" w:rsidRDefault="00021DCE" w14:paraId="565D56B3" w14:textId="7759EA46">
      <w:pPr>
        <w:pStyle w:val="Standard"/>
        <w:rPr>
          <w:color w:val="000000" w:themeColor="text1"/>
        </w:rPr>
      </w:pPr>
      <w:r w:rsidRPr="00F55A79">
        <w:rPr>
          <w:color w:val="000000" w:themeColor="text1"/>
        </w:rPr>
        <w:t xml:space="preserve">We agree with CforAT and TURN that various additional mitigation measures are necessary to find that the proposed transaction is in the public interest.  </w:t>
      </w:r>
      <w:r w:rsidRPr="00F55A79" w:rsidR="00484B76">
        <w:rPr>
          <w:color w:val="000000" w:themeColor="text1"/>
        </w:rPr>
        <w:t>O</w:t>
      </w:r>
      <w:r w:rsidRPr="00F55A79" w:rsidR="003224F3">
        <w:rPr>
          <w:color w:val="000000" w:themeColor="text1"/>
        </w:rPr>
        <w:t xml:space="preserve">f </w:t>
      </w:r>
      <w:r w:rsidRPr="00F55A79" w:rsidR="00436A58">
        <w:rPr>
          <w:color w:val="000000" w:themeColor="text1"/>
        </w:rPr>
        <w:t>CforAT’s recommendations</w:t>
      </w:r>
      <w:r w:rsidRPr="00F55A79" w:rsidR="00484B76">
        <w:rPr>
          <w:color w:val="000000" w:themeColor="text1"/>
        </w:rPr>
        <w:t>, we adopt</w:t>
      </w:r>
      <w:r w:rsidRPr="00F55A79">
        <w:rPr>
          <w:color w:val="000000" w:themeColor="text1"/>
        </w:rPr>
        <w:t xml:space="preserve"> CforAT’s proposed</w:t>
      </w:r>
      <w:r w:rsidRPr="00F55A79" w:rsidR="00484B76">
        <w:rPr>
          <w:color w:val="000000" w:themeColor="text1"/>
        </w:rPr>
        <w:t xml:space="preserve"> </w:t>
      </w:r>
      <w:r w:rsidRPr="00F55A79">
        <w:rPr>
          <w:color w:val="000000" w:themeColor="text1"/>
        </w:rPr>
        <w:t xml:space="preserve">mitigation measures in </w:t>
      </w:r>
      <w:r w:rsidRPr="00F55A79" w:rsidR="00484B76">
        <w:rPr>
          <w:color w:val="000000" w:themeColor="text1"/>
        </w:rPr>
        <w:t>the following</w:t>
      </w:r>
      <w:r w:rsidRPr="00F55A79">
        <w:rPr>
          <w:color w:val="000000" w:themeColor="text1"/>
        </w:rPr>
        <w:t xml:space="preserve"> areas</w:t>
      </w:r>
      <w:r w:rsidRPr="00F55A79" w:rsidR="00484B76">
        <w:rPr>
          <w:color w:val="000000" w:themeColor="text1"/>
        </w:rPr>
        <w:t>: (1) broadband</w:t>
      </w:r>
      <w:r w:rsidRPr="00F55A79">
        <w:rPr>
          <w:color w:val="000000" w:themeColor="text1"/>
        </w:rPr>
        <w:t xml:space="preserve"> service</w:t>
      </w:r>
      <w:r w:rsidRPr="00F55A79" w:rsidR="00A444C0">
        <w:rPr>
          <w:color w:val="000000" w:themeColor="text1"/>
        </w:rPr>
        <w:t xml:space="preserve"> (Ordering Paragraph or OP </w:t>
      </w:r>
      <w:r w:rsidRPr="00F55A79" w:rsidR="006F63AC">
        <w:rPr>
          <w:color w:val="000000" w:themeColor="text1"/>
        </w:rPr>
        <w:t xml:space="preserve">2, </w:t>
      </w:r>
      <w:r w:rsidRPr="00F55A79" w:rsidR="00DD08AA">
        <w:rPr>
          <w:color w:val="000000" w:themeColor="text1"/>
        </w:rPr>
        <w:t>2</w:t>
      </w:r>
      <w:r w:rsidRPr="00F55A79" w:rsidR="0031678F">
        <w:rPr>
          <w:color w:val="000000" w:themeColor="text1"/>
        </w:rPr>
        <w:t>5</w:t>
      </w:r>
      <w:r w:rsidRPr="00F55A79" w:rsidR="00A444C0">
        <w:rPr>
          <w:color w:val="000000" w:themeColor="text1"/>
        </w:rPr>
        <w:t>)</w:t>
      </w:r>
      <w:r w:rsidRPr="00F55A79" w:rsidR="00484B76">
        <w:rPr>
          <w:color w:val="000000" w:themeColor="text1"/>
        </w:rPr>
        <w:t>, (2) Lifeline</w:t>
      </w:r>
      <w:r w:rsidRPr="00F55A79">
        <w:rPr>
          <w:color w:val="000000" w:themeColor="text1"/>
        </w:rPr>
        <w:t xml:space="preserve"> service</w:t>
      </w:r>
      <w:r w:rsidRPr="00F55A79" w:rsidR="00A444C0">
        <w:rPr>
          <w:color w:val="000000" w:themeColor="text1"/>
        </w:rPr>
        <w:t xml:space="preserve"> (OP </w:t>
      </w:r>
      <w:r w:rsidRPr="00F55A79" w:rsidR="00DD08AA">
        <w:rPr>
          <w:color w:val="000000" w:themeColor="text1"/>
        </w:rPr>
        <w:t>2</w:t>
      </w:r>
      <w:r w:rsidRPr="00F55A79" w:rsidR="006F63AC">
        <w:rPr>
          <w:color w:val="000000" w:themeColor="text1"/>
        </w:rPr>
        <w:t>2</w:t>
      </w:r>
      <w:r w:rsidRPr="00F55A79" w:rsidR="00A444C0">
        <w:rPr>
          <w:color w:val="000000" w:themeColor="text1"/>
        </w:rPr>
        <w:t>)</w:t>
      </w:r>
      <w:r w:rsidRPr="00F55A79" w:rsidR="00484B76">
        <w:rPr>
          <w:color w:val="000000" w:themeColor="text1"/>
        </w:rPr>
        <w:t xml:space="preserve">, (3) </w:t>
      </w:r>
      <w:r w:rsidRPr="00F55A79" w:rsidR="0011394C">
        <w:rPr>
          <w:color w:val="000000" w:themeColor="text1"/>
        </w:rPr>
        <w:t xml:space="preserve">the </w:t>
      </w:r>
      <w:r w:rsidRPr="00F55A79" w:rsidR="00B21FA5">
        <w:rPr>
          <w:color w:val="000000" w:themeColor="text1"/>
        </w:rPr>
        <w:t xml:space="preserve">need for a </w:t>
      </w:r>
      <w:r w:rsidRPr="00F55A79" w:rsidR="00484B76">
        <w:rPr>
          <w:color w:val="000000" w:themeColor="text1"/>
        </w:rPr>
        <w:t>compliance</w:t>
      </w:r>
      <w:r w:rsidRPr="00F55A79">
        <w:rPr>
          <w:color w:val="000000" w:themeColor="text1"/>
        </w:rPr>
        <w:t xml:space="preserve"> </w:t>
      </w:r>
      <w:r w:rsidRPr="00F55A79" w:rsidR="00B21FA5">
        <w:rPr>
          <w:color w:val="000000" w:themeColor="text1"/>
        </w:rPr>
        <w:t>monitor</w:t>
      </w:r>
      <w:r w:rsidRPr="00F55A79" w:rsidR="00813707">
        <w:rPr>
          <w:color w:val="000000" w:themeColor="text1"/>
        </w:rPr>
        <w:t xml:space="preserve"> and establishment of compliance </w:t>
      </w:r>
      <w:r w:rsidRPr="00F55A79" w:rsidR="00191025">
        <w:rPr>
          <w:color w:val="000000" w:themeColor="text1"/>
        </w:rPr>
        <w:t xml:space="preserve">and enforcement </w:t>
      </w:r>
      <w:r w:rsidRPr="00F55A79" w:rsidR="00813707">
        <w:rPr>
          <w:color w:val="000000" w:themeColor="text1"/>
        </w:rPr>
        <w:t>mechanisms</w:t>
      </w:r>
      <w:r w:rsidRPr="00F55A79" w:rsidR="00B21FA5">
        <w:rPr>
          <w:color w:val="000000" w:themeColor="text1"/>
        </w:rPr>
        <w:t xml:space="preserve"> </w:t>
      </w:r>
      <w:r w:rsidRPr="00F55A79" w:rsidR="00A444C0">
        <w:rPr>
          <w:color w:val="000000" w:themeColor="text1"/>
        </w:rPr>
        <w:t>(OP</w:t>
      </w:r>
      <w:r w:rsidRPr="00F55A79" w:rsidR="00F47AA8">
        <w:rPr>
          <w:color w:val="000000" w:themeColor="text1"/>
        </w:rPr>
        <w:t>s</w:t>
      </w:r>
      <w:r w:rsidRPr="00F55A79" w:rsidR="00A444C0">
        <w:rPr>
          <w:color w:val="000000" w:themeColor="text1"/>
        </w:rPr>
        <w:t xml:space="preserve"> </w:t>
      </w:r>
      <w:r w:rsidRPr="00F55A79" w:rsidR="00F47AA8">
        <w:rPr>
          <w:color w:val="000000" w:themeColor="text1"/>
        </w:rPr>
        <w:t>2</w:t>
      </w:r>
      <w:r w:rsidRPr="00F55A79" w:rsidR="006F63AC">
        <w:rPr>
          <w:color w:val="000000" w:themeColor="text1"/>
        </w:rPr>
        <w:t>7</w:t>
      </w:r>
      <w:r w:rsidRPr="00F55A79" w:rsidR="00F47AA8">
        <w:rPr>
          <w:color w:val="000000" w:themeColor="text1"/>
        </w:rPr>
        <w:t>-3</w:t>
      </w:r>
      <w:r w:rsidRPr="00F55A79" w:rsidR="006F63AC">
        <w:rPr>
          <w:color w:val="000000" w:themeColor="text1"/>
        </w:rPr>
        <w:t>1</w:t>
      </w:r>
      <w:r w:rsidRPr="00F55A79" w:rsidR="00A444C0">
        <w:rPr>
          <w:color w:val="000000" w:themeColor="text1"/>
        </w:rPr>
        <w:t>)</w:t>
      </w:r>
      <w:r w:rsidRPr="00F55A79" w:rsidR="00484B76">
        <w:rPr>
          <w:color w:val="000000" w:themeColor="text1"/>
        </w:rPr>
        <w:t>, (</w:t>
      </w:r>
      <w:r w:rsidRPr="00F55A79" w:rsidR="005D2203">
        <w:rPr>
          <w:color w:val="000000" w:themeColor="text1"/>
        </w:rPr>
        <w:t>4</w:t>
      </w:r>
      <w:r w:rsidRPr="00F55A79" w:rsidR="00484B76">
        <w:rPr>
          <w:color w:val="000000" w:themeColor="text1"/>
        </w:rPr>
        <w:t>) GO 156</w:t>
      </w:r>
      <w:r w:rsidRPr="00F55A79" w:rsidR="00A444C0">
        <w:rPr>
          <w:color w:val="000000" w:themeColor="text1"/>
        </w:rPr>
        <w:t xml:space="preserve"> (OP</w:t>
      </w:r>
      <w:r w:rsidRPr="00F55A79" w:rsidR="00F47AA8">
        <w:rPr>
          <w:color w:val="000000" w:themeColor="text1"/>
        </w:rPr>
        <w:t>s</w:t>
      </w:r>
      <w:r w:rsidRPr="00F55A79" w:rsidR="00A444C0">
        <w:rPr>
          <w:color w:val="000000" w:themeColor="text1"/>
        </w:rPr>
        <w:t xml:space="preserve"> </w:t>
      </w:r>
      <w:r w:rsidRPr="00F55A79" w:rsidR="006F63AC">
        <w:rPr>
          <w:color w:val="000000" w:themeColor="text1"/>
        </w:rPr>
        <w:t>2</w:t>
      </w:r>
      <w:r w:rsidRPr="00F55A79" w:rsidR="006A50B9">
        <w:rPr>
          <w:color w:val="000000" w:themeColor="text1"/>
        </w:rPr>
        <w:t>-1</w:t>
      </w:r>
      <w:r w:rsidRPr="00F55A79" w:rsidR="006F63AC">
        <w:rPr>
          <w:color w:val="000000" w:themeColor="text1"/>
        </w:rPr>
        <w:t>2</w:t>
      </w:r>
      <w:r w:rsidRPr="00F55A79" w:rsidR="00A444C0">
        <w:rPr>
          <w:color w:val="000000" w:themeColor="text1"/>
        </w:rPr>
        <w:t>)</w:t>
      </w:r>
      <w:r w:rsidRPr="00F55A79" w:rsidR="00484B76">
        <w:rPr>
          <w:color w:val="000000" w:themeColor="text1"/>
        </w:rPr>
        <w:t xml:space="preserve">, </w:t>
      </w:r>
      <w:r w:rsidRPr="00F55A79" w:rsidR="00191025">
        <w:rPr>
          <w:color w:val="000000" w:themeColor="text1"/>
        </w:rPr>
        <w:t xml:space="preserve">and </w:t>
      </w:r>
      <w:r w:rsidRPr="00F55A79" w:rsidR="00484B76">
        <w:rPr>
          <w:color w:val="000000" w:themeColor="text1"/>
        </w:rPr>
        <w:t>(</w:t>
      </w:r>
      <w:r w:rsidRPr="00F55A79" w:rsidR="005D2203">
        <w:rPr>
          <w:color w:val="000000" w:themeColor="text1"/>
        </w:rPr>
        <w:t>5</w:t>
      </w:r>
      <w:r w:rsidRPr="00F55A79" w:rsidR="00484B76">
        <w:rPr>
          <w:color w:val="000000" w:themeColor="text1"/>
        </w:rPr>
        <w:t>) external monitoring</w:t>
      </w:r>
      <w:r w:rsidRPr="00F55A79" w:rsidR="00A444C0">
        <w:rPr>
          <w:color w:val="000000" w:themeColor="text1"/>
        </w:rPr>
        <w:t xml:space="preserve"> (OP </w:t>
      </w:r>
      <w:r w:rsidRPr="00F55A79" w:rsidR="000A382B">
        <w:rPr>
          <w:color w:val="000000" w:themeColor="text1"/>
        </w:rPr>
        <w:t>1</w:t>
      </w:r>
      <w:r w:rsidRPr="00F55A79" w:rsidR="00EE370F">
        <w:rPr>
          <w:color w:val="000000" w:themeColor="text1"/>
        </w:rPr>
        <w:t>0</w:t>
      </w:r>
      <w:r w:rsidRPr="00F55A79" w:rsidR="00A444C0">
        <w:rPr>
          <w:color w:val="000000" w:themeColor="text1"/>
        </w:rPr>
        <w:t>)</w:t>
      </w:r>
      <w:r w:rsidRPr="00F55A79" w:rsidR="00191025">
        <w:rPr>
          <w:color w:val="000000" w:themeColor="text1"/>
        </w:rPr>
        <w:t>.</w:t>
      </w:r>
      <w:r w:rsidRPr="00F55A79" w:rsidR="00484B76">
        <w:rPr>
          <w:color w:val="000000" w:themeColor="text1"/>
        </w:rPr>
        <w:t xml:space="preserve"> </w:t>
      </w:r>
    </w:p>
    <w:p w:rsidR="009B3324" w:rsidP="00580C06" w:rsidRDefault="00484B76" w14:paraId="486206ED" w14:textId="5C8D99AF">
      <w:pPr>
        <w:pStyle w:val="Standard"/>
      </w:pPr>
      <w:r w:rsidRPr="00F55A79">
        <w:rPr>
          <w:color w:val="000000" w:themeColor="text1"/>
        </w:rPr>
        <w:t>Of TURN’s recommendations, we adopt, with modifications, a version of its infrastructure deployment recommendation</w:t>
      </w:r>
      <w:r w:rsidRPr="00F55A79" w:rsidR="00580C06">
        <w:rPr>
          <w:color w:val="000000" w:themeColor="text1"/>
        </w:rPr>
        <w:t>s</w:t>
      </w:r>
      <w:r w:rsidRPr="00F55A79">
        <w:rPr>
          <w:color w:val="000000" w:themeColor="text1"/>
        </w:rPr>
        <w:t xml:space="preserve"> </w:t>
      </w:r>
      <w:r w:rsidRPr="00F55A79" w:rsidR="00F40DB3">
        <w:rPr>
          <w:color w:val="000000" w:themeColor="text1"/>
        </w:rPr>
        <w:t xml:space="preserve">in OP </w:t>
      </w:r>
      <w:r w:rsidRPr="00F55A79" w:rsidR="003827E9">
        <w:rPr>
          <w:color w:val="000000" w:themeColor="text1"/>
        </w:rPr>
        <w:t>2</w:t>
      </w:r>
      <w:r w:rsidR="006E7A36">
        <w:rPr>
          <w:color w:val="000000" w:themeColor="text1"/>
        </w:rPr>
        <w:t>.  The Commission’s approach</w:t>
      </w:r>
      <w:r w:rsidRPr="00F55A79" w:rsidR="00F40DB3">
        <w:rPr>
          <w:color w:val="000000" w:themeColor="text1"/>
        </w:rPr>
        <w:t xml:space="preserve"> </w:t>
      </w:r>
      <w:r w:rsidR="00195D70">
        <w:rPr>
          <w:color w:val="000000" w:themeColor="text1"/>
        </w:rPr>
        <w:t>share</w:t>
      </w:r>
      <w:r w:rsidR="00FC0B1E">
        <w:rPr>
          <w:color w:val="000000" w:themeColor="text1"/>
        </w:rPr>
        <w:t xml:space="preserve">s </w:t>
      </w:r>
      <w:r w:rsidR="006E7A36">
        <w:rPr>
          <w:color w:val="000000" w:themeColor="text1"/>
        </w:rPr>
        <w:t xml:space="preserve">with TURN </w:t>
      </w:r>
      <w:r w:rsidR="00FC0B1E">
        <w:rPr>
          <w:color w:val="000000" w:themeColor="text1"/>
        </w:rPr>
        <w:t>the</w:t>
      </w:r>
      <w:r w:rsidRPr="00F55A79" w:rsidR="00580C06">
        <w:rPr>
          <w:color w:val="000000" w:themeColor="text1"/>
        </w:rPr>
        <w:t xml:space="preserve"> intended outcome </w:t>
      </w:r>
      <w:r w:rsidR="00195D70">
        <w:rPr>
          <w:color w:val="000000" w:themeColor="text1"/>
        </w:rPr>
        <w:t xml:space="preserve">of </w:t>
      </w:r>
      <w:r w:rsidR="007D1983">
        <w:rPr>
          <w:color w:val="000000" w:themeColor="text1"/>
        </w:rPr>
        <w:t>ensuring broadband service for underserved populations</w:t>
      </w:r>
      <w:r w:rsidR="0031097F">
        <w:rPr>
          <w:color w:val="000000" w:themeColor="text1"/>
        </w:rPr>
        <w:t>,</w:t>
      </w:r>
      <w:r w:rsidR="007D1983">
        <w:rPr>
          <w:color w:val="000000" w:themeColor="text1"/>
        </w:rPr>
        <w:t xml:space="preserve"> </w:t>
      </w:r>
      <w:r w:rsidRPr="00F55A79" w:rsidR="00580C06">
        <w:rPr>
          <w:color w:val="000000" w:themeColor="text1"/>
        </w:rPr>
        <w:t xml:space="preserve">but </w:t>
      </w:r>
      <w:r w:rsidR="00FC0B1E">
        <w:rPr>
          <w:color w:val="000000" w:themeColor="text1"/>
        </w:rPr>
        <w:t xml:space="preserve">specifically </w:t>
      </w:r>
      <w:r w:rsidR="007D1983">
        <w:rPr>
          <w:color w:val="000000" w:themeColor="text1"/>
        </w:rPr>
        <w:t>target</w:t>
      </w:r>
      <w:r w:rsidR="00FC0B1E">
        <w:rPr>
          <w:color w:val="000000" w:themeColor="text1"/>
        </w:rPr>
        <w:t>s</w:t>
      </w:r>
      <w:r w:rsidR="007D1983">
        <w:rPr>
          <w:color w:val="000000" w:themeColor="text1"/>
        </w:rPr>
        <w:t xml:space="preserve"> </w:t>
      </w:r>
      <w:r w:rsidR="0081564F">
        <w:rPr>
          <w:color w:val="000000" w:themeColor="text1"/>
        </w:rPr>
        <w:t xml:space="preserve">rural </w:t>
      </w:r>
      <w:r w:rsidR="00FC0B1E">
        <w:rPr>
          <w:color w:val="000000" w:themeColor="text1"/>
        </w:rPr>
        <w:t xml:space="preserve">customers most likely to be </w:t>
      </w:r>
      <w:r w:rsidR="003405AF">
        <w:rPr>
          <w:color w:val="000000" w:themeColor="text1"/>
        </w:rPr>
        <w:t>lacking basic broadband service</w:t>
      </w:r>
      <w:r w:rsidRPr="00F55A79" w:rsidR="00580C06">
        <w:rPr>
          <w:color w:val="000000" w:themeColor="text1"/>
        </w:rPr>
        <w:t>.</w:t>
      </w:r>
      <w:r w:rsidRPr="00F55A79" w:rsidDel="00C72B55" w:rsidR="00C72B55">
        <w:rPr>
          <w:rStyle w:val="FootnoteReference"/>
          <w:color w:val="000000" w:themeColor="text1"/>
        </w:rPr>
        <w:t xml:space="preserve"> </w:t>
      </w:r>
      <w:r w:rsidRPr="00F55A79">
        <w:rPr>
          <w:color w:val="000000" w:themeColor="text1"/>
        </w:rPr>
        <w:t xml:space="preserve">  </w:t>
      </w:r>
      <w:r w:rsidR="004B015D">
        <w:t xml:space="preserve">Whereas TURN recommended fiber buildout to all locations in </w:t>
      </w:r>
      <w:r w:rsidRPr="005B54CD" w:rsidR="004B015D">
        <w:t>Frontier</w:t>
      </w:r>
      <w:r w:rsidR="004B015D">
        <w:t>’s</w:t>
      </w:r>
      <w:r w:rsidRPr="005B54CD" w:rsidR="004B015D">
        <w:t xml:space="preserve"> Approved Build Universe</w:t>
      </w:r>
      <w:r w:rsidR="004B015D">
        <w:t xml:space="preserve">, the Commission had determined that this approach would be unnecessarily burdensome and would not target the customers most in need.  </w:t>
      </w:r>
      <w:r w:rsidR="006F614B">
        <w:lastRenderedPageBreak/>
        <w:t>Based on TURN’s unredacted testimony,</w:t>
      </w:r>
      <w:r w:rsidR="006F614B">
        <w:rPr>
          <w:rStyle w:val="FootnoteReference"/>
        </w:rPr>
        <w:footnoteReference w:id="248"/>
      </w:r>
      <w:r w:rsidR="006F614B">
        <w:t xml:space="preserve"> wire centers or locations in the Approved Build Universe meet Internal Rate of Return thresholds</w:t>
      </w:r>
      <w:r w:rsidR="009E4E98">
        <w:rPr>
          <w:rStyle w:val="FootnoteReference"/>
        </w:rPr>
        <w:footnoteReference w:id="249"/>
      </w:r>
      <w:r w:rsidR="006F614B">
        <w:t xml:space="preserve"> </w:t>
      </w:r>
      <w:r w:rsidR="009E4E98">
        <w:t xml:space="preserve">and therefore could be profitable even without </w:t>
      </w:r>
      <w:r w:rsidR="00DC33F4">
        <w:t>a buildout requirement within this decision</w:t>
      </w:r>
      <w:r w:rsidR="006F614B">
        <w:t xml:space="preserve">.  </w:t>
      </w:r>
    </w:p>
    <w:p w:rsidRPr="00F05C4D" w:rsidR="00C45FCD" w:rsidP="00C45FCD" w:rsidRDefault="00E80616" w14:paraId="3E8779DE" w14:textId="4E261177">
      <w:pPr>
        <w:pStyle w:val="Standard"/>
        <w:rPr>
          <w:color w:val="000000" w:themeColor="text1"/>
        </w:rPr>
      </w:pPr>
      <w:r w:rsidRPr="00653A07">
        <w:rPr>
          <w:color w:val="000000" w:themeColor="text1"/>
        </w:rPr>
        <w:t>Our approach identifies customers mo</w:t>
      </w:r>
      <w:r w:rsidRPr="00653A07" w:rsidR="006847FA">
        <w:rPr>
          <w:color w:val="000000" w:themeColor="text1"/>
        </w:rPr>
        <w:t xml:space="preserve">st likely to be </w:t>
      </w:r>
      <w:r w:rsidRPr="00653A07" w:rsidR="00AC0027">
        <w:rPr>
          <w:color w:val="000000" w:themeColor="text1"/>
        </w:rPr>
        <w:t xml:space="preserve">both likely to be </w:t>
      </w:r>
      <w:r w:rsidRPr="00653A07" w:rsidR="00C5672D">
        <w:rPr>
          <w:color w:val="000000" w:themeColor="text1"/>
        </w:rPr>
        <w:t xml:space="preserve">left behind by the proposed transaction: </w:t>
      </w:r>
      <w:r w:rsidRPr="00EA27C8" w:rsidR="00DD6C1E">
        <w:rPr>
          <w:color w:val="000000" w:themeColor="text1"/>
        </w:rPr>
        <w:t>rural and low</w:t>
      </w:r>
      <w:r w:rsidR="008308E4">
        <w:rPr>
          <w:color w:val="000000" w:themeColor="text1"/>
        </w:rPr>
        <w:t>er</w:t>
      </w:r>
      <w:r w:rsidRPr="00EA27C8" w:rsidR="00DD6C1E">
        <w:rPr>
          <w:color w:val="000000" w:themeColor="text1"/>
        </w:rPr>
        <w:t>-income</w:t>
      </w:r>
      <w:r w:rsidRPr="00653A07" w:rsidR="00C5672D">
        <w:rPr>
          <w:color w:val="000000" w:themeColor="text1"/>
        </w:rPr>
        <w:t xml:space="preserve"> customers who may not be transitioned to broadband service from copper service</w:t>
      </w:r>
      <w:r w:rsidRPr="00653A07" w:rsidR="00AC0027">
        <w:rPr>
          <w:color w:val="000000" w:themeColor="text1"/>
        </w:rPr>
        <w:t xml:space="preserve">.  </w:t>
      </w:r>
      <w:r w:rsidRPr="00653A07" w:rsidR="00C45FCD">
        <w:rPr>
          <w:color w:val="000000" w:themeColor="text1"/>
        </w:rPr>
        <w:t>The settlement agreement reached between Cal Advocates and the Joint Applicants requires Verizon to deploy new fiber</w:t>
      </w:r>
      <w:r w:rsidRPr="00653A07" w:rsidR="00A860BB">
        <w:rPr>
          <w:color w:val="000000" w:themeColor="text1"/>
        </w:rPr>
        <w:t xml:space="preserve"> </w:t>
      </w:r>
      <w:r w:rsidRPr="00653A07" w:rsidR="00C45FCD">
        <w:rPr>
          <w:color w:val="000000" w:themeColor="text1"/>
        </w:rPr>
        <w:t>infrastructure to a minimum of 75,000 new locations</w:t>
      </w:r>
      <w:r w:rsidRPr="002E3A0B" w:rsidR="00C45FCD">
        <w:rPr>
          <w:color w:val="000000" w:themeColor="text1"/>
        </w:rPr>
        <w:t xml:space="preserve"> in Frontier</w:t>
      </w:r>
      <w:r w:rsidRPr="00EA27C8" w:rsidR="003830AB">
        <w:rPr>
          <w:color w:val="000000" w:themeColor="text1"/>
        </w:rPr>
        <w:t>’</w:t>
      </w:r>
      <w:r w:rsidRPr="002E3A0B" w:rsidR="00C45FCD">
        <w:rPr>
          <w:color w:val="000000" w:themeColor="text1"/>
        </w:rPr>
        <w:t xml:space="preserve">s </w:t>
      </w:r>
      <w:r w:rsidRPr="00EA27C8" w:rsidR="003830AB">
        <w:rPr>
          <w:color w:val="000000" w:themeColor="text1"/>
        </w:rPr>
        <w:t xml:space="preserve">service </w:t>
      </w:r>
      <w:r w:rsidRPr="002E3A0B" w:rsidR="00C45FCD">
        <w:rPr>
          <w:color w:val="000000" w:themeColor="text1"/>
        </w:rPr>
        <w:t>territory</w:t>
      </w:r>
      <w:r w:rsidRPr="002E3A0B" w:rsidR="00A860BB">
        <w:rPr>
          <w:color w:val="000000" w:themeColor="text1"/>
        </w:rPr>
        <w:t xml:space="preserve"> within five years</w:t>
      </w:r>
      <w:r w:rsidRPr="00EA27C8" w:rsidR="003830AB">
        <w:rPr>
          <w:color w:val="000000" w:themeColor="text1"/>
        </w:rPr>
        <w:t>.</w:t>
      </w:r>
      <w:r w:rsidRPr="00EA27C8" w:rsidR="001013C9">
        <w:rPr>
          <w:rStyle w:val="FootnoteReference"/>
          <w:color w:val="000000" w:themeColor="text1"/>
        </w:rPr>
        <w:footnoteReference w:id="250"/>
      </w:r>
      <w:r w:rsidRPr="00EA27C8" w:rsidR="003830AB">
        <w:rPr>
          <w:color w:val="000000" w:themeColor="text1"/>
        </w:rPr>
        <w:t xml:space="preserve"> </w:t>
      </w:r>
      <w:r w:rsidRPr="00EA27C8" w:rsidR="00AE4C89">
        <w:rPr>
          <w:color w:val="000000" w:themeColor="text1"/>
        </w:rPr>
        <w:t xml:space="preserve"> </w:t>
      </w:r>
      <w:r w:rsidRPr="00EA27C8" w:rsidR="00F22D61">
        <w:rPr>
          <w:color w:val="000000" w:themeColor="text1"/>
        </w:rPr>
        <w:t xml:space="preserve">Verizon is required to </w:t>
      </w:r>
      <w:r w:rsidRPr="002E3A0B" w:rsidR="00C45FCD">
        <w:rPr>
          <w:color w:val="000000" w:themeColor="text1"/>
        </w:rPr>
        <w:t>prioritize census blocks with household incomes at or below 90</w:t>
      </w:r>
      <w:r w:rsidRPr="00EA27C8" w:rsidR="00C06799">
        <w:rPr>
          <w:color w:val="000000" w:themeColor="text1"/>
        </w:rPr>
        <w:t xml:space="preserve"> percent</w:t>
      </w:r>
      <w:r w:rsidRPr="002E3A0B" w:rsidR="00C45FCD">
        <w:rPr>
          <w:color w:val="000000" w:themeColor="text1"/>
        </w:rPr>
        <w:t xml:space="preserve"> of the county median</w:t>
      </w:r>
      <w:r w:rsidRPr="00EA27C8" w:rsidR="003830AB">
        <w:rPr>
          <w:color w:val="000000" w:themeColor="text1"/>
        </w:rPr>
        <w:t>,</w:t>
      </w:r>
      <w:r w:rsidRPr="00EA27C8" w:rsidR="00177424">
        <w:rPr>
          <w:rStyle w:val="FootnoteReference"/>
          <w:color w:val="000000" w:themeColor="text1"/>
        </w:rPr>
        <w:footnoteReference w:id="251"/>
      </w:r>
      <w:r w:rsidRPr="002E3A0B" w:rsidR="00C45FCD">
        <w:rPr>
          <w:color w:val="000000" w:themeColor="text1"/>
        </w:rPr>
        <w:t xml:space="preserve"> and deploy 250 new 5G-enabled macro cell sites with Fixed Wireless </w:t>
      </w:r>
      <w:r w:rsidRPr="00F05C4D" w:rsidR="00C45FCD">
        <w:rPr>
          <w:color w:val="000000" w:themeColor="text1"/>
        </w:rPr>
        <w:t>Access capabilities in the Frontier service area</w:t>
      </w:r>
      <w:r w:rsidRPr="00EA27C8" w:rsidR="002E3A0B">
        <w:rPr>
          <w:color w:val="000000" w:themeColor="text1"/>
        </w:rPr>
        <w:t>, meeting certain conditions.</w:t>
      </w:r>
      <w:r w:rsidRPr="00EA27C8" w:rsidR="00507A44">
        <w:rPr>
          <w:rStyle w:val="FootnoteReference"/>
          <w:color w:val="000000" w:themeColor="text1"/>
        </w:rPr>
        <w:footnoteReference w:id="252"/>
      </w:r>
      <w:r w:rsidRPr="00F05C4D" w:rsidR="002E3A0B">
        <w:rPr>
          <w:color w:val="000000" w:themeColor="text1"/>
        </w:rPr>
        <w:t xml:space="preserve"> </w:t>
      </w:r>
      <w:r w:rsidRPr="00F05C4D" w:rsidR="00C45FCD">
        <w:rPr>
          <w:color w:val="000000" w:themeColor="text1"/>
        </w:rPr>
        <w:t xml:space="preserve"> The Joint Applicants estimate</w:t>
      </w:r>
      <w:r w:rsidRPr="00EA27C8" w:rsidR="00AE4C89">
        <w:rPr>
          <w:color w:val="000000" w:themeColor="text1"/>
        </w:rPr>
        <w:t>d</w:t>
      </w:r>
      <w:r w:rsidRPr="00F05C4D" w:rsidR="00C45FCD">
        <w:rPr>
          <w:color w:val="000000" w:themeColor="text1"/>
        </w:rPr>
        <w:t xml:space="preserve"> the number of copper locations in Frontier’s network </w:t>
      </w:r>
      <w:r w:rsidR="00736C30">
        <w:rPr>
          <w:color w:val="000000" w:themeColor="text1"/>
        </w:rPr>
        <w:t>at</w:t>
      </w:r>
      <w:r w:rsidRPr="00F05C4D" w:rsidR="00C45FCD">
        <w:rPr>
          <w:color w:val="000000" w:themeColor="text1"/>
        </w:rPr>
        <w:t xml:space="preserve"> 130,231</w:t>
      </w:r>
      <w:r w:rsidRPr="00F05C4D" w:rsidR="00876615">
        <w:rPr>
          <w:color w:val="000000" w:themeColor="text1"/>
        </w:rPr>
        <w:t>,</w:t>
      </w:r>
      <w:r w:rsidRPr="00F05C4D" w:rsidR="00C45FCD">
        <w:rPr>
          <w:rStyle w:val="FootnoteReference"/>
          <w:color w:val="000000" w:themeColor="text1"/>
        </w:rPr>
        <w:footnoteReference w:id="253"/>
      </w:r>
      <w:r w:rsidRPr="00F05C4D" w:rsidR="00876615">
        <w:rPr>
          <w:color w:val="000000" w:themeColor="text1"/>
        </w:rPr>
        <w:t xml:space="preserve"> so at a maximum, deployment of 75,000 new fiber passings</w:t>
      </w:r>
      <w:r w:rsidR="00653A07">
        <w:rPr>
          <w:color w:val="000000" w:themeColor="text1"/>
        </w:rPr>
        <w:t xml:space="preserve"> pursuant to </w:t>
      </w:r>
      <w:r w:rsidR="00736C30">
        <w:rPr>
          <w:color w:val="000000" w:themeColor="text1"/>
        </w:rPr>
        <w:t>the Cal Advocates</w:t>
      </w:r>
      <w:r w:rsidRPr="00F05C4D" w:rsidR="00736C30">
        <w:rPr>
          <w:color w:val="000000" w:themeColor="text1"/>
        </w:rPr>
        <w:t xml:space="preserve"> </w:t>
      </w:r>
      <w:r w:rsidR="00736C30">
        <w:rPr>
          <w:color w:val="000000" w:themeColor="text1"/>
        </w:rPr>
        <w:t xml:space="preserve">settlement </w:t>
      </w:r>
      <w:r w:rsidRPr="00F05C4D" w:rsidR="00876615">
        <w:rPr>
          <w:color w:val="000000" w:themeColor="text1"/>
        </w:rPr>
        <w:t>could reach a maximum of</w:t>
      </w:r>
      <w:r w:rsidRPr="00F05C4D" w:rsidR="00C45FCD">
        <w:rPr>
          <w:color w:val="000000" w:themeColor="text1"/>
        </w:rPr>
        <w:t xml:space="preserve"> 58</w:t>
      </w:r>
      <w:r w:rsidRPr="00EA27C8" w:rsidR="00C06799">
        <w:rPr>
          <w:color w:val="000000" w:themeColor="text1"/>
        </w:rPr>
        <w:t xml:space="preserve"> percent</w:t>
      </w:r>
      <w:r w:rsidRPr="00F05C4D" w:rsidR="00C45FCD">
        <w:rPr>
          <w:color w:val="000000" w:themeColor="text1"/>
        </w:rPr>
        <w:t xml:space="preserve"> of Frontier’s copper network</w:t>
      </w:r>
      <w:r w:rsidRPr="00EA27C8" w:rsidR="00AE4C89">
        <w:rPr>
          <w:color w:val="000000" w:themeColor="text1"/>
        </w:rPr>
        <w:t xml:space="preserve">. </w:t>
      </w:r>
      <w:r w:rsidRPr="00EA27C8" w:rsidR="0005126B">
        <w:rPr>
          <w:color w:val="000000" w:themeColor="text1"/>
        </w:rPr>
        <w:t xml:space="preserve"> </w:t>
      </w:r>
    </w:p>
    <w:p w:rsidRPr="00B81C09" w:rsidR="00C45FCD" w:rsidP="00580C06" w:rsidRDefault="00C45FCD" w14:paraId="15222FDF" w14:textId="4A5B860C">
      <w:pPr>
        <w:pStyle w:val="Standard"/>
      </w:pPr>
      <w:r w:rsidRPr="00F05C4D">
        <w:rPr>
          <w:color w:val="000000" w:themeColor="text1"/>
        </w:rPr>
        <w:t>Cal Advocates</w:t>
      </w:r>
      <w:r w:rsidRPr="00F05C4D">
        <w:t xml:space="preserve"> note</w:t>
      </w:r>
      <w:r w:rsidRPr="00EA27C8" w:rsidR="001A29D0">
        <w:t>d</w:t>
      </w:r>
      <w:r w:rsidRPr="00F05C4D">
        <w:t xml:space="preserve"> a nearly $30,000 discrepancy in median income between Frontier locations served solely</w:t>
      </w:r>
      <w:r w:rsidR="000A298E">
        <w:t xml:space="preserve"> by</w:t>
      </w:r>
      <w:r w:rsidRPr="00F05C4D">
        <w:t xml:space="preserve"> fiber versus</w:t>
      </w:r>
      <w:r w:rsidRPr="00B81C09">
        <w:t xml:space="preserve"> areas that are solely </w:t>
      </w:r>
      <w:r w:rsidRPr="00EA27C8" w:rsidR="001A29D0">
        <w:lastRenderedPageBreak/>
        <w:t xml:space="preserve">served by </w:t>
      </w:r>
      <w:r w:rsidRPr="00B81C09">
        <w:t>copper.</w:t>
      </w:r>
      <w:r w:rsidRPr="00EA27C8" w:rsidR="001A29D0">
        <w:rPr>
          <w:rStyle w:val="FootnoteReference"/>
          <w:color w:val="000000" w:themeColor="text1"/>
        </w:rPr>
        <w:footnoteReference w:id="254"/>
      </w:r>
      <w:r w:rsidRPr="00EA27C8" w:rsidR="001A29D0">
        <w:rPr>
          <w:color w:val="000000" w:themeColor="text1"/>
        </w:rPr>
        <w:t xml:space="preserve"> </w:t>
      </w:r>
      <w:r w:rsidRPr="00B81C09">
        <w:t xml:space="preserve"> Moreover, Cal</w:t>
      </w:r>
      <w:r w:rsidRPr="00EA27C8" w:rsidR="00C06799">
        <w:t xml:space="preserve"> </w:t>
      </w:r>
      <w:r w:rsidRPr="00B81C09">
        <w:t>Advocates state</w:t>
      </w:r>
      <w:r w:rsidRPr="00EA27C8" w:rsidR="00943CB9">
        <w:t>d</w:t>
      </w:r>
      <w:r w:rsidRPr="00B81C09">
        <w:t xml:space="preserve"> that </w:t>
      </w:r>
      <w:r w:rsidRPr="00B81C09">
        <w:rPr>
          <w:color w:val="000000" w:themeColor="text1"/>
        </w:rPr>
        <w:t>Frontier-served areas with copper infrastructure are associated with more outages and a higher number of complaints than those with fiber infrastructure</w:t>
      </w:r>
      <w:r w:rsidRPr="00EA27C8" w:rsidR="00F768B9">
        <w:rPr>
          <w:color w:val="000000" w:themeColor="text1"/>
        </w:rPr>
        <w:t>.</w:t>
      </w:r>
      <w:r w:rsidRPr="00EA27C8" w:rsidR="00F768B9">
        <w:rPr>
          <w:rStyle w:val="FootnoteReference"/>
          <w:color w:val="000000" w:themeColor="text1"/>
        </w:rPr>
        <w:footnoteReference w:id="255"/>
      </w:r>
      <w:r w:rsidRPr="00EA27C8" w:rsidR="00F768B9">
        <w:rPr>
          <w:color w:val="000000" w:themeColor="text1"/>
        </w:rPr>
        <w:t xml:space="preserve">  </w:t>
      </w:r>
    </w:p>
    <w:p w:rsidR="004B015D" w:rsidP="00580C06" w:rsidRDefault="004B015D" w14:paraId="71B1F977" w14:textId="3F204E6C">
      <w:pPr>
        <w:pStyle w:val="Standard"/>
        <w:rPr>
          <w:rFonts w:cs="Calibri"/>
          <w:color w:val="000000" w:themeColor="text1"/>
          <w:sz w:val="22"/>
        </w:rPr>
      </w:pPr>
      <w:r w:rsidRPr="00B81C09">
        <w:t xml:space="preserve">Using </w:t>
      </w:r>
      <w:r w:rsidRPr="00B81C09" w:rsidR="00943CB9">
        <w:t>redacted</w:t>
      </w:r>
      <w:r w:rsidRPr="00B81C09">
        <w:t xml:space="preserve"> information that TURN provided in testimony</w:t>
      </w:r>
      <w:r w:rsidR="00EB5D22">
        <w:t xml:space="preserve"> regarding Frontier’s copper strategy</w:t>
      </w:r>
      <w:r>
        <w:t>,</w:t>
      </w:r>
      <w:r>
        <w:rPr>
          <w:rStyle w:val="FootnoteReference"/>
        </w:rPr>
        <w:footnoteReference w:id="256"/>
      </w:r>
      <w:r>
        <w:t xml:space="preserve"> the Commission selected the list of wire centers in Appendix D to </w:t>
      </w:r>
      <w:r w:rsidRPr="00EA27C8">
        <w:t>ensure that rural, underserved communities currently served by Frontier will receive similar or modestly enhanced service from Verizon.  Currently, the areas covered by these wire centers are primarily served only by copper landlines that may be discontinued</w:t>
      </w:r>
      <w:r w:rsidR="00D4359F">
        <w:t xml:space="preserve">, </w:t>
      </w:r>
      <w:r w:rsidR="008A1E46">
        <w:t xml:space="preserve">given the </w:t>
      </w:r>
      <w:r w:rsidR="007B5A93">
        <w:t xml:space="preserve">landline </w:t>
      </w:r>
      <w:r w:rsidR="008A1E46">
        <w:t xml:space="preserve">trends identified in </w:t>
      </w:r>
      <w:r w:rsidR="007B5A93">
        <w:t>Section 1.2.1, Figure 2</w:t>
      </w:r>
      <w:r w:rsidRPr="00EA27C8">
        <w:t xml:space="preserve">.  OP 2 </w:t>
      </w:r>
      <w:r w:rsidR="00042995">
        <w:t>serve</w:t>
      </w:r>
      <w:r w:rsidR="007A3F23">
        <w:t>s</w:t>
      </w:r>
      <w:r w:rsidR="00042995">
        <w:t xml:space="preserve"> as a complement to Cal Advocates’ settlement conditions to</w:t>
      </w:r>
      <w:r w:rsidRPr="00042995" w:rsidR="00042995">
        <w:t xml:space="preserve"> </w:t>
      </w:r>
      <w:r w:rsidRPr="00EA27C8">
        <w:t>ensure that these landline-only customers can access basic broadband service if their landline service is disconnected.</w:t>
      </w:r>
    </w:p>
    <w:p w:rsidRPr="00F55A79" w:rsidR="00580C06" w:rsidP="00580C06" w:rsidRDefault="00580C06" w14:paraId="04A41CF4" w14:textId="7D9FACB8">
      <w:pPr>
        <w:pStyle w:val="Standard"/>
        <w:rPr>
          <w:color w:val="000000" w:themeColor="text1"/>
        </w:rPr>
      </w:pPr>
      <w:r w:rsidRPr="00F55A79">
        <w:rPr>
          <w:color w:val="000000" w:themeColor="text1"/>
        </w:rPr>
        <w:t>We also adopt the following TURN recommendations:</w:t>
      </w:r>
    </w:p>
    <w:p w:rsidRPr="00F55A79" w:rsidR="00580C06" w:rsidP="00441A87" w:rsidRDefault="00580C06" w14:paraId="3AFE592C" w14:textId="1DF20BE1">
      <w:pPr>
        <w:pStyle w:val="ListBullet"/>
        <w:tabs>
          <w:tab w:val="clear" w:pos="360"/>
          <w:tab w:val="num" w:pos="1080"/>
        </w:tabs>
        <w:ind w:left="1080"/>
      </w:pPr>
      <w:r w:rsidRPr="00F55A79">
        <w:t>Recommendation four regarding maintaining prices for Verizon Forward</w:t>
      </w:r>
      <w:r w:rsidRPr="00F55A79" w:rsidR="00A444C0">
        <w:t xml:space="preserve"> (OP </w:t>
      </w:r>
      <w:r w:rsidRPr="00F55A79" w:rsidR="00CC170A">
        <w:t>2</w:t>
      </w:r>
      <w:r w:rsidRPr="00F55A79" w:rsidR="00EE370F">
        <w:t>3</w:t>
      </w:r>
      <w:r w:rsidRPr="00F55A79" w:rsidR="00A444C0">
        <w:t>)</w:t>
      </w:r>
      <w:r w:rsidRPr="00F55A79">
        <w:t xml:space="preserve">; </w:t>
      </w:r>
    </w:p>
    <w:p w:rsidRPr="00F55A79" w:rsidR="00580C06" w:rsidP="00441A87" w:rsidRDefault="00580C06" w14:paraId="4800B1E9" w14:textId="50E356EB">
      <w:pPr>
        <w:pStyle w:val="ListBullet"/>
        <w:tabs>
          <w:tab w:val="clear" w:pos="360"/>
          <w:tab w:val="num" w:pos="1080"/>
        </w:tabs>
        <w:ind w:left="1080"/>
      </w:pPr>
      <w:r w:rsidRPr="00F55A79">
        <w:t>Recommendations six, seven, and eight regarding advertisement of available affordable plans</w:t>
      </w:r>
      <w:r w:rsidRPr="00F55A79" w:rsidR="00A444C0">
        <w:t xml:space="preserve"> (OP</w:t>
      </w:r>
      <w:r w:rsidRPr="00F55A79" w:rsidR="00902F9C">
        <w:t>s</w:t>
      </w:r>
      <w:r w:rsidRPr="00F55A79" w:rsidR="00A444C0">
        <w:t xml:space="preserve"> </w:t>
      </w:r>
      <w:r w:rsidRPr="00F55A79" w:rsidR="00902F9C">
        <w:t>1</w:t>
      </w:r>
      <w:r w:rsidRPr="00F55A79" w:rsidR="00EE370F">
        <w:t>7</w:t>
      </w:r>
      <w:r w:rsidRPr="00F55A79" w:rsidR="00902F9C">
        <w:t xml:space="preserve">, </w:t>
      </w:r>
      <w:r w:rsidRPr="00F55A79" w:rsidR="00EE370F">
        <w:t>18</w:t>
      </w:r>
      <w:r w:rsidRPr="00F55A79" w:rsidR="00902F9C">
        <w:t>-2</w:t>
      </w:r>
      <w:r w:rsidRPr="00F55A79" w:rsidR="00EE370F">
        <w:t>0</w:t>
      </w:r>
      <w:r w:rsidRPr="00F55A79" w:rsidR="00A444C0">
        <w:t>);</w:t>
      </w:r>
    </w:p>
    <w:p w:rsidRPr="00F55A79" w:rsidR="00580C06" w:rsidP="00441A87" w:rsidRDefault="00580C06" w14:paraId="6A5F57AD" w14:textId="27C72B5C">
      <w:pPr>
        <w:pStyle w:val="ListBullet"/>
        <w:tabs>
          <w:tab w:val="clear" w:pos="360"/>
          <w:tab w:val="num" w:pos="1080"/>
        </w:tabs>
        <w:ind w:left="1080"/>
      </w:pPr>
      <w:r w:rsidRPr="00F55A79">
        <w:t>Recommendation 12 regarding the establishment of a hotline</w:t>
      </w:r>
      <w:r w:rsidRPr="00F55A79" w:rsidR="00A444C0">
        <w:t xml:space="preserve"> (OP </w:t>
      </w:r>
      <w:r w:rsidRPr="00F55A79" w:rsidR="00EE370F">
        <w:t>18</w:t>
      </w:r>
      <w:r w:rsidRPr="00F55A79" w:rsidR="00A444C0">
        <w:t>);</w:t>
      </w:r>
    </w:p>
    <w:p w:rsidRPr="00F55A79" w:rsidR="00A444C0" w:rsidP="00441A87" w:rsidRDefault="00580C06" w14:paraId="19EC6A4F" w14:textId="3F8F3E9F">
      <w:pPr>
        <w:pStyle w:val="ListBullet"/>
        <w:tabs>
          <w:tab w:val="clear" w:pos="360"/>
          <w:tab w:val="num" w:pos="1080"/>
        </w:tabs>
        <w:ind w:left="1080"/>
      </w:pPr>
      <w:r w:rsidRPr="00F55A79">
        <w:t>Recommendation 13 on provision of backup power</w:t>
      </w:r>
      <w:r w:rsidRPr="00F55A79" w:rsidR="00A444C0">
        <w:t xml:space="preserve"> (OP </w:t>
      </w:r>
      <w:r w:rsidRPr="00F55A79" w:rsidR="00455D70">
        <w:t>2</w:t>
      </w:r>
      <w:r w:rsidRPr="00F55A79" w:rsidR="00EE370F">
        <w:t>0</w:t>
      </w:r>
      <w:r w:rsidRPr="00F55A79" w:rsidR="00A444C0">
        <w:t>);</w:t>
      </w:r>
    </w:p>
    <w:p w:rsidRPr="00F55A79" w:rsidR="00441A87" w:rsidP="006C3EFC" w:rsidRDefault="00580C06" w14:paraId="1D58527E" w14:textId="3E6F3027">
      <w:pPr>
        <w:pStyle w:val="ListBullet"/>
        <w:tabs>
          <w:tab w:val="clear" w:pos="360"/>
          <w:tab w:val="num" w:pos="1080"/>
        </w:tabs>
        <w:ind w:left="1080"/>
      </w:pPr>
      <w:r w:rsidRPr="00F55A79">
        <w:t>Recommendation 15 regarding a compliance monitor</w:t>
      </w:r>
      <w:r w:rsidRPr="00F55A79" w:rsidR="00A444C0">
        <w:t xml:space="preserve"> (OP </w:t>
      </w:r>
      <w:r w:rsidRPr="00F55A79" w:rsidR="00CB07ED">
        <w:t>2</w:t>
      </w:r>
      <w:r w:rsidRPr="00F55A79" w:rsidR="00EE370F">
        <w:t>7</w:t>
      </w:r>
      <w:r w:rsidRPr="00F55A79" w:rsidR="00CB07ED">
        <w:t>-3</w:t>
      </w:r>
      <w:r w:rsidRPr="00F55A79" w:rsidR="00EE370F">
        <w:t>1</w:t>
      </w:r>
      <w:r w:rsidRPr="00F55A79" w:rsidR="00A444C0">
        <w:t>); and</w:t>
      </w:r>
    </w:p>
    <w:p w:rsidRPr="00F55A79" w:rsidR="00232BE1" w:rsidP="006C3EFC" w:rsidRDefault="00441A87" w14:paraId="70B6FE46" w14:textId="1E7ED055">
      <w:pPr>
        <w:pStyle w:val="ListBullet"/>
        <w:tabs>
          <w:tab w:val="clear" w:pos="360"/>
          <w:tab w:val="num" w:pos="1080"/>
        </w:tabs>
        <w:ind w:left="1080"/>
      </w:pPr>
      <w:r w:rsidRPr="00F55A79">
        <w:t>Recommendation 19 regarding compliance with the Frontier Bankruptcy decision</w:t>
      </w:r>
      <w:r w:rsidRPr="00F55A79" w:rsidR="00A444C0">
        <w:t xml:space="preserve"> (OP</w:t>
      </w:r>
      <w:r w:rsidRPr="00F55A79" w:rsidR="00B668EB">
        <w:t>s 1</w:t>
      </w:r>
      <w:r w:rsidRPr="00F55A79" w:rsidR="00EE370F">
        <w:t>2</w:t>
      </w:r>
      <w:r w:rsidRPr="00F55A79" w:rsidR="00B668EB">
        <w:t>-1</w:t>
      </w:r>
      <w:r w:rsidRPr="00F55A79" w:rsidR="00EE370F">
        <w:t>6</w:t>
      </w:r>
      <w:r w:rsidRPr="00F55A79" w:rsidR="00A444C0">
        <w:t>).</w:t>
      </w:r>
      <w:r w:rsidRPr="00F55A79" w:rsidR="006C3EFC">
        <w:t xml:space="preserve"> </w:t>
      </w:r>
    </w:p>
    <w:p w:rsidRPr="00F55A79" w:rsidR="00580C06" w:rsidP="00441A87" w:rsidRDefault="00441A87" w14:paraId="3BE6A352" w14:textId="25EFEE23">
      <w:pPr>
        <w:pStyle w:val="Standard"/>
      </w:pPr>
      <w:r w:rsidRPr="00F55A79">
        <w:lastRenderedPageBreak/>
        <w:t xml:space="preserve">We decline to adopt the other recommendations on grounds that they </w:t>
      </w:r>
      <w:r w:rsidR="007C499A">
        <w:t xml:space="preserve">are </w:t>
      </w:r>
      <w:r w:rsidRPr="00F55A79">
        <w:t xml:space="preserve">either impractical to enforce, unnecessary given other conditions adopted, or more appropriately considered in other open proceedings.  </w:t>
      </w:r>
    </w:p>
    <w:p w:rsidRPr="00F55A79" w:rsidR="002A37A7" w:rsidP="00312F88" w:rsidRDefault="00E27EAF" w14:paraId="1695AD1D" w14:textId="2AB09C15">
      <w:pPr>
        <w:pStyle w:val="Heading1"/>
      </w:pPr>
      <w:bookmarkStart w:name="_Toc216163236" w:id="151"/>
      <w:r w:rsidRPr="00F55A79">
        <w:t xml:space="preserve">Issue 4: </w:t>
      </w:r>
      <w:r w:rsidRPr="00F55A79" w:rsidR="00C002EB">
        <w:t xml:space="preserve">Environmental and Social Justice (ESJ) </w:t>
      </w:r>
      <w:r w:rsidRPr="00F55A79" w:rsidR="00312F88">
        <w:t>Impacts</w:t>
      </w:r>
      <w:bookmarkEnd w:id="151"/>
    </w:p>
    <w:p w:rsidRPr="00F55A79" w:rsidR="0011637B" w:rsidP="0011637B" w:rsidRDefault="0011637B" w14:paraId="7F793F32" w14:textId="44F629F9">
      <w:pPr>
        <w:pStyle w:val="Standard"/>
        <w:rPr>
          <w:color w:val="000000" w:themeColor="text1"/>
        </w:rPr>
      </w:pPr>
      <w:r w:rsidRPr="00F55A79">
        <w:rPr>
          <w:color w:val="000000" w:themeColor="text1"/>
        </w:rPr>
        <w:t xml:space="preserve">We have reviewed the potential </w:t>
      </w:r>
      <w:r w:rsidRPr="00F55A79" w:rsidR="00C002EB">
        <w:rPr>
          <w:color w:val="000000" w:themeColor="text1"/>
        </w:rPr>
        <w:t>ESJ impacts of the proposed transaction and find that</w:t>
      </w:r>
      <w:r w:rsidRPr="00F55A79" w:rsidR="00B31D37">
        <w:rPr>
          <w:color w:val="000000" w:themeColor="text1"/>
        </w:rPr>
        <w:t xml:space="preserve"> </w:t>
      </w:r>
      <w:r w:rsidRPr="00F55A79" w:rsidR="001F7B34">
        <w:rPr>
          <w:color w:val="000000" w:themeColor="text1"/>
        </w:rPr>
        <w:t>ESJ impacts can be mitigat</w:t>
      </w:r>
      <w:r w:rsidRPr="00F55A79" w:rsidR="00F40DB3">
        <w:rPr>
          <w:color w:val="000000" w:themeColor="text1"/>
        </w:rPr>
        <w:t>ed</w:t>
      </w:r>
      <w:r w:rsidRPr="00F55A79" w:rsidR="001F7B34">
        <w:rPr>
          <w:color w:val="000000" w:themeColor="text1"/>
        </w:rPr>
        <w:t xml:space="preserve"> with the adoption of conditions described herein</w:t>
      </w:r>
      <w:r w:rsidRPr="00F55A79" w:rsidR="00B31D37">
        <w:rPr>
          <w:color w:val="000000" w:themeColor="text1"/>
        </w:rPr>
        <w:t>.</w:t>
      </w:r>
    </w:p>
    <w:p w:rsidRPr="00F55A79" w:rsidR="007C5FD3" w:rsidP="00150F4B" w:rsidRDefault="007C5FD3" w14:paraId="2C512ED9" w14:textId="3E9D9E8E">
      <w:pPr>
        <w:pStyle w:val="Heading2"/>
      </w:pPr>
      <w:bookmarkStart w:name="_Toc216163237" w:id="152"/>
      <w:r w:rsidRPr="00F55A79">
        <w:t>Background</w:t>
      </w:r>
      <w:bookmarkEnd w:id="152"/>
    </w:p>
    <w:p w:rsidRPr="00F55A79" w:rsidR="0011637B" w:rsidP="0011637B" w:rsidRDefault="0011637B" w14:paraId="2740818B" w14:textId="4CAABB99">
      <w:pPr>
        <w:pStyle w:val="Standard"/>
        <w:rPr>
          <w:color w:val="000000" w:themeColor="text1"/>
        </w:rPr>
      </w:pPr>
      <w:r w:rsidRPr="00F55A79">
        <w:rPr>
          <w:color w:val="000000" w:themeColor="text1"/>
        </w:rPr>
        <w:t>The Scoping Memo for this proceeding asked:</w:t>
      </w:r>
    </w:p>
    <w:p w:rsidRPr="00F55A79" w:rsidR="0011637B" w:rsidP="0011637B" w:rsidRDefault="0011637B" w14:paraId="70B66ABD" w14:textId="77777777">
      <w:pPr>
        <w:pStyle w:val="ListBullet"/>
        <w:tabs>
          <w:tab w:val="clear" w:pos="360"/>
          <w:tab w:val="num" w:pos="1080"/>
        </w:tabs>
        <w:ind w:left="1080" w:right="1440"/>
        <w:rPr>
          <w:color w:val="000000" w:themeColor="text1"/>
        </w:rPr>
      </w:pPr>
      <w:r w:rsidRPr="00F55A79">
        <w:rPr>
          <w:color w:val="000000" w:themeColor="text1"/>
        </w:rPr>
        <w:t xml:space="preserve">What impacts the proposed transaction would have on ESJ communities, and </w:t>
      </w:r>
    </w:p>
    <w:p w:rsidRPr="00F55A79" w:rsidR="0011637B" w:rsidP="00FB7D25" w:rsidRDefault="0011637B" w14:paraId="13DC8F4F" w14:textId="0D631CE2">
      <w:pPr>
        <w:pStyle w:val="ListBullet"/>
        <w:tabs>
          <w:tab w:val="clear" w:pos="360"/>
          <w:tab w:val="num" w:pos="1080"/>
        </w:tabs>
        <w:ind w:left="1080" w:right="1440"/>
      </w:pPr>
      <w:r w:rsidRPr="00F55A79">
        <w:rPr>
          <w:color w:val="000000" w:themeColor="text1"/>
        </w:rPr>
        <w:t xml:space="preserve">Whether approval of the transaction would affect the </w:t>
      </w:r>
      <w:r w:rsidRPr="00F55A79">
        <w:t>achievement of any of the nine goals of the Commission’s ESJ Action Plan.</w:t>
      </w:r>
      <w:r w:rsidRPr="00F55A79">
        <w:rPr>
          <w:vertAlign w:val="superscript"/>
        </w:rPr>
        <w:footnoteReference w:id="257"/>
      </w:r>
      <w:r w:rsidRPr="00F55A79">
        <w:rPr>
          <w:color w:val="000000" w:themeColor="text1"/>
        </w:rPr>
        <w:t xml:space="preserve"> </w:t>
      </w:r>
    </w:p>
    <w:p w:rsidRPr="00F55A79" w:rsidR="008D2938" w:rsidP="00150F4B" w:rsidRDefault="007B14B4" w14:paraId="6331C99A" w14:textId="70F57B09">
      <w:pPr>
        <w:pStyle w:val="Heading2"/>
      </w:pPr>
      <w:bookmarkStart w:name="_Toc216163238" w:id="153"/>
      <w:r w:rsidRPr="00F55A79">
        <w:t>Joint Applicants’ Position</w:t>
      </w:r>
      <w:bookmarkEnd w:id="153"/>
    </w:p>
    <w:p w:rsidRPr="00F55A79" w:rsidR="005C6CF6" w:rsidP="00527DB8" w:rsidRDefault="00E2308F" w14:paraId="54DD16C8" w14:textId="78DE8629">
      <w:pPr>
        <w:pStyle w:val="Standard"/>
        <w:rPr>
          <w:color w:val="000000" w:themeColor="text1"/>
        </w:rPr>
      </w:pPr>
      <w:r w:rsidRPr="00F55A79">
        <w:rPr>
          <w:color w:val="000000" w:themeColor="text1"/>
        </w:rPr>
        <w:t>According to the Joint Applicants, t</w:t>
      </w:r>
      <w:r w:rsidRPr="00F55A79" w:rsidR="00527DB8">
        <w:rPr>
          <w:color w:val="000000" w:themeColor="text1"/>
        </w:rPr>
        <w:t xml:space="preserve">he </w:t>
      </w:r>
      <w:r w:rsidRPr="00F55A79">
        <w:rPr>
          <w:color w:val="000000" w:themeColor="text1"/>
        </w:rPr>
        <w:t>proposed t</w:t>
      </w:r>
      <w:r w:rsidRPr="00F55A79" w:rsidR="00527DB8">
        <w:rPr>
          <w:color w:val="000000" w:themeColor="text1"/>
        </w:rPr>
        <w:t>ransaction will further the Commissions’ ESJ Action Plan and specifically promote Goals 2, 3, 4, and 7.</w:t>
      </w:r>
      <w:r w:rsidRPr="00F55A79">
        <w:rPr>
          <w:rStyle w:val="FootnoteReference"/>
          <w:color w:val="000000" w:themeColor="text1"/>
        </w:rPr>
        <w:footnoteReference w:id="258"/>
      </w:r>
      <w:r w:rsidRPr="00F55A79" w:rsidR="00527DB8">
        <w:rPr>
          <w:color w:val="000000" w:themeColor="text1"/>
        </w:rPr>
        <w:t xml:space="preserve"> </w:t>
      </w:r>
      <w:r w:rsidRPr="00F55A79">
        <w:rPr>
          <w:color w:val="000000" w:themeColor="text1"/>
        </w:rPr>
        <w:t>The Joint Applicants argued that t</w:t>
      </w:r>
      <w:r w:rsidRPr="00F55A79" w:rsidR="00527DB8">
        <w:rPr>
          <w:color w:val="000000" w:themeColor="text1"/>
        </w:rPr>
        <w:t xml:space="preserve">he </w:t>
      </w:r>
      <w:r w:rsidRPr="00F55A79">
        <w:rPr>
          <w:color w:val="000000" w:themeColor="text1"/>
        </w:rPr>
        <w:t>proposed transaction</w:t>
      </w:r>
      <w:r w:rsidRPr="00F55A79" w:rsidR="00527DB8">
        <w:rPr>
          <w:color w:val="000000" w:themeColor="text1"/>
        </w:rPr>
        <w:t xml:space="preserve"> </w:t>
      </w:r>
      <w:r w:rsidRPr="00F55A79">
        <w:rPr>
          <w:color w:val="000000" w:themeColor="text1"/>
        </w:rPr>
        <w:t>“</w:t>
      </w:r>
      <w:r w:rsidRPr="00F55A79" w:rsidR="00527DB8">
        <w:rPr>
          <w:color w:val="000000" w:themeColor="text1"/>
        </w:rPr>
        <w:t>will ensure the completion of Frontier’s buildout under federal and state subsidy programs and provide financial resources for future fiber deployment, including in rural and low-income areas.</w:t>
      </w:r>
      <w:r w:rsidRPr="00F55A79">
        <w:rPr>
          <w:color w:val="000000" w:themeColor="text1"/>
        </w:rPr>
        <w:t>”</w:t>
      </w:r>
      <w:r w:rsidRPr="00F55A79">
        <w:rPr>
          <w:rStyle w:val="FootnoteReference"/>
          <w:color w:val="000000" w:themeColor="text1"/>
        </w:rPr>
        <w:footnoteReference w:id="259"/>
      </w:r>
    </w:p>
    <w:p w:rsidRPr="00F55A79" w:rsidR="00527DB8" w:rsidP="00527DB8" w:rsidRDefault="005C6CF6" w14:paraId="459B8683" w14:textId="194CAE35">
      <w:pPr>
        <w:pStyle w:val="Standard"/>
        <w:rPr>
          <w:color w:val="000000" w:themeColor="text1"/>
        </w:rPr>
      </w:pPr>
      <w:r w:rsidRPr="00F55A79">
        <w:rPr>
          <w:color w:val="000000" w:themeColor="text1"/>
        </w:rPr>
        <w:lastRenderedPageBreak/>
        <w:t>For example, the Joint Applicants noted that o</w:t>
      </w:r>
      <w:r w:rsidRPr="00F55A79" w:rsidR="00527DB8">
        <w:rPr>
          <w:color w:val="000000" w:themeColor="text1"/>
        </w:rPr>
        <w:t>f the 250 new cell sites Verizon committed to deploy under its settlement agreements, at least 85 will be located in unserved and underserved areas designated as CASF-eligible by the Commission and at least 20 of the 85 will be located in RBC “high priority areas.” In addition, the agreed-upon fiber deployment will prioritize census blocks with household incomes at or below 90% of the county median income.</w:t>
      </w:r>
      <w:r w:rsidRPr="00F55A79" w:rsidR="00E2308F">
        <w:rPr>
          <w:rStyle w:val="FootnoteReference"/>
          <w:color w:val="000000" w:themeColor="text1"/>
        </w:rPr>
        <w:footnoteReference w:id="260"/>
      </w:r>
    </w:p>
    <w:p w:rsidRPr="00F55A79" w:rsidR="00527DB8" w:rsidP="00527DB8" w:rsidRDefault="00527DB8" w14:paraId="7A8436FD" w14:textId="7347E6BA">
      <w:pPr>
        <w:pStyle w:val="Standard"/>
        <w:rPr>
          <w:color w:val="000000" w:themeColor="text1"/>
        </w:rPr>
      </w:pPr>
      <w:r w:rsidRPr="00F55A79">
        <w:rPr>
          <w:color w:val="000000" w:themeColor="text1"/>
        </w:rPr>
        <w:t xml:space="preserve">The </w:t>
      </w:r>
      <w:r w:rsidRPr="00F55A79" w:rsidR="00A32A37">
        <w:rPr>
          <w:color w:val="000000" w:themeColor="text1"/>
        </w:rPr>
        <w:t>Joint Applicants further argued that the proposed t</w:t>
      </w:r>
      <w:r w:rsidRPr="00F55A79">
        <w:rPr>
          <w:color w:val="000000" w:themeColor="text1"/>
        </w:rPr>
        <w:t xml:space="preserve">ransaction </w:t>
      </w:r>
      <w:r w:rsidRPr="00F55A79" w:rsidR="00A32A37">
        <w:rPr>
          <w:color w:val="000000" w:themeColor="text1"/>
        </w:rPr>
        <w:t>would</w:t>
      </w:r>
      <w:r w:rsidRPr="00F55A79">
        <w:rPr>
          <w:color w:val="000000" w:themeColor="text1"/>
        </w:rPr>
        <w:t xml:space="preserve"> enhance affordable service offerings for low-income Californians</w:t>
      </w:r>
      <w:r w:rsidRPr="00F55A79" w:rsidR="00A32A37">
        <w:rPr>
          <w:color w:val="000000" w:themeColor="text1"/>
        </w:rPr>
        <w:t>.</w:t>
      </w:r>
      <w:r w:rsidRPr="00F55A79" w:rsidR="00A32A37">
        <w:rPr>
          <w:rStyle w:val="FootnoteReference"/>
          <w:color w:val="000000" w:themeColor="text1"/>
        </w:rPr>
        <w:footnoteReference w:id="261"/>
      </w:r>
      <w:r w:rsidRPr="00F55A79">
        <w:rPr>
          <w:color w:val="000000" w:themeColor="text1"/>
        </w:rPr>
        <w:t xml:space="preserve"> </w:t>
      </w:r>
      <w:r w:rsidRPr="00F55A79" w:rsidR="00A32A37">
        <w:rPr>
          <w:color w:val="000000" w:themeColor="text1"/>
        </w:rPr>
        <w:t xml:space="preserve"> They cited </w:t>
      </w:r>
      <w:r w:rsidRPr="00F55A79">
        <w:rPr>
          <w:color w:val="000000" w:themeColor="text1"/>
        </w:rPr>
        <w:t xml:space="preserve"> commitments to</w:t>
      </w:r>
      <w:r w:rsidRPr="00F55A79" w:rsidR="00A32A37">
        <w:rPr>
          <w:color w:val="000000" w:themeColor="text1"/>
        </w:rPr>
        <w:t>: (1)</w:t>
      </w:r>
      <w:r w:rsidRPr="00F55A79">
        <w:rPr>
          <w:color w:val="000000" w:themeColor="text1"/>
        </w:rPr>
        <w:t xml:space="preserve"> expand eligibility for </w:t>
      </w:r>
      <w:r w:rsidRPr="00F55A79">
        <w:t>Verizon Forward</w:t>
      </w:r>
      <w:r w:rsidRPr="00F55A79" w:rsidR="00A32A37">
        <w:t>;</w:t>
      </w:r>
      <w:r w:rsidRPr="00F55A79" w:rsidR="00A32A37">
        <w:rPr>
          <w:rStyle w:val="FootnoteReference"/>
          <w:color w:val="000000" w:themeColor="text1"/>
        </w:rPr>
        <w:footnoteReference w:id="262"/>
      </w:r>
      <w:r w:rsidRPr="00F55A79" w:rsidR="00A32A37">
        <w:rPr>
          <w:color w:val="000000" w:themeColor="text1"/>
        </w:rPr>
        <w:t xml:space="preserve"> (2) spend $</w:t>
      </w:r>
      <w:r w:rsidRPr="00F55A79">
        <w:rPr>
          <w:color w:val="000000" w:themeColor="text1"/>
        </w:rPr>
        <w:t>1.5 million to market Verizon Forward and other affordable offerings</w:t>
      </w:r>
      <w:r w:rsidRPr="00F55A79" w:rsidR="00A32A37">
        <w:rPr>
          <w:color w:val="000000" w:themeColor="text1"/>
        </w:rPr>
        <w:t>;</w:t>
      </w:r>
      <w:r w:rsidRPr="00F55A79" w:rsidR="00E2308F">
        <w:rPr>
          <w:rStyle w:val="FootnoteReference"/>
          <w:color w:val="000000" w:themeColor="text1"/>
        </w:rPr>
        <w:footnoteReference w:id="263"/>
      </w:r>
      <w:r w:rsidRPr="00F55A79" w:rsidR="00E2308F">
        <w:rPr>
          <w:color w:val="000000" w:themeColor="text1"/>
        </w:rPr>
        <w:t xml:space="preserve"> </w:t>
      </w:r>
      <w:r w:rsidRPr="00F55A79" w:rsidR="00A32A37">
        <w:rPr>
          <w:color w:val="000000" w:themeColor="text1"/>
        </w:rPr>
        <w:t>and (3)</w:t>
      </w:r>
      <w:r w:rsidRPr="00F55A79">
        <w:rPr>
          <w:color w:val="000000" w:themeColor="text1"/>
        </w:rPr>
        <w:t xml:space="preserve"> spend at least $500 million to support California small businesses.</w:t>
      </w:r>
      <w:r w:rsidRPr="00F55A79" w:rsidR="00A32A37">
        <w:rPr>
          <w:rStyle w:val="FootnoteReference"/>
          <w:color w:val="000000" w:themeColor="text1"/>
        </w:rPr>
        <w:footnoteReference w:id="264"/>
      </w:r>
    </w:p>
    <w:p w:rsidRPr="00F55A79" w:rsidR="007B14B4" w:rsidP="00150F4B" w:rsidRDefault="007B14B4" w14:paraId="43CD6A21" w14:textId="77777777">
      <w:pPr>
        <w:pStyle w:val="Heading2"/>
        <w:rPr>
          <w:color w:val="000000" w:themeColor="text1"/>
        </w:rPr>
      </w:pPr>
      <w:bookmarkStart w:name="_Toc216163239" w:id="154"/>
      <w:r w:rsidRPr="00F55A79">
        <w:rPr>
          <w:color w:val="000000" w:themeColor="text1"/>
        </w:rPr>
        <w:t>Party Positions</w:t>
      </w:r>
      <w:bookmarkEnd w:id="154"/>
    </w:p>
    <w:p w:rsidRPr="00F55A79" w:rsidR="008D2938" w:rsidP="00150F4B" w:rsidRDefault="008D2938" w14:paraId="48FB2F0A" w14:textId="77777777">
      <w:pPr>
        <w:pStyle w:val="Heading3"/>
        <w:rPr>
          <w:color w:val="000000" w:themeColor="text1"/>
        </w:rPr>
      </w:pPr>
      <w:bookmarkStart w:name="_Toc216163240" w:id="155"/>
      <w:r w:rsidRPr="00F55A79">
        <w:rPr>
          <w:color w:val="000000" w:themeColor="text1"/>
        </w:rPr>
        <w:t>CETF</w:t>
      </w:r>
      <w:bookmarkEnd w:id="155"/>
      <w:r w:rsidRPr="00F55A79">
        <w:rPr>
          <w:color w:val="000000" w:themeColor="text1"/>
        </w:rPr>
        <w:t xml:space="preserve"> </w:t>
      </w:r>
    </w:p>
    <w:p w:rsidRPr="00F55A79" w:rsidR="005842F1" w:rsidP="008D2938" w:rsidRDefault="008C0380" w14:paraId="5F542E83" w14:textId="7A5D78AC">
      <w:pPr>
        <w:pStyle w:val="Standard"/>
        <w:rPr>
          <w:color w:val="000000" w:themeColor="text1"/>
        </w:rPr>
      </w:pPr>
      <w:r w:rsidRPr="00F55A79">
        <w:rPr>
          <w:color w:val="000000" w:themeColor="text1"/>
        </w:rPr>
        <w:t xml:space="preserve">CETF stated that it “sees only positive impacts of this Transaction on ESJ communities, due to the three </w:t>
      </w:r>
      <w:r w:rsidRPr="00F55A79">
        <w:t>Settlement Agreements.”</w:t>
      </w:r>
      <w:r w:rsidRPr="00F55A79">
        <w:rPr>
          <w:rStyle w:val="FootnoteReference"/>
          <w:color w:val="000000" w:themeColor="text1"/>
        </w:rPr>
        <w:footnoteReference w:id="265"/>
      </w:r>
    </w:p>
    <w:p w:rsidRPr="00F55A79" w:rsidR="005842F1" w:rsidP="00804FE8" w:rsidRDefault="008F418C" w14:paraId="3B894EA7" w14:textId="0C7EFC91">
      <w:pPr>
        <w:pStyle w:val="Heading3"/>
        <w:rPr>
          <w:color w:val="000000" w:themeColor="text1"/>
        </w:rPr>
      </w:pPr>
      <w:bookmarkStart w:name="_Toc216163241" w:id="156"/>
      <w:r w:rsidRPr="00F55A79">
        <w:rPr>
          <w:color w:val="000000" w:themeColor="text1"/>
        </w:rPr>
        <w:t>CforAT</w:t>
      </w:r>
      <w:bookmarkEnd w:id="156"/>
    </w:p>
    <w:p w:rsidRPr="00F55A79" w:rsidR="008D2938" w:rsidP="004D6475" w:rsidRDefault="00C70F66" w14:paraId="0A6DE91B" w14:textId="693E3D64">
      <w:pPr>
        <w:pStyle w:val="Standard"/>
      </w:pPr>
      <w:r w:rsidRPr="00F55A79">
        <w:t>CforAT addressed ESJ matters in its comments on DEI</w:t>
      </w:r>
      <w:r w:rsidRPr="00F55A79" w:rsidR="001172DD">
        <w:t xml:space="preserve"> regarding Issue 7 in Scope.</w:t>
      </w:r>
      <w:r w:rsidRPr="00F55A79" w:rsidR="001172DD">
        <w:rPr>
          <w:rStyle w:val="FootnoteReference"/>
        </w:rPr>
        <w:footnoteReference w:id="266"/>
      </w:r>
    </w:p>
    <w:p w:rsidRPr="00F55A79" w:rsidR="005842F1" w:rsidP="00804FE8" w:rsidRDefault="005842F1" w14:paraId="1D9B2833" w14:textId="77777777">
      <w:pPr>
        <w:pStyle w:val="Heading3"/>
        <w:rPr>
          <w:color w:val="000000" w:themeColor="text1"/>
        </w:rPr>
      </w:pPr>
      <w:bookmarkStart w:name="_Toc216163242" w:id="157"/>
      <w:r w:rsidRPr="00F55A79">
        <w:rPr>
          <w:color w:val="000000" w:themeColor="text1"/>
        </w:rPr>
        <w:lastRenderedPageBreak/>
        <w:t>TURN</w:t>
      </w:r>
      <w:bookmarkEnd w:id="157"/>
    </w:p>
    <w:p w:rsidRPr="00F55A79" w:rsidR="009B7CE8" w:rsidP="009B7CE8" w:rsidRDefault="009B7CE8" w14:paraId="208CE5F1" w14:textId="4388C0D0">
      <w:pPr>
        <w:pStyle w:val="Standard"/>
        <w:rPr>
          <w:color w:val="000000" w:themeColor="text1"/>
        </w:rPr>
      </w:pPr>
      <w:r w:rsidRPr="00F55A79">
        <w:rPr>
          <w:color w:val="000000" w:themeColor="text1"/>
        </w:rPr>
        <w:t xml:space="preserve">TURN </w:t>
      </w:r>
      <w:r w:rsidRPr="00F55A79" w:rsidR="00E4523A">
        <w:rPr>
          <w:color w:val="000000" w:themeColor="text1"/>
        </w:rPr>
        <w:t>noted</w:t>
      </w:r>
      <w:r w:rsidRPr="00F55A79">
        <w:rPr>
          <w:color w:val="000000" w:themeColor="text1"/>
        </w:rPr>
        <w:t xml:space="preserve"> that low-income communities are less likely to have access to fiber technology and are likely to </w:t>
      </w:r>
      <w:r w:rsidRPr="00F55A79">
        <w:t>discontinue wireline service if the service quality is too poor to justify the cost.</w:t>
      </w:r>
      <w:r w:rsidRPr="00F55A79" w:rsidR="00E4523A">
        <w:rPr>
          <w:vertAlign w:val="superscript"/>
        </w:rPr>
        <w:footnoteReference w:id="267"/>
      </w:r>
      <w:r w:rsidRPr="00F55A79">
        <w:t xml:space="preserve"> </w:t>
      </w:r>
      <w:r w:rsidRPr="00F55A79" w:rsidR="00E4523A">
        <w:t xml:space="preserve"> </w:t>
      </w:r>
      <w:r w:rsidRPr="00F55A79" w:rsidR="00396187">
        <w:t>According to TURN, t</w:t>
      </w:r>
      <w:r w:rsidRPr="00F55A79">
        <w:t>he Commission can continue to strive to improve access to high-quality communication</w:t>
      </w:r>
      <w:r w:rsidRPr="00F55A79">
        <w:rPr>
          <w:color w:val="000000" w:themeColor="text1"/>
        </w:rPr>
        <w:t xml:space="preserve"> services for ESJ communities by ensuring that build out of Frontier’s network include fiber deployment to ESJ communities in Frontier’s “a</w:t>
      </w:r>
      <w:r w:rsidR="000F2CE6">
        <w:rPr>
          <w:color w:val="000000" w:themeColor="text1"/>
        </w:rPr>
        <w:t>A</w:t>
      </w:r>
      <w:r w:rsidRPr="00F55A79">
        <w:rPr>
          <w:color w:val="000000" w:themeColor="text1"/>
        </w:rPr>
        <w:t xml:space="preserve">pproved build </w:t>
      </w:r>
      <w:r w:rsidR="000F2CE6">
        <w:rPr>
          <w:color w:val="000000" w:themeColor="text1"/>
        </w:rPr>
        <w:t>B</w:t>
      </w:r>
      <w:r w:rsidRPr="00F55A79" w:rsidR="000F2CE6">
        <w:rPr>
          <w:color w:val="000000" w:themeColor="text1"/>
        </w:rPr>
        <w:t xml:space="preserve">uild </w:t>
      </w:r>
      <w:r w:rsidRPr="00F55A79">
        <w:rPr>
          <w:color w:val="000000" w:themeColor="text1"/>
        </w:rPr>
        <w:t>universe</w:t>
      </w:r>
      <w:r w:rsidR="000F2CE6">
        <w:rPr>
          <w:color w:val="000000" w:themeColor="text1"/>
        </w:rPr>
        <w:t>U</w:t>
      </w:r>
      <w:r w:rsidRPr="00F55A79" w:rsidR="000F2CE6">
        <w:rPr>
          <w:color w:val="000000" w:themeColor="text1"/>
        </w:rPr>
        <w:t>niverse</w:t>
      </w:r>
      <w:r w:rsidRPr="00F55A79">
        <w:rPr>
          <w:color w:val="000000" w:themeColor="text1"/>
        </w:rPr>
        <w:t>.”</w:t>
      </w:r>
      <w:r w:rsidRPr="00F55A79" w:rsidR="00BD4B23">
        <w:rPr>
          <w:rStyle w:val="FootnoteReference"/>
          <w:color w:val="000000" w:themeColor="text1"/>
        </w:rPr>
        <w:footnoteReference w:id="268"/>
      </w:r>
    </w:p>
    <w:p w:rsidRPr="00F55A79" w:rsidR="009B7CE8" w:rsidP="009B7CE8" w:rsidRDefault="009B7CE8" w14:paraId="22E82CDE" w14:textId="2DBB930F">
      <w:pPr>
        <w:pStyle w:val="Standard"/>
        <w:rPr>
          <w:color w:val="000000" w:themeColor="text1"/>
        </w:rPr>
      </w:pPr>
      <w:r w:rsidRPr="00F55A79">
        <w:rPr>
          <w:color w:val="000000" w:themeColor="text1"/>
        </w:rPr>
        <w:t>T</w:t>
      </w:r>
      <w:r w:rsidRPr="00F55A79" w:rsidR="00BD4B23">
        <w:rPr>
          <w:color w:val="000000" w:themeColor="text1"/>
        </w:rPr>
        <w:t>URN argued that t</w:t>
      </w:r>
      <w:r w:rsidRPr="00F55A79">
        <w:rPr>
          <w:color w:val="000000" w:themeColor="text1"/>
        </w:rPr>
        <w:t xml:space="preserve">he Commission should continue to enhance outreach and opportunities for ESJ communities to benefit from CPUC programs by requiring Verizon’s Frontier to offer voice and broadband services through the California </w:t>
      </w:r>
      <w:r w:rsidRPr="00F55A79" w:rsidR="000B2A80">
        <w:rPr>
          <w:color w:val="000000" w:themeColor="text1"/>
        </w:rPr>
        <w:t>Lifeline</w:t>
      </w:r>
      <w:r w:rsidRPr="00F55A79">
        <w:rPr>
          <w:color w:val="000000" w:themeColor="text1"/>
        </w:rPr>
        <w:t xml:space="preserve"> and federal </w:t>
      </w:r>
      <w:r w:rsidRPr="00F55A79" w:rsidR="000B2A80">
        <w:rPr>
          <w:color w:val="000000" w:themeColor="text1"/>
        </w:rPr>
        <w:t>Lifeline</w:t>
      </w:r>
      <w:r w:rsidRPr="00F55A79">
        <w:rPr>
          <w:color w:val="000000" w:themeColor="text1"/>
        </w:rPr>
        <w:t xml:space="preserve"> programs throughout Frontier’s entire California service territory. </w:t>
      </w:r>
      <w:r w:rsidRPr="00F55A79" w:rsidR="0011637B">
        <w:rPr>
          <w:color w:val="000000" w:themeColor="text1"/>
        </w:rPr>
        <w:t xml:space="preserve"> </w:t>
      </w:r>
      <w:r w:rsidRPr="00F55A79" w:rsidR="00BD4B23">
        <w:rPr>
          <w:color w:val="000000" w:themeColor="text1"/>
        </w:rPr>
        <w:t>In addition</w:t>
      </w:r>
      <w:r w:rsidRPr="00F55A79">
        <w:rPr>
          <w:color w:val="000000" w:themeColor="text1"/>
        </w:rPr>
        <w:t>,</w:t>
      </w:r>
      <w:r w:rsidRPr="00F55A79" w:rsidR="00BD4B23">
        <w:rPr>
          <w:color w:val="000000" w:themeColor="text1"/>
        </w:rPr>
        <w:t xml:space="preserve"> TURN argued that </w:t>
      </w:r>
      <w:r w:rsidRPr="00F55A79">
        <w:rPr>
          <w:color w:val="000000" w:themeColor="text1"/>
        </w:rPr>
        <w:t xml:space="preserve">the Commission should require Frontier to meaningfully advertise its affordable service offerings </w:t>
      </w:r>
      <w:r w:rsidRPr="00F55A79">
        <w:t>in ESJ communities and including in-language.</w:t>
      </w:r>
      <w:r w:rsidRPr="00F55A79" w:rsidR="00BD4B23">
        <w:rPr>
          <w:rStyle w:val="FootnoteReference"/>
          <w:color w:val="000000" w:themeColor="text1"/>
        </w:rPr>
        <w:footnoteReference w:id="269"/>
      </w:r>
    </w:p>
    <w:p w:rsidRPr="00F55A79" w:rsidR="009B7CE8" w:rsidP="00F0701E" w:rsidRDefault="00BD4B23" w14:paraId="0C9B11AD" w14:textId="5355EA5B">
      <w:pPr>
        <w:pStyle w:val="Standard"/>
        <w:rPr>
          <w:color w:val="000000" w:themeColor="text1"/>
        </w:rPr>
      </w:pPr>
      <w:r w:rsidRPr="00F55A79">
        <w:rPr>
          <w:color w:val="000000" w:themeColor="text1"/>
        </w:rPr>
        <w:t>TURN further stated that, i</w:t>
      </w:r>
      <w:r w:rsidRPr="00F55A79" w:rsidR="009B7CE8">
        <w:rPr>
          <w:color w:val="000000" w:themeColor="text1"/>
        </w:rPr>
        <w:t>f the Commission approves the transaction, the Commission should</w:t>
      </w:r>
      <w:r w:rsidRPr="00F55A79" w:rsidR="00F0701E">
        <w:rPr>
          <w:color w:val="000000" w:themeColor="text1"/>
        </w:rPr>
        <w:t>: (1)</w:t>
      </w:r>
      <w:r w:rsidRPr="00F55A79" w:rsidR="009B7CE8">
        <w:rPr>
          <w:color w:val="000000" w:themeColor="text1"/>
        </w:rPr>
        <w:t xml:space="preserve"> enhance enforcement to ensure safety and consumer protections for all by extending the conditions of the Frontier Bankruptcy </w:t>
      </w:r>
      <w:r w:rsidRPr="00F55A79" w:rsidR="009B7CE8">
        <w:t>decision</w:t>
      </w:r>
      <w:r w:rsidRPr="00F55A79">
        <w:rPr>
          <w:rStyle w:val="FootnoteReference"/>
          <w:color w:val="000000" w:themeColor="text1"/>
        </w:rPr>
        <w:footnoteReference w:id="270"/>
      </w:r>
      <w:r w:rsidRPr="00F55A79" w:rsidR="009B7CE8">
        <w:rPr>
          <w:color w:val="000000" w:themeColor="text1"/>
        </w:rPr>
        <w:t xml:space="preserve"> to Verizon’s ownership; </w:t>
      </w:r>
      <w:r w:rsidRPr="00F55A79" w:rsidR="00F0701E">
        <w:rPr>
          <w:color w:val="000000" w:themeColor="text1"/>
        </w:rPr>
        <w:t xml:space="preserve">(2) </w:t>
      </w:r>
      <w:r w:rsidRPr="00F55A79" w:rsidR="009B7CE8">
        <w:rPr>
          <w:color w:val="000000" w:themeColor="text1"/>
        </w:rPr>
        <w:t>requir</w:t>
      </w:r>
      <w:r w:rsidRPr="00F55A79">
        <w:rPr>
          <w:color w:val="000000" w:themeColor="text1"/>
        </w:rPr>
        <w:t>e</w:t>
      </w:r>
      <w:r w:rsidRPr="00F55A79" w:rsidR="009B7CE8">
        <w:rPr>
          <w:color w:val="000000" w:themeColor="text1"/>
        </w:rPr>
        <w:t xml:space="preserve"> Verizon</w:t>
      </w:r>
      <w:r w:rsidRPr="00F55A79">
        <w:rPr>
          <w:color w:val="000000" w:themeColor="text1"/>
        </w:rPr>
        <w:t xml:space="preserve"> to</w:t>
      </w:r>
      <w:r w:rsidRPr="00F55A79" w:rsidR="009B7CE8">
        <w:rPr>
          <w:color w:val="000000" w:themeColor="text1"/>
        </w:rPr>
        <w:t xml:space="preserve"> designate an executive to address constituent concerns; </w:t>
      </w:r>
      <w:r w:rsidRPr="00F55A79" w:rsidR="00F0701E">
        <w:rPr>
          <w:color w:val="000000" w:themeColor="text1"/>
        </w:rPr>
        <w:t>(3)</w:t>
      </w:r>
      <w:r w:rsidRPr="00F55A79" w:rsidR="009B7CE8">
        <w:rPr>
          <w:color w:val="000000" w:themeColor="text1"/>
        </w:rPr>
        <w:t xml:space="preserve"> requir</w:t>
      </w:r>
      <w:r w:rsidRPr="00F55A79">
        <w:rPr>
          <w:color w:val="000000" w:themeColor="text1"/>
        </w:rPr>
        <w:t>e</w:t>
      </w:r>
      <w:r w:rsidRPr="00F55A79" w:rsidR="009B7CE8">
        <w:rPr>
          <w:color w:val="000000" w:themeColor="text1"/>
        </w:rPr>
        <w:t xml:space="preserve"> Verizon to meet the Commission’s </w:t>
      </w:r>
      <w:r w:rsidRPr="00F55A79" w:rsidR="009B7CE8">
        <w:rPr>
          <w:color w:val="000000" w:themeColor="text1"/>
        </w:rPr>
        <w:lastRenderedPageBreak/>
        <w:t>GO 133 metrics</w:t>
      </w:r>
      <w:r w:rsidRPr="00F55A79" w:rsidR="00F0701E">
        <w:rPr>
          <w:color w:val="000000" w:themeColor="text1"/>
        </w:rPr>
        <w:t xml:space="preserve">, and (4) require a third-party compliance monitor to enhance enforcement of any conditions </w:t>
      </w:r>
      <w:r w:rsidRPr="00F55A79" w:rsidR="00F0701E">
        <w:t>required by the Commission</w:t>
      </w:r>
      <w:r w:rsidRPr="00F55A79" w:rsidR="009B7CE8">
        <w:t>.</w:t>
      </w:r>
      <w:r w:rsidRPr="00F55A79">
        <w:rPr>
          <w:rStyle w:val="FootnoteReference"/>
          <w:color w:val="000000" w:themeColor="text1"/>
        </w:rPr>
        <w:footnoteReference w:id="271"/>
      </w:r>
    </w:p>
    <w:p w:rsidRPr="00F55A79" w:rsidR="007B14B4" w:rsidP="00804FE8" w:rsidRDefault="007B14B4" w14:paraId="0D0D9E2D" w14:textId="77777777">
      <w:pPr>
        <w:pStyle w:val="Heading2"/>
        <w:rPr>
          <w:color w:val="000000" w:themeColor="text1"/>
        </w:rPr>
      </w:pPr>
      <w:bookmarkStart w:name="_Toc216163243" w:id="158"/>
      <w:r w:rsidRPr="00F55A79">
        <w:rPr>
          <w:color w:val="000000" w:themeColor="text1"/>
        </w:rPr>
        <w:t>Discussion</w:t>
      </w:r>
      <w:bookmarkEnd w:id="158"/>
    </w:p>
    <w:p w:rsidRPr="00F55A79" w:rsidR="00F40DB3" w:rsidP="00F40DB3" w:rsidRDefault="00F40DB3" w14:paraId="09F6190B" w14:textId="0DB25DC4">
      <w:pPr>
        <w:pStyle w:val="Standard"/>
        <w:rPr>
          <w:color w:val="000000" w:themeColor="text1"/>
        </w:rPr>
      </w:pPr>
      <w:r w:rsidRPr="00F55A79">
        <w:rPr>
          <w:color w:val="000000" w:themeColor="text1"/>
        </w:rPr>
        <w:t xml:space="preserve">The Commission appreciates the Joint Applicants’ commitment to enhance affordable service offerings for low-income Californians through commitments to: (1) expand eligibility for </w:t>
      </w:r>
      <w:r w:rsidRPr="00F55A79">
        <w:t>Verizon Forward;</w:t>
      </w:r>
      <w:r w:rsidRPr="00F55A79">
        <w:rPr>
          <w:color w:val="000000" w:themeColor="text1"/>
        </w:rPr>
        <w:t xml:space="preserve"> (2) spend $1.5 million to market Verizon Forward and other affordable offerings; and (3) spend at least $500 million to support California small businesses.</w:t>
      </w:r>
    </w:p>
    <w:p w:rsidRPr="00F55A79" w:rsidR="00DD11D7" w:rsidP="00DD11D7" w:rsidRDefault="00593CD7" w14:paraId="06519748" w14:textId="09794956">
      <w:pPr>
        <w:pStyle w:val="Standard"/>
        <w:rPr>
          <w:color w:val="000000" w:themeColor="text1"/>
        </w:rPr>
      </w:pPr>
      <w:r w:rsidRPr="00F55A79">
        <w:rPr>
          <w:color w:val="000000" w:themeColor="text1"/>
        </w:rPr>
        <w:t xml:space="preserve">We </w:t>
      </w:r>
      <w:r w:rsidRPr="00F55A79" w:rsidR="00BA0541">
        <w:rPr>
          <w:color w:val="000000" w:themeColor="text1"/>
        </w:rPr>
        <w:t xml:space="preserve">also </w:t>
      </w:r>
      <w:r w:rsidRPr="00F55A79">
        <w:rPr>
          <w:color w:val="000000" w:themeColor="text1"/>
        </w:rPr>
        <w:t xml:space="preserve">agree with CforAT and TURN that the Joint Applicants should be required to meet additional ESJ conditions and detail those conditions throughout Section </w:t>
      </w:r>
      <w:r w:rsidRPr="00F55A79" w:rsidR="00A93E4C">
        <w:rPr>
          <w:color w:val="000000" w:themeColor="text1"/>
        </w:rPr>
        <w:t>6.9</w:t>
      </w:r>
      <w:r w:rsidRPr="00F55A79">
        <w:rPr>
          <w:color w:val="000000" w:themeColor="text1"/>
        </w:rPr>
        <w:t xml:space="preserve">. </w:t>
      </w:r>
    </w:p>
    <w:p w:rsidRPr="00F55A79" w:rsidR="002A37A7" w:rsidP="00AB257C" w:rsidRDefault="009F0546" w14:paraId="3526923B" w14:textId="2961D744">
      <w:pPr>
        <w:pStyle w:val="Heading1"/>
        <w:rPr>
          <w:color w:val="000000" w:themeColor="text1"/>
        </w:rPr>
      </w:pPr>
      <w:bookmarkStart w:name="_Toc216163244" w:id="159"/>
      <w:r w:rsidRPr="00F55A79">
        <w:rPr>
          <w:color w:val="000000" w:themeColor="text1"/>
        </w:rPr>
        <w:t xml:space="preserve">Issue 5: </w:t>
      </w:r>
      <w:r w:rsidRPr="00F55A79" w:rsidR="00AB257C">
        <w:rPr>
          <w:color w:val="000000" w:themeColor="text1"/>
        </w:rPr>
        <w:t xml:space="preserve">Frontier’s </w:t>
      </w:r>
      <w:r w:rsidRPr="00F55A79" w:rsidR="00E847BB">
        <w:rPr>
          <w:color w:val="000000" w:themeColor="text1"/>
        </w:rPr>
        <w:t xml:space="preserve">Prior </w:t>
      </w:r>
      <w:r w:rsidRPr="00F55A79" w:rsidR="00AB257C">
        <w:rPr>
          <w:color w:val="000000" w:themeColor="text1"/>
        </w:rPr>
        <w:t>Obligations</w:t>
      </w:r>
      <w:bookmarkEnd w:id="159"/>
    </w:p>
    <w:p w:rsidRPr="00F55A79" w:rsidR="00296A41" w:rsidP="00150F4B" w:rsidRDefault="00E60168" w14:paraId="51DF53F1" w14:textId="3DDDC295">
      <w:pPr>
        <w:pStyle w:val="Standard"/>
        <w:rPr>
          <w:color w:val="000000" w:themeColor="text1"/>
        </w:rPr>
      </w:pPr>
      <w:r w:rsidRPr="00F55A79">
        <w:rPr>
          <w:color w:val="000000" w:themeColor="text1"/>
        </w:rPr>
        <w:t xml:space="preserve">The Scoping Memo for this proceeding asked: How will Frontier maintain its obligations pursuant to prior Commission decisions if the proposed transaction is approved? </w:t>
      </w:r>
      <w:r w:rsidRPr="00F55A79" w:rsidR="008F5817">
        <w:rPr>
          <w:color w:val="000000" w:themeColor="text1"/>
        </w:rPr>
        <w:t xml:space="preserve"> </w:t>
      </w:r>
      <w:r w:rsidRPr="00F55A79">
        <w:rPr>
          <w:color w:val="000000" w:themeColor="text1"/>
        </w:rPr>
        <w:t xml:space="preserve">How should the Commission ensure that these obligations are met? </w:t>
      </w:r>
    </w:p>
    <w:p w:rsidRPr="00F55A79" w:rsidR="00296A41" w:rsidP="00DF2FA8" w:rsidRDefault="00296A41" w14:paraId="7BC50ED1" w14:textId="1F5F3DCD">
      <w:pPr>
        <w:pStyle w:val="Heading2"/>
      </w:pPr>
      <w:bookmarkStart w:name="_Toc216163245" w:id="160"/>
      <w:r w:rsidRPr="00F55A79">
        <w:t>General</w:t>
      </w:r>
      <w:bookmarkEnd w:id="160"/>
    </w:p>
    <w:p w:rsidRPr="00F55A79" w:rsidR="00296A41" w:rsidP="00296A41" w:rsidRDefault="006539F0" w14:paraId="653DCB2F" w14:textId="1E5A09C1">
      <w:pPr>
        <w:pStyle w:val="Standard"/>
      </w:pPr>
      <w:r w:rsidRPr="00F55A79">
        <w:t>CforAT and TURN</w:t>
      </w:r>
      <w:r w:rsidRPr="00F55A79" w:rsidR="00B71D07">
        <w:t xml:space="preserve"> provided </w:t>
      </w:r>
      <w:r w:rsidRPr="00F55A79" w:rsidR="007E14FC">
        <w:t xml:space="preserve">both </w:t>
      </w:r>
      <w:r w:rsidRPr="00F55A79" w:rsidR="00B71D07">
        <w:t>general</w:t>
      </w:r>
      <w:r w:rsidRPr="00F55A79" w:rsidR="007E14FC">
        <w:t xml:space="preserve"> </w:t>
      </w:r>
      <w:r w:rsidRPr="00F55A79" w:rsidR="00B71D07">
        <w:t>feedback on this topic</w:t>
      </w:r>
      <w:r w:rsidRPr="00F55A79" w:rsidR="00EC2579">
        <w:t xml:space="preserve"> </w:t>
      </w:r>
      <w:r w:rsidR="007C499A">
        <w:t>and</w:t>
      </w:r>
      <w:r w:rsidRPr="00F55A79" w:rsidR="00EC2579">
        <w:t xml:space="preserve"> comments on specific commitments</w:t>
      </w:r>
      <w:r w:rsidRPr="00F55A79" w:rsidR="00B71D07">
        <w:t>.</w:t>
      </w:r>
      <w:r w:rsidRPr="00F55A79" w:rsidR="00AE30F4">
        <w:t xml:space="preserve"> The general feedback is summarized here.</w:t>
      </w:r>
    </w:p>
    <w:p w:rsidRPr="00F55A79" w:rsidR="00350261" w:rsidP="00AE30F4" w:rsidRDefault="00350261" w14:paraId="3F7E674E" w14:textId="7E14E400">
      <w:pPr>
        <w:pStyle w:val="Heading3"/>
      </w:pPr>
      <w:bookmarkStart w:name="_Toc216163246" w:id="161"/>
      <w:r w:rsidRPr="00F55A79">
        <w:t>CETF</w:t>
      </w:r>
      <w:bookmarkEnd w:id="161"/>
    </w:p>
    <w:p w:rsidRPr="00F55A79" w:rsidR="00350261" w:rsidP="001E55F3" w:rsidRDefault="00867BA2" w14:paraId="6388A0A3" w14:textId="4955B838">
      <w:pPr>
        <w:pStyle w:val="Standard"/>
      </w:pPr>
      <w:r w:rsidRPr="00F55A79">
        <w:t xml:space="preserve">CETF </w:t>
      </w:r>
      <w:r w:rsidRPr="00F55A79" w:rsidR="001E55F3">
        <w:t>argued that if</w:t>
      </w:r>
      <w:r w:rsidRPr="00F55A79" w:rsidR="00350261">
        <w:t xml:space="preserve"> the Cal Advocates and CETF </w:t>
      </w:r>
      <w:r w:rsidRPr="00F55A79" w:rsidR="00113809">
        <w:t>settlement a</w:t>
      </w:r>
      <w:r w:rsidRPr="00F55A79" w:rsidR="00350261">
        <w:t xml:space="preserve">greements </w:t>
      </w:r>
      <w:r w:rsidRPr="00F55A79" w:rsidR="00113809">
        <w:t>are</w:t>
      </w:r>
      <w:r w:rsidRPr="00F55A79" w:rsidR="00350261">
        <w:t xml:space="preserve"> approved, all </w:t>
      </w:r>
      <w:r w:rsidRPr="00F55A79" w:rsidR="00113809">
        <w:t xml:space="preserve">of </w:t>
      </w:r>
      <w:r w:rsidRPr="00F55A79" w:rsidR="00350261">
        <w:t xml:space="preserve">these obligations – COLR, </w:t>
      </w:r>
      <w:r w:rsidRPr="00F55A79" w:rsidR="000B2A80">
        <w:t>Lifeline</w:t>
      </w:r>
      <w:r w:rsidRPr="00F55A79" w:rsidR="00350261">
        <w:t xml:space="preserve">, </w:t>
      </w:r>
      <w:r w:rsidRPr="00F55A79" w:rsidR="00113809">
        <w:t>Right of First Offer</w:t>
      </w:r>
      <w:r w:rsidRPr="00F55A79" w:rsidR="00350261">
        <w:t>,</w:t>
      </w:r>
      <w:r w:rsidRPr="00F55A79" w:rsidR="00113809">
        <w:rPr>
          <w:rStyle w:val="FootnoteReference"/>
        </w:rPr>
        <w:footnoteReference w:id="272"/>
      </w:r>
      <w:r w:rsidRPr="00F55A79" w:rsidR="00350261">
        <w:t xml:space="preserve"> and Tribal obligations – will be met by Verizon, alleviating any concerns.</w:t>
      </w:r>
      <w:r w:rsidRPr="00F55A79" w:rsidR="00350261">
        <w:rPr>
          <w:rStyle w:val="FootnoteReference"/>
        </w:rPr>
        <w:footnoteReference w:id="273"/>
      </w:r>
    </w:p>
    <w:p w:rsidRPr="00F55A79" w:rsidR="00AE30F4" w:rsidP="00AE30F4" w:rsidRDefault="00AE30F4" w14:paraId="01814D0C" w14:textId="1FC40EF4">
      <w:pPr>
        <w:pStyle w:val="Heading3"/>
      </w:pPr>
      <w:bookmarkStart w:name="_Toc216163247" w:id="162"/>
      <w:r w:rsidRPr="00F55A79">
        <w:lastRenderedPageBreak/>
        <w:t>CforAT</w:t>
      </w:r>
      <w:bookmarkEnd w:id="162"/>
    </w:p>
    <w:p w:rsidRPr="00F55A79" w:rsidR="00AE30F4" w:rsidP="00AE30F4" w:rsidRDefault="00A860C9" w14:paraId="73267F9E" w14:textId="140CD9C8">
      <w:pPr>
        <w:pStyle w:val="Standard"/>
        <w:rPr>
          <w:color w:val="000000" w:themeColor="text1"/>
        </w:rPr>
      </w:pPr>
      <w:r w:rsidRPr="00F55A79">
        <w:rPr>
          <w:color w:val="000000" w:themeColor="text1"/>
        </w:rPr>
        <w:t>CforAT stated that it interpreted this question as asking how the combined company will comply with Frontier’s existing regulatory obligations.  CforAT stated that Verizon has a poor track record of compliance with regulatory obligations, and rather than complying with those obligations, it seeks to modify or escape them.</w:t>
      </w:r>
      <w:r w:rsidRPr="00F55A79" w:rsidR="00F1338D">
        <w:rPr>
          <w:rStyle w:val="FootnoteReference"/>
          <w:color w:val="000000" w:themeColor="text1"/>
        </w:rPr>
        <w:footnoteReference w:id="274"/>
      </w:r>
      <w:r w:rsidRPr="00F55A79">
        <w:rPr>
          <w:color w:val="000000" w:themeColor="text1"/>
        </w:rPr>
        <w:t xml:space="preserve">  According to CforAT, there is no reason to believe that Verizon will not continue this behavior. </w:t>
      </w:r>
      <w:r w:rsidRPr="00F55A79" w:rsidR="00AD5BAF">
        <w:rPr>
          <w:color w:val="000000" w:themeColor="text1"/>
        </w:rPr>
        <w:t xml:space="preserve"> </w:t>
      </w:r>
      <w:r w:rsidRPr="00F55A79">
        <w:rPr>
          <w:color w:val="000000" w:themeColor="text1"/>
        </w:rPr>
        <w:t>Therefore, CforAT recommended that the Commission “find that there is a significant risk that post-transaction, the combined company will not maintain Frontier’s current obligations.”</w:t>
      </w:r>
      <w:r w:rsidRPr="00F55A79">
        <w:rPr>
          <w:rStyle w:val="FootnoteReference"/>
          <w:color w:val="000000" w:themeColor="text1"/>
        </w:rPr>
        <w:footnoteReference w:id="275"/>
      </w:r>
      <w:r w:rsidRPr="00F55A79">
        <w:rPr>
          <w:color w:val="000000" w:themeColor="text1"/>
        </w:rPr>
        <w:t xml:space="preserve"> </w:t>
      </w:r>
      <w:r w:rsidRPr="00F55A79" w:rsidR="00AD5BAF">
        <w:rPr>
          <w:color w:val="000000" w:themeColor="text1"/>
        </w:rPr>
        <w:t xml:space="preserve"> </w:t>
      </w:r>
      <w:r w:rsidRPr="00F55A79">
        <w:rPr>
          <w:color w:val="000000" w:themeColor="text1"/>
        </w:rPr>
        <w:t>If the Commission approves the proposed transaction, CforAT asks the Commission to “include a robust compliance and enforcement mechanism similar to the one the Commission imposed in D.21-11-030.”</w:t>
      </w:r>
      <w:r w:rsidRPr="00F55A79">
        <w:rPr>
          <w:rStyle w:val="FootnoteReference"/>
          <w:color w:val="000000" w:themeColor="text1"/>
        </w:rPr>
        <w:footnoteReference w:id="276"/>
      </w:r>
    </w:p>
    <w:p w:rsidRPr="00F55A79" w:rsidR="00B71D07" w:rsidP="00B71D07" w:rsidRDefault="00B71D07" w14:paraId="32BFEDD8" w14:textId="684BF2A1">
      <w:pPr>
        <w:pStyle w:val="Heading3"/>
      </w:pPr>
      <w:bookmarkStart w:name="_Toc216163248" w:id="163"/>
      <w:r w:rsidRPr="00F55A79">
        <w:t>TURN</w:t>
      </w:r>
      <w:bookmarkEnd w:id="163"/>
    </w:p>
    <w:p w:rsidRPr="00F55A79" w:rsidR="00B71D07" w:rsidP="004D6475" w:rsidRDefault="00182AFE" w14:paraId="7DDA1807" w14:textId="35861813">
      <w:pPr>
        <w:pStyle w:val="Standard"/>
      </w:pPr>
      <w:r w:rsidRPr="00F55A79">
        <w:t>TURN argued that “any diminishment of Frontier’s obligations pursuant to prior Commission decisions under Verizon’s ownership would be a public interest detriment because Frontier would have complied with those obligations without this transaction.”</w:t>
      </w:r>
      <w:r w:rsidRPr="00F55A79">
        <w:rPr>
          <w:rStyle w:val="FootnoteReference"/>
        </w:rPr>
        <w:footnoteReference w:id="277"/>
      </w:r>
      <w:r w:rsidRPr="00F55A79">
        <w:t xml:space="preserve"> </w:t>
      </w:r>
      <w:r w:rsidRPr="00F55A79" w:rsidR="00F11A5B">
        <w:t xml:space="preserve"> </w:t>
      </w:r>
      <w:r w:rsidRPr="00F55A79" w:rsidR="00550C8D">
        <w:t>TURN</w:t>
      </w:r>
      <w:r w:rsidRPr="00F55A79" w:rsidR="00F11A5B">
        <w:t xml:space="preserve"> also</w:t>
      </w:r>
      <w:r w:rsidRPr="00F55A79" w:rsidR="00550C8D">
        <w:t xml:space="preserve"> noted that “</w:t>
      </w:r>
      <w:r w:rsidRPr="00F55A79" w:rsidR="007E14FC">
        <w:t xml:space="preserve">the Commission should be wary that Verizon may attempt to interpret </w:t>
      </w:r>
      <w:r w:rsidRPr="00F55A79" w:rsidR="00F21197">
        <w:t>[certain</w:t>
      </w:r>
      <w:r w:rsidRPr="00F55A79" w:rsidR="007E14FC">
        <w:t xml:space="preserve"> legal obligation</w:t>
      </w:r>
      <w:r w:rsidRPr="00F55A79" w:rsidR="00F21197">
        <w:t>s]</w:t>
      </w:r>
      <w:r w:rsidRPr="00F55A79" w:rsidR="007E14FC">
        <w:t xml:space="preserve"> narrowly</w:t>
      </w:r>
      <w:r w:rsidRPr="00F55A79" w:rsidR="00ED622F">
        <w:t xml:space="preserve"> … [and]</w:t>
      </w:r>
      <w:r w:rsidRPr="00F55A79" w:rsidR="007E14FC">
        <w:t xml:space="preserve"> should similarly be wary of Frontier, under Verizon’s ownership, attempting to avoid</w:t>
      </w:r>
      <w:r w:rsidRPr="00F55A79" w:rsidR="00E8729C">
        <w:t xml:space="preserve"> </w:t>
      </w:r>
      <w:r w:rsidRPr="00F55A79" w:rsidR="007E14FC">
        <w:t>consultation obligations.</w:t>
      </w:r>
      <w:r w:rsidRPr="00F55A79" w:rsidR="00ED622F">
        <w:t>”</w:t>
      </w:r>
      <w:r w:rsidRPr="00F55A79" w:rsidR="00E8729C">
        <w:rPr>
          <w:rStyle w:val="FootnoteReference"/>
        </w:rPr>
        <w:footnoteReference w:id="278"/>
      </w:r>
      <w:r w:rsidRPr="00F55A79" w:rsidR="007E14FC">
        <w:t xml:space="preserve"> </w:t>
      </w:r>
      <w:r w:rsidRPr="00F55A79" w:rsidR="00E8729C">
        <w:t xml:space="preserve"> </w:t>
      </w:r>
      <w:r w:rsidRPr="00F55A79" w:rsidR="007E14FC">
        <w:t>T</w:t>
      </w:r>
      <w:r w:rsidRPr="00F55A79" w:rsidR="00ED622F">
        <w:t xml:space="preserve">URN </w:t>
      </w:r>
      <w:r w:rsidRPr="00F55A79" w:rsidR="00AE30F4">
        <w:t>a</w:t>
      </w:r>
      <w:r w:rsidRPr="00F55A79" w:rsidR="00ED622F">
        <w:t>rgued that</w:t>
      </w:r>
      <w:r w:rsidRPr="00F55A79" w:rsidR="007E14FC">
        <w:t xml:space="preserve">, similar to the Commission’s decision in the Frontier </w:t>
      </w:r>
      <w:r w:rsidRPr="00F55A79" w:rsidR="00373E1A">
        <w:t>b</w:t>
      </w:r>
      <w:r w:rsidRPr="00F55A79" w:rsidR="007E14FC">
        <w:t>ankruptcy</w:t>
      </w:r>
      <w:r w:rsidRPr="00F55A79" w:rsidR="00E8729C">
        <w:t xml:space="preserve"> </w:t>
      </w:r>
      <w:r w:rsidRPr="00F55A79" w:rsidR="007E14FC">
        <w:t xml:space="preserve">proceeding, the </w:t>
      </w:r>
      <w:r w:rsidRPr="00F55A79" w:rsidR="007E14FC">
        <w:lastRenderedPageBreak/>
        <w:t>Commission should ensure that Verizon fulfills Frontier’s obligations</w:t>
      </w:r>
      <w:r w:rsidRPr="00F55A79" w:rsidR="00404649">
        <w:t>.</w:t>
      </w:r>
      <w:r w:rsidRPr="00F55A79" w:rsidR="00373E1A">
        <w:rPr>
          <w:rStyle w:val="FootnoteReference"/>
        </w:rPr>
        <w:footnoteReference w:id="279"/>
      </w:r>
      <w:r w:rsidRPr="00F55A79" w:rsidR="00404649">
        <w:rPr>
          <w:vertAlign w:val="superscript"/>
        </w:rPr>
        <w:t xml:space="preserve"> </w:t>
      </w:r>
      <w:r w:rsidRPr="00F55A79" w:rsidR="004D6475">
        <w:t xml:space="preserve">  Sp</w:t>
      </w:r>
      <w:r w:rsidRPr="00F55A79" w:rsidR="00404649">
        <w:t>ecifically, TURN argued that the Commission should</w:t>
      </w:r>
      <w:r w:rsidRPr="00F55A79" w:rsidR="00E8729C">
        <w:t xml:space="preserve"> </w:t>
      </w:r>
      <w:r w:rsidRPr="00F55A79" w:rsidR="007E14FC">
        <w:t>order a compliance monitor to file a report on the Commission and the service list of this proceeding</w:t>
      </w:r>
      <w:r w:rsidRPr="00F55A79" w:rsidR="00E8729C">
        <w:t xml:space="preserve"> </w:t>
      </w:r>
      <w:r w:rsidRPr="00F55A79" w:rsidR="007E14FC">
        <w:t>quarterly regarding Verizon’s compliance</w:t>
      </w:r>
      <w:r w:rsidRPr="00F55A79" w:rsidR="004D6475">
        <w:t xml:space="preserve"> w</w:t>
      </w:r>
      <w:r w:rsidRPr="00F55A79" w:rsidR="007E14FC">
        <w:t>ith any order approving the merger, prior Commission</w:t>
      </w:r>
      <w:r w:rsidRPr="00F55A79" w:rsidR="00E8729C">
        <w:t xml:space="preserve"> </w:t>
      </w:r>
      <w:r w:rsidRPr="00F55A79" w:rsidR="007E14FC">
        <w:t>decisions, and Commission orders.</w:t>
      </w:r>
      <w:r w:rsidRPr="00F55A79">
        <w:t xml:space="preserve"> </w:t>
      </w:r>
    </w:p>
    <w:p w:rsidRPr="00F55A79" w:rsidR="00BD7A21" w:rsidP="00E14AD1" w:rsidRDefault="00D375FE" w14:paraId="08A8B762" w14:textId="78477E47">
      <w:pPr>
        <w:pStyle w:val="Heading3"/>
      </w:pPr>
      <w:bookmarkStart w:name="_Toc216163249" w:id="164"/>
      <w:r w:rsidRPr="00F55A79">
        <w:t>Discussion</w:t>
      </w:r>
      <w:bookmarkEnd w:id="164"/>
    </w:p>
    <w:p w:rsidRPr="00F55A79" w:rsidR="00806B27" w:rsidP="00025D7E" w:rsidRDefault="008F5817" w14:paraId="6B61EDAD" w14:textId="597F6552">
      <w:pPr>
        <w:pStyle w:val="Standard"/>
        <w:rPr>
          <w:color w:val="000000" w:themeColor="text1"/>
        </w:rPr>
      </w:pPr>
      <w:r w:rsidRPr="00F55A79">
        <w:rPr>
          <w:color w:val="000000" w:themeColor="text1"/>
        </w:rPr>
        <w:t xml:space="preserve">We agree with CforAT and TURN that </w:t>
      </w:r>
      <w:r w:rsidRPr="00F55A79" w:rsidR="00AD5BAF">
        <w:rPr>
          <w:color w:val="000000" w:themeColor="text1"/>
        </w:rPr>
        <w:t xml:space="preserve">there is potential for the Joint Applicants to </w:t>
      </w:r>
      <w:r w:rsidRPr="00F55A79" w:rsidR="008A6E03">
        <w:rPr>
          <w:color w:val="000000" w:themeColor="text1"/>
        </w:rPr>
        <w:t xml:space="preserve">evade </w:t>
      </w:r>
      <w:r w:rsidRPr="00F55A79" w:rsidR="00D70AE1">
        <w:rPr>
          <w:color w:val="000000" w:themeColor="text1"/>
        </w:rPr>
        <w:t xml:space="preserve">their </w:t>
      </w:r>
      <w:r w:rsidRPr="00F55A79" w:rsidR="008A6E03">
        <w:rPr>
          <w:color w:val="000000" w:themeColor="text1"/>
        </w:rPr>
        <w:t xml:space="preserve">obligations and that stringent monitoring and enforcement are needed to ensure this transaction is in the public interest. </w:t>
      </w:r>
      <w:r w:rsidRPr="00F55A79" w:rsidR="00441A87">
        <w:rPr>
          <w:color w:val="000000" w:themeColor="text1"/>
        </w:rPr>
        <w:t>To date,</w:t>
      </w:r>
      <w:r w:rsidRPr="00F55A79" w:rsidR="00C5723C">
        <w:rPr>
          <w:color w:val="000000" w:themeColor="text1"/>
        </w:rPr>
        <w:t xml:space="preserve"> Frontier</w:t>
      </w:r>
      <w:r w:rsidRPr="00F55A79" w:rsidR="00441A87">
        <w:rPr>
          <w:color w:val="000000" w:themeColor="text1"/>
        </w:rPr>
        <w:t xml:space="preserve"> has not</w:t>
      </w:r>
      <w:r w:rsidRPr="00F55A79" w:rsidR="00C5723C">
        <w:rPr>
          <w:color w:val="000000" w:themeColor="text1"/>
        </w:rPr>
        <w:t xml:space="preserve"> met </w:t>
      </w:r>
      <w:r w:rsidRPr="00F55A79" w:rsidR="00441A87">
        <w:rPr>
          <w:color w:val="000000" w:themeColor="text1"/>
        </w:rPr>
        <w:t xml:space="preserve">all </w:t>
      </w:r>
      <w:r w:rsidRPr="00F55A79" w:rsidR="00C5723C">
        <w:rPr>
          <w:color w:val="000000" w:themeColor="text1"/>
        </w:rPr>
        <w:t>prior obligations</w:t>
      </w:r>
      <w:r w:rsidRPr="00F55A79" w:rsidR="00441A87">
        <w:rPr>
          <w:color w:val="000000" w:themeColor="text1"/>
        </w:rPr>
        <w:t xml:space="preserve">, including </w:t>
      </w:r>
      <w:r w:rsidRPr="00F55A79" w:rsidR="003224F3">
        <w:rPr>
          <w:color w:val="000000" w:themeColor="text1"/>
        </w:rPr>
        <w:t xml:space="preserve">Lifeline commitments in D.21-11-030 and </w:t>
      </w:r>
      <w:r w:rsidRPr="00F55A79" w:rsidR="00441A87">
        <w:rPr>
          <w:color w:val="000000" w:themeColor="text1"/>
        </w:rPr>
        <w:t>tribal commitments from D.21-04-008</w:t>
      </w:r>
      <w:r w:rsidRPr="00F55A79" w:rsidR="00C5723C">
        <w:rPr>
          <w:color w:val="000000" w:themeColor="text1"/>
        </w:rPr>
        <w:t>.</w:t>
      </w:r>
      <w:r w:rsidRPr="00F55A79" w:rsidR="008A6E03">
        <w:rPr>
          <w:color w:val="000000" w:themeColor="text1"/>
        </w:rPr>
        <w:t xml:space="preserve"> </w:t>
      </w:r>
      <w:r w:rsidRPr="00F55A79" w:rsidR="009A12BE">
        <w:rPr>
          <w:color w:val="000000" w:themeColor="text1"/>
        </w:rPr>
        <w:t xml:space="preserve"> </w:t>
      </w:r>
      <w:r w:rsidRPr="00F55A79" w:rsidR="008A6E03">
        <w:rPr>
          <w:color w:val="000000" w:themeColor="text1"/>
        </w:rPr>
        <w:t xml:space="preserve">We therefore adopt a set of monitoring and enforcement conditions as described in </w:t>
      </w:r>
      <w:r w:rsidRPr="00F55A79" w:rsidR="00D365EA">
        <w:rPr>
          <w:color w:val="000000" w:themeColor="text1"/>
        </w:rPr>
        <w:t xml:space="preserve">Ordering Paragraphs </w:t>
      </w:r>
      <w:r w:rsidRPr="00F55A79" w:rsidR="00566A72">
        <w:rPr>
          <w:color w:val="000000" w:themeColor="text1"/>
        </w:rPr>
        <w:t>2</w:t>
      </w:r>
      <w:r w:rsidRPr="00F55A79" w:rsidR="00001995">
        <w:rPr>
          <w:color w:val="000000" w:themeColor="text1"/>
        </w:rPr>
        <w:t>8</w:t>
      </w:r>
      <w:r w:rsidRPr="00F55A79" w:rsidR="00C56A5E">
        <w:rPr>
          <w:color w:val="000000" w:themeColor="text1"/>
        </w:rPr>
        <w:t>-</w:t>
      </w:r>
      <w:r w:rsidRPr="00F55A79" w:rsidR="0089733B">
        <w:rPr>
          <w:color w:val="000000" w:themeColor="text1"/>
        </w:rPr>
        <w:t>3</w:t>
      </w:r>
      <w:r w:rsidRPr="00F55A79" w:rsidR="003F146A">
        <w:rPr>
          <w:color w:val="000000" w:themeColor="text1"/>
        </w:rPr>
        <w:t>1</w:t>
      </w:r>
      <w:r w:rsidRPr="00F55A79" w:rsidR="008A6E03">
        <w:rPr>
          <w:color w:val="000000" w:themeColor="text1"/>
        </w:rPr>
        <w:t>.</w:t>
      </w:r>
      <w:r w:rsidRPr="00F55A79" w:rsidR="00C5723C">
        <w:rPr>
          <w:color w:val="000000" w:themeColor="text1"/>
        </w:rPr>
        <w:t xml:space="preserve"> </w:t>
      </w:r>
      <w:r w:rsidRPr="00F55A79" w:rsidR="00873B6B">
        <w:rPr>
          <w:color w:val="000000" w:themeColor="text1"/>
        </w:rPr>
        <w:t xml:space="preserve"> The </w:t>
      </w:r>
      <w:r w:rsidRPr="00F55A79" w:rsidR="00FE1000">
        <w:rPr>
          <w:color w:val="000000" w:themeColor="text1"/>
        </w:rPr>
        <w:t xml:space="preserve">conditions adopted in this decision will </w:t>
      </w:r>
      <w:r w:rsidRPr="00F55A79" w:rsidR="00873B6B">
        <w:rPr>
          <w:color w:val="000000" w:themeColor="text1"/>
        </w:rPr>
        <w:t>cover Frontier’s prior obligations going forward</w:t>
      </w:r>
      <w:r w:rsidRPr="00F55A79" w:rsidR="00FE1000">
        <w:rPr>
          <w:color w:val="000000" w:themeColor="text1"/>
        </w:rPr>
        <w:t>.</w:t>
      </w:r>
    </w:p>
    <w:p w:rsidRPr="00F55A79" w:rsidR="00DF2FA8" w:rsidP="009F0546" w:rsidRDefault="009206DB" w14:paraId="2EAF75AF" w14:textId="0BE338D0">
      <w:pPr>
        <w:pStyle w:val="Heading2"/>
      </w:pPr>
      <w:bookmarkStart w:name="_Toc216163250" w:id="165"/>
      <w:r w:rsidRPr="00F55A79">
        <w:t>COLR</w:t>
      </w:r>
      <w:bookmarkEnd w:id="165"/>
    </w:p>
    <w:p w:rsidRPr="00F55A79" w:rsidR="00497178" w:rsidP="009F0546" w:rsidRDefault="00497178" w14:paraId="284C4111" w14:textId="77777777">
      <w:pPr>
        <w:pStyle w:val="Heading3"/>
      </w:pPr>
      <w:bookmarkStart w:name="_Toc216163251" w:id="166"/>
      <w:r w:rsidRPr="00F55A79">
        <w:t>Background</w:t>
      </w:r>
      <w:bookmarkEnd w:id="166"/>
    </w:p>
    <w:p w:rsidRPr="00F55A79" w:rsidR="00DF2FA8" w:rsidP="009F0546" w:rsidRDefault="005F3C63" w14:paraId="57BA3D18" w14:textId="60AFD54B">
      <w:pPr>
        <w:pStyle w:val="Standard"/>
        <w:rPr>
          <w:color w:val="000000" w:themeColor="text1"/>
        </w:rPr>
      </w:pPr>
      <w:r w:rsidRPr="00F55A79">
        <w:rPr>
          <w:color w:val="000000" w:themeColor="text1"/>
        </w:rPr>
        <w:t xml:space="preserve">As previously noted, Frontier is the second-largest COLR in California.  </w:t>
      </w:r>
      <w:r w:rsidRPr="00F55A79" w:rsidR="008861F7">
        <w:rPr>
          <w:color w:val="000000" w:themeColor="text1"/>
        </w:rPr>
        <w:t xml:space="preserve">In June 2024, the Commission </w:t>
      </w:r>
      <w:r w:rsidRPr="00F55A79">
        <w:rPr>
          <w:color w:val="000000" w:themeColor="text1"/>
        </w:rPr>
        <w:t>i</w:t>
      </w:r>
      <w:r w:rsidRPr="00F55A79" w:rsidR="008861F7">
        <w:rPr>
          <w:color w:val="000000" w:themeColor="text1"/>
        </w:rPr>
        <w:t xml:space="preserve">nstituted a </w:t>
      </w:r>
      <w:r w:rsidRPr="00F55A79">
        <w:rPr>
          <w:color w:val="000000" w:themeColor="text1"/>
        </w:rPr>
        <w:t>r</w:t>
      </w:r>
      <w:r w:rsidRPr="00F55A79" w:rsidR="008861F7">
        <w:rPr>
          <w:color w:val="000000" w:themeColor="text1"/>
        </w:rPr>
        <w:t xml:space="preserve">ulemaking </w:t>
      </w:r>
      <w:r w:rsidRPr="00F55A79">
        <w:rPr>
          <w:color w:val="000000" w:themeColor="text1"/>
        </w:rPr>
        <w:t>p</w:t>
      </w:r>
      <w:r w:rsidRPr="00F55A79" w:rsidR="008861F7">
        <w:rPr>
          <w:color w:val="000000" w:themeColor="text1"/>
        </w:rPr>
        <w:t xml:space="preserve">roceeding to </w:t>
      </w:r>
      <w:r w:rsidRPr="00F55A79">
        <w:rPr>
          <w:color w:val="000000" w:themeColor="text1"/>
        </w:rPr>
        <w:t xml:space="preserve">consider changes to </w:t>
      </w:r>
      <w:r w:rsidRPr="00F55A79" w:rsidR="00CA09F7">
        <w:rPr>
          <w:color w:val="000000" w:themeColor="text1"/>
        </w:rPr>
        <w:t>COLR</w:t>
      </w:r>
      <w:r w:rsidRPr="00F55A79" w:rsidR="008861F7">
        <w:rPr>
          <w:color w:val="000000" w:themeColor="text1"/>
        </w:rPr>
        <w:t xml:space="preserve"> </w:t>
      </w:r>
      <w:r w:rsidRPr="00F55A79">
        <w:rPr>
          <w:color w:val="000000" w:themeColor="text1"/>
        </w:rPr>
        <w:t>r</w:t>
      </w:r>
      <w:r w:rsidRPr="00F55A79" w:rsidR="008861F7">
        <w:rPr>
          <w:color w:val="000000" w:themeColor="text1"/>
        </w:rPr>
        <w:t>ules</w:t>
      </w:r>
      <w:r w:rsidRPr="00F55A79" w:rsidR="00AA5A09">
        <w:rPr>
          <w:color w:val="000000" w:themeColor="text1"/>
        </w:rPr>
        <w:t>, R.24-06-012</w:t>
      </w:r>
      <w:r w:rsidRPr="00F55A79">
        <w:rPr>
          <w:color w:val="000000" w:themeColor="text1"/>
        </w:rPr>
        <w:t>.</w:t>
      </w:r>
      <w:r w:rsidRPr="00F55A79" w:rsidR="002F7A56">
        <w:rPr>
          <w:color w:val="000000" w:themeColor="text1"/>
        </w:rPr>
        <w:t xml:space="preserve">  In that proceeding, the Commission is </w:t>
      </w:r>
      <w:r w:rsidRPr="00F55A79" w:rsidR="00774735">
        <w:rPr>
          <w:color w:val="000000" w:themeColor="text1"/>
        </w:rPr>
        <w:t>deliberat</w:t>
      </w:r>
      <w:r w:rsidRPr="00F55A79" w:rsidR="002F7A56">
        <w:rPr>
          <w:color w:val="000000" w:themeColor="text1"/>
        </w:rPr>
        <w:t xml:space="preserve">ing </w:t>
      </w:r>
      <w:r w:rsidRPr="00F55A79" w:rsidR="00774735">
        <w:rPr>
          <w:color w:val="000000" w:themeColor="text1"/>
        </w:rPr>
        <w:t xml:space="preserve">over </w:t>
      </w:r>
      <w:r w:rsidRPr="00F55A79" w:rsidR="00ED1926">
        <w:rPr>
          <w:color w:val="000000" w:themeColor="text1"/>
        </w:rPr>
        <w:t xml:space="preserve">potential </w:t>
      </w:r>
      <w:r w:rsidRPr="00F55A79" w:rsidR="00027E85">
        <w:rPr>
          <w:color w:val="000000" w:themeColor="text1"/>
        </w:rPr>
        <w:t xml:space="preserve">updates to </w:t>
      </w:r>
      <w:r w:rsidRPr="00F55A79" w:rsidR="007D6B5A">
        <w:rPr>
          <w:color w:val="000000" w:themeColor="text1"/>
        </w:rPr>
        <w:t>COLR obligations, including the process for withdrawing COLR status</w:t>
      </w:r>
      <w:r w:rsidRPr="00F55A79" w:rsidR="00B00131">
        <w:rPr>
          <w:color w:val="000000" w:themeColor="text1"/>
        </w:rPr>
        <w:t>.</w:t>
      </w:r>
      <w:r w:rsidRPr="00F55A79">
        <w:rPr>
          <w:rStyle w:val="FootnoteReference"/>
          <w:color w:val="000000" w:themeColor="text1"/>
        </w:rPr>
        <w:footnoteReference w:id="280"/>
      </w:r>
      <w:r w:rsidRPr="00F55A79" w:rsidR="00983BEE">
        <w:rPr>
          <w:color w:val="000000" w:themeColor="text1"/>
        </w:rPr>
        <w:t xml:space="preserve"> </w:t>
      </w:r>
    </w:p>
    <w:p w:rsidRPr="00F55A79" w:rsidR="00497178" w:rsidP="009F0546" w:rsidRDefault="009F0546" w14:paraId="2C095D48" w14:textId="663B4DF1">
      <w:pPr>
        <w:pStyle w:val="Heading3"/>
        <w:rPr>
          <w:color w:val="000000" w:themeColor="text1"/>
        </w:rPr>
      </w:pPr>
      <w:bookmarkStart w:name="_Toc216163252" w:id="167"/>
      <w:r w:rsidRPr="00F55A79">
        <w:rPr>
          <w:color w:val="000000" w:themeColor="text1"/>
        </w:rPr>
        <w:lastRenderedPageBreak/>
        <w:t>Joint Applicants’</w:t>
      </w:r>
      <w:r w:rsidRPr="00F55A79" w:rsidR="00036E8D">
        <w:rPr>
          <w:color w:val="000000" w:themeColor="text1"/>
        </w:rPr>
        <w:t xml:space="preserve"> Position</w:t>
      </w:r>
      <w:bookmarkEnd w:id="167"/>
    </w:p>
    <w:p w:rsidRPr="00F55A79" w:rsidR="00E3326F" w:rsidP="00E3326F" w:rsidRDefault="009206DB" w14:paraId="40E97323" w14:textId="47AED921">
      <w:pPr>
        <w:pStyle w:val="Standard"/>
        <w:rPr>
          <w:color w:val="000000" w:themeColor="text1"/>
        </w:rPr>
      </w:pPr>
      <w:r w:rsidRPr="00F55A79">
        <w:rPr>
          <w:color w:val="000000" w:themeColor="text1"/>
        </w:rPr>
        <w:t>The Joint Applicants stated that Verizon explicitly commits to fulfilling Frontier’s COLR obligations.</w:t>
      </w:r>
      <w:r w:rsidRPr="00F55A79">
        <w:rPr>
          <w:rStyle w:val="FootnoteReference"/>
          <w:color w:val="000000" w:themeColor="text1"/>
        </w:rPr>
        <w:footnoteReference w:id="281"/>
      </w:r>
      <w:r w:rsidRPr="00F55A79" w:rsidR="00934A93">
        <w:rPr>
          <w:color w:val="000000" w:themeColor="text1"/>
        </w:rPr>
        <w:t xml:space="preserve">  If Verizon is relieved of its COLR obligations, the Joint Applicants stated that Verizon will offer a voice service over a technology of its choice to customers for a period of twelve months following relief of the COLR obligations.</w:t>
      </w:r>
      <w:r w:rsidRPr="00F55A79" w:rsidR="00934A93">
        <w:rPr>
          <w:rStyle w:val="FootnoteReference"/>
          <w:color w:val="000000" w:themeColor="text1"/>
        </w:rPr>
        <w:footnoteReference w:id="282"/>
      </w:r>
    </w:p>
    <w:p w:rsidRPr="00F55A79" w:rsidR="00036E8D" w:rsidP="009F0546" w:rsidRDefault="009F0546" w14:paraId="6BB3841F" w14:textId="7A9FFFC7">
      <w:pPr>
        <w:pStyle w:val="Heading3"/>
      </w:pPr>
      <w:bookmarkStart w:name="_Toc216163253" w:id="168"/>
      <w:r w:rsidRPr="00F55A79">
        <w:t>Party Positions</w:t>
      </w:r>
      <w:bookmarkEnd w:id="168"/>
    </w:p>
    <w:p w:rsidRPr="00F55A79" w:rsidR="00036E8D" w:rsidP="009F0546" w:rsidRDefault="00036E8D" w14:paraId="282C8766" w14:textId="20993070">
      <w:pPr>
        <w:pStyle w:val="Heading4"/>
      </w:pPr>
      <w:bookmarkStart w:name="_Toc216163254" w:id="169"/>
      <w:r w:rsidRPr="00F55A79">
        <w:t>CETF</w:t>
      </w:r>
      <w:bookmarkEnd w:id="169"/>
    </w:p>
    <w:p w:rsidRPr="00F55A79" w:rsidR="00036E8D" w:rsidP="009F0546" w:rsidRDefault="00390608" w14:paraId="533F3BFA" w14:textId="62EE5EE6">
      <w:pPr>
        <w:pStyle w:val="Standard"/>
      </w:pPr>
      <w:r w:rsidRPr="00F55A79">
        <w:rPr>
          <w:color w:val="000000" w:themeColor="text1"/>
        </w:rPr>
        <w:t xml:space="preserve">CETF noted that </w:t>
      </w:r>
      <w:r w:rsidRPr="00F55A79" w:rsidR="00036E8D">
        <w:rPr>
          <w:color w:val="000000" w:themeColor="text1"/>
        </w:rPr>
        <w:t>Verizon pledge</w:t>
      </w:r>
      <w:r w:rsidRPr="00F55A79">
        <w:rPr>
          <w:color w:val="000000" w:themeColor="text1"/>
        </w:rPr>
        <w:t>d</w:t>
      </w:r>
      <w:r w:rsidRPr="00F55A79" w:rsidR="00036E8D">
        <w:rPr>
          <w:color w:val="000000" w:themeColor="text1"/>
        </w:rPr>
        <w:t xml:space="preserve"> to maintain Frontier’s status as a </w:t>
      </w:r>
      <w:r w:rsidRPr="00F55A79">
        <w:rPr>
          <w:color w:val="000000" w:themeColor="text1"/>
        </w:rPr>
        <w:t>COLR and therefore</w:t>
      </w:r>
      <w:r w:rsidRPr="00F55A79" w:rsidR="00036E8D">
        <w:rPr>
          <w:color w:val="000000" w:themeColor="text1"/>
        </w:rPr>
        <w:t xml:space="preserve"> the Commission </w:t>
      </w:r>
      <w:r w:rsidRPr="00F55A79">
        <w:t>would</w:t>
      </w:r>
      <w:r w:rsidRPr="00F55A79" w:rsidR="00036E8D">
        <w:t xml:space="preserve"> retain its same regulatory authority over Verizon’s Frontier landline network.</w:t>
      </w:r>
      <w:r w:rsidRPr="00F55A79">
        <w:rPr>
          <w:vertAlign w:val="superscript"/>
        </w:rPr>
        <w:footnoteReference w:id="283"/>
      </w:r>
      <w:r w:rsidRPr="00F55A79" w:rsidR="00036E8D">
        <w:t xml:space="preserve"> </w:t>
      </w:r>
      <w:r w:rsidRPr="00F55A79" w:rsidR="001E55F3">
        <w:t xml:space="preserve"> CETF also stated that i</w:t>
      </w:r>
      <w:r w:rsidRPr="00F55A79" w:rsidR="00036E8D">
        <w:t>f Verizon is relieved of its COLR obligation, Verizon commit</w:t>
      </w:r>
      <w:r w:rsidRPr="00F55A79">
        <w:t>ted</w:t>
      </w:r>
      <w:r w:rsidRPr="00F55A79" w:rsidR="00036E8D">
        <w:t xml:space="preserve"> to offer a voice service</w:t>
      </w:r>
      <w:r w:rsidRPr="00F55A79" w:rsidR="00036E8D">
        <w:rPr>
          <w:color w:val="000000" w:themeColor="text1"/>
        </w:rPr>
        <w:t xml:space="preserve"> over a technology of its choice to customers for a period of twelve months following relief of COLR obligations, under the </w:t>
      </w:r>
      <w:r w:rsidRPr="00F55A79" w:rsidR="00036E8D">
        <w:t>CWA Agreement.</w:t>
      </w:r>
      <w:r w:rsidRPr="00F55A79">
        <w:rPr>
          <w:vertAlign w:val="superscript"/>
        </w:rPr>
        <w:footnoteReference w:id="284"/>
      </w:r>
    </w:p>
    <w:p w:rsidRPr="00F55A79" w:rsidR="00986C2C" w:rsidP="009F0546" w:rsidRDefault="00986C2C" w14:paraId="1C72199F" w14:textId="23E579CF">
      <w:pPr>
        <w:pStyle w:val="Heading4"/>
        <w:rPr>
          <w:color w:val="000000" w:themeColor="text1"/>
        </w:rPr>
      </w:pPr>
      <w:bookmarkStart w:name="_Toc216163255" w:id="170"/>
      <w:r w:rsidRPr="00F55A79">
        <w:rPr>
          <w:color w:val="000000" w:themeColor="text1"/>
        </w:rPr>
        <w:t>TURN</w:t>
      </w:r>
      <w:bookmarkEnd w:id="170"/>
    </w:p>
    <w:p w:rsidRPr="00F55A79" w:rsidR="004D6776" w:rsidP="009A7320" w:rsidRDefault="004D6776" w14:paraId="25C351CA" w14:textId="358C2DD9">
      <w:pPr>
        <w:pStyle w:val="Standard"/>
      </w:pPr>
      <w:r w:rsidRPr="00F55A79">
        <w:t xml:space="preserve">TURN noted that </w:t>
      </w:r>
      <w:r w:rsidRPr="00F55A79" w:rsidR="00986C2C">
        <w:t xml:space="preserve">Verizon </w:t>
      </w:r>
      <w:r w:rsidRPr="00F55A79">
        <w:t>considers itself to be</w:t>
      </w:r>
      <w:r w:rsidRPr="00F55A79" w:rsidR="00986C2C">
        <w:t xml:space="preserve"> a mobile provider first</w:t>
      </w:r>
      <w:r w:rsidRPr="00F55A79">
        <w:t>,</w:t>
      </w:r>
      <w:r w:rsidRPr="00F55A79" w:rsidR="00986C2C">
        <w:rPr>
          <w:rStyle w:val="FootnoteReference"/>
        </w:rPr>
        <w:footnoteReference w:id="285"/>
      </w:r>
      <w:r w:rsidRPr="00F55A79" w:rsidR="00986C2C">
        <w:t xml:space="preserve"> </w:t>
      </w:r>
      <w:r w:rsidRPr="00F55A79">
        <w:t>and</w:t>
      </w:r>
      <w:r w:rsidRPr="00F55A79" w:rsidR="00986C2C">
        <w:t xml:space="preserve"> has indicated that if Verizon eliminates its COLR obligations, </w:t>
      </w:r>
      <w:r w:rsidRPr="00F55A79">
        <w:t xml:space="preserve">it would </w:t>
      </w:r>
      <w:r w:rsidRPr="00F55A79" w:rsidR="00986C2C">
        <w:t>direct its attention away from fiber</w:t>
      </w:r>
      <w:r w:rsidRPr="00F55A79">
        <w:t xml:space="preserve"> </w:t>
      </w:r>
      <w:r w:rsidRPr="00F55A79" w:rsidR="00986C2C">
        <w:t>and towards fixed wireless and other wireless products.</w:t>
      </w:r>
      <w:r w:rsidRPr="00F55A79" w:rsidR="00986C2C">
        <w:rPr>
          <w:rStyle w:val="FootnoteReference"/>
        </w:rPr>
        <w:footnoteReference w:id="286"/>
      </w:r>
      <w:r w:rsidRPr="00F55A79" w:rsidR="00986C2C">
        <w:t xml:space="preserve"> </w:t>
      </w:r>
      <w:r w:rsidRPr="00F55A79">
        <w:t xml:space="preserve"> TURN noted that</w:t>
      </w:r>
      <w:r w:rsidRPr="00F55A79" w:rsidR="00986C2C">
        <w:t xml:space="preserve"> fixed wireless is not available at every location in a cell tower’s range,</w:t>
      </w:r>
      <w:r w:rsidRPr="00F55A79" w:rsidR="00E06ABB">
        <w:rPr>
          <w:rStyle w:val="FootnoteReference"/>
          <w:vertAlign w:val="baseline"/>
        </w:rPr>
        <w:t xml:space="preserve"> </w:t>
      </w:r>
      <w:r w:rsidRPr="00F55A79" w:rsidR="00986C2C">
        <w:t>and mobile wireless is subject to similar limitations.</w:t>
      </w:r>
      <w:r w:rsidRPr="00F55A79" w:rsidR="00986C2C">
        <w:rPr>
          <w:rStyle w:val="FootnoteReference"/>
        </w:rPr>
        <w:footnoteReference w:id="287"/>
      </w:r>
      <w:r w:rsidRPr="00F55A79" w:rsidR="00986C2C">
        <w:t xml:space="preserve">  </w:t>
      </w:r>
    </w:p>
    <w:p w:rsidRPr="00F55A79" w:rsidR="004D6776" w:rsidP="009A7320" w:rsidRDefault="00986C2C" w14:paraId="3E37E2DA" w14:textId="4BBF5981">
      <w:pPr>
        <w:pStyle w:val="Standard"/>
      </w:pPr>
      <w:r w:rsidRPr="00F55A79">
        <w:lastRenderedPageBreak/>
        <w:t xml:space="preserve">Therefore, </w:t>
      </w:r>
      <w:r w:rsidRPr="00F55A79" w:rsidR="004D6776">
        <w:t xml:space="preserve">TURN recommends that, as a matter of public safety, </w:t>
      </w:r>
      <w:r w:rsidRPr="00F55A79">
        <w:t>the Commission</w:t>
      </w:r>
      <w:r w:rsidRPr="00F55A79" w:rsidR="008A6E03">
        <w:t xml:space="preserve"> should</w:t>
      </w:r>
      <w:r w:rsidRPr="00F55A79">
        <w:t xml:space="preserve"> require an independent compliance monitor to ensure that Verizon’s</w:t>
      </w:r>
      <w:r w:rsidRPr="00F55A79" w:rsidR="0019027F">
        <w:t xml:space="preserve"> Frontier complies with its COLR obligations, including providing service to all residential and single line business customers upon request, and prompt repair of service.</w:t>
      </w:r>
      <w:r w:rsidRPr="00F55A79" w:rsidR="004D6776">
        <w:rPr>
          <w:rStyle w:val="FootnoteReference"/>
        </w:rPr>
        <w:footnoteReference w:id="288"/>
      </w:r>
      <w:r w:rsidRPr="00F55A79" w:rsidR="0019027F">
        <w:t xml:space="preserve"> </w:t>
      </w:r>
    </w:p>
    <w:p w:rsidRPr="00F55A79" w:rsidR="00986C2C" w:rsidP="009F0546" w:rsidRDefault="004D6776" w14:paraId="59C52167" w14:textId="52FAA65A">
      <w:pPr>
        <w:pStyle w:val="Standard"/>
        <w:rPr>
          <w:color w:val="000000" w:themeColor="text1"/>
        </w:rPr>
      </w:pPr>
      <w:r w:rsidRPr="00F55A79">
        <w:rPr>
          <w:color w:val="000000" w:themeColor="text1"/>
        </w:rPr>
        <w:t>According to TURN, t</w:t>
      </w:r>
      <w:r w:rsidRPr="00F55A79" w:rsidR="0019027F">
        <w:rPr>
          <w:color w:val="000000" w:themeColor="text1"/>
        </w:rPr>
        <w:t>he Commission should require ongoing verification with the Commission’s requirements.</w:t>
      </w:r>
    </w:p>
    <w:p w:rsidRPr="00F55A79" w:rsidR="00D375FE" w:rsidP="00E14AD1" w:rsidRDefault="00D375FE" w14:paraId="2BC3F773" w14:textId="52FB142E">
      <w:pPr>
        <w:pStyle w:val="Heading3"/>
        <w:rPr>
          <w:color w:val="000000" w:themeColor="text1"/>
        </w:rPr>
      </w:pPr>
      <w:bookmarkStart w:name="_Toc216163256" w:id="171"/>
      <w:r w:rsidRPr="00F55A79">
        <w:rPr>
          <w:color w:val="000000" w:themeColor="text1"/>
        </w:rPr>
        <w:t>Discussion</w:t>
      </w:r>
      <w:bookmarkEnd w:id="171"/>
    </w:p>
    <w:p w:rsidRPr="00F55A79" w:rsidR="00D375FE" w:rsidP="009F0546" w:rsidRDefault="009D4DE3" w14:paraId="4ED91EDF" w14:textId="5740D668">
      <w:pPr>
        <w:pStyle w:val="Standard"/>
        <w:rPr>
          <w:color w:val="000000" w:themeColor="text1"/>
        </w:rPr>
      </w:pPr>
      <w:r w:rsidRPr="00F55A79">
        <w:rPr>
          <w:color w:val="000000" w:themeColor="text1"/>
        </w:rPr>
        <w:t>Given the pending</w:t>
      </w:r>
      <w:r w:rsidRPr="00F55A79" w:rsidR="001A3F51">
        <w:rPr>
          <w:color w:val="000000" w:themeColor="text1"/>
        </w:rPr>
        <w:t xml:space="preserve"> </w:t>
      </w:r>
      <w:r w:rsidRPr="00F55A79" w:rsidR="001E6F23">
        <w:rPr>
          <w:color w:val="000000" w:themeColor="text1"/>
        </w:rPr>
        <w:t>COLR rule</w:t>
      </w:r>
      <w:r w:rsidRPr="00F55A79" w:rsidR="001A3F51">
        <w:rPr>
          <w:color w:val="000000" w:themeColor="text1"/>
        </w:rPr>
        <w:t xml:space="preserve">making, R.24-06-012, we find that </w:t>
      </w:r>
      <w:r w:rsidRPr="00F55A79" w:rsidR="00616139">
        <w:rPr>
          <w:color w:val="000000" w:themeColor="text1"/>
        </w:rPr>
        <w:t>the Joint Applicants’ COLR obligations are best addressed in that venue</w:t>
      </w:r>
      <w:r w:rsidRPr="00F55A79" w:rsidR="00D375FE">
        <w:rPr>
          <w:color w:val="000000" w:themeColor="text1"/>
        </w:rPr>
        <w:t>.</w:t>
      </w:r>
      <w:r w:rsidRPr="00F55A79" w:rsidR="00616139">
        <w:rPr>
          <w:color w:val="000000" w:themeColor="text1"/>
        </w:rPr>
        <w:t xml:space="preserve">  We do not </w:t>
      </w:r>
      <w:r w:rsidRPr="00F55A79" w:rsidR="001F0C61">
        <w:rPr>
          <w:color w:val="000000" w:themeColor="text1"/>
        </w:rPr>
        <w:t>require additional COLR obligations here.</w:t>
      </w:r>
    </w:p>
    <w:p w:rsidRPr="00F55A79" w:rsidR="00DF2FA8" w:rsidP="009F0546" w:rsidRDefault="000B2A80" w14:paraId="1C428FD8" w14:textId="009B73FF">
      <w:pPr>
        <w:pStyle w:val="Heading2"/>
      </w:pPr>
      <w:bookmarkStart w:name="_Toc216163257" w:id="172"/>
      <w:r w:rsidRPr="00F55A79">
        <w:t>Lifeline</w:t>
      </w:r>
      <w:bookmarkEnd w:id="172"/>
      <w:r w:rsidRPr="00F55A79" w:rsidR="00DF2FA8">
        <w:t xml:space="preserve"> </w:t>
      </w:r>
    </w:p>
    <w:p w:rsidRPr="00F55A79" w:rsidR="00F76288" w:rsidP="009F0546" w:rsidRDefault="00F76288" w14:paraId="0CD73A7E" w14:textId="578A244A">
      <w:pPr>
        <w:pStyle w:val="Heading3"/>
      </w:pPr>
      <w:bookmarkStart w:name="_Toc216163258" w:id="173"/>
      <w:r w:rsidRPr="00F55A79">
        <w:t>Background</w:t>
      </w:r>
      <w:bookmarkEnd w:id="173"/>
    </w:p>
    <w:p w:rsidRPr="00F55A79" w:rsidR="00177814" w:rsidP="009F0546" w:rsidRDefault="00821475" w14:paraId="23E3E700" w14:textId="27C62DC2">
      <w:pPr>
        <w:pStyle w:val="Standard"/>
      </w:pPr>
      <w:r w:rsidRPr="00F55A79">
        <w:t xml:space="preserve">In A.20-11-001, </w:t>
      </w:r>
      <w:r w:rsidRPr="00F55A79" w:rsidR="00852B41">
        <w:t xml:space="preserve">TracFone Wireless, Inc. (TracFone) et al. applied to the Commission for the approval of a transfer of control to </w:t>
      </w:r>
      <w:r w:rsidRPr="00F55A79">
        <w:t>Verizon</w:t>
      </w:r>
      <w:r w:rsidRPr="00F55A79" w:rsidR="00D375FE">
        <w:t>.</w:t>
      </w:r>
      <w:r w:rsidRPr="00F55A79" w:rsidR="00852B41">
        <w:t xml:space="preserve">  </w:t>
      </w:r>
      <w:r w:rsidRPr="00F55A79" w:rsidR="00F76288">
        <w:t xml:space="preserve">Pursuant to D.21-11-030, Frontier </w:t>
      </w:r>
      <w:r w:rsidRPr="00F55A79" w:rsidR="00177814">
        <w:t xml:space="preserve">or TracFone </w:t>
      </w:r>
      <w:r w:rsidRPr="00F55A79" w:rsidR="00073B60">
        <w:t>wa</w:t>
      </w:r>
      <w:r w:rsidRPr="00F55A79" w:rsidR="0022770F">
        <w:t>s required to</w:t>
      </w:r>
      <w:r w:rsidRPr="00F55A79" w:rsidR="00177814">
        <w:t>: (1)</w:t>
      </w:r>
      <w:r w:rsidRPr="00F55A79" w:rsidR="0022770F">
        <w:t xml:space="preserve"> offer</w:t>
      </w:r>
      <w:r w:rsidRPr="00F55A79" w:rsidR="00177814">
        <w:t xml:space="preserve"> </w:t>
      </w:r>
      <w:r w:rsidRPr="00F55A79" w:rsidR="0022770F">
        <w:t xml:space="preserve">California </w:t>
      </w:r>
      <w:r w:rsidRPr="00F55A79" w:rsidR="000B2A80">
        <w:t>Life</w:t>
      </w:r>
      <w:r w:rsidRPr="00F55A79" w:rsidR="00AA377D">
        <w:t>L</w:t>
      </w:r>
      <w:r w:rsidRPr="00F55A79" w:rsidR="000B2A80">
        <w:t>ine</w:t>
      </w:r>
      <w:r w:rsidRPr="00F55A79" w:rsidR="0022770F">
        <w:t xml:space="preserve"> service for 20 years following the close of the </w:t>
      </w:r>
      <w:r w:rsidRPr="00F55A79" w:rsidR="00332FA3">
        <w:t>TracFone acquisition</w:t>
      </w:r>
      <w:r w:rsidRPr="00F55A79" w:rsidR="0022770F">
        <w:t>;</w:t>
      </w:r>
      <w:r w:rsidRPr="00F55A79" w:rsidR="00177814">
        <w:t xml:space="preserve"> (2)</w:t>
      </w:r>
      <w:r w:rsidRPr="00F55A79" w:rsidR="0022770F">
        <w:t xml:space="preserve"> offer California </w:t>
      </w:r>
      <w:r w:rsidRPr="00F55A79" w:rsidR="000B2A80">
        <w:t>Life</w:t>
      </w:r>
      <w:r w:rsidRPr="00F55A79" w:rsidR="00AA377D">
        <w:t>L</w:t>
      </w:r>
      <w:r w:rsidRPr="00F55A79" w:rsidR="000B2A80">
        <w:t>ine</w:t>
      </w:r>
      <w:r w:rsidRPr="00F55A79" w:rsidR="0022770F">
        <w:t xml:space="preserve"> plans, handsets, and devices in</w:t>
      </w:r>
      <w:r w:rsidRPr="00F55A79" w:rsidR="00177814">
        <w:t xml:space="preserve"> </w:t>
      </w:r>
      <w:r w:rsidRPr="00F55A79" w:rsidR="0022770F">
        <w:t xml:space="preserve">stores; and </w:t>
      </w:r>
      <w:r w:rsidRPr="00F55A79" w:rsidR="00177814">
        <w:t>(3</w:t>
      </w:r>
      <w:r w:rsidRPr="00F55A79" w:rsidR="0022770F">
        <w:t>) achieve and maintain</w:t>
      </w:r>
      <w:r w:rsidRPr="00F55A79" w:rsidR="00177814">
        <w:t xml:space="preserve"> </w:t>
      </w:r>
      <w:r w:rsidRPr="00F55A79" w:rsidR="0022770F">
        <w:t>specifi</w:t>
      </w:r>
      <w:r w:rsidRPr="00F55A79" w:rsidR="00E35122">
        <w:t>ed</w:t>
      </w:r>
      <w:r w:rsidRPr="00F55A79" w:rsidR="0022770F">
        <w:t xml:space="preserve"> levels of California </w:t>
      </w:r>
      <w:r w:rsidRPr="00F55A79" w:rsidR="000B2A80">
        <w:t>Life</w:t>
      </w:r>
      <w:r w:rsidRPr="00F55A79" w:rsidR="00AA377D">
        <w:t>L</w:t>
      </w:r>
      <w:r w:rsidRPr="00F55A79" w:rsidR="000B2A80">
        <w:t>ine</w:t>
      </w:r>
      <w:r w:rsidRPr="00F55A79" w:rsidR="0022770F">
        <w:t xml:space="preserve"> customer enrollment.</w:t>
      </w:r>
      <w:r w:rsidRPr="00F55A79" w:rsidR="00177814">
        <w:rPr>
          <w:vertAlign w:val="superscript"/>
        </w:rPr>
        <w:footnoteReference w:id="289"/>
      </w:r>
      <w:r w:rsidRPr="00F55A79" w:rsidR="00BB1149">
        <w:t xml:space="preserve"> </w:t>
      </w:r>
      <w:r w:rsidRPr="00F55A79" w:rsidR="00E35122">
        <w:t xml:space="preserve"> </w:t>
      </w:r>
      <w:r w:rsidRPr="00F55A79" w:rsidR="00BB1149">
        <w:t>Verizon announced on November 23, 2021 that it has completed its previously announced acquisition of TracFone</w:t>
      </w:r>
      <w:r w:rsidRPr="00F55A79">
        <w:t>.</w:t>
      </w:r>
      <w:r w:rsidRPr="00F55A79" w:rsidR="00E92C2B">
        <w:rPr>
          <w:vertAlign w:val="superscript"/>
        </w:rPr>
        <w:footnoteReference w:id="290"/>
      </w:r>
      <w:r w:rsidRPr="00F55A79" w:rsidR="00463E21">
        <w:t xml:space="preserve">  As a result, </w:t>
      </w:r>
      <w:r w:rsidRPr="00F55A79" w:rsidR="00ED2603">
        <w:t>Verizon</w:t>
      </w:r>
      <w:r w:rsidRPr="00F55A79" w:rsidR="00463E21">
        <w:t xml:space="preserve">’s 20-year obligations are scheduled to </w:t>
      </w:r>
      <w:r w:rsidRPr="00F55A79" w:rsidR="003B76D5">
        <w:t>conclude on November 23, 2041.</w:t>
      </w:r>
    </w:p>
    <w:p w:rsidRPr="00F55A79" w:rsidR="007256FA" w:rsidP="009F0546" w:rsidRDefault="007256FA" w14:paraId="29396A56" w14:textId="512B7936">
      <w:pPr>
        <w:pStyle w:val="Heading3"/>
      </w:pPr>
      <w:bookmarkStart w:name="_Toc216163259" w:id="174"/>
      <w:r w:rsidRPr="00F55A79">
        <w:lastRenderedPageBreak/>
        <w:t>Party Positions</w:t>
      </w:r>
      <w:bookmarkEnd w:id="174"/>
    </w:p>
    <w:p w:rsidRPr="00F55A79" w:rsidR="007256FA" w:rsidP="009F0546" w:rsidRDefault="007256FA" w14:paraId="27E888D3" w14:textId="63CDD7A9">
      <w:pPr>
        <w:pStyle w:val="Heading4"/>
      </w:pPr>
      <w:bookmarkStart w:name="_Toc216163260" w:id="175"/>
      <w:r w:rsidRPr="00F55A79">
        <w:t>Joint Applicants</w:t>
      </w:r>
      <w:bookmarkEnd w:id="175"/>
    </w:p>
    <w:p w:rsidRPr="00F55A79" w:rsidR="007256FA" w:rsidP="009F0546" w:rsidRDefault="00023AAA" w14:paraId="443A4C4B" w14:textId="4B4A1DBB">
      <w:pPr>
        <w:pStyle w:val="Standard"/>
      </w:pPr>
      <w:r w:rsidRPr="00F55A79">
        <w:t>The Joint Applicants stated that Verizon will continue meet all applicable obligations associated with public purpose and universal service programs.</w:t>
      </w:r>
      <w:r w:rsidRPr="00F55A79">
        <w:rPr>
          <w:rStyle w:val="FootnoteReference"/>
        </w:rPr>
        <w:footnoteReference w:id="291"/>
      </w:r>
      <w:r w:rsidRPr="00F55A79">
        <w:t xml:space="preserve"> </w:t>
      </w:r>
    </w:p>
    <w:p w:rsidRPr="00F55A79" w:rsidR="007256FA" w:rsidP="009F0546" w:rsidRDefault="007256FA" w14:paraId="5FDE4439" w14:textId="59EC4F25">
      <w:pPr>
        <w:pStyle w:val="Heading4"/>
      </w:pPr>
      <w:bookmarkStart w:name="_Toc216163261" w:id="176"/>
      <w:r w:rsidRPr="00F55A79">
        <w:t>CETF</w:t>
      </w:r>
      <w:bookmarkEnd w:id="176"/>
    </w:p>
    <w:p w:rsidRPr="00F55A79" w:rsidR="007256FA" w:rsidP="009F0546" w:rsidRDefault="00D375FE" w14:paraId="090FF193" w14:textId="55B39524">
      <w:pPr>
        <w:pStyle w:val="Standard"/>
      </w:pPr>
      <w:r w:rsidRPr="00F55A79">
        <w:rPr>
          <w:color w:val="000000" w:themeColor="text1"/>
        </w:rPr>
        <w:t xml:space="preserve">CETF stated </w:t>
      </w:r>
      <w:r w:rsidRPr="00F55A79">
        <w:t>that th</w:t>
      </w:r>
      <w:r w:rsidRPr="00F55A79" w:rsidR="007256FA">
        <w:t>e CETF and Cal Advocates</w:t>
      </w:r>
      <w:r w:rsidRPr="00F55A79" w:rsidR="00606E40">
        <w:t>’</w:t>
      </w:r>
      <w:r w:rsidRPr="00F55A79" w:rsidR="007256FA">
        <w:t xml:space="preserve"> </w:t>
      </w:r>
      <w:r w:rsidRPr="00F55A79">
        <w:t>settlement a</w:t>
      </w:r>
      <w:r w:rsidRPr="00F55A79" w:rsidR="007256FA">
        <w:t>greements ensure that Verizon will continue offer Lifeline commitments for five years in the Frontier service territory.</w:t>
      </w:r>
      <w:r w:rsidRPr="00F55A79">
        <w:rPr>
          <w:vertAlign w:val="superscript"/>
        </w:rPr>
        <w:footnoteReference w:id="292"/>
      </w:r>
      <w:r w:rsidRPr="00F55A79" w:rsidR="007256FA">
        <w:t xml:space="preserve"> </w:t>
      </w:r>
      <w:r w:rsidRPr="00F55A79">
        <w:t xml:space="preserve"> </w:t>
      </w:r>
      <w:r w:rsidRPr="00F55A79" w:rsidR="007256FA">
        <w:t>Further,</w:t>
      </w:r>
      <w:r w:rsidRPr="00F55A79" w:rsidR="007256FA">
        <w:rPr>
          <w:color w:val="000000" w:themeColor="text1"/>
        </w:rPr>
        <w:t xml:space="preserve"> Verizon agree</w:t>
      </w:r>
      <w:r w:rsidRPr="00F55A79">
        <w:rPr>
          <w:color w:val="000000" w:themeColor="text1"/>
        </w:rPr>
        <w:t>d</w:t>
      </w:r>
      <w:r w:rsidRPr="00F55A79" w:rsidR="007256FA">
        <w:rPr>
          <w:color w:val="000000" w:themeColor="text1"/>
        </w:rPr>
        <w:t xml:space="preserve"> to allow eligible voice plus Fios </w:t>
      </w:r>
      <w:r w:rsidRPr="00F55A79" w:rsidR="007256FA">
        <w:t xml:space="preserve">bundle customers to apply the state </w:t>
      </w:r>
      <w:r w:rsidRPr="00F55A79" w:rsidR="000B2A80">
        <w:t>Lifeline</w:t>
      </w:r>
      <w:r w:rsidRPr="00F55A79" w:rsidR="007256FA">
        <w:t xml:space="preserve"> discount on top of the Verizon Forward discount.</w:t>
      </w:r>
      <w:r w:rsidRPr="00F55A79">
        <w:rPr>
          <w:vertAlign w:val="superscript"/>
        </w:rPr>
        <w:footnoteReference w:id="293"/>
      </w:r>
    </w:p>
    <w:p w:rsidRPr="00F55A79" w:rsidR="007256FA" w:rsidP="009F0546" w:rsidRDefault="000A4F12" w14:paraId="3013F7A3" w14:textId="70698126">
      <w:pPr>
        <w:pStyle w:val="Heading4"/>
        <w:rPr>
          <w:color w:val="000000" w:themeColor="text1"/>
        </w:rPr>
      </w:pPr>
      <w:bookmarkStart w:name="_Toc216163262" w:id="177"/>
      <w:r w:rsidRPr="00F55A79">
        <w:rPr>
          <w:color w:val="000000" w:themeColor="text1"/>
        </w:rPr>
        <w:t>TURN</w:t>
      </w:r>
      <w:bookmarkEnd w:id="177"/>
    </w:p>
    <w:p w:rsidRPr="00F55A79" w:rsidR="00C36B03" w:rsidP="009A7320" w:rsidRDefault="003231B4" w14:paraId="2797ECB4" w14:textId="437383EB">
      <w:pPr>
        <w:pStyle w:val="Standard"/>
      </w:pPr>
      <w:r w:rsidRPr="00F55A79">
        <w:t xml:space="preserve">TURN </w:t>
      </w:r>
      <w:r w:rsidRPr="00F55A79" w:rsidR="00DF569D">
        <w:t>noted</w:t>
      </w:r>
      <w:r w:rsidRPr="00F55A79">
        <w:t xml:space="preserve"> that Verizon could use a “poison pill” in its </w:t>
      </w:r>
      <w:r w:rsidRPr="00F55A79" w:rsidR="00C36B03">
        <w:t>CETF and Cal Advocates settlement</w:t>
      </w:r>
      <w:r w:rsidRPr="00F55A79" w:rsidR="00924975">
        <w:t>s</w:t>
      </w:r>
      <w:r w:rsidRPr="00F55A79" w:rsidR="00C36B03">
        <w:t xml:space="preserve"> to alleviate itself of California </w:t>
      </w:r>
      <w:r w:rsidRPr="00F55A79" w:rsidR="000B2A80">
        <w:t>Life</w:t>
      </w:r>
      <w:r w:rsidRPr="00F55A79" w:rsidR="00673F6C">
        <w:t>L</w:t>
      </w:r>
      <w:r w:rsidRPr="00F55A79" w:rsidR="000B2A80">
        <w:t>ine</w:t>
      </w:r>
      <w:r w:rsidRPr="00F55A79" w:rsidR="00C36B03">
        <w:t xml:space="preserve"> and federal </w:t>
      </w:r>
      <w:r w:rsidRPr="00F55A79" w:rsidR="000B2A80">
        <w:t>Lifeline</w:t>
      </w:r>
      <w:r w:rsidRPr="00F55A79" w:rsidR="00C36B03">
        <w:t xml:space="preserve"> obligations.</w:t>
      </w:r>
      <w:r w:rsidRPr="00F55A79" w:rsidR="00C36B03">
        <w:rPr>
          <w:rStyle w:val="FootnoteReference"/>
        </w:rPr>
        <w:footnoteReference w:id="294"/>
      </w:r>
      <w:r w:rsidRPr="00F55A79" w:rsidR="00C36B03">
        <w:t xml:space="preserve">  </w:t>
      </w:r>
      <w:r w:rsidRPr="00F55A79" w:rsidR="009C48E4">
        <w:t>As a result, TURN recommended that the</w:t>
      </w:r>
      <w:r w:rsidRPr="00F55A79" w:rsidR="00C36B03">
        <w:t xml:space="preserve"> Commission adopt its own requirements for Verizon to provide California </w:t>
      </w:r>
      <w:r w:rsidRPr="00F55A79" w:rsidR="00673F6C">
        <w:t>LifeLine</w:t>
      </w:r>
      <w:r w:rsidRPr="00F55A79" w:rsidR="00C36B03">
        <w:t xml:space="preserve"> and federal </w:t>
      </w:r>
      <w:r w:rsidRPr="00F55A79" w:rsidR="000B2A80">
        <w:t>Lifeline</w:t>
      </w:r>
      <w:r w:rsidRPr="00F55A79" w:rsidR="00C36B03">
        <w:t xml:space="preserve"> services through Frontier’s network.</w:t>
      </w:r>
      <w:r w:rsidRPr="00F55A79" w:rsidR="009C48E4">
        <w:rPr>
          <w:rStyle w:val="FootnoteReference"/>
        </w:rPr>
        <w:footnoteReference w:id="295"/>
      </w:r>
    </w:p>
    <w:p w:rsidRPr="00F55A79" w:rsidR="00B378FB" w:rsidP="009A7320" w:rsidRDefault="00C36B03" w14:paraId="1357C28C" w14:textId="0B75F9D1">
      <w:pPr>
        <w:pStyle w:val="Standard"/>
      </w:pPr>
      <w:r w:rsidRPr="00F55A79">
        <w:t xml:space="preserve">TURN </w:t>
      </w:r>
      <w:r w:rsidRPr="00F55A79" w:rsidR="00042389">
        <w:t xml:space="preserve">noted </w:t>
      </w:r>
      <w:r w:rsidRPr="00F55A79">
        <w:t>that Frontier would</w:t>
      </w:r>
      <w:r w:rsidRPr="00F55A79" w:rsidR="001D1AA3">
        <w:t xml:space="preserve"> still</w:t>
      </w:r>
      <w:r w:rsidRPr="00F55A79">
        <w:t xml:space="preserve"> have legal obligations under the COLR rules to provide California </w:t>
      </w:r>
      <w:r w:rsidRPr="00F55A79" w:rsidR="00673F6C">
        <w:t>LifeLine</w:t>
      </w:r>
      <w:r w:rsidRPr="00F55A79">
        <w:rPr>
          <w:rStyle w:val="FootnoteReference"/>
        </w:rPr>
        <w:footnoteReference w:id="296"/>
      </w:r>
      <w:r w:rsidRPr="00F55A79">
        <w:t xml:space="preserve"> and under the </w:t>
      </w:r>
      <w:r w:rsidRPr="00F55A79" w:rsidR="00924975">
        <w:t>ETC</w:t>
      </w:r>
      <w:r w:rsidRPr="00F55A79">
        <w:t xml:space="preserve"> designation to provide federal </w:t>
      </w:r>
      <w:r w:rsidRPr="00F55A79" w:rsidR="000B2A80">
        <w:t>Lifeline</w:t>
      </w:r>
      <w:r w:rsidRPr="00F55A79">
        <w:t>.</w:t>
      </w:r>
      <w:r w:rsidRPr="00F55A79">
        <w:rPr>
          <w:rStyle w:val="FootnoteReference"/>
        </w:rPr>
        <w:footnoteReference w:id="297"/>
      </w:r>
      <w:r w:rsidRPr="00F55A79">
        <w:t xml:space="preserve"> </w:t>
      </w:r>
      <w:r w:rsidRPr="00F55A79" w:rsidR="00042389">
        <w:t xml:space="preserve"> In addition</w:t>
      </w:r>
      <w:r w:rsidRPr="00F55A79">
        <w:t xml:space="preserve">, Frontier would </w:t>
      </w:r>
      <w:r w:rsidRPr="00F55A79" w:rsidR="001D1AA3">
        <w:t xml:space="preserve">still </w:t>
      </w:r>
      <w:r w:rsidRPr="00F55A79">
        <w:t>be subject to the</w:t>
      </w:r>
      <w:r w:rsidRPr="00F55A79" w:rsidR="00B378FB">
        <w:t xml:space="preserve"> </w:t>
      </w:r>
      <w:r w:rsidRPr="00F55A79">
        <w:t xml:space="preserve">Verizon-TracFone decision requirement for Verizon’s affiliates and subsidiaries </w:t>
      </w:r>
      <w:r w:rsidRPr="00F55A79">
        <w:lastRenderedPageBreak/>
        <w:t>to participate in</w:t>
      </w:r>
      <w:r w:rsidRPr="00F55A79" w:rsidR="00B378FB">
        <w:t xml:space="preserve"> </w:t>
      </w:r>
      <w:r w:rsidRPr="00F55A79" w:rsidR="000B2A80">
        <w:t>Lifeline</w:t>
      </w:r>
      <w:r w:rsidRPr="00F55A79" w:rsidR="00B378FB">
        <w:t>,</w:t>
      </w:r>
      <w:r w:rsidRPr="00F55A79" w:rsidR="000B4671">
        <w:t xml:space="preserve"> </w:t>
      </w:r>
      <w:r w:rsidRPr="00F55A79" w:rsidR="00B378FB">
        <w:t>and as a grant condition.</w:t>
      </w:r>
      <w:r w:rsidRPr="00F55A79" w:rsidR="00B378FB">
        <w:rPr>
          <w:rStyle w:val="FootnoteReference"/>
        </w:rPr>
        <w:footnoteReference w:id="298"/>
      </w:r>
      <w:r w:rsidRPr="00F55A79" w:rsidR="00B378FB">
        <w:t xml:space="preserve"> </w:t>
      </w:r>
      <w:r w:rsidRPr="00F55A79" w:rsidR="00154A10">
        <w:t xml:space="preserve"> </w:t>
      </w:r>
      <w:r w:rsidRPr="00F55A79" w:rsidR="00B378FB">
        <w:t xml:space="preserve">However, </w:t>
      </w:r>
      <w:r w:rsidRPr="00F55A79" w:rsidR="00042389">
        <w:t xml:space="preserve">TURN noted that </w:t>
      </w:r>
      <w:r w:rsidRPr="00F55A79" w:rsidR="00B378FB">
        <w:t xml:space="preserve">these requirements would only obligate Verizon to </w:t>
      </w:r>
      <w:r w:rsidRPr="00F55A79" w:rsidR="00761E68">
        <w:t>offer</w:t>
      </w:r>
      <w:r w:rsidRPr="00F55A79" w:rsidR="001D1AA3">
        <w:t xml:space="preserve"> </w:t>
      </w:r>
      <w:r w:rsidRPr="00F55A79" w:rsidR="00B378FB">
        <w:t>voice service.</w:t>
      </w:r>
      <w:r w:rsidRPr="00F55A79" w:rsidR="00B378FB">
        <w:rPr>
          <w:rStyle w:val="FootnoteReference"/>
        </w:rPr>
        <w:footnoteReference w:id="299"/>
      </w:r>
    </w:p>
    <w:p w:rsidRPr="00F55A79" w:rsidR="00B378FB" w:rsidP="009A7320" w:rsidRDefault="00154A10" w14:paraId="73BF481F" w14:textId="7190EF67">
      <w:pPr>
        <w:pStyle w:val="Standard"/>
      </w:pPr>
      <w:r w:rsidRPr="00F55A79">
        <w:t xml:space="preserve">TURN further noted that </w:t>
      </w:r>
      <w:r w:rsidRPr="00F55A79" w:rsidR="00B378FB">
        <w:t xml:space="preserve">unless Frontier offers broadband service that meets the FCC minimum service standards for </w:t>
      </w:r>
      <w:r w:rsidRPr="00F55A79" w:rsidR="000B2A80">
        <w:t>Lifeline</w:t>
      </w:r>
      <w:r w:rsidRPr="00F55A79" w:rsidR="00B378FB">
        <w:t>, it may effectively no longer have an obligation to provide voice or broadband services.</w:t>
      </w:r>
      <w:r w:rsidRPr="00F55A79" w:rsidR="00B378FB">
        <w:rPr>
          <w:rStyle w:val="FootnoteReference"/>
        </w:rPr>
        <w:footnoteReference w:id="300"/>
      </w:r>
      <w:r w:rsidRPr="00F55A79" w:rsidR="00B378FB">
        <w:t xml:space="preserve"> </w:t>
      </w:r>
      <w:r w:rsidRPr="00F55A79">
        <w:t xml:space="preserve"> </w:t>
      </w:r>
      <w:r w:rsidRPr="00F55A79" w:rsidR="00B54503">
        <w:t xml:space="preserve">According to TURN, </w:t>
      </w:r>
      <w:r w:rsidRPr="00F55A79" w:rsidR="00B378FB">
        <w:t xml:space="preserve">Frontier has indicated its desire not to provide broadband to low-income households when requested and received a waiver from the federal </w:t>
      </w:r>
      <w:r w:rsidRPr="00F55A79" w:rsidR="000B2A80">
        <w:t>Lifeline</w:t>
      </w:r>
      <w:r w:rsidRPr="00F55A79" w:rsidR="00B378FB">
        <w:t xml:space="preserve"> broadband service requirement.</w:t>
      </w:r>
      <w:r w:rsidRPr="00F55A79" w:rsidR="00B378FB">
        <w:rPr>
          <w:vertAlign w:val="superscript"/>
        </w:rPr>
        <w:footnoteReference w:id="301"/>
      </w:r>
      <w:r w:rsidRPr="00F55A79" w:rsidR="00B378FB">
        <w:t xml:space="preserve">  </w:t>
      </w:r>
      <w:r w:rsidRPr="00F55A79" w:rsidR="00021464">
        <w:t xml:space="preserve">TURN noted that </w:t>
      </w:r>
      <w:r w:rsidRPr="00F55A79" w:rsidR="00B378FB">
        <w:t xml:space="preserve">Cal Advocates’ settlement </w:t>
      </w:r>
      <w:r w:rsidRPr="00F55A79" w:rsidR="00021464">
        <w:t xml:space="preserve">agreement </w:t>
      </w:r>
      <w:r w:rsidRPr="00F55A79" w:rsidR="00B378FB">
        <w:t>requir</w:t>
      </w:r>
      <w:r w:rsidRPr="00F55A79" w:rsidR="00021464">
        <w:t>es</w:t>
      </w:r>
      <w:r w:rsidRPr="00F55A79" w:rsidR="00B378FB">
        <w:t xml:space="preserve"> Verizon to rescind Frontier’s waiver of providing federal </w:t>
      </w:r>
      <w:r w:rsidRPr="00F55A79" w:rsidR="000B2A80">
        <w:t>Lifeline</w:t>
      </w:r>
      <w:r w:rsidRPr="00F55A79" w:rsidR="00B378FB">
        <w:t xml:space="preserve"> broadband services,</w:t>
      </w:r>
      <w:r w:rsidRPr="00F55A79" w:rsidR="00B378FB">
        <w:rPr>
          <w:vertAlign w:val="superscript"/>
        </w:rPr>
        <w:footnoteReference w:id="302"/>
      </w:r>
      <w:r w:rsidRPr="00F55A79" w:rsidR="00B378FB">
        <w:t xml:space="preserve"> but </w:t>
      </w:r>
      <w:r w:rsidRPr="00F55A79" w:rsidR="00021464">
        <w:t>“</w:t>
      </w:r>
      <w:r w:rsidRPr="00F55A79" w:rsidR="00B378FB">
        <w:t xml:space="preserve">that is still subject to the Verizon poison pill to eliminate any California </w:t>
      </w:r>
      <w:r w:rsidRPr="00F55A79" w:rsidR="000B2A80">
        <w:t>Life</w:t>
      </w:r>
      <w:r w:rsidRPr="00F55A79" w:rsidR="00437967">
        <w:t>L</w:t>
      </w:r>
      <w:r w:rsidRPr="00F55A79" w:rsidR="000B2A80">
        <w:t>ine</w:t>
      </w:r>
      <w:r w:rsidRPr="00F55A79" w:rsidR="00B378FB">
        <w:t xml:space="preserve"> and federal </w:t>
      </w:r>
      <w:r w:rsidRPr="00F55A79" w:rsidR="000B2A80">
        <w:t>Lifeline</w:t>
      </w:r>
      <w:r w:rsidRPr="00F55A79" w:rsidR="00B378FB">
        <w:t xml:space="preserve"> requirements under the settlement.</w:t>
      </w:r>
      <w:r w:rsidRPr="00F55A79" w:rsidR="00021464">
        <w:t>”</w:t>
      </w:r>
      <w:r w:rsidRPr="00F55A79" w:rsidR="00B378FB">
        <w:rPr>
          <w:vertAlign w:val="superscript"/>
        </w:rPr>
        <w:footnoteReference w:id="303"/>
      </w:r>
    </w:p>
    <w:p w:rsidRPr="00F55A79" w:rsidR="000A4F12" w:rsidP="009F0546" w:rsidRDefault="00B378FB" w14:paraId="1AC0C96B" w14:textId="5ECFEA0B">
      <w:pPr>
        <w:pStyle w:val="Standard"/>
        <w:rPr>
          <w:color w:val="000000" w:themeColor="text1"/>
        </w:rPr>
      </w:pPr>
      <w:r w:rsidRPr="00F55A79">
        <w:rPr>
          <w:color w:val="000000" w:themeColor="text1"/>
        </w:rPr>
        <w:t xml:space="preserve">Therefore, if the </w:t>
      </w:r>
      <w:r w:rsidRPr="00F55A79" w:rsidR="005F355E">
        <w:rPr>
          <w:color w:val="000000" w:themeColor="text1"/>
        </w:rPr>
        <w:t>proposed transaction is approved, TURN argued that</w:t>
      </w:r>
      <w:r w:rsidRPr="00F55A79">
        <w:rPr>
          <w:color w:val="000000" w:themeColor="text1"/>
        </w:rPr>
        <w:t xml:space="preserve"> the Commission should require Verizon to offer California </w:t>
      </w:r>
      <w:r w:rsidRPr="00F55A79" w:rsidR="000B2A80">
        <w:rPr>
          <w:color w:val="000000" w:themeColor="text1"/>
        </w:rPr>
        <w:t>Life</w:t>
      </w:r>
      <w:r w:rsidRPr="00F55A79" w:rsidR="00437967">
        <w:rPr>
          <w:color w:val="000000" w:themeColor="text1"/>
        </w:rPr>
        <w:t>L</w:t>
      </w:r>
      <w:r w:rsidRPr="00F55A79" w:rsidR="000B2A80">
        <w:rPr>
          <w:color w:val="000000" w:themeColor="text1"/>
        </w:rPr>
        <w:t>ine</w:t>
      </w:r>
      <w:r w:rsidRPr="00F55A79">
        <w:rPr>
          <w:color w:val="000000" w:themeColor="text1"/>
        </w:rPr>
        <w:t xml:space="preserve"> and federal </w:t>
      </w:r>
      <w:r w:rsidRPr="00F55A79" w:rsidR="000B2A80">
        <w:rPr>
          <w:color w:val="000000" w:themeColor="text1"/>
        </w:rPr>
        <w:t>Lifeline</w:t>
      </w:r>
      <w:r w:rsidRPr="00F55A79">
        <w:rPr>
          <w:color w:val="000000" w:themeColor="text1"/>
        </w:rPr>
        <w:t xml:space="preserve"> voice and broadband services throughout Frontier’s service territory, and across all technologies, for twenty years after the close of the </w:t>
      </w:r>
      <w:r w:rsidRPr="00F55A79" w:rsidR="005F355E">
        <w:rPr>
          <w:color w:val="000000" w:themeColor="text1"/>
        </w:rPr>
        <w:t>transaction</w:t>
      </w:r>
      <w:r w:rsidRPr="00F55A79">
        <w:rPr>
          <w:color w:val="000000" w:themeColor="text1"/>
        </w:rPr>
        <w:t>.</w:t>
      </w:r>
      <w:r w:rsidRPr="00F55A79" w:rsidR="005F355E">
        <w:rPr>
          <w:rStyle w:val="FootnoteReference"/>
          <w:color w:val="000000" w:themeColor="text1"/>
        </w:rPr>
        <w:footnoteReference w:id="304"/>
      </w:r>
    </w:p>
    <w:p w:rsidRPr="00F55A79" w:rsidR="00DF2FA8" w:rsidP="00B809C2" w:rsidRDefault="00177814" w14:paraId="101AA755" w14:textId="0E81EBA2">
      <w:pPr>
        <w:pStyle w:val="Heading3"/>
        <w:rPr>
          <w:color w:val="000000" w:themeColor="text1"/>
        </w:rPr>
      </w:pPr>
      <w:bookmarkStart w:name="_Toc216163263" w:id="178"/>
      <w:r w:rsidRPr="00F55A79">
        <w:rPr>
          <w:color w:val="000000" w:themeColor="text1"/>
        </w:rPr>
        <w:t>Discussion</w:t>
      </w:r>
      <w:bookmarkEnd w:id="178"/>
    </w:p>
    <w:p w:rsidRPr="00F55A79" w:rsidR="008F317B" w:rsidP="009F0546" w:rsidRDefault="00300693" w14:paraId="38A883E0" w14:textId="3560BA12">
      <w:pPr>
        <w:pStyle w:val="Standard"/>
        <w:rPr>
          <w:color w:val="000000" w:themeColor="text1"/>
        </w:rPr>
      </w:pPr>
      <w:r w:rsidRPr="00F55A79">
        <w:rPr>
          <w:color w:val="000000" w:themeColor="text1"/>
        </w:rPr>
        <w:t xml:space="preserve">D.21-11-030 established that </w:t>
      </w:r>
      <w:r w:rsidRPr="00F55A79" w:rsidR="008D30E1">
        <w:rPr>
          <w:color w:val="000000" w:themeColor="text1"/>
        </w:rPr>
        <w:t>Verizon</w:t>
      </w:r>
      <w:r w:rsidRPr="00F55A79">
        <w:rPr>
          <w:color w:val="000000" w:themeColor="text1"/>
        </w:rPr>
        <w:t xml:space="preserve"> was required to</w:t>
      </w:r>
      <w:r w:rsidRPr="00F55A79" w:rsidR="008F317B">
        <w:rPr>
          <w:color w:val="000000" w:themeColor="text1"/>
        </w:rPr>
        <w:t xml:space="preserve"> </w:t>
      </w:r>
      <w:r w:rsidRPr="00F55A79">
        <w:rPr>
          <w:color w:val="000000" w:themeColor="text1"/>
        </w:rPr>
        <w:t xml:space="preserve">offer California </w:t>
      </w:r>
      <w:r w:rsidRPr="00F55A79" w:rsidR="000B2A80">
        <w:rPr>
          <w:color w:val="000000" w:themeColor="text1"/>
        </w:rPr>
        <w:t>Life</w:t>
      </w:r>
      <w:r w:rsidRPr="00F55A79" w:rsidR="00437967">
        <w:rPr>
          <w:color w:val="000000" w:themeColor="text1"/>
        </w:rPr>
        <w:t>L</w:t>
      </w:r>
      <w:r w:rsidRPr="00F55A79" w:rsidR="000B2A80">
        <w:rPr>
          <w:color w:val="000000" w:themeColor="text1"/>
        </w:rPr>
        <w:t>ine</w:t>
      </w:r>
      <w:r w:rsidRPr="00F55A79">
        <w:rPr>
          <w:color w:val="000000" w:themeColor="text1"/>
        </w:rPr>
        <w:t xml:space="preserve"> service for 20 years following the close of the </w:t>
      </w:r>
      <w:r w:rsidRPr="00F55A79" w:rsidR="00415153">
        <w:rPr>
          <w:color w:val="000000" w:themeColor="text1"/>
        </w:rPr>
        <w:t xml:space="preserve">TracFone </w:t>
      </w:r>
      <w:r w:rsidRPr="00F55A79">
        <w:rPr>
          <w:color w:val="000000" w:themeColor="text1"/>
        </w:rPr>
        <w:t>transaction</w:t>
      </w:r>
      <w:r w:rsidRPr="00F55A79" w:rsidR="008F317B">
        <w:rPr>
          <w:color w:val="000000" w:themeColor="text1"/>
        </w:rPr>
        <w:t xml:space="preserve">. </w:t>
      </w:r>
      <w:r w:rsidRPr="00F55A79" w:rsidR="00546EFF">
        <w:rPr>
          <w:color w:val="000000" w:themeColor="text1"/>
        </w:rPr>
        <w:t xml:space="preserve"> </w:t>
      </w:r>
      <w:r w:rsidRPr="00F55A79" w:rsidR="008F317B">
        <w:rPr>
          <w:color w:val="000000" w:themeColor="text1"/>
        </w:rPr>
        <w:t xml:space="preserve">This </w:t>
      </w:r>
      <w:r w:rsidRPr="00F55A79" w:rsidR="008F317B">
        <w:rPr>
          <w:color w:val="000000" w:themeColor="text1"/>
        </w:rPr>
        <w:lastRenderedPageBreak/>
        <w:t xml:space="preserve">obligation is scheduled to conclude on November 23, 2041 and shall continue until this date following the close of the proposed Verizon-Frontier transaction.  </w:t>
      </w:r>
    </w:p>
    <w:p w:rsidRPr="00F55A79" w:rsidR="00DF2FA8" w:rsidP="009F0546" w:rsidRDefault="008F317B" w14:paraId="24A2AEDA" w14:textId="5BCAA95E">
      <w:pPr>
        <w:pStyle w:val="Standard"/>
      </w:pPr>
      <w:r w:rsidRPr="00F55A79">
        <w:rPr>
          <w:color w:val="000000" w:themeColor="text1"/>
        </w:rPr>
        <w:t>D.21-11-030 also required Frontier to</w:t>
      </w:r>
      <w:r w:rsidRPr="00F55A79" w:rsidR="00300693">
        <w:rPr>
          <w:color w:val="000000" w:themeColor="text1"/>
        </w:rPr>
        <w:t xml:space="preserve"> offer California </w:t>
      </w:r>
      <w:r w:rsidRPr="00F55A79" w:rsidR="000B2A80">
        <w:rPr>
          <w:color w:val="000000" w:themeColor="text1"/>
        </w:rPr>
        <w:t>Life</w:t>
      </w:r>
      <w:r w:rsidRPr="00F55A79" w:rsidR="00437967">
        <w:rPr>
          <w:color w:val="000000" w:themeColor="text1"/>
        </w:rPr>
        <w:t>L</w:t>
      </w:r>
      <w:r w:rsidRPr="00F55A79" w:rsidR="000B2A80">
        <w:rPr>
          <w:color w:val="000000" w:themeColor="text1"/>
        </w:rPr>
        <w:t>ine</w:t>
      </w:r>
      <w:r w:rsidRPr="00F55A79" w:rsidR="00300693">
        <w:rPr>
          <w:color w:val="000000" w:themeColor="text1"/>
        </w:rPr>
        <w:t xml:space="preserve"> plans, handsets, and devices in stores; and achieve and maintain specifi</w:t>
      </w:r>
      <w:r w:rsidRPr="00F55A79" w:rsidR="005433B7">
        <w:rPr>
          <w:color w:val="000000" w:themeColor="text1"/>
        </w:rPr>
        <w:t>ed</w:t>
      </w:r>
      <w:r w:rsidRPr="00F55A79" w:rsidR="00300693">
        <w:rPr>
          <w:color w:val="000000" w:themeColor="text1"/>
        </w:rPr>
        <w:t xml:space="preserve"> levels of California </w:t>
      </w:r>
      <w:r w:rsidRPr="00F55A79" w:rsidR="000B2A80">
        <w:rPr>
          <w:color w:val="000000" w:themeColor="text1"/>
        </w:rPr>
        <w:t>Life</w:t>
      </w:r>
      <w:r w:rsidRPr="00F55A79" w:rsidR="00437967">
        <w:rPr>
          <w:color w:val="000000" w:themeColor="text1"/>
        </w:rPr>
        <w:t>L</w:t>
      </w:r>
      <w:r w:rsidRPr="00F55A79" w:rsidR="000B2A80">
        <w:rPr>
          <w:color w:val="000000" w:themeColor="text1"/>
        </w:rPr>
        <w:t>ine</w:t>
      </w:r>
      <w:r w:rsidRPr="00F55A79" w:rsidR="00300693">
        <w:rPr>
          <w:color w:val="000000" w:themeColor="text1"/>
        </w:rPr>
        <w:t xml:space="preserve"> customer enrollment</w:t>
      </w:r>
      <w:r w:rsidRPr="00F55A79" w:rsidR="00300693">
        <w:t>.</w:t>
      </w:r>
      <w:r w:rsidRPr="00F55A79" w:rsidR="005433B7">
        <w:rPr>
          <w:rStyle w:val="FootnoteReference"/>
        </w:rPr>
        <w:footnoteReference w:id="305"/>
      </w:r>
      <w:r w:rsidRPr="00F55A79" w:rsidR="00F16419">
        <w:t xml:space="preserve"> </w:t>
      </w:r>
      <w:r w:rsidRPr="00F55A79" w:rsidR="00441A87">
        <w:t xml:space="preserve"> </w:t>
      </w:r>
      <w:r w:rsidRPr="00F55A79" w:rsidR="00F16419">
        <w:t xml:space="preserve">The transfer of control will maintain Frontier’s prior obligations. </w:t>
      </w:r>
    </w:p>
    <w:p w:rsidRPr="00F55A79" w:rsidR="00DF2FA8" w:rsidP="009F0546" w:rsidRDefault="00DF2FA8" w14:paraId="40952012" w14:textId="1D6032D8">
      <w:pPr>
        <w:pStyle w:val="Heading2"/>
      </w:pPr>
      <w:bookmarkStart w:name="_Toc216163264" w:id="179"/>
      <w:r w:rsidRPr="00F55A79">
        <w:t xml:space="preserve">D.21-04-008 </w:t>
      </w:r>
      <w:r w:rsidRPr="00F55A79" w:rsidR="00987505">
        <w:t>and California Tribes</w:t>
      </w:r>
      <w:bookmarkEnd w:id="179"/>
    </w:p>
    <w:p w:rsidRPr="00F55A79" w:rsidR="000D117B" w:rsidP="009F0546" w:rsidRDefault="000D117B" w14:paraId="074123B5" w14:textId="77777777">
      <w:pPr>
        <w:pStyle w:val="Heading3"/>
      </w:pPr>
      <w:bookmarkStart w:name="_Toc216163265" w:id="180"/>
      <w:r w:rsidRPr="00F55A79">
        <w:t>Background</w:t>
      </w:r>
      <w:bookmarkEnd w:id="180"/>
    </w:p>
    <w:p w:rsidRPr="00F55A79" w:rsidR="000D117B" w:rsidP="000C0D81" w:rsidRDefault="00606A06" w14:paraId="690379E5" w14:textId="32E9CE4C">
      <w:pPr>
        <w:pStyle w:val="Standard"/>
      </w:pPr>
      <w:r w:rsidRPr="00F55A79">
        <w:t>D.21-04-008</w:t>
      </w:r>
      <w:r w:rsidRPr="00F55A79" w:rsidR="00554CB1">
        <w:t xml:space="preserve">, which </w:t>
      </w:r>
      <w:r w:rsidRPr="00F55A79" w:rsidR="001D0421">
        <w:t>approved</w:t>
      </w:r>
      <w:r w:rsidRPr="00F55A79" w:rsidR="00554CB1">
        <w:t xml:space="preserve"> Frontier’s restructuring,</w:t>
      </w:r>
      <w:r w:rsidRPr="00F55A79">
        <w:t xml:space="preserve"> </w:t>
      </w:r>
      <w:r w:rsidRPr="00F55A79" w:rsidR="009B781B">
        <w:t xml:space="preserve">set </w:t>
      </w:r>
      <w:r w:rsidRPr="00F55A79" w:rsidR="00180EDD">
        <w:t>various conditions. One</w:t>
      </w:r>
      <w:r w:rsidRPr="00F55A79" w:rsidR="009B781B">
        <w:t xml:space="preserve"> condition </w:t>
      </w:r>
      <w:r w:rsidRPr="00F55A79" w:rsidR="00180EDD">
        <w:t xml:space="preserve">was </w:t>
      </w:r>
      <w:r w:rsidRPr="00F55A79" w:rsidR="009B781B">
        <w:t>a</w:t>
      </w:r>
      <w:r w:rsidRPr="00F55A79">
        <w:t xml:space="preserve"> </w:t>
      </w:r>
      <w:r w:rsidRPr="00F55A79" w:rsidR="00631344">
        <w:t>Right of First Offer</w:t>
      </w:r>
      <w:r w:rsidRPr="00F55A79">
        <w:t xml:space="preserve"> </w:t>
      </w:r>
      <w:r w:rsidRPr="00F55A79" w:rsidR="009B781B">
        <w:t>preference for the transfer of real property to tribes when an investor-owned utility plans to dispose the real property within a tribe’s ancestral territory</w:t>
      </w:r>
      <w:r w:rsidRPr="00F55A79">
        <w:t>.</w:t>
      </w:r>
      <w:r w:rsidRPr="00F55A79" w:rsidR="00FB583B">
        <w:rPr>
          <w:vertAlign w:val="superscript"/>
        </w:rPr>
        <w:footnoteReference w:id="306"/>
      </w:r>
    </w:p>
    <w:p w:rsidRPr="00F55A79" w:rsidR="000D117B" w:rsidP="009F0546" w:rsidRDefault="000D117B" w14:paraId="0AE1BA8E" w14:textId="66054593">
      <w:pPr>
        <w:pStyle w:val="Heading3"/>
      </w:pPr>
      <w:bookmarkStart w:name="_Toc216163266" w:id="181"/>
      <w:r w:rsidRPr="00F55A79">
        <w:t>Party Positions</w:t>
      </w:r>
      <w:bookmarkEnd w:id="181"/>
    </w:p>
    <w:p w:rsidRPr="00F55A79" w:rsidR="000D117B" w:rsidP="009F0546" w:rsidRDefault="000D117B" w14:paraId="10BE7F6E" w14:textId="77777777">
      <w:pPr>
        <w:pStyle w:val="Heading4"/>
      </w:pPr>
      <w:bookmarkStart w:name="_Toc216163267" w:id="182"/>
      <w:r w:rsidRPr="00F55A79">
        <w:t>Joint Applicants</w:t>
      </w:r>
      <w:bookmarkEnd w:id="182"/>
    </w:p>
    <w:p w:rsidRPr="00F55A79" w:rsidR="000D117B" w:rsidP="009F0546" w:rsidRDefault="00742BC8" w14:paraId="772B4805" w14:textId="3A3E40EE">
      <w:pPr>
        <w:pStyle w:val="Standard"/>
      </w:pPr>
      <w:r w:rsidRPr="00F55A79">
        <w:t xml:space="preserve">The Joint Applicants stated that Verizon had committed to honor Frontier agreements for as long as they remain valid, including Frontier’s </w:t>
      </w:r>
      <w:r w:rsidRPr="00F55A79" w:rsidR="00631344">
        <w:t xml:space="preserve">Right of First Offer </w:t>
      </w:r>
      <w:r w:rsidRPr="00F55A79">
        <w:t>obligation under the restructuring approval.</w:t>
      </w:r>
      <w:r w:rsidRPr="00F55A79">
        <w:rPr>
          <w:rStyle w:val="FootnoteReference"/>
        </w:rPr>
        <w:footnoteReference w:id="307"/>
      </w:r>
    </w:p>
    <w:p w:rsidRPr="00F55A79" w:rsidR="000D117B" w:rsidP="009F0546" w:rsidRDefault="000D117B" w14:paraId="4B2FE3C0" w14:textId="31C57F88">
      <w:pPr>
        <w:pStyle w:val="Heading4"/>
      </w:pPr>
      <w:bookmarkStart w:name="_Toc216163268" w:id="183"/>
      <w:r w:rsidRPr="00F55A79">
        <w:t>CETF</w:t>
      </w:r>
      <w:bookmarkEnd w:id="183"/>
    </w:p>
    <w:p w:rsidRPr="00F55A79" w:rsidR="000D117B" w:rsidP="009A7320" w:rsidRDefault="000D117B" w14:paraId="486590A1" w14:textId="7CF3E1E2">
      <w:pPr>
        <w:pStyle w:val="Standard"/>
      </w:pPr>
      <w:r w:rsidRPr="00F55A79">
        <w:t>CETF note</w:t>
      </w:r>
      <w:r w:rsidRPr="00F55A79" w:rsidR="00230F0C">
        <w:t>d</w:t>
      </w:r>
      <w:r w:rsidRPr="00F55A79">
        <w:t xml:space="preserve"> that the D.21-04-008 Commission decision still is in place as to the </w:t>
      </w:r>
      <w:r w:rsidRPr="00F55A79" w:rsidR="00631344">
        <w:t>Right of First Offer</w:t>
      </w:r>
      <w:r w:rsidRPr="00F55A79" w:rsidR="009E3D2D">
        <w:t xml:space="preserve"> </w:t>
      </w:r>
      <w:r w:rsidRPr="00F55A79">
        <w:t>commitment by Frontier</w:t>
      </w:r>
      <w:r w:rsidRPr="00F55A79" w:rsidR="00E71B31">
        <w:t xml:space="preserve">, and that </w:t>
      </w:r>
      <w:r w:rsidRPr="00F55A79">
        <w:t xml:space="preserve">Verizon commits to continue this commitment </w:t>
      </w:r>
      <w:r w:rsidRPr="00F55A79" w:rsidR="00E71B31">
        <w:t>if</w:t>
      </w:r>
      <w:r w:rsidRPr="00F55A79">
        <w:t xml:space="preserve"> the </w:t>
      </w:r>
      <w:r w:rsidRPr="00F55A79" w:rsidR="00E71B31">
        <w:t>t</w:t>
      </w:r>
      <w:r w:rsidRPr="00F55A79">
        <w:t xml:space="preserve">ransaction </w:t>
      </w:r>
      <w:r w:rsidRPr="00F55A79" w:rsidR="00E71B31">
        <w:t>is</w:t>
      </w:r>
      <w:r w:rsidRPr="00F55A79">
        <w:t xml:space="preserve"> approved.</w:t>
      </w:r>
      <w:r w:rsidRPr="00F55A79">
        <w:rPr>
          <w:rStyle w:val="FootnoteReference"/>
        </w:rPr>
        <w:footnoteReference w:id="308"/>
      </w:r>
      <w:r w:rsidRPr="00F55A79">
        <w:t xml:space="preserve"> </w:t>
      </w:r>
      <w:r w:rsidRPr="00F55A79" w:rsidR="007D0341">
        <w:t xml:space="preserve"> </w:t>
      </w:r>
      <w:r w:rsidRPr="00F55A79">
        <w:t>CETF highlight</w:t>
      </w:r>
      <w:r w:rsidRPr="00F55A79" w:rsidR="00230F0C">
        <w:t>ed</w:t>
      </w:r>
      <w:r w:rsidRPr="00F55A79">
        <w:t xml:space="preserve"> </w:t>
      </w:r>
      <w:r w:rsidRPr="00F55A79">
        <w:lastRenderedPageBreak/>
        <w:t>that the CETF and Cal Advocates Agreements under Section 854 have provisions impacting Tribes.</w:t>
      </w:r>
      <w:r w:rsidRPr="00F55A79" w:rsidR="005D7944">
        <w:rPr>
          <w:rStyle w:val="FootnoteReference"/>
        </w:rPr>
        <w:footnoteReference w:id="309"/>
      </w:r>
    </w:p>
    <w:p w:rsidRPr="00F55A79" w:rsidR="00E251D3" w:rsidP="009F0546" w:rsidRDefault="00E251D3" w14:paraId="018A3E80" w14:textId="561B4A7D">
      <w:pPr>
        <w:pStyle w:val="Heading4"/>
        <w:rPr>
          <w:color w:val="000000" w:themeColor="text1"/>
        </w:rPr>
      </w:pPr>
      <w:bookmarkStart w:name="_Toc216163269" w:id="184"/>
      <w:r w:rsidRPr="00F55A79">
        <w:rPr>
          <w:color w:val="000000" w:themeColor="text1"/>
        </w:rPr>
        <w:t>CforAT</w:t>
      </w:r>
      <w:bookmarkEnd w:id="184"/>
    </w:p>
    <w:p w:rsidRPr="00F55A79" w:rsidR="00E251D3" w:rsidP="00E251D3" w:rsidRDefault="00B1262B" w14:paraId="1E60510B" w14:textId="5EF3ACBC">
      <w:pPr>
        <w:pStyle w:val="Standard"/>
      </w:pPr>
      <w:r w:rsidRPr="00F55A79">
        <w:rPr>
          <w:color w:val="000000" w:themeColor="text1"/>
        </w:rPr>
        <w:t xml:space="preserve">CforAT did not explicitly address commitments </w:t>
      </w:r>
      <w:r w:rsidRPr="00F55A79">
        <w:t>to tribes in its briefs.</w:t>
      </w:r>
    </w:p>
    <w:p w:rsidRPr="00F55A79" w:rsidR="00DF2FA8" w:rsidP="009F0546" w:rsidRDefault="005C703C" w14:paraId="39D68573" w14:textId="44335D2C">
      <w:pPr>
        <w:pStyle w:val="Heading4"/>
      </w:pPr>
      <w:bookmarkStart w:name="_Toc216163270" w:id="185"/>
      <w:r w:rsidRPr="00F55A79">
        <w:t>TURN</w:t>
      </w:r>
      <w:bookmarkEnd w:id="185"/>
    </w:p>
    <w:p w:rsidRPr="00F55A79" w:rsidR="005C703C" w:rsidP="0035612B" w:rsidRDefault="003655A5" w14:paraId="4E53050D" w14:textId="6DFF9E87">
      <w:pPr>
        <w:pStyle w:val="Standard"/>
        <w:rPr>
          <w:color w:val="000000" w:themeColor="text1"/>
        </w:rPr>
      </w:pPr>
      <w:r w:rsidRPr="00F55A79">
        <w:rPr>
          <w:color w:val="000000" w:themeColor="text1"/>
        </w:rPr>
        <w:t xml:space="preserve">TURN stated that </w:t>
      </w:r>
      <w:r w:rsidRPr="00F55A79" w:rsidR="0035612B">
        <w:rPr>
          <w:color w:val="000000" w:themeColor="text1"/>
        </w:rPr>
        <w:t xml:space="preserve">the Commission should not allow Frontier to evade </w:t>
      </w:r>
      <w:r w:rsidRPr="00F55A79" w:rsidR="00631344">
        <w:t xml:space="preserve">Right of First Offer </w:t>
      </w:r>
      <w:r w:rsidRPr="00F55A79" w:rsidR="0035612B">
        <w:t>requirements by selling the entire company at once.</w:t>
      </w:r>
      <w:r w:rsidRPr="00F55A79">
        <w:rPr>
          <w:rStyle w:val="FootnoteReference"/>
          <w:color w:val="000000" w:themeColor="text1"/>
        </w:rPr>
        <w:footnoteReference w:id="310"/>
      </w:r>
      <w:r w:rsidRPr="00F55A79" w:rsidR="0035612B">
        <w:rPr>
          <w:color w:val="000000" w:themeColor="text1"/>
        </w:rPr>
        <w:t xml:space="preserve"> </w:t>
      </w:r>
      <w:r w:rsidRPr="00F55A79">
        <w:rPr>
          <w:color w:val="000000" w:themeColor="text1"/>
        </w:rPr>
        <w:t xml:space="preserve"> </w:t>
      </w:r>
      <w:r w:rsidRPr="00F55A79" w:rsidR="0035612B">
        <w:rPr>
          <w:color w:val="000000" w:themeColor="text1"/>
        </w:rPr>
        <w:t>Instead, if the Commission approves the proposed transaction, TURN recommend</w:t>
      </w:r>
      <w:r w:rsidRPr="00F55A79">
        <w:rPr>
          <w:color w:val="000000" w:themeColor="text1"/>
        </w:rPr>
        <w:t>ed</w:t>
      </w:r>
      <w:r w:rsidRPr="00F55A79" w:rsidR="0035612B">
        <w:rPr>
          <w:color w:val="000000" w:themeColor="text1"/>
        </w:rPr>
        <w:t xml:space="preserve"> that Commission require Verizon take on all of Frontier’s obligations from all Commission orders, resolutions, and decisions pursuant or related to the Frontier Bankruptcy proceeding, A.20-05-010, including but not </w:t>
      </w:r>
      <w:r w:rsidRPr="00F55A79" w:rsidR="0035612B">
        <w:t xml:space="preserve">limited to the </w:t>
      </w:r>
      <w:r w:rsidRPr="00F55A79" w:rsidR="00631344">
        <w:t>Right of First Offer</w:t>
      </w:r>
      <w:r w:rsidRPr="00F55A79" w:rsidR="0035612B">
        <w:t>.</w:t>
      </w:r>
      <w:r w:rsidRPr="00F55A79">
        <w:rPr>
          <w:rStyle w:val="FootnoteReference"/>
          <w:color w:val="000000" w:themeColor="text1"/>
        </w:rPr>
        <w:footnoteReference w:id="311"/>
      </w:r>
      <w:r w:rsidRPr="00F55A79" w:rsidR="0035612B">
        <w:rPr>
          <w:color w:val="000000" w:themeColor="text1"/>
        </w:rPr>
        <w:t xml:space="preserve"> </w:t>
      </w:r>
      <w:r w:rsidRPr="00F55A79">
        <w:rPr>
          <w:color w:val="000000" w:themeColor="text1"/>
        </w:rPr>
        <w:t xml:space="preserve"> S</w:t>
      </w:r>
      <w:r w:rsidRPr="00F55A79" w:rsidR="0035612B">
        <w:rPr>
          <w:color w:val="000000" w:themeColor="text1"/>
        </w:rPr>
        <w:t>ince</w:t>
      </w:r>
      <w:r w:rsidRPr="00F55A79" w:rsidR="00F969CE">
        <w:rPr>
          <w:color w:val="000000" w:themeColor="text1"/>
        </w:rPr>
        <w:t xml:space="preserve"> </w:t>
      </w:r>
      <w:r w:rsidRPr="00F55A79" w:rsidR="0035612B">
        <w:rPr>
          <w:color w:val="000000" w:themeColor="text1"/>
        </w:rPr>
        <w:t>R</w:t>
      </w:r>
      <w:r w:rsidRPr="00F55A79" w:rsidR="00FF4044">
        <w:rPr>
          <w:color w:val="000000" w:themeColor="text1"/>
        </w:rPr>
        <w:t>es</w:t>
      </w:r>
      <w:r w:rsidRPr="00F55A79">
        <w:rPr>
          <w:color w:val="000000" w:themeColor="text1"/>
        </w:rPr>
        <w:t>.</w:t>
      </w:r>
      <w:r w:rsidRPr="00F55A79" w:rsidR="00FF4044">
        <w:rPr>
          <w:color w:val="000000" w:themeColor="text1"/>
        </w:rPr>
        <w:t xml:space="preserve"> </w:t>
      </w:r>
      <w:r w:rsidRPr="00F55A79" w:rsidR="0035612B">
        <w:rPr>
          <w:color w:val="000000" w:themeColor="text1"/>
        </w:rPr>
        <w:t>E-5076 does not automatically apply to Frontier, TURN recommend</w:t>
      </w:r>
      <w:r w:rsidRPr="00F55A79" w:rsidR="00FF4044">
        <w:rPr>
          <w:color w:val="000000" w:themeColor="text1"/>
        </w:rPr>
        <w:t xml:space="preserve">ed </w:t>
      </w:r>
      <w:r w:rsidRPr="00F55A79" w:rsidR="0035612B">
        <w:rPr>
          <w:color w:val="000000" w:themeColor="text1"/>
        </w:rPr>
        <w:t xml:space="preserve">that the Commission explicitly extend the </w:t>
      </w:r>
      <w:r w:rsidRPr="00F55A79" w:rsidR="00631344">
        <w:rPr>
          <w:color w:val="000000" w:themeColor="text1"/>
        </w:rPr>
        <w:t>Right of First Offer</w:t>
      </w:r>
      <w:r w:rsidRPr="00F55A79" w:rsidR="0035612B">
        <w:rPr>
          <w:color w:val="000000" w:themeColor="text1"/>
        </w:rPr>
        <w:t xml:space="preserve"> in </w:t>
      </w:r>
      <w:r w:rsidRPr="00F55A79" w:rsidR="00FF4044">
        <w:rPr>
          <w:color w:val="000000" w:themeColor="text1"/>
        </w:rPr>
        <w:t xml:space="preserve">D.21-04-008 </w:t>
      </w:r>
      <w:r w:rsidRPr="00F55A79" w:rsidR="0035612B">
        <w:rPr>
          <w:color w:val="000000" w:themeColor="text1"/>
        </w:rPr>
        <w:t xml:space="preserve">to apply it to Verizon’s ownership of </w:t>
      </w:r>
      <w:r w:rsidRPr="00F55A79" w:rsidR="0035612B">
        <w:t>Frontier.</w:t>
      </w:r>
      <w:r w:rsidRPr="00F55A79" w:rsidR="00906765">
        <w:rPr>
          <w:rStyle w:val="FootnoteReference"/>
          <w:color w:val="000000" w:themeColor="text1"/>
        </w:rPr>
        <w:footnoteReference w:id="312"/>
      </w:r>
    </w:p>
    <w:p w:rsidRPr="00F55A79" w:rsidR="00AB1093" w:rsidP="00AB1093" w:rsidRDefault="00EC429F" w14:paraId="0A5765FB" w14:textId="3A7280EC">
      <w:pPr>
        <w:pStyle w:val="Standard"/>
        <w:rPr>
          <w:color w:val="000000" w:themeColor="text1"/>
        </w:rPr>
      </w:pPr>
      <w:r w:rsidRPr="00F55A79">
        <w:rPr>
          <w:color w:val="000000" w:themeColor="text1"/>
        </w:rPr>
        <w:t>TURN noted that i</w:t>
      </w:r>
      <w:r w:rsidRPr="00F55A79" w:rsidR="00AB1093">
        <w:rPr>
          <w:color w:val="000000" w:themeColor="text1"/>
        </w:rPr>
        <w:t xml:space="preserve">n addition to the </w:t>
      </w:r>
      <w:r w:rsidRPr="00F55A79" w:rsidR="00631344">
        <w:rPr>
          <w:color w:val="000000" w:themeColor="text1"/>
        </w:rPr>
        <w:t>Right of First Offer</w:t>
      </w:r>
      <w:r w:rsidRPr="00F55A79" w:rsidR="00AB1093">
        <w:rPr>
          <w:color w:val="000000" w:themeColor="text1"/>
        </w:rPr>
        <w:t xml:space="preserve">, the Commission ordered </w:t>
      </w:r>
      <w:r w:rsidRPr="00F55A79" w:rsidR="00AB1093">
        <w:t>Frontier to do the following:</w:t>
      </w:r>
      <w:r w:rsidRPr="00F55A79" w:rsidR="00D46517">
        <w:rPr>
          <w:vertAlign w:val="superscript"/>
        </w:rPr>
        <w:footnoteReference w:id="313"/>
      </w:r>
    </w:p>
    <w:p w:rsidRPr="00F55A79" w:rsidR="00C85593" w:rsidP="00B04492" w:rsidRDefault="00AB1093" w14:paraId="2796CD31" w14:textId="5BEBD8D0">
      <w:pPr>
        <w:pStyle w:val="ListBullet"/>
        <w:tabs>
          <w:tab w:val="clear" w:pos="360"/>
          <w:tab w:val="num" w:pos="720"/>
        </w:tabs>
        <w:ind w:left="720" w:right="1440"/>
        <w:rPr>
          <w:color w:val="000000" w:themeColor="text1"/>
        </w:rPr>
      </w:pPr>
      <w:r w:rsidRPr="00F55A79">
        <w:rPr>
          <w:color w:val="000000" w:themeColor="text1"/>
        </w:rPr>
        <w:lastRenderedPageBreak/>
        <w:t>Frontier shall work with the Native American Heritage Commission to identify all tribes</w:t>
      </w:r>
      <w:r w:rsidRPr="00F55A79" w:rsidR="00C85593">
        <w:rPr>
          <w:color w:val="000000" w:themeColor="text1"/>
        </w:rPr>
        <w:t xml:space="preserve"> </w:t>
      </w:r>
      <w:r w:rsidRPr="00F55A79">
        <w:rPr>
          <w:color w:val="000000" w:themeColor="text1"/>
        </w:rPr>
        <w:t xml:space="preserve">within its California service territory that have either a reservation or land in trust; </w:t>
      </w:r>
    </w:p>
    <w:p w:rsidRPr="00F55A79" w:rsidR="00C85593" w:rsidP="00B04492" w:rsidRDefault="00AB1093" w14:paraId="2B1102CA" w14:textId="01E998AE">
      <w:pPr>
        <w:pStyle w:val="ListBullet"/>
        <w:tabs>
          <w:tab w:val="clear" w:pos="360"/>
          <w:tab w:val="num" w:pos="720"/>
        </w:tabs>
        <w:ind w:left="720" w:right="1440"/>
        <w:rPr>
          <w:color w:val="000000" w:themeColor="text1"/>
        </w:rPr>
      </w:pPr>
      <w:r w:rsidRPr="00F55A79">
        <w:rPr>
          <w:color w:val="000000" w:themeColor="text1"/>
        </w:rPr>
        <w:t>Frontier</w:t>
      </w:r>
      <w:r w:rsidRPr="00F55A79" w:rsidR="00C85593">
        <w:rPr>
          <w:color w:val="000000" w:themeColor="text1"/>
        </w:rPr>
        <w:t xml:space="preserve"> </w:t>
      </w:r>
      <w:r w:rsidRPr="00F55A79">
        <w:rPr>
          <w:color w:val="000000" w:themeColor="text1"/>
        </w:rPr>
        <w:t>shall provide all identified tribes within its California service territory with existing local maps</w:t>
      </w:r>
      <w:r w:rsidRPr="00F55A79" w:rsidR="00C85593">
        <w:rPr>
          <w:color w:val="000000" w:themeColor="text1"/>
        </w:rPr>
        <w:t xml:space="preserve"> </w:t>
      </w:r>
      <w:r w:rsidRPr="00F55A79">
        <w:rPr>
          <w:color w:val="000000" w:themeColor="text1"/>
        </w:rPr>
        <w:t>of, and information on, Frontier’s owned, leased, and operated facilities in and around the tribes’</w:t>
      </w:r>
      <w:r w:rsidRPr="00F55A79" w:rsidR="00C85593">
        <w:rPr>
          <w:color w:val="000000" w:themeColor="text1"/>
        </w:rPr>
        <w:t xml:space="preserve"> </w:t>
      </w:r>
      <w:r w:rsidRPr="00F55A79">
        <w:rPr>
          <w:color w:val="000000" w:themeColor="text1"/>
        </w:rPr>
        <w:t>ancestral territory and any existing maps of adjacent areas that are identified points of integration</w:t>
      </w:r>
      <w:r w:rsidRPr="00F55A79" w:rsidR="00C85593">
        <w:rPr>
          <w:color w:val="000000" w:themeColor="text1"/>
        </w:rPr>
        <w:t xml:space="preserve"> </w:t>
      </w:r>
      <w:r w:rsidRPr="00F55A79">
        <w:rPr>
          <w:color w:val="000000" w:themeColor="text1"/>
        </w:rPr>
        <w:t xml:space="preserve">of those facilities with the remainder of Frontier’s system; and </w:t>
      </w:r>
    </w:p>
    <w:p w:rsidRPr="00F55A79" w:rsidR="00AB1093" w:rsidP="00B04492" w:rsidRDefault="00AB1093" w14:paraId="3FCFF7AC" w14:textId="190EFF27">
      <w:pPr>
        <w:pStyle w:val="ListBullet"/>
        <w:tabs>
          <w:tab w:val="clear" w:pos="360"/>
          <w:tab w:val="num" w:pos="720"/>
        </w:tabs>
        <w:ind w:left="720" w:right="1440"/>
        <w:rPr>
          <w:color w:val="000000" w:themeColor="text1"/>
        </w:rPr>
      </w:pPr>
      <w:r w:rsidRPr="00F55A79">
        <w:rPr>
          <w:color w:val="000000" w:themeColor="text1"/>
        </w:rPr>
        <w:t>In every California county that</w:t>
      </w:r>
      <w:r w:rsidRPr="00F55A79" w:rsidR="00C85593">
        <w:rPr>
          <w:color w:val="000000" w:themeColor="text1"/>
        </w:rPr>
        <w:t xml:space="preserve"> </w:t>
      </w:r>
      <w:r w:rsidRPr="00F55A79">
        <w:rPr>
          <w:color w:val="000000" w:themeColor="text1"/>
        </w:rPr>
        <w:t>Frontier serves, Frontier will appoint a high-level employee as a tribal liaison to provide OOS</w:t>
      </w:r>
      <w:r w:rsidRPr="00F55A79" w:rsidR="00C85593">
        <w:rPr>
          <w:color w:val="000000" w:themeColor="text1"/>
        </w:rPr>
        <w:t xml:space="preserve"> </w:t>
      </w:r>
      <w:r w:rsidRPr="00F55A79">
        <w:rPr>
          <w:color w:val="000000" w:themeColor="text1"/>
        </w:rPr>
        <w:t>response, customer service, and information sharing. Each tribe shall have direct access to the</w:t>
      </w:r>
      <w:r w:rsidRPr="00F55A79" w:rsidR="00C85593">
        <w:rPr>
          <w:color w:val="000000" w:themeColor="text1"/>
        </w:rPr>
        <w:t xml:space="preserve"> </w:t>
      </w:r>
      <w:r w:rsidRPr="00F55A79">
        <w:rPr>
          <w:color w:val="000000" w:themeColor="text1"/>
        </w:rPr>
        <w:t>tribal liaison via phone and email, and the tribal liaison shall have the availability, access, and</w:t>
      </w:r>
      <w:r w:rsidRPr="00F55A79" w:rsidR="00C85593">
        <w:rPr>
          <w:color w:val="000000" w:themeColor="text1"/>
        </w:rPr>
        <w:t xml:space="preserve"> </w:t>
      </w:r>
      <w:r w:rsidRPr="00F55A79">
        <w:rPr>
          <w:color w:val="000000" w:themeColor="text1"/>
        </w:rPr>
        <w:t>authority to respond to the tribes and address their concerns.</w:t>
      </w:r>
    </w:p>
    <w:p w:rsidRPr="00F55A79" w:rsidR="00AB1093" w:rsidP="008A4B92" w:rsidRDefault="00AB1093" w14:paraId="4B00F6B9" w14:textId="2A35BA06">
      <w:pPr>
        <w:pStyle w:val="Standard"/>
        <w:ind w:firstLine="0"/>
        <w:rPr>
          <w:rFonts w:ascii="ZWAdobeF" w:hAnsi="ZWAdobeF" w:cs="ZWAdobeF"/>
          <w:sz w:val="2"/>
          <w:szCs w:val="2"/>
        </w:rPr>
      </w:pPr>
      <w:r w:rsidRPr="00F55A79">
        <w:rPr>
          <w:color w:val="000000" w:themeColor="text1"/>
        </w:rPr>
        <w:t xml:space="preserve">TURN </w:t>
      </w:r>
      <w:r w:rsidRPr="00F55A79" w:rsidR="008A4B92">
        <w:rPr>
          <w:color w:val="000000" w:themeColor="text1"/>
        </w:rPr>
        <w:t>further argued that t</w:t>
      </w:r>
      <w:r w:rsidRPr="00F55A79">
        <w:rPr>
          <w:color w:val="000000" w:themeColor="text1"/>
        </w:rPr>
        <w:t>he Commission should adopt specific</w:t>
      </w:r>
      <w:r w:rsidRPr="00F55A79" w:rsidR="008A4B92">
        <w:rPr>
          <w:color w:val="000000" w:themeColor="text1"/>
        </w:rPr>
        <w:t xml:space="preserve"> conditions to mitigate potential </w:t>
      </w:r>
      <w:r w:rsidRPr="00F55A79" w:rsidR="008A4B92">
        <w:t>negative impacts to tribes due to this proposed transaction.</w:t>
      </w:r>
      <w:r w:rsidRPr="00F55A79" w:rsidR="00060CA1">
        <w:rPr>
          <w:rStyle w:val="FootnoteReference"/>
          <w:color w:val="000000" w:themeColor="text1"/>
        </w:rPr>
        <w:footnoteReference w:id="314"/>
      </w:r>
    </w:p>
    <w:p w:rsidRPr="00F55A79" w:rsidR="00B04492" w:rsidP="00B04492" w:rsidRDefault="00B04492" w14:paraId="75D49F60" w14:textId="0C32A962">
      <w:pPr>
        <w:pStyle w:val="Heading3"/>
      </w:pPr>
      <w:bookmarkStart w:name="_Toc216163271" w:id="186"/>
      <w:r w:rsidRPr="00F55A79">
        <w:t>Discussion</w:t>
      </w:r>
      <w:bookmarkEnd w:id="186"/>
    </w:p>
    <w:p w:rsidRPr="00F55A79" w:rsidR="001D725B" w:rsidP="00B04492" w:rsidRDefault="00D804AC" w14:paraId="06F863FE" w14:textId="3CD7D570">
      <w:pPr>
        <w:pStyle w:val="Standard"/>
      </w:pPr>
      <w:r w:rsidRPr="00F55A79">
        <w:rPr>
          <w:color w:val="000000" w:themeColor="text1"/>
        </w:rPr>
        <w:t xml:space="preserve">We agree with intervenors that </w:t>
      </w:r>
      <w:r w:rsidRPr="00F55A79" w:rsidR="009A7320">
        <w:rPr>
          <w:color w:val="000000" w:themeColor="text1"/>
        </w:rPr>
        <w:t xml:space="preserve">certain </w:t>
      </w:r>
      <w:r w:rsidRPr="00F55A79">
        <w:rPr>
          <w:color w:val="000000" w:themeColor="text1"/>
        </w:rPr>
        <w:t>conditions of past Verizon-Frontier transactions</w:t>
      </w:r>
      <w:r w:rsidRPr="00F55A79" w:rsidR="007119CA">
        <w:rPr>
          <w:color w:val="000000" w:themeColor="text1"/>
        </w:rPr>
        <w:t>, as detailed in decisions D.21-04-008</w:t>
      </w:r>
      <w:r w:rsidRPr="00F55A79" w:rsidR="006F3882">
        <w:rPr>
          <w:color w:val="000000" w:themeColor="text1"/>
        </w:rPr>
        <w:t xml:space="preserve"> and D.21-11-030</w:t>
      </w:r>
      <w:r w:rsidR="00F35E1D">
        <w:rPr>
          <w:color w:val="000000" w:themeColor="text1"/>
        </w:rPr>
        <w:t>,</w:t>
      </w:r>
      <w:r w:rsidRPr="00F55A79" w:rsidR="006F3882">
        <w:rPr>
          <w:color w:val="000000" w:themeColor="text1"/>
        </w:rPr>
        <w:t xml:space="preserve"> </w:t>
      </w:r>
      <w:r w:rsidRPr="00F55A79" w:rsidR="007119CA">
        <w:rPr>
          <w:color w:val="000000" w:themeColor="text1"/>
        </w:rPr>
        <w:t xml:space="preserve">shall still apply as written in those decisions.  This includes the </w:t>
      </w:r>
      <w:r w:rsidRPr="00F55A79" w:rsidR="001D725B">
        <w:rPr>
          <w:color w:val="000000" w:themeColor="text1"/>
        </w:rPr>
        <w:t>Right of First Offer.</w:t>
      </w:r>
    </w:p>
    <w:p w:rsidRPr="00F55A79" w:rsidR="00B04492" w:rsidP="00B04492" w:rsidRDefault="009A7320" w14:paraId="141891C5" w14:textId="186A5DD3">
      <w:pPr>
        <w:pStyle w:val="Standard"/>
        <w:rPr>
          <w:color w:val="000000" w:themeColor="text1"/>
        </w:rPr>
      </w:pPr>
      <w:r w:rsidRPr="00F55A79">
        <w:rPr>
          <w:color w:val="000000" w:themeColor="text1"/>
        </w:rPr>
        <w:t>W</w:t>
      </w:r>
      <w:r w:rsidRPr="00F55A79" w:rsidR="00B04492">
        <w:rPr>
          <w:color w:val="000000" w:themeColor="text1"/>
        </w:rPr>
        <w:t xml:space="preserve">e </w:t>
      </w:r>
      <w:r w:rsidRPr="00F55A79">
        <w:rPr>
          <w:color w:val="000000" w:themeColor="text1"/>
        </w:rPr>
        <w:t xml:space="preserve">also </w:t>
      </w:r>
      <w:r w:rsidRPr="00F55A79" w:rsidR="00B04492">
        <w:rPr>
          <w:color w:val="000000" w:themeColor="text1"/>
        </w:rPr>
        <w:t xml:space="preserve">agree with TURN that </w:t>
      </w:r>
      <w:r w:rsidRPr="00F55A79" w:rsidR="00F81551">
        <w:rPr>
          <w:color w:val="000000" w:themeColor="text1"/>
        </w:rPr>
        <w:t>updated</w:t>
      </w:r>
      <w:r w:rsidRPr="00F55A79" w:rsidR="00B04492">
        <w:rPr>
          <w:color w:val="000000" w:themeColor="text1"/>
        </w:rPr>
        <w:t xml:space="preserve"> commitments to tribes are </w:t>
      </w:r>
      <w:r w:rsidRPr="00F55A79" w:rsidR="00345615">
        <w:rPr>
          <w:color w:val="000000" w:themeColor="text1"/>
        </w:rPr>
        <w:t xml:space="preserve">needed </w:t>
      </w:r>
      <w:r w:rsidRPr="00F55A79" w:rsidR="00CE36C8">
        <w:rPr>
          <w:color w:val="000000" w:themeColor="text1"/>
        </w:rPr>
        <w:t xml:space="preserve">and detail the additional commitments in </w:t>
      </w:r>
      <w:r w:rsidRPr="00F55A79" w:rsidR="00CB3D47">
        <w:rPr>
          <w:color w:val="000000" w:themeColor="text1"/>
        </w:rPr>
        <w:t xml:space="preserve">Ordering Paragraphs </w:t>
      </w:r>
      <w:r w:rsidRPr="00F55A79" w:rsidR="00E67B34">
        <w:rPr>
          <w:color w:val="000000" w:themeColor="text1"/>
        </w:rPr>
        <w:t>1</w:t>
      </w:r>
      <w:r w:rsidRPr="00F55A79" w:rsidR="003F146A">
        <w:rPr>
          <w:color w:val="000000" w:themeColor="text1"/>
        </w:rPr>
        <w:t>2</w:t>
      </w:r>
      <w:r w:rsidRPr="00F55A79" w:rsidR="00E67B34">
        <w:rPr>
          <w:color w:val="000000" w:themeColor="text1"/>
        </w:rPr>
        <w:t>-</w:t>
      </w:r>
      <w:r w:rsidRPr="00F55A79" w:rsidR="00D6019E">
        <w:rPr>
          <w:color w:val="000000" w:themeColor="text1"/>
        </w:rPr>
        <w:t>1</w:t>
      </w:r>
      <w:r w:rsidRPr="00F55A79" w:rsidR="003F146A">
        <w:rPr>
          <w:color w:val="000000" w:themeColor="text1"/>
        </w:rPr>
        <w:t>6</w:t>
      </w:r>
      <w:r w:rsidRPr="00F55A79" w:rsidR="00345615">
        <w:rPr>
          <w:color w:val="000000" w:themeColor="text1"/>
        </w:rPr>
        <w:t>.</w:t>
      </w:r>
      <w:r w:rsidRPr="00F55A79" w:rsidR="001D725B">
        <w:rPr>
          <w:color w:val="000000" w:themeColor="text1"/>
        </w:rPr>
        <w:t xml:space="preserve"> </w:t>
      </w:r>
    </w:p>
    <w:p w:rsidRPr="00F55A79" w:rsidR="00AB257C" w:rsidP="00AB257C" w:rsidRDefault="009F0546" w14:paraId="1B5EF965" w14:textId="274A7ADB">
      <w:pPr>
        <w:pStyle w:val="Heading1"/>
      </w:pPr>
      <w:bookmarkStart w:name="_Toc216163272" w:id="187"/>
      <w:r w:rsidRPr="00F55A79">
        <w:t xml:space="preserve">Issue 6: </w:t>
      </w:r>
      <w:r w:rsidRPr="00F55A79" w:rsidR="00AB257C">
        <w:t>Additional Commitments</w:t>
      </w:r>
      <w:bookmarkEnd w:id="187"/>
    </w:p>
    <w:p w:rsidRPr="00F55A79" w:rsidR="00CB3D47" w:rsidP="003224F3" w:rsidRDefault="00CB3D47" w14:paraId="6005D32B" w14:textId="451DEAF7">
      <w:pPr>
        <w:pStyle w:val="Heading2"/>
      </w:pPr>
      <w:bookmarkStart w:name="_Toc216163273" w:id="188"/>
      <w:r w:rsidRPr="00F55A79">
        <w:t>Joint Applicant Commitments</w:t>
      </w:r>
      <w:bookmarkEnd w:id="188"/>
    </w:p>
    <w:p w:rsidRPr="00F55A79" w:rsidR="00CB3D47" w:rsidP="003224F3" w:rsidRDefault="00CB3D47" w14:paraId="3A442AB3" w14:textId="05AA82B0">
      <w:pPr>
        <w:pStyle w:val="Standard"/>
        <w:rPr>
          <w:b/>
          <w:bCs/>
          <w:color w:val="000000" w:themeColor="text1"/>
        </w:rPr>
      </w:pPr>
      <w:r w:rsidRPr="00F55A79">
        <w:t>In their opening brief,</w:t>
      </w:r>
      <w:r w:rsidRPr="00F55A79">
        <w:rPr>
          <w:rStyle w:val="FootnoteReference"/>
          <w:bCs/>
          <w:color w:val="000000" w:themeColor="text1"/>
        </w:rPr>
        <w:footnoteReference w:id="315"/>
      </w:r>
      <w:r w:rsidRPr="00F55A79">
        <w:t xml:space="preserve"> the Joint Applicants offered additional voluntary commitments as follows.</w:t>
      </w:r>
    </w:p>
    <w:p w:rsidRPr="00F55A79" w:rsidR="00CB3D47" w:rsidP="003224F3" w:rsidRDefault="00CB3D47" w14:paraId="732D3D2A" w14:textId="39A97A22">
      <w:pPr>
        <w:pStyle w:val="Heading3"/>
      </w:pPr>
      <w:bookmarkStart w:name="_Toc216163274" w:id="189"/>
      <w:r w:rsidRPr="00F55A79">
        <w:lastRenderedPageBreak/>
        <w:t>Workforce Development Program</w:t>
      </w:r>
      <w:bookmarkEnd w:id="189"/>
    </w:p>
    <w:p w:rsidRPr="00F55A79" w:rsidR="00CB3D47" w:rsidP="00CB3D47" w:rsidRDefault="00CB3D47" w14:paraId="6426E712" w14:textId="269823B9">
      <w:pPr>
        <w:pStyle w:val="Standard"/>
      </w:pPr>
      <w:r w:rsidRPr="00F55A79">
        <w:t>Verizon stated that it would contribute an aggregate of ten million dollars ($10,000,000) over a five-year period to support a workforce development program administered by California State University or another accredited California institution of higher education. As part of this program, Verizon will establish and fund the Verizon Emerging Leader Initiative, the purpose of which is to advance career preparedness and student success for California students. Verizon will invest two million dollars ($2,000,000) for each of the next five years to achieve the foregoing aggregate commitment. Verizon stated it would track these investments and report annually on the progress of the program in its General Order (GO) 156 filings for the duration of this commitment.</w:t>
      </w:r>
    </w:p>
    <w:p w:rsidRPr="00F55A79" w:rsidR="00CB3D47" w:rsidP="00CB3D47" w:rsidRDefault="00CB3D47" w14:paraId="437B99C5" w14:textId="618E8AFA">
      <w:pPr>
        <w:pStyle w:val="Standard"/>
      </w:pPr>
      <w:r w:rsidRPr="00F55A79">
        <w:t>According to Verizon, the Verizon Emerging Leader Initiative</w:t>
      </w:r>
      <w:r w:rsidRPr="00F55A79" w:rsidR="00191946">
        <w:t xml:space="preserve"> </w:t>
      </w:r>
      <w:r w:rsidRPr="00F55A79">
        <w:t>may include Verizon-sponsored career tracks in technology and retail, each supported by a designated Verizon executive sponsor responsible for partnership oversight; guest lectures by Verizon leaders aligned to curriculum topics; student business case competitions; and Verizon-sponsored research and innovation opportunities. The Initiative may further include partnerships with campus career services to deliver Verizon-sponsored workshops, mock interviews, résumé reviews, and mentoring; Verizon-sponsored scholarships; and measures to address students’ accessibility barriers, including technology grants for devices and connectivity to support learning.  Verizon stated that it may refine program design and implementation details over time to ensure efficacy and alignment with institutional needs; provided, however, that Verizon will not alter any commitments detailed in the first paragraph above and shall describe any material modifications in its annual GO 156 filings.</w:t>
      </w:r>
    </w:p>
    <w:p w:rsidRPr="00F55A79" w:rsidR="00CB3D47" w:rsidP="003224F3" w:rsidRDefault="00CB3D47" w14:paraId="4B97EBE3" w14:textId="39C4FE08">
      <w:pPr>
        <w:pStyle w:val="Heading3"/>
      </w:pPr>
      <w:bookmarkStart w:name="_Toc216163275" w:id="190"/>
      <w:r w:rsidRPr="00F55A79">
        <w:lastRenderedPageBreak/>
        <w:t>Employee Experience Information</w:t>
      </w:r>
      <w:bookmarkEnd w:id="190"/>
    </w:p>
    <w:p w:rsidRPr="00F55A79" w:rsidR="006F143B" w:rsidP="003224F3" w:rsidRDefault="00CB3D47" w14:paraId="442A2554" w14:textId="0A334E65">
      <w:pPr>
        <w:pStyle w:val="Standard"/>
      </w:pPr>
      <w:r w:rsidRPr="00F55A79">
        <w:t xml:space="preserve">Verizon stated that for the next four years, in conjunction with its annual GO 156 filings, it will confidentially report the aggregated results of California employee responses to questions designed to solicit input regarding inclusiveness and belonging from Verizon’s standard “Pulse” surveys, which are administered at least annually to all management employees. In addition, upon request of the Commission, Verizon said it will utilize its Employee Resource Groups, which are open to all Verizon employees, including union-represented employees, to facilitate the provision of supplementary qualitative information concerning the experience of Verizon’s California employees.  Verizon stated that such information shall be provided to the Commission on a confidential basis. </w:t>
      </w:r>
    </w:p>
    <w:p w:rsidRPr="00F55A79" w:rsidR="00354E69" w:rsidP="00354E69" w:rsidRDefault="00354E69" w14:paraId="76FFCF78" w14:textId="161D2E54">
      <w:pPr>
        <w:pStyle w:val="Heading2"/>
      </w:pPr>
      <w:bookmarkStart w:name="_Toc216163276" w:id="191"/>
      <w:r w:rsidRPr="00F55A79">
        <w:t>Joint Applicants</w:t>
      </w:r>
      <w:r w:rsidRPr="00F55A79" w:rsidR="009F0546">
        <w:t>’</w:t>
      </w:r>
      <w:r w:rsidRPr="00F55A79">
        <w:t xml:space="preserve"> Position</w:t>
      </w:r>
      <w:bookmarkEnd w:id="191"/>
    </w:p>
    <w:p w:rsidRPr="00F55A79" w:rsidR="00922DD3" w:rsidP="005E745B" w:rsidRDefault="00922DD3" w14:paraId="4C3E6E51" w14:textId="15443D48">
      <w:pPr>
        <w:pStyle w:val="Standard"/>
        <w:rPr>
          <w:color w:val="000000" w:themeColor="text1"/>
        </w:rPr>
      </w:pPr>
      <w:r w:rsidRPr="00F55A79">
        <w:rPr>
          <w:color w:val="000000" w:themeColor="text1"/>
        </w:rPr>
        <w:t xml:space="preserve">The Joint Applicants noted </w:t>
      </w:r>
      <w:r w:rsidRPr="00F55A79" w:rsidR="00EE4773">
        <w:rPr>
          <w:color w:val="000000" w:themeColor="text1"/>
        </w:rPr>
        <w:t>they</w:t>
      </w:r>
      <w:r w:rsidRPr="00F55A79">
        <w:rPr>
          <w:color w:val="000000" w:themeColor="text1"/>
        </w:rPr>
        <w:t xml:space="preserve"> </w:t>
      </w:r>
      <w:r w:rsidRPr="00F55A79" w:rsidR="00A23075">
        <w:rPr>
          <w:color w:val="000000" w:themeColor="text1"/>
        </w:rPr>
        <w:t xml:space="preserve">had made </w:t>
      </w:r>
      <w:r w:rsidRPr="00F55A79" w:rsidR="00EE4773">
        <w:rPr>
          <w:color w:val="000000" w:themeColor="text1"/>
        </w:rPr>
        <w:t>various</w:t>
      </w:r>
      <w:r w:rsidRPr="00F55A79" w:rsidR="00A23075">
        <w:rPr>
          <w:color w:val="000000" w:themeColor="text1"/>
        </w:rPr>
        <w:t xml:space="preserve"> </w:t>
      </w:r>
      <w:r w:rsidRPr="00F55A79" w:rsidR="00EE4773">
        <w:rPr>
          <w:color w:val="000000" w:themeColor="text1"/>
        </w:rPr>
        <w:t xml:space="preserve">additional </w:t>
      </w:r>
      <w:r w:rsidRPr="00F55A79" w:rsidR="00A23075">
        <w:rPr>
          <w:color w:val="000000" w:themeColor="text1"/>
        </w:rPr>
        <w:t xml:space="preserve">commitments </w:t>
      </w:r>
      <w:r w:rsidRPr="00F55A79" w:rsidR="00EE4773">
        <w:rPr>
          <w:color w:val="000000" w:themeColor="text1"/>
        </w:rPr>
        <w:t xml:space="preserve">beyond those in its application, including </w:t>
      </w:r>
      <w:r w:rsidRPr="00F55A79" w:rsidR="00A23075">
        <w:rPr>
          <w:color w:val="000000" w:themeColor="text1"/>
        </w:rPr>
        <w:t>deploy</w:t>
      </w:r>
      <w:r w:rsidRPr="00F55A79" w:rsidR="00EE4773">
        <w:rPr>
          <w:color w:val="000000" w:themeColor="text1"/>
        </w:rPr>
        <w:t>ment of</w:t>
      </w:r>
      <w:r w:rsidRPr="00F55A79" w:rsidR="00A23075">
        <w:rPr>
          <w:color w:val="000000" w:themeColor="text1"/>
        </w:rPr>
        <w:t xml:space="preserve"> wireless and fiber infrastructure, enhancing affordability for low-income consumers, investing $40 million in digital inclusion programs, improving service quality, and hiring and retaining CWA-represented employees.</w:t>
      </w:r>
      <w:r w:rsidRPr="00F55A79" w:rsidR="00EE4773">
        <w:rPr>
          <w:rStyle w:val="FootnoteReference"/>
          <w:color w:val="000000" w:themeColor="text1"/>
        </w:rPr>
        <w:t xml:space="preserve"> </w:t>
      </w:r>
      <w:r w:rsidRPr="00F55A79" w:rsidR="00EE4773">
        <w:rPr>
          <w:rStyle w:val="FootnoteReference"/>
          <w:color w:val="000000" w:themeColor="text1"/>
        </w:rPr>
        <w:footnoteReference w:id="316"/>
      </w:r>
      <w:r w:rsidRPr="00F55A79" w:rsidR="00A23075">
        <w:rPr>
          <w:color w:val="000000" w:themeColor="text1"/>
        </w:rPr>
        <w:t xml:space="preserve"> </w:t>
      </w:r>
      <w:r w:rsidRPr="00F55A79" w:rsidR="00EE4773">
        <w:rPr>
          <w:color w:val="000000" w:themeColor="text1"/>
        </w:rPr>
        <w:t xml:space="preserve"> The Joint Applicants also noted the </w:t>
      </w:r>
      <w:r w:rsidRPr="00F55A79" w:rsidR="00A23075">
        <w:rPr>
          <w:color w:val="000000" w:themeColor="text1"/>
        </w:rPr>
        <w:t>additional voluntary commitments Verizon made to invest $10 million in workforce development programs at California institutions of higher learning</w:t>
      </w:r>
      <w:r w:rsidRPr="00F55A79">
        <w:rPr>
          <w:color w:val="000000" w:themeColor="text1"/>
        </w:rPr>
        <w:t>.</w:t>
      </w:r>
      <w:r w:rsidRPr="00F55A79">
        <w:rPr>
          <w:rStyle w:val="FootnoteReference"/>
          <w:color w:val="000000" w:themeColor="text1"/>
        </w:rPr>
        <w:footnoteReference w:id="317"/>
      </w:r>
    </w:p>
    <w:p w:rsidRPr="00F55A79" w:rsidR="005E745B" w:rsidP="005E745B" w:rsidRDefault="00BE735A" w14:paraId="14C14421" w14:textId="4885B35A">
      <w:pPr>
        <w:pStyle w:val="Standard"/>
        <w:rPr>
          <w:color w:val="000000" w:themeColor="text1"/>
        </w:rPr>
      </w:pPr>
      <w:r w:rsidRPr="00F55A79">
        <w:rPr>
          <w:color w:val="000000" w:themeColor="text1"/>
        </w:rPr>
        <w:t>According to the Joint Applicants, no further action is required other than approving the proposed transaction, the settlements, and the additional voluntary commitments.</w:t>
      </w:r>
      <w:r w:rsidRPr="00F55A79">
        <w:rPr>
          <w:rStyle w:val="FootnoteReference"/>
          <w:color w:val="000000" w:themeColor="text1"/>
        </w:rPr>
        <w:footnoteReference w:id="318"/>
      </w:r>
    </w:p>
    <w:p w:rsidRPr="00F55A79" w:rsidR="00354E69" w:rsidP="00354E69" w:rsidRDefault="00354E69" w14:paraId="52E8BC59" w14:textId="0B3DB63F">
      <w:pPr>
        <w:pStyle w:val="Heading2"/>
      </w:pPr>
      <w:bookmarkStart w:name="_Toc216163277" w:id="192"/>
      <w:r w:rsidRPr="00F55A79">
        <w:lastRenderedPageBreak/>
        <w:t>Par</w:t>
      </w:r>
      <w:r w:rsidRPr="00F55A79" w:rsidR="008C6E9C">
        <w:t>t</w:t>
      </w:r>
      <w:r w:rsidRPr="00F55A79">
        <w:t>y Positions</w:t>
      </w:r>
      <w:bookmarkEnd w:id="192"/>
    </w:p>
    <w:p w:rsidRPr="00F55A79" w:rsidR="00226842" w:rsidP="00226842" w:rsidRDefault="00226842" w14:paraId="53298F8E" w14:textId="491777AE">
      <w:pPr>
        <w:pStyle w:val="Heading3"/>
      </w:pPr>
      <w:bookmarkStart w:name="_Toc216163278" w:id="193"/>
      <w:r w:rsidRPr="00F55A79">
        <w:t>TURN</w:t>
      </w:r>
      <w:bookmarkEnd w:id="193"/>
    </w:p>
    <w:p w:rsidRPr="00F55A79" w:rsidR="00784AC1" w:rsidP="00784AC1" w:rsidRDefault="005E745B" w14:paraId="0C547262" w14:textId="0B57B0EC">
      <w:pPr>
        <w:pStyle w:val="Standard"/>
        <w:rPr>
          <w:color w:val="000000" w:themeColor="text1"/>
        </w:rPr>
      </w:pPr>
      <w:r w:rsidRPr="00F55A79">
        <w:rPr>
          <w:color w:val="000000" w:themeColor="text1"/>
        </w:rPr>
        <w:t>I</w:t>
      </w:r>
      <w:r w:rsidRPr="00F55A79" w:rsidR="00784AC1">
        <w:rPr>
          <w:color w:val="000000" w:themeColor="text1"/>
        </w:rPr>
        <w:t>f the Commission approves the transaction, TURN recommend</w:t>
      </w:r>
      <w:r w:rsidRPr="00F55A79" w:rsidR="007D36CD">
        <w:rPr>
          <w:color w:val="000000" w:themeColor="text1"/>
        </w:rPr>
        <w:t>ed</w:t>
      </w:r>
      <w:r w:rsidRPr="00F55A79" w:rsidR="00784AC1">
        <w:rPr>
          <w:color w:val="000000" w:themeColor="text1"/>
        </w:rPr>
        <w:t xml:space="preserve"> the Commission require an independent compliance monitor—paid for by Verizon—</w:t>
      </w:r>
      <w:r w:rsidRPr="00F55A79" w:rsidR="006F20ED">
        <w:rPr>
          <w:color w:val="000000" w:themeColor="text1"/>
        </w:rPr>
        <w:t xml:space="preserve">to </w:t>
      </w:r>
      <w:r w:rsidRPr="00F55A79" w:rsidR="00784AC1">
        <w:rPr>
          <w:color w:val="000000" w:themeColor="text1"/>
        </w:rPr>
        <w:t xml:space="preserve">review Verizon’s investments and compliance with Verizon’s settlement agreements and any conditions the Commission requires as part of its approval. </w:t>
      </w:r>
      <w:r w:rsidRPr="00F55A79" w:rsidR="00A02373">
        <w:rPr>
          <w:color w:val="000000" w:themeColor="text1"/>
        </w:rPr>
        <w:t xml:space="preserve"> </w:t>
      </w:r>
      <w:r w:rsidRPr="00F55A79" w:rsidR="00784AC1">
        <w:rPr>
          <w:color w:val="000000" w:themeColor="text1"/>
        </w:rPr>
        <w:t xml:space="preserve">The Commission previously adopted a compliance monitor for the </w:t>
      </w:r>
      <w:r w:rsidRPr="00F55A79" w:rsidR="00784AC1">
        <w:t>Frontier Bankruptcy decision</w:t>
      </w:r>
      <w:r w:rsidRPr="00F55A79" w:rsidR="00784AC1">
        <w:rPr>
          <w:rStyle w:val="FootnoteReference"/>
          <w:color w:val="000000" w:themeColor="text1"/>
        </w:rPr>
        <w:footnoteReference w:id="319"/>
      </w:r>
      <w:r w:rsidRPr="00F55A79" w:rsidR="00784AC1">
        <w:rPr>
          <w:color w:val="000000" w:themeColor="text1"/>
        </w:rPr>
        <w:t xml:space="preserve"> </w:t>
      </w:r>
      <w:r w:rsidRPr="00F55A79" w:rsidR="00784AC1">
        <w:t>and can do the same here.</w:t>
      </w:r>
      <w:r w:rsidRPr="00F55A79" w:rsidR="007D36CD">
        <w:rPr>
          <w:rStyle w:val="FootnoteReference"/>
          <w:color w:val="000000" w:themeColor="text1"/>
        </w:rPr>
        <w:footnoteReference w:id="320"/>
      </w:r>
    </w:p>
    <w:p w:rsidRPr="00F55A79" w:rsidR="000925D5" w:rsidP="000925D5" w:rsidRDefault="005360C9" w14:paraId="23204D21" w14:textId="6DD2F110">
      <w:pPr>
        <w:pStyle w:val="Standard"/>
        <w:rPr>
          <w:color w:val="000000" w:themeColor="text1"/>
        </w:rPr>
      </w:pPr>
      <w:r w:rsidRPr="00F55A79">
        <w:rPr>
          <w:color w:val="000000" w:themeColor="text1"/>
        </w:rPr>
        <w:t>In addition, TURN noted that</w:t>
      </w:r>
      <w:r w:rsidRPr="00F55A79" w:rsidR="000925D5">
        <w:rPr>
          <w:color w:val="000000" w:themeColor="text1"/>
        </w:rPr>
        <w:t xml:space="preserve"> Verizon </w:t>
      </w:r>
      <w:r w:rsidRPr="00F55A79">
        <w:rPr>
          <w:color w:val="000000" w:themeColor="text1"/>
        </w:rPr>
        <w:t>had not</w:t>
      </w:r>
      <w:r w:rsidRPr="00F55A79" w:rsidR="000925D5">
        <w:rPr>
          <w:color w:val="000000" w:themeColor="text1"/>
        </w:rPr>
        <w:t xml:space="preserve"> ma</w:t>
      </w:r>
      <w:r w:rsidRPr="00F55A79">
        <w:rPr>
          <w:color w:val="000000" w:themeColor="text1"/>
        </w:rPr>
        <w:t>d</w:t>
      </w:r>
      <w:r w:rsidRPr="00F55A79" w:rsidR="000925D5">
        <w:rPr>
          <w:color w:val="000000" w:themeColor="text1"/>
        </w:rPr>
        <w:t xml:space="preserve">e </w:t>
      </w:r>
      <w:r w:rsidRPr="00F55A79">
        <w:rPr>
          <w:color w:val="000000" w:themeColor="text1"/>
        </w:rPr>
        <w:t>“</w:t>
      </w:r>
      <w:r w:rsidRPr="00F55A79" w:rsidR="000925D5">
        <w:rPr>
          <w:color w:val="000000" w:themeColor="text1"/>
        </w:rPr>
        <w:t xml:space="preserve">any concrete, specific and material commitment for fiber deployment for the benefit of Frontier </w:t>
      </w:r>
      <w:r w:rsidRPr="00F55A79" w:rsidR="000925D5">
        <w:t>ratepayers and California as a whole.</w:t>
      </w:r>
      <w:r w:rsidRPr="00F55A79">
        <w:t>”</w:t>
      </w:r>
      <w:r w:rsidRPr="00F55A79" w:rsidR="00F02CD3">
        <w:rPr>
          <w:rStyle w:val="FootnoteReference"/>
          <w:color w:val="000000" w:themeColor="text1"/>
        </w:rPr>
        <w:footnoteReference w:id="321"/>
      </w:r>
      <w:r w:rsidRPr="00F55A79" w:rsidR="000925D5">
        <w:rPr>
          <w:color w:val="000000" w:themeColor="text1"/>
        </w:rPr>
        <w:t xml:space="preserve"> </w:t>
      </w:r>
      <w:r w:rsidRPr="00F55A79" w:rsidR="00F02CD3">
        <w:rPr>
          <w:color w:val="000000" w:themeColor="text1"/>
        </w:rPr>
        <w:t xml:space="preserve"> </w:t>
      </w:r>
      <w:r w:rsidRPr="00F55A79">
        <w:rPr>
          <w:color w:val="000000" w:themeColor="text1"/>
        </w:rPr>
        <w:t>According to TURN, t</w:t>
      </w:r>
      <w:r w:rsidRPr="00F55A79" w:rsidR="000925D5">
        <w:rPr>
          <w:color w:val="000000" w:themeColor="text1"/>
        </w:rPr>
        <w:t xml:space="preserve">he Commission should not allow Verizon to claim the use of its financial capacity as a public benefit without also providing </w:t>
      </w:r>
      <w:r w:rsidRPr="00F55A79" w:rsidR="000925D5">
        <w:t>concrete, specific and material commitment.</w:t>
      </w:r>
      <w:r w:rsidRPr="00F55A79">
        <w:rPr>
          <w:rStyle w:val="FootnoteReference"/>
          <w:color w:val="000000" w:themeColor="text1"/>
        </w:rPr>
        <w:footnoteReference w:id="322"/>
      </w:r>
      <w:r w:rsidRPr="00F55A79" w:rsidR="000925D5">
        <w:rPr>
          <w:color w:val="000000" w:themeColor="text1"/>
        </w:rPr>
        <w:t xml:space="preserve"> </w:t>
      </w:r>
    </w:p>
    <w:p w:rsidRPr="00F55A79" w:rsidR="002F01AB" w:rsidP="00642EC4" w:rsidRDefault="0001596E" w14:paraId="46750B8A" w14:textId="7F34E556">
      <w:pPr>
        <w:pStyle w:val="Standard"/>
        <w:rPr>
          <w:color w:val="000000" w:themeColor="text1"/>
        </w:rPr>
      </w:pPr>
      <w:r w:rsidRPr="00F55A79">
        <w:rPr>
          <w:color w:val="000000" w:themeColor="text1"/>
        </w:rPr>
        <w:t>TURN further noted that</w:t>
      </w:r>
      <w:r w:rsidRPr="00F55A79" w:rsidR="000925D5">
        <w:rPr>
          <w:color w:val="000000" w:themeColor="text1"/>
        </w:rPr>
        <w:t xml:space="preserve"> Frontier</w:t>
      </w:r>
      <w:r w:rsidRPr="00F55A79">
        <w:rPr>
          <w:color w:val="000000" w:themeColor="text1"/>
        </w:rPr>
        <w:t xml:space="preserve"> </w:t>
      </w:r>
      <w:r w:rsidRPr="00F55A79" w:rsidR="00642EC4">
        <w:rPr>
          <w:color w:val="000000" w:themeColor="text1"/>
        </w:rPr>
        <w:t>had</w:t>
      </w:r>
      <w:r w:rsidRPr="00F55A79" w:rsidR="000925D5">
        <w:rPr>
          <w:color w:val="000000" w:themeColor="text1"/>
        </w:rPr>
        <w:t xml:space="preserve"> identified the number of customer locations in California that clear</w:t>
      </w:r>
      <w:r w:rsidRPr="00F55A79" w:rsidR="00642EC4">
        <w:rPr>
          <w:color w:val="000000" w:themeColor="text1"/>
        </w:rPr>
        <w:t>ed</w:t>
      </w:r>
      <w:r w:rsidRPr="00F55A79" w:rsidR="000925D5">
        <w:rPr>
          <w:color w:val="000000" w:themeColor="text1"/>
        </w:rPr>
        <w:t xml:space="preserve"> </w:t>
      </w:r>
      <w:r w:rsidRPr="00F55A79" w:rsidR="00642EC4">
        <w:rPr>
          <w:color w:val="000000" w:themeColor="text1"/>
        </w:rPr>
        <w:t>it</w:t>
      </w:r>
      <w:r w:rsidRPr="00F55A79" w:rsidR="000925D5">
        <w:rPr>
          <w:color w:val="000000" w:themeColor="text1"/>
        </w:rPr>
        <w:t>s own capital deployment profitability hurdle (required minimum Internal Rate of Return or IRR), and these locations comprise Frontier’s “</w:t>
      </w:r>
      <w:r w:rsidR="00647A93">
        <w:rPr>
          <w:color w:val="000000" w:themeColor="text1"/>
        </w:rPr>
        <w:t>A</w:t>
      </w:r>
      <w:r w:rsidRPr="00F55A79" w:rsidR="00647A93">
        <w:rPr>
          <w:color w:val="000000" w:themeColor="text1"/>
        </w:rPr>
        <w:t xml:space="preserve">pproved </w:t>
      </w:r>
      <w:r w:rsidRPr="00F55A79" w:rsidR="000925D5">
        <w:rPr>
          <w:color w:val="000000" w:themeColor="text1"/>
        </w:rPr>
        <w:t xml:space="preserve">build </w:t>
      </w:r>
      <w:r w:rsidR="00647A93">
        <w:rPr>
          <w:color w:val="000000" w:themeColor="text1"/>
        </w:rPr>
        <w:t>B</w:t>
      </w:r>
      <w:r w:rsidRPr="00F55A79" w:rsidR="00647A93">
        <w:rPr>
          <w:color w:val="000000" w:themeColor="text1"/>
        </w:rPr>
        <w:t xml:space="preserve">uild </w:t>
      </w:r>
      <w:r w:rsidRPr="00F55A79" w:rsidR="000925D5">
        <w:rPr>
          <w:color w:val="000000" w:themeColor="text1"/>
        </w:rPr>
        <w:t>universe</w:t>
      </w:r>
      <w:r w:rsidR="00647A93">
        <w:rPr>
          <w:color w:val="000000" w:themeColor="text1"/>
        </w:rPr>
        <w:t>U</w:t>
      </w:r>
      <w:r w:rsidRPr="00F55A79" w:rsidR="00647A93">
        <w:rPr>
          <w:color w:val="000000" w:themeColor="text1"/>
        </w:rPr>
        <w:t>niverse</w:t>
      </w:r>
      <w:r w:rsidRPr="00F55A79" w:rsidR="00290218">
        <w:rPr>
          <w:color w:val="000000" w:themeColor="text1"/>
        </w:rPr>
        <w:t>.</w:t>
      </w:r>
      <w:r w:rsidRPr="00F55A79" w:rsidR="000925D5">
        <w:rPr>
          <w:color w:val="000000" w:themeColor="text1"/>
        </w:rPr>
        <w:t>”</w:t>
      </w:r>
      <w:r w:rsidRPr="00F55A79" w:rsidR="00642EC4">
        <w:rPr>
          <w:rStyle w:val="FootnoteReference"/>
          <w:color w:val="000000" w:themeColor="text1"/>
        </w:rPr>
        <w:footnoteReference w:id="323"/>
      </w:r>
      <w:r w:rsidRPr="00F55A79" w:rsidR="002F01AB">
        <w:rPr>
          <w:color w:val="000000" w:themeColor="text1"/>
        </w:rPr>
        <w:t xml:space="preserve">  </w:t>
      </w:r>
      <w:r w:rsidRPr="00F55A79" w:rsidR="00865FE3">
        <w:rPr>
          <w:color w:val="000000" w:themeColor="text1"/>
        </w:rPr>
        <w:t>TURN’s recommended</w:t>
      </w:r>
      <w:r w:rsidRPr="00F55A79" w:rsidR="00D61C54">
        <w:rPr>
          <w:color w:val="000000" w:themeColor="text1"/>
        </w:rPr>
        <w:t xml:space="preserve"> that Commission require</w:t>
      </w:r>
      <w:r w:rsidRPr="00F55A79" w:rsidR="006F414B">
        <w:rPr>
          <w:color w:val="000000" w:themeColor="text1"/>
        </w:rPr>
        <w:t xml:space="preserve"> as a condition of the transaction</w:t>
      </w:r>
      <w:r w:rsidRPr="00F55A79" w:rsidR="00280563">
        <w:rPr>
          <w:color w:val="000000" w:themeColor="text1"/>
        </w:rPr>
        <w:t>’</w:t>
      </w:r>
      <w:r w:rsidRPr="00F55A79" w:rsidR="006F414B">
        <w:rPr>
          <w:color w:val="000000" w:themeColor="text1"/>
        </w:rPr>
        <w:t xml:space="preserve">s approval a </w:t>
      </w:r>
      <w:r w:rsidRPr="00F55A79" w:rsidR="00865FE3">
        <w:rPr>
          <w:color w:val="000000" w:themeColor="text1"/>
        </w:rPr>
        <w:t xml:space="preserve">commitment </w:t>
      </w:r>
      <w:r w:rsidRPr="00F55A79" w:rsidR="006F414B">
        <w:rPr>
          <w:color w:val="000000" w:themeColor="text1"/>
        </w:rPr>
        <w:t xml:space="preserve">from Verizon </w:t>
      </w:r>
      <w:r w:rsidRPr="00F55A79" w:rsidR="00865FE3">
        <w:rPr>
          <w:color w:val="000000" w:themeColor="text1"/>
        </w:rPr>
        <w:t xml:space="preserve">to deploy fiber broadband infrastructure to all of the remaining “approved </w:t>
      </w:r>
      <w:r w:rsidR="00647A93">
        <w:rPr>
          <w:color w:val="000000" w:themeColor="text1"/>
        </w:rPr>
        <w:t>A</w:t>
      </w:r>
      <w:r w:rsidRPr="00F55A79" w:rsidR="00647A93">
        <w:rPr>
          <w:color w:val="000000" w:themeColor="text1"/>
        </w:rPr>
        <w:t xml:space="preserve">pproved </w:t>
      </w:r>
      <w:r w:rsidRPr="00F55A79" w:rsidR="00865FE3">
        <w:rPr>
          <w:color w:val="000000" w:themeColor="text1"/>
        </w:rPr>
        <w:t xml:space="preserve">build </w:t>
      </w:r>
      <w:r w:rsidR="00647A93">
        <w:rPr>
          <w:color w:val="000000" w:themeColor="text1"/>
        </w:rPr>
        <w:t>B</w:t>
      </w:r>
      <w:r w:rsidRPr="00F55A79" w:rsidR="00647A93">
        <w:rPr>
          <w:color w:val="000000" w:themeColor="text1"/>
        </w:rPr>
        <w:t xml:space="preserve">uild </w:t>
      </w:r>
      <w:r w:rsidRPr="00F55A79" w:rsidR="00865FE3">
        <w:rPr>
          <w:color w:val="000000" w:themeColor="text1"/>
        </w:rPr>
        <w:t>universe</w:t>
      </w:r>
      <w:r w:rsidR="00647A93">
        <w:rPr>
          <w:color w:val="000000" w:themeColor="text1"/>
        </w:rPr>
        <w:t>U</w:t>
      </w:r>
      <w:r w:rsidRPr="00F55A79" w:rsidR="00647A93">
        <w:rPr>
          <w:color w:val="000000" w:themeColor="text1"/>
        </w:rPr>
        <w:t>niverse</w:t>
      </w:r>
      <w:r w:rsidRPr="00F55A79" w:rsidR="00865FE3">
        <w:rPr>
          <w:color w:val="000000" w:themeColor="text1"/>
        </w:rPr>
        <w:t>” locations minus any locations</w:t>
      </w:r>
      <w:r w:rsidRPr="00F55A79" w:rsidR="002C5408">
        <w:rPr>
          <w:color w:val="000000" w:themeColor="text1"/>
        </w:rPr>
        <w:t xml:space="preserve"> </w:t>
      </w:r>
      <w:r w:rsidRPr="00F55A79" w:rsidR="00865FE3">
        <w:rPr>
          <w:color w:val="000000" w:themeColor="text1"/>
        </w:rPr>
        <w:t xml:space="preserve">that receive fiber </w:t>
      </w:r>
      <w:r w:rsidRPr="00F55A79" w:rsidR="00865FE3">
        <w:t>services as a result of a BEAD</w:t>
      </w:r>
      <w:r w:rsidRPr="00F55A79" w:rsidR="002C5408">
        <w:t xml:space="preserve"> </w:t>
      </w:r>
      <w:r w:rsidRPr="00F55A79" w:rsidR="00865FE3">
        <w:lastRenderedPageBreak/>
        <w:t>grant.</w:t>
      </w:r>
      <w:r w:rsidRPr="00F55A79" w:rsidR="006F414B">
        <w:rPr>
          <w:rStyle w:val="FootnoteReference"/>
          <w:color w:val="000000" w:themeColor="text1"/>
        </w:rPr>
        <w:footnoteReference w:id="324"/>
      </w:r>
      <w:r w:rsidRPr="00F55A79" w:rsidR="00865FE3">
        <w:rPr>
          <w:color w:val="000000" w:themeColor="text1"/>
        </w:rPr>
        <w:t xml:space="preserve"> </w:t>
      </w:r>
      <w:r w:rsidRPr="00F55A79" w:rsidR="006F414B">
        <w:rPr>
          <w:color w:val="000000" w:themeColor="text1"/>
        </w:rPr>
        <w:t xml:space="preserve"> TURN argued that w</w:t>
      </w:r>
      <w:r w:rsidRPr="00F55A79" w:rsidR="00865FE3">
        <w:rPr>
          <w:color w:val="000000" w:themeColor="text1"/>
        </w:rPr>
        <w:t>ithout this mitigation measure, the transaction</w:t>
      </w:r>
      <w:r w:rsidRPr="00F55A79" w:rsidR="002C5408">
        <w:rPr>
          <w:color w:val="000000" w:themeColor="text1"/>
        </w:rPr>
        <w:t xml:space="preserve"> </w:t>
      </w:r>
      <w:r w:rsidRPr="00F55A79" w:rsidR="00865FE3">
        <w:rPr>
          <w:color w:val="000000" w:themeColor="text1"/>
        </w:rPr>
        <w:t>would not be in the public interest because Verizon would not commit to using its financial strength and</w:t>
      </w:r>
      <w:r w:rsidRPr="00F55A79" w:rsidR="002C5408">
        <w:rPr>
          <w:color w:val="000000" w:themeColor="text1"/>
        </w:rPr>
        <w:t xml:space="preserve"> </w:t>
      </w:r>
      <w:r w:rsidRPr="00F55A79" w:rsidR="00865FE3">
        <w:rPr>
          <w:color w:val="000000" w:themeColor="text1"/>
        </w:rPr>
        <w:t>capacity for what Frontier characterized is “the most important benefit [for Frontier and its</w:t>
      </w:r>
      <w:r w:rsidRPr="00F55A79" w:rsidR="002C5408">
        <w:rPr>
          <w:color w:val="000000" w:themeColor="text1"/>
        </w:rPr>
        <w:t xml:space="preserve"> </w:t>
      </w:r>
      <w:r w:rsidRPr="00F55A79" w:rsidR="00865FE3">
        <w:t>customers.]”</w:t>
      </w:r>
      <w:r w:rsidRPr="00F55A79" w:rsidR="002C5408">
        <w:rPr>
          <w:rStyle w:val="FootnoteReference"/>
          <w:color w:val="000000" w:themeColor="text1"/>
        </w:rPr>
        <w:footnoteReference w:id="325"/>
      </w:r>
    </w:p>
    <w:p w:rsidRPr="00F55A79" w:rsidR="00116B8D" w:rsidP="009F0546" w:rsidRDefault="00116B8D" w14:paraId="5FB4532E" w14:textId="5E189626">
      <w:pPr>
        <w:pStyle w:val="Heading2"/>
        <w:rPr>
          <w:color w:val="000000" w:themeColor="text1"/>
        </w:rPr>
      </w:pPr>
      <w:bookmarkStart w:name="_Toc216163279" w:id="194"/>
      <w:r w:rsidRPr="00F55A79">
        <w:rPr>
          <w:color w:val="000000" w:themeColor="text1"/>
        </w:rPr>
        <w:t>Discussion</w:t>
      </w:r>
      <w:bookmarkEnd w:id="194"/>
    </w:p>
    <w:p w:rsidRPr="00F55A79" w:rsidR="00116B8D" w:rsidP="00B36C29" w:rsidRDefault="00B36C29" w14:paraId="27CE5FBB" w14:textId="43C847EB">
      <w:pPr>
        <w:pStyle w:val="Standard"/>
        <w:rPr>
          <w:color w:val="000000" w:themeColor="text1"/>
        </w:rPr>
      </w:pPr>
      <w:r w:rsidRPr="00F55A79">
        <w:rPr>
          <w:color w:val="000000" w:themeColor="text1"/>
        </w:rPr>
        <w:t xml:space="preserve">We agree with TURN that additional conditions are needed to ensure the proposed transaction is in the public interest.  Specifically, we require an independent compliance monitor and order concrete, specific, and material commitment for fiber deployment as detailed in </w:t>
      </w:r>
      <w:r w:rsidRPr="00F55A79" w:rsidR="00D365EA">
        <w:rPr>
          <w:color w:val="000000" w:themeColor="text1"/>
        </w:rPr>
        <w:t>Ordering Paragraph</w:t>
      </w:r>
      <w:r w:rsidRPr="00F55A79" w:rsidR="00584316">
        <w:rPr>
          <w:color w:val="000000" w:themeColor="text1"/>
        </w:rPr>
        <w:t xml:space="preserve"> 2</w:t>
      </w:r>
      <w:r w:rsidRPr="00F55A79">
        <w:rPr>
          <w:color w:val="000000" w:themeColor="text1"/>
        </w:rPr>
        <w:t xml:space="preserve">. </w:t>
      </w:r>
    </w:p>
    <w:p w:rsidRPr="00F55A79" w:rsidR="00040CFB" w:rsidP="0018784C" w:rsidRDefault="009F0546" w14:paraId="048F212A" w14:textId="4BE83B9F">
      <w:pPr>
        <w:pStyle w:val="Heading1"/>
        <w:rPr>
          <w:color w:val="000000" w:themeColor="text1"/>
        </w:rPr>
      </w:pPr>
      <w:bookmarkStart w:name="_Toc216163280" w:id="195"/>
      <w:r w:rsidRPr="00F55A79">
        <w:rPr>
          <w:color w:val="000000" w:themeColor="text1"/>
        </w:rPr>
        <w:t xml:space="preserve">Issue 7: </w:t>
      </w:r>
      <w:r w:rsidRPr="00F55A79" w:rsidR="0018784C">
        <w:rPr>
          <w:color w:val="000000" w:themeColor="text1"/>
        </w:rPr>
        <w:t>Diversity, Equity, and Inclusion (</w:t>
      </w:r>
      <w:r w:rsidRPr="00F55A79" w:rsidR="00793810">
        <w:rPr>
          <w:color w:val="000000" w:themeColor="text1"/>
        </w:rPr>
        <w:t>DEI</w:t>
      </w:r>
      <w:r w:rsidRPr="00F55A79" w:rsidR="0018784C">
        <w:rPr>
          <w:color w:val="000000" w:themeColor="text1"/>
        </w:rPr>
        <w:t>)</w:t>
      </w:r>
      <w:bookmarkEnd w:id="195"/>
    </w:p>
    <w:p w:rsidRPr="00F55A79" w:rsidR="00F857F1" w:rsidP="00F857F1" w:rsidRDefault="00F857F1" w14:paraId="1E5D0948" w14:textId="5427A538">
      <w:pPr>
        <w:rPr>
          <w:color w:val="000000" w:themeColor="text1"/>
        </w:rPr>
      </w:pPr>
      <w:r w:rsidRPr="00F55A79">
        <w:rPr>
          <w:color w:val="000000" w:themeColor="text1"/>
        </w:rPr>
        <w:t xml:space="preserve">Upon review of the record of this proceeding, we find that </w:t>
      </w:r>
      <w:r w:rsidRPr="00F55A79" w:rsidR="00B36C29">
        <w:rPr>
          <w:color w:val="000000" w:themeColor="text1"/>
        </w:rPr>
        <w:t>additional conditions and enforcement measures are needed to ensure Verizon’s ongoing adherence to California law and statute.</w:t>
      </w:r>
    </w:p>
    <w:p w:rsidRPr="00F55A79" w:rsidR="00BB742F" w:rsidP="00150F4B" w:rsidRDefault="00BB742F" w14:paraId="784669F1" w14:textId="74B46704">
      <w:pPr>
        <w:pStyle w:val="Heading2"/>
        <w:rPr>
          <w:color w:val="000000" w:themeColor="text1"/>
        </w:rPr>
      </w:pPr>
      <w:bookmarkStart w:name="_Toc216163281" w:id="196"/>
      <w:r w:rsidRPr="00F55A79">
        <w:rPr>
          <w:color w:val="000000" w:themeColor="text1"/>
        </w:rPr>
        <w:t>Background</w:t>
      </w:r>
      <w:bookmarkEnd w:id="196"/>
    </w:p>
    <w:p w:rsidRPr="00F55A79" w:rsidR="00770720" w:rsidP="00770720" w:rsidRDefault="00770720" w14:paraId="47A461F1" w14:textId="77777777">
      <w:pPr>
        <w:pStyle w:val="Standard"/>
        <w:rPr>
          <w:color w:val="000000" w:themeColor="text1"/>
        </w:rPr>
      </w:pPr>
      <w:r w:rsidRPr="00F55A79">
        <w:rPr>
          <w:color w:val="000000" w:themeColor="text1"/>
        </w:rPr>
        <w:t>The May 15, 2025 Verizon-FCC Letter detailed broad changes that Verizon will make to its DEI practices.  According to the Joint Applicants,</w:t>
      </w:r>
    </w:p>
    <w:p w:rsidRPr="00F55A79" w:rsidR="00770720" w:rsidP="00150F4B" w:rsidRDefault="00770720" w14:paraId="084E3751" w14:textId="6B8836CD">
      <w:pPr>
        <w:pStyle w:val="BlockQuote"/>
      </w:pPr>
      <w:r w:rsidRPr="00F55A79">
        <w:t>There is no serious question that the regulatory and policy landscape surrounding DEI issues has shifted. A series of judicial decisions, executive actions, and regulatory pronouncements have applied scrutiny to programs that take race, gender, or other protected characteristics into account.</w:t>
      </w:r>
      <w:r w:rsidRPr="00F55A79">
        <w:rPr>
          <w:rStyle w:val="FootnoteReference"/>
        </w:rPr>
        <w:footnoteReference w:id="326"/>
      </w:r>
      <w:r w:rsidRPr="00F55A79">
        <w:t xml:space="preserve"> </w:t>
      </w:r>
    </w:p>
    <w:p w:rsidRPr="00F55A79" w:rsidR="00770720" w:rsidP="009A7320" w:rsidRDefault="00770720" w14:paraId="3BACCCF5" w14:textId="2B47300F">
      <w:pPr>
        <w:pStyle w:val="Standard"/>
      </w:pPr>
      <w:r w:rsidRPr="00F55A79">
        <w:t xml:space="preserve">The Joint Applicants cited, for example, the U.S. Supreme Court’s decision in </w:t>
      </w:r>
      <w:r w:rsidRPr="00F55A79">
        <w:rPr>
          <w:i/>
          <w:iCs/>
        </w:rPr>
        <w:t xml:space="preserve">Students for Fair Admissions, Inc. v. President &amp; Fellows of Harvard College </w:t>
      </w:r>
      <w:r w:rsidRPr="00F55A79">
        <w:t xml:space="preserve">(Harvard), in which the Court held that certain university race-conscious </w:t>
      </w:r>
      <w:r w:rsidRPr="00F55A79">
        <w:lastRenderedPageBreak/>
        <w:t>admissions policies violated the Equal Protection Clause of the Fourteenth Amendment and Title VI of the Civil Rights Act of 1964.</w:t>
      </w:r>
      <w:r w:rsidRPr="00F55A79">
        <w:rPr>
          <w:rStyle w:val="FootnoteReference"/>
        </w:rPr>
        <w:footnoteReference w:id="327"/>
      </w:r>
      <w:r w:rsidRPr="00F55A79">
        <w:t xml:space="preserve">  According to the Joint Applicants, the Supreme Court’s reasoning was “unequivocal:” any use of race as a factor in decision-making by institutions receiving federal funds must survive the most exacting form of judicial scrutiny—strict scrutiny—and must be narrowly tailored to serve a compelling governmental interest.</w:t>
      </w:r>
      <w:r w:rsidRPr="00F55A79">
        <w:rPr>
          <w:rStyle w:val="FootnoteReference"/>
        </w:rPr>
        <w:footnoteReference w:id="328"/>
      </w:r>
    </w:p>
    <w:p w:rsidRPr="00F55A79" w:rsidR="00770720" w:rsidP="009A7320" w:rsidRDefault="00770720" w14:paraId="6F3FA51F" w14:textId="451A8F1D">
      <w:pPr>
        <w:pStyle w:val="Standard"/>
      </w:pPr>
      <w:r w:rsidRPr="00F55A79">
        <w:t>The Joint Applicants stated that in the wake of the Harvard decision, the federal government took a series of actions to broaden and enforce prohibitions against the consideration of race, gender, and other protected characteristics in employment, contracting, and other aspects of government and private sector decision-making, including new guidance and enforcement activity by the Equal Employment Opportunity Commission</w:t>
      </w:r>
      <w:r w:rsidRPr="00F55A79">
        <w:rPr>
          <w:rStyle w:val="FootnoteReference"/>
        </w:rPr>
        <w:footnoteReference w:id="329"/>
      </w:r>
      <w:r w:rsidRPr="00F55A79">
        <w:t xml:space="preserve"> and the issuance of an Executive Order applicable to government contractors such as Verizon.</w:t>
      </w:r>
      <w:r w:rsidRPr="00F55A79">
        <w:rPr>
          <w:rStyle w:val="FootnoteReference"/>
        </w:rPr>
        <w:footnoteReference w:id="330"/>
      </w:r>
      <w:r w:rsidRPr="00F55A79">
        <w:rPr>
          <w:vertAlign w:val="superscript"/>
        </w:rPr>
        <w:t xml:space="preserve"> </w:t>
      </w:r>
      <w:r w:rsidRPr="00F55A79">
        <w:t xml:space="preserve"> On the same day the President issued this Executive Order, FCC Chairman Carr “announced that he is ending the FCC’s promotion of DEI.”</w:t>
      </w:r>
      <w:r w:rsidRPr="00F55A79">
        <w:rPr>
          <w:rStyle w:val="FootnoteReference"/>
        </w:rPr>
        <w:footnoteReference w:id="331"/>
      </w:r>
      <w:r w:rsidRPr="00F55A79">
        <w:t xml:space="preserve">  In explaining his reasons for the change, Chairman Carr stated: “Promoting invidious forms of discrimination runs contrary to the Communications Act and deprives Americans of their rights to fair and equal treatment under the law.”</w:t>
      </w:r>
      <w:r w:rsidRPr="00F55A79">
        <w:rPr>
          <w:rStyle w:val="FootnoteReference"/>
        </w:rPr>
        <w:footnoteReference w:id="332"/>
      </w:r>
    </w:p>
    <w:p w:rsidRPr="00F55A79" w:rsidR="00770720" w:rsidP="009A7320" w:rsidRDefault="00770720" w14:paraId="00421FCF" w14:textId="636A77D5">
      <w:pPr>
        <w:pStyle w:val="Standard"/>
      </w:pPr>
      <w:r w:rsidRPr="00F55A79">
        <w:lastRenderedPageBreak/>
        <w:t>Verizon received a letter from Chairman Carr stating that he expected “all regulated companies to end invidious forms of DEI discrimination, given the scope of the FCC’s [Equal Employment Opportunity] rules and other authorities.”</w:t>
      </w:r>
      <w:r w:rsidRPr="00F55A79">
        <w:rPr>
          <w:vertAlign w:val="superscript"/>
        </w:rPr>
        <w:footnoteReference w:id="333"/>
      </w:r>
      <w:r w:rsidRPr="00F55A79">
        <w:t xml:space="preserve">  The Joint Applicants stated that Chairman Carr’s actions were both industrywide and across all industries.</w:t>
      </w:r>
      <w:r w:rsidRPr="00F55A79">
        <w:rPr>
          <w:rStyle w:val="FootnoteReference"/>
        </w:rPr>
        <w:footnoteReference w:id="334"/>
      </w:r>
      <w:r w:rsidRPr="00F55A79">
        <w:t xml:space="preserve">  The Joint Applicants further noted that AT&amp;T, Charter, and businesses also proactively changed their programs.</w:t>
      </w:r>
      <w:r w:rsidRPr="00F55A79">
        <w:rPr>
          <w:rStyle w:val="FootnoteReference"/>
        </w:rPr>
        <w:footnoteReference w:id="335"/>
      </w:r>
    </w:p>
    <w:p w:rsidRPr="00F55A79" w:rsidR="00831001" w:rsidP="009A7320" w:rsidRDefault="00770720" w14:paraId="75E6184C" w14:textId="5C41C6E0">
      <w:pPr>
        <w:pStyle w:val="Standard"/>
      </w:pPr>
      <w:r w:rsidRPr="00F55A79">
        <w:t>The Joint Applicants argued that, given these changes in the regulatory and policy environment, Verizon’s commitments to the FCC, combined with its commitments in this proceeding, “reflect a responsible, balanced, and thoughtful response.”</w:t>
      </w:r>
      <w:r w:rsidRPr="00F55A79">
        <w:rPr>
          <w:rStyle w:val="FootnoteReference"/>
          <w:color w:val="000000" w:themeColor="text1"/>
        </w:rPr>
        <w:footnoteReference w:id="336"/>
      </w:r>
      <w:r w:rsidRPr="00F55A79">
        <w:t xml:space="preserve">  As detailed in Verizon’s letter to Chairman Carr, the company ended DEI-related policies and programs, including eliminating DEI-focused roles and teams; removing references to DEI from employee training and public communications; ceasing participation in recognition surveys focused on protected characteristics; and discontinuing the use of quantitative goals for supplier diversity or workforce representation.</w:t>
      </w:r>
      <w:r w:rsidRPr="00F55A79">
        <w:rPr>
          <w:rStyle w:val="FootnoteReference"/>
          <w:color w:val="000000" w:themeColor="text1"/>
        </w:rPr>
        <w:footnoteReference w:id="337"/>
      </w:r>
    </w:p>
    <w:p w:rsidRPr="00F55A79" w:rsidR="00770720" w:rsidP="00831001" w:rsidRDefault="00770720" w14:paraId="417B7613" w14:textId="0852BA98">
      <w:pPr>
        <w:pStyle w:val="Standard"/>
        <w:rPr>
          <w:color w:val="000000" w:themeColor="text1"/>
        </w:rPr>
      </w:pPr>
      <w:r w:rsidRPr="00F55A79">
        <w:rPr>
          <w:color w:val="000000" w:themeColor="text1"/>
        </w:rPr>
        <w:t>Verizon</w:t>
      </w:r>
      <w:r w:rsidRPr="00F55A79" w:rsidR="00CA022E">
        <w:rPr>
          <w:color w:val="000000" w:themeColor="text1"/>
        </w:rPr>
        <w:t xml:space="preserve"> stated, however, that</w:t>
      </w:r>
      <w:r w:rsidRPr="00F55A79" w:rsidR="00E26DB4">
        <w:rPr>
          <w:color w:val="000000" w:themeColor="text1"/>
        </w:rPr>
        <w:t xml:space="preserve"> the</w:t>
      </w:r>
      <w:r w:rsidRPr="00F55A79" w:rsidR="00CA022E">
        <w:rPr>
          <w:color w:val="000000" w:themeColor="text1"/>
        </w:rPr>
        <w:t xml:space="preserve"> </w:t>
      </w:r>
      <w:r w:rsidRPr="00F55A79">
        <w:rPr>
          <w:color w:val="000000" w:themeColor="text1"/>
        </w:rPr>
        <w:t xml:space="preserve">company remains “committed to the core principles that have made us successful—an inclusive culture based on </w:t>
      </w:r>
      <w:r w:rsidRPr="00F55A79">
        <w:lastRenderedPageBreak/>
        <w:t>trust, care, and excellence.”</w:t>
      </w:r>
      <w:r w:rsidRPr="00F55A79">
        <w:rPr>
          <w:rStyle w:val="FootnoteReference"/>
          <w:color w:val="000000" w:themeColor="text1"/>
        </w:rPr>
        <w:footnoteReference w:id="338"/>
      </w:r>
      <w:r w:rsidRPr="00F55A79">
        <w:rPr>
          <w:color w:val="000000" w:themeColor="text1"/>
        </w:rPr>
        <w:t xml:space="preserve">  </w:t>
      </w:r>
      <w:r w:rsidRPr="00F55A79" w:rsidR="00831001">
        <w:rPr>
          <w:color w:val="000000" w:themeColor="text1"/>
        </w:rPr>
        <w:t xml:space="preserve">According to the </w:t>
      </w:r>
      <w:r w:rsidRPr="00F55A79">
        <w:rPr>
          <w:color w:val="000000" w:themeColor="text1"/>
        </w:rPr>
        <w:t>Joint Applicants</w:t>
      </w:r>
      <w:r w:rsidRPr="00F55A79" w:rsidR="00831001">
        <w:rPr>
          <w:color w:val="000000" w:themeColor="text1"/>
        </w:rPr>
        <w:t>,</w:t>
      </w:r>
      <w:r w:rsidRPr="00F55A79">
        <w:rPr>
          <w:color w:val="000000" w:themeColor="text1"/>
        </w:rPr>
        <w:t xml:space="preserve"> Verizon’s continued commitment to inclusion and opportunity for all communities is reflected in its commitment, codified in the agreement with CETF, to spend $5 billion with small business suppliers over the next 5 years, including at least $500 </w:t>
      </w:r>
      <w:r w:rsidRPr="00F55A79">
        <w:t>million with small businesses in California.</w:t>
      </w:r>
      <w:r w:rsidRPr="00F55A79">
        <w:rPr>
          <w:rStyle w:val="FootnoteReference"/>
          <w:color w:val="000000" w:themeColor="text1"/>
        </w:rPr>
        <w:footnoteReference w:id="339"/>
      </w:r>
    </w:p>
    <w:p w:rsidRPr="00F55A79" w:rsidR="00BB742F" w:rsidP="00D54BB0" w:rsidRDefault="00BB742F" w14:paraId="090B4D34" w14:textId="716A69E0">
      <w:pPr>
        <w:pStyle w:val="Heading2"/>
      </w:pPr>
      <w:bookmarkStart w:name="_Toc216163282" w:id="197"/>
      <w:r w:rsidRPr="00F55A79">
        <w:t>Consistency with California Law</w:t>
      </w:r>
      <w:bookmarkEnd w:id="197"/>
    </w:p>
    <w:p w:rsidRPr="00F55A79" w:rsidR="00F77E9B" w:rsidP="00F77E9B" w:rsidRDefault="00F77E9B" w14:paraId="6710BCAB" w14:textId="1F11FC0B">
      <w:pPr>
        <w:pStyle w:val="Standard"/>
        <w:rPr>
          <w:color w:val="000000" w:themeColor="text1"/>
        </w:rPr>
      </w:pPr>
      <w:r w:rsidRPr="00F55A79">
        <w:t xml:space="preserve">The Assigned Commissioner noted that the changes detailed in the Verizon-FCC Letter may conflict with California laws </w:t>
      </w:r>
      <w:r w:rsidRPr="00F55A79">
        <w:rPr>
          <w:color w:val="000000" w:themeColor="text1"/>
        </w:rPr>
        <w:t xml:space="preserve">governing programs to increase participation of women, minority and disabled veteran business enterprises in </w:t>
      </w:r>
      <w:r w:rsidRPr="00F55A79">
        <w:t>procurement of contracts from utilities.</w:t>
      </w:r>
      <w:r w:rsidRPr="00F55A79">
        <w:rPr>
          <w:rStyle w:val="FootnoteReference"/>
          <w:color w:val="000000" w:themeColor="text1"/>
        </w:rPr>
        <w:footnoteReference w:id="340"/>
      </w:r>
    </w:p>
    <w:p w:rsidRPr="00F55A79" w:rsidR="00F74464" w:rsidP="00F74464" w:rsidRDefault="00F74464" w14:paraId="6BA3F3AC" w14:textId="2B681D53">
      <w:pPr>
        <w:rPr>
          <w:color w:val="000000" w:themeColor="text1"/>
        </w:rPr>
      </w:pPr>
      <w:r w:rsidRPr="00F55A79">
        <w:rPr>
          <w:color w:val="000000" w:themeColor="text1"/>
        </w:rPr>
        <w:t xml:space="preserve">Several provisions of state law apply to the proposed transaction.  Pub. Util. Code Section 8283 directs the Commission to require wireless telecommunications providers to submit “a detailed and verifiable plan for increasing procurement” </w:t>
      </w:r>
      <w:r w:rsidRPr="00F55A79">
        <w:rPr>
          <w:rStyle w:val="StandardChar"/>
        </w:rPr>
        <w:t>from diverse business enterprises,</w:t>
      </w:r>
      <w:r w:rsidRPr="00F55A79">
        <w:rPr>
          <w:color w:val="000000" w:themeColor="text1"/>
          <w:vertAlign w:val="superscript"/>
        </w:rPr>
        <w:footnoteReference w:id="341"/>
      </w:r>
      <w:r w:rsidRPr="00F55A79">
        <w:rPr>
          <w:color w:val="000000" w:themeColor="text1"/>
        </w:rPr>
        <w:t xml:space="preserve"> including “short- </w:t>
      </w:r>
      <w:r w:rsidRPr="00F55A79">
        <w:rPr>
          <w:rStyle w:val="StandardChar"/>
        </w:rPr>
        <w:t>and long-term goals and timetables.”</w:t>
      </w:r>
      <w:r w:rsidRPr="00F55A79">
        <w:rPr>
          <w:color w:val="000000" w:themeColor="text1"/>
          <w:vertAlign w:val="superscript"/>
        </w:rPr>
        <w:footnoteReference w:id="342"/>
      </w:r>
      <w:r w:rsidRPr="00F55A79">
        <w:rPr>
          <w:color w:val="000000" w:themeColor="text1"/>
        </w:rPr>
        <w:t xml:space="preserve"> </w:t>
      </w:r>
    </w:p>
    <w:p w:rsidRPr="00F55A79" w:rsidR="00D37D4B" w:rsidP="00D37D4B" w:rsidRDefault="009A032F" w14:paraId="1850CCA6" w14:textId="2730D2A3">
      <w:pPr>
        <w:pStyle w:val="Standard"/>
      </w:pPr>
      <w:r w:rsidRPr="00F55A79">
        <w:t>GO 156 governs development of programs to increase participation of women, minority and disabled veteran business enterprises in procurement of contracts from investor-owned utilities as required by Pub. Util. Code Sections 8281-8286.</w:t>
      </w:r>
      <w:r w:rsidRPr="00F55A79">
        <w:rPr>
          <w:rStyle w:val="FootnoteReference"/>
        </w:rPr>
        <w:footnoteReference w:id="343"/>
      </w:r>
      <w:r w:rsidRPr="00F55A79">
        <w:t xml:space="preserve">  For more than three decades, GO 156 has fostered a competitive marketplace by encouraging utilities and other regulated entities to include </w:t>
      </w:r>
      <w:r w:rsidRPr="00F55A79">
        <w:lastRenderedPageBreak/>
        <w:t>diverse firms in procurement activities.</w:t>
      </w:r>
      <w:r w:rsidRPr="00F55A79">
        <w:rPr>
          <w:rStyle w:val="FootnoteReference"/>
        </w:rPr>
        <w:footnoteReference w:id="344"/>
      </w:r>
      <w:r w:rsidRPr="00F55A79">
        <w:t xml:space="preserve"> </w:t>
      </w:r>
      <w:r w:rsidRPr="00F55A79" w:rsidR="00D37D4B">
        <w:t xml:space="preserve">  </w:t>
      </w:r>
      <w:r w:rsidRPr="00F55A79" w:rsidR="00D37D4B">
        <w:rPr>
          <w:color w:val="000000" w:themeColor="text1"/>
        </w:rPr>
        <w:t xml:space="preserve">GO 156 also requires utilities to set substantial and verifiable short-term, mid-term, and long-term goals for each </w:t>
      </w:r>
      <w:r w:rsidRPr="00F55A79" w:rsidR="00D37D4B">
        <w:t>major product and service category.</w:t>
      </w:r>
      <w:r w:rsidRPr="00F55A79" w:rsidR="00D37D4B">
        <w:rPr>
          <w:color w:val="000000" w:themeColor="text1"/>
          <w:vertAlign w:val="superscript"/>
        </w:rPr>
        <w:footnoteReference w:id="345"/>
      </w:r>
    </w:p>
    <w:p w:rsidRPr="00F55A79" w:rsidR="007E3DAB" w:rsidP="007E3DAB" w:rsidRDefault="008949C4" w14:paraId="4FEC8662" w14:textId="1430F192">
      <w:pPr>
        <w:pStyle w:val="Standard"/>
      </w:pPr>
      <w:r w:rsidRPr="00F55A79">
        <w:t>In light of the possible conflict, t</w:t>
      </w:r>
      <w:r w:rsidRPr="00F55A79" w:rsidR="007E3DAB">
        <w:t>he Commission asked for party feedback on whether the commitments detailed in the Verizon</w:t>
      </w:r>
      <w:r w:rsidRPr="00F55A79" w:rsidR="00FE1538">
        <w:t>-FCC</w:t>
      </w:r>
      <w:r w:rsidRPr="00F55A79" w:rsidR="007E3DAB">
        <w:t xml:space="preserve"> Letter </w:t>
      </w:r>
      <w:r w:rsidRPr="00F55A79">
        <w:t xml:space="preserve">are </w:t>
      </w:r>
      <w:r w:rsidRPr="00F55A79" w:rsidR="007E3DAB">
        <w:t xml:space="preserve">consistent with the requirements of Pub. Util. Code </w:t>
      </w:r>
      <w:r w:rsidRPr="00F55A79" w:rsidR="007E3DAB">
        <w:rPr>
          <w:color w:val="000000" w:themeColor="text1"/>
        </w:rPr>
        <w:t>Sections 8281-8290.2, with GO 156, and with any other relevant provisions of California law.  We find that the commitments in the Verizon</w:t>
      </w:r>
      <w:r w:rsidRPr="00F55A79" w:rsidR="00FE1538">
        <w:rPr>
          <w:color w:val="000000" w:themeColor="text1"/>
        </w:rPr>
        <w:t>-FCC</w:t>
      </w:r>
      <w:r w:rsidRPr="00F55A79" w:rsidR="007E3DAB">
        <w:rPr>
          <w:color w:val="000000" w:themeColor="text1"/>
        </w:rPr>
        <w:t xml:space="preserve"> letter can be consistent with California law when taken along with additional commitments and requirements as detailed in </w:t>
      </w:r>
      <w:r w:rsidRPr="00F55A79" w:rsidR="005F2F37">
        <w:rPr>
          <w:color w:val="000000" w:themeColor="text1"/>
        </w:rPr>
        <w:t>Ordering Paragraphs 2-3</w:t>
      </w:r>
      <w:r w:rsidRPr="00F55A79" w:rsidR="00EA30CC">
        <w:rPr>
          <w:color w:val="000000" w:themeColor="text1"/>
        </w:rPr>
        <w:t>1</w:t>
      </w:r>
      <w:r w:rsidRPr="00F55A79" w:rsidR="007E3DAB">
        <w:rPr>
          <w:color w:val="000000" w:themeColor="text1"/>
        </w:rPr>
        <w:t>.</w:t>
      </w:r>
    </w:p>
    <w:p w:rsidRPr="00F55A79" w:rsidR="00BB742F" w:rsidP="00732C0A" w:rsidRDefault="00BB742F" w14:paraId="5D75DDA7" w14:textId="6C3F8F2E">
      <w:pPr>
        <w:pStyle w:val="Heading2"/>
      </w:pPr>
      <w:bookmarkStart w:name="_Toc216163283" w:id="198"/>
      <w:r w:rsidRPr="00F55A79">
        <w:t>Party Positions</w:t>
      </w:r>
      <w:bookmarkEnd w:id="198"/>
    </w:p>
    <w:p w:rsidRPr="00F55A79" w:rsidR="0092011E" w:rsidP="00732C0A" w:rsidRDefault="0092011E" w14:paraId="3668934B" w14:textId="7ADD707D">
      <w:pPr>
        <w:pStyle w:val="Heading3"/>
      </w:pPr>
      <w:bookmarkStart w:name="_Toc216163284" w:id="199"/>
      <w:r w:rsidRPr="00F55A79">
        <w:t>Joint Applicants</w:t>
      </w:r>
      <w:bookmarkEnd w:id="199"/>
    </w:p>
    <w:p w:rsidRPr="00F55A79" w:rsidR="000B5D34" w:rsidP="00732C0A" w:rsidRDefault="000B5D34" w14:paraId="37B5744A" w14:textId="6CC29421">
      <w:pPr>
        <w:pStyle w:val="Standard"/>
      </w:pPr>
      <w:r w:rsidRPr="00F55A79">
        <w:t>The Joint Applicants argued that post-transaction Verizon can comply with GO 156, applicable sections of Pub. Util. Code, and other state law, without creating any conflict with Verizon’s commitments to the FCC.</w:t>
      </w:r>
      <w:r w:rsidRPr="00F55A79">
        <w:rPr>
          <w:rStyle w:val="FootnoteReference"/>
        </w:rPr>
        <w:footnoteReference w:id="346"/>
      </w:r>
    </w:p>
    <w:p w:rsidRPr="00F55A79" w:rsidR="00347A9E" w:rsidP="00732C0A" w:rsidRDefault="00347A9E" w14:paraId="201DED80" w14:textId="3BB07EAE">
      <w:pPr>
        <w:pStyle w:val="Heading3"/>
      </w:pPr>
      <w:bookmarkStart w:name="_Toc216163285" w:id="200"/>
      <w:r w:rsidRPr="00F55A79">
        <w:t>CETF</w:t>
      </w:r>
      <w:bookmarkEnd w:id="200"/>
    </w:p>
    <w:p w:rsidRPr="00F55A79" w:rsidR="00347A9E" w:rsidP="00732C0A" w:rsidRDefault="00347A9E" w14:paraId="666A8930" w14:textId="332081DC">
      <w:pPr>
        <w:pStyle w:val="Standard"/>
      </w:pPr>
      <w:r w:rsidRPr="00F55A79">
        <w:t>CETF recommended that the Commission “accept the fulsome commitments of Verizon made in the CETF Agreement and in its testimony related to the Verizon-FCC Letter to fully comply with California law on minority hiring reporting in PU Code 8281-8290.2 and GO 156.”</w:t>
      </w:r>
      <w:r w:rsidRPr="00F55A79">
        <w:rPr>
          <w:rStyle w:val="FootnoteReference"/>
        </w:rPr>
        <w:footnoteReference w:id="347"/>
      </w:r>
      <w:r w:rsidRPr="00F55A79">
        <w:t xml:space="preserve">  According to </w:t>
      </w:r>
      <w:r w:rsidRPr="00F55A79">
        <w:lastRenderedPageBreak/>
        <w:t>CETF, the commitments contained in the CETF Agreement ensure all concerns as to Verizon compliance with these laws are resolved.</w:t>
      </w:r>
      <w:r w:rsidRPr="00F55A79">
        <w:rPr>
          <w:rStyle w:val="FootnoteReference"/>
        </w:rPr>
        <w:footnoteReference w:id="348"/>
      </w:r>
    </w:p>
    <w:p w:rsidRPr="00F55A79" w:rsidR="00BB742F" w:rsidP="00732C0A" w:rsidRDefault="00BB742F" w14:paraId="0DC52FBB" w14:textId="477A35A3">
      <w:pPr>
        <w:pStyle w:val="Heading3"/>
      </w:pPr>
      <w:bookmarkStart w:name="_Toc216163286" w:id="201"/>
      <w:r w:rsidRPr="00F55A79">
        <w:t>CforAT</w:t>
      </w:r>
      <w:bookmarkEnd w:id="201"/>
    </w:p>
    <w:p w:rsidRPr="00F55A79" w:rsidR="00C826FE" w:rsidP="00732C0A" w:rsidRDefault="00C826FE" w14:paraId="1CBF05E5" w14:textId="4B915C72">
      <w:pPr>
        <w:pStyle w:val="Standard"/>
        <w:rPr>
          <w:color w:val="000000" w:themeColor="text1"/>
        </w:rPr>
      </w:pPr>
      <w:r w:rsidRPr="00F55A79">
        <w:rPr>
          <w:color w:val="000000" w:themeColor="text1"/>
        </w:rPr>
        <w:t xml:space="preserve">According to CforAT, Verizon’s claim that it can comply with California’s statutory requirements and the Commission’s regulations going forward, </w:t>
      </w:r>
      <w:r w:rsidRPr="00F55A79">
        <w:t>notwithstanding its commitments to the FCC, “is plainly incorrect.”</w:t>
      </w:r>
      <w:r w:rsidRPr="00F55A79">
        <w:rPr>
          <w:rStyle w:val="FootnoteReference"/>
          <w:color w:val="000000" w:themeColor="text1"/>
        </w:rPr>
        <w:footnoteReference w:id="349"/>
      </w:r>
      <w:r w:rsidRPr="00F55A79">
        <w:rPr>
          <w:color w:val="000000" w:themeColor="text1"/>
        </w:rPr>
        <w:t xml:space="preserve"> </w:t>
      </w:r>
      <w:r w:rsidRPr="00F55A79" w:rsidR="002D1830">
        <w:rPr>
          <w:color w:val="000000" w:themeColor="text1"/>
        </w:rPr>
        <w:t xml:space="preserve"> </w:t>
      </w:r>
      <w:r w:rsidRPr="00F55A79">
        <w:t xml:space="preserve">CforAT </w:t>
      </w:r>
      <w:r w:rsidRPr="00F55A79">
        <w:rPr>
          <w:color w:val="000000" w:themeColor="text1"/>
        </w:rPr>
        <w:t xml:space="preserve">stated that Verizon cannot meet the requirements of Section 8283 and GO 156 if it </w:t>
      </w:r>
      <w:r w:rsidRPr="00F55A79">
        <w:t>does not set quantitative goals for diverse spending.</w:t>
      </w:r>
      <w:r w:rsidRPr="00F55A79">
        <w:rPr>
          <w:rStyle w:val="FootnoteReference"/>
        </w:rPr>
        <w:footnoteReference w:id="350"/>
      </w:r>
      <w:r w:rsidRPr="00F55A79">
        <w:rPr>
          <w:color w:val="000000" w:themeColor="text1"/>
        </w:rPr>
        <w:t xml:space="preserve"> </w:t>
      </w:r>
      <w:r w:rsidRPr="00F55A79">
        <w:t xml:space="preserve"> </w:t>
      </w:r>
      <w:r w:rsidRPr="00F55A79">
        <w:rPr>
          <w:color w:val="000000" w:themeColor="text1"/>
        </w:rPr>
        <w:t>CforAT argue</w:t>
      </w:r>
      <w:r w:rsidRPr="00F55A79">
        <w:t>d</w:t>
      </w:r>
      <w:r w:rsidRPr="00F55A79">
        <w:rPr>
          <w:color w:val="000000" w:themeColor="text1"/>
        </w:rPr>
        <w:t xml:space="preserve"> that if the Commission approves the transaction, it should do so conditioned on Verizon’s compliance with GO 156, including the statutory requirement under Section 8283</w:t>
      </w:r>
      <w:r w:rsidRPr="00F55A79" w:rsidR="00972608">
        <w:rPr>
          <w:color w:val="000000" w:themeColor="text1"/>
        </w:rPr>
        <w:t xml:space="preserve"> </w:t>
      </w:r>
      <w:r w:rsidRPr="00F55A79">
        <w:rPr>
          <w:color w:val="000000" w:themeColor="text1"/>
        </w:rPr>
        <w:t xml:space="preserve">that Verizon set quantitative goals for </w:t>
      </w:r>
      <w:r w:rsidRPr="00F55A79">
        <w:t>diverse spending.</w:t>
      </w:r>
      <w:r w:rsidRPr="00F55A79">
        <w:rPr>
          <w:rStyle w:val="FootnoteReference"/>
          <w:color w:val="000000" w:themeColor="text1"/>
        </w:rPr>
        <w:footnoteReference w:id="351"/>
      </w:r>
    </w:p>
    <w:p w:rsidRPr="00F55A79" w:rsidR="00C826FE" w:rsidP="00732C0A" w:rsidRDefault="00C826FE" w14:paraId="6751F655" w14:textId="09541691">
      <w:pPr>
        <w:pStyle w:val="Heading3"/>
        <w:rPr>
          <w:color w:val="000000" w:themeColor="text1"/>
        </w:rPr>
      </w:pPr>
      <w:bookmarkStart w:name="_Toc216163287" w:id="202"/>
      <w:r w:rsidRPr="00F55A79">
        <w:rPr>
          <w:color w:val="000000" w:themeColor="text1"/>
        </w:rPr>
        <w:t>TURN</w:t>
      </w:r>
      <w:bookmarkEnd w:id="202"/>
    </w:p>
    <w:p w:rsidRPr="00F55A79" w:rsidR="00C826FE" w:rsidP="00787E7D" w:rsidRDefault="00C826FE" w14:paraId="4E641A68" w14:textId="0CFA0937">
      <w:pPr>
        <w:rPr>
          <w:color w:val="000000" w:themeColor="text1"/>
        </w:rPr>
      </w:pPr>
      <w:r w:rsidRPr="00F55A79">
        <w:rPr>
          <w:color w:val="000000" w:themeColor="text1"/>
        </w:rPr>
        <w:t xml:space="preserve">TURN stated that the Commission should adopt mitigation measures to ensure </w:t>
      </w:r>
      <w:r w:rsidRPr="00F55A79">
        <w:rPr>
          <w:rStyle w:val="StandardChar"/>
        </w:rPr>
        <w:t>that Verizon’s elimination of its DEI policies does not lead to discrimination.</w:t>
      </w:r>
      <w:r w:rsidRPr="00F55A79">
        <w:rPr>
          <w:rStyle w:val="FootnoteReference"/>
          <w:color w:val="000000" w:themeColor="text1"/>
        </w:rPr>
        <w:footnoteReference w:id="352"/>
      </w:r>
      <w:r w:rsidRPr="00F55A79">
        <w:rPr>
          <w:color w:val="000000" w:themeColor="text1"/>
        </w:rPr>
        <w:t xml:space="preserve"> </w:t>
      </w:r>
      <w:r w:rsidRPr="00F55A79" w:rsidR="001A7FFD">
        <w:rPr>
          <w:color w:val="000000" w:themeColor="text1"/>
        </w:rPr>
        <w:t xml:space="preserve"> </w:t>
      </w:r>
      <w:r w:rsidRPr="00F55A79">
        <w:rPr>
          <w:color w:val="000000" w:themeColor="text1"/>
        </w:rPr>
        <w:t xml:space="preserve">TURN noted that the conditions in the CETF settlement are not </w:t>
      </w:r>
      <w:r w:rsidRPr="00F55A79">
        <w:rPr>
          <w:rStyle w:val="StandardChar"/>
        </w:rPr>
        <w:t>likely sufficient to ensure that Verizon’s elimination of its policies will not have a discriminatory effect.</w:t>
      </w:r>
      <w:r w:rsidRPr="00F55A79">
        <w:rPr>
          <w:rStyle w:val="FootnoteReference"/>
          <w:color w:val="000000" w:themeColor="text1"/>
        </w:rPr>
        <w:footnoteReference w:id="353"/>
      </w:r>
      <w:r w:rsidRPr="00F55A79" w:rsidR="00AE0BC7">
        <w:rPr>
          <w:color w:val="000000" w:themeColor="text1"/>
        </w:rPr>
        <w:t xml:space="preserve">  T</w:t>
      </w:r>
      <w:r w:rsidRPr="00F55A79">
        <w:rPr>
          <w:color w:val="000000" w:themeColor="text1"/>
        </w:rPr>
        <w:t xml:space="preserve">URN therefore recommended that the </w:t>
      </w:r>
      <w:r w:rsidRPr="00F55A79">
        <w:rPr>
          <w:rStyle w:val="StandardChar"/>
        </w:rPr>
        <w:t xml:space="preserve">Commission require reporting of the CETF conditions as an attachment to </w:t>
      </w:r>
      <w:r w:rsidRPr="00F55A79">
        <w:rPr>
          <w:rStyle w:val="StandardChar"/>
        </w:rPr>
        <w:lastRenderedPageBreak/>
        <w:t>Verizon’s GO 156 annual report until 24 months after the CETF conditions are no longer in effect.</w:t>
      </w:r>
      <w:r w:rsidRPr="00F55A79">
        <w:rPr>
          <w:rStyle w:val="FootnoteReference"/>
          <w:color w:val="000000" w:themeColor="text1"/>
        </w:rPr>
        <w:footnoteReference w:id="354"/>
      </w:r>
    </w:p>
    <w:p w:rsidRPr="00F55A79" w:rsidR="00C826FE" w:rsidP="00787E7D" w:rsidRDefault="00C826FE" w14:paraId="7155E776" w14:textId="5AE53035">
      <w:pPr>
        <w:rPr>
          <w:color w:val="000000" w:themeColor="text1"/>
        </w:rPr>
      </w:pPr>
      <w:r w:rsidRPr="00F55A79">
        <w:rPr>
          <w:rStyle w:val="StandardChar"/>
        </w:rPr>
        <w:t>TURN also noted Verizon’s statement that some suppliers have started to review report metrics that Verizon would need to include in its GO 156 reports.</w:t>
      </w:r>
      <w:r w:rsidRPr="00F55A79">
        <w:rPr>
          <w:color w:val="000000" w:themeColor="text1"/>
          <w:vertAlign w:val="superscript"/>
        </w:rPr>
        <w:footnoteReference w:id="355"/>
      </w:r>
      <w:r w:rsidRPr="00F55A79">
        <w:rPr>
          <w:color w:val="000000" w:themeColor="text1"/>
        </w:rPr>
        <w:t xml:space="preserve">  TURN recommended that if the Commission approves the transaction, </w:t>
      </w:r>
      <w:r w:rsidRPr="00F55A79" w:rsidR="009A7320">
        <w:rPr>
          <w:color w:val="000000" w:themeColor="text1"/>
        </w:rPr>
        <w:t>the</w:t>
      </w:r>
      <w:r w:rsidRPr="00F55A79">
        <w:rPr>
          <w:color w:val="000000" w:themeColor="text1"/>
        </w:rPr>
        <w:t xml:space="preserve"> Commission </w:t>
      </w:r>
      <w:r w:rsidRPr="00F55A79">
        <w:rPr>
          <w:rStyle w:val="StandardChar"/>
        </w:rPr>
        <w:t>should require Verizon include in any future contracts a provision that requires its contractors to provide the information Verizon needs to include in its GO 156 reports.</w:t>
      </w:r>
      <w:r w:rsidRPr="00F55A79">
        <w:rPr>
          <w:rStyle w:val="FootnoteReference"/>
          <w:color w:val="000000" w:themeColor="text1"/>
        </w:rPr>
        <w:footnoteReference w:id="356"/>
      </w:r>
    </w:p>
    <w:p w:rsidRPr="00F55A79" w:rsidR="00C826FE" w:rsidP="00787E7D" w:rsidRDefault="00C826FE" w14:paraId="079D985A" w14:textId="7C598FC7">
      <w:pPr>
        <w:rPr>
          <w:color w:val="000000" w:themeColor="text1"/>
        </w:rPr>
      </w:pPr>
      <w:r w:rsidRPr="00F55A79">
        <w:rPr>
          <w:color w:val="000000" w:themeColor="text1"/>
        </w:rPr>
        <w:t xml:space="preserve">In addition, TURN </w:t>
      </w:r>
      <w:r w:rsidRPr="00F55A79">
        <w:rPr>
          <w:rStyle w:val="StandardChar"/>
        </w:rPr>
        <w:t>recommended the Commission require Verizon to provide to the third-party compliance monitor a list of entities it engages with and funds, and with the funding amount.</w:t>
      </w:r>
      <w:r w:rsidRPr="00F55A79">
        <w:rPr>
          <w:color w:val="000000" w:themeColor="text1"/>
          <w:vertAlign w:val="superscript"/>
        </w:rPr>
        <w:footnoteReference w:id="357"/>
      </w:r>
      <w:r w:rsidRPr="00F55A79">
        <w:rPr>
          <w:color w:val="000000" w:themeColor="text1"/>
        </w:rPr>
        <w:t xml:space="preserve">  According to TURN, the Commission should require the third-party compliance monitor to review Verizon’s prior engagements and funding and notify the Commission and stakeholders in the compliance monitor’s report regarding any changes in </w:t>
      </w:r>
      <w:r w:rsidRPr="00F55A79">
        <w:rPr>
          <w:rStyle w:val="StandardChar"/>
        </w:rPr>
        <w:t>Verizon’s engagement and funding.</w:t>
      </w:r>
      <w:r w:rsidRPr="00F55A79">
        <w:rPr>
          <w:color w:val="000000" w:themeColor="text1"/>
          <w:vertAlign w:val="superscript"/>
        </w:rPr>
        <w:footnoteReference w:id="358"/>
      </w:r>
      <w:r w:rsidRPr="00F55A79">
        <w:rPr>
          <w:color w:val="000000" w:themeColor="text1"/>
        </w:rPr>
        <w:t xml:space="preserve">  If Verizon finds that any of the above information is confidential, TURN </w:t>
      </w:r>
      <w:r w:rsidRPr="00F55A79" w:rsidR="004C7965">
        <w:rPr>
          <w:color w:val="000000" w:themeColor="text1"/>
        </w:rPr>
        <w:t xml:space="preserve">recommended that </w:t>
      </w:r>
      <w:r w:rsidRPr="00F55A79">
        <w:rPr>
          <w:color w:val="000000" w:themeColor="text1"/>
        </w:rPr>
        <w:t xml:space="preserve">the Commission require Verizon to serve a fully unredacted version on the </w:t>
      </w:r>
      <w:r w:rsidRPr="00F55A79">
        <w:rPr>
          <w:rStyle w:val="StandardChar"/>
        </w:rPr>
        <w:t>parties of this proceeding that have authorization to receive Verizon confidential information.</w:t>
      </w:r>
      <w:r w:rsidRPr="00F55A79" w:rsidR="004C7965">
        <w:rPr>
          <w:rStyle w:val="StandardChar"/>
          <w:vertAlign w:val="superscript"/>
        </w:rPr>
        <w:footnoteReference w:id="359"/>
      </w:r>
    </w:p>
    <w:p w:rsidRPr="00F55A79" w:rsidR="00C826FE" w:rsidP="00732C0A" w:rsidRDefault="00C826FE" w14:paraId="43EA592F" w14:textId="5C88C145">
      <w:pPr>
        <w:pStyle w:val="Heading2"/>
        <w:rPr>
          <w:b w:val="0"/>
          <w:color w:val="000000" w:themeColor="text1"/>
        </w:rPr>
      </w:pPr>
      <w:bookmarkStart w:name="_Toc216163288" w:id="203"/>
      <w:r w:rsidRPr="00F55A79">
        <w:rPr>
          <w:color w:val="000000" w:themeColor="text1"/>
        </w:rPr>
        <w:lastRenderedPageBreak/>
        <w:t>Discussion</w:t>
      </w:r>
      <w:bookmarkEnd w:id="203"/>
    </w:p>
    <w:p w:rsidRPr="00F55A79" w:rsidR="00C826FE" w:rsidP="00C826FE" w:rsidRDefault="00C826FE" w14:paraId="106C4B86" w14:textId="6DBCD728">
      <w:pPr>
        <w:pStyle w:val="Standard"/>
        <w:rPr>
          <w:color w:val="000000" w:themeColor="text1"/>
        </w:rPr>
      </w:pPr>
      <w:r w:rsidRPr="00F55A79">
        <w:rPr>
          <w:color w:val="000000" w:themeColor="text1"/>
        </w:rPr>
        <w:t>We agree with CforAT and TURN</w:t>
      </w:r>
      <w:r w:rsidR="00E105B2">
        <w:rPr>
          <w:color w:val="000000" w:themeColor="text1"/>
        </w:rPr>
        <w:t>find</w:t>
      </w:r>
      <w:r w:rsidRPr="00F55A79">
        <w:rPr>
          <w:color w:val="000000" w:themeColor="text1"/>
        </w:rPr>
        <w:t xml:space="preserve"> that additional conditions and enforcement measures are needed to ensure Verizon’s ongoing adherence to the requirements of Pub. Util. Code Sections 8281-8290.2, GO 156, and other relevant provisions of California law.</w:t>
      </w:r>
    </w:p>
    <w:p w:rsidRPr="00F55A79" w:rsidR="00385296" w:rsidP="00385296" w:rsidRDefault="00385296" w14:paraId="1DE422A3" w14:textId="522979AE">
      <w:pPr>
        <w:rPr>
          <w:color w:val="000000" w:themeColor="text1"/>
        </w:rPr>
      </w:pPr>
      <w:r w:rsidRPr="00F55A79">
        <w:rPr>
          <w:color w:val="000000" w:themeColor="text1"/>
        </w:rPr>
        <w:t xml:space="preserve">As discussed in the Assigned Commissioner’s Amended Scoping Memo, the </w:t>
      </w:r>
      <w:r w:rsidRPr="00F55A79" w:rsidR="00B61E2F">
        <w:rPr>
          <w:color w:val="000000" w:themeColor="text1"/>
        </w:rPr>
        <w:t>Verizon-</w:t>
      </w:r>
      <w:r w:rsidRPr="00F55A79">
        <w:rPr>
          <w:color w:val="000000" w:themeColor="text1"/>
        </w:rPr>
        <w:t>FCC Letter represents a repudiation of Verizon’s past efforts to comply with GO 156, and without new commitments it is unclear how the Applicants will be able to comply with GO 156.</w:t>
      </w:r>
    </w:p>
    <w:p w:rsidRPr="00F55A79" w:rsidR="00385296" w:rsidP="00385296" w:rsidRDefault="00385296" w14:paraId="40208D01" w14:textId="288DC1EC">
      <w:pPr>
        <w:rPr>
          <w:color w:val="000000" w:themeColor="text1"/>
        </w:rPr>
      </w:pPr>
      <w:r w:rsidRPr="00F55A79">
        <w:rPr>
          <w:color w:val="000000" w:themeColor="text1"/>
        </w:rPr>
        <w:t xml:space="preserve">The Joint Applicants and CETF assert that their settlement agreement will ensure GO 156 compliance. </w:t>
      </w:r>
      <w:r w:rsidRPr="00F55A79" w:rsidR="001A0825">
        <w:rPr>
          <w:color w:val="000000" w:themeColor="text1"/>
        </w:rPr>
        <w:t xml:space="preserve"> </w:t>
      </w:r>
      <w:r w:rsidRPr="00F55A79">
        <w:rPr>
          <w:color w:val="000000" w:themeColor="text1"/>
        </w:rPr>
        <w:t>The central commitment made in the CETF settlement is a $500 million spending commitment via Verizon’s Small Business Accelerator</w:t>
      </w:r>
      <w:r w:rsidRPr="00F55A79" w:rsidR="005A5C6D">
        <w:rPr>
          <w:color w:val="000000" w:themeColor="text1"/>
        </w:rPr>
        <w:t>, but t</w:t>
      </w:r>
      <w:r w:rsidRPr="00F55A79">
        <w:rPr>
          <w:color w:val="000000" w:themeColor="text1"/>
        </w:rPr>
        <w:t xml:space="preserve">he </w:t>
      </w:r>
      <w:r w:rsidRPr="00F55A79" w:rsidR="005A5C6D">
        <w:rPr>
          <w:color w:val="000000" w:themeColor="text1"/>
        </w:rPr>
        <w:t xml:space="preserve">Joint </w:t>
      </w:r>
      <w:r w:rsidRPr="00F55A79">
        <w:rPr>
          <w:color w:val="000000" w:themeColor="text1"/>
        </w:rPr>
        <w:t>Applicants ma</w:t>
      </w:r>
      <w:r w:rsidRPr="00F55A79" w:rsidR="002E5B1B">
        <w:rPr>
          <w:color w:val="000000" w:themeColor="text1"/>
        </w:rPr>
        <w:t>d</w:t>
      </w:r>
      <w:r w:rsidRPr="00F55A79">
        <w:rPr>
          <w:color w:val="000000" w:themeColor="text1"/>
        </w:rPr>
        <w:t>e clear that they cannot focus that spending on women-owned or minority-owned businesses</w:t>
      </w:r>
      <w:r w:rsidRPr="00F55A79" w:rsidR="002E5B1B">
        <w:rPr>
          <w:color w:val="000000" w:themeColor="text1"/>
        </w:rPr>
        <w:t>.  The Joint Applicants</w:t>
      </w:r>
      <w:r w:rsidRPr="00F55A79">
        <w:rPr>
          <w:color w:val="000000" w:themeColor="text1"/>
        </w:rPr>
        <w:t xml:space="preserve"> asser</w:t>
      </w:r>
      <w:r w:rsidRPr="00F55A79" w:rsidR="002E5B1B">
        <w:rPr>
          <w:color w:val="000000" w:themeColor="text1"/>
        </w:rPr>
        <w:t xml:space="preserve">ted </w:t>
      </w:r>
      <w:r w:rsidRPr="00F55A79">
        <w:rPr>
          <w:color w:val="000000" w:themeColor="text1"/>
        </w:rPr>
        <w:t xml:space="preserve">that because many of California’s small businesses are minority owned, that much </w:t>
      </w:r>
      <w:r w:rsidRPr="00F55A79">
        <w:rPr>
          <w:rStyle w:val="StandardChar"/>
        </w:rPr>
        <w:t>of this money will reach GO 156 businesses.</w:t>
      </w:r>
      <w:r w:rsidRPr="00F55A79">
        <w:rPr>
          <w:color w:val="000000" w:themeColor="text1"/>
          <w:vertAlign w:val="superscript"/>
        </w:rPr>
        <w:footnoteReference w:id="360"/>
      </w:r>
      <w:r w:rsidRPr="00F55A79">
        <w:rPr>
          <w:color w:val="000000" w:themeColor="text1"/>
        </w:rPr>
        <w:t xml:space="preserve">  </w:t>
      </w:r>
      <w:r w:rsidRPr="00F55A79" w:rsidR="00A41ED7">
        <w:rPr>
          <w:color w:val="000000" w:themeColor="text1"/>
        </w:rPr>
        <w:t xml:space="preserve">However, by </w:t>
      </w:r>
      <w:r w:rsidRPr="00F55A79">
        <w:rPr>
          <w:color w:val="000000" w:themeColor="text1"/>
        </w:rPr>
        <w:t xml:space="preserve">the Joint Applicants’ own admission, minority-owned small businesses represent a </w:t>
      </w:r>
      <w:r w:rsidRPr="00F55A79">
        <w:rPr>
          <w:rStyle w:val="StandardChar"/>
        </w:rPr>
        <w:t>minority of small businesses.</w:t>
      </w:r>
      <w:r w:rsidRPr="00F55A79">
        <w:rPr>
          <w:color w:val="000000" w:themeColor="text1"/>
          <w:vertAlign w:val="superscript"/>
        </w:rPr>
        <w:footnoteReference w:id="361"/>
      </w:r>
      <w:r w:rsidRPr="00EA27C8">
        <w:rPr>
          <w:color w:val="000000" w:themeColor="text1"/>
        </w:rPr>
        <w:t xml:space="preserve">  </w:t>
      </w:r>
      <w:r w:rsidRPr="00F55A79" w:rsidR="00EB4E8B">
        <w:rPr>
          <w:color w:val="000000" w:themeColor="text1"/>
        </w:rPr>
        <w:t xml:space="preserve">Without any specific </w:t>
      </w:r>
      <w:r w:rsidRPr="00F55A79" w:rsidR="001E5944">
        <w:rPr>
          <w:color w:val="000000" w:themeColor="text1"/>
        </w:rPr>
        <w:t xml:space="preserve">spending </w:t>
      </w:r>
      <w:r w:rsidRPr="00F55A79" w:rsidR="00EB4E8B">
        <w:rPr>
          <w:color w:val="000000" w:themeColor="text1"/>
        </w:rPr>
        <w:t>goals</w:t>
      </w:r>
      <w:r w:rsidRPr="00F55A79" w:rsidR="001E5944">
        <w:rPr>
          <w:color w:val="000000" w:themeColor="text1"/>
        </w:rPr>
        <w:t xml:space="preserve"> for women- or minority-owned businesses, the Joint Applicants’ commitment to funding via the Small Business Accelerator appears to be a step backward on the goals of GO 156</w:t>
      </w:r>
      <w:r w:rsidRPr="00F55A79">
        <w:rPr>
          <w:color w:val="000000" w:themeColor="text1"/>
        </w:rPr>
        <w:t>.  Furthermore, the CETF Settlement does not contain any commitments to workforce diversity, which is a pillar of the Commission’s GO 156 program</w:t>
      </w:r>
      <w:r w:rsidRPr="00F55A79" w:rsidR="005639A9">
        <w:rPr>
          <w:color w:val="000000" w:themeColor="text1"/>
        </w:rPr>
        <w:t xml:space="preserve"> and a casualty of the </w:t>
      </w:r>
      <w:r w:rsidRPr="00F55A79" w:rsidR="005639A9">
        <w:rPr>
          <w:rStyle w:val="StandardChar"/>
        </w:rPr>
        <w:t>Verizon-FCC letter</w:t>
      </w:r>
      <w:r w:rsidRPr="00F55A79">
        <w:rPr>
          <w:rStyle w:val="StandardChar"/>
        </w:rPr>
        <w:t>.</w:t>
      </w:r>
    </w:p>
    <w:p w:rsidRPr="00F55A79" w:rsidR="00385296" w:rsidP="00385296" w:rsidRDefault="005639A9" w14:paraId="3BCE365B" w14:textId="7C296EB8">
      <w:pPr>
        <w:rPr>
          <w:color w:val="000000" w:themeColor="text1"/>
        </w:rPr>
      </w:pPr>
      <w:r w:rsidRPr="00F55A79">
        <w:rPr>
          <w:color w:val="000000" w:themeColor="text1"/>
        </w:rPr>
        <w:lastRenderedPageBreak/>
        <w:t>Given</w:t>
      </w:r>
      <w:r w:rsidRPr="00F55A79" w:rsidR="00385296">
        <w:rPr>
          <w:color w:val="000000" w:themeColor="text1"/>
        </w:rPr>
        <w:t xml:space="preserve"> these deficiencies, we impose additional DEI</w:t>
      </w:r>
      <w:r w:rsidRPr="00F55A79" w:rsidR="003A7EA7">
        <w:rPr>
          <w:color w:val="000000" w:themeColor="text1"/>
        </w:rPr>
        <w:t>-related</w:t>
      </w:r>
      <w:r w:rsidRPr="00F55A79" w:rsidR="00385296">
        <w:rPr>
          <w:color w:val="000000" w:themeColor="text1"/>
        </w:rPr>
        <w:t xml:space="preserve"> conditions on the Joint Applicants</w:t>
      </w:r>
      <w:r w:rsidRPr="00F55A79" w:rsidR="00AA3A9D">
        <w:rPr>
          <w:color w:val="000000" w:themeColor="text1"/>
        </w:rPr>
        <w:t xml:space="preserve"> as detailed in </w:t>
      </w:r>
      <w:r w:rsidRPr="00F55A79" w:rsidR="008D30E1">
        <w:rPr>
          <w:color w:val="000000" w:themeColor="text1"/>
        </w:rPr>
        <w:t>Ordering Paragraphs</w:t>
      </w:r>
      <w:r w:rsidRPr="00F55A79" w:rsidR="00AA3A9D">
        <w:rPr>
          <w:color w:val="000000" w:themeColor="text1"/>
        </w:rPr>
        <w:t xml:space="preserve"> </w:t>
      </w:r>
      <w:r w:rsidRPr="00F55A79" w:rsidR="00BD3876">
        <w:rPr>
          <w:color w:val="000000" w:themeColor="text1"/>
        </w:rPr>
        <w:t>4-1</w:t>
      </w:r>
      <w:r w:rsidRPr="00F55A79" w:rsidR="00922795">
        <w:rPr>
          <w:color w:val="000000" w:themeColor="text1"/>
        </w:rPr>
        <w:t>1</w:t>
      </w:r>
      <w:r w:rsidRPr="00F55A79" w:rsidR="00AA3A9D">
        <w:rPr>
          <w:color w:val="000000" w:themeColor="text1"/>
        </w:rPr>
        <w:t>.</w:t>
      </w:r>
    </w:p>
    <w:p w:rsidRPr="00F55A79" w:rsidR="002C6796" w:rsidP="002C6796" w:rsidRDefault="002C6796" w14:paraId="266D6A29" w14:textId="77777777">
      <w:pPr>
        <w:pStyle w:val="Heading1"/>
      </w:pPr>
      <w:bookmarkStart w:name="_Toc216163289" w:id="204"/>
      <w:bookmarkStart w:name="_Toc8123721" w:id="205"/>
      <w:r w:rsidRPr="00F55A79">
        <w:t>Settlement Agreements</w:t>
      </w:r>
      <w:bookmarkEnd w:id="204"/>
    </w:p>
    <w:p w:rsidRPr="00F55A79" w:rsidR="002C6796" w:rsidP="002C6796" w:rsidRDefault="002C6796" w14:paraId="4E8E7CFD" w14:textId="77777777">
      <w:pPr>
        <w:pStyle w:val="Heading2"/>
      </w:pPr>
      <w:bookmarkStart w:name="_Toc216163290" w:id="206"/>
      <w:r w:rsidRPr="00F55A79">
        <w:t>Background</w:t>
      </w:r>
      <w:bookmarkEnd w:id="206"/>
    </w:p>
    <w:p w:rsidRPr="00F55A79" w:rsidR="002C6796" w:rsidP="005557BE" w:rsidRDefault="002C6796" w14:paraId="4B5DC46F" w14:textId="02359694">
      <w:pPr>
        <w:pStyle w:val="Standard"/>
        <w:rPr>
          <w:color w:val="EE0000"/>
        </w:rPr>
      </w:pPr>
      <w:r w:rsidRPr="00F55A79">
        <w:rPr>
          <w:color w:val="000000" w:themeColor="text1"/>
        </w:rPr>
        <w:t>On September 4, 2025, the Joint Applicants submitted three joint motions for adoption of three settlement agreements, covering agreements with:  (1) Cal Advocates, (2) CETF, and (3) CWA</w:t>
      </w:r>
      <w:r w:rsidRPr="00F55A79" w:rsidR="00BA0541">
        <w:rPr>
          <w:color w:val="000000" w:themeColor="text1"/>
        </w:rPr>
        <w:t>;</w:t>
      </w:r>
      <w:r w:rsidRPr="00F55A79" w:rsidR="00BA0541">
        <w:t xml:space="preserve"> attached as Appendices A, B, and C, respectively.</w:t>
      </w:r>
      <w:r w:rsidRPr="00F55A79">
        <w:rPr>
          <w:color w:val="000000" w:themeColor="text1"/>
        </w:rPr>
        <w:t xml:space="preserve"> On October 31, 2025 the Chumash Tribe filed a settlement proposal as a motion</w:t>
      </w:r>
      <w:r w:rsidRPr="00F55A79" w:rsidR="005557BE">
        <w:rPr>
          <w:color w:val="000000" w:themeColor="text1"/>
        </w:rPr>
        <w:t>, noting that to date, the Chumash Tribe and Verizon had not reached an agreement memorializing the settlement</w:t>
      </w:r>
      <w:r w:rsidRPr="00F55A79">
        <w:rPr>
          <w:color w:val="000000" w:themeColor="text1"/>
        </w:rPr>
        <w:t>.  On November 21, 2025, the Joint Applicants and Cal Advocates provided the Commission with Verizon’s confidential 2026 Final Plan of Record for Macro Sites in California.</w:t>
      </w:r>
    </w:p>
    <w:p w:rsidRPr="00F55A79" w:rsidR="002C6796" w:rsidP="002C6796" w:rsidRDefault="002C6796" w14:paraId="6745BDF3" w14:textId="28B01454">
      <w:pPr>
        <w:pStyle w:val="Standard"/>
      </w:pPr>
      <w:r w:rsidRPr="00F55A79">
        <w:t xml:space="preserve">TURN and CforAT did not submit settlement agreements.  TURN requested specific mitigation and enforcement measures if the Commission approved the transaction. </w:t>
      </w:r>
      <w:r w:rsidRPr="00F55A79" w:rsidR="00475AEB">
        <w:t xml:space="preserve"> </w:t>
      </w:r>
      <w:r w:rsidRPr="00F55A79">
        <w:t>CforAT recommended that the Commission deny the proposed transaction on grounds that it “threatens serious harms to diverse communities, service quality, the combined company’s employees, and the Commission’s jurisdiction.”</w:t>
      </w:r>
      <w:r w:rsidRPr="00F55A79">
        <w:rPr>
          <w:rStyle w:val="FootnoteReference"/>
          <w:color w:val="000000" w:themeColor="text1"/>
        </w:rPr>
        <w:footnoteReference w:id="362"/>
      </w:r>
      <w:r w:rsidRPr="00F55A79">
        <w:t xml:space="preserve">  If the Commission approves the transaction, CforAT recommend</w:t>
      </w:r>
      <w:r w:rsidRPr="00F55A79" w:rsidR="00475AEB">
        <w:t>ed</w:t>
      </w:r>
      <w:r w:rsidRPr="00F55A79">
        <w:t xml:space="preserve"> adoption of specified mitigation and enforcement measures.</w:t>
      </w:r>
      <w:r w:rsidRPr="00F55A79" w:rsidR="00475AEB">
        <w:rPr>
          <w:rStyle w:val="FootnoteReference"/>
        </w:rPr>
        <w:footnoteReference w:id="363"/>
      </w:r>
      <w:r w:rsidRPr="00F55A79">
        <w:t xml:space="preserve"> </w:t>
      </w:r>
    </w:p>
    <w:p w:rsidRPr="00F55A79" w:rsidR="002C6796" w:rsidP="002C6796" w:rsidRDefault="002C6796" w14:paraId="7994F521" w14:textId="1955752C">
      <w:pPr>
        <w:pStyle w:val="Standard"/>
      </w:pPr>
      <w:r w:rsidRPr="00F55A79">
        <w:t>Upon review of the settlement agreements and party comments, we grant each party motion for adoption of the settlement agreements.</w:t>
      </w:r>
      <w:r w:rsidRPr="00F55A79">
        <w:rPr>
          <w:rStyle w:val="FootnoteReference"/>
        </w:rPr>
        <w:footnoteReference w:id="364"/>
      </w:r>
      <w:r w:rsidRPr="00F55A79">
        <w:rPr>
          <w:vertAlign w:val="superscript"/>
        </w:rPr>
        <w:t xml:space="preserve"> </w:t>
      </w:r>
      <w:r w:rsidRPr="00F55A79">
        <w:t xml:space="preserve"> We also note </w:t>
      </w:r>
      <w:r w:rsidRPr="00F55A79">
        <w:lastRenderedPageBreak/>
        <w:t xml:space="preserve">that the three settlement agreements and additional commitments do not respond to all concerns raised by the Commission, parties, and the public and therefore we adopt additional conditions beyond those in the settlement agreements, as detailed in </w:t>
      </w:r>
      <w:r w:rsidRPr="00F55A79" w:rsidR="005F2F37">
        <w:rPr>
          <w:color w:val="000000" w:themeColor="text1"/>
        </w:rPr>
        <w:t>Ordering Paragraphs 2-3</w:t>
      </w:r>
      <w:r w:rsidRPr="00F55A79" w:rsidR="00F55A79">
        <w:rPr>
          <w:color w:val="000000" w:themeColor="text1"/>
        </w:rPr>
        <w:t>1</w:t>
      </w:r>
      <w:r w:rsidRPr="00F55A79">
        <w:t xml:space="preserve">. </w:t>
      </w:r>
    </w:p>
    <w:p w:rsidRPr="00F55A79" w:rsidR="002C6796" w:rsidP="002C6796" w:rsidRDefault="002C6796" w14:paraId="628CFBBB" w14:textId="77777777">
      <w:pPr>
        <w:pStyle w:val="Heading2"/>
      </w:pPr>
      <w:bookmarkStart w:name="_Toc216163291" w:id="207"/>
      <w:r w:rsidRPr="00F55A79">
        <w:t>Standard of Review</w:t>
      </w:r>
      <w:bookmarkEnd w:id="207"/>
    </w:p>
    <w:p w:rsidRPr="00F55A79" w:rsidR="002C6796" w:rsidP="002C6796" w:rsidRDefault="002C6796" w14:paraId="55A221CE" w14:textId="77777777">
      <w:pPr>
        <w:pStyle w:val="Standard"/>
      </w:pPr>
      <w:r w:rsidRPr="00F55A79">
        <w:t>Rule 12.1(d) states, in part, that “[t]he Commission will not approve settlements, whether contested or uncontested, unless the settlement is reasonable in light of the whole record, consistent with law, and in the public interest.”</w:t>
      </w:r>
      <w:r w:rsidRPr="00F55A79">
        <w:rPr>
          <w:rStyle w:val="FootnoteReference"/>
        </w:rPr>
        <w:footnoteReference w:id="365"/>
      </w:r>
      <w:r w:rsidRPr="00F55A79">
        <w:t xml:space="preserve"> </w:t>
      </w:r>
    </w:p>
    <w:p w:rsidRPr="00F55A79" w:rsidR="002C6796" w:rsidP="002C6796" w:rsidRDefault="002C6796" w14:paraId="47F7B2C1" w14:textId="77777777">
      <w:pPr>
        <w:pStyle w:val="Heading2"/>
      </w:pPr>
      <w:bookmarkStart w:name="_Toc216163292" w:id="208"/>
      <w:r w:rsidRPr="00F55A79">
        <w:t>Party Positions</w:t>
      </w:r>
      <w:bookmarkEnd w:id="208"/>
    </w:p>
    <w:p w:rsidRPr="00F55A79" w:rsidR="002C6796" w:rsidP="002C6796" w:rsidRDefault="002C6796" w14:paraId="04916491" w14:textId="77777777">
      <w:pPr>
        <w:pStyle w:val="Standard"/>
        <w:rPr>
          <w:color w:val="000000" w:themeColor="text1"/>
        </w:rPr>
      </w:pPr>
      <w:r w:rsidRPr="00F55A79">
        <w:rPr>
          <w:color w:val="000000" w:themeColor="text1"/>
        </w:rPr>
        <w:t xml:space="preserve">TURN and CforAT did not </w:t>
      </w:r>
      <w:r w:rsidRPr="00F55A79">
        <w:t>reach settlement with the Joint Applicants.</w:t>
      </w:r>
      <w:r w:rsidRPr="00F55A79">
        <w:rPr>
          <w:rStyle w:val="FootnoteReference"/>
          <w:color w:val="000000" w:themeColor="text1"/>
        </w:rPr>
        <w:footnoteReference w:id="366"/>
      </w:r>
      <w:r w:rsidRPr="00F55A79">
        <w:rPr>
          <w:color w:val="000000" w:themeColor="text1"/>
        </w:rPr>
        <w:t xml:space="preserve">   TURN </w:t>
      </w:r>
      <w:r w:rsidRPr="00F55A79">
        <w:t>and CforAT provided comments on the settlements in their briefs, as well as recommended additional conditions.</w:t>
      </w:r>
      <w:r w:rsidRPr="00F55A79">
        <w:rPr>
          <w:vertAlign w:val="superscript"/>
        </w:rPr>
        <w:footnoteReference w:id="367"/>
      </w:r>
    </w:p>
    <w:p w:rsidRPr="00F55A79" w:rsidR="002C6796" w:rsidP="002C6796" w:rsidRDefault="002C6796" w14:paraId="58CBC8F8" w14:textId="77777777">
      <w:pPr>
        <w:pStyle w:val="Heading3"/>
      </w:pPr>
      <w:bookmarkStart w:name="_Toc216163293" w:id="209"/>
      <w:r w:rsidRPr="00F55A79">
        <w:t>Joint Applicants</w:t>
      </w:r>
      <w:bookmarkEnd w:id="209"/>
    </w:p>
    <w:p w:rsidRPr="00F55A79" w:rsidR="002C6796" w:rsidP="002C6796" w:rsidRDefault="002C6796" w14:paraId="1CE9B813" w14:textId="77777777">
      <w:pPr>
        <w:pStyle w:val="Standard"/>
      </w:pPr>
      <w:r w:rsidRPr="00F55A79">
        <w:t>The Joint Applicants stated that settlement agreements “collectively address all in-scope issues raised in the proceeding, and layer on extensive and enforceable commitments.”</w:t>
      </w:r>
      <w:r w:rsidRPr="00F55A79">
        <w:rPr>
          <w:rStyle w:val="FootnoteReference"/>
        </w:rPr>
        <w:footnoteReference w:id="368"/>
      </w:r>
      <w:r w:rsidRPr="00F55A79">
        <w:t xml:space="preserve">  According to the Joint Applicants, the commitments will provide immediate and ongoing benefits to California </w:t>
      </w:r>
      <w:r w:rsidRPr="00F55A79">
        <w:lastRenderedPageBreak/>
        <w:t>consumers that would not otherwise occur in the absence of Verizon acquiring Frontier.</w:t>
      </w:r>
      <w:r w:rsidRPr="00F55A79">
        <w:rPr>
          <w:rStyle w:val="FootnoteReference"/>
        </w:rPr>
        <w:footnoteReference w:id="369"/>
      </w:r>
    </w:p>
    <w:p w:rsidRPr="00F55A79" w:rsidR="002C6796" w:rsidP="002C6796" w:rsidRDefault="002C6796" w14:paraId="4D476C8B" w14:textId="0B14FCA4">
      <w:pPr>
        <w:pStyle w:val="Standard"/>
      </w:pPr>
      <w:r w:rsidRPr="00F55A79">
        <w:t xml:space="preserve">Beyond the commitments made in settlement agreements, Verizon added new commitments in its opening brief.  These commitments are detailed in </w:t>
      </w:r>
      <w:r w:rsidRPr="00F55A79" w:rsidR="003224F3">
        <w:t xml:space="preserve">Section </w:t>
      </w:r>
      <w:r w:rsidRPr="00F55A79" w:rsidR="00F95472">
        <w:t>10</w:t>
      </w:r>
      <w:r w:rsidRPr="00F55A79">
        <w:t>.</w:t>
      </w:r>
      <w:r w:rsidRPr="00F55A79">
        <w:rPr>
          <w:rStyle w:val="FootnoteReference"/>
        </w:rPr>
        <w:footnoteReference w:id="370"/>
      </w:r>
    </w:p>
    <w:p w:rsidRPr="00F55A79" w:rsidR="002C6796" w:rsidP="002C6796" w:rsidRDefault="002C6796" w14:paraId="481C00D0" w14:textId="77777777">
      <w:pPr>
        <w:pStyle w:val="Heading3"/>
      </w:pPr>
      <w:bookmarkStart w:name="_Toc216163294" w:id="210"/>
      <w:r w:rsidRPr="00F55A79">
        <w:t>Cal Advocates</w:t>
      </w:r>
      <w:bookmarkEnd w:id="210"/>
    </w:p>
    <w:p w:rsidRPr="00F55A79" w:rsidR="002C6796" w:rsidP="002C6796" w:rsidRDefault="002C6796" w14:paraId="7558101D" w14:textId="77777777">
      <w:pPr>
        <w:pStyle w:val="Standard"/>
      </w:pPr>
      <w:r w:rsidRPr="00F55A79">
        <w:t>Cal Advocates stated that, taken together, the briefing and settlement comments submitted by Cal Advocates and Joint Applicants represent a comprehensive and compelling record of the public interest benefits.</w:t>
      </w:r>
      <w:r w:rsidRPr="00F55A79">
        <w:rPr>
          <w:rStyle w:val="FootnoteReference"/>
        </w:rPr>
        <w:footnoteReference w:id="371"/>
      </w:r>
      <w:r w:rsidRPr="00F55A79">
        <w:t xml:space="preserve">  Cal Advocates agreed with the Joint Applicants’ comments that the substantial benefits of the settlement agreement satisfy the requirements of Section 854 and warrant adoption of the settlement agreement by the Commission.</w:t>
      </w:r>
      <w:r w:rsidRPr="00F55A79">
        <w:rPr>
          <w:rStyle w:val="FootnoteReference"/>
        </w:rPr>
        <w:footnoteReference w:id="372"/>
      </w:r>
      <w:r w:rsidRPr="00F55A79">
        <w:t xml:space="preserve">  Cal Advocates argued that, taken as a whole, the terms of the settlement agreement “deliver substantial, enforceable, and verifiable public benefits designed to expand infrastructure, provide equitable access, ensure affordability, and improve service quality.”</w:t>
      </w:r>
      <w:r w:rsidRPr="00F55A79">
        <w:rPr>
          <w:rStyle w:val="FootnoteReference"/>
        </w:rPr>
        <w:footnoteReference w:id="373"/>
      </w:r>
      <w:r w:rsidRPr="00F55A79">
        <w:t xml:space="preserve"> </w:t>
      </w:r>
    </w:p>
    <w:p w:rsidRPr="00F55A79" w:rsidR="002C6796" w:rsidP="002C6796" w:rsidRDefault="002C6796" w14:paraId="4E6F1F98" w14:textId="77777777">
      <w:pPr>
        <w:pStyle w:val="Standard"/>
      </w:pPr>
      <w:r w:rsidRPr="00F55A79">
        <w:t>According to Cal Advocates, the Joint Applicants’ compliance with these commitments should satisfy the statutory requirements of Section 854(a), (b)(2), (b)(3) and (c), and serve the public interest.</w:t>
      </w:r>
      <w:r w:rsidRPr="00F55A79">
        <w:rPr>
          <w:rStyle w:val="FootnoteReference"/>
        </w:rPr>
        <w:footnoteReference w:id="374"/>
      </w:r>
      <w:r w:rsidRPr="00F55A79">
        <w:t xml:space="preserve">  Cal Advocates supported the </w:t>
      </w:r>
      <w:r w:rsidRPr="00F55A79">
        <w:lastRenderedPageBreak/>
        <w:t>adoption of its settlement agreement “in its entirety” as a condition of approval for the transaction.</w:t>
      </w:r>
      <w:r w:rsidRPr="00F55A79">
        <w:rPr>
          <w:rStyle w:val="FootnoteReference"/>
        </w:rPr>
        <w:footnoteReference w:id="375"/>
      </w:r>
      <w:r w:rsidRPr="00F55A79">
        <w:t xml:space="preserve"> </w:t>
      </w:r>
    </w:p>
    <w:p w:rsidRPr="00F55A79" w:rsidR="002C6796" w:rsidP="002C6796" w:rsidRDefault="002C6796" w14:paraId="181BFC30" w14:textId="77777777">
      <w:pPr>
        <w:pStyle w:val="Standard"/>
        <w:rPr>
          <w:color w:val="000000" w:themeColor="text1"/>
        </w:rPr>
      </w:pPr>
      <w:r w:rsidRPr="00F55A79">
        <w:t>Cal Advocates noted, however, that its settlement agreement did not address the DEI-related questions identified in the May 29, 2025 Amended Scoping Memo and “excludes DEI-related issues by its express terms.”</w:t>
      </w:r>
      <w:r w:rsidRPr="00F55A79">
        <w:rPr>
          <w:rStyle w:val="FootnoteReference"/>
          <w:color w:val="000000" w:themeColor="text1"/>
        </w:rPr>
        <w:footnoteReference w:id="376"/>
      </w:r>
      <w:r w:rsidRPr="00F55A79">
        <w:rPr>
          <w:color w:val="000000" w:themeColor="text1"/>
        </w:rPr>
        <w:t xml:space="preserve"> Therefore, according to Cal Advocates, “the Commission may adopt the agreement in its entirety and consider imposing additional conditions relating to DEI concerns, if necessary</w:t>
      </w:r>
      <w:r w:rsidRPr="00F55A79">
        <w:t>.”</w:t>
      </w:r>
      <w:r w:rsidRPr="00F55A79">
        <w:rPr>
          <w:rStyle w:val="FootnoteReference"/>
          <w:color w:val="000000" w:themeColor="text1"/>
        </w:rPr>
        <w:footnoteReference w:id="377"/>
      </w:r>
      <w:r w:rsidRPr="00F55A79">
        <w:rPr>
          <w:color w:val="000000" w:themeColor="text1"/>
        </w:rPr>
        <w:t xml:space="preserve">  Cal Advocates noted that it maintained concerns it raised in testimony “regarding the importance of maintaining strong supplier diversity and equity commitments during and after the transition of Frontier’s California operations.”</w:t>
      </w:r>
      <w:r w:rsidRPr="00F55A79">
        <w:rPr>
          <w:rStyle w:val="FootnoteReference"/>
          <w:color w:val="000000" w:themeColor="text1"/>
        </w:rPr>
        <w:footnoteReference w:id="378"/>
      </w:r>
      <w:r w:rsidRPr="00F55A79">
        <w:rPr>
          <w:color w:val="000000" w:themeColor="text1"/>
        </w:rPr>
        <w:t xml:space="preserve"> Cal Advocates recommended that the Commission consider whether additional conditions are appropriate to address these issues based on the full evidentiary record.</w:t>
      </w:r>
      <w:r w:rsidRPr="00F55A79">
        <w:rPr>
          <w:rStyle w:val="FootnoteReference"/>
          <w:color w:val="000000" w:themeColor="text1"/>
        </w:rPr>
        <w:footnoteReference w:id="379"/>
      </w:r>
    </w:p>
    <w:p w:rsidRPr="00F55A79" w:rsidR="002C6796" w:rsidP="002C6796" w:rsidRDefault="002C6796" w14:paraId="04A67B7B" w14:textId="77777777">
      <w:pPr>
        <w:pStyle w:val="Heading3"/>
        <w:rPr>
          <w:color w:val="000000" w:themeColor="text1"/>
        </w:rPr>
      </w:pPr>
      <w:bookmarkStart w:name="_Toc216163295" w:id="211"/>
      <w:r w:rsidRPr="00F55A79">
        <w:rPr>
          <w:color w:val="000000" w:themeColor="text1"/>
        </w:rPr>
        <w:t>CforAT</w:t>
      </w:r>
      <w:bookmarkEnd w:id="211"/>
    </w:p>
    <w:p w:rsidRPr="00F55A79" w:rsidR="002C6796" w:rsidP="002C6796" w:rsidRDefault="002C6796" w14:paraId="01DBE073" w14:textId="77777777">
      <w:pPr>
        <w:pStyle w:val="Standard"/>
      </w:pPr>
      <w:r w:rsidRPr="00F55A79">
        <w:rPr>
          <w:color w:val="000000" w:themeColor="text1"/>
        </w:rPr>
        <w:t xml:space="preserve">CforAT stated that the proposed settlements “simply do not address a number of </w:t>
      </w:r>
      <w:r w:rsidRPr="00F55A79">
        <w:t>important issues.”</w:t>
      </w:r>
      <w:r w:rsidRPr="00F55A79">
        <w:rPr>
          <w:rStyle w:val="FootnoteReference"/>
          <w:color w:val="000000" w:themeColor="text1"/>
        </w:rPr>
        <w:footnoteReference w:id="380"/>
      </w:r>
      <w:r w:rsidRPr="00F55A79">
        <w:rPr>
          <w:color w:val="000000" w:themeColor="text1"/>
        </w:rPr>
        <w:t xml:space="preserve">  CforA</w:t>
      </w:r>
      <w:r w:rsidRPr="00F55A79">
        <w:t>T noted that the settlement agreements: (1) do not include any mitigation measures to ensure the combined company will offer affordable service, (2) lack enforcement mechanisms, and (3) do not include “meaningful language regarding [DEI].”</w:t>
      </w:r>
      <w:r w:rsidRPr="00F55A79">
        <w:rPr>
          <w:rStyle w:val="FootnoteReference"/>
        </w:rPr>
        <w:footnoteReference w:id="381"/>
      </w:r>
      <w:r w:rsidRPr="00F55A79">
        <w:t xml:space="preserve"> </w:t>
      </w:r>
    </w:p>
    <w:p w:rsidRPr="00F55A79" w:rsidR="002C6796" w:rsidP="002C6796" w:rsidRDefault="002C6796" w14:paraId="6B3E492E" w14:textId="77777777">
      <w:pPr>
        <w:pStyle w:val="Heading4"/>
      </w:pPr>
      <w:bookmarkStart w:name="_Toc216163296" w:id="212"/>
      <w:r w:rsidRPr="00F55A79">
        <w:lastRenderedPageBreak/>
        <w:t>Cal Advocates Settlement</w:t>
      </w:r>
      <w:bookmarkEnd w:id="212"/>
    </w:p>
    <w:p w:rsidRPr="00F55A79" w:rsidR="002C6796" w:rsidP="002C6796" w:rsidRDefault="002C6796" w14:paraId="4F8A6CC3" w14:textId="77777777">
      <w:pPr>
        <w:pStyle w:val="Standard"/>
        <w:rPr>
          <w:color w:val="000000" w:themeColor="text1"/>
        </w:rPr>
      </w:pPr>
      <w:r w:rsidRPr="00F55A79">
        <w:rPr>
          <w:color w:val="000000" w:themeColor="text1"/>
        </w:rPr>
        <w:t>CforAT separately addressed components of the Cal Advocates settlement as described below.</w:t>
      </w:r>
    </w:p>
    <w:p w:rsidRPr="00F55A79" w:rsidR="002C6796" w:rsidP="002C6796" w:rsidRDefault="002C6796" w14:paraId="0C7B59C6" w14:textId="77777777">
      <w:pPr>
        <w:pStyle w:val="Heading5"/>
      </w:pPr>
      <w:bookmarkStart w:name="_Toc216163297" w:id="213"/>
      <w:r w:rsidRPr="00F55A79">
        <w:t>Broadband Deployment</w:t>
      </w:r>
      <w:bookmarkEnd w:id="213"/>
    </w:p>
    <w:p w:rsidRPr="00F55A79" w:rsidR="002C6796" w:rsidP="002C6796" w:rsidRDefault="002C6796" w14:paraId="732FA7BD" w14:textId="77777777">
      <w:pPr>
        <w:pStyle w:val="Standard"/>
      </w:pPr>
      <w:r w:rsidRPr="00F55A79">
        <w:t>CforAT further stated that it is unclear whether Verizon’s settlement with Cal Advocates will provide public interest benefits.</w:t>
      </w:r>
      <w:r w:rsidRPr="00F55A79">
        <w:rPr>
          <w:rStyle w:val="FootnoteReference"/>
          <w:color w:val="000000" w:themeColor="text1"/>
        </w:rPr>
        <w:footnoteReference w:id="382"/>
      </w:r>
      <w:r w:rsidRPr="00F55A79">
        <w:t xml:space="preserve">  For example, CforAT noted that Verizon could comply with the Settlement Agreement by completing construction that it would have built even without the transaction.</w:t>
      </w:r>
      <w:r w:rsidRPr="00F55A79">
        <w:rPr>
          <w:rStyle w:val="FootnoteReference"/>
        </w:rPr>
        <w:footnoteReference w:id="383"/>
      </w:r>
    </w:p>
    <w:p w:rsidRPr="00F55A79" w:rsidR="002C6796" w:rsidP="002C6796" w:rsidRDefault="002C6796" w14:paraId="06430150" w14:textId="77777777">
      <w:pPr>
        <w:pStyle w:val="Standard"/>
      </w:pPr>
      <w:r w:rsidRPr="00F55A79">
        <w:t>CforAT also pointed to the Cal Advocates settlement’s statement that Verizon will deploy broadband infrastructure to 75,000 broadband fabric locations within Frontier’s service territory, and that this buildout will not include any locations where Frontier made previous deployment commitments.</w:t>
      </w:r>
      <w:r w:rsidRPr="00F55A79">
        <w:rPr>
          <w:rStyle w:val="FootnoteReference"/>
        </w:rPr>
        <w:footnoteReference w:id="384"/>
      </w:r>
      <w:r w:rsidRPr="00F55A79">
        <w:t xml:space="preserve"> CforAT noted that the settlement “provides no information about the locations where Frontier has committed to deploy infrastructure beyond a two-sentence summary of Frontier’s planned national buildout contained in a ‘confidential’ attachment to the agreement.”</w:t>
      </w:r>
      <w:r w:rsidRPr="00F55A79">
        <w:rPr>
          <w:rStyle w:val="FootnoteReference"/>
        </w:rPr>
        <w:footnoteReference w:id="385"/>
      </w:r>
      <w:r w:rsidRPr="00F55A79">
        <w:t xml:space="preserve"> According to CforAT, the Cal Advocates Settlement “fails to provide the Commission with enough information to determine where Verizon would build those 75,000 passings or what public benefits might accrue.”</w:t>
      </w:r>
      <w:r w:rsidRPr="00F55A79">
        <w:rPr>
          <w:rStyle w:val="FootnoteReference"/>
          <w:color w:val="000000" w:themeColor="text1"/>
        </w:rPr>
        <w:footnoteReference w:id="386"/>
      </w:r>
      <w:r w:rsidRPr="00F55A79">
        <w:t xml:space="preserve"> CforAT argued that the Commission should require Verizon to provide to its staff the 2026 final Plan of Record, including identification of the locations where it intends to build </w:t>
      </w:r>
      <w:r w:rsidRPr="00F55A79">
        <w:lastRenderedPageBreak/>
        <w:t>wireless macro sites and broadband passings, to verify that the locations meet the terms of the settlement agreement.</w:t>
      </w:r>
      <w:r w:rsidRPr="00F55A79">
        <w:rPr>
          <w:rStyle w:val="FootnoteReference"/>
          <w:color w:val="000000" w:themeColor="text1"/>
        </w:rPr>
        <w:footnoteReference w:id="387"/>
      </w:r>
    </w:p>
    <w:p w:rsidRPr="00F55A79" w:rsidR="002C6796" w:rsidP="002C6796" w:rsidRDefault="002C6796" w14:paraId="53961315" w14:textId="77777777">
      <w:pPr>
        <w:pStyle w:val="Heading5"/>
      </w:pPr>
      <w:bookmarkStart w:name="_Toc216163298" w:id="214"/>
      <w:r w:rsidRPr="00F55A79">
        <w:t>Affordability</w:t>
      </w:r>
      <w:bookmarkEnd w:id="214"/>
    </w:p>
    <w:p w:rsidRPr="00F55A79" w:rsidR="002C6796" w:rsidP="002C6796" w:rsidRDefault="002C6796" w14:paraId="3F66EF3C" w14:textId="77777777">
      <w:pPr>
        <w:pStyle w:val="Standard"/>
        <w:rPr>
          <w:color w:val="000000" w:themeColor="text1"/>
        </w:rPr>
      </w:pPr>
      <w:r w:rsidRPr="00F55A79">
        <w:t>CforAT stated that the impact of the settlement’s commitments from Verizon to offer Verizon Forward to eligible customers is unclear.</w:t>
      </w:r>
      <w:r w:rsidRPr="00F55A79">
        <w:rPr>
          <w:rStyle w:val="FootnoteReference"/>
          <w:color w:val="000000" w:themeColor="text1"/>
        </w:rPr>
        <w:footnoteReference w:id="388"/>
      </w:r>
      <w:r w:rsidRPr="00F55A79">
        <w:rPr>
          <w:color w:val="000000" w:themeColor="text1"/>
        </w:rPr>
        <w:t xml:space="preserve">  For example, although the settlement agreement states that Verizon will “[s]pend at least $300,000 annually to make customers aware of Verizon Forward and state Lifeline and </w:t>
      </w:r>
      <w:r w:rsidRPr="00F55A79">
        <w:t>federal Lifeline in California,”</w:t>
      </w:r>
      <w:r w:rsidRPr="00F55A79">
        <w:rPr>
          <w:rStyle w:val="FootnoteReference"/>
          <w:color w:val="000000" w:themeColor="text1"/>
        </w:rPr>
        <w:footnoteReference w:id="389"/>
      </w:r>
      <w:r w:rsidRPr="00F55A79">
        <w:rPr>
          <w:color w:val="000000" w:themeColor="text1"/>
        </w:rPr>
        <w:t xml:space="preserve"> it does not indicate how much Verizon currently spends on promotional efforts.  Similarly, CforAT argued that Verizon’s commitment to maintaining prices and terms for Verizon Forward and Frontier Fundamental internet plans “leaves room for Verizon to … materially change the eligibility criteria </w:t>
      </w:r>
      <w:r w:rsidRPr="00F55A79">
        <w:t>and discount for Verizon Forward and/or the price of Frontier Fundamental Internet.”</w:t>
      </w:r>
      <w:r w:rsidRPr="00F55A79">
        <w:rPr>
          <w:vertAlign w:val="superscript"/>
        </w:rPr>
        <w:footnoteReference w:id="390"/>
      </w:r>
      <w:r w:rsidRPr="00F55A79">
        <w:t xml:space="preserve"> According to CforAT, the Commission should not consider the </w:t>
      </w:r>
      <w:r w:rsidRPr="00F55A79">
        <w:rPr>
          <w:color w:val="000000" w:themeColor="text1"/>
        </w:rPr>
        <w:t xml:space="preserve">affordability agreements a benefit of the transaction because it cannot determine the level of affordability benefits would exist on the closing </w:t>
      </w:r>
      <w:r w:rsidRPr="00F55A79">
        <w:t>date of the transaction.</w:t>
      </w:r>
      <w:r w:rsidRPr="00F55A79">
        <w:rPr>
          <w:rStyle w:val="FootnoteReference"/>
          <w:color w:val="000000" w:themeColor="text1"/>
        </w:rPr>
        <w:footnoteReference w:id="391"/>
      </w:r>
    </w:p>
    <w:p w:rsidRPr="00F55A79" w:rsidR="002C6796" w:rsidP="002C6796" w:rsidRDefault="002C6796" w14:paraId="6AF4AC22" w14:textId="77777777">
      <w:pPr>
        <w:pStyle w:val="Standard"/>
        <w:rPr>
          <w:color w:val="000000" w:themeColor="text1"/>
        </w:rPr>
      </w:pPr>
      <w:r w:rsidRPr="00F55A79">
        <w:rPr>
          <w:color w:val="000000" w:themeColor="text1"/>
        </w:rPr>
        <w:t xml:space="preserve">CforAT noted that Verizon made no commitments regarding Lifeline service and only acknowledges that it will assume Frontier’s legal responsibilities </w:t>
      </w:r>
      <w:r w:rsidRPr="00F55A79">
        <w:t>as an eligible telecommunications carrier.</w:t>
      </w:r>
      <w:r w:rsidRPr="00F55A79">
        <w:rPr>
          <w:rStyle w:val="FootnoteReference"/>
          <w:color w:val="000000" w:themeColor="text1"/>
        </w:rPr>
        <w:footnoteReference w:id="392"/>
      </w:r>
      <w:r w:rsidRPr="00F55A79">
        <w:rPr>
          <w:color w:val="000000" w:themeColor="text1"/>
        </w:rPr>
        <w:t xml:space="preserve">  CforAT specifically noted that Verizon did not commit to offering California Lifeline or participating in the </w:t>
      </w:r>
      <w:r w:rsidRPr="00F55A79">
        <w:lastRenderedPageBreak/>
        <w:t>federal Lifeline program.</w:t>
      </w:r>
      <w:r w:rsidRPr="00F55A79">
        <w:rPr>
          <w:rStyle w:val="FootnoteReference"/>
          <w:color w:val="000000" w:themeColor="text1"/>
        </w:rPr>
        <w:footnoteReference w:id="393"/>
      </w:r>
      <w:r w:rsidRPr="00F55A79">
        <w:rPr>
          <w:color w:val="000000" w:themeColor="text1"/>
        </w:rPr>
        <w:t xml:space="preserve">  CforAT also noted that if the combined company relinquished Frontier’s Eligible Telecommunications Carrier (ETC) status or sought relief from its ETC obligations at the federal level, it would no longer be </w:t>
      </w:r>
      <w:r w:rsidRPr="00F55A79">
        <w:t>required to participate in federal Lifeline.</w:t>
      </w:r>
      <w:r w:rsidRPr="00F55A79">
        <w:rPr>
          <w:rStyle w:val="FootnoteReference"/>
          <w:color w:val="000000" w:themeColor="text1"/>
        </w:rPr>
        <w:footnoteReference w:id="394"/>
      </w:r>
    </w:p>
    <w:p w:rsidRPr="00F55A79" w:rsidR="002C6796" w:rsidP="002C6796" w:rsidRDefault="002C6796" w14:paraId="477C7E4D" w14:textId="77777777">
      <w:pPr>
        <w:pStyle w:val="Standard"/>
      </w:pPr>
      <w:r w:rsidRPr="00F55A79">
        <w:t>CforAT further noted that as a condition of Verizon’s previous acquisition of TracFone, Verizon is required to participate in the California Lifeline program until at least November 22, 2041.</w:t>
      </w:r>
      <w:r w:rsidRPr="00F55A79">
        <w:rPr>
          <w:rStyle w:val="FootnoteReference"/>
          <w:color w:val="000000" w:themeColor="text1"/>
        </w:rPr>
        <w:footnoteReference w:id="395"/>
      </w:r>
      <w:r w:rsidRPr="00F55A79">
        <w:rPr>
          <w:color w:val="000000" w:themeColor="text1"/>
        </w:rPr>
        <w:t xml:space="preserve">  CforAT understands this requirement to mandate that Verizon must offer Lifeline service to all eligible customers </w:t>
      </w:r>
      <w:r w:rsidRPr="00F55A79">
        <w:t>in its service territory, but expressed concern that the combined company “may attempt to creatively interpret” the conditions or use loopholes to evade the requirement.</w:t>
      </w:r>
      <w:r w:rsidRPr="00F55A79">
        <w:rPr>
          <w:rStyle w:val="FootnoteReference"/>
        </w:rPr>
        <w:footnoteReference w:id="396"/>
      </w:r>
      <w:r w:rsidRPr="00F55A79">
        <w:t xml:space="preserve">  CforAT therefore asked the Commission to ensure that former Frontier customers can still obtain Lifeline services throughout Frontier’s service territory until the expiration of its D.21-11-030 obligations.</w:t>
      </w:r>
      <w:r w:rsidRPr="00F55A79">
        <w:rPr>
          <w:rStyle w:val="FootnoteReference"/>
        </w:rPr>
        <w:footnoteReference w:id="397"/>
      </w:r>
      <w:r w:rsidRPr="00F55A79">
        <w:t xml:space="preserve">  </w:t>
      </w:r>
    </w:p>
    <w:p w:rsidRPr="00F55A79" w:rsidR="002C6796" w:rsidP="002C6796" w:rsidRDefault="002C6796" w14:paraId="0E0623D2" w14:textId="77777777">
      <w:pPr>
        <w:pStyle w:val="Heading5"/>
      </w:pPr>
      <w:bookmarkStart w:name="_Toc216163299" w:id="215"/>
      <w:r w:rsidRPr="00F55A79">
        <w:t>Service Quality</w:t>
      </w:r>
      <w:bookmarkEnd w:id="215"/>
    </w:p>
    <w:p w:rsidRPr="00F55A79" w:rsidR="002C6796" w:rsidP="002C6796" w:rsidRDefault="002C6796" w14:paraId="1C98EC95" w14:textId="6F96DB84">
      <w:pPr>
        <w:pStyle w:val="Standard"/>
      </w:pPr>
      <w:r w:rsidRPr="00F55A79">
        <w:rPr>
          <w:color w:val="000000" w:themeColor="text1"/>
        </w:rPr>
        <w:t xml:space="preserve">According to CforAT, the Cal Advocates settlement states that Verizon will </w:t>
      </w:r>
      <w:r w:rsidRPr="00F55A79">
        <w:t>enact several service quality policies with widely varying metrics,</w:t>
      </w:r>
      <w:r w:rsidRPr="00F55A79">
        <w:rPr>
          <w:vertAlign w:val="superscript"/>
        </w:rPr>
        <w:footnoteReference w:id="398"/>
      </w:r>
      <w:r w:rsidRPr="00F55A79">
        <w:t xml:space="preserve"> but “there is insufficient record evidence </w:t>
      </w:r>
      <w:r w:rsidRPr="00F55A79" w:rsidR="003224F3">
        <w:t>t</w:t>
      </w:r>
      <w:r w:rsidRPr="00F55A79">
        <w:t xml:space="preserve">o interpret these standards or to verify that </w:t>
      </w:r>
      <w:r w:rsidRPr="00F55A79">
        <w:lastRenderedPageBreak/>
        <w:t>benefits will occur.”</w:t>
      </w:r>
      <w:r w:rsidRPr="00F55A79">
        <w:rPr>
          <w:rStyle w:val="FootnoteReference"/>
          <w:color w:val="000000" w:themeColor="text1"/>
        </w:rPr>
        <w:footnoteReference w:id="399"/>
      </w:r>
      <w:r w:rsidRPr="00F55A79">
        <w:rPr>
          <w:color w:val="000000" w:themeColor="text1"/>
        </w:rPr>
        <w:t xml:space="preserve"> In addition, CforAT noted that the Cal Advocates settlement does not address that the Commission’s enforcement process requires that providers either </w:t>
      </w:r>
      <w:r w:rsidRPr="00F55A79">
        <w:t>meet certain benchmarks or pay a fine,</w:t>
      </w:r>
      <w:r w:rsidRPr="00F55A79">
        <w:rPr>
          <w:rStyle w:val="FootnoteReference"/>
          <w:color w:val="000000" w:themeColor="text1"/>
        </w:rPr>
        <w:footnoteReference w:id="400"/>
      </w:r>
      <w:r w:rsidRPr="00F55A79">
        <w:rPr>
          <w:color w:val="000000" w:themeColor="text1"/>
        </w:rPr>
        <w:t xml:space="preserve"> and stated that “there is a </w:t>
      </w:r>
      <w:r w:rsidRPr="00F55A79">
        <w:t>substantial risk that the combined company would choose to pay a fine rather than provide service that meets the Commission’s service quality standards.”</w:t>
      </w:r>
      <w:r w:rsidRPr="00F55A79">
        <w:rPr>
          <w:rStyle w:val="FootnoteReference"/>
        </w:rPr>
        <w:footnoteReference w:id="401"/>
      </w:r>
      <w:r w:rsidRPr="00F55A79">
        <w:t xml:space="preserve">  CforAT also noted that Verizon’s commitment to maintain and repair copper networks to a level that provides “reliable voice service” is not a transaction benefit, because the Commission’s basic service elements require a “voice-grade connection.”</w:t>
      </w:r>
      <w:r w:rsidRPr="00F55A79">
        <w:rPr>
          <w:rStyle w:val="FootnoteReference"/>
        </w:rPr>
        <w:footnoteReference w:id="402"/>
      </w:r>
    </w:p>
    <w:p w:rsidRPr="00F55A79" w:rsidR="002C6796" w:rsidP="002C6796" w:rsidRDefault="002C6796" w14:paraId="31B8D9EF" w14:textId="77777777">
      <w:pPr>
        <w:pStyle w:val="Standard"/>
      </w:pPr>
      <w:r w:rsidRPr="00F55A79">
        <w:t xml:space="preserve">CforAT argued that serious questions remain about whether the Cal Advocates’ settlement will result in improved service quality. According to CforAT, </w:t>
      </w:r>
    </w:p>
    <w:p w:rsidRPr="00F55A79" w:rsidR="002C6796" w:rsidP="002C6796" w:rsidRDefault="002C6796" w14:paraId="1B8D7C72" w14:textId="77777777">
      <w:pPr>
        <w:pStyle w:val="BlockQuote"/>
      </w:pPr>
      <w:r w:rsidRPr="00F55A79">
        <w:t>The Commission should reject those conditions as unverifiable. If the Commission does not deny the Application outright, it should require that the combined company audit Frontier’s network and service quality and take action to bring them into compliance with the Commission’s service quality metrics no later than one year after the close of the transaction.</w:t>
      </w:r>
      <w:r w:rsidRPr="00F55A79">
        <w:rPr>
          <w:rStyle w:val="FootnoteReference"/>
        </w:rPr>
        <w:footnoteReference w:id="403"/>
      </w:r>
    </w:p>
    <w:p w:rsidRPr="00F55A79" w:rsidR="002C6796" w:rsidP="002C6796" w:rsidRDefault="002C6796" w14:paraId="1DEBD3FE" w14:textId="77777777">
      <w:pPr>
        <w:pStyle w:val="Heading5"/>
      </w:pPr>
      <w:bookmarkStart w:name="_Toc216163300" w:id="216"/>
      <w:r w:rsidRPr="00F55A79">
        <w:t>Performance Bonds</w:t>
      </w:r>
      <w:bookmarkEnd w:id="216"/>
    </w:p>
    <w:p w:rsidRPr="00F55A79" w:rsidR="002C6796" w:rsidP="002C6796" w:rsidRDefault="002C6796" w14:paraId="7B30820C" w14:textId="77777777">
      <w:pPr>
        <w:pStyle w:val="Standard"/>
      </w:pPr>
      <w:r w:rsidRPr="00F55A79">
        <w:rPr>
          <w:color w:val="000000" w:themeColor="text1"/>
        </w:rPr>
        <w:t>CforAT also addressed the commitment of Verizon in the Cal Advocates settlement to obtain $150 million in performance bonds</w:t>
      </w:r>
      <w:r w:rsidRPr="00F55A79">
        <w:t>.</w:t>
      </w:r>
      <w:r w:rsidRPr="00F55A79">
        <w:rPr>
          <w:rStyle w:val="FootnoteReference"/>
          <w:color w:val="000000" w:themeColor="text1"/>
        </w:rPr>
        <w:footnoteReference w:id="404"/>
      </w:r>
      <w:r w:rsidRPr="00F55A79">
        <w:rPr>
          <w:color w:val="000000" w:themeColor="text1"/>
        </w:rPr>
        <w:t xml:space="preserve">  According to the settlement agreement, as Verizon meets its buildout obligations, it may </w:t>
      </w:r>
      <w:r w:rsidRPr="00F55A79">
        <w:t xml:space="preserve">request </w:t>
      </w:r>
      <w:r w:rsidRPr="00F55A79">
        <w:lastRenderedPageBreak/>
        <w:t>reduction of the bond.</w:t>
      </w:r>
      <w:r w:rsidRPr="00F55A79">
        <w:rPr>
          <w:rStyle w:val="FootnoteReference"/>
        </w:rPr>
        <w:footnoteReference w:id="405"/>
      </w:r>
      <w:r w:rsidRPr="00F55A79">
        <w:t xml:space="preserve">  For example, if Verizon meets 20 percent of its buildout commitments, it can seek a 20 percent reduction of the bond requirement.</w:t>
      </w:r>
      <w:r w:rsidRPr="00F55A79">
        <w:rPr>
          <w:rStyle w:val="FootnoteReference"/>
        </w:rPr>
        <w:footnoteReference w:id="406"/>
      </w:r>
      <w:r w:rsidRPr="00F55A79">
        <w:t xml:space="preserve"> CforAT stated that this enforcement mechanism needs clarification.</w:t>
      </w:r>
      <w:r w:rsidRPr="00F55A79">
        <w:rPr>
          <w:rStyle w:val="FootnoteReference"/>
        </w:rPr>
        <w:footnoteReference w:id="407"/>
      </w:r>
      <w:r w:rsidRPr="00F55A79">
        <w:t xml:space="preserve"> According to CforAT, if the Commission approves the transaction, it should allow Verizon only to seek reduction of its bond based on its completion of the lower percentage of either its cell site or fiber passing buildouts.</w:t>
      </w:r>
      <w:r w:rsidRPr="00F55A79">
        <w:rPr>
          <w:rStyle w:val="FootnoteReference"/>
        </w:rPr>
        <w:footnoteReference w:id="408"/>
      </w:r>
      <w:r w:rsidRPr="00F55A79">
        <w:t xml:space="preserve">  In addition, CforAT stated that the Commission should require Verizon to maintain at least $75 million in performance bonds until it has completely fulfilled its buildout obligations.</w:t>
      </w:r>
      <w:r w:rsidRPr="00F55A79">
        <w:rPr>
          <w:rStyle w:val="FootnoteReference"/>
        </w:rPr>
        <w:footnoteReference w:id="409"/>
      </w:r>
    </w:p>
    <w:p w:rsidRPr="00F55A79" w:rsidR="002C6796" w:rsidP="002C6796" w:rsidRDefault="002C6796" w14:paraId="0EFA1134" w14:textId="77777777">
      <w:pPr>
        <w:pStyle w:val="Heading4"/>
      </w:pPr>
      <w:bookmarkStart w:name="_Toc216163301" w:id="217"/>
      <w:r w:rsidRPr="00F55A79">
        <w:t>CWA Settlement</w:t>
      </w:r>
      <w:bookmarkEnd w:id="217"/>
    </w:p>
    <w:p w:rsidRPr="00F55A79" w:rsidR="002C6796" w:rsidP="002C6796" w:rsidRDefault="002C6796" w14:paraId="2A72C1B2" w14:textId="77777777">
      <w:pPr>
        <w:pStyle w:val="Standard"/>
      </w:pPr>
      <w:r w:rsidRPr="00F55A79">
        <w:t>CforAT stated that the CWA Settlement includes commitments by Verizon to hire at least 600 union employees over six years and to avoid any union employee layoffs for three years following the close of the transaction.</w:t>
      </w:r>
      <w:r w:rsidRPr="00F55A79">
        <w:rPr>
          <w:rStyle w:val="FootnoteReference"/>
        </w:rPr>
        <w:footnoteReference w:id="410"/>
      </w:r>
      <w:r w:rsidRPr="00F55A79">
        <w:t xml:space="preserve">  CforAT noted that these commitments have loopholes and only provide benefits for union employees.  CforAT therefore addressed the public interest harms to Frontier’s non-union employees, such as potential loss of retirement benefits and other benefit plans.</w:t>
      </w:r>
      <w:r w:rsidRPr="00F55A79">
        <w:rPr>
          <w:rStyle w:val="FootnoteReference"/>
        </w:rPr>
        <w:footnoteReference w:id="411"/>
      </w:r>
      <w:r w:rsidRPr="00F55A79">
        <w:t xml:space="preserve"> </w:t>
      </w:r>
    </w:p>
    <w:p w:rsidRPr="00F55A79" w:rsidR="002C6796" w:rsidP="002C6796" w:rsidRDefault="002C6796" w14:paraId="0F7DA049" w14:textId="77777777">
      <w:pPr>
        <w:pStyle w:val="Heading4"/>
      </w:pPr>
      <w:bookmarkStart w:name="_Toc216163302" w:id="218"/>
      <w:r w:rsidRPr="00F55A79">
        <w:lastRenderedPageBreak/>
        <w:t>CETF Settlement</w:t>
      </w:r>
      <w:bookmarkEnd w:id="218"/>
    </w:p>
    <w:p w:rsidRPr="00F55A79" w:rsidR="002C6796" w:rsidP="002C6796" w:rsidRDefault="002C6796" w14:paraId="617AC318" w14:textId="77777777">
      <w:pPr>
        <w:pStyle w:val="Standard"/>
      </w:pPr>
      <w:r w:rsidRPr="00F55A79">
        <w:t>CforAT noted that the CETF Settlement provides CETF with $40 million from Verizon to fund for digital literacy programs.</w:t>
      </w:r>
      <w:r w:rsidRPr="00F55A79">
        <w:rPr>
          <w:rStyle w:val="FootnoteReference"/>
        </w:rPr>
        <w:footnoteReference w:id="412"/>
      </w:r>
      <w:r w:rsidRPr="00F55A79">
        <w:t xml:space="preserve">  CforAT stated that five million dollars is earmarked for grants to CBOs and schools, but it is unclear how the remaining $35 million are allocated.</w:t>
      </w:r>
      <w:r w:rsidRPr="00F55A79">
        <w:rPr>
          <w:rStyle w:val="FootnoteReference"/>
        </w:rPr>
        <w:footnoteReference w:id="413"/>
      </w:r>
      <w:r w:rsidRPr="00F55A79">
        <w:t xml:space="preserve">  </w:t>
      </w:r>
    </w:p>
    <w:p w:rsidRPr="00F55A79" w:rsidR="002C6796" w:rsidP="002C6796" w:rsidRDefault="002C6796" w14:paraId="3D9B60DC" w14:textId="77777777">
      <w:pPr>
        <w:pStyle w:val="Standard"/>
        <w:rPr>
          <w:color w:val="000000" w:themeColor="text1"/>
        </w:rPr>
      </w:pPr>
      <w:r w:rsidRPr="00F55A79">
        <w:t xml:space="preserve">The CETF Settlement also provides one million dollars in funding for “outreach and awareness of Verizon’s Small Business Accelerator and Small Business Digital Ready programs and conduct related </w:t>
      </w:r>
      <w:r w:rsidRPr="00F55A79">
        <w:rPr>
          <w:color w:val="000000" w:themeColor="text1"/>
        </w:rPr>
        <w:t xml:space="preserve">outreach to </w:t>
      </w:r>
      <w:r w:rsidRPr="00F55A79">
        <w:t>participants.”</w:t>
      </w:r>
      <w:r w:rsidRPr="00F55A79">
        <w:rPr>
          <w:rStyle w:val="FootnoteReference"/>
          <w:color w:val="000000" w:themeColor="text1"/>
        </w:rPr>
        <w:footnoteReference w:id="414"/>
      </w:r>
      <w:r w:rsidRPr="00F55A79">
        <w:rPr>
          <w:color w:val="000000" w:themeColor="text1"/>
        </w:rPr>
        <w:t xml:space="preserve"> According to CforAT, those programs are Verizon’s proposed alternative to DEI requirements, “which are not only likely to fail to mitigate harms to DEI, but are also likely to further decrease the diversity of Verizon’s internal workforce and contractors…. In other words, Verizon will pay CETF to lend false legitimacy to </w:t>
      </w:r>
      <w:r w:rsidRPr="00F55A79">
        <w:t>those programs.”</w:t>
      </w:r>
      <w:r w:rsidRPr="00F55A79">
        <w:rPr>
          <w:vertAlign w:val="superscript"/>
        </w:rPr>
        <w:footnoteReference w:id="415"/>
      </w:r>
      <w:r w:rsidRPr="00F55A79">
        <w:t xml:space="preserve">  According</w:t>
      </w:r>
      <w:r w:rsidRPr="00F55A79">
        <w:rPr>
          <w:color w:val="000000" w:themeColor="text1"/>
        </w:rPr>
        <w:t xml:space="preserve"> to CforAT and citing to CETF’s own acknowledgements, the </w:t>
      </w:r>
      <w:r w:rsidRPr="00F55A79">
        <w:t>DEI commitments in the CETF Settlement are “inadequate at best and quite likely meaningless.”</w:t>
      </w:r>
      <w:r w:rsidRPr="00F55A79">
        <w:rPr>
          <w:rStyle w:val="FootnoteReference"/>
          <w:color w:val="000000" w:themeColor="text1"/>
        </w:rPr>
        <w:footnoteReference w:id="416"/>
      </w:r>
    </w:p>
    <w:p w:rsidRPr="00F55A79" w:rsidR="002C6796" w:rsidP="002C6796" w:rsidRDefault="002C6796" w14:paraId="0CDFBC67" w14:textId="77777777">
      <w:pPr>
        <w:pStyle w:val="Heading3"/>
      </w:pPr>
      <w:bookmarkStart w:name="_Toc216163303" w:id="219"/>
      <w:r w:rsidRPr="00F55A79">
        <w:t>CETF</w:t>
      </w:r>
      <w:bookmarkEnd w:id="219"/>
    </w:p>
    <w:p w:rsidRPr="00F55A79" w:rsidR="002C6796" w:rsidP="002C6796" w:rsidRDefault="002C6796" w14:paraId="7E4B8525" w14:textId="77777777">
      <w:pPr>
        <w:pStyle w:val="Standard"/>
      </w:pPr>
      <w:r w:rsidRPr="00F55A79">
        <w:t xml:space="preserve">CETF stated that, given the “abundant” public benefits of the three settlement agreements, “it is clear that the minor or speculative detriments of the proposed transaction alleged by CforAT and TURN in their Opening Briefs are </w:t>
      </w:r>
      <w:r w:rsidRPr="00F55A79">
        <w:lastRenderedPageBreak/>
        <w:t>far outweighed by the significant public benefits.”</w:t>
      </w:r>
      <w:r w:rsidRPr="00F55A79">
        <w:rPr>
          <w:rStyle w:val="FootnoteReference"/>
        </w:rPr>
        <w:footnoteReference w:id="417"/>
      </w:r>
      <w:r w:rsidRPr="00F55A79">
        <w:t xml:space="preserve">  Therefore, CETF urged approval of the settlement agreements.</w:t>
      </w:r>
      <w:r w:rsidRPr="00F55A79">
        <w:rPr>
          <w:rStyle w:val="FootnoteReference"/>
        </w:rPr>
        <w:footnoteReference w:id="418"/>
      </w:r>
    </w:p>
    <w:p w:rsidRPr="00F55A79" w:rsidR="002C6796" w:rsidP="002C6796" w:rsidRDefault="002C6796" w14:paraId="323FD274" w14:textId="77777777">
      <w:pPr>
        <w:pStyle w:val="Heading3"/>
      </w:pPr>
      <w:bookmarkStart w:name="_Toc216163304" w:id="220"/>
      <w:r w:rsidRPr="00F55A79">
        <w:t>TURN</w:t>
      </w:r>
      <w:bookmarkEnd w:id="220"/>
    </w:p>
    <w:p w:rsidRPr="00F55A79" w:rsidR="002C6796" w:rsidP="002C6796" w:rsidRDefault="002C6796" w14:paraId="55798947" w14:textId="0C475BAF">
      <w:pPr>
        <w:pStyle w:val="Standard"/>
      </w:pPr>
      <w:r w:rsidRPr="00F55A79">
        <w:rPr>
          <w:color w:val="000000" w:themeColor="text1"/>
        </w:rPr>
        <w:t xml:space="preserve">TURN argued that the combined terms of the settlement agreements are insufficient for the Commission to find that the transaction is in the public </w:t>
      </w:r>
      <w:r w:rsidRPr="00F55A79">
        <w:t>interest.</w:t>
      </w:r>
      <w:r w:rsidRPr="00F55A79">
        <w:rPr>
          <w:rStyle w:val="FootnoteReference"/>
          <w:color w:val="000000" w:themeColor="text1"/>
        </w:rPr>
        <w:footnoteReference w:id="419"/>
      </w:r>
      <w:r w:rsidRPr="00F55A79">
        <w:rPr>
          <w:color w:val="000000" w:themeColor="text1"/>
        </w:rPr>
        <w:t xml:space="preserve">  Specifically, TURN recommend specific conditions for the Commission adopt to mitigate harms caused by the proposed transaction.  These </w:t>
      </w:r>
      <w:r w:rsidRPr="00F55A79">
        <w:t xml:space="preserve">recommendations are summarized in </w:t>
      </w:r>
      <w:r w:rsidRPr="00F55A79" w:rsidR="003224F3">
        <w:t>Section 6.9</w:t>
      </w:r>
      <w:r w:rsidRPr="00F55A79" w:rsidDel="00E03C48">
        <w:t xml:space="preserve"> </w:t>
      </w:r>
      <w:r w:rsidRPr="00F55A79">
        <w:t>herein.</w:t>
      </w:r>
    </w:p>
    <w:p w:rsidRPr="00F55A79" w:rsidR="002C6796" w:rsidP="002C6796" w:rsidRDefault="002C6796" w14:paraId="32943A2B" w14:textId="77777777">
      <w:pPr>
        <w:pStyle w:val="Heading2"/>
      </w:pPr>
      <w:bookmarkStart w:name="_Toc216163305" w:id="221"/>
      <w:r w:rsidRPr="00F55A79">
        <w:t>Joint Applicants’ Response</w:t>
      </w:r>
      <w:bookmarkEnd w:id="221"/>
    </w:p>
    <w:p w:rsidRPr="00F55A79" w:rsidR="002C6796" w:rsidP="002C6796" w:rsidRDefault="002C6796" w14:paraId="7B884122" w14:textId="77777777">
      <w:pPr>
        <w:rPr>
          <w:color w:val="000000" w:themeColor="text1"/>
        </w:rPr>
      </w:pPr>
      <w:r w:rsidRPr="00F55A79">
        <w:rPr>
          <w:color w:val="000000" w:themeColor="text1"/>
        </w:rPr>
        <w:t xml:space="preserve">The Joint Applicants requested that the Commission adopt the settlement agreements without modification.  According to the Joint Applicants, the settlements “were the product of substantial negotiations and resolve all concerns raised by those parties…. [T]he resulting agreements collectively address all in-scope issues raised in the proceeding, and layer on extensive and </w:t>
      </w:r>
      <w:r w:rsidRPr="00F55A79">
        <w:rPr>
          <w:rStyle w:val="StandardChar"/>
        </w:rPr>
        <w:t>enforceable commitments.</w:t>
      </w:r>
      <w:r w:rsidRPr="00F55A79">
        <w:rPr>
          <w:rStyle w:val="FootnoteReference"/>
          <w:color w:val="000000" w:themeColor="text1"/>
        </w:rPr>
        <w:footnoteReference w:id="420"/>
      </w:r>
      <w:r w:rsidRPr="00F55A79">
        <w:rPr>
          <w:color w:val="000000" w:themeColor="text1"/>
        </w:rPr>
        <w:t xml:space="preserve">  The Joint Applicants provided a chart detailing the </w:t>
      </w:r>
      <w:r w:rsidRPr="00F55A79">
        <w:rPr>
          <w:rStyle w:val="StandardChar"/>
        </w:rPr>
        <w:t>settlement commitments</w:t>
      </w:r>
      <w:r w:rsidRPr="00F55A79">
        <w:rPr>
          <w:rStyle w:val="FootnoteReference"/>
          <w:color w:val="000000" w:themeColor="text1"/>
        </w:rPr>
        <w:footnoteReference w:id="421"/>
      </w:r>
      <w:r w:rsidRPr="00F55A79">
        <w:rPr>
          <w:color w:val="000000" w:themeColor="text1"/>
        </w:rPr>
        <w:t xml:space="preserve"> and further summarized the agreements in their </w:t>
      </w:r>
      <w:r w:rsidRPr="00F55A79">
        <w:rPr>
          <w:rStyle w:val="StandardChar"/>
        </w:rPr>
        <w:t>opening brief.</w:t>
      </w:r>
      <w:r w:rsidRPr="00F55A79">
        <w:rPr>
          <w:rStyle w:val="FootnoteReference"/>
          <w:color w:val="000000" w:themeColor="text1"/>
        </w:rPr>
        <w:footnoteReference w:id="422"/>
      </w:r>
    </w:p>
    <w:p w:rsidRPr="00F55A79" w:rsidR="002C6796" w:rsidP="002C6796" w:rsidRDefault="002C6796" w14:paraId="3537BA6D" w14:textId="77777777">
      <w:pPr>
        <w:pStyle w:val="Standard"/>
      </w:pPr>
      <w:r w:rsidRPr="00F55A79">
        <w:lastRenderedPageBreak/>
        <w:t xml:space="preserve">The Joint Applicants also stated that there is no legal basis for the Commission to require conditions beyond the Joint Applicants’ voluntary </w:t>
      </w:r>
      <w:r w:rsidRPr="00F55A79">
        <w:rPr>
          <w:rStyle w:val="StandardChar"/>
        </w:rPr>
        <w:t>commitments.</w:t>
      </w:r>
      <w:r w:rsidRPr="00F55A79">
        <w:rPr>
          <w:rStyle w:val="FootnoteReference"/>
          <w:color w:val="000000" w:themeColor="text1"/>
        </w:rPr>
        <w:footnoteReference w:id="423"/>
      </w:r>
      <w:r w:rsidRPr="00F55A79">
        <w:t xml:space="preserve">  </w:t>
      </w:r>
    </w:p>
    <w:p w:rsidRPr="00F55A79" w:rsidR="002C6796" w:rsidP="002C6796" w:rsidRDefault="002C6796" w14:paraId="35F7B1DA" w14:textId="77777777">
      <w:pPr>
        <w:pStyle w:val="Heading2"/>
      </w:pPr>
      <w:bookmarkStart w:name="_Toc216163306" w:id="222"/>
      <w:r w:rsidRPr="00F55A79">
        <w:t>Discussion</w:t>
      </w:r>
      <w:bookmarkEnd w:id="222"/>
    </w:p>
    <w:p w:rsidRPr="00F55A79" w:rsidR="002C6796" w:rsidP="002C6796" w:rsidRDefault="002C6796" w14:paraId="7A6ED242" w14:textId="563B2538">
      <w:pPr>
        <w:pStyle w:val="Standard"/>
        <w:rPr>
          <w:color w:val="000000" w:themeColor="text1"/>
        </w:rPr>
      </w:pPr>
      <w:r w:rsidRPr="00F55A79">
        <w:rPr>
          <w:color w:val="000000" w:themeColor="text1"/>
        </w:rPr>
        <w:t>We find that each of the three settlements is reasonable in light of the whole record, consistent with law, and in the public interest,</w:t>
      </w:r>
      <w:r w:rsidRPr="00F55A79" w:rsidR="0064114A">
        <w:rPr>
          <w:color w:val="000000" w:themeColor="text1"/>
        </w:rPr>
        <w:t xml:space="preserve"> and can be adopted,</w:t>
      </w:r>
      <w:r w:rsidRPr="00F55A79">
        <w:rPr>
          <w:color w:val="000000" w:themeColor="text1"/>
        </w:rPr>
        <w:t xml:space="preserve"> but in totality are insufficient to meet the public interest standard in Pub. Util. Code Section 854</w:t>
      </w:r>
      <w:r w:rsidRPr="00F55A79" w:rsidR="0064114A">
        <w:rPr>
          <w:color w:val="000000" w:themeColor="text1"/>
        </w:rPr>
        <w:t xml:space="preserve"> without additional conditions</w:t>
      </w:r>
      <w:r w:rsidRPr="00F55A79">
        <w:rPr>
          <w:color w:val="000000" w:themeColor="text1"/>
        </w:rPr>
        <w:t xml:space="preserve">.  Upon review of the transaction and of recommendations from TURN and CforAT and the public, we adopt additional conditions as summarized in </w:t>
      </w:r>
      <w:r w:rsidRPr="00F55A79" w:rsidR="005F2F37">
        <w:rPr>
          <w:color w:val="000000" w:themeColor="text1"/>
        </w:rPr>
        <w:t>Ordering Paragraphs 2-3</w:t>
      </w:r>
      <w:r w:rsidRPr="00F55A79" w:rsidR="00F55A79">
        <w:rPr>
          <w:color w:val="000000" w:themeColor="text1"/>
        </w:rPr>
        <w:t>1</w:t>
      </w:r>
      <w:r w:rsidRPr="00F55A79">
        <w:rPr>
          <w:color w:val="000000" w:themeColor="text1"/>
        </w:rPr>
        <w:t>.</w:t>
      </w:r>
    </w:p>
    <w:p w:rsidRPr="00F55A79" w:rsidR="00603238" w:rsidP="00150F4B" w:rsidRDefault="00603238" w14:paraId="55F805E2" w14:textId="622B2FE9">
      <w:pPr>
        <w:pStyle w:val="Heading1"/>
      </w:pPr>
      <w:bookmarkStart w:name="_Toc216163307" w:id="223"/>
      <w:r w:rsidRPr="00F55A79">
        <w:t>Summary of Public Comment</w:t>
      </w:r>
      <w:bookmarkEnd w:id="223"/>
    </w:p>
    <w:p w:rsidRPr="00F55A79" w:rsidR="00603238" w:rsidP="00284D8D" w:rsidRDefault="00603238" w14:paraId="3F5BE742" w14:textId="3A0FC847">
      <w:r w:rsidRPr="00F55A79">
        <w:t>Rule 1.18 allows any member of the public to submit written comment in any Commission proceeding using the “Public Comment” tab of the online Docket Card for that proceeding on the Commission’s website. </w:t>
      </w:r>
      <w:r w:rsidRPr="00F55A79" w:rsidR="009A2132">
        <w:t xml:space="preserve"> </w:t>
      </w:r>
      <w:r w:rsidRPr="00F55A79">
        <w:t>Rule 1.18(b) requires that relevant written comment submitted in a proceeding be summarized in the final decision issued in that proceeding.</w:t>
      </w:r>
    </w:p>
    <w:p w:rsidRPr="00F55A79" w:rsidR="00D55CA6" w:rsidP="00CC1CB2" w:rsidRDefault="007C6E48" w14:paraId="6317541C" w14:textId="049751CB">
      <w:pPr>
        <w:pStyle w:val="Standard"/>
      </w:pPr>
      <w:r w:rsidRPr="00F55A79">
        <w:rPr>
          <w:color w:val="000000" w:themeColor="text1"/>
        </w:rPr>
        <w:t xml:space="preserve">The Commission held </w:t>
      </w:r>
      <w:r w:rsidRPr="00F55A79" w:rsidR="006C4C62">
        <w:rPr>
          <w:color w:val="000000" w:themeColor="text1"/>
        </w:rPr>
        <w:t>16</w:t>
      </w:r>
      <w:r w:rsidRPr="00F55A79">
        <w:rPr>
          <w:color w:val="000000" w:themeColor="text1"/>
        </w:rPr>
        <w:t xml:space="preserve"> P</w:t>
      </w:r>
      <w:r w:rsidRPr="00F55A79" w:rsidR="00B13402">
        <w:rPr>
          <w:color w:val="000000" w:themeColor="text1"/>
        </w:rPr>
        <w:t xml:space="preserve">ublic </w:t>
      </w:r>
      <w:r w:rsidRPr="00F55A79">
        <w:rPr>
          <w:color w:val="000000" w:themeColor="text1"/>
        </w:rPr>
        <w:t>P</w:t>
      </w:r>
      <w:r w:rsidRPr="00F55A79" w:rsidR="00B13402">
        <w:rPr>
          <w:color w:val="000000" w:themeColor="text1"/>
        </w:rPr>
        <w:t xml:space="preserve">articipation </w:t>
      </w:r>
      <w:r w:rsidRPr="00F55A79">
        <w:rPr>
          <w:color w:val="000000" w:themeColor="text1"/>
        </w:rPr>
        <w:t>H</w:t>
      </w:r>
      <w:r w:rsidRPr="00F55A79" w:rsidR="00B13402">
        <w:rPr>
          <w:color w:val="000000" w:themeColor="text1"/>
        </w:rPr>
        <w:t>earing</w:t>
      </w:r>
      <w:r w:rsidRPr="00F55A79">
        <w:rPr>
          <w:color w:val="000000" w:themeColor="text1"/>
        </w:rPr>
        <w:t xml:space="preserve">s </w:t>
      </w:r>
      <w:r w:rsidRPr="00F55A79" w:rsidR="00C5525C">
        <w:rPr>
          <w:color w:val="000000" w:themeColor="text1"/>
        </w:rPr>
        <w:t xml:space="preserve">over eight days </w:t>
      </w:r>
      <w:r w:rsidRPr="00F55A79">
        <w:t>throughout California</w:t>
      </w:r>
      <w:r w:rsidRPr="00F55A79" w:rsidR="00C5525C">
        <w:t xml:space="preserve"> and virtually</w:t>
      </w:r>
      <w:r w:rsidRPr="00F55A79">
        <w:t>.</w:t>
      </w:r>
      <w:r w:rsidRPr="00F55A79" w:rsidR="006C4C62">
        <w:rPr>
          <w:rStyle w:val="FootnoteReference"/>
          <w:color w:val="000000" w:themeColor="text1"/>
        </w:rPr>
        <w:footnoteReference w:id="424"/>
      </w:r>
      <w:r w:rsidRPr="00F55A79">
        <w:rPr>
          <w:color w:val="000000" w:themeColor="text1"/>
        </w:rPr>
        <w:t xml:space="preserve">  In addition, the docket card of this proceeding received </w:t>
      </w:r>
      <w:r w:rsidRPr="00F55A79" w:rsidR="00171AC6">
        <w:t>508</w:t>
      </w:r>
      <w:r w:rsidRPr="00F55A79" w:rsidR="00171AC6">
        <w:rPr>
          <w:color w:val="FF0000"/>
        </w:rPr>
        <w:t xml:space="preserve"> </w:t>
      </w:r>
      <w:r w:rsidRPr="00F55A79" w:rsidR="0037624E">
        <w:t xml:space="preserve">public comments </w:t>
      </w:r>
      <w:r w:rsidRPr="00F55A79" w:rsidR="0064114A">
        <w:t>as of the date of submission</w:t>
      </w:r>
      <w:r w:rsidRPr="00F55A79" w:rsidR="00D55CA6">
        <w:t xml:space="preserve"> from locations throughout the state.</w:t>
      </w:r>
      <w:r w:rsidRPr="00F55A79" w:rsidR="0037624E">
        <w:t xml:space="preserve"> </w:t>
      </w:r>
    </w:p>
    <w:p w:rsidRPr="00F55A79" w:rsidR="00AD34AF" w:rsidP="00CC1CB2" w:rsidRDefault="008B5C8F" w14:paraId="6AAAF7BD" w14:textId="77777777">
      <w:pPr>
        <w:pStyle w:val="Standard"/>
      </w:pPr>
      <w:r w:rsidRPr="00F55A79">
        <w:lastRenderedPageBreak/>
        <w:t>T</w:t>
      </w:r>
      <w:r w:rsidRPr="00F55A79" w:rsidR="007C41C9">
        <w:t>he</w:t>
      </w:r>
      <w:r w:rsidRPr="00F55A79" w:rsidR="007C6E48">
        <w:t xml:space="preserve"> public</w:t>
      </w:r>
      <w:r w:rsidRPr="00F55A79" w:rsidR="007C41C9">
        <w:t xml:space="preserve"> comments </w:t>
      </w:r>
      <w:r w:rsidRPr="00F55A79">
        <w:t xml:space="preserve">are divided between support for and </w:t>
      </w:r>
      <w:r w:rsidRPr="00F55A79" w:rsidR="007C41C9">
        <w:t>oppos</w:t>
      </w:r>
      <w:r w:rsidRPr="00F55A79">
        <w:t>ition of</w:t>
      </w:r>
      <w:r w:rsidRPr="00F55A79" w:rsidR="007C41C9">
        <w:t xml:space="preserve"> the Commission’s approval of the transaction</w:t>
      </w:r>
      <w:r w:rsidRPr="00F55A79">
        <w:t>, with the majority of supporting comments posted more recently</w:t>
      </w:r>
      <w:r w:rsidRPr="00F55A79" w:rsidR="007C41C9">
        <w:t xml:space="preserve">.  </w:t>
      </w:r>
    </w:p>
    <w:p w:rsidRPr="00F55A79" w:rsidR="00AD34AF" w:rsidP="00AD34AF" w:rsidRDefault="00AD34AF" w14:paraId="03ED6EDB" w14:textId="271D776B">
      <w:pPr>
        <w:pStyle w:val="Standard"/>
      </w:pPr>
      <w:r w:rsidRPr="00F55A79">
        <w:rPr>
          <w:color w:val="000000" w:themeColor="text1"/>
        </w:rPr>
        <w:t>Comments in favor of the transaction –</w:t>
      </w:r>
      <w:r w:rsidRPr="00F55A79" w:rsidR="00171AC6">
        <w:rPr>
          <w:color w:val="000000" w:themeColor="text1"/>
        </w:rPr>
        <w:t xml:space="preserve"> </w:t>
      </w:r>
      <w:r w:rsidRPr="00F55A79">
        <w:rPr>
          <w:color w:val="000000" w:themeColor="text1"/>
        </w:rPr>
        <w:t xml:space="preserve">largely from business organizations such as chambers of commerce and economic development groups – stated that approval of the transaction could (1) improve customer </w:t>
      </w:r>
      <w:r w:rsidRPr="00F55A79">
        <w:t xml:space="preserve">infrastructure and technology, (2) improve service reliability and internet speeds, (3) support completion of fiber infrastructure, and (4) improve competition against other providers. </w:t>
      </w:r>
    </w:p>
    <w:p w:rsidRPr="00F55A79" w:rsidR="00D55CA6" w:rsidP="00CC1CB2" w:rsidRDefault="00F26A0E" w14:paraId="2DF08B82" w14:textId="1D8175C8">
      <w:pPr>
        <w:pStyle w:val="Standard"/>
        <w:rPr>
          <w:color w:val="000000" w:themeColor="text1"/>
        </w:rPr>
      </w:pPr>
      <w:r w:rsidRPr="00F55A79">
        <w:t>C</w:t>
      </w:r>
      <w:r w:rsidRPr="00F55A79" w:rsidR="007C41C9">
        <w:t>omments in opposition</w:t>
      </w:r>
      <w:r w:rsidRPr="00F55A79">
        <w:t xml:space="preserve"> to the proposed transaction</w:t>
      </w:r>
      <w:r w:rsidRPr="00F55A79" w:rsidR="00EF2997">
        <w:t xml:space="preserve"> </w:t>
      </w:r>
      <w:r w:rsidRPr="00F55A79" w:rsidR="002207D2">
        <w:t>expressed</w:t>
      </w:r>
      <w:r w:rsidRPr="00F55A79" w:rsidR="00D9119F">
        <w:t xml:space="preserve"> concern</w:t>
      </w:r>
      <w:r w:rsidRPr="00F55A79" w:rsidR="002207D2">
        <w:t>s</w:t>
      </w:r>
      <w:r w:rsidRPr="00F55A79" w:rsidR="00D9119F">
        <w:t xml:space="preserve"> </w:t>
      </w:r>
      <w:r w:rsidRPr="00F55A79" w:rsidR="00D9119F">
        <w:rPr>
          <w:color w:val="000000" w:themeColor="text1"/>
        </w:rPr>
        <w:t xml:space="preserve">about: (1) </w:t>
      </w:r>
      <w:r w:rsidRPr="00F55A79" w:rsidR="007C41C9">
        <w:rPr>
          <w:color w:val="000000" w:themeColor="text1"/>
        </w:rPr>
        <w:t>reduce</w:t>
      </w:r>
      <w:r w:rsidRPr="00F55A79" w:rsidR="00D9119F">
        <w:rPr>
          <w:color w:val="000000" w:themeColor="text1"/>
        </w:rPr>
        <w:t>d</w:t>
      </w:r>
      <w:r w:rsidRPr="00F55A79" w:rsidR="007C41C9">
        <w:rPr>
          <w:color w:val="000000" w:themeColor="text1"/>
        </w:rPr>
        <w:t xml:space="preserve"> competition</w:t>
      </w:r>
      <w:r w:rsidRPr="00F55A79" w:rsidR="00D9119F">
        <w:rPr>
          <w:color w:val="000000" w:themeColor="text1"/>
        </w:rPr>
        <w:t xml:space="preserve">, (2) </w:t>
      </w:r>
      <w:r w:rsidRPr="00F55A79" w:rsidR="007C41C9">
        <w:rPr>
          <w:color w:val="000000" w:themeColor="text1"/>
        </w:rPr>
        <w:t>higher prices</w:t>
      </w:r>
      <w:r w:rsidRPr="00F55A79" w:rsidR="00D9119F">
        <w:rPr>
          <w:color w:val="000000" w:themeColor="text1"/>
        </w:rPr>
        <w:t>, (3) poor</w:t>
      </w:r>
      <w:r w:rsidRPr="00F55A79" w:rsidR="007C41C9">
        <w:rPr>
          <w:color w:val="000000" w:themeColor="text1"/>
        </w:rPr>
        <w:t xml:space="preserve"> customer service, </w:t>
      </w:r>
      <w:r w:rsidRPr="00F55A79" w:rsidR="00D9119F">
        <w:rPr>
          <w:color w:val="000000" w:themeColor="text1"/>
        </w:rPr>
        <w:t xml:space="preserve">(4) </w:t>
      </w:r>
      <w:r w:rsidRPr="00F55A79" w:rsidR="007C41C9">
        <w:rPr>
          <w:color w:val="000000" w:themeColor="text1"/>
        </w:rPr>
        <w:t xml:space="preserve">billing issues, </w:t>
      </w:r>
      <w:r w:rsidRPr="00F55A79" w:rsidR="00D9119F">
        <w:rPr>
          <w:color w:val="000000" w:themeColor="text1"/>
        </w:rPr>
        <w:t>(5)</w:t>
      </w:r>
      <w:r w:rsidRPr="00F55A79" w:rsidR="007C41C9">
        <w:rPr>
          <w:color w:val="000000" w:themeColor="text1"/>
        </w:rPr>
        <w:t xml:space="preserve"> service quality</w:t>
      </w:r>
      <w:r w:rsidRPr="00F55A79" w:rsidR="00D9119F">
        <w:rPr>
          <w:color w:val="000000" w:themeColor="text1"/>
        </w:rPr>
        <w:t>, (6) loss of consumer choice of providers</w:t>
      </w:r>
      <w:r w:rsidRPr="00F55A79" w:rsidR="00BA5DAA">
        <w:rPr>
          <w:color w:val="000000" w:themeColor="text1"/>
        </w:rPr>
        <w:t xml:space="preserve">, (7) </w:t>
      </w:r>
      <w:r w:rsidRPr="00F55A79" w:rsidR="007C41C9">
        <w:rPr>
          <w:color w:val="000000" w:themeColor="text1"/>
        </w:rPr>
        <w:t>prioritiz</w:t>
      </w:r>
      <w:r w:rsidRPr="00F55A79" w:rsidR="00BA5DAA">
        <w:rPr>
          <w:color w:val="000000" w:themeColor="text1"/>
        </w:rPr>
        <w:t>ation of</w:t>
      </w:r>
      <w:r w:rsidRPr="00F55A79" w:rsidR="007C41C9">
        <w:rPr>
          <w:color w:val="000000" w:themeColor="text1"/>
        </w:rPr>
        <w:t xml:space="preserve"> urban</w:t>
      </w:r>
      <w:r w:rsidRPr="00F55A79" w:rsidR="0005405E">
        <w:rPr>
          <w:color w:val="000000" w:themeColor="text1"/>
        </w:rPr>
        <w:t xml:space="preserve"> customers</w:t>
      </w:r>
      <w:r w:rsidRPr="00F55A79" w:rsidR="007C41C9">
        <w:rPr>
          <w:color w:val="000000" w:themeColor="text1"/>
        </w:rPr>
        <w:t xml:space="preserve"> over rural </w:t>
      </w:r>
      <w:r w:rsidRPr="00F55A79" w:rsidR="0005405E">
        <w:rPr>
          <w:color w:val="000000" w:themeColor="text1"/>
        </w:rPr>
        <w:t>customers</w:t>
      </w:r>
      <w:r w:rsidRPr="00F55A79" w:rsidR="002207D2">
        <w:rPr>
          <w:color w:val="000000" w:themeColor="text1"/>
        </w:rPr>
        <w:t xml:space="preserve">, </w:t>
      </w:r>
      <w:r w:rsidRPr="00F55A79" w:rsidR="00BA5DAA">
        <w:rPr>
          <w:color w:val="000000" w:themeColor="text1"/>
        </w:rPr>
        <w:t>(8)</w:t>
      </w:r>
      <w:r w:rsidRPr="00F55A79" w:rsidR="007C41C9">
        <w:rPr>
          <w:color w:val="000000" w:themeColor="text1"/>
        </w:rPr>
        <w:t xml:space="preserve"> </w:t>
      </w:r>
      <w:r w:rsidRPr="00F55A79" w:rsidR="007C6E48">
        <w:rPr>
          <w:color w:val="000000" w:themeColor="text1"/>
        </w:rPr>
        <w:t xml:space="preserve">potential </w:t>
      </w:r>
      <w:r w:rsidRPr="00F55A79" w:rsidR="007C41C9">
        <w:rPr>
          <w:color w:val="000000" w:themeColor="text1"/>
        </w:rPr>
        <w:t>service disruptions during</w:t>
      </w:r>
      <w:r w:rsidRPr="00F55A79" w:rsidR="00BA5DAA">
        <w:rPr>
          <w:color w:val="000000" w:themeColor="text1"/>
        </w:rPr>
        <w:t xml:space="preserve"> the</w:t>
      </w:r>
      <w:r w:rsidRPr="00F55A79" w:rsidR="007C41C9">
        <w:rPr>
          <w:color w:val="000000" w:themeColor="text1"/>
        </w:rPr>
        <w:t xml:space="preserve"> transition</w:t>
      </w:r>
      <w:r w:rsidRPr="00F55A79" w:rsidR="00BA5DAA">
        <w:rPr>
          <w:color w:val="000000" w:themeColor="text1"/>
        </w:rPr>
        <w:t xml:space="preserve"> of service to Verizon, and (9) </w:t>
      </w:r>
      <w:r w:rsidRPr="00F55A79" w:rsidR="007C41C9">
        <w:rPr>
          <w:color w:val="000000" w:themeColor="text1"/>
        </w:rPr>
        <w:t>Verizon</w:t>
      </w:r>
      <w:r w:rsidRPr="00F55A79" w:rsidR="00BA5DAA">
        <w:rPr>
          <w:color w:val="000000" w:themeColor="text1"/>
        </w:rPr>
        <w:t>’</w:t>
      </w:r>
      <w:r w:rsidRPr="00F55A79" w:rsidR="007C41C9">
        <w:rPr>
          <w:color w:val="000000" w:themeColor="text1"/>
        </w:rPr>
        <w:t>s elimination of DEI programs</w:t>
      </w:r>
      <w:r w:rsidRPr="00F55A79" w:rsidR="00BA5DAA">
        <w:rPr>
          <w:color w:val="000000" w:themeColor="text1"/>
        </w:rPr>
        <w:t>.</w:t>
      </w:r>
    </w:p>
    <w:p w:rsidRPr="00F55A79" w:rsidR="007C41C9" w:rsidP="00664A95" w:rsidRDefault="00664A95" w14:paraId="0229E543" w14:textId="4F979A64">
      <w:pPr>
        <w:pStyle w:val="Standard"/>
        <w:rPr>
          <w:color w:val="000000" w:themeColor="text1"/>
        </w:rPr>
      </w:pPr>
      <w:r w:rsidRPr="00F55A79">
        <w:rPr>
          <w:color w:val="000000" w:themeColor="text1"/>
        </w:rPr>
        <w:t>Multiple</w:t>
      </w:r>
      <w:r w:rsidRPr="00F55A79" w:rsidR="00096037">
        <w:rPr>
          <w:color w:val="000000" w:themeColor="text1"/>
        </w:rPr>
        <w:t xml:space="preserve"> comments </w:t>
      </w:r>
      <w:r w:rsidRPr="00F55A79" w:rsidR="005C4246">
        <w:rPr>
          <w:color w:val="000000" w:themeColor="text1"/>
        </w:rPr>
        <w:t>expressed support for CETF’s request for digital equity programs</w:t>
      </w:r>
      <w:r w:rsidRPr="00F55A79" w:rsidR="00C336BA">
        <w:rPr>
          <w:color w:val="000000" w:themeColor="text1"/>
        </w:rPr>
        <w:t xml:space="preserve"> funding</w:t>
      </w:r>
      <w:r w:rsidRPr="00F55A79" w:rsidR="005C4246">
        <w:rPr>
          <w:color w:val="000000" w:themeColor="text1"/>
        </w:rPr>
        <w:t>.</w:t>
      </w:r>
      <w:r w:rsidRPr="00F55A79">
        <w:rPr>
          <w:color w:val="000000" w:themeColor="text1"/>
        </w:rPr>
        <w:t xml:space="preserve"> In addition, some </w:t>
      </w:r>
      <w:r w:rsidRPr="00F55A79" w:rsidR="007C41C9">
        <w:rPr>
          <w:color w:val="000000" w:themeColor="text1"/>
        </w:rPr>
        <w:t>comments emphasized the importance of:</w:t>
      </w:r>
      <w:r w:rsidRPr="00F55A79">
        <w:rPr>
          <w:color w:val="000000" w:themeColor="text1"/>
        </w:rPr>
        <w:t xml:space="preserve"> (1) m</w:t>
      </w:r>
      <w:r w:rsidRPr="00F55A79" w:rsidR="007C41C9">
        <w:rPr>
          <w:color w:val="000000" w:themeColor="text1"/>
        </w:rPr>
        <w:t xml:space="preserve">aintaining landline </w:t>
      </w:r>
      <w:r w:rsidRPr="00F55A79">
        <w:rPr>
          <w:color w:val="000000" w:themeColor="text1"/>
        </w:rPr>
        <w:t xml:space="preserve">phone </w:t>
      </w:r>
      <w:r w:rsidRPr="00F55A79" w:rsidR="007C41C9">
        <w:rPr>
          <w:color w:val="000000" w:themeColor="text1"/>
        </w:rPr>
        <w:t>service, especially for seniors and rural residents</w:t>
      </w:r>
      <w:r w:rsidRPr="00F55A79">
        <w:rPr>
          <w:color w:val="000000" w:themeColor="text1"/>
        </w:rPr>
        <w:t>, (2) e</w:t>
      </w:r>
      <w:r w:rsidRPr="00F55A79" w:rsidR="007C41C9">
        <w:rPr>
          <w:color w:val="000000" w:themeColor="text1"/>
        </w:rPr>
        <w:t xml:space="preserve">nsuring </w:t>
      </w:r>
      <w:r w:rsidRPr="00F55A79">
        <w:rPr>
          <w:color w:val="000000" w:themeColor="text1"/>
        </w:rPr>
        <w:t xml:space="preserve">availability of </w:t>
      </w:r>
      <w:r w:rsidRPr="00F55A79" w:rsidR="007C41C9">
        <w:rPr>
          <w:color w:val="000000" w:themeColor="text1"/>
        </w:rPr>
        <w:t xml:space="preserve">emergency communication </w:t>
      </w:r>
      <w:r w:rsidRPr="00F55A79">
        <w:rPr>
          <w:color w:val="000000" w:themeColor="text1"/>
        </w:rPr>
        <w:t xml:space="preserve">options </w:t>
      </w:r>
      <w:r w:rsidRPr="00F55A79" w:rsidR="007C41C9">
        <w:rPr>
          <w:color w:val="000000" w:themeColor="text1"/>
        </w:rPr>
        <w:t>during disasters</w:t>
      </w:r>
      <w:r w:rsidRPr="00F55A79">
        <w:rPr>
          <w:color w:val="000000" w:themeColor="text1"/>
        </w:rPr>
        <w:t>, and (3) p</w:t>
      </w:r>
      <w:r w:rsidRPr="00F55A79" w:rsidR="007C41C9">
        <w:rPr>
          <w:color w:val="000000" w:themeColor="text1"/>
        </w:rPr>
        <w:t xml:space="preserve">rotecting </w:t>
      </w:r>
      <w:r w:rsidRPr="00F55A79">
        <w:rPr>
          <w:color w:val="000000" w:themeColor="text1"/>
        </w:rPr>
        <w:t xml:space="preserve">programs for </w:t>
      </w:r>
      <w:r w:rsidRPr="00F55A79" w:rsidR="007C41C9">
        <w:rPr>
          <w:color w:val="000000" w:themeColor="text1"/>
        </w:rPr>
        <w:t xml:space="preserve">low-income </w:t>
      </w:r>
      <w:r w:rsidRPr="00F55A79">
        <w:rPr>
          <w:color w:val="000000" w:themeColor="text1"/>
        </w:rPr>
        <w:t>customers, such as</w:t>
      </w:r>
      <w:r w:rsidRPr="00F55A79" w:rsidR="007C41C9">
        <w:rPr>
          <w:color w:val="000000" w:themeColor="text1"/>
        </w:rPr>
        <w:t xml:space="preserve"> </w:t>
      </w:r>
      <w:r w:rsidRPr="00F55A79" w:rsidR="000B2A80">
        <w:rPr>
          <w:color w:val="000000" w:themeColor="text1"/>
        </w:rPr>
        <w:t>Lifeline</w:t>
      </w:r>
      <w:r w:rsidRPr="00F55A79">
        <w:rPr>
          <w:color w:val="000000" w:themeColor="text1"/>
        </w:rPr>
        <w:t>.</w:t>
      </w:r>
    </w:p>
    <w:p w:rsidRPr="00F55A79" w:rsidR="00FA1B4F" w:rsidP="00FA1B4F" w:rsidRDefault="003000C3" w14:paraId="45F6572A" w14:textId="60D192BD">
      <w:pPr>
        <w:pStyle w:val="Heading1"/>
        <w:rPr>
          <w:color w:val="000000" w:themeColor="text1"/>
        </w:rPr>
      </w:pPr>
      <w:bookmarkStart w:name="_Toc216163308" w:id="224"/>
      <w:bookmarkEnd w:id="205"/>
      <w:r w:rsidRPr="00F55A79">
        <w:rPr>
          <w:color w:val="000000" w:themeColor="text1"/>
        </w:rPr>
        <w:t>Additional Comments</w:t>
      </w:r>
      <w:bookmarkEnd w:id="224"/>
    </w:p>
    <w:p w:rsidRPr="00F55A79" w:rsidR="007B1ADC" w:rsidP="003000C3" w:rsidRDefault="009A2132" w14:paraId="0A64EB81" w14:textId="11ECCA2D">
      <w:pPr>
        <w:pStyle w:val="Standard"/>
      </w:pPr>
      <w:r w:rsidRPr="00F55A79">
        <w:rPr>
          <w:color w:val="000000" w:themeColor="text1"/>
        </w:rPr>
        <w:t xml:space="preserve">More than a dozen </w:t>
      </w:r>
      <w:r w:rsidRPr="00F55A79" w:rsidR="005F2F37">
        <w:rPr>
          <w:color w:val="000000" w:themeColor="text1"/>
        </w:rPr>
        <w:t>organizations</w:t>
      </w:r>
      <w:r w:rsidRPr="00F55A79" w:rsidR="002A0877">
        <w:rPr>
          <w:color w:val="000000" w:themeColor="text1"/>
        </w:rPr>
        <w:t xml:space="preserve"> </w:t>
      </w:r>
      <w:r w:rsidRPr="00F55A79" w:rsidR="007B1ADC">
        <w:rPr>
          <w:color w:val="000000" w:themeColor="text1"/>
        </w:rPr>
        <w:t>submitted letter</w:t>
      </w:r>
      <w:r w:rsidRPr="00F55A79" w:rsidR="002A0877">
        <w:rPr>
          <w:color w:val="000000" w:themeColor="text1"/>
        </w:rPr>
        <w:t>s</w:t>
      </w:r>
      <w:r w:rsidRPr="00F55A79" w:rsidR="007B1ADC">
        <w:rPr>
          <w:color w:val="000000" w:themeColor="text1"/>
        </w:rPr>
        <w:t xml:space="preserve"> to the Commission requesting approval of the t</w:t>
      </w:r>
      <w:r w:rsidRPr="00F55A79" w:rsidR="00F872C5">
        <w:rPr>
          <w:color w:val="000000" w:themeColor="text1"/>
        </w:rPr>
        <w:t xml:space="preserve">ransaction and </w:t>
      </w:r>
      <w:r w:rsidRPr="00F55A79" w:rsidR="007B1ADC">
        <w:rPr>
          <w:color w:val="000000" w:themeColor="text1"/>
        </w:rPr>
        <w:t>settlement agreements</w:t>
      </w:r>
      <w:r w:rsidRPr="00F55A79" w:rsidR="007B1ADC">
        <w:t xml:space="preserve">.  </w:t>
      </w:r>
    </w:p>
    <w:p w:rsidRPr="00F55A79" w:rsidR="004A1EAD" w:rsidP="004A1EAD" w:rsidRDefault="004A1EAD" w14:paraId="7E3F4FB7" w14:textId="77777777">
      <w:pPr>
        <w:pStyle w:val="Heading1"/>
      </w:pPr>
      <w:bookmarkStart w:name="_Toc216163309" w:id="225"/>
      <w:bookmarkStart w:name="_Toc8123723" w:id="226"/>
      <w:r w:rsidRPr="00F55A79">
        <w:lastRenderedPageBreak/>
        <w:t>Procedural Matters</w:t>
      </w:r>
      <w:bookmarkEnd w:id="225"/>
    </w:p>
    <w:p w:rsidRPr="00F55A79" w:rsidR="004A1EAD" w:rsidP="004A1EAD" w:rsidRDefault="004A1EAD" w14:paraId="5DE224A0" w14:textId="2309F347">
      <w:pPr>
        <w:pStyle w:val="Standard"/>
      </w:pPr>
      <w:r w:rsidRPr="00F55A79">
        <w:t>This decision affirms all rulings made by the Administrative Law Judge</w:t>
      </w:r>
      <w:r w:rsidRPr="00F55A79" w:rsidR="009A2132">
        <w:t>s</w:t>
      </w:r>
      <w:r w:rsidRPr="00F55A79">
        <w:t xml:space="preserve"> and assigned Commissioner in this proceeding. </w:t>
      </w:r>
      <w:r w:rsidRPr="00F55A79" w:rsidR="00537E43">
        <w:t xml:space="preserve"> </w:t>
      </w:r>
      <w:r w:rsidRPr="00F55A79">
        <w:t>All motions not ruled on are deemed denied.</w:t>
      </w:r>
    </w:p>
    <w:p w:rsidRPr="00F55A79" w:rsidR="005939A5" w:rsidP="005939A5" w:rsidRDefault="005939A5" w14:paraId="47A405C9" w14:textId="77777777">
      <w:pPr>
        <w:pStyle w:val="Heading1"/>
      </w:pPr>
      <w:bookmarkStart w:name="_Toc216163310" w:id="227"/>
      <w:r w:rsidRPr="00F55A79">
        <w:t>Comments on Proposed Decision</w:t>
      </w:r>
      <w:bookmarkEnd w:id="226"/>
      <w:bookmarkEnd w:id="227"/>
    </w:p>
    <w:p w:rsidR="00645C20" w:rsidP="002A37A7" w:rsidRDefault="005C58FA" w14:paraId="05652BC0" w14:textId="0D07EBDA">
      <w:pPr>
        <w:pStyle w:val="Standard"/>
      </w:pPr>
      <w:r w:rsidRPr="00F55A79">
        <w:t xml:space="preserve">The proposed decision of ALJ </w:t>
      </w:r>
      <w:r w:rsidRPr="00F55A79" w:rsidR="002A37A7">
        <w:t xml:space="preserve">Elizabeth Fox </w:t>
      </w:r>
      <w:r w:rsidRPr="00F55A79">
        <w:t xml:space="preserve">in this matter was mailed to the parties in accordance with </w:t>
      </w:r>
      <w:r w:rsidRPr="00F55A79" w:rsidR="00D110C0">
        <w:t>Pub</w:t>
      </w:r>
      <w:r w:rsidR="00D110C0">
        <w:t>.</w:t>
      </w:r>
      <w:r w:rsidRPr="00F55A79" w:rsidR="00D110C0">
        <w:t xml:space="preserve"> Util</w:t>
      </w:r>
      <w:r w:rsidR="00D110C0">
        <w:t>.</w:t>
      </w:r>
      <w:r w:rsidRPr="00F55A79" w:rsidR="00D110C0">
        <w:t xml:space="preserve"> Code </w:t>
      </w:r>
      <w:r w:rsidRPr="00F55A79">
        <w:t xml:space="preserve">Section 311 of the Public Utilities Code and comments were allowed under Rule 14.3 of the Commission’s Rules of Practice and Procedure. </w:t>
      </w:r>
      <w:r w:rsidR="003A6264">
        <w:t xml:space="preserve"> CETF filed opening comments on the </w:t>
      </w:r>
      <w:r w:rsidRPr="00F55A79" w:rsidR="003A6264">
        <w:t>proposed decision</w:t>
      </w:r>
      <w:r w:rsidR="003A6264">
        <w:t xml:space="preserve"> on January 2, 2026.  </w:t>
      </w:r>
      <w:r w:rsidR="005C5C73">
        <w:t xml:space="preserve">On </w:t>
      </w:r>
      <w:r w:rsidRPr="00890303" w:rsidR="00890303">
        <w:t>January 5, 2026</w:t>
      </w:r>
      <w:r w:rsidR="00890303">
        <w:t xml:space="preserve">, </w:t>
      </w:r>
      <w:r w:rsidR="003A6264">
        <w:t xml:space="preserve">the Joint Applicants, </w:t>
      </w:r>
      <w:r w:rsidR="00890303">
        <w:t>C</w:t>
      </w:r>
      <w:r w:rsidR="003A6264">
        <w:t>forAT, and TURN</w:t>
      </w:r>
      <w:r w:rsidR="00890303">
        <w:t xml:space="preserve"> filed opening comments</w:t>
      </w:r>
      <w:r w:rsidRPr="004039D6" w:rsidR="00890303">
        <w:t xml:space="preserve">.  On January </w:t>
      </w:r>
      <w:r w:rsidRPr="004039D6" w:rsidR="00F55C14">
        <w:t>12</w:t>
      </w:r>
      <w:r w:rsidRPr="004039D6" w:rsidR="003A6264">
        <w:t>, 202</w:t>
      </w:r>
      <w:r w:rsidRPr="004039D6" w:rsidR="004039D6">
        <w:t>6</w:t>
      </w:r>
      <w:r w:rsidRPr="004039D6" w:rsidR="003A6264">
        <w:t>, the Joint</w:t>
      </w:r>
      <w:r w:rsidR="003A6264">
        <w:t xml:space="preserve"> Applicants, CETF, CforAT, and TURN filed reply comments.  </w:t>
      </w:r>
      <w:r w:rsidR="00A94FF4">
        <w:t xml:space="preserve">We </w:t>
      </w:r>
      <w:r w:rsidR="00DB5951">
        <w:t xml:space="preserve">reviewed each of these comments, focusing on </w:t>
      </w:r>
      <w:r w:rsidR="002C04F1">
        <w:t>claims of</w:t>
      </w:r>
      <w:r w:rsidR="007E1348">
        <w:t xml:space="preserve"> </w:t>
      </w:r>
      <w:r w:rsidRPr="00C113E0" w:rsidR="00C113E0">
        <w:t>factual, legal or technical error</w:t>
      </w:r>
      <w:r w:rsidR="002D4190">
        <w:t>s</w:t>
      </w:r>
      <w:r w:rsidR="007E1348">
        <w:t>, pursuant to</w:t>
      </w:r>
      <w:r w:rsidR="00C113E0">
        <w:t xml:space="preserve"> Rule </w:t>
      </w:r>
      <w:r w:rsidR="002C04F1">
        <w:t>14.3(c)</w:t>
      </w:r>
      <w:r w:rsidR="005D63E0">
        <w:t>. We</w:t>
      </w:r>
      <w:r w:rsidR="002C04F1">
        <w:t xml:space="preserve"> address </w:t>
      </w:r>
      <w:r w:rsidR="005D63E0">
        <w:t>certain comments</w:t>
      </w:r>
      <w:r w:rsidR="0026419A">
        <w:t xml:space="preserve"> </w:t>
      </w:r>
      <w:r w:rsidR="005D63E0">
        <w:t xml:space="preserve">here and </w:t>
      </w:r>
      <w:r w:rsidR="004039D6">
        <w:t>within</w:t>
      </w:r>
      <w:r w:rsidR="005D63E0">
        <w:t xml:space="preserve"> the revised decision</w:t>
      </w:r>
      <w:r w:rsidR="002C04F1">
        <w:t>.</w:t>
      </w:r>
      <w:r w:rsidR="007E1348">
        <w:t xml:space="preserve"> </w:t>
      </w:r>
    </w:p>
    <w:p w:rsidR="00FB200F" w:rsidP="00EA27C8" w:rsidRDefault="00FB200F" w14:paraId="1A24482E" w14:textId="76C425B9">
      <w:pPr>
        <w:pStyle w:val="Heading2"/>
      </w:pPr>
      <w:r>
        <w:t>Ordering Paragraph 2</w:t>
      </w:r>
    </w:p>
    <w:p w:rsidR="00FB200F" w:rsidP="002A37A7" w:rsidRDefault="00645C20" w14:paraId="6F039EE4" w14:textId="2F6CD990">
      <w:pPr>
        <w:pStyle w:val="Standard"/>
        <w:rPr>
          <w:color w:val="000000" w:themeColor="text1"/>
        </w:rPr>
      </w:pPr>
      <w:r>
        <w:t>The Joint Applicants and CETF</w:t>
      </w:r>
      <w:r w:rsidR="002D4190">
        <w:t xml:space="preserve"> each </w:t>
      </w:r>
      <w:r w:rsidR="00E41659">
        <w:t>alleged error in OP 2</w:t>
      </w:r>
      <w:r w:rsidR="0026419A">
        <w:t>, which</w:t>
      </w:r>
      <w:r w:rsidR="00E41659">
        <w:t xml:space="preserve"> </w:t>
      </w:r>
      <w:r w:rsidR="006963CD">
        <w:t xml:space="preserve">requires </w:t>
      </w:r>
      <w:r w:rsidRPr="00F55A79" w:rsidR="006963CD">
        <w:rPr>
          <w:color w:val="000000" w:themeColor="text1"/>
        </w:rPr>
        <w:t>Verizon and Frontier</w:t>
      </w:r>
      <w:r w:rsidR="006963CD">
        <w:rPr>
          <w:color w:val="000000" w:themeColor="text1"/>
        </w:rPr>
        <w:t xml:space="preserve"> to</w:t>
      </w:r>
      <w:r w:rsidRPr="00F55A79" w:rsidR="006963CD">
        <w:rPr>
          <w:color w:val="000000" w:themeColor="text1"/>
        </w:rPr>
        <w:t xml:space="preserve"> deploy broadband infrastructure to </w:t>
      </w:r>
      <w:r w:rsidR="006963CD">
        <w:rPr>
          <w:color w:val="000000" w:themeColor="text1"/>
        </w:rPr>
        <w:t>88</w:t>
      </w:r>
      <w:r w:rsidR="00B81B1F">
        <w:rPr>
          <w:color w:val="000000" w:themeColor="text1"/>
        </w:rPr>
        <w:t xml:space="preserve"> </w:t>
      </w:r>
      <w:r w:rsidRPr="00F55A79" w:rsidR="006963CD">
        <w:rPr>
          <w:color w:val="000000" w:themeColor="text1"/>
        </w:rPr>
        <w:t>wire centers</w:t>
      </w:r>
      <w:r w:rsidR="002F2D79">
        <w:rPr>
          <w:color w:val="000000" w:themeColor="text1"/>
        </w:rPr>
        <w:t>,</w:t>
      </w:r>
      <w:r w:rsidR="00B81B1F">
        <w:rPr>
          <w:color w:val="000000" w:themeColor="text1"/>
        </w:rPr>
        <w:t xml:space="preserve"> </w:t>
      </w:r>
      <w:r w:rsidR="00747C30">
        <w:rPr>
          <w:color w:val="000000" w:themeColor="text1"/>
        </w:rPr>
        <w:t>identified</w:t>
      </w:r>
      <w:r w:rsidRPr="00F55A79" w:rsidR="002F2D79">
        <w:rPr>
          <w:color w:val="000000" w:themeColor="text1"/>
        </w:rPr>
        <w:t xml:space="preserve"> </w:t>
      </w:r>
      <w:r w:rsidR="002F2D79">
        <w:rPr>
          <w:color w:val="000000" w:themeColor="text1"/>
        </w:rPr>
        <w:t xml:space="preserve">in Appendix D, </w:t>
      </w:r>
      <w:r w:rsidR="00B81B1F">
        <w:rPr>
          <w:color w:val="000000" w:themeColor="text1"/>
        </w:rPr>
        <w:t>under specified conditions.</w:t>
      </w:r>
      <w:r w:rsidR="00927CF0">
        <w:rPr>
          <w:color w:val="000000" w:themeColor="text1"/>
        </w:rPr>
        <w:t xml:space="preserve">  </w:t>
      </w:r>
      <w:r w:rsidR="00332147">
        <w:rPr>
          <w:color w:val="000000" w:themeColor="text1"/>
        </w:rPr>
        <w:t xml:space="preserve">CforAT and </w:t>
      </w:r>
      <w:r w:rsidR="00FB200F">
        <w:rPr>
          <w:color w:val="000000" w:themeColor="text1"/>
        </w:rPr>
        <w:t xml:space="preserve">TURN </w:t>
      </w:r>
      <w:r w:rsidR="00821CCD">
        <w:rPr>
          <w:color w:val="000000" w:themeColor="text1"/>
        </w:rPr>
        <w:t xml:space="preserve">expressed </w:t>
      </w:r>
      <w:r w:rsidR="00332147">
        <w:rPr>
          <w:color w:val="000000" w:themeColor="text1"/>
        </w:rPr>
        <w:t xml:space="preserve">general </w:t>
      </w:r>
      <w:r w:rsidR="00821CCD">
        <w:rPr>
          <w:color w:val="000000" w:themeColor="text1"/>
        </w:rPr>
        <w:t>support for OP</w:t>
      </w:r>
      <w:r w:rsidR="00FD2342">
        <w:rPr>
          <w:color w:val="000000" w:themeColor="text1"/>
        </w:rPr>
        <w:t xml:space="preserve"> 2 and </w:t>
      </w:r>
      <w:r w:rsidR="000611AE">
        <w:rPr>
          <w:color w:val="000000" w:themeColor="text1"/>
        </w:rPr>
        <w:t xml:space="preserve">TURN </w:t>
      </w:r>
      <w:r w:rsidR="00FD2342">
        <w:rPr>
          <w:color w:val="000000" w:themeColor="text1"/>
        </w:rPr>
        <w:t xml:space="preserve">urged </w:t>
      </w:r>
      <w:r w:rsidR="00B937BF">
        <w:rPr>
          <w:color w:val="000000" w:themeColor="text1"/>
        </w:rPr>
        <w:t>specific changes</w:t>
      </w:r>
      <w:r w:rsidR="0046476E">
        <w:rPr>
          <w:color w:val="000000" w:themeColor="text1"/>
        </w:rPr>
        <w:t xml:space="preserve"> for the final decision</w:t>
      </w:r>
      <w:r w:rsidR="00FD2342">
        <w:rPr>
          <w:color w:val="000000" w:themeColor="text1"/>
        </w:rPr>
        <w:t>.</w:t>
      </w:r>
      <w:r w:rsidR="0046476E">
        <w:rPr>
          <w:color w:val="000000" w:themeColor="text1"/>
        </w:rPr>
        <w:t xml:space="preserve">  We adopt changes to OP 2 and the related portions of the </w:t>
      </w:r>
      <w:r w:rsidR="00675ADF">
        <w:rPr>
          <w:color w:val="000000" w:themeColor="text1"/>
        </w:rPr>
        <w:t>proposed decision as discussed herein.</w:t>
      </w:r>
    </w:p>
    <w:p w:rsidR="00E04F06" w:rsidP="00E04F06" w:rsidRDefault="00E04F06" w14:paraId="57F6F315" w14:textId="22B3B3BA">
      <w:pPr>
        <w:pStyle w:val="Heading3"/>
      </w:pPr>
      <w:r>
        <w:lastRenderedPageBreak/>
        <w:t>Party Positions</w:t>
      </w:r>
    </w:p>
    <w:p w:rsidRPr="00E04F06" w:rsidR="00E04F06" w:rsidP="00EA27C8" w:rsidRDefault="00463CC4" w14:paraId="49F979BF" w14:textId="1DD43EFF">
      <w:pPr>
        <w:pStyle w:val="Heading4"/>
      </w:pPr>
      <w:r>
        <w:t>Joint Applicants</w:t>
      </w:r>
    </w:p>
    <w:p w:rsidR="00EE1764" w:rsidP="00A031F1" w:rsidRDefault="00927CF0" w14:paraId="15502291" w14:textId="78F4E3A9">
      <w:pPr>
        <w:pStyle w:val="Standard"/>
        <w:rPr>
          <w:color w:val="000000" w:themeColor="text1"/>
        </w:rPr>
      </w:pPr>
      <w:r>
        <w:rPr>
          <w:color w:val="000000" w:themeColor="text1"/>
        </w:rPr>
        <w:t xml:space="preserve">The Joint Applicants </w:t>
      </w:r>
      <w:r w:rsidR="00400257">
        <w:rPr>
          <w:color w:val="000000" w:themeColor="text1"/>
        </w:rPr>
        <w:t xml:space="preserve">initially </w:t>
      </w:r>
      <w:r w:rsidR="000F18F8">
        <w:rPr>
          <w:color w:val="000000" w:themeColor="text1"/>
        </w:rPr>
        <w:t>stated that OP 2 is “</w:t>
      </w:r>
      <w:r w:rsidRPr="000F18F8" w:rsidR="000F18F8">
        <w:rPr>
          <w:color w:val="000000" w:themeColor="text1"/>
        </w:rPr>
        <w:t>overbroad and likely infeasible as presented</w:t>
      </w:r>
      <w:r w:rsidR="000F18F8">
        <w:rPr>
          <w:color w:val="000000" w:themeColor="text1"/>
        </w:rPr>
        <w:t>.”</w:t>
      </w:r>
      <w:r w:rsidR="000F18F8">
        <w:rPr>
          <w:rStyle w:val="FootnoteReference"/>
          <w:color w:val="000000" w:themeColor="text1"/>
        </w:rPr>
        <w:footnoteReference w:id="425"/>
      </w:r>
      <w:r w:rsidR="00436DFD">
        <w:rPr>
          <w:color w:val="000000" w:themeColor="text1"/>
        </w:rPr>
        <w:t xml:space="preserve">  </w:t>
      </w:r>
      <w:r w:rsidR="00EE1764">
        <w:rPr>
          <w:color w:val="000000" w:themeColor="text1"/>
        </w:rPr>
        <w:t>According to the Joint Applicants, the requirement in</w:t>
      </w:r>
      <w:r w:rsidRPr="00EE1764" w:rsidR="00EE1764">
        <w:rPr>
          <w:color w:val="000000" w:themeColor="text1"/>
        </w:rPr>
        <w:t xml:space="preserve"> OP</w:t>
      </w:r>
      <w:r w:rsidR="00EE1764">
        <w:rPr>
          <w:color w:val="000000" w:themeColor="text1"/>
        </w:rPr>
        <w:t xml:space="preserve"> </w:t>
      </w:r>
      <w:r w:rsidRPr="00EE1764" w:rsidR="00EE1764">
        <w:rPr>
          <w:color w:val="000000" w:themeColor="text1"/>
        </w:rPr>
        <w:t xml:space="preserve">2 to deploy broadband to 88 wire centers and offer 100/20 </w:t>
      </w:r>
      <w:r w:rsidR="002D5975">
        <w:rPr>
          <w:color w:val="000000" w:themeColor="text1"/>
        </w:rPr>
        <w:t>megabits per second (</w:t>
      </w:r>
      <w:r w:rsidR="000B547F">
        <w:rPr>
          <w:color w:val="000000" w:themeColor="text1"/>
        </w:rPr>
        <w:t>m</w:t>
      </w:r>
      <w:r w:rsidRPr="00EE1764" w:rsidR="00EE1764">
        <w:rPr>
          <w:color w:val="000000" w:themeColor="text1"/>
        </w:rPr>
        <w:t>bps</w:t>
      </w:r>
      <w:r w:rsidR="002D5975">
        <w:rPr>
          <w:color w:val="000000" w:themeColor="text1"/>
        </w:rPr>
        <w:t>)</w:t>
      </w:r>
      <w:r w:rsidRPr="00EE1764" w:rsidR="00EE1764">
        <w:rPr>
          <w:color w:val="000000" w:themeColor="text1"/>
        </w:rPr>
        <w:t xml:space="preserve"> “to all locations” is impractical, extremely costly, and potentially infeasible given </w:t>
      </w:r>
      <w:r w:rsidR="002D5975">
        <w:rPr>
          <w:color w:val="000000" w:themeColor="text1"/>
        </w:rPr>
        <w:t xml:space="preserve">the </w:t>
      </w:r>
      <w:r w:rsidRPr="00EE1764" w:rsidR="00EE1764">
        <w:rPr>
          <w:color w:val="000000" w:themeColor="text1"/>
        </w:rPr>
        <w:t>remoteness, terrain, permitting</w:t>
      </w:r>
      <w:r w:rsidR="00057C7D">
        <w:rPr>
          <w:color w:val="000000" w:themeColor="text1"/>
        </w:rPr>
        <w:t>,</w:t>
      </w:r>
      <w:r w:rsidR="002D5975">
        <w:rPr>
          <w:color w:val="000000" w:themeColor="text1"/>
        </w:rPr>
        <w:t xml:space="preserve"> and other constraints</w:t>
      </w:r>
      <w:r w:rsidRPr="00EE1764" w:rsidR="00EE1764">
        <w:rPr>
          <w:color w:val="000000" w:themeColor="text1"/>
        </w:rPr>
        <w:t>.</w:t>
      </w:r>
      <w:r w:rsidR="002D5975">
        <w:rPr>
          <w:rStyle w:val="FootnoteReference"/>
          <w:color w:val="000000" w:themeColor="text1"/>
        </w:rPr>
        <w:footnoteReference w:id="426"/>
      </w:r>
      <w:r w:rsidRPr="00EE1764" w:rsidR="00EE1764">
        <w:rPr>
          <w:color w:val="000000" w:themeColor="text1"/>
        </w:rPr>
        <w:t xml:space="preserve"> </w:t>
      </w:r>
      <w:r w:rsidR="002D5975">
        <w:rPr>
          <w:color w:val="000000" w:themeColor="text1"/>
        </w:rPr>
        <w:t xml:space="preserve"> The Joint Applicants argued that OP 2</w:t>
      </w:r>
      <w:r w:rsidRPr="00EE1764" w:rsidR="00EE1764">
        <w:rPr>
          <w:color w:val="000000" w:themeColor="text1"/>
        </w:rPr>
        <w:t xml:space="preserve"> is unsupported by the evidentiary record</w:t>
      </w:r>
      <w:r w:rsidR="002D5975">
        <w:rPr>
          <w:rStyle w:val="FootnoteReference"/>
          <w:color w:val="000000" w:themeColor="text1"/>
        </w:rPr>
        <w:footnoteReference w:id="427"/>
      </w:r>
      <w:r w:rsidRPr="00EE1764" w:rsidR="00EE1764">
        <w:rPr>
          <w:color w:val="000000" w:themeColor="text1"/>
        </w:rPr>
        <w:t xml:space="preserve"> </w:t>
      </w:r>
      <w:r w:rsidR="00701056">
        <w:rPr>
          <w:color w:val="000000" w:themeColor="text1"/>
        </w:rPr>
        <w:t xml:space="preserve">and </w:t>
      </w:r>
      <w:r w:rsidR="002D5975">
        <w:rPr>
          <w:color w:val="000000" w:themeColor="text1"/>
        </w:rPr>
        <w:t xml:space="preserve">that </w:t>
      </w:r>
      <w:r w:rsidRPr="00EE1764" w:rsidR="00EE1764">
        <w:rPr>
          <w:color w:val="000000" w:themeColor="text1"/>
        </w:rPr>
        <w:t xml:space="preserve">the mandate is unnecessary because the </w:t>
      </w:r>
      <w:r w:rsidR="00701056">
        <w:rPr>
          <w:color w:val="000000" w:themeColor="text1"/>
        </w:rPr>
        <w:t xml:space="preserve">transaction and </w:t>
      </w:r>
      <w:r w:rsidRPr="00EE1764" w:rsidR="00EE1764">
        <w:rPr>
          <w:color w:val="000000" w:themeColor="text1"/>
        </w:rPr>
        <w:t>settlements already deliver significant deployment benefits</w:t>
      </w:r>
      <w:r w:rsidR="00701056">
        <w:rPr>
          <w:color w:val="000000" w:themeColor="text1"/>
        </w:rPr>
        <w:t>.</w:t>
      </w:r>
      <w:r w:rsidR="00701056">
        <w:rPr>
          <w:rStyle w:val="FootnoteReference"/>
          <w:color w:val="000000" w:themeColor="text1"/>
        </w:rPr>
        <w:footnoteReference w:id="428"/>
      </w:r>
      <w:r w:rsidR="00701056">
        <w:rPr>
          <w:color w:val="000000" w:themeColor="text1"/>
        </w:rPr>
        <w:t xml:space="preserve">  The Joint Applicants argued that if OP 2 is not removed from the </w:t>
      </w:r>
      <w:r w:rsidR="00A031F1">
        <w:rPr>
          <w:color w:val="000000" w:themeColor="text1"/>
        </w:rPr>
        <w:t>decision, it should be narrowed by</w:t>
      </w:r>
      <w:r w:rsidRPr="00EE1764" w:rsidR="00EE1764">
        <w:rPr>
          <w:color w:val="000000" w:themeColor="text1"/>
        </w:rPr>
        <w:t xml:space="preserve"> </w:t>
      </w:r>
      <w:r w:rsidR="00E379F8">
        <w:rPr>
          <w:color w:val="000000" w:themeColor="text1"/>
        </w:rPr>
        <w:t xml:space="preserve">the following means: (1) </w:t>
      </w:r>
      <w:r w:rsidRPr="00EE1764" w:rsidR="00EE1764">
        <w:rPr>
          <w:color w:val="000000" w:themeColor="text1"/>
        </w:rPr>
        <w:t>excluding locations already served by another terrestrial provider or with no customer demand;</w:t>
      </w:r>
      <w:r w:rsidR="00D0736A">
        <w:rPr>
          <w:rStyle w:val="FootnoteReference"/>
          <w:color w:val="000000" w:themeColor="text1"/>
        </w:rPr>
        <w:footnoteReference w:id="429"/>
      </w:r>
      <w:r w:rsidRPr="00EE1764" w:rsidR="00EE1764">
        <w:rPr>
          <w:color w:val="000000" w:themeColor="text1"/>
        </w:rPr>
        <w:t xml:space="preserve"> </w:t>
      </w:r>
      <w:r w:rsidR="00E379F8">
        <w:rPr>
          <w:color w:val="000000" w:themeColor="text1"/>
        </w:rPr>
        <w:t xml:space="preserve">(2) </w:t>
      </w:r>
      <w:r w:rsidRPr="00EE1764" w:rsidR="00EE1764">
        <w:rPr>
          <w:color w:val="000000" w:themeColor="text1"/>
        </w:rPr>
        <w:t>allowing speed flexibility</w:t>
      </w:r>
      <w:r w:rsidR="00E379F8">
        <w:rPr>
          <w:color w:val="000000" w:themeColor="text1"/>
        </w:rPr>
        <w:t>;</w:t>
      </w:r>
      <w:r w:rsidR="00D0736A">
        <w:rPr>
          <w:rStyle w:val="FootnoteReference"/>
          <w:color w:val="000000" w:themeColor="text1"/>
        </w:rPr>
        <w:footnoteReference w:id="430"/>
      </w:r>
      <w:r w:rsidR="00E379F8">
        <w:rPr>
          <w:color w:val="000000" w:themeColor="text1"/>
        </w:rPr>
        <w:t xml:space="preserve"> (3) allowing </w:t>
      </w:r>
      <w:r w:rsidRPr="00EE1764" w:rsidR="00EE1764">
        <w:rPr>
          <w:color w:val="000000" w:themeColor="text1"/>
        </w:rPr>
        <w:t>contracting for high-cost locations;</w:t>
      </w:r>
      <w:r w:rsidR="00D0736A">
        <w:rPr>
          <w:rStyle w:val="FootnoteReference"/>
          <w:color w:val="000000" w:themeColor="text1"/>
        </w:rPr>
        <w:footnoteReference w:id="431"/>
      </w:r>
      <w:r w:rsidR="00E379F8">
        <w:rPr>
          <w:color w:val="000000" w:themeColor="text1"/>
        </w:rPr>
        <w:t xml:space="preserve"> (4) providing</w:t>
      </w:r>
      <w:r w:rsidRPr="00EE1764" w:rsidR="00EE1764">
        <w:rPr>
          <w:color w:val="000000" w:themeColor="text1"/>
        </w:rPr>
        <w:t xml:space="preserve"> relief if state grant funding is denied for high-cost builds;</w:t>
      </w:r>
      <w:r w:rsidR="00D0736A">
        <w:rPr>
          <w:rStyle w:val="FootnoteReference"/>
          <w:color w:val="000000" w:themeColor="text1"/>
        </w:rPr>
        <w:footnoteReference w:id="432"/>
      </w:r>
      <w:r w:rsidRPr="00EE1764" w:rsidR="00EE1764">
        <w:rPr>
          <w:color w:val="000000" w:themeColor="text1"/>
        </w:rPr>
        <w:t xml:space="preserve"> and </w:t>
      </w:r>
      <w:r w:rsidR="00E379F8">
        <w:rPr>
          <w:color w:val="000000" w:themeColor="text1"/>
        </w:rPr>
        <w:t xml:space="preserve">(5) </w:t>
      </w:r>
      <w:r w:rsidRPr="00EE1764" w:rsidR="00EE1764">
        <w:rPr>
          <w:color w:val="000000" w:themeColor="text1"/>
        </w:rPr>
        <w:t xml:space="preserve">extending the timeframe to </w:t>
      </w:r>
      <w:r w:rsidR="00D0736A">
        <w:rPr>
          <w:color w:val="000000" w:themeColor="text1"/>
        </w:rPr>
        <w:t>seven</w:t>
      </w:r>
      <w:r w:rsidRPr="00EE1764" w:rsidR="00EE1764">
        <w:rPr>
          <w:color w:val="000000" w:themeColor="text1"/>
        </w:rPr>
        <w:t xml:space="preserve"> years with interim milestones.</w:t>
      </w:r>
      <w:r w:rsidR="00D0736A">
        <w:rPr>
          <w:rStyle w:val="FootnoteReference"/>
          <w:color w:val="000000" w:themeColor="text1"/>
        </w:rPr>
        <w:footnoteReference w:id="433"/>
      </w:r>
    </w:p>
    <w:p w:rsidR="00C15E48" w:rsidP="00A031F1" w:rsidRDefault="00C15E48" w14:paraId="418D0BC3" w14:textId="1E8DBBA9">
      <w:pPr>
        <w:pStyle w:val="Standard"/>
        <w:rPr>
          <w:color w:val="000000" w:themeColor="text1"/>
        </w:rPr>
      </w:pPr>
      <w:r>
        <w:rPr>
          <w:color w:val="000000" w:themeColor="text1"/>
        </w:rPr>
        <w:lastRenderedPageBreak/>
        <w:t>The Joint Applicants</w:t>
      </w:r>
      <w:r w:rsidR="00B71BFD">
        <w:rPr>
          <w:color w:val="000000" w:themeColor="text1"/>
        </w:rPr>
        <w:t xml:space="preserve">’ reply comments on the proposed decision </w:t>
      </w:r>
      <w:r w:rsidR="009D7009">
        <w:rPr>
          <w:color w:val="000000" w:themeColor="text1"/>
        </w:rPr>
        <w:t>proposed an “</w:t>
      </w:r>
      <w:r w:rsidRPr="009D7009" w:rsidR="009D7009">
        <w:rPr>
          <w:color w:val="000000" w:themeColor="text1"/>
        </w:rPr>
        <w:t>alternative revision</w:t>
      </w:r>
      <w:r w:rsidR="009D7009">
        <w:rPr>
          <w:color w:val="000000" w:themeColor="text1"/>
        </w:rPr>
        <w:t>”</w:t>
      </w:r>
      <w:r w:rsidRPr="009D7009" w:rsidR="009D7009">
        <w:rPr>
          <w:color w:val="000000" w:themeColor="text1"/>
        </w:rPr>
        <w:t xml:space="preserve"> to </w:t>
      </w:r>
      <w:r w:rsidR="009D7009">
        <w:rPr>
          <w:color w:val="000000" w:themeColor="text1"/>
        </w:rPr>
        <w:t>OP</w:t>
      </w:r>
      <w:r w:rsidRPr="009D7009" w:rsidR="009D7009">
        <w:rPr>
          <w:color w:val="000000" w:themeColor="text1"/>
        </w:rPr>
        <w:t xml:space="preserve"> 2</w:t>
      </w:r>
      <w:r w:rsidR="009D7009">
        <w:rPr>
          <w:color w:val="000000" w:themeColor="text1"/>
        </w:rPr>
        <w:t xml:space="preserve"> that</w:t>
      </w:r>
      <w:r w:rsidR="004C35DB">
        <w:rPr>
          <w:color w:val="000000" w:themeColor="text1"/>
        </w:rPr>
        <w:t xml:space="preserve"> would make it</w:t>
      </w:r>
      <w:r w:rsidRPr="004C35DB" w:rsidR="004C35DB">
        <w:rPr>
          <w:color w:val="000000" w:themeColor="text1"/>
        </w:rPr>
        <w:t xml:space="preserve"> </w:t>
      </w:r>
      <w:r w:rsidR="004C35DB">
        <w:rPr>
          <w:color w:val="000000" w:themeColor="text1"/>
        </w:rPr>
        <w:t>“</w:t>
      </w:r>
      <w:r w:rsidRPr="004C35DB" w:rsidR="004C35DB">
        <w:rPr>
          <w:color w:val="000000" w:themeColor="text1"/>
        </w:rPr>
        <w:t>workable</w:t>
      </w:r>
      <w:r w:rsidR="004C35DB">
        <w:rPr>
          <w:color w:val="000000" w:themeColor="text1"/>
        </w:rPr>
        <w:t>” for Verizon</w:t>
      </w:r>
      <w:r w:rsidR="00B71BFD">
        <w:rPr>
          <w:color w:val="000000" w:themeColor="text1"/>
        </w:rPr>
        <w:t>.</w:t>
      </w:r>
      <w:r w:rsidR="004C35DB">
        <w:rPr>
          <w:rStyle w:val="FootnoteReference"/>
          <w:color w:val="000000" w:themeColor="text1"/>
        </w:rPr>
        <w:footnoteReference w:id="434"/>
      </w:r>
      <w:r>
        <w:rPr>
          <w:color w:val="000000" w:themeColor="text1"/>
        </w:rPr>
        <w:t xml:space="preserve"> </w:t>
      </w:r>
    </w:p>
    <w:p w:rsidR="00463CC4" w:rsidP="00EA27C8" w:rsidRDefault="00463CC4" w14:paraId="16310B84" w14:textId="6391FC60">
      <w:pPr>
        <w:pStyle w:val="Heading4"/>
      </w:pPr>
      <w:r>
        <w:t>CETF</w:t>
      </w:r>
    </w:p>
    <w:p w:rsidR="00436DFD" w:rsidP="0099590F" w:rsidRDefault="00436DFD" w14:paraId="52E51B6D" w14:textId="6F5B21EA">
      <w:pPr>
        <w:pStyle w:val="Standard"/>
        <w:rPr>
          <w:color w:val="000000" w:themeColor="text1"/>
        </w:rPr>
      </w:pPr>
      <w:r>
        <w:rPr>
          <w:color w:val="000000" w:themeColor="text1"/>
        </w:rPr>
        <w:t>CETF r</w:t>
      </w:r>
      <w:r w:rsidRPr="00436DFD">
        <w:rPr>
          <w:color w:val="000000" w:themeColor="text1"/>
        </w:rPr>
        <w:t>aise</w:t>
      </w:r>
      <w:r>
        <w:rPr>
          <w:color w:val="000000" w:themeColor="text1"/>
        </w:rPr>
        <w:t>d</w:t>
      </w:r>
      <w:r w:rsidRPr="00436DFD">
        <w:rPr>
          <w:color w:val="000000" w:themeColor="text1"/>
        </w:rPr>
        <w:t xml:space="preserve"> concerns related to</w:t>
      </w:r>
      <w:r>
        <w:rPr>
          <w:color w:val="000000" w:themeColor="text1"/>
        </w:rPr>
        <w:t>: (1) record development</w:t>
      </w:r>
      <w:r w:rsidR="00BC191E">
        <w:rPr>
          <w:color w:val="000000" w:themeColor="text1"/>
        </w:rPr>
        <w:t xml:space="preserve">, particularly regarding the </w:t>
      </w:r>
      <w:r w:rsidRPr="00436DFD">
        <w:rPr>
          <w:color w:val="000000" w:themeColor="text1"/>
        </w:rPr>
        <w:t>list of wire centers</w:t>
      </w:r>
      <w:r w:rsidR="00BC191E">
        <w:rPr>
          <w:color w:val="000000" w:themeColor="text1"/>
        </w:rPr>
        <w:t>;</w:t>
      </w:r>
      <w:r w:rsidR="0099590F">
        <w:rPr>
          <w:rStyle w:val="FootnoteReference"/>
          <w:color w:val="000000" w:themeColor="text1"/>
        </w:rPr>
        <w:footnoteReference w:id="435"/>
      </w:r>
      <w:r w:rsidR="00BC191E">
        <w:rPr>
          <w:color w:val="000000" w:themeColor="text1"/>
        </w:rPr>
        <w:t xml:space="preserve"> (2) </w:t>
      </w:r>
      <w:r w:rsidRPr="00436DFD">
        <w:rPr>
          <w:color w:val="000000" w:themeColor="text1"/>
        </w:rPr>
        <w:t>costs</w:t>
      </w:r>
      <w:r w:rsidR="00BC191E">
        <w:rPr>
          <w:color w:val="000000" w:themeColor="text1"/>
        </w:rPr>
        <w:t>;</w:t>
      </w:r>
      <w:r w:rsidR="0099590F">
        <w:rPr>
          <w:rStyle w:val="FootnoteReference"/>
          <w:color w:val="000000" w:themeColor="text1"/>
        </w:rPr>
        <w:footnoteReference w:id="436"/>
      </w:r>
      <w:r w:rsidR="00BC191E">
        <w:rPr>
          <w:color w:val="000000" w:themeColor="text1"/>
        </w:rPr>
        <w:t xml:space="preserve"> (3) the five-year timeframe for deployment;</w:t>
      </w:r>
      <w:r w:rsidR="0099590F">
        <w:rPr>
          <w:rStyle w:val="FootnoteReference"/>
          <w:color w:val="000000" w:themeColor="text1"/>
        </w:rPr>
        <w:footnoteReference w:id="437"/>
      </w:r>
      <w:r w:rsidR="00BC191E">
        <w:rPr>
          <w:color w:val="000000" w:themeColor="text1"/>
        </w:rPr>
        <w:t xml:space="preserve"> </w:t>
      </w:r>
      <w:r w:rsidR="0099590F">
        <w:rPr>
          <w:color w:val="000000" w:themeColor="text1"/>
        </w:rPr>
        <w:t xml:space="preserve">and </w:t>
      </w:r>
      <w:r w:rsidR="00BC191E">
        <w:rPr>
          <w:color w:val="000000" w:themeColor="text1"/>
        </w:rPr>
        <w:t xml:space="preserve">(4) </w:t>
      </w:r>
      <w:r w:rsidR="00A26E70">
        <w:rPr>
          <w:color w:val="000000" w:themeColor="text1"/>
        </w:rPr>
        <w:t>exemptions for the Commissions to consider</w:t>
      </w:r>
      <w:r w:rsidR="0099590F">
        <w:rPr>
          <w:color w:val="000000" w:themeColor="text1"/>
        </w:rPr>
        <w:t>.</w:t>
      </w:r>
      <w:r w:rsidR="0099590F">
        <w:rPr>
          <w:rStyle w:val="FootnoteReference"/>
          <w:color w:val="000000" w:themeColor="text1"/>
        </w:rPr>
        <w:footnoteReference w:id="438"/>
      </w:r>
      <w:r w:rsidR="0099590F">
        <w:rPr>
          <w:color w:val="000000" w:themeColor="text1"/>
        </w:rPr>
        <w:t xml:space="preserve">  In addition, CETF recommended that OP 2</w:t>
      </w:r>
      <w:r w:rsidRPr="00436DFD">
        <w:rPr>
          <w:color w:val="000000" w:themeColor="text1"/>
        </w:rPr>
        <w:t xml:space="preserve"> be explicitly tech</w:t>
      </w:r>
      <w:r w:rsidR="0099590F">
        <w:rPr>
          <w:color w:val="000000" w:themeColor="text1"/>
        </w:rPr>
        <w:t>nology</w:t>
      </w:r>
      <w:r w:rsidR="00316D3E">
        <w:rPr>
          <w:color w:val="000000" w:themeColor="text1"/>
        </w:rPr>
        <w:t xml:space="preserve"> </w:t>
      </w:r>
      <w:r w:rsidRPr="00436DFD">
        <w:rPr>
          <w:color w:val="000000" w:themeColor="text1"/>
        </w:rPr>
        <w:t>neutral;</w:t>
      </w:r>
      <w:r w:rsidR="0099590F">
        <w:rPr>
          <w:rStyle w:val="FootnoteReference"/>
          <w:color w:val="000000" w:themeColor="text1"/>
        </w:rPr>
        <w:footnoteReference w:id="439"/>
      </w:r>
      <w:r w:rsidRPr="00436DFD">
        <w:rPr>
          <w:color w:val="000000" w:themeColor="text1"/>
        </w:rPr>
        <w:t xml:space="preserve"> add </w:t>
      </w:r>
      <w:r w:rsidR="0099590F">
        <w:rPr>
          <w:color w:val="000000" w:themeColor="text1"/>
        </w:rPr>
        <w:t>allow certain</w:t>
      </w:r>
      <w:r w:rsidRPr="00436DFD">
        <w:rPr>
          <w:color w:val="000000" w:themeColor="text1"/>
        </w:rPr>
        <w:t xml:space="preserve"> exceptions.</w:t>
      </w:r>
      <w:r w:rsidR="0099590F">
        <w:rPr>
          <w:rStyle w:val="FootnoteReference"/>
          <w:color w:val="000000" w:themeColor="text1"/>
        </w:rPr>
        <w:footnoteReference w:id="440"/>
      </w:r>
    </w:p>
    <w:p w:rsidRPr="00EA27C8" w:rsidR="00463CC4" w:rsidP="00EA27C8" w:rsidRDefault="00332147" w14:paraId="23CDD004" w14:textId="77777777">
      <w:pPr>
        <w:pStyle w:val="Heading4"/>
      </w:pPr>
      <w:r w:rsidRPr="00EA27C8">
        <w:t>CforAT</w:t>
      </w:r>
      <w:r w:rsidRPr="00EA27C8" w:rsidR="000611AE">
        <w:t xml:space="preserve"> </w:t>
      </w:r>
    </w:p>
    <w:p w:rsidR="00A34F52" w:rsidP="0099590F" w:rsidRDefault="00387525" w14:paraId="1BC14E08" w14:textId="4F95C7D5">
      <w:pPr>
        <w:pStyle w:val="Standard"/>
        <w:rPr>
          <w:color w:val="000000" w:themeColor="text1"/>
        </w:rPr>
      </w:pPr>
      <w:r>
        <w:rPr>
          <w:color w:val="000000" w:themeColor="text1"/>
        </w:rPr>
        <w:t>CforAT stated that s</w:t>
      </w:r>
      <w:r w:rsidRPr="00387525">
        <w:rPr>
          <w:color w:val="000000" w:themeColor="text1"/>
        </w:rPr>
        <w:t xml:space="preserve">ince the </w:t>
      </w:r>
      <w:r>
        <w:rPr>
          <w:color w:val="000000" w:themeColor="text1"/>
        </w:rPr>
        <w:t>proposed decision w</w:t>
      </w:r>
      <w:r w:rsidRPr="00387525">
        <w:rPr>
          <w:color w:val="000000" w:themeColor="text1"/>
        </w:rPr>
        <w:t xml:space="preserve">as issued, </w:t>
      </w:r>
      <w:r>
        <w:rPr>
          <w:color w:val="000000" w:themeColor="text1"/>
        </w:rPr>
        <w:t>“</w:t>
      </w:r>
      <w:r w:rsidRPr="00387525">
        <w:rPr>
          <w:color w:val="000000" w:themeColor="text1"/>
        </w:rPr>
        <w:t xml:space="preserve">Verizon has repeatedly met with various Commissioners’ offices and asked the Commission to dilute the requirements of OP 2, claiming that building out to the locations listed in Appendix D would be </w:t>
      </w:r>
      <w:r w:rsidR="00A34F52">
        <w:rPr>
          <w:color w:val="000000" w:themeColor="text1"/>
        </w:rPr>
        <w:t>‘</w:t>
      </w:r>
      <w:r w:rsidRPr="00387525">
        <w:rPr>
          <w:color w:val="000000" w:themeColor="text1"/>
        </w:rPr>
        <w:t>very difficult and costly.</w:t>
      </w:r>
      <w:r w:rsidR="00A34F52">
        <w:rPr>
          <w:color w:val="000000" w:themeColor="text1"/>
        </w:rPr>
        <w:t>’</w:t>
      </w:r>
      <w:r w:rsidRPr="00387525">
        <w:rPr>
          <w:color w:val="000000" w:themeColor="text1"/>
        </w:rPr>
        <w:t>”</w:t>
      </w:r>
      <w:r w:rsidR="00A34F52">
        <w:rPr>
          <w:rStyle w:val="FootnoteReference"/>
          <w:color w:val="000000" w:themeColor="text1"/>
        </w:rPr>
        <w:footnoteReference w:id="441"/>
      </w:r>
      <w:r>
        <w:rPr>
          <w:color w:val="000000" w:themeColor="text1"/>
        </w:rPr>
        <w:t xml:space="preserve"> </w:t>
      </w:r>
      <w:r w:rsidRPr="00387525">
        <w:rPr>
          <w:color w:val="000000" w:themeColor="text1"/>
        </w:rPr>
        <w:t xml:space="preserve"> </w:t>
      </w:r>
      <w:r>
        <w:rPr>
          <w:color w:val="000000" w:themeColor="text1"/>
        </w:rPr>
        <w:t xml:space="preserve">CforAT </w:t>
      </w:r>
      <w:r w:rsidR="001A29A0">
        <w:rPr>
          <w:color w:val="000000" w:themeColor="text1"/>
        </w:rPr>
        <w:t>noted that t</w:t>
      </w:r>
      <w:r w:rsidRPr="00387525">
        <w:rPr>
          <w:color w:val="000000" w:themeColor="text1"/>
        </w:rPr>
        <w:t xml:space="preserve">he </w:t>
      </w:r>
      <w:r w:rsidR="001A29A0">
        <w:rPr>
          <w:color w:val="000000" w:themeColor="text1"/>
        </w:rPr>
        <w:t>proposed decision “</w:t>
      </w:r>
      <w:r w:rsidRPr="00387525">
        <w:rPr>
          <w:color w:val="000000" w:themeColor="text1"/>
        </w:rPr>
        <w:t>expressly finds that the requirements of OP 2 are necessary to protect the public interest</w:t>
      </w:r>
      <w:r w:rsidR="001A29A0">
        <w:rPr>
          <w:color w:val="000000" w:themeColor="text1"/>
        </w:rPr>
        <w:t>” and stated that</w:t>
      </w:r>
    </w:p>
    <w:p w:rsidR="00332147" w:rsidP="00EA27C8" w:rsidRDefault="001A29A0" w14:paraId="0EEFA1FB" w14:textId="60FCF6DF">
      <w:pPr>
        <w:pStyle w:val="BlockQuote"/>
      </w:pPr>
      <w:r>
        <w:t>a</w:t>
      </w:r>
      <w:r w:rsidRPr="00387525" w:rsidR="00387525">
        <w:t>ny reduction</w:t>
      </w:r>
      <w:r w:rsidR="00A34F52">
        <w:t xml:space="preserve"> </w:t>
      </w:r>
      <w:r w:rsidRPr="00A34F52" w:rsidR="00A34F52">
        <w:t xml:space="preserve">in those requirements would result in a proposed transaction with insufficient mitigation measures to protect the </w:t>
      </w:r>
      <w:r w:rsidRPr="00A34F52" w:rsidR="00A34F52">
        <w:lastRenderedPageBreak/>
        <w:t>public interest, and a decision authorizing an insufficiently mitigated transaction would be legal error</w:t>
      </w:r>
      <w:r w:rsidR="000611AE">
        <w:t>.</w:t>
      </w:r>
      <w:r w:rsidR="00AB0AAC">
        <w:rPr>
          <w:rStyle w:val="FootnoteReference"/>
        </w:rPr>
        <w:footnoteReference w:id="442"/>
      </w:r>
    </w:p>
    <w:p w:rsidRPr="00EA27C8" w:rsidR="00463CC4" w:rsidP="00EA27C8" w:rsidRDefault="00463CC4" w14:paraId="025F7801" w14:textId="5A293547">
      <w:pPr>
        <w:pStyle w:val="Heading4"/>
      </w:pPr>
      <w:r w:rsidRPr="00EA27C8">
        <w:t>TURN</w:t>
      </w:r>
    </w:p>
    <w:p w:rsidR="00691AE4" w:rsidP="00691AE4" w:rsidRDefault="00332147" w14:paraId="40284E7B" w14:textId="5F760769">
      <w:pPr>
        <w:pStyle w:val="Standard"/>
        <w:rPr>
          <w:color w:val="000000" w:themeColor="text1"/>
        </w:rPr>
      </w:pPr>
      <w:r>
        <w:rPr>
          <w:color w:val="000000" w:themeColor="text1"/>
        </w:rPr>
        <w:t>TURN</w:t>
      </w:r>
      <w:r w:rsidR="000611AE">
        <w:rPr>
          <w:color w:val="000000" w:themeColor="text1"/>
        </w:rPr>
        <w:t xml:space="preserve"> </w:t>
      </w:r>
      <w:r w:rsidR="00691AE4">
        <w:rPr>
          <w:color w:val="000000" w:themeColor="text1"/>
        </w:rPr>
        <w:t>expressed s</w:t>
      </w:r>
      <w:r w:rsidRPr="00691AE4" w:rsidR="00691AE4">
        <w:rPr>
          <w:color w:val="000000" w:themeColor="text1"/>
        </w:rPr>
        <w:t>upport</w:t>
      </w:r>
      <w:r w:rsidR="00691AE4">
        <w:rPr>
          <w:color w:val="000000" w:themeColor="text1"/>
        </w:rPr>
        <w:t xml:space="preserve"> for the </w:t>
      </w:r>
      <w:r w:rsidR="00463CC4">
        <w:rPr>
          <w:color w:val="000000" w:themeColor="text1"/>
        </w:rPr>
        <w:t xml:space="preserve">OP 2 </w:t>
      </w:r>
      <w:r w:rsidRPr="00691AE4" w:rsidR="00691AE4">
        <w:rPr>
          <w:color w:val="000000" w:themeColor="text1"/>
        </w:rPr>
        <w:t xml:space="preserve">buildout </w:t>
      </w:r>
      <w:r w:rsidR="006F1BAB">
        <w:rPr>
          <w:color w:val="000000" w:themeColor="text1"/>
        </w:rPr>
        <w:t>requirement</w:t>
      </w:r>
      <w:r w:rsidRPr="00691AE4" w:rsidR="006F1BAB">
        <w:rPr>
          <w:color w:val="000000" w:themeColor="text1"/>
        </w:rPr>
        <w:t xml:space="preserve"> but</w:t>
      </w:r>
      <w:r w:rsidRPr="00691AE4" w:rsidR="00691AE4">
        <w:rPr>
          <w:color w:val="000000" w:themeColor="text1"/>
        </w:rPr>
        <w:t xml:space="preserve"> argue</w:t>
      </w:r>
      <w:r w:rsidR="00691AE4">
        <w:rPr>
          <w:color w:val="000000" w:themeColor="text1"/>
        </w:rPr>
        <w:t>d</w:t>
      </w:r>
      <w:r w:rsidRPr="00691AE4" w:rsidR="00691AE4">
        <w:rPr>
          <w:color w:val="000000" w:themeColor="text1"/>
        </w:rPr>
        <w:t xml:space="preserve"> that </w:t>
      </w:r>
      <w:r w:rsidR="00463CC4">
        <w:rPr>
          <w:color w:val="000000" w:themeColor="text1"/>
        </w:rPr>
        <w:t xml:space="preserve">the </w:t>
      </w:r>
      <w:r w:rsidRPr="00691AE4" w:rsidR="00691AE4">
        <w:rPr>
          <w:color w:val="000000" w:themeColor="text1"/>
        </w:rPr>
        <w:t>requirement alone is not enough to satisfy the public interest</w:t>
      </w:r>
      <w:r w:rsidR="00876556">
        <w:rPr>
          <w:color w:val="000000" w:themeColor="text1"/>
        </w:rPr>
        <w:t>.</w:t>
      </w:r>
      <w:r w:rsidR="00463CC4">
        <w:rPr>
          <w:rStyle w:val="FootnoteReference"/>
          <w:color w:val="000000" w:themeColor="text1"/>
        </w:rPr>
        <w:footnoteReference w:id="443"/>
      </w:r>
      <w:r w:rsidR="00876556">
        <w:rPr>
          <w:color w:val="000000" w:themeColor="text1"/>
        </w:rPr>
        <w:t xml:space="preserve">  TURN stated tha</w:t>
      </w:r>
      <w:r w:rsidR="00691AE4">
        <w:rPr>
          <w:color w:val="000000" w:themeColor="text1"/>
        </w:rPr>
        <w:t xml:space="preserve">t Appendix </w:t>
      </w:r>
      <w:r w:rsidRPr="00691AE4" w:rsidR="00691AE4">
        <w:rPr>
          <w:color w:val="000000" w:themeColor="text1"/>
        </w:rPr>
        <w:t xml:space="preserve">D </w:t>
      </w:r>
      <w:r w:rsidR="002E1834">
        <w:rPr>
          <w:color w:val="000000" w:themeColor="text1"/>
        </w:rPr>
        <w:t xml:space="preserve">is too limited and </w:t>
      </w:r>
      <w:r w:rsidR="00691AE4">
        <w:rPr>
          <w:color w:val="000000" w:themeColor="text1"/>
        </w:rPr>
        <w:t>should includ</w:t>
      </w:r>
      <w:r w:rsidR="002E1834">
        <w:rPr>
          <w:color w:val="000000" w:themeColor="text1"/>
        </w:rPr>
        <w:t>e all</w:t>
      </w:r>
      <w:r w:rsidRPr="00691AE4" w:rsidR="00691AE4">
        <w:rPr>
          <w:color w:val="000000" w:themeColor="text1"/>
        </w:rPr>
        <w:t xml:space="preserve"> </w:t>
      </w:r>
      <w:r w:rsidR="002E1834">
        <w:rPr>
          <w:color w:val="000000" w:themeColor="text1"/>
        </w:rPr>
        <w:t>of</w:t>
      </w:r>
      <w:r w:rsidRPr="00691AE4" w:rsidR="00691AE4">
        <w:rPr>
          <w:color w:val="000000" w:themeColor="text1"/>
        </w:rPr>
        <w:t xml:space="preserve"> Frontier’s Approved Build Universe</w:t>
      </w:r>
      <w:r w:rsidR="002E1834">
        <w:rPr>
          <w:color w:val="000000" w:themeColor="text1"/>
        </w:rPr>
        <w:t>.</w:t>
      </w:r>
      <w:r w:rsidR="00876556">
        <w:rPr>
          <w:rStyle w:val="FootnoteReference"/>
          <w:color w:val="000000" w:themeColor="text1"/>
        </w:rPr>
        <w:footnoteReference w:id="444"/>
      </w:r>
      <w:r w:rsidR="002E1834">
        <w:rPr>
          <w:color w:val="000000" w:themeColor="text1"/>
        </w:rPr>
        <w:t xml:space="preserve">  TURN also </w:t>
      </w:r>
      <w:r w:rsidR="00876556">
        <w:rPr>
          <w:color w:val="000000" w:themeColor="text1"/>
        </w:rPr>
        <w:t>c</w:t>
      </w:r>
      <w:r w:rsidRPr="00691AE4" w:rsidR="00691AE4">
        <w:rPr>
          <w:color w:val="000000" w:themeColor="text1"/>
        </w:rPr>
        <w:t>riti</w:t>
      </w:r>
      <w:r w:rsidR="00876556">
        <w:rPr>
          <w:color w:val="000000" w:themeColor="text1"/>
        </w:rPr>
        <w:t>qued the</w:t>
      </w:r>
      <w:r w:rsidRPr="00691AE4" w:rsidR="00691AE4">
        <w:rPr>
          <w:color w:val="000000" w:themeColor="text1"/>
        </w:rPr>
        <w:t xml:space="preserve"> PD for not explaining why it selected only the Appendix D subset and for not requiring </w:t>
      </w:r>
      <w:r w:rsidRPr="00691AE4" w:rsidR="00B258A3">
        <w:rPr>
          <w:color w:val="000000" w:themeColor="text1"/>
        </w:rPr>
        <w:t xml:space="preserve">fiber </w:t>
      </w:r>
      <w:r w:rsidRPr="00691AE4" w:rsidR="00691AE4">
        <w:rPr>
          <w:color w:val="000000" w:themeColor="text1"/>
        </w:rPr>
        <w:t>deployment.</w:t>
      </w:r>
      <w:r w:rsidR="00876556">
        <w:rPr>
          <w:rStyle w:val="FootnoteReference"/>
          <w:color w:val="000000" w:themeColor="text1"/>
        </w:rPr>
        <w:footnoteReference w:id="445"/>
      </w:r>
      <w:r w:rsidRPr="00691AE4" w:rsidR="00691AE4">
        <w:rPr>
          <w:color w:val="000000" w:themeColor="text1"/>
        </w:rPr>
        <w:t xml:space="preserve"> </w:t>
      </w:r>
      <w:r w:rsidR="0001115F">
        <w:rPr>
          <w:color w:val="000000" w:themeColor="text1"/>
        </w:rPr>
        <w:t xml:space="preserve"> TURN therefore r</w:t>
      </w:r>
      <w:r w:rsidRPr="00691AE4" w:rsidR="00691AE4">
        <w:rPr>
          <w:color w:val="000000" w:themeColor="text1"/>
        </w:rPr>
        <w:t>ecommend</w:t>
      </w:r>
      <w:r w:rsidR="0001115F">
        <w:rPr>
          <w:color w:val="000000" w:themeColor="text1"/>
        </w:rPr>
        <w:t>ed</w:t>
      </w:r>
      <w:r w:rsidRPr="00691AE4" w:rsidR="00691AE4">
        <w:rPr>
          <w:color w:val="000000" w:themeColor="text1"/>
        </w:rPr>
        <w:t xml:space="preserve"> modifying OP 2 to require fiber deployment that includes the </w:t>
      </w:r>
      <w:r w:rsidRPr="00691AE4" w:rsidR="00FC67AA">
        <w:rPr>
          <w:color w:val="000000" w:themeColor="text1"/>
        </w:rPr>
        <w:t>Approved Build Universe</w:t>
      </w:r>
      <w:r w:rsidRPr="00691AE4" w:rsidR="00691AE4">
        <w:rPr>
          <w:color w:val="000000" w:themeColor="text1"/>
        </w:rPr>
        <w:t>.</w:t>
      </w:r>
      <w:r w:rsidR="00FC67AA">
        <w:rPr>
          <w:rStyle w:val="FootnoteReference"/>
          <w:color w:val="000000" w:themeColor="text1"/>
        </w:rPr>
        <w:footnoteReference w:id="446"/>
      </w:r>
    </w:p>
    <w:p w:rsidRPr="00EA27C8" w:rsidR="00770B69" w:rsidP="00EA27C8" w:rsidRDefault="00770B69" w14:paraId="0C64E8AC" w14:textId="1B07CB48">
      <w:pPr>
        <w:pStyle w:val="Heading3"/>
      </w:pPr>
      <w:r w:rsidRPr="00EA27C8">
        <w:t>Discussion</w:t>
      </w:r>
    </w:p>
    <w:p w:rsidRPr="00EA27C8" w:rsidR="003D7290" w:rsidP="0099590F" w:rsidRDefault="004120D3" w14:paraId="3159C713" w14:textId="4E8CFBE5">
      <w:pPr>
        <w:pStyle w:val="Standard"/>
        <w:rPr>
          <w:color w:val="000000" w:themeColor="text1"/>
        </w:rPr>
      </w:pPr>
      <w:r w:rsidRPr="00260EC0">
        <w:rPr>
          <w:color w:val="000000" w:themeColor="text1"/>
        </w:rPr>
        <w:t>We agree with the Joint Applicants</w:t>
      </w:r>
      <w:r w:rsidRPr="00260EC0" w:rsidR="008E5715">
        <w:rPr>
          <w:color w:val="000000" w:themeColor="text1"/>
        </w:rPr>
        <w:t>,</w:t>
      </w:r>
      <w:r w:rsidRPr="00260EC0" w:rsidR="003D7290">
        <w:rPr>
          <w:color w:val="000000" w:themeColor="text1"/>
        </w:rPr>
        <w:t xml:space="preserve"> C</w:t>
      </w:r>
      <w:r w:rsidRPr="00260EC0" w:rsidR="008E5715">
        <w:rPr>
          <w:color w:val="000000" w:themeColor="text1"/>
        </w:rPr>
        <w:t>E</w:t>
      </w:r>
      <w:r w:rsidRPr="00260EC0" w:rsidR="003D7290">
        <w:rPr>
          <w:color w:val="000000" w:themeColor="text1"/>
        </w:rPr>
        <w:t>T</w:t>
      </w:r>
      <w:r w:rsidRPr="00260EC0" w:rsidR="008E5715">
        <w:rPr>
          <w:color w:val="000000" w:themeColor="text1"/>
        </w:rPr>
        <w:t>F, and TURN</w:t>
      </w:r>
      <w:r w:rsidRPr="00260EC0">
        <w:rPr>
          <w:color w:val="000000" w:themeColor="text1"/>
        </w:rPr>
        <w:t xml:space="preserve"> that additional record support and clarification for the rationale behind OP 2 is warranted and </w:t>
      </w:r>
      <w:r w:rsidRPr="00260EC0" w:rsidR="00770B69">
        <w:rPr>
          <w:color w:val="000000" w:themeColor="text1"/>
        </w:rPr>
        <w:t xml:space="preserve">therefore </w:t>
      </w:r>
      <w:r w:rsidRPr="00260EC0" w:rsidR="003D7290">
        <w:rPr>
          <w:color w:val="000000" w:themeColor="text1"/>
        </w:rPr>
        <w:t>add</w:t>
      </w:r>
      <w:r w:rsidRPr="00EA27C8" w:rsidR="00E1326A">
        <w:rPr>
          <w:color w:val="000000" w:themeColor="text1"/>
        </w:rPr>
        <w:t>ed</w:t>
      </w:r>
      <w:r w:rsidRPr="00260EC0" w:rsidR="003D7290">
        <w:rPr>
          <w:color w:val="000000" w:themeColor="text1"/>
        </w:rPr>
        <w:t xml:space="preserve"> new text to Section </w:t>
      </w:r>
      <w:r w:rsidRPr="00EA27C8" w:rsidR="009A38A5">
        <w:rPr>
          <w:color w:val="000000" w:themeColor="text1"/>
        </w:rPr>
        <w:t>6.9.3</w:t>
      </w:r>
      <w:r w:rsidR="00DF63CC">
        <w:rPr>
          <w:color w:val="000000" w:themeColor="text1"/>
        </w:rPr>
        <w:t xml:space="preserve"> to provide this rationale</w:t>
      </w:r>
      <w:r w:rsidRPr="00260EC0" w:rsidR="003D7290">
        <w:rPr>
          <w:color w:val="000000" w:themeColor="text1"/>
        </w:rPr>
        <w:t>.</w:t>
      </w:r>
      <w:r w:rsidRPr="00260EC0" w:rsidR="0053218E">
        <w:rPr>
          <w:color w:val="000000" w:themeColor="text1"/>
        </w:rPr>
        <w:t xml:space="preserve">  </w:t>
      </w:r>
      <w:r w:rsidRPr="00260EC0" w:rsidR="00737971">
        <w:rPr>
          <w:color w:val="000000" w:themeColor="text1"/>
        </w:rPr>
        <w:t>In response to comments</w:t>
      </w:r>
      <w:r w:rsidR="0027637A">
        <w:rPr>
          <w:color w:val="000000" w:themeColor="text1"/>
        </w:rPr>
        <w:t xml:space="preserve"> from the </w:t>
      </w:r>
      <w:r w:rsidR="00375DD5">
        <w:rPr>
          <w:color w:val="000000" w:themeColor="text1"/>
        </w:rPr>
        <w:t>parties, we update OP 2 to adopt language recommended by the Joint Applicants in</w:t>
      </w:r>
      <w:r w:rsidR="00DA4B3D">
        <w:rPr>
          <w:color w:val="000000" w:themeColor="text1"/>
        </w:rPr>
        <w:t xml:space="preserve"> opening and</w:t>
      </w:r>
      <w:r w:rsidR="00375DD5">
        <w:rPr>
          <w:color w:val="000000" w:themeColor="text1"/>
        </w:rPr>
        <w:t xml:space="preserve"> reply comments on the proposed decision</w:t>
      </w:r>
      <w:r w:rsidRPr="00260EC0" w:rsidR="00620BE4">
        <w:rPr>
          <w:color w:val="000000" w:themeColor="text1"/>
        </w:rPr>
        <w:t>.</w:t>
      </w:r>
      <w:r w:rsidR="00375DD5">
        <w:rPr>
          <w:rStyle w:val="FootnoteReference"/>
          <w:color w:val="000000" w:themeColor="text1"/>
        </w:rPr>
        <w:footnoteReference w:id="447"/>
      </w:r>
      <w:r w:rsidRPr="00260EC0" w:rsidR="0053218E">
        <w:rPr>
          <w:color w:val="000000" w:themeColor="text1"/>
        </w:rPr>
        <w:t xml:space="preserve"> </w:t>
      </w:r>
      <w:r w:rsidRPr="00260EC0" w:rsidR="008E5715">
        <w:rPr>
          <w:color w:val="000000" w:themeColor="text1"/>
        </w:rPr>
        <w:t xml:space="preserve"> </w:t>
      </w:r>
      <w:r w:rsidRPr="0053218E" w:rsidR="0053218E">
        <w:rPr>
          <w:color w:val="000000" w:themeColor="text1"/>
        </w:rPr>
        <w:t xml:space="preserve">  </w:t>
      </w:r>
    </w:p>
    <w:p w:rsidR="006963CD" w:rsidP="000611AE" w:rsidRDefault="000611AE" w14:paraId="690A7728" w14:textId="1A92A32C">
      <w:pPr>
        <w:pStyle w:val="Heading2"/>
      </w:pPr>
      <w:r>
        <w:t>Ordering Paragraph 8</w:t>
      </w:r>
    </w:p>
    <w:p w:rsidR="000C095E" w:rsidP="000C095E" w:rsidRDefault="00415037" w14:paraId="0A1B2F72" w14:textId="7D717B54">
      <w:pPr>
        <w:pStyle w:val="Standard"/>
      </w:pPr>
      <w:r>
        <w:t>The Joint Applicants argued that OP 8</w:t>
      </w:r>
      <w:r w:rsidR="000C095E">
        <w:t xml:space="preserve"> </w:t>
      </w:r>
      <w:r>
        <w:t xml:space="preserve">requires </w:t>
      </w:r>
      <w:r w:rsidR="000C095E">
        <w:t>various modifications to be lawful.  We partially agree with the Joint Applicants and adopt changes to OP 8.</w:t>
      </w:r>
    </w:p>
    <w:p w:rsidRPr="00EA27C8" w:rsidR="00415037" w:rsidP="00AB2C4C" w:rsidRDefault="00AB2C4C" w14:paraId="5B1B979E" w14:textId="226FD8DC">
      <w:pPr>
        <w:pStyle w:val="Standard"/>
        <w:rPr>
          <w:highlight w:val="yellow"/>
        </w:rPr>
      </w:pPr>
      <w:r w:rsidRPr="00863B1A">
        <w:lastRenderedPageBreak/>
        <w:t xml:space="preserve">According to the Joint Applicants, </w:t>
      </w:r>
      <w:r w:rsidR="00863B1A">
        <w:t xml:space="preserve">the </w:t>
      </w:r>
      <w:r w:rsidRPr="00863B1A" w:rsidR="00415037">
        <w:t xml:space="preserve">record does not support Ordering Paragraph 8’s proposed requirement that Verizon retain Frontier’s current employee contracts for five years, and the </w:t>
      </w:r>
      <w:r w:rsidRPr="00967927" w:rsidR="00415037">
        <w:t>Commission lacks jurisdiction to impose it.</w:t>
      </w:r>
      <w:r w:rsidRPr="00EA27C8">
        <w:rPr>
          <w:rStyle w:val="FootnoteReference"/>
        </w:rPr>
        <w:footnoteReference w:id="448"/>
      </w:r>
      <w:r w:rsidRPr="00967927" w:rsidR="00415037">
        <w:t xml:space="preserve"> </w:t>
      </w:r>
      <w:r w:rsidRPr="00EA27C8">
        <w:t xml:space="preserve"> </w:t>
      </w:r>
      <w:r w:rsidRPr="00967927" w:rsidR="00AB39A8">
        <w:t>The Joint Applicants noted that OP</w:t>
      </w:r>
      <w:r w:rsidRPr="00967927" w:rsidR="00415037">
        <w:t xml:space="preserve"> 8 draws no distinction between union and non-union employees and directs Verizon and Frontier to retain all “current” employee contracts. </w:t>
      </w:r>
      <w:r w:rsidRPr="00EA27C8" w:rsidR="00AB39A8">
        <w:t xml:space="preserve"> </w:t>
      </w:r>
      <w:r w:rsidRPr="00EA27C8" w:rsidR="00967927">
        <w:t>According to the Joint Applicants, t</w:t>
      </w:r>
      <w:r w:rsidRPr="00967927" w:rsidR="00415037">
        <w:t>his proposal would exceed the Commission’s jurisdiction, which does not extend into labor matters or to contracts outside of California.</w:t>
      </w:r>
      <w:r w:rsidRPr="00EA27C8" w:rsidR="00967927">
        <w:rPr>
          <w:rStyle w:val="FootnoteReference"/>
        </w:rPr>
        <w:footnoteReference w:id="449"/>
      </w:r>
      <w:r w:rsidRPr="00967927" w:rsidR="00415037">
        <w:t xml:space="preserve"> </w:t>
      </w:r>
      <w:r w:rsidRPr="00EA27C8" w:rsidR="00967927">
        <w:t xml:space="preserve"> </w:t>
      </w:r>
    </w:p>
    <w:p w:rsidR="00415037" w:rsidP="00415037" w:rsidRDefault="00415037" w14:paraId="569B6F55" w14:textId="20C20194">
      <w:pPr>
        <w:pStyle w:val="Standard"/>
      </w:pPr>
      <w:r w:rsidRPr="00AA3CE6">
        <w:t xml:space="preserve">The </w:t>
      </w:r>
      <w:r w:rsidRPr="00EA27C8" w:rsidR="00967927">
        <w:t xml:space="preserve">Joint Applicants also argued that the </w:t>
      </w:r>
      <w:r w:rsidRPr="00AA3CE6">
        <w:t xml:space="preserve">proposed condition that Verizon retain Frontier’s current supplier contracts for five years is </w:t>
      </w:r>
      <w:r w:rsidRPr="004B5E9A">
        <w:t>unlawful.</w:t>
      </w:r>
      <w:r w:rsidRPr="00EA27C8" w:rsidR="00967927">
        <w:rPr>
          <w:rStyle w:val="FootnoteReference"/>
        </w:rPr>
        <w:footnoteReference w:id="450"/>
      </w:r>
      <w:r w:rsidRPr="004B5E9A">
        <w:t xml:space="preserve"> </w:t>
      </w:r>
      <w:r w:rsidRPr="00EA27C8" w:rsidR="00967927">
        <w:t xml:space="preserve"> </w:t>
      </w:r>
      <w:r w:rsidRPr="00EA27C8" w:rsidR="00B0136F">
        <w:t>The Joint Applican</w:t>
      </w:r>
      <w:r w:rsidRPr="00EA27C8" w:rsidR="004B5E9A">
        <w:t>t</w:t>
      </w:r>
      <w:r w:rsidRPr="00EA27C8" w:rsidR="00B0136F">
        <w:t xml:space="preserve">s argued that </w:t>
      </w:r>
      <w:r w:rsidRPr="00EA27C8" w:rsidR="00256E64">
        <w:t>OP</w:t>
      </w:r>
      <w:r w:rsidRPr="004B5E9A">
        <w:t xml:space="preserve"> 8 is inconsistent with GO 156, which </w:t>
      </w:r>
      <w:r w:rsidRPr="00EA27C8" w:rsidR="00540535">
        <w:t xml:space="preserve">states </w:t>
      </w:r>
      <w:r w:rsidRPr="00D83831">
        <w:t>that the utility “retains the authority to use its legitimate business judgment to select the supplier for a particular contract.”</w:t>
      </w:r>
      <w:r w:rsidRPr="00EA27C8" w:rsidR="00B0136F">
        <w:rPr>
          <w:rStyle w:val="FootnoteReference"/>
        </w:rPr>
        <w:footnoteReference w:id="451"/>
      </w:r>
      <w:r w:rsidRPr="00EA27C8" w:rsidR="00256E64">
        <w:t xml:space="preserve"> </w:t>
      </w:r>
      <w:r w:rsidRPr="00D83831">
        <w:t xml:space="preserve"> In addition, </w:t>
      </w:r>
      <w:r w:rsidRPr="00EA27C8" w:rsidR="004B5E9A">
        <w:t xml:space="preserve">the </w:t>
      </w:r>
      <w:r w:rsidRPr="00D83831" w:rsidR="004B5E9A">
        <w:t xml:space="preserve">Joint Applicants argued stated that </w:t>
      </w:r>
      <w:r w:rsidRPr="00EA27C8" w:rsidR="00256E64">
        <w:t>OP</w:t>
      </w:r>
      <w:r w:rsidRPr="00D83831">
        <w:t xml:space="preserve"> 8 </w:t>
      </w:r>
      <w:r w:rsidRPr="00EA27C8" w:rsidR="004B5E9A">
        <w:t>“</w:t>
      </w:r>
      <w:r w:rsidRPr="00D83831">
        <w:t>raises serious practical concerns</w:t>
      </w:r>
      <w:r w:rsidRPr="00EA27C8" w:rsidR="002353C6">
        <w:t>,”</w:t>
      </w:r>
      <w:r w:rsidRPr="00D83831">
        <w:t xml:space="preserve"> including </w:t>
      </w:r>
      <w:r w:rsidRPr="00EA27C8" w:rsidR="002353C6">
        <w:t>“</w:t>
      </w:r>
      <w:r w:rsidRPr="00D83831">
        <w:t>limiting Verizon’s ability to select suppliers based on safety, performance, or economic concerns, which could be exacerbated if contractors know that Verizon is obligated to maintain their contracts.</w:t>
      </w:r>
      <w:r w:rsidRPr="00EA27C8" w:rsidR="00BD562E">
        <w:t>”</w:t>
      </w:r>
      <w:r w:rsidRPr="00EA27C8" w:rsidR="00BD562E">
        <w:rPr>
          <w:rStyle w:val="FootnoteReference"/>
        </w:rPr>
        <w:footnoteReference w:id="452"/>
      </w:r>
      <w:r w:rsidRPr="00D83831">
        <w:t xml:space="preserve"> </w:t>
      </w:r>
    </w:p>
    <w:p w:rsidR="003B4A4B" w:rsidP="003B4A4B" w:rsidRDefault="003B4A4B" w14:paraId="424863BF" w14:textId="15B26130">
      <w:pPr>
        <w:pStyle w:val="Standard"/>
      </w:pPr>
      <w:r>
        <w:t xml:space="preserve">The Joint Applicants also stated that OP 8 suffers from additional legal flaws, including its broad extraterritorial effect as written and its inconsistency with federal law. </w:t>
      </w:r>
      <w:r w:rsidR="00503CE6">
        <w:t xml:space="preserve"> </w:t>
      </w:r>
      <w:r>
        <w:t xml:space="preserve">For example, </w:t>
      </w:r>
      <w:r w:rsidR="00951360">
        <w:t>the Joint Applicants argued that OP 9</w:t>
      </w:r>
      <w:r>
        <w:t xml:space="preserve"> impairs </w:t>
      </w:r>
      <w:r>
        <w:lastRenderedPageBreak/>
        <w:t>Verizon’s contractual rights and thus violates the Constitution’s Contract Clause.</w:t>
      </w:r>
      <w:r w:rsidR="00951360">
        <w:rPr>
          <w:rStyle w:val="FootnoteReference"/>
        </w:rPr>
        <w:footnoteReference w:id="453"/>
      </w:r>
      <w:r>
        <w:t xml:space="preserve"> </w:t>
      </w:r>
    </w:p>
    <w:p w:rsidR="003B4A4B" w:rsidP="003B4A4B" w:rsidRDefault="0069306A" w14:paraId="55E725D1" w14:textId="1B5D95EF">
      <w:pPr>
        <w:pStyle w:val="Standard"/>
      </w:pPr>
      <w:r>
        <w:t xml:space="preserve">In addition, </w:t>
      </w:r>
      <w:r w:rsidR="00D1270C">
        <w:t>the Joint Applicants argued that the C</w:t>
      </w:r>
      <w:r w:rsidR="003B4A4B">
        <w:t xml:space="preserve">ommission should revise </w:t>
      </w:r>
      <w:r w:rsidR="00D1270C">
        <w:t>OP</w:t>
      </w:r>
      <w:r w:rsidR="003B4A4B">
        <w:t xml:space="preserve"> 8 to reflect that Verizon (not Frontier) initiated and currently supports the small business accelerator program</w:t>
      </w:r>
      <w:r w:rsidR="00D1270C">
        <w:t xml:space="preserve">, as </w:t>
      </w:r>
      <w:r w:rsidR="003B4A4B">
        <w:t>Frontier’s requirement expired in 2023</w:t>
      </w:r>
      <w:r w:rsidR="00D1270C">
        <w:t xml:space="preserve"> and OP </w:t>
      </w:r>
      <w:r w:rsidR="003B4A4B">
        <w:t>18 and the CWA settlement already include</w:t>
      </w:r>
      <w:r w:rsidR="00D1270C">
        <w:t xml:space="preserve"> similar</w:t>
      </w:r>
      <w:r w:rsidR="003B4A4B">
        <w:t xml:space="preserve"> requirements.</w:t>
      </w:r>
      <w:r>
        <w:rPr>
          <w:rStyle w:val="FootnoteReference"/>
        </w:rPr>
        <w:footnoteReference w:id="454"/>
      </w:r>
    </w:p>
    <w:p w:rsidRPr="000611AE" w:rsidR="00D83831" w:rsidP="00415037" w:rsidRDefault="0069306A" w14:paraId="40E87B24" w14:textId="625C4EFA">
      <w:pPr>
        <w:pStyle w:val="Standard"/>
      </w:pPr>
      <w:r>
        <w:t>We agree that various provisions of OP 8 require revision and make these modifications in</w:t>
      </w:r>
      <w:r w:rsidR="00A50580">
        <w:t xml:space="preserve"> OP 8</w:t>
      </w:r>
      <w:r>
        <w:t xml:space="preserve"> this decision</w:t>
      </w:r>
      <w:r w:rsidR="00D83831">
        <w:t>.</w:t>
      </w:r>
    </w:p>
    <w:p w:rsidR="00597629" w:rsidP="00597629" w:rsidRDefault="000611AE" w14:paraId="579137EB" w14:textId="77777777">
      <w:pPr>
        <w:pStyle w:val="Heading2"/>
      </w:pPr>
      <w:r>
        <w:t xml:space="preserve">Ordering Paragraph </w:t>
      </w:r>
      <w:r w:rsidR="00772991">
        <w:t>2</w:t>
      </w:r>
      <w:r>
        <w:t>0</w:t>
      </w:r>
    </w:p>
    <w:p w:rsidR="00597629" w:rsidP="00597629" w:rsidRDefault="00B249A4" w14:paraId="59C0C677" w14:textId="64C6231D">
      <w:pPr>
        <w:pStyle w:val="Standard"/>
      </w:pPr>
      <w:r>
        <w:t xml:space="preserve">The Joint Applicants argued that </w:t>
      </w:r>
      <w:r w:rsidRPr="00B249A4">
        <w:t>Ordering Paragraph 20</w:t>
      </w:r>
      <w:r>
        <w:t xml:space="preserve"> of the proposed decision</w:t>
      </w:r>
      <w:r w:rsidR="00597629">
        <w:t>, which</w:t>
      </w:r>
      <w:r w:rsidRPr="00B249A4">
        <w:t xml:space="preserve"> would require Verizon to provide a 72-hour battery back-up unit to </w:t>
      </w:r>
      <w:r w:rsidR="00597629">
        <w:t>cert</w:t>
      </w:r>
      <w:r w:rsidR="00E73C2C">
        <w:t xml:space="preserve">ain migrated </w:t>
      </w:r>
      <w:r w:rsidRPr="00B249A4">
        <w:t>customers migrated from copper</w:t>
      </w:r>
      <w:r w:rsidR="00E73C2C">
        <w:t>, would be infeasible</w:t>
      </w:r>
      <w:r w:rsidR="00556032">
        <w:t xml:space="preserve"> given the design of the equipment used</w:t>
      </w:r>
      <w:r w:rsidR="00E73C2C">
        <w:t>.</w:t>
      </w:r>
      <w:r w:rsidR="00E14398">
        <w:rPr>
          <w:rStyle w:val="FootnoteReference"/>
        </w:rPr>
        <w:footnoteReference w:id="455"/>
      </w:r>
      <w:r w:rsidR="00E73C2C">
        <w:t xml:space="preserve">  We partially agree with the Joint Applicants and modify the decision to address their concerns.</w:t>
      </w:r>
    </w:p>
    <w:p w:rsidRPr="00FA0B73" w:rsidR="0031259B" w:rsidP="0031259B" w:rsidRDefault="0031259B" w14:paraId="7C0EF083" w14:textId="2E4E30C8">
      <w:pPr>
        <w:pStyle w:val="Heading2"/>
      </w:pPr>
      <w:r w:rsidRPr="00FA0B73">
        <w:t>Ordering Paragraph 2</w:t>
      </w:r>
      <w:r w:rsidRPr="00EA27C8" w:rsidR="00FA0B73">
        <w:t>9</w:t>
      </w:r>
    </w:p>
    <w:p w:rsidRPr="0031259B" w:rsidR="00FA0B73" w:rsidP="00506319" w:rsidRDefault="00036D54" w14:paraId="1AE7C8A6" w14:textId="061649A6">
      <w:pPr>
        <w:pStyle w:val="Standard"/>
      </w:pPr>
      <w:r w:rsidRPr="00FA0B73">
        <w:t xml:space="preserve">TURN offered recommendations </w:t>
      </w:r>
      <w:r w:rsidRPr="00FA0B73" w:rsidR="00766361">
        <w:t>modifications to several conditions “to better ensure that Tribes and Tribal members are not left behind if the transaction is approved.”</w:t>
      </w:r>
      <w:r w:rsidRPr="00FA0B73" w:rsidR="00766361">
        <w:rPr>
          <w:rStyle w:val="FootnoteReference"/>
        </w:rPr>
        <w:footnoteReference w:id="456"/>
      </w:r>
      <w:r w:rsidR="00E2684D">
        <w:t xml:space="preserve"> </w:t>
      </w:r>
      <w:r w:rsidRPr="00FA0B73" w:rsidR="00766361">
        <w:t xml:space="preserve"> </w:t>
      </w:r>
      <w:r w:rsidR="00DC310E">
        <w:t xml:space="preserve">Although we decline to adopt </w:t>
      </w:r>
      <w:r w:rsidR="00506319">
        <w:t xml:space="preserve">specific measures recommended by TURN, we extend the </w:t>
      </w:r>
      <w:r w:rsidRPr="00506319" w:rsidR="00506319">
        <w:t xml:space="preserve">enforcement program </w:t>
      </w:r>
      <w:r w:rsidR="00506319">
        <w:t>detailed in OP 2 to explicitly cover t</w:t>
      </w:r>
      <w:r w:rsidRPr="00506319" w:rsidR="00506319">
        <w:t xml:space="preserve">ribal commitments </w:t>
      </w:r>
      <w:r w:rsidR="00506319">
        <w:t xml:space="preserve">made in </w:t>
      </w:r>
      <w:r w:rsidRPr="00506319" w:rsidR="00506319">
        <w:t>the Frontier bankruptcy proceeding</w:t>
      </w:r>
      <w:r w:rsidR="00FA0B73">
        <w:t>.</w:t>
      </w:r>
    </w:p>
    <w:p w:rsidR="000611AE" w:rsidP="000611AE" w:rsidRDefault="000611AE" w14:paraId="428C8B30" w14:textId="10E43194">
      <w:pPr>
        <w:pStyle w:val="Heading2"/>
      </w:pPr>
      <w:r>
        <w:lastRenderedPageBreak/>
        <w:t xml:space="preserve">Other </w:t>
      </w:r>
    </w:p>
    <w:p w:rsidRPr="00F55A79" w:rsidR="00A94FF4" w:rsidP="002A37A7" w:rsidRDefault="00422559" w14:paraId="20F4C25C" w14:textId="225A7E43">
      <w:pPr>
        <w:pStyle w:val="Standard"/>
      </w:pPr>
      <w:r>
        <w:t xml:space="preserve">CforAT </w:t>
      </w:r>
      <w:r w:rsidR="00755BE2">
        <w:t xml:space="preserve">noted that the proposed decision mischaracterized </w:t>
      </w:r>
      <w:r w:rsidR="00CC7AB0">
        <w:t xml:space="preserve">its </w:t>
      </w:r>
      <w:r w:rsidRPr="00CC7AB0" w:rsidR="00CC7AB0">
        <w:t xml:space="preserve">position on the impact of Verizon’s </w:t>
      </w:r>
      <w:r w:rsidR="00CC7AB0">
        <w:t>“</w:t>
      </w:r>
      <w:r w:rsidRPr="00CC7AB0" w:rsidR="00CC7AB0">
        <w:t>abandonment of DEI on the public interest.</w:t>
      </w:r>
      <w:r w:rsidR="00CC7AB0">
        <w:t>”</w:t>
      </w:r>
      <w:r w:rsidR="00963048">
        <w:rPr>
          <w:rStyle w:val="FootnoteReference"/>
        </w:rPr>
        <w:footnoteReference w:id="457"/>
      </w:r>
      <w:r w:rsidR="00CC7AB0">
        <w:t xml:space="preserve"> </w:t>
      </w:r>
      <w:r w:rsidR="00963048">
        <w:t xml:space="preserve"> </w:t>
      </w:r>
      <w:r w:rsidR="00CC7AB0">
        <w:t xml:space="preserve">We adjusted the language in </w:t>
      </w:r>
      <w:r w:rsidR="00E376F0">
        <w:t>section</w:t>
      </w:r>
      <w:r w:rsidR="00BD472C">
        <w:t xml:space="preserve"> 10.4</w:t>
      </w:r>
      <w:r w:rsidR="00E376F0">
        <w:t xml:space="preserve"> of this decision to </w:t>
      </w:r>
      <w:r w:rsidR="00BD472C">
        <w:t xml:space="preserve">reflect that </w:t>
      </w:r>
      <w:r w:rsidR="00FB2B3A">
        <w:t xml:space="preserve">our finding </w:t>
      </w:r>
      <w:r w:rsidR="00BD472C">
        <w:t xml:space="preserve">does not </w:t>
      </w:r>
      <w:r w:rsidR="00FB2B3A">
        <w:t>adopt CforAT’s recommendation.</w:t>
      </w:r>
      <w:r w:rsidR="00755BE2">
        <w:t xml:space="preserve"> </w:t>
      </w:r>
    </w:p>
    <w:p w:rsidRPr="00F55A79" w:rsidR="005939A5" w:rsidP="005939A5" w:rsidRDefault="005939A5" w14:paraId="2ED36C34" w14:textId="77777777">
      <w:pPr>
        <w:pStyle w:val="Heading1"/>
      </w:pPr>
      <w:bookmarkStart w:name="_Toc8123724" w:id="228"/>
      <w:bookmarkStart w:name="_Toc216163311" w:id="229"/>
      <w:r w:rsidRPr="00F55A79">
        <w:t>Assignment of Proceeding</w:t>
      </w:r>
      <w:bookmarkEnd w:id="228"/>
      <w:bookmarkEnd w:id="229"/>
    </w:p>
    <w:p w:rsidRPr="00F55A79" w:rsidR="005939A5" w:rsidP="006E6574" w:rsidRDefault="002A37A7" w14:paraId="7FEAC527" w14:textId="5DC12EC6">
      <w:pPr>
        <w:pStyle w:val="Standard"/>
      </w:pPr>
      <w:r w:rsidRPr="00F55A79">
        <w:t>John Reynolds</w:t>
      </w:r>
      <w:r w:rsidRPr="00F55A79" w:rsidR="005939A5">
        <w:t xml:space="preserve"> is the assigned Commissioner and </w:t>
      </w:r>
      <w:r w:rsidRPr="00F55A79">
        <w:t>Elizabeth Fox</w:t>
      </w:r>
      <w:r w:rsidRPr="00F55A79" w:rsidR="005939A5">
        <w:t xml:space="preserve"> </w:t>
      </w:r>
      <w:r w:rsidRPr="00F55A79" w:rsidR="00E54BBB">
        <w:t>and Patricia Miles are the</w:t>
      </w:r>
      <w:r w:rsidRPr="00F55A79" w:rsidR="005939A5">
        <w:t xml:space="preserve"> assigned Administrative Law Judge</w:t>
      </w:r>
      <w:r w:rsidRPr="00F55A79" w:rsidR="00E54BBB">
        <w:t>s</w:t>
      </w:r>
      <w:r w:rsidRPr="00F55A79" w:rsidR="005939A5">
        <w:t xml:space="preserve"> in this proceeding.</w:t>
      </w:r>
    </w:p>
    <w:p w:rsidRPr="00F55A79" w:rsidR="005939A5" w:rsidP="005939A5" w:rsidRDefault="005939A5" w14:paraId="6C9A6732" w14:textId="77777777">
      <w:pPr>
        <w:pStyle w:val="Dummy"/>
      </w:pPr>
      <w:bookmarkStart w:name="_Toc8123725" w:id="230"/>
      <w:bookmarkStart w:name="_Toc216163312" w:id="231"/>
      <w:r w:rsidRPr="00F55A79">
        <w:t>Findings of Fact</w:t>
      </w:r>
      <w:bookmarkEnd w:id="230"/>
      <w:bookmarkEnd w:id="231"/>
    </w:p>
    <w:p w:rsidRPr="00F55A79" w:rsidR="00055931" w:rsidP="001E77DF" w:rsidRDefault="00055931" w14:paraId="45158316" w14:textId="065838A8">
      <w:pPr>
        <w:pStyle w:val="FoF"/>
      </w:pPr>
      <w:r w:rsidRPr="00F55A79">
        <w:t xml:space="preserve">Verizon Communications Inc. </w:t>
      </w:r>
      <w:r w:rsidRPr="00F55A79" w:rsidR="000D5EE7">
        <w:t xml:space="preserve">created a wholly owned subsidiary of Verizon, France Merger Sub Inc., for the purpose of the proposed transaction.  </w:t>
      </w:r>
    </w:p>
    <w:p w:rsidRPr="00F55A79" w:rsidR="00370261" w:rsidP="00370261" w:rsidRDefault="00370261" w14:paraId="21A2A0FA" w14:textId="77777777">
      <w:pPr>
        <w:pStyle w:val="FoF"/>
        <w:rPr>
          <w:color w:val="000000" w:themeColor="text1"/>
        </w:rPr>
      </w:pPr>
      <w:r w:rsidRPr="00F55A79">
        <w:t>France Merger Sub Inc. is a Delaware corporation that will be merged with and into Frontier Communications Parent, Inc. with Frontier Communications Parent, Inc. surviving the transaction as a wholly owned subsidiary of Verizon Communications Inc.</w:t>
      </w:r>
    </w:p>
    <w:p w:rsidRPr="00F55A79" w:rsidR="00370261" w:rsidP="00370261" w:rsidRDefault="00055931" w14:paraId="1C4E216A" w14:textId="0C8DEBB8">
      <w:pPr>
        <w:pStyle w:val="FoF"/>
      </w:pPr>
      <w:r w:rsidRPr="00F55A79">
        <w:rPr>
          <w:color w:val="000000" w:themeColor="text1"/>
        </w:rPr>
        <w:t>Frontier California</w:t>
      </w:r>
      <w:r w:rsidRPr="00F55A79" w:rsidR="000D5EE7">
        <w:rPr>
          <w:color w:val="000000" w:themeColor="text1"/>
        </w:rPr>
        <w:t xml:space="preserve"> </w:t>
      </w:r>
      <w:r w:rsidRPr="00F55A79" w:rsidR="00376F8B">
        <w:rPr>
          <w:color w:val="000000" w:themeColor="text1"/>
        </w:rPr>
        <w:t xml:space="preserve">operates in California as an </w:t>
      </w:r>
      <w:r w:rsidRPr="00F55A79" w:rsidR="00376F8B">
        <w:t>ILEC</w:t>
      </w:r>
      <w:r w:rsidRPr="00F55A79" w:rsidR="00376F8B">
        <w:rPr>
          <w:color w:val="000000" w:themeColor="text1"/>
        </w:rPr>
        <w:t xml:space="preserve"> </w:t>
      </w:r>
      <w:r w:rsidRPr="00F55A79" w:rsidR="00A93E4C">
        <w:rPr>
          <w:color w:val="000000" w:themeColor="text1"/>
        </w:rPr>
        <w:t>under utility number U1002C</w:t>
      </w:r>
      <w:r w:rsidRPr="00F55A79" w:rsidR="000D5EE7">
        <w:rPr>
          <w:color w:val="000000" w:themeColor="text1"/>
        </w:rPr>
        <w:t>.</w:t>
      </w:r>
      <w:r w:rsidRPr="00F55A79">
        <w:rPr>
          <w:color w:val="000000" w:themeColor="text1"/>
        </w:rPr>
        <w:t xml:space="preserve"> </w:t>
      </w:r>
    </w:p>
    <w:p w:rsidRPr="00F55A79" w:rsidR="00125CEB" w:rsidP="009853EF" w:rsidRDefault="00125CEB" w14:paraId="31716F84" w14:textId="43CEB09E">
      <w:pPr>
        <w:pStyle w:val="FoF"/>
        <w:rPr>
          <w:color w:val="000000" w:themeColor="text1"/>
        </w:rPr>
      </w:pPr>
      <w:r w:rsidRPr="00F55A79">
        <w:t xml:space="preserve">Frontier California has gross annual </w:t>
      </w:r>
      <w:r w:rsidRPr="00F55A79">
        <w:rPr>
          <w:color w:val="000000" w:themeColor="text1"/>
        </w:rPr>
        <w:t>California revenues exceeding $500 million.</w:t>
      </w:r>
    </w:p>
    <w:p w:rsidRPr="00F55A79" w:rsidR="00055931" w:rsidP="009853EF" w:rsidRDefault="00055931" w14:paraId="472D6E83" w14:textId="674994D8">
      <w:pPr>
        <w:pStyle w:val="FoF"/>
        <w:rPr>
          <w:color w:val="000000" w:themeColor="text1"/>
        </w:rPr>
      </w:pPr>
      <w:r w:rsidRPr="00F55A79">
        <w:rPr>
          <w:color w:val="000000" w:themeColor="text1"/>
        </w:rPr>
        <w:t>CTC California</w:t>
      </w:r>
      <w:r w:rsidRPr="00F55A79" w:rsidR="000D5EE7">
        <w:rPr>
          <w:color w:val="000000" w:themeColor="text1"/>
        </w:rPr>
        <w:t xml:space="preserve"> </w:t>
      </w:r>
      <w:r w:rsidRPr="00F55A79" w:rsidR="00376F8B">
        <w:rPr>
          <w:color w:val="000000" w:themeColor="text1"/>
        </w:rPr>
        <w:t xml:space="preserve">operates in California as an ILEC </w:t>
      </w:r>
      <w:r w:rsidRPr="00F55A79" w:rsidR="00A93E4C">
        <w:rPr>
          <w:color w:val="000000" w:themeColor="text1"/>
        </w:rPr>
        <w:t>under utility number U1024C</w:t>
      </w:r>
      <w:r w:rsidRPr="00F55A79" w:rsidR="000D5EE7">
        <w:rPr>
          <w:color w:val="000000" w:themeColor="text1"/>
        </w:rPr>
        <w:t>.</w:t>
      </w:r>
    </w:p>
    <w:p w:rsidRPr="00F55A79" w:rsidR="00055931" w:rsidP="009853EF" w:rsidRDefault="00055931" w14:paraId="7F2E24D6" w14:textId="7C9D885D">
      <w:pPr>
        <w:pStyle w:val="FoF"/>
        <w:rPr>
          <w:color w:val="000000" w:themeColor="text1"/>
        </w:rPr>
      </w:pPr>
      <w:r w:rsidRPr="00F55A79">
        <w:rPr>
          <w:color w:val="000000" w:themeColor="text1"/>
        </w:rPr>
        <w:t>Frontier Southwest</w:t>
      </w:r>
      <w:r w:rsidRPr="00F55A79" w:rsidR="00E37457">
        <w:rPr>
          <w:color w:val="000000" w:themeColor="text1"/>
        </w:rPr>
        <w:t xml:space="preserve"> </w:t>
      </w:r>
      <w:r w:rsidRPr="00F55A79" w:rsidR="00376F8B">
        <w:rPr>
          <w:color w:val="000000" w:themeColor="text1"/>
        </w:rPr>
        <w:t xml:space="preserve">operates in California as an ILEC </w:t>
      </w:r>
      <w:r w:rsidRPr="00F55A79" w:rsidR="00A93E4C">
        <w:rPr>
          <w:color w:val="000000" w:themeColor="text1"/>
        </w:rPr>
        <w:t>under utility number</w:t>
      </w:r>
      <w:r w:rsidRPr="00F55A79" w:rsidR="00376F8B">
        <w:rPr>
          <w:color w:val="000000" w:themeColor="text1"/>
        </w:rPr>
        <w:t xml:space="preserve"> </w:t>
      </w:r>
      <w:r w:rsidRPr="00F55A79" w:rsidR="00A93E4C">
        <w:rPr>
          <w:color w:val="000000" w:themeColor="text1"/>
        </w:rPr>
        <w:t>U1026C</w:t>
      </w:r>
      <w:r w:rsidRPr="00F55A79" w:rsidR="000D5EE7">
        <w:rPr>
          <w:color w:val="000000" w:themeColor="text1"/>
        </w:rPr>
        <w:t>.</w:t>
      </w:r>
    </w:p>
    <w:p w:rsidRPr="00F55A79" w:rsidR="00055931" w:rsidP="009853EF" w:rsidRDefault="00055931" w14:paraId="3A6EC9A5" w14:textId="0E8D7BD6">
      <w:pPr>
        <w:pStyle w:val="FoF"/>
        <w:rPr>
          <w:color w:val="000000" w:themeColor="text1"/>
        </w:rPr>
      </w:pPr>
      <w:r w:rsidRPr="00F55A79">
        <w:rPr>
          <w:color w:val="000000" w:themeColor="text1"/>
        </w:rPr>
        <w:lastRenderedPageBreak/>
        <w:t>Frontier LD</w:t>
      </w:r>
      <w:r w:rsidRPr="00F55A79" w:rsidR="000D5EE7">
        <w:rPr>
          <w:color w:val="000000" w:themeColor="text1"/>
        </w:rPr>
        <w:t xml:space="preserve"> </w:t>
      </w:r>
      <w:r w:rsidRPr="00F55A79" w:rsidR="00376F8B">
        <w:rPr>
          <w:color w:val="000000" w:themeColor="text1"/>
        </w:rPr>
        <w:t xml:space="preserve">operates in California as a </w:t>
      </w:r>
      <w:r w:rsidRPr="00F55A79" w:rsidR="00376F8B">
        <w:t xml:space="preserve">long-distance or interexchange IXC carrier </w:t>
      </w:r>
      <w:r w:rsidRPr="00F55A79" w:rsidR="00A93E4C">
        <w:rPr>
          <w:color w:val="000000" w:themeColor="text1"/>
        </w:rPr>
        <w:t xml:space="preserve">under utility number </w:t>
      </w:r>
      <w:r w:rsidRPr="00F55A79" w:rsidR="00A93E4C">
        <w:t>U7167C</w:t>
      </w:r>
      <w:r w:rsidRPr="00F55A79" w:rsidR="000D5EE7">
        <w:rPr>
          <w:color w:val="000000" w:themeColor="text1"/>
        </w:rPr>
        <w:t>.</w:t>
      </w:r>
    </w:p>
    <w:p w:rsidRPr="00F55A79" w:rsidR="00055931" w:rsidP="009853EF" w:rsidRDefault="00055931" w14:paraId="1D392512" w14:textId="780F774D">
      <w:pPr>
        <w:pStyle w:val="FoF"/>
        <w:rPr>
          <w:color w:val="000000" w:themeColor="text1"/>
        </w:rPr>
      </w:pPr>
      <w:r w:rsidRPr="00F55A79">
        <w:rPr>
          <w:color w:val="000000" w:themeColor="text1"/>
        </w:rPr>
        <w:t xml:space="preserve">Frontier America </w:t>
      </w:r>
      <w:r w:rsidRPr="00F55A79" w:rsidR="00376F8B">
        <w:rPr>
          <w:color w:val="000000" w:themeColor="text1"/>
        </w:rPr>
        <w:t xml:space="preserve">operates in California as a </w:t>
      </w:r>
      <w:r w:rsidRPr="00F55A79" w:rsidR="00376F8B">
        <w:t xml:space="preserve">long-distance or IXC carrier </w:t>
      </w:r>
      <w:r w:rsidRPr="00F55A79" w:rsidR="00A93E4C">
        <w:rPr>
          <w:color w:val="000000" w:themeColor="text1"/>
        </w:rPr>
        <w:t>under utility number U5429C</w:t>
      </w:r>
      <w:r w:rsidRPr="00F55A79" w:rsidR="000D5EE7">
        <w:rPr>
          <w:color w:val="000000" w:themeColor="text1"/>
        </w:rPr>
        <w:t>.</w:t>
      </w:r>
    </w:p>
    <w:p w:rsidRPr="00F55A79" w:rsidR="00055931" w:rsidP="00FB7D25" w:rsidRDefault="00055931" w14:paraId="3AE515CB" w14:textId="5E586E05">
      <w:pPr>
        <w:pStyle w:val="FoF"/>
        <w:rPr>
          <w:color w:val="000000" w:themeColor="text1"/>
        </w:rPr>
      </w:pPr>
      <w:r w:rsidRPr="00F55A79">
        <w:rPr>
          <w:color w:val="000000" w:themeColor="text1"/>
        </w:rPr>
        <w:t>Frontier California, CTC California, Frontier Southwest</w:t>
      </w:r>
      <w:r w:rsidRPr="00F55A79" w:rsidR="000D5EE7">
        <w:rPr>
          <w:color w:val="000000" w:themeColor="text1"/>
        </w:rPr>
        <w:t>, Frontier LD,</w:t>
      </w:r>
      <w:r w:rsidRPr="00F55A79">
        <w:rPr>
          <w:color w:val="000000" w:themeColor="text1"/>
        </w:rPr>
        <w:t xml:space="preserve"> and </w:t>
      </w:r>
      <w:r w:rsidRPr="00F55A79" w:rsidR="000D5EE7">
        <w:rPr>
          <w:color w:val="000000" w:themeColor="text1"/>
        </w:rPr>
        <w:t>Frontier America</w:t>
      </w:r>
      <w:r w:rsidRPr="00F55A79">
        <w:rPr>
          <w:color w:val="000000" w:themeColor="text1"/>
        </w:rPr>
        <w:t xml:space="preserve"> are the </w:t>
      </w:r>
      <w:r w:rsidRPr="00F55A79" w:rsidR="000D5EE7">
        <w:rPr>
          <w:color w:val="000000" w:themeColor="text1"/>
        </w:rPr>
        <w:t>California subsidiaries</w:t>
      </w:r>
      <w:r w:rsidRPr="00F55A79">
        <w:rPr>
          <w:color w:val="000000" w:themeColor="text1"/>
        </w:rPr>
        <w:t>.</w:t>
      </w:r>
    </w:p>
    <w:p w:rsidRPr="00F55A79" w:rsidR="001E77DF" w:rsidP="00FB7D25" w:rsidRDefault="001E77DF" w14:paraId="5927637C" w14:textId="7A78EBE7">
      <w:pPr>
        <w:pStyle w:val="FoF"/>
        <w:rPr>
          <w:color w:val="000000" w:themeColor="text1"/>
        </w:rPr>
      </w:pPr>
      <w:r w:rsidRPr="00F55A79">
        <w:t xml:space="preserve">Frontier Parent is incorporated in Delaware and </w:t>
      </w:r>
      <w:r w:rsidRPr="00F55A79">
        <w:rPr>
          <w:color w:val="000000" w:themeColor="text1"/>
        </w:rPr>
        <w:t>is the holding company for the California subsidiaries</w:t>
      </w:r>
      <w:r w:rsidRPr="00F55A79">
        <w:t>.</w:t>
      </w:r>
    </w:p>
    <w:p w:rsidRPr="00F55A79" w:rsidR="000D5EE7" w:rsidP="00FB7D25" w:rsidRDefault="00555003" w14:paraId="7F087E91" w14:textId="36171BF4">
      <w:pPr>
        <w:pStyle w:val="FoF"/>
        <w:rPr>
          <w:color w:val="000000" w:themeColor="text1"/>
        </w:rPr>
      </w:pPr>
      <w:r w:rsidRPr="00F55A79">
        <w:t>The Joint Applicants requested approval of a proposed parent-level transaction in which Verizon</w:t>
      </w:r>
      <w:r w:rsidRPr="00F55A79" w:rsidR="000D5EE7">
        <w:t xml:space="preserve"> </w:t>
      </w:r>
      <w:r w:rsidRPr="00F55A79">
        <w:t xml:space="preserve">would acquire 100 percent of Frontier </w:t>
      </w:r>
      <w:r w:rsidRPr="00F55A79" w:rsidR="000D5EE7">
        <w:t>Parent</w:t>
      </w:r>
      <w:r w:rsidRPr="00F55A79">
        <w:t>.</w:t>
      </w:r>
      <w:r w:rsidRPr="00F55A79" w:rsidR="00370261">
        <w:t xml:space="preserve">  </w:t>
      </w:r>
      <w:r w:rsidRPr="00F55A79" w:rsidR="000D5EE7">
        <w:rPr>
          <w:color w:val="000000" w:themeColor="text1"/>
        </w:rPr>
        <w:t xml:space="preserve">Frontier Parent </w:t>
      </w:r>
      <w:r w:rsidRPr="00F55A79" w:rsidR="00370261">
        <w:rPr>
          <w:color w:val="000000" w:themeColor="text1"/>
        </w:rPr>
        <w:t>will</w:t>
      </w:r>
      <w:r w:rsidRPr="00F55A79" w:rsidR="000D5EE7">
        <w:rPr>
          <w:color w:val="000000" w:themeColor="text1"/>
        </w:rPr>
        <w:t xml:space="preserve"> become a wholly owned, direct subsidiary of Verizon, and the California subsidiaries </w:t>
      </w:r>
      <w:r w:rsidRPr="00F55A79" w:rsidR="000D5EE7">
        <w:t>would become indirect, wholly owned subsidiaries of Verizon.</w:t>
      </w:r>
    </w:p>
    <w:p w:rsidRPr="00F55A79" w:rsidR="00C34B28" w:rsidP="00FB7D25" w:rsidRDefault="00C34B28" w14:paraId="131311EF" w14:textId="77777777">
      <w:pPr>
        <w:pStyle w:val="FoF"/>
        <w:rPr>
          <w:color w:val="000000" w:themeColor="text1"/>
        </w:rPr>
      </w:pPr>
      <w:r w:rsidRPr="00F55A79">
        <w:rPr>
          <w:color w:val="000000" w:themeColor="text1"/>
        </w:rPr>
        <w:t xml:space="preserve">We identify no specific harms regarding the structure of the proposed transaction.  </w:t>
      </w:r>
    </w:p>
    <w:p w:rsidRPr="00F55A79" w:rsidR="00C34B28" w:rsidP="00FB7D25" w:rsidRDefault="00C34B28" w14:paraId="287B706A" w14:textId="5A36F7DA">
      <w:pPr>
        <w:pStyle w:val="FoF"/>
        <w:rPr>
          <w:color w:val="000000" w:themeColor="text1"/>
        </w:rPr>
      </w:pPr>
      <w:r w:rsidRPr="00F55A79">
        <w:rPr>
          <w:color w:val="000000" w:themeColor="text1"/>
        </w:rPr>
        <w:t>The proposed transaction meets the requirements of Section 854(a).</w:t>
      </w:r>
    </w:p>
    <w:p w:rsidRPr="00F55A79" w:rsidR="00C34B28" w:rsidP="00C34B28" w:rsidRDefault="00C34B28" w14:paraId="00A4E883" w14:textId="07CA6346">
      <w:pPr>
        <w:pStyle w:val="FoF"/>
        <w:rPr>
          <w:color w:val="000000" w:themeColor="text1"/>
        </w:rPr>
      </w:pPr>
      <w:r w:rsidRPr="00F55A79">
        <w:rPr>
          <w:color w:val="000000" w:themeColor="text1"/>
        </w:rPr>
        <w:t xml:space="preserve">The application, along with the settlement agreements, </w:t>
      </w:r>
      <w:r w:rsidRPr="00F55A79" w:rsidR="00976186">
        <w:rPr>
          <w:color w:val="000000" w:themeColor="text1"/>
        </w:rPr>
        <w:t>and necessary required additional conditions is expected to</w:t>
      </w:r>
      <w:r w:rsidRPr="00F55A79">
        <w:rPr>
          <w:color w:val="000000" w:themeColor="text1"/>
        </w:rPr>
        <w:t xml:space="preserve"> provide substantial customer benefits.</w:t>
      </w:r>
    </w:p>
    <w:p w:rsidRPr="00F55A79" w:rsidR="007F1192" w:rsidP="007F1192" w:rsidRDefault="007F1192" w14:paraId="032FCEC6" w14:textId="6F25FBE2">
      <w:pPr>
        <w:pStyle w:val="FoF"/>
        <w:rPr>
          <w:color w:val="000000" w:themeColor="text1"/>
        </w:rPr>
      </w:pPr>
      <w:r w:rsidRPr="00F55A79">
        <w:rPr>
          <w:color w:val="000000" w:themeColor="text1"/>
        </w:rPr>
        <w:t>Following the close of the transaction, Verizon will offer its service plans to many current Frontier customers, including a national low-income broadband plan and bundled service options not offered Frontier today.</w:t>
      </w:r>
    </w:p>
    <w:p w:rsidRPr="00F55A79" w:rsidR="00C34B28" w:rsidP="00C34B28" w:rsidRDefault="00C34B28" w14:paraId="5FE0F6E5" w14:textId="058D027B">
      <w:pPr>
        <w:pStyle w:val="FoF"/>
        <w:rPr>
          <w:color w:val="000000" w:themeColor="text1"/>
        </w:rPr>
      </w:pPr>
      <w:r w:rsidRPr="00F55A79">
        <w:rPr>
          <w:color w:val="000000" w:themeColor="text1"/>
        </w:rPr>
        <w:t>To ensure that these benefits materialize, additional mitigation measures</w:t>
      </w:r>
      <w:r w:rsidRPr="00F55A79" w:rsidR="00785C57">
        <w:rPr>
          <w:color w:val="000000" w:themeColor="text1"/>
        </w:rPr>
        <w:t xml:space="preserve"> are required</w:t>
      </w:r>
      <w:r w:rsidRPr="00F55A79">
        <w:rPr>
          <w:color w:val="000000" w:themeColor="text1"/>
        </w:rPr>
        <w:t>.</w:t>
      </w:r>
    </w:p>
    <w:p w:rsidRPr="00F55A79" w:rsidR="00C34B28" w:rsidP="00C34B28" w:rsidRDefault="00C34B28" w14:paraId="0B165484" w14:textId="37910A13">
      <w:pPr>
        <w:pStyle w:val="FoF"/>
        <w:rPr>
          <w:color w:val="000000" w:themeColor="text1"/>
        </w:rPr>
      </w:pPr>
      <w:r w:rsidRPr="00F55A79">
        <w:rPr>
          <w:color w:val="000000" w:themeColor="text1"/>
        </w:rPr>
        <w:t>With mitigation measures, the proposed transaction meets the requirements of Section 854(b)(1).</w:t>
      </w:r>
    </w:p>
    <w:p w:rsidRPr="00F55A79" w:rsidR="00C34B28" w:rsidP="00C34B28" w:rsidRDefault="00C34B28" w14:paraId="01416858" w14:textId="1C9F6C20">
      <w:pPr>
        <w:pStyle w:val="FoF"/>
        <w:rPr>
          <w:color w:val="000000" w:themeColor="text1"/>
        </w:rPr>
      </w:pPr>
      <w:r w:rsidRPr="00F55A79">
        <w:rPr>
          <w:color w:val="000000" w:themeColor="text1"/>
        </w:rPr>
        <w:lastRenderedPageBreak/>
        <w:t>One identified aspect of the proposed transaction could adversely affect competition</w:t>
      </w:r>
      <w:r w:rsidRPr="00F55A79" w:rsidR="00785C57">
        <w:rPr>
          <w:color w:val="000000" w:themeColor="text1"/>
        </w:rPr>
        <w:t xml:space="preserve"> is</w:t>
      </w:r>
      <w:r w:rsidRPr="00F55A79">
        <w:rPr>
          <w:color w:val="000000" w:themeColor="text1"/>
        </w:rPr>
        <w:t xml:space="preserve"> access to backhaul.</w:t>
      </w:r>
    </w:p>
    <w:p w:rsidRPr="00F55A79" w:rsidR="00C34B28" w:rsidP="00FB7D25" w:rsidRDefault="00C34B28" w14:paraId="43FB839A" w14:textId="69F92D8C">
      <w:pPr>
        <w:pStyle w:val="FoF"/>
        <w:rPr>
          <w:color w:val="000000" w:themeColor="text1"/>
        </w:rPr>
      </w:pPr>
      <w:r w:rsidRPr="00F55A79">
        <w:rPr>
          <w:color w:val="000000" w:themeColor="text1"/>
        </w:rPr>
        <w:t xml:space="preserve">With conditions, the proposed transaction meets the requirements of Section 854(b)(3). </w:t>
      </w:r>
    </w:p>
    <w:p w:rsidRPr="00F55A79" w:rsidR="00C34B28" w:rsidP="00FB7D25" w:rsidRDefault="00C34B28" w14:paraId="1FA4CA0E" w14:textId="1B0D089F">
      <w:pPr>
        <w:pStyle w:val="FoF"/>
        <w:rPr>
          <w:color w:val="000000" w:themeColor="text1"/>
        </w:rPr>
      </w:pPr>
      <w:r w:rsidRPr="00F55A79">
        <w:rPr>
          <w:color w:val="000000" w:themeColor="text1"/>
        </w:rPr>
        <w:t>Under certain conditions, the proposed transaction meets the requirement of Section 854(c)(1) that the transaction would maintain or improve the financial condition of the resulting public utility doing business in the state.</w:t>
      </w:r>
    </w:p>
    <w:p w:rsidRPr="00F55A79" w:rsidR="00604BCC" w:rsidP="00FB7D25" w:rsidRDefault="00604BCC" w14:paraId="04A88A1D" w14:textId="61D06AFC">
      <w:pPr>
        <w:pStyle w:val="FoF"/>
      </w:pPr>
      <w:r w:rsidRPr="00F55A79">
        <w:t>I.19-12-009, which investigated the lack of customer support provided during migration of customers from Verizon to Frontier in 2016 and large</w:t>
      </w:r>
      <w:r w:rsidRPr="00F55A79" w:rsidR="002B115B">
        <w:t>-</w:t>
      </w:r>
      <w:r w:rsidRPr="00F55A79">
        <w:t xml:space="preserve">scale outages, imposed a </w:t>
      </w:r>
      <w:r w:rsidRPr="00F55A79">
        <w:rPr>
          <w:color w:val="000000" w:themeColor="text1"/>
        </w:rPr>
        <w:t>$1,454,000 penalty for outages and service interruptions during the migration</w:t>
      </w:r>
      <w:r w:rsidRPr="00F55A79">
        <w:t>.</w:t>
      </w:r>
    </w:p>
    <w:p w:rsidRPr="00F55A79" w:rsidR="00C34B28" w:rsidP="00C34B28" w:rsidRDefault="00C34B28" w14:paraId="1A0677AF" w14:textId="0BAB2230">
      <w:pPr>
        <w:pStyle w:val="FoF"/>
        <w:rPr>
          <w:color w:val="000000" w:themeColor="text1"/>
        </w:rPr>
      </w:pPr>
      <w:r w:rsidRPr="00F55A79">
        <w:rPr>
          <w:color w:val="000000" w:themeColor="text1"/>
        </w:rPr>
        <w:t>Since 2018, the C</w:t>
      </w:r>
      <w:r w:rsidRPr="00F55A79" w:rsidR="00D624B1">
        <w:rPr>
          <w:color w:val="000000" w:themeColor="text1"/>
        </w:rPr>
        <w:t>ommission</w:t>
      </w:r>
      <w:r w:rsidRPr="00F55A79">
        <w:rPr>
          <w:color w:val="000000" w:themeColor="text1"/>
        </w:rPr>
        <w:t xml:space="preserve"> has fined Frontier a total of more than $6.5</w:t>
      </w:r>
      <w:r w:rsidRPr="00F55A79" w:rsidR="00D624B1">
        <w:rPr>
          <w:color w:val="000000" w:themeColor="text1"/>
        </w:rPr>
        <w:t xml:space="preserve"> million</w:t>
      </w:r>
      <w:r w:rsidRPr="00F55A79">
        <w:rPr>
          <w:color w:val="000000" w:themeColor="text1"/>
        </w:rPr>
        <w:t xml:space="preserve"> for failure to comply with GO 133 service quality performance for out of service repairs.</w:t>
      </w:r>
    </w:p>
    <w:p w:rsidRPr="00F55A79" w:rsidR="004E726C" w:rsidP="00C34B28" w:rsidRDefault="004E726C" w14:paraId="587E1D2D" w14:textId="619C2DBB">
      <w:pPr>
        <w:pStyle w:val="FoF"/>
      </w:pPr>
      <w:r w:rsidRPr="00F55A79">
        <w:t>Service quality is being considered in another open proceeding.</w:t>
      </w:r>
    </w:p>
    <w:p w:rsidRPr="00F55A79" w:rsidR="00C34B28" w:rsidP="00C34B28" w:rsidRDefault="00C34B28" w14:paraId="126C98C8" w14:textId="36867AC3">
      <w:pPr>
        <w:pStyle w:val="FoF"/>
      </w:pPr>
      <w:r w:rsidRPr="00F55A79">
        <w:t>To meet the requirements of Section 854(c)(2), under which the proposed transaction should maintain or improve the quality of service to public utility ratepayers in the state, certain conditions to ensure</w:t>
      </w:r>
      <w:r w:rsidRPr="00F55A79" w:rsidR="004E726C">
        <w:t xml:space="preserve"> network expansion,</w:t>
      </w:r>
      <w:r w:rsidRPr="00F55A79">
        <w:t xml:space="preserve"> </w:t>
      </w:r>
      <w:r w:rsidRPr="00F55A79" w:rsidR="004E726C">
        <w:t>available backup power, access to Verizon and Frontier personnel to assist with the transition</w:t>
      </w:r>
      <w:r w:rsidRPr="00F55A79" w:rsidR="00785C57">
        <w:t xml:space="preserve"> are required</w:t>
      </w:r>
      <w:r w:rsidRPr="00F55A79">
        <w:t>.</w:t>
      </w:r>
    </w:p>
    <w:p w:rsidRPr="00F55A79" w:rsidR="00C34B28" w:rsidP="00C34B28" w:rsidRDefault="004E726C" w14:paraId="5DB01C03" w14:textId="2658F874">
      <w:pPr>
        <w:pStyle w:val="FoF"/>
        <w:rPr>
          <w:color w:val="000000" w:themeColor="text1"/>
        </w:rPr>
      </w:pPr>
      <w:r w:rsidRPr="00F55A79">
        <w:rPr>
          <w:color w:val="000000" w:themeColor="text1"/>
        </w:rPr>
        <w:t xml:space="preserve">The proposed transaction would maintain or improve the quality of management of the resulting public utility and therefore meets the </w:t>
      </w:r>
      <w:r w:rsidRPr="00F55A79">
        <w:t xml:space="preserve">requirements of Section 854(c)(3). </w:t>
      </w:r>
      <w:r w:rsidRPr="00F55A79">
        <w:rPr>
          <w:color w:val="000000" w:themeColor="text1"/>
        </w:rPr>
        <w:t xml:space="preserve"> </w:t>
      </w:r>
    </w:p>
    <w:p w:rsidRPr="00F55A79" w:rsidR="004E726C" w:rsidP="009853EF" w:rsidRDefault="004E726C" w14:paraId="5F8132F7" w14:textId="389C12F6">
      <w:pPr>
        <w:pStyle w:val="FoF"/>
        <w:rPr>
          <w:color w:val="000000" w:themeColor="text1"/>
        </w:rPr>
      </w:pPr>
      <w:r w:rsidRPr="00F55A79">
        <w:rPr>
          <w:color w:val="000000" w:themeColor="text1"/>
        </w:rPr>
        <w:t>Pursuant to Section 854(c)(4), the CWA settlement agreement ensures the transaction would be fair and reasonable to affected Frontier union employees, but additional conditions are needed to ensure fairness for non-union employees.</w:t>
      </w:r>
    </w:p>
    <w:p w:rsidRPr="00F55A79" w:rsidR="004E726C" w:rsidP="009853EF" w:rsidRDefault="004E726C" w14:paraId="47800BE9" w14:textId="77777777">
      <w:pPr>
        <w:pStyle w:val="FoF"/>
        <w:rPr>
          <w:color w:val="000000" w:themeColor="text1"/>
        </w:rPr>
      </w:pPr>
      <w:r w:rsidRPr="00F55A79">
        <w:rPr>
          <w:color w:val="000000" w:themeColor="text1"/>
        </w:rPr>
        <w:lastRenderedPageBreak/>
        <w:t>Verizon’s and Frontier’s boards of directors have concluded that the transaction is in the interest of the shareholders of the respective companies.</w:t>
      </w:r>
    </w:p>
    <w:p w:rsidRPr="00F55A79" w:rsidR="004E726C" w:rsidP="009853EF" w:rsidRDefault="004E726C" w14:paraId="293C77CA" w14:textId="11FF50D1">
      <w:pPr>
        <w:pStyle w:val="FoF"/>
        <w:rPr>
          <w:color w:val="000000" w:themeColor="text1"/>
        </w:rPr>
      </w:pPr>
      <w:r w:rsidRPr="00F55A79">
        <w:rPr>
          <w:color w:val="000000" w:themeColor="text1"/>
        </w:rPr>
        <w:t>The proposed transaction meets the requirements of Section 854(c)(5).</w:t>
      </w:r>
    </w:p>
    <w:p w:rsidRPr="00F55A79" w:rsidR="00FB7D25" w:rsidP="00FB7D25" w:rsidRDefault="00FB7D25" w14:paraId="5A54CFC6" w14:textId="77777777">
      <w:pPr>
        <w:pStyle w:val="FoF"/>
      </w:pPr>
      <w:r w:rsidRPr="00F55A79">
        <w:t>The proposed transaction meets the requirements of Section 854(c)(6) when taking into account the settlement agreements and conditions described herein.</w:t>
      </w:r>
    </w:p>
    <w:p w:rsidRPr="00F55A79" w:rsidR="00FB7D25" w:rsidP="00FB7D25" w:rsidRDefault="00FB7D25" w14:paraId="3E22A60D" w14:textId="1C5517DE">
      <w:pPr>
        <w:pStyle w:val="FoF"/>
        <w:rPr>
          <w:color w:val="000000" w:themeColor="text1"/>
        </w:rPr>
      </w:pPr>
      <w:r w:rsidRPr="00F55A79">
        <w:rPr>
          <w:color w:val="000000" w:themeColor="text1"/>
        </w:rPr>
        <w:t>Following the transaction, Verizon and Frontier will continue to operate under their existing authorities, provide the same services as before the transaction, and remain under the same jurisdiction.</w:t>
      </w:r>
    </w:p>
    <w:p w:rsidRPr="00F55A79" w:rsidR="00FB7D25" w:rsidP="00FB7D25" w:rsidRDefault="00FB7D25" w14:paraId="4CB756AB" w14:textId="7907DFD3">
      <w:pPr>
        <w:pStyle w:val="FoF"/>
      </w:pPr>
      <w:r w:rsidRPr="00F55A79">
        <w:rPr>
          <w:color w:val="000000" w:themeColor="text1"/>
        </w:rPr>
        <w:t>The proposed transaction would preserve the jurisdiction of the Commission and the capacity of the Commission to effectively regulate and audit public utility operations in the state, pursuant to Section 854(c)(7).</w:t>
      </w:r>
    </w:p>
    <w:p w:rsidRPr="00F55A79" w:rsidR="00FB7D25" w:rsidP="009853EF" w:rsidRDefault="00FB7D25" w14:paraId="64DFDD6C" w14:textId="373F95CA">
      <w:pPr>
        <w:pStyle w:val="FoF"/>
        <w:rPr>
          <w:color w:val="000000" w:themeColor="text1"/>
        </w:rPr>
      </w:pPr>
      <w:r w:rsidRPr="00F55A79">
        <w:rPr>
          <w:color w:val="000000" w:themeColor="text1"/>
        </w:rPr>
        <w:t>Given the breadth of concerns raised by non-settling parties, mitigation measures to prevent adverse consequences pursuant to Section 854(c)(8)</w:t>
      </w:r>
      <w:r w:rsidRPr="00F55A79" w:rsidR="00785C57">
        <w:rPr>
          <w:color w:val="000000" w:themeColor="text1"/>
        </w:rPr>
        <w:t xml:space="preserve"> are required</w:t>
      </w:r>
      <w:r w:rsidRPr="00F55A79">
        <w:rPr>
          <w:color w:val="000000" w:themeColor="text1"/>
        </w:rPr>
        <w:t>.</w:t>
      </w:r>
    </w:p>
    <w:p w:rsidRPr="00F55A79" w:rsidR="00BD3876" w:rsidP="009853EF" w:rsidRDefault="00BD3876" w14:paraId="0DC3E91C" w14:textId="281FCDEB">
      <w:pPr>
        <w:pStyle w:val="FoF"/>
        <w:rPr>
          <w:color w:val="000000" w:themeColor="text1"/>
        </w:rPr>
      </w:pPr>
      <w:r w:rsidRPr="00F55A79">
        <w:rPr>
          <w:color w:val="000000" w:themeColor="text1"/>
        </w:rPr>
        <w:t>Environmental and Social Justice impacts of the proposed transaction can be mitigated with the adoption of conditions described herein.</w:t>
      </w:r>
    </w:p>
    <w:p w:rsidRPr="00F55A79" w:rsidR="00FB7D25" w:rsidP="009853EF" w:rsidRDefault="00FB7D25" w14:paraId="5F887A78" w14:textId="77777777">
      <w:pPr>
        <w:pStyle w:val="FoF"/>
        <w:rPr>
          <w:color w:val="000000" w:themeColor="text1"/>
        </w:rPr>
      </w:pPr>
      <w:r w:rsidRPr="00F55A79">
        <w:rPr>
          <w:color w:val="000000" w:themeColor="text1"/>
        </w:rPr>
        <w:t xml:space="preserve">There is potential for the Joint Applicants to evade their obligations and that stringent monitoring and enforcement are needed to ensure this transaction is in the public interest. </w:t>
      </w:r>
    </w:p>
    <w:p w:rsidRPr="00F55A79" w:rsidR="00FB7D25" w:rsidP="00D624B1" w:rsidRDefault="00FB7D25" w14:paraId="224DE657" w14:textId="6626011D">
      <w:pPr>
        <w:pStyle w:val="FoF"/>
        <w:rPr>
          <w:color w:val="000000" w:themeColor="text1"/>
        </w:rPr>
      </w:pPr>
      <w:r w:rsidRPr="00F55A79">
        <w:rPr>
          <w:color w:val="000000" w:themeColor="text1"/>
        </w:rPr>
        <w:t>Frontier has not met all of its prior obligations, including Lifeline commitments in D.21-11-030 and tribal commitments from D.21-04-008.</w:t>
      </w:r>
    </w:p>
    <w:p w:rsidRPr="00F55A79" w:rsidR="009853EF" w:rsidP="009853EF" w:rsidRDefault="009853EF" w14:paraId="6A24351B" w14:textId="26291519">
      <w:pPr>
        <w:pStyle w:val="FoF"/>
        <w:rPr>
          <w:color w:val="000000" w:themeColor="text1"/>
        </w:rPr>
      </w:pPr>
      <w:r w:rsidRPr="00F55A79">
        <w:rPr>
          <w:color w:val="000000" w:themeColor="text1"/>
        </w:rPr>
        <w:t xml:space="preserve">The </w:t>
      </w:r>
      <w:r w:rsidRPr="00F55A79" w:rsidR="00541148">
        <w:rPr>
          <w:color w:val="000000" w:themeColor="text1"/>
        </w:rPr>
        <w:t>August 28</w:t>
      </w:r>
      <w:r w:rsidRPr="00F55A79">
        <w:rPr>
          <w:color w:val="000000" w:themeColor="text1"/>
        </w:rPr>
        <w:t xml:space="preserve">, </w:t>
      </w:r>
      <w:r w:rsidRPr="00F55A79" w:rsidR="002B07D4">
        <w:rPr>
          <w:color w:val="000000" w:themeColor="text1"/>
        </w:rPr>
        <w:t xml:space="preserve">2025 </w:t>
      </w:r>
      <w:r w:rsidRPr="00F55A79" w:rsidR="00541148">
        <w:rPr>
          <w:color w:val="000000" w:themeColor="text1"/>
        </w:rPr>
        <w:t xml:space="preserve">Memorandum of Understanding </w:t>
      </w:r>
      <w:r w:rsidRPr="00F55A79">
        <w:rPr>
          <w:color w:val="000000" w:themeColor="text1"/>
        </w:rPr>
        <w:t xml:space="preserve">between Verizon and </w:t>
      </w:r>
      <w:r w:rsidRPr="00F55A79" w:rsidR="002B07D4">
        <w:rPr>
          <w:color w:val="000000" w:themeColor="text1"/>
        </w:rPr>
        <w:t xml:space="preserve">the </w:t>
      </w:r>
      <w:r w:rsidRPr="00F55A79">
        <w:rPr>
          <w:color w:val="000000" w:themeColor="text1"/>
        </w:rPr>
        <w:t xml:space="preserve">CETF is reasonable in light of the whole record, consistent with law, and in the public interest.  </w:t>
      </w:r>
    </w:p>
    <w:p w:rsidRPr="00F55A79" w:rsidR="007B7B74" w:rsidP="007B7B74" w:rsidRDefault="007B7B74" w14:paraId="56F50B4A" w14:textId="53368420">
      <w:pPr>
        <w:pStyle w:val="FoF"/>
        <w:rPr>
          <w:color w:val="000000" w:themeColor="text1"/>
        </w:rPr>
      </w:pPr>
      <w:r w:rsidRPr="00F55A79">
        <w:rPr>
          <w:color w:val="000000" w:themeColor="text1"/>
        </w:rPr>
        <w:lastRenderedPageBreak/>
        <w:t xml:space="preserve">The </w:t>
      </w:r>
      <w:r w:rsidRPr="00F55A79" w:rsidR="009853EF">
        <w:rPr>
          <w:color w:val="000000" w:themeColor="text1"/>
        </w:rPr>
        <w:t xml:space="preserve">September 3, 2025 Settlement Agreement between Verizon and Cal Advocates </w:t>
      </w:r>
      <w:r w:rsidRPr="00F55A79">
        <w:rPr>
          <w:color w:val="000000" w:themeColor="text1"/>
        </w:rPr>
        <w:t xml:space="preserve">is reasonable in light of the whole record, consistent with law, and in the public interest.  </w:t>
      </w:r>
    </w:p>
    <w:p w:rsidRPr="00F55A79" w:rsidR="009853EF" w:rsidP="009853EF" w:rsidRDefault="009853EF" w14:paraId="653ABBAE" w14:textId="59475B56">
      <w:pPr>
        <w:pStyle w:val="FoF"/>
        <w:rPr>
          <w:color w:val="000000" w:themeColor="text1"/>
        </w:rPr>
      </w:pPr>
      <w:r w:rsidRPr="00F55A79">
        <w:rPr>
          <w:color w:val="000000" w:themeColor="text1"/>
        </w:rPr>
        <w:t xml:space="preserve">The September </w:t>
      </w:r>
      <w:r w:rsidRPr="00F55A79" w:rsidR="00A62A7F">
        <w:rPr>
          <w:color w:val="000000" w:themeColor="text1"/>
        </w:rPr>
        <w:t>4</w:t>
      </w:r>
      <w:r w:rsidRPr="00F55A79">
        <w:rPr>
          <w:color w:val="000000" w:themeColor="text1"/>
        </w:rPr>
        <w:t xml:space="preserve">, 2025 Settlement Agreement between Verizon and CWA is reasonable in light of the whole record, consistent with law, and in the public interest.  </w:t>
      </w:r>
    </w:p>
    <w:p w:rsidRPr="00F55A79" w:rsidR="00D352BE" w:rsidP="00D352BE" w:rsidRDefault="00D352BE" w14:paraId="02D512AD" w14:textId="77777777">
      <w:pPr>
        <w:pStyle w:val="FoF"/>
        <w:rPr>
          <w:color w:val="000000" w:themeColor="text1"/>
        </w:rPr>
      </w:pPr>
      <w:r w:rsidRPr="00F55A79">
        <w:rPr>
          <w:color w:val="000000" w:themeColor="text1"/>
        </w:rPr>
        <w:t>Additional conditions are needed to ensure that the proposed transaction meets the requirements of Pub. Util. Code Section 854.</w:t>
      </w:r>
    </w:p>
    <w:p w:rsidRPr="00F55A79" w:rsidR="007B7B74" w:rsidP="001E2A62" w:rsidRDefault="000C03F3" w14:paraId="582C7EC1" w14:textId="16762AB6">
      <w:pPr>
        <w:pStyle w:val="FoF"/>
        <w:rPr>
          <w:color w:val="000000" w:themeColor="text1"/>
        </w:rPr>
      </w:pPr>
      <w:r w:rsidRPr="00F55A79">
        <w:rPr>
          <w:color w:val="000000" w:themeColor="text1"/>
        </w:rPr>
        <w:t>The proposed transaction meets the requirements of Pub. Util. Code Section 854</w:t>
      </w:r>
      <w:r w:rsidRPr="00F55A79" w:rsidR="00FA5F8C">
        <w:rPr>
          <w:color w:val="000000" w:themeColor="text1"/>
        </w:rPr>
        <w:t xml:space="preserve"> with the adoption o</w:t>
      </w:r>
      <w:r w:rsidRPr="00F55A79" w:rsidR="00D352BE">
        <w:rPr>
          <w:color w:val="000000" w:themeColor="text1"/>
        </w:rPr>
        <w:t xml:space="preserve">f the settlement agreements and </w:t>
      </w:r>
      <w:r w:rsidRPr="00F55A79">
        <w:rPr>
          <w:color w:val="000000" w:themeColor="text1"/>
        </w:rPr>
        <w:t xml:space="preserve">under </w:t>
      </w:r>
      <w:r w:rsidRPr="00F55A79" w:rsidR="00E93B89">
        <w:rPr>
          <w:color w:val="000000" w:themeColor="text1"/>
        </w:rPr>
        <w:t xml:space="preserve">conditions contained herein. </w:t>
      </w:r>
    </w:p>
    <w:p w:rsidRPr="00F55A79" w:rsidR="005939A5" w:rsidP="005939A5" w:rsidRDefault="005939A5" w14:paraId="62D312B8" w14:textId="77777777">
      <w:pPr>
        <w:pStyle w:val="Dummy"/>
      </w:pPr>
      <w:bookmarkStart w:name="_Toc8123726" w:id="232"/>
      <w:bookmarkStart w:name="_Toc216163313" w:id="233"/>
      <w:r w:rsidRPr="00F55A79">
        <w:t>Conclusions of Law</w:t>
      </w:r>
      <w:bookmarkEnd w:id="232"/>
      <w:bookmarkEnd w:id="233"/>
    </w:p>
    <w:p w:rsidRPr="00F55A79" w:rsidR="00A93E4C" w:rsidP="00AA5CD0" w:rsidRDefault="00A93E4C" w14:paraId="3D91284F" w14:textId="6D93ADEB">
      <w:pPr>
        <w:pStyle w:val="CoL"/>
      </w:pPr>
      <w:r w:rsidRPr="00F55A79">
        <w:t xml:space="preserve">It is reasonable to grant, with conditions, the proposed parent-level transaction in which Verizon would acquire 100 percent of Frontier Parent, </w:t>
      </w:r>
      <w:r w:rsidRPr="00F55A79">
        <w:rPr>
          <w:color w:val="000000" w:themeColor="text1"/>
        </w:rPr>
        <w:t xml:space="preserve">Frontier Parent will become a wholly owned, direct subsidiary of Verizon, and the California subsidiaries </w:t>
      </w:r>
      <w:r w:rsidRPr="00F55A79">
        <w:t>would become indirect, wholly owned subsidiaries of Verizon.</w:t>
      </w:r>
    </w:p>
    <w:p w:rsidRPr="00F55A79" w:rsidR="00AA5CD0" w:rsidP="00AA5CD0" w:rsidRDefault="00AA5CD0" w14:paraId="65BEEF3B" w14:textId="5A7F8C38">
      <w:pPr>
        <w:pStyle w:val="CoL"/>
      </w:pPr>
      <w:r w:rsidRPr="00F55A79">
        <w:rPr>
          <w:color w:val="000000" w:themeColor="text1"/>
        </w:rPr>
        <w:t>It is reasonable to approve t</w:t>
      </w:r>
      <w:r w:rsidRPr="00F55A79">
        <w:t xml:space="preserve">he August 28, 2025 Memorandum of Understanding between Verizon Communications Inc. (Verizon) and the California Emerging Technology Fund (CETF) </w:t>
      </w:r>
      <w:r w:rsidRPr="00F55A79" w:rsidR="00E37457">
        <w:t>because it is</w:t>
      </w:r>
      <w:r w:rsidRPr="00F55A79">
        <w:t xml:space="preserve"> reasonable in light of the whole record, consistent with law, and in the public interest.  </w:t>
      </w:r>
    </w:p>
    <w:p w:rsidRPr="00F55A79" w:rsidR="00AA5CD0" w:rsidP="00AA5CD0" w:rsidRDefault="00AA5CD0" w14:paraId="68ECA0BE" w14:textId="5FEAF65A">
      <w:pPr>
        <w:pStyle w:val="CoL"/>
      </w:pPr>
      <w:r w:rsidRPr="00F55A79">
        <w:rPr>
          <w:color w:val="000000" w:themeColor="text1"/>
        </w:rPr>
        <w:t>It is reasonable to approve t</w:t>
      </w:r>
      <w:r w:rsidRPr="00F55A79">
        <w:t xml:space="preserve">he September 3, 2025 Settlement Agreement between Verizon Communications Inc. (Verizon) and the Public Advocates Office at the California Public Utilities Commission (Cal Advocates) </w:t>
      </w:r>
      <w:r w:rsidRPr="00F55A79" w:rsidR="00E37457">
        <w:t xml:space="preserve">because it </w:t>
      </w:r>
      <w:r w:rsidRPr="00F55A79">
        <w:t xml:space="preserve">is reasonable in light of the whole record, consistent with law, and in the public interest.  </w:t>
      </w:r>
    </w:p>
    <w:p w:rsidRPr="00F55A79" w:rsidR="00AA5CD0" w:rsidP="00FB7D25" w:rsidRDefault="00AA5CD0" w14:paraId="29EAB002" w14:textId="2403E951">
      <w:pPr>
        <w:pStyle w:val="CoL"/>
        <w:rPr>
          <w:color w:val="000000" w:themeColor="text1"/>
        </w:rPr>
      </w:pPr>
      <w:r w:rsidRPr="00F55A79">
        <w:rPr>
          <w:color w:val="000000" w:themeColor="text1"/>
        </w:rPr>
        <w:lastRenderedPageBreak/>
        <w:t>It is reasonable to approve t</w:t>
      </w:r>
      <w:r w:rsidRPr="00F55A79">
        <w:t>he September 4, 2025 Settlement Agreement between Verizon Communications Inc. (Verizon) and Communications Workers of America, District 9 (CWA)</w:t>
      </w:r>
      <w:r w:rsidRPr="00F55A79" w:rsidR="00E37457">
        <w:t xml:space="preserve"> because it</w:t>
      </w:r>
      <w:r w:rsidRPr="00F55A79">
        <w:t xml:space="preserve"> is reasonable in light of the whole record, consistent with law, and in the public interest. </w:t>
      </w:r>
    </w:p>
    <w:p w:rsidRPr="00F55A79" w:rsidR="00932865" w:rsidP="00FB7D25" w:rsidRDefault="00FD61F3" w14:paraId="56821A7F" w14:textId="5BA4C501">
      <w:pPr>
        <w:pStyle w:val="CoL"/>
        <w:rPr>
          <w:color w:val="000000" w:themeColor="text1"/>
        </w:rPr>
      </w:pPr>
      <w:r w:rsidRPr="00F55A79">
        <w:rPr>
          <w:color w:val="000000" w:themeColor="text1"/>
        </w:rPr>
        <w:t xml:space="preserve">It is reasonable to </w:t>
      </w:r>
      <w:r w:rsidRPr="00F55A79" w:rsidR="00D352BE">
        <w:rPr>
          <w:color w:val="000000" w:themeColor="text1"/>
        </w:rPr>
        <w:t xml:space="preserve">approve the </w:t>
      </w:r>
      <w:r w:rsidRPr="00F55A79" w:rsidR="00AA5CD0">
        <w:rPr>
          <w:rFonts w:cs="Arial"/>
          <w:color w:val="000000" w:themeColor="text1"/>
          <w:szCs w:val="26"/>
        </w:rPr>
        <w:t xml:space="preserve">Joint Application of Verizon Communications Inc., Frontier Communications Parent, Inc., Frontier California Inc., Citizens Telecommunications Company of California Inc., Frontier Communications of the Southwest Inc., Frontier Communications Online and Long Distance Inc., and Frontier Communications of America, Inc. for Approval of the Transfer of Control of Frontier California Inc. (U1002C), Citizens Telecommunications Company of California (U1024C), Frontier Communications of the Southwest Inc. (U1026C), Frontier Communications Online and Long Distance Inc. (U7167C), and Frontier Communications of America, Inc. (U5429C), to Verizon Communications Inc. </w:t>
      </w:r>
      <w:r w:rsidRPr="00F55A79" w:rsidR="00E37457">
        <w:rPr>
          <w:rFonts w:cs="Arial"/>
          <w:color w:val="000000" w:themeColor="text1"/>
          <w:szCs w:val="26"/>
        </w:rPr>
        <w:t>p</w:t>
      </w:r>
      <w:r w:rsidRPr="00F55A79" w:rsidR="00AA5CD0">
        <w:rPr>
          <w:rFonts w:cs="Arial"/>
          <w:color w:val="000000" w:themeColor="text1"/>
          <w:szCs w:val="26"/>
        </w:rPr>
        <w:t>ursuant to California Public Utilities Code Section 854.</w:t>
      </w:r>
    </w:p>
    <w:p w:rsidRPr="00F55A79" w:rsidR="00932865" w:rsidP="001E2A62" w:rsidRDefault="00AA5CD0" w14:paraId="583F6B6D" w14:textId="0C65CA12">
      <w:pPr>
        <w:pStyle w:val="CoL"/>
        <w:rPr>
          <w:color w:val="000000" w:themeColor="text1"/>
        </w:rPr>
      </w:pPr>
      <w:r w:rsidRPr="00F55A79">
        <w:rPr>
          <w:color w:val="000000" w:themeColor="text1"/>
        </w:rPr>
        <w:t xml:space="preserve">It is reasonable to require additional </w:t>
      </w:r>
      <w:r w:rsidRPr="00F55A79" w:rsidR="00E37457">
        <w:rPr>
          <w:color w:val="000000" w:themeColor="text1"/>
        </w:rPr>
        <w:t>mitigation measures</w:t>
      </w:r>
      <w:r w:rsidRPr="00F55A79">
        <w:rPr>
          <w:color w:val="000000" w:themeColor="text1"/>
        </w:rPr>
        <w:t xml:space="preserve"> for the approval of the </w:t>
      </w:r>
      <w:r w:rsidRPr="00F55A79" w:rsidR="00BD35CB">
        <w:rPr>
          <w:color w:val="000000" w:themeColor="text1"/>
        </w:rPr>
        <w:t>Joint Application.</w:t>
      </w:r>
    </w:p>
    <w:p w:rsidRPr="00F55A79" w:rsidR="008F143D" w:rsidP="00D44DB6" w:rsidRDefault="00BD35CB" w14:paraId="14092704" w14:textId="16750512">
      <w:pPr>
        <w:pStyle w:val="CoL"/>
        <w:rPr>
          <w:color w:val="000000" w:themeColor="text1"/>
        </w:rPr>
      </w:pPr>
      <w:r w:rsidRPr="00F55A79">
        <w:rPr>
          <w:color w:val="000000" w:themeColor="text1"/>
        </w:rPr>
        <w:t xml:space="preserve">The conditions detailed in </w:t>
      </w:r>
      <w:r w:rsidRPr="00F55A79" w:rsidR="00775210">
        <w:rPr>
          <w:color w:val="000000" w:themeColor="text1"/>
        </w:rPr>
        <w:t xml:space="preserve">Ordering Paragraphs </w:t>
      </w:r>
      <w:r w:rsidRPr="00F55A79" w:rsidR="00E37457">
        <w:rPr>
          <w:color w:val="000000" w:themeColor="text1"/>
        </w:rPr>
        <w:t>2</w:t>
      </w:r>
      <w:r w:rsidRPr="00F55A79" w:rsidR="00775210">
        <w:rPr>
          <w:color w:val="000000" w:themeColor="text1"/>
        </w:rPr>
        <w:t>-</w:t>
      </w:r>
      <w:r w:rsidRPr="00F55A79" w:rsidR="00E37457">
        <w:rPr>
          <w:color w:val="000000" w:themeColor="text1"/>
        </w:rPr>
        <w:t>3</w:t>
      </w:r>
      <w:r w:rsidRPr="00F55A79" w:rsidR="00F55A79">
        <w:rPr>
          <w:color w:val="000000" w:themeColor="text1"/>
        </w:rPr>
        <w:t>1</w:t>
      </w:r>
      <w:r w:rsidRPr="00F55A79">
        <w:rPr>
          <w:color w:val="000000" w:themeColor="text1"/>
        </w:rPr>
        <w:t xml:space="preserve"> are reasonable.</w:t>
      </w:r>
    </w:p>
    <w:p w:rsidRPr="00F55A79" w:rsidR="00BB0243" w:rsidP="000A6E05" w:rsidRDefault="005939A5" w14:paraId="3E2A85F1" w14:textId="77777777">
      <w:pPr>
        <w:pStyle w:val="Mainex"/>
      </w:pPr>
      <w:bookmarkStart w:name="_Toc216163314" w:id="234"/>
      <w:r w:rsidRPr="00F55A79">
        <w:t>O</w:t>
      </w:r>
      <w:r w:rsidRPr="00F55A79" w:rsidR="00722850">
        <w:t>RDER</w:t>
      </w:r>
      <w:bookmarkEnd w:id="234"/>
    </w:p>
    <w:p w:rsidRPr="00F55A79" w:rsidR="00BB0243" w:rsidP="000A6E05" w:rsidRDefault="00BB0243" w14:paraId="00613EF4" w14:textId="77777777">
      <w:pPr>
        <w:keepNext/>
      </w:pPr>
      <w:r w:rsidRPr="00F55A79">
        <w:rPr>
          <w:b/>
        </w:rPr>
        <w:t>IT IS ORDERED</w:t>
      </w:r>
      <w:r w:rsidRPr="00F55A79">
        <w:t xml:space="preserve"> that:</w:t>
      </w:r>
    </w:p>
    <w:p w:rsidRPr="00F55A79" w:rsidR="00B1274B" w:rsidP="00FB7D25" w:rsidRDefault="00B1274B" w14:paraId="1A47A558" w14:textId="636D5926">
      <w:pPr>
        <w:pStyle w:val="OP"/>
        <w:rPr>
          <w:color w:val="000000" w:themeColor="text1"/>
        </w:rPr>
      </w:pPr>
      <w:r w:rsidRPr="00F55A79">
        <w:rPr>
          <w:color w:val="000000" w:themeColor="text1"/>
        </w:rPr>
        <w:t xml:space="preserve">Pursuant to California Public Utilities Code Section 854, </w:t>
      </w:r>
      <w:r w:rsidRPr="00F55A79" w:rsidR="00F25E16">
        <w:rPr>
          <w:rFonts w:cs="Arial"/>
          <w:color w:val="000000" w:themeColor="text1"/>
          <w:szCs w:val="26"/>
        </w:rPr>
        <w:t>a</w:t>
      </w:r>
      <w:r w:rsidRPr="00F55A79" w:rsidR="00180107">
        <w:rPr>
          <w:rFonts w:cs="Arial"/>
          <w:color w:val="000000" w:themeColor="text1"/>
          <w:szCs w:val="26"/>
        </w:rPr>
        <w:t xml:space="preserve">pproval of the </w:t>
      </w:r>
      <w:r w:rsidRPr="00F55A79" w:rsidR="00F25E16">
        <w:rPr>
          <w:rFonts w:cs="Arial"/>
          <w:color w:val="000000" w:themeColor="text1"/>
          <w:szCs w:val="26"/>
        </w:rPr>
        <w:t>t</w:t>
      </w:r>
      <w:r w:rsidRPr="00F55A79" w:rsidR="00180107">
        <w:rPr>
          <w:rFonts w:cs="Arial"/>
          <w:color w:val="000000" w:themeColor="text1"/>
          <w:szCs w:val="26"/>
        </w:rPr>
        <w:t xml:space="preserve">ransfer of </w:t>
      </w:r>
      <w:r w:rsidRPr="00F55A79" w:rsidR="00F25E16">
        <w:rPr>
          <w:rFonts w:cs="Arial"/>
          <w:color w:val="000000" w:themeColor="text1"/>
          <w:szCs w:val="26"/>
        </w:rPr>
        <w:t>c</w:t>
      </w:r>
      <w:r w:rsidRPr="00F55A79" w:rsidR="00180107">
        <w:rPr>
          <w:rFonts w:cs="Arial"/>
          <w:color w:val="000000" w:themeColor="text1"/>
          <w:szCs w:val="26"/>
        </w:rPr>
        <w:t xml:space="preserve">ontrol of Frontier California Inc. (U1002C), Citizens Telecommunications Company of California (U1024C), Frontier Communications of the Southwest Inc. (U1026C), Frontier Communications Online and Long Distance Inc. (U7167C), and Frontier Communications of America, Inc. (U5429C), </w:t>
      </w:r>
      <w:r w:rsidRPr="00F55A79" w:rsidR="00180107">
        <w:rPr>
          <w:rFonts w:cs="Arial"/>
          <w:color w:val="000000" w:themeColor="text1"/>
          <w:szCs w:val="26"/>
        </w:rPr>
        <w:lastRenderedPageBreak/>
        <w:t xml:space="preserve">to Verizon Communications Inc. </w:t>
      </w:r>
      <w:r w:rsidRPr="00F55A79">
        <w:rPr>
          <w:color w:val="000000" w:themeColor="text1"/>
        </w:rPr>
        <w:t xml:space="preserve">is </w:t>
      </w:r>
      <w:r w:rsidRPr="00F55A79" w:rsidR="006778F3">
        <w:rPr>
          <w:color w:val="000000" w:themeColor="text1"/>
        </w:rPr>
        <w:t>granted</w:t>
      </w:r>
      <w:r w:rsidRPr="00F55A79">
        <w:rPr>
          <w:color w:val="000000" w:themeColor="text1"/>
        </w:rPr>
        <w:t xml:space="preserve">, subject to the </w:t>
      </w:r>
      <w:r w:rsidRPr="00F55A79" w:rsidR="006778F3">
        <w:rPr>
          <w:color w:val="000000" w:themeColor="text1"/>
        </w:rPr>
        <w:t>requirements as stated herein</w:t>
      </w:r>
      <w:r w:rsidRPr="00F55A79">
        <w:rPr>
          <w:color w:val="000000" w:themeColor="text1"/>
        </w:rPr>
        <w:t>.</w:t>
      </w:r>
    </w:p>
    <w:p w:rsidR="00301AF9" w:rsidP="00BF7D0A" w:rsidRDefault="00301AF9" w14:paraId="0E26FE38" w14:textId="7E7672A1">
      <w:pPr>
        <w:pStyle w:val="OP"/>
      </w:pPr>
      <w:r w:rsidRPr="00301AF9">
        <w:t xml:space="preserve">Within </w:t>
      </w:r>
      <w:r w:rsidR="00782006">
        <w:t>7</w:t>
      </w:r>
      <w:r w:rsidRPr="00301AF9">
        <w:t xml:space="preserve"> years after transfer of control, Verizon Communications Inc. (Verizon) shall deploy broadband infrastructure to all wire centers identified in Appendix D and offer broadband service plans capable of 100</w:t>
      </w:r>
      <w:r w:rsidR="00BF7D0A">
        <w:t xml:space="preserve"> megabits per second</w:t>
      </w:r>
      <w:r w:rsidRPr="00301AF9">
        <w:t xml:space="preserve"> </w:t>
      </w:r>
      <w:r w:rsidR="00BF7D0A">
        <w:t>(</w:t>
      </w:r>
      <w:r w:rsidR="000B547F">
        <w:t>m</w:t>
      </w:r>
      <w:r w:rsidRPr="00301AF9">
        <w:t>bps</w:t>
      </w:r>
      <w:r w:rsidR="00BF7D0A">
        <w:t>)</w:t>
      </w:r>
      <w:r w:rsidRPr="00301AF9">
        <w:t xml:space="preserve"> download and 20 </w:t>
      </w:r>
      <w:r w:rsidR="00BF7D0A">
        <w:t>m</w:t>
      </w:r>
      <w:r w:rsidRPr="00301AF9">
        <w:t>bps upload or greater to all locations served by those wire centers, subject to the following exceptions:</w:t>
      </w:r>
    </w:p>
    <w:p w:rsidR="00092F8D" w:rsidP="00EA27C8" w:rsidRDefault="00092F8D" w14:paraId="420072EB" w14:textId="651BE78B">
      <w:pPr>
        <w:pStyle w:val="OP"/>
        <w:numPr>
          <w:ilvl w:val="0"/>
          <w:numId w:val="81"/>
        </w:numPr>
      </w:pPr>
      <w:r>
        <w:t>Deployment is not required for any locations served by another terrestrial high-speed broadband provider, awarded broadband infrastructure grant funding by federal/state grant programs, or to which no customer has requested broadband service.</w:t>
      </w:r>
    </w:p>
    <w:p w:rsidR="00CA75D2" w:rsidRDefault="00092F8D" w14:paraId="5FB4F75E" w14:textId="77777777">
      <w:pPr>
        <w:pStyle w:val="OP"/>
        <w:numPr>
          <w:ilvl w:val="0"/>
          <w:numId w:val="81"/>
        </w:numPr>
      </w:pPr>
      <w:r>
        <w:t>For any location where the fiber deployment cost would meet or exceed $10,000 and available fixed wireless service is not capable of 100 mbps download and 20 mbps upload speeds, Verizon may</w:t>
      </w:r>
      <w:r w:rsidR="00CA75D2">
        <w:t>:</w:t>
      </w:r>
    </w:p>
    <w:p w:rsidR="00CA75D2" w:rsidP="00EA27C8" w:rsidRDefault="00CA75D2" w14:paraId="21034CF4" w14:textId="5BDE2142">
      <w:pPr>
        <w:pStyle w:val="OP"/>
        <w:numPr>
          <w:ilvl w:val="0"/>
          <w:numId w:val="82"/>
        </w:numPr>
      </w:pPr>
      <w:r>
        <w:t>D</w:t>
      </w:r>
      <w:r w:rsidR="00092F8D">
        <w:t xml:space="preserve">eploy fixed wireless service capable of 85 mbps download and 10 mbps upload or, </w:t>
      </w:r>
    </w:p>
    <w:p w:rsidR="00092F8D" w:rsidP="00EA27C8" w:rsidRDefault="00CA75D2" w14:paraId="2645748B" w14:textId="6EB94D32">
      <w:pPr>
        <w:pStyle w:val="OP"/>
        <w:numPr>
          <w:ilvl w:val="0"/>
          <w:numId w:val="82"/>
        </w:numPr>
      </w:pPr>
      <w:r>
        <w:t>S</w:t>
      </w:r>
      <w:r w:rsidR="00092F8D">
        <w:t>ubject to Commission approval via Tier 2 Advice Letter, partner with an alternative service provider (e.g., a satellite provider) to deliver service</w:t>
      </w:r>
      <w:r>
        <w:t xml:space="preserve">.  </w:t>
      </w:r>
      <w:r w:rsidRPr="00E2684D" w:rsidR="00E2684D">
        <w:t xml:space="preserve">Verizon and Frontier </w:t>
      </w:r>
      <w:r>
        <w:t xml:space="preserve">shall </w:t>
      </w:r>
      <w:r w:rsidRPr="00E2684D" w:rsidR="00E2684D">
        <w:t>retain the billing relationship with the customer and responsibility to the Commission for compliance with this paragraph</w:t>
      </w:r>
      <w:r>
        <w:t>.</w:t>
      </w:r>
      <w:r w:rsidR="00092F8D">
        <w:t xml:space="preserve"> </w:t>
      </w:r>
      <w:r w:rsidR="00DA4B3D">
        <w:t xml:space="preserve"> </w:t>
      </w:r>
    </w:p>
    <w:p w:rsidR="00092F8D" w:rsidP="00EA27C8" w:rsidRDefault="00092F8D" w14:paraId="5194C3CC" w14:textId="32A2FFC8">
      <w:pPr>
        <w:pStyle w:val="OP"/>
        <w:numPr>
          <w:ilvl w:val="0"/>
          <w:numId w:val="81"/>
        </w:numPr>
      </w:pPr>
      <w:r>
        <w:t xml:space="preserve">Verizon may apply to federal and state grants to, in addition to utilizing their own capital funds, to deploy to these areas.  If Verizon submits bona fide applications to a state grant program for funding to support deployment to any location where the cost exceeds $3,500 (and Verizon agrees to bear at least $3,500 in costs to serve a location) and those </w:t>
      </w:r>
      <w:r>
        <w:lastRenderedPageBreak/>
        <w:t>applications are declined, Verizon is relieved of its obligation to serve those locations.</w:t>
      </w:r>
    </w:p>
    <w:p w:rsidR="00092F8D" w:rsidP="00EA27C8" w:rsidRDefault="00092F8D" w14:paraId="53285801" w14:textId="251E0B2F">
      <w:pPr>
        <w:pStyle w:val="OP"/>
        <w:numPr>
          <w:ilvl w:val="0"/>
          <w:numId w:val="81"/>
        </w:numPr>
      </w:pPr>
      <w:r>
        <w:t xml:space="preserve">Verizon </w:t>
      </w:r>
      <w:r w:rsidR="00F90529">
        <w:t xml:space="preserve">shall </w:t>
      </w:r>
      <w:r>
        <w:t>deploy 25 percent of the locations in the wire centers on closing by the end of year 3; and 50 percent by the end of year 5.</w:t>
      </w:r>
    </w:p>
    <w:p w:rsidR="007356A9" w:rsidP="00EA27C8" w:rsidRDefault="00092F8D" w14:paraId="52D7A87A" w14:textId="352CFB53">
      <w:pPr>
        <w:pStyle w:val="OP"/>
        <w:numPr>
          <w:ilvl w:val="0"/>
          <w:numId w:val="0"/>
        </w:numPr>
        <w:ind w:firstLine="540"/>
      </w:pPr>
      <w:r>
        <w:t>Verizon shall submit Tier 2 Advice Letters demonstrating compliance with applicable portions of subsections (B) and (D).</w:t>
      </w:r>
    </w:p>
    <w:p w:rsidRPr="00F55A79" w:rsidR="00A05130" w:rsidP="00EA27C8" w:rsidRDefault="00466152" w14:paraId="76D454AE" w14:textId="2D79B342">
      <w:pPr>
        <w:pStyle w:val="OP"/>
        <w:numPr>
          <w:ilvl w:val="0"/>
          <w:numId w:val="0"/>
        </w:numPr>
        <w:ind w:firstLine="540"/>
      </w:pPr>
      <w:r>
        <w:t xml:space="preserve"> </w:t>
      </w:r>
      <w:r w:rsidRPr="00466152">
        <w:t xml:space="preserve">Nothing in this </w:t>
      </w:r>
      <w:r>
        <w:t>Ordering P</w:t>
      </w:r>
      <w:r w:rsidRPr="00466152">
        <w:t xml:space="preserve">aragraph shall supersede any obligations pursuant to </w:t>
      </w:r>
      <w:r>
        <w:t>the Commission’s</w:t>
      </w:r>
      <w:r w:rsidRPr="00466152">
        <w:t xml:space="preserve"> service quality requirement or Carrier of Last Resort requirements.</w:t>
      </w:r>
    </w:p>
    <w:p w:rsidRPr="00F55A79" w:rsidR="00374CF8" w:rsidP="00237B70" w:rsidRDefault="00B36846" w14:paraId="2C82F2D1" w14:textId="0C9FD1EF">
      <w:pPr>
        <w:pStyle w:val="OP"/>
        <w:rPr>
          <w:color w:val="000000" w:themeColor="text1"/>
        </w:rPr>
      </w:pPr>
      <w:r w:rsidRPr="00F55A79">
        <w:rPr>
          <w:rFonts w:cs="Arial"/>
          <w:color w:val="000000" w:themeColor="text1"/>
          <w:szCs w:val="26"/>
        </w:rPr>
        <w:t>Verizon Communications Inc.</w:t>
      </w:r>
      <w:r w:rsidRPr="00F55A79">
        <w:rPr>
          <w:color w:val="000000" w:themeColor="text1"/>
        </w:rPr>
        <w:t xml:space="preserve"> </w:t>
      </w:r>
      <w:r w:rsidRPr="00F55A79" w:rsidR="00374CF8">
        <w:rPr>
          <w:color w:val="000000" w:themeColor="text1"/>
        </w:rPr>
        <w:t>shall provide fiber backhaul services, where available, on a non-discriminatory basis at market rates for projects receiving funding via California Advanced Service Fund, Federal Funding Account, Broadband Equity Accessibility and Deployment, Loan-Loss Reserve, and other broadband grants funded in whole or in part by the Commission, State of California, and/or federal government.</w:t>
      </w:r>
    </w:p>
    <w:p w:rsidRPr="00F55A79" w:rsidR="00237B70" w:rsidP="00237B70" w:rsidRDefault="00B36846" w14:paraId="6C7F2F7C" w14:textId="41AD3FC7">
      <w:pPr>
        <w:pStyle w:val="OP"/>
        <w:rPr>
          <w:color w:val="000000" w:themeColor="text1"/>
        </w:rPr>
      </w:pPr>
      <w:r w:rsidRPr="00F55A79">
        <w:rPr>
          <w:rFonts w:cs="Arial"/>
          <w:color w:val="000000" w:themeColor="text1"/>
          <w:szCs w:val="26"/>
        </w:rPr>
        <w:t>Verizon Communications Inc.</w:t>
      </w:r>
      <w:r w:rsidRPr="00F55A79">
        <w:rPr>
          <w:color w:val="000000" w:themeColor="text1"/>
        </w:rPr>
        <w:t xml:space="preserve"> </w:t>
      </w:r>
      <w:r w:rsidRPr="00F55A79" w:rsidR="00785C57">
        <w:rPr>
          <w:color w:val="000000" w:themeColor="text1"/>
        </w:rPr>
        <w:t xml:space="preserve">shall </w:t>
      </w:r>
      <w:r w:rsidRPr="00F55A79" w:rsidR="00237B70">
        <w:rPr>
          <w:color w:val="000000" w:themeColor="text1"/>
        </w:rPr>
        <w:t>contribute an aggregate of ten million dollars over a five-year period to support a workforce development program administered by California State University or another accredited California institution of higher education, including:  (1) establishment of and funding the Verizon Emerging Leader Initiative, the purpose of which is to advance career preparedness and student success for California students, (2) investment of $2,000,000 for each of the next five years to achieve the foregoing aggregate commitment, and (3) tracking these investments and reporting annually on the progress of the program in Verizon’s General Order 156 filings for the duration of the five-year commitment.</w:t>
      </w:r>
    </w:p>
    <w:p w:rsidRPr="00F55A79" w:rsidR="00F16419" w:rsidP="00237B70" w:rsidRDefault="00237B70" w14:paraId="296C3A84" w14:textId="3DB654CD">
      <w:pPr>
        <w:pStyle w:val="OP"/>
        <w:rPr>
          <w:color w:val="000000" w:themeColor="text1"/>
        </w:rPr>
      </w:pPr>
      <w:r w:rsidRPr="00F55A79">
        <w:rPr>
          <w:color w:val="000000" w:themeColor="text1"/>
        </w:rPr>
        <w:lastRenderedPageBreak/>
        <w:t xml:space="preserve">Upon request of the Commission, </w:t>
      </w:r>
      <w:r w:rsidRPr="00F55A79" w:rsidR="00B36846">
        <w:rPr>
          <w:rFonts w:cs="Arial"/>
          <w:color w:val="000000" w:themeColor="text1"/>
          <w:szCs w:val="26"/>
        </w:rPr>
        <w:t>Verizon Communications Inc.</w:t>
      </w:r>
      <w:r w:rsidRPr="00F55A79" w:rsidR="00B36846">
        <w:rPr>
          <w:color w:val="000000" w:themeColor="text1"/>
        </w:rPr>
        <w:t xml:space="preserve"> (Verizon)</w:t>
      </w:r>
      <w:r w:rsidRPr="00F55A79">
        <w:rPr>
          <w:color w:val="000000" w:themeColor="text1"/>
        </w:rPr>
        <w:t xml:space="preserve"> </w:t>
      </w:r>
      <w:r w:rsidRPr="00F55A79" w:rsidR="0079406D">
        <w:rPr>
          <w:color w:val="000000" w:themeColor="text1"/>
        </w:rPr>
        <w:t>s</w:t>
      </w:r>
      <w:r w:rsidRPr="00F55A79" w:rsidR="00D46CBB">
        <w:rPr>
          <w:color w:val="000000" w:themeColor="text1"/>
        </w:rPr>
        <w:t>ha</w:t>
      </w:r>
      <w:r w:rsidRPr="00F55A79">
        <w:rPr>
          <w:color w:val="000000" w:themeColor="text1"/>
        </w:rPr>
        <w:t>ll utilize its Employee Resource Groups, which are open to all Verizon employees, including union-represented employees, to facilitate the provision of supplementary qualitative information concerning the experience of Verizon’s California employees on a confidential basis.</w:t>
      </w:r>
    </w:p>
    <w:p w:rsidRPr="00F55A79" w:rsidR="006778F3" w:rsidP="00D624B1" w:rsidRDefault="006778F3" w14:paraId="01B30AAA" w14:textId="1D9D4C97">
      <w:pPr>
        <w:pStyle w:val="OP"/>
      </w:pPr>
      <w:r w:rsidRPr="00F55A79">
        <w:t>Within one year</w:t>
      </w:r>
      <w:r w:rsidRPr="00F55A79" w:rsidR="00D624B1">
        <w:t xml:space="preserve"> of the issuance date of this decision</w:t>
      </w:r>
      <w:r w:rsidRPr="00F55A79">
        <w:t xml:space="preserve">, </w:t>
      </w:r>
      <w:r w:rsidRPr="00F55A79" w:rsidR="00B36846">
        <w:rPr>
          <w:rFonts w:cs="Arial"/>
          <w:color w:val="000000" w:themeColor="text1"/>
          <w:szCs w:val="26"/>
        </w:rPr>
        <w:t>Verizon Communications Inc.</w:t>
      </w:r>
      <w:r w:rsidRPr="00F55A79" w:rsidR="00B36846">
        <w:rPr>
          <w:color w:val="000000" w:themeColor="text1"/>
        </w:rPr>
        <w:t xml:space="preserve"> </w:t>
      </w:r>
      <w:r w:rsidR="00916A37">
        <w:rPr>
          <w:color w:val="000000" w:themeColor="text1"/>
        </w:rPr>
        <w:t xml:space="preserve">(Verizon) </w:t>
      </w:r>
      <w:r w:rsidRPr="00F55A79" w:rsidR="00B36846">
        <w:rPr>
          <w:color w:val="000000" w:themeColor="text1"/>
        </w:rPr>
        <w:t xml:space="preserve">and Frontier Communications Parent, Inc. </w:t>
      </w:r>
      <w:r w:rsidR="00916A37">
        <w:rPr>
          <w:color w:val="000000" w:themeColor="text1"/>
        </w:rPr>
        <w:t xml:space="preserve">(Frontier) </w:t>
      </w:r>
      <w:r w:rsidRPr="00F55A79">
        <w:t>shall establish a recruiting pipeline from California State Universities and California community colleges, aiming to recruit from underrepresented populations in consultation with the Commission’s ESJ Working Group, for both Verizon and Frontier’s workforce, and the workforce of supplier companies working with Verizon and Frontier. This includes:</w:t>
      </w:r>
      <w:r w:rsidRPr="00F55A79" w:rsidR="00D624B1">
        <w:t xml:space="preserve">  (1) </w:t>
      </w:r>
      <w:r w:rsidRPr="00F55A79">
        <w:t xml:space="preserve">Recruiting at </w:t>
      </w:r>
      <w:r w:rsidRPr="00F55A79" w:rsidR="00280563">
        <w:t xml:space="preserve">California State Universities </w:t>
      </w:r>
      <w:r w:rsidRPr="00F55A79">
        <w:t xml:space="preserve">and </w:t>
      </w:r>
      <w:r w:rsidRPr="00F55A79" w:rsidR="00280563">
        <w:t xml:space="preserve">California </w:t>
      </w:r>
      <w:r w:rsidRPr="00F55A79">
        <w:t>community colleges for jobs and internships at Verizon and Frontier, and requiring the same of their supplier companies with whom Verizon and Frontier contract</w:t>
      </w:r>
      <w:r w:rsidRPr="00F55A79" w:rsidR="00D624B1">
        <w:t xml:space="preserve"> and (2) </w:t>
      </w:r>
      <w:r w:rsidRPr="00F55A79">
        <w:t xml:space="preserve">Contributing to recruitment programs, trade development training programs, and internships at </w:t>
      </w:r>
      <w:r w:rsidRPr="00F55A79" w:rsidR="00280563">
        <w:t>California State Universities</w:t>
      </w:r>
      <w:r w:rsidRPr="00F55A79">
        <w:t>.</w:t>
      </w:r>
      <w:r w:rsidRPr="00F55A79" w:rsidR="00280563">
        <w:t xml:space="preserve"> </w:t>
      </w:r>
      <w:r w:rsidRPr="00F55A79">
        <w:t xml:space="preserve"> Contributions may include monetary funding and non-monetary support, such as joining or advising the boards of </w:t>
      </w:r>
      <w:r w:rsidRPr="00F55A79" w:rsidR="00280563">
        <w:t xml:space="preserve">California State Universities </w:t>
      </w:r>
      <w:r w:rsidRPr="00F55A79">
        <w:t xml:space="preserve">and </w:t>
      </w:r>
      <w:r w:rsidRPr="00F55A79" w:rsidR="00280563">
        <w:t xml:space="preserve">California </w:t>
      </w:r>
      <w:r w:rsidRPr="00F55A79">
        <w:t>community colleges.</w:t>
      </w:r>
    </w:p>
    <w:p w:rsidRPr="00F55A79" w:rsidR="006778F3" w:rsidP="006778F3" w:rsidRDefault="006778F3" w14:paraId="1B49917A" w14:textId="3DC73DA4">
      <w:pPr>
        <w:pStyle w:val="OP"/>
      </w:pPr>
      <w:r w:rsidRPr="00F55A79">
        <w:t xml:space="preserve">For a period of five years after </w:t>
      </w:r>
      <w:r w:rsidRPr="00F55A79" w:rsidR="005D381D">
        <w:t>the issuance date of this decision</w:t>
      </w:r>
      <w:r w:rsidRPr="00F55A79">
        <w:t xml:space="preserve">, </w:t>
      </w:r>
      <w:r w:rsidRPr="00F55A79" w:rsidR="00B36846">
        <w:rPr>
          <w:rFonts w:cs="Arial"/>
          <w:color w:val="000000" w:themeColor="text1"/>
          <w:szCs w:val="26"/>
        </w:rPr>
        <w:t>Verizon Communications Inc.</w:t>
      </w:r>
      <w:r w:rsidRPr="00F55A79" w:rsidR="00B36846">
        <w:rPr>
          <w:color w:val="000000" w:themeColor="text1"/>
        </w:rPr>
        <w:t xml:space="preserve"> and Frontier Communications Parent, Inc. </w:t>
      </w:r>
      <w:r w:rsidRPr="00F55A79">
        <w:t>shall meet quarterly to engage with state and local California Chambers of Commerce and State Labor and Workforce Development Boards regarding procurement, employment retention, and recruitment.</w:t>
      </w:r>
    </w:p>
    <w:p w:rsidRPr="00F55A79" w:rsidR="006778F3" w:rsidP="006778F3" w:rsidRDefault="006778F3" w14:paraId="705EAAAB" w14:textId="6BEF1317">
      <w:pPr>
        <w:pStyle w:val="OP"/>
      </w:pPr>
      <w:r w:rsidRPr="00F55A79">
        <w:lastRenderedPageBreak/>
        <w:t xml:space="preserve">For a period of five years after </w:t>
      </w:r>
      <w:r w:rsidRPr="00F55A79" w:rsidR="005D381D">
        <w:t>the issuance date of this decision</w:t>
      </w:r>
      <w:r w:rsidRPr="00F55A79">
        <w:t xml:space="preserve">, </w:t>
      </w:r>
      <w:r w:rsidRPr="00F55A79" w:rsidR="00B36846">
        <w:rPr>
          <w:rFonts w:cs="Arial"/>
          <w:color w:val="000000" w:themeColor="text1"/>
          <w:szCs w:val="26"/>
        </w:rPr>
        <w:t>Verizon Communications Inc.</w:t>
      </w:r>
      <w:r w:rsidRPr="00F55A79" w:rsidR="00B36846">
        <w:rPr>
          <w:color w:val="000000" w:themeColor="text1"/>
        </w:rPr>
        <w:t xml:space="preserve"> </w:t>
      </w:r>
      <w:r w:rsidR="002416F3">
        <w:rPr>
          <w:color w:val="000000" w:themeColor="text1"/>
        </w:rPr>
        <w:t xml:space="preserve">(Verizon) </w:t>
      </w:r>
      <w:r w:rsidRPr="00F55A79">
        <w:t xml:space="preserve">shall retain </w:t>
      </w:r>
      <w:r w:rsidR="00433A1A">
        <w:t>Verizon’s</w:t>
      </w:r>
      <w:r w:rsidRPr="00F55A79" w:rsidR="00433A1A">
        <w:t xml:space="preserve"> </w:t>
      </w:r>
      <w:r w:rsidRPr="00F55A79">
        <w:t xml:space="preserve">small business accelerator program. </w:t>
      </w:r>
    </w:p>
    <w:p w:rsidRPr="00F55A79" w:rsidR="006778F3" w:rsidP="006778F3" w:rsidRDefault="006778F3" w14:paraId="7AC6488B" w14:textId="54ACA872">
      <w:pPr>
        <w:pStyle w:val="OP"/>
      </w:pPr>
      <w:r w:rsidRPr="00F55A79">
        <w:t xml:space="preserve">For a period of five years after </w:t>
      </w:r>
      <w:r w:rsidRPr="00F55A79" w:rsidR="005D381D">
        <w:t>the issuance date of this decision</w:t>
      </w:r>
      <w:r w:rsidRPr="00F55A79">
        <w:t xml:space="preserve">, </w:t>
      </w:r>
      <w:r w:rsidRPr="00F55A79" w:rsidR="00B36846">
        <w:rPr>
          <w:rFonts w:cs="Arial"/>
          <w:color w:val="000000" w:themeColor="text1"/>
          <w:szCs w:val="26"/>
        </w:rPr>
        <w:t>Verizon Communications Inc. (Verizon)</w:t>
      </w:r>
      <w:r w:rsidRPr="00F55A79" w:rsidR="00B36846">
        <w:rPr>
          <w:color w:val="000000" w:themeColor="text1"/>
        </w:rPr>
        <w:t xml:space="preserve"> and Frontier Communications Parent, Inc. (Frontier) </w:t>
      </w:r>
      <w:r w:rsidRPr="00F55A79" w:rsidR="008D30E1">
        <w:t>sha</w:t>
      </w:r>
      <w:r w:rsidRPr="00F55A79">
        <w:t xml:space="preserve">ll conduct quarterly employee satisfaction surveys that include questions on employees’ expectations, experiences, and satisfaction in regard to belonging and inclusion, in addition to typical questions on employee satisfaction surveys such as satisfaction with career advancement opportunities, compensation, work-life balance, and company culture. </w:t>
      </w:r>
      <w:r w:rsidRPr="00F55A79" w:rsidR="00280563">
        <w:t xml:space="preserve"> </w:t>
      </w:r>
      <w:r w:rsidRPr="00F55A79">
        <w:t>In addition to quantitative results, employees must have the opportunity to provide written commentary.  Verizon and Frontier</w:t>
      </w:r>
      <w:r w:rsidRPr="00F55A79" w:rsidR="00B36846">
        <w:t>’</w:t>
      </w:r>
      <w:r w:rsidRPr="00F55A79">
        <w:t>s survey shall have questions that allow employees the opportunity to self-identify based on characteristics including gender, race, disability status, veteran status, or L</w:t>
      </w:r>
      <w:r w:rsidRPr="00F55A79" w:rsidR="005D381D">
        <w:t xml:space="preserve">esbian, Gay, Bisexual, and </w:t>
      </w:r>
      <w:r w:rsidRPr="00F55A79">
        <w:t>T</w:t>
      </w:r>
      <w:r w:rsidRPr="00F55A79" w:rsidR="005D381D">
        <w:t>ransgender</w:t>
      </w:r>
      <w:r w:rsidRPr="00F55A79">
        <w:t xml:space="preserve"> identity.  Results of the survey will be reported in </w:t>
      </w:r>
      <w:r w:rsidRPr="00F55A79" w:rsidR="00303177">
        <w:t>the</w:t>
      </w:r>
      <w:r w:rsidRPr="00F55A79">
        <w:t xml:space="preserve"> Transparency Report to Communications Division staff, as well as other venues as necessary.  This survey should be national, with a breakout of the California-specific results in reporting.</w:t>
      </w:r>
    </w:p>
    <w:p w:rsidRPr="00F55A79" w:rsidR="006778F3" w:rsidP="006778F3" w:rsidRDefault="006778F3" w14:paraId="23DA0864" w14:textId="2CF0009D">
      <w:pPr>
        <w:pStyle w:val="OP"/>
      </w:pPr>
      <w:r w:rsidRPr="00F55A79">
        <w:t>For a period of five years after t</w:t>
      </w:r>
      <w:r w:rsidRPr="00F55A79" w:rsidR="005D381D">
        <w:t>he issuance date of this decision</w:t>
      </w:r>
      <w:r w:rsidRPr="00F55A79">
        <w:t xml:space="preserve">, </w:t>
      </w:r>
      <w:r w:rsidRPr="00F55A79" w:rsidR="00B36846">
        <w:rPr>
          <w:rFonts w:cs="Arial"/>
          <w:color w:val="000000" w:themeColor="text1"/>
          <w:szCs w:val="26"/>
        </w:rPr>
        <w:t>Verizon Communications Inc. (Verizon)</w:t>
      </w:r>
      <w:r w:rsidRPr="00F55A79" w:rsidR="00B36846">
        <w:rPr>
          <w:color w:val="000000" w:themeColor="text1"/>
        </w:rPr>
        <w:t xml:space="preserve"> and Frontier Communications Parent, Inc. (Frontier) </w:t>
      </w:r>
      <w:r w:rsidRPr="00F55A79">
        <w:t>shall develop a report annually that monitors and reports to the Communication Division and the Commission, the effects of changes/impacts on its supplier and workforce, after Verizon and Frontier have implemented the changes detailed in the May 2025 letter to the F</w:t>
      </w:r>
      <w:r w:rsidRPr="00F55A79" w:rsidR="005D381D">
        <w:t xml:space="preserve">ederal </w:t>
      </w:r>
      <w:r w:rsidRPr="00F55A79">
        <w:t>C</w:t>
      </w:r>
      <w:r w:rsidRPr="00F55A79" w:rsidR="005D381D">
        <w:t xml:space="preserve">ommunications </w:t>
      </w:r>
      <w:r w:rsidRPr="00F55A79">
        <w:t>C</w:t>
      </w:r>
      <w:r w:rsidRPr="00F55A79" w:rsidR="005D381D">
        <w:t>ommission</w:t>
      </w:r>
      <w:r w:rsidRPr="00F55A79">
        <w:t xml:space="preserve">. </w:t>
      </w:r>
      <w:r w:rsidRPr="00F55A79" w:rsidR="00374CF8">
        <w:t xml:space="preserve"> </w:t>
      </w:r>
      <w:r w:rsidRPr="00F55A79">
        <w:t xml:space="preserve">Verizon and Frontier must </w:t>
      </w:r>
      <w:r w:rsidRPr="00F55A79" w:rsidR="00722B3D">
        <w:t xml:space="preserve">specify </w:t>
      </w:r>
      <w:r w:rsidRPr="00F55A79">
        <w:t xml:space="preserve">any changes that have been detrimental to their maintaining a diverse/equitable workforce (as may be </w:t>
      </w:r>
      <w:r w:rsidRPr="00F55A79">
        <w:lastRenderedPageBreak/>
        <w:t>gleaned from employee survey), and how they will address those detrimental impacts and what changes they will make.  This report should include results from the employee satisfaction survey and its implications, with a breakout of the California-specific results.</w:t>
      </w:r>
      <w:r w:rsidRPr="00F55A79" w:rsidR="00374CF8">
        <w:t xml:space="preserve"> </w:t>
      </w:r>
      <w:r w:rsidRPr="00F55A79">
        <w:t xml:space="preserve"> A public version of the transparency report must be prepared that redacts personally identifiable information, but which allows for aggregated analysis of results based on self-identified characteristics.</w:t>
      </w:r>
    </w:p>
    <w:p w:rsidRPr="00F55A79" w:rsidR="006778F3" w:rsidP="006778F3" w:rsidRDefault="006778F3" w14:paraId="2704833C" w14:textId="4A25A30D">
      <w:pPr>
        <w:pStyle w:val="OP"/>
      </w:pPr>
      <w:r w:rsidRPr="00F55A79">
        <w:t xml:space="preserve">Within six months </w:t>
      </w:r>
      <w:r w:rsidRPr="00F55A79" w:rsidR="005D381D">
        <w:t>of the issuance date of this decision</w:t>
      </w:r>
      <w:r w:rsidRPr="00F55A79">
        <w:t xml:space="preserve">, </w:t>
      </w:r>
      <w:r w:rsidRPr="00F55A79" w:rsidR="00B36846">
        <w:rPr>
          <w:rFonts w:cs="Arial"/>
          <w:color w:val="000000" w:themeColor="text1"/>
          <w:szCs w:val="26"/>
        </w:rPr>
        <w:t xml:space="preserve">Verizon Communications Inc. </w:t>
      </w:r>
      <w:r w:rsidRPr="00F55A79" w:rsidR="00B36846">
        <w:rPr>
          <w:color w:val="000000" w:themeColor="text1"/>
        </w:rPr>
        <w:t xml:space="preserve">and Frontier Communications Parent, Inc. </w:t>
      </w:r>
      <w:r w:rsidRPr="00F55A79">
        <w:t>shall provide dedicated customer support services for Californians with disabilities, supporting, at a minimum,</w:t>
      </w:r>
      <w:r w:rsidRPr="00F55A79" w:rsidR="00FD5924">
        <w:t xml:space="preserve"> </w:t>
      </w:r>
      <w:r w:rsidRPr="00F55A79" w:rsidR="006E60ED">
        <w:t>r</w:t>
      </w:r>
      <w:r w:rsidRPr="00F55A79" w:rsidR="00FD5924">
        <w:t>eal-time text</w:t>
      </w:r>
      <w:r w:rsidRPr="00F55A79" w:rsidR="0045407D">
        <w:t xml:space="preserve"> (RTT)</w:t>
      </w:r>
      <w:r w:rsidRPr="00F55A79">
        <w:t xml:space="preserve">, Baudot </w:t>
      </w:r>
      <w:r w:rsidRPr="00F55A79" w:rsidR="001F44B3">
        <w:t>code</w:t>
      </w:r>
      <w:r w:rsidRPr="00F55A79">
        <w:t>, audio, and video (American Sign Language).</w:t>
      </w:r>
    </w:p>
    <w:p w:rsidRPr="00F55A79" w:rsidR="006778F3" w:rsidP="006778F3" w:rsidRDefault="006778F3" w14:paraId="732B4CC4" w14:textId="4E8BD1B1">
      <w:pPr>
        <w:pStyle w:val="OP"/>
      </w:pPr>
      <w:r w:rsidRPr="00F55A79">
        <w:t xml:space="preserve">Within six months </w:t>
      </w:r>
      <w:r w:rsidRPr="00F55A79" w:rsidR="005D381D">
        <w:t>of</w:t>
      </w:r>
      <w:r w:rsidRPr="00F55A79">
        <w:t xml:space="preserve"> </w:t>
      </w:r>
      <w:r w:rsidRPr="00F55A79" w:rsidR="005D381D">
        <w:t>the issuance date of this decision</w:t>
      </w:r>
      <w:r w:rsidRPr="00F55A79">
        <w:t xml:space="preserve">, </w:t>
      </w:r>
      <w:r w:rsidRPr="00F55A79" w:rsidR="00B36846">
        <w:rPr>
          <w:rFonts w:cs="Arial"/>
          <w:color w:val="000000" w:themeColor="text1"/>
          <w:szCs w:val="26"/>
        </w:rPr>
        <w:t>Verizon Communications Inc. (Verizon)</w:t>
      </w:r>
      <w:r w:rsidRPr="00F55A79" w:rsidR="00B36846">
        <w:rPr>
          <w:color w:val="000000" w:themeColor="text1"/>
        </w:rPr>
        <w:t xml:space="preserve"> and Frontier Communications Parent, Inc. (Frontier) </w:t>
      </w:r>
      <w:r w:rsidRPr="00F55A79">
        <w:t>shall appoint two separate dedicated, full-time employees, one for Northern California and one for Southern California, whose full-time job is related to tribal engagement with authority to direct Verizon and Frontier management in plant maintenance, wire center, engineers, customer service, and field technicians, and have direct access to Verizon and Frontier executive leadership with authority to direct Frontier’s workforce, as a tribal liaison to provide OOS response, customer service, and information sharing to tribes Verizon and Frontier serve or where either company has a physical presence. Each tribe will have direct access to the tribal liaison via phone and email, and the tribal liaison shall have the availability, access, and authority to respond to the tribes and address their concerns.</w:t>
      </w:r>
    </w:p>
    <w:p w:rsidRPr="00F55A79" w:rsidR="006778F3" w:rsidP="006778F3" w:rsidRDefault="006778F3" w14:paraId="5F2CEF57" w14:textId="6477C0C2">
      <w:pPr>
        <w:pStyle w:val="OP"/>
      </w:pPr>
      <w:r w:rsidRPr="00F55A79">
        <w:t xml:space="preserve">Within nine months </w:t>
      </w:r>
      <w:r w:rsidRPr="00F55A79" w:rsidR="005D381D">
        <w:t>of the issuance date of this decision</w:t>
      </w:r>
      <w:r w:rsidRPr="00F55A79">
        <w:t xml:space="preserve">, and on an annual basis thereafter, </w:t>
      </w:r>
      <w:r w:rsidRPr="00F55A79" w:rsidR="00B36846">
        <w:rPr>
          <w:rFonts w:cs="Arial"/>
          <w:color w:val="000000" w:themeColor="text1"/>
          <w:szCs w:val="26"/>
        </w:rPr>
        <w:t xml:space="preserve">Verizon Communications Inc. </w:t>
      </w:r>
      <w:r w:rsidRPr="00F55A79" w:rsidR="00B36846">
        <w:rPr>
          <w:color w:val="000000" w:themeColor="text1"/>
        </w:rPr>
        <w:t xml:space="preserve">and Frontier Communications </w:t>
      </w:r>
      <w:r w:rsidRPr="00F55A79" w:rsidR="00B36846">
        <w:rPr>
          <w:color w:val="000000" w:themeColor="text1"/>
        </w:rPr>
        <w:lastRenderedPageBreak/>
        <w:t xml:space="preserve">Parent, Inc. </w:t>
      </w:r>
      <w:r w:rsidRPr="00F55A79" w:rsidR="008D30E1">
        <w:t>shal</w:t>
      </w:r>
      <w:r w:rsidRPr="00F55A79">
        <w:t>l work with the Native American Heritage Commission to identify all tribes within its California service territory that have either a reservation or land in trust.</w:t>
      </w:r>
    </w:p>
    <w:p w:rsidRPr="00F55A79" w:rsidR="006778F3" w:rsidP="006778F3" w:rsidRDefault="006778F3" w14:paraId="59E6CB6C" w14:textId="244EB717">
      <w:pPr>
        <w:pStyle w:val="OP"/>
      </w:pPr>
      <w:r w:rsidRPr="00F55A79">
        <w:t xml:space="preserve">Within 12 months </w:t>
      </w:r>
      <w:r w:rsidRPr="00F55A79" w:rsidR="005D381D">
        <w:t>of the issuance date of this decision</w:t>
      </w:r>
      <w:r w:rsidRPr="00F55A79">
        <w:t xml:space="preserve">, </w:t>
      </w:r>
      <w:r w:rsidRPr="00F55A79" w:rsidR="00B36846">
        <w:rPr>
          <w:rFonts w:cs="Arial"/>
          <w:color w:val="000000" w:themeColor="text1"/>
          <w:szCs w:val="26"/>
        </w:rPr>
        <w:t>Verizon Communications Inc. (Verizon)</w:t>
      </w:r>
      <w:r w:rsidRPr="00F55A79" w:rsidR="00B36846">
        <w:rPr>
          <w:color w:val="000000" w:themeColor="text1"/>
        </w:rPr>
        <w:t xml:space="preserve"> and Frontier Communications Parent, Inc. (Frontier) </w:t>
      </w:r>
      <w:r w:rsidRPr="00F55A79" w:rsidR="008D30E1">
        <w:t>sha</w:t>
      </w:r>
      <w:r w:rsidRPr="00F55A79">
        <w:t xml:space="preserve">ll send a welcome letter or notice, approved by the California Public Advisor’s Office, to all identified tribal leadership councils and tribal organization staff on record in Verizon and Frontier’s service territory.  The letter or notice shall include information about the tribal liaison, availability of sharing of infrastructure data, and tribal community options available via customer service, the California Customer Hotline, Verizon and Frontier Forward, federal Lifeline and California </w:t>
      </w:r>
      <w:r w:rsidRPr="00F55A79" w:rsidR="002E642D">
        <w:t xml:space="preserve">LifeLine </w:t>
      </w:r>
      <w:r w:rsidRPr="00F55A79">
        <w:t xml:space="preserve">options, and any other customer service information related to the transition, merger and considerations. </w:t>
      </w:r>
    </w:p>
    <w:p w:rsidRPr="00F55A79" w:rsidR="006778F3" w:rsidP="006778F3" w:rsidRDefault="006778F3" w14:paraId="0616E0E1" w14:textId="3590F267">
      <w:pPr>
        <w:pStyle w:val="OP"/>
      </w:pPr>
      <w:r w:rsidRPr="00F55A79">
        <w:t xml:space="preserve">Within 18 months </w:t>
      </w:r>
      <w:r w:rsidRPr="00F55A79" w:rsidR="005D381D">
        <w:t>of the issuance date of this decision</w:t>
      </w:r>
      <w:r w:rsidRPr="00F55A79">
        <w:t xml:space="preserve">, </w:t>
      </w:r>
      <w:r w:rsidRPr="00F55A79" w:rsidR="00B36846">
        <w:rPr>
          <w:rFonts w:cs="Arial"/>
          <w:color w:val="000000" w:themeColor="text1"/>
          <w:szCs w:val="26"/>
        </w:rPr>
        <w:t xml:space="preserve">Verizon Communications Inc. </w:t>
      </w:r>
      <w:r w:rsidRPr="00F55A79" w:rsidR="00B36846">
        <w:rPr>
          <w:color w:val="000000" w:themeColor="text1"/>
        </w:rPr>
        <w:t>and Frontier Communications Parent, Inc.</w:t>
      </w:r>
      <w:r w:rsidRPr="00F55A79" w:rsidR="00651FFA">
        <w:rPr>
          <w:color w:val="000000" w:themeColor="text1"/>
        </w:rPr>
        <w:t>,</w:t>
      </w:r>
      <w:r w:rsidRPr="00F55A79">
        <w:t xml:space="preserve"> on an annual basis, shall communicate via email to all identified tribal leadership councils’ designated staff and tribal organization staff on record to review tribal liaison obligations, point of contact, and offer an opportunity for tribal communication. </w:t>
      </w:r>
    </w:p>
    <w:p w:rsidRPr="00F55A79" w:rsidR="006778F3" w:rsidP="006778F3" w:rsidRDefault="006778F3" w14:paraId="29A5949A" w14:textId="2EFAF216">
      <w:pPr>
        <w:pStyle w:val="OP"/>
      </w:pPr>
      <w:r w:rsidRPr="00F55A79">
        <w:t xml:space="preserve">Within 24 months </w:t>
      </w:r>
      <w:r w:rsidRPr="00F55A79" w:rsidR="005D381D">
        <w:t>of the issuance date of this decision</w:t>
      </w:r>
      <w:r w:rsidRPr="00F55A79">
        <w:t xml:space="preserve">, subject to execution of a reasonable non-disclosure agreement, </w:t>
      </w:r>
      <w:r w:rsidRPr="00F55A79" w:rsidR="00651FFA">
        <w:rPr>
          <w:rFonts w:cs="Arial"/>
          <w:color w:val="000000" w:themeColor="text1"/>
          <w:szCs w:val="26"/>
        </w:rPr>
        <w:t>Verizon Communications Inc. (Verizon)</w:t>
      </w:r>
      <w:r w:rsidRPr="00F55A79" w:rsidR="00651FFA">
        <w:rPr>
          <w:color w:val="000000" w:themeColor="text1"/>
        </w:rPr>
        <w:t xml:space="preserve"> and Frontier Communications Parent, Inc. (Frontier) </w:t>
      </w:r>
      <w:r w:rsidRPr="00F55A79" w:rsidR="008D30E1">
        <w:t>sha</w:t>
      </w:r>
      <w:r w:rsidRPr="00F55A79">
        <w:t>ll provide each tribe within its California service territory local maps of, and information on, Verizon and Frontier’s owned, leased, and operated facilities in and around the tribe’s ancestral territory and any maps of interconnection points adjacent to those territories.</w:t>
      </w:r>
    </w:p>
    <w:p w:rsidRPr="00F55A79" w:rsidR="006778F3" w:rsidP="006778F3" w:rsidRDefault="006778F3" w14:paraId="5042AF16" w14:textId="7AD37161">
      <w:pPr>
        <w:pStyle w:val="OP"/>
      </w:pPr>
      <w:r w:rsidRPr="00F55A79">
        <w:lastRenderedPageBreak/>
        <w:t xml:space="preserve">Within 45 days </w:t>
      </w:r>
      <w:r w:rsidRPr="00F55A79" w:rsidR="005D381D">
        <w:t>of the issuance date of this decision</w:t>
      </w:r>
      <w:r w:rsidRPr="00F55A79">
        <w:t xml:space="preserve">, </w:t>
      </w:r>
      <w:r w:rsidRPr="00F55A79" w:rsidR="00651FFA">
        <w:rPr>
          <w:rFonts w:cs="Arial"/>
          <w:color w:val="000000" w:themeColor="text1"/>
          <w:szCs w:val="26"/>
        </w:rPr>
        <w:t>Verizon Communications Inc. (Verizon)</w:t>
      </w:r>
      <w:r w:rsidRPr="00F55A79" w:rsidR="00651FFA">
        <w:rPr>
          <w:color w:val="000000" w:themeColor="text1"/>
        </w:rPr>
        <w:t xml:space="preserve"> and Frontier Communications Parent, Inc. (Frontier) </w:t>
      </w:r>
      <w:r w:rsidRPr="00F55A79" w:rsidR="007336FB">
        <w:t>sha</w:t>
      </w:r>
      <w:r w:rsidRPr="00F55A79">
        <w:t xml:space="preserve">ll send a welcome letter or notice, approved by the </w:t>
      </w:r>
      <w:r w:rsidRPr="00F55A79" w:rsidR="00280563">
        <w:t xml:space="preserve">Commission’s </w:t>
      </w:r>
      <w:r w:rsidRPr="00F55A79">
        <w:t xml:space="preserve">Public Advisor’s Office, to Frontier customers.  The letter or notice shall include information about payment options, the California Customer Hotline, Verizon and Frontier Forward, federal Lifeline and California </w:t>
      </w:r>
      <w:r w:rsidRPr="00F55A79" w:rsidR="002E642D">
        <w:t xml:space="preserve">LifeLine </w:t>
      </w:r>
      <w:r w:rsidRPr="00F55A79">
        <w:t xml:space="preserve">options, and any other customer service information related to the transition, merger, and considerations. </w:t>
      </w:r>
    </w:p>
    <w:p w:rsidRPr="00F55A79" w:rsidR="006778F3" w:rsidP="006778F3" w:rsidRDefault="006778F3" w14:paraId="2943C259" w14:textId="1267AB77">
      <w:pPr>
        <w:pStyle w:val="OP"/>
      </w:pPr>
      <w:r w:rsidRPr="00F55A79">
        <w:t xml:space="preserve">Within thirty days </w:t>
      </w:r>
      <w:r w:rsidRPr="00F55A79" w:rsidR="005D381D">
        <w:t>of the issuance date of this decision</w:t>
      </w:r>
      <w:r w:rsidRPr="00F55A79">
        <w:t xml:space="preserve">, </w:t>
      </w:r>
      <w:r w:rsidRPr="00F55A79" w:rsidR="00651FFA">
        <w:rPr>
          <w:rFonts w:cs="Arial"/>
          <w:color w:val="000000" w:themeColor="text1"/>
          <w:szCs w:val="26"/>
        </w:rPr>
        <w:t>Verizon Communications Inc. (Verizon)</w:t>
      </w:r>
      <w:r w:rsidRPr="00F55A79" w:rsidR="00651FFA">
        <w:rPr>
          <w:color w:val="000000" w:themeColor="text1"/>
        </w:rPr>
        <w:t xml:space="preserve"> and Frontier Communications Parent, Inc. (Frontier) </w:t>
      </w:r>
      <w:r w:rsidRPr="00F55A79" w:rsidR="007336FB">
        <w:t>sha</w:t>
      </w:r>
      <w:r w:rsidRPr="00F55A79">
        <w:t>ll establish a dedicated California customer hotline number to be available 12 hours per day from 8:00 AM - 8:00 PM Pacific Time for two years.  The customer hotline will be staffed by human operators located in California who will assist with consumer questions, concerns, and complaints related to the transfer of control. This dedicated California customer hotline will be separate and in addition to G</w:t>
      </w:r>
      <w:r w:rsidRPr="00F55A79" w:rsidR="005D381D">
        <w:t xml:space="preserve">eneral </w:t>
      </w:r>
      <w:r w:rsidRPr="00F55A79">
        <w:t>O</w:t>
      </w:r>
      <w:r w:rsidRPr="00F55A79" w:rsidR="005D381D">
        <w:t>rder</w:t>
      </w:r>
      <w:r w:rsidRPr="00F55A79">
        <w:t xml:space="preserve"> 133 Customer Service Standards, with staff trained on C</w:t>
      </w:r>
      <w:r w:rsidRPr="00F55A79" w:rsidR="005D381D">
        <w:t>a</w:t>
      </w:r>
      <w:r w:rsidRPr="00F55A79" w:rsidR="00794B89">
        <w:t>rri</w:t>
      </w:r>
      <w:r w:rsidRPr="00F55A79" w:rsidR="005D381D">
        <w:t>er of Last Resort</w:t>
      </w:r>
      <w:r w:rsidRPr="00F55A79">
        <w:t xml:space="preserve">, obligations to provide basic service or any successor obligations, Verizon and Frontier transfer of control conditions, and settlements and conditions listed in this document. </w:t>
      </w:r>
    </w:p>
    <w:p w:rsidRPr="00F55A79" w:rsidR="006778F3" w:rsidP="006778F3" w:rsidRDefault="006778F3" w14:paraId="2783A4A1" w14:textId="78B49AD9">
      <w:pPr>
        <w:pStyle w:val="OP"/>
      </w:pPr>
      <w:r w:rsidRPr="00F55A79">
        <w:t>For a period of five years after t</w:t>
      </w:r>
      <w:r w:rsidRPr="00F55A79" w:rsidR="005D381D">
        <w:t>he issuance date of this decision</w:t>
      </w:r>
      <w:r w:rsidRPr="00F55A79">
        <w:t xml:space="preserve">, </w:t>
      </w:r>
      <w:r w:rsidRPr="00F55A79" w:rsidR="00651FFA">
        <w:rPr>
          <w:rFonts w:cs="Arial"/>
          <w:color w:val="000000" w:themeColor="text1"/>
          <w:szCs w:val="26"/>
        </w:rPr>
        <w:t>Verizon Communications Inc. (Verizon)</w:t>
      </w:r>
      <w:r w:rsidRPr="00F55A79" w:rsidR="00651FFA">
        <w:rPr>
          <w:color w:val="000000" w:themeColor="text1"/>
        </w:rPr>
        <w:t xml:space="preserve"> and Frontier Communications Parent, Inc. (Frontier) </w:t>
      </w:r>
      <w:r w:rsidRPr="00F55A79">
        <w:t xml:space="preserve">shall advertise rates, eligibility, available locations, and information to inform a customer decision about Verizon Forward, California </w:t>
      </w:r>
      <w:r w:rsidRPr="00F55A79" w:rsidR="00280563">
        <w:t>LifeLine</w:t>
      </w:r>
      <w:r w:rsidRPr="00F55A79">
        <w:t xml:space="preserve">, Frontier Fundamentals, and federal Lifeline. Marketing shall be: (1) visible in Verizon and Frontier stores, (2) available digitally on Verizon and Frontier’s websites with dedicated visible webpages, on social media outlets, and via traditional local </w:t>
      </w:r>
      <w:r w:rsidRPr="00F55A79">
        <w:lastRenderedPageBreak/>
        <w:t>media advertising (newspapers, radio).  All material for affordable, low-income, or marketing material for Verizon Forward, California Life</w:t>
      </w:r>
      <w:r w:rsidRPr="00F55A79" w:rsidR="00280563">
        <w:t>L</w:t>
      </w:r>
      <w:r w:rsidRPr="00F55A79">
        <w:t>ine, Frontier Fundamentals, and federal Lifeline must be approved by</w:t>
      </w:r>
      <w:r w:rsidRPr="00F55A79" w:rsidR="00280563">
        <w:t xml:space="preserve"> the</w:t>
      </w:r>
      <w:r w:rsidRPr="00F55A79">
        <w:t xml:space="preserve"> </w:t>
      </w:r>
      <w:r w:rsidRPr="00F55A79" w:rsidR="00280563">
        <w:t>Commission’s Public Advisor’s Office</w:t>
      </w:r>
      <w:r w:rsidRPr="00F55A79">
        <w:t xml:space="preserve">.  Verizon and Frontier shall expend at least $1,500,000 in total and at least $300,000 per year in Frontier’s service territory. </w:t>
      </w:r>
    </w:p>
    <w:p w:rsidRPr="00F55A79" w:rsidR="00980CC1" w:rsidP="00C70DDB" w:rsidRDefault="00980CC1" w14:paraId="7026A234" w14:textId="3217F778">
      <w:pPr>
        <w:pStyle w:val="OP"/>
      </w:pPr>
      <w:r w:rsidRPr="00F55A79">
        <w:t xml:space="preserve">For a period of five (5) years after transfer of control, </w:t>
      </w:r>
      <w:r w:rsidRPr="00F55A79" w:rsidR="00651FFA">
        <w:rPr>
          <w:rFonts w:cs="Arial"/>
          <w:color w:val="000000" w:themeColor="text1"/>
          <w:szCs w:val="26"/>
        </w:rPr>
        <w:t xml:space="preserve">Verizon Communications Inc. </w:t>
      </w:r>
      <w:r w:rsidRPr="00F55A79" w:rsidR="00651FFA">
        <w:rPr>
          <w:color w:val="000000" w:themeColor="text1"/>
        </w:rPr>
        <w:t xml:space="preserve">and Frontier Communications Parent, Inc. </w:t>
      </w:r>
      <w:r w:rsidRPr="00F55A79">
        <w:t xml:space="preserve">shall offer upfront, without prompting, a free-of-charge battery back-up unit </w:t>
      </w:r>
      <w:r w:rsidR="00BC59C8">
        <w:t xml:space="preserve">or units </w:t>
      </w:r>
      <w:r w:rsidRPr="00F55A79">
        <w:t xml:space="preserve">for up to 72-hours of back-up power with a complete first set of such batteries, to customers </w:t>
      </w:r>
      <w:r w:rsidRPr="007E23B5" w:rsidR="007E23B5">
        <w:t xml:space="preserve">in Tier 2 and Tier 3 High Fire Threat Areas </w:t>
      </w:r>
      <w:r w:rsidRPr="00F55A79">
        <w:t>who are migrated from copper to fiber, fixed wireless, and/or VoIP</w:t>
      </w:r>
      <w:r w:rsidR="00872B82">
        <w:t xml:space="preserve"> provided over fiber</w:t>
      </w:r>
      <w:r w:rsidRPr="00F55A79">
        <w:t xml:space="preserve"> to those who choose to have a battery backup unit.</w:t>
      </w:r>
      <w:r w:rsidR="00067D93">
        <w:t xml:space="preserve">  </w:t>
      </w:r>
      <w:r w:rsidRPr="00067D93" w:rsidR="00067D93">
        <w:t>For customers outside Tier 2 and Tier 3 High Fire Threat Areas, the free-of-charge battery back-up unit or units requirement is for up to 24</w:t>
      </w:r>
      <w:r w:rsidR="00067D93">
        <w:t xml:space="preserve"> </w:t>
      </w:r>
      <w:r w:rsidRPr="00067D93" w:rsidR="00067D93">
        <w:t>hours.</w:t>
      </w:r>
      <w:r w:rsidR="001C5FB2">
        <w:t xml:space="preserve">  To the extent a battery back-up solution is not available to customers using fixed wireless, Verizon shall, within 90 days of this decision, file a Tier 2 Advice Letter explaining how Verizon’s or Frontier’s fixed wireless solution does not include battery back-up.</w:t>
      </w:r>
    </w:p>
    <w:p w:rsidRPr="00F55A79" w:rsidR="006778F3" w:rsidP="006778F3" w:rsidRDefault="00651FFA" w14:paraId="56E6BF75" w14:textId="7731CC8F">
      <w:pPr>
        <w:pStyle w:val="OP"/>
      </w:pPr>
      <w:r w:rsidRPr="00F55A79">
        <w:rPr>
          <w:rFonts w:cs="Arial"/>
          <w:color w:val="000000" w:themeColor="text1"/>
          <w:szCs w:val="26"/>
        </w:rPr>
        <w:t>Verizon Communications Inc. (Verizon)</w:t>
      </w:r>
      <w:r w:rsidRPr="00F55A79">
        <w:rPr>
          <w:color w:val="000000" w:themeColor="text1"/>
        </w:rPr>
        <w:t xml:space="preserve"> and Frontier Communications Parent, Inc. (Frontier) </w:t>
      </w:r>
      <w:r w:rsidRPr="00F55A79" w:rsidR="006778F3">
        <w:t xml:space="preserve">shall provide written notices via bill insert and direct notification via email, text and phone call to customers migrated (involuntarily or through incentives) from copper and/or DSL, with 60, 30, and 10 days in advance. </w:t>
      </w:r>
      <w:r w:rsidRPr="00F55A79" w:rsidR="00280563">
        <w:t xml:space="preserve"> </w:t>
      </w:r>
      <w:r w:rsidRPr="00F55A79" w:rsidR="006778F3">
        <w:t xml:space="preserve">Verizon and Frontier shall follow Mass Migration Rules detailed in D.06-10-021. </w:t>
      </w:r>
    </w:p>
    <w:p w:rsidRPr="00F55A79" w:rsidR="006778F3" w:rsidP="006778F3" w:rsidRDefault="00651FFA" w14:paraId="6D4BBDB0" w14:textId="1E78C48B">
      <w:pPr>
        <w:pStyle w:val="OP"/>
      </w:pPr>
      <w:r w:rsidRPr="00F55A79">
        <w:rPr>
          <w:rFonts w:cs="Arial"/>
          <w:color w:val="000000" w:themeColor="text1"/>
          <w:szCs w:val="26"/>
        </w:rPr>
        <w:t>Verizon Communications Inc. (Verizon)</w:t>
      </w:r>
      <w:r w:rsidRPr="00F55A79">
        <w:rPr>
          <w:color w:val="000000" w:themeColor="text1"/>
        </w:rPr>
        <w:t xml:space="preserve"> and Frontier Communications Parent, Inc. (Frontier) </w:t>
      </w:r>
      <w:r w:rsidRPr="00F55A79" w:rsidR="006778F3">
        <w:t xml:space="preserve">shall continue to offer California </w:t>
      </w:r>
      <w:r w:rsidRPr="00F55A79" w:rsidR="00280563">
        <w:t>LifeLine</w:t>
      </w:r>
      <w:r w:rsidRPr="00F55A79" w:rsidR="006778F3">
        <w:t xml:space="preserve">, including </w:t>
      </w:r>
      <w:r w:rsidRPr="00F55A79" w:rsidR="006778F3">
        <w:lastRenderedPageBreak/>
        <w:t xml:space="preserve">Home-Broadband service, throughout Verizon and Frontier’s service territory for a period of sixteen years or until November 22, 2041. </w:t>
      </w:r>
    </w:p>
    <w:p w:rsidRPr="00F55A79" w:rsidR="006778F3" w:rsidP="006778F3" w:rsidRDefault="006778F3" w14:paraId="0A61ECB7" w14:textId="6A80D88D">
      <w:pPr>
        <w:pStyle w:val="OP"/>
      </w:pPr>
      <w:r w:rsidRPr="00F55A79">
        <w:t>For a period of five years after t</w:t>
      </w:r>
      <w:r w:rsidRPr="00F55A79" w:rsidR="005D381D">
        <w:t>he issuance date of this decision</w:t>
      </w:r>
      <w:r w:rsidRPr="00F55A79">
        <w:t xml:space="preserve">, </w:t>
      </w:r>
      <w:r w:rsidRPr="00F55A79" w:rsidR="00651FFA">
        <w:rPr>
          <w:rFonts w:cs="Arial"/>
          <w:color w:val="000000" w:themeColor="text1"/>
          <w:szCs w:val="26"/>
        </w:rPr>
        <w:t xml:space="preserve">Verizon Communications Inc. </w:t>
      </w:r>
      <w:r w:rsidRPr="00F55A79" w:rsidR="00651FFA">
        <w:rPr>
          <w:color w:val="000000" w:themeColor="text1"/>
        </w:rPr>
        <w:t xml:space="preserve">and Frontier Communications Parent, Inc. </w:t>
      </w:r>
      <w:r w:rsidRPr="00F55A79">
        <w:t>shall not raise the price of services eligible under Verizon Forward and Frontier Fundamentals.</w:t>
      </w:r>
    </w:p>
    <w:p w:rsidRPr="00F55A79" w:rsidR="006778F3" w:rsidP="006778F3" w:rsidRDefault="006778F3" w14:paraId="69C2D356" w14:textId="62C6A4C6">
      <w:pPr>
        <w:pStyle w:val="OP"/>
      </w:pPr>
      <w:r w:rsidRPr="00F55A79">
        <w:t xml:space="preserve">All conditions and all Party Settlements adopted in D.21-04-008 remain in effect. </w:t>
      </w:r>
    </w:p>
    <w:p w:rsidRPr="00F55A79" w:rsidR="006778F3" w:rsidP="006778F3" w:rsidRDefault="006778F3" w14:paraId="7232868C" w14:textId="7D4D650E">
      <w:pPr>
        <w:pStyle w:val="OP"/>
      </w:pPr>
      <w:r w:rsidRPr="00F55A79">
        <w:t xml:space="preserve">Upon identification of 250 new wireless macro cell sites within </w:t>
      </w:r>
      <w:r w:rsidRPr="00F55A79" w:rsidR="00651FFA">
        <w:t xml:space="preserve">the </w:t>
      </w:r>
      <w:r w:rsidRPr="00F55A79" w:rsidR="00651FFA">
        <w:rPr>
          <w:color w:val="000000" w:themeColor="text1"/>
        </w:rPr>
        <w:t xml:space="preserve">Frontier Communications Parent, Inc. (Frontier) </w:t>
      </w:r>
      <w:r w:rsidRPr="00F55A79">
        <w:t xml:space="preserve">service area, </w:t>
      </w:r>
      <w:r w:rsidRPr="00F55A79" w:rsidR="00651FFA">
        <w:rPr>
          <w:rFonts w:cs="Arial"/>
          <w:color w:val="000000" w:themeColor="text1"/>
          <w:szCs w:val="26"/>
        </w:rPr>
        <w:t>Verizon Communications Inc. (Verizon)</w:t>
      </w:r>
      <w:r w:rsidRPr="00F55A79" w:rsidR="00651FFA">
        <w:rPr>
          <w:color w:val="000000" w:themeColor="text1"/>
        </w:rPr>
        <w:t xml:space="preserve"> and Frontier </w:t>
      </w:r>
      <w:r w:rsidRPr="00F55A79">
        <w:t>shall provide the site list to Commission staff to verify that the locations meet the terms of the settlement agreements.</w:t>
      </w:r>
    </w:p>
    <w:p w:rsidRPr="00F55A79" w:rsidR="006778F3" w:rsidP="006778F3" w:rsidRDefault="00651FFA" w14:paraId="17608FD0" w14:textId="1B70BB28">
      <w:pPr>
        <w:pStyle w:val="OP"/>
      </w:pPr>
      <w:r w:rsidRPr="00F55A79">
        <w:rPr>
          <w:rFonts w:cs="Arial"/>
          <w:color w:val="000000" w:themeColor="text1"/>
          <w:szCs w:val="26"/>
        </w:rPr>
        <w:t xml:space="preserve">Verizon Communications Inc. </w:t>
      </w:r>
      <w:r w:rsidRPr="00F55A79">
        <w:rPr>
          <w:color w:val="000000" w:themeColor="text1"/>
        </w:rPr>
        <w:t xml:space="preserve">and Frontier Communications Parent, Inc. </w:t>
      </w:r>
      <w:r w:rsidRPr="00F55A79" w:rsidR="006778F3">
        <w:t xml:space="preserve">shall submit copies of any Federal Communications Commission (FCC) documents related to filing a 214 application, discontinuing, or grandfathering a service by the merged </w:t>
      </w:r>
      <w:r w:rsidRPr="00F55A79" w:rsidR="00441A87">
        <w:t xml:space="preserve">companies’ </w:t>
      </w:r>
      <w:r w:rsidRPr="00F55A79" w:rsidR="006778F3">
        <w:t>regulated wireline voice network to the California Public Utilities Commission within fourteen days of submittal to the FCC.</w:t>
      </w:r>
    </w:p>
    <w:p w:rsidRPr="00F55A79" w:rsidR="006778F3" w:rsidP="006778F3" w:rsidRDefault="006778F3" w14:paraId="6E79E837" w14:textId="4B9A0830">
      <w:pPr>
        <w:pStyle w:val="OP"/>
      </w:pPr>
      <w:r w:rsidRPr="00F55A79">
        <w:t xml:space="preserve">Within fifteen days after receipt of notice from the Commission’s Communications Division staff, </w:t>
      </w:r>
      <w:r w:rsidRPr="00F55A79" w:rsidR="00651FFA">
        <w:rPr>
          <w:rFonts w:cs="Arial"/>
          <w:color w:val="000000" w:themeColor="text1"/>
          <w:szCs w:val="26"/>
        </w:rPr>
        <w:t>Verizon Communications Inc. (Verizon)</w:t>
      </w:r>
      <w:r w:rsidRPr="00F55A79" w:rsidR="00651FFA">
        <w:rPr>
          <w:color w:val="000000" w:themeColor="text1"/>
        </w:rPr>
        <w:t xml:space="preserve"> and Frontier Communications Parent, Inc. </w:t>
      </w:r>
      <w:r w:rsidRPr="00F55A79" w:rsidR="006C02C1">
        <w:rPr>
          <w:color w:val="000000" w:themeColor="text1"/>
        </w:rPr>
        <w:t xml:space="preserve">(Frontier) </w:t>
      </w:r>
      <w:r w:rsidRPr="00F55A79">
        <w:t>shall pay for the Commission to hire and retain an independent Compliance Monitor to review Verizon and Frontier’s compliance with the terms, requirements, and conditions of these Ordering Paragraphs. Verizon and Frontier shall deposit into a reimbursable account (A</w:t>
      </w:r>
      <w:r w:rsidRPr="00F55A79" w:rsidR="005D381D">
        <w:t xml:space="preserve">pplication </w:t>
      </w:r>
      <w:r w:rsidRPr="00F55A79">
        <w:t xml:space="preserve">20-05-010 General Reimbursable Account) the amounts specified by </w:t>
      </w:r>
      <w:r w:rsidRPr="00F55A79" w:rsidR="006F143B">
        <w:t>Communications Division</w:t>
      </w:r>
      <w:r w:rsidRPr="00F55A79" w:rsidDel="006F143B" w:rsidR="006F143B">
        <w:t xml:space="preserve"> </w:t>
      </w:r>
      <w:r w:rsidRPr="00F55A79">
        <w:t xml:space="preserve">staff reflecting the fees and expenses of the Compliance Monitor. </w:t>
      </w:r>
    </w:p>
    <w:p w:rsidRPr="00F55A79" w:rsidR="006778F3" w:rsidP="006778F3" w:rsidRDefault="006778F3" w14:paraId="55CE7506" w14:textId="192C9076">
      <w:pPr>
        <w:pStyle w:val="OP"/>
      </w:pPr>
      <w:r w:rsidRPr="00F55A79">
        <w:lastRenderedPageBreak/>
        <w:t xml:space="preserve">By no later than January 15 of each year after the transfer of control, </w:t>
      </w:r>
      <w:r w:rsidRPr="00F55A79" w:rsidR="006C02C1">
        <w:rPr>
          <w:rFonts w:cs="Arial"/>
          <w:color w:val="000000" w:themeColor="text1"/>
          <w:szCs w:val="26"/>
        </w:rPr>
        <w:t>Verizon Communications Inc. (Verizon)</w:t>
      </w:r>
      <w:r w:rsidRPr="00F55A79" w:rsidR="006C02C1">
        <w:rPr>
          <w:color w:val="000000" w:themeColor="text1"/>
        </w:rPr>
        <w:t xml:space="preserve"> and Frontier Communications Parent, Inc. (Frontier) </w:t>
      </w:r>
      <w:r w:rsidRPr="00F55A79">
        <w:t xml:space="preserve"> shall submit to cdcompliance@cpuc.ca.gov via the Commission’s website https://cpucftp.cpuc.ca.gov a subscriber information report as of December 31 of the preceding year in a format designed by </w:t>
      </w:r>
      <w:r w:rsidRPr="00F55A79" w:rsidR="006F143B">
        <w:t>Communications Division</w:t>
      </w:r>
      <w:r w:rsidRPr="00F55A79" w:rsidDel="006F143B" w:rsidR="006F143B">
        <w:t xml:space="preserve"> </w:t>
      </w:r>
      <w:r w:rsidRPr="00F55A79">
        <w:t>staff that will be treated as confidential information, to include, but not limited each wire center’s number of plain old telephone service customers, Voice over Internet Protocol customers, and customers served with fiber, fixed wireless, and copper.</w:t>
      </w:r>
    </w:p>
    <w:p w:rsidRPr="00F55A79" w:rsidR="006778F3" w:rsidP="006778F3" w:rsidRDefault="006778F3" w14:paraId="6C6C4882" w14:textId="4DBC452D">
      <w:pPr>
        <w:pStyle w:val="OP"/>
      </w:pPr>
      <w:r w:rsidRPr="00F55A79">
        <w:t>Commission</w:t>
      </w:r>
      <w:r w:rsidRPr="00F55A79" w:rsidR="006F7AD4">
        <w:t xml:space="preserve"> staff</w:t>
      </w:r>
      <w:r w:rsidRPr="00F55A79">
        <w:t xml:space="preserve"> is authorized to draft a Resolution </w:t>
      </w:r>
      <w:r w:rsidRPr="00F55A79" w:rsidR="006F7AD4">
        <w:t xml:space="preserve">for Commission consideration </w:t>
      </w:r>
      <w:r w:rsidRPr="00F55A79">
        <w:t xml:space="preserve">reflecting an enforcement program that covers compliance with the terms of the Ordering Paragraphs, including, without limitation, </w:t>
      </w:r>
      <w:r w:rsidRPr="00F55A79" w:rsidR="004C2570">
        <w:rPr>
          <w:rFonts w:cs="Arial"/>
          <w:color w:val="000000" w:themeColor="text1"/>
          <w:szCs w:val="26"/>
        </w:rPr>
        <w:t>Verizon Communications Inc. (Verizon)</w:t>
      </w:r>
      <w:r w:rsidRPr="00F55A79" w:rsidR="004C2570">
        <w:rPr>
          <w:color w:val="000000" w:themeColor="text1"/>
        </w:rPr>
        <w:t xml:space="preserve"> </w:t>
      </w:r>
      <w:r w:rsidRPr="00F55A79">
        <w:t xml:space="preserve">Verizon and Frontier’s reporting requirements, service quality requirements, infrastructure investment requirements, requests for changes to conditions via a petition for modification, and the terms of the Settlement Agreements. </w:t>
      </w:r>
      <w:r w:rsidRPr="00F55A79" w:rsidR="006C02C1">
        <w:t xml:space="preserve"> </w:t>
      </w:r>
      <w:r w:rsidRPr="002A2895" w:rsidR="002A2895">
        <w:t xml:space="preserve">The enforcement program shall also include the Joint </w:t>
      </w:r>
      <w:r w:rsidRPr="002A2895" w:rsidR="00916A37">
        <w:t>Applicants</w:t>
      </w:r>
      <w:r w:rsidR="00916A37">
        <w:t>’</w:t>
      </w:r>
      <w:r w:rsidRPr="002A2895" w:rsidR="00916A37">
        <w:t xml:space="preserve"> </w:t>
      </w:r>
      <w:r w:rsidRPr="002A2895" w:rsidR="002A2895">
        <w:t xml:space="preserve">existing Tribal commitments, including those accepted by Frontier in D.21-04-008 and D.22-05-030 in the Frontier bankruptcy proceeding, which shall be transferred over to Verizon. </w:t>
      </w:r>
      <w:r w:rsidR="002A2895">
        <w:t xml:space="preserve"> </w:t>
      </w:r>
      <w:r w:rsidRPr="00F55A79">
        <w:t xml:space="preserve">The proposed enforcement program will specify a citation amount for each term, proposed remedies for lack of compliance, the use of Corrective Action Plans, and explore penalty mechanisms, including monetary fines. </w:t>
      </w:r>
      <w:r w:rsidR="00E75F4D">
        <w:t xml:space="preserve"> </w:t>
      </w:r>
      <w:r w:rsidRPr="00F55A79">
        <w:t>Enforcement program appeals will be pursuant to Resolution ALJ-377 or its successor.</w:t>
      </w:r>
    </w:p>
    <w:p w:rsidRPr="00F55A79" w:rsidR="006778F3" w:rsidP="006778F3" w:rsidRDefault="006778F3" w14:paraId="1126A18F" w14:textId="1CB3A0AA">
      <w:pPr>
        <w:pStyle w:val="OP"/>
      </w:pPr>
      <w:r w:rsidRPr="00F55A79">
        <w:t xml:space="preserve">For a period of ten years, </w:t>
      </w:r>
      <w:r w:rsidRPr="00F55A79" w:rsidR="006C02C1">
        <w:rPr>
          <w:rFonts w:cs="Arial"/>
          <w:color w:val="000000" w:themeColor="text1"/>
          <w:szCs w:val="26"/>
        </w:rPr>
        <w:t>Verizon Communications Inc. (Verizon)</w:t>
      </w:r>
      <w:r w:rsidRPr="00F55A79" w:rsidR="006C02C1">
        <w:rPr>
          <w:color w:val="000000" w:themeColor="text1"/>
        </w:rPr>
        <w:t xml:space="preserve"> and Frontier Communications Parent, Inc. (Frontier) </w:t>
      </w:r>
      <w:r w:rsidRPr="00F55A79">
        <w:t xml:space="preserve">shall report on each party’s settlement to the Communications Division and Compliance Monitor due on </w:t>
      </w:r>
      <w:r w:rsidRPr="00F55A79">
        <w:lastRenderedPageBreak/>
        <w:t xml:space="preserve">January 15 every year starting January 15, 2027, with a last report due on January 15, 2037. </w:t>
      </w:r>
    </w:p>
    <w:p w:rsidRPr="00F55A79" w:rsidR="006778F3" w:rsidP="006778F3" w:rsidRDefault="006778F3" w14:paraId="1210A805" w14:textId="3DA0AA16">
      <w:pPr>
        <w:pStyle w:val="OP"/>
      </w:pPr>
      <w:r w:rsidRPr="00F55A79">
        <w:t xml:space="preserve">Unless otherwise specified, </w:t>
      </w:r>
      <w:r w:rsidRPr="00F55A79" w:rsidR="00483FB7">
        <w:t xml:space="preserve">Ordering </w:t>
      </w:r>
      <w:r w:rsidRPr="00F55A79" w:rsidR="00280563">
        <w:t>P</w:t>
      </w:r>
      <w:r w:rsidRPr="00F55A79" w:rsidR="00483FB7">
        <w:t xml:space="preserve">aragraphs </w:t>
      </w:r>
      <w:r w:rsidRPr="00F55A79" w:rsidR="007A2449">
        <w:t>2</w:t>
      </w:r>
      <w:r w:rsidRPr="00F55A79" w:rsidR="00483FB7">
        <w:t>-</w:t>
      </w:r>
      <w:r w:rsidRPr="00F55A79" w:rsidR="00280563">
        <w:t>3</w:t>
      </w:r>
      <w:r w:rsidRPr="00F55A79" w:rsidR="00E1628D">
        <w:t>0</w:t>
      </w:r>
      <w:r w:rsidRPr="00F55A79" w:rsidR="00483FB7">
        <w:t xml:space="preserve"> </w:t>
      </w:r>
      <w:r w:rsidRPr="00F55A79">
        <w:t>ha</w:t>
      </w:r>
      <w:r w:rsidRPr="00F55A79" w:rsidR="00483FB7">
        <w:t>ve</w:t>
      </w:r>
      <w:r w:rsidRPr="00F55A79">
        <w:t xml:space="preserve"> a period of ten years for compliance and a reporting, status update, or monitoring commitment to the </w:t>
      </w:r>
      <w:r w:rsidRPr="00F55A79" w:rsidR="00280563">
        <w:t xml:space="preserve">Commission’s </w:t>
      </w:r>
      <w:r w:rsidRPr="00F55A79">
        <w:t xml:space="preserve">Communications Division and </w:t>
      </w:r>
      <w:r w:rsidRPr="00F55A79" w:rsidR="00280563">
        <w:t xml:space="preserve">the </w:t>
      </w:r>
      <w:r w:rsidRPr="00F55A79">
        <w:t xml:space="preserve">Compliance Monitor due on January 15 on an annual basis starting January 15, 2027 with last reports due on January 15, 2037. </w:t>
      </w:r>
    </w:p>
    <w:p w:rsidRPr="00F55A79" w:rsidR="00374CF8" w:rsidP="00374CF8" w:rsidRDefault="00374CF8" w14:paraId="00991977" w14:textId="5EF16357">
      <w:pPr>
        <w:pStyle w:val="OP"/>
        <w:rPr>
          <w:color w:val="000000" w:themeColor="text1"/>
        </w:rPr>
      </w:pPr>
      <w:r w:rsidRPr="00F55A79">
        <w:rPr>
          <w:color w:val="000000" w:themeColor="text1"/>
        </w:rPr>
        <w:t xml:space="preserve">The motion of </w:t>
      </w:r>
      <w:r w:rsidRPr="00F55A79" w:rsidR="00B94830">
        <w:rPr>
          <w:color w:val="000000" w:themeColor="text1"/>
        </w:rPr>
        <w:t>Verizon Communications Inc.</w:t>
      </w:r>
      <w:r w:rsidRPr="00F55A79" w:rsidDel="00374CF8" w:rsidR="00B94830">
        <w:rPr>
          <w:color w:val="000000" w:themeColor="text1"/>
        </w:rPr>
        <w:t xml:space="preserve"> </w:t>
      </w:r>
      <w:r w:rsidRPr="00F55A79" w:rsidR="00B94830">
        <w:rPr>
          <w:color w:val="000000" w:themeColor="text1"/>
        </w:rPr>
        <w:t xml:space="preserve">(Verizon) </w:t>
      </w:r>
      <w:r w:rsidRPr="00F55A79">
        <w:rPr>
          <w:color w:val="000000" w:themeColor="text1"/>
        </w:rPr>
        <w:t xml:space="preserve">and </w:t>
      </w:r>
      <w:r w:rsidRPr="00F55A79" w:rsidR="00B94830">
        <w:rPr>
          <w:color w:val="000000" w:themeColor="text1"/>
        </w:rPr>
        <w:t xml:space="preserve">the Public Advocates Office </w:t>
      </w:r>
      <w:r w:rsidRPr="00F55A79" w:rsidR="005D381D">
        <w:rPr>
          <w:color w:val="000000" w:themeColor="text1"/>
        </w:rPr>
        <w:t>at</w:t>
      </w:r>
      <w:r w:rsidRPr="00F55A79" w:rsidR="00B94830">
        <w:rPr>
          <w:color w:val="000000" w:themeColor="text1"/>
        </w:rPr>
        <w:t xml:space="preserve"> the California Public Utilities Commission (</w:t>
      </w:r>
      <w:r w:rsidRPr="00F55A79">
        <w:rPr>
          <w:color w:val="000000" w:themeColor="text1"/>
        </w:rPr>
        <w:t>Cal Advocates</w:t>
      </w:r>
      <w:r w:rsidRPr="00F55A79" w:rsidR="00B94830">
        <w:rPr>
          <w:color w:val="000000" w:themeColor="text1"/>
        </w:rPr>
        <w:t>)</w:t>
      </w:r>
      <w:r w:rsidRPr="00F55A79">
        <w:rPr>
          <w:color w:val="000000" w:themeColor="text1"/>
        </w:rPr>
        <w:t xml:space="preserve"> for approval of the settlement agreement between </w:t>
      </w:r>
      <w:r w:rsidRPr="00F55A79" w:rsidR="00B94830">
        <w:rPr>
          <w:color w:val="000000" w:themeColor="text1"/>
        </w:rPr>
        <w:t>Verizon and Cal Advocates</w:t>
      </w:r>
      <w:r w:rsidRPr="00F55A79">
        <w:rPr>
          <w:color w:val="000000" w:themeColor="text1"/>
        </w:rPr>
        <w:t xml:space="preserve"> is granted and the settlement agreement, included in Appendix A, is </w:t>
      </w:r>
      <w:r w:rsidRPr="00F55A79" w:rsidR="006F7AD4">
        <w:rPr>
          <w:color w:val="000000" w:themeColor="text1"/>
        </w:rPr>
        <w:t>granted</w:t>
      </w:r>
      <w:r w:rsidRPr="00F55A79">
        <w:rPr>
          <w:color w:val="000000" w:themeColor="text1"/>
        </w:rPr>
        <w:t>.</w:t>
      </w:r>
    </w:p>
    <w:p w:rsidRPr="00F55A79" w:rsidR="00374CF8" w:rsidP="00FB7D25" w:rsidRDefault="00374CF8" w14:paraId="0C728FFF" w14:textId="56FE09E2">
      <w:pPr>
        <w:pStyle w:val="OP"/>
      </w:pPr>
      <w:r w:rsidRPr="00F55A79">
        <w:t xml:space="preserve">The motion of </w:t>
      </w:r>
      <w:r w:rsidRPr="00F55A79" w:rsidR="00B94830">
        <w:rPr>
          <w:color w:val="000000" w:themeColor="text1"/>
        </w:rPr>
        <w:t>Verizon Communications Inc.</w:t>
      </w:r>
      <w:r w:rsidRPr="00F55A79" w:rsidDel="00374CF8" w:rsidR="00B94830">
        <w:rPr>
          <w:color w:val="000000" w:themeColor="text1"/>
        </w:rPr>
        <w:t xml:space="preserve"> </w:t>
      </w:r>
      <w:r w:rsidRPr="00F55A79" w:rsidR="00B94830">
        <w:rPr>
          <w:color w:val="000000" w:themeColor="text1"/>
        </w:rPr>
        <w:t>(Verizon) and the California Emerging Technology Fund (CETF)</w:t>
      </w:r>
      <w:r w:rsidRPr="00F55A79" w:rsidDel="00374CF8" w:rsidR="00B94830">
        <w:t xml:space="preserve"> </w:t>
      </w:r>
      <w:r w:rsidRPr="00F55A79">
        <w:t xml:space="preserve">for approval of the settlement agreement between </w:t>
      </w:r>
      <w:r w:rsidRPr="00F55A79" w:rsidR="00B94830">
        <w:rPr>
          <w:color w:val="000000" w:themeColor="text1"/>
        </w:rPr>
        <w:t>Verizon and CETF</w:t>
      </w:r>
      <w:r w:rsidRPr="00F55A79" w:rsidDel="00374CF8">
        <w:t xml:space="preserve"> </w:t>
      </w:r>
      <w:r w:rsidRPr="00F55A79">
        <w:t xml:space="preserve">is granted and the settlement agreement, included in Appendix B, is </w:t>
      </w:r>
      <w:r w:rsidRPr="00F55A79" w:rsidR="006F7AD4">
        <w:t>granted</w:t>
      </w:r>
      <w:r w:rsidRPr="00F55A79">
        <w:t>.</w:t>
      </w:r>
    </w:p>
    <w:p w:rsidRPr="00F55A79" w:rsidR="00374CF8" w:rsidP="00374CF8" w:rsidRDefault="00B94830" w14:paraId="220AF219" w14:textId="60ABAFDD">
      <w:pPr>
        <w:pStyle w:val="OP"/>
        <w:rPr>
          <w:color w:val="000000" w:themeColor="text1"/>
        </w:rPr>
      </w:pPr>
      <w:r w:rsidRPr="00F55A79">
        <w:rPr>
          <w:color w:val="000000" w:themeColor="text1"/>
        </w:rPr>
        <w:t>The motion of Verizon Communications Inc.</w:t>
      </w:r>
      <w:r w:rsidRPr="00F55A79" w:rsidDel="00374CF8">
        <w:rPr>
          <w:color w:val="000000" w:themeColor="text1"/>
        </w:rPr>
        <w:t xml:space="preserve"> </w:t>
      </w:r>
      <w:r w:rsidRPr="00F55A79">
        <w:rPr>
          <w:color w:val="000000" w:themeColor="text1"/>
        </w:rPr>
        <w:t xml:space="preserve">(Verizon) and Communications Workers of America, District 9 (CWA) </w:t>
      </w:r>
      <w:r w:rsidRPr="00F55A79" w:rsidR="00374CF8">
        <w:rPr>
          <w:color w:val="000000" w:themeColor="text1"/>
        </w:rPr>
        <w:t xml:space="preserve">for approval of the settlement agreement between </w:t>
      </w:r>
      <w:r w:rsidRPr="00F55A79">
        <w:rPr>
          <w:color w:val="000000" w:themeColor="text1"/>
        </w:rPr>
        <w:t>Verizon and</w:t>
      </w:r>
      <w:r w:rsidRPr="00F55A79" w:rsidR="00374CF8">
        <w:rPr>
          <w:color w:val="000000" w:themeColor="text1"/>
        </w:rPr>
        <w:t xml:space="preserve"> CWA is granted and the settlement agreement, included in Appendix C, is </w:t>
      </w:r>
      <w:r w:rsidRPr="00F55A79" w:rsidR="006F7AD4">
        <w:rPr>
          <w:color w:val="000000" w:themeColor="text1"/>
        </w:rPr>
        <w:t>granted</w:t>
      </w:r>
      <w:r w:rsidRPr="00F55A79" w:rsidR="00374CF8">
        <w:rPr>
          <w:color w:val="000000" w:themeColor="text1"/>
        </w:rPr>
        <w:t>.</w:t>
      </w:r>
    </w:p>
    <w:p w:rsidRPr="00F55A79" w:rsidR="00F6397D" w:rsidP="00B3087D" w:rsidRDefault="00E23CBB" w14:paraId="249C192B" w14:textId="6636086A">
      <w:pPr>
        <w:pStyle w:val="OP"/>
      </w:pPr>
      <w:r w:rsidRPr="00F55A79">
        <w:t>Application</w:t>
      </w:r>
      <w:r w:rsidRPr="00F55A79" w:rsidR="002A37A7">
        <w:t xml:space="preserve"> 24</w:t>
      </w:r>
      <w:r w:rsidRPr="00F55A79">
        <w:t>-</w:t>
      </w:r>
      <w:r w:rsidRPr="00F55A79" w:rsidR="002A37A7">
        <w:t>10</w:t>
      </w:r>
      <w:r w:rsidRPr="00F55A79">
        <w:t>-</w:t>
      </w:r>
      <w:r w:rsidRPr="00F55A79" w:rsidR="002A37A7">
        <w:t>006</w:t>
      </w:r>
      <w:r w:rsidRPr="00F55A79">
        <w:t xml:space="preserve"> is closed.</w:t>
      </w:r>
    </w:p>
    <w:p w:rsidR="00BA5597" w:rsidP="008F0116" w:rsidRDefault="00BA5597" w14:paraId="5D5B36DD" w14:textId="77777777"/>
    <w:p w:rsidR="00BA5597" w:rsidP="008F0116" w:rsidRDefault="00BA5597" w14:paraId="3E34F716" w14:textId="77777777"/>
    <w:p w:rsidR="00BA5597" w:rsidP="008F0116" w:rsidRDefault="00BA5597" w14:paraId="0FF4E301" w14:textId="77777777"/>
    <w:p w:rsidR="00BA5597" w:rsidP="008F0116" w:rsidRDefault="00BA5597" w14:paraId="06839E70" w14:textId="77777777"/>
    <w:p w:rsidR="00BA5597" w:rsidP="008F0116" w:rsidRDefault="00BA5597" w14:paraId="7F59807F" w14:textId="77777777"/>
    <w:p w:rsidR="00BA5597" w:rsidP="008F0116" w:rsidRDefault="00BA5597" w14:paraId="47565E6B" w14:textId="77777777"/>
    <w:p w:rsidRPr="00F55A79" w:rsidR="008F0116" w:rsidP="008F0116" w:rsidRDefault="008F0116" w14:paraId="137E5A65" w14:textId="27A385F2">
      <w:r w:rsidRPr="00F55A79">
        <w:lastRenderedPageBreak/>
        <w:t>This order is effective today.</w:t>
      </w:r>
    </w:p>
    <w:p w:rsidR="00202B7F" w:rsidP="00816E05" w:rsidRDefault="008F0116" w14:paraId="715E8B03" w14:textId="3AB25BA8">
      <w:r w:rsidRPr="00F55A79">
        <w:t xml:space="preserve">Dated </w:t>
      </w:r>
      <w:r w:rsidR="00BA5597">
        <w:t>January 15, 2026</w:t>
      </w:r>
      <w:r w:rsidRPr="00F55A79">
        <w:t>, at San Francisco, California</w:t>
      </w:r>
    </w:p>
    <w:p w:rsidR="00BA5597" w:rsidP="00816E05" w:rsidRDefault="00BA5597" w14:paraId="277ED33F" w14:textId="77777777"/>
    <w:p w:rsidRPr="00BA5597" w:rsidR="00BA5597" w:rsidP="00BA5597" w:rsidRDefault="00BA5597" w14:paraId="5D019FC3" w14:textId="77777777">
      <w:pPr>
        <w:autoSpaceDE w:val="0"/>
        <w:autoSpaceDN w:val="0"/>
        <w:adjustRightInd w:val="0"/>
        <w:spacing w:line="240" w:lineRule="auto"/>
        <w:ind w:left="4320"/>
        <w:jc w:val="both"/>
        <w:rPr>
          <w:rFonts w:cs="Times New Roman"/>
          <w:szCs w:val="20"/>
        </w:rPr>
      </w:pPr>
      <w:r w:rsidRPr="00BA5597">
        <w:rPr>
          <w:rFonts w:cs="Times New Roman"/>
          <w:szCs w:val="20"/>
        </w:rPr>
        <w:t>ALICE REYNOLDS</w:t>
      </w:r>
    </w:p>
    <w:p w:rsidRPr="00BA5597" w:rsidR="00BA5597" w:rsidP="00BA5597" w:rsidRDefault="00BA5597" w14:paraId="225ADCB9" w14:textId="524FC60E">
      <w:pPr>
        <w:autoSpaceDE w:val="0"/>
        <w:autoSpaceDN w:val="0"/>
        <w:adjustRightInd w:val="0"/>
        <w:spacing w:line="240" w:lineRule="auto"/>
        <w:jc w:val="both"/>
        <w:rPr>
          <w:rFonts w:cs="Times New Roman"/>
          <w:szCs w:val="20"/>
        </w:rPr>
      </w:pPr>
      <w:r w:rsidRPr="00BA5597">
        <w:rPr>
          <w:rFonts w:cs="Times New Roman"/>
          <w:szCs w:val="20"/>
        </w:rPr>
        <w:tab/>
      </w:r>
      <w:r w:rsidRPr="00BA5597">
        <w:rPr>
          <w:rFonts w:cs="Times New Roman"/>
          <w:szCs w:val="20"/>
        </w:rPr>
        <w:tab/>
      </w:r>
      <w:r w:rsidRPr="00BA5597">
        <w:rPr>
          <w:rFonts w:cs="Times New Roman"/>
          <w:szCs w:val="20"/>
        </w:rPr>
        <w:tab/>
      </w:r>
      <w:r w:rsidRPr="00BA5597">
        <w:rPr>
          <w:rFonts w:cs="Times New Roman"/>
          <w:szCs w:val="20"/>
        </w:rPr>
        <w:tab/>
      </w:r>
      <w:r w:rsidRPr="00BA5597">
        <w:rPr>
          <w:rFonts w:cs="Times New Roman"/>
          <w:szCs w:val="20"/>
        </w:rPr>
        <w:tab/>
        <w:t xml:space="preserve">                      </w:t>
      </w:r>
      <w:r>
        <w:rPr>
          <w:rFonts w:cs="Times New Roman"/>
          <w:szCs w:val="20"/>
        </w:rPr>
        <w:tab/>
      </w:r>
      <w:r>
        <w:rPr>
          <w:rFonts w:cs="Times New Roman"/>
          <w:szCs w:val="20"/>
        </w:rPr>
        <w:tab/>
      </w:r>
      <w:r w:rsidRPr="00BA5597">
        <w:rPr>
          <w:rFonts w:cs="Times New Roman"/>
          <w:szCs w:val="20"/>
        </w:rPr>
        <w:t xml:space="preserve"> President</w:t>
      </w:r>
    </w:p>
    <w:p w:rsidRPr="00BA5597" w:rsidR="00BA5597" w:rsidP="00BA5597" w:rsidRDefault="00BA5597" w14:paraId="12D279BB" w14:textId="77777777">
      <w:pPr>
        <w:autoSpaceDE w:val="0"/>
        <w:autoSpaceDN w:val="0"/>
        <w:adjustRightInd w:val="0"/>
        <w:spacing w:line="240" w:lineRule="auto"/>
        <w:ind w:left="4320"/>
        <w:jc w:val="both"/>
        <w:rPr>
          <w:rFonts w:cs="Times New Roman"/>
          <w:szCs w:val="20"/>
        </w:rPr>
      </w:pPr>
      <w:r w:rsidRPr="00BA5597">
        <w:rPr>
          <w:rFonts w:cs="Times New Roman"/>
          <w:szCs w:val="20"/>
        </w:rPr>
        <w:t>DARCIE L. HOUCK</w:t>
      </w:r>
    </w:p>
    <w:p w:rsidRPr="00BA5597" w:rsidR="00BA5597" w:rsidP="00BA5597" w:rsidRDefault="00BA5597" w14:paraId="2F94AA37" w14:textId="77777777">
      <w:pPr>
        <w:autoSpaceDE w:val="0"/>
        <w:autoSpaceDN w:val="0"/>
        <w:adjustRightInd w:val="0"/>
        <w:spacing w:line="240" w:lineRule="auto"/>
        <w:ind w:left="4320"/>
        <w:jc w:val="both"/>
        <w:rPr>
          <w:rFonts w:cs="Times New Roman"/>
          <w:szCs w:val="20"/>
        </w:rPr>
      </w:pPr>
      <w:r w:rsidRPr="00BA5597">
        <w:rPr>
          <w:rFonts w:cs="Times New Roman"/>
          <w:szCs w:val="20"/>
        </w:rPr>
        <w:t>JOHN REYNOLDS</w:t>
      </w:r>
    </w:p>
    <w:p w:rsidRPr="00BA5597" w:rsidR="00BA5597" w:rsidP="00BA5597" w:rsidRDefault="00BA5597" w14:paraId="7552CB0E" w14:textId="77777777">
      <w:pPr>
        <w:autoSpaceDE w:val="0"/>
        <w:autoSpaceDN w:val="0"/>
        <w:adjustRightInd w:val="0"/>
        <w:spacing w:line="240" w:lineRule="auto"/>
        <w:ind w:left="4320"/>
        <w:jc w:val="both"/>
        <w:rPr>
          <w:rFonts w:eastAsia="Times New Roman" w:cs="Calibri"/>
          <w:color w:val="000000"/>
          <w:szCs w:val="26"/>
        </w:rPr>
      </w:pPr>
      <w:r w:rsidRPr="00BA5597">
        <w:rPr>
          <w:rFonts w:eastAsia="Times New Roman" w:cs="Calibri"/>
          <w:color w:val="000000"/>
          <w:szCs w:val="26"/>
        </w:rPr>
        <w:t>KAREN DOUGLAS</w:t>
      </w:r>
    </w:p>
    <w:p w:rsidRPr="00BA5597" w:rsidR="00BA5597" w:rsidP="00BA5597" w:rsidRDefault="00BA5597" w14:paraId="0444D871" w14:textId="77777777">
      <w:pPr>
        <w:autoSpaceDE w:val="0"/>
        <w:autoSpaceDN w:val="0"/>
        <w:adjustRightInd w:val="0"/>
        <w:spacing w:line="240" w:lineRule="auto"/>
        <w:ind w:left="4320"/>
        <w:jc w:val="both"/>
        <w:rPr>
          <w:rFonts w:cs="Times New Roman"/>
          <w:szCs w:val="20"/>
        </w:rPr>
      </w:pPr>
      <w:r w:rsidRPr="00BA5597">
        <w:rPr>
          <w:rFonts w:eastAsia="Times New Roman" w:cs="Calibri"/>
          <w:color w:val="000000"/>
          <w:szCs w:val="26"/>
        </w:rPr>
        <w:t>MATTHEW BAKER</w:t>
      </w:r>
    </w:p>
    <w:p w:rsidRPr="00BA5597" w:rsidR="00BA5597" w:rsidP="00BA5597" w:rsidRDefault="00BA5597" w14:paraId="6030205F" w14:textId="43C532BC">
      <w:pPr>
        <w:autoSpaceDE w:val="0"/>
        <w:autoSpaceDN w:val="0"/>
        <w:adjustRightInd w:val="0"/>
        <w:spacing w:line="240" w:lineRule="auto"/>
        <w:ind w:left="4320"/>
        <w:jc w:val="both"/>
        <w:rPr>
          <w:rFonts w:cs="Times New Roman"/>
          <w:szCs w:val="20"/>
        </w:rPr>
      </w:pPr>
      <w:r w:rsidRPr="00BA5597">
        <w:rPr>
          <w:rFonts w:cs="Times New Roman"/>
          <w:szCs w:val="20"/>
        </w:rPr>
        <w:t xml:space="preserve">            </w:t>
      </w:r>
      <w:r>
        <w:rPr>
          <w:rFonts w:cs="Times New Roman"/>
          <w:szCs w:val="20"/>
        </w:rPr>
        <w:tab/>
      </w:r>
      <w:r w:rsidRPr="00BA5597">
        <w:rPr>
          <w:rFonts w:cs="Times New Roman"/>
          <w:szCs w:val="20"/>
        </w:rPr>
        <w:t>Commissioners</w:t>
      </w:r>
    </w:p>
    <w:p w:rsidR="00BA5597" w:rsidP="00816E05" w:rsidRDefault="00BA5597" w14:paraId="44B64236" w14:textId="77777777"/>
    <w:p w:rsidRPr="00096D54" w:rsidR="00EB41A3" w:rsidP="00025D7E" w:rsidRDefault="00EB41A3" w14:paraId="085E6945" w14:textId="7148E699">
      <w:pPr>
        <w:spacing w:after="160" w:line="259" w:lineRule="auto"/>
        <w:ind w:firstLine="0"/>
      </w:pPr>
    </w:p>
    <w:p w:rsidRPr="00096D54" w:rsidR="00EB41A3" w:rsidP="00025D7E" w:rsidRDefault="00EB41A3" w14:paraId="799C24EF" w14:textId="14C37BB6">
      <w:pPr>
        <w:keepNext/>
        <w:keepLines/>
        <w:spacing w:after="120" w:line="240" w:lineRule="auto"/>
        <w:jc w:val="center"/>
        <w:outlineLvl w:val="0"/>
      </w:pPr>
    </w:p>
    <w:p w:rsidRPr="00096D54" w:rsidR="00EB41A3" w:rsidP="00025D7E" w:rsidRDefault="00EB41A3" w14:paraId="57A03F03" w14:textId="2A6DBFF9">
      <w:pPr>
        <w:keepNext/>
        <w:keepLines/>
        <w:spacing w:after="120" w:line="240" w:lineRule="auto"/>
        <w:jc w:val="center"/>
        <w:outlineLvl w:val="0"/>
      </w:pPr>
    </w:p>
    <w:p w:rsidRPr="00096D54" w:rsidR="00EB41A3" w:rsidP="00025D7E" w:rsidRDefault="00EB41A3" w14:paraId="06A6F7DC" w14:textId="77777777">
      <w:pPr>
        <w:keepNext/>
        <w:keepLines/>
        <w:spacing w:after="120" w:line="240" w:lineRule="auto"/>
        <w:ind w:firstLine="0"/>
        <w:jc w:val="center"/>
        <w:outlineLvl w:val="0"/>
      </w:pPr>
    </w:p>
    <w:sectPr w:rsidRPr="00096D54" w:rsidR="00EB41A3" w:rsidSect="006D7F1F">
      <w:headerReference w:type="default" r:id="rId19"/>
      <w:footerReference w:type="default" r:id="rId20"/>
      <w:pgSz w:w="12240" w:h="15840"/>
      <w:pgMar w:top="1728" w:right="1440" w:bottom="1440" w:left="1440" w:header="720" w:footer="720" w:gutter="0"/>
      <w:pgNumType w:start="2"/>
      <w:cols w:space="720"/>
      <w:docGrid w:linePitch="360"/>
    </w:sectPr>
    <w:p>
      <w:r>
        <w:t xml:space="preserve"/>
      </w:r>
    </w:p>
    <w:p>
      <w:r>
        <w:t xml:space="preserve">Attachment 1: </w:t>
      </w:r>
    </w:p>
    <w:p>
      <w:hyperlink w:history="true" r:id="R49e373a524e0478d">
        <w:r w:rsidRPr="00CB1292">
          <w:rPr>
            <w:rStyle w:val="Hyperlink"/>
            <w:color w:val="2E74B5" w:themeColor="accent1" w:themeShade="BF"/>
            <w:u w:val="single"/>
          </w:rPr>
          <w:t>Appendix  A - Executed - Verizon Cal Advocates Settlement Agreement 250904.pdf</w:t>
        </w:r>
      </w:hyperlink>
    </w:p>
    <w:p>
      <w:r>
        <w:t xml:space="preserve"/>
      </w:r>
    </w:p>
    <w:p>
      <w:r>
        <w:t xml:space="preserve">Attachment 2: </w:t>
      </w:r>
    </w:p>
    <w:p>
      <w:hyperlink w:history="true" r:id="R3f93e6a810244cb4">
        <w:r w:rsidRPr="00CB1292">
          <w:rPr>
            <w:rStyle w:val="Hyperlink"/>
            <w:color w:val="2E74B5" w:themeColor="accent1" w:themeShade="BF"/>
            <w:u w:val="single"/>
          </w:rPr>
          <w:t>Appendix B - Executed - Public MOU Verizon CETF - 08.28.25.pdf</w:t>
        </w:r>
      </w:hyperlink>
    </w:p>
    <w:p>
      <w:r>
        <w:t xml:space="preserve"/>
      </w:r>
    </w:p>
    <w:p>
      <w:r>
        <w:t xml:space="preserve">Attachment 3: </w:t>
      </w:r>
    </w:p>
    <w:p>
      <w:hyperlink w:history="true" r:id="R2312b80b9a914d2a">
        <w:r w:rsidRPr="00CB1292">
          <w:rPr>
            <w:rStyle w:val="Hyperlink"/>
            <w:color w:val="2E74B5" w:themeColor="accent1" w:themeShade="BF"/>
            <w:u w:val="single"/>
          </w:rPr>
          <w:t>Appendix C - Settlement Agreement.pdf</w:t>
        </w:r>
      </w:hyperlink>
    </w:p>
    <w:p>
      <w:r>
        <w:t xml:space="preserve"/>
      </w:r>
    </w:p>
    <w:p>
      <w:r>
        <w:t xml:space="preserve">Attachment 4: </w:t>
      </w:r>
    </w:p>
    <w:p>
      <w:hyperlink w:history="true" r:id="Rc44ce973c6654c21">
        <w:r w:rsidRPr="00CB1292">
          <w:rPr>
            <w:rStyle w:val="Hyperlink"/>
            <w:color w:val="2E74B5" w:themeColor="accent1" w:themeShade="BF"/>
            <w:u w:val="single"/>
          </w:rPr>
          <w:t>Appendix D - List of Wire Centers.pdf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2A1EA" w14:textId="77777777" w:rsidR="007A2BE0" w:rsidRDefault="007A2BE0" w:rsidP="0098138E">
      <w:pPr>
        <w:spacing w:line="240" w:lineRule="auto"/>
      </w:pPr>
      <w:r>
        <w:separator/>
      </w:r>
    </w:p>
  </w:endnote>
  <w:endnote w:type="continuationSeparator" w:id="0">
    <w:p w14:paraId="38A6EAE4" w14:textId="77777777" w:rsidR="007A2BE0" w:rsidRDefault="007A2BE0"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altName w:val="Cambri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3CCDF" w14:textId="77777777" w:rsidR="00F92385" w:rsidRDefault="00F92385" w:rsidP="007E0FEE">
    <w:pPr>
      <w:ind w:firstLine="0"/>
      <w:jc w:val="center"/>
    </w:pPr>
    <w:r>
      <w:t>-</w:t>
    </w:r>
    <w:sdt>
      <w:sdtPr>
        <w:id w:val="-14722089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D73F5" w14:textId="4BCED72E" w:rsidR="00150F4B" w:rsidRDefault="00BA5597" w:rsidP="009139CE">
    <w:pPr>
      <w:pStyle w:val="Footer"/>
      <w:ind w:firstLine="0"/>
    </w:pPr>
    <w:r w:rsidRPr="00BA5597">
      <w:rPr>
        <w:sz w:val="16"/>
        <w:szCs w:val="16"/>
      </w:rPr>
      <w:t>595497102</w:t>
    </w:r>
    <w:r w:rsidR="009139CE">
      <w:tab/>
    </w:r>
    <w:r w:rsidR="005115C4">
      <w:t>-</w:t>
    </w:r>
    <w:sdt>
      <w:sdtPr>
        <w:id w:val="194039139"/>
        <w:docPartObj>
          <w:docPartGallery w:val="Page Numbers (Bottom of Page)"/>
          <w:docPartUnique/>
        </w:docPartObj>
      </w:sdtPr>
      <w:sdtEndPr>
        <w:rPr>
          <w:noProof/>
        </w:rPr>
      </w:sdtEndPr>
      <w:sdtContent>
        <w:r w:rsidR="00150F4B">
          <w:fldChar w:fldCharType="begin"/>
        </w:r>
        <w:r w:rsidR="00150F4B">
          <w:instrText xml:space="preserve"> PAGE   \* MERGEFORMAT </w:instrText>
        </w:r>
        <w:r w:rsidR="00150F4B">
          <w:fldChar w:fldCharType="separate"/>
        </w:r>
        <w:r w:rsidR="00150F4B">
          <w:rPr>
            <w:noProof/>
          </w:rPr>
          <w:t>2</w:t>
        </w:r>
        <w:r w:rsidR="00150F4B">
          <w:rPr>
            <w:noProof/>
          </w:rPr>
          <w:fldChar w:fldCharType="end"/>
        </w:r>
        <w:r w:rsidR="005115C4">
          <w:rPr>
            <w:noProof/>
          </w:rPr>
          <w:t>-</w:t>
        </w:r>
      </w:sdtContent>
    </w:sdt>
  </w:p>
  <w:p w14:paraId="02908801" w14:textId="52BD82B2" w:rsidR="00632207" w:rsidRDefault="00632207" w:rsidP="007E0FEE">
    <w:pPr>
      <w:tabs>
        <w:tab w:val="center" w:pos="4680"/>
      </w:tabs>
      <w:ind w:firstLine="0"/>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315F0" w14:textId="77777777" w:rsidR="00E23CBB" w:rsidRDefault="00E23CBB" w:rsidP="007E0FEE">
    <w:pPr>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DB96" w14:textId="05579409" w:rsidR="00150F4B" w:rsidRDefault="005115C4" w:rsidP="00150F4B">
    <w:pPr>
      <w:pStyle w:val="Footer"/>
      <w:ind w:firstLine="0"/>
      <w:jc w:val="center"/>
    </w:pPr>
    <w:r>
      <w:t>-</w:t>
    </w:r>
    <w:sdt>
      <w:sdtPr>
        <w:id w:val="298883669"/>
        <w:docPartObj>
          <w:docPartGallery w:val="Page Numbers (Bottom of Page)"/>
          <w:docPartUnique/>
        </w:docPartObj>
      </w:sdtPr>
      <w:sdtEndPr>
        <w:rPr>
          <w:noProof/>
        </w:rPr>
      </w:sdtEndPr>
      <w:sdtContent>
        <w:r w:rsidR="00150F4B">
          <w:fldChar w:fldCharType="begin"/>
        </w:r>
        <w:r w:rsidR="00150F4B">
          <w:instrText xml:space="preserve"> PAGE   \* MERGEFORMAT </w:instrText>
        </w:r>
        <w:r w:rsidR="00150F4B">
          <w:fldChar w:fldCharType="separate"/>
        </w:r>
        <w:r w:rsidR="00150F4B">
          <w:rPr>
            <w:noProof/>
          </w:rPr>
          <w:t>2</w:t>
        </w:r>
        <w:r w:rsidR="00150F4B">
          <w:rPr>
            <w:noProof/>
          </w:rPr>
          <w:fldChar w:fldCharType="end"/>
        </w:r>
        <w:r>
          <w:rPr>
            <w:noProof/>
          </w:rPr>
          <w:t>-</w:t>
        </w:r>
      </w:sdtContent>
    </w:sdt>
  </w:p>
  <w:p w14:paraId="16F65750" w14:textId="73B23843" w:rsidR="00E23CBB" w:rsidRDefault="00E23CBB" w:rsidP="007E0FEE">
    <w:pPr>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0BA38" w14:textId="77777777" w:rsidR="007A2BE0" w:rsidRDefault="007A2BE0" w:rsidP="00DF58E7">
      <w:pPr>
        <w:spacing w:line="240" w:lineRule="auto"/>
        <w:ind w:firstLine="0"/>
      </w:pPr>
      <w:r>
        <w:separator/>
      </w:r>
    </w:p>
  </w:footnote>
  <w:footnote w:type="continuationSeparator" w:id="0">
    <w:p w14:paraId="5392F49E" w14:textId="77777777" w:rsidR="007A2BE0" w:rsidRDefault="007A2BE0" w:rsidP="00DF58E7">
      <w:pPr>
        <w:spacing w:line="240" w:lineRule="auto"/>
        <w:ind w:firstLine="0"/>
      </w:pPr>
      <w:r>
        <w:continuationSeparator/>
      </w:r>
    </w:p>
  </w:footnote>
  <w:footnote w:type="continuationNotice" w:id="1">
    <w:p w14:paraId="0E06FC86" w14:textId="77777777" w:rsidR="007A2BE0" w:rsidRPr="00DF58E7" w:rsidRDefault="007A2BE0" w:rsidP="00DF58E7">
      <w:pPr>
        <w:spacing w:line="240" w:lineRule="auto"/>
        <w:ind w:firstLine="0"/>
        <w:jc w:val="right"/>
        <w:rPr>
          <w:i/>
          <w:sz w:val="22"/>
        </w:rPr>
      </w:pPr>
      <w:r w:rsidRPr="00DF58E7">
        <w:rPr>
          <w:i/>
          <w:sz w:val="22"/>
        </w:rPr>
        <w:t>Footnote continued on next page.</w:t>
      </w:r>
    </w:p>
  </w:footnote>
  <w:footnote w:id="2">
    <w:p w14:paraId="50784750" w14:textId="1E494210" w:rsidR="0052546C" w:rsidRPr="00D33F15" w:rsidRDefault="0052546C">
      <w:pPr>
        <w:pStyle w:val="FootnoteText"/>
      </w:pPr>
      <w:r w:rsidRPr="00D33F15">
        <w:rPr>
          <w:rStyle w:val="FootnoteReference"/>
          <w:color w:val="000000" w:themeColor="text1"/>
        </w:rPr>
        <w:footnoteRef/>
      </w:r>
      <w:r w:rsidRPr="00D33F15">
        <w:rPr>
          <w:color w:val="000000" w:themeColor="text1"/>
        </w:rPr>
        <w:t xml:space="preserve"> </w:t>
      </w:r>
      <w:r w:rsidR="00083C1E" w:rsidRPr="00D33F15">
        <w:rPr>
          <w:color w:val="000000" w:themeColor="text1"/>
        </w:rPr>
        <w:t>A</w:t>
      </w:r>
      <w:r w:rsidR="00FA69B5" w:rsidRPr="00D33F15">
        <w:rPr>
          <w:color w:val="000000" w:themeColor="text1"/>
        </w:rPr>
        <w:t xml:space="preserve">n ILEC </w:t>
      </w:r>
      <w:r w:rsidR="00083C1E" w:rsidRPr="00D33F15">
        <w:rPr>
          <w:color w:val="000000" w:themeColor="text1"/>
        </w:rPr>
        <w:t xml:space="preserve">is </w:t>
      </w:r>
      <w:r w:rsidR="00CE748B" w:rsidRPr="00D33F15">
        <w:rPr>
          <w:color w:val="000000" w:themeColor="text1"/>
        </w:rPr>
        <w:t>an operating company that provided local, intrastate service when the Telecommunications Act of 1996 took effect.</w:t>
      </w:r>
    </w:p>
  </w:footnote>
  <w:footnote w:id="3">
    <w:p w14:paraId="0B9D6BB5" w14:textId="65EE3FE1" w:rsidR="00344169" w:rsidRPr="00D33F15" w:rsidRDefault="00344169" w:rsidP="00AD4D5D">
      <w:pPr>
        <w:pStyle w:val="FootnoteText"/>
      </w:pPr>
      <w:r w:rsidRPr="00D33F15">
        <w:rPr>
          <w:rStyle w:val="FootnoteReference"/>
        </w:rPr>
        <w:footnoteRef/>
      </w:r>
      <w:r w:rsidRPr="00D33F15">
        <w:t xml:space="preserve"> </w:t>
      </w:r>
      <w:r w:rsidR="00AD4D5D" w:rsidRPr="00D33F15">
        <w:t xml:space="preserve">Frontier California service territory is distributed throughout the state and has 11 area code defined service areas. </w:t>
      </w:r>
    </w:p>
  </w:footnote>
  <w:footnote w:id="4">
    <w:p w14:paraId="1AF7D9D4" w14:textId="35165B83" w:rsidR="00AD4D5D" w:rsidRPr="00D33F15" w:rsidRDefault="00AD4D5D">
      <w:pPr>
        <w:pStyle w:val="FootnoteText"/>
      </w:pPr>
      <w:r w:rsidRPr="00D33F15">
        <w:rPr>
          <w:rStyle w:val="FootnoteReference"/>
        </w:rPr>
        <w:footnoteRef/>
      </w:r>
      <w:r w:rsidRPr="00D33F15">
        <w:t xml:space="preserve"> CTC California service territory </w:t>
      </w:r>
      <w:r w:rsidR="007A2D88" w:rsidRPr="00D33F15">
        <w:t>is also distributed throughout the state</w:t>
      </w:r>
      <w:r w:rsidRPr="00D33F15">
        <w:t>.</w:t>
      </w:r>
    </w:p>
  </w:footnote>
  <w:footnote w:id="5">
    <w:p w14:paraId="64FF0FC1" w14:textId="4D5AF736" w:rsidR="00091D88" w:rsidRPr="00D33F15" w:rsidRDefault="00091D88">
      <w:pPr>
        <w:pStyle w:val="FootnoteText"/>
      </w:pPr>
      <w:r w:rsidRPr="00D33F15">
        <w:rPr>
          <w:rStyle w:val="FootnoteReference"/>
        </w:rPr>
        <w:footnoteRef/>
      </w:r>
      <w:r w:rsidRPr="00D33F15">
        <w:t xml:space="preserve"> Application at 9.</w:t>
      </w:r>
    </w:p>
  </w:footnote>
  <w:footnote w:id="6">
    <w:p w14:paraId="1C889BCF" w14:textId="37B13FFE" w:rsidR="00ED2BF4" w:rsidRPr="00D33F15" w:rsidRDefault="00ED2BF4">
      <w:pPr>
        <w:pStyle w:val="FootnoteText"/>
      </w:pPr>
      <w:r w:rsidRPr="00D33F15">
        <w:rPr>
          <w:rStyle w:val="FootnoteReference"/>
        </w:rPr>
        <w:footnoteRef/>
      </w:r>
      <w:r w:rsidRPr="00D33F15">
        <w:t xml:space="preserve"> Application at 33.</w:t>
      </w:r>
    </w:p>
  </w:footnote>
  <w:footnote w:id="7">
    <w:p w14:paraId="3914C1C3" w14:textId="788DD002" w:rsidR="00ED2BF4" w:rsidRPr="00D33F15" w:rsidRDefault="00ED2BF4">
      <w:pPr>
        <w:pStyle w:val="FootnoteText"/>
      </w:pPr>
      <w:r w:rsidRPr="00D33F15">
        <w:rPr>
          <w:rStyle w:val="FootnoteReference"/>
        </w:rPr>
        <w:footnoteRef/>
      </w:r>
      <w:r w:rsidRPr="00D33F15">
        <w:t xml:space="preserve"> Application, Exhibit C.</w:t>
      </w:r>
    </w:p>
  </w:footnote>
  <w:footnote w:id="8">
    <w:p w14:paraId="23D7BBE5" w14:textId="28C96E23" w:rsidR="003A3508" w:rsidRPr="00D33F15" w:rsidRDefault="003A3508">
      <w:pPr>
        <w:pStyle w:val="FootnoteText"/>
      </w:pPr>
      <w:r w:rsidRPr="00D33F15">
        <w:rPr>
          <w:rStyle w:val="FootnoteReference"/>
          <w:color w:val="000000" w:themeColor="text1"/>
        </w:rPr>
        <w:footnoteRef/>
      </w:r>
      <w:r w:rsidRPr="00D33F15">
        <w:rPr>
          <w:color w:val="000000" w:themeColor="text1"/>
        </w:rPr>
        <w:t xml:space="preserve"> </w:t>
      </w:r>
      <w:r w:rsidR="003D4795" w:rsidRPr="00D33F15">
        <w:rPr>
          <w:color w:val="000000" w:themeColor="text1"/>
        </w:rPr>
        <w:t xml:space="preserve">See </w:t>
      </w:r>
      <w:r w:rsidR="000B0BFE" w:rsidRPr="00D33F15">
        <w:rPr>
          <w:color w:val="000000" w:themeColor="text1"/>
        </w:rPr>
        <w:t xml:space="preserve">Carrier of Last Resort (COLR) Rulemaking, available at: </w:t>
      </w:r>
      <w:r w:rsidR="003D4795" w:rsidRPr="00D33F15">
        <w:rPr>
          <w:color w:val="000000" w:themeColor="text1"/>
        </w:rPr>
        <w:t>https://www.cpuc.ca.gov/industries-and-topics/internet-and-phone/carrier-of-last-resort-rulemaking.</w:t>
      </w:r>
    </w:p>
  </w:footnote>
  <w:footnote w:id="9">
    <w:p w14:paraId="18C8CA0D" w14:textId="41EC7FAF" w:rsidR="00A713E0" w:rsidRPr="00D33F15" w:rsidRDefault="00A713E0">
      <w:pPr>
        <w:pStyle w:val="FootnoteText"/>
      </w:pPr>
      <w:r w:rsidRPr="00D33F15">
        <w:rPr>
          <w:rStyle w:val="FootnoteReference"/>
        </w:rPr>
        <w:footnoteRef/>
      </w:r>
      <w:r w:rsidRPr="00D33F15">
        <w:t xml:space="preserve"> Application at 6.</w:t>
      </w:r>
    </w:p>
  </w:footnote>
  <w:footnote w:id="10">
    <w:p w14:paraId="4F702ADE" w14:textId="0F36B699" w:rsidR="00A713E0" w:rsidRPr="00D33F15" w:rsidRDefault="00A713E0">
      <w:pPr>
        <w:pStyle w:val="FootnoteText"/>
      </w:pPr>
      <w:r w:rsidRPr="00D33F15">
        <w:rPr>
          <w:rStyle w:val="FootnoteReference"/>
        </w:rPr>
        <w:footnoteRef/>
      </w:r>
      <w:r w:rsidRPr="00D33F15">
        <w:t xml:space="preserve"> Application at 6.</w:t>
      </w:r>
    </w:p>
  </w:footnote>
  <w:footnote w:id="11">
    <w:p w14:paraId="15DAA909" w14:textId="24447794" w:rsidR="00A713E0" w:rsidRPr="00D33F15" w:rsidRDefault="00A713E0">
      <w:pPr>
        <w:pStyle w:val="FootnoteText"/>
      </w:pPr>
      <w:r w:rsidRPr="00D33F15">
        <w:rPr>
          <w:rStyle w:val="FootnoteReference"/>
        </w:rPr>
        <w:footnoteRef/>
      </w:r>
      <w:r w:rsidRPr="00D33F15">
        <w:t xml:space="preserve"> Application at 6.</w:t>
      </w:r>
    </w:p>
  </w:footnote>
  <w:footnote w:id="12">
    <w:p w14:paraId="318E18E6" w14:textId="77777777" w:rsidR="00A713E0" w:rsidRPr="00D33F15" w:rsidRDefault="00A713E0" w:rsidP="00A713E0">
      <w:pPr>
        <w:pStyle w:val="FootnoteText"/>
      </w:pPr>
      <w:r w:rsidRPr="00D33F15">
        <w:rPr>
          <w:rStyle w:val="FootnoteReference"/>
        </w:rPr>
        <w:footnoteRef/>
      </w:r>
      <w:r w:rsidRPr="00D33F15">
        <w:t xml:space="preserve"> Application at 5.  According to the Joint Applicants, this map “reflects the Frontier ILEC service territories in California, with the exchange boundaries shown.”</w:t>
      </w:r>
    </w:p>
  </w:footnote>
  <w:footnote w:id="13">
    <w:p w14:paraId="35ACB6DE" w14:textId="77777777" w:rsidR="00550CCB" w:rsidRPr="00D33F15" w:rsidRDefault="00550CCB" w:rsidP="00550CCB">
      <w:pPr>
        <w:pStyle w:val="FootnoteText"/>
      </w:pPr>
      <w:r w:rsidRPr="00D33F15">
        <w:rPr>
          <w:rStyle w:val="FootnoteReference"/>
        </w:rPr>
        <w:footnoteRef/>
      </w:r>
      <w:r w:rsidRPr="00D33F15">
        <w:t xml:space="preserve"> CPUC Communications Division, Total Number of Working Lines (traditional telephone service) from 25 Carriers Reporting Under General Order 133-D in California.</w:t>
      </w:r>
    </w:p>
  </w:footnote>
  <w:footnote w:id="14">
    <w:p w14:paraId="3DF04614" w14:textId="2E01AE16" w:rsidR="00550CCB" w:rsidRPr="00D33F15" w:rsidRDefault="00550CCB" w:rsidP="0020472E">
      <w:pPr>
        <w:pStyle w:val="FootnoteText"/>
        <w:rPr>
          <w:i/>
          <w:iCs/>
        </w:rPr>
      </w:pPr>
      <w:r w:rsidRPr="00D33F15">
        <w:rPr>
          <w:rStyle w:val="FootnoteReference"/>
          <w:color w:val="000000" w:themeColor="text1"/>
        </w:rPr>
        <w:footnoteRef/>
      </w:r>
      <w:r w:rsidRPr="00D33F15">
        <w:rPr>
          <w:color w:val="000000" w:themeColor="text1"/>
        </w:rPr>
        <w:t xml:space="preserve"> See PPH Transcript</w:t>
      </w:r>
      <w:r w:rsidR="00483FB7" w:rsidRPr="00D33F15">
        <w:rPr>
          <w:color w:val="000000" w:themeColor="text1"/>
        </w:rPr>
        <w:t>s</w:t>
      </w:r>
      <w:r w:rsidRPr="00D33F15">
        <w:rPr>
          <w:color w:val="000000" w:themeColor="text1"/>
        </w:rPr>
        <w:t xml:space="preserve"> and public comments on the </w:t>
      </w:r>
      <w:r w:rsidR="0020472E" w:rsidRPr="00D33F15">
        <w:rPr>
          <w:color w:val="000000" w:themeColor="text1"/>
        </w:rPr>
        <w:t xml:space="preserve">docket card </w:t>
      </w:r>
      <w:r w:rsidRPr="00D33F15">
        <w:rPr>
          <w:color w:val="000000" w:themeColor="text1"/>
        </w:rPr>
        <w:t xml:space="preserve">for this proceeding. </w:t>
      </w:r>
      <w:r w:rsidR="0020472E" w:rsidRPr="00D33F15">
        <w:rPr>
          <w:color w:val="000000" w:themeColor="text1"/>
        </w:rPr>
        <w:t xml:space="preserve"> </w:t>
      </w:r>
      <w:r w:rsidR="0020472E" w:rsidRPr="00D33F15">
        <w:rPr>
          <w:i/>
          <w:iCs/>
          <w:color w:val="000000" w:themeColor="text1"/>
        </w:rPr>
        <w:t>For example, several public comments stated opinions like those of Annemarie Weibel in Albion, who noted</w:t>
      </w:r>
      <w:r w:rsidR="00482746" w:rsidRPr="00D33F15">
        <w:rPr>
          <w:i/>
          <w:iCs/>
          <w:color w:val="000000" w:themeColor="text1"/>
        </w:rPr>
        <w:t xml:space="preserve"> on July 19, 2025</w:t>
      </w:r>
      <w:r w:rsidR="0020472E" w:rsidRPr="00D33F15">
        <w:rPr>
          <w:i/>
          <w:iCs/>
          <w:color w:val="000000" w:themeColor="text1"/>
        </w:rPr>
        <w:t xml:space="preserve"> that </w:t>
      </w:r>
      <w:r w:rsidR="00482746" w:rsidRPr="00D33F15">
        <w:rPr>
          <w:i/>
          <w:iCs/>
          <w:color w:val="000000" w:themeColor="text1"/>
        </w:rPr>
        <w:t>“</w:t>
      </w:r>
      <w:r w:rsidR="0020472E" w:rsidRPr="00D33F15">
        <w:rPr>
          <w:i/>
          <w:iCs/>
          <w:color w:val="000000" w:themeColor="text1"/>
        </w:rPr>
        <w:t xml:space="preserve">Many seniors and others depend on landlines as a main source of communication particularly in areas where cell phones do not work. I live in such an area. </w:t>
      </w:r>
      <w:r w:rsidR="00E9244A" w:rsidRPr="00D33F15">
        <w:rPr>
          <w:i/>
          <w:iCs/>
          <w:color w:val="000000" w:themeColor="text1"/>
        </w:rPr>
        <w:t xml:space="preserve"> </w:t>
      </w:r>
      <w:r w:rsidR="0020472E" w:rsidRPr="00D33F15">
        <w:rPr>
          <w:i/>
          <w:iCs/>
          <w:color w:val="000000" w:themeColor="text1"/>
        </w:rPr>
        <w:t>Also if there are wildfires, earthquakes, tsunamis, or other devastating circumstances cell phones will not work.</w:t>
      </w:r>
      <w:r w:rsidR="00482746" w:rsidRPr="00D33F15">
        <w:rPr>
          <w:i/>
          <w:iCs/>
          <w:color w:val="000000" w:themeColor="text1"/>
        </w:rPr>
        <w:t>”</w:t>
      </w:r>
    </w:p>
  </w:footnote>
  <w:footnote w:id="15">
    <w:p w14:paraId="2A93D713" w14:textId="42A6F407" w:rsidR="006A09B4" w:rsidRPr="00D33F15" w:rsidRDefault="006A09B4" w:rsidP="00FC6C9C">
      <w:pPr>
        <w:pStyle w:val="FootnoteText"/>
      </w:pPr>
      <w:r w:rsidRPr="00D33F15">
        <w:rPr>
          <w:rStyle w:val="FootnoteReference"/>
        </w:rPr>
        <w:footnoteRef/>
      </w:r>
      <w:r w:rsidRPr="00D33F15">
        <w:t xml:space="preserve"> </w:t>
      </w:r>
      <w:r w:rsidRPr="00D33F15">
        <w:rPr>
          <w:i/>
          <w:iCs/>
        </w:rPr>
        <w:t>See</w:t>
      </w:r>
      <w:r w:rsidRPr="00D33F15">
        <w:t xml:space="preserve"> </w:t>
      </w:r>
      <w:r w:rsidR="00FC6C9C" w:rsidRPr="00D33F15">
        <w:t xml:space="preserve">Working Lines of Traditional Wireline Telephone Corporations, Pursuant to General Order 133-D - June 2025.  Available at: </w:t>
      </w:r>
      <w:r w:rsidRPr="00D33F15">
        <w:t>https://www.cpuc.ca.gov/-/media/cpuc-website/divisions/communications-division/documents/service-quality/working-lines-of-traditional-wireline-telephone-corporations-pursuant-to-go-133d--june-2025.pdf.</w:t>
      </w:r>
    </w:p>
  </w:footnote>
  <w:footnote w:id="16">
    <w:p w14:paraId="2F765C0B" w14:textId="287F51ED" w:rsidR="003D7DF1" w:rsidRPr="00D33F15" w:rsidRDefault="003D7DF1" w:rsidP="00CC7967">
      <w:pPr>
        <w:pStyle w:val="FootnoteText"/>
      </w:pPr>
      <w:r w:rsidRPr="00D33F15">
        <w:rPr>
          <w:rStyle w:val="FootnoteReference"/>
        </w:rPr>
        <w:footnoteRef/>
      </w:r>
      <w:r w:rsidRPr="00D33F15">
        <w:t xml:space="preserve"> </w:t>
      </w:r>
      <w:r w:rsidRPr="00D33F15">
        <w:rPr>
          <w:i/>
          <w:iCs/>
        </w:rPr>
        <w:t>See</w:t>
      </w:r>
      <w:r w:rsidRPr="00D33F15">
        <w:t xml:space="preserve"> </w:t>
      </w:r>
      <w:r w:rsidR="00CC7967" w:rsidRPr="00D33F15">
        <w:t>General Order 133-D, Public Utilities Commission of the State of California, Rules Governing Telecommunications Services. Available at:</w:t>
      </w:r>
      <w:r w:rsidR="00CC7967" w:rsidRPr="00D33F15">
        <w:cr/>
      </w:r>
      <w:r w:rsidRPr="00D33F15">
        <w:t>https://www.cpuc.ca.gov/-/media/cpuc-website/files/uploadedfiles/cpuc_public_website/content/proceedings/proceedings_rules/go133d.pdf</w:t>
      </w:r>
      <w:r w:rsidR="00CC7967" w:rsidRPr="00D33F15">
        <w:t>.</w:t>
      </w:r>
    </w:p>
  </w:footnote>
  <w:footnote w:id="17">
    <w:p w14:paraId="7E9A7DB2" w14:textId="67EB1221" w:rsidR="00CD3F66" w:rsidRPr="00D33F15" w:rsidRDefault="00CD3F66" w:rsidP="004052A9">
      <w:pPr>
        <w:pStyle w:val="FootnoteText"/>
        <w:rPr>
          <w:color w:val="000000" w:themeColor="text1"/>
        </w:rPr>
      </w:pPr>
      <w:r w:rsidRPr="00D33F15">
        <w:rPr>
          <w:rStyle w:val="FootnoteReference"/>
        </w:rPr>
        <w:footnoteRef/>
      </w:r>
      <w:r w:rsidRPr="00D33F15">
        <w:t xml:space="preserve"> </w:t>
      </w:r>
      <w:r w:rsidR="004052A9" w:rsidRPr="00D33F15">
        <w:rPr>
          <w:i/>
          <w:iCs/>
        </w:rPr>
        <w:t>See</w:t>
      </w:r>
      <w:r w:rsidR="004052A9" w:rsidRPr="00D33F15">
        <w:t xml:space="preserve"> Broadband Equity Access and Deployment Program Overview, available at https://</w:t>
      </w:r>
      <w:r w:rsidR="004052A9" w:rsidRPr="00D33F15">
        <w:rPr>
          <w:color w:val="000000" w:themeColor="text1"/>
        </w:rPr>
        <w:t>broadbandusa.ntia.gov/funding-programs/broadband-equity-access-and-deployment-bead-program.</w:t>
      </w:r>
      <w:r w:rsidR="00154049" w:rsidRPr="00D33F15">
        <w:rPr>
          <w:color w:val="000000" w:themeColor="text1"/>
        </w:rPr>
        <w:t xml:space="preserve"> </w:t>
      </w:r>
    </w:p>
  </w:footnote>
  <w:footnote w:id="18">
    <w:p w14:paraId="003D91E6" w14:textId="77777777" w:rsidR="00CB3FE4" w:rsidRPr="00D33F15" w:rsidRDefault="00CB3FE4" w:rsidP="00CB3FE4">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Pr="00D33F15">
        <w:rPr>
          <w:i/>
          <w:iCs/>
          <w:color w:val="000000" w:themeColor="text1"/>
        </w:rPr>
        <w:t>See</w:t>
      </w:r>
      <w:r w:rsidRPr="00D33F15">
        <w:rPr>
          <w:color w:val="000000" w:themeColor="text1"/>
        </w:rPr>
        <w:t xml:space="preserve"> California Broadband Equity, Access, and Deployment (BEAD) Subgrantee Selection Process, available at: https://www.cpuc.ca.gov/industries-and-topics/internet-and-phone/broadband-implementation-for-california/bead-program/bead-subgrantee-selection.</w:t>
      </w:r>
    </w:p>
  </w:footnote>
  <w:footnote w:id="19">
    <w:p w14:paraId="0B2C652C" w14:textId="002BE155" w:rsidR="007F4A70" w:rsidRPr="00D33F15" w:rsidRDefault="007F4A70">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Pr="00D33F15">
        <w:rPr>
          <w:i/>
          <w:iCs/>
          <w:color w:val="000000" w:themeColor="text1"/>
        </w:rPr>
        <w:t>See</w:t>
      </w:r>
      <w:r w:rsidRPr="00D33F15">
        <w:rPr>
          <w:color w:val="000000" w:themeColor="text1"/>
        </w:rPr>
        <w:t xml:space="preserve"> Pub</w:t>
      </w:r>
      <w:r w:rsidR="00CF0A08" w:rsidRPr="00D33F15">
        <w:rPr>
          <w:color w:val="000000" w:themeColor="text1"/>
        </w:rPr>
        <w:t>.</w:t>
      </w:r>
      <w:r w:rsidRPr="00D33F15">
        <w:rPr>
          <w:color w:val="000000" w:themeColor="text1"/>
        </w:rPr>
        <w:t xml:space="preserve"> Util</w:t>
      </w:r>
      <w:r w:rsidR="00CF0A08" w:rsidRPr="00D33F15">
        <w:rPr>
          <w:color w:val="000000" w:themeColor="text1"/>
        </w:rPr>
        <w:t>.</w:t>
      </w:r>
      <w:r w:rsidRPr="00D33F15">
        <w:rPr>
          <w:color w:val="000000" w:themeColor="text1"/>
        </w:rPr>
        <w:t xml:space="preserve"> Code Section 276.5, D.96-10-066, and </w:t>
      </w:r>
      <w:r w:rsidR="005C6549" w:rsidRPr="00D33F15">
        <w:rPr>
          <w:color w:val="000000" w:themeColor="text1"/>
        </w:rPr>
        <w:t>California High Cost Fund-B overview, available at https://www.cpuc.ca.gov/industries-and-topics/internet-and-phone/california-high-cost-fund-b</w:t>
      </w:r>
      <w:r w:rsidRPr="00D33F15">
        <w:rPr>
          <w:color w:val="000000" w:themeColor="text1"/>
        </w:rPr>
        <w:t>.</w:t>
      </w:r>
    </w:p>
  </w:footnote>
  <w:footnote w:id="20">
    <w:p w14:paraId="6F289820" w14:textId="77777777" w:rsidR="0027617A" w:rsidRPr="00D33F15" w:rsidRDefault="0027617A" w:rsidP="0027617A">
      <w:pPr>
        <w:pStyle w:val="FootnoteText"/>
      </w:pPr>
      <w:r w:rsidRPr="00D33F15">
        <w:rPr>
          <w:rStyle w:val="FootnoteReference"/>
          <w:color w:val="000000" w:themeColor="text1"/>
        </w:rPr>
        <w:footnoteRef/>
      </w:r>
      <w:r w:rsidRPr="00D33F15">
        <w:rPr>
          <w:color w:val="000000" w:themeColor="text1"/>
        </w:rPr>
        <w:t xml:space="preserve"> High cost areas of California are those in which the cost to the COLR to provide service is $36 or more per telephone line.</w:t>
      </w:r>
    </w:p>
  </w:footnote>
  <w:footnote w:id="21">
    <w:p w14:paraId="581F77F8" w14:textId="54B8CBF0" w:rsidR="00CE5BEA" w:rsidRPr="00D33F15" w:rsidRDefault="00CE5BEA">
      <w:pPr>
        <w:pStyle w:val="FootnoteText"/>
      </w:pPr>
      <w:r w:rsidRPr="00D33F15">
        <w:rPr>
          <w:rStyle w:val="FootnoteReference"/>
        </w:rPr>
        <w:footnoteRef/>
      </w:r>
      <w:r w:rsidRPr="00D33F15">
        <w:t xml:space="preserve"> </w:t>
      </w:r>
      <w:r w:rsidR="00256D03" w:rsidRPr="00D33F15">
        <w:t>Application at 26.</w:t>
      </w:r>
    </w:p>
  </w:footnote>
  <w:footnote w:id="22">
    <w:p w14:paraId="68032FD5" w14:textId="4AB30FA0" w:rsidR="00CE5BEA" w:rsidRPr="00D33F15" w:rsidRDefault="00CE5BEA">
      <w:pPr>
        <w:pStyle w:val="FootnoteText"/>
      </w:pPr>
      <w:r w:rsidRPr="00D33F15">
        <w:rPr>
          <w:rStyle w:val="FootnoteReference"/>
        </w:rPr>
        <w:footnoteRef/>
      </w:r>
      <w:r w:rsidRPr="00D33F15">
        <w:t xml:space="preserve"> </w:t>
      </w:r>
      <w:r w:rsidR="00256D03" w:rsidRPr="00D33F15">
        <w:t>Application at 26.</w:t>
      </w:r>
    </w:p>
  </w:footnote>
  <w:footnote w:id="23">
    <w:p w14:paraId="20BE0E1A" w14:textId="4816EDC5" w:rsidR="00CE5BEA" w:rsidRPr="00D33F15" w:rsidRDefault="00CE5BEA">
      <w:pPr>
        <w:pStyle w:val="FootnoteText"/>
      </w:pPr>
      <w:r w:rsidRPr="00D33F15">
        <w:rPr>
          <w:rStyle w:val="FootnoteReference"/>
        </w:rPr>
        <w:footnoteRef/>
      </w:r>
      <w:r w:rsidRPr="00D33F15">
        <w:t xml:space="preserve"> </w:t>
      </w:r>
      <w:r w:rsidR="00256D03" w:rsidRPr="00D33F15">
        <w:t>Application at 26.</w:t>
      </w:r>
    </w:p>
  </w:footnote>
  <w:footnote w:id="24">
    <w:p w14:paraId="55A61371" w14:textId="3DFB1743" w:rsidR="00033C62" w:rsidRPr="00D33F15" w:rsidRDefault="00033C62" w:rsidP="00033C62">
      <w:pPr>
        <w:pStyle w:val="FootnoteText"/>
        <w:rPr>
          <w:lang w:val="en-ZW"/>
        </w:rPr>
      </w:pPr>
      <w:r w:rsidRPr="00D33F15">
        <w:rPr>
          <w:rStyle w:val="FootnoteReference"/>
        </w:rPr>
        <w:footnoteRef/>
      </w:r>
      <w:r w:rsidRPr="00D33F15">
        <w:t xml:space="preserve"> </w:t>
      </w:r>
      <w:r w:rsidRPr="00D33F15">
        <w:rPr>
          <w:lang w:val="en-ZW"/>
        </w:rPr>
        <w:t>See Federal Funding Account Awards Dashboard at https://public.tableau.com/app/profile/cpuc.broadbandsupport/viz/FederalFundingAccountAwardsDashboard/FFADashboardOriginal</w:t>
      </w:r>
      <w:r w:rsidR="00196A4C" w:rsidRPr="00D33F15">
        <w:rPr>
          <w:lang w:val="en-ZW"/>
        </w:rPr>
        <w:t>.</w:t>
      </w:r>
    </w:p>
  </w:footnote>
  <w:footnote w:id="25">
    <w:p w14:paraId="43BFB3A3" w14:textId="2E00B673" w:rsidR="00CE5BEA" w:rsidRPr="00D33F15" w:rsidRDefault="00CE5BEA">
      <w:pPr>
        <w:pStyle w:val="FootnoteText"/>
      </w:pPr>
      <w:r w:rsidRPr="00D33F15">
        <w:rPr>
          <w:rStyle w:val="FootnoteReference"/>
        </w:rPr>
        <w:footnoteRef/>
      </w:r>
      <w:r w:rsidRPr="00D33F15">
        <w:t xml:space="preserve"> </w:t>
      </w:r>
      <w:r w:rsidR="00256D03" w:rsidRPr="00D33F15">
        <w:t>Application at 26.</w:t>
      </w:r>
    </w:p>
  </w:footnote>
  <w:footnote w:id="26">
    <w:p w14:paraId="6D85FDCF" w14:textId="77777777" w:rsidR="00EA7E2E" w:rsidRPr="00D33F15" w:rsidRDefault="00EA7E2E" w:rsidP="00EA7E2E">
      <w:pPr>
        <w:pStyle w:val="FootnoteText"/>
      </w:pPr>
      <w:r w:rsidRPr="00D33F15">
        <w:rPr>
          <w:rStyle w:val="FootnoteReference"/>
        </w:rPr>
        <w:footnoteRef/>
      </w:r>
      <w:r w:rsidRPr="00D33F15">
        <w:t xml:space="preserve"> See Pub Util. Code Section 871 et. seq.</w:t>
      </w:r>
    </w:p>
  </w:footnote>
  <w:footnote w:id="27">
    <w:p w14:paraId="4866D41A" w14:textId="584EFAF8" w:rsidR="00EA7E2E" w:rsidRPr="00D33F15" w:rsidRDefault="00EA7E2E" w:rsidP="00EA7E2E">
      <w:pPr>
        <w:pStyle w:val="FootnoteText"/>
      </w:pPr>
      <w:r w:rsidRPr="00D33F15">
        <w:rPr>
          <w:rStyle w:val="FootnoteReference"/>
        </w:rPr>
        <w:footnoteRef/>
      </w:r>
      <w:r w:rsidRPr="00D33F15">
        <w:t xml:space="preserve"> Customers can be eligible for </w:t>
      </w:r>
      <w:r w:rsidR="000B2A80" w:rsidRPr="00D33F15">
        <w:t xml:space="preserve">Lifeline </w:t>
      </w:r>
      <w:r w:rsidRPr="00D33F15">
        <w:t>if already enrolled in Medicaid/Medi-Cal, Low Income Home Energy Assistance Program (LIHEAP), Supplemental Security Income (SSI), Federal Public Housing Assistance or Section 8, CalFresh, Food Stamps or Supplemental Nutrition Assistance Program (SNAP), Women, Infants and Children Program (WIC), National School Lunch Program (NSLP), Temporary Assistance for Needy Families (TANF), Tribal TANF, Bureau of Indian Affairs General Assistance, Head Start Income Eligible (Tribal Only), Food Distribution Program on Indian Reservations, or Federal Veterans and Survivors Pension Benefit Program.</w:t>
      </w:r>
    </w:p>
  </w:footnote>
  <w:footnote w:id="28">
    <w:p w14:paraId="2BE3C47C" w14:textId="68FECE10" w:rsidR="00EA7E2E" w:rsidRPr="00D33F15" w:rsidRDefault="00EA7E2E" w:rsidP="00EA7E2E">
      <w:pPr>
        <w:pStyle w:val="FootnoteText"/>
      </w:pPr>
      <w:r w:rsidRPr="00D33F15">
        <w:rPr>
          <w:rStyle w:val="FootnoteReference"/>
        </w:rPr>
        <w:footnoteRef/>
      </w:r>
      <w:r w:rsidRPr="00D33F15">
        <w:t xml:space="preserve"> California </w:t>
      </w:r>
      <w:r w:rsidR="000B2A80" w:rsidRPr="00D33F15">
        <w:t xml:space="preserve">Lifeline </w:t>
      </w:r>
      <w:r w:rsidRPr="00D33F15">
        <w:t>program fact sheet, available at: https://www.cpuc.ca.gov/-/media/cpuc-website/divisions/communications-division/documents/lifeline/fact-sheets/ca-lifeline-fact-sheet-fy-23-24.pdf.</w:t>
      </w:r>
    </w:p>
  </w:footnote>
  <w:footnote w:id="29">
    <w:p w14:paraId="5BF5971F" w14:textId="12343114" w:rsidR="00EA7E2E" w:rsidRPr="00D33F15" w:rsidRDefault="00EA7E2E" w:rsidP="00EA7E2E">
      <w:pPr>
        <w:pStyle w:val="FootnoteText"/>
      </w:pPr>
      <w:r w:rsidRPr="00D33F15">
        <w:rPr>
          <w:rStyle w:val="FootnoteReference"/>
        </w:rPr>
        <w:footnoteRef/>
      </w:r>
      <w:r w:rsidRPr="00D33F15">
        <w:t xml:space="preserve"> California </w:t>
      </w:r>
      <w:r w:rsidR="000B2A80" w:rsidRPr="00D33F15">
        <w:t xml:space="preserve">Lifeline </w:t>
      </w:r>
      <w:r w:rsidRPr="00D33F15">
        <w:t>program fact sheet.</w:t>
      </w:r>
    </w:p>
  </w:footnote>
  <w:footnote w:id="30">
    <w:p w14:paraId="570E0028" w14:textId="69837CF5" w:rsidR="005B74C7" w:rsidRPr="00D33F15" w:rsidRDefault="005B74C7">
      <w:pPr>
        <w:pStyle w:val="FootnoteText"/>
      </w:pPr>
      <w:r w:rsidRPr="00D33F15">
        <w:rPr>
          <w:rStyle w:val="FootnoteReference"/>
        </w:rPr>
        <w:footnoteRef/>
      </w:r>
      <w:r w:rsidRPr="00D33F15">
        <w:t xml:space="preserve"> </w:t>
      </w:r>
      <w:r w:rsidR="006534BC" w:rsidRPr="00D33F15">
        <w:t xml:space="preserve">CPUC Launches Pilot to Improve Broadband for Low-Income Households Through California LifeLine, August 28, 2025.  Available at: </w:t>
      </w:r>
      <w:r w:rsidR="00131D2D" w:rsidRPr="00D33F15">
        <w:t>https://www.cpuc.ca.gov/news-and-updates/all-news/cpuc-launches-pilot-to-improve-broadband-for-low-income-households-through-california-lifeline</w:t>
      </w:r>
      <w:r w:rsidR="00025D7E" w:rsidRPr="00D33F15">
        <w:t>.</w:t>
      </w:r>
    </w:p>
  </w:footnote>
  <w:footnote w:id="31">
    <w:p w14:paraId="784772F8" w14:textId="2D16A56E" w:rsidR="00870BE4" w:rsidRPr="00D33F15" w:rsidRDefault="00870BE4">
      <w:pPr>
        <w:pStyle w:val="FootnoteText"/>
      </w:pPr>
      <w:r w:rsidRPr="00D33F15">
        <w:rPr>
          <w:rStyle w:val="FootnoteReference"/>
        </w:rPr>
        <w:footnoteRef/>
      </w:r>
      <w:r w:rsidRPr="00D33F15">
        <w:t xml:space="preserve"> Application at 10, footnote 22.</w:t>
      </w:r>
    </w:p>
  </w:footnote>
  <w:footnote w:id="32">
    <w:p w14:paraId="3D320CDF" w14:textId="4E86CE66" w:rsidR="00171AC6" w:rsidRPr="00D33F15" w:rsidRDefault="00171AC6">
      <w:pPr>
        <w:pStyle w:val="FootnoteText"/>
      </w:pPr>
      <w:r w:rsidRPr="00D33F15">
        <w:rPr>
          <w:rStyle w:val="FootnoteReference"/>
        </w:rPr>
        <w:footnoteRef/>
      </w:r>
      <w:r w:rsidRPr="00D33F15">
        <w:t xml:space="preserve"> </w:t>
      </w:r>
      <w:r w:rsidR="00F5535F" w:rsidRPr="00D33F15">
        <w:t>See FCC Docket WC Docket No. 24-445, available at: https://www.fcc.gov/transactions/verizon-frontier. Following the federal approval of the transaction, additional state approvals are needed, including the approval in the instant application.</w:t>
      </w:r>
    </w:p>
  </w:footnote>
  <w:footnote w:id="33">
    <w:p w14:paraId="13FF7250" w14:textId="4AC0F254" w:rsidR="00171AC6" w:rsidRPr="00D33F15" w:rsidRDefault="00171AC6">
      <w:pPr>
        <w:pStyle w:val="FootnoteText"/>
      </w:pPr>
      <w:r w:rsidRPr="00D33F15">
        <w:rPr>
          <w:rStyle w:val="FootnoteReference"/>
        </w:rPr>
        <w:footnoteRef/>
      </w:r>
      <w:r w:rsidRPr="00D33F15">
        <w:t xml:space="preserve"> </w:t>
      </w:r>
      <w:r w:rsidR="00F5535F" w:rsidRPr="00D33F15">
        <w:rPr>
          <w:i/>
          <w:iCs/>
        </w:rPr>
        <w:t>See</w:t>
      </w:r>
      <w:r w:rsidR="00F5535F" w:rsidRPr="00D33F15">
        <w:t xml:space="preserve"> FCC Approves Verizon-Frontier Merger, available at: https://www.fcc.gov/document/fcc-approves-verizon-frontier-merger.</w:t>
      </w:r>
    </w:p>
  </w:footnote>
  <w:footnote w:id="34">
    <w:p w14:paraId="2B11757D" w14:textId="45C8A537" w:rsidR="00F5535F" w:rsidRPr="00D33F15" w:rsidRDefault="00F5535F">
      <w:pPr>
        <w:pStyle w:val="FootnoteText"/>
      </w:pPr>
      <w:r w:rsidRPr="00D33F15">
        <w:rPr>
          <w:rStyle w:val="FootnoteReference"/>
        </w:rPr>
        <w:footnoteRef/>
      </w:r>
      <w:r w:rsidRPr="00D33F15">
        <w:t xml:space="preserve"> Verizon-FCC Letter, available at: https://www.fcc.gov/ecfs/document/105150776713979/1.</w:t>
      </w:r>
    </w:p>
  </w:footnote>
  <w:footnote w:id="35">
    <w:p w14:paraId="0F0C6AFB" w14:textId="77777777" w:rsidR="00D365EA" w:rsidRPr="00D33F15" w:rsidRDefault="00D365EA" w:rsidP="00D365EA">
      <w:pPr>
        <w:pStyle w:val="FootnoteText"/>
      </w:pPr>
      <w:r w:rsidRPr="00D33F15">
        <w:rPr>
          <w:rStyle w:val="FootnoteReference"/>
        </w:rPr>
        <w:footnoteRef/>
      </w:r>
      <w:r w:rsidRPr="00D33F15">
        <w:t xml:space="preserve"> </w:t>
      </w:r>
      <w:r w:rsidRPr="00D33F15">
        <w:rPr>
          <w:color w:val="000000" w:themeColor="text1"/>
        </w:rPr>
        <w:t>Application (A.) 09-06-005.</w:t>
      </w:r>
    </w:p>
  </w:footnote>
  <w:footnote w:id="36">
    <w:p w14:paraId="6A70D461" w14:textId="77777777" w:rsidR="00D365EA" w:rsidRPr="00D33F15" w:rsidRDefault="00D365EA" w:rsidP="00D365EA">
      <w:pPr>
        <w:pStyle w:val="FootnoteText"/>
      </w:pPr>
      <w:r w:rsidRPr="00D33F15">
        <w:rPr>
          <w:rStyle w:val="FootnoteReference"/>
          <w:color w:val="000000" w:themeColor="text1"/>
        </w:rPr>
        <w:footnoteRef/>
      </w:r>
      <w:r w:rsidRPr="00D33F15">
        <w:rPr>
          <w:color w:val="000000" w:themeColor="text1"/>
        </w:rPr>
        <w:t xml:space="preserve"> A.15-03-005.</w:t>
      </w:r>
    </w:p>
  </w:footnote>
  <w:footnote w:id="37">
    <w:p w14:paraId="05908C19" w14:textId="77777777" w:rsidR="00D365EA" w:rsidRPr="00D33F15" w:rsidRDefault="00D365EA" w:rsidP="00D365EA">
      <w:pPr>
        <w:pStyle w:val="FootnoteText"/>
      </w:pPr>
      <w:r w:rsidRPr="00D33F15">
        <w:rPr>
          <w:rStyle w:val="FootnoteReference"/>
        </w:rPr>
        <w:footnoteRef/>
      </w:r>
      <w:r w:rsidRPr="00D33F15">
        <w:t xml:space="preserve"> </w:t>
      </w:r>
      <w:r w:rsidRPr="00D33F15">
        <w:rPr>
          <w:color w:val="000000" w:themeColor="text1"/>
        </w:rPr>
        <w:t>A.15-03-005.</w:t>
      </w:r>
    </w:p>
  </w:footnote>
  <w:footnote w:id="38">
    <w:p w14:paraId="155B3C0E" w14:textId="77777777" w:rsidR="00D365EA" w:rsidRPr="00D33F15" w:rsidRDefault="00D365EA" w:rsidP="00D365EA">
      <w:pPr>
        <w:pStyle w:val="FootnoteText"/>
      </w:pPr>
      <w:r w:rsidRPr="00D33F15">
        <w:rPr>
          <w:rStyle w:val="FootnoteReference"/>
        </w:rPr>
        <w:footnoteRef/>
      </w:r>
      <w:r w:rsidRPr="00D33F15">
        <w:t xml:space="preserve"> </w:t>
      </w:r>
      <w:r w:rsidRPr="00D33F15">
        <w:rPr>
          <w:color w:val="000000" w:themeColor="text1"/>
        </w:rPr>
        <w:t>D.19-03-017.</w:t>
      </w:r>
    </w:p>
  </w:footnote>
  <w:footnote w:id="39">
    <w:p w14:paraId="681B9590" w14:textId="77777777" w:rsidR="00D365EA" w:rsidRPr="00D33F15" w:rsidRDefault="00D365EA" w:rsidP="00D365EA">
      <w:pPr>
        <w:pStyle w:val="FootnoteText"/>
      </w:pPr>
      <w:r w:rsidRPr="00D33F15">
        <w:rPr>
          <w:rStyle w:val="FootnoteReference"/>
        </w:rPr>
        <w:footnoteRef/>
      </w:r>
      <w:r w:rsidRPr="00D33F15">
        <w:t xml:space="preserve"> D.22-04-059.</w:t>
      </w:r>
    </w:p>
  </w:footnote>
  <w:footnote w:id="40">
    <w:p w14:paraId="0545A329" w14:textId="77777777" w:rsidR="00D365EA" w:rsidRPr="00D33F15" w:rsidRDefault="00D365EA" w:rsidP="00D365EA">
      <w:pPr>
        <w:pStyle w:val="FootnoteText"/>
      </w:pPr>
      <w:r w:rsidRPr="00D33F15">
        <w:rPr>
          <w:rStyle w:val="FootnoteReference"/>
        </w:rPr>
        <w:footnoteRef/>
      </w:r>
      <w:r w:rsidRPr="00D33F15">
        <w:t xml:space="preserve"> D.22-04-059 at 21; Joint Motion of Frontier Communications Corporation, Frontier Communications of America, Inc., Frontier California, Inc. and the Consumer Protection and Enforcement Division of the California Public Utilities Commission for Adoption of Settlement Agreement, November 4, 2021, Exhibit 1 at 13.</w:t>
      </w:r>
    </w:p>
  </w:footnote>
  <w:footnote w:id="41">
    <w:p w14:paraId="5B911A4F" w14:textId="77777777" w:rsidR="00D365EA" w:rsidRPr="00D33F15" w:rsidRDefault="00D365EA" w:rsidP="00D365EA">
      <w:pPr>
        <w:pStyle w:val="FootnoteText"/>
      </w:pPr>
      <w:r w:rsidRPr="00D33F15">
        <w:rPr>
          <w:rStyle w:val="FootnoteReference"/>
        </w:rPr>
        <w:footnoteRef/>
      </w:r>
      <w:r w:rsidRPr="00D33F15">
        <w:t xml:space="preserve"> </w:t>
      </w:r>
      <w:r w:rsidRPr="00D33F15">
        <w:rPr>
          <w:color w:val="000000" w:themeColor="text1"/>
        </w:rPr>
        <w:t>A.20-05-010.</w:t>
      </w:r>
    </w:p>
  </w:footnote>
  <w:footnote w:id="42">
    <w:p w14:paraId="68AB2E4D" w14:textId="77777777" w:rsidR="00D365EA" w:rsidRPr="00D33F15" w:rsidRDefault="00D365EA" w:rsidP="00D365EA">
      <w:pPr>
        <w:pStyle w:val="FootnoteText"/>
      </w:pPr>
      <w:r w:rsidRPr="00D33F15">
        <w:rPr>
          <w:rStyle w:val="FootnoteReference"/>
          <w:color w:val="000000" w:themeColor="text1"/>
        </w:rPr>
        <w:footnoteRef/>
      </w:r>
      <w:r w:rsidRPr="00D33F15">
        <w:rPr>
          <w:color w:val="000000" w:themeColor="text1"/>
        </w:rPr>
        <w:t xml:space="preserve"> A.20-11-001.</w:t>
      </w:r>
    </w:p>
  </w:footnote>
  <w:footnote w:id="43">
    <w:p w14:paraId="4D01328E" w14:textId="295F497C" w:rsidR="00F26624" w:rsidRPr="00D33F15" w:rsidRDefault="00F26624" w:rsidP="00BF1E54">
      <w:pPr>
        <w:pStyle w:val="FootnoteText"/>
      </w:pPr>
      <w:r w:rsidRPr="00D33F15">
        <w:rPr>
          <w:rStyle w:val="FootnoteReference"/>
        </w:rPr>
        <w:footnoteRef/>
      </w:r>
      <w:r w:rsidRPr="00D33F15">
        <w:t xml:space="preserve"> </w:t>
      </w:r>
      <w:r w:rsidR="00BF1E54" w:rsidRPr="00D33F15">
        <w:t>CETF, CforAT, CWA, Cal Advocates,  TURN, and the Joint Applicants.</w:t>
      </w:r>
    </w:p>
  </w:footnote>
  <w:footnote w:id="44">
    <w:p w14:paraId="10D75C9E" w14:textId="14A2CD5A" w:rsidR="002C5050" w:rsidRPr="00D33F15" w:rsidRDefault="002C5050" w:rsidP="002C5050">
      <w:pPr>
        <w:pStyle w:val="FootnoteText"/>
      </w:pPr>
      <w:r w:rsidRPr="00D33F15">
        <w:rPr>
          <w:rStyle w:val="FootnoteReference"/>
        </w:rPr>
        <w:footnoteRef/>
      </w:r>
      <w:r w:rsidRPr="00D33F15">
        <w:t xml:space="preserve"> Joint Applicants Opening Brief at Appendix B.</w:t>
      </w:r>
    </w:p>
  </w:footnote>
  <w:footnote w:id="45">
    <w:p w14:paraId="5BD02A0B" w14:textId="5F2E6FB3" w:rsidR="00A713E0" w:rsidRPr="00D33F15" w:rsidRDefault="00A713E0">
      <w:pPr>
        <w:pStyle w:val="FootnoteText"/>
      </w:pPr>
      <w:r w:rsidRPr="00D33F15">
        <w:rPr>
          <w:rStyle w:val="FootnoteReference"/>
        </w:rPr>
        <w:footnoteRef/>
      </w:r>
      <w:r w:rsidRPr="00D33F15">
        <w:t xml:space="preserve"> Application at 6.</w:t>
      </w:r>
    </w:p>
  </w:footnote>
  <w:footnote w:id="46">
    <w:p w14:paraId="5303A035" w14:textId="7C496F8A" w:rsidR="00A713E0" w:rsidRPr="00D33F15" w:rsidRDefault="00A713E0">
      <w:pPr>
        <w:pStyle w:val="FootnoteText"/>
      </w:pPr>
      <w:r w:rsidRPr="00D33F15">
        <w:rPr>
          <w:rStyle w:val="FootnoteReference"/>
        </w:rPr>
        <w:footnoteRef/>
      </w:r>
      <w:r w:rsidRPr="00D33F15">
        <w:t xml:space="preserve"> Application at 6.</w:t>
      </w:r>
    </w:p>
  </w:footnote>
  <w:footnote w:id="47">
    <w:p w14:paraId="6BBC7E98" w14:textId="54E2F584" w:rsidR="004D5EBB" w:rsidRPr="00D33F15" w:rsidRDefault="004D5EBB" w:rsidP="005E56A7">
      <w:pPr>
        <w:pStyle w:val="FootnoteText"/>
      </w:pPr>
      <w:r w:rsidRPr="00D33F15">
        <w:rPr>
          <w:rStyle w:val="FootnoteReference"/>
        </w:rPr>
        <w:footnoteRef/>
      </w:r>
      <w:r w:rsidRPr="00D33F15">
        <w:t xml:space="preserve"> D.21-11-030 at 3.</w:t>
      </w:r>
      <w:r w:rsidR="00967CE9" w:rsidRPr="00D33F15">
        <w:t xml:space="preserve"> </w:t>
      </w:r>
      <w:r w:rsidR="00967CE9" w:rsidRPr="00D33F15">
        <w:rPr>
          <w:i/>
          <w:iCs/>
        </w:rPr>
        <w:t>See</w:t>
      </w:r>
      <w:r w:rsidR="00967CE9" w:rsidRPr="00D33F15">
        <w:t xml:space="preserve"> </w:t>
      </w:r>
      <w:r w:rsidR="00EE4A34" w:rsidRPr="00D33F15">
        <w:t>D.90-08-020/D.90-01-020</w:t>
      </w:r>
      <w:r w:rsidR="003E69C0" w:rsidRPr="00D33F15">
        <w:t xml:space="preserve"> (Alltel Corporation dba Verizon Wireless</w:t>
      </w:r>
      <w:r w:rsidR="00DD0C5B" w:rsidRPr="00D33F15">
        <w:t xml:space="preserve">); </w:t>
      </w:r>
      <w:r w:rsidR="00062BF4" w:rsidRPr="00D33F15">
        <w:t>D.</w:t>
      </w:r>
      <w:r w:rsidR="00EE5508" w:rsidRPr="00D33F15">
        <w:t>95-08-028 and D.99-05-035 (</w:t>
      </w:r>
      <w:r w:rsidR="00062BF4" w:rsidRPr="00D33F15">
        <w:t>Verizon Select Services, Inc.)</w:t>
      </w:r>
      <w:r w:rsidR="00EE5508" w:rsidRPr="00D33F15">
        <w:t xml:space="preserve">; </w:t>
      </w:r>
      <w:r w:rsidR="0040118E" w:rsidRPr="00D33F15">
        <w:t>and D.97-02-011 (Verizon Long Distance LLC).</w:t>
      </w:r>
    </w:p>
  </w:footnote>
  <w:footnote w:id="48">
    <w:p w14:paraId="4261E7CE" w14:textId="21F1A2A5" w:rsidR="001939CE" w:rsidRPr="00D33F15" w:rsidRDefault="001939CE">
      <w:pPr>
        <w:pStyle w:val="FootnoteText"/>
      </w:pPr>
      <w:r w:rsidRPr="00D33F15">
        <w:rPr>
          <w:rStyle w:val="FootnoteReference"/>
        </w:rPr>
        <w:footnoteRef/>
      </w:r>
      <w:r w:rsidRPr="00D33F15">
        <w:t xml:space="preserve"> </w:t>
      </w:r>
      <w:r w:rsidRPr="00D33F15">
        <w:rPr>
          <w:i/>
          <w:iCs/>
        </w:rPr>
        <w:t>See</w:t>
      </w:r>
      <w:r w:rsidRPr="00D33F15">
        <w:t xml:space="preserve"> D.94-11-070 (</w:t>
      </w:r>
      <w:r w:rsidR="001723F2" w:rsidRPr="00D33F15">
        <w:t>Frontier Communications of America, Inc) and D.09-</w:t>
      </w:r>
      <w:r w:rsidR="006C6022" w:rsidRPr="00D33F15">
        <w:t>10-056 (Frontier Communications Online &amp; LD).</w:t>
      </w:r>
    </w:p>
  </w:footnote>
  <w:footnote w:id="49">
    <w:p w14:paraId="4BD4FD18" w14:textId="6F537183" w:rsidR="00793665" w:rsidRPr="00D33F15" w:rsidRDefault="00793665" w:rsidP="00793665">
      <w:pPr>
        <w:pStyle w:val="FootnoteText"/>
      </w:pPr>
      <w:r w:rsidRPr="00D33F15">
        <w:rPr>
          <w:rStyle w:val="FootnoteReference"/>
        </w:rPr>
        <w:footnoteRef/>
      </w:r>
      <w:r w:rsidRPr="00D33F15">
        <w:t xml:space="preserve"> </w:t>
      </w:r>
      <w:r w:rsidR="0076658F" w:rsidRPr="00D33F15">
        <w:t>Available at https://www.fcc.gov/ecfs/document/105150776713979/1.</w:t>
      </w:r>
    </w:p>
  </w:footnote>
  <w:footnote w:id="50">
    <w:p w14:paraId="4519376A" w14:textId="77777777" w:rsidR="00D2466A" w:rsidRPr="00D33F15" w:rsidRDefault="00D2466A" w:rsidP="00D2466A">
      <w:pPr>
        <w:pStyle w:val="FootnoteText"/>
        <w:rPr>
          <w:szCs w:val="22"/>
        </w:rPr>
      </w:pPr>
      <w:r w:rsidRPr="00D33F15">
        <w:rPr>
          <w:rStyle w:val="FootnoteReference"/>
          <w:szCs w:val="22"/>
        </w:rPr>
        <w:footnoteRef/>
      </w:r>
      <w:r w:rsidRPr="00D33F15">
        <w:rPr>
          <w:szCs w:val="22"/>
        </w:rPr>
        <w:t xml:space="preserve"> </w:t>
      </w:r>
      <w:r w:rsidRPr="00D33F15">
        <w:rPr>
          <w:i/>
          <w:szCs w:val="22"/>
        </w:rPr>
        <w:t>See</w:t>
      </w:r>
      <w:r w:rsidRPr="00D33F15">
        <w:rPr>
          <w:szCs w:val="22"/>
        </w:rPr>
        <w:t xml:space="preserve"> San Jose Water</w:t>
      </w:r>
      <w:r w:rsidRPr="00D33F15">
        <w:rPr>
          <w:i/>
          <w:iCs/>
          <w:szCs w:val="22"/>
        </w:rPr>
        <w:t xml:space="preserve"> Co. </w:t>
      </w:r>
      <w:r w:rsidRPr="00D33F15">
        <w:rPr>
          <w:szCs w:val="22"/>
        </w:rPr>
        <w:t>(1916) 10 CRC 56.</w:t>
      </w:r>
    </w:p>
  </w:footnote>
  <w:footnote w:id="51">
    <w:p w14:paraId="682F1CC6" w14:textId="028B37BF" w:rsidR="001E7348" w:rsidRPr="00D33F15" w:rsidRDefault="001E7348">
      <w:pPr>
        <w:pStyle w:val="FootnoteText"/>
      </w:pPr>
      <w:r w:rsidRPr="00D33F15">
        <w:rPr>
          <w:rStyle w:val="FootnoteReference"/>
        </w:rPr>
        <w:footnoteRef/>
      </w:r>
      <w:r w:rsidRPr="00D33F15">
        <w:t xml:space="preserve"> Frontier Communications Parent, Inc. 8-K, September 4, 2024.</w:t>
      </w:r>
    </w:p>
  </w:footnote>
  <w:footnote w:id="52">
    <w:p w14:paraId="1492EB7C" w14:textId="2D61D942" w:rsidR="00370261" w:rsidRPr="00D33F15" w:rsidRDefault="00370261" w:rsidP="00370261">
      <w:pPr>
        <w:pStyle w:val="FootnoteText"/>
      </w:pPr>
      <w:r w:rsidRPr="00D33F15">
        <w:rPr>
          <w:rStyle w:val="FootnoteReference"/>
        </w:rPr>
        <w:footnoteRef/>
      </w:r>
      <w:r w:rsidRPr="00D33F15">
        <w:t xml:space="preserve"> Agreement and Plan of Merger by and among Verizon Communications Inc., France Merger Sub Inc. and Frontier Communications Parent, Inc., September 4, 2024.  Available at: https://www.sec.gov/Archives/edgar/data/20520/000114036124040148/ef20035469_ex2-1.htm.</w:t>
      </w:r>
    </w:p>
  </w:footnote>
  <w:footnote w:id="53">
    <w:p w14:paraId="49A97DE5" w14:textId="11F4D5E2" w:rsidR="001E7348" w:rsidRPr="00D33F15" w:rsidRDefault="001E7348">
      <w:pPr>
        <w:pStyle w:val="FootnoteText"/>
      </w:pPr>
      <w:r w:rsidRPr="00D33F15">
        <w:rPr>
          <w:rStyle w:val="FootnoteReference"/>
        </w:rPr>
        <w:footnoteRef/>
      </w:r>
      <w:r w:rsidRPr="00D33F15">
        <w:t xml:space="preserve"> Application at 7-8.</w:t>
      </w:r>
    </w:p>
  </w:footnote>
  <w:footnote w:id="54">
    <w:p w14:paraId="3DF487F9" w14:textId="49808C10" w:rsidR="001E7348" w:rsidRPr="00D33F15" w:rsidRDefault="001E7348">
      <w:pPr>
        <w:pStyle w:val="FootnoteText"/>
      </w:pPr>
      <w:r w:rsidRPr="00D33F15">
        <w:rPr>
          <w:rStyle w:val="FootnoteReference"/>
        </w:rPr>
        <w:footnoteRef/>
      </w:r>
      <w:r w:rsidRPr="00D33F15">
        <w:t xml:space="preserve"> Application at 8.</w:t>
      </w:r>
    </w:p>
  </w:footnote>
  <w:footnote w:id="55">
    <w:p w14:paraId="46095654" w14:textId="5CF7F838" w:rsidR="00376F8B" w:rsidRPr="00D33F15" w:rsidRDefault="00376F8B">
      <w:pPr>
        <w:pStyle w:val="FootnoteText"/>
      </w:pPr>
      <w:r w:rsidRPr="00D33F15">
        <w:rPr>
          <w:rStyle w:val="FootnoteReference"/>
        </w:rPr>
        <w:footnoteRef/>
      </w:r>
      <w:r w:rsidRPr="00D33F15">
        <w:t xml:space="preserve"> Application, Exhibit A.</w:t>
      </w:r>
    </w:p>
  </w:footnote>
  <w:footnote w:id="56">
    <w:p w14:paraId="76D132E7" w14:textId="2A7E16FF" w:rsidR="0038372F" w:rsidRPr="00D33F15" w:rsidRDefault="0038372F">
      <w:pPr>
        <w:pStyle w:val="FootnoteText"/>
      </w:pPr>
      <w:r w:rsidRPr="00D33F15">
        <w:rPr>
          <w:rStyle w:val="FootnoteReference"/>
        </w:rPr>
        <w:footnoteRef/>
      </w:r>
      <w:r w:rsidRPr="00D33F15">
        <w:t xml:space="preserve"> Application, Exhibit C.</w:t>
      </w:r>
    </w:p>
  </w:footnote>
  <w:footnote w:id="57">
    <w:p w14:paraId="74012542" w14:textId="637ED9E0" w:rsidR="006F2122" w:rsidRPr="00D33F15" w:rsidRDefault="006F2122">
      <w:pPr>
        <w:pStyle w:val="FootnoteText"/>
      </w:pPr>
      <w:r w:rsidRPr="00D33F15">
        <w:rPr>
          <w:rStyle w:val="FootnoteReference"/>
        </w:rPr>
        <w:footnoteRef/>
      </w:r>
      <w:r w:rsidRPr="00D33F15">
        <w:t xml:space="preserve"> Application, Exhibits D and E; Verizon Form 10-K; Frontier Form 10-K. </w:t>
      </w:r>
    </w:p>
  </w:footnote>
  <w:footnote w:id="58">
    <w:p w14:paraId="4027AE6B" w14:textId="764842F0" w:rsidR="006F2122" w:rsidRPr="00D33F15" w:rsidRDefault="006F2122">
      <w:pPr>
        <w:pStyle w:val="FootnoteText"/>
      </w:pPr>
      <w:r w:rsidRPr="00D33F15">
        <w:rPr>
          <w:rStyle w:val="FootnoteReference"/>
        </w:rPr>
        <w:footnoteRef/>
      </w:r>
      <w:r w:rsidRPr="00D33F15">
        <w:t xml:space="preserve"> Application at 31-32.</w:t>
      </w:r>
    </w:p>
  </w:footnote>
  <w:footnote w:id="59">
    <w:p w14:paraId="43798619" w14:textId="77777777" w:rsidR="00EF43E0" w:rsidRPr="00D33F15" w:rsidRDefault="00A2097D" w:rsidP="00EF43E0">
      <w:pPr>
        <w:pStyle w:val="FootnoteText"/>
      </w:pPr>
      <w:r w:rsidRPr="00D33F15">
        <w:rPr>
          <w:rStyle w:val="FootnoteReference"/>
        </w:rPr>
        <w:footnoteRef/>
      </w:r>
      <w:r w:rsidRPr="00D33F15">
        <w:t xml:space="preserve"> </w:t>
      </w:r>
      <w:r w:rsidR="00EF43E0" w:rsidRPr="00D33F15">
        <w:t>For example, see:</w:t>
      </w:r>
    </w:p>
    <w:p w14:paraId="5F1B6FD8" w14:textId="023B996C" w:rsidR="00EF43E0" w:rsidRPr="00D33F15" w:rsidRDefault="00EF43E0" w:rsidP="00EF43E0">
      <w:pPr>
        <w:pStyle w:val="FootnoteText"/>
      </w:pPr>
      <w:r w:rsidRPr="00D33F15">
        <w:t xml:space="preserve">D.24-08-006, which concluded that the “standard to determine if a transfer of control should be granted under Pub. Util. Code Section 854(a) is whether the transaction would be adverse to the public interest.” </w:t>
      </w:r>
    </w:p>
    <w:p w14:paraId="3A9EA8AE" w14:textId="677E6291" w:rsidR="00EF43E0" w:rsidRPr="00D33F15" w:rsidRDefault="00EF43E0" w:rsidP="00EF43E0">
      <w:pPr>
        <w:pStyle w:val="FootnoteText"/>
      </w:pPr>
      <w:r w:rsidRPr="00D33F15">
        <w:t xml:space="preserve">D.24-09-037, which approved transfer of control of two California operating companies pursuant to the “not adverse to the public interest” standard. </w:t>
      </w:r>
    </w:p>
    <w:p w14:paraId="0D375853" w14:textId="79D0761F" w:rsidR="00A2097D" w:rsidRPr="00D33F15" w:rsidRDefault="00EF43E0" w:rsidP="00EF43E0">
      <w:pPr>
        <w:pStyle w:val="FootnoteText"/>
        <w:rPr>
          <w:color w:val="000000" w:themeColor="text1"/>
        </w:rPr>
      </w:pPr>
      <w:r w:rsidRPr="00D33F15">
        <w:t xml:space="preserve">D.24-09-037, which stated that “Ultimately, the key question that the Commission must decide </w:t>
      </w:r>
      <w:r w:rsidRPr="00D33F15">
        <w:rPr>
          <w:color w:val="000000" w:themeColor="text1"/>
        </w:rPr>
        <w:t>in a transfer of control proceeding under Pub. Util. Code Section 854(a) is whether the transaction will be ‘adverse to the public interest.’”</w:t>
      </w:r>
    </w:p>
  </w:footnote>
  <w:footnote w:id="60">
    <w:p w14:paraId="7F2A58E3" w14:textId="2B86ED2C" w:rsidR="00294313" w:rsidRPr="00D33F15" w:rsidRDefault="00294313">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5279C6" w:rsidRPr="00D33F15">
        <w:rPr>
          <w:color w:val="000000" w:themeColor="text1"/>
        </w:rPr>
        <w:t>Application at 9, citing D.15-12-005.</w:t>
      </w:r>
    </w:p>
  </w:footnote>
  <w:footnote w:id="61">
    <w:p w14:paraId="1EBF4FC9" w14:textId="1E2E8CB5" w:rsidR="00860FE9" w:rsidRPr="00D33F15" w:rsidRDefault="00860FE9">
      <w:pPr>
        <w:pStyle w:val="FootnoteText"/>
      </w:pPr>
      <w:r w:rsidRPr="00D33F15">
        <w:rPr>
          <w:rStyle w:val="FootnoteReference"/>
          <w:color w:val="000000" w:themeColor="text1"/>
        </w:rPr>
        <w:footnoteRef/>
      </w:r>
      <w:r w:rsidRPr="00D33F15">
        <w:rPr>
          <w:color w:val="000000" w:themeColor="text1"/>
        </w:rPr>
        <w:t xml:space="preserve"> CETF Opening Brief at 16-19.</w:t>
      </w:r>
    </w:p>
  </w:footnote>
  <w:footnote w:id="62">
    <w:p w14:paraId="399A5E3D" w14:textId="3EAA9E60" w:rsidR="000F1763" w:rsidRPr="00D33F15" w:rsidRDefault="000F1763">
      <w:pPr>
        <w:pStyle w:val="FootnoteText"/>
        <w:rPr>
          <w:color w:val="000000" w:themeColor="text1"/>
        </w:rPr>
      </w:pPr>
      <w:r w:rsidRPr="00D33F15">
        <w:rPr>
          <w:rStyle w:val="FootnoteReference"/>
          <w:color w:val="000000" w:themeColor="text1"/>
        </w:rPr>
        <w:footnoteRef/>
      </w:r>
      <w:r w:rsidRPr="00D33F15">
        <w:rPr>
          <w:color w:val="000000" w:themeColor="text1"/>
        </w:rPr>
        <w:t xml:space="preserve"> CETF Opening Brief at </w:t>
      </w:r>
      <w:r w:rsidR="006E3028" w:rsidRPr="00D33F15">
        <w:rPr>
          <w:color w:val="000000" w:themeColor="text1"/>
        </w:rPr>
        <w:t>16.</w:t>
      </w:r>
    </w:p>
  </w:footnote>
  <w:footnote w:id="63">
    <w:p w14:paraId="1C60D885" w14:textId="034AC31D" w:rsidR="000F1763" w:rsidRPr="00D33F15" w:rsidRDefault="000F1763">
      <w:pPr>
        <w:pStyle w:val="FootnoteText"/>
        <w:rPr>
          <w:color w:val="000000" w:themeColor="text1"/>
        </w:rPr>
      </w:pPr>
      <w:r w:rsidRPr="00D33F15">
        <w:rPr>
          <w:rStyle w:val="FootnoteReference"/>
          <w:color w:val="000000" w:themeColor="text1"/>
        </w:rPr>
        <w:footnoteRef/>
      </w:r>
      <w:r w:rsidRPr="00D33F15">
        <w:rPr>
          <w:color w:val="000000" w:themeColor="text1"/>
        </w:rPr>
        <w:t xml:space="preserve"> CETF Opening Brief at </w:t>
      </w:r>
      <w:r w:rsidR="006E3028" w:rsidRPr="00D33F15">
        <w:rPr>
          <w:color w:val="000000" w:themeColor="text1"/>
        </w:rPr>
        <w:t>16</w:t>
      </w:r>
      <w:r w:rsidRPr="00D33F15">
        <w:rPr>
          <w:color w:val="000000" w:themeColor="text1"/>
        </w:rPr>
        <w:t>.</w:t>
      </w:r>
    </w:p>
  </w:footnote>
  <w:footnote w:id="64">
    <w:p w14:paraId="5D068488" w14:textId="4B0E448F" w:rsidR="005C04BA" w:rsidRPr="00D33F15" w:rsidRDefault="005C04BA">
      <w:pPr>
        <w:pStyle w:val="FootnoteText"/>
        <w:rPr>
          <w:color w:val="000000" w:themeColor="text1"/>
        </w:rPr>
      </w:pPr>
      <w:r w:rsidRPr="00D33F15">
        <w:rPr>
          <w:rStyle w:val="FootnoteReference"/>
          <w:color w:val="000000" w:themeColor="text1"/>
        </w:rPr>
        <w:footnoteRef/>
      </w:r>
      <w:r w:rsidRPr="00D33F15">
        <w:rPr>
          <w:color w:val="000000" w:themeColor="text1"/>
        </w:rPr>
        <w:t xml:space="preserve"> C</w:t>
      </w:r>
      <w:r w:rsidR="00147175" w:rsidRPr="00D33F15">
        <w:rPr>
          <w:color w:val="000000" w:themeColor="text1"/>
        </w:rPr>
        <w:t>forAT</w:t>
      </w:r>
      <w:r w:rsidRPr="00D33F15">
        <w:rPr>
          <w:color w:val="000000" w:themeColor="text1"/>
        </w:rPr>
        <w:t xml:space="preserve"> Opening Brief at </w:t>
      </w:r>
      <w:r w:rsidR="00147175" w:rsidRPr="00D33F15">
        <w:rPr>
          <w:color w:val="000000" w:themeColor="text1"/>
        </w:rPr>
        <w:t>12, citing D.01-06-007</w:t>
      </w:r>
      <w:r w:rsidRPr="00D33F15">
        <w:rPr>
          <w:color w:val="000000" w:themeColor="text1"/>
        </w:rPr>
        <w:t>.</w:t>
      </w:r>
    </w:p>
  </w:footnote>
  <w:footnote w:id="65">
    <w:p w14:paraId="107E5C9A" w14:textId="228B55D3" w:rsidR="00787150" w:rsidRPr="00D33F15" w:rsidRDefault="00787150">
      <w:pPr>
        <w:pStyle w:val="FootnoteText"/>
        <w:rPr>
          <w:color w:val="000000" w:themeColor="text1"/>
        </w:rPr>
      </w:pPr>
      <w:r w:rsidRPr="00D33F15">
        <w:rPr>
          <w:rStyle w:val="FootnoteReference"/>
          <w:color w:val="000000" w:themeColor="text1"/>
        </w:rPr>
        <w:footnoteRef/>
      </w:r>
      <w:r w:rsidRPr="00D33F15">
        <w:rPr>
          <w:color w:val="000000" w:themeColor="text1"/>
        </w:rPr>
        <w:t xml:space="preserve"> CforAT Opening Brief at</w:t>
      </w:r>
      <w:r w:rsidR="00F63A97" w:rsidRPr="00D33F15">
        <w:rPr>
          <w:color w:val="000000" w:themeColor="text1"/>
        </w:rPr>
        <w:t xml:space="preserve"> 12, citing D.10-10-017.</w:t>
      </w:r>
    </w:p>
  </w:footnote>
  <w:footnote w:id="66">
    <w:p w14:paraId="368B6495" w14:textId="2BE77950" w:rsidR="00787150" w:rsidRPr="00D33F15" w:rsidRDefault="00787150">
      <w:pPr>
        <w:pStyle w:val="FootnoteText"/>
        <w:rPr>
          <w:color w:val="000000" w:themeColor="text1"/>
        </w:rPr>
      </w:pPr>
      <w:r w:rsidRPr="00D33F15">
        <w:rPr>
          <w:rStyle w:val="FootnoteReference"/>
          <w:color w:val="000000" w:themeColor="text1"/>
        </w:rPr>
        <w:footnoteRef/>
      </w:r>
      <w:r w:rsidRPr="00D33F15">
        <w:rPr>
          <w:color w:val="000000" w:themeColor="text1"/>
        </w:rPr>
        <w:t xml:space="preserve"> CforAT Opening Brief at</w:t>
      </w:r>
      <w:r w:rsidR="0038372F" w:rsidRPr="00D33F15">
        <w:rPr>
          <w:color w:val="000000" w:themeColor="text1"/>
        </w:rPr>
        <w:t xml:space="preserve"> 12, citing Pub. Util. Code Section 854(c).</w:t>
      </w:r>
    </w:p>
  </w:footnote>
  <w:footnote w:id="67">
    <w:p w14:paraId="0A24FBD4" w14:textId="6739CEE6" w:rsidR="00EA61B9" w:rsidRPr="00D33F15" w:rsidRDefault="00EA61B9">
      <w:pPr>
        <w:pStyle w:val="FootnoteText"/>
      </w:pPr>
      <w:r w:rsidRPr="00D33F15">
        <w:rPr>
          <w:rStyle w:val="FootnoteReference"/>
          <w:color w:val="000000" w:themeColor="text1"/>
        </w:rPr>
        <w:footnoteRef/>
      </w:r>
      <w:r w:rsidRPr="00D33F15">
        <w:rPr>
          <w:color w:val="000000" w:themeColor="text1"/>
        </w:rPr>
        <w:t xml:space="preserve"> </w:t>
      </w:r>
      <w:r w:rsidR="0028167A" w:rsidRPr="00D33F15">
        <w:rPr>
          <w:color w:val="000000" w:themeColor="text1"/>
        </w:rPr>
        <w:t>CforAT Opening Brief at</w:t>
      </w:r>
      <w:r w:rsidR="008B45FD" w:rsidRPr="00D33F15">
        <w:rPr>
          <w:color w:val="000000" w:themeColor="text1"/>
        </w:rPr>
        <w:t xml:space="preserve"> 12.</w:t>
      </w:r>
    </w:p>
  </w:footnote>
  <w:footnote w:id="68">
    <w:p w14:paraId="7B4C8B24" w14:textId="7E2B640D" w:rsidR="0028167A" w:rsidRPr="00D33F15" w:rsidRDefault="0028167A">
      <w:pPr>
        <w:pStyle w:val="FootnoteText"/>
      </w:pPr>
      <w:r w:rsidRPr="00D33F15">
        <w:rPr>
          <w:rStyle w:val="FootnoteReference"/>
        </w:rPr>
        <w:footnoteRef/>
      </w:r>
      <w:r w:rsidRPr="00D33F15">
        <w:t xml:space="preserve"> CforAT Opening Brief at 12-13.</w:t>
      </w:r>
    </w:p>
  </w:footnote>
  <w:footnote w:id="69">
    <w:p w14:paraId="602571E7" w14:textId="07674CC2" w:rsidR="00C4209C" w:rsidRPr="00D33F15" w:rsidRDefault="00C4209C">
      <w:pPr>
        <w:pStyle w:val="FootnoteText"/>
      </w:pPr>
      <w:r w:rsidRPr="00D33F15">
        <w:rPr>
          <w:rStyle w:val="FootnoteReference"/>
        </w:rPr>
        <w:footnoteRef/>
      </w:r>
      <w:r w:rsidRPr="00D33F15">
        <w:t xml:space="preserve"> </w:t>
      </w:r>
      <w:r w:rsidR="00C71DE0" w:rsidRPr="00D33F15">
        <w:t>TURN Opening Brief at 15.</w:t>
      </w:r>
    </w:p>
  </w:footnote>
  <w:footnote w:id="70">
    <w:p w14:paraId="580AF136" w14:textId="16071CFF" w:rsidR="00C4209C" w:rsidRPr="00D33F15" w:rsidRDefault="00C4209C">
      <w:pPr>
        <w:pStyle w:val="FootnoteText"/>
      </w:pPr>
      <w:r w:rsidRPr="00D33F15">
        <w:rPr>
          <w:rStyle w:val="FootnoteReference"/>
        </w:rPr>
        <w:footnoteRef/>
      </w:r>
      <w:r w:rsidRPr="00D33F15">
        <w:t xml:space="preserve"> </w:t>
      </w:r>
      <w:r w:rsidR="00C71DE0" w:rsidRPr="00D33F15">
        <w:t>TURN Opening Brief at 15.</w:t>
      </w:r>
    </w:p>
  </w:footnote>
  <w:footnote w:id="71">
    <w:p w14:paraId="5380B438" w14:textId="7E56F061" w:rsidR="00836927" w:rsidRPr="00D33F15" w:rsidRDefault="00836927">
      <w:pPr>
        <w:pStyle w:val="FootnoteText"/>
      </w:pPr>
      <w:r w:rsidRPr="00D33F15">
        <w:rPr>
          <w:rStyle w:val="FootnoteReference"/>
          <w:color w:val="000000" w:themeColor="text1"/>
        </w:rPr>
        <w:footnoteRef/>
      </w:r>
      <w:r w:rsidRPr="00D33F15">
        <w:rPr>
          <w:color w:val="000000" w:themeColor="text1"/>
        </w:rPr>
        <w:t xml:space="preserve"> </w:t>
      </w:r>
      <w:r w:rsidR="0033601A" w:rsidRPr="00D33F15">
        <w:rPr>
          <w:color w:val="000000" w:themeColor="text1"/>
        </w:rPr>
        <w:t xml:space="preserve">The </w:t>
      </w:r>
      <w:r w:rsidR="00E87775" w:rsidRPr="00D33F15">
        <w:rPr>
          <w:color w:val="000000" w:themeColor="text1"/>
        </w:rPr>
        <w:t>Scoping Memo and Amended Scoping Memo did not include Section 854(</w:t>
      </w:r>
      <w:r w:rsidR="00DE3EE5" w:rsidRPr="00D33F15">
        <w:rPr>
          <w:color w:val="000000" w:themeColor="text1"/>
        </w:rPr>
        <w:t>b</w:t>
      </w:r>
      <w:r w:rsidR="00E87775" w:rsidRPr="00D33F15">
        <w:rPr>
          <w:color w:val="000000" w:themeColor="text1"/>
        </w:rPr>
        <w:t>)(2) in scope and Section 854(</w:t>
      </w:r>
      <w:r w:rsidR="00DE3EE5" w:rsidRPr="00D33F15">
        <w:rPr>
          <w:color w:val="000000" w:themeColor="text1"/>
        </w:rPr>
        <w:t>b</w:t>
      </w:r>
      <w:r w:rsidR="00E87775" w:rsidRPr="00D33F15">
        <w:rPr>
          <w:color w:val="000000" w:themeColor="text1"/>
        </w:rPr>
        <w:t>)(4) does not apply to this transaction.</w:t>
      </w:r>
    </w:p>
  </w:footnote>
  <w:footnote w:id="72">
    <w:p w14:paraId="50F8A63E" w14:textId="10365F99" w:rsidR="00594386" w:rsidRPr="00D33F15" w:rsidRDefault="00594386">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2C09EE" w:rsidRPr="00D33F15">
        <w:rPr>
          <w:color w:val="000000" w:themeColor="text1"/>
        </w:rPr>
        <w:t>Exhibit JA-02</w:t>
      </w:r>
      <w:r w:rsidR="00461BFE" w:rsidRPr="00D33F15">
        <w:rPr>
          <w:color w:val="000000" w:themeColor="text1"/>
        </w:rPr>
        <w:t xml:space="preserve"> </w:t>
      </w:r>
      <w:r w:rsidRPr="00D33F15">
        <w:rPr>
          <w:color w:val="000000" w:themeColor="text1"/>
        </w:rPr>
        <w:t xml:space="preserve">at </w:t>
      </w:r>
      <w:r w:rsidR="0022441C" w:rsidRPr="00D33F15">
        <w:rPr>
          <w:color w:val="000000" w:themeColor="text1"/>
        </w:rPr>
        <w:t>30</w:t>
      </w:r>
      <w:r w:rsidR="00DE654D" w:rsidRPr="00D33F15">
        <w:rPr>
          <w:color w:val="000000" w:themeColor="text1"/>
        </w:rPr>
        <w:t>-3</w:t>
      </w:r>
      <w:r w:rsidR="00082D34" w:rsidRPr="00D33F15">
        <w:rPr>
          <w:color w:val="000000" w:themeColor="text1"/>
        </w:rPr>
        <w:t>3</w:t>
      </w:r>
      <w:r w:rsidRPr="00D33F15">
        <w:rPr>
          <w:color w:val="000000" w:themeColor="text1"/>
        </w:rPr>
        <w:t>.</w:t>
      </w:r>
    </w:p>
  </w:footnote>
  <w:footnote w:id="73">
    <w:p w14:paraId="12FD80BA" w14:textId="256216F5" w:rsidR="00DE654D" w:rsidRPr="00D33F15" w:rsidRDefault="00DE654D" w:rsidP="00DE654D">
      <w:pPr>
        <w:pStyle w:val="FootnoteText"/>
      </w:pPr>
      <w:r w:rsidRPr="00D33F15">
        <w:rPr>
          <w:rStyle w:val="FootnoteReference"/>
          <w:color w:val="000000" w:themeColor="text1"/>
        </w:rPr>
        <w:footnoteRef/>
      </w:r>
      <w:r w:rsidRPr="00D33F15">
        <w:rPr>
          <w:color w:val="000000" w:themeColor="text1"/>
        </w:rPr>
        <w:t xml:space="preserve"> </w:t>
      </w:r>
      <w:r w:rsidR="002C09EE" w:rsidRPr="00D33F15">
        <w:rPr>
          <w:color w:val="000000" w:themeColor="text1"/>
        </w:rPr>
        <w:t xml:space="preserve">Exhibit JA-02 </w:t>
      </w:r>
      <w:r w:rsidRPr="00D33F15">
        <w:rPr>
          <w:color w:val="000000" w:themeColor="text1"/>
        </w:rPr>
        <w:t>at 31.</w:t>
      </w:r>
    </w:p>
  </w:footnote>
  <w:footnote w:id="74">
    <w:p w14:paraId="5005D64B" w14:textId="4524B671" w:rsidR="00C53874" w:rsidRPr="00D33F15" w:rsidRDefault="00C53874">
      <w:pPr>
        <w:pStyle w:val="FootnoteText"/>
      </w:pPr>
      <w:r w:rsidRPr="00D33F15">
        <w:rPr>
          <w:rStyle w:val="FootnoteReference"/>
        </w:rPr>
        <w:footnoteRef/>
      </w:r>
      <w:r w:rsidRPr="00D33F15">
        <w:t xml:space="preserve"> CETF Opening Brief at 19.</w:t>
      </w:r>
    </w:p>
  </w:footnote>
  <w:footnote w:id="75">
    <w:p w14:paraId="6C1D341D" w14:textId="2AB415EA" w:rsidR="00C91E06" w:rsidRPr="00D33F15" w:rsidRDefault="00C91E06">
      <w:pPr>
        <w:pStyle w:val="FootnoteText"/>
      </w:pPr>
      <w:r w:rsidRPr="00D33F15">
        <w:rPr>
          <w:rStyle w:val="FootnoteReference"/>
        </w:rPr>
        <w:footnoteRef/>
      </w:r>
      <w:r w:rsidRPr="00D33F15">
        <w:t xml:space="preserve"> CETF Opening Brief at </w:t>
      </w:r>
      <w:r w:rsidR="00144CB8" w:rsidRPr="00D33F15">
        <w:t>20.</w:t>
      </w:r>
    </w:p>
  </w:footnote>
  <w:footnote w:id="76">
    <w:p w14:paraId="0C3C0056" w14:textId="7666916E" w:rsidR="006D2702" w:rsidRPr="00D33F15" w:rsidRDefault="006D2702">
      <w:pPr>
        <w:pStyle w:val="FootnoteText"/>
      </w:pPr>
      <w:r w:rsidRPr="00D33F15">
        <w:rPr>
          <w:rStyle w:val="FootnoteReference"/>
        </w:rPr>
        <w:footnoteRef/>
      </w:r>
      <w:r w:rsidRPr="00D33F15">
        <w:t xml:space="preserve"> CforAT Opening Brief at</w:t>
      </w:r>
      <w:r w:rsidR="004C699A" w:rsidRPr="00D33F15">
        <w:t xml:space="preserve"> 13.</w:t>
      </w:r>
    </w:p>
  </w:footnote>
  <w:footnote w:id="77">
    <w:p w14:paraId="1BC880B3" w14:textId="3105B51F" w:rsidR="006D2702" w:rsidRPr="00D33F15" w:rsidRDefault="006D2702">
      <w:pPr>
        <w:pStyle w:val="FootnoteText"/>
      </w:pPr>
      <w:r w:rsidRPr="00D33F15">
        <w:rPr>
          <w:rStyle w:val="FootnoteReference"/>
        </w:rPr>
        <w:footnoteRef/>
      </w:r>
      <w:r w:rsidRPr="00D33F15">
        <w:t xml:space="preserve"> </w:t>
      </w:r>
      <w:r w:rsidR="004C699A" w:rsidRPr="00D33F15">
        <w:t>CforAT Opening Brief at 13.</w:t>
      </w:r>
    </w:p>
  </w:footnote>
  <w:footnote w:id="78">
    <w:p w14:paraId="79E399C5" w14:textId="77777777" w:rsidR="005A2526" w:rsidRPr="00D33F15" w:rsidRDefault="005A2526">
      <w:pPr>
        <w:pStyle w:val="FootnoteText"/>
      </w:pPr>
      <w:r w:rsidRPr="00D33F15">
        <w:rPr>
          <w:rStyle w:val="FootnoteReference"/>
        </w:rPr>
        <w:footnoteRef/>
      </w:r>
      <w:r w:rsidRPr="00D33F15">
        <w:t xml:space="preserve"> TURN Opening Brief at 15, 25-29.</w:t>
      </w:r>
    </w:p>
  </w:footnote>
  <w:footnote w:id="79">
    <w:p w14:paraId="7619D51D" w14:textId="353E0666" w:rsidR="008A087B" w:rsidRPr="00D33F15" w:rsidRDefault="008A087B">
      <w:pPr>
        <w:pStyle w:val="FootnoteText"/>
      </w:pPr>
      <w:r w:rsidRPr="00D33F15">
        <w:rPr>
          <w:rStyle w:val="FootnoteReference"/>
        </w:rPr>
        <w:footnoteRef/>
      </w:r>
      <w:r w:rsidRPr="00D33F15">
        <w:t xml:space="preserve"> </w:t>
      </w:r>
      <w:r w:rsidR="00506EF3" w:rsidRPr="00D33F15">
        <w:t>Exhibit TURN-01 at 2</w:t>
      </w:r>
      <w:r w:rsidR="008E2CD2" w:rsidRPr="00D33F15">
        <w:t>, 21</w:t>
      </w:r>
      <w:r w:rsidR="00506EF3" w:rsidRPr="00D33F15">
        <w:t>.</w:t>
      </w:r>
    </w:p>
  </w:footnote>
  <w:footnote w:id="80">
    <w:p w14:paraId="01122CB5" w14:textId="3855F406" w:rsidR="008E2CD2" w:rsidRPr="00D33F15" w:rsidRDefault="008E2CD2">
      <w:pPr>
        <w:pStyle w:val="FootnoteText"/>
      </w:pPr>
      <w:r w:rsidRPr="00D33F15">
        <w:rPr>
          <w:rStyle w:val="FootnoteReference"/>
        </w:rPr>
        <w:footnoteRef/>
      </w:r>
      <w:r w:rsidRPr="00D33F15">
        <w:t xml:space="preserve"> </w:t>
      </w:r>
      <w:r w:rsidR="00DE399C" w:rsidRPr="00D33F15">
        <w:t>TURN Opening Brief at 16.</w:t>
      </w:r>
    </w:p>
  </w:footnote>
  <w:footnote w:id="81">
    <w:p w14:paraId="0011B4F9" w14:textId="3B268E33" w:rsidR="003D4657" w:rsidRPr="00D33F15" w:rsidRDefault="003D4657">
      <w:pPr>
        <w:pStyle w:val="FootnoteText"/>
      </w:pPr>
      <w:r w:rsidRPr="00D33F15">
        <w:rPr>
          <w:rStyle w:val="FootnoteReference"/>
        </w:rPr>
        <w:footnoteRef/>
      </w:r>
      <w:r w:rsidRPr="00D33F15">
        <w:t xml:space="preserve"> TURN Opening Brief at 16.</w:t>
      </w:r>
    </w:p>
  </w:footnote>
  <w:footnote w:id="82">
    <w:p w14:paraId="6A75E208" w14:textId="1529DFC4" w:rsidR="00BB5D94" w:rsidRPr="00D33F15" w:rsidRDefault="00BB5D94">
      <w:pPr>
        <w:pStyle w:val="FootnoteText"/>
      </w:pPr>
      <w:r w:rsidRPr="00D33F15">
        <w:rPr>
          <w:rStyle w:val="FootnoteReference"/>
        </w:rPr>
        <w:footnoteRef/>
      </w:r>
      <w:r w:rsidRPr="00D33F15">
        <w:t xml:space="preserve"> </w:t>
      </w:r>
      <w:r w:rsidR="003B0896" w:rsidRPr="00D33F15">
        <w:t>Exhibit JA-1 at 16.</w:t>
      </w:r>
    </w:p>
  </w:footnote>
  <w:footnote w:id="83">
    <w:p w14:paraId="66BFE875" w14:textId="6DF16FB3" w:rsidR="003160DB" w:rsidRPr="00D33F15" w:rsidRDefault="003160DB">
      <w:pPr>
        <w:pStyle w:val="FootnoteText"/>
      </w:pPr>
      <w:r w:rsidRPr="00D33F15">
        <w:rPr>
          <w:rStyle w:val="FootnoteReference"/>
        </w:rPr>
        <w:footnoteRef/>
      </w:r>
      <w:r w:rsidRPr="00D33F15">
        <w:t xml:space="preserve"> </w:t>
      </w:r>
      <w:r w:rsidR="005835F5" w:rsidRPr="00D33F15">
        <w:t>TURN Opening Brief at 16.</w:t>
      </w:r>
    </w:p>
  </w:footnote>
  <w:footnote w:id="84">
    <w:p w14:paraId="6351F09C" w14:textId="28970B56" w:rsidR="00A34FE8" w:rsidRPr="00D33F15" w:rsidRDefault="00A34FE8">
      <w:pPr>
        <w:pStyle w:val="FootnoteText"/>
      </w:pPr>
      <w:r w:rsidRPr="00D33F15">
        <w:rPr>
          <w:rStyle w:val="FootnoteReference"/>
        </w:rPr>
        <w:footnoteRef/>
      </w:r>
      <w:r w:rsidRPr="00D33F15">
        <w:t xml:space="preserve"> </w:t>
      </w:r>
      <w:r w:rsidR="00D84A45" w:rsidRPr="00D33F15">
        <w:t>Exhibit JA-2-C at 16.</w:t>
      </w:r>
    </w:p>
  </w:footnote>
  <w:footnote w:id="85">
    <w:p w14:paraId="0F0CD6CA" w14:textId="62570F99" w:rsidR="00A34FE8" w:rsidRPr="00D33F15" w:rsidRDefault="00A34FE8">
      <w:pPr>
        <w:pStyle w:val="FootnoteText"/>
      </w:pPr>
      <w:r w:rsidRPr="00D33F15">
        <w:rPr>
          <w:rStyle w:val="FootnoteReference"/>
        </w:rPr>
        <w:footnoteRef/>
      </w:r>
      <w:r w:rsidRPr="00D33F15">
        <w:t xml:space="preserve"> </w:t>
      </w:r>
      <w:r w:rsidR="00000730" w:rsidRPr="00D33F15">
        <w:t>TURN Opening Brief at 1</w:t>
      </w:r>
      <w:r w:rsidR="00A17083" w:rsidRPr="00D33F15">
        <w:t>7</w:t>
      </w:r>
      <w:r w:rsidR="00000730" w:rsidRPr="00D33F15">
        <w:t>.</w:t>
      </w:r>
    </w:p>
  </w:footnote>
  <w:footnote w:id="86">
    <w:p w14:paraId="2F039796" w14:textId="40FE5E3D" w:rsidR="00865965" w:rsidRPr="00D33F15" w:rsidRDefault="00865965">
      <w:pPr>
        <w:pStyle w:val="FootnoteText"/>
      </w:pPr>
      <w:r w:rsidRPr="00D33F15">
        <w:rPr>
          <w:rStyle w:val="FootnoteReference"/>
        </w:rPr>
        <w:footnoteRef/>
      </w:r>
      <w:r w:rsidRPr="00D33F15">
        <w:t xml:space="preserve"> TURN Opening Brief at 17</w:t>
      </w:r>
      <w:r w:rsidR="0012097C" w:rsidRPr="00D33F15">
        <w:t>-18</w:t>
      </w:r>
      <w:r w:rsidRPr="00D33F15">
        <w:t>.</w:t>
      </w:r>
    </w:p>
  </w:footnote>
  <w:footnote w:id="87">
    <w:p w14:paraId="4F1CAE5F" w14:textId="0E0B2F79" w:rsidR="00850F61" w:rsidRPr="00D33F15" w:rsidRDefault="00850F61">
      <w:pPr>
        <w:pStyle w:val="FootnoteText"/>
      </w:pPr>
      <w:r w:rsidRPr="00D33F15">
        <w:rPr>
          <w:rStyle w:val="FootnoteReference"/>
        </w:rPr>
        <w:footnoteRef/>
      </w:r>
      <w:r w:rsidRPr="00D33F15">
        <w:t xml:space="preserve"> </w:t>
      </w:r>
      <w:r w:rsidR="00C357E4" w:rsidRPr="00D33F15">
        <w:t xml:space="preserve">TURN Opening Brief at 17, citing to Exhibit </w:t>
      </w:r>
      <w:r w:rsidR="009D28CE" w:rsidRPr="00D33F15">
        <w:t>TURN-01 at 18-20.</w:t>
      </w:r>
    </w:p>
  </w:footnote>
  <w:footnote w:id="88">
    <w:p w14:paraId="271B099D" w14:textId="4BFFDC6A" w:rsidR="00314484" w:rsidRPr="00D33F15" w:rsidRDefault="00314484">
      <w:pPr>
        <w:pStyle w:val="FootnoteText"/>
      </w:pPr>
      <w:r w:rsidRPr="00D33F15">
        <w:rPr>
          <w:rStyle w:val="FootnoteReference"/>
        </w:rPr>
        <w:footnoteRef/>
      </w:r>
      <w:r w:rsidRPr="00D33F15">
        <w:t xml:space="preserve"> TURN Opening Brief at 1</w:t>
      </w:r>
      <w:r w:rsidR="00F3686A" w:rsidRPr="00D33F15">
        <w:t>7</w:t>
      </w:r>
      <w:r w:rsidRPr="00D33F15">
        <w:t>.</w:t>
      </w:r>
    </w:p>
  </w:footnote>
  <w:footnote w:id="89">
    <w:p w14:paraId="6E95D37C" w14:textId="710F49FB" w:rsidR="00314484" w:rsidRPr="00D33F15" w:rsidRDefault="00314484">
      <w:pPr>
        <w:pStyle w:val="FootnoteText"/>
      </w:pPr>
      <w:r w:rsidRPr="00D33F15">
        <w:rPr>
          <w:rStyle w:val="FootnoteReference"/>
        </w:rPr>
        <w:footnoteRef/>
      </w:r>
      <w:r w:rsidRPr="00D33F15">
        <w:t xml:space="preserve"> TURN Opening Brief at 1</w:t>
      </w:r>
      <w:r w:rsidR="00F3686A" w:rsidRPr="00D33F15">
        <w:t>7</w:t>
      </w:r>
      <w:r w:rsidRPr="00D33F15">
        <w:t>.</w:t>
      </w:r>
    </w:p>
  </w:footnote>
  <w:footnote w:id="90">
    <w:p w14:paraId="60B1027E" w14:textId="0C52F664" w:rsidR="000F303C" w:rsidRPr="00D33F15" w:rsidRDefault="000F303C">
      <w:pPr>
        <w:pStyle w:val="FootnoteText"/>
      </w:pPr>
      <w:r w:rsidRPr="00D33F15">
        <w:rPr>
          <w:rStyle w:val="FootnoteReference"/>
        </w:rPr>
        <w:footnoteRef/>
      </w:r>
      <w:r w:rsidRPr="00D33F15">
        <w:t xml:space="preserve"> TURN Opening Brief at </w:t>
      </w:r>
      <w:r w:rsidR="0089184C" w:rsidRPr="00D33F15">
        <w:t>18.</w:t>
      </w:r>
    </w:p>
  </w:footnote>
  <w:footnote w:id="91">
    <w:p w14:paraId="58BCE111" w14:textId="6A525E7B" w:rsidR="00E34791" w:rsidRPr="00D33F15" w:rsidRDefault="00E34791">
      <w:pPr>
        <w:pStyle w:val="FootnoteText"/>
      </w:pPr>
      <w:r w:rsidRPr="00D33F15">
        <w:rPr>
          <w:rStyle w:val="FootnoteReference"/>
        </w:rPr>
        <w:footnoteRef/>
      </w:r>
      <w:r w:rsidRPr="00D33F15">
        <w:t xml:space="preserve"> TURN Opening Brief at 18.</w:t>
      </w:r>
    </w:p>
  </w:footnote>
  <w:footnote w:id="92">
    <w:p w14:paraId="2B43F1F9" w14:textId="25507432" w:rsidR="00487271" w:rsidRPr="00D33F15" w:rsidRDefault="00487271">
      <w:pPr>
        <w:pStyle w:val="FootnoteText"/>
      </w:pPr>
      <w:r w:rsidRPr="00D33F15">
        <w:rPr>
          <w:rStyle w:val="FootnoteReference"/>
        </w:rPr>
        <w:footnoteRef/>
      </w:r>
      <w:r w:rsidRPr="00D33F15">
        <w:t xml:space="preserve"> </w:t>
      </w:r>
      <w:r w:rsidR="000F0CAD" w:rsidRPr="00D33F15">
        <w:t>TURN Opening Brief at 18</w:t>
      </w:r>
      <w:r w:rsidR="00EF7459" w:rsidRPr="00D33F15">
        <w:t xml:space="preserve">, citing </w:t>
      </w:r>
      <w:r w:rsidR="00202456" w:rsidRPr="00D33F15">
        <w:t>Hearing Transcript at 637</w:t>
      </w:r>
      <w:r w:rsidR="000F0CAD" w:rsidRPr="00D33F15">
        <w:t>.</w:t>
      </w:r>
    </w:p>
  </w:footnote>
  <w:footnote w:id="93">
    <w:p w14:paraId="586C3233" w14:textId="42573139" w:rsidR="00B97C0E" w:rsidRPr="00D33F15" w:rsidRDefault="00B97C0E">
      <w:pPr>
        <w:pStyle w:val="FootnoteText"/>
      </w:pPr>
      <w:r w:rsidRPr="00D33F15">
        <w:rPr>
          <w:rStyle w:val="FootnoteReference"/>
        </w:rPr>
        <w:footnoteRef/>
      </w:r>
      <w:r w:rsidRPr="00D33F15">
        <w:t xml:space="preserve"> </w:t>
      </w:r>
      <w:r w:rsidR="000F0CAD" w:rsidRPr="00D33F15">
        <w:t>TURN Opening Brief at 18</w:t>
      </w:r>
      <w:r w:rsidR="00202456" w:rsidRPr="00D33F15">
        <w:t>, citing Hearing Transcript at 637.</w:t>
      </w:r>
    </w:p>
  </w:footnote>
  <w:footnote w:id="94">
    <w:p w14:paraId="71913990" w14:textId="07EA3209" w:rsidR="004C699A" w:rsidRPr="00D33F15" w:rsidRDefault="004C699A">
      <w:pPr>
        <w:pStyle w:val="FootnoteText"/>
        <w:rPr>
          <w:color w:val="000000" w:themeColor="text1"/>
        </w:rPr>
      </w:pPr>
      <w:r w:rsidRPr="00D33F15">
        <w:rPr>
          <w:rStyle w:val="FootnoteReference"/>
        </w:rPr>
        <w:footnoteRef/>
      </w:r>
      <w:r w:rsidRPr="00D33F15">
        <w:t xml:space="preserve"> </w:t>
      </w:r>
      <w:r w:rsidR="00C90FC7" w:rsidRPr="00D33F15">
        <w:rPr>
          <w:color w:val="000000" w:themeColor="text1"/>
        </w:rPr>
        <w:t>Corresponding to Issue 2.b. in scope.</w:t>
      </w:r>
    </w:p>
  </w:footnote>
  <w:footnote w:id="95">
    <w:p w14:paraId="0770EE01" w14:textId="008E82AB" w:rsidR="005C21B3" w:rsidRPr="00D33F15" w:rsidRDefault="005C21B3" w:rsidP="005C21B3">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2C09EE" w:rsidRPr="00D33F15">
        <w:rPr>
          <w:color w:val="000000" w:themeColor="text1"/>
        </w:rPr>
        <w:t xml:space="preserve">Exhibit JA-02 </w:t>
      </w:r>
      <w:r w:rsidRPr="00D33F15">
        <w:rPr>
          <w:color w:val="000000" w:themeColor="text1"/>
        </w:rPr>
        <w:t xml:space="preserve">at </w:t>
      </w:r>
      <w:r w:rsidR="00D45BFB" w:rsidRPr="00D33F15">
        <w:rPr>
          <w:color w:val="000000" w:themeColor="text1"/>
        </w:rPr>
        <w:t>24</w:t>
      </w:r>
      <w:r w:rsidRPr="00D33F15">
        <w:rPr>
          <w:color w:val="000000" w:themeColor="text1"/>
        </w:rPr>
        <w:t>.</w:t>
      </w:r>
    </w:p>
  </w:footnote>
  <w:footnote w:id="96">
    <w:p w14:paraId="0811EF7B" w14:textId="0A871A7C" w:rsidR="00BD69E7" w:rsidRPr="00D33F15" w:rsidRDefault="00BD69E7">
      <w:pPr>
        <w:pStyle w:val="FootnoteText"/>
      </w:pPr>
      <w:r w:rsidRPr="00D33F15">
        <w:rPr>
          <w:rStyle w:val="FootnoteReference"/>
          <w:color w:val="000000" w:themeColor="text1"/>
        </w:rPr>
        <w:footnoteRef/>
      </w:r>
      <w:r w:rsidRPr="00D33F15">
        <w:rPr>
          <w:color w:val="000000" w:themeColor="text1"/>
        </w:rPr>
        <w:t xml:space="preserve"> </w:t>
      </w:r>
      <w:r w:rsidR="00D90F4F" w:rsidRPr="00D33F15">
        <w:rPr>
          <w:color w:val="000000" w:themeColor="text1"/>
        </w:rPr>
        <w:t>Joint Applicants Opening Brief</w:t>
      </w:r>
      <w:r w:rsidR="002C09EE" w:rsidRPr="00D33F15">
        <w:rPr>
          <w:color w:val="000000" w:themeColor="text1"/>
        </w:rPr>
        <w:t xml:space="preserve"> </w:t>
      </w:r>
      <w:r w:rsidR="005562CC" w:rsidRPr="00D33F15">
        <w:rPr>
          <w:color w:val="000000" w:themeColor="text1"/>
        </w:rPr>
        <w:t xml:space="preserve">at </w:t>
      </w:r>
      <w:r w:rsidR="00D90F4F" w:rsidRPr="00D33F15">
        <w:rPr>
          <w:color w:val="000000" w:themeColor="text1"/>
        </w:rPr>
        <w:t>14</w:t>
      </w:r>
      <w:r w:rsidRPr="00D33F15">
        <w:rPr>
          <w:color w:val="000000" w:themeColor="text1"/>
        </w:rPr>
        <w:t>.</w:t>
      </w:r>
    </w:p>
  </w:footnote>
  <w:footnote w:id="97">
    <w:p w14:paraId="24DC99DD" w14:textId="2B878CF2" w:rsidR="007E04BE" w:rsidRPr="00D33F15" w:rsidRDefault="007E04BE">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5E24FF" w:rsidRPr="00D33F15">
        <w:rPr>
          <w:color w:val="000000" w:themeColor="text1"/>
        </w:rPr>
        <w:t xml:space="preserve">Exhibit JA-08 at </w:t>
      </w:r>
      <w:r w:rsidR="007A4B89" w:rsidRPr="00D33F15">
        <w:rPr>
          <w:color w:val="000000" w:themeColor="text1"/>
        </w:rPr>
        <w:t>34</w:t>
      </w:r>
      <w:r w:rsidR="005E24FF" w:rsidRPr="00D33F15">
        <w:rPr>
          <w:color w:val="000000" w:themeColor="text1"/>
        </w:rPr>
        <w:t>.</w:t>
      </w:r>
    </w:p>
  </w:footnote>
  <w:footnote w:id="98">
    <w:p w14:paraId="18E730E5" w14:textId="130D1ED7" w:rsidR="00075E9A" w:rsidRPr="00D33F15" w:rsidRDefault="00075E9A">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6F1D38" w:rsidRPr="00D33F15">
        <w:rPr>
          <w:color w:val="000000" w:themeColor="text1"/>
        </w:rPr>
        <w:t>Exhibit JA-08 at 34.</w:t>
      </w:r>
    </w:p>
  </w:footnote>
  <w:footnote w:id="99">
    <w:p w14:paraId="754A4819" w14:textId="2F134CE9" w:rsidR="00075E9A" w:rsidRPr="00D33F15" w:rsidRDefault="00075E9A">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6F1D38" w:rsidRPr="00D33F15">
        <w:rPr>
          <w:color w:val="000000" w:themeColor="text1"/>
        </w:rPr>
        <w:t>Exhibit JA-08 at 34.</w:t>
      </w:r>
    </w:p>
  </w:footnote>
  <w:footnote w:id="100">
    <w:p w14:paraId="5878E80C" w14:textId="790B66CA" w:rsidR="00247DE2" w:rsidRPr="00D33F15" w:rsidRDefault="00247DE2">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6F1D38" w:rsidRPr="00D33F15">
        <w:rPr>
          <w:color w:val="000000" w:themeColor="text1"/>
        </w:rPr>
        <w:t>Exhibit JA-08 at 34.</w:t>
      </w:r>
    </w:p>
  </w:footnote>
  <w:footnote w:id="101">
    <w:p w14:paraId="60134C50" w14:textId="19AC87AE" w:rsidR="00992FA9" w:rsidRPr="00D33F15" w:rsidRDefault="00992FA9">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D92C93" w:rsidRPr="00D33F15">
        <w:rPr>
          <w:color w:val="000000" w:themeColor="text1"/>
        </w:rPr>
        <w:t>Exhibit CETF-04 at 8.</w:t>
      </w:r>
    </w:p>
  </w:footnote>
  <w:footnote w:id="102">
    <w:p w14:paraId="6D36A872" w14:textId="6A3DB92B" w:rsidR="00D92C93" w:rsidRPr="00D33F15" w:rsidRDefault="00D92C93">
      <w:pPr>
        <w:pStyle w:val="FootnoteText"/>
        <w:rPr>
          <w:color w:val="000000" w:themeColor="text1"/>
        </w:rPr>
      </w:pPr>
      <w:r w:rsidRPr="00D33F15">
        <w:rPr>
          <w:rStyle w:val="FootnoteReference"/>
          <w:color w:val="000000" w:themeColor="text1"/>
        </w:rPr>
        <w:footnoteRef/>
      </w:r>
      <w:r w:rsidRPr="00D33F15">
        <w:rPr>
          <w:color w:val="000000" w:themeColor="text1"/>
        </w:rPr>
        <w:t xml:space="preserve"> CETF Opening Brief at </w:t>
      </w:r>
      <w:r w:rsidR="00E94483" w:rsidRPr="00D33F15">
        <w:rPr>
          <w:color w:val="000000" w:themeColor="text1"/>
        </w:rPr>
        <w:t>20.</w:t>
      </w:r>
    </w:p>
  </w:footnote>
  <w:footnote w:id="103">
    <w:p w14:paraId="2C09DEEB" w14:textId="5CF59032" w:rsidR="00E94483" w:rsidRPr="00D33F15" w:rsidRDefault="00E94483">
      <w:pPr>
        <w:pStyle w:val="FootnoteText"/>
        <w:rPr>
          <w:color w:val="000000" w:themeColor="text1"/>
        </w:rPr>
      </w:pPr>
      <w:r w:rsidRPr="00D33F15">
        <w:rPr>
          <w:rStyle w:val="FootnoteReference"/>
          <w:color w:val="000000" w:themeColor="text1"/>
        </w:rPr>
        <w:footnoteRef/>
      </w:r>
      <w:r w:rsidRPr="00D33F15">
        <w:rPr>
          <w:color w:val="000000" w:themeColor="text1"/>
        </w:rPr>
        <w:t xml:space="preserve"> CETF Opening Brief at 20.</w:t>
      </w:r>
    </w:p>
  </w:footnote>
  <w:footnote w:id="104">
    <w:p w14:paraId="116B83A1" w14:textId="27E98B15" w:rsidR="002110BC" w:rsidRPr="00D33F15" w:rsidRDefault="002110BC">
      <w:pPr>
        <w:pStyle w:val="FootnoteText"/>
        <w:rPr>
          <w:color w:val="000000" w:themeColor="text1"/>
        </w:rPr>
      </w:pPr>
      <w:r w:rsidRPr="00D33F15">
        <w:rPr>
          <w:rStyle w:val="FootnoteReference"/>
          <w:color w:val="000000" w:themeColor="text1"/>
        </w:rPr>
        <w:footnoteRef/>
      </w:r>
      <w:r w:rsidRPr="00D33F15">
        <w:rPr>
          <w:color w:val="000000" w:themeColor="text1"/>
        </w:rPr>
        <w:t xml:space="preserve"> CforAT Opening Brief at </w:t>
      </w:r>
      <w:r w:rsidR="003C5D30" w:rsidRPr="00D33F15">
        <w:rPr>
          <w:color w:val="000000" w:themeColor="text1"/>
        </w:rPr>
        <w:t>13.</w:t>
      </w:r>
    </w:p>
  </w:footnote>
  <w:footnote w:id="105">
    <w:p w14:paraId="3EF68C96" w14:textId="5716085C" w:rsidR="00D34DCA" w:rsidRPr="00D33F15" w:rsidRDefault="00D34DCA">
      <w:pPr>
        <w:pStyle w:val="FootnoteText"/>
        <w:rPr>
          <w:color w:val="000000" w:themeColor="text1"/>
        </w:rPr>
      </w:pPr>
      <w:r w:rsidRPr="00D33F15">
        <w:rPr>
          <w:rStyle w:val="FootnoteReference"/>
          <w:color w:val="000000" w:themeColor="text1"/>
        </w:rPr>
        <w:footnoteRef/>
      </w:r>
      <w:r w:rsidRPr="00D33F15">
        <w:rPr>
          <w:color w:val="000000" w:themeColor="text1"/>
        </w:rPr>
        <w:t xml:space="preserve"> CforAT Opening Brief at 13.</w:t>
      </w:r>
    </w:p>
  </w:footnote>
  <w:footnote w:id="106">
    <w:p w14:paraId="7F5E62BE" w14:textId="239D61C3" w:rsidR="00D34DCA" w:rsidRPr="00D33F15" w:rsidRDefault="00D34DCA">
      <w:pPr>
        <w:pStyle w:val="FootnoteText"/>
      </w:pPr>
      <w:r w:rsidRPr="00D33F15">
        <w:rPr>
          <w:rStyle w:val="FootnoteReference"/>
          <w:color w:val="000000" w:themeColor="text1"/>
        </w:rPr>
        <w:footnoteRef/>
      </w:r>
      <w:r w:rsidRPr="00D33F15">
        <w:rPr>
          <w:color w:val="000000" w:themeColor="text1"/>
        </w:rPr>
        <w:t xml:space="preserve"> CforAT Opening Brief at 1</w:t>
      </w:r>
      <w:r w:rsidR="000369BB" w:rsidRPr="00D33F15">
        <w:rPr>
          <w:color w:val="000000" w:themeColor="text1"/>
        </w:rPr>
        <w:t>4</w:t>
      </w:r>
      <w:r w:rsidRPr="00D33F15">
        <w:rPr>
          <w:color w:val="000000" w:themeColor="text1"/>
        </w:rPr>
        <w:t>.</w:t>
      </w:r>
    </w:p>
  </w:footnote>
  <w:footnote w:id="107">
    <w:p w14:paraId="46920FCE" w14:textId="28AA2ED8" w:rsidR="00C43FC3" w:rsidRPr="00D33F15" w:rsidRDefault="00C43FC3">
      <w:pPr>
        <w:pStyle w:val="FootnoteText"/>
      </w:pPr>
      <w:r w:rsidRPr="00D33F15">
        <w:rPr>
          <w:rStyle w:val="FootnoteReference"/>
          <w:color w:val="000000" w:themeColor="text1"/>
        </w:rPr>
        <w:footnoteRef/>
      </w:r>
      <w:r w:rsidRPr="00D33F15">
        <w:rPr>
          <w:color w:val="000000" w:themeColor="text1"/>
        </w:rPr>
        <w:t xml:space="preserve"> </w:t>
      </w:r>
      <w:r w:rsidR="002C09EE" w:rsidRPr="00D33F15">
        <w:rPr>
          <w:color w:val="000000" w:themeColor="text1"/>
        </w:rPr>
        <w:t xml:space="preserve">Exhibit JA-02 </w:t>
      </w:r>
      <w:r w:rsidRPr="00D33F15">
        <w:rPr>
          <w:color w:val="000000" w:themeColor="text1"/>
        </w:rPr>
        <w:t xml:space="preserve">at </w:t>
      </w:r>
      <w:r w:rsidR="00A65EC8" w:rsidRPr="00D33F15">
        <w:rPr>
          <w:color w:val="000000" w:themeColor="text1"/>
        </w:rPr>
        <w:t>7-8.</w:t>
      </w:r>
    </w:p>
  </w:footnote>
  <w:footnote w:id="108">
    <w:p w14:paraId="1AEC5BE1" w14:textId="67590432" w:rsidR="00C7663A" w:rsidRPr="00D33F15" w:rsidRDefault="00C7663A">
      <w:pPr>
        <w:pStyle w:val="FootnoteText"/>
        <w:rPr>
          <w:color w:val="000000" w:themeColor="text1"/>
        </w:rPr>
      </w:pPr>
      <w:r w:rsidRPr="00D33F15">
        <w:rPr>
          <w:rStyle w:val="FootnoteReference"/>
          <w:color w:val="000000" w:themeColor="text1"/>
        </w:rPr>
        <w:footnoteRef/>
      </w:r>
      <w:r w:rsidRPr="00D33F15">
        <w:rPr>
          <w:color w:val="000000" w:themeColor="text1"/>
        </w:rPr>
        <w:t xml:space="preserve"> Application</w:t>
      </w:r>
      <w:r w:rsidR="0045107F" w:rsidRPr="00D33F15">
        <w:rPr>
          <w:color w:val="000000" w:themeColor="text1"/>
        </w:rPr>
        <w:t xml:space="preserve"> at </w:t>
      </w:r>
      <w:r w:rsidR="00CE31F0" w:rsidRPr="00D33F15">
        <w:rPr>
          <w:color w:val="000000" w:themeColor="text1"/>
        </w:rPr>
        <w:t>16</w:t>
      </w:r>
      <w:r w:rsidRPr="00D33F15">
        <w:rPr>
          <w:color w:val="000000" w:themeColor="text1"/>
        </w:rPr>
        <w:t>.</w:t>
      </w:r>
    </w:p>
  </w:footnote>
  <w:footnote w:id="109">
    <w:p w14:paraId="7B1D833B" w14:textId="1333AC57" w:rsidR="005A66E9" w:rsidRPr="00D33F15" w:rsidRDefault="005A66E9">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2C09EE" w:rsidRPr="00D33F15">
        <w:rPr>
          <w:color w:val="000000" w:themeColor="text1"/>
        </w:rPr>
        <w:t xml:space="preserve">Exhibit JA-02 </w:t>
      </w:r>
      <w:r w:rsidRPr="00D33F15">
        <w:rPr>
          <w:color w:val="000000" w:themeColor="text1"/>
        </w:rPr>
        <w:t>at 8.</w:t>
      </w:r>
    </w:p>
  </w:footnote>
  <w:footnote w:id="110">
    <w:p w14:paraId="5A36ADA4" w14:textId="14D31F39" w:rsidR="006B25B6" w:rsidRPr="00D33F15" w:rsidRDefault="006B25B6">
      <w:pPr>
        <w:pStyle w:val="FootnoteText"/>
      </w:pPr>
      <w:r w:rsidRPr="00D33F15">
        <w:rPr>
          <w:rStyle w:val="FootnoteReference"/>
          <w:color w:val="000000" w:themeColor="text1"/>
        </w:rPr>
        <w:footnoteRef/>
      </w:r>
      <w:r w:rsidRPr="00D33F15">
        <w:rPr>
          <w:color w:val="000000" w:themeColor="text1"/>
        </w:rPr>
        <w:t xml:space="preserve"> </w:t>
      </w:r>
      <w:r w:rsidR="009F3FED" w:rsidRPr="00D33F15">
        <w:rPr>
          <w:color w:val="000000" w:themeColor="text1"/>
        </w:rPr>
        <w:t>Application at 3</w:t>
      </w:r>
      <w:r w:rsidRPr="00D33F15">
        <w:rPr>
          <w:color w:val="000000" w:themeColor="text1"/>
        </w:rPr>
        <w:t>.</w:t>
      </w:r>
    </w:p>
  </w:footnote>
  <w:footnote w:id="111">
    <w:p w14:paraId="56A354ED" w14:textId="4F475140" w:rsidR="008957EF" w:rsidRPr="00D33F15" w:rsidRDefault="008957EF">
      <w:pPr>
        <w:pStyle w:val="FootnoteText"/>
      </w:pPr>
      <w:r w:rsidRPr="00D33F15">
        <w:rPr>
          <w:rStyle w:val="FootnoteReference"/>
        </w:rPr>
        <w:footnoteRef/>
      </w:r>
      <w:r w:rsidRPr="00D33F15">
        <w:t xml:space="preserve"> CETF Opening Brief at 20.</w:t>
      </w:r>
    </w:p>
  </w:footnote>
  <w:footnote w:id="112">
    <w:p w14:paraId="601B92A7" w14:textId="38E2EE8C" w:rsidR="00A90505" w:rsidRPr="00D33F15" w:rsidRDefault="00A90505">
      <w:pPr>
        <w:pStyle w:val="FootnoteText"/>
      </w:pPr>
      <w:r w:rsidRPr="00D33F15">
        <w:rPr>
          <w:rStyle w:val="FootnoteReference"/>
        </w:rPr>
        <w:footnoteRef/>
      </w:r>
      <w:r w:rsidRPr="00D33F15">
        <w:t xml:space="preserve"> </w:t>
      </w:r>
      <w:r w:rsidR="00397CDE" w:rsidRPr="00D33F15">
        <w:t>Exhibit JA-3-C at 3.</w:t>
      </w:r>
    </w:p>
  </w:footnote>
  <w:footnote w:id="113">
    <w:p w14:paraId="22F27C0F" w14:textId="77777777" w:rsidR="00DA0E8C" w:rsidRPr="00D33F15" w:rsidRDefault="00DA0E8C" w:rsidP="00DA0E8C">
      <w:pPr>
        <w:pStyle w:val="FootnoteText"/>
      </w:pPr>
      <w:r w:rsidRPr="00D33F15">
        <w:rPr>
          <w:rStyle w:val="FootnoteReference"/>
        </w:rPr>
        <w:footnoteRef/>
      </w:r>
      <w:r w:rsidRPr="00D33F15">
        <w:t xml:space="preserve"> CETF Opening Brief at 21, citing Exhibit JA-3-C at 6.</w:t>
      </w:r>
    </w:p>
  </w:footnote>
  <w:footnote w:id="114">
    <w:p w14:paraId="2D2F79AF" w14:textId="1690B2A2" w:rsidR="002C3911" w:rsidRPr="00D33F15" w:rsidRDefault="002C3911">
      <w:pPr>
        <w:pStyle w:val="FootnoteText"/>
      </w:pPr>
      <w:r w:rsidRPr="00D33F15">
        <w:rPr>
          <w:rStyle w:val="FootnoteReference"/>
        </w:rPr>
        <w:footnoteRef/>
      </w:r>
      <w:r w:rsidRPr="00D33F15">
        <w:t xml:space="preserve"> CETF Opening Brief at </w:t>
      </w:r>
      <w:r w:rsidR="00FF7F44" w:rsidRPr="00D33F15">
        <w:t>21, citing Exhibit JA-3-C at 6.</w:t>
      </w:r>
    </w:p>
  </w:footnote>
  <w:footnote w:id="115">
    <w:p w14:paraId="37F352A2" w14:textId="7371B69D" w:rsidR="00DA0E8C" w:rsidRPr="00D33F15" w:rsidRDefault="00DA0E8C">
      <w:pPr>
        <w:pStyle w:val="FootnoteText"/>
      </w:pPr>
      <w:r w:rsidRPr="00D33F15">
        <w:rPr>
          <w:rStyle w:val="FootnoteReference"/>
        </w:rPr>
        <w:footnoteRef/>
      </w:r>
      <w:r w:rsidRPr="00D33F15">
        <w:t xml:space="preserve"> CETF Opening Brief at 21, citing Exhibit JA-3-C at </w:t>
      </w:r>
      <w:r w:rsidR="00143696" w:rsidRPr="00D33F15">
        <w:t>10</w:t>
      </w:r>
      <w:r w:rsidRPr="00D33F15">
        <w:t>.</w:t>
      </w:r>
    </w:p>
  </w:footnote>
  <w:footnote w:id="116">
    <w:p w14:paraId="318381F3" w14:textId="44B9EC80" w:rsidR="00EA19BD" w:rsidRPr="00D33F15" w:rsidRDefault="00EA19BD">
      <w:pPr>
        <w:pStyle w:val="FootnoteText"/>
      </w:pPr>
      <w:r w:rsidRPr="00D33F15">
        <w:rPr>
          <w:rStyle w:val="FootnoteReference"/>
        </w:rPr>
        <w:footnoteRef/>
      </w:r>
      <w:r w:rsidRPr="00D33F15">
        <w:t xml:space="preserve"> CETF Opening Brief at 21, citing Exhibit JA-3-C at</w:t>
      </w:r>
      <w:r w:rsidR="00385134" w:rsidRPr="00D33F15">
        <w:t xml:space="preserve"> 13.</w:t>
      </w:r>
    </w:p>
  </w:footnote>
  <w:footnote w:id="117">
    <w:p w14:paraId="27FC733D" w14:textId="6FE730FA" w:rsidR="003C3D9A" w:rsidRPr="00D33F15" w:rsidRDefault="003C3D9A">
      <w:pPr>
        <w:pStyle w:val="FootnoteText"/>
      </w:pPr>
      <w:r w:rsidRPr="00D33F15">
        <w:rPr>
          <w:rStyle w:val="FootnoteReference"/>
        </w:rPr>
        <w:footnoteRef/>
      </w:r>
      <w:r w:rsidRPr="00D33F15">
        <w:t xml:space="preserve"> CETF Opening Brief at 21.</w:t>
      </w:r>
    </w:p>
  </w:footnote>
  <w:footnote w:id="118">
    <w:p w14:paraId="0B64C722" w14:textId="1E310BEA" w:rsidR="00077C25" w:rsidRPr="00D33F15" w:rsidRDefault="00077C25">
      <w:pPr>
        <w:pStyle w:val="FootnoteText"/>
      </w:pPr>
      <w:r w:rsidRPr="00D33F15">
        <w:rPr>
          <w:rStyle w:val="FootnoteReference"/>
        </w:rPr>
        <w:footnoteRef/>
      </w:r>
      <w:r w:rsidRPr="00D33F15">
        <w:t xml:space="preserve"> </w:t>
      </w:r>
      <w:r w:rsidR="002F094E" w:rsidRPr="00D33F15">
        <w:t>CETF Opening Brief at 21.</w:t>
      </w:r>
    </w:p>
  </w:footnote>
  <w:footnote w:id="119">
    <w:p w14:paraId="4D036A9D" w14:textId="73A84298" w:rsidR="00DC7965" w:rsidRPr="00D33F15" w:rsidRDefault="00DC7965">
      <w:pPr>
        <w:pStyle w:val="FootnoteText"/>
      </w:pPr>
      <w:r w:rsidRPr="00D33F15">
        <w:rPr>
          <w:rStyle w:val="FootnoteReference"/>
        </w:rPr>
        <w:footnoteRef/>
      </w:r>
      <w:r w:rsidRPr="00D33F15">
        <w:t xml:space="preserve"> </w:t>
      </w:r>
      <w:r w:rsidR="00DC6BE0" w:rsidRPr="00D33F15">
        <w:t>Exhibit JA-3 at 8-9.</w:t>
      </w:r>
    </w:p>
  </w:footnote>
  <w:footnote w:id="120">
    <w:p w14:paraId="20D0E0C0" w14:textId="0B1AA4E5" w:rsidR="00DC7965" w:rsidRPr="00D33F15" w:rsidRDefault="00DC7965">
      <w:pPr>
        <w:pStyle w:val="FootnoteText"/>
        <w:rPr>
          <w:color w:val="000000" w:themeColor="text1"/>
        </w:rPr>
      </w:pPr>
      <w:r w:rsidRPr="00D33F15">
        <w:rPr>
          <w:rStyle w:val="FootnoteReference"/>
        </w:rPr>
        <w:footnoteRef/>
      </w:r>
      <w:r w:rsidRPr="00D33F15">
        <w:t xml:space="preserve"> </w:t>
      </w:r>
      <w:r w:rsidR="004B0D8B" w:rsidRPr="00D33F15">
        <w:t>Exhibit JA</w:t>
      </w:r>
      <w:r w:rsidR="004B0D8B" w:rsidRPr="00D33F15">
        <w:rPr>
          <w:color w:val="000000" w:themeColor="text1"/>
        </w:rPr>
        <w:t>-3 at 9.</w:t>
      </w:r>
    </w:p>
  </w:footnote>
  <w:footnote w:id="121">
    <w:p w14:paraId="426B9CF8" w14:textId="4FE25F4C" w:rsidR="00DC7965" w:rsidRPr="00D33F15" w:rsidRDefault="00DC7965">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4B0D8B" w:rsidRPr="00D33F15">
        <w:rPr>
          <w:color w:val="000000" w:themeColor="text1"/>
        </w:rPr>
        <w:t>CETF Opening Brief at 22, citing https://www.verizon.com/about/news/verizon-delivered-strong-customer-growth-and-profitability-2024.</w:t>
      </w:r>
    </w:p>
  </w:footnote>
  <w:footnote w:id="122">
    <w:p w14:paraId="37F7B33A" w14:textId="4E6F8960" w:rsidR="009C4628" w:rsidRPr="00D33F15" w:rsidRDefault="009C4628">
      <w:pPr>
        <w:pStyle w:val="FootnoteText"/>
      </w:pPr>
      <w:r w:rsidRPr="00D33F15">
        <w:rPr>
          <w:rStyle w:val="FootnoteReference"/>
        </w:rPr>
        <w:footnoteRef/>
      </w:r>
      <w:r w:rsidRPr="00D33F15">
        <w:t xml:space="preserve"> CforAT Opening Brief at </w:t>
      </w:r>
      <w:r w:rsidR="0010607C" w:rsidRPr="00D33F15">
        <w:t>17.</w:t>
      </w:r>
    </w:p>
  </w:footnote>
  <w:footnote w:id="123">
    <w:p w14:paraId="2FEC7832" w14:textId="06ED3D21" w:rsidR="009C4628" w:rsidRPr="00D33F15" w:rsidRDefault="009C4628">
      <w:pPr>
        <w:pStyle w:val="FootnoteText"/>
      </w:pPr>
      <w:r w:rsidRPr="00D33F15">
        <w:rPr>
          <w:rStyle w:val="FootnoteReference"/>
        </w:rPr>
        <w:footnoteRef/>
      </w:r>
      <w:r w:rsidRPr="00D33F15">
        <w:t xml:space="preserve"> </w:t>
      </w:r>
      <w:r w:rsidR="00291617" w:rsidRPr="00D33F15">
        <w:t>CforAT Opening Brief at 18.</w:t>
      </w:r>
    </w:p>
  </w:footnote>
  <w:footnote w:id="124">
    <w:p w14:paraId="008E93D6" w14:textId="0A4C01C8" w:rsidR="00291617" w:rsidRPr="00D33F15" w:rsidRDefault="00291617">
      <w:pPr>
        <w:pStyle w:val="FootnoteText"/>
      </w:pPr>
      <w:r w:rsidRPr="00D33F15">
        <w:rPr>
          <w:rStyle w:val="FootnoteReference"/>
        </w:rPr>
        <w:footnoteRef/>
      </w:r>
      <w:r w:rsidRPr="00D33F15">
        <w:t xml:space="preserve"> </w:t>
      </w:r>
      <w:r w:rsidRPr="00D33F15">
        <w:rPr>
          <w:color w:val="000000" w:themeColor="text1"/>
        </w:rPr>
        <w:t>CforAT Opening Brief at 18.</w:t>
      </w:r>
    </w:p>
  </w:footnote>
  <w:footnote w:id="125">
    <w:p w14:paraId="302BC7AE" w14:textId="6D63FCC5" w:rsidR="009C4628" w:rsidRPr="00D33F15" w:rsidRDefault="009C4628">
      <w:pPr>
        <w:pStyle w:val="FootnoteText"/>
      </w:pPr>
      <w:r w:rsidRPr="00D33F15">
        <w:rPr>
          <w:rStyle w:val="FootnoteReference"/>
          <w:color w:val="000000" w:themeColor="text1"/>
        </w:rPr>
        <w:footnoteRef/>
      </w:r>
      <w:r w:rsidRPr="00D33F15">
        <w:rPr>
          <w:color w:val="000000" w:themeColor="text1"/>
        </w:rPr>
        <w:t xml:space="preserve"> CforAT Opening Brief at </w:t>
      </w:r>
      <w:r w:rsidR="00291617" w:rsidRPr="00D33F15">
        <w:rPr>
          <w:color w:val="000000" w:themeColor="text1"/>
        </w:rPr>
        <w:t>18</w:t>
      </w:r>
      <w:r w:rsidRPr="00D33F15">
        <w:rPr>
          <w:color w:val="000000" w:themeColor="text1"/>
        </w:rPr>
        <w:t>.</w:t>
      </w:r>
    </w:p>
  </w:footnote>
  <w:footnote w:id="126">
    <w:p w14:paraId="4D676032" w14:textId="3C6CC526" w:rsidR="008A2C77" w:rsidRPr="00D33F15" w:rsidRDefault="008A2C77">
      <w:pPr>
        <w:pStyle w:val="FootnoteText"/>
        <w:rPr>
          <w:color w:val="000000" w:themeColor="text1"/>
        </w:rPr>
      </w:pPr>
      <w:r w:rsidRPr="00D33F15">
        <w:rPr>
          <w:rStyle w:val="FootnoteReference"/>
          <w:color w:val="000000" w:themeColor="text1"/>
        </w:rPr>
        <w:footnoteRef/>
      </w:r>
      <w:r w:rsidRPr="00D33F15">
        <w:rPr>
          <w:color w:val="000000" w:themeColor="text1"/>
        </w:rPr>
        <w:t xml:space="preserve"> TURN Opening Brief at </w:t>
      </w:r>
      <w:r w:rsidR="00003094" w:rsidRPr="00D33F15">
        <w:rPr>
          <w:color w:val="000000" w:themeColor="text1"/>
        </w:rPr>
        <w:t>18-</w:t>
      </w:r>
      <w:r w:rsidR="008312E0" w:rsidRPr="00D33F15">
        <w:rPr>
          <w:color w:val="000000" w:themeColor="text1"/>
        </w:rPr>
        <w:t>1</w:t>
      </w:r>
      <w:r w:rsidR="00003094" w:rsidRPr="00D33F15">
        <w:rPr>
          <w:color w:val="000000" w:themeColor="text1"/>
        </w:rPr>
        <w:t>9</w:t>
      </w:r>
      <w:r w:rsidRPr="00D33F15">
        <w:rPr>
          <w:color w:val="000000" w:themeColor="text1"/>
        </w:rPr>
        <w:t>.</w:t>
      </w:r>
    </w:p>
  </w:footnote>
  <w:footnote w:id="127">
    <w:p w14:paraId="4AA58BC1" w14:textId="707C8FA9" w:rsidR="00BB118F" w:rsidRPr="00D33F15" w:rsidRDefault="00BB118F">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2D3AA2" w:rsidRPr="00D33F15">
        <w:rPr>
          <w:color w:val="000000" w:themeColor="text1"/>
        </w:rPr>
        <w:t>TURN Opening Brief at 18</w:t>
      </w:r>
      <w:r w:rsidR="008312E0" w:rsidRPr="00D33F15">
        <w:rPr>
          <w:color w:val="000000" w:themeColor="text1"/>
        </w:rPr>
        <w:t>-19</w:t>
      </w:r>
      <w:r w:rsidR="002D3AA2" w:rsidRPr="00D33F15">
        <w:rPr>
          <w:color w:val="000000" w:themeColor="text1"/>
        </w:rPr>
        <w:t>.</w:t>
      </w:r>
    </w:p>
  </w:footnote>
  <w:footnote w:id="128">
    <w:p w14:paraId="57D86C39" w14:textId="75A03729" w:rsidR="00BB7ED4" w:rsidRPr="00D33F15" w:rsidRDefault="00BB7ED4">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9262C9" w:rsidRPr="00D33F15">
        <w:rPr>
          <w:color w:val="000000" w:themeColor="text1"/>
        </w:rPr>
        <w:t>TURN Opening Brief at 19.</w:t>
      </w:r>
    </w:p>
  </w:footnote>
  <w:footnote w:id="129">
    <w:p w14:paraId="607497D1" w14:textId="18084917" w:rsidR="002D3AA2" w:rsidRPr="00D33F15" w:rsidRDefault="002D3AA2">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9262C9" w:rsidRPr="00D33F15">
        <w:rPr>
          <w:color w:val="000000" w:themeColor="text1"/>
        </w:rPr>
        <w:t>TURN Opening Brief at 19.</w:t>
      </w:r>
    </w:p>
  </w:footnote>
  <w:footnote w:id="130">
    <w:p w14:paraId="2DDFBC80" w14:textId="45FE548F" w:rsidR="00604BCC" w:rsidRPr="00D33F15" w:rsidRDefault="00604BCC">
      <w:pPr>
        <w:pStyle w:val="FootnoteText"/>
        <w:rPr>
          <w:color w:val="000000" w:themeColor="text1"/>
        </w:rPr>
      </w:pPr>
      <w:r w:rsidRPr="00D33F15">
        <w:rPr>
          <w:rStyle w:val="FootnoteReference"/>
          <w:color w:val="000000" w:themeColor="text1"/>
        </w:rPr>
        <w:footnoteRef/>
      </w:r>
      <w:r w:rsidRPr="00D33F15">
        <w:rPr>
          <w:color w:val="000000" w:themeColor="text1"/>
        </w:rPr>
        <w:t xml:space="preserve"> D. 22-04-059 at 2-3.</w:t>
      </w:r>
    </w:p>
  </w:footnote>
  <w:footnote w:id="131">
    <w:p w14:paraId="188C23D4" w14:textId="2D20DC90" w:rsidR="00587DEA" w:rsidRPr="00D33F15" w:rsidRDefault="00587DEA" w:rsidP="004E680F">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4E680F" w:rsidRPr="00D33F15">
        <w:rPr>
          <w:i/>
          <w:iCs/>
          <w:color w:val="000000" w:themeColor="text1"/>
        </w:rPr>
        <w:t>See</w:t>
      </w:r>
      <w:r w:rsidR="004E680F" w:rsidRPr="00D33F15">
        <w:rPr>
          <w:color w:val="000000" w:themeColor="text1"/>
        </w:rPr>
        <w:t xml:space="preserve"> Resolutions T-17631, T-17652, T-17731, T-17736, T-17743, T-17768, T-17788, T-17816, and T-17881.</w:t>
      </w:r>
    </w:p>
  </w:footnote>
  <w:footnote w:id="132">
    <w:p w14:paraId="19D35B69" w14:textId="4BA9FDDD" w:rsidR="004502D4" w:rsidRPr="00D33F15" w:rsidRDefault="004502D4" w:rsidP="004502D4">
      <w:pPr>
        <w:pStyle w:val="FootnoteText"/>
        <w:rPr>
          <w:color w:val="000000" w:themeColor="text1"/>
          <w:lang w:val="en-ZW"/>
        </w:rPr>
      </w:pPr>
      <w:r w:rsidRPr="00D33F15">
        <w:rPr>
          <w:rStyle w:val="FootnoteReference"/>
          <w:color w:val="000000" w:themeColor="text1"/>
        </w:rPr>
        <w:footnoteRef/>
      </w:r>
      <w:r w:rsidRPr="00D33F15">
        <w:rPr>
          <w:color w:val="000000" w:themeColor="text1"/>
        </w:rPr>
        <w:t xml:space="preserve"> </w:t>
      </w:r>
      <w:r w:rsidRPr="00D33F15">
        <w:rPr>
          <w:color w:val="000000" w:themeColor="text1"/>
          <w:lang w:val="en-ZW"/>
        </w:rPr>
        <w:t>See https://www.cpuc.ca.gov/industries-and-topics/internet-and-phone/network-performance-and-public-safety/network-exam-of-att-and-frontier-verizon</w:t>
      </w:r>
      <w:r w:rsidR="00F22225" w:rsidRPr="00D33F15">
        <w:rPr>
          <w:color w:val="000000" w:themeColor="text1"/>
          <w:lang w:val="en-ZW"/>
        </w:rPr>
        <w:t>.</w:t>
      </w:r>
    </w:p>
  </w:footnote>
  <w:footnote w:id="133">
    <w:p w14:paraId="39DBFFFE" w14:textId="77777777" w:rsidR="00826129" w:rsidRPr="00D33F15" w:rsidRDefault="00826129" w:rsidP="00826129">
      <w:pPr>
        <w:pStyle w:val="FootnoteText"/>
        <w:rPr>
          <w:color w:val="000000" w:themeColor="text1"/>
        </w:rPr>
      </w:pPr>
      <w:r w:rsidRPr="00D33F15">
        <w:rPr>
          <w:rStyle w:val="FootnoteReference"/>
          <w:color w:val="000000" w:themeColor="text1"/>
        </w:rPr>
        <w:footnoteRef/>
      </w:r>
      <w:r w:rsidRPr="00D33F15">
        <w:rPr>
          <w:color w:val="000000" w:themeColor="text1"/>
        </w:rPr>
        <w:t xml:space="preserve"> Application at 17.</w:t>
      </w:r>
    </w:p>
  </w:footnote>
  <w:footnote w:id="134">
    <w:p w14:paraId="1EC315A2" w14:textId="67C6BEC7" w:rsidR="004F7F2B" w:rsidRPr="00D33F15" w:rsidRDefault="004F7F2B">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5E1DDE" w:rsidRPr="00D33F15">
        <w:rPr>
          <w:color w:val="000000" w:themeColor="text1"/>
        </w:rPr>
        <w:t>Exhibit JA-02</w:t>
      </w:r>
      <w:r w:rsidR="00220C41" w:rsidRPr="00D33F15">
        <w:rPr>
          <w:color w:val="000000" w:themeColor="text1"/>
        </w:rPr>
        <w:t xml:space="preserve"> at 9.</w:t>
      </w:r>
    </w:p>
  </w:footnote>
  <w:footnote w:id="135">
    <w:p w14:paraId="0AE65BAC" w14:textId="50C45727" w:rsidR="00826129" w:rsidRPr="00D33F15" w:rsidRDefault="00826129">
      <w:pPr>
        <w:pStyle w:val="FootnoteText"/>
        <w:rPr>
          <w:color w:val="000000" w:themeColor="text1"/>
        </w:rPr>
      </w:pPr>
      <w:r w:rsidRPr="00D33F15">
        <w:rPr>
          <w:rStyle w:val="FootnoteReference"/>
          <w:color w:val="000000" w:themeColor="text1"/>
        </w:rPr>
        <w:footnoteRef/>
      </w:r>
      <w:r w:rsidRPr="00D33F15">
        <w:rPr>
          <w:color w:val="000000" w:themeColor="text1"/>
        </w:rPr>
        <w:t xml:space="preserve"> Application at</w:t>
      </w:r>
      <w:r w:rsidR="0070315F" w:rsidRPr="00D33F15">
        <w:rPr>
          <w:color w:val="000000" w:themeColor="text1"/>
        </w:rPr>
        <w:t xml:space="preserve"> 17.</w:t>
      </w:r>
    </w:p>
  </w:footnote>
  <w:footnote w:id="136">
    <w:p w14:paraId="514C30A6" w14:textId="0CC3EAFC" w:rsidR="005E1DDE" w:rsidRPr="00D33F15" w:rsidRDefault="005E1DDE">
      <w:pPr>
        <w:pStyle w:val="FootnoteText"/>
      </w:pPr>
      <w:r w:rsidRPr="00D33F15">
        <w:rPr>
          <w:rStyle w:val="FootnoteReference"/>
          <w:color w:val="000000" w:themeColor="text1"/>
        </w:rPr>
        <w:footnoteRef/>
      </w:r>
      <w:r w:rsidRPr="00D33F15">
        <w:rPr>
          <w:color w:val="000000" w:themeColor="text1"/>
        </w:rPr>
        <w:t xml:space="preserve"> Application at </w:t>
      </w:r>
      <w:r w:rsidR="00533E48" w:rsidRPr="00D33F15">
        <w:rPr>
          <w:color w:val="000000" w:themeColor="text1"/>
        </w:rPr>
        <w:t>18</w:t>
      </w:r>
      <w:r w:rsidRPr="00D33F15">
        <w:rPr>
          <w:color w:val="000000" w:themeColor="text1"/>
        </w:rPr>
        <w:t>.</w:t>
      </w:r>
    </w:p>
  </w:footnote>
  <w:footnote w:id="137">
    <w:p w14:paraId="65497AEE" w14:textId="1E4E61F3" w:rsidR="006E33DC" w:rsidRPr="00D33F15" w:rsidRDefault="006E33DC" w:rsidP="00272513">
      <w:pPr>
        <w:pStyle w:val="FootnoteText"/>
      </w:pPr>
      <w:r w:rsidRPr="00D33F15">
        <w:rPr>
          <w:rStyle w:val="FootnoteReference"/>
        </w:rPr>
        <w:footnoteRef/>
      </w:r>
      <w:r w:rsidRPr="00D33F15">
        <w:t xml:space="preserve"> </w:t>
      </w:r>
      <w:r w:rsidR="00272513" w:rsidRPr="00D33F15">
        <w:t xml:space="preserve">Application at 18, citing Verizon, </w:t>
      </w:r>
      <w:r w:rsidR="005E1DDE" w:rsidRPr="00D33F15">
        <w:t>Stock Analysis</w:t>
      </w:r>
      <w:r w:rsidR="00546F1B" w:rsidRPr="00D33F15">
        <w:t>. Available at:</w:t>
      </w:r>
      <w:r w:rsidR="00272513" w:rsidRPr="00D33F15">
        <w:t xml:space="preserve"> https://stockanalysis.com/stocks/vz/market-cap/.</w:t>
      </w:r>
    </w:p>
  </w:footnote>
  <w:footnote w:id="138">
    <w:p w14:paraId="68A50443" w14:textId="35AAF333" w:rsidR="0070315F" w:rsidRPr="00D33F15" w:rsidRDefault="0070315F" w:rsidP="00F6393C">
      <w:pPr>
        <w:pStyle w:val="FootnoteText"/>
      </w:pPr>
      <w:r w:rsidRPr="00D33F15">
        <w:rPr>
          <w:rStyle w:val="FootnoteReference"/>
        </w:rPr>
        <w:footnoteRef/>
      </w:r>
      <w:r w:rsidRPr="00D33F15">
        <w:t xml:space="preserve"> Application at </w:t>
      </w:r>
      <w:r w:rsidR="00696CA1" w:rsidRPr="00D33F15">
        <w:t xml:space="preserve">18, citing </w:t>
      </w:r>
      <w:r w:rsidR="00F6393C" w:rsidRPr="00D33F15">
        <w:t xml:space="preserve">Verizon, “Verizon finishes 2023 with strong cash flow and wireless customer growth,” January 23, 2024.  Available at: </w:t>
      </w:r>
      <w:r w:rsidR="00696CA1" w:rsidRPr="00D33F15">
        <w:t>https://www.verizon.com/about/news/verizon-finishes-2023-strong-cash-flow-and-wireless-customer-growth.</w:t>
      </w:r>
    </w:p>
  </w:footnote>
  <w:footnote w:id="139">
    <w:p w14:paraId="71DD7F6E" w14:textId="7B4396F0" w:rsidR="00F46960" w:rsidRPr="00D33F15" w:rsidRDefault="00F46960" w:rsidP="00F46960">
      <w:pPr>
        <w:pStyle w:val="FootnoteText"/>
      </w:pPr>
      <w:r w:rsidRPr="00D33F15">
        <w:rPr>
          <w:rStyle w:val="FootnoteReference"/>
        </w:rPr>
        <w:footnoteRef/>
      </w:r>
      <w:r w:rsidRPr="00D33F15">
        <w:t xml:space="preserve"> Application at 18.</w:t>
      </w:r>
    </w:p>
  </w:footnote>
  <w:footnote w:id="140">
    <w:p w14:paraId="699FDEBD" w14:textId="41A46635" w:rsidR="0072137F" w:rsidRPr="00D33F15" w:rsidRDefault="0072137F" w:rsidP="0072137F">
      <w:pPr>
        <w:pStyle w:val="FootnoteText"/>
        <w:rPr>
          <w:color w:val="000000" w:themeColor="text1"/>
        </w:rPr>
      </w:pPr>
      <w:r w:rsidRPr="00D33F15">
        <w:rPr>
          <w:rStyle w:val="FootnoteReference"/>
          <w:color w:val="000000" w:themeColor="text1"/>
        </w:rPr>
        <w:footnoteRef/>
      </w:r>
      <w:r w:rsidRPr="00D33F15">
        <w:rPr>
          <w:color w:val="000000" w:themeColor="text1"/>
        </w:rPr>
        <w:t xml:space="preserve"> Application at </w:t>
      </w:r>
      <w:r w:rsidR="001733F8" w:rsidRPr="00D33F15">
        <w:rPr>
          <w:color w:val="000000" w:themeColor="text1"/>
        </w:rPr>
        <w:t>18</w:t>
      </w:r>
      <w:r w:rsidRPr="00D33F15">
        <w:rPr>
          <w:color w:val="000000" w:themeColor="text1"/>
        </w:rPr>
        <w:t>.</w:t>
      </w:r>
    </w:p>
  </w:footnote>
  <w:footnote w:id="141">
    <w:p w14:paraId="092C0BA7" w14:textId="20ED0E2A" w:rsidR="00EE28BB" w:rsidRPr="00D33F15" w:rsidRDefault="00EE28BB">
      <w:pPr>
        <w:pStyle w:val="FootnoteText"/>
      </w:pPr>
      <w:r w:rsidRPr="00D33F15">
        <w:rPr>
          <w:rStyle w:val="FootnoteReference"/>
          <w:color w:val="000000" w:themeColor="text1"/>
        </w:rPr>
        <w:footnoteRef/>
      </w:r>
      <w:r w:rsidRPr="00D33F15">
        <w:rPr>
          <w:color w:val="000000" w:themeColor="text1"/>
        </w:rPr>
        <w:t xml:space="preserve"> Application at </w:t>
      </w:r>
      <w:r w:rsidR="001733F8" w:rsidRPr="00D33F15">
        <w:rPr>
          <w:color w:val="000000" w:themeColor="text1"/>
        </w:rPr>
        <w:t>18</w:t>
      </w:r>
      <w:r w:rsidRPr="00D33F15">
        <w:rPr>
          <w:color w:val="000000" w:themeColor="text1"/>
        </w:rPr>
        <w:t>.</w:t>
      </w:r>
    </w:p>
  </w:footnote>
  <w:footnote w:id="142">
    <w:p w14:paraId="00016EC8" w14:textId="36386FCF" w:rsidR="00EE28BB" w:rsidRPr="00D33F15" w:rsidRDefault="00EE28BB">
      <w:pPr>
        <w:pStyle w:val="FootnoteText"/>
      </w:pPr>
      <w:r w:rsidRPr="00D33F15">
        <w:rPr>
          <w:rStyle w:val="FootnoteReference"/>
          <w:color w:val="000000" w:themeColor="text1"/>
        </w:rPr>
        <w:footnoteRef/>
      </w:r>
      <w:r w:rsidRPr="00D33F15">
        <w:rPr>
          <w:color w:val="000000" w:themeColor="text1"/>
        </w:rPr>
        <w:t xml:space="preserve"> Application at </w:t>
      </w:r>
      <w:r w:rsidR="009547FF" w:rsidRPr="00D33F15">
        <w:rPr>
          <w:color w:val="000000" w:themeColor="text1"/>
        </w:rPr>
        <w:t>26</w:t>
      </w:r>
      <w:r w:rsidRPr="00D33F15">
        <w:rPr>
          <w:color w:val="000000" w:themeColor="text1"/>
        </w:rPr>
        <w:t>.</w:t>
      </w:r>
    </w:p>
  </w:footnote>
  <w:footnote w:id="143">
    <w:p w14:paraId="309345E0" w14:textId="2D8713C1" w:rsidR="00D05968" w:rsidRPr="00D33F15" w:rsidRDefault="00D05968">
      <w:pPr>
        <w:pStyle w:val="FootnoteText"/>
      </w:pPr>
      <w:r w:rsidRPr="00D33F15">
        <w:rPr>
          <w:rStyle w:val="FootnoteReference"/>
          <w:color w:val="000000" w:themeColor="text1"/>
        </w:rPr>
        <w:footnoteRef/>
      </w:r>
      <w:r w:rsidRPr="00D33F15">
        <w:rPr>
          <w:color w:val="000000" w:themeColor="text1"/>
        </w:rPr>
        <w:t xml:space="preserve"> Application at </w:t>
      </w:r>
      <w:r w:rsidR="007020D6" w:rsidRPr="00D33F15">
        <w:rPr>
          <w:color w:val="000000" w:themeColor="text1"/>
        </w:rPr>
        <w:t>21</w:t>
      </w:r>
      <w:r w:rsidRPr="00D33F15">
        <w:rPr>
          <w:color w:val="000000" w:themeColor="text1"/>
        </w:rPr>
        <w:t>.</w:t>
      </w:r>
    </w:p>
  </w:footnote>
  <w:footnote w:id="144">
    <w:p w14:paraId="0F20BC1A" w14:textId="6D5718BB" w:rsidR="001D4DF0" w:rsidRPr="00D33F15" w:rsidRDefault="001D4DF0">
      <w:pPr>
        <w:pStyle w:val="FootnoteText"/>
      </w:pPr>
      <w:r w:rsidRPr="00D33F15">
        <w:rPr>
          <w:rStyle w:val="FootnoteReference"/>
          <w:color w:val="000000" w:themeColor="text1"/>
        </w:rPr>
        <w:footnoteRef/>
      </w:r>
      <w:r w:rsidRPr="00D33F15">
        <w:rPr>
          <w:color w:val="000000" w:themeColor="text1"/>
        </w:rPr>
        <w:t xml:space="preserve"> Application at </w:t>
      </w:r>
      <w:r w:rsidR="001733F8" w:rsidRPr="00D33F15">
        <w:rPr>
          <w:color w:val="000000" w:themeColor="text1"/>
        </w:rPr>
        <w:t>21</w:t>
      </w:r>
      <w:r w:rsidRPr="00D33F15">
        <w:rPr>
          <w:color w:val="000000" w:themeColor="text1"/>
        </w:rPr>
        <w:t>.</w:t>
      </w:r>
    </w:p>
  </w:footnote>
  <w:footnote w:id="145">
    <w:p w14:paraId="0E41EF33" w14:textId="72D1E789" w:rsidR="0004558F" w:rsidRPr="00D33F15" w:rsidRDefault="0004558F">
      <w:pPr>
        <w:pStyle w:val="FootnoteText"/>
      </w:pPr>
      <w:r w:rsidRPr="00D33F15">
        <w:rPr>
          <w:rStyle w:val="FootnoteReference"/>
          <w:color w:val="000000" w:themeColor="text1"/>
        </w:rPr>
        <w:footnoteRef/>
      </w:r>
      <w:r w:rsidRPr="00D33F15">
        <w:rPr>
          <w:color w:val="000000" w:themeColor="text1"/>
        </w:rPr>
        <w:t xml:space="preserve"> Joint Applicants Opening Brief at </w:t>
      </w:r>
      <w:r w:rsidR="004208BF" w:rsidRPr="00D33F15">
        <w:rPr>
          <w:color w:val="000000" w:themeColor="text1"/>
        </w:rPr>
        <w:t>16</w:t>
      </w:r>
      <w:r w:rsidRPr="00D33F15">
        <w:rPr>
          <w:color w:val="000000" w:themeColor="text1"/>
        </w:rPr>
        <w:t>.</w:t>
      </w:r>
    </w:p>
  </w:footnote>
  <w:footnote w:id="146">
    <w:p w14:paraId="64DD173C" w14:textId="219EEBD3" w:rsidR="00D16CA3" w:rsidRPr="00D33F15" w:rsidRDefault="00D16CA3">
      <w:pPr>
        <w:pStyle w:val="FootnoteText"/>
      </w:pPr>
      <w:r w:rsidRPr="00D33F15">
        <w:rPr>
          <w:rStyle w:val="FootnoteReference"/>
        </w:rPr>
        <w:footnoteRef/>
      </w:r>
      <w:r w:rsidRPr="00D33F15">
        <w:t xml:space="preserve"> CETF Opening Brief at </w:t>
      </w:r>
      <w:r w:rsidR="00F93B85" w:rsidRPr="00D33F15">
        <w:t>22</w:t>
      </w:r>
      <w:r w:rsidRPr="00D33F15">
        <w:t>.</w:t>
      </w:r>
    </w:p>
  </w:footnote>
  <w:footnote w:id="147">
    <w:p w14:paraId="4403B7EB" w14:textId="4D4D9A84" w:rsidR="00D16CA3" w:rsidRPr="00D33F15" w:rsidRDefault="00D16CA3">
      <w:pPr>
        <w:pStyle w:val="FootnoteText"/>
      </w:pPr>
      <w:r w:rsidRPr="00D33F15">
        <w:rPr>
          <w:rStyle w:val="FootnoteReference"/>
        </w:rPr>
        <w:footnoteRef/>
      </w:r>
      <w:r w:rsidRPr="00D33F15">
        <w:t xml:space="preserve"> </w:t>
      </w:r>
      <w:r w:rsidR="00ED2A49" w:rsidRPr="00D33F15">
        <w:t>CETF Opening Brief at 22.</w:t>
      </w:r>
    </w:p>
  </w:footnote>
  <w:footnote w:id="148">
    <w:p w14:paraId="455A9AD1" w14:textId="587D375B" w:rsidR="00ED2A49" w:rsidRPr="00D33F15" w:rsidRDefault="00ED2A49">
      <w:pPr>
        <w:pStyle w:val="FootnoteText"/>
      </w:pPr>
      <w:r w:rsidRPr="00D33F15">
        <w:rPr>
          <w:rStyle w:val="FootnoteReference"/>
        </w:rPr>
        <w:footnoteRef/>
      </w:r>
      <w:r w:rsidRPr="00D33F15">
        <w:t xml:space="preserve"> CETF Opening Brief at 22.</w:t>
      </w:r>
    </w:p>
  </w:footnote>
  <w:footnote w:id="149">
    <w:p w14:paraId="0D17B614" w14:textId="6E800260" w:rsidR="008D664C" w:rsidRPr="00D33F15" w:rsidRDefault="008D664C">
      <w:pPr>
        <w:pStyle w:val="FootnoteText"/>
      </w:pPr>
      <w:r w:rsidRPr="00D33F15">
        <w:rPr>
          <w:rStyle w:val="FootnoteReference"/>
        </w:rPr>
        <w:footnoteRef/>
      </w:r>
      <w:r w:rsidRPr="00D33F15">
        <w:t xml:space="preserve"> </w:t>
      </w:r>
      <w:r w:rsidR="00DA0D59" w:rsidRPr="00D33F15">
        <w:t>CforAT Opening Brief at 19.</w:t>
      </w:r>
    </w:p>
  </w:footnote>
  <w:footnote w:id="150">
    <w:p w14:paraId="0D577AAC" w14:textId="783F472C" w:rsidR="00F455E3" w:rsidRPr="00D33F15" w:rsidRDefault="00F455E3">
      <w:pPr>
        <w:pStyle w:val="FootnoteText"/>
      </w:pPr>
      <w:r w:rsidRPr="00D33F15">
        <w:rPr>
          <w:rStyle w:val="FootnoteReference"/>
        </w:rPr>
        <w:footnoteRef/>
      </w:r>
      <w:r w:rsidRPr="00D33F15">
        <w:t xml:space="preserve"> CforAT Opening Brief at 19.</w:t>
      </w:r>
    </w:p>
  </w:footnote>
  <w:footnote w:id="151">
    <w:p w14:paraId="75821C78" w14:textId="56FA847C" w:rsidR="00F455E3" w:rsidRPr="00D33F15" w:rsidRDefault="00F455E3">
      <w:pPr>
        <w:pStyle w:val="FootnoteText"/>
      </w:pPr>
      <w:r w:rsidRPr="00D33F15">
        <w:rPr>
          <w:rStyle w:val="FootnoteReference"/>
        </w:rPr>
        <w:footnoteRef/>
      </w:r>
      <w:r w:rsidRPr="00D33F15">
        <w:t xml:space="preserve"> </w:t>
      </w:r>
      <w:r w:rsidR="00056CB6" w:rsidRPr="00D33F15">
        <w:t>CforAT Opening Brief at 19.</w:t>
      </w:r>
    </w:p>
  </w:footnote>
  <w:footnote w:id="152">
    <w:p w14:paraId="38D96705" w14:textId="191AB2E3" w:rsidR="00386763" w:rsidRPr="00D33F15" w:rsidRDefault="00386763">
      <w:pPr>
        <w:pStyle w:val="FootnoteText"/>
      </w:pPr>
      <w:r w:rsidRPr="00D33F15">
        <w:rPr>
          <w:rStyle w:val="FootnoteReference"/>
        </w:rPr>
        <w:footnoteRef/>
      </w:r>
      <w:r w:rsidRPr="00D33F15">
        <w:t xml:space="preserve"> CforAT Opening Brief at 20.</w:t>
      </w:r>
    </w:p>
  </w:footnote>
  <w:footnote w:id="153">
    <w:p w14:paraId="3DD3B6D2" w14:textId="4824CC77" w:rsidR="00386763" w:rsidRPr="00D33F15" w:rsidRDefault="00386763">
      <w:pPr>
        <w:pStyle w:val="FootnoteText"/>
      </w:pPr>
      <w:r w:rsidRPr="00D33F15">
        <w:rPr>
          <w:rStyle w:val="FootnoteReference"/>
        </w:rPr>
        <w:footnoteRef/>
      </w:r>
      <w:r w:rsidRPr="00D33F15">
        <w:t xml:space="preserve"> CforAT Opening Brief at 20.</w:t>
      </w:r>
    </w:p>
  </w:footnote>
  <w:footnote w:id="154">
    <w:p w14:paraId="490DB75D" w14:textId="272C4995" w:rsidR="00386763" w:rsidRPr="00D33F15" w:rsidRDefault="00386763">
      <w:pPr>
        <w:pStyle w:val="FootnoteText"/>
      </w:pPr>
      <w:r w:rsidRPr="00D33F15">
        <w:rPr>
          <w:rStyle w:val="FootnoteReference"/>
        </w:rPr>
        <w:footnoteRef/>
      </w:r>
      <w:r w:rsidRPr="00D33F15">
        <w:t xml:space="preserve"> CforA</w:t>
      </w:r>
      <w:r w:rsidR="0066245F" w:rsidRPr="00D33F15">
        <w:t>T</w:t>
      </w:r>
      <w:r w:rsidRPr="00D33F15">
        <w:t xml:space="preserve"> Opening Brief at </w:t>
      </w:r>
      <w:r w:rsidR="00080444" w:rsidRPr="00D33F15">
        <w:t>20</w:t>
      </w:r>
      <w:r w:rsidRPr="00D33F15">
        <w:t>.</w:t>
      </w:r>
    </w:p>
  </w:footnote>
  <w:footnote w:id="155">
    <w:p w14:paraId="4ABADF17" w14:textId="49235F81" w:rsidR="00C7766C" w:rsidRPr="00D33F15" w:rsidRDefault="00C7766C">
      <w:pPr>
        <w:pStyle w:val="FootnoteText"/>
      </w:pPr>
      <w:r w:rsidRPr="00D33F15">
        <w:rPr>
          <w:rStyle w:val="FootnoteReference"/>
        </w:rPr>
        <w:footnoteRef/>
      </w:r>
      <w:r w:rsidRPr="00D33F15">
        <w:t xml:space="preserve"> TURN Opening Brief at </w:t>
      </w:r>
      <w:r w:rsidR="0010587B" w:rsidRPr="00D33F15">
        <w:t>19-</w:t>
      </w:r>
      <w:r w:rsidR="00051044" w:rsidRPr="00D33F15">
        <w:t>21.</w:t>
      </w:r>
    </w:p>
  </w:footnote>
  <w:footnote w:id="156">
    <w:p w14:paraId="42AD170F" w14:textId="23D0A7AE" w:rsidR="00BB118F" w:rsidRPr="00D33F15" w:rsidRDefault="00BB118F" w:rsidP="00E26D0B">
      <w:pPr>
        <w:pStyle w:val="FootnoteText"/>
      </w:pPr>
      <w:r w:rsidRPr="00D33F15">
        <w:rPr>
          <w:rStyle w:val="FootnoteReference"/>
        </w:rPr>
        <w:footnoteRef/>
      </w:r>
      <w:r w:rsidRPr="00D33F15">
        <w:t xml:space="preserve"> TURN Opening Brief at </w:t>
      </w:r>
      <w:r w:rsidR="00E26D0B" w:rsidRPr="00D33F15">
        <w:t>19</w:t>
      </w:r>
      <w:r w:rsidRPr="00D33F15">
        <w:t xml:space="preserve">, citing </w:t>
      </w:r>
      <w:r w:rsidR="00E26D0B" w:rsidRPr="00D33F15">
        <w:t xml:space="preserve">D.25-09-031 at 196 and OP 1.  TURN noted that it refers to the Commission’s service quality requirements, </w:t>
      </w:r>
      <w:r w:rsidR="00081D53" w:rsidRPr="00D33F15">
        <w:t>GO</w:t>
      </w:r>
      <w:r w:rsidR="00E26D0B" w:rsidRPr="00D33F15">
        <w:t xml:space="preserve"> 133-D and </w:t>
      </w:r>
      <w:r w:rsidR="00081D53" w:rsidRPr="00D33F15">
        <w:t>GO</w:t>
      </w:r>
      <w:r w:rsidR="00E26D0B" w:rsidRPr="00D33F15">
        <w:t xml:space="preserve"> 133-E collectively as “GO 133.”</w:t>
      </w:r>
    </w:p>
  </w:footnote>
  <w:footnote w:id="157">
    <w:p w14:paraId="748D9FDF" w14:textId="302C131C" w:rsidR="00C7766C" w:rsidRPr="00D33F15" w:rsidRDefault="00C7766C">
      <w:pPr>
        <w:pStyle w:val="FootnoteText"/>
      </w:pPr>
      <w:r w:rsidRPr="00D33F15">
        <w:rPr>
          <w:rStyle w:val="FootnoteReference"/>
        </w:rPr>
        <w:footnoteRef/>
      </w:r>
      <w:r w:rsidRPr="00D33F15">
        <w:t xml:space="preserve"> TURN Opening Brief at </w:t>
      </w:r>
      <w:r w:rsidR="0068134B" w:rsidRPr="00D33F15">
        <w:t>19.</w:t>
      </w:r>
    </w:p>
  </w:footnote>
  <w:footnote w:id="158">
    <w:p w14:paraId="346BB01F" w14:textId="01E7C8EC" w:rsidR="00BB118F" w:rsidRPr="00D33F15" w:rsidRDefault="00BB118F" w:rsidP="00BB118F">
      <w:pPr>
        <w:pStyle w:val="FootnoteText"/>
        <w:rPr>
          <w:color w:val="000000" w:themeColor="text1"/>
        </w:rPr>
      </w:pPr>
      <w:r w:rsidRPr="00D33F15">
        <w:rPr>
          <w:rStyle w:val="FootnoteReference"/>
        </w:rPr>
        <w:footnoteRef/>
      </w:r>
      <w:r w:rsidRPr="00D33F15">
        <w:t xml:space="preserve"> </w:t>
      </w:r>
      <w:r w:rsidR="0068134B" w:rsidRPr="00D33F15">
        <w:t xml:space="preserve">TURN Opening Brief at 19.  </w:t>
      </w:r>
      <w:r w:rsidR="003920EE" w:rsidRPr="00D33F15">
        <w:t xml:space="preserve">TURN noted that it distinguishes compliance with GO 133 </w:t>
      </w:r>
      <w:r w:rsidR="003920EE" w:rsidRPr="00D33F15">
        <w:rPr>
          <w:color w:val="000000" w:themeColor="text1"/>
        </w:rPr>
        <w:t xml:space="preserve">requirements, which can be met by paying a fine, and meeting the GO 133 metrics.  </w:t>
      </w:r>
    </w:p>
  </w:footnote>
  <w:footnote w:id="159">
    <w:p w14:paraId="7FEE811A" w14:textId="3413AAD3" w:rsidR="00BB118F" w:rsidRPr="00D33F15" w:rsidRDefault="00BB118F">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103E9C" w:rsidRPr="00D33F15">
        <w:rPr>
          <w:color w:val="000000" w:themeColor="text1"/>
        </w:rPr>
        <w:t xml:space="preserve">TURN Opening Brief at </w:t>
      </w:r>
      <w:r w:rsidR="002B6CA1" w:rsidRPr="00D33F15">
        <w:rPr>
          <w:color w:val="000000" w:themeColor="text1"/>
        </w:rPr>
        <w:t>19</w:t>
      </w:r>
      <w:r w:rsidR="00103E9C" w:rsidRPr="00D33F15">
        <w:rPr>
          <w:color w:val="000000" w:themeColor="text1"/>
        </w:rPr>
        <w:t>.</w:t>
      </w:r>
    </w:p>
  </w:footnote>
  <w:footnote w:id="160">
    <w:p w14:paraId="3B539340" w14:textId="718D371F" w:rsidR="00BB118F" w:rsidRPr="00D33F15" w:rsidRDefault="00BB118F">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103E9C" w:rsidRPr="00D33F15">
        <w:rPr>
          <w:color w:val="000000" w:themeColor="text1"/>
        </w:rPr>
        <w:t xml:space="preserve">TURN Opening Brief at </w:t>
      </w:r>
      <w:r w:rsidR="00086086" w:rsidRPr="00D33F15">
        <w:rPr>
          <w:color w:val="000000" w:themeColor="text1"/>
        </w:rPr>
        <w:t>19</w:t>
      </w:r>
      <w:r w:rsidR="00103E9C" w:rsidRPr="00D33F15">
        <w:rPr>
          <w:color w:val="000000" w:themeColor="text1"/>
        </w:rPr>
        <w:t>.</w:t>
      </w:r>
    </w:p>
  </w:footnote>
  <w:footnote w:id="161">
    <w:p w14:paraId="4B94AA2F" w14:textId="51888244" w:rsidR="003403C4" w:rsidRPr="00D33F15" w:rsidRDefault="003403C4">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103E9C" w:rsidRPr="00D33F15">
        <w:rPr>
          <w:color w:val="000000" w:themeColor="text1"/>
        </w:rPr>
        <w:t xml:space="preserve">TURN Opening Brief at </w:t>
      </w:r>
      <w:r w:rsidR="00086086" w:rsidRPr="00D33F15">
        <w:rPr>
          <w:color w:val="000000" w:themeColor="text1"/>
        </w:rPr>
        <w:t>19-20.</w:t>
      </w:r>
    </w:p>
  </w:footnote>
  <w:footnote w:id="162">
    <w:p w14:paraId="6BABBB35" w14:textId="7CFA5B04" w:rsidR="003403C4" w:rsidRPr="00D33F15" w:rsidRDefault="003403C4">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103E9C" w:rsidRPr="00D33F15">
        <w:rPr>
          <w:color w:val="000000" w:themeColor="text1"/>
        </w:rPr>
        <w:t xml:space="preserve">TURN Opening Brief at </w:t>
      </w:r>
      <w:r w:rsidR="00850CC5" w:rsidRPr="00D33F15">
        <w:rPr>
          <w:color w:val="000000" w:themeColor="text1"/>
        </w:rPr>
        <w:t>20.</w:t>
      </w:r>
    </w:p>
  </w:footnote>
  <w:footnote w:id="163">
    <w:p w14:paraId="5ABE25D3" w14:textId="6C0B5197" w:rsidR="00A10A7D" w:rsidRPr="00D33F15" w:rsidRDefault="00A10A7D">
      <w:pPr>
        <w:pStyle w:val="FootnoteText"/>
        <w:rPr>
          <w:color w:val="000000" w:themeColor="text1"/>
        </w:rPr>
      </w:pPr>
      <w:r w:rsidRPr="00D33F15">
        <w:rPr>
          <w:rStyle w:val="FootnoteReference"/>
          <w:color w:val="000000" w:themeColor="text1"/>
        </w:rPr>
        <w:footnoteRef/>
      </w:r>
      <w:r w:rsidRPr="00D33F15">
        <w:rPr>
          <w:color w:val="000000" w:themeColor="text1"/>
        </w:rPr>
        <w:t xml:space="preserve"> TURN Opening Brief at 20.</w:t>
      </w:r>
    </w:p>
  </w:footnote>
  <w:footnote w:id="164">
    <w:p w14:paraId="6F4CC1FD" w14:textId="2D111363" w:rsidR="00FF09F1" w:rsidRPr="00D33F15" w:rsidRDefault="00FF09F1" w:rsidP="00FF09F1">
      <w:pPr>
        <w:pStyle w:val="FootnoteText"/>
        <w:rPr>
          <w:color w:val="000000" w:themeColor="text1"/>
        </w:rPr>
      </w:pPr>
      <w:r w:rsidRPr="00D33F15">
        <w:rPr>
          <w:rStyle w:val="FootnoteReference"/>
          <w:color w:val="000000" w:themeColor="text1"/>
        </w:rPr>
        <w:footnoteRef/>
      </w:r>
      <w:r w:rsidRPr="00D33F15">
        <w:rPr>
          <w:color w:val="000000" w:themeColor="text1"/>
        </w:rPr>
        <w:t xml:space="preserve"> “A measure of the average interval, in hours and minutes from the time of the reporting carrier’s receipt of the out of service trouble report to the time service is restored for residential and small business customers.” See GO 133-D, Rule 3.4(a).</w:t>
      </w:r>
    </w:p>
  </w:footnote>
  <w:footnote w:id="165">
    <w:p w14:paraId="3FF47E2E" w14:textId="189E01A7" w:rsidR="000F1815" w:rsidRPr="00D33F15" w:rsidRDefault="000F1815">
      <w:pPr>
        <w:pStyle w:val="FootnoteText"/>
        <w:rPr>
          <w:color w:val="000000" w:themeColor="text1"/>
        </w:rPr>
      </w:pPr>
      <w:r w:rsidRPr="00D33F15">
        <w:rPr>
          <w:rStyle w:val="FootnoteReference"/>
          <w:color w:val="000000" w:themeColor="text1"/>
        </w:rPr>
        <w:footnoteRef/>
      </w:r>
      <w:r w:rsidRPr="00D33F15">
        <w:rPr>
          <w:color w:val="000000" w:themeColor="text1"/>
        </w:rPr>
        <w:t xml:space="preserve"> TURN Opening Brief at 20, citing </w:t>
      </w:r>
      <w:r w:rsidR="00060040" w:rsidRPr="00D33F15">
        <w:rPr>
          <w:color w:val="000000" w:themeColor="text1"/>
        </w:rPr>
        <w:t>Exhibit TURN-X-01 at 1-30.</w:t>
      </w:r>
    </w:p>
  </w:footnote>
  <w:footnote w:id="166">
    <w:p w14:paraId="3A43AF66" w14:textId="56EAF868" w:rsidR="00D67D13" w:rsidRPr="00D33F15" w:rsidRDefault="00D67D13">
      <w:pPr>
        <w:pStyle w:val="FootnoteText"/>
        <w:rPr>
          <w:color w:val="000000" w:themeColor="text1"/>
        </w:rPr>
      </w:pPr>
      <w:r w:rsidRPr="00D33F15">
        <w:rPr>
          <w:rStyle w:val="FootnoteReference"/>
          <w:color w:val="000000" w:themeColor="text1"/>
        </w:rPr>
        <w:footnoteRef/>
      </w:r>
      <w:r w:rsidRPr="00D33F15">
        <w:rPr>
          <w:color w:val="000000" w:themeColor="text1"/>
        </w:rPr>
        <w:t xml:space="preserve"> TURN Opening Brief at 20, citing Resolution T-17881 at 7.</w:t>
      </w:r>
    </w:p>
  </w:footnote>
  <w:footnote w:id="167">
    <w:p w14:paraId="1CB44F16" w14:textId="34123956" w:rsidR="00A12686" w:rsidRPr="00D33F15" w:rsidRDefault="00A12686" w:rsidP="00D047A6">
      <w:pPr>
        <w:pStyle w:val="FootnoteText"/>
        <w:rPr>
          <w:color w:val="000000" w:themeColor="text1"/>
        </w:rPr>
      </w:pPr>
      <w:r w:rsidRPr="00D33F15">
        <w:rPr>
          <w:rStyle w:val="FootnoteReference"/>
          <w:color w:val="000000" w:themeColor="text1"/>
        </w:rPr>
        <w:footnoteRef/>
      </w:r>
      <w:r w:rsidRPr="00D33F15">
        <w:rPr>
          <w:color w:val="000000" w:themeColor="text1"/>
        </w:rPr>
        <w:t xml:space="preserve"> TURN Opening Brief at 20, citing Frontier California Advice Letters (ALs) 12884, 12915, 12941; Frontier Southwest ALs 173, 188, 206; and </w:t>
      </w:r>
      <w:r w:rsidR="00521E1F" w:rsidRPr="00D33F15">
        <w:rPr>
          <w:color w:val="000000" w:themeColor="text1"/>
        </w:rPr>
        <w:t>CTC California</w:t>
      </w:r>
      <w:r w:rsidRPr="00D33F15">
        <w:rPr>
          <w:color w:val="000000" w:themeColor="text1"/>
        </w:rPr>
        <w:t xml:space="preserve"> ALs 1310, 1330, 1353.</w:t>
      </w:r>
    </w:p>
  </w:footnote>
  <w:footnote w:id="168">
    <w:p w14:paraId="47F24E0B" w14:textId="44A221F6" w:rsidR="006D31CC" w:rsidRPr="00D33F15" w:rsidRDefault="006D31CC" w:rsidP="006D31CC">
      <w:pPr>
        <w:pStyle w:val="FootnoteText"/>
      </w:pPr>
      <w:r w:rsidRPr="00D33F15">
        <w:rPr>
          <w:rStyle w:val="FootnoteReference"/>
          <w:color w:val="000000" w:themeColor="text1"/>
        </w:rPr>
        <w:footnoteRef/>
      </w:r>
      <w:r w:rsidRPr="00D33F15">
        <w:rPr>
          <w:color w:val="000000" w:themeColor="text1"/>
        </w:rPr>
        <w:t xml:space="preserve"> TURN Opening Brief at </w:t>
      </w:r>
      <w:r w:rsidR="00CA21EF" w:rsidRPr="00D33F15">
        <w:rPr>
          <w:color w:val="000000" w:themeColor="text1"/>
        </w:rPr>
        <w:t>21</w:t>
      </w:r>
      <w:r w:rsidR="000D681D" w:rsidRPr="00D33F15">
        <w:rPr>
          <w:color w:val="000000" w:themeColor="text1"/>
        </w:rPr>
        <w:t>, citing Exhibit Cal Adv-08-C</w:t>
      </w:r>
      <w:r w:rsidR="00001D4E" w:rsidRPr="00D33F15">
        <w:rPr>
          <w:color w:val="000000" w:themeColor="text1"/>
        </w:rPr>
        <w:t>.</w:t>
      </w:r>
      <w:r w:rsidR="000D681D" w:rsidRPr="00D33F15">
        <w:rPr>
          <w:color w:val="000000" w:themeColor="text1"/>
        </w:rPr>
        <w:t xml:space="preserve"> at 14</w:t>
      </w:r>
      <w:r w:rsidR="00CA21EF" w:rsidRPr="00D33F15">
        <w:rPr>
          <w:color w:val="000000" w:themeColor="text1"/>
        </w:rPr>
        <w:t>.</w:t>
      </w:r>
    </w:p>
  </w:footnote>
  <w:footnote w:id="169">
    <w:p w14:paraId="6F777B61" w14:textId="2B82B35F" w:rsidR="006A2114" w:rsidRPr="00D33F15" w:rsidRDefault="006A2114">
      <w:pPr>
        <w:pStyle w:val="FootnoteText"/>
      </w:pPr>
      <w:r w:rsidRPr="00D33F15">
        <w:rPr>
          <w:rStyle w:val="FootnoteReference"/>
          <w:color w:val="000000" w:themeColor="text1"/>
        </w:rPr>
        <w:footnoteRef/>
      </w:r>
      <w:r w:rsidRPr="00D33F15">
        <w:rPr>
          <w:color w:val="000000" w:themeColor="text1"/>
        </w:rPr>
        <w:t xml:space="preserve"> </w:t>
      </w:r>
      <w:r w:rsidR="00B24E35" w:rsidRPr="00D33F15">
        <w:rPr>
          <w:color w:val="000000" w:themeColor="text1"/>
        </w:rPr>
        <w:t xml:space="preserve">TURN Opening Brief at </w:t>
      </w:r>
      <w:r w:rsidR="006D31CC" w:rsidRPr="00D33F15">
        <w:rPr>
          <w:color w:val="000000" w:themeColor="text1"/>
        </w:rPr>
        <w:t>20-21.</w:t>
      </w:r>
    </w:p>
  </w:footnote>
  <w:footnote w:id="170">
    <w:p w14:paraId="337D3AC4" w14:textId="2DE9FB55" w:rsidR="001F39BD" w:rsidRPr="00D33F15" w:rsidRDefault="001F39BD">
      <w:pPr>
        <w:pStyle w:val="FootnoteText"/>
      </w:pPr>
      <w:r w:rsidRPr="00D33F15">
        <w:rPr>
          <w:rStyle w:val="FootnoteReference"/>
        </w:rPr>
        <w:footnoteRef/>
      </w:r>
      <w:r w:rsidRPr="00D33F15">
        <w:t xml:space="preserve"> </w:t>
      </w:r>
      <w:r w:rsidRPr="00D33F15">
        <w:rPr>
          <w:color w:val="000000" w:themeColor="text1"/>
        </w:rPr>
        <w:t>TURN Opening Brief at 21.</w:t>
      </w:r>
    </w:p>
  </w:footnote>
  <w:footnote w:id="171">
    <w:p w14:paraId="34A34317" w14:textId="77777777" w:rsidR="0059152B" w:rsidRPr="00D33F15" w:rsidRDefault="0059152B" w:rsidP="0059152B">
      <w:pPr>
        <w:pStyle w:val="FootnoteText"/>
      </w:pPr>
      <w:r w:rsidRPr="00D33F15">
        <w:rPr>
          <w:rStyle w:val="FootnoteReference"/>
        </w:rPr>
        <w:footnoteRef/>
      </w:r>
      <w:r w:rsidRPr="00D33F15">
        <w:t xml:space="preserve"> Application at 22.</w:t>
      </w:r>
    </w:p>
  </w:footnote>
  <w:footnote w:id="172">
    <w:p w14:paraId="76519F5F" w14:textId="27090B7F" w:rsidR="0059152B" w:rsidRPr="00D33F15" w:rsidRDefault="0059152B" w:rsidP="0059152B">
      <w:pPr>
        <w:pStyle w:val="FootnoteText"/>
      </w:pPr>
      <w:r w:rsidRPr="00D33F15">
        <w:rPr>
          <w:rStyle w:val="FootnoteReference"/>
          <w:color w:val="000000" w:themeColor="text1"/>
        </w:rPr>
        <w:footnoteRef/>
      </w:r>
      <w:r w:rsidRPr="00D33F15">
        <w:rPr>
          <w:color w:val="000000" w:themeColor="text1"/>
        </w:rPr>
        <w:t xml:space="preserve"> Application</w:t>
      </w:r>
      <w:r w:rsidR="000B5C96" w:rsidRPr="00D33F15">
        <w:rPr>
          <w:color w:val="000000" w:themeColor="text1"/>
        </w:rPr>
        <w:t>,</w:t>
      </w:r>
      <w:r w:rsidRPr="00D33F15">
        <w:rPr>
          <w:color w:val="000000" w:themeColor="text1"/>
        </w:rPr>
        <w:t xml:space="preserve"> Exhibit B. </w:t>
      </w:r>
    </w:p>
  </w:footnote>
  <w:footnote w:id="173">
    <w:p w14:paraId="385310AD" w14:textId="67FED39D" w:rsidR="004511A2" w:rsidRPr="00D33F15" w:rsidRDefault="004511A2">
      <w:pPr>
        <w:pStyle w:val="FootnoteText"/>
      </w:pPr>
      <w:r w:rsidRPr="00D33F15">
        <w:rPr>
          <w:rStyle w:val="FootnoteReference"/>
        </w:rPr>
        <w:footnoteRef/>
      </w:r>
      <w:r w:rsidRPr="00D33F15">
        <w:t xml:space="preserve"> CETF Opening Brief at 22.</w:t>
      </w:r>
    </w:p>
  </w:footnote>
  <w:footnote w:id="174">
    <w:p w14:paraId="71B24D7B" w14:textId="7023F8E1" w:rsidR="00F20FFA" w:rsidRPr="00D33F15" w:rsidRDefault="00F20FFA">
      <w:pPr>
        <w:pStyle w:val="FootnoteText"/>
      </w:pPr>
      <w:r w:rsidRPr="00D33F15">
        <w:rPr>
          <w:rStyle w:val="FootnoteReference"/>
        </w:rPr>
        <w:footnoteRef/>
      </w:r>
      <w:r w:rsidRPr="00D33F15">
        <w:t xml:space="preserve"> CETF Opening Brief at 22.</w:t>
      </w:r>
    </w:p>
  </w:footnote>
  <w:footnote w:id="175">
    <w:p w14:paraId="4EDBB887" w14:textId="2B65729B" w:rsidR="00691C0A" w:rsidRPr="00D33F15" w:rsidRDefault="00691C0A">
      <w:pPr>
        <w:pStyle w:val="FootnoteText"/>
      </w:pPr>
      <w:r w:rsidRPr="00D33F15">
        <w:rPr>
          <w:rStyle w:val="FootnoteReference"/>
        </w:rPr>
        <w:footnoteRef/>
      </w:r>
      <w:r w:rsidRPr="00D33F15">
        <w:t xml:space="preserve"> CforAT Opening Briefs at </w:t>
      </w:r>
      <w:r w:rsidR="001E0EB5" w:rsidRPr="00D33F15">
        <w:t>23</w:t>
      </w:r>
      <w:r w:rsidRPr="00D33F15">
        <w:t>.</w:t>
      </w:r>
    </w:p>
  </w:footnote>
  <w:footnote w:id="176">
    <w:p w14:paraId="522A9C9A" w14:textId="573E51C1" w:rsidR="00691C0A" w:rsidRPr="00D33F15" w:rsidRDefault="00691C0A">
      <w:pPr>
        <w:pStyle w:val="FootnoteText"/>
      </w:pPr>
      <w:r w:rsidRPr="00D33F15">
        <w:rPr>
          <w:rStyle w:val="FootnoteReference"/>
        </w:rPr>
        <w:footnoteRef/>
      </w:r>
      <w:r w:rsidRPr="00D33F15">
        <w:t xml:space="preserve"> </w:t>
      </w:r>
      <w:r w:rsidR="001E0EB5" w:rsidRPr="00D33F15">
        <w:t>CforAT Opening Briefs at 23.</w:t>
      </w:r>
    </w:p>
  </w:footnote>
  <w:footnote w:id="177">
    <w:p w14:paraId="16E003CB" w14:textId="0CD32DDC" w:rsidR="00691C0A" w:rsidRPr="00D33F15" w:rsidRDefault="00691C0A">
      <w:pPr>
        <w:pStyle w:val="FootnoteText"/>
      </w:pPr>
      <w:r w:rsidRPr="00D33F15">
        <w:rPr>
          <w:rStyle w:val="FootnoteReference"/>
        </w:rPr>
        <w:footnoteRef/>
      </w:r>
      <w:r w:rsidRPr="00D33F15">
        <w:t xml:space="preserve"> </w:t>
      </w:r>
      <w:r w:rsidR="001E0EB5" w:rsidRPr="00D33F15">
        <w:t>CforAT Opening Briefs at 23.</w:t>
      </w:r>
    </w:p>
  </w:footnote>
  <w:footnote w:id="178">
    <w:p w14:paraId="21C5BAB3" w14:textId="6E0310BC" w:rsidR="003C640B" w:rsidRPr="00D33F15" w:rsidRDefault="003C640B">
      <w:pPr>
        <w:pStyle w:val="FootnoteText"/>
      </w:pPr>
      <w:r w:rsidRPr="00D33F15">
        <w:rPr>
          <w:rStyle w:val="FootnoteReference"/>
        </w:rPr>
        <w:footnoteRef/>
      </w:r>
      <w:r w:rsidRPr="00D33F15">
        <w:t xml:space="preserve"> </w:t>
      </w:r>
      <w:r w:rsidR="001E0EB5" w:rsidRPr="00D33F15">
        <w:t>CforAT Opening Briefs at 2</w:t>
      </w:r>
      <w:r w:rsidR="00220C44" w:rsidRPr="00D33F15">
        <w:t>1</w:t>
      </w:r>
      <w:r w:rsidR="00AD76B5" w:rsidRPr="00D33F15">
        <w:t>, citing Exhibit CforAT-01A at 7-8.</w:t>
      </w:r>
    </w:p>
  </w:footnote>
  <w:footnote w:id="179">
    <w:p w14:paraId="5F9C4FF7" w14:textId="28A0CE94" w:rsidR="006F6127" w:rsidRPr="00D33F15" w:rsidRDefault="006F6127">
      <w:pPr>
        <w:pStyle w:val="FootnoteText"/>
      </w:pPr>
      <w:r w:rsidRPr="00D33F15">
        <w:rPr>
          <w:rStyle w:val="FootnoteReference"/>
        </w:rPr>
        <w:footnoteRef/>
      </w:r>
      <w:r w:rsidRPr="00D33F15">
        <w:t xml:space="preserve"> CforAT Opening Briefs at 2</w:t>
      </w:r>
      <w:r w:rsidR="00220C44" w:rsidRPr="00D33F15">
        <w:t>1</w:t>
      </w:r>
      <w:r w:rsidR="002B00BA" w:rsidRPr="00D33F15">
        <w:t>.</w:t>
      </w:r>
    </w:p>
  </w:footnote>
  <w:footnote w:id="180">
    <w:p w14:paraId="54495BC4" w14:textId="5B30305F" w:rsidR="008552B3" w:rsidRPr="00D33F15" w:rsidRDefault="008552B3">
      <w:pPr>
        <w:pStyle w:val="FootnoteText"/>
      </w:pPr>
      <w:r w:rsidRPr="00D33F15">
        <w:rPr>
          <w:rStyle w:val="FootnoteReference"/>
        </w:rPr>
        <w:footnoteRef/>
      </w:r>
      <w:r w:rsidRPr="00D33F15">
        <w:t xml:space="preserve"> </w:t>
      </w:r>
      <w:r w:rsidR="007A7D7C" w:rsidRPr="00D33F15">
        <w:t>CforAT Opening Briefs at 21, citing Exhibit CforAT-01A at 12.</w:t>
      </w:r>
    </w:p>
  </w:footnote>
  <w:footnote w:id="181">
    <w:p w14:paraId="567ECB70" w14:textId="5D4F3141" w:rsidR="00C26FD7" w:rsidRPr="00D33F15" w:rsidRDefault="00C26FD7">
      <w:pPr>
        <w:pStyle w:val="FootnoteText"/>
      </w:pPr>
      <w:r w:rsidRPr="00D33F15">
        <w:rPr>
          <w:rStyle w:val="FootnoteReference"/>
        </w:rPr>
        <w:footnoteRef/>
      </w:r>
      <w:r w:rsidRPr="00D33F15">
        <w:t xml:space="preserve"> CforAT Open</w:t>
      </w:r>
      <w:r w:rsidR="004642C1" w:rsidRPr="00D33F15">
        <w:t>i</w:t>
      </w:r>
      <w:r w:rsidRPr="00D33F15">
        <w:t xml:space="preserve">ng Briefs at </w:t>
      </w:r>
      <w:r w:rsidR="00220C44" w:rsidRPr="00D33F15">
        <w:t>21-</w:t>
      </w:r>
      <w:r w:rsidRPr="00D33F15">
        <w:t xml:space="preserve">22, citing </w:t>
      </w:r>
      <w:r w:rsidR="002E2C04" w:rsidRPr="00D33F15">
        <w:t>D.21-11-030 Ordering Paragraph (OP) 8</w:t>
      </w:r>
      <w:r w:rsidR="004642C1" w:rsidRPr="00D33F15">
        <w:t xml:space="preserve"> and Exhibit CforAT-01A at 9</w:t>
      </w:r>
      <w:r w:rsidR="00EB4440" w:rsidRPr="00D33F15">
        <w:t>-11</w:t>
      </w:r>
      <w:r w:rsidR="004642C1" w:rsidRPr="00D33F15">
        <w:t>.</w:t>
      </w:r>
    </w:p>
  </w:footnote>
  <w:footnote w:id="182">
    <w:p w14:paraId="3D8516BA" w14:textId="1D5B051D" w:rsidR="00D41DED" w:rsidRPr="00D33F15" w:rsidRDefault="00D41DED">
      <w:pPr>
        <w:pStyle w:val="FootnoteText"/>
      </w:pPr>
      <w:r w:rsidRPr="00D33F15">
        <w:rPr>
          <w:rStyle w:val="FootnoteReference"/>
        </w:rPr>
        <w:footnoteRef/>
      </w:r>
      <w:r w:rsidRPr="00D33F15">
        <w:t xml:space="preserve"> CforAT Opening Briefs at 22.</w:t>
      </w:r>
    </w:p>
  </w:footnote>
  <w:footnote w:id="183">
    <w:p w14:paraId="496CE491" w14:textId="3895020D" w:rsidR="00DC300E" w:rsidRPr="00D33F15" w:rsidRDefault="00DC300E">
      <w:pPr>
        <w:pStyle w:val="FootnoteText"/>
      </w:pPr>
      <w:r w:rsidRPr="00D33F15">
        <w:rPr>
          <w:rStyle w:val="FootnoteReference"/>
        </w:rPr>
        <w:footnoteRef/>
      </w:r>
      <w:r w:rsidRPr="00D33F15">
        <w:t xml:space="preserve"> TURN Opening Brief at 21-22.</w:t>
      </w:r>
    </w:p>
  </w:footnote>
  <w:footnote w:id="184">
    <w:p w14:paraId="206976A3" w14:textId="5028145C" w:rsidR="00A35EA5" w:rsidRPr="00D33F15" w:rsidRDefault="00A35EA5">
      <w:pPr>
        <w:pStyle w:val="FootnoteText"/>
      </w:pPr>
      <w:r w:rsidRPr="00D33F15">
        <w:rPr>
          <w:rStyle w:val="FootnoteReference"/>
        </w:rPr>
        <w:footnoteRef/>
      </w:r>
      <w:r w:rsidRPr="00D33F15">
        <w:t xml:space="preserve"> </w:t>
      </w:r>
      <w:r w:rsidR="00B24E35" w:rsidRPr="00D33F15">
        <w:t xml:space="preserve">TURN Opening Brief at </w:t>
      </w:r>
      <w:r w:rsidR="00580E2C" w:rsidRPr="00D33F15">
        <w:t>21-22</w:t>
      </w:r>
      <w:r w:rsidR="009862A1" w:rsidRPr="00D33F15">
        <w:t>.</w:t>
      </w:r>
    </w:p>
  </w:footnote>
  <w:footnote w:id="185">
    <w:p w14:paraId="36D13228" w14:textId="4032104B" w:rsidR="009862A1" w:rsidRPr="00D33F15" w:rsidRDefault="009862A1">
      <w:pPr>
        <w:pStyle w:val="FootnoteText"/>
      </w:pPr>
      <w:r w:rsidRPr="00D33F15">
        <w:rPr>
          <w:rStyle w:val="FootnoteReference"/>
        </w:rPr>
        <w:footnoteRef/>
      </w:r>
      <w:r w:rsidRPr="00D33F15">
        <w:t xml:space="preserve"> TURN Opening Brief at </w:t>
      </w:r>
      <w:r w:rsidR="00580E2C" w:rsidRPr="00D33F15">
        <w:t>22</w:t>
      </w:r>
      <w:r w:rsidRPr="00D33F15">
        <w:t>.</w:t>
      </w:r>
    </w:p>
  </w:footnote>
  <w:footnote w:id="186">
    <w:p w14:paraId="5E6FF8AA" w14:textId="6B757349" w:rsidR="00A03796" w:rsidRPr="00D33F15" w:rsidRDefault="00A03796">
      <w:pPr>
        <w:pStyle w:val="FootnoteText"/>
        <w:rPr>
          <w:color w:val="000000" w:themeColor="text1"/>
        </w:rPr>
      </w:pPr>
      <w:r w:rsidRPr="00D33F15">
        <w:rPr>
          <w:rStyle w:val="FootnoteReference"/>
        </w:rPr>
        <w:footnoteRef/>
      </w:r>
      <w:r w:rsidRPr="00D33F15">
        <w:t xml:space="preserve"> </w:t>
      </w:r>
      <w:r w:rsidRPr="00D33F15">
        <w:rPr>
          <w:color w:val="000000" w:themeColor="text1"/>
        </w:rPr>
        <w:t>Application at 23.</w:t>
      </w:r>
    </w:p>
  </w:footnote>
  <w:footnote w:id="187">
    <w:p w14:paraId="2E5D4E85" w14:textId="648D6912" w:rsidR="00A03796" w:rsidRPr="00D33F15" w:rsidRDefault="00A03796">
      <w:pPr>
        <w:pStyle w:val="FootnoteText"/>
        <w:rPr>
          <w:color w:val="000000" w:themeColor="text1"/>
        </w:rPr>
      </w:pPr>
      <w:r w:rsidRPr="00D33F15">
        <w:rPr>
          <w:rStyle w:val="FootnoteReference"/>
          <w:color w:val="000000" w:themeColor="text1"/>
        </w:rPr>
        <w:footnoteRef/>
      </w:r>
      <w:r w:rsidRPr="00D33F15">
        <w:rPr>
          <w:color w:val="000000" w:themeColor="text1"/>
        </w:rPr>
        <w:t xml:space="preserve"> Application at 23.</w:t>
      </w:r>
    </w:p>
  </w:footnote>
  <w:footnote w:id="188">
    <w:p w14:paraId="258D6487" w14:textId="5E65EF2A" w:rsidR="003529CE" w:rsidRPr="00D33F15" w:rsidRDefault="003529CE">
      <w:pPr>
        <w:pStyle w:val="FootnoteText"/>
        <w:rPr>
          <w:color w:val="000000" w:themeColor="text1"/>
        </w:rPr>
      </w:pPr>
      <w:r w:rsidRPr="00D33F15">
        <w:rPr>
          <w:rStyle w:val="FootnoteReference"/>
          <w:color w:val="000000" w:themeColor="text1"/>
        </w:rPr>
        <w:footnoteRef/>
      </w:r>
      <w:r w:rsidRPr="00D33F15">
        <w:rPr>
          <w:color w:val="000000" w:themeColor="text1"/>
        </w:rPr>
        <w:t xml:space="preserve"> Application at 23.</w:t>
      </w:r>
    </w:p>
  </w:footnote>
  <w:footnote w:id="189">
    <w:p w14:paraId="3BD986A3" w14:textId="07950E6E" w:rsidR="003529CE" w:rsidRPr="00D33F15" w:rsidRDefault="003529CE">
      <w:pPr>
        <w:pStyle w:val="FootnoteText"/>
      </w:pPr>
      <w:r w:rsidRPr="00D33F15">
        <w:rPr>
          <w:rStyle w:val="FootnoteReference"/>
          <w:color w:val="000000" w:themeColor="text1"/>
        </w:rPr>
        <w:footnoteRef/>
      </w:r>
      <w:r w:rsidRPr="00D33F15">
        <w:rPr>
          <w:color w:val="000000" w:themeColor="text1"/>
        </w:rPr>
        <w:t xml:space="preserve"> Application at 23.</w:t>
      </w:r>
    </w:p>
  </w:footnote>
  <w:footnote w:id="190">
    <w:p w14:paraId="61B60CAA" w14:textId="589C7513" w:rsidR="00E46F66" w:rsidRPr="00D33F15" w:rsidRDefault="00E46F66">
      <w:pPr>
        <w:pStyle w:val="FootnoteText"/>
      </w:pPr>
      <w:r w:rsidRPr="00D33F15">
        <w:rPr>
          <w:rStyle w:val="FootnoteReference"/>
        </w:rPr>
        <w:footnoteRef/>
      </w:r>
      <w:r w:rsidRPr="00D33F15">
        <w:t xml:space="preserve"> CETF Opening Brief at 23.</w:t>
      </w:r>
    </w:p>
  </w:footnote>
  <w:footnote w:id="191">
    <w:p w14:paraId="601B7A84" w14:textId="76665270" w:rsidR="00F50EAF" w:rsidRPr="00D33F15" w:rsidRDefault="00F50EAF">
      <w:pPr>
        <w:pStyle w:val="FootnoteText"/>
      </w:pPr>
      <w:r w:rsidRPr="00D33F15">
        <w:rPr>
          <w:rStyle w:val="FootnoteReference"/>
        </w:rPr>
        <w:footnoteRef/>
      </w:r>
      <w:r w:rsidRPr="00D33F15">
        <w:t xml:space="preserve"> CETF Opening Brief at 23.</w:t>
      </w:r>
    </w:p>
  </w:footnote>
  <w:footnote w:id="192">
    <w:p w14:paraId="5B27DCD5" w14:textId="28CF42E8" w:rsidR="0048094C" w:rsidRPr="00D33F15" w:rsidRDefault="0048094C">
      <w:pPr>
        <w:pStyle w:val="FootnoteText"/>
      </w:pPr>
      <w:r w:rsidRPr="00D33F15">
        <w:rPr>
          <w:rStyle w:val="FootnoteReference"/>
        </w:rPr>
        <w:footnoteRef/>
      </w:r>
      <w:r w:rsidRPr="00D33F15">
        <w:t xml:space="preserve"> </w:t>
      </w:r>
      <w:r w:rsidR="00A46001" w:rsidRPr="00D33F15">
        <w:t>CforAT Opening Brief at</w:t>
      </w:r>
      <w:r w:rsidR="003B0108" w:rsidRPr="00D33F15">
        <w:t xml:space="preserve"> 23.</w:t>
      </w:r>
    </w:p>
  </w:footnote>
  <w:footnote w:id="193">
    <w:p w14:paraId="06DFC2DF" w14:textId="583CD72E" w:rsidR="00A46001" w:rsidRPr="00D33F15" w:rsidRDefault="00A46001">
      <w:pPr>
        <w:pStyle w:val="FootnoteText"/>
      </w:pPr>
      <w:r w:rsidRPr="00D33F15">
        <w:rPr>
          <w:rStyle w:val="FootnoteReference"/>
        </w:rPr>
        <w:footnoteRef/>
      </w:r>
      <w:r w:rsidRPr="00D33F15">
        <w:t xml:space="preserve"> </w:t>
      </w:r>
      <w:r w:rsidR="003B0108" w:rsidRPr="00D33F15">
        <w:t>CforAT Opening Brief at 23, citing CWA Settlement Agreement at 10.</w:t>
      </w:r>
    </w:p>
  </w:footnote>
  <w:footnote w:id="194">
    <w:p w14:paraId="28291D62" w14:textId="4B0DC4DC" w:rsidR="00DB6C7E" w:rsidRPr="00D33F15" w:rsidRDefault="00DB6C7E" w:rsidP="00DB6C7E">
      <w:pPr>
        <w:pStyle w:val="FootnoteText"/>
      </w:pPr>
      <w:r w:rsidRPr="00D33F15">
        <w:rPr>
          <w:rStyle w:val="FootnoteReference"/>
        </w:rPr>
        <w:footnoteRef/>
      </w:r>
      <w:r w:rsidRPr="00D33F15">
        <w:t xml:space="preserve"> CforAT Opening Brief at 2</w:t>
      </w:r>
      <w:r w:rsidR="007417E9" w:rsidRPr="00D33F15">
        <w:t>4</w:t>
      </w:r>
      <w:r w:rsidRPr="00D33F15">
        <w:t>.</w:t>
      </w:r>
    </w:p>
  </w:footnote>
  <w:footnote w:id="195">
    <w:p w14:paraId="3C9875C9" w14:textId="5E7B8EC0" w:rsidR="005607B2" w:rsidRPr="00D33F15" w:rsidRDefault="005607B2">
      <w:pPr>
        <w:pStyle w:val="FootnoteText"/>
      </w:pPr>
      <w:r w:rsidRPr="00D33F15">
        <w:rPr>
          <w:rStyle w:val="FootnoteReference"/>
          <w:color w:val="000000" w:themeColor="text1"/>
        </w:rPr>
        <w:footnoteRef/>
      </w:r>
      <w:r w:rsidRPr="00D33F15">
        <w:rPr>
          <w:color w:val="000000" w:themeColor="text1"/>
        </w:rPr>
        <w:t xml:space="preserve"> TURN Opening B</w:t>
      </w:r>
      <w:r w:rsidR="00F11B4A" w:rsidRPr="00D33F15">
        <w:rPr>
          <w:color w:val="000000" w:themeColor="text1"/>
        </w:rPr>
        <w:t>rief at 22-24.</w:t>
      </w:r>
      <w:r w:rsidR="008E4515" w:rsidRPr="00D33F15">
        <w:rPr>
          <w:color w:val="000000" w:themeColor="text1"/>
        </w:rPr>
        <w:t xml:space="preserve"> TURN note</w:t>
      </w:r>
      <w:r w:rsidR="00C5391B" w:rsidRPr="00D33F15">
        <w:rPr>
          <w:color w:val="000000" w:themeColor="text1"/>
        </w:rPr>
        <w:t>d</w:t>
      </w:r>
      <w:r w:rsidR="008E4515" w:rsidRPr="00D33F15">
        <w:rPr>
          <w:color w:val="000000" w:themeColor="text1"/>
        </w:rPr>
        <w:t xml:space="preserve"> that the settlement agreement with CWA provides protections for CWA union members by preventing Verizon from laying off CWA-represented employees for a period of forty-eight months.</w:t>
      </w:r>
    </w:p>
  </w:footnote>
  <w:footnote w:id="196">
    <w:p w14:paraId="59E511F2" w14:textId="2CA1E6E3" w:rsidR="00F11B4A" w:rsidRPr="00D33F15" w:rsidRDefault="00F11B4A">
      <w:pPr>
        <w:pStyle w:val="FootnoteText"/>
      </w:pPr>
      <w:r w:rsidRPr="00D33F15">
        <w:rPr>
          <w:rStyle w:val="FootnoteReference"/>
        </w:rPr>
        <w:footnoteRef/>
      </w:r>
      <w:r w:rsidRPr="00D33F15">
        <w:t xml:space="preserve"> </w:t>
      </w:r>
      <w:r w:rsidR="00BE228F" w:rsidRPr="00D33F15">
        <w:t xml:space="preserve">TURN Opening Brief at </w:t>
      </w:r>
      <w:r w:rsidR="002B50E9" w:rsidRPr="00D33F15">
        <w:t>22 citing TURN-X-02 at 1</w:t>
      </w:r>
      <w:r w:rsidR="00BE228F" w:rsidRPr="00D33F15">
        <w:t>.</w:t>
      </w:r>
    </w:p>
  </w:footnote>
  <w:footnote w:id="197">
    <w:p w14:paraId="1FE87DD6" w14:textId="1B4C8607" w:rsidR="00F11B4A" w:rsidRPr="00D33F15" w:rsidRDefault="00F11B4A">
      <w:pPr>
        <w:pStyle w:val="FootnoteText"/>
      </w:pPr>
      <w:r w:rsidRPr="00D33F15">
        <w:rPr>
          <w:rStyle w:val="FootnoteReference"/>
        </w:rPr>
        <w:footnoteRef/>
      </w:r>
      <w:r w:rsidRPr="00D33F15">
        <w:t xml:space="preserve"> </w:t>
      </w:r>
      <w:r w:rsidR="001A4747" w:rsidRPr="00D33F15">
        <w:t>TURN Opening Brief at 22 citing TURN-X-02 at 1.</w:t>
      </w:r>
    </w:p>
  </w:footnote>
  <w:footnote w:id="198">
    <w:p w14:paraId="4ACCE3D8" w14:textId="61BE86E5" w:rsidR="00F11B4A" w:rsidRPr="00D33F15" w:rsidRDefault="00F11B4A">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BE228F" w:rsidRPr="00D33F15">
        <w:rPr>
          <w:color w:val="000000" w:themeColor="text1"/>
        </w:rPr>
        <w:t xml:space="preserve">TURN Opening Brief at </w:t>
      </w:r>
      <w:r w:rsidR="001A4747" w:rsidRPr="00D33F15">
        <w:rPr>
          <w:color w:val="000000" w:themeColor="text1"/>
        </w:rPr>
        <w:t>22</w:t>
      </w:r>
      <w:r w:rsidR="00BE228F" w:rsidRPr="00D33F15">
        <w:rPr>
          <w:color w:val="000000" w:themeColor="text1"/>
        </w:rPr>
        <w:t>.</w:t>
      </w:r>
    </w:p>
  </w:footnote>
  <w:footnote w:id="199">
    <w:p w14:paraId="28006476" w14:textId="3D03AC43" w:rsidR="00CE4091" w:rsidRPr="00D33F15" w:rsidRDefault="00CE4091">
      <w:pPr>
        <w:pStyle w:val="FootnoteText"/>
        <w:rPr>
          <w:color w:val="000000" w:themeColor="text1"/>
        </w:rPr>
      </w:pPr>
      <w:r w:rsidRPr="00D33F15">
        <w:rPr>
          <w:rStyle w:val="FootnoteReference"/>
          <w:color w:val="000000" w:themeColor="text1"/>
        </w:rPr>
        <w:footnoteRef/>
      </w:r>
      <w:r w:rsidRPr="00D33F15">
        <w:rPr>
          <w:color w:val="000000" w:themeColor="text1"/>
        </w:rPr>
        <w:t xml:space="preserve"> TURN Opening Brief at </w:t>
      </w:r>
      <w:r w:rsidR="00406CD5" w:rsidRPr="00D33F15">
        <w:rPr>
          <w:color w:val="000000" w:themeColor="text1"/>
        </w:rPr>
        <w:t>22</w:t>
      </w:r>
      <w:r w:rsidRPr="00D33F15">
        <w:rPr>
          <w:color w:val="000000" w:themeColor="text1"/>
        </w:rPr>
        <w:t>.</w:t>
      </w:r>
    </w:p>
  </w:footnote>
  <w:footnote w:id="200">
    <w:p w14:paraId="4E9C3D24" w14:textId="6549DC8D" w:rsidR="008B73FC" w:rsidRPr="00D33F15" w:rsidRDefault="008B73FC">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BE228F" w:rsidRPr="00D33F15">
        <w:rPr>
          <w:color w:val="000000" w:themeColor="text1"/>
        </w:rPr>
        <w:t xml:space="preserve">TURN Opening Brief at </w:t>
      </w:r>
      <w:r w:rsidR="00406CD5" w:rsidRPr="00D33F15">
        <w:rPr>
          <w:color w:val="000000" w:themeColor="text1"/>
        </w:rPr>
        <w:t>22</w:t>
      </w:r>
      <w:r w:rsidR="00BE228F" w:rsidRPr="00D33F15">
        <w:rPr>
          <w:color w:val="000000" w:themeColor="text1"/>
        </w:rPr>
        <w:t>.</w:t>
      </w:r>
    </w:p>
  </w:footnote>
  <w:footnote w:id="201">
    <w:p w14:paraId="5D3EC3E8" w14:textId="0A4760F5" w:rsidR="001A4747" w:rsidRPr="00D33F15" w:rsidRDefault="001A4747">
      <w:pPr>
        <w:pStyle w:val="FootnoteText"/>
        <w:rPr>
          <w:color w:val="000000" w:themeColor="text1"/>
        </w:rPr>
      </w:pPr>
      <w:r w:rsidRPr="00D33F15">
        <w:rPr>
          <w:rStyle w:val="FootnoteReference"/>
          <w:color w:val="000000" w:themeColor="text1"/>
        </w:rPr>
        <w:footnoteRef/>
      </w:r>
      <w:r w:rsidRPr="00D33F15">
        <w:rPr>
          <w:color w:val="000000" w:themeColor="text1"/>
        </w:rPr>
        <w:t xml:space="preserve"> TURN Opening Brief at </w:t>
      </w:r>
      <w:r w:rsidR="008E41ED" w:rsidRPr="00D33F15">
        <w:rPr>
          <w:color w:val="000000" w:themeColor="text1"/>
        </w:rPr>
        <w:t>23</w:t>
      </w:r>
      <w:r w:rsidRPr="00D33F15">
        <w:rPr>
          <w:color w:val="000000" w:themeColor="text1"/>
        </w:rPr>
        <w:t>.</w:t>
      </w:r>
    </w:p>
  </w:footnote>
  <w:footnote w:id="202">
    <w:p w14:paraId="45A6945B" w14:textId="1778333E" w:rsidR="00FF5165" w:rsidRPr="00D33F15" w:rsidRDefault="00FF5165">
      <w:pPr>
        <w:pStyle w:val="FootnoteText"/>
      </w:pPr>
      <w:r w:rsidRPr="00D33F15">
        <w:rPr>
          <w:rStyle w:val="FootnoteReference"/>
        </w:rPr>
        <w:footnoteRef/>
      </w:r>
      <w:r w:rsidRPr="00D33F15">
        <w:t xml:space="preserve"> </w:t>
      </w:r>
      <w:r w:rsidRPr="00D33F15">
        <w:rPr>
          <w:color w:val="000000" w:themeColor="text1"/>
        </w:rPr>
        <w:t>TURN Opening Brief at 23.</w:t>
      </w:r>
    </w:p>
  </w:footnote>
  <w:footnote w:id="203">
    <w:p w14:paraId="599A4E28" w14:textId="34520A04" w:rsidR="008907F2" w:rsidRPr="00D33F15" w:rsidRDefault="008907F2">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9F3637" w:rsidRPr="00D33F15">
        <w:rPr>
          <w:color w:val="000000" w:themeColor="text1"/>
        </w:rPr>
        <w:t>TURN Opening Brief at 24.</w:t>
      </w:r>
    </w:p>
  </w:footnote>
  <w:footnote w:id="204">
    <w:p w14:paraId="650F33BA" w14:textId="51F3FADD" w:rsidR="0011637B" w:rsidRPr="00D33F15" w:rsidRDefault="0011637B">
      <w:pPr>
        <w:pStyle w:val="FootnoteText"/>
      </w:pPr>
      <w:r w:rsidRPr="00D33F15">
        <w:rPr>
          <w:rStyle w:val="FootnoteReference"/>
        </w:rPr>
        <w:footnoteRef/>
      </w:r>
      <w:r w:rsidRPr="00D33F15">
        <w:t xml:space="preserve"> </w:t>
      </w:r>
      <w:r w:rsidRPr="00D33F15">
        <w:rPr>
          <w:color w:val="000000" w:themeColor="text1"/>
        </w:rPr>
        <w:t>TURN Opening Brief at 24.</w:t>
      </w:r>
    </w:p>
  </w:footnote>
  <w:footnote w:id="205">
    <w:p w14:paraId="2086DB1C" w14:textId="67C2EC62" w:rsidR="009F3637" w:rsidRPr="00D33F15" w:rsidRDefault="009F3637">
      <w:pPr>
        <w:pStyle w:val="FootnoteText"/>
      </w:pPr>
      <w:r w:rsidRPr="00D33F15">
        <w:rPr>
          <w:rStyle w:val="FootnoteReference"/>
          <w:color w:val="000000" w:themeColor="text1"/>
        </w:rPr>
        <w:footnoteRef/>
      </w:r>
      <w:r w:rsidRPr="00D33F15">
        <w:rPr>
          <w:color w:val="000000" w:themeColor="text1"/>
        </w:rPr>
        <w:t xml:space="preserve"> TURN Opening Brief at 24.</w:t>
      </w:r>
    </w:p>
  </w:footnote>
  <w:footnote w:id="206">
    <w:p w14:paraId="57CE78F3" w14:textId="04402B42" w:rsidR="00A52623" w:rsidRPr="00D33F15" w:rsidRDefault="00A52623">
      <w:pPr>
        <w:pStyle w:val="FootnoteText"/>
      </w:pPr>
      <w:r w:rsidRPr="00D33F15">
        <w:rPr>
          <w:rStyle w:val="FootnoteReference"/>
        </w:rPr>
        <w:footnoteRef/>
      </w:r>
      <w:r w:rsidRPr="00D33F15">
        <w:t xml:space="preserve"> </w:t>
      </w:r>
      <w:r w:rsidR="002B7A86" w:rsidRPr="00D33F15">
        <w:t>Application at 23.</w:t>
      </w:r>
    </w:p>
  </w:footnote>
  <w:footnote w:id="207">
    <w:p w14:paraId="2C373B9F" w14:textId="1636BA9D" w:rsidR="00B77849" w:rsidRPr="00D33F15" w:rsidRDefault="00B77849">
      <w:pPr>
        <w:pStyle w:val="FootnoteText"/>
      </w:pPr>
      <w:r w:rsidRPr="00D33F15">
        <w:rPr>
          <w:rStyle w:val="FootnoteReference"/>
        </w:rPr>
        <w:footnoteRef/>
      </w:r>
      <w:r w:rsidRPr="00D33F15">
        <w:t xml:space="preserve"> Application at 23.</w:t>
      </w:r>
    </w:p>
  </w:footnote>
  <w:footnote w:id="208">
    <w:p w14:paraId="174BEE07" w14:textId="530C00A0" w:rsidR="00810723" w:rsidRPr="00D33F15" w:rsidRDefault="00810723">
      <w:pPr>
        <w:pStyle w:val="FootnoteText"/>
      </w:pPr>
      <w:r w:rsidRPr="00D33F15">
        <w:rPr>
          <w:rStyle w:val="FootnoteReference"/>
        </w:rPr>
        <w:footnoteRef/>
      </w:r>
      <w:r w:rsidRPr="00D33F15">
        <w:t xml:space="preserve"> CETF Opening Brief at 23-24.</w:t>
      </w:r>
    </w:p>
  </w:footnote>
  <w:footnote w:id="209">
    <w:p w14:paraId="5B0AAAF6" w14:textId="4AB7861F" w:rsidR="00B24E35" w:rsidRPr="00D33F15" w:rsidRDefault="00B24E35">
      <w:pPr>
        <w:pStyle w:val="FootnoteText"/>
        <w:rPr>
          <w:color w:val="000000" w:themeColor="text1"/>
        </w:rPr>
      </w:pPr>
      <w:r w:rsidRPr="00D33F15">
        <w:rPr>
          <w:rStyle w:val="FootnoteReference"/>
          <w:color w:val="000000" w:themeColor="text1"/>
        </w:rPr>
        <w:footnoteRef/>
      </w:r>
      <w:r w:rsidRPr="00D33F15">
        <w:rPr>
          <w:color w:val="000000" w:themeColor="text1"/>
        </w:rPr>
        <w:t xml:space="preserve"> CforAT Opening Brief at </w:t>
      </w:r>
      <w:r w:rsidR="004C688B" w:rsidRPr="00D33F15">
        <w:rPr>
          <w:color w:val="000000" w:themeColor="text1"/>
        </w:rPr>
        <w:t>24.</w:t>
      </w:r>
    </w:p>
  </w:footnote>
  <w:footnote w:id="210">
    <w:p w14:paraId="249CC713" w14:textId="677B4CFA" w:rsidR="00843B21" w:rsidRPr="00D33F15" w:rsidRDefault="00843B21">
      <w:pPr>
        <w:pStyle w:val="FootnoteText"/>
        <w:rPr>
          <w:color w:val="000000" w:themeColor="text1"/>
        </w:rPr>
      </w:pPr>
      <w:r w:rsidRPr="00D33F15">
        <w:rPr>
          <w:rStyle w:val="FootnoteReference"/>
          <w:color w:val="000000" w:themeColor="text1"/>
        </w:rPr>
        <w:footnoteRef/>
      </w:r>
      <w:r w:rsidRPr="00D33F15">
        <w:rPr>
          <w:color w:val="000000" w:themeColor="text1"/>
        </w:rPr>
        <w:t xml:space="preserve"> TURN Opening Brief at 24.</w:t>
      </w:r>
    </w:p>
  </w:footnote>
  <w:footnote w:id="211">
    <w:p w14:paraId="2566D058" w14:textId="4A3CFF9D" w:rsidR="00902554" w:rsidRPr="00D33F15" w:rsidRDefault="00902554">
      <w:pPr>
        <w:pStyle w:val="FootnoteText"/>
        <w:rPr>
          <w:color w:val="000000" w:themeColor="text1"/>
        </w:rPr>
      </w:pPr>
      <w:r w:rsidRPr="00D33F15">
        <w:rPr>
          <w:rStyle w:val="FootnoteReference"/>
          <w:color w:val="000000" w:themeColor="text1"/>
        </w:rPr>
        <w:footnoteRef/>
      </w:r>
      <w:r w:rsidRPr="00D33F15">
        <w:rPr>
          <w:color w:val="000000" w:themeColor="text1"/>
        </w:rPr>
        <w:t xml:space="preserve"> Joint Applicants Opening Brief at </w:t>
      </w:r>
      <w:r w:rsidR="002C7863" w:rsidRPr="00D33F15">
        <w:rPr>
          <w:color w:val="000000" w:themeColor="text1"/>
        </w:rPr>
        <w:t>13</w:t>
      </w:r>
      <w:r w:rsidRPr="00D33F15">
        <w:rPr>
          <w:color w:val="000000" w:themeColor="text1"/>
        </w:rPr>
        <w:t>.</w:t>
      </w:r>
    </w:p>
  </w:footnote>
  <w:footnote w:id="212">
    <w:p w14:paraId="007C9F7D" w14:textId="2127011B" w:rsidR="005E6AD0" w:rsidRPr="00D33F15" w:rsidRDefault="005E6AD0">
      <w:pPr>
        <w:pStyle w:val="FootnoteText"/>
      </w:pPr>
      <w:r w:rsidRPr="00D33F15">
        <w:rPr>
          <w:rStyle w:val="FootnoteReference"/>
          <w:color w:val="000000" w:themeColor="text1"/>
        </w:rPr>
        <w:footnoteRef/>
      </w:r>
      <w:r w:rsidRPr="00D33F15">
        <w:rPr>
          <w:color w:val="000000" w:themeColor="text1"/>
        </w:rPr>
        <w:t xml:space="preserve"> </w:t>
      </w:r>
      <w:r w:rsidR="00BB2BA9" w:rsidRPr="00D33F15">
        <w:rPr>
          <w:color w:val="000000" w:themeColor="text1"/>
        </w:rPr>
        <w:t xml:space="preserve">Joint Applicants Opening Brief at </w:t>
      </w:r>
      <w:r w:rsidR="002C7863" w:rsidRPr="00D33F15">
        <w:rPr>
          <w:color w:val="000000" w:themeColor="text1"/>
        </w:rPr>
        <w:t>13</w:t>
      </w:r>
      <w:r w:rsidR="00BB2BA9" w:rsidRPr="00D33F15">
        <w:rPr>
          <w:color w:val="000000" w:themeColor="text1"/>
        </w:rPr>
        <w:t>.</w:t>
      </w:r>
    </w:p>
  </w:footnote>
  <w:footnote w:id="213">
    <w:p w14:paraId="0C7DEF3B" w14:textId="706235D5" w:rsidR="002C7863" w:rsidRPr="00D33F15" w:rsidRDefault="002C7863">
      <w:pPr>
        <w:pStyle w:val="FootnoteText"/>
      </w:pPr>
      <w:r w:rsidRPr="00D33F15">
        <w:rPr>
          <w:rStyle w:val="FootnoteReference"/>
        </w:rPr>
        <w:footnoteRef/>
      </w:r>
      <w:r w:rsidRPr="00D33F15">
        <w:t xml:space="preserve"> </w:t>
      </w:r>
      <w:r w:rsidR="00B269EB" w:rsidRPr="00D33F15">
        <w:t>Joint Applicants Opening Brief at</w:t>
      </w:r>
      <w:r w:rsidR="0038387E" w:rsidRPr="00D33F15">
        <w:t xml:space="preserve"> 13.</w:t>
      </w:r>
    </w:p>
  </w:footnote>
  <w:footnote w:id="214">
    <w:p w14:paraId="0CF1F501" w14:textId="02B82218" w:rsidR="005E6AD0" w:rsidRPr="00D33F15" w:rsidRDefault="005E6AD0">
      <w:pPr>
        <w:pStyle w:val="FootnoteText"/>
      </w:pPr>
      <w:r w:rsidRPr="00D33F15">
        <w:rPr>
          <w:rStyle w:val="FootnoteReference"/>
        </w:rPr>
        <w:footnoteRef/>
      </w:r>
      <w:r w:rsidRPr="00D33F15">
        <w:t xml:space="preserve"> </w:t>
      </w:r>
      <w:r w:rsidR="00BB2BA9" w:rsidRPr="00D33F15">
        <w:t xml:space="preserve">Joint Applicants Opening Brief at </w:t>
      </w:r>
      <w:r w:rsidR="0038387E" w:rsidRPr="00D33F15">
        <w:t>13</w:t>
      </w:r>
      <w:r w:rsidR="00BB2BA9" w:rsidRPr="00D33F15">
        <w:t>.</w:t>
      </w:r>
    </w:p>
  </w:footnote>
  <w:footnote w:id="215">
    <w:p w14:paraId="312D5367" w14:textId="6D00B3FB" w:rsidR="00B671C7" w:rsidRPr="00D33F15" w:rsidRDefault="00B671C7">
      <w:pPr>
        <w:pStyle w:val="FootnoteText"/>
      </w:pPr>
      <w:r w:rsidRPr="00D33F15">
        <w:rPr>
          <w:rStyle w:val="FootnoteReference"/>
        </w:rPr>
        <w:footnoteRef/>
      </w:r>
      <w:r w:rsidRPr="00D33F15">
        <w:t xml:space="preserve"> </w:t>
      </w:r>
      <w:r w:rsidR="00BB2BA9" w:rsidRPr="00D33F15">
        <w:t xml:space="preserve">Joint Applicants Opening Brief at </w:t>
      </w:r>
      <w:r w:rsidR="0038387E" w:rsidRPr="00D33F15">
        <w:t>13-14</w:t>
      </w:r>
      <w:r w:rsidR="00BB2BA9" w:rsidRPr="00D33F15">
        <w:t>.</w:t>
      </w:r>
    </w:p>
  </w:footnote>
  <w:footnote w:id="216">
    <w:p w14:paraId="2D1226C4" w14:textId="4F05860B" w:rsidR="00B671C7" w:rsidRPr="00D33F15" w:rsidRDefault="00B671C7">
      <w:pPr>
        <w:pStyle w:val="FootnoteText"/>
      </w:pPr>
      <w:r w:rsidRPr="00D33F15">
        <w:rPr>
          <w:rStyle w:val="FootnoteReference"/>
        </w:rPr>
        <w:footnoteRef/>
      </w:r>
      <w:r w:rsidRPr="00D33F15">
        <w:t xml:space="preserve"> </w:t>
      </w:r>
      <w:r w:rsidR="00BB2BA9" w:rsidRPr="00D33F15">
        <w:t xml:space="preserve">Joint Applicants Opening Brief at </w:t>
      </w:r>
      <w:r w:rsidR="0038387E" w:rsidRPr="00D33F15">
        <w:t>14</w:t>
      </w:r>
      <w:r w:rsidR="00BB2BA9" w:rsidRPr="00D33F15">
        <w:t>.</w:t>
      </w:r>
    </w:p>
  </w:footnote>
  <w:footnote w:id="217">
    <w:p w14:paraId="1655FFEA" w14:textId="21F42718" w:rsidR="00BB2BA9" w:rsidRPr="00D33F15" w:rsidRDefault="00BB2BA9">
      <w:pPr>
        <w:pStyle w:val="FootnoteText"/>
      </w:pPr>
      <w:r w:rsidRPr="00D33F15">
        <w:rPr>
          <w:rStyle w:val="FootnoteReference"/>
        </w:rPr>
        <w:footnoteRef/>
      </w:r>
      <w:r w:rsidRPr="00D33F15">
        <w:t xml:space="preserve"> Joint Applicants Opening Brief at </w:t>
      </w:r>
      <w:r w:rsidR="0038387E" w:rsidRPr="00D33F15">
        <w:t>14</w:t>
      </w:r>
      <w:r w:rsidRPr="00D33F15">
        <w:t>.</w:t>
      </w:r>
    </w:p>
  </w:footnote>
  <w:footnote w:id="218">
    <w:p w14:paraId="7576709B" w14:textId="34C42D8F" w:rsidR="00F505F9" w:rsidRPr="00D33F15" w:rsidRDefault="00F505F9">
      <w:pPr>
        <w:pStyle w:val="FootnoteText"/>
      </w:pPr>
      <w:r w:rsidRPr="00D33F15">
        <w:rPr>
          <w:rStyle w:val="FootnoteReference"/>
        </w:rPr>
        <w:footnoteRef/>
      </w:r>
      <w:r w:rsidRPr="00D33F15">
        <w:t xml:space="preserve"> </w:t>
      </w:r>
      <w:r w:rsidR="007225E1" w:rsidRPr="00D33F15">
        <w:t>CETF Opening Brief at 24</w:t>
      </w:r>
      <w:r w:rsidR="00556B75" w:rsidRPr="00D33F15">
        <w:t>-25</w:t>
      </w:r>
      <w:r w:rsidR="007225E1" w:rsidRPr="00D33F15">
        <w:t>.</w:t>
      </w:r>
    </w:p>
  </w:footnote>
  <w:footnote w:id="219">
    <w:p w14:paraId="09D61892" w14:textId="38B60F0C" w:rsidR="009B2F50" w:rsidRPr="00D33F15" w:rsidRDefault="009B2F50">
      <w:pPr>
        <w:pStyle w:val="FootnoteText"/>
      </w:pPr>
      <w:r w:rsidRPr="00D33F15">
        <w:rPr>
          <w:rStyle w:val="FootnoteReference"/>
        </w:rPr>
        <w:footnoteRef/>
      </w:r>
      <w:r w:rsidRPr="00D33F15">
        <w:t xml:space="preserve"> CforAT Opening Brief at 24.</w:t>
      </w:r>
    </w:p>
  </w:footnote>
  <w:footnote w:id="220">
    <w:p w14:paraId="18EBB7D8" w14:textId="4A570149" w:rsidR="00B24E35" w:rsidRPr="00D33F15" w:rsidRDefault="00B24E35">
      <w:pPr>
        <w:pStyle w:val="FootnoteText"/>
      </w:pPr>
      <w:r w:rsidRPr="00D33F15">
        <w:rPr>
          <w:rStyle w:val="FootnoteReference"/>
        </w:rPr>
        <w:footnoteRef/>
      </w:r>
      <w:r w:rsidRPr="00D33F15">
        <w:t xml:space="preserve"> TURN Opening Brief at </w:t>
      </w:r>
      <w:r w:rsidR="009E19B8" w:rsidRPr="00D33F15">
        <w:t>24</w:t>
      </w:r>
      <w:r w:rsidRPr="00D33F15">
        <w:t>.</w:t>
      </w:r>
    </w:p>
  </w:footnote>
  <w:footnote w:id="221">
    <w:p w14:paraId="50432671" w14:textId="6E666396" w:rsidR="00E645B9" w:rsidRPr="00D33F15" w:rsidRDefault="00E645B9">
      <w:pPr>
        <w:pStyle w:val="FootnoteText"/>
      </w:pPr>
      <w:r w:rsidRPr="00D33F15">
        <w:rPr>
          <w:rStyle w:val="FootnoteReference"/>
        </w:rPr>
        <w:footnoteRef/>
      </w:r>
      <w:r w:rsidRPr="00D33F15">
        <w:t xml:space="preserve"> TURN Opening Brief at </w:t>
      </w:r>
      <w:r w:rsidR="009E19B8" w:rsidRPr="00D33F15">
        <w:t>24</w:t>
      </w:r>
      <w:r w:rsidRPr="00D33F15">
        <w:t>, referring to CETF settlement claims the transaction would be in the public interest regarding state and local economies and communities because the CETF MOU would require a consultation process with the Regional Broadband Consortia (RBCs) and Municipal Planning Organizations (MPOs), would fund CETF’s Digital Equity Ecosystem, and deploy broadband to the Antelope Valley Fairgrounds.</w:t>
      </w:r>
    </w:p>
  </w:footnote>
  <w:footnote w:id="222">
    <w:p w14:paraId="4E0B113C" w14:textId="05634935" w:rsidR="00635471" w:rsidRPr="00D33F15" w:rsidRDefault="00635471">
      <w:pPr>
        <w:pStyle w:val="FootnoteText"/>
      </w:pPr>
      <w:r w:rsidRPr="00D33F15">
        <w:rPr>
          <w:rStyle w:val="FootnoteReference"/>
        </w:rPr>
        <w:footnoteRef/>
      </w:r>
      <w:r w:rsidRPr="00D33F15">
        <w:t xml:space="preserve"> TURN Opening Brief at </w:t>
      </w:r>
      <w:r w:rsidR="009E19B8" w:rsidRPr="00D33F15">
        <w:t>24-25</w:t>
      </w:r>
      <w:r w:rsidRPr="00D33F15">
        <w:t>.</w:t>
      </w:r>
    </w:p>
  </w:footnote>
  <w:footnote w:id="223">
    <w:p w14:paraId="611ECDC8" w14:textId="5AE72910" w:rsidR="00187004" w:rsidRPr="00D33F15" w:rsidRDefault="00187004">
      <w:pPr>
        <w:pStyle w:val="FootnoteText"/>
        <w:rPr>
          <w:color w:val="000000" w:themeColor="text1"/>
        </w:rPr>
      </w:pPr>
      <w:r w:rsidRPr="00D33F15">
        <w:rPr>
          <w:rStyle w:val="FootnoteReference"/>
          <w:color w:val="000000" w:themeColor="text1"/>
        </w:rPr>
        <w:footnoteRef/>
      </w:r>
      <w:r w:rsidRPr="00D33F15">
        <w:rPr>
          <w:color w:val="000000" w:themeColor="text1"/>
        </w:rPr>
        <w:t xml:space="preserve"> Frontier California, CTC California, and Frontier Southwest.</w:t>
      </w:r>
    </w:p>
  </w:footnote>
  <w:footnote w:id="224">
    <w:p w14:paraId="36907466" w14:textId="5BF65DB2" w:rsidR="00DB7400" w:rsidRPr="00D33F15" w:rsidRDefault="00DB7400">
      <w:pPr>
        <w:pStyle w:val="FootnoteText"/>
        <w:rPr>
          <w:color w:val="000000" w:themeColor="text1"/>
        </w:rPr>
      </w:pPr>
      <w:r w:rsidRPr="00D33F15">
        <w:rPr>
          <w:rStyle w:val="FootnoteReference"/>
          <w:color w:val="000000" w:themeColor="text1"/>
        </w:rPr>
        <w:footnoteRef/>
      </w:r>
      <w:r w:rsidRPr="00D33F15">
        <w:rPr>
          <w:color w:val="000000" w:themeColor="text1"/>
        </w:rPr>
        <w:t xml:space="preserve"> Pursuant to D.06-08-030.</w:t>
      </w:r>
    </w:p>
  </w:footnote>
  <w:footnote w:id="225">
    <w:p w14:paraId="00B66298" w14:textId="06D93274" w:rsidR="00187004" w:rsidRPr="00D33F15" w:rsidRDefault="00187004">
      <w:pPr>
        <w:pStyle w:val="FootnoteText"/>
      </w:pPr>
      <w:r w:rsidRPr="00D33F15">
        <w:rPr>
          <w:rStyle w:val="FootnoteReference"/>
          <w:color w:val="000000" w:themeColor="text1"/>
        </w:rPr>
        <w:footnoteRef/>
      </w:r>
      <w:r w:rsidRPr="00D33F15">
        <w:rPr>
          <w:color w:val="000000" w:themeColor="text1"/>
        </w:rPr>
        <w:t xml:space="preserve"> </w:t>
      </w:r>
      <w:r w:rsidR="00A86AA1" w:rsidRPr="00D33F15">
        <w:rPr>
          <w:color w:val="000000" w:themeColor="text1"/>
        </w:rPr>
        <w:t>Application at 8</w:t>
      </w:r>
      <w:r w:rsidR="00081B27" w:rsidRPr="00D33F15">
        <w:rPr>
          <w:color w:val="000000" w:themeColor="text1"/>
        </w:rPr>
        <w:t>.</w:t>
      </w:r>
    </w:p>
  </w:footnote>
  <w:footnote w:id="226">
    <w:p w14:paraId="61BE96F7" w14:textId="38E27038" w:rsidR="0021159F" w:rsidRPr="00D33F15" w:rsidRDefault="0021159F">
      <w:pPr>
        <w:pStyle w:val="FootnoteText"/>
      </w:pPr>
      <w:r w:rsidRPr="00D33F15">
        <w:rPr>
          <w:rStyle w:val="FootnoteReference"/>
          <w:color w:val="000000" w:themeColor="text1"/>
        </w:rPr>
        <w:footnoteRef/>
      </w:r>
      <w:r w:rsidRPr="00D33F15">
        <w:rPr>
          <w:color w:val="000000" w:themeColor="text1"/>
        </w:rPr>
        <w:t xml:space="preserve"> Frontier America and Frontier LD.</w:t>
      </w:r>
    </w:p>
  </w:footnote>
  <w:footnote w:id="227">
    <w:p w14:paraId="6B938C47" w14:textId="72BC97EC" w:rsidR="007A4D26" w:rsidRPr="00D33F15" w:rsidRDefault="007A4D26">
      <w:pPr>
        <w:pStyle w:val="FootnoteText"/>
      </w:pPr>
      <w:r w:rsidRPr="00D33F15">
        <w:rPr>
          <w:rStyle w:val="FootnoteReference"/>
          <w:color w:val="000000" w:themeColor="text1"/>
        </w:rPr>
        <w:footnoteRef/>
      </w:r>
      <w:r w:rsidRPr="00D33F15">
        <w:rPr>
          <w:color w:val="000000" w:themeColor="text1"/>
        </w:rPr>
        <w:t xml:space="preserve"> Including CASF (and its FFA component), the California High-Cost Fund-B, the California Teleconnect Fund, the California </w:t>
      </w:r>
      <w:r w:rsidR="000B2A80" w:rsidRPr="00D33F15">
        <w:rPr>
          <w:color w:val="000000" w:themeColor="text1"/>
        </w:rPr>
        <w:t>Lifeline</w:t>
      </w:r>
      <w:r w:rsidRPr="00D33F15">
        <w:rPr>
          <w:color w:val="000000" w:themeColor="text1"/>
        </w:rPr>
        <w:t xml:space="preserve"> Program, and the California Deaf </w:t>
      </w:r>
      <w:r w:rsidR="006C54E9" w:rsidRPr="00D33F15">
        <w:rPr>
          <w:color w:val="000000" w:themeColor="text1"/>
        </w:rPr>
        <w:t xml:space="preserve">and </w:t>
      </w:r>
      <w:r w:rsidRPr="00D33F15">
        <w:rPr>
          <w:color w:val="000000" w:themeColor="text1"/>
        </w:rPr>
        <w:t>Disabled Telecommunications Program.</w:t>
      </w:r>
    </w:p>
  </w:footnote>
  <w:footnote w:id="228">
    <w:p w14:paraId="351A1F1A" w14:textId="24EFF76C" w:rsidR="00812C49" w:rsidRPr="00D33F15" w:rsidRDefault="00812C49">
      <w:pPr>
        <w:pStyle w:val="FootnoteText"/>
      </w:pPr>
      <w:r w:rsidRPr="00D33F15">
        <w:rPr>
          <w:rStyle w:val="FootnoteReference"/>
        </w:rPr>
        <w:footnoteRef/>
      </w:r>
      <w:r w:rsidRPr="00D33F15">
        <w:t xml:space="preserve"> </w:t>
      </w:r>
      <w:r w:rsidR="00186EC3" w:rsidRPr="00D33F15">
        <w:rPr>
          <w:color w:val="000000" w:themeColor="text1"/>
        </w:rPr>
        <w:t>Application at 8.</w:t>
      </w:r>
    </w:p>
  </w:footnote>
  <w:footnote w:id="229">
    <w:p w14:paraId="1674CF29" w14:textId="5A61A4FD" w:rsidR="007C26C9" w:rsidRPr="00D33F15" w:rsidRDefault="007C26C9">
      <w:pPr>
        <w:pStyle w:val="FootnoteText"/>
      </w:pPr>
      <w:r w:rsidRPr="00D33F15">
        <w:rPr>
          <w:rStyle w:val="FootnoteReference"/>
        </w:rPr>
        <w:footnoteRef/>
      </w:r>
      <w:r w:rsidRPr="00D33F15">
        <w:t xml:space="preserve"> </w:t>
      </w:r>
      <w:r w:rsidR="002A6E01" w:rsidRPr="00D33F15">
        <w:t xml:space="preserve">Application at </w:t>
      </w:r>
      <w:r w:rsidR="00DD2707" w:rsidRPr="00D33F15">
        <w:t>27</w:t>
      </w:r>
      <w:r w:rsidR="002A6E01" w:rsidRPr="00D33F15">
        <w:t xml:space="preserve">.  </w:t>
      </w:r>
      <w:r w:rsidR="002A6E01" w:rsidRPr="00D33F15">
        <w:rPr>
          <w:i/>
          <w:iCs/>
        </w:rPr>
        <w:t>See</w:t>
      </w:r>
      <w:r w:rsidR="002A6E01" w:rsidRPr="00D33F15">
        <w:t xml:space="preserve"> D.15-12-005.</w:t>
      </w:r>
    </w:p>
  </w:footnote>
  <w:footnote w:id="230">
    <w:p w14:paraId="7149AFE4" w14:textId="186C8384" w:rsidR="00DD2707" w:rsidRPr="00D33F15" w:rsidRDefault="00DD2707">
      <w:pPr>
        <w:pStyle w:val="FootnoteText"/>
      </w:pPr>
      <w:r w:rsidRPr="00D33F15">
        <w:rPr>
          <w:rStyle w:val="FootnoteReference"/>
        </w:rPr>
        <w:footnoteRef/>
      </w:r>
      <w:r w:rsidRPr="00D33F15">
        <w:t xml:space="preserve"> Application at 27.  </w:t>
      </w:r>
      <w:r w:rsidRPr="00D33F15">
        <w:rPr>
          <w:i/>
          <w:iCs/>
        </w:rPr>
        <w:t>See</w:t>
      </w:r>
      <w:r w:rsidRPr="00D33F15">
        <w:t xml:space="preserve"> D.21-04-008.</w:t>
      </w:r>
    </w:p>
  </w:footnote>
  <w:footnote w:id="231">
    <w:p w14:paraId="676D1846" w14:textId="2C7F08A4" w:rsidR="009311E8" w:rsidRPr="00D33F15" w:rsidRDefault="009311E8">
      <w:pPr>
        <w:pStyle w:val="FootnoteText"/>
      </w:pPr>
      <w:r w:rsidRPr="00D33F15">
        <w:rPr>
          <w:rStyle w:val="FootnoteReference"/>
        </w:rPr>
        <w:footnoteRef/>
      </w:r>
      <w:r w:rsidRPr="00D33F15">
        <w:t xml:space="preserve"> CETF Opening Brief at 25.</w:t>
      </w:r>
    </w:p>
  </w:footnote>
  <w:footnote w:id="232">
    <w:p w14:paraId="48FA1973" w14:textId="50A8792E" w:rsidR="00A837C9" w:rsidRPr="00D33F15" w:rsidRDefault="00A837C9">
      <w:pPr>
        <w:pStyle w:val="FootnoteText"/>
      </w:pPr>
      <w:r w:rsidRPr="00D33F15">
        <w:rPr>
          <w:rStyle w:val="FootnoteReference"/>
        </w:rPr>
        <w:footnoteRef/>
      </w:r>
      <w:r w:rsidRPr="00D33F15">
        <w:t xml:space="preserve"> CETF Opening Brief at </w:t>
      </w:r>
      <w:r w:rsidR="00BE6B56" w:rsidRPr="00D33F15">
        <w:t>25.</w:t>
      </w:r>
    </w:p>
  </w:footnote>
  <w:footnote w:id="233">
    <w:p w14:paraId="5C61D6EF" w14:textId="63768DF3" w:rsidR="001845B3" w:rsidRPr="00D33F15" w:rsidRDefault="001845B3">
      <w:pPr>
        <w:pStyle w:val="FootnoteText"/>
      </w:pPr>
      <w:r w:rsidRPr="00D33F15">
        <w:rPr>
          <w:rStyle w:val="FootnoteReference"/>
        </w:rPr>
        <w:footnoteRef/>
      </w:r>
      <w:r w:rsidRPr="00D33F15">
        <w:t xml:space="preserve"> </w:t>
      </w:r>
      <w:r w:rsidR="007A0BD2" w:rsidRPr="00D33F15">
        <w:t xml:space="preserve">CforAT Opening Brief at </w:t>
      </w:r>
      <w:r w:rsidR="00DE13BA" w:rsidRPr="00D33F15">
        <w:t>24-</w:t>
      </w:r>
      <w:r w:rsidR="007A0BD2" w:rsidRPr="00D33F15">
        <w:t>25.</w:t>
      </w:r>
    </w:p>
  </w:footnote>
  <w:footnote w:id="234">
    <w:p w14:paraId="7E6A8367" w14:textId="4B59DFBF" w:rsidR="007A0BD2" w:rsidRPr="00D33F15" w:rsidRDefault="007A0BD2">
      <w:pPr>
        <w:pStyle w:val="FootnoteText"/>
      </w:pPr>
      <w:r w:rsidRPr="00D33F15">
        <w:rPr>
          <w:rStyle w:val="FootnoteReference"/>
        </w:rPr>
        <w:footnoteRef/>
      </w:r>
      <w:r w:rsidRPr="00D33F15">
        <w:t xml:space="preserve"> </w:t>
      </w:r>
      <w:r w:rsidR="00DE13BA" w:rsidRPr="00D33F15">
        <w:t>CforAT Opening Brief at 25</w:t>
      </w:r>
      <w:r w:rsidR="009D6D49" w:rsidRPr="00D33F15">
        <w:t>-26</w:t>
      </w:r>
      <w:r w:rsidR="00DE13BA" w:rsidRPr="00D33F15">
        <w:t>.</w:t>
      </w:r>
    </w:p>
  </w:footnote>
  <w:footnote w:id="235">
    <w:p w14:paraId="630A0C10" w14:textId="7C51D2E6" w:rsidR="007A0BD2" w:rsidRPr="00D33F15" w:rsidRDefault="007A0BD2">
      <w:pPr>
        <w:pStyle w:val="FootnoteText"/>
      </w:pPr>
      <w:r w:rsidRPr="00D33F15">
        <w:rPr>
          <w:rStyle w:val="FootnoteReference"/>
        </w:rPr>
        <w:footnoteRef/>
      </w:r>
      <w:r w:rsidRPr="00D33F15">
        <w:t xml:space="preserve"> </w:t>
      </w:r>
      <w:r w:rsidR="00DE13BA" w:rsidRPr="00D33F15">
        <w:t>CforAT Opening Brief at 25</w:t>
      </w:r>
      <w:r w:rsidR="0079649F" w:rsidRPr="00D33F15">
        <w:t>-26</w:t>
      </w:r>
      <w:r w:rsidR="00DE13BA" w:rsidRPr="00D33F15">
        <w:t>.</w:t>
      </w:r>
    </w:p>
  </w:footnote>
  <w:footnote w:id="236">
    <w:p w14:paraId="324CF94B" w14:textId="67F76F2B" w:rsidR="00771A87" w:rsidRPr="00D33F15" w:rsidRDefault="00771A87">
      <w:pPr>
        <w:pStyle w:val="FootnoteText"/>
      </w:pPr>
      <w:r w:rsidRPr="00D33F15">
        <w:rPr>
          <w:rStyle w:val="FootnoteReference"/>
        </w:rPr>
        <w:footnoteRef/>
      </w:r>
      <w:r w:rsidRPr="00D33F15">
        <w:t xml:space="preserve"> TURN Opening Brief at 25.</w:t>
      </w:r>
    </w:p>
  </w:footnote>
  <w:footnote w:id="237">
    <w:p w14:paraId="2D76EE27" w14:textId="32C0CA58" w:rsidR="000E660E" w:rsidRPr="00D33F15" w:rsidRDefault="000E660E">
      <w:pPr>
        <w:pStyle w:val="FootnoteText"/>
      </w:pPr>
      <w:r w:rsidRPr="00D33F15">
        <w:rPr>
          <w:rStyle w:val="FootnoteReference"/>
          <w:color w:val="000000" w:themeColor="text1"/>
        </w:rPr>
        <w:footnoteRef/>
      </w:r>
      <w:r w:rsidRPr="00D33F15">
        <w:rPr>
          <w:color w:val="000000" w:themeColor="text1"/>
        </w:rPr>
        <w:t xml:space="preserve"> Application at </w:t>
      </w:r>
      <w:r w:rsidR="006418E8" w:rsidRPr="00D33F15">
        <w:rPr>
          <w:color w:val="000000" w:themeColor="text1"/>
        </w:rPr>
        <w:t>27</w:t>
      </w:r>
      <w:r w:rsidR="0023276E" w:rsidRPr="00D33F15">
        <w:rPr>
          <w:color w:val="000000" w:themeColor="text1"/>
        </w:rPr>
        <w:t xml:space="preserve">, Exhibit </w:t>
      </w:r>
      <w:r w:rsidR="002C09EE" w:rsidRPr="00D33F15">
        <w:rPr>
          <w:color w:val="000000" w:themeColor="text1"/>
        </w:rPr>
        <w:t xml:space="preserve">JA-02 </w:t>
      </w:r>
      <w:r w:rsidR="0023276E" w:rsidRPr="00D33F15">
        <w:rPr>
          <w:color w:val="000000" w:themeColor="text1"/>
        </w:rPr>
        <w:t>at 24</w:t>
      </w:r>
      <w:r w:rsidR="006418E8" w:rsidRPr="00D33F15">
        <w:rPr>
          <w:color w:val="000000" w:themeColor="text1"/>
        </w:rPr>
        <w:t>.</w:t>
      </w:r>
    </w:p>
  </w:footnote>
  <w:footnote w:id="238">
    <w:p w14:paraId="4B90FEEE" w14:textId="7E5A4836" w:rsidR="008724D6" w:rsidRPr="00D33F15" w:rsidRDefault="008724D6">
      <w:pPr>
        <w:pStyle w:val="FootnoteText"/>
      </w:pPr>
      <w:r w:rsidRPr="00D33F15">
        <w:rPr>
          <w:rStyle w:val="FootnoteReference"/>
        </w:rPr>
        <w:footnoteRef/>
      </w:r>
      <w:r w:rsidRPr="00D33F15">
        <w:t xml:space="preserve"> CETF Opening Brief at 25.</w:t>
      </w:r>
    </w:p>
  </w:footnote>
  <w:footnote w:id="239">
    <w:p w14:paraId="5A788249" w14:textId="1D1026C3" w:rsidR="0058248A" w:rsidRPr="00D33F15" w:rsidRDefault="0058248A">
      <w:pPr>
        <w:pStyle w:val="FootnoteText"/>
      </w:pPr>
      <w:r w:rsidRPr="00D33F15">
        <w:rPr>
          <w:rStyle w:val="FootnoteReference"/>
        </w:rPr>
        <w:footnoteRef/>
      </w:r>
      <w:r w:rsidRPr="00D33F15">
        <w:t xml:space="preserve"> CETF Opening Brief at 25.</w:t>
      </w:r>
    </w:p>
  </w:footnote>
  <w:footnote w:id="240">
    <w:p w14:paraId="67585530" w14:textId="5FE0C920" w:rsidR="008B4388" w:rsidRPr="00D33F15" w:rsidRDefault="008B4388">
      <w:pPr>
        <w:pStyle w:val="FootnoteText"/>
      </w:pPr>
      <w:r w:rsidRPr="00D33F15">
        <w:rPr>
          <w:rStyle w:val="FootnoteReference"/>
        </w:rPr>
        <w:footnoteRef/>
      </w:r>
      <w:r w:rsidRPr="00D33F15">
        <w:t xml:space="preserve"> CETF Opening Brief at 26.</w:t>
      </w:r>
    </w:p>
  </w:footnote>
  <w:footnote w:id="241">
    <w:p w14:paraId="54A01BA5" w14:textId="3A7DA3E1" w:rsidR="00F55200" w:rsidRPr="00D33F15" w:rsidRDefault="00F55200">
      <w:pPr>
        <w:pStyle w:val="FootnoteText"/>
      </w:pPr>
      <w:r w:rsidRPr="00D33F15">
        <w:rPr>
          <w:rStyle w:val="FootnoteReference"/>
        </w:rPr>
        <w:footnoteRef/>
      </w:r>
      <w:r w:rsidRPr="00D33F15">
        <w:t xml:space="preserve"> CETF Opening Brief at 26.</w:t>
      </w:r>
    </w:p>
  </w:footnote>
  <w:footnote w:id="242">
    <w:p w14:paraId="7C1AA063" w14:textId="4A10CB78" w:rsidR="00E87EBC" w:rsidRPr="00D33F15" w:rsidRDefault="00E87EBC">
      <w:pPr>
        <w:pStyle w:val="FootnoteText"/>
      </w:pPr>
      <w:r w:rsidRPr="00D33F15">
        <w:rPr>
          <w:rStyle w:val="FootnoteReference"/>
        </w:rPr>
        <w:footnoteRef/>
      </w:r>
      <w:r w:rsidRPr="00D33F15">
        <w:t xml:space="preserve"> CETF Opening Brief at </w:t>
      </w:r>
      <w:r w:rsidR="002F4099" w:rsidRPr="00D33F15">
        <w:t>26-</w:t>
      </w:r>
      <w:r w:rsidRPr="00D33F15">
        <w:t>2</w:t>
      </w:r>
      <w:r w:rsidR="003C4E36" w:rsidRPr="00D33F15">
        <w:t>7</w:t>
      </w:r>
      <w:r w:rsidRPr="00D33F15">
        <w:t>.</w:t>
      </w:r>
    </w:p>
  </w:footnote>
  <w:footnote w:id="243">
    <w:p w14:paraId="764AEB52" w14:textId="0838A340" w:rsidR="002F4099" w:rsidRPr="00D33F15" w:rsidRDefault="002F4099">
      <w:pPr>
        <w:pStyle w:val="FootnoteText"/>
      </w:pPr>
      <w:r w:rsidRPr="00D33F15">
        <w:rPr>
          <w:rStyle w:val="FootnoteReference"/>
        </w:rPr>
        <w:footnoteRef/>
      </w:r>
      <w:r w:rsidRPr="00D33F15">
        <w:t xml:space="preserve"> CETF Opening Brief at 2</w:t>
      </w:r>
      <w:r w:rsidR="00E34669" w:rsidRPr="00D33F15">
        <w:t>8</w:t>
      </w:r>
      <w:r w:rsidRPr="00D33F15">
        <w:t>.</w:t>
      </w:r>
    </w:p>
  </w:footnote>
  <w:footnote w:id="244">
    <w:p w14:paraId="2E45ADAA" w14:textId="3D3CD0C9" w:rsidR="00C25147" w:rsidRPr="00D33F15" w:rsidRDefault="00C25147">
      <w:pPr>
        <w:pStyle w:val="FootnoteText"/>
      </w:pPr>
      <w:r w:rsidRPr="00D33F15">
        <w:rPr>
          <w:rStyle w:val="FootnoteReference"/>
        </w:rPr>
        <w:footnoteRef/>
      </w:r>
      <w:r w:rsidRPr="00D33F15">
        <w:t xml:space="preserve"> CforAT Opening Brief at </w:t>
      </w:r>
      <w:r w:rsidR="009A7467" w:rsidRPr="00D33F15">
        <w:t>26.</w:t>
      </w:r>
    </w:p>
  </w:footnote>
  <w:footnote w:id="245">
    <w:p w14:paraId="7D818A49" w14:textId="5BA0A73E" w:rsidR="00083409" w:rsidRPr="00D33F15" w:rsidRDefault="00083409">
      <w:pPr>
        <w:pStyle w:val="FootnoteText"/>
      </w:pPr>
      <w:r w:rsidRPr="00D33F15">
        <w:rPr>
          <w:rStyle w:val="FootnoteReference"/>
        </w:rPr>
        <w:footnoteRef/>
      </w:r>
      <w:r w:rsidRPr="00D33F15">
        <w:t xml:space="preserve"> CforAT Opening Brief at 26-27.</w:t>
      </w:r>
    </w:p>
  </w:footnote>
  <w:footnote w:id="246">
    <w:p w14:paraId="457F22A3" w14:textId="105E735B" w:rsidR="00436A58" w:rsidRPr="00D33F15" w:rsidRDefault="00436A58">
      <w:pPr>
        <w:pStyle w:val="FootnoteText"/>
      </w:pPr>
      <w:r w:rsidRPr="00D33F15">
        <w:rPr>
          <w:rStyle w:val="FootnoteReference"/>
        </w:rPr>
        <w:footnoteRef/>
      </w:r>
      <w:r w:rsidRPr="00D33F15">
        <w:t xml:space="preserve"> CforAT Opening Brief at 41-47.</w:t>
      </w:r>
      <w:r w:rsidR="00540116" w:rsidRPr="00D33F15">
        <w:t xml:space="preserve">  We edited these proposed mitigation measures for clarity and brevity.</w:t>
      </w:r>
    </w:p>
  </w:footnote>
  <w:footnote w:id="247">
    <w:p w14:paraId="225DECC5" w14:textId="47F8E8EF" w:rsidR="00FC4E36" w:rsidRPr="00D33F15" w:rsidRDefault="00FC4E36">
      <w:pPr>
        <w:pStyle w:val="FootnoteText"/>
      </w:pPr>
      <w:r w:rsidRPr="00D33F15">
        <w:rPr>
          <w:rStyle w:val="FootnoteReference"/>
        </w:rPr>
        <w:footnoteRef/>
      </w:r>
      <w:r w:rsidRPr="00D33F15">
        <w:t xml:space="preserve"> </w:t>
      </w:r>
      <w:r w:rsidR="00294983" w:rsidRPr="00D33F15">
        <w:t>TURN Opening Brief at 25-29</w:t>
      </w:r>
      <w:r w:rsidR="006A4BCD" w:rsidRPr="00D33F15">
        <w:t>.</w:t>
      </w:r>
      <w:r w:rsidR="00D32942" w:rsidRPr="00D33F15">
        <w:t xml:space="preserve"> </w:t>
      </w:r>
      <w:r w:rsidR="00E62C34" w:rsidRPr="00D33F15">
        <w:t xml:space="preserve"> </w:t>
      </w:r>
    </w:p>
  </w:footnote>
  <w:footnote w:id="248">
    <w:p w14:paraId="6D5267C4" w14:textId="08707A16" w:rsidR="006F614B" w:rsidRPr="0098055C" w:rsidRDefault="006F614B" w:rsidP="006F614B">
      <w:pPr>
        <w:pStyle w:val="FootnoteText"/>
        <w:rPr>
          <w:lang w:val="en-ZW"/>
        </w:rPr>
      </w:pPr>
      <w:r w:rsidRPr="0098055C">
        <w:rPr>
          <w:rStyle w:val="FootnoteReference"/>
        </w:rPr>
        <w:footnoteRef/>
      </w:r>
      <w:r w:rsidRPr="0098055C">
        <w:t xml:space="preserve"> </w:t>
      </w:r>
      <w:r w:rsidR="00A30042" w:rsidRPr="00EA27C8">
        <w:t>Exhibit TURN</w:t>
      </w:r>
      <w:r w:rsidR="009E4E98" w:rsidRPr="00EA27C8">
        <w:t>-02-C</w:t>
      </w:r>
      <w:r w:rsidRPr="0098055C">
        <w:t xml:space="preserve"> at 16. </w:t>
      </w:r>
    </w:p>
  </w:footnote>
  <w:footnote w:id="249">
    <w:p w14:paraId="1043F110" w14:textId="74E4FDFF" w:rsidR="009E4E98" w:rsidRPr="0098055C" w:rsidRDefault="009E4E98" w:rsidP="009E4E98">
      <w:pPr>
        <w:pStyle w:val="FootnoteText"/>
      </w:pPr>
      <w:r w:rsidRPr="00EA27C8">
        <w:rPr>
          <w:rStyle w:val="FootnoteReference"/>
        </w:rPr>
        <w:footnoteRef/>
      </w:r>
      <w:r w:rsidRPr="00EA27C8">
        <w:t xml:space="preserve"> Exhibit TURN-03 at 13, TURN Opening Brief at 38, and </w:t>
      </w:r>
      <w:r w:rsidR="00B81C09" w:rsidRPr="0098055C">
        <w:t xml:space="preserve">TURN Proposed Decision Opening Comments (TURN PD Comments) at </w:t>
      </w:r>
      <w:r w:rsidR="003E1DA0" w:rsidRPr="0098055C">
        <w:t>1-6</w:t>
      </w:r>
      <w:r w:rsidRPr="00EA27C8">
        <w:t>.</w:t>
      </w:r>
    </w:p>
  </w:footnote>
  <w:footnote w:id="250">
    <w:p w14:paraId="76913D8D" w14:textId="6FBBE41A" w:rsidR="001013C9" w:rsidRPr="0098055C" w:rsidRDefault="001013C9">
      <w:pPr>
        <w:pStyle w:val="FootnoteText"/>
      </w:pPr>
      <w:r w:rsidRPr="0098055C">
        <w:rPr>
          <w:rStyle w:val="FootnoteReference"/>
        </w:rPr>
        <w:footnoteRef/>
      </w:r>
      <w:r w:rsidRPr="0098055C">
        <w:t xml:space="preserve"> </w:t>
      </w:r>
      <w:r w:rsidRPr="00EA27C8">
        <w:rPr>
          <w:i/>
          <w:iCs/>
        </w:rPr>
        <w:t>See</w:t>
      </w:r>
      <w:r w:rsidRPr="0098055C">
        <w:t xml:space="preserve"> Appendix A.</w:t>
      </w:r>
    </w:p>
  </w:footnote>
  <w:footnote w:id="251">
    <w:p w14:paraId="73343FD9" w14:textId="178081B0" w:rsidR="00177424" w:rsidRPr="0098055C" w:rsidRDefault="00177424">
      <w:pPr>
        <w:pStyle w:val="FootnoteText"/>
      </w:pPr>
      <w:r w:rsidRPr="0098055C">
        <w:rPr>
          <w:rStyle w:val="FootnoteReference"/>
        </w:rPr>
        <w:footnoteRef/>
      </w:r>
      <w:r w:rsidRPr="0098055C">
        <w:t xml:space="preserve"> Appendix A, Agreement A.1.4.</w:t>
      </w:r>
    </w:p>
  </w:footnote>
  <w:footnote w:id="252">
    <w:p w14:paraId="509E97C0" w14:textId="4A8CD509" w:rsidR="00507A44" w:rsidRPr="0098055C" w:rsidRDefault="00507A44">
      <w:pPr>
        <w:pStyle w:val="FootnoteText"/>
      </w:pPr>
      <w:r w:rsidRPr="0098055C">
        <w:rPr>
          <w:rStyle w:val="FootnoteReference"/>
        </w:rPr>
        <w:footnoteRef/>
      </w:r>
      <w:r w:rsidRPr="0098055C">
        <w:t xml:space="preserve"> </w:t>
      </w:r>
      <w:r w:rsidR="002E3A0B" w:rsidRPr="0098055C">
        <w:t>Appendix A, Agreement A.1.</w:t>
      </w:r>
    </w:p>
  </w:footnote>
  <w:footnote w:id="253">
    <w:p w14:paraId="203D8BBE" w14:textId="0951C14A" w:rsidR="00C45FCD" w:rsidRPr="00BB06BA" w:rsidRDefault="00C45FCD" w:rsidP="00C45FCD">
      <w:pPr>
        <w:pStyle w:val="FootnoteText"/>
        <w:rPr>
          <w:lang w:val="en-ZW"/>
        </w:rPr>
      </w:pPr>
      <w:r w:rsidRPr="0098055C">
        <w:rPr>
          <w:rStyle w:val="FootnoteReference"/>
        </w:rPr>
        <w:footnoteRef/>
      </w:r>
      <w:r w:rsidRPr="0098055C">
        <w:t xml:space="preserve"> </w:t>
      </w:r>
      <w:r w:rsidR="002A4988" w:rsidRPr="0098055C">
        <w:t>Exhibit JA-08</w:t>
      </w:r>
      <w:r w:rsidRPr="0098055C">
        <w:t xml:space="preserve"> at 24.</w:t>
      </w:r>
    </w:p>
  </w:footnote>
  <w:footnote w:id="254">
    <w:p w14:paraId="58C59BF2" w14:textId="64B4F0E9" w:rsidR="001A29D0" w:rsidRPr="00BB06BA" w:rsidRDefault="001A29D0" w:rsidP="001A29D0">
      <w:pPr>
        <w:pStyle w:val="FootnoteText"/>
        <w:rPr>
          <w:lang w:val="en-ZW"/>
        </w:rPr>
      </w:pPr>
      <w:r w:rsidRPr="00E25F30">
        <w:rPr>
          <w:rStyle w:val="FootnoteReference"/>
        </w:rPr>
        <w:footnoteRef/>
      </w:r>
      <w:r w:rsidRPr="00E25F30">
        <w:t xml:space="preserve"> </w:t>
      </w:r>
      <w:r w:rsidR="00177DF4" w:rsidRPr="00E25F30">
        <w:t xml:space="preserve">Exhibit </w:t>
      </w:r>
      <w:r w:rsidR="00E25F30" w:rsidRPr="00E25F30">
        <w:t>Cal Adv-10</w:t>
      </w:r>
      <w:r w:rsidR="00E25F30">
        <w:t xml:space="preserve"> at </w:t>
      </w:r>
      <w:r w:rsidR="00F768B9">
        <w:t>7</w:t>
      </w:r>
      <w:r w:rsidR="00B2733F">
        <w:t>-9</w:t>
      </w:r>
      <w:r w:rsidR="00177DF4" w:rsidRPr="00E25F30">
        <w:t>.</w:t>
      </w:r>
    </w:p>
  </w:footnote>
  <w:footnote w:id="255">
    <w:p w14:paraId="7F82BD4D" w14:textId="2EE26A41" w:rsidR="00F768B9" w:rsidRDefault="00F768B9">
      <w:pPr>
        <w:pStyle w:val="FootnoteText"/>
      </w:pPr>
      <w:r>
        <w:rPr>
          <w:rStyle w:val="FootnoteReference"/>
        </w:rPr>
        <w:footnoteRef/>
      </w:r>
      <w:r>
        <w:t xml:space="preserve"> </w:t>
      </w:r>
      <w:r w:rsidRPr="00E25F30">
        <w:t>Exhibit Cal Adv-10</w:t>
      </w:r>
      <w:r>
        <w:t xml:space="preserve"> at </w:t>
      </w:r>
      <w:r w:rsidR="00B2733F">
        <w:t>9</w:t>
      </w:r>
      <w:r w:rsidRPr="00E25F30">
        <w:t>.</w:t>
      </w:r>
    </w:p>
  </w:footnote>
  <w:footnote w:id="256">
    <w:p w14:paraId="6806A0DB" w14:textId="55F76A11" w:rsidR="004B015D" w:rsidRDefault="004B015D" w:rsidP="00157841">
      <w:pPr>
        <w:pStyle w:val="FootnoteText"/>
      </w:pPr>
      <w:r w:rsidRPr="00A064C4">
        <w:rPr>
          <w:rStyle w:val="FootnoteReference"/>
        </w:rPr>
        <w:footnoteRef/>
      </w:r>
      <w:r w:rsidRPr="00A064C4">
        <w:t xml:space="preserve"> </w:t>
      </w:r>
      <w:r w:rsidR="0043397F" w:rsidRPr="00A064C4">
        <w:t xml:space="preserve">Exhibit </w:t>
      </w:r>
      <w:r w:rsidR="00A064C4" w:rsidRPr="00A064C4">
        <w:t>TURN-02-C</w:t>
      </w:r>
      <w:r w:rsidRPr="00A064C4">
        <w:t>.</w:t>
      </w:r>
    </w:p>
  </w:footnote>
  <w:footnote w:id="257">
    <w:p w14:paraId="6BD1BBF2" w14:textId="77777777" w:rsidR="0011637B" w:rsidRPr="00D33F15" w:rsidRDefault="0011637B" w:rsidP="0011637B">
      <w:pPr>
        <w:pStyle w:val="FootnoteText"/>
      </w:pPr>
      <w:r w:rsidRPr="00D33F15">
        <w:rPr>
          <w:rStyle w:val="FootnoteReference"/>
        </w:rPr>
        <w:footnoteRef/>
      </w:r>
      <w:r w:rsidRPr="00D33F15">
        <w:t xml:space="preserve"> See California Public Utilities Commission, Environmental &amp; Social Justice Action Plan Version 2.0, April 7, 2022.  Available at: https://www.cpuc.ca.gov/-/media/cpuc-website/divisions/news-and-outreach/documents/news-office/key-issues/esj/esj-action-plan-v2jw.pdf. </w:t>
      </w:r>
    </w:p>
  </w:footnote>
  <w:footnote w:id="258">
    <w:p w14:paraId="4672121A" w14:textId="2E8C880E" w:rsidR="00E2308F" w:rsidRPr="00D33F15" w:rsidRDefault="00E2308F">
      <w:pPr>
        <w:pStyle w:val="FootnoteText"/>
      </w:pPr>
      <w:r w:rsidRPr="00D33F15">
        <w:rPr>
          <w:rStyle w:val="FootnoteReference"/>
        </w:rPr>
        <w:footnoteRef/>
      </w:r>
      <w:r w:rsidRPr="00D33F15">
        <w:t xml:space="preserve"> Joint Applicants Opening Brief at 20</w:t>
      </w:r>
      <w:r w:rsidR="005C6CF6" w:rsidRPr="00D33F15">
        <w:t xml:space="preserve"> </w:t>
      </w:r>
    </w:p>
  </w:footnote>
  <w:footnote w:id="259">
    <w:p w14:paraId="2B43E283" w14:textId="604C4DBC" w:rsidR="00E2308F" w:rsidRPr="00D33F15" w:rsidRDefault="00E2308F">
      <w:pPr>
        <w:pStyle w:val="FootnoteText"/>
      </w:pPr>
      <w:r w:rsidRPr="00D33F15">
        <w:rPr>
          <w:rStyle w:val="FootnoteReference"/>
        </w:rPr>
        <w:footnoteRef/>
      </w:r>
      <w:r w:rsidRPr="00D33F15">
        <w:t xml:space="preserve"> Joint Applicants Opening Brief at 20.</w:t>
      </w:r>
    </w:p>
  </w:footnote>
  <w:footnote w:id="260">
    <w:p w14:paraId="7419F70F" w14:textId="6A4F1E87" w:rsidR="00E2308F" w:rsidRPr="00D33F15" w:rsidRDefault="00E2308F">
      <w:pPr>
        <w:pStyle w:val="FootnoteText"/>
      </w:pPr>
      <w:r w:rsidRPr="00D33F15">
        <w:rPr>
          <w:rStyle w:val="FootnoteReference"/>
        </w:rPr>
        <w:footnoteRef/>
      </w:r>
      <w:r w:rsidRPr="00D33F15">
        <w:t xml:space="preserve"> Joint Applicants Opening Brief at 20</w:t>
      </w:r>
      <w:r w:rsidR="00A32A37" w:rsidRPr="00D33F15">
        <w:t>, citing Verizon-Cal Advocates Settlement Agreement at 4</w:t>
      </w:r>
      <w:r w:rsidRPr="00D33F15">
        <w:t>.</w:t>
      </w:r>
    </w:p>
  </w:footnote>
  <w:footnote w:id="261">
    <w:p w14:paraId="2BBF26DF" w14:textId="78531D32" w:rsidR="00A32A37" w:rsidRPr="00D33F15" w:rsidRDefault="00A32A37">
      <w:pPr>
        <w:pStyle w:val="FootnoteText"/>
      </w:pPr>
      <w:r w:rsidRPr="00D33F15">
        <w:rPr>
          <w:rStyle w:val="FootnoteReference"/>
        </w:rPr>
        <w:footnoteRef/>
      </w:r>
      <w:r w:rsidRPr="00D33F15">
        <w:t xml:space="preserve"> Joint Applicants Opening Brief at 20.</w:t>
      </w:r>
    </w:p>
  </w:footnote>
  <w:footnote w:id="262">
    <w:p w14:paraId="078736BE" w14:textId="2794068B" w:rsidR="00A32A37" w:rsidRPr="00D33F15" w:rsidRDefault="00A32A37">
      <w:pPr>
        <w:pStyle w:val="FootnoteText"/>
      </w:pPr>
      <w:r w:rsidRPr="00D33F15">
        <w:rPr>
          <w:rStyle w:val="FootnoteReference"/>
        </w:rPr>
        <w:footnoteRef/>
      </w:r>
      <w:r w:rsidRPr="00D33F15">
        <w:t xml:space="preserve"> Joint Applicants Opening Brief at 20.</w:t>
      </w:r>
    </w:p>
  </w:footnote>
  <w:footnote w:id="263">
    <w:p w14:paraId="164A0416" w14:textId="74CBD43D" w:rsidR="00E2308F" w:rsidRPr="00D33F15" w:rsidRDefault="00E2308F">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A32A37" w:rsidRPr="00D33F15">
        <w:rPr>
          <w:color w:val="000000" w:themeColor="text1"/>
        </w:rPr>
        <w:t>Joint Applicants Opening Brief at 20.</w:t>
      </w:r>
    </w:p>
  </w:footnote>
  <w:footnote w:id="264">
    <w:p w14:paraId="1A3ABCDA" w14:textId="4A9A2EE2" w:rsidR="00A32A37" w:rsidRPr="00D33F15" w:rsidRDefault="00A32A37">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305082" w:rsidRPr="00D33F15">
        <w:rPr>
          <w:color w:val="000000" w:themeColor="text1"/>
        </w:rPr>
        <w:t>Joint Applicants Opening Brief at 20.</w:t>
      </w:r>
    </w:p>
  </w:footnote>
  <w:footnote w:id="265">
    <w:p w14:paraId="4CC37D2B" w14:textId="58234618" w:rsidR="008C0380" w:rsidRPr="00D33F15" w:rsidRDefault="008C0380">
      <w:pPr>
        <w:pStyle w:val="FootnoteText"/>
        <w:rPr>
          <w:color w:val="000000" w:themeColor="text1"/>
        </w:rPr>
      </w:pPr>
      <w:r w:rsidRPr="00D33F15">
        <w:rPr>
          <w:rStyle w:val="FootnoteReference"/>
          <w:color w:val="000000" w:themeColor="text1"/>
        </w:rPr>
        <w:footnoteRef/>
      </w:r>
      <w:r w:rsidRPr="00D33F15">
        <w:rPr>
          <w:color w:val="000000" w:themeColor="text1"/>
        </w:rPr>
        <w:t xml:space="preserve"> CETF Opening Brief at 28-29.</w:t>
      </w:r>
    </w:p>
  </w:footnote>
  <w:footnote w:id="266">
    <w:p w14:paraId="14FB92C5" w14:textId="61BAB1E8" w:rsidR="001172DD" w:rsidRPr="00D33F15" w:rsidRDefault="001172DD">
      <w:pPr>
        <w:pStyle w:val="FootnoteText"/>
        <w:rPr>
          <w:color w:val="000000" w:themeColor="text1"/>
        </w:rPr>
      </w:pPr>
      <w:r w:rsidRPr="00D33F15">
        <w:rPr>
          <w:rStyle w:val="FootnoteReference"/>
          <w:color w:val="000000" w:themeColor="text1"/>
        </w:rPr>
        <w:footnoteRef/>
      </w:r>
      <w:r w:rsidRPr="00D33F15">
        <w:rPr>
          <w:color w:val="000000" w:themeColor="text1"/>
        </w:rPr>
        <w:t xml:space="preserve"> CforAT Opening Brief at </w:t>
      </w:r>
      <w:r w:rsidR="00B86591" w:rsidRPr="00D33F15">
        <w:rPr>
          <w:color w:val="000000" w:themeColor="text1"/>
        </w:rPr>
        <w:t>27, 31</w:t>
      </w:r>
      <w:r w:rsidRPr="00D33F15">
        <w:rPr>
          <w:color w:val="000000" w:themeColor="text1"/>
        </w:rPr>
        <w:t>.</w:t>
      </w:r>
    </w:p>
  </w:footnote>
  <w:footnote w:id="267">
    <w:p w14:paraId="0BD8C2C6" w14:textId="110EDB5E" w:rsidR="00E4523A" w:rsidRPr="00D33F15" w:rsidRDefault="00E4523A">
      <w:pPr>
        <w:pStyle w:val="FootnoteText"/>
      </w:pPr>
      <w:r w:rsidRPr="00D33F15">
        <w:rPr>
          <w:rStyle w:val="FootnoteReference"/>
          <w:color w:val="000000" w:themeColor="text1"/>
        </w:rPr>
        <w:footnoteRef/>
      </w:r>
      <w:r w:rsidRPr="00D33F15">
        <w:rPr>
          <w:color w:val="000000" w:themeColor="text1"/>
        </w:rPr>
        <w:t xml:space="preserve"> </w:t>
      </w:r>
      <w:r w:rsidR="00B2767C" w:rsidRPr="00D33F15">
        <w:rPr>
          <w:color w:val="000000" w:themeColor="text1"/>
        </w:rPr>
        <w:t xml:space="preserve">TURN Opening Brief at </w:t>
      </w:r>
      <w:r w:rsidR="00D6789D" w:rsidRPr="00D33F15">
        <w:rPr>
          <w:color w:val="000000" w:themeColor="text1"/>
        </w:rPr>
        <w:t>30</w:t>
      </w:r>
      <w:r w:rsidRPr="00D33F15">
        <w:rPr>
          <w:color w:val="000000" w:themeColor="text1"/>
        </w:rPr>
        <w:t>.</w:t>
      </w:r>
    </w:p>
  </w:footnote>
  <w:footnote w:id="268">
    <w:p w14:paraId="774E561E" w14:textId="175F80D8" w:rsidR="00BD4B23" w:rsidRPr="00D33F15" w:rsidRDefault="00BD4B23">
      <w:pPr>
        <w:pStyle w:val="FootnoteText"/>
        <w:rPr>
          <w:color w:val="000000" w:themeColor="text1"/>
        </w:rPr>
      </w:pPr>
      <w:r w:rsidRPr="00D33F15">
        <w:rPr>
          <w:rStyle w:val="FootnoteReference"/>
        </w:rPr>
        <w:footnoteRef/>
      </w:r>
      <w:r w:rsidRPr="00D33F15">
        <w:t xml:space="preserve"> </w:t>
      </w:r>
      <w:r w:rsidRPr="00D33F15">
        <w:rPr>
          <w:color w:val="000000" w:themeColor="text1"/>
        </w:rPr>
        <w:t xml:space="preserve">TURN stated that Frontier had identified the number of customer locations in California that clear Frontier’s capital deployment profitability hurdle (required minimum Internal Rate of Return or IRR) and these locations comprise Frontier’s “approved </w:t>
      </w:r>
      <w:r w:rsidR="00792F2F">
        <w:rPr>
          <w:color w:val="000000" w:themeColor="text1"/>
        </w:rPr>
        <w:t>A</w:t>
      </w:r>
      <w:r w:rsidR="00792F2F" w:rsidRPr="00D33F15">
        <w:rPr>
          <w:color w:val="000000" w:themeColor="text1"/>
        </w:rPr>
        <w:t xml:space="preserve">pproved </w:t>
      </w:r>
      <w:r w:rsidRPr="00D33F15">
        <w:rPr>
          <w:color w:val="000000" w:themeColor="text1"/>
        </w:rPr>
        <w:t xml:space="preserve">build </w:t>
      </w:r>
      <w:r w:rsidR="00792F2F">
        <w:rPr>
          <w:color w:val="000000" w:themeColor="text1"/>
        </w:rPr>
        <w:t>B</w:t>
      </w:r>
      <w:r w:rsidR="00792F2F" w:rsidRPr="00D33F15">
        <w:rPr>
          <w:color w:val="000000" w:themeColor="text1"/>
        </w:rPr>
        <w:t xml:space="preserve">uild </w:t>
      </w:r>
      <w:r w:rsidRPr="00D33F15">
        <w:rPr>
          <w:color w:val="000000" w:themeColor="text1"/>
        </w:rPr>
        <w:t>universe</w:t>
      </w:r>
      <w:r w:rsidR="00792F2F">
        <w:rPr>
          <w:color w:val="000000" w:themeColor="text1"/>
        </w:rPr>
        <w:t>U</w:t>
      </w:r>
      <w:r w:rsidR="00792F2F" w:rsidRPr="00D33F15">
        <w:rPr>
          <w:color w:val="000000" w:themeColor="text1"/>
        </w:rPr>
        <w:t>niverse</w:t>
      </w:r>
      <w:r w:rsidRPr="00D33F15">
        <w:rPr>
          <w:color w:val="000000" w:themeColor="text1"/>
        </w:rPr>
        <w:t xml:space="preserve">.” </w:t>
      </w:r>
      <w:r w:rsidR="00792F2F">
        <w:rPr>
          <w:color w:val="000000" w:themeColor="text1"/>
        </w:rPr>
        <w:t xml:space="preserve"> </w:t>
      </w:r>
      <w:r w:rsidRPr="00D33F15">
        <w:rPr>
          <w:color w:val="000000" w:themeColor="text1"/>
        </w:rPr>
        <w:t>See TURN Opening Brief at 36.</w:t>
      </w:r>
    </w:p>
  </w:footnote>
  <w:footnote w:id="269">
    <w:p w14:paraId="09E17402" w14:textId="4E728278" w:rsidR="00BD4B23" w:rsidRPr="00D33F15" w:rsidRDefault="00BD4B23">
      <w:pPr>
        <w:pStyle w:val="FootnoteText"/>
      </w:pPr>
      <w:r w:rsidRPr="00D33F15">
        <w:rPr>
          <w:rStyle w:val="FootnoteReference"/>
          <w:color w:val="000000" w:themeColor="text1"/>
        </w:rPr>
        <w:footnoteRef/>
      </w:r>
      <w:r w:rsidRPr="00D33F15">
        <w:rPr>
          <w:color w:val="000000" w:themeColor="text1"/>
        </w:rPr>
        <w:t xml:space="preserve"> TURN Opening Brief at </w:t>
      </w:r>
      <w:r w:rsidR="00524DDA" w:rsidRPr="00D33F15">
        <w:rPr>
          <w:color w:val="000000" w:themeColor="text1"/>
        </w:rPr>
        <w:t>30</w:t>
      </w:r>
      <w:r w:rsidRPr="00D33F15">
        <w:rPr>
          <w:color w:val="000000" w:themeColor="text1"/>
        </w:rPr>
        <w:t>.</w:t>
      </w:r>
    </w:p>
  </w:footnote>
  <w:footnote w:id="270">
    <w:p w14:paraId="4170B0F8" w14:textId="53D1D636" w:rsidR="00BD4B23" w:rsidRPr="00D33F15" w:rsidRDefault="00BD4B23">
      <w:pPr>
        <w:pStyle w:val="FootnoteText"/>
      </w:pPr>
      <w:r w:rsidRPr="00D33F15">
        <w:rPr>
          <w:rStyle w:val="FootnoteReference"/>
          <w:color w:val="000000" w:themeColor="text1"/>
        </w:rPr>
        <w:footnoteRef/>
      </w:r>
      <w:r w:rsidRPr="00D33F15">
        <w:rPr>
          <w:color w:val="000000" w:themeColor="text1"/>
        </w:rPr>
        <w:t xml:space="preserve"> </w:t>
      </w:r>
      <w:r w:rsidR="00164F34" w:rsidRPr="00D33F15">
        <w:rPr>
          <w:color w:val="000000" w:themeColor="text1"/>
        </w:rPr>
        <w:t>D.21-03-043</w:t>
      </w:r>
      <w:r w:rsidRPr="00D33F15">
        <w:rPr>
          <w:color w:val="000000" w:themeColor="text1"/>
        </w:rPr>
        <w:t>.</w:t>
      </w:r>
    </w:p>
  </w:footnote>
  <w:footnote w:id="271">
    <w:p w14:paraId="35A9DF5A" w14:textId="3DA40CFF" w:rsidR="00BD4B23" w:rsidRPr="00D33F15" w:rsidRDefault="00BD4B23">
      <w:pPr>
        <w:pStyle w:val="FootnoteText"/>
      </w:pPr>
      <w:r w:rsidRPr="00D33F15">
        <w:rPr>
          <w:rStyle w:val="FootnoteReference"/>
          <w:color w:val="000000" w:themeColor="text1"/>
        </w:rPr>
        <w:footnoteRef/>
      </w:r>
      <w:r w:rsidRPr="00D33F15">
        <w:rPr>
          <w:color w:val="000000" w:themeColor="text1"/>
        </w:rPr>
        <w:t xml:space="preserve"> TURN Opening Brief at </w:t>
      </w:r>
      <w:r w:rsidR="00373E1A" w:rsidRPr="00D33F15">
        <w:rPr>
          <w:color w:val="000000" w:themeColor="text1"/>
        </w:rPr>
        <w:t>30</w:t>
      </w:r>
      <w:r w:rsidRPr="00D33F15">
        <w:rPr>
          <w:color w:val="000000" w:themeColor="text1"/>
        </w:rPr>
        <w:t>.</w:t>
      </w:r>
    </w:p>
  </w:footnote>
  <w:footnote w:id="272">
    <w:p w14:paraId="591400D6" w14:textId="44A9941E" w:rsidR="00113809" w:rsidRPr="00D33F15" w:rsidRDefault="00113809">
      <w:pPr>
        <w:pStyle w:val="FootnoteText"/>
      </w:pPr>
      <w:r w:rsidRPr="00D33F15">
        <w:rPr>
          <w:rStyle w:val="FootnoteReference"/>
        </w:rPr>
        <w:footnoteRef/>
      </w:r>
      <w:r w:rsidRPr="00D33F15">
        <w:t xml:space="preserve"> See Section 9.</w:t>
      </w:r>
    </w:p>
  </w:footnote>
  <w:footnote w:id="273">
    <w:p w14:paraId="50750E3D" w14:textId="133C0898" w:rsidR="00350261" w:rsidRPr="00D33F15" w:rsidRDefault="00350261">
      <w:pPr>
        <w:pStyle w:val="FootnoteText"/>
      </w:pPr>
      <w:r w:rsidRPr="00D33F15">
        <w:rPr>
          <w:rStyle w:val="FootnoteReference"/>
        </w:rPr>
        <w:footnoteRef/>
      </w:r>
      <w:r w:rsidRPr="00D33F15">
        <w:t xml:space="preserve"> CETF Opening Brief at </w:t>
      </w:r>
      <w:r w:rsidR="00867BA2" w:rsidRPr="00D33F15">
        <w:t>29-31.</w:t>
      </w:r>
    </w:p>
  </w:footnote>
  <w:footnote w:id="274">
    <w:p w14:paraId="0C608552" w14:textId="3F91902B" w:rsidR="00F1338D" w:rsidRPr="00D33F15" w:rsidRDefault="00F1338D">
      <w:pPr>
        <w:pStyle w:val="FootnoteText"/>
        <w:rPr>
          <w:color w:val="000000" w:themeColor="text1"/>
        </w:rPr>
      </w:pPr>
      <w:r w:rsidRPr="00D33F15">
        <w:rPr>
          <w:rStyle w:val="FootnoteReference"/>
          <w:color w:val="000000" w:themeColor="text1"/>
        </w:rPr>
        <w:footnoteRef/>
      </w:r>
      <w:r w:rsidRPr="00D33F15">
        <w:rPr>
          <w:color w:val="000000" w:themeColor="text1"/>
        </w:rPr>
        <w:t xml:space="preserve"> CforAT Opening Brief at 27.</w:t>
      </w:r>
    </w:p>
  </w:footnote>
  <w:footnote w:id="275">
    <w:p w14:paraId="25A27C78" w14:textId="6BD7B3D6" w:rsidR="00A860C9" w:rsidRPr="00D33F15" w:rsidRDefault="00A860C9">
      <w:pPr>
        <w:pStyle w:val="FootnoteText"/>
        <w:rPr>
          <w:color w:val="000000" w:themeColor="text1"/>
        </w:rPr>
      </w:pPr>
      <w:r w:rsidRPr="00D33F15">
        <w:rPr>
          <w:rStyle w:val="FootnoteReference"/>
          <w:color w:val="000000" w:themeColor="text1"/>
        </w:rPr>
        <w:footnoteRef/>
      </w:r>
      <w:r w:rsidRPr="00D33F15">
        <w:rPr>
          <w:color w:val="000000" w:themeColor="text1"/>
        </w:rPr>
        <w:t xml:space="preserve"> CforAT Opening Brief at 27.</w:t>
      </w:r>
    </w:p>
  </w:footnote>
  <w:footnote w:id="276">
    <w:p w14:paraId="2E017E9D" w14:textId="1D757454" w:rsidR="00A860C9" w:rsidRPr="00D33F15" w:rsidRDefault="00A860C9">
      <w:pPr>
        <w:pStyle w:val="FootnoteText"/>
        <w:rPr>
          <w:color w:val="000000" w:themeColor="text1"/>
        </w:rPr>
      </w:pPr>
      <w:r w:rsidRPr="00D33F15">
        <w:rPr>
          <w:rStyle w:val="FootnoteReference"/>
          <w:color w:val="000000" w:themeColor="text1"/>
        </w:rPr>
        <w:footnoteRef/>
      </w:r>
      <w:r w:rsidRPr="00D33F15">
        <w:rPr>
          <w:color w:val="000000" w:themeColor="text1"/>
        </w:rPr>
        <w:t xml:space="preserve"> CforAT Opening Brief at 27.</w:t>
      </w:r>
    </w:p>
  </w:footnote>
  <w:footnote w:id="277">
    <w:p w14:paraId="360FA3FA" w14:textId="24F3A355" w:rsidR="00182AFE" w:rsidRPr="00D33F15" w:rsidRDefault="00182AFE">
      <w:pPr>
        <w:pStyle w:val="FootnoteText"/>
        <w:rPr>
          <w:color w:val="000000" w:themeColor="text1"/>
        </w:rPr>
      </w:pPr>
      <w:r w:rsidRPr="00D33F15">
        <w:rPr>
          <w:rStyle w:val="FootnoteReference"/>
          <w:color w:val="000000" w:themeColor="text1"/>
        </w:rPr>
        <w:footnoteRef/>
      </w:r>
      <w:r w:rsidRPr="00D33F15">
        <w:rPr>
          <w:color w:val="000000" w:themeColor="text1"/>
        </w:rPr>
        <w:t xml:space="preserve"> TURN Opening Brief at </w:t>
      </w:r>
      <w:r w:rsidR="00B53996" w:rsidRPr="00D33F15">
        <w:rPr>
          <w:color w:val="000000" w:themeColor="text1"/>
        </w:rPr>
        <w:t>30</w:t>
      </w:r>
      <w:r w:rsidRPr="00D33F15">
        <w:rPr>
          <w:color w:val="000000" w:themeColor="text1"/>
        </w:rPr>
        <w:t>.</w:t>
      </w:r>
    </w:p>
  </w:footnote>
  <w:footnote w:id="278">
    <w:p w14:paraId="016A536A" w14:textId="31CDB717" w:rsidR="00E8729C" w:rsidRPr="00D33F15" w:rsidRDefault="00E8729C">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B53996" w:rsidRPr="00D33F15">
        <w:rPr>
          <w:color w:val="000000" w:themeColor="text1"/>
        </w:rPr>
        <w:t>TURN Opening Brief at 3</w:t>
      </w:r>
      <w:r w:rsidR="009549B3" w:rsidRPr="00D33F15">
        <w:rPr>
          <w:color w:val="000000" w:themeColor="text1"/>
        </w:rPr>
        <w:t>1</w:t>
      </w:r>
      <w:r w:rsidR="00B53996" w:rsidRPr="00D33F15">
        <w:rPr>
          <w:color w:val="000000" w:themeColor="text1"/>
        </w:rPr>
        <w:t>.</w:t>
      </w:r>
    </w:p>
  </w:footnote>
  <w:footnote w:id="279">
    <w:p w14:paraId="2FC473E6" w14:textId="49FBE3AE" w:rsidR="00373E1A" w:rsidRPr="00D33F15" w:rsidRDefault="00373E1A" w:rsidP="00373E1A">
      <w:pPr>
        <w:pStyle w:val="FootnoteText"/>
      </w:pPr>
      <w:r w:rsidRPr="00D33F15">
        <w:rPr>
          <w:rStyle w:val="FootnoteReference"/>
          <w:color w:val="000000" w:themeColor="text1"/>
        </w:rPr>
        <w:footnoteRef/>
      </w:r>
      <w:r w:rsidRPr="00D33F15">
        <w:rPr>
          <w:color w:val="000000" w:themeColor="text1"/>
        </w:rPr>
        <w:t xml:space="preserve"> TURN Opening Brief at 3</w:t>
      </w:r>
      <w:r w:rsidR="00002AC1" w:rsidRPr="00D33F15">
        <w:rPr>
          <w:color w:val="000000" w:themeColor="text1"/>
        </w:rPr>
        <w:t>1</w:t>
      </w:r>
      <w:r w:rsidRPr="00D33F15">
        <w:rPr>
          <w:color w:val="000000" w:themeColor="text1"/>
        </w:rPr>
        <w:t>.</w:t>
      </w:r>
    </w:p>
  </w:footnote>
  <w:footnote w:id="280">
    <w:p w14:paraId="369FD63A" w14:textId="015639C9" w:rsidR="005F3C63" w:rsidRPr="00D33F15" w:rsidRDefault="005F3C63">
      <w:pPr>
        <w:pStyle w:val="FootnoteText"/>
      </w:pPr>
      <w:r w:rsidRPr="00D33F15">
        <w:rPr>
          <w:rStyle w:val="FootnoteReference"/>
        </w:rPr>
        <w:footnoteRef/>
      </w:r>
      <w:r w:rsidRPr="00D33F15">
        <w:t xml:space="preserve"> </w:t>
      </w:r>
      <w:r w:rsidR="00AD4646" w:rsidRPr="00D33F15">
        <w:rPr>
          <w:color w:val="000000" w:themeColor="text1"/>
        </w:rPr>
        <w:t xml:space="preserve">R.24-06-012, </w:t>
      </w:r>
      <w:r w:rsidR="00AD4646" w:rsidRPr="00D33F15">
        <w:t>Assigned Commissioner’s Scoping Memo and Ruling, February 4, 2025.</w:t>
      </w:r>
    </w:p>
  </w:footnote>
  <w:footnote w:id="281">
    <w:p w14:paraId="3A1D0E6B" w14:textId="0C7F7E1B" w:rsidR="009206DB" w:rsidRPr="00D33F15" w:rsidRDefault="009206DB">
      <w:pPr>
        <w:pStyle w:val="FootnoteText"/>
      </w:pPr>
      <w:r w:rsidRPr="00D33F15">
        <w:rPr>
          <w:rStyle w:val="FootnoteReference"/>
        </w:rPr>
        <w:footnoteRef/>
      </w:r>
      <w:r w:rsidRPr="00D33F15">
        <w:t xml:space="preserve"> Joint Applicants Opening Brief at </w:t>
      </w:r>
      <w:r w:rsidR="00377511" w:rsidRPr="00D33F15">
        <w:t>2.</w:t>
      </w:r>
    </w:p>
  </w:footnote>
  <w:footnote w:id="282">
    <w:p w14:paraId="19CCA8B3" w14:textId="44C8B7B9" w:rsidR="00934A93" w:rsidRPr="00D33F15" w:rsidRDefault="00934A93">
      <w:pPr>
        <w:pStyle w:val="FootnoteText"/>
      </w:pPr>
      <w:r w:rsidRPr="00D33F15">
        <w:rPr>
          <w:rStyle w:val="FootnoteReference"/>
        </w:rPr>
        <w:footnoteRef/>
      </w:r>
      <w:r w:rsidRPr="00D33F15">
        <w:t xml:space="preserve"> Joint Applicants Opening Brief at 9.</w:t>
      </w:r>
    </w:p>
  </w:footnote>
  <w:footnote w:id="283">
    <w:p w14:paraId="67739128" w14:textId="4478FE5C" w:rsidR="00390608" w:rsidRPr="00D33F15" w:rsidRDefault="00390608">
      <w:pPr>
        <w:pStyle w:val="FootnoteText"/>
      </w:pPr>
      <w:r w:rsidRPr="00D33F15">
        <w:rPr>
          <w:rStyle w:val="FootnoteReference"/>
        </w:rPr>
        <w:footnoteRef/>
      </w:r>
      <w:r w:rsidRPr="00D33F15">
        <w:t xml:space="preserve"> CETF Opening Brief at 29 citing Application at 8.</w:t>
      </w:r>
    </w:p>
  </w:footnote>
  <w:footnote w:id="284">
    <w:p w14:paraId="60AC563C" w14:textId="15D15D77" w:rsidR="00390608" w:rsidRPr="00D33F15" w:rsidRDefault="00390608">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B202F1" w:rsidRPr="00D33F15">
        <w:rPr>
          <w:color w:val="000000" w:themeColor="text1"/>
        </w:rPr>
        <w:t>CETF Opening Brief at 30 citing CWA Agreement at 5.</w:t>
      </w:r>
    </w:p>
  </w:footnote>
  <w:footnote w:id="285">
    <w:p w14:paraId="1231C906" w14:textId="3AB1F9B4" w:rsidR="00986C2C" w:rsidRPr="00D33F15" w:rsidRDefault="00986C2C">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4D6776" w:rsidRPr="00D33F15">
        <w:rPr>
          <w:color w:val="000000" w:themeColor="text1"/>
        </w:rPr>
        <w:t xml:space="preserve">TURN Opening Brief at </w:t>
      </w:r>
      <w:r w:rsidR="00CF476B" w:rsidRPr="00D33F15">
        <w:rPr>
          <w:color w:val="000000" w:themeColor="text1"/>
        </w:rPr>
        <w:t>31</w:t>
      </w:r>
      <w:r w:rsidR="004D6776" w:rsidRPr="00D33F15">
        <w:rPr>
          <w:color w:val="000000" w:themeColor="text1"/>
        </w:rPr>
        <w:t xml:space="preserve">, citing </w:t>
      </w:r>
      <w:r w:rsidR="00F47FDD" w:rsidRPr="00D33F15">
        <w:rPr>
          <w:color w:val="000000" w:themeColor="text1"/>
        </w:rPr>
        <w:t xml:space="preserve">Hearing Transcript at </w:t>
      </w:r>
      <w:r w:rsidR="00CF476B" w:rsidRPr="00D33F15">
        <w:rPr>
          <w:color w:val="000000" w:themeColor="text1"/>
        </w:rPr>
        <w:t>579</w:t>
      </w:r>
      <w:r w:rsidR="004D6776" w:rsidRPr="00D33F15">
        <w:rPr>
          <w:color w:val="000000" w:themeColor="text1"/>
        </w:rPr>
        <w:t>.</w:t>
      </w:r>
    </w:p>
  </w:footnote>
  <w:footnote w:id="286">
    <w:p w14:paraId="5C1D3C91" w14:textId="390E905D" w:rsidR="00986C2C" w:rsidRPr="00D33F15" w:rsidRDefault="00986C2C">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4D6776" w:rsidRPr="00D33F15">
        <w:rPr>
          <w:color w:val="000000" w:themeColor="text1"/>
        </w:rPr>
        <w:t xml:space="preserve">TURN Opening Brief at </w:t>
      </w:r>
      <w:r w:rsidR="00147328" w:rsidRPr="00D33F15">
        <w:rPr>
          <w:color w:val="000000" w:themeColor="text1"/>
        </w:rPr>
        <w:t>31</w:t>
      </w:r>
      <w:r w:rsidR="004D6776" w:rsidRPr="00D33F15">
        <w:rPr>
          <w:color w:val="000000" w:themeColor="text1"/>
        </w:rPr>
        <w:t xml:space="preserve">, citing </w:t>
      </w:r>
      <w:r w:rsidR="00147328" w:rsidRPr="00D33F15">
        <w:rPr>
          <w:color w:val="000000" w:themeColor="text1"/>
        </w:rPr>
        <w:t>Exhibit Cal Adv-01 at xv</w:t>
      </w:r>
      <w:r w:rsidR="004D6776" w:rsidRPr="00D33F15">
        <w:rPr>
          <w:color w:val="000000" w:themeColor="text1"/>
        </w:rPr>
        <w:t>.</w:t>
      </w:r>
    </w:p>
  </w:footnote>
  <w:footnote w:id="287">
    <w:p w14:paraId="006CEA35" w14:textId="4086107D" w:rsidR="00986C2C" w:rsidRPr="00D33F15" w:rsidRDefault="00986C2C">
      <w:pPr>
        <w:pStyle w:val="FootnoteText"/>
      </w:pPr>
      <w:r w:rsidRPr="00D33F15">
        <w:rPr>
          <w:rStyle w:val="FootnoteReference"/>
          <w:color w:val="000000" w:themeColor="text1"/>
        </w:rPr>
        <w:footnoteRef/>
      </w:r>
      <w:r w:rsidRPr="00D33F15">
        <w:rPr>
          <w:color w:val="000000" w:themeColor="text1"/>
        </w:rPr>
        <w:t xml:space="preserve"> </w:t>
      </w:r>
      <w:r w:rsidR="00E06ABB" w:rsidRPr="00D33F15">
        <w:rPr>
          <w:color w:val="000000" w:themeColor="text1"/>
        </w:rPr>
        <w:t>TURN Opening Brief at 31, citing Hearing Transcript at 577.</w:t>
      </w:r>
    </w:p>
  </w:footnote>
  <w:footnote w:id="288">
    <w:p w14:paraId="669F5F61" w14:textId="678ED5E4" w:rsidR="004D6776" w:rsidRPr="00D33F15" w:rsidRDefault="004D6776">
      <w:pPr>
        <w:pStyle w:val="FootnoteText"/>
      </w:pPr>
      <w:r w:rsidRPr="00D33F15">
        <w:rPr>
          <w:rStyle w:val="FootnoteReference"/>
          <w:color w:val="000000" w:themeColor="text1"/>
        </w:rPr>
        <w:footnoteRef/>
      </w:r>
      <w:r w:rsidRPr="00D33F15">
        <w:rPr>
          <w:color w:val="000000" w:themeColor="text1"/>
        </w:rPr>
        <w:t xml:space="preserve"> TURN Opening Brief at </w:t>
      </w:r>
      <w:r w:rsidR="0038542D" w:rsidRPr="00D33F15">
        <w:rPr>
          <w:color w:val="000000" w:themeColor="text1"/>
        </w:rPr>
        <w:t>31-32</w:t>
      </w:r>
      <w:r w:rsidRPr="00D33F15">
        <w:rPr>
          <w:color w:val="000000" w:themeColor="text1"/>
        </w:rPr>
        <w:t>.</w:t>
      </w:r>
    </w:p>
  </w:footnote>
  <w:footnote w:id="289">
    <w:p w14:paraId="51036E24" w14:textId="791F1CFF" w:rsidR="00177814" w:rsidRPr="00D33F15" w:rsidRDefault="00177814">
      <w:pPr>
        <w:pStyle w:val="FootnoteText"/>
        <w:rPr>
          <w:color w:val="000000" w:themeColor="text1"/>
        </w:rPr>
      </w:pPr>
      <w:r w:rsidRPr="00D33F15">
        <w:rPr>
          <w:rStyle w:val="FootnoteReference"/>
          <w:color w:val="000000" w:themeColor="text1"/>
        </w:rPr>
        <w:footnoteRef/>
      </w:r>
      <w:r w:rsidRPr="00D33F15">
        <w:rPr>
          <w:color w:val="000000" w:themeColor="text1"/>
        </w:rPr>
        <w:t xml:space="preserve"> D.21-11-030.</w:t>
      </w:r>
    </w:p>
  </w:footnote>
  <w:footnote w:id="290">
    <w:p w14:paraId="723B7875" w14:textId="683E7826" w:rsidR="00E92C2B" w:rsidRPr="00D33F15" w:rsidRDefault="00E92C2B" w:rsidP="00833D08">
      <w:pPr>
        <w:pStyle w:val="FootnoteText"/>
      </w:pPr>
      <w:r w:rsidRPr="00D33F15">
        <w:rPr>
          <w:rStyle w:val="FootnoteReference"/>
          <w:color w:val="000000" w:themeColor="text1"/>
        </w:rPr>
        <w:footnoteRef/>
      </w:r>
      <w:r w:rsidRPr="00D33F15">
        <w:rPr>
          <w:color w:val="000000" w:themeColor="text1"/>
        </w:rPr>
        <w:t xml:space="preserve"> </w:t>
      </w:r>
      <w:r w:rsidR="00833D08" w:rsidRPr="00D33F15">
        <w:rPr>
          <w:i/>
          <w:iCs/>
          <w:color w:val="000000" w:themeColor="text1"/>
        </w:rPr>
        <w:t xml:space="preserve">See </w:t>
      </w:r>
      <w:r w:rsidR="00833D08" w:rsidRPr="00D33F15">
        <w:rPr>
          <w:color w:val="000000" w:themeColor="text1"/>
        </w:rPr>
        <w:t xml:space="preserve">Verizon completes TracFone Wireless, Inc. Acquisition, November 23, 2021.  Available at: </w:t>
      </w:r>
      <w:r w:rsidRPr="00D33F15">
        <w:rPr>
          <w:color w:val="000000" w:themeColor="text1"/>
        </w:rPr>
        <w:t>https://www.verizon.com/about/news/verizon-completes-tracfone-wireless-inc-acquisition.</w:t>
      </w:r>
    </w:p>
  </w:footnote>
  <w:footnote w:id="291">
    <w:p w14:paraId="3E3751D2" w14:textId="18055E5C" w:rsidR="00023AAA" w:rsidRPr="00D33F15" w:rsidRDefault="00023AAA">
      <w:pPr>
        <w:pStyle w:val="FootnoteText"/>
        <w:rPr>
          <w:color w:val="000000" w:themeColor="text1"/>
        </w:rPr>
      </w:pPr>
      <w:r w:rsidRPr="00D33F15">
        <w:rPr>
          <w:rStyle w:val="FootnoteReference"/>
          <w:color w:val="000000" w:themeColor="text1"/>
        </w:rPr>
        <w:footnoteRef/>
      </w:r>
      <w:r w:rsidRPr="00D33F15">
        <w:rPr>
          <w:color w:val="000000" w:themeColor="text1"/>
        </w:rPr>
        <w:t xml:space="preserve"> Joint Applicants Opening Brief at </w:t>
      </w:r>
      <w:r w:rsidR="009E04F0" w:rsidRPr="00D33F15">
        <w:rPr>
          <w:color w:val="000000" w:themeColor="text1"/>
        </w:rPr>
        <w:t>21</w:t>
      </w:r>
      <w:r w:rsidRPr="00D33F15">
        <w:rPr>
          <w:color w:val="000000" w:themeColor="text1"/>
        </w:rPr>
        <w:t>.</w:t>
      </w:r>
    </w:p>
  </w:footnote>
  <w:footnote w:id="292">
    <w:p w14:paraId="3B3935EA" w14:textId="30832F31" w:rsidR="00D375FE" w:rsidRPr="00D33F15" w:rsidRDefault="00D375FE">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606E40" w:rsidRPr="00D33F15">
        <w:rPr>
          <w:color w:val="000000" w:themeColor="text1"/>
        </w:rPr>
        <w:t xml:space="preserve">CETF </w:t>
      </w:r>
      <w:r w:rsidR="00833D08" w:rsidRPr="00D33F15">
        <w:rPr>
          <w:color w:val="000000" w:themeColor="text1"/>
        </w:rPr>
        <w:t>Opening Brief</w:t>
      </w:r>
      <w:r w:rsidR="00606E40" w:rsidRPr="00D33F15">
        <w:rPr>
          <w:color w:val="000000" w:themeColor="text1"/>
        </w:rPr>
        <w:t xml:space="preserve"> at </w:t>
      </w:r>
      <w:r w:rsidR="003F136C" w:rsidRPr="00D33F15">
        <w:rPr>
          <w:color w:val="000000" w:themeColor="text1"/>
        </w:rPr>
        <w:t>30</w:t>
      </w:r>
      <w:r w:rsidRPr="00D33F15">
        <w:rPr>
          <w:color w:val="000000" w:themeColor="text1"/>
        </w:rPr>
        <w:t>.</w:t>
      </w:r>
    </w:p>
  </w:footnote>
  <w:footnote w:id="293">
    <w:p w14:paraId="05F7BF36" w14:textId="10974A99" w:rsidR="00D375FE" w:rsidRPr="00D33F15" w:rsidRDefault="00D375FE">
      <w:pPr>
        <w:pStyle w:val="FootnoteText"/>
      </w:pPr>
      <w:r w:rsidRPr="00D33F15">
        <w:rPr>
          <w:rStyle w:val="FootnoteReference"/>
          <w:color w:val="000000" w:themeColor="text1"/>
        </w:rPr>
        <w:footnoteRef/>
      </w:r>
      <w:r w:rsidRPr="00D33F15">
        <w:rPr>
          <w:color w:val="000000" w:themeColor="text1"/>
        </w:rPr>
        <w:t xml:space="preserve"> </w:t>
      </w:r>
      <w:r w:rsidR="00606E40" w:rsidRPr="00D33F15">
        <w:rPr>
          <w:color w:val="000000" w:themeColor="text1"/>
        </w:rPr>
        <w:t xml:space="preserve">CETF </w:t>
      </w:r>
      <w:r w:rsidR="00833D08" w:rsidRPr="00D33F15">
        <w:rPr>
          <w:color w:val="000000" w:themeColor="text1"/>
        </w:rPr>
        <w:t xml:space="preserve">Opening Brief at </w:t>
      </w:r>
      <w:r w:rsidR="00DF569D" w:rsidRPr="00D33F15">
        <w:rPr>
          <w:color w:val="000000" w:themeColor="text1"/>
        </w:rPr>
        <w:t>30</w:t>
      </w:r>
      <w:r w:rsidRPr="00D33F15">
        <w:rPr>
          <w:color w:val="000000" w:themeColor="text1"/>
        </w:rPr>
        <w:t>.</w:t>
      </w:r>
    </w:p>
  </w:footnote>
  <w:footnote w:id="294">
    <w:p w14:paraId="22CBCB2A" w14:textId="07F92FB9" w:rsidR="00C36B03" w:rsidRPr="00D33F15" w:rsidRDefault="00C36B03">
      <w:pPr>
        <w:pStyle w:val="FootnoteText"/>
      </w:pPr>
      <w:r w:rsidRPr="00D33F15">
        <w:rPr>
          <w:rStyle w:val="FootnoteReference"/>
        </w:rPr>
        <w:footnoteRef/>
      </w:r>
      <w:r w:rsidRPr="00D33F15">
        <w:t xml:space="preserve"> TURN Opening Brief at </w:t>
      </w:r>
      <w:r w:rsidR="009C48E4" w:rsidRPr="00D33F15">
        <w:t>32-</w:t>
      </w:r>
      <w:r w:rsidR="00042389" w:rsidRPr="00D33F15">
        <w:t>3</w:t>
      </w:r>
      <w:r w:rsidR="009C48E4" w:rsidRPr="00D33F15">
        <w:t>3</w:t>
      </w:r>
      <w:r w:rsidRPr="00D33F15">
        <w:t>.</w:t>
      </w:r>
    </w:p>
  </w:footnote>
  <w:footnote w:id="295">
    <w:p w14:paraId="477B12BB" w14:textId="7FB71B72" w:rsidR="009C48E4" w:rsidRPr="00D33F15" w:rsidRDefault="009C48E4">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042389" w:rsidRPr="00D33F15">
        <w:rPr>
          <w:color w:val="000000" w:themeColor="text1"/>
        </w:rPr>
        <w:t>TURN Opening Brief at 32-33.</w:t>
      </w:r>
    </w:p>
  </w:footnote>
  <w:footnote w:id="296">
    <w:p w14:paraId="4A7A8BC5" w14:textId="3BF5C493" w:rsidR="00C36B03" w:rsidRPr="00D33F15" w:rsidRDefault="00C36B03">
      <w:pPr>
        <w:pStyle w:val="FootnoteText"/>
        <w:rPr>
          <w:color w:val="000000" w:themeColor="text1"/>
        </w:rPr>
      </w:pPr>
      <w:r w:rsidRPr="00D33F15">
        <w:rPr>
          <w:rStyle w:val="FootnoteReference"/>
          <w:color w:val="000000" w:themeColor="text1"/>
        </w:rPr>
        <w:footnoteRef/>
      </w:r>
      <w:r w:rsidRPr="00D33F15">
        <w:rPr>
          <w:color w:val="000000" w:themeColor="text1"/>
        </w:rPr>
        <w:t xml:space="preserve"> TURN Opening Brief at </w:t>
      </w:r>
      <w:r w:rsidR="0069383A" w:rsidRPr="00D33F15">
        <w:rPr>
          <w:color w:val="000000" w:themeColor="text1"/>
        </w:rPr>
        <w:t>32, citing Exhibit TURN-01 at 11</w:t>
      </w:r>
      <w:r w:rsidRPr="00D33F15">
        <w:rPr>
          <w:color w:val="000000" w:themeColor="text1"/>
        </w:rPr>
        <w:t>.</w:t>
      </w:r>
    </w:p>
  </w:footnote>
  <w:footnote w:id="297">
    <w:p w14:paraId="357D0086" w14:textId="628B62F5" w:rsidR="00C36B03" w:rsidRPr="00D33F15" w:rsidRDefault="00C36B03">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481966" w:rsidRPr="00D33F15">
        <w:rPr>
          <w:color w:val="000000" w:themeColor="text1"/>
        </w:rPr>
        <w:t>TURN Opening Brief at 32, citing Exhibit TURN-01 at 16.</w:t>
      </w:r>
    </w:p>
  </w:footnote>
  <w:footnote w:id="298">
    <w:p w14:paraId="34EF2202" w14:textId="59CC508F" w:rsidR="00B378FB" w:rsidRPr="00D33F15" w:rsidRDefault="00B378FB">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E82CF0" w:rsidRPr="00D33F15">
        <w:rPr>
          <w:color w:val="000000" w:themeColor="text1"/>
        </w:rPr>
        <w:t xml:space="preserve">TURN Opening Brief </w:t>
      </w:r>
      <w:r w:rsidR="000B4671" w:rsidRPr="00D33F15">
        <w:rPr>
          <w:color w:val="000000" w:themeColor="text1"/>
        </w:rPr>
        <w:t>at 32-33, citing</w:t>
      </w:r>
      <w:r w:rsidR="009E751F" w:rsidRPr="00D33F15">
        <w:rPr>
          <w:color w:val="000000" w:themeColor="text1"/>
        </w:rPr>
        <w:t xml:space="preserve"> Exhibit TURN-01 at 16-17.</w:t>
      </w:r>
    </w:p>
  </w:footnote>
  <w:footnote w:id="299">
    <w:p w14:paraId="71FC7A6F" w14:textId="30B16F07" w:rsidR="00B378FB" w:rsidRPr="00D33F15" w:rsidRDefault="00B378FB">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E82CF0" w:rsidRPr="00D33F15">
        <w:rPr>
          <w:color w:val="000000" w:themeColor="text1"/>
        </w:rPr>
        <w:t xml:space="preserve">TURN Opening Brief at </w:t>
      </w:r>
      <w:r w:rsidR="009E751F" w:rsidRPr="00D33F15">
        <w:rPr>
          <w:color w:val="000000" w:themeColor="text1"/>
        </w:rPr>
        <w:t>33</w:t>
      </w:r>
      <w:r w:rsidR="00761E68" w:rsidRPr="00D33F15">
        <w:rPr>
          <w:color w:val="000000" w:themeColor="text1"/>
        </w:rPr>
        <w:t>, citing Exhibit TURN-01 at 15</w:t>
      </w:r>
      <w:r w:rsidR="00606E40" w:rsidRPr="00D33F15">
        <w:rPr>
          <w:color w:val="000000" w:themeColor="text1"/>
        </w:rPr>
        <w:t>.</w:t>
      </w:r>
    </w:p>
  </w:footnote>
  <w:footnote w:id="300">
    <w:p w14:paraId="31CCE4B5" w14:textId="131E4512" w:rsidR="00B378FB" w:rsidRPr="00D33F15" w:rsidRDefault="00B378FB">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154A10" w:rsidRPr="00D33F15">
        <w:rPr>
          <w:color w:val="000000" w:themeColor="text1"/>
        </w:rPr>
        <w:t xml:space="preserve">TURN Opening Brief at </w:t>
      </w:r>
      <w:r w:rsidR="00B54503" w:rsidRPr="00D33F15">
        <w:rPr>
          <w:color w:val="000000" w:themeColor="text1"/>
        </w:rPr>
        <w:t>33, citing Exhibit TURN-01 at 16.</w:t>
      </w:r>
    </w:p>
  </w:footnote>
  <w:footnote w:id="301">
    <w:p w14:paraId="14D2790C" w14:textId="39CFEAC0" w:rsidR="00B378FB" w:rsidRPr="00D33F15" w:rsidRDefault="00B378FB">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154A10" w:rsidRPr="00D33F15">
        <w:rPr>
          <w:color w:val="000000" w:themeColor="text1"/>
        </w:rPr>
        <w:t xml:space="preserve">TURN Opening Brief at </w:t>
      </w:r>
      <w:r w:rsidR="005F355E" w:rsidRPr="00D33F15">
        <w:rPr>
          <w:color w:val="000000" w:themeColor="text1"/>
        </w:rPr>
        <w:t>33, citing Exhibit TURN-01 at 21.</w:t>
      </w:r>
    </w:p>
  </w:footnote>
  <w:footnote w:id="302">
    <w:p w14:paraId="4521E7A6" w14:textId="4DC04503" w:rsidR="00B378FB" w:rsidRPr="00D33F15" w:rsidRDefault="00B378FB">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154A10" w:rsidRPr="00D33F15">
        <w:rPr>
          <w:color w:val="000000" w:themeColor="text1"/>
        </w:rPr>
        <w:t xml:space="preserve">TURN Opening Brief at </w:t>
      </w:r>
      <w:r w:rsidR="00021464" w:rsidRPr="00D33F15">
        <w:rPr>
          <w:color w:val="000000" w:themeColor="text1"/>
        </w:rPr>
        <w:t>33.</w:t>
      </w:r>
    </w:p>
  </w:footnote>
  <w:footnote w:id="303">
    <w:p w14:paraId="64440A8B" w14:textId="63BE136A" w:rsidR="00B378FB" w:rsidRPr="00D33F15" w:rsidRDefault="00B378FB">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154A10" w:rsidRPr="00D33F15">
        <w:rPr>
          <w:color w:val="000000" w:themeColor="text1"/>
        </w:rPr>
        <w:t xml:space="preserve">TURN Opening Brief at </w:t>
      </w:r>
      <w:r w:rsidR="00021464" w:rsidRPr="00D33F15">
        <w:rPr>
          <w:color w:val="000000" w:themeColor="text1"/>
        </w:rPr>
        <w:t>33.</w:t>
      </w:r>
    </w:p>
  </w:footnote>
  <w:footnote w:id="304">
    <w:p w14:paraId="0ACEAED8" w14:textId="6D076343" w:rsidR="005F355E" w:rsidRPr="00D33F15" w:rsidRDefault="005F355E">
      <w:pPr>
        <w:pStyle w:val="FootnoteText"/>
        <w:rPr>
          <w:color w:val="000000" w:themeColor="text1"/>
        </w:rPr>
      </w:pPr>
      <w:r w:rsidRPr="00D33F15">
        <w:rPr>
          <w:rStyle w:val="FootnoteReference"/>
          <w:color w:val="000000" w:themeColor="text1"/>
        </w:rPr>
        <w:footnoteRef/>
      </w:r>
      <w:r w:rsidRPr="00D33F15">
        <w:rPr>
          <w:color w:val="000000" w:themeColor="text1"/>
        </w:rPr>
        <w:t xml:space="preserve"> TURN Opening Brief at </w:t>
      </w:r>
      <w:r w:rsidR="00427D8D" w:rsidRPr="00D33F15">
        <w:rPr>
          <w:color w:val="000000" w:themeColor="text1"/>
        </w:rPr>
        <w:t>33.</w:t>
      </w:r>
    </w:p>
  </w:footnote>
  <w:footnote w:id="305">
    <w:p w14:paraId="27FF727D" w14:textId="46B19F74" w:rsidR="005433B7" w:rsidRPr="00D33F15" w:rsidRDefault="005433B7">
      <w:pPr>
        <w:pStyle w:val="FootnoteText"/>
      </w:pPr>
      <w:r w:rsidRPr="00D33F15">
        <w:rPr>
          <w:rStyle w:val="FootnoteReference"/>
          <w:color w:val="000000" w:themeColor="text1"/>
        </w:rPr>
        <w:footnoteRef/>
      </w:r>
      <w:r w:rsidRPr="00D33F15">
        <w:rPr>
          <w:color w:val="000000" w:themeColor="text1"/>
        </w:rPr>
        <w:t xml:space="preserve"> D.21-11-030 at </w:t>
      </w:r>
      <w:r w:rsidR="00CA6E27" w:rsidRPr="00D33F15">
        <w:rPr>
          <w:color w:val="000000" w:themeColor="text1"/>
        </w:rPr>
        <w:t>41-42</w:t>
      </w:r>
      <w:r w:rsidRPr="00D33F15">
        <w:rPr>
          <w:color w:val="000000" w:themeColor="text1"/>
        </w:rPr>
        <w:t>.</w:t>
      </w:r>
    </w:p>
  </w:footnote>
  <w:footnote w:id="306">
    <w:p w14:paraId="168F31E6" w14:textId="4B03CB67" w:rsidR="00FB583B" w:rsidRPr="00D33F15" w:rsidRDefault="00FB583B">
      <w:pPr>
        <w:pStyle w:val="FootnoteText"/>
      </w:pPr>
      <w:r w:rsidRPr="00D33F15">
        <w:rPr>
          <w:rStyle w:val="FootnoteReference"/>
        </w:rPr>
        <w:footnoteRef/>
      </w:r>
      <w:r w:rsidRPr="00D33F15">
        <w:t xml:space="preserve"> D.21-04-008 at </w:t>
      </w:r>
      <w:r w:rsidR="00A95862" w:rsidRPr="00D33F15">
        <w:t>70-71</w:t>
      </w:r>
      <w:r w:rsidRPr="00D33F15">
        <w:t>.</w:t>
      </w:r>
    </w:p>
  </w:footnote>
  <w:footnote w:id="307">
    <w:p w14:paraId="019D2722" w14:textId="2101A320" w:rsidR="00742BC8" w:rsidRPr="00D33F15" w:rsidRDefault="00742BC8">
      <w:pPr>
        <w:pStyle w:val="FootnoteText"/>
      </w:pPr>
      <w:r w:rsidRPr="00D33F15">
        <w:rPr>
          <w:rStyle w:val="FootnoteReference"/>
        </w:rPr>
        <w:footnoteRef/>
      </w:r>
      <w:r w:rsidRPr="00D33F15">
        <w:t xml:space="preserve"> Joint Applicants Opening Brief at </w:t>
      </w:r>
      <w:r w:rsidR="00F631EC" w:rsidRPr="00D33F15">
        <w:t>21, citing D.21-04-008 at 70 (OP 7).</w:t>
      </w:r>
    </w:p>
  </w:footnote>
  <w:footnote w:id="308">
    <w:p w14:paraId="79D0C609" w14:textId="12EB6B51" w:rsidR="000D117B" w:rsidRPr="00D33F15" w:rsidRDefault="000D117B">
      <w:pPr>
        <w:pStyle w:val="FootnoteText"/>
      </w:pPr>
      <w:r w:rsidRPr="00D33F15">
        <w:rPr>
          <w:rStyle w:val="FootnoteReference"/>
          <w:color w:val="000000" w:themeColor="text1"/>
        </w:rPr>
        <w:footnoteRef/>
      </w:r>
      <w:r w:rsidRPr="00D33F15">
        <w:rPr>
          <w:color w:val="000000" w:themeColor="text1"/>
        </w:rPr>
        <w:t xml:space="preserve"> </w:t>
      </w:r>
      <w:r w:rsidR="005D7944" w:rsidRPr="00D33F15">
        <w:rPr>
          <w:color w:val="000000" w:themeColor="text1"/>
        </w:rPr>
        <w:t xml:space="preserve">CETF Opening Brief at </w:t>
      </w:r>
      <w:r w:rsidR="00F2234F" w:rsidRPr="00D33F15">
        <w:rPr>
          <w:color w:val="000000" w:themeColor="text1"/>
        </w:rPr>
        <w:t>30, citing Cal Advocates Settlement Agreement at 6</w:t>
      </w:r>
      <w:r w:rsidR="005D7944" w:rsidRPr="00D33F15">
        <w:rPr>
          <w:color w:val="000000" w:themeColor="text1"/>
        </w:rPr>
        <w:t>.</w:t>
      </w:r>
    </w:p>
  </w:footnote>
  <w:footnote w:id="309">
    <w:p w14:paraId="557B6B4D" w14:textId="4F3C3CF6" w:rsidR="005D7944" w:rsidRPr="00D33F15" w:rsidRDefault="005D7944">
      <w:pPr>
        <w:pStyle w:val="FootnoteText"/>
      </w:pPr>
      <w:r w:rsidRPr="00D33F15">
        <w:rPr>
          <w:rStyle w:val="FootnoteReference"/>
          <w:color w:val="000000" w:themeColor="text1"/>
        </w:rPr>
        <w:footnoteRef/>
      </w:r>
      <w:r w:rsidRPr="00D33F15">
        <w:rPr>
          <w:color w:val="000000" w:themeColor="text1"/>
        </w:rPr>
        <w:t xml:space="preserve"> CETF Opening Brief at </w:t>
      </w:r>
      <w:r w:rsidR="007631B3" w:rsidRPr="00D33F15">
        <w:rPr>
          <w:color w:val="000000" w:themeColor="text1"/>
        </w:rPr>
        <w:t>30-31</w:t>
      </w:r>
      <w:r w:rsidR="007378CE" w:rsidRPr="00D33F15">
        <w:rPr>
          <w:color w:val="000000" w:themeColor="text1"/>
        </w:rPr>
        <w:t>,</w:t>
      </w:r>
      <w:r w:rsidR="00606A06" w:rsidRPr="00D33F15">
        <w:rPr>
          <w:color w:val="000000" w:themeColor="text1"/>
        </w:rPr>
        <w:t xml:space="preserve"> noting Cal Advocates</w:t>
      </w:r>
      <w:r w:rsidR="008F0519" w:rsidRPr="00D33F15">
        <w:rPr>
          <w:color w:val="000000" w:themeColor="text1"/>
        </w:rPr>
        <w:t>’</w:t>
      </w:r>
      <w:r w:rsidR="00606A06" w:rsidRPr="00D33F15">
        <w:rPr>
          <w:color w:val="000000" w:themeColor="text1"/>
        </w:rPr>
        <w:t xml:space="preserve"> </w:t>
      </w:r>
      <w:r w:rsidR="008F0519" w:rsidRPr="00D33F15">
        <w:rPr>
          <w:color w:val="000000" w:themeColor="text1"/>
        </w:rPr>
        <w:t>s</w:t>
      </w:r>
      <w:r w:rsidR="00606A06" w:rsidRPr="00D33F15">
        <w:rPr>
          <w:color w:val="000000" w:themeColor="text1"/>
        </w:rPr>
        <w:t>ettlement</w:t>
      </w:r>
      <w:r w:rsidR="008F0519" w:rsidRPr="00D33F15">
        <w:rPr>
          <w:color w:val="000000" w:themeColor="text1"/>
        </w:rPr>
        <w:t xml:space="preserve"> provisions for </w:t>
      </w:r>
      <w:r w:rsidR="007C6353" w:rsidRPr="00D33F15">
        <w:rPr>
          <w:color w:val="000000" w:themeColor="text1"/>
        </w:rPr>
        <w:t xml:space="preserve">(1) </w:t>
      </w:r>
      <w:r w:rsidR="008F0519" w:rsidRPr="00D33F15">
        <w:rPr>
          <w:color w:val="000000" w:themeColor="text1"/>
        </w:rPr>
        <w:t>Advance consultation with sovereign Tribal governments for grant-funded builds</w:t>
      </w:r>
      <w:r w:rsidR="007C6353" w:rsidRPr="00D33F15">
        <w:rPr>
          <w:color w:val="000000" w:themeColor="text1"/>
        </w:rPr>
        <w:t xml:space="preserve">; </w:t>
      </w:r>
      <w:r w:rsidR="007631B3" w:rsidRPr="00D33F15">
        <w:rPr>
          <w:color w:val="000000" w:themeColor="text1"/>
        </w:rPr>
        <w:t>(2) Tribal Liaison availability through BEAD completion; and (3)</w:t>
      </w:r>
      <w:r w:rsidR="00634FC9" w:rsidRPr="00D33F15">
        <w:rPr>
          <w:color w:val="000000" w:themeColor="text1"/>
        </w:rPr>
        <w:t xml:space="preserve"> </w:t>
      </w:r>
      <w:r w:rsidR="00C41F76" w:rsidRPr="00D33F15">
        <w:rPr>
          <w:color w:val="000000" w:themeColor="text1"/>
        </w:rPr>
        <w:t xml:space="preserve">commitment to pre-project meetings on request with non-tribal BEAD/FFA awardees, plus CETF settlement provisions for (4) </w:t>
      </w:r>
      <w:r w:rsidR="007378CE" w:rsidRPr="00D33F15">
        <w:rPr>
          <w:color w:val="000000" w:themeColor="text1"/>
        </w:rPr>
        <w:t>Low-income Verizon Forward program eligibility that explicitly includes Tribal programs</w:t>
      </w:r>
      <w:r w:rsidRPr="00D33F15">
        <w:rPr>
          <w:color w:val="000000" w:themeColor="text1"/>
        </w:rPr>
        <w:t>.</w:t>
      </w:r>
    </w:p>
  </w:footnote>
  <w:footnote w:id="310">
    <w:p w14:paraId="6BC3C5C1" w14:textId="1860387C" w:rsidR="003655A5" w:rsidRPr="00D33F15" w:rsidRDefault="003655A5">
      <w:pPr>
        <w:pStyle w:val="FootnoteText"/>
      </w:pPr>
      <w:r w:rsidRPr="00D33F15">
        <w:rPr>
          <w:rStyle w:val="FootnoteReference"/>
        </w:rPr>
        <w:footnoteRef/>
      </w:r>
      <w:r w:rsidRPr="00D33F15">
        <w:t xml:space="preserve"> TURN Opening Brief at </w:t>
      </w:r>
      <w:r w:rsidR="00A07580" w:rsidRPr="00D33F15">
        <w:t>34</w:t>
      </w:r>
      <w:r w:rsidRPr="00D33F15">
        <w:t>.</w:t>
      </w:r>
    </w:p>
  </w:footnote>
  <w:footnote w:id="311">
    <w:p w14:paraId="2F89D5F2" w14:textId="3E639A9B" w:rsidR="003655A5" w:rsidRPr="00D33F15" w:rsidRDefault="003655A5">
      <w:pPr>
        <w:pStyle w:val="FootnoteText"/>
      </w:pPr>
      <w:r w:rsidRPr="00D33F15">
        <w:rPr>
          <w:rStyle w:val="FootnoteReference"/>
        </w:rPr>
        <w:footnoteRef/>
      </w:r>
      <w:r w:rsidRPr="00D33F15">
        <w:t xml:space="preserve"> TURN Opening Brief at </w:t>
      </w:r>
      <w:r w:rsidR="00906765" w:rsidRPr="00D33F15">
        <w:t>34</w:t>
      </w:r>
      <w:r w:rsidRPr="00D33F15">
        <w:t>.</w:t>
      </w:r>
    </w:p>
  </w:footnote>
  <w:footnote w:id="312">
    <w:p w14:paraId="59E7DB02" w14:textId="06E36DE7" w:rsidR="00906765" w:rsidRPr="00D33F15" w:rsidRDefault="00906765">
      <w:pPr>
        <w:pStyle w:val="FootnoteText"/>
      </w:pPr>
      <w:r w:rsidRPr="00D33F15">
        <w:rPr>
          <w:rStyle w:val="FootnoteReference"/>
        </w:rPr>
        <w:footnoteRef/>
      </w:r>
      <w:r w:rsidRPr="00D33F15">
        <w:t xml:space="preserve"> TURN Opening Brief at 34.</w:t>
      </w:r>
    </w:p>
  </w:footnote>
  <w:footnote w:id="313">
    <w:p w14:paraId="05EFCE96" w14:textId="7D8069D2" w:rsidR="00D46517" w:rsidRPr="00D33F15" w:rsidRDefault="00D46517" w:rsidP="00D46517">
      <w:pPr>
        <w:pStyle w:val="FootnoteText"/>
      </w:pPr>
      <w:r w:rsidRPr="00D33F15">
        <w:rPr>
          <w:rStyle w:val="FootnoteReference"/>
          <w:color w:val="000000" w:themeColor="text1"/>
        </w:rPr>
        <w:footnoteRef/>
      </w:r>
      <w:r w:rsidRPr="00D33F15">
        <w:rPr>
          <w:color w:val="000000" w:themeColor="text1"/>
        </w:rPr>
        <w:t xml:space="preserve"> TURN Opening Brief at </w:t>
      </w:r>
      <w:r w:rsidR="00EC429F" w:rsidRPr="00D33F15">
        <w:rPr>
          <w:color w:val="000000" w:themeColor="text1"/>
        </w:rPr>
        <w:t>34</w:t>
      </w:r>
      <w:r w:rsidRPr="00D33F15">
        <w:rPr>
          <w:color w:val="000000" w:themeColor="text1"/>
        </w:rPr>
        <w:t xml:space="preserve">; D.21-04-008 at </w:t>
      </w:r>
      <w:r w:rsidR="000A0AA8" w:rsidRPr="00D33F15">
        <w:rPr>
          <w:color w:val="000000" w:themeColor="text1"/>
        </w:rPr>
        <w:t>36</w:t>
      </w:r>
      <w:r w:rsidRPr="00D33F15">
        <w:rPr>
          <w:color w:val="000000" w:themeColor="text1"/>
        </w:rPr>
        <w:t>.</w:t>
      </w:r>
    </w:p>
  </w:footnote>
  <w:footnote w:id="314">
    <w:p w14:paraId="26C15D33" w14:textId="67F7A41C" w:rsidR="00060CA1" w:rsidRPr="00D33F15" w:rsidRDefault="00060CA1">
      <w:pPr>
        <w:pStyle w:val="FootnoteText"/>
      </w:pPr>
      <w:r w:rsidRPr="00D33F15">
        <w:rPr>
          <w:rStyle w:val="FootnoteReference"/>
        </w:rPr>
        <w:footnoteRef/>
      </w:r>
      <w:r w:rsidRPr="00D33F15">
        <w:t xml:space="preserve"> TURN Opening Brief at 34-45.</w:t>
      </w:r>
    </w:p>
  </w:footnote>
  <w:footnote w:id="315">
    <w:p w14:paraId="77A12590" w14:textId="77777777" w:rsidR="00CB3D47" w:rsidRPr="00D33F15" w:rsidRDefault="00CB3D47" w:rsidP="00CB3D47">
      <w:pPr>
        <w:pStyle w:val="FootnoteText"/>
      </w:pPr>
      <w:r w:rsidRPr="00D33F15">
        <w:rPr>
          <w:rStyle w:val="FootnoteReference"/>
        </w:rPr>
        <w:footnoteRef/>
      </w:r>
      <w:r w:rsidRPr="00D33F15">
        <w:t xml:space="preserve"> Joint Applicants Opening Brief, Appendix B.</w:t>
      </w:r>
    </w:p>
  </w:footnote>
  <w:footnote w:id="316">
    <w:p w14:paraId="1920AAC6" w14:textId="75EFB457" w:rsidR="00EE4773" w:rsidRPr="00D33F15" w:rsidRDefault="00EE4773" w:rsidP="00EE4773">
      <w:pPr>
        <w:pStyle w:val="FootnoteText"/>
      </w:pPr>
      <w:r w:rsidRPr="00D33F15">
        <w:rPr>
          <w:rStyle w:val="FootnoteReference"/>
        </w:rPr>
        <w:footnoteRef/>
      </w:r>
      <w:r w:rsidRPr="00D33F15">
        <w:t xml:space="preserve"> Joint Applica</w:t>
      </w:r>
      <w:r w:rsidRPr="00D33F15">
        <w:rPr>
          <w:color w:val="000000" w:themeColor="text1"/>
        </w:rPr>
        <w:t>nts Opening Brief at 21.</w:t>
      </w:r>
    </w:p>
  </w:footnote>
  <w:footnote w:id="317">
    <w:p w14:paraId="694577CA" w14:textId="62B1FBD3" w:rsidR="00922DD3" w:rsidRPr="00D33F15" w:rsidRDefault="00922DD3">
      <w:pPr>
        <w:pStyle w:val="FootnoteText"/>
      </w:pPr>
      <w:r w:rsidRPr="00D33F15">
        <w:rPr>
          <w:rStyle w:val="FootnoteReference"/>
        </w:rPr>
        <w:footnoteRef/>
      </w:r>
      <w:r w:rsidRPr="00D33F15">
        <w:t xml:space="preserve"> Joint Applica</w:t>
      </w:r>
      <w:r w:rsidRPr="00D33F15">
        <w:rPr>
          <w:color w:val="000000" w:themeColor="text1"/>
        </w:rPr>
        <w:t>nts Opening Brief at 21.</w:t>
      </w:r>
    </w:p>
  </w:footnote>
  <w:footnote w:id="318">
    <w:p w14:paraId="27288F5B" w14:textId="12DC72C5" w:rsidR="00BE735A" w:rsidRPr="00D33F15" w:rsidRDefault="00BE735A">
      <w:pPr>
        <w:pStyle w:val="FootnoteText"/>
      </w:pPr>
      <w:r w:rsidRPr="00D33F15">
        <w:rPr>
          <w:rStyle w:val="FootnoteReference"/>
        </w:rPr>
        <w:footnoteRef/>
      </w:r>
      <w:r w:rsidRPr="00D33F15">
        <w:t xml:space="preserve"> Joint Applica</w:t>
      </w:r>
      <w:r w:rsidRPr="00D33F15">
        <w:rPr>
          <w:color w:val="000000" w:themeColor="text1"/>
        </w:rPr>
        <w:t xml:space="preserve">nts Opening Brief at </w:t>
      </w:r>
      <w:r w:rsidR="00922DD3" w:rsidRPr="00D33F15">
        <w:rPr>
          <w:color w:val="000000" w:themeColor="text1"/>
        </w:rPr>
        <w:t>22</w:t>
      </w:r>
      <w:r w:rsidRPr="00D33F15">
        <w:rPr>
          <w:color w:val="000000" w:themeColor="text1"/>
        </w:rPr>
        <w:t>.</w:t>
      </w:r>
    </w:p>
  </w:footnote>
  <w:footnote w:id="319">
    <w:p w14:paraId="3A21DB2E" w14:textId="39CFD6B9" w:rsidR="00784AC1" w:rsidRPr="00D33F15" w:rsidRDefault="00784AC1">
      <w:pPr>
        <w:pStyle w:val="FootnoteText"/>
      </w:pPr>
      <w:r w:rsidRPr="00D33F15">
        <w:rPr>
          <w:rStyle w:val="FootnoteReference"/>
        </w:rPr>
        <w:footnoteRef/>
      </w:r>
      <w:r w:rsidRPr="00D33F15">
        <w:t xml:space="preserve"> </w:t>
      </w:r>
      <w:r w:rsidR="00372F62" w:rsidRPr="00D33F15">
        <w:t>TURN Opening Brief at 35, citing D.21-03-043 at OP 4(e).</w:t>
      </w:r>
    </w:p>
  </w:footnote>
  <w:footnote w:id="320">
    <w:p w14:paraId="54DFEE8E" w14:textId="756D4E32" w:rsidR="007D36CD" w:rsidRPr="00D33F15" w:rsidRDefault="007D36CD">
      <w:pPr>
        <w:pStyle w:val="FootnoteText"/>
      </w:pPr>
      <w:r w:rsidRPr="00D33F15">
        <w:rPr>
          <w:rStyle w:val="FootnoteReference"/>
        </w:rPr>
        <w:footnoteRef/>
      </w:r>
      <w:r w:rsidRPr="00D33F15">
        <w:t xml:space="preserve"> TURN Opening Brief at </w:t>
      </w:r>
      <w:r w:rsidR="00431050" w:rsidRPr="00D33F15">
        <w:t>35</w:t>
      </w:r>
      <w:r w:rsidRPr="00D33F15">
        <w:t>.</w:t>
      </w:r>
    </w:p>
  </w:footnote>
  <w:footnote w:id="321">
    <w:p w14:paraId="79571B51" w14:textId="747EE4CE" w:rsidR="00F02CD3" w:rsidRPr="00D33F15" w:rsidRDefault="00F02CD3">
      <w:pPr>
        <w:pStyle w:val="FootnoteText"/>
      </w:pPr>
      <w:r w:rsidRPr="00D33F15">
        <w:rPr>
          <w:rStyle w:val="FootnoteReference"/>
        </w:rPr>
        <w:footnoteRef/>
      </w:r>
      <w:r w:rsidRPr="00D33F15">
        <w:t xml:space="preserve"> TURN Opening Brief at 36.</w:t>
      </w:r>
    </w:p>
  </w:footnote>
  <w:footnote w:id="322">
    <w:p w14:paraId="5344002C" w14:textId="58E8149E" w:rsidR="005360C9" w:rsidRPr="00D33F15" w:rsidRDefault="005360C9">
      <w:pPr>
        <w:pStyle w:val="FootnoteText"/>
      </w:pPr>
      <w:r w:rsidRPr="00D33F15">
        <w:rPr>
          <w:rStyle w:val="FootnoteReference"/>
        </w:rPr>
        <w:footnoteRef/>
      </w:r>
      <w:r w:rsidRPr="00D33F15">
        <w:t xml:space="preserve"> </w:t>
      </w:r>
      <w:r w:rsidR="0001596E" w:rsidRPr="00D33F15">
        <w:t>TURN Opening Brief at 36.</w:t>
      </w:r>
    </w:p>
  </w:footnote>
  <w:footnote w:id="323">
    <w:p w14:paraId="029DC4E1" w14:textId="39ED9E00" w:rsidR="00642EC4" w:rsidRPr="00D33F15" w:rsidRDefault="00642EC4">
      <w:pPr>
        <w:pStyle w:val="FootnoteText"/>
      </w:pPr>
      <w:r w:rsidRPr="00D33F15">
        <w:rPr>
          <w:rStyle w:val="FootnoteReference"/>
        </w:rPr>
        <w:footnoteRef/>
      </w:r>
      <w:r w:rsidRPr="00D33F15">
        <w:t xml:space="preserve"> </w:t>
      </w:r>
      <w:r w:rsidRPr="00D33F15">
        <w:rPr>
          <w:color w:val="000000" w:themeColor="text1"/>
        </w:rPr>
        <w:t>TURN Opening Brief at</w:t>
      </w:r>
      <w:r w:rsidR="00B36C29" w:rsidRPr="00D33F15">
        <w:rPr>
          <w:color w:val="000000" w:themeColor="text1"/>
        </w:rPr>
        <w:t xml:space="preserve"> 36.</w:t>
      </w:r>
    </w:p>
  </w:footnote>
  <w:footnote w:id="324">
    <w:p w14:paraId="6E3185D3" w14:textId="0E015526" w:rsidR="006F414B" w:rsidRPr="00D33F15" w:rsidRDefault="006F414B">
      <w:pPr>
        <w:pStyle w:val="FootnoteText"/>
      </w:pPr>
      <w:r w:rsidRPr="00D33F15">
        <w:rPr>
          <w:rStyle w:val="FootnoteReference"/>
          <w:color w:val="000000" w:themeColor="text1"/>
        </w:rPr>
        <w:footnoteRef/>
      </w:r>
      <w:r w:rsidRPr="00D33F15">
        <w:rPr>
          <w:color w:val="000000" w:themeColor="text1"/>
        </w:rPr>
        <w:t xml:space="preserve"> TURN Opening Brief at </w:t>
      </w:r>
      <w:r w:rsidR="00A02373" w:rsidRPr="00D33F15">
        <w:rPr>
          <w:color w:val="000000" w:themeColor="text1"/>
        </w:rPr>
        <w:t>38</w:t>
      </w:r>
      <w:r w:rsidRPr="00D33F15">
        <w:rPr>
          <w:color w:val="000000" w:themeColor="text1"/>
        </w:rPr>
        <w:t>.</w:t>
      </w:r>
    </w:p>
  </w:footnote>
  <w:footnote w:id="325">
    <w:p w14:paraId="15DCB36A" w14:textId="7D5DCFF1" w:rsidR="002C5408" w:rsidRPr="00D33F15" w:rsidRDefault="002C5408">
      <w:pPr>
        <w:pStyle w:val="FootnoteText"/>
      </w:pPr>
      <w:r w:rsidRPr="00D33F15">
        <w:rPr>
          <w:rStyle w:val="FootnoteReference"/>
          <w:color w:val="000000" w:themeColor="text1"/>
        </w:rPr>
        <w:footnoteRef/>
      </w:r>
      <w:r w:rsidRPr="00D33F15">
        <w:rPr>
          <w:color w:val="000000" w:themeColor="text1"/>
        </w:rPr>
        <w:t xml:space="preserve"> </w:t>
      </w:r>
      <w:r w:rsidR="004C2E57" w:rsidRPr="00D33F15">
        <w:rPr>
          <w:color w:val="000000" w:themeColor="text1"/>
        </w:rPr>
        <w:t xml:space="preserve">TURN Opening Brief </w:t>
      </w:r>
      <w:r w:rsidR="002734D9" w:rsidRPr="00D33F15">
        <w:rPr>
          <w:color w:val="000000" w:themeColor="text1"/>
        </w:rPr>
        <w:t xml:space="preserve">at </w:t>
      </w:r>
      <w:r w:rsidR="00593A61" w:rsidRPr="00D33F15">
        <w:rPr>
          <w:color w:val="000000" w:themeColor="text1"/>
        </w:rPr>
        <w:t>38</w:t>
      </w:r>
      <w:r w:rsidR="002734D9" w:rsidRPr="00D33F15">
        <w:rPr>
          <w:color w:val="000000" w:themeColor="text1"/>
        </w:rPr>
        <w:t>.</w:t>
      </w:r>
    </w:p>
  </w:footnote>
  <w:footnote w:id="326">
    <w:p w14:paraId="0DDA275E" w14:textId="56DBC2D6" w:rsidR="00770720" w:rsidRPr="00D33F15" w:rsidRDefault="00770720" w:rsidP="00770720">
      <w:pPr>
        <w:pStyle w:val="FootnoteText"/>
      </w:pPr>
      <w:r w:rsidRPr="00D33F15">
        <w:rPr>
          <w:rStyle w:val="FootnoteReference"/>
        </w:rPr>
        <w:footnoteRef/>
      </w:r>
      <w:r w:rsidRPr="00D33F15">
        <w:t xml:space="preserve"> Joint Applicants Opening Brief at 22.</w:t>
      </w:r>
    </w:p>
  </w:footnote>
  <w:footnote w:id="327">
    <w:p w14:paraId="0524F0A8" w14:textId="47CE7F22" w:rsidR="00770720" w:rsidRPr="00D33F15" w:rsidRDefault="00770720" w:rsidP="00770720">
      <w:pPr>
        <w:pStyle w:val="FootnoteText"/>
      </w:pPr>
      <w:r w:rsidRPr="00D33F15">
        <w:rPr>
          <w:rStyle w:val="FootnoteReference"/>
        </w:rPr>
        <w:footnoteRef/>
      </w:r>
      <w:r w:rsidRPr="00D33F15">
        <w:t xml:space="preserve"> Joint Applicants Opening Brief at 22.</w:t>
      </w:r>
    </w:p>
  </w:footnote>
  <w:footnote w:id="328">
    <w:p w14:paraId="753116A6" w14:textId="57F00AB3" w:rsidR="00770720" w:rsidRPr="00D33F15" w:rsidRDefault="00770720" w:rsidP="00770720">
      <w:pPr>
        <w:pStyle w:val="FootnoteText"/>
      </w:pPr>
      <w:r w:rsidRPr="00D33F15">
        <w:rPr>
          <w:rStyle w:val="FootnoteReference"/>
          <w:color w:val="000000" w:themeColor="text1"/>
        </w:rPr>
        <w:footnoteRef/>
      </w:r>
      <w:r w:rsidRPr="00D33F15">
        <w:rPr>
          <w:color w:val="000000" w:themeColor="text1"/>
        </w:rPr>
        <w:t xml:space="preserve"> Joint Applicants Opening Brief at 22-3, citing Harvard at 206-07.</w:t>
      </w:r>
    </w:p>
  </w:footnote>
  <w:footnote w:id="329">
    <w:p w14:paraId="773ED24A" w14:textId="2ED75C94" w:rsidR="00770720" w:rsidRPr="00D33F15" w:rsidRDefault="00770720" w:rsidP="00770720">
      <w:pPr>
        <w:pStyle w:val="FootnoteText"/>
      </w:pPr>
      <w:r w:rsidRPr="00D33F15">
        <w:rPr>
          <w:rStyle w:val="FootnoteReference"/>
        </w:rPr>
        <w:footnoteRef/>
      </w:r>
      <w:r w:rsidRPr="00D33F15">
        <w:t xml:space="preserve"> Joint Applicants Opening Brief at 23, citing U.S. Equal Employment Opportunity Commission Bulletin, EEOC and Justice Department Warn Against Unlawful DEI-Related Discrimination, March 19, 2025.</w:t>
      </w:r>
    </w:p>
  </w:footnote>
  <w:footnote w:id="330">
    <w:p w14:paraId="401667FB" w14:textId="170774A8" w:rsidR="00770720" w:rsidRPr="00D33F15" w:rsidRDefault="00770720" w:rsidP="00770720">
      <w:pPr>
        <w:pStyle w:val="FootnoteText"/>
        <w:rPr>
          <w:color w:val="000000" w:themeColor="text1"/>
        </w:rPr>
      </w:pPr>
      <w:r w:rsidRPr="00D33F15">
        <w:rPr>
          <w:rStyle w:val="FootnoteReference"/>
        </w:rPr>
        <w:footnoteRef/>
      </w:r>
      <w:r w:rsidRPr="00D33F15">
        <w:t xml:space="preserve"> Joint </w:t>
      </w:r>
      <w:r w:rsidRPr="00D33F15">
        <w:rPr>
          <w:color w:val="000000" w:themeColor="text1"/>
        </w:rPr>
        <w:t>Applicants Opening Brief at 23, citing Executive Order No. 14173, January 21, 2025 and Executive Order No. 14151, January 20, 2025.</w:t>
      </w:r>
    </w:p>
  </w:footnote>
  <w:footnote w:id="331">
    <w:p w14:paraId="369FCED8" w14:textId="3C66DC32" w:rsidR="00770720" w:rsidRPr="00D33F15" w:rsidRDefault="00770720" w:rsidP="00770720">
      <w:pPr>
        <w:pStyle w:val="FootnoteText"/>
        <w:rPr>
          <w:color w:val="000000" w:themeColor="text1"/>
        </w:rPr>
      </w:pPr>
      <w:r w:rsidRPr="00D33F15">
        <w:rPr>
          <w:rStyle w:val="FootnoteReference"/>
          <w:color w:val="000000" w:themeColor="text1"/>
        </w:rPr>
        <w:footnoteRef/>
      </w:r>
      <w:r w:rsidRPr="00D33F15">
        <w:rPr>
          <w:color w:val="000000" w:themeColor="text1"/>
        </w:rPr>
        <w:t xml:space="preserve"> Joint Applicants Opening Brief at </w:t>
      </w:r>
      <w:r w:rsidR="00F4704D" w:rsidRPr="00D33F15">
        <w:rPr>
          <w:color w:val="000000" w:themeColor="text1"/>
        </w:rPr>
        <w:t>23</w:t>
      </w:r>
      <w:r w:rsidRPr="00D33F15">
        <w:rPr>
          <w:color w:val="000000" w:themeColor="text1"/>
        </w:rPr>
        <w:t>.</w:t>
      </w:r>
    </w:p>
  </w:footnote>
  <w:footnote w:id="332">
    <w:p w14:paraId="2BCEF2F6" w14:textId="3FA83E03" w:rsidR="00770720" w:rsidRPr="00D33F15" w:rsidRDefault="00770720" w:rsidP="00770720">
      <w:pPr>
        <w:pStyle w:val="FootnoteText"/>
        <w:rPr>
          <w:color w:val="000000" w:themeColor="text1"/>
        </w:rPr>
      </w:pPr>
      <w:r w:rsidRPr="00D33F15">
        <w:rPr>
          <w:rStyle w:val="FootnoteReference"/>
          <w:color w:val="000000" w:themeColor="text1"/>
        </w:rPr>
        <w:footnoteRef/>
      </w:r>
      <w:r w:rsidRPr="00D33F15">
        <w:rPr>
          <w:color w:val="000000" w:themeColor="text1"/>
        </w:rPr>
        <w:t xml:space="preserve"> Joint Applicants Opening Brief at </w:t>
      </w:r>
      <w:r w:rsidR="00F4704D" w:rsidRPr="00D33F15">
        <w:rPr>
          <w:color w:val="000000" w:themeColor="text1"/>
        </w:rPr>
        <w:t>23</w:t>
      </w:r>
      <w:r w:rsidRPr="00D33F15">
        <w:rPr>
          <w:color w:val="000000" w:themeColor="text1"/>
        </w:rPr>
        <w:t>.</w:t>
      </w:r>
    </w:p>
  </w:footnote>
  <w:footnote w:id="333">
    <w:p w14:paraId="3D4B8D93" w14:textId="4112C0A7" w:rsidR="00770720" w:rsidRPr="00D33F15" w:rsidRDefault="00770720" w:rsidP="00770720">
      <w:pPr>
        <w:pStyle w:val="FootnoteText"/>
        <w:rPr>
          <w:color w:val="000000" w:themeColor="text1"/>
        </w:rPr>
      </w:pPr>
      <w:r w:rsidRPr="00D33F15">
        <w:rPr>
          <w:rStyle w:val="FootnoteReference"/>
          <w:color w:val="000000" w:themeColor="text1"/>
        </w:rPr>
        <w:footnoteRef/>
      </w:r>
      <w:r w:rsidRPr="00D33F15">
        <w:rPr>
          <w:color w:val="000000" w:themeColor="text1"/>
        </w:rPr>
        <w:t xml:space="preserve"> Joint Applicants Opening Brief at </w:t>
      </w:r>
      <w:r w:rsidR="00314A07" w:rsidRPr="00D33F15">
        <w:rPr>
          <w:color w:val="000000" w:themeColor="text1"/>
        </w:rPr>
        <w:t>23</w:t>
      </w:r>
      <w:r w:rsidRPr="00D33F15">
        <w:rPr>
          <w:color w:val="000000" w:themeColor="text1"/>
        </w:rPr>
        <w:t>.</w:t>
      </w:r>
    </w:p>
  </w:footnote>
  <w:footnote w:id="334">
    <w:p w14:paraId="0972D34B" w14:textId="7E53FE03" w:rsidR="00770720" w:rsidRPr="00D33F15" w:rsidRDefault="00770720" w:rsidP="00770720">
      <w:pPr>
        <w:pStyle w:val="FootnoteText"/>
        <w:rPr>
          <w:color w:val="000000" w:themeColor="text1"/>
        </w:rPr>
      </w:pPr>
      <w:r w:rsidRPr="00D33F15">
        <w:rPr>
          <w:rStyle w:val="FootnoteReference"/>
          <w:color w:val="000000" w:themeColor="text1"/>
        </w:rPr>
        <w:footnoteRef/>
      </w:r>
      <w:r w:rsidRPr="00D33F15">
        <w:rPr>
          <w:color w:val="000000" w:themeColor="text1"/>
        </w:rPr>
        <w:t xml:space="preserve"> Joint Applicants Opening Brief at 24.  The Joint Applicants noted that Chairman Carr’s letter to Verizon explicitly stated his expectation that “all regulated companies” will “end invidious forms of DEI discrimination, given the scope of the FCC’s EEO rules and other authorities.”</w:t>
      </w:r>
      <w:r w:rsidRPr="00D33F15">
        <w:rPr>
          <w:rStyle w:val="FootnoteReference"/>
          <w:color w:val="000000" w:themeColor="text1"/>
        </w:rPr>
        <w:t xml:space="preserve"> </w:t>
      </w:r>
      <w:r w:rsidRPr="00D33F15">
        <w:rPr>
          <w:color w:val="000000" w:themeColor="text1"/>
        </w:rPr>
        <w:t xml:space="preserve"> The Joint Applicants also stated that the FCC initiated investigations against other major companies in the absence of a pending transaction, and several companies in the industry subsequently announced changes to their DEI programs.  </w:t>
      </w:r>
    </w:p>
  </w:footnote>
  <w:footnote w:id="335">
    <w:p w14:paraId="1520A596" w14:textId="17063E9F" w:rsidR="00770720" w:rsidRPr="00D33F15" w:rsidRDefault="00770720" w:rsidP="00770720">
      <w:pPr>
        <w:pStyle w:val="FootnoteText"/>
        <w:rPr>
          <w:color w:val="000000" w:themeColor="text1"/>
        </w:rPr>
      </w:pPr>
      <w:r w:rsidRPr="00D33F15">
        <w:rPr>
          <w:rStyle w:val="FootnoteReference"/>
          <w:color w:val="000000" w:themeColor="text1"/>
        </w:rPr>
        <w:footnoteRef/>
      </w:r>
      <w:r w:rsidRPr="00D33F15">
        <w:rPr>
          <w:color w:val="000000" w:themeColor="text1"/>
        </w:rPr>
        <w:t xml:space="preserve"> Joint Applicants Opening Brief at </w:t>
      </w:r>
      <w:r w:rsidR="001C208C" w:rsidRPr="00D33F15">
        <w:rPr>
          <w:color w:val="000000" w:themeColor="text1"/>
        </w:rPr>
        <w:t>24</w:t>
      </w:r>
      <w:r w:rsidRPr="00D33F15">
        <w:rPr>
          <w:color w:val="000000" w:themeColor="text1"/>
        </w:rPr>
        <w:t>.</w:t>
      </w:r>
    </w:p>
  </w:footnote>
  <w:footnote w:id="336">
    <w:p w14:paraId="56AA6FC7" w14:textId="6B6501C6" w:rsidR="00770720" w:rsidRPr="00D33F15" w:rsidRDefault="00770720" w:rsidP="00770720">
      <w:pPr>
        <w:pStyle w:val="FootnoteText"/>
        <w:rPr>
          <w:color w:val="000000" w:themeColor="text1"/>
        </w:rPr>
      </w:pPr>
      <w:r w:rsidRPr="00D33F15">
        <w:rPr>
          <w:rStyle w:val="FootnoteReference"/>
          <w:color w:val="000000" w:themeColor="text1"/>
        </w:rPr>
        <w:footnoteRef/>
      </w:r>
      <w:r w:rsidRPr="00D33F15">
        <w:rPr>
          <w:color w:val="000000" w:themeColor="text1"/>
        </w:rPr>
        <w:t xml:space="preserve"> Joint Applicants Opening Brief at </w:t>
      </w:r>
      <w:r w:rsidR="001C208C" w:rsidRPr="00D33F15">
        <w:rPr>
          <w:color w:val="000000" w:themeColor="text1"/>
        </w:rPr>
        <w:t>25</w:t>
      </w:r>
      <w:r w:rsidRPr="00D33F15">
        <w:rPr>
          <w:color w:val="000000" w:themeColor="text1"/>
        </w:rPr>
        <w:t>.</w:t>
      </w:r>
    </w:p>
  </w:footnote>
  <w:footnote w:id="337">
    <w:p w14:paraId="638EFD8F" w14:textId="17604883" w:rsidR="00770720" w:rsidRPr="00D33F15" w:rsidRDefault="00770720" w:rsidP="00770720">
      <w:pPr>
        <w:pStyle w:val="FootnoteText"/>
        <w:rPr>
          <w:color w:val="000000" w:themeColor="text1"/>
        </w:rPr>
      </w:pPr>
      <w:r w:rsidRPr="00D33F15">
        <w:rPr>
          <w:rStyle w:val="FootnoteReference"/>
          <w:color w:val="000000" w:themeColor="text1"/>
        </w:rPr>
        <w:footnoteRef/>
      </w:r>
      <w:r w:rsidRPr="00D33F15">
        <w:rPr>
          <w:color w:val="000000" w:themeColor="text1"/>
        </w:rPr>
        <w:t xml:space="preserve"> Joint Applicants Opening Brief at </w:t>
      </w:r>
      <w:r w:rsidR="008C5D2F" w:rsidRPr="00D33F15">
        <w:rPr>
          <w:color w:val="000000" w:themeColor="text1"/>
        </w:rPr>
        <w:t>25-26</w:t>
      </w:r>
      <w:r w:rsidRPr="00D33F15">
        <w:rPr>
          <w:color w:val="000000" w:themeColor="text1"/>
        </w:rPr>
        <w:t>.</w:t>
      </w:r>
    </w:p>
  </w:footnote>
  <w:footnote w:id="338">
    <w:p w14:paraId="7FA22FBC" w14:textId="5CE19C19" w:rsidR="00770720" w:rsidRPr="00D33F15" w:rsidRDefault="00770720" w:rsidP="00770720">
      <w:pPr>
        <w:pStyle w:val="FootnoteText"/>
        <w:rPr>
          <w:color w:val="000000" w:themeColor="text1"/>
        </w:rPr>
      </w:pPr>
      <w:r w:rsidRPr="00D33F15">
        <w:rPr>
          <w:rStyle w:val="FootnoteReference"/>
          <w:color w:val="000000" w:themeColor="text1"/>
        </w:rPr>
        <w:footnoteRef/>
      </w:r>
      <w:r w:rsidRPr="00D33F15">
        <w:rPr>
          <w:color w:val="000000" w:themeColor="text1"/>
        </w:rPr>
        <w:t xml:space="preserve"> Joint Applicants Opening Brief at </w:t>
      </w:r>
      <w:r w:rsidR="008C5D2F" w:rsidRPr="00D33F15">
        <w:rPr>
          <w:color w:val="000000" w:themeColor="text1"/>
        </w:rPr>
        <w:t>26</w:t>
      </w:r>
      <w:r w:rsidRPr="00D33F15">
        <w:rPr>
          <w:color w:val="000000" w:themeColor="text1"/>
        </w:rPr>
        <w:t>.</w:t>
      </w:r>
    </w:p>
  </w:footnote>
  <w:footnote w:id="339">
    <w:p w14:paraId="0C0E48DE" w14:textId="07FC4A36" w:rsidR="00770720" w:rsidRPr="00D33F15" w:rsidRDefault="00770720" w:rsidP="00770720">
      <w:pPr>
        <w:pStyle w:val="FootnoteText"/>
        <w:rPr>
          <w:color w:val="000000" w:themeColor="text1"/>
        </w:rPr>
      </w:pPr>
      <w:r w:rsidRPr="00D33F15">
        <w:rPr>
          <w:rStyle w:val="FootnoteReference"/>
          <w:color w:val="000000" w:themeColor="text1"/>
        </w:rPr>
        <w:footnoteRef/>
      </w:r>
      <w:r w:rsidRPr="00D33F15">
        <w:rPr>
          <w:color w:val="000000" w:themeColor="text1"/>
        </w:rPr>
        <w:t xml:space="preserve"> Joint Applicants Opening Brief at </w:t>
      </w:r>
      <w:r w:rsidR="001E4E37" w:rsidRPr="00D33F15">
        <w:rPr>
          <w:color w:val="000000" w:themeColor="text1"/>
        </w:rPr>
        <w:t>26</w:t>
      </w:r>
      <w:r w:rsidRPr="00D33F15">
        <w:rPr>
          <w:color w:val="000000" w:themeColor="text1"/>
        </w:rPr>
        <w:t>.</w:t>
      </w:r>
    </w:p>
  </w:footnote>
  <w:footnote w:id="340">
    <w:p w14:paraId="0822DF4A" w14:textId="77777777" w:rsidR="00F77E9B" w:rsidRPr="00D33F15" w:rsidRDefault="00F77E9B" w:rsidP="00F77E9B">
      <w:pPr>
        <w:pStyle w:val="FootnoteText"/>
      </w:pPr>
      <w:r w:rsidRPr="00D33F15">
        <w:rPr>
          <w:rStyle w:val="FootnoteReference"/>
          <w:color w:val="000000" w:themeColor="text1"/>
        </w:rPr>
        <w:footnoteRef/>
      </w:r>
      <w:r w:rsidRPr="00D33F15">
        <w:rPr>
          <w:color w:val="000000" w:themeColor="text1"/>
        </w:rPr>
        <w:t xml:space="preserve"> Assigned Commissioner’s Ruling Requiring Additional Testimony, July 23, 2025 at 5.</w:t>
      </w:r>
    </w:p>
  </w:footnote>
  <w:footnote w:id="341">
    <w:p w14:paraId="0BC7F57D" w14:textId="77777777" w:rsidR="00F74464" w:rsidRPr="00D33F15" w:rsidRDefault="00F74464" w:rsidP="00F74464">
      <w:pPr>
        <w:pStyle w:val="FootnoteText"/>
      </w:pPr>
      <w:r w:rsidRPr="00D33F15">
        <w:rPr>
          <w:rStyle w:val="FootnoteReference"/>
        </w:rPr>
        <w:footnoteRef/>
      </w:r>
      <w:r w:rsidRPr="00D33F15">
        <w:t xml:space="preserve"> Pub. Util. Code Section 8283(a).</w:t>
      </w:r>
    </w:p>
  </w:footnote>
  <w:footnote w:id="342">
    <w:p w14:paraId="11217463" w14:textId="77777777" w:rsidR="00F74464" w:rsidRPr="00D33F15" w:rsidRDefault="00F74464" w:rsidP="00F74464">
      <w:pPr>
        <w:pStyle w:val="FootnoteText"/>
      </w:pPr>
      <w:r w:rsidRPr="00D33F15">
        <w:rPr>
          <w:rStyle w:val="FootnoteReference"/>
        </w:rPr>
        <w:footnoteRef/>
      </w:r>
      <w:r w:rsidRPr="00D33F15">
        <w:t xml:space="preserve"> Pub. Util. Code Section 8283(b).</w:t>
      </w:r>
    </w:p>
  </w:footnote>
  <w:footnote w:id="343">
    <w:p w14:paraId="68A7C6DF" w14:textId="77777777" w:rsidR="009A032F" w:rsidRPr="00D33F15" w:rsidRDefault="009A032F" w:rsidP="009A032F">
      <w:pPr>
        <w:pStyle w:val="FootnoteText"/>
      </w:pPr>
      <w:r w:rsidRPr="00D33F15">
        <w:rPr>
          <w:rStyle w:val="FootnoteReference"/>
        </w:rPr>
        <w:footnoteRef/>
      </w:r>
      <w:r w:rsidRPr="00D33F15">
        <w:t xml:space="preserve"> </w:t>
      </w:r>
      <w:r w:rsidRPr="00D33F15">
        <w:rPr>
          <w:i/>
          <w:iCs/>
        </w:rPr>
        <w:t>See</w:t>
      </w:r>
      <w:r w:rsidRPr="00D33F15">
        <w:t xml:space="preserve"> General Order 156, available at https://docs.cpuc.ca.gov/published/General_order/59939.htm.</w:t>
      </w:r>
    </w:p>
  </w:footnote>
  <w:footnote w:id="344">
    <w:p w14:paraId="07855672" w14:textId="77777777" w:rsidR="009A032F" w:rsidRPr="00D33F15" w:rsidRDefault="009A032F" w:rsidP="009A032F">
      <w:pPr>
        <w:pStyle w:val="FootnoteText"/>
      </w:pPr>
      <w:r w:rsidRPr="00D33F15">
        <w:rPr>
          <w:rStyle w:val="FootnoteReference"/>
        </w:rPr>
        <w:footnoteRef/>
      </w:r>
      <w:r w:rsidRPr="00D33F15">
        <w:t xml:space="preserve"> </w:t>
      </w:r>
      <w:r w:rsidRPr="00D33F15">
        <w:rPr>
          <w:i/>
          <w:iCs/>
        </w:rPr>
        <w:t>See</w:t>
      </w:r>
      <w:r w:rsidRPr="00D33F15">
        <w:t xml:space="preserve"> Supplier Diversity Program, available at: https://www.cpuc.ca.gov/about-cpuc/divisions/news-and-public-information-office/business-and-community-outreach/supplier-diversity-program.</w:t>
      </w:r>
    </w:p>
  </w:footnote>
  <w:footnote w:id="345">
    <w:p w14:paraId="3A80469C" w14:textId="77777777" w:rsidR="00D37D4B" w:rsidRPr="00D33F15" w:rsidRDefault="00D37D4B" w:rsidP="00D37D4B">
      <w:pPr>
        <w:pStyle w:val="FootnoteText"/>
      </w:pPr>
      <w:r w:rsidRPr="00D33F15">
        <w:rPr>
          <w:rStyle w:val="FootnoteReference"/>
        </w:rPr>
        <w:footnoteRef/>
      </w:r>
      <w:r w:rsidRPr="00D33F15">
        <w:t xml:space="preserve"> GO 156 Section 8.</w:t>
      </w:r>
    </w:p>
  </w:footnote>
  <w:footnote w:id="346">
    <w:p w14:paraId="473B0F7A" w14:textId="77777777" w:rsidR="000B5D34" w:rsidRPr="00D33F15" w:rsidRDefault="000B5D34" w:rsidP="000B5D34">
      <w:pPr>
        <w:pStyle w:val="FootnoteText"/>
      </w:pPr>
      <w:r w:rsidRPr="00D33F15">
        <w:rPr>
          <w:rStyle w:val="FootnoteReference"/>
        </w:rPr>
        <w:footnoteRef/>
      </w:r>
      <w:r w:rsidRPr="00D33F15">
        <w:t xml:space="preserve"> Exhibit JA-11 at 3.</w:t>
      </w:r>
    </w:p>
  </w:footnote>
  <w:footnote w:id="347">
    <w:p w14:paraId="573FD0FA" w14:textId="77777777" w:rsidR="00347A9E" w:rsidRPr="00D33F15" w:rsidRDefault="00347A9E" w:rsidP="00347A9E">
      <w:pPr>
        <w:pStyle w:val="FootnoteText"/>
      </w:pPr>
      <w:r w:rsidRPr="00D33F15">
        <w:rPr>
          <w:rStyle w:val="FootnoteReference"/>
        </w:rPr>
        <w:footnoteRef/>
      </w:r>
      <w:r w:rsidRPr="00D33F15">
        <w:t xml:space="preserve"> CETF Opening Brief at 33.</w:t>
      </w:r>
    </w:p>
  </w:footnote>
  <w:footnote w:id="348">
    <w:p w14:paraId="4640F411" w14:textId="77777777" w:rsidR="00347A9E" w:rsidRPr="00D33F15" w:rsidRDefault="00347A9E" w:rsidP="00347A9E">
      <w:pPr>
        <w:pStyle w:val="FootnoteText"/>
      </w:pPr>
      <w:r w:rsidRPr="00D33F15">
        <w:rPr>
          <w:rStyle w:val="FootnoteReference"/>
        </w:rPr>
        <w:footnoteRef/>
      </w:r>
      <w:r w:rsidRPr="00D33F15">
        <w:t xml:space="preserve"> CETF Opening Brief at 33.</w:t>
      </w:r>
    </w:p>
  </w:footnote>
  <w:footnote w:id="349">
    <w:p w14:paraId="7074CCD1" w14:textId="12FF5374" w:rsidR="00C826FE" w:rsidRPr="00D33F15" w:rsidRDefault="00C826FE" w:rsidP="00C826FE">
      <w:pPr>
        <w:pStyle w:val="FootnoteText"/>
      </w:pPr>
      <w:r w:rsidRPr="00D33F15">
        <w:rPr>
          <w:rStyle w:val="FootnoteReference"/>
        </w:rPr>
        <w:footnoteRef/>
      </w:r>
      <w:r w:rsidRPr="00D33F15">
        <w:t xml:space="preserve"> CforAT Opening Brief at </w:t>
      </w:r>
      <w:r w:rsidR="00F25620" w:rsidRPr="00D33F15">
        <w:t>30</w:t>
      </w:r>
      <w:r w:rsidRPr="00D33F15">
        <w:t>.</w:t>
      </w:r>
    </w:p>
  </w:footnote>
  <w:footnote w:id="350">
    <w:p w14:paraId="4BE27073" w14:textId="68314934" w:rsidR="00C826FE" w:rsidRPr="00D33F15" w:rsidRDefault="00C826FE" w:rsidP="00C826FE">
      <w:pPr>
        <w:pStyle w:val="FootnoteText"/>
        <w:rPr>
          <w:color w:val="000000" w:themeColor="text1"/>
        </w:rPr>
      </w:pPr>
      <w:r w:rsidRPr="00D33F15">
        <w:rPr>
          <w:rStyle w:val="FootnoteReference"/>
          <w:color w:val="000000" w:themeColor="text1"/>
        </w:rPr>
        <w:footnoteRef/>
      </w:r>
      <w:r w:rsidRPr="00D33F15">
        <w:rPr>
          <w:color w:val="000000" w:themeColor="text1"/>
        </w:rPr>
        <w:t xml:space="preserve"> CforAT Opening Brief at </w:t>
      </w:r>
      <w:r w:rsidR="005F697D" w:rsidRPr="00D33F15">
        <w:rPr>
          <w:color w:val="000000" w:themeColor="text1"/>
        </w:rPr>
        <w:t>30</w:t>
      </w:r>
      <w:r w:rsidRPr="00D33F15">
        <w:rPr>
          <w:color w:val="000000" w:themeColor="text1"/>
        </w:rPr>
        <w:t>.</w:t>
      </w:r>
    </w:p>
  </w:footnote>
  <w:footnote w:id="351">
    <w:p w14:paraId="4900D5CD" w14:textId="45D23558" w:rsidR="00C826FE" w:rsidRPr="00D33F15" w:rsidRDefault="00C826FE" w:rsidP="00C826FE">
      <w:pPr>
        <w:pStyle w:val="FootnoteText"/>
        <w:rPr>
          <w:color w:val="000000" w:themeColor="text1"/>
        </w:rPr>
      </w:pPr>
      <w:r w:rsidRPr="00D33F15">
        <w:rPr>
          <w:rStyle w:val="FootnoteReference"/>
          <w:color w:val="000000" w:themeColor="text1"/>
        </w:rPr>
        <w:footnoteRef/>
      </w:r>
      <w:r w:rsidRPr="00D33F15">
        <w:rPr>
          <w:color w:val="000000" w:themeColor="text1"/>
        </w:rPr>
        <w:t xml:space="preserve"> CforAT Opening Brief at </w:t>
      </w:r>
      <w:r w:rsidR="005F697D" w:rsidRPr="00D33F15">
        <w:rPr>
          <w:color w:val="000000" w:themeColor="text1"/>
        </w:rPr>
        <w:t>30.</w:t>
      </w:r>
    </w:p>
  </w:footnote>
  <w:footnote w:id="352">
    <w:p w14:paraId="4016F423" w14:textId="79A24171" w:rsidR="00C826FE" w:rsidRPr="00D33F15" w:rsidRDefault="00C826FE" w:rsidP="00C826FE">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787E7D" w:rsidRPr="00D33F15">
        <w:rPr>
          <w:color w:val="000000" w:themeColor="text1"/>
        </w:rPr>
        <w:t>TURN’s Opening Brief addresse</w:t>
      </w:r>
      <w:r w:rsidR="009A7320" w:rsidRPr="00D33F15">
        <w:rPr>
          <w:color w:val="000000" w:themeColor="text1"/>
        </w:rPr>
        <w:t>d</w:t>
      </w:r>
      <w:r w:rsidR="00787E7D" w:rsidRPr="00D33F15">
        <w:rPr>
          <w:color w:val="000000" w:themeColor="text1"/>
        </w:rPr>
        <w:t xml:space="preserve"> Issues 7.a. and 7.b. in scope in a single response summarized here.  See TURN Opening Brief at 39-40.</w:t>
      </w:r>
    </w:p>
  </w:footnote>
  <w:footnote w:id="353">
    <w:p w14:paraId="4BA0B450" w14:textId="2C554890" w:rsidR="00C826FE" w:rsidRPr="00D33F15" w:rsidRDefault="00C826FE" w:rsidP="00C826FE">
      <w:pPr>
        <w:pStyle w:val="FootnoteText"/>
        <w:rPr>
          <w:color w:val="000000" w:themeColor="text1"/>
        </w:rPr>
      </w:pPr>
      <w:r w:rsidRPr="00D33F15">
        <w:rPr>
          <w:rStyle w:val="FootnoteReference"/>
          <w:color w:val="000000" w:themeColor="text1"/>
        </w:rPr>
        <w:footnoteRef/>
      </w:r>
      <w:r w:rsidRPr="00D33F15">
        <w:rPr>
          <w:color w:val="000000" w:themeColor="text1"/>
        </w:rPr>
        <w:t xml:space="preserve"> TURN Opening Brief at </w:t>
      </w:r>
      <w:r w:rsidR="00D46DAB" w:rsidRPr="00D33F15">
        <w:rPr>
          <w:color w:val="000000" w:themeColor="text1"/>
        </w:rPr>
        <w:t>39</w:t>
      </w:r>
      <w:r w:rsidRPr="00D33F15">
        <w:rPr>
          <w:color w:val="000000" w:themeColor="text1"/>
        </w:rPr>
        <w:t>.</w:t>
      </w:r>
    </w:p>
  </w:footnote>
  <w:footnote w:id="354">
    <w:p w14:paraId="6F32337B" w14:textId="5ECD7CC0" w:rsidR="00C826FE" w:rsidRPr="00D33F15" w:rsidRDefault="00C826FE" w:rsidP="00C826FE">
      <w:pPr>
        <w:pStyle w:val="FootnoteText"/>
        <w:rPr>
          <w:color w:val="000000" w:themeColor="text1"/>
        </w:rPr>
      </w:pPr>
      <w:r w:rsidRPr="00D33F15">
        <w:rPr>
          <w:rStyle w:val="FootnoteReference"/>
          <w:color w:val="000000" w:themeColor="text1"/>
        </w:rPr>
        <w:footnoteRef/>
      </w:r>
      <w:r w:rsidRPr="00D33F15">
        <w:rPr>
          <w:color w:val="000000" w:themeColor="text1"/>
        </w:rPr>
        <w:t xml:space="preserve"> TURN Opening Brief at </w:t>
      </w:r>
      <w:r w:rsidR="00D46DAB" w:rsidRPr="00D33F15">
        <w:rPr>
          <w:color w:val="000000" w:themeColor="text1"/>
        </w:rPr>
        <w:t>39</w:t>
      </w:r>
      <w:r w:rsidRPr="00D33F15">
        <w:rPr>
          <w:color w:val="000000" w:themeColor="text1"/>
        </w:rPr>
        <w:t>.</w:t>
      </w:r>
    </w:p>
  </w:footnote>
  <w:footnote w:id="355">
    <w:p w14:paraId="5A11B5FB" w14:textId="05966DA1" w:rsidR="00C826FE" w:rsidRPr="00D33F15" w:rsidRDefault="00C826FE" w:rsidP="00C826FE">
      <w:pPr>
        <w:pStyle w:val="FootnoteText"/>
      </w:pPr>
      <w:r w:rsidRPr="00D33F15">
        <w:rPr>
          <w:rStyle w:val="FootnoteReference"/>
          <w:color w:val="000000" w:themeColor="text1"/>
        </w:rPr>
        <w:footnoteRef/>
      </w:r>
      <w:r w:rsidRPr="00D33F15">
        <w:rPr>
          <w:color w:val="000000" w:themeColor="text1"/>
        </w:rPr>
        <w:t xml:space="preserve"> TURN Opening Brief at </w:t>
      </w:r>
      <w:r w:rsidR="00AC3D86" w:rsidRPr="00D33F15">
        <w:rPr>
          <w:color w:val="000000" w:themeColor="text1"/>
        </w:rPr>
        <w:t>40</w:t>
      </w:r>
      <w:r w:rsidRPr="00D33F15">
        <w:rPr>
          <w:color w:val="000000" w:themeColor="text1"/>
        </w:rPr>
        <w:t>.</w:t>
      </w:r>
    </w:p>
  </w:footnote>
  <w:footnote w:id="356">
    <w:p w14:paraId="747F5684" w14:textId="76F86372" w:rsidR="00C826FE" w:rsidRPr="00D33F15" w:rsidRDefault="00C826FE" w:rsidP="00C826FE">
      <w:pPr>
        <w:pStyle w:val="FootnoteText"/>
        <w:rPr>
          <w:color w:val="000000" w:themeColor="text1"/>
        </w:rPr>
      </w:pPr>
      <w:r w:rsidRPr="00D33F15">
        <w:rPr>
          <w:rStyle w:val="FootnoteReference"/>
        </w:rPr>
        <w:footnoteRef/>
      </w:r>
      <w:r w:rsidRPr="00D33F15">
        <w:t xml:space="preserve"> TURN Opening </w:t>
      </w:r>
      <w:r w:rsidRPr="00D33F15">
        <w:rPr>
          <w:color w:val="000000" w:themeColor="text1"/>
        </w:rPr>
        <w:t xml:space="preserve">Brief at </w:t>
      </w:r>
      <w:r w:rsidR="004C7965" w:rsidRPr="00D33F15">
        <w:rPr>
          <w:color w:val="000000" w:themeColor="text1"/>
        </w:rPr>
        <w:t>40</w:t>
      </w:r>
      <w:r w:rsidRPr="00D33F15">
        <w:rPr>
          <w:color w:val="000000" w:themeColor="text1"/>
        </w:rPr>
        <w:t>.</w:t>
      </w:r>
    </w:p>
  </w:footnote>
  <w:footnote w:id="357">
    <w:p w14:paraId="5426FB37" w14:textId="320C01D4" w:rsidR="00C826FE" w:rsidRPr="00D33F15" w:rsidRDefault="00C826FE" w:rsidP="00C826FE">
      <w:pPr>
        <w:pStyle w:val="FootnoteText"/>
        <w:rPr>
          <w:color w:val="000000" w:themeColor="text1"/>
        </w:rPr>
      </w:pPr>
      <w:r w:rsidRPr="00D33F15">
        <w:rPr>
          <w:rStyle w:val="FootnoteReference"/>
          <w:color w:val="000000" w:themeColor="text1"/>
        </w:rPr>
        <w:footnoteRef/>
      </w:r>
      <w:r w:rsidRPr="00D33F15">
        <w:rPr>
          <w:color w:val="000000" w:themeColor="text1"/>
        </w:rPr>
        <w:t xml:space="preserve"> TURN Opening Brief at </w:t>
      </w:r>
      <w:r w:rsidR="004C7965" w:rsidRPr="00D33F15">
        <w:rPr>
          <w:color w:val="000000" w:themeColor="text1"/>
        </w:rPr>
        <w:t>40</w:t>
      </w:r>
      <w:r w:rsidRPr="00D33F15">
        <w:rPr>
          <w:color w:val="000000" w:themeColor="text1"/>
        </w:rPr>
        <w:t>.</w:t>
      </w:r>
    </w:p>
  </w:footnote>
  <w:footnote w:id="358">
    <w:p w14:paraId="76805128" w14:textId="11AEEDC5" w:rsidR="00C826FE" w:rsidRPr="00D33F15" w:rsidRDefault="00C826FE" w:rsidP="00C826FE">
      <w:pPr>
        <w:pStyle w:val="FootnoteText"/>
        <w:rPr>
          <w:color w:val="000000" w:themeColor="text1"/>
        </w:rPr>
      </w:pPr>
      <w:r w:rsidRPr="00D33F15">
        <w:rPr>
          <w:rStyle w:val="FootnoteReference"/>
          <w:color w:val="000000" w:themeColor="text1"/>
        </w:rPr>
        <w:footnoteRef/>
      </w:r>
      <w:r w:rsidRPr="00D33F15">
        <w:rPr>
          <w:color w:val="000000" w:themeColor="text1"/>
        </w:rPr>
        <w:t xml:space="preserve"> TURN Opening Brief at </w:t>
      </w:r>
      <w:r w:rsidR="004C7965" w:rsidRPr="00D33F15">
        <w:rPr>
          <w:color w:val="000000" w:themeColor="text1"/>
        </w:rPr>
        <w:t>40</w:t>
      </w:r>
      <w:r w:rsidRPr="00D33F15">
        <w:rPr>
          <w:color w:val="000000" w:themeColor="text1"/>
        </w:rPr>
        <w:t>.</w:t>
      </w:r>
    </w:p>
  </w:footnote>
  <w:footnote w:id="359">
    <w:p w14:paraId="02A73314" w14:textId="1A813680" w:rsidR="004C7965" w:rsidRPr="00D33F15" w:rsidRDefault="004C7965">
      <w:pPr>
        <w:pStyle w:val="FootnoteText"/>
        <w:rPr>
          <w:color w:val="000000" w:themeColor="text1"/>
        </w:rPr>
      </w:pPr>
      <w:r w:rsidRPr="00D33F15">
        <w:rPr>
          <w:rStyle w:val="FootnoteReference"/>
          <w:color w:val="000000" w:themeColor="text1"/>
        </w:rPr>
        <w:footnoteRef/>
      </w:r>
      <w:r w:rsidRPr="00D33F15">
        <w:rPr>
          <w:color w:val="000000" w:themeColor="text1"/>
        </w:rPr>
        <w:t xml:space="preserve"> TURN Opening Brief at 40.</w:t>
      </w:r>
    </w:p>
  </w:footnote>
  <w:footnote w:id="360">
    <w:p w14:paraId="77ACA8A7" w14:textId="2EE70EF6" w:rsidR="00385296" w:rsidRPr="00D33F15" w:rsidRDefault="00385296" w:rsidP="00385296">
      <w:pPr>
        <w:pStyle w:val="FootnoteText"/>
        <w:rPr>
          <w:color w:val="000000" w:themeColor="text1"/>
        </w:rPr>
      </w:pPr>
      <w:r w:rsidRPr="00D33F15">
        <w:rPr>
          <w:rStyle w:val="FootnoteReference"/>
          <w:color w:val="000000" w:themeColor="text1"/>
        </w:rPr>
        <w:footnoteRef/>
      </w:r>
      <w:r w:rsidRPr="00D33F15">
        <w:rPr>
          <w:color w:val="000000" w:themeColor="text1"/>
        </w:rPr>
        <w:t xml:space="preserve"> Exhibit JA-</w:t>
      </w:r>
      <w:r w:rsidR="0074675A" w:rsidRPr="00D33F15">
        <w:rPr>
          <w:color w:val="000000" w:themeColor="text1"/>
        </w:rPr>
        <w:t>12</w:t>
      </w:r>
      <w:r w:rsidRPr="00D33F15">
        <w:rPr>
          <w:color w:val="000000" w:themeColor="text1"/>
        </w:rPr>
        <w:t xml:space="preserve"> at 7.</w:t>
      </w:r>
    </w:p>
  </w:footnote>
  <w:footnote w:id="361">
    <w:p w14:paraId="35CF16F7" w14:textId="393113B8" w:rsidR="00385296" w:rsidRPr="00D33F15" w:rsidRDefault="00385296" w:rsidP="00385296">
      <w:pPr>
        <w:pStyle w:val="FootnoteText"/>
      </w:pPr>
      <w:r w:rsidRPr="00D33F15">
        <w:rPr>
          <w:rStyle w:val="FootnoteReference"/>
          <w:color w:val="000000" w:themeColor="text1"/>
        </w:rPr>
        <w:footnoteRef/>
      </w:r>
      <w:r w:rsidRPr="00D33F15">
        <w:rPr>
          <w:color w:val="000000" w:themeColor="text1"/>
        </w:rPr>
        <w:t xml:space="preserve"> </w:t>
      </w:r>
      <w:r w:rsidR="003A7EA7" w:rsidRPr="00D33F15">
        <w:rPr>
          <w:color w:val="000000" w:themeColor="text1"/>
        </w:rPr>
        <w:t>Exhibit JA-</w:t>
      </w:r>
      <w:r w:rsidR="001818F9" w:rsidRPr="00D33F15">
        <w:rPr>
          <w:color w:val="000000" w:themeColor="text1"/>
        </w:rPr>
        <w:t>12</w:t>
      </w:r>
      <w:r w:rsidR="003A7EA7" w:rsidRPr="00D33F15">
        <w:rPr>
          <w:color w:val="000000" w:themeColor="text1"/>
        </w:rPr>
        <w:t xml:space="preserve"> </w:t>
      </w:r>
      <w:r w:rsidRPr="00D33F15">
        <w:rPr>
          <w:color w:val="000000" w:themeColor="text1"/>
        </w:rPr>
        <w:t>at 7.</w:t>
      </w:r>
    </w:p>
  </w:footnote>
  <w:footnote w:id="362">
    <w:p w14:paraId="4B18570B" w14:textId="77777777" w:rsidR="002C6796" w:rsidRPr="00D33F15" w:rsidRDefault="002C6796" w:rsidP="002C6796">
      <w:pPr>
        <w:pStyle w:val="FootnoteText"/>
      </w:pPr>
      <w:r w:rsidRPr="00D33F15">
        <w:rPr>
          <w:rStyle w:val="FootnoteReference"/>
        </w:rPr>
        <w:footnoteRef/>
      </w:r>
      <w:r w:rsidRPr="00D33F15">
        <w:t xml:space="preserve"> CforAT Opening Brief at 39.</w:t>
      </w:r>
    </w:p>
  </w:footnote>
  <w:footnote w:id="363">
    <w:p w14:paraId="0608A167" w14:textId="74FF9B27" w:rsidR="00475AEB" w:rsidRPr="00D33F15" w:rsidRDefault="00475AEB">
      <w:pPr>
        <w:pStyle w:val="FootnoteText"/>
      </w:pPr>
      <w:r w:rsidRPr="00D33F15">
        <w:rPr>
          <w:rStyle w:val="FootnoteReference"/>
        </w:rPr>
        <w:footnoteRef/>
      </w:r>
      <w:r w:rsidRPr="00D33F15">
        <w:t xml:space="preserve"> CforAT Opening Brief</w:t>
      </w:r>
      <w:r w:rsidR="00D365EA" w:rsidRPr="00D33F15">
        <w:t>, Appendix A</w:t>
      </w:r>
      <w:r w:rsidRPr="00D33F15">
        <w:t>.</w:t>
      </w:r>
    </w:p>
  </w:footnote>
  <w:footnote w:id="364">
    <w:p w14:paraId="7FD01C41" w14:textId="77777777" w:rsidR="002C6796" w:rsidRPr="00D33F15" w:rsidRDefault="002C6796" w:rsidP="002C6796">
      <w:pPr>
        <w:pStyle w:val="FootnoteText"/>
        <w:rPr>
          <w:color w:val="000000" w:themeColor="text1"/>
        </w:rPr>
      </w:pPr>
      <w:r w:rsidRPr="00D33F15">
        <w:rPr>
          <w:rStyle w:val="FootnoteReference"/>
          <w:color w:val="000000" w:themeColor="text1"/>
        </w:rPr>
        <w:footnoteRef/>
      </w:r>
      <w:r w:rsidRPr="00D33F15">
        <w:rPr>
          <w:color w:val="000000" w:themeColor="text1"/>
        </w:rPr>
        <w:t xml:space="preserve"> Joint Motion of Verizon and CETF for Adoption of Settlement Agreement, September 4, 2025; Joint Motion of Verizon and Public Advocates Office for Adoption of Settlement Agreement, September 4, 2025; and Joint Motion of Verizon and Communications Workers of America District 9 for Adoption of Settlement Agreement, September 4, 2025.</w:t>
      </w:r>
    </w:p>
  </w:footnote>
  <w:footnote w:id="365">
    <w:p w14:paraId="6DD8F2F4" w14:textId="77777777" w:rsidR="002C6796" w:rsidRPr="00D33F15" w:rsidRDefault="002C6796" w:rsidP="002C6796">
      <w:pPr>
        <w:pStyle w:val="FootnoteText"/>
      </w:pPr>
      <w:r w:rsidRPr="00D33F15">
        <w:rPr>
          <w:rStyle w:val="FootnoteReference"/>
        </w:rPr>
        <w:footnoteRef/>
      </w:r>
      <w:r w:rsidRPr="00D33F15">
        <w:t xml:space="preserve"> Rules of Practice and Procedure, California Code of Regulations Title 20, Division 1, Chapter 1.</w:t>
      </w:r>
    </w:p>
  </w:footnote>
  <w:footnote w:id="366">
    <w:p w14:paraId="36ED78E5" w14:textId="77777777" w:rsidR="002C6796" w:rsidRPr="00D33F15" w:rsidRDefault="002C6796" w:rsidP="002C6796">
      <w:pPr>
        <w:pStyle w:val="FootnoteText"/>
      </w:pPr>
      <w:r w:rsidRPr="00D33F15">
        <w:rPr>
          <w:rStyle w:val="FootnoteReference"/>
        </w:rPr>
        <w:footnoteRef/>
      </w:r>
      <w:r w:rsidRPr="00D33F15">
        <w:t xml:space="preserve"> Joint </w:t>
      </w:r>
      <w:r w:rsidRPr="00D33F15">
        <w:rPr>
          <w:color w:val="000000" w:themeColor="text1"/>
        </w:rPr>
        <w:t>Case Management Statement at 6-10.</w:t>
      </w:r>
    </w:p>
  </w:footnote>
  <w:footnote w:id="367">
    <w:p w14:paraId="4F43C594" w14:textId="77777777" w:rsidR="002C6796" w:rsidRPr="00D33F15" w:rsidRDefault="002C6796" w:rsidP="002C6796">
      <w:pPr>
        <w:pStyle w:val="FootnoteText"/>
      </w:pPr>
      <w:r w:rsidRPr="00D33F15">
        <w:rPr>
          <w:rStyle w:val="FootnoteReference"/>
        </w:rPr>
        <w:footnoteRef/>
      </w:r>
      <w:r w:rsidRPr="00D33F15">
        <w:t xml:space="preserve"> CforAT Opening Brief at 3-11 and TURN Opening Brief at 3-14.</w:t>
      </w:r>
    </w:p>
  </w:footnote>
  <w:footnote w:id="368">
    <w:p w14:paraId="75FF972E" w14:textId="77777777" w:rsidR="002C6796" w:rsidRPr="00D33F15" w:rsidRDefault="002C6796" w:rsidP="002C6796">
      <w:pPr>
        <w:pStyle w:val="FootnoteText"/>
      </w:pPr>
      <w:r w:rsidRPr="00D33F15">
        <w:rPr>
          <w:rStyle w:val="FootnoteReference"/>
        </w:rPr>
        <w:footnoteRef/>
      </w:r>
      <w:r w:rsidRPr="00D33F15">
        <w:t xml:space="preserve"> Joint Applicants Opening Brief at 4.</w:t>
      </w:r>
    </w:p>
  </w:footnote>
  <w:footnote w:id="369">
    <w:p w14:paraId="6957A66F" w14:textId="77777777" w:rsidR="002C6796" w:rsidRPr="00D33F15" w:rsidRDefault="002C6796" w:rsidP="002C6796">
      <w:pPr>
        <w:pStyle w:val="FootnoteText"/>
      </w:pPr>
      <w:r w:rsidRPr="00D33F15">
        <w:rPr>
          <w:rStyle w:val="FootnoteReference"/>
        </w:rPr>
        <w:footnoteRef/>
      </w:r>
      <w:r w:rsidRPr="00D33F15">
        <w:t xml:space="preserve"> Joint Applicants Opening Brief at 4.</w:t>
      </w:r>
    </w:p>
  </w:footnote>
  <w:footnote w:id="370">
    <w:p w14:paraId="6298F1B9" w14:textId="77777777" w:rsidR="002C6796" w:rsidRPr="00D33F15" w:rsidRDefault="002C6796" w:rsidP="002C6796">
      <w:pPr>
        <w:pStyle w:val="FootnoteText"/>
      </w:pPr>
      <w:r w:rsidRPr="00D33F15">
        <w:rPr>
          <w:rStyle w:val="FootnoteReference"/>
        </w:rPr>
        <w:footnoteRef/>
      </w:r>
      <w:r w:rsidRPr="00D33F15">
        <w:t xml:space="preserve"> Joint Applicants Opening Brief, Appendix B.</w:t>
      </w:r>
    </w:p>
  </w:footnote>
  <w:footnote w:id="371">
    <w:p w14:paraId="207E3AA6" w14:textId="77777777" w:rsidR="002C6796" w:rsidRPr="00D33F15" w:rsidRDefault="002C6796" w:rsidP="002C6796">
      <w:pPr>
        <w:pStyle w:val="FootnoteText"/>
      </w:pPr>
      <w:r w:rsidRPr="00D33F15">
        <w:rPr>
          <w:rStyle w:val="FootnoteReference"/>
        </w:rPr>
        <w:footnoteRef/>
      </w:r>
      <w:r w:rsidRPr="00D33F15">
        <w:t xml:space="preserve"> Cal Advocates Reply Brief at 2.</w:t>
      </w:r>
    </w:p>
  </w:footnote>
  <w:footnote w:id="372">
    <w:p w14:paraId="259CB01F" w14:textId="77777777" w:rsidR="002C6796" w:rsidRPr="00D33F15" w:rsidRDefault="002C6796" w:rsidP="002C6796">
      <w:pPr>
        <w:pStyle w:val="FootnoteText"/>
      </w:pPr>
      <w:r w:rsidRPr="00D33F15">
        <w:rPr>
          <w:rStyle w:val="FootnoteReference"/>
        </w:rPr>
        <w:footnoteRef/>
      </w:r>
      <w:r w:rsidRPr="00D33F15">
        <w:t xml:space="preserve"> Cal Advocates Reply Brief at 2.</w:t>
      </w:r>
    </w:p>
  </w:footnote>
  <w:footnote w:id="373">
    <w:p w14:paraId="071D697C" w14:textId="77777777" w:rsidR="002C6796" w:rsidRPr="00D33F15" w:rsidRDefault="002C6796" w:rsidP="002C6796">
      <w:pPr>
        <w:pStyle w:val="FootnoteText"/>
      </w:pPr>
      <w:r w:rsidRPr="00D33F15">
        <w:rPr>
          <w:rStyle w:val="FootnoteReference"/>
        </w:rPr>
        <w:footnoteRef/>
      </w:r>
      <w:r w:rsidRPr="00D33F15">
        <w:t xml:space="preserve"> Cal Advocates Reply Brief at 3.</w:t>
      </w:r>
    </w:p>
  </w:footnote>
  <w:footnote w:id="374">
    <w:p w14:paraId="0E6473D2" w14:textId="77777777" w:rsidR="002C6796" w:rsidRPr="00D33F15" w:rsidRDefault="002C6796" w:rsidP="002C6796">
      <w:pPr>
        <w:pStyle w:val="FootnoteText"/>
      </w:pPr>
      <w:r w:rsidRPr="00D33F15">
        <w:rPr>
          <w:rStyle w:val="FootnoteReference"/>
        </w:rPr>
        <w:footnoteRef/>
      </w:r>
      <w:r w:rsidRPr="00D33F15">
        <w:t xml:space="preserve"> Cal Advocates Reply Brief at 3.</w:t>
      </w:r>
    </w:p>
  </w:footnote>
  <w:footnote w:id="375">
    <w:p w14:paraId="3EBBF47D" w14:textId="77777777" w:rsidR="002C6796" w:rsidRPr="00D33F15" w:rsidRDefault="002C6796" w:rsidP="002C6796">
      <w:pPr>
        <w:pStyle w:val="FootnoteText"/>
      </w:pPr>
      <w:r w:rsidRPr="00D33F15">
        <w:rPr>
          <w:rStyle w:val="FootnoteReference"/>
        </w:rPr>
        <w:footnoteRef/>
      </w:r>
      <w:r w:rsidRPr="00D33F15">
        <w:t xml:space="preserve"> Cal Advocates Reply Brief at 3.</w:t>
      </w:r>
    </w:p>
  </w:footnote>
  <w:footnote w:id="376">
    <w:p w14:paraId="4B9F37E6" w14:textId="77777777" w:rsidR="002C6796" w:rsidRPr="00D33F15" w:rsidRDefault="002C6796" w:rsidP="002C6796">
      <w:pPr>
        <w:pStyle w:val="FootnoteText"/>
        <w:rPr>
          <w:color w:val="000000" w:themeColor="text1"/>
        </w:rPr>
      </w:pPr>
      <w:r w:rsidRPr="00D33F15">
        <w:rPr>
          <w:rStyle w:val="FootnoteReference"/>
          <w:color w:val="000000" w:themeColor="text1"/>
        </w:rPr>
        <w:footnoteRef/>
      </w:r>
      <w:r w:rsidRPr="00D33F15">
        <w:rPr>
          <w:color w:val="000000" w:themeColor="text1"/>
        </w:rPr>
        <w:t xml:space="preserve"> Cal Advocates Reply Brief at 4.</w:t>
      </w:r>
    </w:p>
  </w:footnote>
  <w:footnote w:id="377">
    <w:p w14:paraId="36306040" w14:textId="77777777" w:rsidR="002C6796" w:rsidRPr="00D33F15" w:rsidRDefault="002C6796" w:rsidP="002C6796">
      <w:pPr>
        <w:pStyle w:val="FootnoteText"/>
      </w:pPr>
      <w:r w:rsidRPr="00D33F15">
        <w:rPr>
          <w:rStyle w:val="FootnoteReference"/>
          <w:color w:val="000000" w:themeColor="text1"/>
        </w:rPr>
        <w:footnoteRef/>
      </w:r>
      <w:r w:rsidRPr="00D33F15">
        <w:rPr>
          <w:color w:val="000000" w:themeColor="text1"/>
        </w:rPr>
        <w:t xml:space="preserve"> Cal Advocates Reply Brief at 4.</w:t>
      </w:r>
    </w:p>
  </w:footnote>
  <w:footnote w:id="378">
    <w:p w14:paraId="78E94E17" w14:textId="77777777" w:rsidR="002C6796" w:rsidRPr="00D33F15" w:rsidRDefault="002C6796" w:rsidP="002C6796">
      <w:pPr>
        <w:pStyle w:val="FootnoteText"/>
      </w:pPr>
      <w:r w:rsidRPr="00D33F15">
        <w:rPr>
          <w:rStyle w:val="FootnoteReference"/>
        </w:rPr>
        <w:footnoteRef/>
      </w:r>
      <w:r w:rsidRPr="00D33F15">
        <w:t xml:space="preserve"> </w:t>
      </w:r>
      <w:r w:rsidRPr="00D33F15">
        <w:rPr>
          <w:color w:val="000000" w:themeColor="text1"/>
        </w:rPr>
        <w:t>Cal Advocates Reply Brief at 4.</w:t>
      </w:r>
    </w:p>
  </w:footnote>
  <w:footnote w:id="379">
    <w:p w14:paraId="2965B634" w14:textId="77777777" w:rsidR="002C6796" w:rsidRPr="00D33F15" w:rsidRDefault="002C6796" w:rsidP="002C6796">
      <w:pPr>
        <w:pStyle w:val="FootnoteText"/>
      </w:pPr>
      <w:r w:rsidRPr="00D33F15">
        <w:rPr>
          <w:rStyle w:val="FootnoteReference"/>
        </w:rPr>
        <w:footnoteRef/>
      </w:r>
      <w:r w:rsidRPr="00D33F15">
        <w:t xml:space="preserve"> </w:t>
      </w:r>
      <w:r w:rsidRPr="00D33F15">
        <w:rPr>
          <w:color w:val="000000" w:themeColor="text1"/>
        </w:rPr>
        <w:t>Cal Advocates Reply Brief at 4.</w:t>
      </w:r>
    </w:p>
  </w:footnote>
  <w:footnote w:id="380">
    <w:p w14:paraId="3E0BA775" w14:textId="77777777" w:rsidR="002C6796" w:rsidRPr="00D33F15" w:rsidRDefault="002C6796" w:rsidP="002C6796">
      <w:pPr>
        <w:pStyle w:val="FootnoteText"/>
      </w:pPr>
      <w:r w:rsidRPr="00D33F15">
        <w:rPr>
          <w:rStyle w:val="FootnoteReference"/>
          <w:color w:val="000000" w:themeColor="text1"/>
        </w:rPr>
        <w:footnoteRef/>
      </w:r>
      <w:r w:rsidRPr="00D33F15">
        <w:rPr>
          <w:color w:val="000000" w:themeColor="text1"/>
        </w:rPr>
        <w:t xml:space="preserve"> CforAT Opening Brief at 3.</w:t>
      </w:r>
    </w:p>
  </w:footnote>
  <w:footnote w:id="381">
    <w:p w14:paraId="602400AE" w14:textId="77777777" w:rsidR="002C6796" w:rsidRPr="00D33F15" w:rsidRDefault="002C6796" w:rsidP="002C6796">
      <w:pPr>
        <w:pStyle w:val="FootnoteText"/>
      </w:pPr>
      <w:r w:rsidRPr="00D33F15">
        <w:rPr>
          <w:rStyle w:val="FootnoteReference"/>
        </w:rPr>
        <w:footnoteRef/>
      </w:r>
      <w:r w:rsidRPr="00D33F15">
        <w:t xml:space="preserve"> CforAT Opening Brief at 3.</w:t>
      </w:r>
    </w:p>
  </w:footnote>
  <w:footnote w:id="382">
    <w:p w14:paraId="603AF07F" w14:textId="77777777" w:rsidR="002C6796" w:rsidRPr="00D33F15" w:rsidRDefault="002C6796" w:rsidP="002C6796">
      <w:pPr>
        <w:pStyle w:val="FootnoteText"/>
      </w:pPr>
      <w:r w:rsidRPr="00D33F15">
        <w:rPr>
          <w:rStyle w:val="FootnoteReference"/>
        </w:rPr>
        <w:footnoteRef/>
      </w:r>
      <w:r w:rsidRPr="00D33F15">
        <w:t xml:space="preserve"> CforAT Opening Brief at 4-9.</w:t>
      </w:r>
    </w:p>
  </w:footnote>
  <w:footnote w:id="383">
    <w:p w14:paraId="50291772" w14:textId="77777777" w:rsidR="002C6796" w:rsidRPr="00D33F15" w:rsidRDefault="002C6796" w:rsidP="002C6796">
      <w:pPr>
        <w:pStyle w:val="FootnoteText"/>
      </w:pPr>
      <w:r w:rsidRPr="00D33F15">
        <w:rPr>
          <w:rStyle w:val="FootnoteReference"/>
        </w:rPr>
        <w:footnoteRef/>
      </w:r>
      <w:r w:rsidRPr="00D33F15">
        <w:t xml:space="preserve"> CforAT Opening Brief at 5.</w:t>
      </w:r>
    </w:p>
  </w:footnote>
  <w:footnote w:id="384">
    <w:p w14:paraId="53754C0D" w14:textId="77777777" w:rsidR="002C6796" w:rsidRPr="00D33F15" w:rsidRDefault="002C6796" w:rsidP="002C6796">
      <w:pPr>
        <w:pStyle w:val="FootnoteText"/>
        <w:rPr>
          <w:color w:val="000000" w:themeColor="text1"/>
        </w:rPr>
      </w:pPr>
      <w:r w:rsidRPr="00D33F15">
        <w:rPr>
          <w:rStyle w:val="FootnoteReference"/>
          <w:color w:val="000000" w:themeColor="text1"/>
        </w:rPr>
        <w:footnoteRef/>
      </w:r>
      <w:r w:rsidRPr="00D33F15">
        <w:rPr>
          <w:color w:val="000000" w:themeColor="text1"/>
        </w:rPr>
        <w:t xml:space="preserve"> CforAT Opening Brief at 4-5 citing Exhibit CforAT-06 at 3.</w:t>
      </w:r>
    </w:p>
  </w:footnote>
  <w:footnote w:id="385">
    <w:p w14:paraId="55F36E2E" w14:textId="77777777" w:rsidR="002C6796" w:rsidRPr="00D33F15" w:rsidRDefault="002C6796" w:rsidP="002C6796">
      <w:pPr>
        <w:pStyle w:val="FootnoteText"/>
      </w:pPr>
      <w:r w:rsidRPr="00D33F15">
        <w:rPr>
          <w:rStyle w:val="FootnoteReference"/>
          <w:color w:val="000000" w:themeColor="text1"/>
        </w:rPr>
        <w:footnoteRef/>
      </w:r>
      <w:r w:rsidRPr="00D33F15">
        <w:rPr>
          <w:color w:val="000000" w:themeColor="text1"/>
        </w:rPr>
        <w:t xml:space="preserve"> CforAT opening Brief at 5 citing Exhibit CforAT-06 at Exhibit 2.</w:t>
      </w:r>
    </w:p>
  </w:footnote>
  <w:footnote w:id="386">
    <w:p w14:paraId="76D6C448" w14:textId="77777777" w:rsidR="002C6796" w:rsidRPr="00D33F15" w:rsidRDefault="002C6796" w:rsidP="002C6796">
      <w:pPr>
        <w:pStyle w:val="FootnoteText"/>
      </w:pPr>
      <w:r w:rsidRPr="00D33F15">
        <w:rPr>
          <w:rStyle w:val="FootnoteReference"/>
        </w:rPr>
        <w:footnoteRef/>
      </w:r>
      <w:r w:rsidRPr="00D33F15">
        <w:t xml:space="preserve"> CforAT Opening Brief at 5.</w:t>
      </w:r>
    </w:p>
  </w:footnote>
  <w:footnote w:id="387">
    <w:p w14:paraId="2834FBBD" w14:textId="77777777" w:rsidR="002C6796" w:rsidRPr="00D33F15" w:rsidRDefault="002C6796" w:rsidP="002C6796">
      <w:pPr>
        <w:pStyle w:val="FootnoteText"/>
      </w:pPr>
      <w:r w:rsidRPr="00D33F15">
        <w:rPr>
          <w:rStyle w:val="FootnoteReference"/>
        </w:rPr>
        <w:footnoteRef/>
      </w:r>
      <w:r w:rsidRPr="00D33F15">
        <w:t xml:space="preserve"> CforAT Opening Brief at 5.</w:t>
      </w:r>
    </w:p>
  </w:footnote>
  <w:footnote w:id="388">
    <w:p w14:paraId="13AA45A0" w14:textId="77777777" w:rsidR="002C6796" w:rsidRPr="00D33F15" w:rsidRDefault="002C6796" w:rsidP="002C6796">
      <w:pPr>
        <w:pStyle w:val="FootnoteText"/>
      </w:pPr>
      <w:r w:rsidRPr="00D33F15">
        <w:rPr>
          <w:rStyle w:val="FootnoteReference"/>
        </w:rPr>
        <w:footnoteRef/>
      </w:r>
      <w:r w:rsidRPr="00D33F15">
        <w:t xml:space="preserve"> CforAT Opening Brief at 6, citing Exhibit CforAT-06 at 7-10.</w:t>
      </w:r>
    </w:p>
  </w:footnote>
  <w:footnote w:id="389">
    <w:p w14:paraId="063DB4F0" w14:textId="77777777" w:rsidR="002C6796" w:rsidRPr="00D33F15" w:rsidRDefault="002C6796" w:rsidP="002C6796">
      <w:pPr>
        <w:pStyle w:val="FootnoteText"/>
      </w:pPr>
      <w:r w:rsidRPr="00D33F15">
        <w:rPr>
          <w:rStyle w:val="FootnoteReference"/>
        </w:rPr>
        <w:footnoteRef/>
      </w:r>
      <w:r w:rsidRPr="00D33F15">
        <w:t xml:space="preserve"> CforAT Opening Brief at 6, citing Exhibit CforAT-06 at 9.</w:t>
      </w:r>
    </w:p>
  </w:footnote>
  <w:footnote w:id="390">
    <w:p w14:paraId="08531C4E" w14:textId="77777777" w:rsidR="002C6796" w:rsidRPr="00D33F15" w:rsidRDefault="002C6796" w:rsidP="002C6796">
      <w:pPr>
        <w:pStyle w:val="FootnoteText"/>
      </w:pPr>
      <w:r w:rsidRPr="00D33F15">
        <w:rPr>
          <w:rStyle w:val="FootnoteReference"/>
        </w:rPr>
        <w:footnoteRef/>
      </w:r>
      <w:r w:rsidRPr="00D33F15">
        <w:t xml:space="preserve"> CforAT Opening Brief at 6, citing Exhibit CforAT-06 at 8-9.</w:t>
      </w:r>
    </w:p>
  </w:footnote>
  <w:footnote w:id="391">
    <w:p w14:paraId="777189E4" w14:textId="77777777" w:rsidR="002C6796" w:rsidRPr="00D33F15" w:rsidRDefault="002C6796" w:rsidP="002C6796">
      <w:pPr>
        <w:pStyle w:val="FootnoteText"/>
      </w:pPr>
      <w:r w:rsidRPr="00D33F15">
        <w:rPr>
          <w:rStyle w:val="FootnoteReference"/>
        </w:rPr>
        <w:footnoteRef/>
      </w:r>
      <w:r w:rsidRPr="00D33F15">
        <w:t xml:space="preserve"> CforAT Opening Brief at 6.</w:t>
      </w:r>
    </w:p>
  </w:footnote>
  <w:footnote w:id="392">
    <w:p w14:paraId="59C3DA73" w14:textId="77777777" w:rsidR="002C6796" w:rsidRPr="00D33F15" w:rsidRDefault="002C6796" w:rsidP="002C6796">
      <w:pPr>
        <w:pStyle w:val="FootnoteText"/>
      </w:pPr>
      <w:r w:rsidRPr="00D33F15">
        <w:rPr>
          <w:rStyle w:val="FootnoteReference"/>
        </w:rPr>
        <w:footnoteRef/>
      </w:r>
      <w:r w:rsidRPr="00D33F15">
        <w:t xml:space="preserve"> CforAT Opening Brief at 6.</w:t>
      </w:r>
    </w:p>
  </w:footnote>
  <w:footnote w:id="393">
    <w:p w14:paraId="49A059E6" w14:textId="77777777" w:rsidR="002C6796" w:rsidRPr="00D33F15" w:rsidRDefault="002C6796" w:rsidP="002C6796">
      <w:pPr>
        <w:pStyle w:val="FootnoteText"/>
      </w:pPr>
      <w:r w:rsidRPr="00D33F15">
        <w:rPr>
          <w:rStyle w:val="FootnoteReference"/>
        </w:rPr>
        <w:footnoteRef/>
      </w:r>
      <w:r w:rsidRPr="00D33F15">
        <w:t xml:space="preserve"> CforAT Opening Brief at 6.</w:t>
      </w:r>
    </w:p>
  </w:footnote>
  <w:footnote w:id="394">
    <w:p w14:paraId="27A5AA84" w14:textId="77777777" w:rsidR="002C6796" w:rsidRPr="00D33F15" w:rsidRDefault="002C6796" w:rsidP="002C6796">
      <w:pPr>
        <w:pStyle w:val="FootnoteText"/>
      </w:pPr>
      <w:r w:rsidRPr="00D33F15">
        <w:rPr>
          <w:rStyle w:val="FootnoteReference"/>
        </w:rPr>
        <w:footnoteRef/>
      </w:r>
      <w:r w:rsidRPr="00D33F15">
        <w:t xml:space="preserve"> CforAT Opening Brief at 6.</w:t>
      </w:r>
    </w:p>
  </w:footnote>
  <w:footnote w:id="395">
    <w:p w14:paraId="198B5B41" w14:textId="77777777" w:rsidR="002C6796" w:rsidRPr="00D33F15" w:rsidRDefault="002C6796" w:rsidP="002C6796">
      <w:pPr>
        <w:pStyle w:val="FootnoteText"/>
      </w:pPr>
      <w:r w:rsidRPr="00D33F15">
        <w:rPr>
          <w:rStyle w:val="FootnoteReference"/>
        </w:rPr>
        <w:footnoteRef/>
      </w:r>
      <w:r w:rsidRPr="00D33F15">
        <w:t xml:space="preserve"> CforAT Opening Brief at 7, citing See D.21-11-030, OP 2.</w:t>
      </w:r>
    </w:p>
  </w:footnote>
  <w:footnote w:id="396">
    <w:p w14:paraId="1238832A" w14:textId="77777777" w:rsidR="002C6796" w:rsidRPr="00D33F15" w:rsidRDefault="002C6796" w:rsidP="002C6796">
      <w:pPr>
        <w:pStyle w:val="FootnoteText"/>
      </w:pPr>
      <w:r w:rsidRPr="00D33F15">
        <w:rPr>
          <w:rStyle w:val="FootnoteReference"/>
        </w:rPr>
        <w:footnoteRef/>
      </w:r>
      <w:r w:rsidRPr="00D33F15">
        <w:t xml:space="preserve"> CforAT Opening Brief at 7.</w:t>
      </w:r>
    </w:p>
  </w:footnote>
  <w:footnote w:id="397">
    <w:p w14:paraId="1D0C9EBA" w14:textId="77777777" w:rsidR="002C6796" w:rsidRPr="00D33F15" w:rsidRDefault="002C6796" w:rsidP="002C6796">
      <w:pPr>
        <w:pStyle w:val="FootnoteText"/>
      </w:pPr>
      <w:r w:rsidRPr="00D33F15">
        <w:rPr>
          <w:rStyle w:val="FootnoteReference"/>
        </w:rPr>
        <w:footnoteRef/>
      </w:r>
      <w:r w:rsidRPr="00D33F15">
        <w:t xml:space="preserve"> CforAT Opening Brief at 7-8.</w:t>
      </w:r>
    </w:p>
  </w:footnote>
  <w:footnote w:id="398">
    <w:p w14:paraId="08320F74" w14:textId="77777777" w:rsidR="002C6796" w:rsidRPr="00D33F15" w:rsidRDefault="002C6796" w:rsidP="002C6796">
      <w:pPr>
        <w:pStyle w:val="FootnoteText"/>
      </w:pPr>
      <w:r w:rsidRPr="00D33F15">
        <w:rPr>
          <w:rStyle w:val="FootnoteReference"/>
          <w:color w:val="000000" w:themeColor="text1"/>
        </w:rPr>
        <w:footnoteRef/>
      </w:r>
      <w:r w:rsidRPr="00D33F15">
        <w:rPr>
          <w:color w:val="000000" w:themeColor="text1"/>
        </w:rPr>
        <w:t xml:space="preserve"> CforAT cited as examples: (1) bringing Frontier’s former facilities up to “Verizon’s standards,</w:t>
      </w:r>
      <w:r w:rsidRPr="00D33F15">
        <w:rPr>
          <w:rStyle w:val="FootnoteReference"/>
          <w:color w:val="000000" w:themeColor="text1"/>
        </w:rPr>
        <w:t>”</w:t>
      </w:r>
      <w:r w:rsidRPr="00D33F15">
        <w:rPr>
          <w:color w:val="000000" w:themeColor="text1"/>
        </w:rPr>
        <w:t xml:space="preserve"> bringing </w:t>
      </w:r>
      <w:r w:rsidRPr="00D33F15">
        <w:t>Frontier’s former facilities up to “the Commission’s wireline service quality standards,”</w:t>
      </w:r>
      <w:r w:rsidRPr="00D33F15">
        <w:rPr>
          <w:rStyle w:val="FootnoteReference"/>
        </w:rPr>
        <w:t xml:space="preserve"> </w:t>
      </w:r>
      <w:r w:rsidRPr="00D33F15">
        <w:t>maintaining and repairing the copper networks to a standard that is capable of consistently providing reliable voice service,” and maintaining adequate personnel to ensure service “in compliance with all applicable service quality standards.” See Appendix F.</w:t>
      </w:r>
    </w:p>
  </w:footnote>
  <w:footnote w:id="399">
    <w:p w14:paraId="03878C5E" w14:textId="77777777" w:rsidR="002C6796" w:rsidRPr="00D33F15" w:rsidRDefault="002C6796" w:rsidP="002C6796">
      <w:pPr>
        <w:pStyle w:val="FootnoteText"/>
      </w:pPr>
      <w:r w:rsidRPr="00D33F15">
        <w:rPr>
          <w:rStyle w:val="FootnoteReference"/>
        </w:rPr>
        <w:footnoteRef/>
      </w:r>
      <w:r w:rsidRPr="00D33F15">
        <w:t xml:space="preserve"> CforAT Opening Brief at 8.</w:t>
      </w:r>
    </w:p>
  </w:footnote>
  <w:footnote w:id="400">
    <w:p w14:paraId="0220A09C" w14:textId="77777777" w:rsidR="002C6796" w:rsidRPr="00D33F15" w:rsidRDefault="002C6796" w:rsidP="002C6796">
      <w:pPr>
        <w:pStyle w:val="FootnoteText"/>
      </w:pPr>
      <w:r w:rsidRPr="00D33F15">
        <w:rPr>
          <w:rStyle w:val="FootnoteReference"/>
        </w:rPr>
        <w:footnoteRef/>
      </w:r>
      <w:r w:rsidRPr="00D33F15">
        <w:t xml:space="preserve"> CforAT Opening Brief at 8.</w:t>
      </w:r>
    </w:p>
  </w:footnote>
  <w:footnote w:id="401">
    <w:p w14:paraId="38BE2576" w14:textId="77777777" w:rsidR="002C6796" w:rsidRPr="00D33F15" w:rsidRDefault="002C6796" w:rsidP="002C6796">
      <w:pPr>
        <w:pStyle w:val="FootnoteText"/>
      </w:pPr>
      <w:r w:rsidRPr="00D33F15">
        <w:rPr>
          <w:rStyle w:val="FootnoteReference"/>
        </w:rPr>
        <w:footnoteRef/>
      </w:r>
      <w:r w:rsidRPr="00D33F15">
        <w:t xml:space="preserve"> CforAT Opening Brief at 8.</w:t>
      </w:r>
    </w:p>
  </w:footnote>
  <w:footnote w:id="402">
    <w:p w14:paraId="71B000D3" w14:textId="77777777" w:rsidR="002C6796" w:rsidRPr="00D33F15" w:rsidRDefault="002C6796" w:rsidP="002C6796">
      <w:pPr>
        <w:pStyle w:val="FootnoteText"/>
      </w:pPr>
      <w:r w:rsidRPr="00D33F15">
        <w:rPr>
          <w:rStyle w:val="FootnoteReference"/>
        </w:rPr>
        <w:footnoteRef/>
      </w:r>
      <w:r w:rsidRPr="00D33F15">
        <w:t xml:space="preserve"> CforAT Opening Brief at 8-9.</w:t>
      </w:r>
    </w:p>
  </w:footnote>
  <w:footnote w:id="403">
    <w:p w14:paraId="081C9126" w14:textId="77777777" w:rsidR="002C6796" w:rsidRPr="00D33F15" w:rsidRDefault="002C6796" w:rsidP="002C6796">
      <w:pPr>
        <w:pStyle w:val="FootnoteText"/>
      </w:pPr>
      <w:r w:rsidRPr="00D33F15">
        <w:rPr>
          <w:rStyle w:val="FootnoteReference"/>
        </w:rPr>
        <w:footnoteRef/>
      </w:r>
      <w:r w:rsidRPr="00D33F15">
        <w:t xml:space="preserve"> CforAT Opening Brief at 9.</w:t>
      </w:r>
    </w:p>
  </w:footnote>
  <w:footnote w:id="404">
    <w:p w14:paraId="4AF900E6" w14:textId="77777777" w:rsidR="002C6796" w:rsidRPr="00D33F15" w:rsidRDefault="002C6796" w:rsidP="002C6796">
      <w:pPr>
        <w:pStyle w:val="FootnoteText"/>
      </w:pPr>
      <w:r w:rsidRPr="00D33F15">
        <w:rPr>
          <w:rStyle w:val="FootnoteReference"/>
        </w:rPr>
        <w:footnoteRef/>
      </w:r>
      <w:r w:rsidRPr="00D33F15">
        <w:t xml:space="preserve"> CforAT Opening Brief at 9-10.</w:t>
      </w:r>
    </w:p>
  </w:footnote>
  <w:footnote w:id="405">
    <w:p w14:paraId="4DA443D5" w14:textId="77777777" w:rsidR="002C6796" w:rsidRPr="00D33F15" w:rsidRDefault="002C6796" w:rsidP="002C6796">
      <w:pPr>
        <w:pStyle w:val="FootnoteText"/>
      </w:pPr>
      <w:r w:rsidRPr="00D33F15">
        <w:rPr>
          <w:rStyle w:val="FootnoteReference"/>
        </w:rPr>
        <w:footnoteRef/>
      </w:r>
      <w:r w:rsidRPr="00D33F15">
        <w:t xml:space="preserve"> CforAT Opening Brief at 9.</w:t>
      </w:r>
    </w:p>
  </w:footnote>
  <w:footnote w:id="406">
    <w:p w14:paraId="31CB18C6" w14:textId="77777777" w:rsidR="002C6796" w:rsidRPr="00D33F15" w:rsidRDefault="002C6796" w:rsidP="002C6796">
      <w:pPr>
        <w:pStyle w:val="FootnoteText"/>
      </w:pPr>
      <w:r w:rsidRPr="00D33F15">
        <w:rPr>
          <w:rStyle w:val="FootnoteReference"/>
        </w:rPr>
        <w:footnoteRef/>
      </w:r>
      <w:r w:rsidRPr="00D33F15">
        <w:t xml:space="preserve"> CforAT Opening Brief at 9, citing Exhibit CforAT-06 at 3.</w:t>
      </w:r>
    </w:p>
  </w:footnote>
  <w:footnote w:id="407">
    <w:p w14:paraId="578227F7" w14:textId="77777777" w:rsidR="002C6796" w:rsidRPr="00D33F15" w:rsidRDefault="002C6796" w:rsidP="002C6796">
      <w:pPr>
        <w:pStyle w:val="FootnoteText"/>
      </w:pPr>
      <w:r w:rsidRPr="00D33F15">
        <w:rPr>
          <w:rStyle w:val="FootnoteReference"/>
        </w:rPr>
        <w:footnoteRef/>
      </w:r>
      <w:r w:rsidRPr="00D33F15">
        <w:t xml:space="preserve"> CforAT Opening Brief at 9.</w:t>
      </w:r>
    </w:p>
  </w:footnote>
  <w:footnote w:id="408">
    <w:p w14:paraId="374405DF" w14:textId="77777777" w:rsidR="002C6796" w:rsidRPr="00D33F15" w:rsidRDefault="002C6796" w:rsidP="002C6796">
      <w:pPr>
        <w:pStyle w:val="FootnoteText"/>
      </w:pPr>
      <w:r w:rsidRPr="00D33F15">
        <w:rPr>
          <w:rStyle w:val="FootnoteReference"/>
        </w:rPr>
        <w:footnoteRef/>
      </w:r>
      <w:r w:rsidRPr="00D33F15">
        <w:t xml:space="preserve"> CforAT Opening Brief at 10.</w:t>
      </w:r>
    </w:p>
  </w:footnote>
  <w:footnote w:id="409">
    <w:p w14:paraId="47A21F5E" w14:textId="77777777" w:rsidR="002C6796" w:rsidRPr="00D33F15" w:rsidRDefault="002C6796" w:rsidP="002C6796">
      <w:pPr>
        <w:pStyle w:val="FootnoteText"/>
      </w:pPr>
      <w:r w:rsidRPr="00D33F15">
        <w:rPr>
          <w:rStyle w:val="FootnoteReference"/>
        </w:rPr>
        <w:footnoteRef/>
      </w:r>
      <w:r w:rsidRPr="00D33F15">
        <w:t xml:space="preserve"> CforAT Opening Brief at 10.</w:t>
      </w:r>
    </w:p>
  </w:footnote>
  <w:footnote w:id="410">
    <w:p w14:paraId="319A2D72" w14:textId="77777777" w:rsidR="002C6796" w:rsidRPr="00D33F15" w:rsidRDefault="002C6796" w:rsidP="002C6796">
      <w:pPr>
        <w:pStyle w:val="FootnoteText"/>
      </w:pPr>
      <w:r w:rsidRPr="00D33F15">
        <w:rPr>
          <w:rStyle w:val="FootnoteReference"/>
        </w:rPr>
        <w:footnoteRef/>
      </w:r>
      <w:r w:rsidRPr="00D33F15">
        <w:t xml:space="preserve"> CforAT Opening Brief at 10.</w:t>
      </w:r>
    </w:p>
  </w:footnote>
  <w:footnote w:id="411">
    <w:p w14:paraId="02CE2F28" w14:textId="77777777" w:rsidR="002C6796" w:rsidRPr="00D33F15" w:rsidRDefault="002C6796" w:rsidP="002C6796">
      <w:pPr>
        <w:pStyle w:val="FootnoteText"/>
      </w:pPr>
      <w:r w:rsidRPr="00D33F15">
        <w:rPr>
          <w:rStyle w:val="FootnoteReference"/>
        </w:rPr>
        <w:footnoteRef/>
      </w:r>
      <w:r w:rsidRPr="00D33F15">
        <w:t xml:space="preserve"> CforAT Opening Brief at 23-24.</w:t>
      </w:r>
    </w:p>
  </w:footnote>
  <w:footnote w:id="412">
    <w:p w14:paraId="3AF3C29C" w14:textId="77777777" w:rsidR="002C6796" w:rsidRPr="00D33F15" w:rsidRDefault="002C6796" w:rsidP="002C6796">
      <w:pPr>
        <w:pStyle w:val="FootnoteText"/>
      </w:pPr>
      <w:r w:rsidRPr="00D33F15">
        <w:rPr>
          <w:rStyle w:val="FootnoteReference"/>
        </w:rPr>
        <w:footnoteRef/>
      </w:r>
      <w:r w:rsidRPr="00D33F15">
        <w:t xml:space="preserve"> CforAT Opening Brief at 10.</w:t>
      </w:r>
    </w:p>
  </w:footnote>
  <w:footnote w:id="413">
    <w:p w14:paraId="347DB38A" w14:textId="77777777" w:rsidR="002C6796" w:rsidRPr="00D33F15" w:rsidRDefault="002C6796" w:rsidP="002C6796">
      <w:pPr>
        <w:pStyle w:val="FootnoteText"/>
      </w:pPr>
      <w:r w:rsidRPr="00D33F15">
        <w:rPr>
          <w:rStyle w:val="FootnoteReference"/>
        </w:rPr>
        <w:footnoteRef/>
      </w:r>
      <w:r w:rsidRPr="00D33F15">
        <w:t xml:space="preserve"> CforAT Opening Brief at 10.</w:t>
      </w:r>
    </w:p>
  </w:footnote>
  <w:footnote w:id="414">
    <w:p w14:paraId="555D8FF2" w14:textId="77777777" w:rsidR="002C6796" w:rsidRPr="00D33F15" w:rsidRDefault="002C6796" w:rsidP="002C6796">
      <w:pPr>
        <w:pStyle w:val="FootnoteText"/>
        <w:rPr>
          <w:color w:val="000000" w:themeColor="text1"/>
        </w:rPr>
      </w:pPr>
      <w:r w:rsidRPr="00D33F15">
        <w:rPr>
          <w:rStyle w:val="FootnoteReference"/>
        </w:rPr>
        <w:footnoteRef/>
      </w:r>
      <w:r w:rsidRPr="00D33F15">
        <w:t xml:space="preserve"> CforAT </w:t>
      </w:r>
      <w:r w:rsidRPr="00D33F15">
        <w:rPr>
          <w:color w:val="000000" w:themeColor="text1"/>
        </w:rPr>
        <w:t>Opening Brief at 10.</w:t>
      </w:r>
    </w:p>
  </w:footnote>
  <w:footnote w:id="415">
    <w:p w14:paraId="01681674" w14:textId="77777777" w:rsidR="002C6796" w:rsidRPr="00D33F15" w:rsidRDefault="002C6796" w:rsidP="002C6796">
      <w:pPr>
        <w:pStyle w:val="FootnoteText"/>
        <w:rPr>
          <w:color w:val="000000" w:themeColor="text1"/>
        </w:rPr>
      </w:pPr>
      <w:r w:rsidRPr="00D33F15">
        <w:rPr>
          <w:rStyle w:val="FootnoteReference"/>
          <w:color w:val="000000" w:themeColor="text1"/>
        </w:rPr>
        <w:footnoteRef/>
      </w:r>
      <w:r w:rsidRPr="00D33F15">
        <w:rPr>
          <w:color w:val="000000" w:themeColor="text1"/>
        </w:rPr>
        <w:t xml:space="preserve"> CforAT Opening Brief at 10-11.</w:t>
      </w:r>
    </w:p>
  </w:footnote>
  <w:footnote w:id="416">
    <w:p w14:paraId="113203F6" w14:textId="77777777" w:rsidR="002C6796" w:rsidRPr="00D33F15" w:rsidRDefault="002C6796" w:rsidP="002C6796">
      <w:pPr>
        <w:pStyle w:val="FootnoteText"/>
      </w:pPr>
      <w:r w:rsidRPr="00D33F15">
        <w:rPr>
          <w:rStyle w:val="FootnoteReference"/>
          <w:color w:val="000000" w:themeColor="text1"/>
        </w:rPr>
        <w:footnoteRef/>
      </w:r>
      <w:r w:rsidRPr="00D33F15">
        <w:rPr>
          <w:color w:val="000000" w:themeColor="text1"/>
        </w:rPr>
        <w:t xml:space="preserve"> CforAT Opening Brief at 11.</w:t>
      </w:r>
    </w:p>
  </w:footnote>
  <w:footnote w:id="417">
    <w:p w14:paraId="46CEA11A" w14:textId="77777777" w:rsidR="002C6796" w:rsidRPr="00D33F15" w:rsidRDefault="002C6796" w:rsidP="002C6796">
      <w:pPr>
        <w:pStyle w:val="FootnoteText"/>
      </w:pPr>
      <w:r w:rsidRPr="00D33F15">
        <w:rPr>
          <w:rStyle w:val="FootnoteReference"/>
        </w:rPr>
        <w:footnoteRef/>
      </w:r>
      <w:r w:rsidRPr="00D33F15">
        <w:t xml:space="preserve"> CETF Reply Brief at 2.</w:t>
      </w:r>
    </w:p>
  </w:footnote>
  <w:footnote w:id="418">
    <w:p w14:paraId="00073249" w14:textId="77777777" w:rsidR="002C6796" w:rsidRPr="00D33F15" w:rsidRDefault="002C6796" w:rsidP="002C6796">
      <w:pPr>
        <w:pStyle w:val="FootnoteText"/>
      </w:pPr>
      <w:r w:rsidRPr="00D33F15">
        <w:rPr>
          <w:rStyle w:val="FootnoteReference"/>
        </w:rPr>
        <w:footnoteRef/>
      </w:r>
      <w:r w:rsidRPr="00D33F15">
        <w:t xml:space="preserve"> CETF Reply Brief at 2.</w:t>
      </w:r>
    </w:p>
  </w:footnote>
  <w:footnote w:id="419">
    <w:p w14:paraId="2F20CF6C" w14:textId="77777777" w:rsidR="002C6796" w:rsidRPr="00D33F15" w:rsidRDefault="002C6796" w:rsidP="002C6796">
      <w:pPr>
        <w:pStyle w:val="FootnoteText"/>
      </w:pPr>
      <w:r w:rsidRPr="00D33F15">
        <w:rPr>
          <w:rStyle w:val="FootnoteReference"/>
        </w:rPr>
        <w:footnoteRef/>
      </w:r>
      <w:r w:rsidRPr="00D33F15">
        <w:t xml:space="preserve"> TURN Opening Brief at 4-15.</w:t>
      </w:r>
    </w:p>
  </w:footnote>
  <w:footnote w:id="420">
    <w:p w14:paraId="18C21EDB" w14:textId="77777777" w:rsidR="002C6796" w:rsidRPr="00D33F15" w:rsidRDefault="002C6796" w:rsidP="002C6796">
      <w:pPr>
        <w:pStyle w:val="FootnoteText"/>
      </w:pPr>
      <w:r w:rsidRPr="00D33F15">
        <w:rPr>
          <w:rStyle w:val="FootnoteReference"/>
        </w:rPr>
        <w:footnoteRef/>
      </w:r>
      <w:r w:rsidRPr="00D33F15">
        <w:t xml:space="preserve"> Joint Applicants Opening Brief at 4.</w:t>
      </w:r>
    </w:p>
  </w:footnote>
  <w:footnote w:id="421">
    <w:p w14:paraId="6A2676A5" w14:textId="77777777" w:rsidR="002C6796" w:rsidRPr="00D33F15" w:rsidRDefault="002C6796" w:rsidP="002C6796">
      <w:pPr>
        <w:pStyle w:val="FootnoteText"/>
      </w:pPr>
      <w:r w:rsidRPr="00D33F15">
        <w:rPr>
          <w:rStyle w:val="FootnoteReference"/>
        </w:rPr>
        <w:footnoteRef/>
      </w:r>
      <w:r w:rsidRPr="00D33F15">
        <w:t xml:space="preserve"> Joint Applicants Opening Brief, Appendix A.</w:t>
      </w:r>
    </w:p>
  </w:footnote>
  <w:footnote w:id="422">
    <w:p w14:paraId="60A295E5" w14:textId="77777777" w:rsidR="002C6796" w:rsidRPr="00D33F15" w:rsidRDefault="002C6796" w:rsidP="002C6796">
      <w:pPr>
        <w:pStyle w:val="FootnoteText"/>
      </w:pPr>
      <w:r w:rsidRPr="00D33F15">
        <w:rPr>
          <w:rStyle w:val="FootnoteReference"/>
        </w:rPr>
        <w:footnoteRef/>
      </w:r>
      <w:r w:rsidRPr="00D33F15">
        <w:t xml:space="preserve"> Joint Applicants Opening Brief at 4-9.</w:t>
      </w:r>
    </w:p>
  </w:footnote>
  <w:footnote w:id="423">
    <w:p w14:paraId="585D58FE" w14:textId="77777777" w:rsidR="002C6796" w:rsidRPr="00D33F15" w:rsidRDefault="002C6796" w:rsidP="002C6796">
      <w:pPr>
        <w:pStyle w:val="FootnoteText"/>
      </w:pPr>
      <w:r w:rsidRPr="00D33F15">
        <w:rPr>
          <w:rStyle w:val="FootnoteReference"/>
        </w:rPr>
        <w:footnoteRef/>
      </w:r>
      <w:r w:rsidRPr="00D33F15">
        <w:t xml:space="preserve"> Joint Applicants Opening Brief at 32.</w:t>
      </w:r>
    </w:p>
  </w:footnote>
  <w:footnote w:id="424">
    <w:p w14:paraId="4750482E" w14:textId="7F7D898F" w:rsidR="006C4C62" w:rsidRDefault="006C4C62" w:rsidP="007E48DA">
      <w:pPr>
        <w:pStyle w:val="FootnoteText"/>
      </w:pPr>
      <w:r w:rsidRPr="00D33F15">
        <w:rPr>
          <w:rStyle w:val="FootnoteReference"/>
        </w:rPr>
        <w:footnoteRef/>
      </w:r>
      <w:r w:rsidRPr="00D33F15">
        <w:t xml:space="preserve"> </w:t>
      </w:r>
      <w:r w:rsidR="007E48DA" w:rsidRPr="00D33F15">
        <w:rPr>
          <w:i/>
          <w:iCs/>
        </w:rPr>
        <w:t>See</w:t>
      </w:r>
      <w:r w:rsidR="007E48DA" w:rsidRPr="00D33F15">
        <w:t xml:space="preserve"> Administrative Law Judge’s Ruling Noticing Public Participation Hearings and Providing Additional Instructions, May 28, 2025</w:t>
      </w:r>
      <w:r w:rsidR="00225847" w:rsidRPr="00D33F15">
        <w:t xml:space="preserve"> </w:t>
      </w:r>
      <w:r w:rsidR="00225847" w:rsidRPr="00D33F15">
        <w:rPr>
          <w:i/>
          <w:iCs/>
        </w:rPr>
        <w:t xml:space="preserve">and </w:t>
      </w:r>
      <w:r w:rsidR="00225847" w:rsidRPr="00D33F15">
        <w:t xml:space="preserve">Transcripts for Public Participation Hearings on </w:t>
      </w:r>
      <w:r w:rsidR="00323422" w:rsidRPr="00D33F15">
        <w:t xml:space="preserve">May 29, 2025; June 11, 2025; June 16, 2025; June 18, 2025; June </w:t>
      </w:r>
      <w:r w:rsidR="00753D52" w:rsidRPr="00D33F15">
        <w:t>24</w:t>
      </w:r>
      <w:r w:rsidR="00323422" w:rsidRPr="00D33F15">
        <w:t xml:space="preserve">, 2025; June </w:t>
      </w:r>
      <w:r w:rsidR="00753D52" w:rsidRPr="00D33F15">
        <w:t>30</w:t>
      </w:r>
      <w:r w:rsidR="00323422" w:rsidRPr="00D33F15">
        <w:t>, 2025;</w:t>
      </w:r>
      <w:r w:rsidR="00753D52" w:rsidRPr="00D33F15">
        <w:t xml:space="preserve"> July 7, 2025; and July 15, 2025</w:t>
      </w:r>
      <w:r w:rsidR="007E48DA" w:rsidRPr="00D33F15">
        <w:t>.</w:t>
      </w:r>
      <w:r w:rsidR="00C5525C">
        <w:t xml:space="preserve"> </w:t>
      </w:r>
    </w:p>
  </w:footnote>
  <w:footnote w:id="425">
    <w:p w14:paraId="35AA5F5C" w14:textId="44C34AED" w:rsidR="000F18F8" w:rsidRDefault="000F18F8">
      <w:pPr>
        <w:pStyle w:val="FootnoteText"/>
      </w:pPr>
      <w:r>
        <w:rPr>
          <w:rStyle w:val="FootnoteReference"/>
        </w:rPr>
        <w:footnoteRef/>
      </w:r>
      <w:r>
        <w:t xml:space="preserve"> </w:t>
      </w:r>
      <w:r w:rsidR="00006CF6">
        <w:t xml:space="preserve">Joint Applicants Proposed Decision Opening Comments </w:t>
      </w:r>
      <w:r w:rsidR="00A02F73">
        <w:t xml:space="preserve">(Joint Applicants PD Comments) </w:t>
      </w:r>
      <w:r w:rsidR="00006CF6">
        <w:t>at 1.</w:t>
      </w:r>
    </w:p>
  </w:footnote>
  <w:footnote w:id="426">
    <w:p w14:paraId="3EDF7140" w14:textId="50D2D9C9" w:rsidR="002D5975" w:rsidRDefault="002D5975">
      <w:pPr>
        <w:pStyle w:val="FootnoteText"/>
      </w:pPr>
      <w:r>
        <w:rPr>
          <w:rStyle w:val="FootnoteReference"/>
        </w:rPr>
        <w:footnoteRef/>
      </w:r>
      <w:r>
        <w:t xml:space="preserve"> Joint Applicants PD Comments at </w:t>
      </w:r>
      <w:r w:rsidR="005C1F36">
        <w:t>2-</w:t>
      </w:r>
      <w:r w:rsidR="00B53742">
        <w:t>4</w:t>
      </w:r>
      <w:r>
        <w:t>.</w:t>
      </w:r>
    </w:p>
  </w:footnote>
  <w:footnote w:id="427">
    <w:p w14:paraId="2C6A1387" w14:textId="07AA5F7E" w:rsidR="002D5975" w:rsidRDefault="002D5975">
      <w:pPr>
        <w:pStyle w:val="FootnoteText"/>
      </w:pPr>
      <w:r>
        <w:rPr>
          <w:rStyle w:val="FootnoteReference"/>
        </w:rPr>
        <w:footnoteRef/>
      </w:r>
      <w:r>
        <w:t xml:space="preserve"> Joint Applicants PD Comments at </w:t>
      </w:r>
      <w:r w:rsidR="00260CCD">
        <w:t>4</w:t>
      </w:r>
      <w:r w:rsidR="00B1177C">
        <w:t>-</w:t>
      </w:r>
      <w:r w:rsidR="00260CCD">
        <w:t>7</w:t>
      </w:r>
      <w:r>
        <w:t>.</w:t>
      </w:r>
    </w:p>
  </w:footnote>
  <w:footnote w:id="428">
    <w:p w14:paraId="17D8F676" w14:textId="7FDDABCF" w:rsidR="00701056" w:rsidRDefault="00701056">
      <w:pPr>
        <w:pStyle w:val="FootnoteText"/>
      </w:pPr>
      <w:r>
        <w:rPr>
          <w:rStyle w:val="FootnoteReference"/>
        </w:rPr>
        <w:footnoteRef/>
      </w:r>
      <w:r>
        <w:t xml:space="preserve"> Joint Applicants PD Comments at </w:t>
      </w:r>
      <w:r w:rsidR="007438DF">
        <w:t>4-5</w:t>
      </w:r>
      <w:r>
        <w:t>.</w:t>
      </w:r>
    </w:p>
  </w:footnote>
  <w:footnote w:id="429">
    <w:p w14:paraId="1C7491A3" w14:textId="31C05857" w:rsidR="00D0736A" w:rsidRDefault="00D0736A">
      <w:pPr>
        <w:pStyle w:val="FootnoteText"/>
      </w:pPr>
      <w:r>
        <w:rPr>
          <w:rStyle w:val="FootnoteReference"/>
        </w:rPr>
        <w:footnoteRef/>
      </w:r>
      <w:r>
        <w:t xml:space="preserve"> Joint Applicants PD Comments at </w:t>
      </w:r>
      <w:r w:rsidR="006A46EF">
        <w:t>7</w:t>
      </w:r>
      <w:r>
        <w:t>.</w:t>
      </w:r>
    </w:p>
  </w:footnote>
  <w:footnote w:id="430">
    <w:p w14:paraId="63CE468F" w14:textId="40E24FB2" w:rsidR="00D0736A" w:rsidRDefault="00D0736A">
      <w:pPr>
        <w:pStyle w:val="FootnoteText"/>
      </w:pPr>
      <w:r>
        <w:rPr>
          <w:rStyle w:val="FootnoteReference"/>
        </w:rPr>
        <w:footnoteRef/>
      </w:r>
      <w:r>
        <w:t xml:space="preserve"> Joint Applicants PD Comments at </w:t>
      </w:r>
      <w:r w:rsidR="00BE402F">
        <w:t>7-8</w:t>
      </w:r>
      <w:r>
        <w:t>.</w:t>
      </w:r>
    </w:p>
  </w:footnote>
  <w:footnote w:id="431">
    <w:p w14:paraId="4B6E35A5" w14:textId="26665FE9" w:rsidR="00D0736A" w:rsidRDefault="00D0736A">
      <w:pPr>
        <w:pStyle w:val="FootnoteText"/>
      </w:pPr>
      <w:r>
        <w:rPr>
          <w:rStyle w:val="FootnoteReference"/>
        </w:rPr>
        <w:footnoteRef/>
      </w:r>
      <w:r>
        <w:t xml:space="preserve"> Joint Applicants PD Comments at </w:t>
      </w:r>
      <w:r w:rsidR="00DE2F6A">
        <w:t>7-8</w:t>
      </w:r>
      <w:r>
        <w:t>.</w:t>
      </w:r>
    </w:p>
  </w:footnote>
  <w:footnote w:id="432">
    <w:p w14:paraId="1FA7DDB4" w14:textId="27AF06D3" w:rsidR="00D0736A" w:rsidRDefault="00D0736A">
      <w:pPr>
        <w:pStyle w:val="FootnoteText"/>
      </w:pPr>
      <w:r>
        <w:rPr>
          <w:rStyle w:val="FootnoteReference"/>
        </w:rPr>
        <w:footnoteRef/>
      </w:r>
      <w:r>
        <w:t xml:space="preserve"> Joint Applicants PD Comments at </w:t>
      </w:r>
      <w:r w:rsidR="00BD214F">
        <w:t>8</w:t>
      </w:r>
      <w:r>
        <w:t>.</w:t>
      </w:r>
    </w:p>
  </w:footnote>
  <w:footnote w:id="433">
    <w:p w14:paraId="11DA119F" w14:textId="6C459BE6" w:rsidR="00D0736A" w:rsidRDefault="00D0736A">
      <w:pPr>
        <w:pStyle w:val="FootnoteText"/>
      </w:pPr>
      <w:r>
        <w:rPr>
          <w:rStyle w:val="FootnoteReference"/>
        </w:rPr>
        <w:footnoteRef/>
      </w:r>
      <w:r>
        <w:t xml:space="preserve"> Joint Applicants PD Comments at </w:t>
      </w:r>
      <w:r w:rsidR="00BD214F">
        <w:t>8</w:t>
      </w:r>
      <w:r>
        <w:t>.</w:t>
      </w:r>
    </w:p>
  </w:footnote>
  <w:footnote w:id="434">
    <w:p w14:paraId="47AD9AB0" w14:textId="0D8B2A53" w:rsidR="004C35DB" w:rsidRDefault="004C35DB">
      <w:pPr>
        <w:pStyle w:val="FootnoteText"/>
      </w:pPr>
      <w:r>
        <w:rPr>
          <w:rStyle w:val="FootnoteReference"/>
        </w:rPr>
        <w:footnoteRef/>
      </w:r>
      <w:r>
        <w:t xml:space="preserve"> Joint Applicants</w:t>
      </w:r>
      <w:r w:rsidR="00954AA9">
        <w:t xml:space="preserve">’ </w:t>
      </w:r>
      <w:r w:rsidR="00954AA9" w:rsidRPr="00954AA9">
        <w:t xml:space="preserve">Reply Comments </w:t>
      </w:r>
      <w:r w:rsidR="00954AA9">
        <w:t>o</w:t>
      </w:r>
      <w:r w:rsidR="00954AA9" w:rsidRPr="00954AA9">
        <w:t xml:space="preserve">n Proposed Decision Granting Transfer </w:t>
      </w:r>
      <w:r w:rsidR="00954AA9">
        <w:t>o</w:t>
      </w:r>
      <w:r w:rsidR="00954AA9" w:rsidRPr="00954AA9">
        <w:t xml:space="preserve">f Control Subject </w:t>
      </w:r>
      <w:r w:rsidR="00954AA9">
        <w:t>t</w:t>
      </w:r>
      <w:r w:rsidR="00954AA9" w:rsidRPr="00954AA9">
        <w:t>o Conditions</w:t>
      </w:r>
      <w:r w:rsidR="00954AA9">
        <w:t>, January 12, 2026</w:t>
      </w:r>
      <w:r w:rsidR="004039D6">
        <w:t>,</w:t>
      </w:r>
      <w:r w:rsidR="00954AA9">
        <w:t xml:space="preserve"> (Joint Applicants PD Reply Comments) at 3.</w:t>
      </w:r>
    </w:p>
  </w:footnote>
  <w:footnote w:id="435">
    <w:p w14:paraId="753767F6" w14:textId="2B77D121" w:rsidR="0099590F" w:rsidRDefault="0099590F">
      <w:pPr>
        <w:pStyle w:val="FootnoteText"/>
      </w:pPr>
      <w:r>
        <w:rPr>
          <w:rStyle w:val="FootnoteReference"/>
        </w:rPr>
        <w:footnoteRef/>
      </w:r>
      <w:r>
        <w:t xml:space="preserve"> </w:t>
      </w:r>
      <w:r w:rsidR="00A02F73">
        <w:t xml:space="preserve">CETF Proposed Decision Opening Comments (CETF PD Comments) at </w:t>
      </w:r>
      <w:r w:rsidR="006F3B3F">
        <w:t>4</w:t>
      </w:r>
      <w:r w:rsidR="000704BA">
        <w:t>, 5</w:t>
      </w:r>
      <w:r w:rsidR="00A02F73">
        <w:t>.</w:t>
      </w:r>
    </w:p>
  </w:footnote>
  <w:footnote w:id="436">
    <w:p w14:paraId="41DD33A7" w14:textId="5DDCF578" w:rsidR="0099590F" w:rsidRDefault="0099590F">
      <w:pPr>
        <w:pStyle w:val="FootnoteText"/>
      </w:pPr>
      <w:r>
        <w:rPr>
          <w:rStyle w:val="FootnoteReference"/>
        </w:rPr>
        <w:footnoteRef/>
      </w:r>
      <w:r w:rsidR="008B3B71">
        <w:t xml:space="preserve"> </w:t>
      </w:r>
      <w:r w:rsidR="00A02F73">
        <w:t xml:space="preserve">CETF PD Comments at </w:t>
      </w:r>
      <w:r w:rsidR="000704BA">
        <w:t>4</w:t>
      </w:r>
      <w:r w:rsidR="00651757">
        <w:t>-6</w:t>
      </w:r>
      <w:r w:rsidR="00A02F73">
        <w:t>.</w:t>
      </w:r>
    </w:p>
  </w:footnote>
  <w:footnote w:id="437">
    <w:p w14:paraId="30AD75E9" w14:textId="361FB2DA" w:rsidR="0099590F" w:rsidRDefault="0099590F">
      <w:pPr>
        <w:pStyle w:val="FootnoteText"/>
      </w:pPr>
      <w:r>
        <w:rPr>
          <w:rStyle w:val="FootnoteReference"/>
        </w:rPr>
        <w:footnoteRef/>
      </w:r>
      <w:r>
        <w:t xml:space="preserve"> </w:t>
      </w:r>
      <w:r w:rsidR="008B3B71">
        <w:t xml:space="preserve">CETF PD Comments at </w:t>
      </w:r>
      <w:r w:rsidR="004A7B38">
        <w:t>5-6</w:t>
      </w:r>
      <w:r w:rsidR="008B3B71">
        <w:t>.</w:t>
      </w:r>
    </w:p>
  </w:footnote>
  <w:footnote w:id="438">
    <w:p w14:paraId="272FE3E5" w14:textId="7C00A145" w:rsidR="0099590F" w:rsidRDefault="0099590F">
      <w:pPr>
        <w:pStyle w:val="FootnoteText"/>
      </w:pPr>
      <w:r>
        <w:rPr>
          <w:rStyle w:val="FootnoteReference"/>
        </w:rPr>
        <w:footnoteRef/>
      </w:r>
      <w:r>
        <w:t xml:space="preserve"> </w:t>
      </w:r>
      <w:r w:rsidR="008B3B71">
        <w:t xml:space="preserve">CETF PD Comments at </w:t>
      </w:r>
      <w:r w:rsidR="00FC44EE">
        <w:t>5</w:t>
      </w:r>
      <w:r w:rsidR="00316D3E">
        <w:t>-7</w:t>
      </w:r>
      <w:r w:rsidR="008B3B71">
        <w:t>.</w:t>
      </w:r>
    </w:p>
  </w:footnote>
  <w:footnote w:id="439">
    <w:p w14:paraId="6481E8D7" w14:textId="284AF223" w:rsidR="0099590F" w:rsidRDefault="0099590F">
      <w:pPr>
        <w:pStyle w:val="FootnoteText"/>
      </w:pPr>
      <w:r>
        <w:rPr>
          <w:rStyle w:val="FootnoteReference"/>
        </w:rPr>
        <w:footnoteRef/>
      </w:r>
      <w:r>
        <w:t xml:space="preserve"> </w:t>
      </w:r>
      <w:r w:rsidR="008B3B71">
        <w:t>CETF PD Comments at</w:t>
      </w:r>
      <w:r w:rsidR="004A7B38" w:rsidRPr="004A7B38">
        <w:t xml:space="preserve"> </w:t>
      </w:r>
      <w:r w:rsidR="0040538E">
        <w:t>6</w:t>
      </w:r>
      <w:r w:rsidR="008B3B71">
        <w:t>.</w:t>
      </w:r>
    </w:p>
  </w:footnote>
  <w:footnote w:id="440">
    <w:p w14:paraId="247AD46C" w14:textId="69192FB4" w:rsidR="0099590F" w:rsidRDefault="0099590F">
      <w:pPr>
        <w:pStyle w:val="FootnoteText"/>
      </w:pPr>
      <w:r>
        <w:rPr>
          <w:rStyle w:val="FootnoteReference"/>
        </w:rPr>
        <w:footnoteRef/>
      </w:r>
      <w:r>
        <w:t xml:space="preserve"> </w:t>
      </w:r>
      <w:r w:rsidR="008B3B71">
        <w:t xml:space="preserve">CETF PD Comments at </w:t>
      </w:r>
      <w:r w:rsidR="00861792">
        <w:t>6</w:t>
      </w:r>
      <w:r w:rsidR="008B3B71">
        <w:t>.</w:t>
      </w:r>
    </w:p>
  </w:footnote>
  <w:footnote w:id="441">
    <w:p w14:paraId="402012D7" w14:textId="318A5B8A" w:rsidR="00A34F52" w:rsidRDefault="00A34F52">
      <w:pPr>
        <w:pStyle w:val="FootnoteText"/>
      </w:pPr>
      <w:r>
        <w:rPr>
          <w:rStyle w:val="FootnoteReference"/>
        </w:rPr>
        <w:footnoteRef/>
      </w:r>
      <w:r>
        <w:t xml:space="preserve"> CforAT Proposed Decision Opening Comments (CforAT PD Comments) at</w:t>
      </w:r>
      <w:r w:rsidR="00AB0AAC">
        <w:t xml:space="preserve"> 13, citing </w:t>
      </w:r>
      <w:r w:rsidR="00AB0AAC" w:rsidRPr="00AB0AAC">
        <w:t>Joint Applicants’ Notice of Ex Parte Communication</w:t>
      </w:r>
      <w:r w:rsidR="00AB0AAC">
        <w:t>,</w:t>
      </w:r>
      <w:r w:rsidR="00AB0AAC" w:rsidRPr="00AB0AAC">
        <w:t xml:space="preserve"> Dec</w:t>
      </w:r>
      <w:r w:rsidR="00AB0AAC">
        <w:t xml:space="preserve">ember </w:t>
      </w:r>
      <w:r w:rsidR="00AB0AAC" w:rsidRPr="00AB0AAC">
        <w:t>24, 2025</w:t>
      </w:r>
      <w:r w:rsidR="00AB0AAC">
        <w:t xml:space="preserve">, </w:t>
      </w:r>
      <w:r w:rsidR="00AB0AAC" w:rsidRPr="00AB0AAC">
        <w:t>at 1</w:t>
      </w:r>
      <w:r w:rsidR="00AB0AAC">
        <w:t>.</w:t>
      </w:r>
    </w:p>
  </w:footnote>
  <w:footnote w:id="442">
    <w:p w14:paraId="6397C64A" w14:textId="1878A9AA" w:rsidR="00AB0AAC" w:rsidRDefault="00AB0AAC">
      <w:pPr>
        <w:pStyle w:val="FootnoteText"/>
      </w:pPr>
      <w:r>
        <w:rPr>
          <w:rStyle w:val="FootnoteReference"/>
        </w:rPr>
        <w:footnoteRef/>
      </w:r>
      <w:r>
        <w:t xml:space="preserve"> CforAT PD Comments) at 13-14.</w:t>
      </w:r>
    </w:p>
  </w:footnote>
  <w:footnote w:id="443">
    <w:p w14:paraId="421CBA89" w14:textId="6DB6EAC5" w:rsidR="00463CC4" w:rsidRDefault="00463CC4">
      <w:pPr>
        <w:pStyle w:val="FootnoteText"/>
      </w:pPr>
      <w:r>
        <w:rPr>
          <w:rStyle w:val="FootnoteReference"/>
        </w:rPr>
        <w:footnoteRef/>
      </w:r>
      <w:r>
        <w:t xml:space="preserve"> </w:t>
      </w:r>
      <w:r w:rsidR="004E5229">
        <w:t xml:space="preserve">TURN Proposed Decision Opening Comments (TURN PD Comments) at </w:t>
      </w:r>
      <w:r w:rsidR="00C40720">
        <w:t>1</w:t>
      </w:r>
      <w:r w:rsidR="004E5229">
        <w:t>.</w:t>
      </w:r>
    </w:p>
  </w:footnote>
  <w:footnote w:id="444">
    <w:p w14:paraId="384FF0A8" w14:textId="07096861" w:rsidR="00876556" w:rsidRDefault="00876556">
      <w:pPr>
        <w:pStyle w:val="FootnoteText"/>
      </w:pPr>
      <w:r>
        <w:rPr>
          <w:rStyle w:val="FootnoteReference"/>
        </w:rPr>
        <w:footnoteRef/>
      </w:r>
      <w:r>
        <w:t xml:space="preserve"> </w:t>
      </w:r>
      <w:r w:rsidR="00D93836">
        <w:t xml:space="preserve">TURN PD Comments at </w:t>
      </w:r>
      <w:r w:rsidR="00B258A3">
        <w:t>1-6</w:t>
      </w:r>
      <w:r w:rsidR="00D93836">
        <w:t>.</w:t>
      </w:r>
    </w:p>
  </w:footnote>
  <w:footnote w:id="445">
    <w:p w14:paraId="560C0CF8" w14:textId="6C776B86" w:rsidR="00876556" w:rsidRDefault="00876556">
      <w:pPr>
        <w:pStyle w:val="FootnoteText"/>
      </w:pPr>
      <w:r>
        <w:rPr>
          <w:rStyle w:val="FootnoteReference"/>
        </w:rPr>
        <w:footnoteRef/>
      </w:r>
      <w:r>
        <w:t xml:space="preserve"> </w:t>
      </w:r>
      <w:r w:rsidR="00D93836">
        <w:t xml:space="preserve">TURN PD Comments at </w:t>
      </w:r>
      <w:r w:rsidR="0060379A">
        <w:t>1-6</w:t>
      </w:r>
      <w:r w:rsidR="00FC67AA">
        <w:t>.</w:t>
      </w:r>
    </w:p>
  </w:footnote>
  <w:footnote w:id="446">
    <w:p w14:paraId="7CBEDEC3" w14:textId="048B58A3" w:rsidR="00FC67AA" w:rsidRDefault="00FC67AA">
      <w:pPr>
        <w:pStyle w:val="FootnoteText"/>
      </w:pPr>
      <w:r>
        <w:rPr>
          <w:rStyle w:val="FootnoteReference"/>
        </w:rPr>
        <w:footnoteRef/>
      </w:r>
      <w:r>
        <w:t xml:space="preserve"> TURN PD Comments at </w:t>
      </w:r>
      <w:r w:rsidR="00D8085E">
        <w:t>1-6</w:t>
      </w:r>
      <w:r>
        <w:t>.</w:t>
      </w:r>
    </w:p>
  </w:footnote>
  <w:footnote w:id="447">
    <w:p w14:paraId="43DC7B5C" w14:textId="747FE5C0" w:rsidR="00375DD5" w:rsidRDefault="00375DD5">
      <w:pPr>
        <w:pStyle w:val="FootnoteText"/>
      </w:pPr>
      <w:r>
        <w:rPr>
          <w:rStyle w:val="FootnoteReference"/>
        </w:rPr>
        <w:footnoteRef/>
      </w:r>
      <w:r>
        <w:t xml:space="preserve"> </w:t>
      </w:r>
      <w:r w:rsidR="0051299D" w:rsidRPr="0051299D">
        <w:t xml:space="preserve">Joint Applicants’ Reply Comments </w:t>
      </w:r>
      <w:r w:rsidR="0051299D">
        <w:t>o</w:t>
      </w:r>
      <w:r w:rsidR="0051299D" w:rsidRPr="0051299D">
        <w:t xml:space="preserve">n Proposed Decision Granting Transfer </w:t>
      </w:r>
      <w:r w:rsidR="0051299D">
        <w:t>o</w:t>
      </w:r>
      <w:r w:rsidR="0051299D" w:rsidRPr="0051299D">
        <w:t xml:space="preserve">f Control Subject </w:t>
      </w:r>
      <w:r w:rsidR="0051299D">
        <w:t>t</w:t>
      </w:r>
      <w:r w:rsidR="0051299D" w:rsidRPr="0051299D">
        <w:t>o Conditions</w:t>
      </w:r>
      <w:r w:rsidR="0051299D">
        <w:t xml:space="preserve">, January 12, 2026, </w:t>
      </w:r>
      <w:r w:rsidR="0051299D" w:rsidRPr="0051299D">
        <w:t>A</w:t>
      </w:r>
      <w:r w:rsidR="0051299D">
        <w:t>ppendix</w:t>
      </w:r>
      <w:r w:rsidR="0051299D" w:rsidRPr="0051299D">
        <w:t xml:space="preserve"> A</w:t>
      </w:r>
      <w:r w:rsidR="0051299D">
        <w:t>.</w:t>
      </w:r>
    </w:p>
  </w:footnote>
  <w:footnote w:id="448">
    <w:p w14:paraId="7CB1D668" w14:textId="677B137F" w:rsidR="00AB2C4C" w:rsidRDefault="00AB2C4C">
      <w:pPr>
        <w:pStyle w:val="FootnoteText"/>
      </w:pPr>
      <w:r>
        <w:rPr>
          <w:rStyle w:val="FootnoteReference"/>
        </w:rPr>
        <w:footnoteRef/>
      </w:r>
      <w:r>
        <w:t xml:space="preserve"> </w:t>
      </w:r>
      <w:r w:rsidR="00863B1A">
        <w:t xml:space="preserve">Joint Applicants PD Comments at </w:t>
      </w:r>
      <w:r w:rsidR="00320503">
        <w:t>8</w:t>
      </w:r>
      <w:r w:rsidR="00863B1A">
        <w:t>.</w:t>
      </w:r>
    </w:p>
  </w:footnote>
  <w:footnote w:id="449">
    <w:p w14:paraId="58D8045C" w14:textId="7EC5B703" w:rsidR="00967927" w:rsidRDefault="00967927">
      <w:pPr>
        <w:pStyle w:val="FootnoteText"/>
      </w:pPr>
      <w:r>
        <w:rPr>
          <w:rStyle w:val="FootnoteReference"/>
        </w:rPr>
        <w:footnoteRef/>
      </w:r>
      <w:r>
        <w:t xml:space="preserve"> Joint Applicants PD Comments at </w:t>
      </w:r>
      <w:r w:rsidR="00F837B0">
        <w:t xml:space="preserve">9, citing various </w:t>
      </w:r>
      <w:r w:rsidR="00EE1240">
        <w:t>arguments that t</w:t>
      </w:r>
      <w:r w:rsidR="00F837B0" w:rsidRPr="00F837B0">
        <w:t>he Commission lacks jurisdiction over labor issues</w:t>
      </w:r>
      <w:r w:rsidR="00320503">
        <w:t>.</w:t>
      </w:r>
    </w:p>
  </w:footnote>
  <w:footnote w:id="450">
    <w:p w14:paraId="495A9E1E" w14:textId="7314A043" w:rsidR="00967927" w:rsidRDefault="00967927">
      <w:pPr>
        <w:pStyle w:val="FootnoteText"/>
      </w:pPr>
      <w:r>
        <w:rPr>
          <w:rStyle w:val="FootnoteReference"/>
        </w:rPr>
        <w:footnoteRef/>
      </w:r>
      <w:r>
        <w:t xml:space="preserve"> Joint Applicants PD Comments at </w:t>
      </w:r>
      <w:r w:rsidR="00A009C1">
        <w:t>9</w:t>
      </w:r>
      <w:r>
        <w:t>.</w:t>
      </w:r>
    </w:p>
  </w:footnote>
  <w:footnote w:id="451">
    <w:p w14:paraId="7A32A159" w14:textId="7F9BE02A" w:rsidR="00B0136F" w:rsidRDefault="00B0136F">
      <w:pPr>
        <w:pStyle w:val="FootnoteText"/>
      </w:pPr>
      <w:r>
        <w:rPr>
          <w:rStyle w:val="FootnoteReference"/>
        </w:rPr>
        <w:footnoteRef/>
      </w:r>
      <w:r>
        <w:t xml:space="preserve"> Joint Applicants PD Comments at </w:t>
      </w:r>
      <w:r w:rsidR="00E91DDC">
        <w:t xml:space="preserve">9, citing </w:t>
      </w:r>
      <w:r w:rsidR="00A009C1">
        <w:t>GO</w:t>
      </w:r>
      <w:r w:rsidR="00A009C1" w:rsidRPr="00A009C1">
        <w:t xml:space="preserve"> 156, </w:t>
      </w:r>
      <w:r w:rsidR="00A009C1">
        <w:t>Section</w:t>
      </w:r>
      <w:r w:rsidR="00A009C1" w:rsidRPr="00A009C1">
        <w:t xml:space="preserve"> 6</w:t>
      </w:r>
      <w:r>
        <w:t>.</w:t>
      </w:r>
    </w:p>
  </w:footnote>
  <w:footnote w:id="452">
    <w:p w14:paraId="1F7BC134" w14:textId="52756200" w:rsidR="00BD562E" w:rsidRDefault="00BD562E">
      <w:pPr>
        <w:pStyle w:val="FootnoteText"/>
      </w:pPr>
      <w:r>
        <w:rPr>
          <w:rStyle w:val="FootnoteReference"/>
        </w:rPr>
        <w:footnoteRef/>
      </w:r>
      <w:r>
        <w:t xml:space="preserve"> Joint Applicants PD Comments at </w:t>
      </w:r>
      <w:r w:rsidR="003B4A4B">
        <w:t>9</w:t>
      </w:r>
      <w:r>
        <w:t>.</w:t>
      </w:r>
    </w:p>
  </w:footnote>
  <w:footnote w:id="453">
    <w:p w14:paraId="5250B8DC" w14:textId="69DEA8EB" w:rsidR="00951360" w:rsidRPr="00D622BD" w:rsidRDefault="00951360">
      <w:pPr>
        <w:pStyle w:val="FootnoteText"/>
      </w:pPr>
      <w:r>
        <w:rPr>
          <w:rStyle w:val="FootnoteReference"/>
        </w:rPr>
        <w:footnoteRef/>
      </w:r>
      <w:r>
        <w:t xml:space="preserve"> Joint Applicants PD Comments at 10</w:t>
      </w:r>
      <w:r w:rsidR="00D622BD">
        <w:t>.</w:t>
      </w:r>
    </w:p>
  </w:footnote>
  <w:footnote w:id="454">
    <w:p w14:paraId="0C49F9AA" w14:textId="37217786" w:rsidR="0069306A" w:rsidRDefault="0069306A">
      <w:pPr>
        <w:pStyle w:val="FootnoteText"/>
      </w:pPr>
      <w:r>
        <w:rPr>
          <w:rStyle w:val="FootnoteReference"/>
        </w:rPr>
        <w:footnoteRef/>
      </w:r>
      <w:r>
        <w:t xml:space="preserve"> </w:t>
      </w:r>
      <w:r w:rsidR="00D1270C">
        <w:t>Joint Applicants PD Comments at 10.</w:t>
      </w:r>
    </w:p>
  </w:footnote>
  <w:footnote w:id="455">
    <w:p w14:paraId="203DF763" w14:textId="036C0711" w:rsidR="00E14398" w:rsidRDefault="00E14398">
      <w:pPr>
        <w:pStyle w:val="FootnoteText"/>
      </w:pPr>
      <w:r>
        <w:rPr>
          <w:rStyle w:val="FootnoteReference"/>
        </w:rPr>
        <w:footnoteRef/>
      </w:r>
      <w:r>
        <w:t xml:space="preserve"> Joint Applicants PD Comments at 13.</w:t>
      </w:r>
    </w:p>
  </w:footnote>
  <w:footnote w:id="456">
    <w:p w14:paraId="3D40B669" w14:textId="314C22C3" w:rsidR="00766361" w:rsidRDefault="00766361">
      <w:pPr>
        <w:pStyle w:val="FootnoteText"/>
      </w:pPr>
      <w:r>
        <w:rPr>
          <w:rStyle w:val="FootnoteReference"/>
        </w:rPr>
        <w:footnoteRef/>
      </w:r>
      <w:r>
        <w:t xml:space="preserve"> TURN PD Comments at </w:t>
      </w:r>
      <w:r w:rsidR="00D5384B">
        <w:t>6-10.</w:t>
      </w:r>
    </w:p>
  </w:footnote>
  <w:footnote w:id="457">
    <w:p w14:paraId="354CF9B3" w14:textId="4092123E" w:rsidR="00963048" w:rsidRDefault="00963048">
      <w:pPr>
        <w:pStyle w:val="FootnoteText"/>
      </w:pPr>
      <w:r>
        <w:rPr>
          <w:rStyle w:val="FootnoteReference"/>
        </w:rPr>
        <w:footnoteRef/>
      </w:r>
      <w:r>
        <w:t xml:space="preserve"> CforAT PD Comments at 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8653" w14:textId="77777777" w:rsidR="00F92385" w:rsidRDefault="00F92385" w:rsidP="007E0FEE">
    <w:pPr>
      <w:pStyle w:val="Header"/>
      <w:tabs>
        <w:tab w:val="clear" w:pos="4680"/>
      </w:tabs>
      <w:ind w:firstLine="0"/>
      <w:jc w:val="center"/>
      <w:rPr>
        <w:b/>
      </w:rPr>
    </w:pPr>
    <w:r w:rsidRPr="00F92385">
      <w:rPr>
        <w:i/>
        <w:color w:val="FF0000"/>
        <w:sz w:val="20"/>
        <w:szCs w:val="20"/>
      </w:rPr>
      <w:t xml:space="preserve">Internal Review Draft; Subject to </w:t>
    </w:r>
    <w:r w:rsidRPr="00F92385">
      <w:rPr>
        <w:b/>
        <w:i/>
        <w:color w:val="FF0000"/>
        <w:sz w:val="20"/>
        <w:szCs w:val="20"/>
      </w:rPr>
      <w:t>ALJ Division Review</w:t>
    </w:r>
    <w:r w:rsidRPr="00F92385">
      <w:rPr>
        <w:i/>
        <w:color w:val="FF0000"/>
        <w:sz w:val="20"/>
        <w:szCs w:val="20"/>
      </w:rPr>
      <w:t xml:space="preserve"> /</w:t>
    </w:r>
    <w:r w:rsidRPr="00585390">
      <w:rPr>
        <w:color w:val="FF0000"/>
        <w:sz w:val="20"/>
        <w:szCs w:val="20"/>
      </w:rPr>
      <w:t xml:space="preserve"> </w:t>
    </w:r>
    <w:r w:rsidRPr="00F92385">
      <w:rPr>
        <w:b/>
        <w:color w:val="FF0000"/>
        <w:sz w:val="20"/>
        <w:szCs w:val="20"/>
      </w:rPr>
      <w:t>CONFIDENTIA</w:t>
    </w:r>
    <w:r w:rsidRPr="008F0116">
      <w:rPr>
        <w:b/>
        <w:color w:val="FF0000"/>
        <w:sz w:val="20"/>
        <w:szCs w:val="20"/>
      </w:rPr>
      <w:t>L;</w:t>
    </w:r>
    <w:r w:rsidRPr="008F0116">
      <w:rPr>
        <w:color w:val="FF0000"/>
        <w:sz w:val="20"/>
        <w:szCs w:val="20"/>
      </w:rPr>
      <w:t xml:space="preserve"> </w:t>
    </w:r>
    <w:r w:rsidRPr="008F0116">
      <w:rPr>
        <w:i/>
        <w:color w:val="FF0000"/>
        <w:sz w:val="20"/>
        <w:szCs w:val="20"/>
      </w:rPr>
      <w:t>Deliberative Process Privilege</w:t>
    </w:r>
    <w:r w:rsidRPr="008F0116">
      <w:br/>
    </w:r>
    <w:r>
      <w:t>X.XX-XX-XXX  ^^^/^^^/^^^</w:t>
    </w:r>
    <w:r w:rsidR="007E0FEE">
      <w:tab/>
    </w:r>
    <w:r>
      <w:rPr>
        <w:b/>
      </w:rPr>
      <w:t>PROPOSED DECISION</w:t>
    </w:r>
  </w:p>
  <w:p w14:paraId="23CDE0FE" w14:textId="77777777" w:rsidR="00F92385" w:rsidRPr="00585390" w:rsidRDefault="00F92385" w:rsidP="00F92385">
    <w:pPr>
      <w:pStyle w:val="Header"/>
      <w:ind w:firstLine="0"/>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94BD1" w14:textId="77777777" w:rsidR="00080D00" w:rsidRPr="00B3087D" w:rsidRDefault="00080D00" w:rsidP="00080D00">
    <w:pPr>
      <w:pStyle w:val="Header"/>
      <w:tabs>
        <w:tab w:val="clear" w:pos="4680"/>
      </w:tabs>
      <w:ind w:firstLine="0"/>
      <w:rPr>
        <w:i/>
        <w:color w:val="FF0000"/>
      </w:rPr>
    </w:pPr>
  </w:p>
  <w:p w14:paraId="7F2AD6DF" w14:textId="3A7A70D6" w:rsidR="00F92385" w:rsidRPr="00F92385" w:rsidRDefault="00F92385" w:rsidP="00F92385">
    <w:pPr>
      <w:pStyle w:val="Header"/>
      <w:ind w:firstLine="0"/>
      <w:rPr>
        <w:i/>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FD989" w14:textId="5921D86D" w:rsidR="00E23CBB" w:rsidRDefault="00080D00" w:rsidP="00EE4315">
    <w:pPr>
      <w:pStyle w:val="Header"/>
      <w:tabs>
        <w:tab w:val="clear" w:pos="4680"/>
      </w:tabs>
      <w:ind w:firstLine="0"/>
      <w:rPr>
        <w:b/>
      </w:rPr>
    </w:pPr>
    <w:r>
      <w:t>A.24-10-006  ALJ/EF1/asf</w:t>
    </w:r>
    <w:r w:rsidR="00E23CBB">
      <w:tab/>
    </w:r>
  </w:p>
  <w:p w14:paraId="14C00A74" w14:textId="77777777" w:rsidR="00080D00" w:rsidRDefault="00080D00" w:rsidP="00B3087D">
    <w:pPr>
      <w:pStyle w:val="Header"/>
      <w:tabs>
        <w:tab w:val="clear" w:pos="4680"/>
      </w:tabs>
      <w:ind w:firstLine="0"/>
      <w:rPr>
        <w:i/>
        <w:color w:val="FF0000"/>
      </w:rPr>
    </w:pPr>
  </w:p>
  <w:p w14:paraId="765C82EB" w14:textId="77777777" w:rsidR="00080D00" w:rsidRPr="00B3087D" w:rsidRDefault="00080D00" w:rsidP="00B3087D">
    <w:pPr>
      <w:pStyle w:val="Header"/>
      <w:tabs>
        <w:tab w:val="clear" w:pos="4680"/>
      </w:tabs>
      <w:ind w:firstLine="0"/>
      <w:rPr>
        <w:i/>
        <w:color w:val="FF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4A15B" w14:textId="53DE6AC9" w:rsidR="00FE2351" w:rsidRDefault="00080D00" w:rsidP="00EE4315">
    <w:pPr>
      <w:pStyle w:val="Header"/>
      <w:tabs>
        <w:tab w:val="clear" w:pos="4680"/>
      </w:tabs>
      <w:ind w:firstLine="0"/>
      <w:rPr>
        <w:b/>
      </w:rPr>
    </w:pPr>
    <w:r>
      <w:t>A.24-10-006  ALJ/EF1/asf</w:t>
    </w:r>
    <w:r w:rsidR="00FE2351">
      <w:tab/>
    </w:r>
  </w:p>
  <w:p w14:paraId="586BA34D" w14:textId="77777777" w:rsidR="00080D00" w:rsidRDefault="00080D00" w:rsidP="00B3087D">
    <w:pPr>
      <w:pStyle w:val="Header"/>
      <w:tabs>
        <w:tab w:val="clear" w:pos="4680"/>
      </w:tabs>
      <w:ind w:firstLine="0"/>
      <w:rPr>
        <w:i/>
        <w:color w:val="FF0000"/>
      </w:rPr>
    </w:pPr>
  </w:p>
  <w:p w14:paraId="167F221A" w14:textId="77777777" w:rsidR="00080D00" w:rsidRPr="00B3087D" w:rsidRDefault="00080D00" w:rsidP="00B3087D">
    <w:pPr>
      <w:pStyle w:val="Header"/>
      <w:tabs>
        <w:tab w:val="clear" w:pos="4680"/>
      </w:tabs>
      <w:ind w:firstLine="0"/>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2F4041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8F8D3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7CBC1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55E48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026EFA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A0B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F2D33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7A354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7CF7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B0AC4A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11" w15:restartNumberingAfterBreak="0">
    <w:nsid w:val="15F056CB"/>
    <w:multiLevelType w:val="multilevel"/>
    <w:tmpl w:val="18F4A5AC"/>
    <w:numStyleLink w:val="FoFCoLOP"/>
  </w:abstractNum>
  <w:abstractNum w:abstractNumId="12" w15:restartNumberingAfterBreak="0">
    <w:nsid w:val="1BAE1E69"/>
    <w:multiLevelType w:val="hybridMultilevel"/>
    <w:tmpl w:val="E5D49092"/>
    <w:lvl w:ilvl="0" w:tplc="DCFA14E4">
      <w:start w:val="1"/>
      <w:numFmt w:val="decimal"/>
      <w:lvlText w:val="(%1)"/>
      <w:lvlJc w:val="left"/>
      <w:pPr>
        <w:ind w:left="2148" w:hanging="528"/>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29777682"/>
    <w:multiLevelType w:val="multilevel"/>
    <w:tmpl w:val="2B4A061E"/>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decimal"/>
      <w:lvlText w:val="%8."/>
      <w:lvlJc w:val="left"/>
      <w:pPr>
        <w:ind w:left="1080" w:hanging="360"/>
      </w:pPr>
    </w:lvl>
    <w:lvl w:ilvl="8">
      <w:start w:val="1"/>
      <w:numFmt w:val="lowerLetter"/>
      <w:lvlText w:val="%9."/>
      <w:lvlJc w:val="left"/>
      <w:pPr>
        <w:ind w:left="3240" w:hanging="360"/>
      </w:pPr>
    </w:lvl>
  </w:abstractNum>
  <w:abstractNum w:abstractNumId="14"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5" w15:restartNumberingAfterBreak="0">
    <w:nsid w:val="33460144"/>
    <w:multiLevelType w:val="hybridMultilevel"/>
    <w:tmpl w:val="85FEE592"/>
    <w:lvl w:ilvl="0" w:tplc="CF5CAC06">
      <w:start w:val="1"/>
      <w:numFmt w:val="decimal"/>
      <w:lvlText w:val="%1."/>
      <w:lvlJc w:val="left"/>
      <w:pPr>
        <w:ind w:left="1800" w:hanging="360"/>
      </w:pPr>
    </w:lvl>
    <w:lvl w:ilvl="1" w:tplc="09B0F862">
      <w:start w:val="1"/>
      <w:numFmt w:val="lowerLetter"/>
      <w:lvlText w:val="%2."/>
      <w:lvlJc w:val="left"/>
      <w:pPr>
        <w:ind w:left="2520" w:hanging="360"/>
      </w:pPr>
    </w:lvl>
    <w:lvl w:ilvl="2" w:tplc="4CB2B81A">
      <w:start w:val="1"/>
      <w:numFmt w:val="lowerRoman"/>
      <w:lvlText w:val="%3."/>
      <w:lvlJc w:val="right"/>
      <w:pPr>
        <w:ind w:left="3240" w:hanging="180"/>
      </w:pPr>
    </w:lvl>
    <w:lvl w:ilvl="3" w:tplc="4C7CB65A">
      <w:start w:val="1"/>
      <w:numFmt w:val="decimal"/>
      <w:lvlText w:val="%4."/>
      <w:lvlJc w:val="left"/>
      <w:pPr>
        <w:ind w:left="3960" w:hanging="360"/>
      </w:pPr>
    </w:lvl>
    <w:lvl w:ilvl="4" w:tplc="2ECEF98A">
      <w:start w:val="1"/>
      <w:numFmt w:val="lowerLetter"/>
      <w:lvlText w:val="%5."/>
      <w:lvlJc w:val="left"/>
      <w:pPr>
        <w:ind w:left="4680" w:hanging="360"/>
      </w:pPr>
    </w:lvl>
    <w:lvl w:ilvl="5" w:tplc="CF349F28">
      <w:start w:val="1"/>
      <w:numFmt w:val="lowerRoman"/>
      <w:lvlText w:val="%6."/>
      <w:lvlJc w:val="right"/>
      <w:pPr>
        <w:ind w:left="5400" w:hanging="180"/>
      </w:pPr>
    </w:lvl>
    <w:lvl w:ilvl="6" w:tplc="5B3EADDE">
      <w:start w:val="1"/>
      <w:numFmt w:val="decimal"/>
      <w:lvlText w:val="%7."/>
      <w:lvlJc w:val="left"/>
      <w:pPr>
        <w:ind w:left="6120" w:hanging="360"/>
      </w:pPr>
    </w:lvl>
    <w:lvl w:ilvl="7" w:tplc="CFCECDBE">
      <w:start w:val="1"/>
      <w:numFmt w:val="lowerLetter"/>
      <w:lvlText w:val="%8."/>
      <w:lvlJc w:val="left"/>
      <w:pPr>
        <w:ind w:left="6840" w:hanging="360"/>
      </w:pPr>
    </w:lvl>
    <w:lvl w:ilvl="8" w:tplc="93629F6A">
      <w:start w:val="1"/>
      <w:numFmt w:val="lowerRoman"/>
      <w:lvlText w:val="%9."/>
      <w:lvlJc w:val="right"/>
      <w:pPr>
        <w:ind w:left="7560" w:hanging="180"/>
      </w:pPr>
    </w:lvl>
  </w:abstractNum>
  <w:abstractNum w:abstractNumId="16" w15:restartNumberingAfterBreak="0">
    <w:nsid w:val="44983DBF"/>
    <w:multiLevelType w:val="hybridMultilevel"/>
    <w:tmpl w:val="982C6FD8"/>
    <w:lvl w:ilvl="0" w:tplc="4FBAEE9C">
      <w:start w:val="3"/>
      <w:numFmt w:val="decimal"/>
      <w:lvlText w:val="%1."/>
      <w:lvlJc w:val="left"/>
      <w:pPr>
        <w:ind w:left="720" w:hanging="360"/>
      </w:pPr>
      <w:rPr>
        <w:rFonts w:hint="default"/>
      </w:rPr>
    </w:lvl>
    <w:lvl w:ilvl="1" w:tplc="9D74F4D8">
      <w:numFmt w:val="bullet"/>
      <w:lvlText w:val="•"/>
      <w:lvlJc w:val="left"/>
      <w:pPr>
        <w:ind w:left="1440" w:hanging="360"/>
      </w:pPr>
      <w:rPr>
        <w:rFonts w:ascii="Aptos" w:eastAsiaTheme="minorHAnsi" w:hAnsi="Aptos"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C6064A"/>
    <w:multiLevelType w:val="hybridMultilevel"/>
    <w:tmpl w:val="69E2629E"/>
    <w:lvl w:ilvl="0" w:tplc="DC068A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D042D7"/>
    <w:multiLevelType w:val="multilevel"/>
    <w:tmpl w:val="18F4A5AC"/>
    <w:numStyleLink w:val="FoFCoLOP"/>
  </w:abstractNum>
  <w:abstractNum w:abstractNumId="19" w15:restartNumberingAfterBreak="0">
    <w:nsid w:val="5A8D1CB9"/>
    <w:multiLevelType w:val="hybridMultilevel"/>
    <w:tmpl w:val="35FA38B6"/>
    <w:lvl w:ilvl="0" w:tplc="F650DF3A">
      <w:start w:val="1"/>
      <w:numFmt w:val="bullet"/>
      <w:lvlText w:val=""/>
      <w:lvlJc w:val="left"/>
      <w:pPr>
        <w:ind w:left="1080" w:hanging="360"/>
      </w:pPr>
      <w:rPr>
        <w:rFonts w:ascii="Symbol" w:hAnsi="Symbol"/>
      </w:rPr>
    </w:lvl>
    <w:lvl w:ilvl="1" w:tplc="791A6708">
      <w:start w:val="1"/>
      <w:numFmt w:val="bullet"/>
      <w:lvlText w:val=""/>
      <w:lvlJc w:val="left"/>
      <w:pPr>
        <w:ind w:left="1080" w:hanging="360"/>
      </w:pPr>
      <w:rPr>
        <w:rFonts w:ascii="Symbol" w:hAnsi="Symbol"/>
      </w:rPr>
    </w:lvl>
    <w:lvl w:ilvl="2" w:tplc="00C26282">
      <w:start w:val="1"/>
      <w:numFmt w:val="bullet"/>
      <w:lvlText w:val=""/>
      <w:lvlJc w:val="left"/>
      <w:pPr>
        <w:ind w:left="1080" w:hanging="360"/>
      </w:pPr>
      <w:rPr>
        <w:rFonts w:ascii="Symbol" w:hAnsi="Symbol"/>
      </w:rPr>
    </w:lvl>
    <w:lvl w:ilvl="3" w:tplc="7D720D46">
      <w:start w:val="1"/>
      <w:numFmt w:val="bullet"/>
      <w:lvlText w:val=""/>
      <w:lvlJc w:val="left"/>
      <w:pPr>
        <w:ind w:left="1080" w:hanging="360"/>
      </w:pPr>
      <w:rPr>
        <w:rFonts w:ascii="Symbol" w:hAnsi="Symbol"/>
      </w:rPr>
    </w:lvl>
    <w:lvl w:ilvl="4" w:tplc="8294F106">
      <w:start w:val="1"/>
      <w:numFmt w:val="bullet"/>
      <w:lvlText w:val=""/>
      <w:lvlJc w:val="left"/>
      <w:pPr>
        <w:ind w:left="1080" w:hanging="360"/>
      </w:pPr>
      <w:rPr>
        <w:rFonts w:ascii="Symbol" w:hAnsi="Symbol"/>
      </w:rPr>
    </w:lvl>
    <w:lvl w:ilvl="5" w:tplc="24AA17B8">
      <w:start w:val="1"/>
      <w:numFmt w:val="bullet"/>
      <w:lvlText w:val=""/>
      <w:lvlJc w:val="left"/>
      <w:pPr>
        <w:ind w:left="1080" w:hanging="360"/>
      </w:pPr>
      <w:rPr>
        <w:rFonts w:ascii="Symbol" w:hAnsi="Symbol"/>
      </w:rPr>
    </w:lvl>
    <w:lvl w:ilvl="6" w:tplc="47085996">
      <w:start w:val="1"/>
      <w:numFmt w:val="bullet"/>
      <w:lvlText w:val=""/>
      <w:lvlJc w:val="left"/>
      <w:pPr>
        <w:ind w:left="1080" w:hanging="360"/>
      </w:pPr>
      <w:rPr>
        <w:rFonts w:ascii="Symbol" w:hAnsi="Symbol"/>
      </w:rPr>
    </w:lvl>
    <w:lvl w:ilvl="7" w:tplc="27EC0FA0">
      <w:start w:val="1"/>
      <w:numFmt w:val="bullet"/>
      <w:lvlText w:val=""/>
      <w:lvlJc w:val="left"/>
      <w:pPr>
        <w:ind w:left="1080" w:hanging="360"/>
      </w:pPr>
      <w:rPr>
        <w:rFonts w:ascii="Symbol" w:hAnsi="Symbol"/>
      </w:rPr>
    </w:lvl>
    <w:lvl w:ilvl="8" w:tplc="D4DC7D1A">
      <w:start w:val="1"/>
      <w:numFmt w:val="bullet"/>
      <w:lvlText w:val=""/>
      <w:lvlJc w:val="left"/>
      <w:pPr>
        <w:ind w:left="1080" w:hanging="360"/>
      </w:pPr>
      <w:rPr>
        <w:rFonts w:ascii="Symbol" w:hAnsi="Symbol"/>
      </w:rPr>
    </w:lvl>
  </w:abstractNum>
  <w:abstractNum w:abstractNumId="20" w15:restartNumberingAfterBreak="0">
    <w:nsid w:val="5A9E2171"/>
    <w:multiLevelType w:val="multilevel"/>
    <w:tmpl w:val="3C526EDE"/>
    <w:numStyleLink w:val="Headings"/>
  </w:abstractNum>
  <w:abstractNum w:abstractNumId="21" w15:restartNumberingAfterBreak="0">
    <w:nsid w:val="6089248A"/>
    <w:multiLevelType w:val="hybridMultilevel"/>
    <w:tmpl w:val="7EA62F90"/>
    <w:lvl w:ilvl="0" w:tplc="BE5C678A">
      <w:start w:val="1"/>
      <w:numFmt w:val="upp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1A25780"/>
    <w:multiLevelType w:val="multilevel"/>
    <w:tmpl w:val="3C526EDE"/>
    <w:numStyleLink w:val="Headings"/>
  </w:abstractNum>
  <w:abstractNum w:abstractNumId="23" w15:restartNumberingAfterBreak="0">
    <w:nsid w:val="69A23045"/>
    <w:multiLevelType w:val="hybridMultilevel"/>
    <w:tmpl w:val="BDEECCB6"/>
    <w:lvl w:ilvl="0" w:tplc="26AAB6AE">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789A0AFE"/>
    <w:multiLevelType w:val="multilevel"/>
    <w:tmpl w:val="18F4A5AC"/>
    <w:numStyleLink w:val="FoFCoLOP"/>
  </w:abstractNum>
  <w:abstractNum w:abstractNumId="25" w15:restartNumberingAfterBreak="0">
    <w:nsid w:val="79BE352E"/>
    <w:multiLevelType w:val="hybridMultilevel"/>
    <w:tmpl w:val="58E25190"/>
    <w:lvl w:ilvl="0" w:tplc="04E4FD8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54526949">
    <w:abstractNumId w:val="20"/>
  </w:num>
  <w:num w:numId="2" w16cid:durableId="140774137">
    <w:abstractNumId w:val="10"/>
  </w:num>
  <w:num w:numId="3" w16cid:durableId="1898543446">
    <w:abstractNumId w:val="18"/>
  </w:num>
  <w:num w:numId="4" w16cid:durableId="701521005">
    <w:abstractNumId w:val="11"/>
  </w:num>
  <w:num w:numId="5" w16cid:durableId="2017029027">
    <w:abstractNumId w:val="24"/>
  </w:num>
  <w:num w:numId="6" w16cid:durableId="973756952">
    <w:abstractNumId w:val="14"/>
  </w:num>
  <w:num w:numId="7" w16cid:durableId="816924040">
    <w:abstractNumId w:val="9"/>
  </w:num>
  <w:num w:numId="8" w16cid:durableId="1714382259">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9" w16cid:durableId="555513474">
    <w:abstractNumId w:val="13"/>
  </w:num>
  <w:num w:numId="10" w16cid:durableId="1948849648">
    <w:abstractNumId w:val="19"/>
  </w:num>
  <w:num w:numId="11" w16cid:durableId="1282805126">
    <w:abstractNumId w:val="22"/>
    <w:lvlOverride w:ilvl="0">
      <w:startOverride w:val="1"/>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startOverride w:va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startOverride w:val="1"/>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startOverride w:val="1"/>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startOverride w:val="1"/>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startOverride w:val="1"/>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startOverride w:val="1"/>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startOverride w:val="1"/>
      <w:lvl w:ilvl="7">
        <w:start w:val="1"/>
        <w:numFmt w:val="lowerLetter"/>
        <w:pStyle w:val="ListAlpha"/>
        <w:lvlText w:val="%8."/>
        <w:lvlJc w:val="left"/>
        <w:pPr>
          <w:ind w:left="1080" w:hanging="360"/>
        </w:pPr>
        <w:rPr>
          <w:rFonts w:ascii="Book Antiqua" w:hAnsi="Book Antiqua" w:hint="default"/>
          <w:sz w:val="26"/>
        </w:rPr>
      </w:lvl>
    </w:lvlOverride>
    <w:lvlOverride w:ilvl="8">
      <w:startOverride w:val="1"/>
      <w:lvl w:ilvl="8">
        <w:start w:val="1"/>
        <w:numFmt w:val="none"/>
        <w:lvlText w:val=""/>
        <w:lvlJc w:val="left"/>
        <w:pPr>
          <w:ind w:left="3240" w:hanging="360"/>
        </w:pPr>
        <w:rPr>
          <w:rFonts w:hint="default"/>
        </w:rPr>
      </w:lvl>
    </w:lvlOverride>
  </w:num>
  <w:num w:numId="12" w16cid:durableId="1876847352">
    <w:abstractNumId w:val="22"/>
    <w:lvlOverride w:ilvl="0">
      <w:startOverride w:val="1"/>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startOverride w:va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startOverride w:val="1"/>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startOverride w:val="1"/>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startOverride w:val="1"/>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startOverride w:val="1"/>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startOverride w:val="1"/>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startOverride w:val="1"/>
      <w:lvl w:ilvl="7">
        <w:start w:val="1"/>
        <w:numFmt w:val="lowerLetter"/>
        <w:pStyle w:val="ListAlpha"/>
        <w:lvlText w:val="%8."/>
        <w:lvlJc w:val="left"/>
        <w:pPr>
          <w:ind w:left="1080" w:hanging="360"/>
        </w:pPr>
        <w:rPr>
          <w:rFonts w:ascii="Book Antiqua" w:hAnsi="Book Antiqua" w:hint="default"/>
          <w:sz w:val="26"/>
        </w:rPr>
      </w:lvl>
    </w:lvlOverride>
    <w:lvlOverride w:ilvl="8">
      <w:startOverride w:val="1"/>
      <w:lvl w:ilvl="8">
        <w:start w:val="1"/>
        <w:numFmt w:val="none"/>
        <w:lvlText w:val=""/>
        <w:lvlJc w:val="left"/>
        <w:pPr>
          <w:ind w:left="3240" w:hanging="360"/>
        </w:pPr>
        <w:rPr>
          <w:rFonts w:hint="default"/>
        </w:rPr>
      </w:lvl>
    </w:lvlOverride>
  </w:num>
  <w:num w:numId="13" w16cid:durableId="989213731">
    <w:abstractNumId w:val="22"/>
    <w:lvlOverride w:ilvl="0">
      <w:startOverride w:val="1"/>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startOverride w:va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startOverride w:val="1"/>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startOverride w:val="1"/>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startOverride w:val="1"/>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startOverride w:val="1"/>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startOverride w:val="1"/>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startOverride w:val="1"/>
      <w:lvl w:ilvl="7">
        <w:start w:val="1"/>
        <w:numFmt w:val="lowerLetter"/>
        <w:pStyle w:val="ListAlpha"/>
        <w:lvlText w:val="%8."/>
        <w:lvlJc w:val="left"/>
        <w:pPr>
          <w:ind w:left="1080" w:hanging="360"/>
        </w:pPr>
        <w:rPr>
          <w:rFonts w:ascii="Book Antiqua" w:hAnsi="Book Antiqua" w:hint="default"/>
          <w:sz w:val="26"/>
        </w:rPr>
      </w:lvl>
    </w:lvlOverride>
    <w:lvlOverride w:ilvl="8">
      <w:startOverride w:val="1"/>
      <w:lvl w:ilvl="8">
        <w:start w:val="1"/>
        <w:numFmt w:val="none"/>
        <w:lvlText w:val=""/>
        <w:lvlJc w:val="left"/>
        <w:pPr>
          <w:ind w:left="3240" w:hanging="360"/>
        </w:pPr>
        <w:rPr>
          <w:rFonts w:hint="default"/>
        </w:rPr>
      </w:lvl>
    </w:lvlOverride>
  </w:num>
  <w:num w:numId="14" w16cid:durableId="1535921510">
    <w:abstractNumId w:val="22"/>
    <w:lvlOverride w:ilvl="0">
      <w:startOverride w:val="1"/>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startOverride w:va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startOverride w:val="1"/>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startOverride w:val="1"/>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startOverride w:val="1"/>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startOverride w:val="1"/>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startOverride w:val="1"/>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startOverride w:val="1"/>
      <w:lvl w:ilvl="7">
        <w:start w:val="1"/>
        <w:numFmt w:val="lowerLetter"/>
        <w:pStyle w:val="ListAlpha"/>
        <w:lvlText w:val="%8."/>
        <w:lvlJc w:val="left"/>
        <w:pPr>
          <w:ind w:left="1080" w:hanging="360"/>
        </w:pPr>
        <w:rPr>
          <w:rFonts w:ascii="Book Antiqua" w:hAnsi="Book Antiqua" w:hint="default"/>
          <w:sz w:val="26"/>
        </w:rPr>
      </w:lvl>
    </w:lvlOverride>
    <w:lvlOverride w:ilvl="8">
      <w:startOverride w:val="1"/>
      <w:lvl w:ilvl="8">
        <w:start w:val="1"/>
        <w:numFmt w:val="none"/>
        <w:lvlText w:val=""/>
        <w:lvlJc w:val="left"/>
        <w:pPr>
          <w:ind w:left="3240" w:hanging="360"/>
        </w:pPr>
        <w:rPr>
          <w:rFonts w:hint="default"/>
        </w:rPr>
      </w:lvl>
    </w:lvlOverride>
  </w:num>
  <w:num w:numId="15" w16cid:durableId="1340423618">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6" w16cid:durableId="164322333">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7" w16cid:durableId="1497261409">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8" w16cid:durableId="587160485">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9" w16cid:durableId="801271084">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20" w16cid:durableId="923345150">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21" w16cid:durableId="1129054970">
    <w:abstractNumId w:val="22"/>
    <w:lvlOverride w:ilvl="0">
      <w:startOverride w:val="1"/>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startOverride w:va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startOverride w:val="1"/>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startOverride w:val="1"/>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startOverride w:val="1"/>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startOverride w:val="1"/>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startOverride w:val="1"/>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startOverride w:val="1"/>
      <w:lvl w:ilvl="7">
        <w:start w:val="1"/>
        <w:numFmt w:val="lowerLetter"/>
        <w:pStyle w:val="ListAlpha"/>
        <w:lvlText w:val="%8."/>
        <w:lvlJc w:val="left"/>
        <w:pPr>
          <w:ind w:left="1080" w:hanging="360"/>
        </w:pPr>
        <w:rPr>
          <w:rFonts w:ascii="Book Antiqua" w:hAnsi="Book Antiqua" w:hint="default"/>
          <w:sz w:val="26"/>
        </w:rPr>
      </w:lvl>
    </w:lvlOverride>
    <w:lvlOverride w:ilvl="8">
      <w:startOverride w:val="1"/>
      <w:lvl w:ilvl="8">
        <w:start w:val="1"/>
        <w:numFmt w:val="none"/>
        <w:lvlText w:val=""/>
        <w:lvlJc w:val="left"/>
        <w:pPr>
          <w:ind w:left="3240" w:hanging="360"/>
        </w:pPr>
        <w:rPr>
          <w:rFonts w:hint="default"/>
        </w:rPr>
      </w:lvl>
    </w:lvlOverride>
  </w:num>
  <w:num w:numId="22" w16cid:durableId="913317464">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23" w16cid:durableId="1409234423">
    <w:abstractNumId w:val="15"/>
  </w:num>
  <w:num w:numId="24" w16cid:durableId="1217933353">
    <w:abstractNumId w:val="16"/>
  </w:num>
  <w:num w:numId="25" w16cid:durableId="1568149487">
    <w:abstractNumId w:val="25"/>
  </w:num>
  <w:num w:numId="26" w16cid:durableId="336078744">
    <w:abstractNumId w:val="17"/>
  </w:num>
  <w:num w:numId="27" w16cid:durableId="583926102">
    <w:abstractNumId w:val="22"/>
    <w:lvlOverride w:ilvl="0">
      <w:startOverride w:val="1"/>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startOverride w:va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startOverride w:val="1"/>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startOverride w:val="1"/>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startOverride w:val="1"/>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startOverride w:val="1"/>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startOverride w:val="1"/>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startOverride w:val="1"/>
      <w:lvl w:ilvl="7">
        <w:start w:val="1"/>
        <w:numFmt w:val="lowerLetter"/>
        <w:pStyle w:val="ListAlpha"/>
        <w:lvlText w:val="%8."/>
        <w:lvlJc w:val="left"/>
        <w:pPr>
          <w:ind w:left="1080" w:hanging="360"/>
        </w:pPr>
        <w:rPr>
          <w:rFonts w:ascii="Book Antiqua" w:hAnsi="Book Antiqua" w:hint="default"/>
          <w:sz w:val="26"/>
        </w:rPr>
      </w:lvl>
    </w:lvlOverride>
    <w:lvlOverride w:ilvl="8">
      <w:startOverride w:val="1"/>
      <w:lvl w:ilvl="8">
        <w:start w:val="1"/>
        <w:numFmt w:val="none"/>
        <w:lvlText w:val=""/>
        <w:lvlJc w:val="left"/>
        <w:pPr>
          <w:ind w:left="3240" w:hanging="360"/>
        </w:pPr>
        <w:rPr>
          <w:rFonts w:hint="default"/>
        </w:rPr>
      </w:lvl>
    </w:lvlOverride>
  </w:num>
  <w:num w:numId="28" w16cid:durableId="1511434">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29" w16cid:durableId="1587610343">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30" w16cid:durableId="1266376711">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31" w16cid:durableId="681009763">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32" w16cid:durableId="656299986">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lvl>
    </w:lvlOverride>
    <w:lvlOverride w:ilvl="2">
      <w:lvl w:ilvl="2">
        <w:start w:val="1"/>
        <w:numFmt w:val="decimal"/>
        <w:pStyle w:val="Heading3"/>
        <w:lvlText w:val="%1.%2.%3."/>
        <w:lvlJc w:val="left"/>
        <w:pPr>
          <w:tabs>
            <w:tab w:val="num" w:pos="1656"/>
          </w:tabs>
          <w:ind w:left="1656" w:hanging="936"/>
        </w:p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33" w16cid:durableId="1268612812">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lvl>
    </w:lvlOverride>
    <w:lvlOverride w:ilvl="2">
      <w:lvl w:ilvl="2">
        <w:start w:val="1"/>
        <w:numFmt w:val="decimal"/>
        <w:pStyle w:val="Heading3"/>
        <w:lvlText w:val="%1.%2.%3."/>
        <w:lvlJc w:val="left"/>
        <w:pPr>
          <w:tabs>
            <w:tab w:val="num" w:pos="1656"/>
          </w:tabs>
          <w:ind w:left="1656" w:hanging="936"/>
        </w:p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34" w16cid:durableId="67776592">
    <w:abstractNumId w:val="9"/>
  </w:num>
  <w:num w:numId="35" w16cid:durableId="1805391631">
    <w:abstractNumId w:val="9"/>
  </w:num>
  <w:num w:numId="36" w16cid:durableId="1993219105">
    <w:abstractNumId w:val="9"/>
  </w:num>
  <w:num w:numId="37" w16cid:durableId="1376269018">
    <w:abstractNumId w:val="9"/>
  </w:num>
  <w:num w:numId="38" w16cid:durableId="1314990580">
    <w:abstractNumId w:val="9"/>
  </w:num>
  <w:num w:numId="39" w16cid:durableId="142309735">
    <w:abstractNumId w:val="9"/>
  </w:num>
  <w:num w:numId="40" w16cid:durableId="1562137902">
    <w:abstractNumId w:val="9"/>
  </w:num>
  <w:num w:numId="41" w16cid:durableId="428238947">
    <w:abstractNumId w:val="9"/>
  </w:num>
  <w:num w:numId="42" w16cid:durableId="929630467">
    <w:abstractNumId w:val="9"/>
  </w:num>
  <w:num w:numId="43" w16cid:durableId="162284892">
    <w:abstractNumId w:val="7"/>
  </w:num>
  <w:num w:numId="44" w16cid:durableId="868225104">
    <w:abstractNumId w:val="6"/>
  </w:num>
  <w:num w:numId="45" w16cid:durableId="667245198">
    <w:abstractNumId w:val="5"/>
  </w:num>
  <w:num w:numId="46" w16cid:durableId="1371220840">
    <w:abstractNumId w:val="4"/>
  </w:num>
  <w:num w:numId="47" w16cid:durableId="342824123">
    <w:abstractNumId w:val="8"/>
  </w:num>
  <w:num w:numId="48" w16cid:durableId="263421410">
    <w:abstractNumId w:val="3"/>
  </w:num>
  <w:num w:numId="49" w16cid:durableId="1440681642">
    <w:abstractNumId w:val="2"/>
  </w:num>
  <w:num w:numId="50" w16cid:durableId="828911787">
    <w:abstractNumId w:val="1"/>
  </w:num>
  <w:num w:numId="51" w16cid:durableId="1235581912">
    <w:abstractNumId w:val="0"/>
  </w:num>
  <w:num w:numId="52" w16cid:durableId="236283672">
    <w:abstractNumId w:val="9"/>
  </w:num>
  <w:num w:numId="53" w16cid:durableId="320619578">
    <w:abstractNumId w:val="9"/>
  </w:num>
  <w:num w:numId="54" w16cid:durableId="1398287237">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lvl>
    </w:lvlOverride>
    <w:lvlOverride w:ilvl="2">
      <w:lvl w:ilvl="2">
        <w:start w:val="1"/>
        <w:numFmt w:val="decimal"/>
        <w:pStyle w:val="Heading3"/>
        <w:lvlText w:val="%1.%2.%3."/>
        <w:lvlJc w:val="left"/>
        <w:pPr>
          <w:tabs>
            <w:tab w:val="num" w:pos="1656"/>
          </w:tabs>
          <w:ind w:left="1656" w:hanging="936"/>
        </w:p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55" w16cid:durableId="1320309617">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lvl>
    </w:lvlOverride>
    <w:lvlOverride w:ilvl="2">
      <w:lvl w:ilvl="2">
        <w:start w:val="1"/>
        <w:numFmt w:val="decimal"/>
        <w:pStyle w:val="Heading3"/>
        <w:lvlText w:val="%1.%2.%3."/>
        <w:lvlJc w:val="left"/>
        <w:pPr>
          <w:tabs>
            <w:tab w:val="num" w:pos="1656"/>
          </w:tabs>
          <w:ind w:left="1656" w:hanging="936"/>
        </w:p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56" w16cid:durableId="559445867">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lvl>
    </w:lvlOverride>
    <w:lvlOverride w:ilvl="2">
      <w:lvl w:ilvl="2">
        <w:start w:val="1"/>
        <w:numFmt w:val="decimal"/>
        <w:pStyle w:val="Heading3"/>
        <w:lvlText w:val="%1.%2.%3."/>
        <w:lvlJc w:val="left"/>
        <w:pPr>
          <w:tabs>
            <w:tab w:val="num" w:pos="1656"/>
          </w:tabs>
          <w:ind w:left="1656" w:hanging="936"/>
        </w:p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57" w16cid:durableId="1089496604">
    <w:abstractNumId w:val="22"/>
    <w:lvlOverride w:ilvl="0">
      <w:startOverride w:val="1"/>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startOverride w:va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startOverride w:val="1"/>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startOverride w:val="1"/>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startOverride w:val="1"/>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startOverride w:val="1"/>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startOverride w:val="1"/>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startOverride w:val="1"/>
      <w:lvl w:ilvl="7">
        <w:start w:val="1"/>
        <w:numFmt w:val="lowerLetter"/>
        <w:pStyle w:val="ListAlpha"/>
        <w:lvlText w:val="%8."/>
        <w:lvlJc w:val="left"/>
        <w:pPr>
          <w:ind w:left="1080" w:hanging="360"/>
        </w:pPr>
        <w:rPr>
          <w:rFonts w:ascii="Book Antiqua" w:hAnsi="Book Antiqua" w:hint="default"/>
          <w:sz w:val="26"/>
        </w:rPr>
      </w:lvl>
    </w:lvlOverride>
    <w:lvlOverride w:ilvl="8">
      <w:startOverride w:val="1"/>
      <w:lvl w:ilvl="8">
        <w:start w:val="1"/>
        <w:numFmt w:val="none"/>
        <w:lvlText w:val=""/>
        <w:lvlJc w:val="left"/>
        <w:pPr>
          <w:ind w:left="3240" w:hanging="360"/>
        </w:pPr>
        <w:rPr>
          <w:rFonts w:hint="default"/>
        </w:rPr>
      </w:lvl>
    </w:lvlOverride>
  </w:num>
  <w:num w:numId="58" w16cid:durableId="14069570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51988660">
    <w:abstractNumId w:val="24"/>
  </w:num>
  <w:num w:numId="60" w16cid:durableId="1461071337">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decimal"/>
        <w:pStyle w:val="ListAlpha"/>
        <w:lvlText w:val="(%8)"/>
        <w:lvlJc w:val="left"/>
        <w:pPr>
          <w:ind w:left="1080" w:hanging="360"/>
        </w:pPr>
        <w:rPr>
          <w:rFonts w:ascii="Book Antiqua" w:eastAsiaTheme="minorHAnsi" w:hAnsi="Book Antiqua" w:cstheme="minorBidi"/>
          <w:sz w:val="26"/>
        </w:rPr>
      </w:lvl>
    </w:lvlOverride>
    <w:lvlOverride w:ilvl="8">
      <w:lvl w:ilvl="8">
        <w:start w:val="1"/>
        <w:numFmt w:val="none"/>
        <w:lvlText w:val=""/>
        <w:lvlJc w:val="left"/>
        <w:pPr>
          <w:ind w:left="3240" w:hanging="360"/>
        </w:pPr>
        <w:rPr>
          <w:rFonts w:hint="default"/>
        </w:rPr>
      </w:lvl>
    </w:lvlOverride>
  </w:num>
  <w:num w:numId="61" w16cid:durableId="507134615">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decimal"/>
        <w:pStyle w:val="ListAlpha"/>
        <w:lvlText w:val="(%8)"/>
        <w:lvlJc w:val="left"/>
        <w:pPr>
          <w:ind w:left="1080" w:hanging="360"/>
        </w:pPr>
        <w:rPr>
          <w:rFonts w:ascii="Book Antiqua" w:eastAsiaTheme="minorHAnsi" w:hAnsi="Book Antiqua" w:cstheme="minorBidi"/>
          <w:sz w:val="26"/>
        </w:rPr>
      </w:lvl>
    </w:lvlOverride>
    <w:lvlOverride w:ilvl="8">
      <w:lvl w:ilvl="8">
        <w:start w:val="1"/>
        <w:numFmt w:val="none"/>
        <w:lvlText w:val=""/>
        <w:lvlJc w:val="left"/>
        <w:pPr>
          <w:ind w:left="3240" w:hanging="360"/>
        </w:pPr>
        <w:rPr>
          <w:rFonts w:hint="default"/>
        </w:rPr>
      </w:lvl>
    </w:lvlOverride>
  </w:num>
  <w:num w:numId="62" w16cid:durableId="2012834039">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decimal"/>
        <w:pStyle w:val="ListAlpha"/>
        <w:lvlText w:val="(%8)"/>
        <w:lvlJc w:val="left"/>
        <w:pPr>
          <w:ind w:left="1080" w:hanging="360"/>
        </w:pPr>
        <w:rPr>
          <w:rFonts w:ascii="Book Antiqua" w:eastAsiaTheme="minorHAnsi" w:hAnsi="Book Antiqua" w:cstheme="minorBidi"/>
          <w:sz w:val="26"/>
        </w:rPr>
      </w:lvl>
    </w:lvlOverride>
    <w:lvlOverride w:ilvl="8">
      <w:lvl w:ilvl="8">
        <w:start w:val="1"/>
        <w:numFmt w:val="none"/>
        <w:lvlText w:val=""/>
        <w:lvlJc w:val="left"/>
        <w:pPr>
          <w:ind w:left="3240" w:hanging="360"/>
        </w:pPr>
        <w:rPr>
          <w:rFonts w:hint="default"/>
        </w:rPr>
      </w:lvl>
    </w:lvlOverride>
  </w:num>
  <w:num w:numId="63" w16cid:durableId="135532765">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decimal"/>
        <w:pStyle w:val="ListAlpha"/>
        <w:lvlText w:val="(%8)"/>
        <w:lvlJc w:val="left"/>
        <w:pPr>
          <w:ind w:left="1080" w:hanging="360"/>
        </w:pPr>
        <w:rPr>
          <w:rFonts w:ascii="Book Antiqua" w:eastAsiaTheme="minorHAnsi" w:hAnsi="Book Antiqua" w:cstheme="minorBidi"/>
          <w:sz w:val="26"/>
        </w:rPr>
      </w:lvl>
    </w:lvlOverride>
    <w:lvlOverride w:ilvl="8">
      <w:lvl w:ilvl="8">
        <w:start w:val="1"/>
        <w:numFmt w:val="none"/>
        <w:lvlText w:val=""/>
        <w:lvlJc w:val="left"/>
        <w:pPr>
          <w:ind w:left="3240" w:hanging="360"/>
        </w:pPr>
        <w:rPr>
          <w:rFonts w:hint="default"/>
        </w:rPr>
      </w:lvl>
    </w:lvlOverride>
  </w:num>
  <w:num w:numId="64" w16cid:durableId="2037809024">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decimal"/>
        <w:pStyle w:val="ListAlpha"/>
        <w:lvlText w:val="(%8)"/>
        <w:lvlJc w:val="left"/>
        <w:pPr>
          <w:ind w:left="1080" w:hanging="360"/>
        </w:pPr>
        <w:rPr>
          <w:rFonts w:ascii="Book Antiqua" w:eastAsiaTheme="minorHAnsi" w:hAnsi="Book Antiqua" w:cstheme="minorBidi"/>
          <w:sz w:val="26"/>
        </w:rPr>
      </w:lvl>
    </w:lvlOverride>
    <w:lvlOverride w:ilvl="8">
      <w:lvl w:ilvl="8">
        <w:start w:val="1"/>
        <w:numFmt w:val="none"/>
        <w:lvlText w:val=""/>
        <w:lvlJc w:val="left"/>
        <w:pPr>
          <w:ind w:left="3240" w:hanging="360"/>
        </w:pPr>
        <w:rPr>
          <w:rFonts w:hint="default"/>
        </w:rPr>
      </w:lvl>
    </w:lvlOverride>
  </w:num>
  <w:num w:numId="65" w16cid:durableId="1909068110">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decimal"/>
        <w:pStyle w:val="ListAlpha"/>
        <w:lvlText w:val="(%8)"/>
        <w:lvlJc w:val="left"/>
        <w:pPr>
          <w:ind w:left="1080" w:hanging="360"/>
        </w:pPr>
        <w:rPr>
          <w:rFonts w:ascii="Book Antiqua" w:eastAsiaTheme="minorHAnsi" w:hAnsi="Book Antiqua" w:cstheme="minorBidi"/>
          <w:sz w:val="26"/>
        </w:rPr>
      </w:lvl>
    </w:lvlOverride>
    <w:lvlOverride w:ilvl="8">
      <w:lvl w:ilvl="8">
        <w:start w:val="1"/>
        <w:numFmt w:val="none"/>
        <w:lvlText w:val=""/>
        <w:lvlJc w:val="left"/>
        <w:pPr>
          <w:ind w:left="3240" w:hanging="360"/>
        </w:pPr>
        <w:rPr>
          <w:rFonts w:hint="default"/>
        </w:rPr>
      </w:lvl>
    </w:lvlOverride>
  </w:num>
  <w:num w:numId="66" w16cid:durableId="1709337696">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decimal"/>
        <w:pStyle w:val="ListAlpha"/>
        <w:lvlText w:val="(%8)"/>
        <w:lvlJc w:val="left"/>
        <w:pPr>
          <w:ind w:left="1080" w:hanging="360"/>
        </w:pPr>
        <w:rPr>
          <w:rFonts w:ascii="Book Antiqua" w:eastAsiaTheme="minorHAnsi" w:hAnsi="Book Antiqua" w:cstheme="minorBidi"/>
          <w:sz w:val="26"/>
        </w:rPr>
      </w:lvl>
    </w:lvlOverride>
    <w:lvlOverride w:ilvl="8">
      <w:lvl w:ilvl="8">
        <w:start w:val="1"/>
        <w:numFmt w:val="none"/>
        <w:lvlText w:val=""/>
        <w:lvlJc w:val="left"/>
        <w:pPr>
          <w:ind w:left="3240" w:hanging="360"/>
        </w:pPr>
        <w:rPr>
          <w:rFonts w:hint="default"/>
        </w:rPr>
      </w:lvl>
    </w:lvlOverride>
  </w:num>
  <w:num w:numId="67" w16cid:durableId="431245450">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decimal"/>
        <w:pStyle w:val="ListAlpha"/>
        <w:lvlText w:val="(%8)"/>
        <w:lvlJc w:val="left"/>
        <w:pPr>
          <w:ind w:left="1080" w:hanging="360"/>
        </w:pPr>
        <w:rPr>
          <w:rFonts w:ascii="Book Antiqua" w:eastAsiaTheme="minorHAnsi" w:hAnsi="Book Antiqua" w:cstheme="minorBidi"/>
          <w:sz w:val="26"/>
        </w:rPr>
      </w:lvl>
    </w:lvlOverride>
    <w:lvlOverride w:ilvl="8">
      <w:lvl w:ilvl="8">
        <w:start w:val="1"/>
        <w:numFmt w:val="none"/>
        <w:lvlText w:val=""/>
        <w:lvlJc w:val="left"/>
        <w:pPr>
          <w:ind w:left="3240" w:hanging="360"/>
        </w:pPr>
        <w:rPr>
          <w:rFonts w:hint="default"/>
        </w:rPr>
      </w:lvl>
    </w:lvlOverride>
  </w:num>
  <w:num w:numId="68" w16cid:durableId="2017295912">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decimal"/>
        <w:pStyle w:val="ListAlpha"/>
        <w:lvlText w:val="(%8)"/>
        <w:lvlJc w:val="left"/>
        <w:pPr>
          <w:ind w:left="1080" w:hanging="360"/>
        </w:pPr>
        <w:rPr>
          <w:rFonts w:ascii="Book Antiqua" w:eastAsiaTheme="minorHAnsi" w:hAnsi="Book Antiqua" w:cstheme="minorBidi"/>
          <w:sz w:val="26"/>
        </w:rPr>
      </w:lvl>
    </w:lvlOverride>
    <w:lvlOverride w:ilvl="8">
      <w:lvl w:ilvl="8">
        <w:start w:val="1"/>
        <w:numFmt w:val="none"/>
        <w:lvlText w:val=""/>
        <w:lvlJc w:val="left"/>
        <w:pPr>
          <w:ind w:left="3240" w:hanging="360"/>
        </w:pPr>
        <w:rPr>
          <w:rFonts w:hint="default"/>
        </w:rPr>
      </w:lvl>
    </w:lvlOverride>
  </w:num>
  <w:num w:numId="69" w16cid:durableId="1142388593">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decimal"/>
        <w:pStyle w:val="ListAlpha"/>
        <w:lvlText w:val="(%8)"/>
        <w:lvlJc w:val="left"/>
        <w:pPr>
          <w:ind w:left="1080" w:hanging="360"/>
        </w:pPr>
        <w:rPr>
          <w:rFonts w:ascii="Book Antiqua" w:eastAsiaTheme="minorHAnsi" w:hAnsi="Book Antiqua" w:cstheme="minorBidi"/>
          <w:sz w:val="26"/>
        </w:rPr>
      </w:lvl>
    </w:lvlOverride>
    <w:lvlOverride w:ilvl="8">
      <w:lvl w:ilvl="8">
        <w:start w:val="1"/>
        <w:numFmt w:val="none"/>
        <w:lvlText w:val=""/>
        <w:lvlJc w:val="left"/>
        <w:pPr>
          <w:ind w:left="3240" w:hanging="360"/>
        </w:pPr>
        <w:rPr>
          <w:rFonts w:hint="default"/>
        </w:rPr>
      </w:lvl>
    </w:lvlOverride>
  </w:num>
  <w:num w:numId="70" w16cid:durableId="2085448415">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decimal"/>
        <w:pStyle w:val="ListAlpha"/>
        <w:lvlText w:val="(%8)"/>
        <w:lvlJc w:val="left"/>
        <w:pPr>
          <w:ind w:left="1080" w:hanging="360"/>
        </w:pPr>
        <w:rPr>
          <w:rFonts w:ascii="Book Antiqua" w:eastAsiaTheme="minorHAnsi" w:hAnsi="Book Antiqua" w:cstheme="minorBidi"/>
          <w:sz w:val="26"/>
        </w:rPr>
      </w:lvl>
    </w:lvlOverride>
    <w:lvlOverride w:ilvl="8">
      <w:lvl w:ilvl="8">
        <w:start w:val="1"/>
        <w:numFmt w:val="none"/>
        <w:lvlText w:val=""/>
        <w:lvlJc w:val="left"/>
        <w:pPr>
          <w:ind w:left="3240" w:hanging="360"/>
        </w:pPr>
        <w:rPr>
          <w:rFonts w:hint="default"/>
        </w:rPr>
      </w:lvl>
    </w:lvlOverride>
  </w:num>
  <w:num w:numId="71" w16cid:durableId="712968005">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decimal"/>
        <w:pStyle w:val="ListAlpha"/>
        <w:lvlText w:val="(%8)"/>
        <w:lvlJc w:val="left"/>
        <w:pPr>
          <w:ind w:left="1080" w:hanging="360"/>
        </w:pPr>
        <w:rPr>
          <w:rFonts w:ascii="Book Antiqua" w:eastAsiaTheme="minorHAnsi" w:hAnsi="Book Antiqua" w:cstheme="minorBidi"/>
          <w:sz w:val="26"/>
        </w:rPr>
      </w:lvl>
    </w:lvlOverride>
    <w:lvlOverride w:ilvl="8">
      <w:lvl w:ilvl="8">
        <w:start w:val="1"/>
        <w:numFmt w:val="none"/>
        <w:lvlText w:val=""/>
        <w:lvlJc w:val="left"/>
        <w:pPr>
          <w:ind w:left="3240" w:hanging="360"/>
        </w:pPr>
        <w:rPr>
          <w:rFonts w:hint="default"/>
        </w:rPr>
      </w:lvl>
    </w:lvlOverride>
  </w:num>
  <w:num w:numId="72" w16cid:durableId="40054193">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decimal"/>
        <w:pStyle w:val="ListAlpha"/>
        <w:lvlText w:val="(%8)"/>
        <w:lvlJc w:val="left"/>
        <w:pPr>
          <w:ind w:left="1080" w:hanging="360"/>
        </w:pPr>
        <w:rPr>
          <w:rFonts w:ascii="Book Antiqua" w:eastAsiaTheme="minorHAnsi" w:hAnsi="Book Antiqua" w:cstheme="minorBidi"/>
          <w:sz w:val="26"/>
        </w:rPr>
      </w:lvl>
    </w:lvlOverride>
    <w:lvlOverride w:ilvl="8">
      <w:lvl w:ilvl="8">
        <w:start w:val="1"/>
        <w:numFmt w:val="none"/>
        <w:lvlText w:val=""/>
        <w:lvlJc w:val="left"/>
        <w:pPr>
          <w:ind w:left="3240" w:hanging="360"/>
        </w:pPr>
        <w:rPr>
          <w:rFonts w:hint="default"/>
        </w:rPr>
      </w:lvl>
    </w:lvlOverride>
  </w:num>
  <w:num w:numId="73" w16cid:durableId="65540778">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decimal"/>
        <w:pStyle w:val="ListAlpha"/>
        <w:lvlText w:val="(%8)"/>
        <w:lvlJc w:val="left"/>
        <w:pPr>
          <w:ind w:left="1080" w:hanging="360"/>
        </w:pPr>
        <w:rPr>
          <w:rFonts w:ascii="Book Antiqua" w:eastAsiaTheme="minorHAnsi" w:hAnsi="Book Antiqua" w:cstheme="minorBidi"/>
          <w:sz w:val="26"/>
        </w:rPr>
      </w:lvl>
    </w:lvlOverride>
    <w:lvlOverride w:ilvl="8">
      <w:lvl w:ilvl="8">
        <w:start w:val="1"/>
        <w:numFmt w:val="none"/>
        <w:lvlText w:val=""/>
        <w:lvlJc w:val="left"/>
        <w:pPr>
          <w:ind w:left="3240" w:hanging="360"/>
        </w:pPr>
        <w:rPr>
          <w:rFonts w:hint="default"/>
        </w:rPr>
      </w:lvl>
    </w:lvlOverride>
  </w:num>
  <w:num w:numId="74" w16cid:durableId="707950912">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decimal"/>
        <w:pStyle w:val="ListAlpha"/>
        <w:lvlText w:val="(%8)"/>
        <w:lvlJc w:val="left"/>
        <w:pPr>
          <w:ind w:left="1080" w:hanging="360"/>
        </w:pPr>
        <w:rPr>
          <w:rFonts w:ascii="Book Antiqua" w:eastAsiaTheme="minorHAnsi" w:hAnsi="Book Antiqua" w:cstheme="minorBidi"/>
          <w:sz w:val="26"/>
        </w:rPr>
      </w:lvl>
    </w:lvlOverride>
    <w:lvlOverride w:ilvl="8">
      <w:lvl w:ilvl="8">
        <w:start w:val="1"/>
        <w:numFmt w:val="none"/>
        <w:lvlText w:val=""/>
        <w:lvlJc w:val="left"/>
        <w:pPr>
          <w:ind w:left="3240" w:hanging="360"/>
        </w:pPr>
        <w:rPr>
          <w:rFonts w:hint="default"/>
        </w:rPr>
      </w:lvl>
    </w:lvlOverride>
  </w:num>
  <w:num w:numId="75" w16cid:durableId="650212374">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decimal"/>
        <w:pStyle w:val="ListAlpha"/>
        <w:lvlText w:val="(%8)"/>
        <w:lvlJc w:val="left"/>
        <w:pPr>
          <w:ind w:left="1080" w:hanging="360"/>
        </w:pPr>
        <w:rPr>
          <w:rFonts w:ascii="Book Antiqua" w:eastAsiaTheme="minorHAnsi" w:hAnsi="Book Antiqua" w:cstheme="minorBidi"/>
          <w:sz w:val="26"/>
        </w:rPr>
      </w:lvl>
    </w:lvlOverride>
    <w:lvlOverride w:ilvl="8">
      <w:lvl w:ilvl="8">
        <w:start w:val="1"/>
        <w:numFmt w:val="none"/>
        <w:lvlText w:val=""/>
        <w:lvlJc w:val="left"/>
        <w:pPr>
          <w:ind w:left="3240" w:hanging="360"/>
        </w:pPr>
        <w:rPr>
          <w:rFonts w:hint="default"/>
        </w:rPr>
      </w:lvl>
    </w:lvlOverride>
  </w:num>
  <w:num w:numId="76" w16cid:durableId="1261141040">
    <w:abstractNumId w:val="22"/>
    <w:lvlOverride w:ilvl="0">
      <w:startOverride w:val="1"/>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startOverride w:va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startOverride w:val="1"/>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startOverride w:val="1"/>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startOverride w:val="1"/>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startOverride w:val="1"/>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startOverride w:val="1"/>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startOverride w:val="1"/>
      <w:lvl w:ilvl="7">
        <w:start w:val="1"/>
        <w:numFmt w:val="lowerLetter"/>
        <w:pStyle w:val="ListAlpha"/>
        <w:lvlText w:val="%8."/>
        <w:lvlJc w:val="left"/>
        <w:pPr>
          <w:ind w:left="1080" w:hanging="360"/>
        </w:pPr>
        <w:rPr>
          <w:rFonts w:ascii="Book Antiqua" w:hAnsi="Book Antiqua" w:hint="default"/>
          <w:sz w:val="26"/>
        </w:rPr>
      </w:lvl>
    </w:lvlOverride>
    <w:lvlOverride w:ilvl="8">
      <w:startOverride w:val="1"/>
      <w:lvl w:ilvl="8">
        <w:start w:val="1"/>
        <w:numFmt w:val="none"/>
        <w:lvlText w:val=""/>
        <w:lvlJc w:val="left"/>
        <w:pPr>
          <w:ind w:left="3240" w:hanging="360"/>
        </w:pPr>
        <w:rPr>
          <w:rFonts w:hint="default"/>
        </w:rPr>
      </w:lvl>
    </w:lvlOverride>
  </w:num>
  <w:num w:numId="77" w16cid:durableId="295067194">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78" w16cid:durableId="1683823727">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79" w16cid:durableId="812328940">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80" w16cid:durableId="838278688">
    <w:abstractNumId w:val="21"/>
  </w:num>
  <w:num w:numId="81" w16cid:durableId="1033918436">
    <w:abstractNumId w:val="23"/>
  </w:num>
  <w:num w:numId="82" w16cid:durableId="292751759">
    <w:abstractNumId w:val="1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2F3"/>
    <w:rsid w:val="0000001B"/>
    <w:rsid w:val="00000257"/>
    <w:rsid w:val="00000730"/>
    <w:rsid w:val="00000F6A"/>
    <w:rsid w:val="00001081"/>
    <w:rsid w:val="00001995"/>
    <w:rsid w:val="00001A39"/>
    <w:rsid w:val="00001D4E"/>
    <w:rsid w:val="000023C8"/>
    <w:rsid w:val="00002AC1"/>
    <w:rsid w:val="00003094"/>
    <w:rsid w:val="000034F4"/>
    <w:rsid w:val="0000357B"/>
    <w:rsid w:val="0000364B"/>
    <w:rsid w:val="000040D9"/>
    <w:rsid w:val="00004C57"/>
    <w:rsid w:val="00005040"/>
    <w:rsid w:val="00006CF6"/>
    <w:rsid w:val="000076A1"/>
    <w:rsid w:val="00007F3A"/>
    <w:rsid w:val="00010F81"/>
    <w:rsid w:val="0001115F"/>
    <w:rsid w:val="000119B0"/>
    <w:rsid w:val="00011B54"/>
    <w:rsid w:val="000126AE"/>
    <w:rsid w:val="00014206"/>
    <w:rsid w:val="0001452D"/>
    <w:rsid w:val="000146A8"/>
    <w:rsid w:val="0001596E"/>
    <w:rsid w:val="00015F3F"/>
    <w:rsid w:val="00021464"/>
    <w:rsid w:val="00021DCE"/>
    <w:rsid w:val="000231F6"/>
    <w:rsid w:val="00023AAA"/>
    <w:rsid w:val="00025C96"/>
    <w:rsid w:val="00025D7E"/>
    <w:rsid w:val="0002627F"/>
    <w:rsid w:val="00027E85"/>
    <w:rsid w:val="0003011D"/>
    <w:rsid w:val="00030DA4"/>
    <w:rsid w:val="00033B1F"/>
    <w:rsid w:val="00033C62"/>
    <w:rsid w:val="000349F6"/>
    <w:rsid w:val="00034DC2"/>
    <w:rsid w:val="00035943"/>
    <w:rsid w:val="00036067"/>
    <w:rsid w:val="000369BB"/>
    <w:rsid w:val="00036D54"/>
    <w:rsid w:val="00036E8D"/>
    <w:rsid w:val="0004006D"/>
    <w:rsid w:val="0004023D"/>
    <w:rsid w:val="00040CFB"/>
    <w:rsid w:val="00042389"/>
    <w:rsid w:val="00042808"/>
    <w:rsid w:val="00042995"/>
    <w:rsid w:val="00043884"/>
    <w:rsid w:val="00044E1C"/>
    <w:rsid w:val="0004558F"/>
    <w:rsid w:val="00045B0C"/>
    <w:rsid w:val="000471A1"/>
    <w:rsid w:val="00050874"/>
    <w:rsid w:val="00050BA7"/>
    <w:rsid w:val="00051044"/>
    <w:rsid w:val="0005126B"/>
    <w:rsid w:val="00052099"/>
    <w:rsid w:val="00053ECB"/>
    <w:rsid w:val="0005405E"/>
    <w:rsid w:val="00054AFC"/>
    <w:rsid w:val="00054ECF"/>
    <w:rsid w:val="00055931"/>
    <w:rsid w:val="00056CB6"/>
    <w:rsid w:val="00056CBB"/>
    <w:rsid w:val="000573F1"/>
    <w:rsid w:val="00057C7D"/>
    <w:rsid w:val="00060040"/>
    <w:rsid w:val="0006043E"/>
    <w:rsid w:val="00060CA1"/>
    <w:rsid w:val="000611AE"/>
    <w:rsid w:val="00061FED"/>
    <w:rsid w:val="0006279C"/>
    <w:rsid w:val="00062BF4"/>
    <w:rsid w:val="000665AA"/>
    <w:rsid w:val="0006688D"/>
    <w:rsid w:val="00067D93"/>
    <w:rsid w:val="000704BA"/>
    <w:rsid w:val="00070CC2"/>
    <w:rsid w:val="0007115A"/>
    <w:rsid w:val="00073A85"/>
    <w:rsid w:val="00073B60"/>
    <w:rsid w:val="0007448B"/>
    <w:rsid w:val="00075E9A"/>
    <w:rsid w:val="000763D6"/>
    <w:rsid w:val="000765C3"/>
    <w:rsid w:val="00077C25"/>
    <w:rsid w:val="00080063"/>
    <w:rsid w:val="00080444"/>
    <w:rsid w:val="00080D00"/>
    <w:rsid w:val="000813CA"/>
    <w:rsid w:val="00081B27"/>
    <w:rsid w:val="00081D53"/>
    <w:rsid w:val="00082652"/>
    <w:rsid w:val="00082D34"/>
    <w:rsid w:val="00082FC9"/>
    <w:rsid w:val="00083409"/>
    <w:rsid w:val="0008389F"/>
    <w:rsid w:val="00083C1E"/>
    <w:rsid w:val="0008441B"/>
    <w:rsid w:val="000853D5"/>
    <w:rsid w:val="00085DC5"/>
    <w:rsid w:val="00086086"/>
    <w:rsid w:val="000909DB"/>
    <w:rsid w:val="00091430"/>
    <w:rsid w:val="00091D88"/>
    <w:rsid w:val="000925D5"/>
    <w:rsid w:val="00092F8D"/>
    <w:rsid w:val="00093E39"/>
    <w:rsid w:val="00094915"/>
    <w:rsid w:val="0009576A"/>
    <w:rsid w:val="00096037"/>
    <w:rsid w:val="00096B15"/>
    <w:rsid w:val="00096D54"/>
    <w:rsid w:val="00096E65"/>
    <w:rsid w:val="000973C8"/>
    <w:rsid w:val="000976C7"/>
    <w:rsid w:val="000A0AA8"/>
    <w:rsid w:val="000A298E"/>
    <w:rsid w:val="000A2AA9"/>
    <w:rsid w:val="000A2BB6"/>
    <w:rsid w:val="000A2C37"/>
    <w:rsid w:val="000A2CC5"/>
    <w:rsid w:val="000A35CE"/>
    <w:rsid w:val="000A382B"/>
    <w:rsid w:val="000A4EC2"/>
    <w:rsid w:val="000A4F12"/>
    <w:rsid w:val="000A56F2"/>
    <w:rsid w:val="000A5A90"/>
    <w:rsid w:val="000A6E05"/>
    <w:rsid w:val="000A79E8"/>
    <w:rsid w:val="000B0BFE"/>
    <w:rsid w:val="000B0F29"/>
    <w:rsid w:val="000B12FA"/>
    <w:rsid w:val="000B1376"/>
    <w:rsid w:val="000B2A80"/>
    <w:rsid w:val="000B4022"/>
    <w:rsid w:val="000B4671"/>
    <w:rsid w:val="000B547F"/>
    <w:rsid w:val="000B5C96"/>
    <w:rsid w:val="000B5D34"/>
    <w:rsid w:val="000B63FD"/>
    <w:rsid w:val="000C03F3"/>
    <w:rsid w:val="000C08BF"/>
    <w:rsid w:val="000C095E"/>
    <w:rsid w:val="000C0D81"/>
    <w:rsid w:val="000C32A1"/>
    <w:rsid w:val="000C3B9A"/>
    <w:rsid w:val="000C52B8"/>
    <w:rsid w:val="000C675A"/>
    <w:rsid w:val="000C722C"/>
    <w:rsid w:val="000C799E"/>
    <w:rsid w:val="000D0A6D"/>
    <w:rsid w:val="000D0D65"/>
    <w:rsid w:val="000D0FBE"/>
    <w:rsid w:val="000D117B"/>
    <w:rsid w:val="000D23DB"/>
    <w:rsid w:val="000D25A8"/>
    <w:rsid w:val="000D3882"/>
    <w:rsid w:val="000D5E41"/>
    <w:rsid w:val="000D5EE7"/>
    <w:rsid w:val="000D681D"/>
    <w:rsid w:val="000D689C"/>
    <w:rsid w:val="000D780F"/>
    <w:rsid w:val="000E0091"/>
    <w:rsid w:val="000E04C5"/>
    <w:rsid w:val="000E1B43"/>
    <w:rsid w:val="000E1CA0"/>
    <w:rsid w:val="000E224C"/>
    <w:rsid w:val="000E270A"/>
    <w:rsid w:val="000E38A3"/>
    <w:rsid w:val="000E3B96"/>
    <w:rsid w:val="000E4C02"/>
    <w:rsid w:val="000E4C53"/>
    <w:rsid w:val="000E4E93"/>
    <w:rsid w:val="000E522F"/>
    <w:rsid w:val="000E660E"/>
    <w:rsid w:val="000F004C"/>
    <w:rsid w:val="000F06FB"/>
    <w:rsid w:val="000F075C"/>
    <w:rsid w:val="000F0CAD"/>
    <w:rsid w:val="000F0F4B"/>
    <w:rsid w:val="000F1763"/>
    <w:rsid w:val="000F1815"/>
    <w:rsid w:val="000F18F8"/>
    <w:rsid w:val="000F1A62"/>
    <w:rsid w:val="000F1C5B"/>
    <w:rsid w:val="000F2CE6"/>
    <w:rsid w:val="000F303C"/>
    <w:rsid w:val="000F48C6"/>
    <w:rsid w:val="000F7F65"/>
    <w:rsid w:val="0010012B"/>
    <w:rsid w:val="001006A5"/>
    <w:rsid w:val="001006D4"/>
    <w:rsid w:val="001013C9"/>
    <w:rsid w:val="00101C13"/>
    <w:rsid w:val="00101F2B"/>
    <w:rsid w:val="00103AE0"/>
    <w:rsid w:val="00103E9C"/>
    <w:rsid w:val="00104361"/>
    <w:rsid w:val="0010582F"/>
    <w:rsid w:val="0010587B"/>
    <w:rsid w:val="0010607C"/>
    <w:rsid w:val="001060CC"/>
    <w:rsid w:val="00107863"/>
    <w:rsid w:val="001116B2"/>
    <w:rsid w:val="00113809"/>
    <w:rsid w:val="0011394C"/>
    <w:rsid w:val="0011637B"/>
    <w:rsid w:val="0011695F"/>
    <w:rsid w:val="00116B8D"/>
    <w:rsid w:val="001172DD"/>
    <w:rsid w:val="00117351"/>
    <w:rsid w:val="00117496"/>
    <w:rsid w:val="001202EF"/>
    <w:rsid w:val="0012097C"/>
    <w:rsid w:val="00121089"/>
    <w:rsid w:val="00121120"/>
    <w:rsid w:val="00121525"/>
    <w:rsid w:val="0012225C"/>
    <w:rsid w:val="001228D3"/>
    <w:rsid w:val="00124524"/>
    <w:rsid w:val="001249B1"/>
    <w:rsid w:val="00125CEB"/>
    <w:rsid w:val="00126167"/>
    <w:rsid w:val="001271D6"/>
    <w:rsid w:val="00127AC6"/>
    <w:rsid w:val="001313BF"/>
    <w:rsid w:val="00131D2D"/>
    <w:rsid w:val="001321CF"/>
    <w:rsid w:val="0013238C"/>
    <w:rsid w:val="001323DC"/>
    <w:rsid w:val="00133186"/>
    <w:rsid w:val="00133302"/>
    <w:rsid w:val="0013362D"/>
    <w:rsid w:val="00133C15"/>
    <w:rsid w:val="00133E75"/>
    <w:rsid w:val="00134717"/>
    <w:rsid w:val="00134CBF"/>
    <w:rsid w:val="001356C8"/>
    <w:rsid w:val="00135972"/>
    <w:rsid w:val="00136DD4"/>
    <w:rsid w:val="00137150"/>
    <w:rsid w:val="001411B7"/>
    <w:rsid w:val="00142736"/>
    <w:rsid w:val="00143696"/>
    <w:rsid w:val="001448FE"/>
    <w:rsid w:val="00144CB8"/>
    <w:rsid w:val="00147115"/>
    <w:rsid w:val="00147175"/>
    <w:rsid w:val="00147328"/>
    <w:rsid w:val="001473CD"/>
    <w:rsid w:val="0014749A"/>
    <w:rsid w:val="001475D7"/>
    <w:rsid w:val="00150228"/>
    <w:rsid w:val="001502E5"/>
    <w:rsid w:val="00150871"/>
    <w:rsid w:val="00150EE4"/>
    <w:rsid w:val="00150F4B"/>
    <w:rsid w:val="0015109A"/>
    <w:rsid w:val="00151397"/>
    <w:rsid w:val="00153780"/>
    <w:rsid w:val="00153AD2"/>
    <w:rsid w:val="00154049"/>
    <w:rsid w:val="00154A10"/>
    <w:rsid w:val="001553F3"/>
    <w:rsid w:val="00156923"/>
    <w:rsid w:val="00156EC6"/>
    <w:rsid w:val="001572A5"/>
    <w:rsid w:val="00157841"/>
    <w:rsid w:val="00157B79"/>
    <w:rsid w:val="00160409"/>
    <w:rsid w:val="00161EC2"/>
    <w:rsid w:val="00162BFF"/>
    <w:rsid w:val="00162E12"/>
    <w:rsid w:val="00162F1F"/>
    <w:rsid w:val="001633C6"/>
    <w:rsid w:val="001646E2"/>
    <w:rsid w:val="00164C7A"/>
    <w:rsid w:val="00164F34"/>
    <w:rsid w:val="00165BA2"/>
    <w:rsid w:val="00167514"/>
    <w:rsid w:val="00167C62"/>
    <w:rsid w:val="001701FB"/>
    <w:rsid w:val="00171AC6"/>
    <w:rsid w:val="001723F2"/>
    <w:rsid w:val="00173105"/>
    <w:rsid w:val="00173145"/>
    <w:rsid w:val="001733F8"/>
    <w:rsid w:val="00174282"/>
    <w:rsid w:val="00174CC7"/>
    <w:rsid w:val="00176A32"/>
    <w:rsid w:val="00177424"/>
    <w:rsid w:val="001776FC"/>
    <w:rsid w:val="00177814"/>
    <w:rsid w:val="00177AC7"/>
    <w:rsid w:val="00177DF4"/>
    <w:rsid w:val="00180107"/>
    <w:rsid w:val="00180750"/>
    <w:rsid w:val="00180EDD"/>
    <w:rsid w:val="001818F9"/>
    <w:rsid w:val="0018249F"/>
    <w:rsid w:val="00182AFE"/>
    <w:rsid w:val="00184208"/>
    <w:rsid w:val="001845B3"/>
    <w:rsid w:val="00184A8F"/>
    <w:rsid w:val="00184D8B"/>
    <w:rsid w:val="00185086"/>
    <w:rsid w:val="00185455"/>
    <w:rsid w:val="00185DFF"/>
    <w:rsid w:val="0018609D"/>
    <w:rsid w:val="00186EC3"/>
    <w:rsid w:val="00187004"/>
    <w:rsid w:val="0018784C"/>
    <w:rsid w:val="0019027F"/>
    <w:rsid w:val="00190391"/>
    <w:rsid w:val="00191025"/>
    <w:rsid w:val="001910DE"/>
    <w:rsid w:val="00191946"/>
    <w:rsid w:val="001919EA"/>
    <w:rsid w:val="00192541"/>
    <w:rsid w:val="001939CE"/>
    <w:rsid w:val="00195D70"/>
    <w:rsid w:val="00195DCE"/>
    <w:rsid w:val="00196A4C"/>
    <w:rsid w:val="00197AD9"/>
    <w:rsid w:val="00197F71"/>
    <w:rsid w:val="001A0825"/>
    <w:rsid w:val="001A19C0"/>
    <w:rsid w:val="001A29A0"/>
    <w:rsid w:val="001A29D0"/>
    <w:rsid w:val="001A3B70"/>
    <w:rsid w:val="001A3F51"/>
    <w:rsid w:val="001A4466"/>
    <w:rsid w:val="001A4747"/>
    <w:rsid w:val="001A685B"/>
    <w:rsid w:val="001A7FFD"/>
    <w:rsid w:val="001B0AFF"/>
    <w:rsid w:val="001B2351"/>
    <w:rsid w:val="001B4067"/>
    <w:rsid w:val="001B42C1"/>
    <w:rsid w:val="001B4F9D"/>
    <w:rsid w:val="001B5197"/>
    <w:rsid w:val="001B6A5D"/>
    <w:rsid w:val="001C15C0"/>
    <w:rsid w:val="001C1B05"/>
    <w:rsid w:val="001C1E70"/>
    <w:rsid w:val="001C208C"/>
    <w:rsid w:val="001C2D19"/>
    <w:rsid w:val="001C32CE"/>
    <w:rsid w:val="001C363F"/>
    <w:rsid w:val="001C38F2"/>
    <w:rsid w:val="001C5FB2"/>
    <w:rsid w:val="001C692A"/>
    <w:rsid w:val="001D0421"/>
    <w:rsid w:val="001D1596"/>
    <w:rsid w:val="001D1AA3"/>
    <w:rsid w:val="001D4DF0"/>
    <w:rsid w:val="001D5120"/>
    <w:rsid w:val="001D553B"/>
    <w:rsid w:val="001D61BB"/>
    <w:rsid w:val="001D725B"/>
    <w:rsid w:val="001D726A"/>
    <w:rsid w:val="001E0EB5"/>
    <w:rsid w:val="001E1735"/>
    <w:rsid w:val="001E1C94"/>
    <w:rsid w:val="001E2219"/>
    <w:rsid w:val="001E24C1"/>
    <w:rsid w:val="001E255A"/>
    <w:rsid w:val="001E2A62"/>
    <w:rsid w:val="001E2BE8"/>
    <w:rsid w:val="001E4E37"/>
    <w:rsid w:val="001E51A9"/>
    <w:rsid w:val="001E5239"/>
    <w:rsid w:val="001E55F3"/>
    <w:rsid w:val="001E5944"/>
    <w:rsid w:val="001E6F23"/>
    <w:rsid w:val="001E7348"/>
    <w:rsid w:val="001E77DF"/>
    <w:rsid w:val="001E7C01"/>
    <w:rsid w:val="001F0C61"/>
    <w:rsid w:val="001F13F3"/>
    <w:rsid w:val="001F20CE"/>
    <w:rsid w:val="001F2819"/>
    <w:rsid w:val="001F39BD"/>
    <w:rsid w:val="001F44B3"/>
    <w:rsid w:val="001F5A21"/>
    <w:rsid w:val="001F7B34"/>
    <w:rsid w:val="00201155"/>
    <w:rsid w:val="002018EE"/>
    <w:rsid w:val="002021FE"/>
    <w:rsid w:val="00202379"/>
    <w:rsid w:val="00202456"/>
    <w:rsid w:val="0020291A"/>
    <w:rsid w:val="00202B7F"/>
    <w:rsid w:val="002040CA"/>
    <w:rsid w:val="0020423B"/>
    <w:rsid w:val="002043EC"/>
    <w:rsid w:val="0020472E"/>
    <w:rsid w:val="00207801"/>
    <w:rsid w:val="00210AE4"/>
    <w:rsid w:val="002110BC"/>
    <w:rsid w:val="0021159F"/>
    <w:rsid w:val="00211A13"/>
    <w:rsid w:val="00212670"/>
    <w:rsid w:val="002135FE"/>
    <w:rsid w:val="002139D8"/>
    <w:rsid w:val="00213D4D"/>
    <w:rsid w:val="00214ED8"/>
    <w:rsid w:val="00215070"/>
    <w:rsid w:val="00217F46"/>
    <w:rsid w:val="0022027B"/>
    <w:rsid w:val="002207D2"/>
    <w:rsid w:val="0022083B"/>
    <w:rsid w:val="00220C41"/>
    <w:rsid w:val="00220C44"/>
    <w:rsid w:val="002228DE"/>
    <w:rsid w:val="00223A9C"/>
    <w:rsid w:val="0022441C"/>
    <w:rsid w:val="002245E5"/>
    <w:rsid w:val="00224F97"/>
    <w:rsid w:val="00225847"/>
    <w:rsid w:val="00226842"/>
    <w:rsid w:val="00226F78"/>
    <w:rsid w:val="0022770F"/>
    <w:rsid w:val="002279E3"/>
    <w:rsid w:val="00230529"/>
    <w:rsid w:val="00230ED2"/>
    <w:rsid w:val="00230F0C"/>
    <w:rsid w:val="002314B6"/>
    <w:rsid w:val="0023276E"/>
    <w:rsid w:val="00232BE1"/>
    <w:rsid w:val="00233093"/>
    <w:rsid w:val="00233B45"/>
    <w:rsid w:val="00235263"/>
    <w:rsid w:val="002353C6"/>
    <w:rsid w:val="00235F3A"/>
    <w:rsid w:val="00236136"/>
    <w:rsid w:val="002362A0"/>
    <w:rsid w:val="00236525"/>
    <w:rsid w:val="00236858"/>
    <w:rsid w:val="00237B70"/>
    <w:rsid w:val="0024017A"/>
    <w:rsid w:val="00240325"/>
    <w:rsid w:val="0024105C"/>
    <w:rsid w:val="002416F3"/>
    <w:rsid w:val="00243DC0"/>
    <w:rsid w:val="00247477"/>
    <w:rsid w:val="00247552"/>
    <w:rsid w:val="002478DF"/>
    <w:rsid w:val="00247912"/>
    <w:rsid w:val="00247DE2"/>
    <w:rsid w:val="002512C2"/>
    <w:rsid w:val="002519BB"/>
    <w:rsid w:val="00251D71"/>
    <w:rsid w:val="00252AE1"/>
    <w:rsid w:val="00253AF9"/>
    <w:rsid w:val="00253BD2"/>
    <w:rsid w:val="00254F0C"/>
    <w:rsid w:val="002553F3"/>
    <w:rsid w:val="00256D03"/>
    <w:rsid w:val="00256E64"/>
    <w:rsid w:val="00257247"/>
    <w:rsid w:val="002572B9"/>
    <w:rsid w:val="00257800"/>
    <w:rsid w:val="00260567"/>
    <w:rsid w:val="002608C2"/>
    <w:rsid w:val="00260CCD"/>
    <w:rsid w:val="00260EC0"/>
    <w:rsid w:val="00262736"/>
    <w:rsid w:val="00262E5D"/>
    <w:rsid w:val="00263176"/>
    <w:rsid w:val="00263DE0"/>
    <w:rsid w:val="0026419A"/>
    <w:rsid w:val="00264EBB"/>
    <w:rsid w:val="0026552F"/>
    <w:rsid w:val="00266014"/>
    <w:rsid w:val="002671AC"/>
    <w:rsid w:val="0026788A"/>
    <w:rsid w:val="002678FF"/>
    <w:rsid w:val="00270440"/>
    <w:rsid w:val="0027056B"/>
    <w:rsid w:val="00271343"/>
    <w:rsid w:val="00271351"/>
    <w:rsid w:val="00271420"/>
    <w:rsid w:val="0027185D"/>
    <w:rsid w:val="00272513"/>
    <w:rsid w:val="002734D9"/>
    <w:rsid w:val="002744E4"/>
    <w:rsid w:val="002745C0"/>
    <w:rsid w:val="0027617A"/>
    <w:rsid w:val="0027637A"/>
    <w:rsid w:val="00276E64"/>
    <w:rsid w:val="00277269"/>
    <w:rsid w:val="00280563"/>
    <w:rsid w:val="00280BD8"/>
    <w:rsid w:val="0028167A"/>
    <w:rsid w:val="00281E6B"/>
    <w:rsid w:val="002839B4"/>
    <w:rsid w:val="00284D8D"/>
    <w:rsid w:val="002857F4"/>
    <w:rsid w:val="0028758B"/>
    <w:rsid w:val="00287BC5"/>
    <w:rsid w:val="0029020B"/>
    <w:rsid w:val="00290218"/>
    <w:rsid w:val="0029038B"/>
    <w:rsid w:val="002908A0"/>
    <w:rsid w:val="00291617"/>
    <w:rsid w:val="00291634"/>
    <w:rsid w:val="002916A8"/>
    <w:rsid w:val="00293DEE"/>
    <w:rsid w:val="00294313"/>
    <w:rsid w:val="00294983"/>
    <w:rsid w:val="00295821"/>
    <w:rsid w:val="00295836"/>
    <w:rsid w:val="00295FB5"/>
    <w:rsid w:val="0029668E"/>
    <w:rsid w:val="00296A41"/>
    <w:rsid w:val="00297F34"/>
    <w:rsid w:val="002A0740"/>
    <w:rsid w:val="002A0877"/>
    <w:rsid w:val="002A0B5D"/>
    <w:rsid w:val="002A10B7"/>
    <w:rsid w:val="002A2895"/>
    <w:rsid w:val="002A2E85"/>
    <w:rsid w:val="002A37A7"/>
    <w:rsid w:val="002A3E98"/>
    <w:rsid w:val="002A4988"/>
    <w:rsid w:val="002A5C50"/>
    <w:rsid w:val="002A6E01"/>
    <w:rsid w:val="002A74B3"/>
    <w:rsid w:val="002B00BA"/>
    <w:rsid w:val="002B07D4"/>
    <w:rsid w:val="002B115B"/>
    <w:rsid w:val="002B2811"/>
    <w:rsid w:val="002B2A1B"/>
    <w:rsid w:val="002B3E92"/>
    <w:rsid w:val="002B4306"/>
    <w:rsid w:val="002B4A86"/>
    <w:rsid w:val="002B4C0C"/>
    <w:rsid w:val="002B50C6"/>
    <w:rsid w:val="002B50E9"/>
    <w:rsid w:val="002B632F"/>
    <w:rsid w:val="002B6CA1"/>
    <w:rsid w:val="002B7A86"/>
    <w:rsid w:val="002C0258"/>
    <w:rsid w:val="002C04F1"/>
    <w:rsid w:val="002C09EE"/>
    <w:rsid w:val="002C3911"/>
    <w:rsid w:val="002C3AAB"/>
    <w:rsid w:val="002C44C7"/>
    <w:rsid w:val="002C5050"/>
    <w:rsid w:val="002C5408"/>
    <w:rsid w:val="002C5C2B"/>
    <w:rsid w:val="002C6796"/>
    <w:rsid w:val="002C70D3"/>
    <w:rsid w:val="002C7863"/>
    <w:rsid w:val="002C7FE9"/>
    <w:rsid w:val="002D0DC5"/>
    <w:rsid w:val="002D1610"/>
    <w:rsid w:val="002D1830"/>
    <w:rsid w:val="002D25A6"/>
    <w:rsid w:val="002D2D08"/>
    <w:rsid w:val="002D3AA2"/>
    <w:rsid w:val="002D4190"/>
    <w:rsid w:val="002D4EFD"/>
    <w:rsid w:val="002D5975"/>
    <w:rsid w:val="002D7755"/>
    <w:rsid w:val="002D7BBD"/>
    <w:rsid w:val="002E0E7F"/>
    <w:rsid w:val="002E1834"/>
    <w:rsid w:val="002E1B35"/>
    <w:rsid w:val="002E2C04"/>
    <w:rsid w:val="002E36C6"/>
    <w:rsid w:val="002E3A0B"/>
    <w:rsid w:val="002E45FD"/>
    <w:rsid w:val="002E5B1B"/>
    <w:rsid w:val="002E60D4"/>
    <w:rsid w:val="002E642D"/>
    <w:rsid w:val="002E6BB4"/>
    <w:rsid w:val="002F01AB"/>
    <w:rsid w:val="002F03EC"/>
    <w:rsid w:val="002F094E"/>
    <w:rsid w:val="002F0A17"/>
    <w:rsid w:val="002F0B17"/>
    <w:rsid w:val="002F0BF4"/>
    <w:rsid w:val="002F1807"/>
    <w:rsid w:val="002F2D79"/>
    <w:rsid w:val="002F32EE"/>
    <w:rsid w:val="002F4099"/>
    <w:rsid w:val="002F493A"/>
    <w:rsid w:val="002F5E33"/>
    <w:rsid w:val="002F60DC"/>
    <w:rsid w:val="002F6D97"/>
    <w:rsid w:val="002F7A54"/>
    <w:rsid w:val="002F7A56"/>
    <w:rsid w:val="002F7EA7"/>
    <w:rsid w:val="003000C3"/>
    <w:rsid w:val="00300121"/>
    <w:rsid w:val="00300693"/>
    <w:rsid w:val="003012BD"/>
    <w:rsid w:val="00301AF9"/>
    <w:rsid w:val="00302417"/>
    <w:rsid w:val="003030A7"/>
    <w:rsid w:val="00303177"/>
    <w:rsid w:val="00304C6D"/>
    <w:rsid w:val="00305082"/>
    <w:rsid w:val="003054BD"/>
    <w:rsid w:val="003057C1"/>
    <w:rsid w:val="003067B4"/>
    <w:rsid w:val="0031097F"/>
    <w:rsid w:val="00310ECD"/>
    <w:rsid w:val="0031200C"/>
    <w:rsid w:val="0031259B"/>
    <w:rsid w:val="00312F88"/>
    <w:rsid w:val="00314484"/>
    <w:rsid w:val="00314A07"/>
    <w:rsid w:val="00314D95"/>
    <w:rsid w:val="00315987"/>
    <w:rsid w:val="00315A97"/>
    <w:rsid w:val="00315BD6"/>
    <w:rsid w:val="00316071"/>
    <w:rsid w:val="003160DB"/>
    <w:rsid w:val="0031678F"/>
    <w:rsid w:val="003167DE"/>
    <w:rsid w:val="00316D3E"/>
    <w:rsid w:val="0032026F"/>
    <w:rsid w:val="00320503"/>
    <w:rsid w:val="003208C3"/>
    <w:rsid w:val="003224F3"/>
    <w:rsid w:val="003231B4"/>
    <w:rsid w:val="00323422"/>
    <w:rsid w:val="0032374F"/>
    <w:rsid w:val="003250D6"/>
    <w:rsid w:val="00325742"/>
    <w:rsid w:val="00325A65"/>
    <w:rsid w:val="00325FF0"/>
    <w:rsid w:val="00326365"/>
    <w:rsid w:val="003263EB"/>
    <w:rsid w:val="003266B6"/>
    <w:rsid w:val="00326867"/>
    <w:rsid w:val="00326B2B"/>
    <w:rsid w:val="00332147"/>
    <w:rsid w:val="003327BD"/>
    <w:rsid w:val="003329D7"/>
    <w:rsid w:val="00332A6F"/>
    <w:rsid w:val="00332FA3"/>
    <w:rsid w:val="00333F45"/>
    <w:rsid w:val="003340ED"/>
    <w:rsid w:val="00334651"/>
    <w:rsid w:val="003353E1"/>
    <w:rsid w:val="0033579A"/>
    <w:rsid w:val="0033601A"/>
    <w:rsid w:val="00337A4C"/>
    <w:rsid w:val="003401E4"/>
    <w:rsid w:val="003403C4"/>
    <w:rsid w:val="003405AF"/>
    <w:rsid w:val="0034189A"/>
    <w:rsid w:val="0034375D"/>
    <w:rsid w:val="00343A5B"/>
    <w:rsid w:val="00343E5C"/>
    <w:rsid w:val="00344169"/>
    <w:rsid w:val="00344FB8"/>
    <w:rsid w:val="00345615"/>
    <w:rsid w:val="0034709D"/>
    <w:rsid w:val="00347A9E"/>
    <w:rsid w:val="00347E8D"/>
    <w:rsid w:val="00350261"/>
    <w:rsid w:val="003529CE"/>
    <w:rsid w:val="003548A3"/>
    <w:rsid w:val="00354BD6"/>
    <w:rsid w:val="00354E69"/>
    <w:rsid w:val="003555C4"/>
    <w:rsid w:val="0035612B"/>
    <w:rsid w:val="0036017B"/>
    <w:rsid w:val="00361B1E"/>
    <w:rsid w:val="00362755"/>
    <w:rsid w:val="00362786"/>
    <w:rsid w:val="003655A5"/>
    <w:rsid w:val="00365A4B"/>
    <w:rsid w:val="003661BC"/>
    <w:rsid w:val="003666EF"/>
    <w:rsid w:val="003669E8"/>
    <w:rsid w:val="00370261"/>
    <w:rsid w:val="003702EF"/>
    <w:rsid w:val="003713F9"/>
    <w:rsid w:val="00372815"/>
    <w:rsid w:val="0037287B"/>
    <w:rsid w:val="003728F7"/>
    <w:rsid w:val="00372F62"/>
    <w:rsid w:val="00373B93"/>
    <w:rsid w:val="00373E1A"/>
    <w:rsid w:val="00374CF8"/>
    <w:rsid w:val="00375DD5"/>
    <w:rsid w:val="0037624E"/>
    <w:rsid w:val="00376294"/>
    <w:rsid w:val="00376F8B"/>
    <w:rsid w:val="00377511"/>
    <w:rsid w:val="00377B0A"/>
    <w:rsid w:val="00380CD1"/>
    <w:rsid w:val="003820B6"/>
    <w:rsid w:val="00382258"/>
    <w:rsid w:val="003823B0"/>
    <w:rsid w:val="003827AB"/>
    <w:rsid w:val="003827E9"/>
    <w:rsid w:val="003830AB"/>
    <w:rsid w:val="0038372F"/>
    <w:rsid w:val="0038387E"/>
    <w:rsid w:val="00384270"/>
    <w:rsid w:val="00384395"/>
    <w:rsid w:val="0038443E"/>
    <w:rsid w:val="00385134"/>
    <w:rsid w:val="00385296"/>
    <w:rsid w:val="0038542D"/>
    <w:rsid w:val="00386763"/>
    <w:rsid w:val="00386F8A"/>
    <w:rsid w:val="00387525"/>
    <w:rsid w:val="00390608"/>
    <w:rsid w:val="00390EC0"/>
    <w:rsid w:val="00391348"/>
    <w:rsid w:val="003920EE"/>
    <w:rsid w:val="003929BD"/>
    <w:rsid w:val="0039362C"/>
    <w:rsid w:val="0039461D"/>
    <w:rsid w:val="00395874"/>
    <w:rsid w:val="00396187"/>
    <w:rsid w:val="00396DAB"/>
    <w:rsid w:val="00397CDE"/>
    <w:rsid w:val="00397F0E"/>
    <w:rsid w:val="003A02CA"/>
    <w:rsid w:val="003A03AD"/>
    <w:rsid w:val="003A1BD9"/>
    <w:rsid w:val="003A21E4"/>
    <w:rsid w:val="003A3508"/>
    <w:rsid w:val="003A38F0"/>
    <w:rsid w:val="003A3E8E"/>
    <w:rsid w:val="003A5B20"/>
    <w:rsid w:val="003A60FE"/>
    <w:rsid w:val="003A6264"/>
    <w:rsid w:val="003A673D"/>
    <w:rsid w:val="003A6907"/>
    <w:rsid w:val="003A7EA7"/>
    <w:rsid w:val="003B0108"/>
    <w:rsid w:val="003B0896"/>
    <w:rsid w:val="003B0C51"/>
    <w:rsid w:val="003B146B"/>
    <w:rsid w:val="003B220B"/>
    <w:rsid w:val="003B239B"/>
    <w:rsid w:val="003B2BDF"/>
    <w:rsid w:val="003B2C14"/>
    <w:rsid w:val="003B3201"/>
    <w:rsid w:val="003B38CD"/>
    <w:rsid w:val="003B4A4B"/>
    <w:rsid w:val="003B518F"/>
    <w:rsid w:val="003B5362"/>
    <w:rsid w:val="003B5959"/>
    <w:rsid w:val="003B5FCE"/>
    <w:rsid w:val="003B76D5"/>
    <w:rsid w:val="003C0111"/>
    <w:rsid w:val="003C123B"/>
    <w:rsid w:val="003C28AE"/>
    <w:rsid w:val="003C3D9A"/>
    <w:rsid w:val="003C4E36"/>
    <w:rsid w:val="003C5265"/>
    <w:rsid w:val="003C5456"/>
    <w:rsid w:val="003C5D30"/>
    <w:rsid w:val="003C63FC"/>
    <w:rsid w:val="003C640B"/>
    <w:rsid w:val="003C6E84"/>
    <w:rsid w:val="003C7633"/>
    <w:rsid w:val="003D03DE"/>
    <w:rsid w:val="003D0A4E"/>
    <w:rsid w:val="003D2C4C"/>
    <w:rsid w:val="003D3D29"/>
    <w:rsid w:val="003D4435"/>
    <w:rsid w:val="003D4657"/>
    <w:rsid w:val="003D46A5"/>
    <w:rsid w:val="003D4795"/>
    <w:rsid w:val="003D58AE"/>
    <w:rsid w:val="003D7290"/>
    <w:rsid w:val="003D7DF1"/>
    <w:rsid w:val="003E1DA0"/>
    <w:rsid w:val="003E2665"/>
    <w:rsid w:val="003E287B"/>
    <w:rsid w:val="003E315A"/>
    <w:rsid w:val="003E4FDC"/>
    <w:rsid w:val="003E537F"/>
    <w:rsid w:val="003E69C0"/>
    <w:rsid w:val="003E6C17"/>
    <w:rsid w:val="003E6CD3"/>
    <w:rsid w:val="003F069A"/>
    <w:rsid w:val="003F0A6A"/>
    <w:rsid w:val="003F0C4F"/>
    <w:rsid w:val="003F136C"/>
    <w:rsid w:val="003F146A"/>
    <w:rsid w:val="003F29BD"/>
    <w:rsid w:val="003F2ADF"/>
    <w:rsid w:val="003F3258"/>
    <w:rsid w:val="003F4329"/>
    <w:rsid w:val="003F5CC1"/>
    <w:rsid w:val="003F771A"/>
    <w:rsid w:val="00400257"/>
    <w:rsid w:val="0040118E"/>
    <w:rsid w:val="00401E58"/>
    <w:rsid w:val="004022E6"/>
    <w:rsid w:val="004039D6"/>
    <w:rsid w:val="00403EB6"/>
    <w:rsid w:val="004045CB"/>
    <w:rsid w:val="00404649"/>
    <w:rsid w:val="004052A9"/>
    <w:rsid w:val="0040538E"/>
    <w:rsid w:val="00405FA6"/>
    <w:rsid w:val="00406328"/>
    <w:rsid w:val="00406A70"/>
    <w:rsid w:val="00406CD5"/>
    <w:rsid w:val="0041019E"/>
    <w:rsid w:val="00411695"/>
    <w:rsid w:val="004120D3"/>
    <w:rsid w:val="0041235A"/>
    <w:rsid w:val="00412534"/>
    <w:rsid w:val="00412A76"/>
    <w:rsid w:val="00412C83"/>
    <w:rsid w:val="0041362D"/>
    <w:rsid w:val="00414CAD"/>
    <w:rsid w:val="00415037"/>
    <w:rsid w:val="00415153"/>
    <w:rsid w:val="00416C69"/>
    <w:rsid w:val="004177CB"/>
    <w:rsid w:val="004208BF"/>
    <w:rsid w:val="00420BCD"/>
    <w:rsid w:val="00420DA3"/>
    <w:rsid w:val="00422107"/>
    <w:rsid w:val="00422559"/>
    <w:rsid w:val="00422FAC"/>
    <w:rsid w:val="004251B0"/>
    <w:rsid w:val="00426014"/>
    <w:rsid w:val="00427D8D"/>
    <w:rsid w:val="0043045B"/>
    <w:rsid w:val="00431050"/>
    <w:rsid w:val="004332F3"/>
    <w:rsid w:val="0043387A"/>
    <w:rsid w:val="0043397F"/>
    <w:rsid w:val="00433A1A"/>
    <w:rsid w:val="00434EB1"/>
    <w:rsid w:val="00434EC5"/>
    <w:rsid w:val="00434FDC"/>
    <w:rsid w:val="004364C3"/>
    <w:rsid w:val="00436A58"/>
    <w:rsid w:val="00436D67"/>
    <w:rsid w:val="00436DFD"/>
    <w:rsid w:val="004373E4"/>
    <w:rsid w:val="00437967"/>
    <w:rsid w:val="00441A87"/>
    <w:rsid w:val="004422ED"/>
    <w:rsid w:val="004442DA"/>
    <w:rsid w:val="00444416"/>
    <w:rsid w:val="0044444B"/>
    <w:rsid w:val="0044617E"/>
    <w:rsid w:val="004468D8"/>
    <w:rsid w:val="00450165"/>
    <w:rsid w:val="004502D4"/>
    <w:rsid w:val="004509D0"/>
    <w:rsid w:val="00450D06"/>
    <w:rsid w:val="0045107F"/>
    <w:rsid w:val="004510F7"/>
    <w:rsid w:val="004511A2"/>
    <w:rsid w:val="0045123B"/>
    <w:rsid w:val="004514FF"/>
    <w:rsid w:val="00453F6E"/>
    <w:rsid w:val="0045407D"/>
    <w:rsid w:val="00455A4C"/>
    <w:rsid w:val="00455D70"/>
    <w:rsid w:val="00455ECF"/>
    <w:rsid w:val="00455EDD"/>
    <w:rsid w:val="0045776E"/>
    <w:rsid w:val="0045797C"/>
    <w:rsid w:val="0046078B"/>
    <w:rsid w:val="00460B7D"/>
    <w:rsid w:val="00460F95"/>
    <w:rsid w:val="0046167C"/>
    <w:rsid w:val="00461BFE"/>
    <w:rsid w:val="004634A3"/>
    <w:rsid w:val="00463CA3"/>
    <w:rsid w:val="00463CC4"/>
    <w:rsid w:val="00463E21"/>
    <w:rsid w:val="00464147"/>
    <w:rsid w:val="004642C1"/>
    <w:rsid w:val="0046476E"/>
    <w:rsid w:val="0046515C"/>
    <w:rsid w:val="00466152"/>
    <w:rsid w:val="00467544"/>
    <w:rsid w:val="00475AEB"/>
    <w:rsid w:val="00477194"/>
    <w:rsid w:val="00477C44"/>
    <w:rsid w:val="0048094C"/>
    <w:rsid w:val="004809BE"/>
    <w:rsid w:val="00480CB0"/>
    <w:rsid w:val="00481000"/>
    <w:rsid w:val="004810AD"/>
    <w:rsid w:val="00481966"/>
    <w:rsid w:val="00482746"/>
    <w:rsid w:val="0048293C"/>
    <w:rsid w:val="00483603"/>
    <w:rsid w:val="00483FB7"/>
    <w:rsid w:val="00484B76"/>
    <w:rsid w:val="00484C8F"/>
    <w:rsid w:val="004855AA"/>
    <w:rsid w:val="00485F0C"/>
    <w:rsid w:val="00487211"/>
    <w:rsid w:val="00487271"/>
    <w:rsid w:val="00490290"/>
    <w:rsid w:val="0049332F"/>
    <w:rsid w:val="00493415"/>
    <w:rsid w:val="00493824"/>
    <w:rsid w:val="004944B8"/>
    <w:rsid w:val="00497178"/>
    <w:rsid w:val="004A01D6"/>
    <w:rsid w:val="004A034C"/>
    <w:rsid w:val="004A0446"/>
    <w:rsid w:val="004A1EAD"/>
    <w:rsid w:val="004A2671"/>
    <w:rsid w:val="004A37AE"/>
    <w:rsid w:val="004A3A90"/>
    <w:rsid w:val="004A441D"/>
    <w:rsid w:val="004A47BE"/>
    <w:rsid w:val="004A4D52"/>
    <w:rsid w:val="004A6C6F"/>
    <w:rsid w:val="004A6DE8"/>
    <w:rsid w:val="004A7B38"/>
    <w:rsid w:val="004B015D"/>
    <w:rsid w:val="004B0179"/>
    <w:rsid w:val="004B0A85"/>
    <w:rsid w:val="004B0C3F"/>
    <w:rsid w:val="004B0D8B"/>
    <w:rsid w:val="004B18AD"/>
    <w:rsid w:val="004B34EA"/>
    <w:rsid w:val="004B3980"/>
    <w:rsid w:val="004B3AA1"/>
    <w:rsid w:val="004B3CC4"/>
    <w:rsid w:val="004B5494"/>
    <w:rsid w:val="004B598F"/>
    <w:rsid w:val="004B5E9A"/>
    <w:rsid w:val="004C254F"/>
    <w:rsid w:val="004C2570"/>
    <w:rsid w:val="004C2E57"/>
    <w:rsid w:val="004C35DB"/>
    <w:rsid w:val="004C4D2E"/>
    <w:rsid w:val="004C5622"/>
    <w:rsid w:val="004C621D"/>
    <w:rsid w:val="004C688B"/>
    <w:rsid w:val="004C699A"/>
    <w:rsid w:val="004C71C7"/>
    <w:rsid w:val="004C746A"/>
    <w:rsid w:val="004C7965"/>
    <w:rsid w:val="004C7A2B"/>
    <w:rsid w:val="004C7D3A"/>
    <w:rsid w:val="004D112C"/>
    <w:rsid w:val="004D1A9D"/>
    <w:rsid w:val="004D1B04"/>
    <w:rsid w:val="004D21A4"/>
    <w:rsid w:val="004D355D"/>
    <w:rsid w:val="004D3D97"/>
    <w:rsid w:val="004D3FC2"/>
    <w:rsid w:val="004D5EBB"/>
    <w:rsid w:val="004D6475"/>
    <w:rsid w:val="004D6698"/>
    <w:rsid w:val="004D6776"/>
    <w:rsid w:val="004D68D7"/>
    <w:rsid w:val="004D6CDB"/>
    <w:rsid w:val="004E00F4"/>
    <w:rsid w:val="004E221F"/>
    <w:rsid w:val="004E26F3"/>
    <w:rsid w:val="004E39C2"/>
    <w:rsid w:val="004E4B1A"/>
    <w:rsid w:val="004E5229"/>
    <w:rsid w:val="004E53DD"/>
    <w:rsid w:val="004E55DB"/>
    <w:rsid w:val="004E5930"/>
    <w:rsid w:val="004E67D3"/>
    <w:rsid w:val="004E680F"/>
    <w:rsid w:val="004E685F"/>
    <w:rsid w:val="004E726C"/>
    <w:rsid w:val="004F00F3"/>
    <w:rsid w:val="004F0664"/>
    <w:rsid w:val="004F1039"/>
    <w:rsid w:val="004F3A07"/>
    <w:rsid w:val="004F3CA5"/>
    <w:rsid w:val="004F4668"/>
    <w:rsid w:val="004F4CD3"/>
    <w:rsid w:val="004F65B7"/>
    <w:rsid w:val="004F787F"/>
    <w:rsid w:val="004F79BB"/>
    <w:rsid w:val="004F7F2B"/>
    <w:rsid w:val="0050041C"/>
    <w:rsid w:val="00501645"/>
    <w:rsid w:val="005018A8"/>
    <w:rsid w:val="00502C71"/>
    <w:rsid w:val="005038C5"/>
    <w:rsid w:val="00503CE6"/>
    <w:rsid w:val="00503EF6"/>
    <w:rsid w:val="00504F86"/>
    <w:rsid w:val="0050579C"/>
    <w:rsid w:val="00505A39"/>
    <w:rsid w:val="00505F13"/>
    <w:rsid w:val="00506319"/>
    <w:rsid w:val="00506EF3"/>
    <w:rsid w:val="005079D4"/>
    <w:rsid w:val="00507A44"/>
    <w:rsid w:val="00510EE4"/>
    <w:rsid w:val="005115C4"/>
    <w:rsid w:val="00511922"/>
    <w:rsid w:val="00511B47"/>
    <w:rsid w:val="005125C7"/>
    <w:rsid w:val="0051299D"/>
    <w:rsid w:val="00513740"/>
    <w:rsid w:val="005142AB"/>
    <w:rsid w:val="00515889"/>
    <w:rsid w:val="0051614F"/>
    <w:rsid w:val="005164E0"/>
    <w:rsid w:val="00521E1F"/>
    <w:rsid w:val="00522808"/>
    <w:rsid w:val="005240BF"/>
    <w:rsid w:val="00524DDA"/>
    <w:rsid w:val="0052546C"/>
    <w:rsid w:val="00525B56"/>
    <w:rsid w:val="00525CA1"/>
    <w:rsid w:val="00526115"/>
    <w:rsid w:val="00526297"/>
    <w:rsid w:val="00526927"/>
    <w:rsid w:val="0052765F"/>
    <w:rsid w:val="00527867"/>
    <w:rsid w:val="005279C6"/>
    <w:rsid w:val="00527DB8"/>
    <w:rsid w:val="0053019A"/>
    <w:rsid w:val="00530F0A"/>
    <w:rsid w:val="0053218E"/>
    <w:rsid w:val="005325BC"/>
    <w:rsid w:val="00532CC1"/>
    <w:rsid w:val="00533D67"/>
    <w:rsid w:val="00533D8F"/>
    <w:rsid w:val="00533E48"/>
    <w:rsid w:val="00533FD8"/>
    <w:rsid w:val="0053400D"/>
    <w:rsid w:val="00534334"/>
    <w:rsid w:val="005360C9"/>
    <w:rsid w:val="00537E43"/>
    <w:rsid w:val="00540116"/>
    <w:rsid w:val="00540535"/>
    <w:rsid w:val="00540BD2"/>
    <w:rsid w:val="00540D9B"/>
    <w:rsid w:val="00541148"/>
    <w:rsid w:val="005433B7"/>
    <w:rsid w:val="0054466C"/>
    <w:rsid w:val="005459DA"/>
    <w:rsid w:val="00546608"/>
    <w:rsid w:val="00546EFF"/>
    <w:rsid w:val="00546F1B"/>
    <w:rsid w:val="00550C8D"/>
    <w:rsid w:val="00550CCB"/>
    <w:rsid w:val="00550CF3"/>
    <w:rsid w:val="0055215A"/>
    <w:rsid w:val="0055284E"/>
    <w:rsid w:val="0055295D"/>
    <w:rsid w:val="00552C9C"/>
    <w:rsid w:val="00552D3F"/>
    <w:rsid w:val="00553D93"/>
    <w:rsid w:val="00554C37"/>
    <w:rsid w:val="00554CB1"/>
    <w:rsid w:val="00555003"/>
    <w:rsid w:val="005550DE"/>
    <w:rsid w:val="005557BE"/>
    <w:rsid w:val="00556032"/>
    <w:rsid w:val="005562CC"/>
    <w:rsid w:val="00556B75"/>
    <w:rsid w:val="00557266"/>
    <w:rsid w:val="005574C4"/>
    <w:rsid w:val="00557712"/>
    <w:rsid w:val="005607B2"/>
    <w:rsid w:val="00561D18"/>
    <w:rsid w:val="005639A9"/>
    <w:rsid w:val="00563F3D"/>
    <w:rsid w:val="005653B8"/>
    <w:rsid w:val="00566A72"/>
    <w:rsid w:val="005674A0"/>
    <w:rsid w:val="00567B48"/>
    <w:rsid w:val="00570045"/>
    <w:rsid w:val="00571C5E"/>
    <w:rsid w:val="00572022"/>
    <w:rsid w:val="005728C3"/>
    <w:rsid w:val="00573849"/>
    <w:rsid w:val="00573FA4"/>
    <w:rsid w:val="005740F3"/>
    <w:rsid w:val="005759CC"/>
    <w:rsid w:val="00576442"/>
    <w:rsid w:val="00577042"/>
    <w:rsid w:val="00577152"/>
    <w:rsid w:val="00580C06"/>
    <w:rsid w:val="00580E2C"/>
    <w:rsid w:val="005814F3"/>
    <w:rsid w:val="00581AD0"/>
    <w:rsid w:val="0058248A"/>
    <w:rsid w:val="005832D7"/>
    <w:rsid w:val="005835F5"/>
    <w:rsid w:val="00583608"/>
    <w:rsid w:val="005842F1"/>
    <w:rsid w:val="00584316"/>
    <w:rsid w:val="00585390"/>
    <w:rsid w:val="00585933"/>
    <w:rsid w:val="00586449"/>
    <w:rsid w:val="0058683C"/>
    <w:rsid w:val="005876CF"/>
    <w:rsid w:val="0058790B"/>
    <w:rsid w:val="00587DEA"/>
    <w:rsid w:val="00590B75"/>
    <w:rsid w:val="0059152B"/>
    <w:rsid w:val="00592AFF"/>
    <w:rsid w:val="005939A5"/>
    <w:rsid w:val="00593A61"/>
    <w:rsid w:val="00593CD7"/>
    <w:rsid w:val="00594386"/>
    <w:rsid w:val="0059525C"/>
    <w:rsid w:val="00595339"/>
    <w:rsid w:val="0059554B"/>
    <w:rsid w:val="00596F83"/>
    <w:rsid w:val="00597629"/>
    <w:rsid w:val="005A0105"/>
    <w:rsid w:val="005A0156"/>
    <w:rsid w:val="005A0CFE"/>
    <w:rsid w:val="005A115E"/>
    <w:rsid w:val="005A148C"/>
    <w:rsid w:val="005A2526"/>
    <w:rsid w:val="005A39D0"/>
    <w:rsid w:val="005A4029"/>
    <w:rsid w:val="005A512C"/>
    <w:rsid w:val="005A5C6D"/>
    <w:rsid w:val="005A66E9"/>
    <w:rsid w:val="005A72CA"/>
    <w:rsid w:val="005A7518"/>
    <w:rsid w:val="005A7E2F"/>
    <w:rsid w:val="005B1D1F"/>
    <w:rsid w:val="005B21DB"/>
    <w:rsid w:val="005B4244"/>
    <w:rsid w:val="005B4B9C"/>
    <w:rsid w:val="005B54CD"/>
    <w:rsid w:val="005B5CBD"/>
    <w:rsid w:val="005B74C7"/>
    <w:rsid w:val="005B7A04"/>
    <w:rsid w:val="005C04BA"/>
    <w:rsid w:val="005C090C"/>
    <w:rsid w:val="005C1F36"/>
    <w:rsid w:val="005C21B3"/>
    <w:rsid w:val="005C4246"/>
    <w:rsid w:val="005C58FA"/>
    <w:rsid w:val="005C5C73"/>
    <w:rsid w:val="005C6549"/>
    <w:rsid w:val="005C6CF6"/>
    <w:rsid w:val="005C7013"/>
    <w:rsid w:val="005C703C"/>
    <w:rsid w:val="005C7B4D"/>
    <w:rsid w:val="005D18CB"/>
    <w:rsid w:val="005D2203"/>
    <w:rsid w:val="005D30CF"/>
    <w:rsid w:val="005D381D"/>
    <w:rsid w:val="005D40D5"/>
    <w:rsid w:val="005D49EF"/>
    <w:rsid w:val="005D62FF"/>
    <w:rsid w:val="005D63E0"/>
    <w:rsid w:val="005D7944"/>
    <w:rsid w:val="005E1DDE"/>
    <w:rsid w:val="005E1F24"/>
    <w:rsid w:val="005E24FF"/>
    <w:rsid w:val="005E3E4C"/>
    <w:rsid w:val="005E531C"/>
    <w:rsid w:val="005E56A7"/>
    <w:rsid w:val="005E5E42"/>
    <w:rsid w:val="005E6AD0"/>
    <w:rsid w:val="005E6DCD"/>
    <w:rsid w:val="005E72F8"/>
    <w:rsid w:val="005E745B"/>
    <w:rsid w:val="005E7CC7"/>
    <w:rsid w:val="005F1108"/>
    <w:rsid w:val="005F1992"/>
    <w:rsid w:val="005F1F47"/>
    <w:rsid w:val="005F2F37"/>
    <w:rsid w:val="005F314E"/>
    <w:rsid w:val="005F355E"/>
    <w:rsid w:val="005F3B91"/>
    <w:rsid w:val="005F3C63"/>
    <w:rsid w:val="005F686D"/>
    <w:rsid w:val="005F697D"/>
    <w:rsid w:val="005F6DB6"/>
    <w:rsid w:val="005F74FC"/>
    <w:rsid w:val="00601231"/>
    <w:rsid w:val="00603238"/>
    <w:rsid w:val="0060379A"/>
    <w:rsid w:val="00604BCC"/>
    <w:rsid w:val="00605387"/>
    <w:rsid w:val="00605F21"/>
    <w:rsid w:val="00606036"/>
    <w:rsid w:val="0060655B"/>
    <w:rsid w:val="006065E9"/>
    <w:rsid w:val="0060673C"/>
    <w:rsid w:val="00606A06"/>
    <w:rsid w:val="00606E40"/>
    <w:rsid w:val="006071AA"/>
    <w:rsid w:val="0060777F"/>
    <w:rsid w:val="00607888"/>
    <w:rsid w:val="00607AA9"/>
    <w:rsid w:val="00607AE1"/>
    <w:rsid w:val="00607F6B"/>
    <w:rsid w:val="006104E1"/>
    <w:rsid w:val="00610C6A"/>
    <w:rsid w:val="0061108C"/>
    <w:rsid w:val="006122F1"/>
    <w:rsid w:val="00612629"/>
    <w:rsid w:val="00612A21"/>
    <w:rsid w:val="0061355E"/>
    <w:rsid w:val="00613EA1"/>
    <w:rsid w:val="006149B8"/>
    <w:rsid w:val="0061510D"/>
    <w:rsid w:val="006157FB"/>
    <w:rsid w:val="00615E81"/>
    <w:rsid w:val="00616139"/>
    <w:rsid w:val="00620BE4"/>
    <w:rsid w:val="00620D9B"/>
    <w:rsid w:val="00624139"/>
    <w:rsid w:val="0062551C"/>
    <w:rsid w:val="006269EB"/>
    <w:rsid w:val="00627C4A"/>
    <w:rsid w:val="0063069F"/>
    <w:rsid w:val="00631344"/>
    <w:rsid w:val="00631D14"/>
    <w:rsid w:val="00632207"/>
    <w:rsid w:val="00633674"/>
    <w:rsid w:val="0063491C"/>
    <w:rsid w:val="00634FC9"/>
    <w:rsid w:val="00635471"/>
    <w:rsid w:val="00635537"/>
    <w:rsid w:val="00640762"/>
    <w:rsid w:val="0064114A"/>
    <w:rsid w:val="0064172A"/>
    <w:rsid w:val="006418E8"/>
    <w:rsid w:val="00641A5C"/>
    <w:rsid w:val="006420E5"/>
    <w:rsid w:val="0064235B"/>
    <w:rsid w:val="00642C4B"/>
    <w:rsid w:val="00642EC4"/>
    <w:rsid w:val="00645C20"/>
    <w:rsid w:val="00645D02"/>
    <w:rsid w:val="00645E1A"/>
    <w:rsid w:val="006464AA"/>
    <w:rsid w:val="00647611"/>
    <w:rsid w:val="00647A93"/>
    <w:rsid w:val="0065099D"/>
    <w:rsid w:val="00651757"/>
    <w:rsid w:val="006518BD"/>
    <w:rsid w:val="00651E46"/>
    <w:rsid w:val="00651F71"/>
    <w:rsid w:val="00651FFA"/>
    <w:rsid w:val="006534BC"/>
    <w:rsid w:val="006539F0"/>
    <w:rsid w:val="00653A07"/>
    <w:rsid w:val="00653B9C"/>
    <w:rsid w:val="00653C24"/>
    <w:rsid w:val="00655117"/>
    <w:rsid w:val="006562C9"/>
    <w:rsid w:val="006576A0"/>
    <w:rsid w:val="00660B8F"/>
    <w:rsid w:val="006612C6"/>
    <w:rsid w:val="006616E0"/>
    <w:rsid w:val="00661AFE"/>
    <w:rsid w:val="0066245F"/>
    <w:rsid w:val="00662698"/>
    <w:rsid w:val="006647A1"/>
    <w:rsid w:val="00664A70"/>
    <w:rsid w:val="00664A95"/>
    <w:rsid w:val="0067195B"/>
    <w:rsid w:val="00672499"/>
    <w:rsid w:val="00672A69"/>
    <w:rsid w:val="006730FA"/>
    <w:rsid w:val="006737D2"/>
    <w:rsid w:val="00673F6C"/>
    <w:rsid w:val="00675ADF"/>
    <w:rsid w:val="006766F5"/>
    <w:rsid w:val="0067712D"/>
    <w:rsid w:val="006778F3"/>
    <w:rsid w:val="00680F19"/>
    <w:rsid w:val="0068134B"/>
    <w:rsid w:val="00681B86"/>
    <w:rsid w:val="006830C0"/>
    <w:rsid w:val="00683B2C"/>
    <w:rsid w:val="00683DE6"/>
    <w:rsid w:val="00683F39"/>
    <w:rsid w:val="0068441F"/>
    <w:rsid w:val="006847FA"/>
    <w:rsid w:val="00684F6A"/>
    <w:rsid w:val="0068631A"/>
    <w:rsid w:val="00690CD4"/>
    <w:rsid w:val="00690F5B"/>
    <w:rsid w:val="00690F73"/>
    <w:rsid w:val="006916E9"/>
    <w:rsid w:val="00691AE4"/>
    <w:rsid w:val="00691C0A"/>
    <w:rsid w:val="0069306A"/>
    <w:rsid w:val="0069383A"/>
    <w:rsid w:val="0069485C"/>
    <w:rsid w:val="00694998"/>
    <w:rsid w:val="00696315"/>
    <w:rsid w:val="006963CD"/>
    <w:rsid w:val="006966BA"/>
    <w:rsid w:val="00696782"/>
    <w:rsid w:val="00696C72"/>
    <w:rsid w:val="00696CA1"/>
    <w:rsid w:val="006A01E4"/>
    <w:rsid w:val="006A022F"/>
    <w:rsid w:val="006A09B4"/>
    <w:rsid w:val="006A1EBF"/>
    <w:rsid w:val="006A2114"/>
    <w:rsid w:val="006A46EF"/>
    <w:rsid w:val="006A49C0"/>
    <w:rsid w:val="006A4BCD"/>
    <w:rsid w:val="006A50B9"/>
    <w:rsid w:val="006A556C"/>
    <w:rsid w:val="006A5B51"/>
    <w:rsid w:val="006A62FB"/>
    <w:rsid w:val="006A7E0C"/>
    <w:rsid w:val="006B0CEC"/>
    <w:rsid w:val="006B0D46"/>
    <w:rsid w:val="006B209F"/>
    <w:rsid w:val="006B25B6"/>
    <w:rsid w:val="006B28A9"/>
    <w:rsid w:val="006B2A7E"/>
    <w:rsid w:val="006B3181"/>
    <w:rsid w:val="006B3244"/>
    <w:rsid w:val="006B41F0"/>
    <w:rsid w:val="006B59DA"/>
    <w:rsid w:val="006C02C1"/>
    <w:rsid w:val="006C0884"/>
    <w:rsid w:val="006C1D7B"/>
    <w:rsid w:val="006C1F10"/>
    <w:rsid w:val="006C25EA"/>
    <w:rsid w:val="006C289B"/>
    <w:rsid w:val="006C2B68"/>
    <w:rsid w:val="006C3E36"/>
    <w:rsid w:val="006C3EFC"/>
    <w:rsid w:val="006C4041"/>
    <w:rsid w:val="006C4AA1"/>
    <w:rsid w:val="006C4C62"/>
    <w:rsid w:val="006C54E9"/>
    <w:rsid w:val="006C6022"/>
    <w:rsid w:val="006C606F"/>
    <w:rsid w:val="006D26CE"/>
    <w:rsid w:val="006D2702"/>
    <w:rsid w:val="006D31CC"/>
    <w:rsid w:val="006D622D"/>
    <w:rsid w:val="006D6326"/>
    <w:rsid w:val="006D694B"/>
    <w:rsid w:val="006D797F"/>
    <w:rsid w:val="006D7F1F"/>
    <w:rsid w:val="006E0AC8"/>
    <w:rsid w:val="006E13C4"/>
    <w:rsid w:val="006E2B9B"/>
    <w:rsid w:val="006E3028"/>
    <w:rsid w:val="006E33DC"/>
    <w:rsid w:val="006E3628"/>
    <w:rsid w:val="006E3652"/>
    <w:rsid w:val="006E3F69"/>
    <w:rsid w:val="006E43D5"/>
    <w:rsid w:val="006E44D0"/>
    <w:rsid w:val="006E4A06"/>
    <w:rsid w:val="006E5575"/>
    <w:rsid w:val="006E573D"/>
    <w:rsid w:val="006E5AA3"/>
    <w:rsid w:val="006E5E28"/>
    <w:rsid w:val="006E60ED"/>
    <w:rsid w:val="006E60F4"/>
    <w:rsid w:val="006E6574"/>
    <w:rsid w:val="006E6776"/>
    <w:rsid w:val="006E7016"/>
    <w:rsid w:val="006E7A36"/>
    <w:rsid w:val="006F0D75"/>
    <w:rsid w:val="006F113A"/>
    <w:rsid w:val="006F143B"/>
    <w:rsid w:val="006F1470"/>
    <w:rsid w:val="006F1BAB"/>
    <w:rsid w:val="006F1D38"/>
    <w:rsid w:val="006F20ED"/>
    <w:rsid w:val="006F2122"/>
    <w:rsid w:val="006F2308"/>
    <w:rsid w:val="006F27A9"/>
    <w:rsid w:val="006F3018"/>
    <w:rsid w:val="006F3882"/>
    <w:rsid w:val="006F3B3F"/>
    <w:rsid w:val="006F3BDF"/>
    <w:rsid w:val="006F414B"/>
    <w:rsid w:val="006F6127"/>
    <w:rsid w:val="006F614B"/>
    <w:rsid w:val="006F63AC"/>
    <w:rsid w:val="006F7AD4"/>
    <w:rsid w:val="007004DF"/>
    <w:rsid w:val="00701056"/>
    <w:rsid w:val="0070175A"/>
    <w:rsid w:val="007020D6"/>
    <w:rsid w:val="0070315F"/>
    <w:rsid w:val="007031D8"/>
    <w:rsid w:val="00705868"/>
    <w:rsid w:val="0070638C"/>
    <w:rsid w:val="00707207"/>
    <w:rsid w:val="0070789C"/>
    <w:rsid w:val="00707F4C"/>
    <w:rsid w:val="00710A14"/>
    <w:rsid w:val="007119CA"/>
    <w:rsid w:val="00711B52"/>
    <w:rsid w:val="00711F9C"/>
    <w:rsid w:val="00712176"/>
    <w:rsid w:val="00712317"/>
    <w:rsid w:val="00712CE9"/>
    <w:rsid w:val="00714CF2"/>
    <w:rsid w:val="007156B9"/>
    <w:rsid w:val="00720817"/>
    <w:rsid w:val="007210F5"/>
    <w:rsid w:val="0072137F"/>
    <w:rsid w:val="007216FB"/>
    <w:rsid w:val="00721D95"/>
    <w:rsid w:val="007223AA"/>
    <w:rsid w:val="007225E1"/>
    <w:rsid w:val="00722850"/>
    <w:rsid w:val="00722B3D"/>
    <w:rsid w:val="00722FD0"/>
    <w:rsid w:val="007243EA"/>
    <w:rsid w:val="007256FA"/>
    <w:rsid w:val="00725700"/>
    <w:rsid w:val="00725FD7"/>
    <w:rsid w:val="0072601F"/>
    <w:rsid w:val="007306AC"/>
    <w:rsid w:val="007307E8"/>
    <w:rsid w:val="00730EE4"/>
    <w:rsid w:val="00731463"/>
    <w:rsid w:val="007317D4"/>
    <w:rsid w:val="00731FEB"/>
    <w:rsid w:val="00732C0A"/>
    <w:rsid w:val="0073353F"/>
    <w:rsid w:val="00733608"/>
    <w:rsid w:val="007336FB"/>
    <w:rsid w:val="00733BBC"/>
    <w:rsid w:val="007345A7"/>
    <w:rsid w:val="007349BF"/>
    <w:rsid w:val="007351C7"/>
    <w:rsid w:val="007356A9"/>
    <w:rsid w:val="00735A91"/>
    <w:rsid w:val="00736259"/>
    <w:rsid w:val="00736768"/>
    <w:rsid w:val="00736C30"/>
    <w:rsid w:val="00736D0B"/>
    <w:rsid w:val="00737123"/>
    <w:rsid w:val="007378CE"/>
    <w:rsid w:val="00737971"/>
    <w:rsid w:val="00740E08"/>
    <w:rsid w:val="007417E9"/>
    <w:rsid w:val="0074269C"/>
    <w:rsid w:val="00742BC8"/>
    <w:rsid w:val="00742E45"/>
    <w:rsid w:val="007438DF"/>
    <w:rsid w:val="007442A5"/>
    <w:rsid w:val="007447AF"/>
    <w:rsid w:val="007455B6"/>
    <w:rsid w:val="0074675A"/>
    <w:rsid w:val="00746A62"/>
    <w:rsid w:val="00747C30"/>
    <w:rsid w:val="00750816"/>
    <w:rsid w:val="007529E4"/>
    <w:rsid w:val="00753D52"/>
    <w:rsid w:val="00755BE2"/>
    <w:rsid w:val="007561DD"/>
    <w:rsid w:val="00756672"/>
    <w:rsid w:val="00756FB5"/>
    <w:rsid w:val="0076007E"/>
    <w:rsid w:val="00761B30"/>
    <w:rsid w:val="00761B3D"/>
    <w:rsid w:val="00761E68"/>
    <w:rsid w:val="00762F6E"/>
    <w:rsid w:val="007631B3"/>
    <w:rsid w:val="007641CE"/>
    <w:rsid w:val="0076438C"/>
    <w:rsid w:val="0076508B"/>
    <w:rsid w:val="007657C1"/>
    <w:rsid w:val="00765DBA"/>
    <w:rsid w:val="007660BE"/>
    <w:rsid w:val="00766361"/>
    <w:rsid w:val="0076658F"/>
    <w:rsid w:val="00770720"/>
    <w:rsid w:val="00770ABD"/>
    <w:rsid w:val="00770B69"/>
    <w:rsid w:val="00771858"/>
    <w:rsid w:val="00771A87"/>
    <w:rsid w:val="007727FC"/>
    <w:rsid w:val="00772991"/>
    <w:rsid w:val="007737B6"/>
    <w:rsid w:val="00774735"/>
    <w:rsid w:val="00774D29"/>
    <w:rsid w:val="00775210"/>
    <w:rsid w:val="00775463"/>
    <w:rsid w:val="007756FD"/>
    <w:rsid w:val="0077755F"/>
    <w:rsid w:val="007815A7"/>
    <w:rsid w:val="0078185E"/>
    <w:rsid w:val="00781A9E"/>
    <w:rsid w:val="00782006"/>
    <w:rsid w:val="00783BF3"/>
    <w:rsid w:val="00784AC1"/>
    <w:rsid w:val="00785C57"/>
    <w:rsid w:val="00785EDC"/>
    <w:rsid w:val="00786F97"/>
    <w:rsid w:val="00787150"/>
    <w:rsid w:val="0078778B"/>
    <w:rsid w:val="00787E7D"/>
    <w:rsid w:val="00790F4A"/>
    <w:rsid w:val="0079192C"/>
    <w:rsid w:val="00791C10"/>
    <w:rsid w:val="00791C24"/>
    <w:rsid w:val="0079208E"/>
    <w:rsid w:val="00792F2F"/>
    <w:rsid w:val="00793665"/>
    <w:rsid w:val="00793810"/>
    <w:rsid w:val="0079406D"/>
    <w:rsid w:val="00794B89"/>
    <w:rsid w:val="00795201"/>
    <w:rsid w:val="00795AAA"/>
    <w:rsid w:val="0079649F"/>
    <w:rsid w:val="00796A07"/>
    <w:rsid w:val="007973BB"/>
    <w:rsid w:val="007A02CE"/>
    <w:rsid w:val="007A0BD2"/>
    <w:rsid w:val="007A153B"/>
    <w:rsid w:val="007A1BD6"/>
    <w:rsid w:val="007A2105"/>
    <w:rsid w:val="007A2449"/>
    <w:rsid w:val="007A2B6C"/>
    <w:rsid w:val="007A2BE0"/>
    <w:rsid w:val="007A2D88"/>
    <w:rsid w:val="007A2DD4"/>
    <w:rsid w:val="007A3F23"/>
    <w:rsid w:val="007A4046"/>
    <w:rsid w:val="007A406D"/>
    <w:rsid w:val="007A41A8"/>
    <w:rsid w:val="007A4B89"/>
    <w:rsid w:val="007A4D26"/>
    <w:rsid w:val="007A58E2"/>
    <w:rsid w:val="007A62B0"/>
    <w:rsid w:val="007A7C21"/>
    <w:rsid w:val="007A7D7C"/>
    <w:rsid w:val="007B0512"/>
    <w:rsid w:val="007B0732"/>
    <w:rsid w:val="007B0E39"/>
    <w:rsid w:val="007B14B4"/>
    <w:rsid w:val="007B14D6"/>
    <w:rsid w:val="007B1ADC"/>
    <w:rsid w:val="007B206D"/>
    <w:rsid w:val="007B2DB7"/>
    <w:rsid w:val="007B3F8A"/>
    <w:rsid w:val="007B4559"/>
    <w:rsid w:val="007B5A93"/>
    <w:rsid w:val="007B61B5"/>
    <w:rsid w:val="007B637B"/>
    <w:rsid w:val="007B691C"/>
    <w:rsid w:val="007B76CD"/>
    <w:rsid w:val="007B7B74"/>
    <w:rsid w:val="007C0025"/>
    <w:rsid w:val="007C0A77"/>
    <w:rsid w:val="007C149D"/>
    <w:rsid w:val="007C26C9"/>
    <w:rsid w:val="007C2FD5"/>
    <w:rsid w:val="007C3C00"/>
    <w:rsid w:val="007C41C9"/>
    <w:rsid w:val="007C499A"/>
    <w:rsid w:val="007C4A1A"/>
    <w:rsid w:val="007C4E7B"/>
    <w:rsid w:val="007C500F"/>
    <w:rsid w:val="007C583D"/>
    <w:rsid w:val="007C5A0C"/>
    <w:rsid w:val="007C5AB9"/>
    <w:rsid w:val="007C5FD3"/>
    <w:rsid w:val="007C6353"/>
    <w:rsid w:val="007C6E48"/>
    <w:rsid w:val="007D015D"/>
    <w:rsid w:val="007D0341"/>
    <w:rsid w:val="007D03F4"/>
    <w:rsid w:val="007D133E"/>
    <w:rsid w:val="007D1983"/>
    <w:rsid w:val="007D209B"/>
    <w:rsid w:val="007D2E54"/>
    <w:rsid w:val="007D36CD"/>
    <w:rsid w:val="007D36E5"/>
    <w:rsid w:val="007D385D"/>
    <w:rsid w:val="007D4E45"/>
    <w:rsid w:val="007D51E3"/>
    <w:rsid w:val="007D64D6"/>
    <w:rsid w:val="007D6B03"/>
    <w:rsid w:val="007D6B5A"/>
    <w:rsid w:val="007D7040"/>
    <w:rsid w:val="007E04BE"/>
    <w:rsid w:val="007E078B"/>
    <w:rsid w:val="007E0938"/>
    <w:rsid w:val="007E0FEE"/>
    <w:rsid w:val="007E1348"/>
    <w:rsid w:val="007E14FC"/>
    <w:rsid w:val="007E1819"/>
    <w:rsid w:val="007E23B5"/>
    <w:rsid w:val="007E3DAB"/>
    <w:rsid w:val="007E4270"/>
    <w:rsid w:val="007E43C3"/>
    <w:rsid w:val="007E48DA"/>
    <w:rsid w:val="007E4935"/>
    <w:rsid w:val="007E69AD"/>
    <w:rsid w:val="007F035C"/>
    <w:rsid w:val="007F1192"/>
    <w:rsid w:val="007F2017"/>
    <w:rsid w:val="007F23F8"/>
    <w:rsid w:val="007F4A70"/>
    <w:rsid w:val="007F7871"/>
    <w:rsid w:val="0080095B"/>
    <w:rsid w:val="00801509"/>
    <w:rsid w:val="008033AC"/>
    <w:rsid w:val="0080390E"/>
    <w:rsid w:val="00804AA0"/>
    <w:rsid w:val="00804FE8"/>
    <w:rsid w:val="0080659A"/>
    <w:rsid w:val="00806834"/>
    <w:rsid w:val="00806B27"/>
    <w:rsid w:val="00806EF2"/>
    <w:rsid w:val="0081008D"/>
    <w:rsid w:val="00810296"/>
    <w:rsid w:val="00810723"/>
    <w:rsid w:val="00812382"/>
    <w:rsid w:val="00812C49"/>
    <w:rsid w:val="00813707"/>
    <w:rsid w:val="00813936"/>
    <w:rsid w:val="00813C0B"/>
    <w:rsid w:val="0081564F"/>
    <w:rsid w:val="00815672"/>
    <w:rsid w:val="008159BA"/>
    <w:rsid w:val="008159CF"/>
    <w:rsid w:val="0081600A"/>
    <w:rsid w:val="00816E05"/>
    <w:rsid w:val="00816F6A"/>
    <w:rsid w:val="00817459"/>
    <w:rsid w:val="008175CA"/>
    <w:rsid w:val="00817C95"/>
    <w:rsid w:val="008206FF"/>
    <w:rsid w:val="00820C58"/>
    <w:rsid w:val="0082142C"/>
    <w:rsid w:val="00821475"/>
    <w:rsid w:val="00821CCD"/>
    <w:rsid w:val="008233DF"/>
    <w:rsid w:val="00823FA0"/>
    <w:rsid w:val="00824038"/>
    <w:rsid w:val="00826129"/>
    <w:rsid w:val="0082673A"/>
    <w:rsid w:val="008268E5"/>
    <w:rsid w:val="008308E4"/>
    <w:rsid w:val="00830B26"/>
    <w:rsid w:val="00831001"/>
    <w:rsid w:val="00831264"/>
    <w:rsid w:val="008312E0"/>
    <w:rsid w:val="00831FB5"/>
    <w:rsid w:val="008339BB"/>
    <w:rsid w:val="00833D08"/>
    <w:rsid w:val="00834206"/>
    <w:rsid w:val="00835521"/>
    <w:rsid w:val="00836927"/>
    <w:rsid w:val="00837A62"/>
    <w:rsid w:val="0084095F"/>
    <w:rsid w:val="0084110A"/>
    <w:rsid w:val="00842C14"/>
    <w:rsid w:val="00842E6A"/>
    <w:rsid w:val="00843B21"/>
    <w:rsid w:val="008447D8"/>
    <w:rsid w:val="00844F3A"/>
    <w:rsid w:val="008456BB"/>
    <w:rsid w:val="0084593D"/>
    <w:rsid w:val="00847348"/>
    <w:rsid w:val="00847617"/>
    <w:rsid w:val="00847A39"/>
    <w:rsid w:val="00850CC5"/>
    <w:rsid w:val="00850F61"/>
    <w:rsid w:val="00851FF2"/>
    <w:rsid w:val="00852707"/>
    <w:rsid w:val="00852B41"/>
    <w:rsid w:val="00852C31"/>
    <w:rsid w:val="00853832"/>
    <w:rsid w:val="00853F93"/>
    <w:rsid w:val="00854051"/>
    <w:rsid w:val="00854465"/>
    <w:rsid w:val="008552B3"/>
    <w:rsid w:val="008555F0"/>
    <w:rsid w:val="00857354"/>
    <w:rsid w:val="008600E4"/>
    <w:rsid w:val="00860AF3"/>
    <w:rsid w:val="00860FE9"/>
    <w:rsid w:val="00861311"/>
    <w:rsid w:val="00861792"/>
    <w:rsid w:val="00863B1A"/>
    <w:rsid w:val="0086419A"/>
    <w:rsid w:val="00864D84"/>
    <w:rsid w:val="0086568A"/>
    <w:rsid w:val="00865965"/>
    <w:rsid w:val="00865FE3"/>
    <w:rsid w:val="00867820"/>
    <w:rsid w:val="00867BA2"/>
    <w:rsid w:val="0087023B"/>
    <w:rsid w:val="00870BE4"/>
    <w:rsid w:val="008712A1"/>
    <w:rsid w:val="008715C8"/>
    <w:rsid w:val="00871FAC"/>
    <w:rsid w:val="008724D6"/>
    <w:rsid w:val="0087258C"/>
    <w:rsid w:val="00872B82"/>
    <w:rsid w:val="00873B6B"/>
    <w:rsid w:val="00873C2A"/>
    <w:rsid w:val="00874949"/>
    <w:rsid w:val="00875EDA"/>
    <w:rsid w:val="00876556"/>
    <w:rsid w:val="00876615"/>
    <w:rsid w:val="008767A3"/>
    <w:rsid w:val="00876C8A"/>
    <w:rsid w:val="0087794F"/>
    <w:rsid w:val="008800D4"/>
    <w:rsid w:val="008815FE"/>
    <w:rsid w:val="008836B7"/>
    <w:rsid w:val="0088510D"/>
    <w:rsid w:val="008861F7"/>
    <w:rsid w:val="0088631F"/>
    <w:rsid w:val="0088721E"/>
    <w:rsid w:val="00890303"/>
    <w:rsid w:val="008905E5"/>
    <w:rsid w:val="008907F2"/>
    <w:rsid w:val="00890AFE"/>
    <w:rsid w:val="0089184C"/>
    <w:rsid w:val="00892451"/>
    <w:rsid w:val="00892733"/>
    <w:rsid w:val="00893B4E"/>
    <w:rsid w:val="008949C4"/>
    <w:rsid w:val="00894D51"/>
    <w:rsid w:val="00895133"/>
    <w:rsid w:val="008957EF"/>
    <w:rsid w:val="00895C5D"/>
    <w:rsid w:val="00897075"/>
    <w:rsid w:val="0089733B"/>
    <w:rsid w:val="008976C1"/>
    <w:rsid w:val="00897FE9"/>
    <w:rsid w:val="008A087B"/>
    <w:rsid w:val="008A08BF"/>
    <w:rsid w:val="008A179F"/>
    <w:rsid w:val="008A1E46"/>
    <w:rsid w:val="008A1F7E"/>
    <w:rsid w:val="008A298D"/>
    <w:rsid w:val="008A2C77"/>
    <w:rsid w:val="008A31B2"/>
    <w:rsid w:val="008A3750"/>
    <w:rsid w:val="008A3BCD"/>
    <w:rsid w:val="008A3ECB"/>
    <w:rsid w:val="008A4925"/>
    <w:rsid w:val="008A4B92"/>
    <w:rsid w:val="008A501F"/>
    <w:rsid w:val="008A6E03"/>
    <w:rsid w:val="008B021A"/>
    <w:rsid w:val="008B0864"/>
    <w:rsid w:val="008B0DEA"/>
    <w:rsid w:val="008B0F1C"/>
    <w:rsid w:val="008B10FA"/>
    <w:rsid w:val="008B175A"/>
    <w:rsid w:val="008B21B1"/>
    <w:rsid w:val="008B247B"/>
    <w:rsid w:val="008B247D"/>
    <w:rsid w:val="008B3B71"/>
    <w:rsid w:val="008B4388"/>
    <w:rsid w:val="008B447E"/>
    <w:rsid w:val="008B44AC"/>
    <w:rsid w:val="008B45FD"/>
    <w:rsid w:val="008B51CF"/>
    <w:rsid w:val="008B5C8F"/>
    <w:rsid w:val="008B5E01"/>
    <w:rsid w:val="008B5FC3"/>
    <w:rsid w:val="008B73FC"/>
    <w:rsid w:val="008C00F8"/>
    <w:rsid w:val="008C02A8"/>
    <w:rsid w:val="008C0380"/>
    <w:rsid w:val="008C04DD"/>
    <w:rsid w:val="008C2A4B"/>
    <w:rsid w:val="008C35F3"/>
    <w:rsid w:val="008C3CB7"/>
    <w:rsid w:val="008C3D8B"/>
    <w:rsid w:val="008C4426"/>
    <w:rsid w:val="008C54AD"/>
    <w:rsid w:val="008C5D2F"/>
    <w:rsid w:val="008C6E9C"/>
    <w:rsid w:val="008C7413"/>
    <w:rsid w:val="008C790E"/>
    <w:rsid w:val="008D0975"/>
    <w:rsid w:val="008D0A35"/>
    <w:rsid w:val="008D16B7"/>
    <w:rsid w:val="008D2938"/>
    <w:rsid w:val="008D30E1"/>
    <w:rsid w:val="008D664C"/>
    <w:rsid w:val="008D6C93"/>
    <w:rsid w:val="008D7DC7"/>
    <w:rsid w:val="008E0449"/>
    <w:rsid w:val="008E16D6"/>
    <w:rsid w:val="008E1A5C"/>
    <w:rsid w:val="008E232C"/>
    <w:rsid w:val="008E2CD2"/>
    <w:rsid w:val="008E316F"/>
    <w:rsid w:val="008E41ED"/>
    <w:rsid w:val="008E4515"/>
    <w:rsid w:val="008E5715"/>
    <w:rsid w:val="008E6AE6"/>
    <w:rsid w:val="008F003B"/>
    <w:rsid w:val="008F0116"/>
    <w:rsid w:val="008F0519"/>
    <w:rsid w:val="008F143D"/>
    <w:rsid w:val="008F187E"/>
    <w:rsid w:val="008F2384"/>
    <w:rsid w:val="008F317B"/>
    <w:rsid w:val="008F3B98"/>
    <w:rsid w:val="008F418C"/>
    <w:rsid w:val="008F4522"/>
    <w:rsid w:val="008F485C"/>
    <w:rsid w:val="008F566D"/>
    <w:rsid w:val="008F5817"/>
    <w:rsid w:val="00902554"/>
    <w:rsid w:val="00902F9C"/>
    <w:rsid w:val="00904A6E"/>
    <w:rsid w:val="00904AA8"/>
    <w:rsid w:val="00906765"/>
    <w:rsid w:val="00906F3E"/>
    <w:rsid w:val="00907769"/>
    <w:rsid w:val="009079BC"/>
    <w:rsid w:val="00907F2C"/>
    <w:rsid w:val="00910ABC"/>
    <w:rsid w:val="00911211"/>
    <w:rsid w:val="0091217C"/>
    <w:rsid w:val="00912B3B"/>
    <w:rsid w:val="00912C8B"/>
    <w:rsid w:val="0091353F"/>
    <w:rsid w:val="009139CE"/>
    <w:rsid w:val="00914EB5"/>
    <w:rsid w:val="00915C00"/>
    <w:rsid w:val="00916362"/>
    <w:rsid w:val="00916A37"/>
    <w:rsid w:val="00917311"/>
    <w:rsid w:val="00917CA2"/>
    <w:rsid w:val="0092011E"/>
    <w:rsid w:val="009206DB"/>
    <w:rsid w:val="00920E33"/>
    <w:rsid w:val="00921925"/>
    <w:rsid w:val="00921993"/>
    <w:rsid w:val="009222D6"/>
    <w:rsid w:val="00922795"/>
    <w:rsid w:val="00922DD3"/>
    <w:rsid w:val="00922DD5"/>
    <w:rsid w:val="009238D6"/>
    <w:rsid w:val="009240ED"/>
    <w:rsid w:val="00924975"/>
    <w:rsid w:val="00924D43"/>
    <w:rsid w:val="00924E89"/>
    <w:rsid w:val="009262C9"/>
    <w:rsid w:val="00926E7C"/>
    <w:rsid w:val="00927CF0"/>
    <w:rsid w:val="00930D01"/>
    <w:rsid w:val="009311E8"/>
    <w:rsid w:val="00931842"/>
    <w:rsid w:val="009327B5"/>
    <w:rsid w:val="00932865"/>
    <w:rsid w:val="00934A93"/>
    <w:rsid w:val="0093629D"/>
    <w:rsid w:val="00936BF3"/>
    <w:rsid w:val="00936DE7"/>
    <w:rsid w:val="00937A3E"/>
    <w:rsid w:val="00941250"/>
    <w:rsid w:val="00941749"/>
    <w:rsid w:val="00942DED"/>
    <w:rsid w:val="00943022"/>
    <w:rsid w:val="00943CB9"/>
    <w:rsid w:val="009451B6"/>
    <w:rsid w:val="009472C4"/>
    <w:rsid w:val="00950597"/>
    <w:rsid w:val="00951360"/>
    <w:rsid w:val="00951491"/>
    <w:rsid w:val="00951A2F"/>
    <w:rsid w:val="00951DAA"/>
    <w:rsid w:val="00953AFB"/>
    <w:rsid w:val="00953B48"/>
    <w:rsid w:val="00953BC3"/>
    <w:rsid w:val="0095451D"/>
    <w:rsid w:val="00954778"/>
    <w:rsid w:val="009547FF"/>
    <w:rsid w:val="0095487E"/>
    <w:rsid w:val="009549B3"/>
    <w:rsid w:val="00954AA9"/>
    <w:rsid w:val="00955E59"/>
    <w:rsid w:val="00956E6D"/>
    <w:rsid w:val="00960304"/>
    <w:rsid w:val="0096107A"/>
    <w:rsid w:val="0096210B"/>
    <w:rsid w:val="00962F52"/>
    <w:rsid w:val="00963048"/>
    <w:rsid w:val="00963148"/>
    <w:rsid w:val="0096329D"/>
    <w:rsid w:val="009636AA"/>
    <w:rsid w:val="0096438B"/>
    <w:rsid w:val="00965E2A"/>
    <w:rsid w:val="009662A6"/>
    <w:rsid w:val="00967927"/>
    <w:rsid w:val="00967C69"/>
    <w:rsid w:val="00967CE9"/>
    <w:rsid w:val="009707B2"/>
    <w:rsid w:val="0097092B"/>
    <w:rsid w:val="00970D9E"/>
    <w:rsid w:val="00971493"/>
    <w:rsid w:val="00972130"/>
    <w:rsid w:val="00972608"/>
    <w:rsid w:val="00973298"/>
    <w:rsid w:val="00976186"/>
    <w:rsid w:val="00976B0F"/>
    <w:rsid w:val="00977972"/>
    <w:rsid w:val="00980356"/>
    <w:rsid w:val="0098055C"/>
    <w:rsid w:val="00980CC1"/>
    <w:rsid w:val="0098138E"/>
    <w:rsid w:val="00982711"/>
    <w:rsid w:val="00983BEE"/>
    <w:rsid w:val="00984055"/>
    <w:rsid w:val="00984090"/>
    <w:rsid w:val="00984DD8"/>
    <w:rsid w:val="009853EF"/>
    <w:rsid w:val="009862A1"/>
    <w:rsid w:val="0098655A"/>
    <w:rsid w:val="00986C2C"/>
    <w:rsid w:val="009873B8"/>
    <w:rsid w:val="00987505"/>
    <w:rsid w:val="00987CFF"/>
    <w:rsid w:val="009901B4"/>
    <w:rsid w:val="00991538"/>
    <w:rsid w:val="00991E14"/>
    <w:rsid w:val="00992DCE"/>
    <w:rsid w:val="00992FA9"/>
    <w:rsid w:val="00994464"/>
    <w:rsid w:val="00994FA5"/>
    <w:rsid w:val="0099590F"/>
    <w:rsid w:val="00995BE8"/>
    <w:rsid w:val="00996224"/>
    <w:rsid w:val="009979AF"/>
    <w:rsid w:val="00997C02"/>
    <w:rsid w:val="009A032F"/>
    <w:rsid w:val="009A0C11"/>
    <w:rsid w:val="009A11F0"/>
    <w:rsid w:val="009A12BE"/>
    <w:rsid w:val="009A1BC6"/>
    <w:rsid w:val="009A2132"/>
    <w:rsid w:val="009A38A5"/>
    <w:rsid w:val="009A46F0"/>
    <w:rsid w:val="009A4AC4"/>
    <w:rsid w:val="009A52B8"/>
    <w:rsid w:val="009A5EC8"/>
    <w:rsid w:val="009A5FB4"/>
    <w:rsid w:val="009A6E36"/>
    <w:rsid w:val="009A7320"/>
    <w:rsid w:val="009A7467"/>
    <w:rsid w:val="009A7B57"/>
    <w:rsid w:val="009A7D03"/>
    <w:rsid w:val="009B08FE"/>
    <w:rsid w:val="009B189B"/>
    <w:rsid w:val="009B2F50"/>
    <w:rsid w:val="009B3324"/>
    <w:rsid w:val="009B33FA"/>
    <w:rsid w:val="009B3DF5"/>
    <w:rsid w:val="009B5AE7"/>
    <w:rsid w:val="009B5D77"/>
    <w:rsid w:val="009B781B"/>
    <w:rsid w:val="009B7CE8"/>
    <w:rsid w:val="009C1DD0"/>
    <w:rsid w:val="009C4628"/>
    <w:rsid w:val="009C48E4"/>
    <w:rsid w:val="009C6DD2"/>
    <w:rsid w:val="009C7B43"/>
    <w:rsid w:val="009D0F47"/>
    <w:rsid w:val="009D1E5B"/>
    <w:rsid w:val="009D28CE"/>
    <w:rsid w:val="009D2BF9"/>
    <w:rsid w:val="009D3B73"/>
    <w:rsid w:val="009D4DE3"/>
    <w:rsid w:val="009D4E69"/>
    <w:rsid w:val="009D5A15"/>
    <w:rsid w:val="009D5B8F"/>
    <w:rsid w:val="009D69CA"/>
    <w:rsid w:val="009D6D30"/>
    <w:rsid w:val="009D6D49"/>
    <w:rsid w:val="009D7009"/>
    <w:rsid w:val="009E04F0"/>
    <w:rsid w:val="009E1380"/>
    <w:rsid w:val="009E19B8"/>
    <w:rsid w:val="009E2233"/>
    <w:rsid w:val="009E2F97"/>
    <w:rsid w:val="009E3398"/>
    <w:rsid w:val="009E3D2D"/>
    <w:rsid w:val="009E470C"/>
    <w:rsid w:val="009E4E98"/>
    <w:rsid w:val="009E5733"/>
    <w:rsid w:val="009E5B6F"/>
    <w:rsid w:val="009E6052"/>
    <w:rsid w:val="009E713D"/>
    <w:rsid w:val="009E751F"/>
    <w:rsid w:val="009E7C7F"/>
    <w:rsid w:val="009F0546"/>
    <w:rsid w:val="009F0C6E"/>
    <w:rsid w:val="009F0E65"/>
    <w:rsid w:val="009F222E"/>
    <w:rsid w:val="009F3637"/>
    <w:rsid w:val="009F3FED"/>
    <w:rsid w:val="009F4143"/>
    <w:rsid w:val="009F41CA"/>
    <w:rsid w:val="009F42C3"/>
    <w:rsid w:val="009F55CD"/>
    <w:rsid w:val="009F5FB8"/>
    <w:rsid w:val="00A009C1"/>
    <w:rsid w:val="00A013A2"/>
    <w:rsid w:val="00A022F6"/>
    <w:rsid w:val="00A02373"/>
    <w:rsid w:val="00A02F73"/>
    <w:rsid w:val="00A031F1"/>
    <w:rsid w:val="00A03796"/>
    <w:rsid w:val="00A03A64"/>
    <w:rsid w:val="00A03A95"/>
    <w:rsid w:val="00A044DF"/>
    <w:rsid w:val="00A04797"/>
    <w:rsid w:val="00A048CA"/>
    <w:rsid w:val="00A04AA6"/>
    <w:rsid w:val="00A04D5E"/>
    <w:rsid w:val="00A05130"/>
    <w:rsid w:val="00A0634D"/>
    <w:rsid w:val="00A064C4"/>
    <w:rsid w:val="00A07580"/>
    <w:rsid w:val="00A10A7D"/>
    <w:rsid w:val="00A11CC0"/>
    <w:rsid w:val="00A12686"/>
    <w:rsid w:val="00A1343C"/>
    <w:rsid w:val="00A14CBB"/>
    <w:rsid w:val="00A154F3"/>
    <w:rsid w:val="00A17083"/>
    <w:rsid w:val="00A17161"/>
    <w:rsid w:val="00A1740C"/>
    <w:rsid w:val="00A17CE0"/>
    <w:rsid w:val="00A20612"/>
    <w:rsid w:val="00A2097D"/>
    <w:rsid w:val="00A21639"/>
    <w:rsid w:val="00A23075"/>
    <w:rsid w:val="00A23149"/>
    <w:rsid w:val="00A236FB"/>
    <w:rsid w:val="00A23D48"/>
    <w:rsid w:val="00A25254"/>
    <w:rsid w:val="00A25D03"/>
    <w:rsid w:val="00A25E67"/>
    <w:rsid w:val="00A26E70"/>
    <w:rsid w:val="00A30042"/>
    <w:rsid w:val="00A30AA9"/>
    <w:rsid w:val="00A30BC0"/>
    <w:rsid w:val="00A32A37"/>
    <w:rsid w:val="00A32BC2"/>
    <w:rsid w:val="00A32F41"/>
    <w:rsid w:val="00A33C90"/>
    <w:rsid w:val="00A34F52"/>
    <w:rsid w:val="00A34FE8"/>
    <w:rsid w:val="00A35086"/>
    <w:rsid w:val="00A35EA5"/>
    <w:rsid w:val="00A362BC"/>
    <w:rsid w:val="00A36F13"/>
    <w:rsid w:val="00A374B9"/>
    <w:rsid w:val="00A375E6"/>
    <w:rsid w:val="00A37E88"/>
    <w:rsid w:val="00A40B8D"/>
    <w:rsid w:val="00A4126D"/>
    <w:rsid w:val="00A41DA0"/>
    <w:rsid w:val="00A41ED7"/>
    <w:rsid w:val="00A42306"/>
    <w:rsid w:val="00A430C6"/>
    <w:rsid w:val="00A444C0"/>
    <w:rsid w:val="00A44E8D"/>
    <w:rsid w:val="00A4504E"/>
    <w:rsid w:val="00A450D7"/>
    <w:rsid w:val="00A453C1"/>
    <w:rsid w:val="00A46001"/>
    <w:rsid w:val="00A469DC"/>
    <w:rsid w:val="00A46EA8"/>
    <w:rsid w:val="00A50580"/>
    <w:rsid w:val="00A50B33"/>
    <w:rsid w:val="00A51B65"/>
    <w:rsid w:val="00A51CF8"/>
    <w:rsid w:val="00A52580"/>
    <w:rsid w:val="00A52623"/>
    <w:rsid w:val="00A52BA4"/>
    <w:rsid w:val="00A5337B"/>
    <w:rsid w:val="00A53A5E"/>
    <w:rsid w:val="00A5497F"/>
    <w:rsid w:val="00A55652"/>
    <w:rsid w:val="00A557CF"/>
    <w:rsid w:val="00A55ACD"/>
    <w:rsid w:val="00A56399"/>
    <w:rsid w:val="00A6100A"/>
    <w:rsid w:val="00A6127B"/>
    <w:rsid w:val="00A62A7F"/>
    <w:rsid w:val="00A64A72"/>
    <w:rsid w:val="00A65EC8"/>
    <w:rsid w:val="00A66758"/>
    <w:rsid w:val="00A66D75"/>
    <w:rsid w:val="00A6774D"/>
    <w:rsid w:val="00A702FC"/>
    <w:rsid w:val="00A70678"/>
    <w:rsid w:val="00A713E0"/>
    <w:rsid w:val="00A71E29"/>
    <w:rsid w:val="00A7297C"/>
    <w:rsid w:val="00A73EBD"/>
    <w:rsid w:val="00A749BE"/>
    <w:rsid w:val="00A75407"/>
    <w:rsid w:val="00A75A2A"/>
    <w:rsid w:val="00A7697D"/>
    <w:rsid w:val="00A769D4"/>
    <w:rsid w:val="00A76DB6"/>
    <w:rsid w:val="00A77B3A"/>
    <w:rsid w:val="00A81659"/>
    <w:rsid w:val="00A82A8B"/>
    <w:rsid w:val="00A83259"/>
    <w:rsid w:val="00A837C9"/>
    <w:rsid w:val="00A84865"/>
    <w:rsid w:val="00A85D27"/>
    <w:rsid w:val="00A85D75"/>
    <w:rsid w:val="00A860BB"/>
    <w:rsid w:val="00A860C9"/>
    <w:rsid w:val="00A8671D"/>
    <w:rsid w:val="00A86AA1"/>
    <w:rsid w:val="00A87B30"/>
    <w:rsid w:val="00A90505"/>
    <w:rsid w:val="00A93E4C"/>
    <w:rsid w:val="00A93F12"/>
    <w:rsid w:val="00A9442B"/>
    <w:rsid w:val="00A94FF4"/>
    <w:rsid w:val="00A950E6"/>
    <w:rsid w:val="00A95129"/>
    <w:rsid w:val="00A95862"/>
    <w:rsid w:val="00A968C8"/>
    <w:rsid w:val="00A96FD5"/>
    <w:rsid w:val="00A977D4"/>
    <w:rsid w:val="00A97B14"/>
    <w:rsid w:val="00AA0B14"/>
    <w:rsid w:val="00AA1910"/>
    <w:rsid w:val="00AA23DF"/>
    <w:rsid w:val="00AA26D8"/>
    <w:rsid w:val="00AA29F7"/>
    <w:rsid w:val="00AA2D9E"/>
    <w:rsid w:val="00AA377D"/>
    <w:rsid w:val="00AA3A9D"/>
    <w:rsid w:val="00AA3CE6"/>
    <w:rsid w:val="00AA494F"/>
    <w:rsid w:val="00AA5A09"/>
    <w:rsid w:val="00AA5A64"/>
    <w:rsid w:val="00AA5CD0"/>
    <w:rsid w:val="00AA6171"/>
    <w:rsid w:val="00AA776E"/>
    <w:rsid w:val="00AB0289"/>
    <w:rsid w:val="00AB0300"/>
    <w:rsid w:val="00AB0AAC"/>
    <w:rsid w:val="00AB1093"/>
    <w:rsid w:val="00AB14D3"/>
    <w:rsid w:val="00AB1BCB"/>
    <w:rsid w:val="00AB1ED7"/>
    <w:rsid w:val="00AB24D9"/>
    <w:rsid w:val="00AB257C"/>
    <w:rsid w:val="00AB2C4C"/>
    <w:rsid w:val="00AB3339"/>
    <w:rsid w:val="00AB39A8"/>
    <w:rsid w:val="00AB3BEA"/>
    <w:rsid w:val="00AB4321"/>
    <w:rsid w:val="00AB47C8"/>
    <w:rsid w:val="00AB4840"/>
    <w:rsid w:val="00AB5C6F"/>
    <w:rsid w:val="00AB5EE1"/>
    <w:rsid w:val="00AB6BE6"/>
    <w:rsid w:val="00AB6F5F"/>
    <w:rsid w:val="00AB7272"/>
    <w:rsid w:val="00AB7875"/>
    <w:rsid w:val="00AC0027"/>
    <w:rsid w:val="00AC04F5"/>
    <w:rsid w:val="00AC0CC2"/>
    <w:rsid w:val="00AC2BC6"/>
    <w:rsid w:val="00AC3258"/>
    <w:rsid w:val="00AC3D86"/>
    <w:rsid w:val="00AC443D"/>
    <w:rsid w:val="00AC5A5F"/>
    <w:rsid w:val="00AC65DF"/>
    <w:rsid w:val="00AC68EE"/>
    <w:rsid w:val="00AC6978"/>
    <w:rsid w:val="00AC6B60"/>
    <w:rsid w:val="00AD03D7"/>
    <w:rsid w:val="00AD07F0"/>
    <w:rsid w:val="00AD1932"/>
    <w:rsid w:val="00AD1FAC"/>
    <w:rsid w:val="00AD2CEF"/>
    <w:rsid w:val="00AD2F71"/>
    <w:rsid w:val="00AD34AF"/>
    <w:rsid w:val="00AD4646"/>
    <w:rsid w:val="00AD4BC3"/>
    <w:rsid w:val="00AD4D5D"/>
    <w:rsid w:val="00AD5550"/>
    <w:rsid w:val="00AD5BAF"/>
    <w:rsid w:val="00AD6005"/>
    <w:rsid w:val="00AD76B5"/>
    <w:rsid w:val="00AD7CAC"/>
    <w:rsid w:val="00AD7D2B"/>
    <w:rsid w:val="00AE0BC7"/>
    <w:rsid w:val="00AE0F0D"/>
    <w:rsid w:val="00AE0FDB"/>
    <w:rsid w:val="00AE2C04"/>
    <w:rsid w:val="00AE30F4"/>
    <w:rsid w:val="00AE4C89"/>
    <w:rsid w:val="00AE619E"/>
    <w:rsid w:val="00AF0372"/>
    <w:rsid w:val="00AF0779"/>
    <w:rsid w:val="00AF0DD9"/>
    <w:rsid w:val="00AF113B"/>
    <w:rsid w:val="00AF2874"/>
    <w:rsid w:val="00AF412D"/>
    <w:rsid w:val="00AF5960"/>
    <w:rsid w:val="00AF6385"/>
    <w:rsid w:val="00B00131"/>
    <w:rsid w:val="00B01239"/>
    <w:rsid w:val="00B0136F"/>
    <w:rsid w:val="00B01F7E"/>
    <w:rsid w:val="00B02B89"/>
    <w:rsid w:val="00B04492"/>
    <w:rsid w:val="00B0549C"/>
    <w:rsid w:val="00B06E95"/>
    <w:rsid w:val="00B0778D"/>
    <w:rsid w:val="00B10A3B"/>
    <w:rsid w:val="00B1177C"/>
    <w:rsid w:val="00B1262B"/>
    <w:rsid w:val="00B12649"/>
    <w:rsid w:val="00B1274B"/>
    <w:rsid w:val="00B12820"/>
    <w:rsid w:val="00B13402"/>
    <w:rsid w:val="00B16C2A"/>
    <w:rsid w:val="00B17A88"/>
    <w:rsid w:val="00B202F1"/>
    <w:rsid w:val="00B218A4"/>
    <w:rsid w:val="00B21FA5"/>
    <w:rsid w:val="00B2277A"/>
    <w:rsid w:val="00B2427D"/>
    <w:rsid w:val="00B249A4"/>
    <w:rsid w:val="00B24E35"/>
    <w:rsid w:val="00B24F3A"/>
    <w:rsid w:val="00B2546A"/>
    <w:rsid w:val="00B258A3"/>
    <w:rsid w:val="00B269EB"/>
    <w:rsid w:val="00B2733F"/>
    <w:rsid w:val="00B2767C"/>
    <w:rsid w:val="00B3087D"/>
    <w:rsid w:val="00B3091E"/>
    <w:rsid w:val="00B30FA7"/>
    <w:rsid w:val="00B319B2"/>
    <w:rsid w:val="00B31D37"/>
    <w:rsid w:val="00B325E6"/>
    <w:rsid w:val="00B3261D"/>
    <w:rsid w:val="00B34794"/>
    <w:rsid w:val="00B35227"/>
    <w:rsid w:val="00B36846"/>
    <w:rsid w:val="00B36B1A"/>
    <w:rsid w:val="00B36C29"/>
    <w:rsid w:val="00B3774C"/>
    <w:rsid w:val="00B378FB"/>
    <w:rsid w:val="00B40808"/>
    <w:rsid w:val="00B40D35"/>
    <w:rsid w:val="00B41A04"/>
    <w:rsid w:val="00B41D45"/>
    <w:rsid w:val="00B43214"/>
    <w:rsid w:val="00B45B56"/>
    <w:rsid w:val="00B46987"/>
    <w:rsid w:val="00B523F4"/>
    <w:rsid w:val="00B52519"/>
    <w:rsid w:val="00B53415"/>
    <w:rsid w:val="00B535CC"/>
    <w:rsid w:val="00B53742"/>
    <w:rsid w:val="00B53996"/>
    <w:rsid w:val="00B54503"/>
    <w:rsid w:val="00B54CCB"/>
    <w:rsid w:val="00B54EB2"/>
    <w:rsid w:val="00B56D1A"/>
    <w:rsid w:val="00B57AE3"/>
    <w:rsid w:val="00B57FEA"/>
    <w:rsid w:val="00B60421"/>
    <w:rsid w:val="00B61201"/>
    <w:rsid w:val="00B61545"/>
    <w:rsid w:val="00B61E2F"/>
    <w:rsid w:val="00B61F38"/>
    <w:rsid w:val="00B63784"/>
    <w:rsid w:val="00B63E5E"/>
    <w:rsid w:val="00B642B3"/>
    <w:rsid w:val="00B6452F"/>
    <w:rsid w:val="00B65B94"/>
    <w:rsid w:val="00B668EB"/>
    <w:rsid w:val="00B66AAE"/>
    <w:rsid w:val="00B671C7"/>
    <w:rsid w:val="00B71BFD"/>
    <w:rsid w:val="00B71C2F"/>
    <w:rsid w:val="00B71D07"/>
    <w:rsid w:val="00B73768"/>
    <w:rsid w:val="00B749B7"/>
    <w:rsid w:val="00B75428"/>
    <w:rsid w:val="00B75AB4"/>
    <w:rsid w:val="00B77849"/>
    <w:rsid w:val="00B80897"/>
    <w:rsid w:val="00B809C2"/>
    <w:rsid w:val="00B80B87"/>
    <w:rsid w:val="00B81AD5"/>
    <w:rsid w:val="00B81B1F"/>
    <w:rsid w:val="00B81C09"/>
    <w:rsid w:val="00B81EB6"/>
    <w:rsid w:val="00B852B1"/>
    <w:rsid w:val="00B85E0B"/>
    <w:rsid w:val="00B86220"/>
    <w:rsid w:val="00B86591"/>
    <w:rsid w:val="00B869B8"/>
    <w:rsid w:val="00B86E08"/>
    <w:rsid w:val="00B91FAF"/>
    <w:rsid w:val="00B92141"/>
    <w:rsid w:val="00B9241B"/>
    <w:rsid w:val="00B937BF"/>
    <w:rsid w:val="00B94830"/>
    <w:rsid w:val="00B94C89"/>
    <w:rsid w:val="00B94ED9"/>
    <w:rsid w:val="00B955A1"/>
    <w:rsid w:val="00B95946"/>
    <w:rsid w:val="00B95C0C"/>
    <w:rsid w:val="00B969F8"/>
    <w:rsid w:val="00B96AB3"/>
    <w:rsid w:val="00B97C0E"/>
    <w:rsid w:val="00BA0541"/>
    <w:rsid w:val="00BA1C4F"/>
    <w:rsid w:val="00BA38BE"/>
    <w:rsid w:val="00BA3A8C"/>
    <w:rsid w:val="00BA3C7D"/>
    <w:rsid w:val="00BA40F5"/>
    <w:rsid w:val="00BA5597"/>
    <w:rsid w:val="00BA5DAA"/>
    <w:rsid w:val="00BA6F4D"/>
    <w:rsid w:val="00BA79E0"/>
    <w:rsid w:val="00BB0243"/>
    <w:rsid w:val="00BB077F"/>
    <w:rsid w:val="00BB1149"/>
    <w:rsid w:val="00BB118F"/>
    <w:rsid w:val="00BB1238"/>
    <w:rsid w:val="00BB1281"/>
    <w:rsid w:val="00BB1B91"/>
    <w:rsid w:val="00BB2BA9"/>
    <w:rsid w:val="00BB2E99"/>
    <w:rsid w:val="00BB3776"/>
    <w:rsid w:val="00BB5D94"/>
    <w:rsid w:val="00BB69CE"/>
    <w:rsid w:val="00BB6B3E"/>
    <w:rsid w:val="00BB742F"/>
    <w:rsid w:val="00BB7ED4"/>
    <w:rsid w:val="00BC131A"/>
    <w:rsid w:val="00BC191E"/>
    <w:rsid w:val="00BC458D"/>
    <w:rsid w:val="00BC5181"/>
    <w:rsid w:val="00BC59C8"/>
    <w:rsid w:val="00BC6434"/>
    <w:rsid w:val="00BC765D"/>
    <w:rsid w:val="00BC7B01"/>
    <w:rsid w:val="00BD214F"/>
    <w:rsid w:val="00BD294D"/>
    <w:rsid w:val="00BD35CB"/>
    <w:rsid w:val="00BD3876"/>
    <w:rsid w:val="00BD472C"/>
    <w:rsid w:val="00BD4934"/>
    <w:rsid w:val="00BD4B23"/>
    <w:rsid w:val="00BD562E"/>
    <w:rsid w:val="00BD5D05"/>
    <w:rsid w:val="00BD69E7"/>
    <w:rsid w:val="00BD77EC"/>
    <w:rsid w:val="00BD7A21"/>
    <w:rsid w:val="00BE089A"/>
    <w:rsid w:val="00BE228F"/>
    <w:rsid w:val="00BE2457"/>
    <w:rsid w:val="00BE370C"/>
    <w:rsid w:val="00BE402F"/>
    <w:rsid w:val="00BE6B56"/>
    <w:rsid w:val="00BE735A"/>
    <w:rsid w:val="00BF18E2"/>
    <w:rsid w:val="00BF1B69"/>
    <w:rsid w:val="00BF1E4C"/>
    <w:rsid w:val="00BF1E54"/>
    <w:rsid w:val="00BF330C"/>
    <w:rsid w:val="00BF4A36"/>
    <w:rsid w:val="00BF5DDD"/>
    <w:rsid w:val="00BF6C34"/>
    <w:rsid w:val="00BF7781"/>
    <w:rsid w:val="00BF7BB3"/>
    <w:rsid w:val="00BF7D0A"/>
    <w:rsid w:val="00C002EB"/>
    <w:rsid w:val="00C01105"/>
    <w:rsid w:val="00C0312A"/>
    <w:rsid w:val="00C03B4F"/>
    <w:rsid w:val="00C03CA8"/>
    <w:rsid w:val="00C041CB"/>
    <w:rsid w:val="00C0497E"/>
    <w:rsid w:val="00C04F71"/>
    <w:rsid w:val="00C05624"/>
    <w:rsid w:val="00C06799"/>
    <w:rsid w:val="00C10B5F"/>
    <w:rsid w:val="00C113E0"/>
    <w:rsid w:val="00C11528"/>
    <w:rsid w:val="00C12E1B"/>
    <w:rsid w:val="00C15E48"/>
    <w:rsid w:val="00C16020"/>
    <w:rsid w:val="00C20531"/>
    <w:rsid w:val="00C236DD"/>
    <w:rsid w:val="00C23DBD"/>
    <w:rsid w:val="00C25147"/>
    <w:rsid w:val="00C25CE7"/>
    <w:rsid w:val="00C26FD7"/>
    <w:rsid w:val="00C31FB6"/>
    <w:rsid w:val="00C336BA"/>
    <w:rsid w:val="00C34B28"/>
    <w:rsid w:val="00C357E4"/>
    <w:rsid w:val="00C36B03"/>
    <w:rsid w:val="00C4025B"/>
    <w:rsid w:val="00C40720"/>
    <w:rsid w:val="00C41F76"/>
    <w:rsid w:val="00C4209C"/>
    <w:rsid w:val="00C42212"/>
    <w:rsid w:val="00C42AAB"/>
    <w:rsid w:val="00C42CA1"/>
    <w:rsid w:val="00C43312"/>
    <w:rsid w:val="00C43EFF"/>
    <w:rsid w:val="00C43FC3"/>
    <w:rsid w:val="00C45FCD"/>
    <w:rsid w:val="00C4673B"/>
    <w:rsid w:val="00C50D73"/>
    <w:rsid w:val="00C52B9F"/>
    <w:rsid w:val="00C5327B"/>
    <w:rsid w:val="00C53874"/>
    <w:rsid w:val="00C5391B"/>
    <w:rsid w:val="00C53E61"/>
    <w:rsid w:val="00C5445A"/>
    <w:rsid w:val="00C54B0F"/>
    <w:rsid w:val="00C54BE5"/>
    <w:rsid w:val="00C54CB1"/>
    <w:rsid w:val="00C5525C"/>
    <w:rsid w:val="00C554E8"/>
    <w:rsid w:val="00C55767"/>
    <w:rsid w:val="00C5672D"/>
    <w:rsid w:val="00C56A5E"/>
    <w:rsid w:val="00C5723C"/>
    <w:rsid w:val="00C604BA"/>
    <w:rsid w:val="00C61A25"/>
    <w:rsid w:val="00C628FB"/>
    <w:rsid w:val="00C646D2"/>
    <w:rsid w:val="00C648A6"/>
    <w:rsid w:val="00C6593A"/>
    <w:rsid w:val="00C668A4"/>
    <w:rsid w:val="00C66A46"/>
    <w:rsid w:val="00C67013"/>
    <w:rsid w:val="00C678E2"/>
    <w:rsid w:val="00C67CEE"/>
    <w:rsid w:val="00C70F66"/>
    <w:rsid w:val="00C7128A"/>
    <w:rsid w:val="00C71DE0"/>
    <w:rsid w:val="00C71FAC"/>
    <w:rsid w:val="00C7281B"/>
    <w:rsid w:val="00C72B55"/>
    <w:rsid w:val="00C73CE5"/>
    <w:rsid w:val="00C74587"/>
    <w:rsid w:val="00C74E5A"/>
    <w:rsid w:val="00C75EE6"/>
    <w:rsid w:val="00C7663A"/>
    <w:rsid w:val="00C76BEB"/>
    <w:rsid w:val="00C7766C"/>
    <w:rsid w:val="00C77A95"/>
    <w:rsid w:val="00C77D70"/>
    <w:rsid w:val="00C80E3D"/>
    <w:rsid w:val="00C814E3"/>
    <w:rsid w:val="00C826FE"/>
    <w:rsid w:val="00C84AF3"/>
    <w:rsid w:val="00C84E6A"/>
    <w:rsid w:val="00C85593"/>
    <w:rsid w:val="00C855F0"/>
    <w:rsid w:val="00C85D9A"/>
    <w:rsid w:val="00C87253"/>
    <w:rsid w:val="00C87596"/>
    <w:rsid w:val="00C876ED"/>
    <w:rsid w:val="00C878D5"/>
    <w:rsid w:val="00C9033B"/>
    <w:rsid w:val="00C90FC7"/>
    <w:rsid w:val="00C913A1"/>
    <w:rsid w:val="00C91E06"/>
    <w:rsid w:val="00C926FB"/>
    <w:rsid w:val="00C92CB8"/>
    <w:rsid w:val="00C94B0F"/>
    <w:rsid w:val="00C9563E"/>
    <w:rsid w:val="00C95D1C"/>
    <w:rsid w:val="00CA022E"/>
    <w:rsid w:val="00CA09F7"/>
    <w:rsid w:val="00CA21EF"/>
    <w:rsid w:val="00CA3390"/>
    <w:rsid w:val="00CA6E27"/>
    <w:rsid w:val="00CA75D2"/>
    <w:rsid w:val="00CA7A5E"/>
    <w:rsid w:val="00CB07ED"/>
    <w:rsid w:val="00CB1CDF"/>
    <w:rsid w:val="00CB316B"/>
    <w:rsid w:val="00CB3D47"/>
    <w:rsid w:val="00CB3FE4"/>
    <w:rsid w:val="00CC0E23"/>
    <w:rsid w:val="00CC15AB"/>
    <w:rsid w:val="00CC170A"/>
    <w:rsid w:val="00CC1CB2"/>
    <w:rsid w:val="00CC2B92"/>
    <w:rsid w:val="00CC55C6"/>
    <w:rsid w:val="00CC6A99"/>
    <w:rsid w:val="00CC7967"/>
    <w:rsid w:val="00CC7AB0"/>
    <w:rsid w:val="00CC7F16"/>
    <w:rsid w:val="00CD01A6"/>
    <w:rsid w:val="00CD05B5"/>
    <w:rsid w:val="00CD0B82"/>
    <w:rsid w:val="00CD1400"/>
    <w:rsid w:val="00CD2121"/>
    <w:rsid w:val="00CD3F66"/>
    <w:rsid w:val="00CD68EC"/>
    <w:rsid w:val="00CD746B"/>
    <w:rsid w:val="00CD7B91"/>
    <w:rsid w:val="00CE02CA"/>
    <w:rsid w:val="00CE07F5"/>
    <w:rsid w:val="00CE0FE0"/>
    <w:rsid w:val="00CE15F0"/>
    <w:rsid w:val="00CE1A40"/>
    <w:rsid w:val="00CE31F0"/>
    <w:rsid w:val="00CE36C8"/>
    <w:rsid w:val="00CE4002"/>
    <w:rsid w:val="00CE4091"/>
    <w:rsid w:val="00CE5BEA"/>
    <w:rsid w:val="00CE6ACC"/>
    <w:rsid w:val="00CE71F2"/>
    <w:rsid w:val="00CE748B"/>
    <w:rsid w:val="00CF0A08"/>
    <w:rsid w:val="00CF0D25"/>
    <w:rsid w:val="00CF143F"/>
    <w:rsid w:val="00CF2855"/>
    <w:rsid w:val="00CF29D5"/>
    <w:rsid w:val="00CF3825"/>
    <w:rsid w:val="00CF387C"/>
    <w:rsid w:val="00CF476B"/>
    <w:rsid w:val="00CF4A6D"/>
    <w:rsid w:val="00CF53A4"/>
    <w:rsid w:val="00CF6832"/>
    <w:rsid w:val="00CF7B17"/>
    <w:rsid w:val="00D009E1"/>
    <w:rsid w:val="00D00AA3"/>
    <w:rsid w:val="00D0201A"/>
    <w:rsid w:val="00D02602"/>
    <w:rsid w:val="00D02772"/>
    <w:rsid w:val="00D03CCA"/>
    <w:rsid w:val="00D047A6"/>
    <w:rsid w:val="00D0504E"/>
    <w:rsid w:val="00D05968"/>
    <w:rsid w:val="00D0736A"/>
    <w:rsid w:val="00D07F73"/>
    <w:rsid w:val="00D10B48"/>
    <w:rsid w:val="00D110C0"/>
    <w:rsid w:val="00D11523"/>
    <w:rsid w:val="00D1270C"/>
    <w:rsid w:val="00D12FB4"/>
    <w:rsid w:val="00D1300A"/>
    <w:rsid w:val="00D142F3"/>
    <w:rsid w:val="00D14844"/>
    <w:rsid w:val="00D15CCF"/>
    <w:rsid w:val="00D15EB7"/>
    <w:rsid w:val="00D16872"/>
    <w:rsid w:val="00D16CA3"/>
    <w:rsid w:val="00D16DC8"/>
    <w:rsid w:val="00D17428"/>
    <w:rsid w:val="00D200E4"/>
    <w:rsid w:val="00D2041C"/>
    <w:rsid w:val="00D21BF4"/>
    <w:rsid w:val="00D21FD1"/>
    <w:rsid w:val="00D2264B"/>
    <w:rsid w:val="00D2367E"/>
    <w:rsid w:val="00D23C00"/>
    <w:rsid w:val="00D2457C"/>
    <w:rsid w:val="00D2466A"/>
    <w:rsid w:val="00D25ADE"/>
    <w:rsid w:val="00D25DA8"/>
    <w:rsid w:val="00D301AA"/>
    <w:rsid w:val="00D3047F"/>
    <w:rsid w:val="00D31A24"/>
    <w:rsid w:val="00D32942"/>
    <w:rsid w:val="00D33F15"/>
    <w:rsid w:val="00D34DCA"/>
    <w:rsid w:val="00D352BE"/>
    <w:rsid w:val="00D365EA"/>
    <w:rsid w:val="00D375FE"/>
    <w:rsid w:val="00D37D4B"/>
    <w:rsid w:val="00D41DED"/>
    <w:rsid w:val="00D43297"/>
    <w:rsid w:val="00D4330E"/>
    <w:rsid w:val="00D4359F"/>
    <w:rsid w:val="00D44D14"/>
    <w:rsid w:val="00D44DB6"/>
    <w:rsid w:val="00D45390"/>
    <w:rsid w:val="00D45BFB"/>
    <w:rsid w:val="00D460E1"/>
    <w:rsid w:val="00D46517"/>
    <w:rsid w:val="00D46AE4"/>
    <w:rsid w:val="00D46CBB"/>
    <w:rsid w:val="00D46DAB"/>
    <w:rsid w:val="00D50119"/>
    <w:rsid w:val="00D506FD"/>
    <w:rsid w:val="00D51149"/>
    <w:rsid w:val="00D52730"/>
    <w:rsid w:val="00D5384B"/>
    <w:rsid w:val="00D5423E"/>
    <w:rsid w:val="00D54B58"/>
    <w:rsid w:val="00D54BB0"/>
    <w:rsid w:val="00D550D9"/>
    <w:rsid w:val="00D55B87"/>
    <w:rsid w:val="00D55CA6"/>
    <w:rsid w:val="00D57C1A"/>
    <w:rsid w:val="00D6019E"/>
    <w:rsid w:val="00D60E10"/>
    <w:rsid w:val="00D61A0A"/>
    <w:rsid w:val="00D61C54"/>
    <w:rsid w:val="00D622BD"/>
    <w:rsid w:val="00D624B1"/>
    <w:rsid w:val="00D62591"/>
    <w:rsid w:val="00D65A63"/>
    <w:rsid w:val="00D65DD0"/>
    <w:rsid w:val="00D6789D"/>
    <w:rsid w:val="00D67D13"/>
    <w:rsid w:val="00D707EF"/>
    <w:rsid w:val="00D70AE1"/>
    <w:rsid w:val="00D73529"/>
    <w:rsid w:val="00D7541A"/>
    <w:rsid w:val="00D75B70"/>
    <w:rsid w:val="00D76D0B"/>
    <w:rsid w:val="00D804AC"/>
    <w:rsid w:val="00D8085E"/>
    <w:rsid w:val="00D81320"/>
    <w:rsid w:val="00D82A43"/>
    <w:rsid w:val="00D83831"/>
    <w:rsid w:val="00D84141"/>
    <w:rsid w:val="00D84A45"/>
    <w:rsid w:val="00D84F19"/>
    <w:rsid w:val="00D854AD"/>
    <w:rsid w:val="00D8664B"/>
    <w:rsid w:val="00D87DA3"/>
    <w:rsid w:val="00D90971"/>
    <w:rsid w:val="00D90A54"/>
    <w:rsid w:val="00D90F4F"/>
    <w:rsid w:val="00D9119F"/>
    <w:rsid w:val="00D92C93"/>
    <w:rsid w:val="00D930C8"/>
    <w:rsid w:val="00D9324A"/>
    <w:rsid w:val="00D93836"/>
    <w:rsid w:val="00D94E21"/>
    <w:rsid w:val="00D95496"/>
    <w:rsid w:val="00D96222"/>
    <w:rsid w:val="00DA0D59"/>
    <w:rsid w:val="00DA0E8C"/>
    <w:rsid w:val="00DA3D04"/>
    <w:rsid w:val="00DA4004"/>
    <w:rsid w:val="00DA4B3D"/>
    <w:rsid w:val="00DA4C37"/>
    <w:rsid w:val="00DA4CE3"/>
    <w:rsid w:val="00DA6142"/>
    <w:rsid w:val="00DA7B5D"/>
    <w:rsid w:val="00DB075C"/>
    <w:rsid w:val="00DB0E08"/>
    <w:rsid w:val="00DB11DF"/>
    <w:rsid w:val="00DB23C3"/>
    <w:rsid w:val="00DB3AD1"/>
    <w:rsid w:val="00DB4528"/>
    <w:rsid w:val="00DB52BC"/>
    <w:rsid w:val="00DB5951"/>
    <w:rsid w:val="00DB647E"/>
    <w:rsid w:val="00DB6C7E"/>
    <w:rsid w:val="00DB6FA6"/>
    <w:rsid w:val="00DB7400"/>
    <w:rsid w:val="00DB75EE"/>
    <w:rsid w:val="00DB7988"/>
    <w:rsid w:val="00DC150A"/>
    <w:rsid w:val="00DC193D"/>
    <w:rsid w:val="00DC272E"/>
    <w:rsid w:val="00DC2A48"/>
    <w:rsid w:val="00DC300E"/>
    <w:rsid w:val="00DC310E"/>
    <w:rsid w:val="00DC33F4"/>
    <w:rsid w:val="00DC37BE"/>
    <w:rsid w:val="00DC422F"/>
    <w:rsid w:val="00DC69FC"/>
    <w:rsid w:val="00DC6BE0"/>
    <w:rsid w:val="00DC6C31"/>
    <w:rsid w:val="00DC7965"/>
    <w:rsid w:val="00DD08AA"/>
    <w:rsid w:val="00DD0C5B"/>
    <w:rsid w:val="00DD11D7"/>
    <w:rsid w:val="00DD212E"/>
    <w:rsid w:val="00DD2322"/>
    <w:rsid w:val="00DD2399"/>
    <w:rsid w:val="00DD2707"/>
    <w:rsid w:val="00DD4173"/>
    <w:rsid w:val="00DD5413"/>
    <w:rsid w:val="00DD5505"/>
    <w:rsid w:val="00DD6084"/>
    <w:rsid w:val="00DD6C1E"/>
    <w:rsid w:val="00DD7CBA"/>
    <w:rsid w:val="00DE0D0D"/>
    <w:rsid w:val="00DE13BA"/>
    <w:rsid w:val="00DE1EC6"/>
    <w:rsid w:val="00DE2F6A"/>
    <w:rsid w:val="00DE399C"/>
    <w:rsid w:val="00DE3EE5"/>
    <w:rsid w:val="00DE41D7"/>
    <w:rsid w:val="00DE4BC8"/>
    <w:rsid w:val="00DE4FE4"/>
    <w:rsid w:val="00DE5474"/>
    <w:rsid w:val="00DE654D"/>
    <w:rsid w:val="00DE7CC7"/>
    <w:rsid w:val="00DE7E84"/>
    <w:rsid w:val="00DF0342"/>
    <w:rsid w:val="00DF0E00"/>
    <w:rsid w:val="00DF0E02"/>
    <w:rsid w:val="00DF13F6"/>
    <w:rsid w:val="00DF2FA8"/>
    <w:rsid w:val="00DF35EB"/>
    <w:rsid w:val="00DF41B5"/>
    <w:rsid w:val="00DF569D"/>
    <w:rsid w:val="00DF58E7"/>
    <w:rsid w:val="00DF5FC5"/>
    <w:rsid w:val="00DF63CC"/>
    <w:rsid w:val="00DF7493"/>
    <w:rsid w:val="00E0052E"/>
    <w:rsid w:val="00E0282F"/>
    <w:rsid w:val="00E02C3F"/>
    <w:rsid w:val="00E03C48"/>
    <w:rsid w:val="00E04133"/>
    <w:rsid w:val="00E04826"/>
    <w:rsid w:val="00E04F06"/>
    <w:rsid w:val="00E05A2B"/>
    <w:rsid w:val="00E06801"/>
    <w:rsid w:val="00E068F7"/>
    <w:rsid w:val="00E06ABB"/>
    <w:rsid w:val="00E105B2"/>
    <w:rsid w:val="00E11876"/>
    <w:rsid w:val="00E11A56"/>
    <w:rsid w:val="00E11DE2"/>
    <w:rsid w:val="00E122C9"/>
    <w:rsid w:val="00E1326A"/>
    <w:rsid w:val="00E1433D"/>
    <w:rsid w:val="00E14398"/>
    <w:rsid w:val="00E14AD1"/>
    <w:rsid w:val="00E155A7"/>
    <w:rsid w:val="00E15A8C"/>
    <w:rsid w:val="00E1628D"/>
    <w:rsid w:val="00E171E9"/>
    <w:rsid w:val="00E17253"/>
    <w:rsid w:val="00E17631"/>
    <w:rsid w:val="00E2063E"/>
    <w:rsid w:val="00E20BFE"/>
    <w:rsid w:val="00E20DAA"/>
    <w:rsid w:val="00E2254E"/>
    <w:rsid w:val="00E2308F"/>
    <w:rsid w:val="00E230D2"/>
    <w:rsid w:val="00E235B7"/>
    <w:rsid w:val="00E23723"/>
    <w:rsid w:val="00E23CBB"/>
    <w:rsid w:val="00E24D30"/>
    <w:rsid w:val="00E251D3"/>
    <w:rsid w:val="00E257CA"/>
    <w:rsid w:val="00E25BCD"/>
    <w:rsid w:val="00E25C75"/>
    <w:rsid w:val="00E25F30"/>
    <w:rsid w:val="00E2684D"/>
    <w:rsid w:val="00E268CB"/>
    <w:rsid w:val="00E26D0B"/>
    <w:rsid w:val="00E26DB4"/>
    <w:rsid w:val="00E26E7D"/>
    <w:rsid w:val="00E27743"/>
    <w:rsid w:val="00E27EAF"/>
    <w:rsid w:val="00E304B0"/>
    <w:rsid w:val="00E317B5"/>
    <w:rsid w:val="00E318C1"/>
    <w:rsid w:val="00E3230D"/>
    <w:rsid w:val="00E326FC"/>
    <w:rsid w:val="00E32EEA"/>
    <w:rsid w:val="00E3326F"/>
    <w:rsid w:val="00E34669"/>
    <w:rsid w:val="00E34791"/>
    <w:rsid w:val="00E35122"/>
    <w:rsid w:val="00E351AE"/>
    <w:rsid w:val="00E36DB5"/>
    <w:rsid w:val="00E37457"/>
    <w:rsid w:val="00E376F0"/>
    <w:rsid w:val="00E379F8"/>
    <w:rsid w:val="00E37B59"/>
    <w:rsid w:val="00E4045E"/>
    <w:rsid w:val="00E40760"/>
    <w:rsid w:val="00E40B00"/>
    <w:rsid w:val="00E4106A"/>
    <w:rsid w:val="00E41659"/>
    <w:rsid w:val="00E41850"/>
    <w:rsid w:val="00E418E9"/>
    <w:rsid w:val="00E4232E"/>
    <w:rsid w:val="00E43DFE"/>
    <w:rsid w:val="00E44DCE"/>
    <w:rsid w:val="00E4523A"/>
    <w:rsid w:val="00E46F66"/>
    <w:rsid w:val="00E473F4"/>
    <w:rsid w:val="00E47FF5"/>
    <w:rsid w:val="00E5132F"/>
    <w:rsid w:val="00E52087"/>
    <w:rsid w:val="00E53438"/>
    <w:rsid w:val="00E53D2D"/>
    <w:rsid w:val="00E549D8"/>
    <w:rsid w:val="00E54BBB"/>
    <w:rsid w:val="00E56147"/>
    <w:rsid w:val="00E567B8"/>
    <w:rsid w:val="00E57F38"/>
    <w:rsid w:val="00E60168"/>
    <w:rsid w:val="00E62472"/>
    <w:rsid w:val="00E62C34"/>
    <w:rsid w:val="00E63402"/>
    <w:rsid w:val="00E63B3A"/>
    <w:rsid w:val="00E64056"/>
    <w:rsid w:val="00E645B9"/>
    <w:rsid w:val="00E64724"/>
    <w:rsid w:val="00E64EEC"/>
    <w:rsid w:val="00E65034"/>
    <w:rsid w:val="00E66360"/>
    <w:rsid w:val="00E665AC"/>
    <w:rsid w:val="00E66B09"/>
    <w:rsid w:val="00E67B34"/>
    <w:rsid w:val="00E71192"/>
    <w:rsid w:val="00E71A72"/>
    <w:rsid w:val="00E71B31"/>
    <w:rsid w:val="00E7201F"/>
    <w:rsid w:val="00E7216F"/>
    <w:rsid w:val="00E72517"/>
    <w:rsid w:val="00E725FC"/>
    <w:rsid w:val="00E739B6"/>
    <w:rsid w:val="00E73C2C"/>
    <w:rsid w:val="00E75F4D"/>
    <w:rsid w:val="00E76C44"/>
    <w:rsid w:val="00E775CD"/>
    <w:rsid w:val="00E776C3"/>
    <w:rsid w:val="00E800C5"/>
    <w:rsid w:val="00E80291"/>
    <w:rsid w:val="00E80616"/>
    <w:rsid w:val="00E80F1A"/>
    <w:rsid w:val="00E8158A"/>
    <w:rsid w:val="00E8179E"/>
    <w:rsid w:val="00E8206D"/>
    <w:rsid w:val="00E8207B"/>
    <w:rsid w:val="00E821D1"/>
    <w:rsid w:val="00E82CF0"/>
    <w:rsid w:val="00E82E05"/>
    <w:rsid w:val="00E83F5C"/>
    <w:rsid w:val="00E83FB3"/>
    <w:rsid w:val="00E847BB"/>
    <w:rsid w:val="00E8640B"/>
    <w:rsid w:val="00E8729C"/>
    <w:rsid w:val="00E87775"/>
    <w:rsid w:val="00E87B69"/>
    <w:rsid w:val="00E87EBC"/>
    <w:rsid w:val="00E905F3"/>
    <w:rsid w:val="00E90898"/>
    <w:rsid w:val="00E90C5F"/>
    <w:rsid w:val="00E91713"/>
    <w:rsid w:val="00E91DDC"/>
    <w:rsid w:val="00E9244A"/>
    <w:rsid w:val="00E92C2B"/>
    <w:rsid w:val="00E93230"/>
    <w:rsid w:val="00E93A3E"/>
    <w:rsid w:val="00E93B89"/>
    <w:rsid w:val="00E93D90"/>
    <w:rsid w:val="00E9401D"/>
    <w:rsid w:val="00E942F9"/>
    <w:rsid w:val="00E94483"/>
    <w:rsid w:val="00E945B5"/>
    <w:rsid w:val="00E94AF5"/>
    <w:rsid w:val="00E95B95"/>
    <w:rsid w:val="00E96988"/>
    <w:rsid w:val="00E96C4D"/>
    <w:rsid w:val="00E96D48"/>
    <w:rsid w:val="00E970F7"/>
    <w:rsid w:val="00EA0728"/>
    <w:rsid w:val="00EA19BD"/>
    <w:rsid w:val="00EA204B"/>
    <w:rsid w:val="00EA27C8"/>
    <w:rsid w:val="00EA2E59"/>
    <w:rsid w:val="00EA30CC"/>
    <w:rsid w:val="00EA36C6"/>
    <w:rsid w:val="00EA52AF"/>
    <w:rsid w:val="00EA61B9"/>
    <w:rsid w:val="00EA6998"/>
    <w:rsid w:val="00EA6EFC"/>
    <w:rsid w:val="00EA75F0"/>
    <w:rsid w:val="00EA7A56"/>
    <w:rsid w:val="00EA7E2E"/>
    <w:rsid w:val="00EA7F05"/>
    <w:rsid w:val="00EB1EBD"/>
    <w:rsid w:val="00EB32F3"/>
    <w:rsid w:val="00EB41A3"/>
    <w:rsid w:val="00EB4440"/>
    <w:rsid w:val="00EB4E8B"/>
    <w:rsid w:val="00EB5D22"/>
    <w:rsid w:val="00EB5F27"/>
    <w:rsid w:val="00EB7C10"/>
    <w:rsid w:val="00EC2579"/>
    <w:rsid w:val="00EC30F9"/>
    <w:rsid w:val="00EC3CAF"/>
    <w:rsid w:val="00EC429F"/>
    <w:rsid w:val="00EC5005"/>
    <w:rsid w:val="00EC5812"/>
    <w:rsid w:val="00EC6BA8"/>
    <w:rsid w:val="00EC761B"/>
    <w:rsid w:val="00ED0C54"/>
    <w:rsid w:val="00ED1926"/>
    <w:rsid w:val="00ED1C37"/>
    <w:rsid w:val="00ED2603"/>
    <w:rsid w:val="00ED2A49"/>
    <w:rsid w:val="00ED2BF4"/>
    <w:rsid w:val="00ED314C"/>
    <w:rsid w:val="00ED317F"/>
    <w:rsid w:val="00ED3CD5"/>
    <w:rsid w:val="00ED5725"/>
    <w:rsid w:val="00ED6124"/>
    <w:rsid w:val="00ED622F"/>
    <w:rsid w:val="00ED6D63"/>
    <w:rsid w:val="00ED7031"/>
    <w:rsid w:val="00ED7F02"/>
    <w:rsid w:val="00EE1240"/>
    <w:rsid w:val="00EE1764"/>
    <w:rsid w:val="00EE28BB"/>
    <w:rsid w:val="00EE29C4"/>
    <w:rsid w:val="00EE3060"/>
    <w:rsid w:val="00EE370F"/>
    <w:rsid w:val="00EE4315"/>
    <w:rsid w:val="00EE4773"/>
    <w:rsid w:val="00EE477B"/>
    <w:rsid w:val="00EE4A34"/>
    <w:rsid w:val="00EE4B9B"/>
    <w:rsid w:val="00EE5508"/>
    <w:rsid w:val="00EE5B70"/>
    <w:rsid w:val="00EE66D2"/>
    <w:rsid w:val="00EF055D"/>
    <w:rsid w:val="00EF1C68"/>
    <w:rsid w:val="00EF28AA"/>
    <w:rsid w:val="00EF2997"/>
    <w:rsid w:val="00EF2BA1"/>
    <w:rsid w:val="00EF353A"/>
    <w:rsid w:val="00EF43E0"/>
    <w:rsid w:val="00EF6925"/>
    <w:rsid w:val="00EF7459"/>
    <w:rsid w:val="00EF7AB7"/>
    <w:rsid w:val="00F001D1"/>
    <w:rsid w:val="00F00BB6"/>
    <w:rsid w:val="00F01DFA"/>
    <w:rsid w:val="00F024CF"/>
    <w:rsid w:val="00F02A74"/>
    <w:rsid w:val="00F02CD3"/>
    <w:rsid w:val="00F04DAF"/>
    <w:rsid w:val="00F05C4D"/>
    <w:rsid w:val="00F0701E"/>
    <w:rsid w:val="00F11636"/>
    <w:rsid w:val="00F11A5B"/>
    <w:rsid w:val="00F11B4A"/>
    <w:rsid w:val="00F12118"/>
    <w:rsid w:val="00F12FF0"/>
    <w:rsid w:val="00F1338D"/>
    <w:rsid w:val="00F14854"/>
    <w:rsid w:val="00F16419"/>
    <w:rsid w:val="00F16911"/>
    <w:rsid w:val="00F20FFA"/>
    <w:rsid w:val="00F21197"/>
    <w:rsid w:val="00F211AD"/>
    <w:rsid w:val="00F2193E"/>
    <w:rsid w:val="00F2210B"/>
    <w:rsid w:val="00F22225"/>
    <w:rsid w:val="00F2234F"/>
    <w:rsid w:val="00F22D61"/>
    <w:rsid w:val="00F23722"/>
    <w:rsid w:val="00F25620"/>
    <w:rsid w:val="00F25E16"/>
    <w:rsid w:val="00F25F5F"/>
    <w:rsid w:val="00F26624"/>
    <w:rsid w:val="00F26A0E"/>
    <w:rsid w:val="00F26ED3"/>
    <w:rsid w:val="00F3384B"/>
    <w:rsid w:val="00F33F96"/>
    <w:rsid w:val="00F34766"/>
    <w:rsid w:val="00F3564A"/>
    <w:rsid w:val="00F35E1D"/>
    <w:rsid w:val="00F3686A"/>
    <w:rsid w:val="00F36CAD"/>
    <w:rsid w:val="00F3717A"/>
    <w:rsid w:val="00F400E6"/>
    <w:rsid w:val="00F406DA"/>
    <w:rsid w:val="00F40B48"/>
    <w:rsid w:val="00F40DB3"/>
    <w:rsid w:val="00F43942"/>
    <w:rsid w:val="00F442C7"/>
    <w:rsid w:val="00F44942"/>
    <w:rsid w:val="00F44E34"/>
    <w:rsid w:val="00F455D6"/>
    <w:rsid w:val="00F455E3"/>
    <w:rsid w:val="00F46960"/>
    <w:rsid w:val="00F4704D"/>
    <w:rsid w:val="00F47A22"/>
    <w:rsid w:val="00F47AA8"/>
    <w:rsid w:val="00F47FDD"/>
    <w:rsid w:val="00F50333"/>
    <w:rsid w:val="00F50380"/>
    <w:rsid w:val="00F505F9"/>
    <w:rsid w:val="00F50EAF"/>
    <w:rsid w:val="00F514F6"/>
    <w:rsid w:val="00F5151C"/>
    <w:rsid w:val="00F52FEC"/>
    <w:rsid w:val="00F53975"/>
    <w:rsid w:val="00F53FCF"/>
    <w:rsid w:val="00F55200"/>
    <w:rsid w:val="00F5535F"/>
    <w:rsid w:val="00F55A79"/>
    <w:rsid w:val="00F55C14"/>
    <w:rsid w:val="00F56DE9"/>
    <w:rsid w:val="00F5728D"/>
    <w:rsid w:val="00F574A3"/>
    <w:rsid w:val="00F57E63"/>
    <w:rsid w:val="00F61306"/>
    <w:rsid w:val="00F62B7A"/>
    <w:rsid w:val="00F631EC"/>
    <w:rsid w:val="00F63597"/>
    <w:rsid w:val="00F6393C"/>
    <w:rsid w:val="00F6397D"/>
    <w:rsid w:val="00F63A97"/>
    <w:rsid w:val="00F63DD9"/>
    <w:rsid w:val="00F64CA7"/>
    <w:rsid w:val="00F65799"/>
    <w:rsid w:val="00F65D28"/>
    <w:rsid w:val="00F6759B"/>
    <w:rsid w:val="00F67DC8"/>
    <w:rsid w:val="00F70213"/>
    <w:rsid w:val="00F7051C"/>
    <w:rsid w:val="00F71A21"/>
    <w:rsid w:val="00F72726"/>
    <w:rsid w:val="00F7293E"/>
    <w:rsid w:val="00F74464"/>
    <w:rsid w:val="00F749FB"/>
    <w:rsid w:val="00F754B9"/>
    <w:rsid w:val="00F75948"/>
    <w:rsid w:val="00F760D8"/>
    <w:rsid w:val="00F76288"/>
    <w:rsid w:val="00F76650"/>
    <w:rsid w:val="00F768B9"/>
    <w:rsid w:val="00F76F8A"/>
    <w:rsid w:val="00F76FB5"/>
    <w:rsid w:val="00F77A2A"/>
    <w:rsid w:val="00F77CAA"/>
    <w:rsid w:val="00F77E9B"/>
    <w:rsid w:val="00F80807"/>
    <w:rsid w:val="00F8126B"/>
    <w:rsid w:val="00F81551"/>
    <w:rsid w:val="00F823B1"/>
    <w:rsid w:val="00F8321F"/>
    <w:rsid w:val="00F837B0"/>
    <w:rsid w:val="00F83CC7"/>
    <w:rsid w:val="00F84681"/>
    <w:rsid w:val="00F84AE0"/>
    <w:rsid w:val="00F84BDD"/>
    <w:rsid w:val="00F85712"/>
    <w:rsid w:val="00F857F1"/>
    <w:rsid w:val="00F8583B"/>
    <w:rsid w:val="00F863CA"/>
    <w:rsid w:val="00F872C5"/>
    <w:rsid w:val="00F90529"/>
    <w:rsid w:val="00F9187B"/>
    <w:rsid w:val="00F92385"/>
    <w:rsid w:val="00F9380F"/>
    <w:rsid w:val="00F9385C"/>
    <w:rsid w:val="00F93901"/>
    <w:rsid w:val="00F93B85"/>
    <w:rsid w:val="00F9458F"/>
    <w:rsid w:val="00F95472"/>
    <w:rsid w:val="00F9570F"/>
    <w:rsid w:val="00F95BB2"/>
    <w:rsid w:val="00F962D2"/>
    <w:rsid w:val="00F969CE"/>
    <w:rsid w:val="00F97083"/>
    <w:rsid w:val="00F97B50"/>
    <w:rsid w:val="00FA0B73"/>
    <w:rsid w:val="00FA1B4F"/>
    <w:rsid w:val="00FA3A14"/>
    <w:rsid w:val="00FA3D6D"/>
    <w:rsid w:val="00FA3FA4"/>
    <w:rsid w:val="00FA4A9B"/>
    <w:rsid w:val="00FA5F8C"/>
    <w:rsid w:val="00FA69B5"/>
    <w:rsid w:val="00FB200F"/>
    <w:rsid w:val="00FB224B"/>
    <w:rsid w:val="00FB2B3A"/>
    <w:rsid w:val="00FB33BD"/>
    <w:rsid w:val="00FB3684"/>
    <w:rsid w:val="00FB425F"/>
    <w:rsid w:val="00FB4A05"/>
    <w:rsid w:val="00FB583B"/>
    <w:rsid w:val="00FB7D25"/>
    <w:rsid w:val="00FC0722"/>
    <w:rsid w:val="00FC0B1E"/>
    <w:rsid w:val="00FC12E7"/>
    <w:rsid w:val="00FC26D1"/>
    <w:rsid w:val="00FC35B8"/>
    <w:rsid w:val="00FC44EE"/>
    <w:rsid w:val="00FC47F9"/>
    <w:rsid w:val="00FC4C2A"/>
    <w:rsid w:val="00FC4E36"/>
    <w:rsid w:val="00FC5A33"/>
    <w:rsid w:val="00FC67AA"/>
    <w:rsid w:val="00FC6C9C"/>
    <w:rsid w:val="00FC791B"/>
    <w:rsid w:val="00FD0CB1"/>
    <w:rsid w:val="00FD161E"/>
    <w:rsid w:val="00FD18D6"/>
    <w:rsid w:val="00FD2342"/>
    <w:rsid w:val="00FD3320"/>
    <w:rsid w:val="00FD3683"/>
    <w:rsid w:val="00FD3A40"/>
    <w:rsid w:val="00FD3C4D"/>
    <w:rsid w:val="00FD5924"/>
    <w:rsid w:val="00FD5ECA"/>
    <w:rsid w:val="00FD61F3"/>
    <w:rsid w:val="00FD62D7"/>
    <w:rsid w:val="00FD7277"/>
    <w:rsid w:val="00FD7F0E"/>
    <w:rsid w:val="00FE08CE"/>
    <w:rsid w:val="00FE0CB4"/>
    <w:rsid w:val="00FE1000"/>
    <w:rsid w:val="00FE1538"/>
    <w:rsid w:val="00FE2038"/>
    <w:rsid w:val="00FE2351"/>
    <w:rsid w:val="00FE2B1A"/>
    <w:rsid w:val="00FE337D"/>
    <w:rsid w:val="00FE33E7"/>
    <w:rsid w:val="00FE3D50"/>
    <w:rsid w:val="00FE4719"/>
    <w:rsid w:val="00FE49EB"/>
    <w:rsid w:val="00FE5533"/>
    <w:rsid w:val="00FE5580"/>
    <w:rsid w:val="00FE63F0"/>
    <w:rsid w:val="00FE6883"/>
    <w:rsid w:val="00FE70B4"/>
    <w:rsid w:val="00FE7458"/>
    <w:rsid w:val="00FE7C15"/>
    <w:rsid w:val="00FF09F1"/>
    <w:rsid w:val="00FF0D68"/>
    <w:rsid w:val="00FF10C1"/>
    <w:rsid w:val="00FF110C"/>
    <w:rsid w:val="00FF190C"/>
    <w:rsid w:val="00FF224C"/>
    <w:rsid w:val="00FF4044"/>
    <w:rsid w:val="00FF4889"/>
    <w:rsid w:val="00FF4D5F"/>
    <w:rsid w:val="00FF5165"/>
    <w:rsid w:val="00FF5984"/>
    <w:rsid w:val="00FF73E7"/>
    <w:rsid w:val="00FF7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944C5"/>
  <w15:chartTrackingRefBased/>
  <w15:docId w15:val="{A7CA93D0-7F79-4591-B69C-B8BA4A7C1EC9}"/>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8"/>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8"/>
      </w:numPr>
      <w:ind w:right="2160"/>
      <w:outlineLvl w:val="1"/>
    </w:pPr>
  </w:style>
  <w:style w:type="paragraph" w:styleId="Heading3">
    <w:name w:val="heading 3"/>
    <w:basedOn w:val="Dummy"/>
    <w:next w:val="Standard"/>
    <w:link w:val="Heading3Char"/>
    <w:uiPriority w:val="4"/>
    <w:qFormat/>
    <w:rsid w:val="000E270A"/>
    <w:pPr>
      <w:numPr>
        <w:ilvl w:val="2"/>
        <w:numId w:val="8"/>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8"/>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8"/>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8"/>
      </w:numPr>
      <w:spacing w:before="40"/>
      <w:ind w:right="2160"/>
      <w:outlineLvl w:val="5"/>
    </w:pPr>
    <w:rPr>
      <w:rFonts w:eastAsiaTheme="majorEastAsia" w:cstheme="majorBidi"/>
    </w:rPr>
  </w:style>
  <w:style w:type="paragraph" w:styleId="Heading7">
    <w:name w:val="heading 7"/>
    <w:basedOn w:val="Normal"/>
    <w:next w:val="Normal"/>
    <w:link w:val="Heading7Char"/>
    <w:uiPriority w:val="9"/>
    <w:semiHidden/>
    <w:qFormat/>
    <w:rsid w:val="00434EC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qFormat/>
    <w:rsid w:val="00434EC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434EC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aliases w:val="o,fr,o1,o2,o3,o4,o5,o6,o11,o21,o7"/>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link w:val="StandardChar"/>
    <w:qFormat/>
    <w:rsid w:val="007A406D"/>
  </w:style>
  <w:style w:type="paragraph" w:customStyle="1" w:styleId="ListAlpha">
    <w:name w:val="List Alpha"/>
    <w:basedOn w:val="Standard"/>
    <w:uiPriority w:val="4"/>
    <w:qFormat/>
    <w:rsid w:val="000E270A"/>
    <w:pPr>
      <w:numPr>
        <w:ilvl w:val="7"/>
        <w:numId w:val="8"/>
      </w:numPr>
      <w:spacing w:after="120" w:line="240" w:lineRule="auto"/>
    </w:pPr>
  </w:style>
  <w:style w:type="paragraph" w:styleId="ListBullet">
    <w:name w:val="List Bullet"/>
    <w:basedOn w:val="Standard"/>
    <w:uiPriority w:val="4"/>
    <w:qFormat/>
    <w:rsid w:val="001F2819"/>
    <w:pPr>
      <w:numPr>
        <w:numId w:val="7"/>
      </w:numPr>
      <w:spacing w:after="120" w:line="240" w:lineRule="auto"/>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link w:val="ListNumChar"/>
    <w:uiPriority w:val="4"/>
    <w:rsid w:val="000E270A"/>
    <w:pPr>
      <w:numPr>
        <w:ilvl w:val="6"/>
        <w:numId w:val="8"/>
      </w:numPr>
      <w:spacing w:after="120" w:line="240" w:lineRule="auto"/>
    </w:pPr>
  </w:style>
  <w:style w:type="character" w:styleId="CommentReference">
    <w:name w:val="annotation reference"/>
    <w:basedOn w:val="DefaultParagraphFont"/>
    <w:semiHidden/>
    <w:unhideWhenUsed/>
    <w:rsid w:val="00295836"/>
    <w:rPr>
      <w:sz w:val="16"/>
      <w:szCs w:val="16"/>
    </w:rPr>
  </w:style>
  <w:style w:type="paragraph" w:styleId="CommentText">
    <w:name w:val="annotation text"/>
    <w:basedOn w:val="Normal"/>
    <w:link w:val="CommentTextChar"/>
    <w:uiPriority w:val="99"/>
    <w:unhideWhenUsed/>
    <w:rsid w:val="00295836"/>
    <w:pPr>
      <w:spacing w:line="240" w:lineRule="auto"/>
    </w:pPr>
    <w:rPr>
      <w:sz w:val="20"/>
      <w:szCs w:val="20"/>
    </w:rPr>
  </w:style>
  <w:style w:type="character" w:customStyle="1" w:styleId="CommentTextChar">
    <w:name w:val="Comment Text Char"/>
    <w:basedOn w:val="DefaultParagraphFont"/>
    <w:link w:val="CommentText"/>
    <w:uiPriority w:val="99"/>
    <w:rsid w:val="00295836"/>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295836"/>
    <w:rPr>
      <w:b/>
      <w:bCs/>
    </w:rPr>
  </w:style>
  <w:style w:type="character" w:customStyle="1" w:styleId="CommentSubjectChar">
    <w:name w:val="Comment Subject Char"/>
    <w:basedOn w:val="CommentTextChar"/>
    <w:link w:val="CommentSubject"/>
    <w:uiPriority w:val="99"/>
    <w:semiHidden/>
    <w:rsid w:val="00295836"/>
    <w:rPr>
      <w:rFonts w:ascii="Book Antiqua" w:hAnsi="Book Antiqua"/>
      <w:b/>
      <w:bCs/>
      <w:sz w:val="20"/>
      <w:szCs w:val="20"/>
    </w:rPr>
  </w:style>
  <w:style w:type="paragraph" w:styleId="NormalWeb">
    <w:name w:val="Normal (Web)"/>
    <w:basedOn w:val="Normal"/>
    <w:uiPriority w:val="99"/>
    <w:semiHidden/>
    <w:unhideWhenUsed/>
    <w:rsid w:val="00C54BE5"/>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A6907"/>
    <w:rPr>
      <w:color w:val="605E5C"/>
      <w:shd w:val="clear" w:color="auto" w:fill="E1DFDD"/>
    </w:rPr>
  </w:style>
  <w:style w:type="paragraph" w:styleId="TOC7">
    <w:name w:val="toc 7"/>
    <w:basedOn w:val="Normal"/>
    <w:next w:val="Normal"/>
    <w:autoRedefine/>
    <w:uiPriority w:val="39"/>
    <w:unhideWhenUsed/>
    <w:rsid w:val="00563F3D"/>
    <w:pPr>
      <w:spacing w:after="100" w:line="278" w:lineRule="auto"/>
      <w:ind w:left="1440" w:firstLine="0"/>
    </w:pPr>
    <w:rPr>
      <w:rFonts w:asciiTheme="minorHAnsi" w:eastAsiaTheme="minorEastAsia" w:hAnsiTheme="minorHAnsi"/>
      <w:kern w:val="2"/>
      <w:sz w:val="24"/>
      <w:szCs w:val="24"/>
      <w14:ligatures w14:val="standardContextual"/>
    </w:rPr>
  </w:style>
  <w:style w:type="paragraph" w:styleId="TOC8">
    <w:name w:val="toc 8"/>
    <w:basedOn w:val="Normal"/>
    <w:next w:val="Normal"/>
    <w:autoRedefine/>
    <w:uiPriority w:val="39"/>
    <w:unhideWhenUsed/>
    <w:rsid w:val="00563F3D"/>
    <w:pPr>
      <w:spacing w:after="100" w:line="278" w:lineRule="auto"/>
      <w:ind w:left="1680" w:firstLine="0"/>
    </w:pPr>
    <w:rPr>
      <w:rFonts w:asciiTheme="minorHAnsi" w:eastAsiaTheme="minorEastAsia" w:hAnsiTheme="minorHAnsi"/>
      <w:kern w:val="2"/>
      <w:sz w:val="24"/>
      <w:szCs w:val="24"/>
      <w14:ligatures w14:val="standardContextual"/>
    </w:rPr>
  </w:style>
  <w:style w:type="paragraph" w:styleId="Caption">
    <w:name w:val="caption"/>
    <w:basedOn w:val="Normal"/>
    <w:next w:val="Normal"/>
    <w:uiPriority w:val="35"/>
    <w:unhideWhenUsed/>
    <w:qFormat/>
    <w:rsid w:val="00F53FCF"/>
    <w:pPr>
      <w:keepNext/>
      <w:spacing w:after="200" w:line="240" w:lineRule="auto"/>
      <w:ind w:firstLine="0"/>
    </w:pPr>
    <w:rPr>
      <w:b/>
      <w:bCs/>
      <w:color w:val="000000" w:themeColor="text1"/>
      <w:sz w:val="24"/>
      <w:szCs w:val="24"/>
    </w:rPr>
  </w:style>
  <w:style w:type="paragraph" w:customStyle="1" w:styleId="Default">
    <w:name w:val="Default"/>
    <w:rsid w:val="00DD239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andardChar">
    <w:name w:val="Standard Char"/>
    <w:basedOn w:val="DefaultParagraphFont"/>
    <w:link w:val="Standard"/>
    <w:rsid w:val="00BB742F"/>
    <w:rPr>
      <w:rFonts w:ascii="Book Antiqua" w:hAnsi="Book Antiqua"/>
      <w:sz w:val="26"/>
    </w:rPr>
  </w:style>
  <w:style w:type="table" w:customStyle="1" w:styleId="TableGrid1">
    <w:name w:val="Table Grid1"/>
    <w:basedOn w:val="TableNormal"/>
    <w:next w:val="TableGrid"/>
    <w:uiPriority w:val="39"/>
    <w:rsid w:val="00BC458D"/>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B2A7E"/>
    <w:rPr>
      <w:color w:val="954F72" w:themeColor="followedHyperlink"/>
      <w:u w:val="single"/>
    </w:rPr>
  </w:style>
  <w:style w:type="table" w:customStyle="1" w:styleId="TableGrid2">
    <w:name w:val="Table Grid2"/>
    <w:basedOn w:val="TableNormal"/>
    <w:next w:val="TableGrid"/>
    <w:uiPriority w:val="39"/>
    <w:rsid w:val="006B2A7E"/>
    <w:pPr>
      <w:spacing w:after="0" w:line="240" w:lineRule="auto"/>
    </w:pPr>
    <w:rPr>
      <w:kern w:val="2"/>
      <w:sz w:val="24"/>
      <w:szCs w:val="24"/>
      <w14:ligatures w14:val="standardContextual"/>
    </w:rPr>
    <w:tblPr/>
  </w:style>
  <w:style w:type="paragraph" w:customStyle="1" w:styleId="Condition">
    <w:name w:val="Condition"/>
    <w:basedOn w:val="ListNum"/>
    <w:link w:val="ConditionChar"/>
    <w:qFormat/>
    <w:rsid w:val="001E1C94"/>
  </w:style>
  <w:style w:type="character" w:customStyle="1" w:styleId="ListNumChar">
    <w:name w:val="List Num Char"/>
    <w:basedOn w:val="StandardChar"/>
    <w:link w:val="ListNum"/>
    <w:uiPriority w:val="4"/>
    <w:rsid w:val="001E1C94"/>
    <w:rPr>
      <w:rFonts w:ascii="Book Antiqua" w:hAnsi="Book Antiqua"/>
      <w:sz w:val="26"/>
    </w:rPr>
  </w:style>
  <w:style w:type="character" w:customStyle="1" w:styleId="ConditionChar">
    <w:name w:val="Condition Char"/>
    <w:basedOn w:val="ListNumChar"/>
    <w:link w:val="Condition"/>
    <w:rsid w:val="001E1C94"/>
    <w:rPr>
      <w:rFonts w:ascii="Book Antiqua" w:hAnsi="Book Antiqua"/>
      <w:sz w:val="26"/>
    </w:rPr>
  </w:style>
  <w:style w:type="paragraph" w:styleId="Revision">
    <w:name w:val="Revision"/>
    <w:hidden/>
    <w:uiPriority w:val="99"/>
    <w:semiHidden/>
    <w:rsid w:val="005079D4"/>
    <w:pPr>
      <w:spacing w:after="0" w:line="240" w:lineRule="auto"/>
    </w:pPr>
    <w:rPr>
      <w:rFonts w:ascii="Book Antiqua" w:hAnsi="Book Antiqua"/>
      <w:sz w:val="26"/>
    </w:rPr>
  </w:style>
  <w:style w:type="character" w:styleId="Mention">
    <w:name w:val="Mention"/>
    <w:basedOn w:val="DefaultParagraphFont"/>
    <w:uiPriority w:val="99"/>
    <w:unhideWhenUsed/>
    <w:rsid w:val="00BC131A"/>
    <w:rPr>
      <w:color w:val="2B579A"/>
      <w:shd w:val="clear" w:color="auto" w:fill="E1DFDD"/>
    </w:rPr>
  </w:style>
  <w:style w:type="paragraph" w:styleId="Bibliography">
    <w:name w:val="Bibliography"/>
    <w:basedOn w:val="Normal"/>
    <w:next w:val="Normal"/>
    <w:uiPriority w:val="37"/>
    <w:semiHidden/>
    <w:unhideWhenUsed/>
    <w:rsid w:val="00434EC5"/>
  </w:style>
  <w:style w:type="paragraph" w:styleId="BlockText">
    <w:name w:val="Block Text"/>
    <w:basedOn w:val="Normal"/>
    <w:uiPriority w:val="99"/>
    <w:semiHidden/>
    <w:unhideWhenUsed/>
    <w:rsid w:val="00434EC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iPriority w:val="99"/>
    <w:semiHidden/>
    <w:unhideWhenUsed/>
    <w:rsid w:val="00434EC5"/>
    <w:pPr>
      <w:spacing w:after="120"/>
    </w:pPr>
  </w:style>
  <w:style w:type="character" w:customStyle="1" w:styleId="BodyTextChar">
    <w:name w:val="Body Text Char"/>
    <w:basedOn w:val="DefaultParagraphFont"/>
    <w:link w:val="BodyText"/>
    <w:uiPriority w:val="99"/>
    <w:semiHidden/>
    <w:rsid w:val="00434EC5"/>
    <w:rPr>
      <w:rFonts w:ascii="Book Antiqua" w:hAnsi="Book Antiqua"/>
      <w:sz w:val="26"/>
    </w:rPr>
  </w:style>
  <w:style w:type="paragraph" w:styleId="BodyText2">
    <w:name w:val="Body Text 2"/>
    <w:basedOn w:val="Normal"/>
    <w:link w:val="BodyText2Char"/>
    <w:uiPriority w:val="99"/>
    <w:semiHidden/>
    <w:unhideWhenUsed/>
    <w:rsid w:val="00434EC5"/>
    <w:pPr>
      <w:spacing w:after="120" w:line="480" w:lineRule="auto"/>
    </w:pPr>
  </w:style>
  <w:style w:type="character" w:customStyle="1" w:styleId="BodyText2Char">
    <w:name w:val="Body Text 2 Char"/>
    <w:basedOn w:val="DefaultParagraphFont"/>
    <w:link w:val="BodyText2"/>
    <w:uiPriority w:val="99"/>
    <w:semiHidden/>
    <w:rsid w:val="00434EC5"/>
    <w:rPr>
      <w:rFonts w:ascii="Book Antiqua" w:hAnsi="Book Antiqua"/>
      <w:sz w:val="26"/>
    </w:rPr>
  </w:style>
  <w:style w:type="paragraph" w:styleId="BodyText3">
    <w:name w:val="Body Text 3"/>
    <w:basedOn w:val="Normal"/>
    <w:link w:val="BodyText3Char"/>
    <w:uiPriority w:val="99"/>
    <w:semiHidden/>
    <w:unhideWhenUsed/>
    <w:rsid w:val="00434EC5"/>
    <w:pPr>
      <w:spacing w:after="120"/>
    </w:pPr>
    <w:rPr>
      <w:sz w:val="16"/>
      <w:szCs w:val="16"/>
    </w:rPr>
  </w:style>
  <w:style w:type="character" w:customStyle="1" w:styleId="BodyText3Char">
    <w:name w:val="Body Text 3 Char"/>
    <w:basedOn w:val="DefaultParagraphFont"/>
    <w:link w:val="BodyText3"/>
    <w:uiPriority w:val="99"/>
    <w:semiHidden/>
    <w:rsid w:val="00434EC5"/>
    <w:rPr>
      <w:rFonts w:ascii="Book Antiqua" w:hAnsi="Book Antiqua"/>
      <w:sz w:val="16"/>
      <w:szCs w:val="16"/>
    </w:rPr>
  </w:style>
  <w:style w:type="paragraph" w:styleId="BodyTextFirstIndent">
    <w:name w:val="Body Text First Indent"/>
    <w:basedOn w:val="BodyText"/>
    <w:link w:val="BodyTextFirstIndentChar"/>
    <w:uiPriority w:val="99"/>
    <w:semiHidden/>
    <w:unhideWhenUsed/>
    <w:rsid w:val="00434EC5"/>
    <w:pPr>
      <w:spacing w:after="0"/>
      <w:ind w:firstLine="360"/>
    </w:pPr>
  </w:style>
  <w:style w:type="character" w:customStyle="1" w:styleId="BodyTextFirstIndentChar">
    <w:name w:val="Body Text First Indent Char"/>
    <w:basedOn w:val="BodyTextChar"/>
    <w:link w:val="BodyTextFirstIndent"/>
    <w:uiPriority w:val="99"/>
    <w:semiHidden/>
    <w:rsid w:val="00434EC5"/>
    <w:rPr>
      <w:rFonts w:ascii="Book Antiqua" w:hAnsi="Book Antiqua"/>
      <w:sz w:val="26"/>
    </w:rPr>
  </w:style>
  <w:style w:type="paragraph" w:styleId="BodyTextIndent">
    <w:name w:val="Body Text Indent"/>
    <w:basedOn w:val="Normal"/>
    <w:link w:val="BodyTextIndentChar"/>
    <w:uiPriority w:val="99"/>
    <w:semiHidden/>
    <w:unhideWhenUsed/>
    <w:rsid w:val="00434EC5"/>
    <w:pPr>
      <w:spacing w:after="120"/>
      <w:ind w:left="360"/>
    </w:pPr>
  </w:style>
  <w:style w:type="character" w:customStyle="1" w:styleId="BodyTextIndentChar">
    <w:name w:val="Body Text Indent Char"/>
    <w:basedOn w:val="DefaultParagraphFont"/>
    <w:link w:val="BodyTextIndent"/>
    <w:uiPriority w:val="99"/>
    <w:semiHidden/>
    <w:rsid w:val="00434EC5"/>
    <w:rPr>
      <w:rFonts w:ascii="Book Antiqua" w:hAnsi="Book Antiqua"/>
      <w:sz w:val="26"/>
    </w:rPr>
  </w:style>
  <w:style w:type="paragraph" w:styleId="BodyTextFirstIndent2">
    <w:name w:val="Body Text First Indent 2"/>
    <w:basedOn w:val="BodyTextIndent"/>
    <w:link w:val="BodyTextFirstIndent2Char"/>
    <w:uiPriority w:val="99"/>
    <w:semiHidden/>
    <w:unhideWhenUsed/>
    <w:rsid w:val="00434EC5"/>
    <w:pPr>
      <w:spacing w:after="0"/>
      <w:ind w:firstLine="360"/>
    </w:pPr>
  </w:style>
  <w:style w:type="character" w:customStyle="1" w:styleId="BodyTextFirstIndent2Char">
    <w:name w:val="Body Text First Indent 2 Char"/>
    <w:basedOn w:val="BodyTextIndentChar"/>
    <w:link w:val="BodyTextFirstIndent2"/>
    <w:uiPriority w:val="99"/>
    <w:semiHidden/>
    <w:rsid w:val="00434EC5"/>
    <w:rPr>
      <w:rFonts w:ascii="Book Antiqua" w:hAnsi="Book Antiqua"/>
      <w:sz w:val="26"/>
    </w:rPr>
  </w:style>
  <w:style w:type="paragraph" w:styleId="BodyTextIndent2">
    <w:name w:val="Body Text Indent 2"/>
    <w:basedOn w:val="Normal"/>
    <w:link w:val="BodyTextIndent2Char"/>
    <w:uiPriority w:val="99"/>
    <w:semiHidden/>
    <w:unhideWhenUsed/>
    <w:rsid w:val="00434EC5"/>
    <w:pPr>
      <w:spacing w:after="120" w:line="480" w:lineRule="auto"/>
      <w:ind w:left="360"/>
    </w:pPr>
  </w:style>
  <w:style w:type="character" w:customStyle="1" w:styleId="BodyTextIndent2Char">
    <w:name w:val="Body Text Indent 2 Char"/>
    <w:basedOn w:val="DefaultParagraphFont"/>
    <w:link w:val="BodyTextIndent2"/>
    <w:uiPriority w:val="99"/>
    <w:semiHidden/>
    <w:rsid w:val="00434EC5"/>
    <w:rPr>
      <w:rFonts w:ascii="Book Antiqua" w:hAnsi="Book Antiqua"/>
      <w:sz w:val="26"/>
    </w:rPr>
  </w:style>
  <w:style w:type="paragraph" w:styleId="BodyTextIndent3">
    <w:name w:val="Body Text Indent 3"/>
    <w:basedOn w:val="Normal"/>
    <w:link w:val="BodyTextIndent3Char"/>
    <w:uiPriority w:val="99"/>
    <w:semiHidden/>
    <w:unhideWhenUsed/>
    <w:rsid w:val="00434EC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34EC5"/>
    <w:rPr>
      <w:rFonts w:ascii="Book Antiqua" w:hAnsi="Book Antiqua"/>
      <w:sz w:val="16"/>
      <w:szCs w:val="16"/>
    </w:rPr>
  </w:style>
  <w:style w:type="paragraph" w:styleId="Closing">
    <w:name w:val="Closing"/>
    <w:basedOn w:val="Normal"/>
    <w:link w:val="ClosingChar"/>
    <w:uiPriority w:val="99"/>
    <w:semiHidden/>
    <w:unhideWhenUsed/>
    <w:rsid w:val="00434EC5"/>
    <w:pPr>
      <w:spacing w:line="240" w:lineRule="auto"/>
      <w:ind w:left="4320"/>
    </w:pPr>
  </w:style>
  <w:style w:type="character" w:customStyle="1" w:styleId="ClosingChar">
    <w:name w:val="Closing Char"/>
    <w:basedOn w:val="DefaultParagraphFont"/>
    <w:link w:val="Closing"/>
    <w:uiPriority w:val="99"/>
    <w:semiHidden/>
    <w:rsid w:val="00434EC5"/>
    <w:rPr>
      <w:rFonts w:ascii="Book Antiqua" w:hAnsi="Book Antiqua"/>
      <w:sz w:val="26"/>
    </w:rPr>
  </w:style>
  <w:style w:type="paragraph" w:styleId="Date">
    <w:name w:val="Date"/>
    <w:basedOn w:val="Normal"/>
    <w:next w:val="Normal"/>
    <w:link w:val="DateChar"/>
    <w:uiPriority w:val="99"/>
    <w:semiHidden/>
    <w:unhideWhenUsed/>
    <w:rsid w:val="00434EC5"/>
  </w:style>
  <w:style w:type="character" w:customStyle="1" w:styleId="DateChar">
    <w:name w:val="Date Char"/>
    <w:basedOn w:val="DefaultParagraphFont"/>
    <w:link w:val="Date"/>
    <w:uiPriority w:val="99"/>
    <w:semiHidden/>
    <w:rsid w:val="00434EC5"/>
    <w:rPr>
      <w:rFonts w:ascii="Book Antiqua" w:hAnsi="Book Antiqua"/>
      <w:sz w:val="26"/>
    </w:rPr>
  </w:style>
  <w:style w:type="paragraph" w:styleId="DocumentMap">
    <w:name w:val="Document Map"/>
    <w:basedOn w:val="Normal"/>
    <w:link w:val="DocumentMapChar"/>
    <w:uiPriority w:val="99"/>
    <w:semiHidden/>
    <w:unhideWhenUsed/>
    <w:rsid w:val="00434EC5"/>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34EC5"/>
    <w:rPr>
      <w:rFonts w:ascii="Segoe UI" w:hAnsi="Segoe UI" w:cs="Segoe UI"/>
      <w:sz w:val="16"/>
      <w:szCs w:val="16"/>
    </w:rPr>
  </w:style>
  <w:style w:type="paragraph" w:styleId="E-mailSignature">
    <w:name w:val="E-mail Signature"/>
    <w:basedOn w:val="Normal"/>
    <w:link w:val="E-mailSignatureChar"/>
    <w:uiPriority w:val="99"/>
    <w:semiHidden/>
    <w:unhideWhenUsed/>
    <w:rsid w:val="00434EC5"/>
    <w:pPr>
      <w:spacing w:line="240" w:lineRule="auto"/>
    </w:pPr>
  </w:style>
  <w:style w:type="character" w:customStyle="1" w:styleId="E-mailSignatureChar">
    <w:name w:val="E-mail Signature Char"/>
    <w:basedOn w:val="DefaultParagraphFont"/>
    <w:link w:val="E-mailSignature"/>
    <w:uiPriority w:val="99"/>
    <w:semiHidden/>
    <w:rsid w:val="00434EC5"/>
    <w:rPr>
      <w:rFonts w:ascii="Book Antiqua" w:hAnsi="Book Antiqua"/>
      <w:sz w:val="26"/>
    </w:rPr>
  </w:style>
  <w:style w:type="paragraph" w:styleId="EndnoteText">
    <w:name w:val="endnote text"/>
    <w:basedOn w:val="Normal"/>
    <w:link w:val="EndnoteTextChar"/>
    <w:uiPriority w:val="99"/>
    <w:semiHidden/>
    <w:unhideWhenUsed/>
    <w:rsid w:val="00434EC5"/>
    <w:pPr>
      <w:spacing w:line="240" w:lineRule="auto"/>
    </w:pPr>
    <w:rPr>
      <w:sz w:val="20"/>
      <w:szCs w:val="20"/>
    </w:rPr>
  </w:style>
  <w:style w:type="character" w:customStyle="1" w:styleId="EndnoteTextChar">
    <w:name w:val="Endnote Text Char"/>
    <w:basedOn w:val="DefaultParagraphFont"/>
    <w:link w:val="EndnoteText"/>
    <w:uiPriority w:val="99"/>
    <w:semiHidden/>
    <w:rsid w:val="00434EC5"/>
    <w:rPr>
      <w:rFonts w:ascii="Book Antiqua" w:hAnsi="Book Antiqua"/>
      <w:sz w:val="20"/>
      <w:szCs w:val="20"/>
    </w:rPr>
  </w:style>
  <w:style w:type="paragraph" w:styleId="EnvelopeAddress">
    <w:name w:val="envelope address"/>
    <w:basedOn w:val="Normal"/>
    <w:uiPriority w:val="99"/>
    <w:semiHidden/>
    <w:unhideWhenUsed/>
    <w:rsid w:val="00434EC5"/>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34EC5"/>
    <w:pPr>
      <w:spacing w:line="240" w:lineRule="auto"/>
    </w:pPr>
    <w:rPr>
      <w:rFonts w:asciiTheme="majorHAnsi" w:eastAsiaTheme="majorEastAsia" w:hAnsiTheme="majorHAnsi" w:cstheme="majorBidi"/>
      <w:sz w:val="20"/>
      <w:szCs w:val="20"/>
    </w:rPr>
  </w:style>
  <w:style w:type="character" w:customStyle="1" w:styleId="Heading7Char">
    <w:name w:val="Heading 7 Char"/>
    <w:basedOn w:val="DefaultParagraphFont"/>
    <w:link w:val="Heading7"/>
    <w:uiPriority w:val="9"/>
    <w:semiHidden/>
    <w:rsid w:val="00434EC5"/>
    <w:rPr>
      <w:rFonts w:asciiTheme="majorHAnsi" w:eastAsiaTheme="majorEastAsia" w:hAnsiTheme="majorHAnsi" w:cstheme="majorBidi"/>
      <w:i/>
      <w:iCs/>
      <w:color w:val="1F3763" w:themeColor="accent1" w:themeShade="7F"/>
      <w:sz w:val="26"/>
    </w:rPr>
  </w:style>
  <w:style w:type="character" w:customStyle="1" w:styleId="Heading8Char">
    <w:name w:val="Heading 8 Char"/>
    <w:basedOn w:val="DefaultParagraphFont"/>
    <w:link w:val="Heading8"/>
    <w:uiPriority w:val="9"/>
    <w:semiHidden/>
    <w:rsid w:val="00434EC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34EC5"/>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434EC5"/>
    <w:pPr>
      <w:spacing w:line="240" w:lineRule="auto"/>
    </w:pPr>
    <w:rPr>
      <w:i/>
      <w:iCs/>
    </w:rPr>
  </w:style>
  <w:style w:type="character" w:customStyle="1" w:styleId="HTMLAddressChar">
    <w:name w:val="HTML Address Char"/>
    <w:basedOn w:val="DefaultParagraphFont"/>
    <w:link w:val="HTMLAddress"/>
    <w:uiPriority w:val="99"/>
    <w:semiHidden/>
    <w:rsid w:val="00434EC5"/>
    <w:rPr>
      <w:rFonts w:ascii="Book Antiqua" w:hAnsi="Book Antiqua"/>
      <w:i/>
      <w:iCs/>
      <w:sz w:val="26"/>
    </w:rPr>
  </w:style>
  <w:style w:type="paragraph" w:styleId="HTMLPreformatted">
    <w:name w:val="HTML Preformatted"/>
    <w:basedOn w:val="Normal"/>
    <w:link w:val="HTMLPreformattedChar"/>
    <w:uiPriority w:val="99"/>
    <w:semiHidden/>
    <w:unhideWhenUsed/>
    <w:rsid w:val="00434EC5"/>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34EC5"/>
    <w:rPr>
      <w:rFonts w:ascii="Consolas" w:hAnsi="Consolas"/>
      <w:sz w:val="20"/>
      <w:szCs w:val="20"/>
    </w:rPr>
  </w:style>
  <w:style w:type="paragraph" w:styleId="Index1">
    <w:name w:val="index 1"/>
    <w:basedOn w:val="Normal"/>
    <w:next w:val="Normal"/>
    <w:autoRedefine/>
    <w:uiPriority w:val="99"/>
    <w:semiHidden/>
    <w:unhideWhenUsed/>
    <w:rsid w:val="00434EC5"/>
    <w:pPr>
      <w:spacing w:line="240" w:lineRule="auto"/>
      <w:ind w:left="260" w:hanging="260"/>
    </w:pPr>
  </w:style>
  <w:style w:type="paragraph" w:styleId="Index2">
    <w:name w:val="index 2"/>
    <w:basedOn w:val="Normal"/>
    <w:next w:val="Normal"/>
    <w:autoRedefine/>
    <w:uiPriority w:val="99"/>
    <w:semiHidden/>
    <w:unhideWhenUsed/>
    <w:rsid w:val="00434EC5"/>
    <w:pPr>
      <w:spacing w:line="240" w:lineRule="auto"/>
      <w:ind w:left="520" w:hanging="260"/>
    </w:pPr>
  </w:style>
  <w:style w:type="paragraph" w:styleId="Index3">
    <w:name w:val="index 3"/>
    <w:basedOn w:val="Normal"/>
    <w:next w:val="Normal"/>
    <w:autoRedefine/>
    <w:uiPriority w:val="99"/>
    <w:semiHidden/>
    <w:unhideWhenUsed/>
    <w:rsid w:val="00434EC5"/>
    <w:pPr>
      <w:spacing w:line="240" w:lineRule="auto"/>
      <w:ind w:left="780" w:hanging="260"/>
    </w:pPr>
  </w:style>
  <w:style w:type="paragraph" w:styleId="Index4">
    <w:name w:val="index 4"/>
    <w:basedOn w:val="Normal"/>
    <w:next w:val="Normal"/>
    <w:autoRedefine/>
    <w:uiPriority w:val="99"/>
    <w:semiHidden/>
    <w:unhideWhenUsed/>
    <w:rsid w:val="00434EC5"/>
    <w:pPr>
      <w:spacing w:line="240" w:lineRule="auto"/>
      <w:ind w:left="1040" w:hanging="260"/>
    </w:pPr>
  </w:style>
  <w:style w:type="paragraph" w:styleId="Index5">
    <w:name w:val="index 5"/>
    <w:basedOn w:val="Normal"/>
    <w:next w:val="Normal"/>
    <w:autoRedefine/>
    <w:uiPriority w:val="99"/>
    <w:semiHidden/>
    <w:unhideWhenUsed/>
    <w:rsid w:val="00434EC5"/>
    <w:pPr>
      <w:spacing w:line="240" w:lineRule="auto"/>
      <w:ind w:left="1300" w:hanging="260"/>
    </w:pPr>
  </w:style>
  <w:style w:type="paragraph" w:styleId="Index6">
    <w:name w:val="index 6"/>
    <w:basedOn w:val="Normal"/>
    <w:next w:val="Normal"/>
    <w:autoRedefine/>
    <w:uiPriority w:val="99"/>
    <w:semiHidden/>
    <w:unhideWhenUsed/>
    <w:rsid w:val="00434EC5"/>
    <w:pPr>
      <w:spacing w:line="240" w:lineRule="auto"/>
      <w:ind w:left="1560" w:hanging="260"/>
    </w:pPr>
  </w:style>
  <w:style w:type="paragraph" w:styleId="Index7">
    <w:name w:val="index 7"/>
    <w:basedOn w:val="Normal"/>
    <w:next w:val="Normal"/>
    <w:autoRedefine/>
    <w:uiPriority w:val="99"/>
    <w:semiHidden/>
    <w:unhideWhenUsed/>
    <w:rsid w:val="00434EC5"/>
    <w:pPr>
      <w:spacing w:line="240" w:lineRule="auto"/>
      <w:ind w:left="1820" w:hanging="260"/>
    </w:pPr>
  </w:style>
  <w:style w:type="paragraph" w:styleId="Index8">
    <w:name w:val="index 8"/>
    <w:basedOn w:val="Normal"/>
    <w:next w:val="Normal"/>
    <w:autoRedefine/>
    <w:uiPriority w:val="99"/>
    <w:semiHidden/>
    <w:unhideWhenUsed/>
    <w:rsid w:val="00434EC5"/>
    <w:pPr>
      <w:spacing w:line="240" w:lineRule="auto"/>
      <w:ind w:left="2080" w:hanging="260"/>
    </w:pPr>
  </w:style>
  <w:style w:type="paragraph" w:styleId="Index9">
    <w:name w:val="index 9"/>
    <w:basedOn w:val="Normal"/>
    <w:next w:val="Normal"/>
    <w:autoRedefine/>
    <w:uiPriority w:val="99"/>
    <w:semiHidden/>
    <w:unhideWhenUsed/>
    <w:rsid w:val="00434EC5"/>
    <w:pPr>
      <w:spacing w:line="240" w:lineRule="auto"/>
      <w:ind w:left="2340" w:hanging="260"/>
    </w:pPr>
  </w:style>
  <w:style w:type="paragraph" w:styleId="IndexHeading">
    <w:name w:val="index heading"/>
    <w:basedOn w:val="Normal"/>
    <w:next w:val="Index1"/>
    <w:uiPriority w:val="99"/>
    <w:semiHidden/>
    <w:unhideWhenUsed/>
    <w:rsid w:val="00434EC5"/>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rsid w:val="00434EC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semiHidden/>
    <w:rsid w:val="00434EC5"/>
    <w:rPr>
      <w:rFonts w:ascii="Book Antiqua" w:hAnsi="Book Antiqua"/>
      <w:i/>
      <w:iCs/>
      <w:color w:val="4472C4" w:themeColor="accent1"/>
      <w:sz w:val="26"/>
    </w:rPr>
  </w:style>
  <w:style w:type="paragraph" w:styleId="List">
    <w:name w:val="List"/>
    <w:basedOn w:val="Normal"/>
    <w:uiPriority w:val="99"/>
    <w:semiHidden/>
    <w:unhideWhenUsed/>
    <w:rsid w:val="00434EC5"/>
    <w:pPr>
      <w:ind w:left="360" w:hanging="360"/>
      <w:contextualSpacing/>
    </w:pPr>
  </w:style>
  <w:style w:type="paragraph" w:styleId="List2">
    <w:name w:val="List 2"/>
    <w:basedOn w:val="Normal"/>
    <w:uiPriority w:val="99"/>
    <w:semiHidden/>
    <w:unhideWhenUsed/>
    <w:rsid w:val="00434EC5"/>
    <w:pPr>
      <w:ind w:left="720" w:hanging="360"/>
      <w:contextualSpacing/>
    </w:pPr>
  </w:style>
  <w:style w:type="paragraph" w:styleId="List3">
    <w:name w:val="List 3"/>
    <w:basedOn w:val="Normal"/>
    <w:uiPriority w:val="99"/>
    <w:semiHidden/>
    <w:unhideWhenUsed/>
    <w:rsid w:val="00434EC5"/>
    <w:pPr>
      <w:ind w:left="1080" w:hanging="360"/>
      <w:contextualSpacing/>
    </w:pPr>
  </w:style>
  <w:style w:type="paragraph" w:styleId="List4">
    <w:name w:val="List 4"/>
    <w:basedOn w:val="Normal"/>
    <w:uiPriority w:val="99"/>
    <w:semiHidden/>
    <w:unhideWhenUsed/>
    <w:rsid w:val="00434EC5"/>
    <w:pPr>
      <w:ind w:left="1440" w:hanging="360"/>
      <w:contextualSpacing/>
    </w:pPr>
  </w:style>
  <w:style w:type="paragraph" w:styleId="List5">
    <w:name w:val="List 5"/>
    <w:basedOn w:val="Normal"/>
    <w:uiPriority w:val="99"/>
    <w:semiHidden/>
    <w:unhideWhenUsed/>
    <w:rsid w:val="00434EC5"/>
    <w:pPr>
      <w:ind w:left="1800" w:hanging="360"/>
      <w:contextualSpacing/>
    </w:pPr>
  </w:style>
  <w:style w:type="paragraph" w:styleId="ListBullet2">
    <w:name w:val="List Bullet 2"/>
    <w:basedOn w:val="Normal"/>
    <w:uiPriority w:val="99"/>
    <w:semiHidden/>
    <w:unhideWhenUsed/>
    <w:rsid w:val="00434EC5"/>
    <w:pPr>
      <w:numPr>
        <w:numId w:val="43"/>
      </w:numPr>
      <w:contextualSpacing/>
    </w:pPr>
  </w:style>
  <w:style w:type="paragraph" w:styleId="ListBullet3">
    <w:name w:val="List Bullet 3"/>
    <w:basedOn w:val="Normal"/>
    <w:uiPriority w:val="99"/>
    <w:semiHidden/>
    <w:unhideWhenUsed/>
    <w:rsid w:val="00434EC5"/>
    <w:pPr>
      <w:numPr>
        <w:numId w:val="44"/>
      </w:numPr>
      <w:contextualSpacing/>
    </w:pPr>
  </w:style>
  <w:style w:type="paragraph" w:styleId="ListBullet4">
    <w:name w:val="List Bullet 4"/>
    <w:basedOn w:val="Normal"/>
    <w:uiPriority w:val="99"/>
    <w:semiHidden/>
    <w:unhideWhenUsed/>
    <w:rsid w:val="00434EC5"/>
    <w:pPr>
      <w:numPr>
        <w:numId w:val="45"/>
      </w:numPr>
      <w:contextualSpacing/>
    </w:pPr>
  </w:style>
  <w:style w:type="paragraph" w:styleId="ListBullet5">
    <w:name w:val="List Bullet 5"/>
    <w:basedOn w:val="Normal"/>
    <w:uiPriority w:val="99"/>
    <w:semiHidden/>
    <w:unhideWhenUsed/>
    <w:rsid w:val="00434EC5"/>
    <w:pPr>
      <w:numPr>
        <w:numId w:val="46"/>
      </w:numPr>
      <w:contextualSpacing/>
    </w:pPr>
  </w:style>
  <w:style w:type="paragraph" w:styleId="ListContinue">
    <w:name w:val="List Continue"/>
    <w:basedOn w:val="Normal"/>
    <w:uiPriority w:val="99"/>
    <w:semiHidden/>
    <w:unhideWhenUsed/>
    <w:rsid w:val="00434EC5"/>
    <w:pPr>
      <w:spacing w:after="120"/>
      <w:ind w:left="360"/>
      <w:contextualSpacing/>
    </w:pPr>
  </w:style>
  <w:style w:type="paragraph" w:styleId="ListContinue2">
    <w:name w:val="List Continue 2"/>
    <w:basedOn w:val="Normal"/>
    <w:uiPriority w:val="99"/>
    <w:semiHidden/>
    <w:unhideWhenUsed/>
    <w:rsid w:val="00434EC5"/>
    <w:pPr>
      <w:spacing w:after="120"/>
      <w:ind w:left="720"/>
      <w:contextualSpacing/>
    </w:pPr>
  </w:style>
  <w:style w:type="paragraph" w:styleId="ListContinue3">
    <w:name w:val="List Continue 3"/>
    <w:basedOn w:val="Normal"/>
    <w:uiPriority w:val="99"/>
    <w:semiHidden/>
    <w:unhideWhenUsed/>
    <w:rsid w:val="00434EC5"/>
    <w:pPr>
      <w:spacing w:after="120"/>
      <w:ind w:left="1080"/>
      <w:contextualSpacing/>
    </w:pPr>
  </w:style>
  <w:style w:type="paragraph" w:styleId="ListContinue4">
    <w:name w:val="List Continue 4"/>
    <w:basedOn w:val="Normal"/>
    <w:uiPriority w:val="99"/>
    <w:semiHidden/>
    <w:unhideWhenUsed/>
    <w:rsid w:val="00434EC5"/>
    <w:pPr>
      <w:spacing w:after="120"/>
      <w:ind w:left="1440"/>
      <w:contextualSpacing/>
    </w:pPr>
  </w:style>
  <w:style w:type="paragraph" w:styleId="ListContinue5">
    <w:name w:val="List Continue 5"/>
    <w:basedOn w:val="Normal"/>
    <w:uiPriority w:val="99"/>
    <w:semiHidden/>
    <w:unhideWhenUsed/>
    <w:rsid w:val="00434EC5"/>
    <w:pPr>
      <w:spacing w:after="120"/>
      <w:ind w:left="1800"/>
      <w:contextualSpacing/>
    </w:pPr>
  </w:style>
  <w:style w:type="paragraph" w:styleId="ListNumber">
    <w:name w:val="List Number"/>
    <w:basedOn w:val="Normal"/>
    <w:uiPriority w:val="99"/>
    <w:semiHidden/>
    <w:unhideWhenUsed/>
    <w:rsid w:val="00434EC5"/>
    <w:pPr>
      <w:numPr>
        <w:numId w:val="47"/>
      </w:numPr>
      <w:contextualSpacing/>
    </w:pPr>
  </w:style>
  <w:style w:type="paragraph" w:styleId="ListNumber2">
    <w:name w:val="List Number 2"/>
    <w:basedOn w:val="Normal"/>
    <w:uiPriority w:val="99"/>
    <w:semiHidden/>
    <w:unhideWhenUsed/>
    <w:rsid w:val="00434EC5"/>
    <w:pPr>
      <w:numPr>
        <w:numId w:val="48"/>
      </w:numPr>
      <w:contextualSpacing/>
    </w:pPr>
  </w:style>
  <w:style w:type="paragraph" w:styleId="ListNumber3">
    <w:name w:val="List Number 3"/>
    <w:basedOn w:val="Normal"/>
    <w:uiPriority w:val="99"/>
    <w:semiHidden/>
    <w:unhideWhenUsed/>
    <w:rsid w:val="00434EC5"/>
    <w:pPr>
      <w:numPr>
        <w:numId w:val="49"/>
      </w:numPr>
      <w:contextualSpacing/>
    </w:pPr>
  </w:style>
  <w:style w:type="paragraph" w:styleId="ListNumber4">
    <w:name w:val="List Number 4"/>
    <w:basedOn w:val="Normal"/>
    <w:uiPriority w:val="99"/>
    <w:semiHidden/>
    <w:unhideWhenUsed/>
    <w:rsid w:val="00434EC5"/>
    <w:pPr>
      <w:numPr>
        <w:numId w:val="50"/>
      </w:numPr>
      <w:contextualSpacing/>
    </w:pPr>
  </w:style>
  <w:style w:type="paragraph" w:styleId="ListNumber5">
    <w:name w:val="List Number 5"/>
    <w:basedOn w:val="Normal"/>
    <w:uiPriority w:val="99"/>
    <w:semiHidden/>
    <w:unhideWhenUsed/>
    <w:rsid w:val="00434EC5"/>
    <w:pPr>
      <w:numPr>
        <w:numId w:val="51"/>
      </w:numPr>
      <w:contextualSpacing/>
    </w:pPr>
  </w:style>
  <w:style w:type="paragraph" w:styleId="ListParagraph">
    <w:name w:val="List Paragraph"/>
    <w:basedOn w:val="Normal"/>
    <w:uiPriority w:val="34"/>
    <w:rsid w:val="00434EC5"/>
    <w:pPr>
      <w:ind w:left="720"/>
      <w:contextualSpacing/>
    </w:pPr>
  </w:style>
  <w:style w:type="paragraph" w:styleId="MacroText">
    <w:name w:val="macro"/>
    <w:link w:val="MacroTextChar"/>
    <w:uiPriority w:val="99"/>
    <w:semiHidden/>
    <w:unhideWhenUsed/>
    <w:rsid w:val="00434EC5"/>
    <w:pPr>
      <w:tabs>
        <w:tab w:val="left" w:pos="480"/>
        <w:tab w:val="left" w:pos="960"/>
        <w:tab w:val="left" w:pos="1440"/>
        <w:tab w:val="left" w:pos="1920"/>
        <w:tab w:val="left" w:pos="2400"/>
        <w:tab w:val="left" w:pos="2880"/>
        <w:tab w:val="left" w:pos="3360"/>
        <w:tab w:val="left" w:pos="3840"/>
        <w:tab w:val="left" w:pos="4320"/>
      </w:tabs>
      <w:spacing w:after="0" w:line="360" w:lineRule="auto"/>
      <w:ind w:firstLine="720"/>
    </w:pPr>
    <w:rPr>
      <w:rFonts w:ascii="Consolas" w:hAnsi="Consolas"/>
      <w:sz w:val="20"/>
      <w:szCs w:val="20"/>
    </w:rPr>
  </w:style>
  <w:style w:type="character" w:customStyle="1" w:styleId="MacroTextChar">
    <w:name w:val="Macro Text Char"/>
    <w:basedOn w:val="DefaultParagraphFont"/>
    <w:link w:val="MacroText"/>
    <w:uiPriority w:val="99"/>
    <w:semiHidden/>
    <w:rsid w:val="00434EC5"/>
    <w:rPr>
      <w:rFonts w:ascii="Consolas" w:hAnsi="Consolas"/>
      <w:sz w:val="20"/>
      <w:szCs w:val="20"/>
    </w:rPr>
  </w:style>
  <w:style w:type="paragraph" w:styleId="MessageHeader">
    <w:name w:val="Message Header"/>
    <w:basedOn w:val="Normal"/>
    <w:link w:val="MessageHeaderChar"/>
    <w:uiPriority w:val="99"/>
    <w:semiHidden/>
    <w:unhideWhenUsed/>
    <w:rsid w:val="00434EC5"/>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34EC5"/>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434EC5"/>
    <w:pPr>
      <w:ind w:left="720"/>
    </w:pPr>
  </w:style>
  <w:style w:type="paragraph" w:styleId="NoteHeading">
    <w:name w:val="Note Heading"/>
    <w:basedOn w:val="Normal"/>
    <w:next w:val="Normal"/>
    <w:link w:val="NoteHeadingChar"/>
    <w:uiPriority w:val="99"/>
    <w:semiHidden/>
    <w:unhideWhenUsed/>
    <w:rsid w:val="00434EC5"/>
    <w:pPr>
      <w:spacing w:line="240" w:lineRule="auto"/>
    </w:pPr>
  </w:style>
  <w:style w:type="character" w:customStyle="1" w:styleId="NoteHeadingChar">
    <w:name w:val="Note Heading Char"/>
    <w:basedOn w:val="DefaultParagraphFont"/>
    <w:link w:val="NoteHeading"/>
    <w:uiPriority w:val="99"/>
    <w:semiHidden/>
    <w:rsid w:val="00434EC5"/>
    <w:rPr>
      <w:rFonts w:ascii="Book Antiqua" w:hAnsi="Book Antiqua"/>
      <w:sz w:val="26"/>
    </w:rPr>
  </w:style>
  <w:style w:type="paragraph" w:styleId="PlainText">
    <w:name w:val="Plain Text"/>
    <w:basedOn w:val="Normal"/>
    <w:link w:val="PlainTextChar"/>
    <w:uiPriority w:val="99"/>
    <w:semiHidden/>
    <w:unhideWhenUsed/>
    <w:rsid w:val="00434EC5"/>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34EC5"/>
    <w:rPr>
      <w:rFonts w:ascii="Consolas" w:hAnsi="Consolas"/>
      <w:sz w:val="21"/>
      <w:szCs w:val="21"/>
    </w:rPr>
  </w:style>
  <w:style w:type="paragraph" w:styleId="Quote">
    <w:name w:val="Quote"/>
    <w:basedOn w:val="Normal"/>
    <w:next w:val="Normal"/>
    <w:link w:val="QuoteChar"/>
    <w:uiPriority w:val="29"/>
    <w:semiHidden/>
    <w:rsid w:val="00434EC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434EC5"/>
    <w:rPr>
      <w:rFonts w:ascii="Book Antiqua" w:hAnsi="Book Antiqua"/>
      <w:i/>
      <w:iCs/>
      <w:color w:val="404040" w:themeColor="text1" w:themeTint="BF"/>
      <w:sz w:val="26"/>
    </w:rPr>
  </w:style>
  <w:style w:type="paragraph" w:styleId="Salutation">
    <w:name w:val="Salutation"/>
    <w:basedOn w:val="Normal"/>
    <w:next w:val="Normal"/>
    <w:link w:val="SalutationChar"/>
    <w:uiPriority w:val="99"/>
    <w:semiHidden/>
    <w:unhideWhenUsed/>
    <w:rsid w:val="00434EC5"/>
  </w:style>
  <w:style w:type="character" w:customStyle="1" w:styleId="SalutationChar">
    <w:name w:val="Salutation Char"/>
    <w:basedOn w:val="DefaultParagraphFont"/>
    <w:link w:val="Salutation"/>
    <w:uiPriority w:val="99"/>
    <w:semiHidden/>
    <w:rsid w:val="00434EC5"/>
    <w:rPr>
      <w:rFonts w:ascii="Book Antiqua" w:hAnsi="Book Antiqua"/>
      <w:sz w:val="26"/>
    </w:rPr>
  </w:style>
  <w:style w:type="paragraph" w:styleId="Signature">
    <w:name w:val="Signature"/>
    <w:basedOn w:val="Normal"/>
    <w:link w:val="SignatureChar"/>
    <w:uiPriority w:val="99"/>
    <w:semiHidden/>
    <w:unhideWhenUsed/>
    <w:rsid w:val="00434EC5"/>
    <w:pPr>
      <w:spacing w:line="240" w:lineRule="auto"/>
      <w:ind w:left="4320"/>
    </w:pPr>
  </w:style>
  <w:style w:type="character" w:customStyle="1" w:styleId="SignatureChar">
    <w:name w:val="Signature Char"/>
    <w:basedOn w:val="DefaultParagraphFont"/>
    <w:link w:val="Signature"/>
    <w:uiPriority w:val="99"/>
    <w:semiHidden/>
    <w:rsid w:val="00434EC5"/>
    <w:rPr>
      <w:rFonts w:ascii="Book Antiqua" w:hAnsi="Book Antiqua"/>
      <w:sz w:val="26"/>
    </w:rPr>
  </w:style>
  <w:style w:type="paragraph" w:styleId="Subtitle">
    <w:name w:val="Subtitle"/>
    <w:basedOn w:val="Normal"/>
    <w:next w:val="Normal"/>
    <w:link w:val="SubtitleChar"/>
    <w:uiPriority w:val="11"/>
    <w:semiHidden/>
    <w:rsid w:val="00434EC5"/>
    <w:pPr>
      <w:numPr>
        <w:ilvl w:val="1"/>
      </w:numPr>
      <w:spacing w:after="160"/>
      <w:ind w:firstLine="72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434EC5"/>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434EC5"/>
    <w:pPr>
      <w:ind w:left="260" w:hanging="260"/>
    </w:pPr>
  </w:style>
  <w:style w:type="paragraph" w:styleId="TableofFigures">
    <w:name w:val="table of figures"/>
    <w:basedOn w:val="Normal"/>
    <w:next w:val="Normal"/>
    <w:uiPriority w:val="99"/>
    <w:semiHidden/>
    <w:unhideWhenUsed/>
    <w:rsid w:val="00434EC5"/>
  </w:style>
  <w:style w:type="paragraph" w:styleId="TOAHeading">
    <w:name w:val="toa heading"/>
    <w:basedOn w:val="Normal"/>
    <w:next w:val="Normal"/>
    <w:uiPriority w:val="99"/>
    <w:semiHidden/>
    <w:unhideWhenUsed/>
    <w:rsid w:val="00434EC5"/>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662392062">
      <w:bodyDiv w:val="1"/>
      <w:marLeft w:val="0"/>
      <w:marRight w:val="0"/>
      <w:marTop w:val="0"/>
      <w:marBottom w:val="0"/>
      <w:divBdr>
        <w:top w:val="none" w:sz="0" w:space="0" w:color="auto"/>
        <w:left w:val="none" w:sz="0" w:space="0" w:color="auto"/>
        <w:bottom w:val="none" w:sz="0" w:space="0" w:color="auto"/>
        <w:right w:val="none" w:sz="0" w:space="0" w:color="auto"/>
      </w:divBdr>
    </w:div>
    <w:div w:id="783228182">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 w:id="1415083144">
      <w:bodyDiv w:val="1"/>
      <w:marLeft w:val="0"/>
      <w:marRight w:val="0"/>
      <w:marTop w:val="0"/>
      <w:marBottom w:val="0"/>
      <w:divBdr>
        <w:top w:val="none" w:sz="0" w:space="0" w:color="auto"/>
        <w:left w:val="none" w:sz="0" w:space="0" w:color="auto"/>
        <w:bottom w:val="none" w:sz="0" w:space="0" w:color="auto"/>
        <w:right w:val="none" w:sz="0" w:space="0" w:color="auto"/>
      </w:divBdr>
    </w:div>
    <w:div w:id="203391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hart" Target="charts/chart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image" Target="media/image1.png"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header" Target="head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theme" Target="theme/theme1.xml" Id="rId22" /><Relationship Type="http://schemas.openxmlformats.org/officeDocument/2006/relationships/hyperlink" Target="https://docs.cpuc.ca.gov/PublishedDocs/Published/G000/M595/K504/595504845.pdf" TargetMode="External" Id="R49e373a524e0478d" /><Relationship Type="http://schemas.openxmlformats.org/officeDocument/2006/relationships/hyperlink" Target="https://docs.cpuc.ca.gov/PublishedDocs/Published/G000/M595/K494/595494790.pdf" TargetMode="External" Id="R3f93e6a810244cb4" /><Relationship Type="http://schemas.openxmlformats.org/officeDocument/2006/relationships/hyperlink" Target="https://docs.cpuc.ca.gov/PublishedDocs/Published/G000/M595/K505/595505963.pdf" TargetMode="External" Id="R2312b80b9a914d2a" /><Relationship Type="http://schemas.openxmlformats.org/officeDocument/2006/relationships/hyperlink" Target="https://docs.cpuc.ca.gov/PublishedDocs/Published/G000/M595/K494/595494892.pdf" TargetMode="External" Id="Rc44ce973c6654c21" /></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capuc-my.sharepoint.com/personal/elizabeth_fox_cpuc_ca_gov/Documents/0%20ALJ%20Division%202023-/14%20A2410006%20-%20Verizon%20Frontier%20Transfer/Workplan%20for%20Verizon%20Frontier%20Transf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907236728623842"/>
          <c:y val="5.9270397051432402E-2"/>
          <c:w val="0.83487671501097882"/>
          <c:h val="0.63488758079997287"/>
        </c:manualLayout>
      </c:layout>
      <c:barChart>
        <c:barDir val="col"/>
        <c:grouping val="stacked"/>
        <c:varyColors val="0"/>
        <c:ser>
          <c:idx val="1"/>
          <c:order val="0"/>
          <c:tx>
            <c:strRef>
              <c:f>'ILEC Wirelines'!$B$7</c:f>
              <c:strCache>
                <c:ptCount val="1"/>
                <c:pt idx="0">
                  <c:v>Frontier California  </c:v>
                </c:pt>
              </c:strCache>
            </c:strRef>
          </c:tx>
          <c:spPr>
            <a:solidFill>
              <a:schemeClr val="tx1">
                <a:lumMod val="65000"/>
                <a:lumOff val="35000"/>
              </a:schemeClr>
            </a:solidFill>
            <a:ln>
              <a:noFill/>
            </a:ln>
            <a:effectLst/>
          </c:spPr>
          <c:invertIfNegative val="0"/>
          <c:cat>
            <c:numRef>
              <c:f>'ILEC Wirelines'!$C$5:$I$5</c:f>
              <c:numCache>
                <c:formatCode>General</c:formatCode>
                <c:ptCount val="7"/>
                <c:pt idx="0">
                  <c:v>2018</c:v>
                </c:pt>
                <c:pt idx="1">
                  <c:v>2019</c:v>
                </c:pt>
                <c:pt idx="2">
                  <c:v>2020</c:v>
                </c:pt>
                <c:pt idx="3">
                  <c:v>2021</c:v>
                </c:pt>
                <c:pt idx="4">
                  <c:v>2022</c:v>
                </c:pt>
                <c:pt idx="5">
                  <c:v>2023</c:v>
                </c:pt>
                <c:pt idx="6">
                  <c:v>2024</c:v>
                </c:pt>
              </c:numCache>
            </c:numRef>
          </c:cat>
          <c:val>
            <c:numRef>
              <c:f>'ILEC Wirelines'!$C$7:$I$7</c:f>
              <c:numCache>
                <c:formatCode>#,##0</c:formatCode>
                <c:ptCount val="7"/>
                <c:pt idx="0">
                  <c:v>814980</c:v>
                </c:pt>
                <c:pt idx="1">
                  <c:v>700108</c:v>
                </c:pt>
                <c:pt idx="2">
                  <c:v>530591</c:v>
                </c:pt>
                <c:pt idx="3">
                  <c:v>465792</c:v>
                </c:pt>
                <c:pt idx="4">
                  <c:v>406631</c:v>
                </c:pt>
                <c:pt idx="5">
                  <c:v>338980</c:v>
                </c:pt>
                <c:pt idx="6">
                  <c:v>282617</c:v>
                </c:pt>
              </c:numCache>
            </c:numRef>
          </c:val>
          <c:extLst>
            <c:ext xmlns:c16="http://schemas.microsoft.com/office/drawing/2014/chart" uri="{C3380CC4-5D6E-409C-BE32-E72D297353CC}">
              <c16:uniqueId val="{00000000-AA8D-4359-9AD9-0ABD4C94F247}"/>
            </c:ext>
          </c:extLst>
        </c:ser>
        <c:ser>
          <c:idx val="2"/>
          <c:order val="1"/>
          <c:tx>
            <c:strRef>
              <c:f>'ILEC Wirelines'!$B$8</c:f>
              <c:strCache>
                <c:ptCount val="1"/>
                <c:pt idx="0">
                  <c:v>Frontier Citizens Telecommunications Company  </c:v>
                </c:pt>
              </c:strCache>
            </c:strRef>
          </c:tx>
          <c:spPr>
            <a:solidFill>
              <a:schemeClr val="bg1">
                <a:lumMod val="65000"/>
              </a:schemeClr>
            </a:solidFill>
            <a:ln>
              <a:noFill/>
            </a:ln>
            <a:effectLst/>
          </c:spPr>
          <c:invertIfNegative val="0"/>
          <c:cat>
            <c:numRef>
              <c:f>'ILEC Wirelines'!$C$5:$I$5</c:f>
              <c:numCache>
                <c:formatCode>General</c:formatCode>
                <c:ptCount val="7"/>
                <c:pt idx="0">
                  <c:v>2018</c:v>
                </c:pt>
                <c:pt idx="1">
                  <c:v>2019</c:v>
                </c:pt>
                <c:pt idx="2">
                  <c:v>2020</c:v>
                </c:pt>
                <c:pt idx="3">
                  <c:v>2021</c:v>
                </c:pt>
                <c:pt idx="4">
                  <c:v>2022</c:v>
                </c:pt>
                <c:pt idx="5">
                  <c:v>2023</c:v>
                </c:pt>
                <c:pt idx="6">
                  <c:v>2024</c:v>
                </c:pt>
              </c:numCache>
            </c:numRef>
          </c:cat>
          <c:val>
            <c:numRef>
              <c:f>'ILEC Wirelines'!$C$8:$I$8</c:f>
              <c:numCache>
                <c:formatCode>#,##0</c:formatCode>
                <c:ptCount val="7"/>
                <c:pt idx="0">
                  <c:v>73152</c:v>
                </c:pt>
                <c:pt idx="1">
                  <c:v>64827</c:v>
                </c:pt>
                <c:pt idx="2">
                  <c:v>52394</c:v>
                </c:pt>
                <c:pt idx="3">
                  <c:v>47888</c:v>
                </c:pt>
                <c:pt idx="4">
                  <c:v>42302</c:v>
                </c:pt>
                <c:pt idx="5">
                  <c:v>36361</c:v>
                </c:pt>
                <c:pt idx="6">
                  <c:v>31023</c:v>
                </c:pt>
              </c:numCache>
            </c:numRef>
          </c:val>
          <c:extLst>
            <c:ext xmlns:c16="http://schemas.microsoft.com/office/drawing/2014/chart" uri="{C3380CC4-5D6E-409C-BE32-E72D297353CC}">
              <c16:uniqueId val="{00000001-AA8D-4359-9AD9-0ABD4C94F247}"/>
            </c:ext>
          </c:extLst>
        </c:ser>
        <c:ser>
          <c:idx val="4"/>
          <c:order val="2"/>
          <c:tx>
            <c:strRef>
              <c:f>'ILEC Wirelines'!$B$10</c:f>
              <c:strCache>
                <c:ptCount val="1"/>
                <c:pt idx="0">
                  <c:v>Frontier Communications of the South West  </c:v>
                </c:pt>
              </c:strCache>
            </c:strRef>
          </c:tx>
          <c:spPr>
            <a:solidFill>
              <a:schemeClr val="bg1">
                <a:lumMod val="85000"/>
              </a:schemeClr>
            </a:solidFill>
            <a:ln>
              <a:noFill/>
            </a:ln>
            <a:effectLst/>
          </c:spPr>
          <c:invertIfNegative val="0"/>
          <c:cat>
            <c:numRef>
              <c:f>'ILEC Wirelines'!$C$5:$I$5</c:f>
              <c:numCache>
                <c:formatCode>General</c:formatCode>
                <c:ptCount val="7"/>
                <c:pt idx="0">
                  <c:v>2018</c:v>
                </c:pt>
                <c:pt idx="1">
                  <c:v>2019</c:v>
                </c:pt>
                <c:pt idx="2">
                  <c:v>2020</c:v>
                </c:pt>
                <c:pt idx="3">
                  <c:v>2021</c:v>
                </c:pt>
                <c:pt idx="4">
                  <c:v>2022</c:v>
                </c:pt>
                <c:pt idx="5">
                  <c:v>2023</c:v>
                </c:pt>
                <c:pt idx="6">
                  <c:v>2024</c:v>
                </c:pt>
              </c:numCache>
            </c:numRef>
          </c:cat>
          <c:val>
            <c:numRef>
              <c:f>'ILEC Wirelines'!$C$10:$I$10</c:f>
              <c:numCache>
                <c:formatCode>#,##0</c:formatCode>
                <c:ptCount val="7"/>
                <c:pt idx="0">
                  <c:v>5176</c:v>
                </c:pt>
                <c:pt idx="1">
                  <c:v>4241</c:v>
                </c:pt>
                <c:pt idx="2">
                  <c:v>3444</c:v>
                </c:pt>
                <c:pt idx="3">
                  <c:v>3086</c:v>
                </c:pt>
                <c:pt idx="4">
                  <c:v>2741</c:v>
                </c:pt>
                <c:pt idx="5">
                  <c:v>2285</c:v>
                </c:pt>
                <c:pt idx="6">
                  <c:v>1883</c:v>
                </c:pt>
              </c:numCache>
            </c:numRef>
          </c:val>
          <c:extLst>
            <c:ext xmlns:c16="http://schemas.microsoft.com/office/drawing/2014/chart" uri="{C3380CC4-5D6E-409C-BE32-E72D297353CC}">
              <c16:uniqueId val="{00000002-AA8D-4359-9AD9-0ABD4C94F247}"/>
            </c:ext>
          </c:extLst>
        </c:ser>
        <c:dLbls>
          <c:showLegendKey val="0"/>
          <c:showVal val="0"/>
          <c:showCatName val="0"/>
          <c:showSerName val="0"/>
          <c:showPercent val="0"/>
          <c:showBubbleSize val="0"/>
        </c:dLbls>
        <c:gapWidth val="30"/>
        <c:overlap val="100"/>
        <c:axId val="1250638799"/>
        <c:axId val="1250642639"/>
      </c:barChart>
      <c:catAx>
        <c:axId val="12506387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1250642639"/>
        <c:crosses val="autoZero"/>
        <c:auto val="1"/>
        <c:lblAlgn val="ctr"/>
        <c:lblOffset val="100"/>
        <c:noMultiLvlLbl val="0"/>
      </c:catAx>
      <c:valAx>
        <c:axId val="125064263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50638799"/>
        <c:crosses val="autoZero"/>
        <c:crossBetween val="between"/>
      </c:valAx>
      <c:spPr>
        <a:noFill/>
        <a:ln>
          <a:noFill/>
        </a:ln>
        <a:effectLst/>
      </c:spPr>
    </c:plotArea>
    <c:legend>
      <c:legendPos val="b"/>
      <c:layout>
        <c:manualLayout>
          <c:xMode val="edge"/>
          <c:yMode val="edge"/>
          <c:x val="0.11374168605344784"/>
          <c:y val="0.83623338344842812"/>
          <c:w val="0.7985582945597709"/>
          <c:h val="0.1637666165515718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ContentTagLIst xmlns="ef7e321c-44a6-4cb5-81f0-0bfd95ece25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79FFE-0A8C-409C-9D2A-DF55C28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3.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customXml/itemProps4.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143</ap:Pages>
  <ap:Words>30627</ap:Words>
  <ap:Characters>174576</ap:Characters>
  <ap:Application>Microsoft Office Word</ap:Application>
  <ap:DocSecurity>0</ap:DocSecurity>
  <ap:Lines>1454</ap:Lines>
  <ap:Paragraphs>409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204794</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2026-01-13T21:17:00Z</cp:lastPrinted>
  <dcterms:created xsi:type="dcterms:W3CDTF">2026-01-20T10:47:13Z</dcterms:created>
  <dcterms:modified xsi:type="dcterms:W3CDTF">2026-01-20T10:47:13Z</dcterms:modified>
</cp:coreProperties>
</file>