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6B572323"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08EBE19E"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C83581" w:rsidRDefault="00087184" w14:paraId="60720904" w14:textId="2581A513">
      <w:pPr>
        <w:tabs>
          <w:tab w:val="left" w:pos="6504"/>
          <w:tab w:val="right" w:pos="8820"/>
        </w:tabs>
        <w:spacing w:after="0" w:line="240" w:lineRule="auto"/>
        <w:rPr>
          <w:rFonts w:ascii="Palatino Linotype" w:hAnsi="Palatino Linotype" w:eastAsia="Times New Roman" w:cs="Times New Roman"/>
          <w:b/>
          <w:kern w:val="0"/>
          <w:highlight w:val="yellow"/>
          <w14:ligatures w14:val="none"/>
        </w:rPr>
      </w:pPr>
      <w:r>
        <w:rPr>
          <w:rFonts w:ascii="Palatino Linotype" w:hAnsi="Palatino Linotype" w:eastAsia="Times New Roman" w:cs="Times New Roman"/>
          <w:b/>
          <w:kern w:val="0"/>
          <w14:ligatures w14:val="none"/>
        </w:rPr>
        <w:tab/>
      </w:r>
      <w:r w:rsidR="001D1AC8">
        <w:rPr>
          <w:rFonts w:ascii="Palatino Linotype" w:hAnsi="Palatino Linotype" w:eastAsia="Times New Roman" w:cs="Times New Roman"/>
          <w:b/>
          <w:kern w:val="0"/>
          <w14:ligatures w14:val="none"/>
        </w:rPr>
        <w:tab/>
      </w:r>
    </w:p>
    <w:p w:rsidRPr="0051493D" w:rsidR="00A76F4A" w:rsidP="00940927" w:rsidRDefault="00204B1B" w14:paraId="11D0BA3E" w14:textId="77777777">
      <w:pPr>
        <w:tabs>
          <w:tab w:val="right" w:pos="8820"/>
        </w:tabs>
        <w:spacing w:after="0" w:line="240" w:lineRule="auto"/>
        <w:ind w:left="540"/>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A40EC" w:rsidR="00A76F4A">
        <w:rPr>
          <w:rFonts w:ascii="Palatino Linotype" w:hAnsi="Palatino Linotype" w:eastAsia="Palatino Linotype" w:cs="Times New Roman"/>
          <w:b/>
          <w:kern w:val="0"/>
          <w14:ligatures w14:val="none"/>
        </w:rPr>
        <w:t xml:space="preserve">       </w:t>
      </w:r>
      <w:r w:rsidRPr="002A40EC" w:rsidR="00A76F4A">
        <w:rPr>
          <w:rFonts w:ascii="Palatino Linotype" w:hAnsi="Palatino Linotype" w:eastAsia="Palatino Linotype" w:cs="Times New Roman"/>
          <w:b/>
        </w:rPr>
        <w:t>RESOLUTION E</w:t>
      </w:r>
      <w:r w:rsidRPr="002A40EC" w:rsidR="002A40EC">
        <w:rPr>
          <w:rFonts w:ascii="Palatino Linotype" w:hAnsi="Palatino Linotype" w:eastAsia="Palatino Linotype" w:cs="Times New Roman"/>
          <w:b/>
        </w:rPr>
        <w:t>-5439</w:t>
      </w:r>
    </w:p>
    <w:p w:rsidRPr="001942D0" w:rsidR="00A76F4A" w:rsidP="00A76F4A" w:rsidRDefault="008F34BE" w14:paraId="0F85A38F" w14:textId="77777777">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January 15, 2026</w:t>
      </w:r>
    </w:p>
    <w:p w:rsidRPr="001942D0" w:rsidR="00A76F4A" w:rsidP="00A76F4A" w:rsidRDefault="00A76F4A" w14:paraId="14E05FEC"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7ECC9255"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0916D087"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4B4A7215" w14:textId="77777777">
      <w:pPr>
        <w:spacing w:after="0" w:line="240" w:lineRule="auto"/>
        <w:rPr>
          <w:rFonts w:ascii="Palatino" w:hAnsi="Palatino" w:eastAsia="Palatino Linotype" w:cs="Times New Roman"/>
          <w:kern w:val="0"/>
          <w:sz w:val="26"/>
          <w:szCs w:val="20"/>
          <w14:ligatures w14:val="none"/>
        </w:rPr>
      </w:pPr>
    </w:p>
    <w:p w:rsidRPr="008F34BE" w:rsidR="008E1CF7" w:rsidP="00BC0D49" w:rsidRDefault="00A76F4A" w14:paraId="02075B76" w14:textId="77777777">
      <w:pPr>
        <w:spacing w:after="0" w:line="240" w:lineRule="auto"/>
        <w:ind w:left="720"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Resolution E-</w:t>
      </w:r>
      <w:r w:rsidRPr="008F34BE" w:rsidR="002A40EC">
        <w:rPr>
          <w:rFonts w:ascii="Palatino Linotype" w:hAnsi="Palatino Linotype" w:eastAsia="Times New Roman" w:cs="Times New Roman"/>
          <w:kern w:val="0"/>
          <w14:ligatures w14:val="none"/>
        </w:rPr>
        <w:t>5439</w:t>
      </w:r>
      <w:r w:rsidRPr="008F34BE">
        <w:rPr>
          <w:rFonts w:ascii="Palatino Linotype" w:hAnsi="Palatino Linotype" w:eastAsia="Times New Roman" w:cs="Times New Roman"/>
          <w:kern w:val="0"/>
          <w14:ligatures w14:val="none"/>
        </w:rPr>
        <w:t xml:space="preserve">.  </w:t>
      </w:r>
      <w:r w:rsidRPr="008F34BE" w:rsidR="005B11C2">
        <w:rPr>
          <w:rFonts w:ascii="Palatino Linotype" w:hAnsi="Palatino Linotype" w:eastAsia="Times New Roman" w:cs="Times New Roman"/>
          <w:kern w:val="0"/>
          <w14:ligatures w14:val="none"/>
        </w:rPr>
        <w:t>Pacific Gas and Electric</w:t>
      </w:r>
      <w:r w:rsidRPr="008F34BE" w:rsidR="00B46B23">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Exceptional Case Submittal for Electric</w:t>
      </w:r>
      <w:r w:rsidRPr="008F34BE" w:rsidR="00BC0D49">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Transmission Upgrades for Microsoft Corporation for its SJC02 Project in San Jose, California</w:t>
      </w:r>
    </w:p>
    <w:p w:rsidRPr="008F34BE" w:rsidR="00A76F4A" w:rsidP="00C7593A" w:rsidRDefault="00A76F4A" w14:paraId="6F4C6A72" w14:textId="77777777">
      <w:pPr>
        <w:spacing w:after="0" w:line="240" w:lineRule="auto"/>
        <w:ind w:right="720"/>
        <w:rPr>
          <w:rFonts w:ascii="Palatino Linotype" w:hAnsi="Palatino Linotype" w:eastAsia="Palatino Linotype" w:cs="Times New Roman"/>
          <w:kern w:val="0"/>
          <w14:ligatures w14:val="none"/>
        </w:rPr>
      </w:pPr>
    </w:p>
    <w:p w:rsidRPr="008F34BE" w:rsidR="00A14BFD" w:rsidP="0019167A" w:rsidRDefault="00A76F4A" w14:paraId="619C9A8A"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PROPOSED OUTCOME: </w:t>
      </w:r>
    </w:p>
    <w:p w:rsidRPr="008F34BE" w:rsidR="00823154" w:rsidP="00823154" w:rsidRDefault="00823154" w14:paraId="4FE18C1B" w14:textId="77777777">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Approves, with modification, four agreements to facilitate the energization of a new 90 megawatt</w:t>
      </w:r>
      <w:r w:rsidRPr="008F34BE" w:rsidR="000263C7">
        <w:rPr>
          <w:rFonts w:ascii="Palatino Linotype" w:hAnsi="Palatino Linotype" w:eastAsia="Times New Roman" w:cs="Times New Roman"/>
          <w:kern w:val="0"/>
          <w14:ligatures w14:val="none"/>
        </w:rPr>
        <w:t xml:space="preserve"> (MW)</w:t>
      </w:r>
      <w:r w:rsidRPr="008F34BE">
        <w:rPr>
          <w:rFonts w:ascii="Palatino Linotype" w:hAnsi="Palatino Linotype" w:eastAsia="Times New Roman" w:cs="Times New Roman"/>
          <w:kern w:val="0"/>
          <w14:ligatures w14:val="none"/>
        </w:rPr>
        <w:t xml:space="preserve"> data center for customer Microsoft.</w:t>
      </w:r>
    </w:p>
    <w:p w:rsidRPr="008F34BE" w:rsidR="00823154" w:rsidP="00823154" w:rsidRDefault="00823154" w14:paraId="1AC8B7D6" w14:textId="77777777">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 xml:space="preserve">Modifies the refund process for energization-related costs in this case, limiting refunds to 75 percent of net revenues received from </w:t>
      </w:r>
      <w:r w:rsidRPr="008F34BE" w:rsidR="00215025">
        <w:rPr>
          <w:rFonts w:ascii="Palatino Linotype" w:hAnsi="Palatino Linotype" w:eastAsia="Times New Roman" w:cs="Times New Roman"/>
          <w:kern w:val="0"/>
          <w14:ligatures w14:val="none"/>
        </w:rPr>
        <w:t>Microsoft</w:t>
      </w:r>
      <w:r w:rsidRPr="008F34BE" w:rsidR="00CF7D2F">
        <w:rPr>
          <w:rFonts w:ascii="Palatino Linotype" w:hAnsi="Palatino Linotype" w:eastAsia="Times New Roman" w:cs="Times New Roman"/>
          <w:kern w:val="0"/>
          <w14:ligatures w14:val="none"/>
        </w:rPr>
        <w:t xml:space="preserve"> plus an adjustment for the Income Tax Component of Contribution (ITCC)</w:t>
      </w:r>
      <w:r w:rsidRPr="008F34BE">
        <w:rPr>
          <w:rFonts w:ascii="Palatino Linotype" w:hAnsi="Palatino Linotype" w:eastAsia="Times New Roman" w:cs="Times New Roman"/>
          <w:kern w:val="0"/>
          <w14:ligatures w14:val="none"/>
        </w:rPr>
        <w:t>.</w:t>
      </w:r>
    </w:p>
    <w:p w:rsidRPr="008F34BE" w:rsidR="00452D81" w:rsidP="00823154" w:rsidRDefault="00452D81" w14:paraId="21413FEC" w14:textId="77777777">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Extends the re</w:t>
      </w:r>
      <w:r w:rsidRPr="008F34BE" w:rsidR="001E1BE5">
        <w:rPr>
          <w:rFonts w:ascii="Palatino Linotype" w:hAnsi="Palatino Linotype" w:eastAsia="Times New Roman" w:cs="Times New Roman"/>
          <w:kern w:val="0"/>
          <w14:ligatures w14:val="none"/>
        </w:rPr>
        <w:t>fund period</w:t>
      </w:r>
      <w:r w:rsidRPr="008F34BE" w:rsidR="0002223E">
        <w:rPr>
          <w:rFonts w:ascii="Palatino Linotype" w:hAnsi="Palatino Linotype" w:eastAsia="Times New Roman" w:cs="Times New Roman"/>
          <w:kern w:val="0"/>
          <w14:ligatures w14:val="none"/>
        </w:rPr>
        <w:t xml:space="preserve"> for energization-related costs</w:t>
      </w:r>
      <w:r w:rsidRPr="008F34BE" w:rsidR="00F8036E">
        <w:rPr>
          <w:rFonts w:ascii="Palatino Linotype" w:hAnsi="Palatino Linotype" w:eastAsia="Times New Roman" w:cs="Times New Roman"/>
          <w:kern w:val="0"/>
          <w14:ligatures w14:val="none"/>
        </w:rPr>
        <w:t xml:space="preserve"> in this case</w:t>
      </w:r>
      <w:r w:rsidRPr="008F34BE" w:rsidR="001E1BE5">
        <w:rPr>
          <w:rFonts w:ascii="Palatino Linotype" w:hAnsi="Palatino Linotype" w:eastAsia="Times New Roman" w:cs="Times New Roman"/>
          <w:kern w:val="0"/>
          <w14:ligatures w14:val="none"/>
        </w:rPr>
        <w:t xml:space="preserve"> </w:t>
      </w:r>
      <w:r w:rsidRPr="008F34BE" w:rsidR="0002223E">
        <w:rPr>
          <w:rFonts w:ascii="Palatino Linotype" w:hAnsi="Palatino Linotype" w:eastAsia="Times New Roman" w:cs="Times New Roman"/>
          <w:kern w:val="0"/>
          <w14:ligatures w14:val="none"/>
        </w:rPr>
        <w:t>to fifteen years</w:t>
      </w:r>
      <w:r w:rsidRPr="008F34BE" w:rsidR="00F8036E">
        <w:rPr>
          <w:rFonts w:ascii="Palatino Linotype" w:hAnsi="Palatino Linotype" w:eastAsia="Times New Roman" w:cs="Times New Roman"/>
          <w:kern w:val="0"/>
          <w14:ligatures w14:val="none"/>
        </w:rPr>
        <w:t>.</w:t>
      </w:r>
    </w:p>
    <w:p w:rsidRPr="008F34BE" w:rsidR="00A76F4A" w:rsidP="00A76F4A" w:rsidRDefault="00A76F4A" w14:paraId="5F3DF688"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6727A947"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SAFETY CONSIDERATIONS:</w:t>
      </w:r>
    </w:p>
    <w:p w:rsidRPr="008F34BE" w:rsidR="007D1FBB" w:rsidP="00A76F4A" w:rsidRDefault="007D1FBB" w14:paraId="7795FBE1" w14:textId="77777777">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There </w:t>
      </w:r>
      <w:proofErr w:type="gramStart"/>
      <w:r w:rsidRPr="008F34BE" w:rsidR="00BC70E0">
        <w:rPr>
          <w:rFonts w:ascii="Palatino Linotype" w:hAnsi="Palatino Linotype" w:eastAsia="Times New Roman" w:cs="Times New Roman"/>
          <w:kern w:val="0"/>
          <w14:ligatures w14:val="none"/>
        </w:rPr>
        <w:t>are</w:t>
      </w:r>
      <w:proofErr w:type="gramEnd"/>
      <w:r w:rsidRPr="008F34BE" w:rsidR="00BC70E0">
        <w:rPr>
          <w:rFonts w:ascii="Palatino Linotype" w:hAnsi="Palatino Linotype" w:eastAsia="Times New Roman" w:cs="Times New Roman"/>
          <w:kern w:val="0"/>
          <w14:ligatures w14:val="none"/>
        </w:rPr>
        <w:t xml:space="preserve"> no safety considerations associated with this resolution.</w:t>
      </w:r>
    </w:p>
    <w:p w:rsidRPr="008F34BE" w:rsidR="00A76F4A" w:rsidP="00A76F4A" w:rsidRDefault="00A76F4A" w14:paraId="4FECE6F1" w14:textId="77777777">
      <w:pPr>
        <w:spacing w:after="0" w:line="240" w:lineRule="auto"/>
        <w:ind w:left="720" w:right="720"/>
        <w:rPr>
          <w:rFonts w:ascii="Palatino Linotype" w:hAnsi="Palatino Linotype" w:eastAsia="Palatino Linotype" w:cs="Times New Roman"/>
          <w:kern w:val="0"/>
          <w14:ligatures w14:val="none"/>
        </w:rPr>
      </w:pPr>
    </w:p>
    <w:p w:rsidRPr="008F34BE" w:rsidR="00A76F4A" w:rsidP="00A76F4A" w:rsidRDefault="00A76F4A" w14:paraId="4E647D4C"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ESTIMATED COST:  </w:t>
      </w:r>
    </w:p>
    <w:p w:rsidRPr="008F34BE" w:rsidR="00EE6B31" w:rsidP="00EE6B31" w:rsidRDefault="00EE6B31" w14:paraId="0027ACF9" w14:textId="77777777">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facilitates the energization of a </w:t>
      </w:r>
      <w:r w:rsidRPr="008F34BE" w:rsidR="00FE2A36">
        <w:rPr>
          <w:rFonts w:ascii="Palatino Linotype" w:hAnsi="Palatino Linotype" w:eastAsia="Times New Roman" w:cs="Times New Roman"/>
          <w:kern w:val="0"/>
          <w14:ligatures w14:val="none"/>
        </w:rPr>
        <w:t>new Microsoft data center</w:t>
      </w:r>
      <w:r w:rsidRPr="008F34BE">
        <w:rPr>
          <w:rFonts w:ascii="Palatino Linotype" w:hAnsi="Palatino Linotype" w:eastAsia="Times New Roman" w:cs="Times New Roman"/>
          <w:kern w:val="0"/>
          <w14:ligatures w14:val="none"/>
        </w:rPr>
        <w:t xml:space="preserve"> including both the associated costs of energization and the expected future revenues from </w:t>
      </w:r>
      <w:r w:rsidRPr="008F34BE" w:rsidR="00FE2A36">
        <w:rPr>
          <w:rFonts w:ascii="Palatino Linotype" w:hAnsi="Palatino Linotype" w:eastAsia="Times New Roman" w:cs="Times New Roman"/>
          <w:kern w:val="0"/>
          <w14:ligatures w14:val="none"/>
        </w:rPr>
        <w:t>Microsoft</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Microsoft</w:t>
      </w:r>
      <w:r w:rsidRPr="008F34BE">
        <w:rPr>
          <w:rFonts w:ascii="Palatino Linotype" w:hAnsi="Palatino Linotype" w:eastAsia="Palatino Linotype" w:cs="Palatino Linotype"/>
        </w:rPr>
        <w:t xml:space="preserve"> pays the upfront costs to connect to the grid and could then be refunded for these costs after sufficient revenue is generated. This resolution limits refunds to 75 percent of the annual net revenue </w:t>
      </w:r>
      <w:r w:rsidRPr="008F34BE" w:rsidR="00FE2A36">
        <w:rPr>
          <w:rFonts w:ascii="Palatino Linotype" w:hAnsi="Palatino Linotype" w:eastAsia="Palatino Linotype" w:cs="Palatino Linotype"/>
        </w:rPr>
        <w:t>received</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by PG&amp;E from Microsoft</w:t>
      </w:r>
      <w:r w:rsidRPr="008F34BE" w:rsidR="00F8036E">
        <w:rPr>
          <w:rFonts w:ascii="Palatino Linotype" w:hAnsi="Palatino Linotype" w:eastAsia="Palatino Linotype" w:cs="Palatino Linotype"/>
        </w:rPr>
        <w:t xml:space="preserve"> plus an adjustment for the ITCC</w:t>
      </w:r>
      <w:r w:rsidRPr="008F34BE" w:rsidR="00FE2A36">
        <w:rPr>
          <w:rFonts w:ascii="Palatino Linotype" w:hAnsi="Palatino Linotype" w:eastAsia="Palatino Linotype" w:cs="Palatino Linotype"/>
        </w:rPr>
        <w:t>, thus</w:t>
      </w:r>
      <w:r w:rsidRPr="008F34BE">
        <w:rPr>
          <w:rFonts w:ascii="Palatino Linotype" w:hAnsi="Palatino Linotype" w:eastAsia="Palatino Linotype" w:cs="Palatino Linotype"/>
        </w:rPr>
        <w:t xml:space="preserve"> reducing risks for ratepayers.</w:t>
      </w:r>
    </w:p>
    <w:p w:rsidRPr="008F34BE" w:rsidR="00A76F4A" w:rsidP="00E0405C" w:rsidRDefault="00A76F4A" w14:paraId="0D237034" w14:textId="77777777">
      <w:pPr>
        <w:spacing w:after="0" w:line="240" w:lineRule="auto"/>
        <w:ind w:right="720"/>
        <w:rPr>
          <w:rFonts w:ascii="Palatino Linotype" w:hAnsi="Palatino Linotype" w:eastAsia="Palatino Linotype" w:cs="Times New Roman"/>
          <w:kern w:val="0"/>
          <w14:ligatures w14:val="none"/>
        </w:rPr>
      </w:pPr>
    </w:p>
    <w:p w:rsidRPr="008F34BE" w:rsidR="00A76F4A" w:rsidP="00A76F4A" w:rsidRDefault="00A76F4A" w14:paraId="239420A8"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By Advice Letter </w:t>
      </w:r>
      <w:r w:rsidRPr="008F34BE" w:rsidR="0094106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Filed on </w:t>
      </w:r>
      <w:r w:rsidRPr="008F34BE" w:rsidR="00211297">
        <w:rPr>
          <w:rFonts w:ascii="Palatino Linotype" w:hAnsi="Palatino Linotype" w:eastAsia="Palatino Linotype" w:cs="Times New Roman"/>
          <w:kern w:val="0"/>
          <w14:ligatures w14:val="none"/>
        </w:rPr>
        <w:t>July 1, 2025</w:t>
      </w:r>
      <w:r w:rsidRPr="008F34BE">
        <w:rPr>
          <w:rFonts w:ascii="Palatino Linotype" w:hAnsi="Palatino Linotype" w:eastAsia="Palatino Linotype" w:cs="Times New Roman"/>
          <w:kern w:val="0"/>
          <w14:ligatures w14:val="none"/>
        </w:rPr>
        <w:t xml:space="preserve">. </w:t>
      </w:r>
    </w:p>
    <w:p w:rsidRPr="008F34BE" w:rsidR="00691C52" w:rsidP="00E0405C" w:rsidRDefault="00A76F4A" w14:paraId="04B5A3DE" w14:textId="77777777">
      <w:pPr>
        <w:spacing w:after="0" w:line="240" w:lineRule="auto"/>
        <w:jc w:val="center"/>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kern w:val="0"/>
          <w14:ligatures w14:val="none"/>
        </w:rPr>
        <w:t>__________________________________________________________</w:t>
      </w:r>
    </w:p>
    <w:p w:rsidRPr="008F34BE" w:rsidR="00AC212D" w:rsidP="005B7280" w:rsidRDefault="00A76F4A" w14:paraId="475C33E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Summary</w:t>
      </w:r>
      <w:bookmarkEnd w:id="0"/>
    </w:p>
    <w:p w:rsidRPr="008F34BE" w:rsidR="00056F40" w:rsidP="00A76F4A" w:rsidRDefault="00056F40" w14:paraId="373F3816"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approves, </w:t>
      </w:r>
      <w:r w:rsidRPr="008F34BE" w:rsidR="00691C52">
        <w:rPr>
          <w:rFonts w:ascii="Palatino Linotype" w:hAnsi="Palatino Linotype" w:eastAsia="Times New Roman" w:cs="Times New Roman"/>
          <w:kern w:val="0"/>
          <w14:ligatures w14:val="none"/>
        </w:rPr>
        <w:t>with modifications</w:t>
      </w:r>
      <w:r w:rsidRPr="008F34BE" w:rsidR="00565998">
        <w:rPr>
          <w:rFonts w:ascii="Palatino Linotype" w:hAnsi="Palatino Linotype" w:eastAsia="Times New Roman" w:cs="Times New Roman"/>
          <w:kern w:val="0"/>
          <w14:ligatures w14:val="none"/>
        </w:rPr>
        <w:t>,</w:t>
      </w:r>
      <w:r w:rsidRPr="008F34BE">
        <w:rPr>
          <w:rFonts w:ascii="Palatino Linotype" w:hAnsi="Palatino Linotype" w:eastAsia="Times New Roman" w:cs="Times New Roman"/>
          <w:kern w:val="0"/>
          <w14:ligatures w14:val="none"/>
        </w:rPr>
        <w:t xml:space="preserve"> Pacific Gas and Electric’s (PG&amp;E</w:t>
      </w:r>
      <w:r w:rsidRPr="008F34BE" w:rsidR="0067261F">
        <w:rPr>
          <w:rFonts w:ascii="Palatino Linotype" w:hAnsi="Palatino Linotype" w:eastAsia="Times New Roman" w:cs="Times New Roman"/>
          <w:kern w:val="0"/>
          <w14:ligatures w14:val="none"/>
        </w:rPr>
        <w:t xml:space="preserve">) </w:t>
      </w:r>
      <w:r w:rsidRPr="008F34BE" w:rsidR="00565998">
        <w:rPr>
          <w:rFonts w:ascii="Palatino Linotype" w:hAnsi="Palatino Linotype" w:eastAsia="Times New Roman" w:cs="Times New Roman"/>
          <w:kern w:val="0"/>
          <w14:ligatures w14:val="none"/>
        </w:rPr>
        <w:t>Advice Letter (AL) 7635-E</w:t>
      </w:r>
      <w:r w:rsidRPr="008F34BE" w:rsidR="000B64A9">
        <w:rPr>
          <w:rFonts w:ascii="Palatino Linotype" w:hAnsi="Palatino Linotype" w:eastAsia="Times New Roman" w:cs="Times New Roman"/>
          <w:kern w:val="0"/>
          <w14:ligatures w14:val="none"/>
        </w:rPr>
        <w:t xml:space="preserve"> which requests </w:t>
      </w:r>
      <w:r w:rsidRPr="008F34BE" w:rsidR="00C1445A">
        <w:rPr>
          <w:rFonts w:ascii="Palatino Linotype" w:hAnsi="Palatino Linotype" w:eastAsia="Times New Roman" w:cs="Times New Roman"/>
          <w:kern w:val="0"/>
          <w14:ligatures w14:val="none"/>
        </w:rPr>
        <w:t>California Public Utilities Commission (</w:t>
      </w:r>
      <w:r w:rsidRPr="008F34BE" w:rsidR="000B64A9">
        <w:rPr>
          <w:rFonts w:ascii="Palatino Linotype" w:hAnsi="Palatino Linotype" w:eastAsia="Times New Roman" w:cs="Times New Roman"/>
          <w:kern w:val="0"/>
          <w14:ligatures w14:val="none"/>
        </w:rPr>
        <w:t>Commission</w:t>
      </w:r>
      <w:r w:rsidRPr="008F34BE" w:rsidR="00C1445A">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approval of four agreements to support the energization of a new 90 </w:t>
      </w:r>
      <w:r w:rsidRPr="008F34BE" w:rsidR="000263C7">
        <w:rPr>
          <w:rFonts w:ascii="Palatino Linotype" w:hAnsi="Palatino Linotype" w:eastAsia="Times New Roman" w:cs="Times New Roman"/>
          <w:kern w:val="0"/>
          <w14:ligatures w14:val="none"/>
        </w:rPr>
        <w:t>m</w:t>
      </w:r>
      <w:r w:rsidRPr="008F34BE" w:rsidR="000B64A9">
        <w:rPr>
          <w:rFonts w:ascii="Palatino Linotype" w:hAnsi="Palatino Linotype" w:eastAsia="Times New Roman" w:cs="Times New Roman"/>
          <w:kern w:val="0"/>
          <w14:ligatures w14:val="none"/>
        </w:rPr>
        <w:t>egawatt</w:t>
      </w:r>
      <w:r w:rsidRPr="008F34BE" w:rsidR="00106836">
        <w:rPr>
          <w:rFonts w:ascii="Palatino Linotype" w:hAnsi="Palatino Linotype" w:eastAsia="Times New Roman" w:cs="Times New Roman"/>
          <w:kern w:val="0"/>
          <w14:ligatures w14:val="none"/>
        </w:rPr>
        <w:t xml:space="preserve"> (MW)</w:t>
      </w:r>
      <w:r w:rsidRPr="008F34BE" w:rsidR="000B64A9">
        <w:rPr>
          <w:rFonts w:ascii="Palatino Linotype" w:hAnsi="Palatino Linotype" w:eastAsia="Times New Roman" w:cs="Times New Roman"/>
          <w:kern w:val="0"/>
          <w14:ligatures w14:val="none"/>
        </w:rPr>
        <w:t xml:space="preserve"> data center load in San Jose, as requested by Microsoft</w:t>
      </w:r>
      <w:r w:rsidRPr="008F34BE" w:rsidR="00E76301">
        <w:rPr>
          <w:rFonts w:ascii="Palatino Linotype" w:hAnsi="Palatino Linotype" w:eastAsia="Times New Roman" w:cs="Times New Roman"/>
          <w:kern w:val="0"/>
          <w14:ligatures w14:val="none"/>
        </w:rPr>
        <w:t xml:space="preserve"> Corporation (Microsoft</w:t>
      </w:r>
      <w:r w:rsidRPr="008F34BE" w:rsidR="006045B4">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These agreements facilitate the construction of new transmission facilities to serve </w:t>
      </w:r>
      <w:r w:rsidR="008F34BE">
        <w:rPr>
          <w:rFonts w:ascii="Palatino Linotype" w:hAnsi="Palatino Linotype" w:eastAsia="Times New Roman" w:cs="Times New Roman"/>
          <w:kern w:val="0"/>
          <w14:ligatures w14:val="none"/>
        </w:rPr>
        <w:br/>
      </w:r>
      <w:r w:rsidRPr="008F34BE" w:rsidR="000B64A9">
        <w:rPr>
          <w:rFonts w:ascii="Palatino Linotype" w:hAnsi="Palatino Linotype" w:eastAsia="Times New Roman" w:cs="Times New Roman"/>
          <w:kern w:val="0"/>
          <w14:ligatures w14:val="none"/>
        </w:rPr>
        <w:t>Microsoft’s load. The Commission approves the Advice Letter with modifications, finding the agreements necessary and largely appropriate to energize this new load.</w:t>
      </w:r>
    </w:p>
    <w:p w:rsidRPr="008F34BE" w:rsidR="005C1E0D" w:rsidP="00A76F4A" w:rsidRDefault="005C1E0D" w14:paraId="0F577106" w14:textId="77777777">
      <w:pPr>
        <w:spacing w:after="0" w:line="240" w:lineRule="auto"/>
        <w:rPr>
          <w:rFonts w:ascii="Palatino Linotype" w:hAnsi="Palatino Linotype" w:eastAsia="Times New Roman" w:cs="Times New Roman"/>
          <w:kern w:val="0"/>
          <w14:ligatures w14:val="none"/>
        </w:rPr>
      </w:pPr>
    </w:p>
    <w:p w:rsidRPr="008F34BE" w:rsidR="005C1E0D" w:rsidP="005C1E0D" w:rsidRDefault="005C1E0D" w14:paraId="28979C2B" w14:textId="77777777">
      <w:pPr>
        <w:spacing w:after="0" w:line="240" w:lineRule="auto"/>
        <w:rPr>
          <w:rFonts w:ascii="Palatino Linotype" w:hAnsi="Palatino Linotype" w:eastAsia="Palatino Linotype" w:cs="Times New Roman"/>
          <w:b/>
          <w:bCs/>
          <w:caps/>
          <w:kern w:val="28"/>
          <w:u w:val="single"/>
          <w14:ligatures w14:val="none"/>
        </w:rPr>
      </w:pPr>
      <w:r w:rsidRPr="008F34BE">
        <w:rPr>
          <w:rFonts w:ascii="Palatino Linotype" w:hAnsi="Palatino Linotype" w:eastAsia="Times New Roman" w:cs="Times New Roman"/>
          <w:kern w:val="0"/>
          <w14:ligatures w14:val="none"/>
        </w:rPr>
        <w:t>Specifically, the Commission requires modifications to the proposed process to refund energization costs advanced by Microsoft to add additional ratepayer protection. As a large</w:t>
      </w:r>
      <w:r w:rsidRPr="008F34BE" w:rsidR="00364EDD">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load customer, </w:t>
      </w:r>
      <w:r w:rsidRPr="008F34BE" w:rsidR="00364EDD">
        <w:rPr>
          <w:rFonts w:ascii="Palatino Linotype" w:hAnsi="Palatino Linotype" w:eastAsia="Times New Roman" w:cs="Times New Roman"/>
          <w:kern w:val="0"/>
          <w14:ligatures w14:val="none"/>
        </w:rPr>
        <w:t xml:space="preserve">Microsoft </w:t>
      </w:r>
      <w:r w:rsidRPr="008F34BE">
        <w:rPr>
          <w:rFonts w:ascii="Palatino Linotype" w:hAnsi="Palatino Linotype" w:eastAsia="Times New Roman" w:cs="Times New Roman"/>
          <w:kern w:val="0"/>
          <w14:ligatures w14:val="none"/>
        </w:rPr>
        <w:t>requires energization upgrades on a much larger scale than the typical</w:t>
      </w:r>
      <w:r w:rsidRPr="008F34BE" w:rsidR="00364EDD">
        <w:rPr>
          <w:rFonts w:ascii="Palatino Linotype" w:hAnsi="Palatino Linotype" w:eastAsia="Times New Roman" w:cs="Times New Roman"/>
          <w:kern w:val="0"/>
          <w14:ligatures w14:val="none"/>
        </w:rPr>
        <w:t xml:space="preserve"> distribution-level</w:t>
      </w:r>
      <w:r w:rsidRPr="008F34BE">
        <w:rPr>
          <w:rFonts w:ascii="Palatino Linotype" w:hAnsi="Palatino Linotype" w:eastAsia="Times New Roman" w:cs="Times New Roman"/>
          <w:kern w:val="0"/>
          <w14:ligatures w14:val="none"/>
        </w:rPr>
        <w:t xml:space="preserve"> customer</w:t>
      </w:r>
      <w:r w:rsidRPr="008F34BE" w:rsidR="00E418C9">
        <w:rPr>
          <w:rFonts w:ascii="Palatino Linotype" w:hAnsi="Palatino Linotype" w:eastAsia="Times New Roman" w:cs="Times New Roman"/>
        </w:rPr>
        <w:t>. These upgrades</w:t>
      </w:r>
      <w:r w:rsidRPr="008F34BE">
        <w:rPr>
          <w:rFonts w:ascii="Palatino Linotype" w:hAnsi="Palatino Linotype" w:eastAsia="Times New Roman" w:cs="Times New Roman"/>
          <w:kern w:val="0"/>
          <w14:ligatures w14:val="none"/>
        </w:rPr>
        <w:t xml:space="preserve"> are costly and should not fall on ratepayers if sufficient load does not materialize to offset costs. As a transmission customer, </w:t>
      </w:r>
      <w:r w:rsidRPr="008F34BE" w:rsidR="00364EDD">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would pay lower rates than distribution </w:t>
      </w:r>
      <w:r w:rsidRPr="008F34BE" w:rsidR="00A86084">
        <w:rPr>
          <w:rFonts w:ascii="Palatino Linotype" w:hAnsi="Palatino Linotype" w:eastAsia="Times New Roman" w:cs="Times New Roman"/>
          <w:kern w:val="0"/>
          <w14:ligatures w14:val="none"/>
        </w:rPr>
        <w:t xml:space="preserve">customers </w:t>
      </w:r>
      <w:r w:rsidRPr="008F34BE">
        <w:rPr>
          <w:rFonts w:ascii="Palatino Linotype" w:hAnsi="Palatino Linotype" w:eastAsia="Times New Roman" w:cs="Times New Roman"/>
          <w:kern w:val="0"/>
          <w14:ligatures w14:val="none"/>
        </w:rPr>
        <w:t xml:space="preserve">while </w:t>
      </w:r>
      <w:r w:rsidRPr="008F34BE">
        <w:rPr>
          <w:rFonts w:ascii="Palatino Linotype" w:hAnsi="Palatino Linotype" w:eastAsia="Aptos" w:cs="Times New Roman"/>
        </w:rPr>
        <w:t xml:space="preserve">at the same time </w:t>
      </w:r>
      <w:r w:rsidRPr="008F34BE" w:rsidR="00A86084">
        <w:rPr>
          <w:rFonts w:ascii="Palatino Linotype" w:hAnsi="Palatino Linotype" w:eastAsia="Aptos" w:cs="Times New Roman"/>
        </w:rPr>
        <w:t xml:space="preserve">potentially </w:t>
      </w:r>
      <w:r w:rsidRPr="008F34BE">
        <w:rPr>
          <w:rFonts w:ascii="Palatino Linotype" w:hAnsi="Palatino Linotype" w:eastAsia="Aptos" w:cs="Times New Roman"/>
        </w:rPr>
        <w:t>contributing to the need for broader transmission network upgrades in the region</w:t>
      </w:r>
      <w:r w:rsidRPr="008F34BE">
        <w:rPr>
          <w:rFonts w:ascii="Palatino Linotype" w:hAnsi="Palatino Linotype" w:eastAsia="Times New Roman" w:cs="Times New Roman"/>
          <w:kern w:val="0"/>
          <w14:ligatures w14:val="none"/>
        </w:rPr>
        <w:t>.</w:t>
      </w:r>
      <w:r w:rsidRPr="008F34BE" w:rsidR="00FE2A43">
        <w:rPr>
          <w:rFonts w:ascii="Palatino Linotype" w:hAnsi="Palatino Linotype" w:eastAsia="Times New Roman" w:cs="Times New Roman"/>
          <w:kern w:val="0"/>
          <w14:ligatures w14:val="none"/>
        </w:rPr>
        <w:t xml:space="preserve"> The Base Annual Revenue Calculation (BARC) refund process</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on which the AL proposal is based</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normally applies to </w:t>
      </w:r>
      <w:r w:rsidRPr="008F34BE" w:rsidR="00BD087E">
        <w:rPr>
          <w:rFonts w:ascii="Palatino Linotype" w:hAnsi="Palatino Linotype" w:eastAsia="Times New Roman" w:cs="Times New Roman"/>
          <w:kern w:val="0"/>
          <w14:ligatures w14:val="none"/>
        </w:rPr>
        <w:t xml:space="preserve">the much lower </w:t>
      </w:r>
      <w:r w:rsidRPr="008F34BE" w:rsidR="00F93E41">
        <w:rPr>
          <w:rFonts w:ascii="Palatino Linotype" w:hAnsi="Palatino Linotype" w:eastAsia="Times New Roman" w:cs="Times New Roman"/>
          <w:kern w:val="0"/>
          <w14:ligatures w14:val="none"/>
        </w:rPr>
        <w:t xml:space="preserve">energization costs for </w:t>
      </w:r>
      <w:r w:rsidRPr="008F34BE" w:rsidR="00FE2A43">
        <w:rPr>
          <w:rFonts w:ascii="Palatino Linotype" w:hAnsi="Palatino Linotype" w:eastAsia="Times New Roman" w:cs="Times New Roman"/>
          <w:kern w:val="0"/>
          <w14:ligatures w14:val="none"/>
        </w:rPr>
        <w:t>distribution customers</w:t>
      </w:r>
      <w:r w:rsidRPr="008F34BE" w:rsidR="000C3594">
        <w:rPr>
          <w:rFonts w:ascii="Palatino Linotype" w:hAnsi="Palatino Linotype" w:eastAsia="Times New Roman" w:cs="Times New Roman"/>
        </w:rPr>
        <w:t xml:space="preserve"> under Rule 15</w:t>
      </w:r>
      <w:r w:rsidRPr="008F34BE" w:rsidR="00370EBB">
        <w:rPr>
          <w:rFonts w:ascii="Palatino Linotype" w:hAnsi="Palatino Linotype" w:eastAsia="Times New Roman" w:cs="Times New Roman"/>
        </w:rPr>
        <w:t xml:space="preserve">. </w:t>
      </w:r>
      <w:r w:rsidRPr="008F34BE" w:rsidR="00D52B01">
        <w:rPr>
          <w:rFonts w:ascii="Palatino Linotype" w:hAnsi="Palatino Linotype" w:eastAsia="Times New Roman" w:cs="Times New Roman"/>
        </w:rPr>
        <w:t>A</w:t>
      </w:r>
      <w:r w:rsidRPr="008F34BE" w:rsidR="006E0B57">
        <w:rPr>
          <w:rFonts w:ascii="Palatino Linotype" w:hAnsi="Palatino Linotype" w:eastAsia="Times New Roman" w:cs="Times New Roman"/>
          <w:kern w:val="0"/>
          <w14:ligatures w14:val="none"/>
        </w:rPr>
        <w:t>ppl</w:t>
      </w:r>
      <w:r w:rsidRPr="008F34BE" w:rsidR="00D52B01">
        <w:rPr>
          <w:rFonts w:ascii="Palatino Linotype" w:hAnsi="Palatino Linotype" w:eastAsia="Times New Roman" w:cs="Times New Roman"/>
        </w:rPr>
        <w:t>ying the BARC</w:t>
      </w:r>
      <w:r w:rsidRPr="008F34BE" w:rsidR="000A2F0B">
        <w:rPr>
          <w:rFonts w:ascii="Palatino Linotype" w:hAnsi="Palatino Linotype" w:eastAsia="Times New Roman" w:cs="Times New Roman"/>
        </w:rPr>
        <w:t xml:space="preserve"> refund process</w:t>
      </w:r>
      <w:r w:rsidRPr="008F34BE" w:rsidR="006E0B57">
        <w:rPr>
          <w:rFonts w:ascii="Palatino Linotype" w:hAnsi="Palatino Linotype" w:eastAsia="Times New Roman" w:cs="Times New Roman"/>
          <w:kern w:val="0"/>
          <w14:ligatures w14:val="none"/>
        </w:rPr>
        <w:t xml:space="preserve"> </w:t>
      </w:r>
      <w:r w:rsidRPr="008F34BE" w:rsidR="00BD087E">
        <w:rPr>
          <w:rFonts w:ascii="Palatino Linotype" w:hAnsi="Palatino Linotype" w:eastAsia="Times New Roman" w:cs="Times New Roman"/>
          <w:kern w:val="0"/>
          <w14:ligatures w14:val="none"/>
        </w:rPr>
        <w:t>in this case</w:t>
      </w:r>
      <w:r w:rsidRPr="008F34BE">
        <w:rPr>
          <w:rFonts w:ascii="Palatino Linotype" w:hAnsi="Palatino Linotype" w:eastAsia="Times New Roman" w:cs="Times New Roman"/>
          <w:kern w:val="0"/>
          <w14:ligatures w14:val="none"/>
        </w:rPr>
        <w:t xml:space="preserve"> would result in </w:t>
      </w:r>
      <w:r w:rsidRPr="008F34BE" w:rsidR="00BD087E">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receiving </w:t>
      </w:r>
      <w:r w:rsidRPr="008F34BE" w:rsidR="00BD087E">
        <w:rPr>
          <w:rFonts w:ascii="Palatino Linotype" w:hAnsi="Palatino Linotype" w:eastAsia="Times New Roman" w:cs="Times New Roman"/>
          <w:kern w:val="0"/>
          <w14:ligatures w14:val="none"/>
        </w:rPr>
        <w:t xml:space="preserve">a full refund for </w:t>
      </w:r>
      <w:r w:rsidRPr="008F34BE" w:rsidR="006E0B57">
        <w:rPr>
          <w:rFonts w:ascii="Palatino Linotype" w:hAnsi="Palatino Linotype" w:eastAsia="Times New Roman" w:cs="Times New Roman"/>
          <w:kern w:val="0"/>
          <w14:ligatures w14:val="none"/>
        </w:rPr>
        <w:t xml:space="preserve">its </w:t>
      </w:r>
      <w:r w:rsidRPr="008F34BE" w:rsidR="00BD087E">
        <w:rPr>
          <w:rFonts w:ascii="Palatino Linotype" w:hAnsi="Palatino Linotype" w:eastAsia="Times New Roman" w:cs="Times New Roman"/>
          <w:kern w:val="0"/>
          <w14:ligatures w14:val="none"/>
        </w:rPr>
        <w:t>significant</w:t>
      </w:r>
      <w:r w:rsidRPr="008F34BE">
        <w:rPr>
          <w:rFonts w:ascii="Palatino Linotype" w:hAnsi="Palatino Linotype" w:eastAsia="Times New Roman" w:cs="Times New Roman"/>
          <w:kern w:val="0"/>
          <w14:ligatures w14:val="none"/>
        </w:rPr>
        <w:t xml:space="preserve"> energization costs well before PG&amp;E w</w:t>
      </w:r>
      <w:r w:rsidRPr="008F34BE" w:rsidR="006E0B57">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recover sufficient net revenues to offset those costs</w:t>
      </w:r>
      <w:r w:rsidRPr="008F34BE" w:rsidR="006E0B57">
        <w:rPr>
          <w:rFonts w:ascii="Palatino Linotype" w:hAnsi="Palatino Linotype" w:eastAsia="Times New Roman" w:cs="Times New Roman"/>
          <w:kern w:val="0"/>
          <w14:ligatures w14:val="none"/>
        </w:rPr>
        <w:t xml:space="preserve"> (provided the load materializes as forecasted)</w:t>
      </w:r>
      <w:r w:rsidRPr="008F34BE">
        <w:rPr>
          <w:rFonts w:ascii="Palatino Linotype" w:hAnsi="Palatino Linotype" w:eastAsia="Times New Roman" w:cs="Times New Roman"/>
          <w:kern w:val="0"/>
          <w14:ligatures w14:val="none"/>
        </w:rPr>
        <w:t xml:space="preserve">. In order to </w:t>
      </w:r>
      <w:r w:rsidRPr="008F34BE" w:rsidR="00B11AB4">
        <w:rPr>
          <w:rFonts w:ascii="Palatino Linotype" w:hAnsi="Palatino Linotype" w:eastAsia="Times New Roman" w:cs="Times New Roman"/>
        </w:rPr>
        <w:t>mitigate</w:t>
      </w:r>
      <w:r w:rsidRPr="008F34BE">
        <w:rPr>
          <w:rFonts w:ascii="Palatino Linotype" w:hAnsi="Palatino Linotype" w:eastAsia="Times New Roman" w:cs="Times New Roman"/>
        </w:rPr>
        <w:t xml:space="preserve"> </w:t>
      </w:r>
      <w:r w:rsidRPr="008F34BE">
        <w:rPr>
          <w:rFonts w:ascii="Palatino Linotype" w:hAnsi="Palatino Linotype" w:eastAsia="Times New Roman" w:cs="Times New Roman"/>
          <w:kern w:val="0"/>
          <w14:ligatures w14:val="none"/>
        </w:rPr>
        <w:t xml:space="preserve">ratepayer </w:t>
      </w:r>
      <w:r w:rsidRPr="008F34BE" w:rsidR="00B11AB4">
        <w:rPr>
          <w:rFonts w:ascii="Palatino Linotype" w:hAnsi="Palatino Linotype" w:eastAsia="Times New Roman" w:cs="Times New Roman"/>
        </w:rPr>
        <w:t xml:space="preserve">risks </w:t>
      </w:r>
      <w:r w:rsidRPr="008F34BE">
        <w:rPr>
          <w:rFonts w:ascii="Palatino Linotype" w:hAnsi="Palatino Linotype" w:eastAsia="Times New Roman" w:cs="Times New Roman"/>
          <w:kern w:val="0"/>
          <w14:ligatures w14:val="none"/>
        </w:rPr>
        <w:t xml:space="preserve">in this exceptional case, the Commission requires </w:t>
      </w:r>
      <w:r w:rsidRPr="008F34BE" w:rsidR="006E0B57">
        <w:rPr>
          <w:rFonts w:ascii="Palatino Linotype" w:hAnsi="Palatino Linotype" w:eastAsia="Times New Roman" w:cs="Times New Roman"/>
          <w:kern w:val="0"/>
          <w14:ligatures w14:val="none"/>
        </w:rPr>
        <w:t xml:space="preserve">PG&amp;E </w:t>
      </w:r>
      <w:r w:rsidRPr="008F34BE">
        <w:rPr>
          <w:rFonts w:ascii="Palatino Linotype" w:hAnsi="Palatino Linotype" w:eastAsia="Times New Roman" w:cs="Times New Roman"/>
          <w:kern w:val="0"/>
          <w14:ligatures w14:val="none"/>
        </w:rPr>
        <w:t xml:space="preserve">to limit </w:t>
      </w:r>
      <w:r w:rsidRPr="008F34BE" w:rsidR="006E0B57">
        <w:rPr>
          <w:rFonts w:ascii="Palatino Linotype" w:hAnsi="Palatino Linotype" w:eastAsia="Times New Roman" w:cs="Times New Roman"/>
          <w:kern w:val="0"/>
          <w14:ligatures w14:val="none"/>
        </w:rPr>
        <w:t xml:space="preserve">annual </w:t>
      </w:r>
      <w:r w:rsidRPr="008F34BE">
        <w:rPr>
          <w:rFonts w:ascii="Palatino Linotype" w:hAnsi="Palatino Linotype" w:eastAsia="Times New Roman" w:cs="Times New Roman"/>
          <w:kern w:val="0"/>
          <w14:ligatures w14:val="none"/>
        </w:rPr>
        <w:t xml:space="preserve">refunds to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75 percent of PG&amp;E’s annual net revenues </w:t>
      </w:r>
      <w:r w:rsidRPr="008F34BE" w:rsidR="00BD087E">
        <w:rPr>
          <w:rFonts w:ascii="Palatino Linotype" w:hAnsi="Palatino Linotype" w:eastAsia="Times New Roman" w:cs="Times New Roman"/>
          <w:kern w:val="0"/>
          <w14:ligatures w14:val="none"/>
        </w:rPr>
        <w:t xml:space="preserve">received </w:t>
      </w:r>
      <w:r w:rsidRPr="008F34BE">
        <w:rPr>
          <w:rFonts w:ascii="Palatino Linotype" w:hAnsi="Palatino Linotype" w:eastAsia="Times New Roman" w:cs="Times New Roman"/>
          <w:kern w:val="0"/>
          <w14:ligatures w14:val="none"/>
        </w:rPr>
        <w:t xml:space="preserve">from </w:t>
      </w:r>
      <w:r w:rsidRPr="008F34BE" w:rsidR="00BD087E">
        <w:rPr>
          <w:rFonts w:ascii="Palatino Linotype" w:hAnsi="Palatino Linotype" w:eastAsia="Times New Roman" w:cs="Times New Roman"/>
          <w:kern w:val="0"/>
          <w14:ligatures w14:val="none"/>
        </w:rPr>
        <w:t>Microsoft</w:t>
      </w:r>
      <w:r w:rsidRPr="008F34BE" w:rsidR="006E0B57">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which </w:t>
      </w:r>
      <w:r w:rsidRPr="008F34BE" w:rsidR="006E0B57">
        <w:rPr>
          <w:rFonts w:ascii="Palatino Linotype" w:hAnsi="Palatino Linotype" w:eastAsia="Times New Roman" w:cs="Times New Roman"/>
          <w:kern w:val="0"/>
          <w14:ligatures w14:val="none"/>
        </w:rPr>
        <w:t xml:space="preserve">in this case </w:t>
      </w:r>
      <w:r w:rsidRPr="008F34BE">
        <w:rPr>
          <w:rFonts w:ascii="Palatino Linotype" w:hAnsi="Palatino Linotype" w:eastAsia="Times New Roman" w:cs="Times New Roman"/>
          <w:kern w:val="0"/>
          <w14:ligatures w14:val="none"/>
        </w:rPr>
        <w:t xml:space="preserve">are the transmission-related </w:t>
      </w:r>
      <w:r w:rsidRPr="008F34BE" w:rsidR="006E0B57">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625143">
        <w:rPr>
          <w:rFonts w:ascii="Palatino Linotype" w:hAnsi="Palatino Linotype" w:eastAsia="Times New Roman" w:cs="Times New Roman"/>
          <w:kern w:val="0"/>
          <w14:ligatures w14:val="none"/>
        </w:rPr>
        <w:t xml:space="preserve"> plus an adjustment for the Income Tax Component of Contribution (ITCC</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106F52">
        <w:rPr>
          <w:rFonts w:ascii="Palatino Linotype" w:hAnsi="Palatino Linotype" w:eastAsia="Times New Roman" w:cs="Times New Roman"/>
        </w:rPr>
        <w:t xml:space="preserve"> based on a modification to</w:t>
      </w:r>
      <w:r w:rsidRPr="008F34BE" w:rsidR="00AC3E72">
        <w:rPr>
          <w:rFonts w:ascii="Palatino Linotype" w:hAnsi="Palatino Linotype" w:eastAsia="Times New Roman" w:cs="Times New Roman"/>
        </w:rPr>
        <w:t xml:space="preserve"> </w:t>
      </w:r>
      <w:r w:rsidRPr="008F34BE" w:rsidR="00596361">
        <w:rPr>
          <w:rFonts w:ascii="Palatino Linotype" w:hAnsi="Palatino Linotype" w:eastAsia="Times New Roman" w:cs="Times New Roman"/>
        </w:rPr>
        <w:t xml:space="preserve">the </w:t>
      </w:r>
      <w:r w:rsidRPr="008F34BE" w:rsidR="00AC3E72">
        <w:rPr>
          <w:rFonts w:ascii="Palatino Linotype" w:hAnsi="Palatino Linotype" w:eastAsia="Times New Roman" w:cs="Times New Roman"/>
        </w:rPr>
        <w:t>standard</w:t>
      </w:r>
      <w:r w:rsidRPr="008F34BE" w:rsidR="00106F52">
        <w:rPr>
          <w:rFonts w:ascii="Palatino Linotype" w:hAnsi="Palatino Linotype" w:eastAsia="Times New Roman" w:cs="Times New Roman"/>
        </w:rPr>
        <w:t xml:space="preserve"> </w:t>
      </w:r>
      <w:r w:rsidRPr="008F34BE" w:rsidR="00AC3E72">
        <w:rPr>
          <w:rFonts w:ascii="Palatino Linotype" w:hAnsi="Palatino Linotype" w:eastAsia="Times New Roman" w:cs="Times New Roman"/>
        </w:rPr>
        <w:t>BARC refund process</w:t>
      </w:r>
      <w:r w:rsidRPr="008F34BE">
        <w:rPr>
          <w:rFonts w:ascii="Palatino Linotype" w:hAnsi="Palatino Linotype" w:eastAsia="Times New Roman" w:cs="Times New Roman"/>
          <w:kern w:val="0"/>
          <w14:ligatures w14:val="none"/>
        </w:rPr>
        <w:t xml:space="preserve">. </w:t>
      </w:r>
      <w:r w:rsidRPr="008F34BE" w:rsidR="00625143">
        <w:rPr>
          <w:rFonts w:ascii="Palatino Linotype" w:hAnsi="Palatino Linotype" w:eastAsia="Times New Roman" w:cs="Times New Roman"/>
          <w:kern w:val="0"/>
          <w14:ligatures w14:val="none"/>
        </w:rPr>
        <w:t>Additionally, to provide certainty to Microsoft</w:t>
      </w:r>
      <w:r w:rsidRPr="008F34BE" w:rsidR="00F65D25">
        <w:rPr>
          <w:rFonts w:ascii="Palatino Linotype" w:hAnsi="Palatino Linotype" w:eastAsia="Times New Roman" w:cs="Times New Roman"/>
          <w:kern w:val="0"/>
          <w14:ligatures w14:val="none"/>
        </w:rPr>
        <w:t xml:space="preserve"> </w:t>
      </w:r>
      <w:r w:rsidRPr="008F34BE" w:rsidR="00F4427C">
        <w:rPr>
          <w:rFonts w:ascii="Palatino Linotype" w:hAnsi="Palatino Linotype" w:eastAsia="Times New Roman" w:cs="Times New Roman"/>
          <w:kern w:val="0"/>
          <w14:ligatures w14:val="none"/>
        </w:rPr>
        <w:t xml:space="preserve">related to the refund of the upfront energization costs, </w:t>
      </w:r>
      <w:r w:rsidRPr="008F34BE" w:rsidR="00A117E0">
        <w:rPr>
          <w:rFonts w:ascii="Palatino Linotype" w:hAnsi="Palatino Linotype" w:eastAsia="Times New Roman" w:cs="Times New Roman"/>
          <w:kern w:val="0"/>
          <w14:ligatures w14:val="none"/>
        </w:rPr>
        <w:t xml:space="preserve">the Commission extends the refund period for this project to fifteen years. </w:t>
      </w:r>
      <w:r w:rsidRPr="008F34BE">
        <w:rPr>
          <w:rFonts w:ascii="Palatino Linotype" w:hAnsi="Palatino Linotype" w:eastAsia="Times New Roman" w:cs="Times New Roman"/>
          <w:kern w:val="0"/>
          <w14:ligatures w14:val="none"/>
        </w:rPr>
        <w:t xml:space="preserve">This approach </w:t>
      </w:r>
      <w:r w:rsidRPr="008F34BE" w:rsidR="005D16CB">
        <w:rPr>
          <w:rFonts w:ascii="Palatino Linotype" w:hAnsi="Palatino Linotype" w:eastAsia="Times New Roman" w:cs="Times New Roman"/>
        </w:rPr>
        <w:t xml:space="preserve">increases </w:t>
      </w:r>
      <w:r w:rsidRPr="008F34BE">
        <w:rPr>
          <w:rFonts w:ascii="Palatino Linotype" w:hAnsi="Palatino Linotype" w:eastAsia="Times New Roman" w:cs="Times New Roman"/>
          <w:kern w:val="0"/>
          <w14:ligatures w14:val="none"/>
        </w:rPr>
        <w:t>ratepayer</w:t>
      </w:r>
      <w:r w:rsidRPr="008F34BE" w:rsidR="00F17ADC">
        <w:rPr>
          <w:rFonts w:ascii="Palatino Linotype" w:hAnsi="Palatino Linotype" w:eastAsia="Times New Roman" w:cs="Times New Roman"/>
        </w:rPr>
        <w:t xml:space="preserve"> protection</w:t>
      </w:r>
      <w:r w:rsidRPr="008F34BE" w:rsidR="007D35D9">
        <w:rPr>
          <w:rFonts w:ascii="Palatino Linotype" w:hAnsi="Palatino Linotype" w:eastAsia="Times New Roman" w:cs="Times New Roman"/>
        </w:rPr>
        <w:t>s</w:t>
      </w:r>
      <w:r w:rsidRPr="008F34BE">
        <w:rPr>
          <w:rFonts w:ascii="Palatino Linotype" w:hAnsi="Palatino Linotype" w:eastAsia="Times New Roman" w:cs="Times New Roman"/>
          <w:kern w:val="0"/>
          <w14:ligatures w14:val="none"/>
        </w:rPr>
        <w:t xml:space="preserve"> while allowing</w:t>
      </w:r>
      <w:r w:rsidRPr="008F34BE" w:rsidR="006E0B57">
        <w:rPr>
          <w:rFonts w:ascii="Palatino Linotype" w:hAnsi="Palatino Linotype" w:eastAsia="Times New Roman" w:cs="Times New Roman"/>
          <w:kern w:val="0"/>
          <w14:ligatures w14:val="none"/>
        </w:rPr>
        <w:t xml:space="preserve"> the</w:t>
      </w:r>
      <w:r w:rsidRPr="008F34BE">
        <w:rPr>
          <w:rFonts w:ascii="Palatino Linotype" w:hAnsi="Palatino Linotype" w:eastAsia="Times New Roman" w:cs="Times New Roman"/>
          <w:kern w:val="0"/>
          <w14:ligatures w14:val="none"/>
        </w:rPr>
        <w:t xml:space="preserve"> </w:t>
      </w:r>
      <w:r w:rsidRPr="008F34BE" w:rsidR="006E0B57">
        <w:rPr>
          <w:rFonts w:ascii="Palatino Linotype" w:hAnsi="Palatino Linotype" w:eastAsia="Times New Roman" w:cs="Times New Roman"/>
          <w:kern w:val="0"/>
          <w14:ligatures w14:val="none"/>
        </w:rPr>
        <w:t>Microsoft project</w:t>
      </w:r>
      <w:r w:rsidRPr="008F34BE">
        <w:rPr>
          <w:rFonts w:ascii="Palatino Linotype" w:hAnsi="Palatino Linotype" w:eastAsia="Times New Roman" w:cs="Times New Roman"/>
          <w:kern w:val="0"/>
          <w14:ligatures w14:val="none"/>
        </w:rPr>
        <w:t xml:space="preserve"> </w:t>
      </w:r>
      <w:r w:rsidRPr="008F34BE" w:rsidR="000A5434">
        <w:rPr>
          <w:rFonts w:ascii="Palatino Linotype" w:hAnsi="Palatino Linotype" w:eastAsia="Times New Roman" w:cs="Times New Roman"/>
        </w:rPr>
        <w:t xml:space="preserve">to energize </w:t>
      </w:r>
      <w:r w:rsidRPr="008F34BE">
        <w:rPr>
          <w:rFonts w:ascii="Palatino Linotype" w:hAnsi="Palatino Linotype" w:eastAsia="Times New Roman" w:cs="Times New Roman"/>
          <w:kern w:val="0"/>
          <w14:ligatures w14:val="none"/>
        </w:rPr>
        <w:t xml:space="preserve">and receive a full refund over time. </w:t>
      </w:r>
      <w:r w:rsidRPr="008F34BE" w:rsidR="0053645B">
        <w:rPr>
          <w:rFonts w:ascii="Palatino Linotype" w:hAnsi="Palatino Linotype" w:eastAsia="Aptos" w:cs="Times New Roman"/>
        </w:rPr>
        <w:t xml:space="preserve">While this approach </w:t>
      </w:r>
      <w:r w:rsidRPr="008F34BE">
        <w:rPr>
          <w:rFonts w:ascii="Palatino Linotype" w:hAnsi="Palatino Linotype" w:eastAsia="Aptos" w:cs="Times New Roman"/>
        </w:rPr>
        <w:t xml:space="preserve">would lead to a slower refund process, </w:t>
      </w:r>
      <w:r w:rsidRPr="008F34BE" w:rsidR="0053645B">
        <w:rPr>
          <w:rFonts w:ascii="Palatino Linotype" w:hAnsi="Palatino Linotype" w:eastAsia="Aptos" w:cs="Times New Roman"/>
        </w:rPr>
        <w:t xml:space="preserve">it </w:t>
      </w:r>
      <w:r w:rsidRPr="008F34BE">
        <w:rPr>
          <w:rFonts w:ascii="Palatino Linotype" w:hAnsi="Palatino Linotype" w:eastAsia="Aptos" w:cs="Times New Roman"/>
        </w:rPr>
        <w:t>would not affect the total refund amount</w:t>
      </w:r>
      <w:r w:rsidRPr="008F34BE" w:rsidR="0053645B">
        <w:rPr>
          <w:rFonts w:ascii="Palatino Linotype" w:hAnsi="Palatino Linotype" w:eastAsia="Aptos" w:cs="Times New Roman"/>
        </w:rPr>
        <w:t xml:space="preserve"> that could be paid to Microsoft</w:t>
      </w:r>
      <w:r w:rsidRPr="008F34BE">
        <w:rPr>
          <w:rFonts w:ascii="Palatino Linotype" w:hAnsi="Palatino Linotype" w:eastAsia="Aptos" w:cs="Times New Roman"/>
        </w:rPr>
        <w:t>.</w:t>
      </w:r>
    </w:p>
    <w:p w:rsidRPr="008F34BE" w:rsidR="00A76F4A" w:rsidP="00A76F4A" w:rsidRDefault="00A76F4A" w14:paraId="5B4EDECF"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7BC6861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Background</w:t>
      </w:r>
    </w:p>
    <w:p w:rsidRPr="008F34BE" w:rsidR="00B8399F" w:rsidP="00902683" w:rsidRDefault="00220987" w14:paraId="0A12E07F"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On July 1, 2025, P</w:t>
      </w:r>
      <w:r w:rsidRPr="008F34BE" w:rsidR="00B64077">
        <w:rPr>
          <w:rFonts w:ascii="Palatino Linotype" w:hAnsi="Palatino Linotype" w:eastAsia="Times New Roman" w:cs="Times New Roman"/>
          <w:kern w:val="0"/>
          <w14:ligatures w14:val="none"/>
        </w:rPr>
        <w:t xml:space="preserve">acific Gas </w:t>
      </w:r>
      <w:r w:rsidRPr="008F34BE" w:rsidR="007351B1">
        <w:rPr>
          <w:rFonts w:ascii="Palatino Linotype" w:hAnsi="Palatino Linotype" w:eastAsia="Times New Roman" w:cs="Times New Roman"/>
          <w:kern w:val="0"/>
          <w14:ligatures w14:val="none"/>
        </w:rPr>
        <w:t xml:space="preserve">and Electric Company (PG&amp;E) filed </w:t>
      </w:r>
      <w:r w:rsidRPr="008F34BE" w:rsidR="002C45C5">
        <w:rPr>
          <w:rFonts w:ascii="Palatino Linotype" w:hAnsi="Palatino Linotype" w:eastAsia="Times New Roman" w:cs="Times New Roman"/>
          <w:kern w:val="0"/>
          <w14:ligatures w14:val="none"/>
        </w:rPr>
        <w:t xml:space="preserve">Advice </w:t>
      </w:r>
      <w:r w:rsidR="00666301">
        <w:rPr>
          <w:rFonts w:ascii="Palatino Linotype" w:hAnsi="Palatino Linotype" w:eastAsia="Times New Roman" w:cs="Times New Roman"/>
          <w:kern w:val="0"/>
          <w14:ligatures w14:val="none"/>
        </w:rPr>
        <w:br/>
      </w:r>
      <w:r w:rsidRPr="008F34BE" w:rsidR="002C45C5">
        <w:rPr>
          <w:rFonts w:ascii="Palatino Linotype" w:hAnsi="Palatino Linotype" w:eastAsia="Times New Roman" w:cs="Times New Roman"/>
          <w:kern w:val="0"/>
          <w14:ligatures w14:val="none"/>
        </w:rPr>
        <w:t>Letter</w:t>
      </w:r>
      <w:r w:rsidRPr="008F34BE" w:rsidR="00C205D1">
        <w:rPr>
          <w:rFonts w:ascii="Palatino Linotype" w:hAnsi="Palatino Linotype" w:eastAsia="Times New Roman" w:cs="Times New Roman"/>
          <w:kern w:val="0"/>
          <w14:ligatures w14:val="none"/>
        </w:rPr>
        <w:t xml:space="preserve"> (AL)</w:t>
      </w:r>
      <w:r w:rsidRPr="008F34BE" w:rsidR="002C45C5">
        <w:rPr>
          <w:rFonts w:ascii="Palatino Linotype" w:hAnsi="Palatino Linotype" w:eastAsia="Times New Roman" w:cs="Times New Roman"/>
          <w:kern w:val="0"/>
          <w14:ligatures w14:val="none"/>
        </w:rPr>
        <w:t xml:space="preserve"> 7635-E</w:t>
      </w:r>
      <w:r w:rsidRPr="008F34BE" w:rsidR="003713CB">
        <w:rPr>
          <w:rFonts w:ascii="Palatino Linotype" w:hAnsi="Palatino Linotype" w:eastAsia="Times New Roman" w:cs="Times New Roman"/>
          <w:kern w:val="0"/>
          <w14:ligatures w14:val="none"/>
        </w:rPr>
        <w:t xml:space="preserve"> requesting California Public Utilities Commission (C</w:t>
      </w:r>
      <w:r w:rsidRPr="008F34BE" w:rsidR="008A3877">
        <w:rPr>
          <w:rFonts w:ascii="Palatino Linotype" w:hAnsi="Palatino Linotype" w:eastAsia="Times New Roman" w:cs="Times New Roman"/>
          <w:kern w:val="0"/>
          <w14:ligatures w14:val="none"/>
        </w:rPr>
        <w:t>ommission</w:t>
      </w:r>
      <w:r w:rsidRPr="008F34BE" w:rsidR="003713CB">
        <w:rPr>
          <w:rFonts w:ascii="Palatino Linotype" w:hAnsi="Palatino Linotype" w:eastAsia="Times New Roman" w:cs="Times New Roman"/>
          <w:kern w:val="0"/>
          <w14:ligatures w14:val="none"/>
        </w:rPr>
        <w:t xml:space="preserve">) approval of </w:t>
      </w:r>
      <w:r w:rsidRPr="008F34BE" w:rsidR="002B6072">
        <w:rPr>
          <w:rFonts w:ascii="Palatino Linotype" w:hAnsi="Palatino Linotype" w:eastAsia="Times New Roman" w:cs="Times New Roman"/>
          <w:kern w:val="0"/>
          <w14:ligatures w14:val="none"/>
        </w:rPr>
        <w:t xml:space="preserve">four </w:t>
      </w:r>
      <w:r w:rsidRPr="008F34BE" w:rsidR="0084125E">
        <w:rPr>
          <w:rFonts w:ascii="Palatino Linotype" w:hAnsi="Palatino Linotype" w:eastAsia="Times New Roman" w:cs="Times New Roman"/>
          <w:kern w:val="0"/>
          <w14:ligatures w14:val="none"/>
        </w:rPr>
        <w:t xml:space="preserve">agreements – </w:t>
      </w:r>
      <w:r w:rsidRPr="008F34BE" w:rsidR="002424E5">
        <w:rPr>
          <w:rFonts w:ascii="Palatino Linotype" w:hAnsi="Palatino Linotype" w:eastAsia="Times New Roman" w:cs="Times New Roman"/>
          <w:kern w:val="0"/>
          <w14:ligatures w14:val="none"/>
        </w:rPr>
        <w:t>an Agreement to Perform Tariff Schedule Related Work</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lastRenderedPageBreak/>
        <w:t>an Agreement to Perform Tariff Schedule Related Work for PG&amp;E Review of Applicant Substation Design</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t>an Agreement for Installation or Allocation of Special Facilities</w:t>
      </w:r>
      <w:r w:rsidRPr="008F34BE" w:rsidR="0084125E">
        <w:rPr>
          <w:rFonts w:ascii="Palatino Linotype" w:hAnsi="Palatino Linotype" w:eastAsia="Times New Roman" w:cs="Times New Roman"/>
          <w:kern w:val="0"/>
          <w14:ligatures w14:val="none"/>
        </w:rPr>
        <w:t xml:space="preserve">, and </w:t>
      </w:r>
      <w:r w:rsidRPr="008F34BE" w:rsidR="00902683">
        <w:rPr>
          <w:rFonts w:ascii="Palatino Linotype" w:hAnsi="Palatino Linotype" w:eastAsia="Times New Roman" w:cs="Times New Roman"/>
          <w:kern w:val="0"/>
          <w14:ligatures w14:val="none"/>
        </w:rPr>
        <w:t>an Addendum to the Agreement for the Installation or Allocation of Special Facilities for Microsoft Corporation SJC02 Project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executed with Microsoft</w:t>
      </w:r>
      <w:r w:rsidRPr="008F34BE" w:rsidR="00DE0FF1">
        <w:rPr>
          <w:rFonts w:ascii="Palatino Linotype" w:hAnsi="Palatino Linotype" w:eastAsia="Times New Roman" w:cs="Times New Roman"/>
          <w:kern w:val="0"/>
          <w14:ligatures w14:val="none"/>
        </w:rPr>
        <w:t xml:space="preserve"> Corporation, a Washington Corporation (Microsoft</w:t>
      </w:r>
      <w:r w:rsidRPr="008F34BE" w:rsidR="00CB621B">
        <w:rPr>
          <w:rFonts w:ascii="Palatino Linotype" w:hAnsi="Palatino Linotype" w:eastAsia="Times New Roman" w:cs="Times New Roman"/>
          <w:kern w:val="0"/>
          <w14:ligatures w14:val="none"/>
        </w:rPr>
        <w:t>)</w:t>
      </w:r>
      <w:r w:rsidRPr="008F34BE" w:rsidR="009767A2">
        <w:rPr>
          <w:rFonts w:ascii="Palatino Linotype" w:hAnsi="Palatino Linotype" w:eastAsia="Times New Roman" w:cs="Times New Roman"/>
          <w:kern w:val="0"/>
          <w14:ligatures w14:val="none"/>
        </w:rPr>
        <w:t xml:space="preserve">. The agreements are intended to </w:t>
      </w:r>
      <w:r w:rsidRPr="008F34BE" w:rsidR="00625731">
        <w:rPr>
          <w:rFonts w:ascii="Palatino Linotype" w:hAnsi="Palatino Linotype" w:eastAsia="Times New Roman" w:cs="Times New Roman"/>
          <w:kern w:val="0"/>
          <w14:ligatures w14:val="none"/>
        </w:rPr>
        <w:t xml:space="preserve">support the installation of new electric transmission facilities necessary to serve a proposed </w:t>
      </w:r>
      <w:r w:rsidR="008F34BE">
        <w:rPr>
          <w:rFonts w:ascii="Palatino Linotype" w:hAnsi="Palatino Linotype" w:eastAsia="Times New Roman" w:cs="Times New Roman"/>
          <w:kern w:val="0"/>
          <w14:ligatures w14:val="none"/>
        </w:rPr>
        <w:br/>
      </w:r>
      <w:r w:rsidRPr="008F34BE" w:rsidR="00625731">
        <w:rPr>
          <w:rFonts w:ascii="Palatino Linotype" w:hAnsi="Palatino Linotype" w:eastAsia="Times New Roman" w:cs="Times New Roman"/>
          <w:kern w:val="0"/>
          <w14:ligatures w14:val="none"/>
        </w:rPr>
        <w:t xml:space="preserve">90 megawatt (MW) data center project at </w:t>
      </w:r>
      <w:r w:rsidRPr="008F34BE" w:rsidR="003A3DD6">
        <w:rPr>
          <w:rFonts w:ascii="Palatino Linotype" w:hAnsi="Palatino Linotype" w:eastAsia="Times New Roman" w:cs="Times New Roman"/>
          <w:kern w:val="0"/>
          <w14:ligatures w14:val="none"/>
        </w:rPr>
        <w:t>1657 Alviso-Milpitas Road</w:t>
      </w:r>
      <w:r w:rsidRPr="008F34BE" w:rsidR="00625731">
        <w:rPr>
          <w:rFonts w:ascii="Palatino Linotype" w:hAnsi="Palatino Linotype" w:eastAsia="Times New Roman" w:cs="Times New Roman"/>
          <w:kern w:val="0"/>
          <w14:ligatures w14:val="none"/>
        </w:rPr>
        <w:t xml:space="preserve"> in San Jose, California.</w:t>
      </w:r>
      <w:r w:rsidRPr="008F34BE" w:rsidR="003412A1">
        <w:rPr>
          <w:rFonts w:ascii="Palatino Linotype" w:hAnsi="Palatino Linotype" w:eastAsia="Times New Roman" w:cs="Times New Roman"/>
          <w:kern w:val="0"/>
          <w14:ligatures w14:val="none"/>
        </w:rPr>
        <w:t xml:space="preserve"> Microsoft has </w:t>
      </w:r>
      <w:r w:rsidRPr="008F34BE" w:rsidR="00D65F86">
        <w:rPr>
          <w:rFonts w:ascii="Palatino Linotype" w:hAnsi="Palatino Linotype" w:eastAsia="Times New Roman" w:cs="Times New Roman"/>
          <w:kern w:val="0"/>
          <w14:ligatures w14:val="none"/>
        </w:rPr>
        <w:t>proposed a January 2027 operation date for this data center.</w:t>
      </w:r>
      <w:r w:rsidRPr="008F34BE" w:rsidR="006944C6">
        <w:rPr>
          <w:rFonts w:ascii="Palatino Linotype" w:hAnsi="Palatino Linotype" w:eastAsia="Times New Roman" w:cs="Times New Roman"/>
          <w:kern w:val="0"/>
          <w14:ligatures w14:val="none"/>
        </w:rPr>
        <w:t xml:space="preserve"> The Microsoft SJC</w:t>
      </w:r>
      <w:r w:rsidRPr="008F34BE" w:rsidR="002C4383">
        <w:rPr>
          <w:rFonts w:ascii="Palatino Linotype" w:hAnsi="Palatino Linotype" w:eastAsia="Times New Roman" w:cs="Times New Roman"/>
          <w:kern w:val="0"/>
          <w14:ligatures w14:val="none"/>
        </w:rPr>
        <w:t>02 Data Center will hereafter be referred to as “the project” or “the Microsoft project</w:t>
      </w:r>
      <w:r w:rsidRPr="008F34BE" w:rsidR="00B77720">
        <w:rPr>
          <w:rFonts w:ascii="Palatino Linotype" w:hAnsi="Palatino Linotype" w:eastAsia="Times New Roman" w:cs="Times New Roman"/>
          <w:kern w:val="0"/>
          <w14:ligatures w14:val="none"/>
        </w:rPr>
        <w:t>.</w:t>
      </w:r>
      <w:r w:rsidRPr="008F34BE" w:rsidR="002C4383">
        <w:rPr>
          <w:rFonts w:ascii="Palatino Linotype" w:hAnsi="Palatino Linotype" w:eastAsia="Times New Roman" w:cs="Times New Roman"/>
          <w:kern w:val="0"/>
          <w14:ligatures w14:val="none"/>
        </w:rPr>
        <w:t xml:space="preserve">” </w:t>
      </w:r>
    </w:p>
    <w:p w:rsidRPr="008F34BE" w:rsidR="0013174D" w:rsidP="00A76F4A" w:rsidRDefault="0013174D" w14:paraId="113B2E33"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3322C1" w14:paraId="266807A3"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Project Overview</w:t>
      </w:r>
    </w:p>
    <w:p w:rsidRPr="008F34BE" w:rsidR="003322C1" w:rsidP="003322C1" w:rsidRDefault="003322C1" w14:paraId="7FF9B906"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F93075" w14:paraId="2A3C1FF4"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has agreed to </w:t>
      </w:r>
      <w:r w:rsidRPr="008F34BE" w:rsidR="0061567E">
        <w:rPr>
          <w:rFonts w:ascii="Palatino Linotype" w:hAnsi="Palatino Linotype" w:eastAsia="Times New Roman" w:cs="Times New Roman"/>
          <w:kern w:val="0"/>
          <w14:ligatures w14:val="none"/>
        </w:rPr>
        <w:t xml:space="preserve">perform the following work </w:t>
      </w:r>
      <w:r w:rsidRPr="008F34BE" w:rsidR="00776EBD">
        <w:rPr>
          <w:rFonts w:ascii="Palatino Linotype" w:hAnsi="Palatino Linotype" w:eastAsia="Times New Roman" w:cs="Times New Roman"/>
          <w:kern w:val="0"/>
          <w14:ligatures w14:val="none"/>
        </w:rPr>
        <w:t>to</w:t>
      </w:r>
      <w:r w:rsidRPr="008F34BE" w:rsidR="0061567E">
        <w:rPr>
          <w:rFonts w:ascii="Palatino Linotype" w:hAnsi="Palatino Linotype" w:eastAsia="Times New Roman" w:cs="Times New Roman"/>
          <w:kern w:val="0"/>
          <w14:ligatures w14:val="none"/>
        </w:rPr>
        <w:t xml:space="preserve"> </w:t>
      </w:r>
      <w:r w:rsidRPr="008F34BE" w:rsidR="00353845">
        <w:rPr>
          <w:rFonts w:ascii="Palatino Linotype" w:hAnsi="Palatino Linotype" w:eastAsia="Times New Roman" w:cs="Times New Roman"/>
          <w:kern w:val="0"/>
          <w14:ligatures w14:val="none"/>
        </w:rPr>
        <w:t>inter</w:t>
      </w:r>
      <w:r w:rsidRPr="008F34BE" w:rsidR="0061567E">
        <w:rPr>
          <w:rFonts w:ascii="Palatino Linotype" w:hAnsi="Palatino Linotype" w:eastAsia="Times New Roman" w:cs="Times New Roman"/>
          <w:kern w:val="0"/>
          <w14:ligatures w14:val="none"/>
        </w:rPr>
        <w:t xml:space="preserve">connect </w:t>
      </w:r>
      <w:r w:rsidRPr="008F34BE" w:rsidR="00353845">
        <w:rPr>
          <w:rFonts w:ascii="Palatino Linotype" w:hAnsi="Palatino Linotype" w:eastAsia="Times New Roman" w:cs="Times New Roman"/>
          <w:kern w:val="0"/>
          <w14:ligatures w14:val="none"/>
        </w:rPr>
        <w:t xml:space="preserve">the Microsoft </w:t>
      </w:r>
      <w:r w:rsidRPr="008F34BE" w:rsidR="009E3AA4">
        <w:rPr>
          <w:rFonts w:ascii="Palatino Linotype" w:hAnsi="Palatino Linotype" w:eastAsia="Times New Roman" w:cs="Times New Roman"/>
          <w:kern w:val="0"/>
          <w14:ligatures w14:val="none"/>
        </w:rPr>
        <w:t>project</w:t>
      </w:r>
      <w:r w:rsidRPr="008F34BE" w:rsidR="00353845">
        <w:rPr>
          <w:rFonts w:ascii="Palatino Linotype" w:hAnsi="Palatino Linotype" w:eastAsia="Times New Roman" w:cs="Times New Roman"/>
          <w:kern w:val="0"/>
          <w14:ligatures w14:val="none"/>
        </w:rPr>
        <w:t xml:space="preserve"> at 115 kilovolts (kV):</w:t>
      </w:r>
    </w:p>
    <w:p w:rsidRPr="008F34BE" w:rsidR="00353845" w:rsidP="003322C1" w:rsidRDefault="00353845" w14:paraId="5FA2A862" w14:textId="77777777">
      <w:pPr>
        <w:spacing w:after="0" w:line="240" w:lineRule="auto"/>
        <w:rPr>
          <w:rFonts w:ascii="Palatino Linotype" w:hAnsi="Palatino Linotype" w:eastAsia="Times New Roman" w:cs="Times New Roman"/>
          <w:kern w:val="0"/>
          <w14:ligatures w14:val="none"/>
        </w:rPr>
      </w:pPr>
    </w:p>
    <w:p w:rsidRPr="008F34BE" w:rsidR="00353845" w:rsidP="00353845" w:rsidRDefault="009B5149" w14:paraId="7E22A225"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115 kV transmission upgrades at </w:t>
      </w:r>
      <w:r w:rsidRPr="008F34BE" w:rsidR="00B6572E">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Los Esteros substation</w:t>
      </w:r>
      <w:r w:rsidRPr="008F34BE" w:rsidR="002C4D2E">
        <w:rPr>
          <w:rFonts w:ascii="Palatino Linotype" w:hAnsi="Palatino Linotype" w:eastAsia="Times New Roman" w:cs="Times New Roman"/>
          <w:kern w:val="0"/>
          <w14:ligatures w14:val="none"/>
        </w:rPr>
        <w:t xml:space="preserve"> and one new </w:t>
      </w:r>
      <w:r w:rsidR="008F34BE">
        <w:rPr>
          <w:rFonts w:ascii="Palatino Linotype" w:hAnsi="Palatino Linotype" w:eastAsia="Times New Roman" w:cs="Times New Roman"/>
          <w:kern w:val="0"/>
          <w14:ligatures w14:val="none"/>
        </w:rPr>
        <w:br/>
      </w:r>
      <w:r w:rsidRPr="008F34BE" w:rsidR="002C4D2E">
        <w:rPr>
          <w:rFonts w:ascii="Palatino Linotype" w:hAnsi="Palatino Linotype" w:eastAsia="Times New Roman" w:cs="Times New Roman"/>
          <w:kern w:val="0"/>
          <w14:ligatures w14:val="none"/>
        </w:rPr>
        <w:t xml:space="preserve">115 kV </w:t>
      </w:r>
      <w:r w:rsidRPr="008F34BE" w:rsidR="00963033">
        <w:rPr>
          <w:rFonts w:ascii="Palatino Linotype" w:hAnsi="Palatino Linotype" w:eastAsia="Times New Roman" w:cs="Times New Roman"/>
          <w:kern w:val="0"/>
          <w14:ligatures w14:val="none"/>
        </w:rPr>
        <w:t>transmission line extension from PG&amp;E’s Los Esteros substation to Microsoft’s Kaku substation</w:t>
      </w:r>
      <w:r w:rsidRPr="008F34BE" w:rsidR="00F050F6">
        <w:rPr>
          <w:rFonts w:ascii="Palatino Linotype" w:hAnsi="Palatino Linotype" w:eastAsia="Times New Roman" w:cs="Times New Roman"/>
          <w:kern w:val="0"/>
          <w14:ligatures w14:val="none"/>
        </w:rPr>
        <w:t xml:space="preserve"> to provide regular service</w:t>
      </w:r>
      <w:r w:rsidRPr="008F34BE" w:rsidR="007266B1">
        <w:rPr>
          <w:rFonts w:ascii="Palatino Linotype" w:hAnsi="Palatino Linotype" w:eastAsia="Times New Roman" w:cs="Times New Roman"/>
          <w:kern w:val="0"/>
          <w14:ligatures w14:val="none"/>
        </w:rPr>
        <w:t>.</w:t>
      </w:r>
    </w:p>
    <w:p w:rsidRPr="008F34BE" w:rsidR="00030F3B" w:rsidP="00353845" w:rsidRDefault="00030F3B" w14:paraId="11B370E3"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Design review for Microsoft’s Kaku </w:t>
      </w:r>
      <w:r w:rsidRPr="008F34BE" w:rsidR="007A55B7">
        <w:rPr>
          <w:rFonts w:ascii="Palatino Linotype" w:hAnsi="Palatino Linotype" w:eastAsia="Times New Roman" w:cs="Times New Roman"/>
          <w:kern w:val="0"/>
          <w14:ligatures w14:val="none"/>
        </w:rPr>
        <w:t xml:space="preserve">115 kV </w:t>
      </w:r>
      <w:r w:rsidRPr="008F34BE">
        <w:rPr>
          <w:rFonts w:ascii="Palatino Linotype" w:hAnsi="Palatino Linotype" w:eastAsia="Times New Roman" w:cs="Times New Roman"/>
          <w:kern w:val="0"/>
          <w14:ligatures w14:val="none"/>
        </w:rPr>
        <w:t>substation</w:t>
      </w:r>
      <w:r w:rsidRPr="008F34BE" w:rsidR="002C4D2E">
        <w:rPr>
          <w:rFonts w:ascii="Palatino Linotype" w:hAnsi="Palatino Linotype" w:eastAsia="Times New Roman" w:cs="Times New Roman"/>
          <w:kern w:val="0"/>
          <w14:ligatures w14:val="none"/>
        </w:rPr>
        <w:t>, wh</w:t>
      </w:r>
      <w:r w:rsidRPr="008F34BE" w:rsidR="00F050F6">
        <w:rPr>
          <w:rFonts w:ascii="Palatino Linotype" w:hAnsi="Palatino Linotype" w:eastAsia="Times New Roman" w:cs="Times New Roman"/>
          <w:kern w:val="0"/>
          <w14:ligatures w14:val="none"/>
        </w:rPr>
        <w:t>ere the new 115 kV line for regular service will connect</w:t>
      </w:r>
      <w:r w:rsidRPr="008F34BE" w:rsidR="007266B1">
        <w:rPr>
          <w:rFonts w:ascii="Palatino Linotype" w:hAnsi="Palatino Linotype" w:eastAsia="Times New Roman" w:cs="Times New Roman"/>
          <w:kern w:val="0"/>
          <w14:ligatures w14:val="none"/>
        </w:rPr>
        <w:t>.</w:t>
      </w:r>
    </w:p>
    <w:p w:rsidRPr="008F34BE" w:rsidR="00F050F6" w:rsidP="00353845" w:rsidRDefault="00B6572E" w14:paraId="2BFE694A" w14:textId="77777777">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One additional 115 kV transmission line from PG&amp;E’s Los Esteros substation </w:t>
      </w:r>
      <w:r w:rsidRPr="008F34BE" w:rsidR="00F612C3">
        <w:rPr>
          <w:rFonts w:ascii="Palatino Linotype" w:hAnsi="Palatino Linotype" w:eastAsia="Times New Roman" w:cs="Times New Roman"/>
          <w:kern w:val="0"/>
          <w14:ligatures w14:val="none"/>
        </w:rPr>
        <w:t xml:space="preserve">to Microsoft’s Kaku substation for dedicated redundant backup service </w:t>
      </w:r>
      <w:r w:rsidRPr="008F34BE" w:rsidR="00CD6EE5">
        <w:rPr>
          <w:rFonts w:ascii="Palatino Linotype" w:hAnsi="Palatino Linotype" w:eastAsia="Times New Roman" w:cs="Times New Roman"/>
          <w:kern w:val="0"/>
          <w14:ligatures w14:val="none"/>
        </w:rPr>
        <w:t>by request of and at the expense of Microsoft as a Special Facility</w:t>
      </w:r>
      <w:r w:rsidRPr="008F34BE" w:rsidR="007C07FF">
        <w:rPr>
          <w:rFonts w:ascii="Palatino Linotype" w:hAnsi="Palatino Linotype" w:eastAsia="Times New Roman" w:cs="Times New Roman"/>
          <w:kern w:val="0"/>
          <w14:ligatures w14:val="none"/>
        </w:rPr>
        <w:t>.</w:t>
      </w:r>
    </w:p>
    <w:p w:rsidRPr="008F34BE" w:rsidR="003322C1" w:rsidP="003322C1" w:rsidRDefault="003322C1" w14:paraId="5A1A17E5" w14:textId="77777777">
      <w:pPr>
        <w:spacing w:after="0" w:line="240" w:lineRule="auto"/>
        <w:rPr>
          <w:rFonts w:ascii="Palatino Linotype" w:hAnsi="Palatino Linotype" w:eastAsia="Times New Roman" w:cs="Times New Roman"/>
          <w:kern w:val="0"/>
          <w14:ligatures w14:val="none"/>
        </w:rPr>
      </w:pPr>
    </w:p>
    <w:p w:rsidRPr="008F34BE" w:rsidR="00EB70A0" w:rsidP="003322C1" w:rsidRDefault="00EB70A0" w14:paraId="36138821"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w:t>
      </w:r>
      <w:r w:rsidRPr="008F34BE" w:rsidR="009E3AA4">
        <w:rPr>
          <w:rFonts w:ascii="Palatino Linotype" w:hAnsi="Palatino Linotype" w:eastAsia="Times New Roman" w:cs="Times New Roman"/>
          <w:kern w:val="0"/>
          <w14:ligatures w14:val="none"/>
        </w:rPr>
        <w:t>project</w:t>
      </w:r>
      <w:r w:rsidRPr="008F34BE">
        <w:rPr>
          <w:rFonts w:ascii="Palatino Linotype" w:hAnsi="Palatino Linotype" w:eastAsia="Times New Roman" w:cs="Times New Roman"/>
          <w:kern w:val="0"/>
          <w14:ligatures w14:val="none"/>
        </w:rPr>
        <w:t xml:space="preserve"> is expected to represent a continuous 90 MW load </w:t>
      </w:r>
      <w:r w:rsidRPr="008F34BE" w:rsidR="007C07FF">
        <w:rPr>
          <w:rFonts w:ascii="Palatino Linotype" w:hAnsi="Palatino Linotype" w:eastAsia="Times New Roman" w:cs="Times New Roman"/>
          <w:kern w:val="0"/>
          <w14:ligatures w14:val="none"/>
        </w:rPr>
        <w:t xml:space="preserve">for </w:t>
      </w:r>
      <w:r w:rsidRPr="008F34BE">
        <w:rPr>
          <w:rFonts w:ascii="Palatino Linotype" w:hAnsi="Palatino Linotype" w:eastAsia="Times New Roman" w:cs="Times New Roman"/>
          <w:kern w:val="0"/>
          <w14:ligatures w14:val="none"/>
        </w:rPr>
        <w:t xml:space="preserve">24 hours per day,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365 days per year.</w:t>
      </w:r>
    </w:p>
    <w:p w:rsidRPr="008F34BE" w:rsidR="00EB70A0" w:rsidP="003322C1" w:rsidRDefault="00EB70A0" w14:paraId="265A2EF5"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4057FF" w14:paraId="6CC84617"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Exceptional Case Filing Status</w:t>
      </w:r>
    </w:p>
    <w:p w:rsidRPr="008F34BE" w:rsidR="004057FF" w:rsidP="00A76F4A" w:rsidRDefault="004057FF" w14:paraId="5A35DF6F" w14:textId="77777777">
      <w:pPr>
        <w:spacing w:after="0" w:line="240" w:lineRule="auto"/>
        <w:rPr>
          <w:rFonts w:ascii="Palatino Linotype" w:hAnsi="Palatino Linotype" w:eastAsia="Times New Roman" w:cs="Times New Roman"/>
          <w:kern w:val="0"/>
          <w14:ligatures w14:val="none"/>
        </w:rPr>
      </w:pPr>
    </w:p>
    <w:p w:rsidRPr="008F34BE" w:rsidR="004F63FA" w:rsidP="004F63FA" w:rsidRDefault="004F63FA" w14:paraId="5FC9818F"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scope and nature of the infrastructure needs—</w:t>
      </w:r>
      <w:r w:rsidRPr="008F34BE" w:rsidR="006E3FE7">
        <w:rPr>
          <w:rFonts w:ascii="Palatino Linotype" w:hAnsi="Palatino Linotype" w:eastAsia="Times New Roman" w:cs="Times New Roman"/>
          <w:kern w:val="0"/>
          <w14:ligatures w14:val="none"/>
        </w:rPr>
        <w:t>name</w:t>
      </w:r>
      <w:r w:rsidRPr="008F34BE">
        <w:rPr>
          <w:rFonts w:ascii="Palatino Linotype" w:hAnsi="Palatino Linotype" w:eastAsia="Times New Roman" w:cs="Times New Roman"/>
          <w:kern w:val="0"/>
          <w14:ligatures w14:val="none"/>
        </w:rPr>
        <w:t>ly the transmission-level interconnection</w:t>
      </w:r>
      <w:r w:rsidRPr="008F34BE" w:rsidR="006C0CAE">
        <w:rPr>
          <w:rFonts w:ascii="Palatino Linotype" w:hAnsi="Palatino Linotype" w:eastAsia="Times New Roman" w:cs="Times New Roman"/>
          <w:kern w:val="0"/>
          <w14:ligatures w14:val="none"/>
        </w:rPr>
        <w:t xml:space="preserve"> and energization of a larger load customer</w:t>
      </w:r>
      <w:r w:rsidRPr="008F34BE">
        <w:rPr>
          <w:rFonts w:ascii="Palatino Linotype" w:hAnsi="Palatino Linotype" w:eastAsia="Times New Roman" w:cs="Times New Roman"/>
          <w:kern w:val="0"/>
          <w14:ligatures w14:val="none"/>
        </w:rPr>
        <w:t>—present unique considerations not fully addressed by standard Electric Rules 2,</w:t>
      </w:r>
      <w:r w:rsidRPr="008F34BE" w:rsidR="00FA7476">
        <w:rPr>
          <w:rStyle w:val="FootnoteReference"/>
          <w:rFonts w:ascii="Palatino Linotype" w:hAnsi="Palatino Linotype" w:eastAsia="Times New Roman" w:cs="Times New Roman"/>
          <w:kern w:val="0"/>
          <w14:ligatures w14:val="none"/>
        </w:rPr>
        <w:footnoteReference w:id="2"/>
      </w:r>
      <w:r w:rsidRPr="008F34BE">
        <w:rPr>
          <w:rFonts w:ascii="Palatino Linotype" w:hAnsi="Palatino Linotype" w:eastAsia="Times New Roman" w:cs="Times New Roman"/>
          <w:kern w:val="0"/>
          <w14:ligatures w14:val="none"/>
        </w:rPr>
        <w:t xml:space="preserve"> 15,</w:t>
      </w:r>
      <w:r w:rsidRPr="008F34BE" w:rsidR="00FA7476">
        <w:rPr>
          <w:rStyle w:val="FootnoteReference"/>
          <w:rFonts w:ascii="Palatino Linotype" w:hAnsi="Palatino Linotype" w:eastAsia="Times New Roman" w:cs="Times New Roman"/>
          <w:kern w:val="0"/>
          <w14:ligatures w14:val="none"/>
        </w:rPr>
        <w:footnoteReference w:id="3"/>
      </w:r>
      <w:r w:rsidRPr="008F34BE">
        <w:rPr>
          <w:rFonts w:ascii="Palatino Linotype" w:hAnsi="Palatino Linotype" w:eastAsia="Times New Roman" w:cs="Times New Roman"/>
          <w:kern w:val="0"/>
          <w14:ligatures w14:val="none"/>
        </w:rPr>
        <w:t xml:space="preserve"> and </w:t>
      </w:r>
      <w:r w:rsidR="00B31C01">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lastRenderedPageBreak/>
        <w:t>16.</w:t>
      </w:r>
      <w:r w:rsidRPr="008F34BE" w:rsidR="00FA7476">
        <w:rPr>
          <w:rStyle w:val="FootnoteReference"/>
          <w:rFonts w:ascii="Palatino Linotype" w:hAnsi="Palatino Linotype" w:eastAsia="Times New Roman" w:cs="Times New Roman"/>
          <w:kern w:val="0"/>
          <w14:ligatures w14:val="none"/>
        </w:rPr>
        <w:footnoteReference w:id="4"/>
      </w:r>
      <w:r w:rsidRPr="008F34BE">
        <w:rPr>
          <w:rFonts w:ascii="Palatino Linotype" w:hAnsi="Palatino Linotype" w:eastAsia="Times New Roman" w:cs="Times New Roman"/>
          <w:kern w:val="0"/>
          <w14:ligatures w14:val="none"/>
        </w:rPr>
        <w:t xml:space="preserve"> These rules normally apply to customers seeking energization at the distribution level</w:t>
      </w:r>
      <w:r w:rsidRPr="008F34BE" w:rsidR="006742E3">
        <w:rPr>
          <w:rFonts w:ascii="Palatino Linotype" w:hAnsi="Palatino Linotype" w:eastAsia="Times New Roman" w:cs="Times New Roman"/>
          <w:kern w:val="0"/>
          <w14:ligatures w14:val="none"/>
        </w:rPr>
        <w:t>, which</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for PG&amp;E</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w:t>
      </w:r>
      <w:r w:rsidRPr="008F34BE" w:rsidR="00885E44">
        <w:rPr>
          <w:rFonts w:ascii="Palatino Linotype" w:hAnsi="Palatino Linotype" w:eastAsia="Times New Roman" w:cs="Times New Roman"/>
          <w:kern w:val="0"/>
          <w14:ligatures w14:val="none"/>
        </w:rPr>
        <w:t>is</w:t>
      </w:r>
      <w:r w:rsidRPr="008F34BE" w:rsidR="006742E3">
        <w:rPr>
          <w:rFonts w:ascii="Palatino Linotype" w:hAnsi="Palatino Linotype" w:eastAsia="Times New Roman" w:cs="Times New Roman"/>
          <w:kern w:val="0"/>
          <w14:ligatures w14:val="none"/>
        </w:rPr>
        <w:t xml:space="preserve"> </w:t>
      </w:r>
      <w:r w:rsidRPr="008F34BE" w:rsidR="00AA72A4">
        <w:rPr>
          <w:rFonts w:ascii="Palatino Linotype" w:hAnsi="Palatino Linotype" w:eastAsia="Times New Roman" w:cs="Times New Roman"/>
          <w:kern w:val="0"/>
          <w14:ligatures w14:val="none"/>
        </w:rPr>
        <w:t>below 60 kV</w:t>
      </w:r>
      <w:r w:rsidRPr="008F34BE">
        <w:rPr>
          <w:rFonts w:ascii="Palatino Linotype" w:hAnsi="Palatino Linotype" w:eastAsia="Times New Roman" w:cs="Times New Roman"/>
          <w:kern w:val="0"/>
          <w14:ligatures w14:val="none"/>
        </w:rPr>
        <w:t>.</w:t>
      </w:r>
      <w:r w:rsidRPr="008F34BE" w:rsidR="00780A62">
        <w:rPr>
          <w:rFonts w:ascii="Palatino Linotype" w:hAnsi="Palatino Linotype" w:eastAsia="Times New Roman" w:cs="Times New Roman"/>
          <w:kern w:val="0"/>
          <w14:ligatures w14:val="none"/>
        </w:rPr>
        <w:t xml:space="preserve"> </w:t>
      </w:r>
    </w:p>
    <w:p w:rsidRPr="008F34BE" w:rsidR="004F63FA" w:rsidP="004F63FA" w:rsidRDefault="004F63FA" w14:paraId="507C3BCA" w14:textId="77777777">
      <w:pPr>
        <w:spacing w:after="0" w:line="240" w:lineRule="auto"/>
        <w:rPr>
          <w:rFonts w:ascii="Palatino Linotype" w:hAnsi="Palatino Linotype" w:eastAsia="Times New Roman" w:cs="Times New Roman"/>
          <w:kern w:val="0"/>
          <w14:ligatures w14:val="none"/>
        </w:rPr>
      </w:pPr>
    </w:p>
    <w:p w:rsidRPr="008F34BE" w:rsidR="004F63FA" w:rsidP="0086316A" w:rsidRDefault="004F63FA" w14:paraId="490EA35A"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therefore seeks </w:t>
      </w:r>
      <w:r w:rsidRPr="008F34BE" w:rsidR="008A3877">
        <w:rPr>
          <w:rFonts w:ascii="Palatino Linotype" w:hAnsi="Palatino Linotype" w:eastAsia="Times New Roman" w:cs="Times New Roman"/>
          <w:kern w:val="0"/>
          <w14:ligatures w14:val="none"/>
        </w:rPr>
        <w:t>Commission</w:t>
      </w:r>
      <w:r w:rsidRPr="008F34BE">
        <w:rPr>
          <w:rFonts w:ascii="Palatino Linotype" w:hAnsi="Palatino Linotype" w:eastAsia="Times New Roman" w:cs="Times New Roman"/>
          <w:kern w:val="0"/>
          <w14:ligatures w14:val="none"/>
        </w:rPr>
        <w:t xml:space="preserve"> approval of </w:t>
      </w:r>
      <w:r w:rsidRPr="008F34BE" w:rsidR="00792D4D">
        <w:rPr>
          <w:rFonts w:ascii="Palatino Linotype" w:hAnsi="Palatino Linotype" w:eastAsia="Times New Roman" w:cs="Times New Roman"/>
          <w:kern w:val="0"/>
          <w14:ligatures w14:val="none"/>
        </w:rPr>
        <w:t>the submitted</w:t>
      </w:r>
      <w:r w:rsidRPr="008F34BE">
        <w:rPr>
          <w:rFonts w:ascii="Palatino Linotype" w:hAnsi="Palatino Linotype" w:eastAsia="Times New Roman" w:cs="Times New Roman"/>
          <w:kern w:val="0"/>
          <w14:ligatures w14:val="none"/>
        </w:rPr>
        <w:t xml:space="preserve"> agreements under Electric Rules 2, 15, and 16 </w:t>
      </w:r>
      <w:r w:rsidRPr="008F34BE" w:rsidR="001D1A47">
        <w:rPr>
          <w:rFonts w:ascii="Palatino Linotype" w:hAnsi="Palatino Linotype" w:eastAsia="Times New Roman" w:cs="Times New Roman"/>
          <w:kern w:val="0"/>
          <w14:ligatures w14:val="none"/>
        </w:rPr>
        <w:t>provisions and exceptions</w:t>
      </w:r>
      <w:r w:rsidRPr="008F34BE" w:rsidR="00CC00E9">
        <w:rPr>
          <w:rFonts w:ascii="Palatino Linotype" w:hAnsi="Palatino Linotype" w:eastAsia="Times New Roman" w:cs="Times New Roman"/>
          <w:kern w:val="0"/>
          <w14:ligatures w14:val="none"/>
        </w:rPr>
        <w:t>, as discussed below</w:t>
      </w:r>
      <w:r w:rsidRPr="008F34BE">
        <w:rPr>
          <w:rFonts w:ascii="Palatino Linotype" w:hAnsi="Palatino Linotype" w:eastAsia="Times New Roman" w:cs="Times New Roman"/>
          <w:kern w:val="0"/>
          <w14:ligatures w14:val="none"/>
        </w:rPr>
        <w:t>.</w:t>
      </w:r>
    </w:p>
    <w:p w:rsidRPr="008F34BE" w:rsidR="004F63FA" w:rsidP="00A76F4A" w:rsidRDefault="004F63FA" w14:paraId="519D8DE9"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EE03F3" w14:paraId="2459F1CC" w14:textId="77777777">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 xml:space="preserve">Summary of Agreements and </w:t>
      </w:r>
      <w:r w:rsidRPr="008F34BE" w:rsidR="001A5552">
        <w:rPr>
          <w:rFonts w:ascii="Palatino Linotype" w:hAnsi="Palatino Linotype" w:eastAsia="Times New Roman" w:cs="Times New Roman"/>
          <w:b/>
          <w:bCs/>
          <w:kern w:val="0"/>
          <w14:ligatures w14:val="none"/>
        </w:rPr>
        <w:t>Proposed Tariff Deviations</w:t>
      </w:r>
    </w:p>
    <w:p w:rsidRPr="008F34BE" w:rsidR="00A76F4A" w:rsidP="00A76F4A" w:rsidRDefault="00A76F4A" w14:paraId="299DE3E5" w14:textId="77777777">
      <w:pPr>
        <w:spacing w:after="0" w:line="240" w:lineRule="auto"/>
        <w:rPr>
          <w:rFonts w:ascii="Palatino Linotype" w:hAnsi="Palatino Linotype" w:eastAsia="Palatino Linotype" w:cs="Times New Roman"/>
          <w:b/>
          <w:kern w:val="0"/>
          <w14:ligatures w14:val="none"/>
        </w:rPr>
      </w:pPr>
    </w:p>
    <w:p w:rsidRPr="008F34BE" w:rsidR="00CE234D" w:rsidP="00006173" w:rsidRDefault="00CE234D" w14:paraId="293C984B"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Note that all agreements below were submitted as confidential attachments to the AL filing</w:t>
      </w:r>
      <w:r w:rsidRPr="008F34BE" w:rsidR="00006173">
        <w:rPr>
          <w:rFonts w:ascii="Palatino Linotype" w:hAnsi="Palatino Linotype" w:eastAsia="Palatino Linotype" w:cs="Times New Roman"/>
          <w:bCs/>
          <w:kern w:val="0"/>
          <w14:ligatures w14:val="none"/>
        </w:rPr>
        <w:t>. PG&amp;E states that this is</w:t>
      </w:r>
      <w:r w:rsidRPr="008F34BE">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due to the presence of customer-specific data, which may include demand, loads,</w:t>
      </w:r>
      <w:r w:rsidRPr="008F34BE" w:rsidR="00006173">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names, addresses, and billing data</w:t>
      </w:r>
      <w:r w:rsidRPr="008F34BE" w:rsidR="00013EA5">
        <w:rPr>
          <w:rFonts w:ascii="Palatino Linotype" w:hAnsi="Palatino Linotype" w:eastAsia="Palatino Linotype" w:cs="Times New Roman"/>
          <w:bCs/>
          <w:kern w:val="0"/>
          <w14:ligatures w14:val="none"/>
        </w:rPr>
        <w:t>,</w:t>
      </w:r>
      <w:r w:rsidRPr="008F34BE" w:rsidR="006D2025">
        <w:rPr>
          <w:rStyle w:val="FootnoteReference"/>
          <w:rFonts w:ascii="Palatino Linotype" w:hAnsi="Palatino Linotype" w:eastAsia="Palatino Linotype" w:cs="Times New Roman"/>
          <w:bCs/>
          <w:kern w:val="0"/>
          <w14:ligatures w14:val="none"/>
        </w:rPr>
        <w:footnoteReference w:id="5"/>
      </w:r>
      <w:r w:rsidRPr="008F34BE" w:rsidR="00013EA5">
        <w:rPr>
          <w:rFonts w:ascii="Palatino Linotype" w:hAnsi="Palatino Linotype" w:eastAsia="Palatino Linotype" w:cs="Times New Roman"/>
          <w:bCs/>
          <w:kern w:val="0"/>
          <w14:ligatures w14:val="none"/>
        </w:rPr>
        <w:t xml:space="preserve"> as well as </w:t>
      </w:r>
      <w:r w:rsidRPr="008F34BE" w:rsidR="00006173">
        <w:rPr>
          <w:rFonts w:ascii="Palatino Linotype" w:hAnsi="Palatino Linotype" w:eastAsia="Palatino Linotype" w:cs="Times New Roman"/>
          <w:bCs/>
          <w:kern w:val="0"/>
          <w14:ligatures w14:val="none"/>
        </w:rPr>
        <w:t>proprietary and trade secret information or other intellectual property and protected market sensitive/competitive data</w:t>
      </w:r>
      <w:r w:rsidRPr="008F34BE" w:rsidR="009C6725">
        <w:rPr>
          <w:rFonts w:ascii="Palatino Linotype" w:hAnsi="Palatino Linotype" w:eastAsia="Palatino Linotype" w:cs="Times New Roman"/>
          <w:bCs/>
          <w:kern w:val="0"/>
          <w14:ligatures w14:val="none"/>
        </w:rPr>
        <w:t>.</w:t>
      </w:r>
      <w:r w:rsidRPr="008F34BE" w:rsidR="00006173">
        <w:rPr>
          <w:rStyle w:val="FootnoteReference"/>
          <w:rFonts w:ascii="Palatino Linotype" w:hAnsi="Palatino Linotype" w:eastAsia="Palatino Linotype" w:cs="Times New Roman"/>
          <w:bCs/>
          <w:kern w:val="0"/>
          <w14:ligatures w14:val="none"/>
        </w:rPr>
        <w:footnoteReference w:id="6"/>
      </w:r>
      <w:r w:rsidRPr="008F34BE" w:rsidR="009C6725">
        <w:rPr>
          <w:rFonts w:ascii="Palatino Linotype" w:hAnsi="Palatino Linotype" w:eastAsia="Palatino Linotype" w:cs="Times New Roman"/>
          <w:bCs/>
          <w:kern w:val="0"/>
          <w14:ligatures w14:val="none"/>
        </w:rPr>
        <w:t xml:space="preserve"> </w:t>
      </w:r>
      <w:r w:rsidRPr="008F34BE" w:rsidR="00836F61">
        <w:rPr>
          <w:rFonts w:ascii="Palatino Linotype" w:hAnsi="Palatino Linotype" w:eastAsia="Palatino Linotype" w:cs="Times New Roman"/>
          <w:bCs/>
          <w:kern w:val="0"/>
          <w14:ligatures w14:val="none"/>
        </w:rPr>
        <w:t>These</w:t>
      </w:r>
      <w:r w:rsidRPr="008F34BE" w:rsidR="009C6725">
        <w:rPr>
          <w:rFonts w:ascii="Palatino Linotype" w:hAnsi="Palatino Linotype" w:eastAsia="Palatino Linotype" w:cs="Times New Roman"/>
          <w:bCs/>
          <w:kern w:val="0"/>
          <w14:ligatures w14:val="none"/>
        </w:rPr>
        <w:t xml:space="preserve"> agreements </w:t>
      </w:r>
      <w:r w:rsidRPr="008F34BE" w:rsidR="00CD39A6">
        <w:rPr>
          <w:rFonts w:ascii="Palatino Linotype" w:hAnsi="Palatino Linotype" w:eastAsia="Palatino Linotype" w:cs="Times New Roman"/>
          <w:bCs/>
          <w:kern w:val="0"/>
          <w14:ligatures w14:val="none"/>
        </w:rPr>
        <w:t xml:space="preserve">are described generally based on </w:t>
      </w:r>
      <w:r w:rsidRPr="008F34BE" w:rsidR="003601B0">
        <w:rPr>
          <w:rFonts w:ascii="Palatino Linotype" w:hAnsi="Palatino Linotype" w:eastAsia="Palatino Linotype" w:cs="Times New Roman"/>
          <w:bCs/>
          <w:kern w:val="0"/>
          <w14:ligatures w14:val="none"/>
        </w:rPr>
        <w:t xml:space="preserve">summaries of the agreements provided in </w:t>
      </w:r>
      <w:r w:rsidRPr="008F34BE" w:rsidR="00CD39A6">
        <w:rPr>
          <w:rFonts w:ascii="Palatino Linotype" w:hAnsi="Palatino Linotype" w:eastAsia="Palatino Linotype" w:cs="Times New Roman"/>
          <w:bCs/>
          <w:kern w:val="0"/>
          <w14:ligatures w14:val="none"/>
        </w:rPr>
        <w:t>the public version of the AL</w:t>
      </w:r>
      <w:r w:rsidRPr="008F34BE" w:rsidR="003601B0">
        <w:rPr>
          <w:rFonts w:ascii="Palatino Linotype" w:hAnsi="Palatino Linotype" w:eastAsia="Palatino Linotype" w:cs="Times New Roman"/>
          <w:bCs/>
          <w:kern w:val="0"/>
          <w14:ligatures w14:val="none"/>
        </w:rPr>
        <w:t xml:space="preserve"> filing.</w:t>
      </w:r>
    </w:p>
    <w:p w:rsidRPr="008F34BE" w:rsidR="00CE234D" w:rsidP="00A76F4A" w:rsidRDefault="00CE234D" w14:paraId="14AB2F65" w14:textId="77777777">
      <w:pPr>
        <w:spacing w:after="0" w:line="240" w:lineRule="auto"/>
        <w:rPr>
          <w:rFonts w:ascii="Palatino Linotype" w:hAnsi="Palatino Linotype" w:eastAsia="Palatino Linotype" w:cs="Times New Roman"/>
          <w:b/>
          <w:kern w:val="0"/>
          <w14:ligatures w14:val="none"/>
        </w:rPr>
      </w:pPr>
    </w:p>
    <w:p w:rsidRPr="008F34BE" w:rsidR="00D31246" w:rsidP="00E200EF" w:rsidRDefault="000D7A96" w14:paraId="0645E75F" w14:textId="77777777">
      <w:p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i/>
          <w:iCs/>
          <w:kern w:val="0"/>
          <w14:ligatures w14:val="none"/>
        </w:rPr>
        <w:t>Agreement to Perform Tariff Schedule Work</w:t>
      </w:r>
      <w:r w:rsidRPr="008F34BE" w:rsidR="00E200EF">
        <w:rPr>
          <w:rFonts w:ascii="Palatino Linotype" w:hAnsi="Palatino Linotype" w:eastAsia="Palatino Linotype" w:cs="Times New Roman"/>
          <w:bCs/>
          <w:i/>
          <w:iCs/>
          <w:kern w:val="0"/>
          <w14:ligatures w14:val="none"/>
        </w:rPr>
        <w:t xml:space="preserve"> (Electric Form 62-4527)</w:t>
      </w:r>
    </w:p>
    <w:p w:rsidRPr="008F34BE" w:rsidR="00D31246" w:rsidP="00A76F4A" w:rsidRDefault="00D31246" w14:paraId="42C9EB66" w14:textId="77777777">
      <w:pPr>
        <w:spacing w:after="0" w:line="240" w:lineRule="auto"/>
        <w:rPr>
          <w:rFonts w:ascii="Palatino Linotype" w:hAnsi="Palatino Linotype" w:eastAsia="Palatino Linotype" w:cs="Times New Roman"/>
          <w:b/>
          <w:kern w:val="0"/>
          <w14:ligatures w14:val="none"/>
        </w:rPr>
      </w:pPr>
    </w:p>
    <w:p w:rsidRPr="008F34BE" w:rsidR="005D7370" w:rsidP="001E39E5" w:rsidRDefault="00820C44" w14:paraId="57587142"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This agreement specifically covers work to engineer and construct substation upgrades at PG&amp;E’s Los Esteros substation</w:t>
      </w:r>
      <w:r w:rsidRPr="008F34BE" w:rsidR="005F7B9C">
        <w:rPr>
          <w:rFonts w:ascii="Palatino Linotype" w:hAnsi="Palatino Linotype" w:eastAsia="Palatino Linotype" w:cs="Times New Roman"/>
          <w:bCs/>
          <w:kern w:val="0"/>
          <w14:ligatures w14:val="none"/>
        </w:rPr>
        <w:t xml:space="preserve"> and</w:t>
      </w:r>
      <w:r w:rsidRPr="008F34BE">
        <w:rPr>
          <w:rFonts w:ascii="Palatino Linotype" w:hAnsi="Palatino Linotype" w:eastAsia="Palatino Linotype" w:cs="Times New Roman"/>
          <w:bCs/>
          <w:kern w:val="0"/>
          <w14:ligatures w14:val="none"/>
        </w:rPr>
        <w:t xml:space="preserve"> </w:t>
      </w:r>
      <w:r w:rsidRPr="008F34BE" w:rsidR="00820D86">
        <w:rPr>
          <w:rFonts w:ascii="Palatino Linotype" w:hAnsi="Palatino Linotype" w:eastAsia="Palatino Linotype" w:cs="Times New Roman"/>
          <w:bCs/>
          <w:kern w:val="0"/>
          <w14:ligatures w14:val="none"/>
        </w:rPr>
        <w:t xml:space="preserve">the primary 115 kV transmission </w:t>
      </w:r>
      <w:r w:rsidRPr="008F34BE" w:rsidR="00510FAE">
        <w:rPr>
          <w:rFonts w:ascii="Palatino Linotype" w:hAnsi="Palatino Linotype" w:eastAsia="Palatino Linotype" w:cs="Times New Roman"/>
          <w:bCs/>
          <w:kern w:val="0"/>
          <w14:ligatures w14:val="none"/>
        </w:rPr>
        <w:t>line extension from PG&amp;E’s Los Esteros substation to Microsoft’s Kaku substation.</w:t>
      </w:r>
      <w:r w:rsidRPr="008F34BE" w:rsidR="00702A1B">
        <w:rPr>
          <w:rFonts w:ascii="Palatino Linotype" w:hAnsi="Palatino Linotype" w:eastAsia="Palatino Linotype" w:cs="Times New Roman"/>
          <w:bCs/>
          <w:kern w:val="0"/>
          <w14:ligatures w14:val="none"/>
        </w:rPr>
        <w:t xml:space="preserve"> This agreement includes </w:t>
      </w:r>
      <w:r w:rsidRPr="008F34BE" w:rsidR="00C955E3">
        <w:rPr>
          <w:rFonts w:ascii="Palatino Linotype" w:hAnsi="Palatino Linotype" w:eastAsia="Palatino Linotype" w:cs="Times New Roman"/>
          <w:bCs/>
          <w:kern w:val="0"/>
          <w14:ligatures w14:val="none"/>
        </w:rPr>
        <w:t>an overview agreement identifying the facility location, the work, and the contract price</w:t>
      </w:r>
      <w:r w:rsidRPr="008F34BE" w:rsidR="00DA1679">
        <w:rPr>
          <w:rFonts w:ascii="Palatino Linotype" w:hAnsi="Palatino Linotype" w:eastAsia="Palatino Linotype" w:cs="Times New Roman"/>
          <w:bCs/>
          <w:kern w:val="0"/>
          <w14:ligatures w14:val="none"/>
        </w:rPr>
        <w:t>,</w:t>
      </w:r>
      <w:r w:rsidRPr="008F34BE" w:rsidR="00C955E3">
        <w:rPr>
          <w:rFonts w:ascii="Palatino Linotype" w:hAnsi="Palatino Linotype" w:eastAsia="Palatino Linotype" w:cs="Times New Roman"/>
          <w:bCs/>
          <w:kern w:val="0"/>
          <w14:ligatures w14:val="none"/>
        </w:rPr>
        <w:t xml:space="preserve"> a more detailed description of work to be perfor</w:t>
      </w:r>
      <w:r w:rsidRPr="008F34BE" w:rsidR="00DA1679">
        <w:rPr>
          <w:rFonts w:ascii="Palatino Linotype" w:hAnsi="Palatino Linotype" w:eastAsia="Palatino Linotype" w:cs="Times New Roman"/>
          <w:bCs/>
          <w:kern w:val="0"/>
          <w14:ligatures w14:val="none"/>
        </w:rPr>
        <w:t xml:space="preserve">med, </w:t>
      </w:r>
      <w:r w:rsidRPr="008F34BE" w:rsidR="001E39E5">
        <w:rPr>
          <w:rFonts w:ascii="Palatino Linotype" w:hAnsi="Palatino Linotype" w:eastAsia="Palatino Linotype" w:cs="Times New Roman"/>
          <w:bCs/>
          <w:kern w:val="0"/>
          <w14:ligatures w14:val="none"/>
        </w:rPr>
        <w:t xml:space="preserve">and </w:t>
      </w:r>
      <w:r w:rsidRPr="008F34BE" w:rsidR="00C955E3">
        <w:rPr>
          <w:rFonts w:ascii="Palatino Linotype" w:hAnsi="Palatino Linotype" w:eastAsia="Palatino Linotype" w:cs="Times New Roman"/>
          <w:bCs/>
          <w:kern w:val="0"/>
          <w14:ligatures w14:val="none"/>
        </w:rPr>
        <w:t>a cost breakdown based upon PG&amp;E’s preliminary estimated installed cost.</w:t>
      </w:r>
      <w:r w:rsidRPr="008F34BE" w:rsidR="001E39E5">
        <w:rPr>
          <w:rFonts w:ascii="Palatino Linotype" w:hAnsi="Palatino Linotype" w:eastAsia="Palatino Linotype" w:cs="Times New Roman"/>
          <w:bCs/>
          <w:kern w:val="0"/>
          <w14:ligatures w14:val="none"/>
        </w:rPr>
        <w:t xml:space="preserve"> </w:t>
      </w:r>
      <w:r w:rsidRPr="008F34BE" w:rsidR="000B73B6">
        <w:rPr>
          <w:rFonts w:ascii="Palatino Linotype" w:hAnsi="Palatino Linotype" w:eastAsia="Palatino Linotype" w:cs="Times New Roman"/>
          <w:bCs/>
          <w:kern w:val="0"/>
          <w14:ligatures w14:val="none"/>
        </w:rPr>
        <w:t xml:space="preserve">The agreement notes the following </w:t>
      </w:r>
      <w:r w:rsidRPr="008F34BE" w:rsidR="00120341">
        <w:rPr>
          <w:rFonts w:ascii="Palatino Linotype" w:hAnsi="Palatino Linotype" w:eastAsia="Palatino Linotype" w:cs="Times New Roman"/>
          <w:bCs/>
          <w:kern w:val="0"/>
          <w14:ligatures w14:val="none"/>
        </w:rPr>
        <w:t>exceptions from PG&amp;E’s existing Electric Rules:</w:t>
      </w:r>
    </w:p>
    <w:p w:rsidRPr="008F34BE" w:rsidR="00E06702" w:rsidP="001E39E5" w:rsidRDefault="00E06702" w14:paraId="76FDDC92" w14:textId="77777777">
      <w:pPr>
        <w:spacing w:after="0" w:line="240" w:lineRule="auto"/>
        <w:rPr>
          <w:rFonts w:ascii="Palatino Linotype" w:hAnsi="Palatino Linotype" w:eastAsia="Palatino Linotype" w:cs="Times New Roman"/>
          <w:bCs/>
          <w:kern w:val="0"/>
          <w14:ligatures w14:val="none"/>
        </w:rPr>
      </w:pPr>
    </w:p>
    <w:p w:rsidRPr="008F34BE" w:rsidR="005D7370" w:rsidP="00120341" w:rsidRDefault="00C955E3" w14:paraId="0403C6F4"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has accepted a deposit from Microsoft to perform engineering and</w:t>
      </w:r>
      <w:r w:rsidRPr="008F34BE" w:rsidR="005D737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procurement of long-lead time materials.</w:t>
      </w:r>
    </w:p>
    <w:p w:rsidRPr="008F34BE" w:rsidR="00E022AB" w:rsidP="00120341" w:rsidRDefault="002F6881" w14:paraId="1FF42023"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Microsoft </w:t>
      </w:r>
      <w:r w:rsidRPr="008F34BE" w:rsidR="00EC4C2A">
        <w:rPr>
          <w:rFonts w:ascii="Palatino Linotype" w:hAnsi="Palatino Linotype" w:eastAsia="Palatino Linotype" w:cs="Times New Roman"/>
          <w:bCs/>
          <w:kern w:val="0"/>
          <w14:ligatures w14:val="none"/>
        </w:rPr>
        <w:t>is ineligible for t</w:t>
      </w:r>
      <w:r w:rsidRPr="008F34BE" w:rsidR="00C955E3">
        <w:rPr>
          <w:rFonts w:ascii="Palatino Linotype" w:hAnsi="Palatino Linotype" w:eastAsia="Palatino Linotype" w:cs="Times New Roman"/>
          <w:bCs/>
          <w:kern w:val="0"/>
          <w14:ligatures w14:val="none"/>
        </w:rPr>
        <w:t>he fifty percent discount option described in Electric Rule 15.D.5.c.</w:t>
      </w:r>
    </w:p>
    <w:p w:rsidRPr="008F34BE" w:rsidR="00E022AB" w:rsidP="00120341" w:rsidRDefault="00C955E3" w14:paraId="7381999B"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lastRenderedPageBreak/>
        <w:t>The cost of the work performed by PG&amp;E as described in Exhibit A shall be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considered a "refundable amount" as that term is described in Electric </w:t>
      </w:r>
      <w:r w:rsidR="009E30F9">
        <w:rPr>
          <w:rFonts w:ascii="Palatino Linotype" w:hAnsi="Palatino Linotype" w:eastAsia="Palatino Linotype" w:cs="Times New Roman"/>
          <w:bCs/>
          <w:kern w:val="0"/>
          <w14:ligatures w14:val="none"/>
        </w:rPr>
        <w:br/>
      </w:r>
      <w:r w:rsidRPr="008F34BE">
        <w:rPr>
          <w:rFonts w:ascii="Palatino Linotype" w:hAnsi="Palatino Linotype" w:eastAsia="Palatino Linotype" w:cs="Times New Roman"/>
          <w:bCs/>
          <w:kern w:val="0"/>
          <w14:ligatures w14:val="none"/>
        </w:rPr>
        <w:t>Rule 15.D.5.</w:t>
      </w:r>
    </w:p>
    <w:p w:rsidRPr="008F34BE" w:rsidR="00E022AB" w:rsidP="00120341" w:rsidRDefault="00C955E3" w14:paraId="4DEEC6AB"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 notwithstanding the Applicant Design and</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Applicant Installation options normally offered to applicants.</w:t>
      </w:r>
    </w:p>
    <w:p w:rsidRPr="008F34BE" w:rsidR="00064F5B" w:rsidP="00120341" w:rsidRDefault="00C955E3" w14:paraId="5C487598"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PG&amp;E performing the work on an estimated cost basis as set forth in Rule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15 and 16, </w:t>
      </w:r>
      <w:r w:rsidRPr="008F34BE" w:rsidR="009605A7">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064F5B" w:rsidP="00A76F4A" w:rsidRDefault="00064F5B" w14:paraId="62D44280" w14:textId="77777777">
      <w:pPr>
        <w:spacing w:after="0" w:line="240" w:lineRule="auto"/>
        <w:rPr>
          <w:rFonts w:ascii="Palatino Linotype" w:hAnsi="Palatino Linotype" w:eastAsia="Palatino Linotype" w:cs="Times New Roman"/>
          <w:b/>
          <w:kern w:val="0"/>
          <w14:ligatures w14:val="none"/>
        </w:rPr>
      </w:pPr>
    </w:p>
    <w:p w:rsidRPr="008F34BE" w:rsidR="00064F5B" w:rsidP="00E200EF" w:rsidRDefault="00064F5B" w14:paraId="04081320" w14:textId="77777777">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to Perform Tariff Schedule Related Work</w:t>
      </w:r>
      <w:r w:rsidRPr="008F34BE" w:rsidR="00E200EF">
        <w:rPr>
          <w:rFonts w:ascii="Palatino Linotype" w:hAnsi="Palatino Linotype" w:eastAsia="Times New Roman" w:cs="Times New Roman"/>
          <w:i/>
          <w:iCs/>
          <w:kern w:val="0"/>
          <w14:ligatures w14:val="none"/>
        </w:rPr>
        <w:t xml:space="preserve"> (Electric Form 62-4527)</w:t>
      </w:r>
      <w:r w:rsidRPr="008F34BE">
        <w:rPr>
          <w:rFonts w:ascii="Palatino Linotype" w:hAnsi="Palatino Linotype" w:eastAsia="Times New Roman" w:cs="Times New Roman"/>
          <w:i/>
          <w:iCs/>
          <w:kern w:val="0"/>
          <w14:ligatures w14:val="none"/>
        </w:rPr>
        <w:t xml:space="preserve"> for PG&amp;E Review of Applicant Substation Design</w:t>
      </w:r>
      <w:r w:rsidRPr="008F34BE" w:rsidR="00E200EF">
        <w:rPr>
          <w:rFonts w:ascii="Palatino Linotype" w:hAnsi="Palatino Linotype" w:eastAsia="Times New Roman" w:cs="Times New Roman"/>
          <w:i/>
          <w:iCs/>
          <w:kern w:val="0"/>
          <w14:ligatures w14:val="none"/>
        </w:rPr>
        <w:t xml:space="preserve"> </w:t>
      </w:r>
    </w:p>
    <w:p w:rsidRPr="008F34BE" w:rsidR="00064F5B" w:rsidP="00A76F4A" w:rsidRDefault="00064F5B" w14:paraId="44D2784F" w14:textId="77777777">
      <w:pPr>
        <w:spacing w:after="0" w:line="240" w:lineRule="auto"/>
        <w:rPr>
          <w:rFonts w:ascii="Palatino Linotype" w:hAnsi="Palatino Linotype" w:eastAsia="Times New Roman" w:cs="Times New Roman"/>
          <w:kern w:val="0"/>
          <w14:ligatures w14:val="none"/>
        </w:rPr>
      </w:pPr>
    </w:p>
    <w:p w:rsidRPr="008F34BE" w:rsidR="00FC74F8" w:rsidP="00A76F4A" w:rsidRDefault="00227864" w14:paraId="595E45B1"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agreement covers work related to </w:t>
      </w:r>
      <w:r w:rsidRPr="008F34BE" w:rsidR="004B0D0C">
        <w:rPr>
          <w:rFonts w:ascii="Palatino Linotype" w:hAnsi="Palatino Linotype" w:eastAsia="Times New Roman" w:cs="Times New Roman"/>
          <w:kern w:val="0"/>
          <w14:ligatures w14:val="none"/>
        </w:rPr>
        <w:t xml:space="preserve">PG&amp;E’s </w:t>
      </w:r>
      <w:r w:rsidRPr="008F34BE" w:rsidR="00F41D8F">
        <w:rPr>
          <w:rFonts w:ascii="Palatino Linotype" w:hAnsi="Palatino Linotype" w:eastAsia="Times New Roman" w:cs="Times New Roman"/>
          <w:kern w:val="0"/>
          <w14:ligatures w14:val="none"/>
        </w:rPr>
        <w:t xml:space="preserve">review of Microsoft’s Kaku substation design. </w:t>
      </w:r>
      <w:r w:rsidRPr="008F34BE" w:rsidR="00B15B28">
        <w:rPr>
          <w:rFonts w:ascii="Palatino Linotype" w:hAnsi="Palatino Linotype" w:eastAsia="Times New Roman" w:cs="Times New Roman"/>
          <w:kern w:val="0"/>
          <w14:ligatures w14:val="none"/>
        </w:rPr>
        <w:t xml:space="preserve">The agreement </w:t>
      </w:r>
      <w:r w:rsidRPr="008F34BE" w:rsidR="00A74C31">
        <w:rPr>
          <w:rFonts w:ascii="Palatino Linotype" w:hAnsi="Palatino Linotype" w:eastAsia="Times New Roman" w:cs="Times New Roman"/>
          <w:kern w:val="0"/>
          <w14:ligatures w14:val="none"/>
        </w:rPr>
        <w:t xml:space="preserve">includes an overview </w:t>
      </w:r>
      <w:r w:rsidRPr="008F34BE" w:rsidR="00A34E38">
        <w:rPr>
          <w:rFonts w:ascii="Palatino Linotype" w:hAnsi="Palatino Linotype" w:eastAsia="Times New Roman" w:cs="Times New Roman"/>
          <w:kern w:val="0"/>
          <w14:ligatures w14:val="none"/>
        </w:rPr>
        <w:t>agreement identifying the facility location, the work, and the contract price, a</w:t>
      </w:r>
      <w:r w:rsidRPr="008F34BE" w:rsidR="00F63996">
        <w:rPr>
          <w:rFonts w:ascii="Palatino Linotype" w:hAnsi="Palatino Linotype" w:eastAsia="Times New Roman" w:cs="Times New Roman"/>
          <w:kern w:val="0"/>
          <w14:ligatures w14:val="none"/>
        </w:rPr>
        <w:t xml:space="preserve"> more detailed description of the work to be performed, </w:t>
      </w:r>
      <w:r w:rsidRPr="008F34BE" w:rsidR="003F2520">
        <w:rPr>
          <w:rFonts w:ascii="Palatino Linotype" w:hAnsi="Palatino Linotype" w:eastAsia="Times New Roman" w:cs="Times New Roman"/>
          <w:kern w:val="0"/>
          <w14:ligatures w14:val="none"/>
        </w:rPr>
        <w:t xml:space="preserve">and </w:t>
      </w:r>
      <w:r w:rsidRPr="008F34BE" w:rsidR="00F63996">
        <w:rPr>
          <w:rFonts w:ascii="Palatino Linotype" w:hAnsi="Palatino Linotype" w:eastAsia="Times New Roman" w:cs="Times New Roman"/>
          <w:kern w:val="0"/>
          <w14:ligatures w14:val="none"/>
        </w:rPr>
        <w:t xml:space="preserve">a cost breakdown </w:t>
      </w:r>
      <w:r w:rsidRPr="008F34BE" w:rsidR="003F2520">
        <w:rPr>
          <w:rFonts w:ascii="Palatino Linotype" w:hAnsi="Palatino Linotype" w:eastAsia="Times New Roman" w:cs="Times New Roman"/>
          <w:kern w:val="0"/>
          <w14:ligatures w14:val="none"/>
        </w:rPr>
        <w:t xml:space="preserve">based on PG&amp;E’s preliminary estimated installed cost. </w:t>
      </w:r>
      <w:r w:rsidRPr="008F34BE" w:rsidR="006B38F5">
        <w:rPr>
          <w:rFonts w:ascii="Palatino Linotype" w:hAnsi="Palatino Linotype" w:eastAsia="Times New Roman" w:cs="Times New Roman"/>
          <w:kern w:val="0"/>
          <w14:ligatures w14:val="none"/>
        </w:rPr>
        <w:t xml:space="preserve">The final exhibit details </w:t>
      </w:r>
      <w:r w:rsidRPr="008F34BE" w:rsidR="00FC74F8">
        <w:rPr>
          <w:rFonts w:ascii="Palatino Linotype" w:hAnsi="Palatino Linotype" w:eastAsia="Times New Roman" w:cs="Times New Roman"/>
          <w:kern w:val="0"/>
          <w14:ligatures w14:val="none"/>
        </w:rPr>
        <w:t>certain exceptions to PG&amp;E’s existing Electric Rules:</w:t>
      </w:r>
    </w:p>
    <w:p w:rsidRPr="008F34BE" w:rsidR="009605A7" w:rsidP="00A76F4A" w:rsidRDefault="009605A7" w14:paraId="10A46CB9" w14:textId="77777777">
      <w:pPr>
        <w:spacing w:after="0" w:line="240" w:lineRule="auto"/>
        <w:rPr>
          <w:rFonts w:ascii="Palatino Linotype" w:hAnsi="Palatino Linotype" w:eastAsia="Times New Roman" w:cs="Times New Roman"/>
          <w:kern w:val="0"/>
          <w14:ligatures w14:val="none"/>
        </w:rPr>
      </w:pPr>
    </w:p>
    <w:p w:rsidRPr="008F34BE" w:rsidR="007D5135" w:rsidP="007D5135" w:rsidRDefault="007D5135" w14:paraId="0EEBAB62" w14:textId="77777777">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cost of Work at the Request of Others as described in Exhibits A and B shall be considered non-refundable.</w:t>
      </w:r>
    </w:p>
    <w:p w:rsidRPr="008F34BE" w:rsidR="008C3708" w:rsidP="00815A6A" w:rsidRDefault="007D5135" w14:paraId="021A8E98" w14:textId="77777777">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In lieu of PG&amp;E performing the work on an estimated cost basis as set forth in Electric Rules 15 and 16, work will be performed on an actual cost basis.</w:t>
      </w:r>
    </w:p>
    <w:p w:rsidRPr="008F34BE" w:rsidR="00064F5B" w:rsidP="008C3708" w:rsidRDefault="00064F5B" w14:paraId="4FDD1557" w14:textId="77777777">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for Installation or Allocation of Special Facilities</w:t>
      </w:r>
      <w:r w:rsidRPr="008F34BE" w:rsidR="008C3708">
        <w:rPr>
          <w:rFonts w:ascii="Palatino Linotype" w:hAnsi="Palatino Linotype" w:eastAsia="Times New Roman" w:cs="Times New Roman"/>
          <w:i/>
          <w:iCs/>
          <w:kern w:val="0"/>
          <w14:ligatures w14:val="none"/>
        </w:rPr>
        <w:t xml:space="preserve"> (Electric Form 79-255)</w:t>
      </w:r>
    </w:p>
    <w:p w:rsidRPr="008F34BE" w:rsidR="00064F5B" w:rsidP="00A76F4A" w:rsidRDefault="00064F5B" w14:paraId="6F888651" w14:textId="77777777">
      <w:pPr>
        <w:spacing w:after="0" w:line="240" w:lineRule="auto"/>
        <w:rPr>
          <w:rFonts w:ascii="Palatino Linotype" w:hAnsi="Palatino Linotype" w:eastAsia="Times New Roman" w:cs="Times New Roman"/>
          <w:i/>
          <w:iCs/>
          <w:kern w:val="0"/>
          <w14:ligatures w14:val="none"/>
        </w:rPr>
      </w:pPr>
    </w:p>
    <w:p w:rsidRPr="008F34BE" w:rsidR="00B850BC" w:rsidP="00B850BC" w:rsidRDefault="00B850BC" w14:paraId="6395CEDB"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Special Facilities Agreement identifies the Special Facilities that will be installed by</w:t>
      </w:r>
    </w:p>
    <w:p w:rsidRPr="008F34BE" w:rsidR="00815A6A" w:rsidP="00B850BC" w:rsidRDefault="00B850BC" w14:paraId="052D8419"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 cost of these facilities, the monthly charge or one-time equivalent payment for Special Facilities, the annual Special Facilities ownership charge, and additional form provisions. </w:t>
      </w:r>
      <w:r w:rsidRPr="008F34BE" w:rsidR="002E72FD">
        <w:rPr>
          <w:rFonts w:ascii="Palatino Linotype" w:hAnsi="Palatino Linotype" w:eastAsia="Times New Roman" w:cs="Times New Roman"/>
          <w:kern w:val="0"/>
          <w14:ligatures w14:val="none"/>
        </w:rPr>
        <w:t xml:space="preserve">PG&amp;E notes </w:t>
      </w:r>
      <w:r w:rsidRPr="008F34BE" w:rsidR="005072B2">
        <w:rPr>
          <w:rFonts w:ascii="Palatino Linotype" w:hAnsi="Palatino Linotype" w:eastAsia="Times New Roman" w:cs="Times New Roman"/>
          <w:kern w:val="0"/>
          <w14:ligatures w14:val="none"/>
        </w:rPr>
        <w:t>the following exception: The</w:t>
      </w:r>
      <w:r w:rsidRPr="008F34BE">
        <w:rPr>
          <w:rFonts w:ascii="Palatino Linotype" w:hAnsi="Palatino Linotype" w:eastAsia="Times New Roman" w:cs="Times New Roman"/>
          <w:kern w:val="0"/>
          <w14:ligatures w14:val="none"/>
        </w:rPr>
        <w:t xml:space="preserve"> Special Facilities Agreement has been modified from the Form 79-255 approved by the Commission in February 2021 to include a requirement that Microsoft pay actual costs.</w:t>
      </w:r>
    </w:p>
    <w:p w:rsidRPr="008F34BE" w:rsidR="00815A6A" w:rsidP="00A76F4A" w:rsidRDefault="00815A6A" w14:paraId="3E317312" w14:textId="77777777">
      <w:pPr>
        <w:spacing w:after="0" w:line="240" w:lineRule="auto"/>
        <w:rPr>
          <w:rFonts w:ascii="Palatino Linotype" w:hAnsi="Palatino Linotype" w:eastAsia="Times New Roman" w:cs="Times New Roman"/>
          <w:i/>
          <w:iCs/>
          <w:kern w:val="0"/>
          <w14:ligatures w14:val="none"/>
        </w:rPr>
      </w:pPr>
    </w:p>
    <w:p w:rsidRPr="008F34BE" w:rsidR="00064F5B" w:rsidP="00A76F4A" w:rsidRDefault="00064F5B" w14:paraId="0A185807" w14:textId="77777777">
      <w:pPr>
        <w:spacing w:after="0" w:line="240" w:lineRule="auto"/>
        <w:rPr>
          <w:rFonts w:ascii="Palatino Linotype" w:hAnsi="Palatino Linotype" w:eastAsia="Palatino Linotype" w:cs="Times New Roman"/>
          <w:b/>
          <w:i/>
          <w:iCs/>
          <w:kern w:val="0"/>
          <w14:ligatures w14:val="none"/>
        </w:rPr>
      </w:pPr>
      <w:r w:rsidRPr="008F34BE">
        <w:rPr>
          <w:rFonts w:ascii="Palatino Linotype" w:hAnsi="Palatino Linotype" w:eastAsia="Times New Roman" w:cs="Times New Roman"/>
          <w:i/>
          <w:iCs/>
          <w:kern w:val="0"/>
          <w14:ligatures w14:val="none"/>
        </w:rPr>
        <w:t>Addendum to the Agreement for the Installation or Allocation of Special Facilities for Microsoft Corporation SJC02 Project</w:t>
      </w:r>
    </w:p>
    <w:p w:rsidRPr="008F34BE" w:rsidR="00064F5B" w:rsidP="00A76F4A" w:rsidRDefault="00064F5B" w14:paraId="62F5B9E4" w14:textId="77777777">
      <w:pPr>
        <w:spacing w:after="0" w:line="240" w:lineRule="auto"/>
        <w:rPr>
          <w:rFonts w:ascii="Palatino Linotype" w:hAnsi="Palatino Linotype" w:eastAsia="Palatino Linotype" w:cs="Times New Roman"/>
          <w:b/>
          <w:kern w:val="0"/>
          <w14:ligatures w14:val="none"/>
        </w:rPr>
      </w:pPr>
    </w:p>
    <w:p w:rsidRPr="008F34BE" w:rsidR="00A513B5" w:rsidP="00A513B5" w:rsidRDefault="00A513B5" w14:paraId="07E94642"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Special Facilities Agreement Addendum identifies the location of </w:t>
      </w:r>
      <w:proofErr w:type="gramStart"/>
      <w:r w:rsidRPr="008F34BE">
        <w:rPr>
          <w:rFonts w:ascii="Palatino Linotype" w:hAnsi="Palatino Linotype" w:eastAsia="Palatino Linotype" w:cs="Times New Roman"/>
          <w:bCs/>
          <w:kern w:val="0"/>
          <w14:ligatures w14:val="none"/>
        </w:rPr>
        <w:t>the Microsoft</w:t>
      </w:r>
      <w:proofErr w:type="gramEnd"/>
    </w:p>
    <w:p w:rsidRPr="008F34BE" w:rsidR="005072B2" w:rsidP="00A513B5" w:rsidRDefault="00CD78A1" w14:paraId="1B391112"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w:t>
      </w:r>
      <w:r w:rsidRPr="008F34BE" w:rsidR="00A513B5">
        <w:rPr>
          <w:rFonts w:ascii="Palatino Linotype" w:hAnsi="Palatino Linotype" w:eastAsia="Palatino Linotype" w:cs="Times New Roman"/>
          <w:bCs/>
          <w:kern w:val="0"/>
          <w14:ligatures w14:val="none"/>
        </w:rPr>
        <w:t>roject and</w:t>
      </w:r>
      <w:r w:rsidRPr="008F34BE" w:rsidR="00217EC1">
        <w:rPr>
          <w:rFonts w:ascii="Palatino Linotype" w:hAnsi="Palatino Linotype" w:eastAsia="Palatino Linotype" w:cs="Times New Roman"/>
          <w:bCs/>
          <w:kern w:val="0"/>
          <w14:ligatures w14:val="none"/>
        </w:rPr>
        <w:t xml:space="preserve"> some background</w:t>
      </w:r>
      <w:r w:rsidRPr="008F34BE">
        <w:rPr>
          <w:rFonts w:ascii="Palatino Linotype" w:hAnsi="Palatino Linotype" w:eastAsia="Palatino Linotype" w:cs="Times New Roman"/>
          <w:bCs/>
          <w:kern w:val="0"/>
          <w14:ligatures w14:val="none"/>
        </w:rPr>
        <w:t xml:space="preserve"> information</w:t>
      </w:r>
      <w:r w:rsidRPr="008F34BE" w:rsidR="00217EC1">
        <w:rPr>
          <w:rFonts w:ascii="Palatino Linotype" w:hAnsi="Palatino Linotype" w:eastAsia="Palatino Linotype" w:cs="Times New Roman"/>
          <w:bCs/>
          <w:kern w:val="0"/>
          <w14:ligatures w14:val="none"/>
        </w:rPr>
        <w:t>.</w:t>
      </w:r>
      <w:r w:rsidRPr="008F34BE" w:rsidR="00EC1F5A">
        <w:rPr>
          <w:rFonts w:ascii="Palatino Linotype" w:hAnsi="Palatino Linotype" w:eastAsia="Palatino Linotype" w:cs="Times New Roman"/>
          <w:bCs/>
          <w:kern w:val="0"/>
          <w14:ligatures w14:val="none"/>
        </w:rPr>
        <w:t xml:space="preserve"> This agreement</w:t>
      </w:r>
      <w:r w:rsidRPr="008F34BE" w:rsidR="00A513B5">
        <w:rPr>
          <w:rFonts w:ascii="Palatino Linotype" w:hAnsi="Palatino Linotype" w:eastAsia="Palatino Linotype" w:cs="Times New Roman"/>
          <w:bCs/>
          <w:kern w:val="0"/>
          <w14:ligatures w14:val="none"/>
        </w:rPr>
        <w:t xml:space="preserve"> contains a detailed description of the work to be performed</w:t>
      </w:r>
      <w:r w:rsidRPr="008F34BE" w:rsidR="00EC1F5A">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 cost breakdown based upon PG&amp;E’s preliminary estimated installed</w:t>
      </w:r>
      <w:r w:rsidRPr="008F34BE" w:rsidR="00EC1F5A">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cost</w:t>
      </w:r>
      <w:r w:rsidRPr="008F34BE" w:rsidR="00EC1F5A">
        <w:rPr>
          <w:rFonts w:ascii="Palatino Linotype" w:hAnsi="Palatino Linotype" w:eastAsia="Palatino Linotype" w:cs="Times New Roman"/>
          <w:bCs/>
          <w:kern w:val="0"/>
          <w14:ligatures w14:val="none"/>
        </w:rPr>
        <w:t xml:space="preserve">, and a </w:t>
      </w:r>
      <w:r w:rsidRPr="008F34BE" w:rsidR="00A513B5">
        <w:rPr>
          <w:rFonts w:ascii="Palatino Linotype" w:hAnsi="Palatino Linotype" w:eastAsia="Palatino Linotype" w:cs="Times New Roman"/>
          <w:bCs/>
          <w:kern w:val="0"/>
          <w14:ligatures w14:val="none"/>
        </w:rPr>
        <w:t>memorializ</w:t>
      </w:r>
      <w:r w:rsidRPr="008F34BE" w:rsidR="00EC1F5A">
        <w:rPr>
          <w:rFonts w:ascii="Palatino Linotype" w:hAnsi="Palatino Linotype" w:eastAsia="Palatino Linotype" w:cs="Times New Roman"/>
          <w:bCs/>
          <w:kern w:val="0"/>
          <w14:ligatures w14:val="none"/>
        </w:rPr>
        <w:t>ation of</w:t>
      </w:r>
      <w:r w:rsidRPr="008F34BE" w:rsidR="00A513B5">
        <w:rPr>
          <w:rFonts w:ascii="Palatino Linotype" w:hAnsi="Palatino Linotype" w:eastAsia="Palatino Linotype" w:cs="Times New Roman"/>
          <w:bCs/>
          <w:kern w:val="0"/>
          <w14:ligatures w14:val="none"/>
        </w:rPr>
        <w:t xml:space="preserve"> additional terms and conditions </w:t>
      </w:r>
      <w:proofErr w:type="gramStart"/>
      <w:r w:rsidRPr="008F34BE" w:rsidR="00A513B5">
        <w:rPr>
          <w:rFonts w:ascii="Palatino Linotype" w:hAnsi="Palatino Linotype" w:eastAsia="Palatino Linotype" w:cs="Times New Roman"/>
          <w:bCs/>
          <w:kern w:val="0"/>
          <w14:ligatures w14:val="none"/>
        </w:rPr>
        <w:t>including:</w:t>
      </w:r>
      <w:proofErr w:type="gramEnd"/>
      <w:r w:rsidRPr="008F34BE" w:rsidR="00727B21">
        <w:rPr>
          <w:rFonts w:ascii="Palatino Linotype" w:hAnsi="Palatino Linotype" w:eastAsia="Palatino Linotype" w:cs="Times New Roman"/>
          <w:bCs/>
          <w:kern w:val="0"/>
          <w14:ligatures w14:val="none"/>
        </w:rPr>
        <w:t xml:space="preserve"> </w:t>
      </w:r>
      <w:r w:rsidRPr="008F34BE" w:rsidR="008A3877">
        <w:rPr>
          <w:rFonts w:ascii="Palatino Linotype" w:hAnsi="Palatino Linotype" w:eastAsia="Palatino Linotype" w:cs="Times New Roman"/>
          <w:bCs/>
          <w:kern w:val="0"/>
          <w14:ligatures w14:val="none"/>
        </w:rPr>
        <w:t>Commission</w:t>
      </w:r>
      <w:r w:rsidRPr="008F34BE" w:rsidR="00727B21">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approval and jurisdiction</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applicable tariff </w:t>
      </w:r>
      <w:r w:rsidRPr="008F34BE" w:rsidR="00A513B5">
        <w:rPr>
          <w:rFonts w:ascii="Palatino Linotype" w:hAnsi="Palatino Linotype" w:eastAsia="Palatino Linotype" w:cs="Times New Roman"/>
          <w:bCs/>
          <w:kern w:val="0"/>
          <w14:ligatures w14:val="none"/>
        </w:rPr>
        <w:lastRenderedPageBreak/>
        <w:t>provisions and exceptions</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and the</w:t>
      </w:r>
      <w:r w:rsidRPr="008F34BE">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definition of actual costs and a requirement for Microsoft to pay actual costs</w:t>
      </w:r>
      <w:r w:rsidRPr="008F34BE" w:rsidR="00727B21">
        <w:rPr>
          <w:rFonts w:ascii="Palatino Linotype" w:hAnsi="Palatino Linotype" w:eastAsia="Palatino Linotype" w:cs="Times New Roman"/>
          <w:bCs/>
          <w:kern w:val="0"/>
          <w14:ligatures w14:val="none"/>
        </w:rPr>
        <w:t xml:space="preserve">. </w:t>
      </w:r>
      <w:r w:rsidRPr="008F34BE" w:rsidR="005F1FC9">
        <w:rPr>
          <w:rFonts w:ascii="Palatino Linotype" w:hAnsi="Palatino Linotype" w:eastAsia="Palatino Linotype" w:cs="Times New Roman"/>
          <w:bCs/>
          <w:kern w:val="0"/>
          <w14:ligatures w14:val="none"/>
        </w:rPr>
        <w:t>The agreement notes the following e</w:t>
      </w:r>
      <w:r w:rsidRPr="008F34BE" w:rsidR="00595D5A">
        <w:rPr>
          <w:rFonts w:ascii="Palatino Linotype" w:hAnsi="Palatino Linotype" w:eastAsia="Palatino Linotype" w:cs="Times New Roman"/>
          <w:bCs/>
          <w:kern w:val="0"/>
          <w14:ligatures w14:val="none"/>
        </w:rPr>
        <w:t>x</w:t>
      </w:r>
      <w:r w:rsidRPr="008F34BE" w:rsidR="005F1FC9">
        <w:rPr>
          <w:rFonts w:ascii="Palatino Linotype" w:hAnsi="Palatino Linotype" w:eastAsia="Palatino Linotype" w:cs="Times New Roman"/>
          <w:bCs/>
          <w:kern w:val="0"/>
          <w14:ligatures w14:val="none"/>
        </w:rPr>
        <w:t>ceptions to Rule 2:</w:t>
      </w:r>
    </w:p>
    <w:p w:rsidRPr="008F34BE" w:rsidR="00B715FD" w:rsidP="00A513B5" w:rsidRDefault="00B715FD" w14:paraId="775090C4" w14:textId="77777777">
      <w:pPr>
        <w:spacing w:after="0" w:line="240" w:lineRule="auto"/>
        <w:rPr>
          <w:rFonts w:ascii="Palatino Linotype" w:hAnsi="Palatino Linotype" w:eastAsia="Palatino Linotype" w:cs="Times New Roman"/>
          <w:bCs/>
          <w:kern w:val="0"/>
          <w14:ligatures w14:val="none"/>
        </w:rPr>
      </w:pPr>
    </w:p>
    <w:p w:rsidRPr="008F34BE" w:rsidR="00595D5A" w:rsidRDefault="00595D5A" w14:paraId="68CE9601" w14:textId="77777777">
      <w:pPr>
        <w:pStyle w:val="ListParagraph"/>
        <w:numPr>
          <w:ilvl w:val="0"/>
          <w:numId w:val="10"/>
        </w:numPr>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Special Facilities, notwithstanding the Applicant Design and Applicant Installation options offered to applicants.</w:t>
      </w:r>
    </w:p>
    <w:p w:rsidRPr="008F34BE" w:rsidR="00595D5A" w:rsidP="00595D5A" w:rsidRDefault="00595D5A" w14:paraId="585D864B" w14:textId="77777777">
      <w:pPr>
        <w:pStyle w:val="ListParagraph"/>
        <w:numPr>
          <w:ilvl w:val="0"/>
          <w:numId w:val="10"/>
        </w:numPr>
        <w:spacing w:after="0"/>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performing the work on an estimated cost basis, work will be performed on an actual cost basis.</w:t>
      </w:r>
    </w:p>
    <w:p w:rsidRPr="008F34BE" w:rsidR="005072B2" w:rsidP="00A76F4A" w:rsidRDefault="005072B2" w14:paraId="16F5D499" w14:textId="77777777">
      <w:pPr>
        <w:spacing w:after="0" w:line="240" w:lineRule="auto"/>
        <w:rPr>
          <w:rFonts w:ascii="Palatino Linotype" w:hAnsi="Palatino Linotype" w:eastAsia="Palatino Linotype" w:cs="Times New Roman"/>
          <w:b/>
          <w:kern w:val="0"/>
          <w14:ligatures w14:val="none"/>
        </w:rPr>
      </w:pPr>
    </w:p>
    <w:p w:rsidRPr="008F34BE" w:rsidR="004E022D" w:rsidP="00A76F4A" w:rsidRDefault="002E7978" w14:paraId="6FE9B3E4"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deviations from existing tariffs </w:t>
      </w:r>
      <w:r w:rsidRPr="008F34BE" w:rsidR="001C766A">
        <w:rPr>
          <w:rFonts w:ascii="Palatino Linotype" w:hAnsi="Palatino Linotype" w:eastAsia="Palatino Linotype" w:cs="Times New Roman"/>
          <w:bCs/>
          <w:kern w:val="0"/>
          <w14:ligatures w14:val="none"/>
        </w:rPr>
        <w:t xml:space="preserve">that </w:t>
      </w:r>
      <w:r w:rsidRPr="008F34BE">
        <w:rPr>
          <w:rFonts w:ascii="Palatino Linotype" w:hAnsi="Palatino Linotype" w:eastAsia="Palatino Linotype" w:cs="Times New Roman"/>
          <w:bCs/>
          <w:kern w:val="0"/>
          <w14:ligatures w14:val="none"/>
        </w:rPr>
        <w:t>PG&amp;E</w:t>
      </w:r>
      <w:r w:rsidRPr="008F34BE" w:rsidR="001C766A">
        <w:rPr>
          <w:rFonts w:ascii="Palatino Linotype" w:hAnsi="Palatino Linotype" w:eastAsia="Palatino Linotype" w:cs="Times New Roman"/>
          <w:bCs/>
          <w:kern w:val="0"/>
          <w14:ligatures w14:val="none"/>
        </w:rPr>
        <w:t xml:space="preserve"> has requested in this filing can be summarized as such:</w:t>
      </w:r>
    </w:p>
    <w:p w:rsidRPr="008F34BE" w:rsidR="001C766A" w:rsidP="00A76F4A" w:rsidRDefault="001C766A" w14:paraId="73A72883" w14:textId="77777777">
      <w:pPr>
        <w:spacing w:after="0" w:line="240" w:lineRule="auto"/>
        <w:rPr>
          <w:rFonts w:ascii="Palatino Linotype" w:hAnsi="Palatino Linotype" w:eastAsia="Palatino Linotype" w:cs="Times New Roman"/>
          <w:bCs/>
          <w:kern w:val="0"/>
          <w14:ligatures w14:val="none"/>
        </w:rPr>
      </w:pPr>
    </w:p>
    <w:p w:rsidRPr="008F34BE" w:rsidR="001C766A" w:rsidP="001C766A" w:rsidRDefault="001C766A" w14:paraId="6ECA1F00" w14:textId="777777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w:t>
      </w:r>
      <w:r w:rsidRPr="008F34BE" w:rsidR="005B776D">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accept</w:t>
      </w:r>
      <w:r w:rsidRPr="008F34BE" w:rsidR="005B776D">
        <w:rPr>
          <w:rFonts w:ascii="Palatino Linotype" w:hAnsi="Palatino Linotype" w:eastAsia="Palatino Linotype" w:cs="Times New Roman"/>
          <w:bCs/>
          <w:kern w:val="0"/>
          <w14:ligatures w14:val="none"/>
        </w:rPr>
        <w:t>s</w:t>
      </w:r>
      <w:r w:rsidRPr="008F34BE">
        <w:rPr>
          <w:rFonts w:ascii="Palatino Linotype" w:hAnsi="Palatino Linotype" w:eastAsia="Palatino Linotype" w:cs="Times New Roman"/>
          <w:bCs/>
          <w:kern w:val="0"/>
          <w14:ligatures w14:val="none"/>
        </w:rPr>
        <w:t xml:space="preserve"> </w:t>
      </w:r>
      <w:r w:rsidRPr="008F34BE" w:rsidR="003F427F">
        <w:rPr>
          <w:rFonts w:ascii="Palatino Linotype" w:hAnsi="Palatino Linotype" w:eastAsia="Palatino Linotype" w:cs="Times New Roman"/>
          <w:bCs/>
          <w:kern w:val="0"/>
          <w14:ligatures w14:val="none"/>
        </w:rPr>
        <w:t>a deposit from Microsoft to perform engineering and procurement of long-lead time materials.</w:t>
      </w:r>
    </w:p>
    <w:p w:rsidRPr="008F34BE" w:rsidR="003F427F" w:rsidP="001C766A" w:rsidRDefault="0052399D" w14:paraId="5B14351D" w14:textId="777777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Microsoft is ineligible for t</w:t>
      </w:r>
      <w:r w:rsidRPr="008F34BE" w:rsidR="003F427F">
        <w:rPr>
          <w:rFonts w:ascii="Palatino Linotype" w:hAnsi="Palatino Linotype" w:eastAsia="Palatino Linotype" w:cs="Times New Roman"/>
          <w:bCs/>
          <w:kern w:val="0"/>
          <w14:ligatures w14:val="none"/>
        </w:rPr>
        <w:t>he fifty percent discount option described in Electric Rule 15.D.5.c.</w:t>
      </w:r>
    </w:p>
    <w:p w:rsidRPr="008F34BE" w:rsidR="003F427F" w:rsidP="001C766A" w:rsidRDefault="003F427F" w14:paraId="31468BF4" w14:textId="777777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cost of the work performed by PG&amp;E as described in Exhibit A of </w:t>
      </w:r>
      <w:r w:rsidRPr="008F34BE" w:rsidR="00D310F6">
        <w:rPr>
          <w:rFonts w:ascii="Palatino Linotype" w:hAnsi="Palatino Linotype" w:eastAsia="Palatino Linotype" w:cs="Times New Roman"/>
          <w:bCs/>
          <w:kern w:val="0"/>
          <w14:ligatures w14:val="none"/>
        </w:rPr>
        <w:t>Attachment A</w:t>
      </w:r>
      <w:r w:rsidRPr="008F34BE">
        <w:rPr>
          <w:rFonts w:ascii="Palatino Linotype" w:hAnsi="Palatino Linotype" w:eastAsia="Palatino Linotype" w:cs="Times New Roman"/>
          <w:bCs/>
          <w:kern w:val="0"/>
          <w14:ligatures w14:val="none"/>
        </w:rPr>
        <w:t xml:space="preserve"> shall be considered a "refundable amount" as that term is described in Electric Rule 15.D.5.</w:t>
      </w:r>
    </w:p>
    <w:p w:rsidRPr="008F34BE" w:rsidR="00D310F6" w:rsidP="00D310F6" w:rsidRDefault="00D310F6" w14:paraId="7A73D120" w14:textId="777777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w:t>
      </w:r>
      <w:r w:rsidRPr="008F34BE" w:rsidR="0092220B">
        <w:rPr>
          <w:rFonts w:ascii="Palatino Linotype" w:hAnsi="Palatino Linotype" w:eastAsia="Palatino Linotype" w:cs="Times New Roman"/>
          <w:bCs/>
          <w:kern w:val="0"/>
          <w14:ligatures w14:val="none"/>
        </w:rPr>
        <w:t xml:space="preserve"> and special facilities</w:t>
      </w:r>
      <w:r w:rsidRPr="008F34BE">
        <w:rPr>
          <w:rFonts w:ascii="Palatino Linotype" w:hAnsi="Palatino Linotype" w:eastAsia="Palatino Linotype" w:cs="Times New Roman"/>
          <w:bCs/>
          <w:kern w:val="0"/>
          <w14:ligatures w14:val="none"/>
        </w:rPr>
        <w:t>, notwithstanding the Applicant Design and Applicant Installation options normally offered to applicants.</w:t>
      </w:r>
    </w:p>
    <w:p w:rsidRPr="008F34BE" w:rsidR="00D310F6" w:rsidP="00D310F6" w:rsidRDefault="00D310F6" w14:paraId="482AAF63" w14:textId="77777777">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In lieu of PG&amp;E performing the work on an estimated cost basis as set forth in Rule 15 and 16, </w:t>
      </w:r>
      <w:r w:rsidRPr="008F34BE" w:rsidR="00003629">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9C77B2" w:rsidP="0092220B" w:rsidRDefault="00614FF5" w14:paraId="28973F0F" w14:textId="77777777">
      <w:pPr>
        <w:pStyle w:val="ListParagraph"/>
        <w:numPr>
          <w:ilvl w:val="0"/>
          <w:numId w:val="11"/>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cost of Work at the Request of Others as described in Attachment </w:t>
      </w:r>
      <w:r w:rsidRPr="008F34BE" w:rsidR="0052447C">
        <w:rPr>
          <w:rFonts w:ascii="Palatino Linotype" w:hAnsi="Palatino Linotype" w:eastAsia="Times New Roman" w:cs="Times New Roman"/>
          <w:kern w:val="0"/>
          <w14:ligatures w14:val="none"/>
        </w:rPr>
        <w:t>2</w:t>
      </w:r>
      <w:r w:rsidRPr="008F34BE">
        <w:rPr>
          <w:rFonts w:ascii="Palatino Linotype" w:hAnsi="Palatino Linotype" w:eastAsia="Times New Roman" w:cs="Times New Roman"/>
          <w:kern w:val="0"/>
          <w14:ligatures w14:val="none"/>
        </w:rPr>
        <w:t>, Exhibits A and B, shall be considered non-refundable.</w:t>
      </w:r>
    </w:p>
    <w:p w:rsidRPr="008F34BE" w:rsidR="004E022D" w:rsidP="00A76F4A" w:rsidRDefault="00610CBB" w14:paraId="4D5AF0F9"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We discuss</w:t>
      </w:r>
      <w:r w:rsidRPr="008F34BE" w:rsidR="009C77B2">
        <w:rPr>
          <w:rFonts w:ascii="Palatino Linotype" w:hAnsi="Palatino Linotype" w:eastAsia="Palatino Linotype" w:cs="Times New Roman"/>
          <w:bCs/>
          <w:kern w:val="0"/>
          <w14:ligatures w14:val="none"/>
        </w:rPr>
        <w:t xml:space="preserve"> these requested deviations in detail in the Discussion section of this resolution.</w:t>
      </w:r>
    </w:p>
    <w:p w:rsidRPr="008F34BE" w:rsidR="009C77B2" w:rsidP="00A76F4A" w:rsidRDefault="009C77B2" w14:paraId="34DB6815" w14:textId="77777777">
      <w:pPr>
        <w:spacing w:after="0" w:line="240" w:lineRule="auto"/>
        <w:rPr>
          <w:rFonts w:ascii="Palatino Linotype" w:hAnsi="Palatino Linotype" w:eastAsia="Palatino Linotype" w:cs="Times New Roman"/>
          <w:bCs/>
          <w:kern w:val="0"/>
          <w14:ligatures w14:val="none"/>
        </w:rPr>
      </w:pPr>
    </w:p>
    <w:p w:rsidRPr="008F34BE" w:rsidR="008E26BC" w:rsidP="00A76F4A" w:rsidRDefault="008E26BC" w14:paraId="6034CF7C"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
          <w:kern w:val="0"/>
          <w14:ligatures w14:val="none"/>
        </w:rPr>
        <w:t>Princip</w:t>
      </w:r>
      <w:r w:rsidRPr="008F34BE" w:rsidR="0077737B">
        <w:rPr>
          <w:rFonts w:ascii="Palatino Linotype" w:hAnsi="Palatino Linotype" w:eastAsia="Palatino Linotype" w:cs="Times New Roman"/>
          <w:b/>
          <w:kern w:val="0"/>
          <w14:ligatures w14:val="none"/>
        </w:rPr>
        <w:t>al</w:t>
      </w:r>
      <w:r w:rsidRPr="008F34BE">
        <w:rPr>
          <w:rFonts w:ascii="Palatino Linotype" w:hAnsi="Palatino Linotype" w:eastAsia="Palatino Linotype" w:cs="Times New Roman"/>
          <w:b/>
          <w:kern w:val="0"/>
          <w14:ligatures w14:val="none"/>
        </w:rPr>
        <w:t xml:space="preserve"> Provisions </w:t>
      </w:r>
      <w:r w:rsidRPr="008F34BE" w:rsidR="005177FA">
        <w:rPr>
          <w:rFonts w:ascii="Palatino Linotype" w:hAnsi="Palatino Linotype" w:eastAsia="Palatino Linotype" w:cs="Times New Roman"/>
          <w:b/>
          <w:kern w:val="0"/>
          <w14:ligatures w14:val="none"/>
        </w:rPr>
        <w:t>and Ratepayer Protections</w:t>
      </w:r>
    </w:p>
    <w:p w:rsidRPr="008F34BE" w:rsidR="003F0FC5" w:rsidP="00A76F4A" w:rsidRDefault="003F0FC5" w14:paraId="6508AA6D" w14:textId="77777777">
      <w:pPr>
        <w:spacing w:after="0" w:line="240" w:lineRule="auto"/>
        <w:rPr>
          <w:rFonts w:ascii="Palatino Linotype" w:hAnsi="Palatino Linotype" w:eastAsia="Palatino Linotype" w:cs="Times New Roman"/>
          <w:bCs/>
          <w:kern w:val="0"/>
          <w14:ligatures w14:val="none"/>
        </w:rPr>
      </w:pPr>
    </w:p>
    <w:p w:rsidRPr="008F34BE" w:rsidR="003F0FC5" w:rsidP="00A76F4A" w:rsidRDefault="007F1BCF" w14:paraId="187F0465"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the agreements contain several important provisions that are </w:t>
      </w:r>
      <w:r w:rsidRPr="008F34BE" w:rsidR="0045409F">
        <w:rPr>
          <w:rFonts w:ascii="Palatino Linotype" w:hAnsi="Palatino Linotype" w:eastAsia="Palatino Linotype" w:cs="Times New Roman"/>
          <w:bCs/>
          <w:kern w:val="0"/>
          <w14:ligatures w14:val="none"/>
        </w:rPr>
        <w:t xml:space="preserve">collectively </w:t>
      </w:r>
      <w:r w:rsidRPr="008F34BE">
        <w:rPr>
          <w:rFonts w:ascii="Palatino Linotype" w:hAnsi="Palatino Linotype" w:eastAsia="Palatino Linotype" w:cs="Times New Roman"/>
          <w:bCs/>
          <w:kern w:val="0"/>
          <w14:ligatures w14:val="none"/>
        </w:rPr>
        <w:t>intended to benefit and reduce risk to ratepayers</w:t>
      </w:r>
      <w:r w:rsidRPr="008F34BE" w:rsidR="00A67F9A">
        <w:rPr>
          <w:rFonts w:ascii="Palatino Linotype" w:hAnsi="Palatino Linotype" w:eastAsia="Palatino Linotype" w:cs="Times New Roman"/>
          <w:bCs/>
          <w:kern w:val="0"/>
          <w14:ligatures w14:val="none"/>
        </w:rPr>
        <w:t>: n</w:t>
      </w:r>
      <w:r w:rsidRPr="008F34BE" w:rsidR="00E14CA3">
        <w:rPr>
          <w:rFonts w:ascii="Palatino Linotype" w:hAnsi="Palatino Linotype" w:eastAsia="Palatino Linotype" w:cs="Times New Roman"/>
          <w:bCs/>
          <w:kern w:val="0"/>
          <w14:ligatures w14:val="none"/>
        </w:rPr>
        <w:t xml:space="preserve">amely, that Microsoft will pay actual costs as opposed to estimated costs, that Microsoft’s eligibility for refunds is based on </w:t>
      </w:r>
      <w:r w:rsidRPr="008F34BE" w:rsidR="00AB52BC">
        <w:rPr>
          <w:rFonts w:ascii="Palatino Linotype" w:hAnsi="Palatino Linotype" w:eastAsia="Palatino Linotype" w:cs="Times New Roman"/>
          <w:bCs/>
          <w:kern w:val="0"/>
          <w14:ligatures w14:val="none"/>
        </w:rPr>
        <w:t xml:space="preserve">revenues generated after the facility starts receiving service, and that </w:t>
      </w:r>
      <w:r w:rsidRPr="008F34BE" w:rsidR="004C3E5C">
        <w:rPr>
          <w:rFonts w:ascii="Palatino Linotype" w:hAnsi="Palatino Linotype" w:eastAsia="Palatino Linotype" w:cs="Times New Roman"/>
          <w:bCs/>
          <w:kern w:val="0"/>
          <w14:ligatures w14:val="none"/>
        </w:rPr>
        <w:t>Microsoft is not entitled to refunds for Special Facilities it has requested for this project.</w:t>
      </w:r>
    </w:p>
    <w:p w:rsidRPr="008F34BE" w:rsidR="001E0D40" w:rsidP="00A76F4A" w:rsidRDefault="001E0D40" w14:paraId="5BD866A3" w14:textId="77777777">
      <w:pPr>
        <w:spacing w:after="0" w:line="240" w:lineRule="auto"/>
        <w:rPr>
          <w:rFonts w:ascii="Palatino Linotype" w:hAnsi="Palatino Linotype" w:eastAsia="Palatino Linotype" w:cs="Times New Roman"/>
          <w:bCs/>
          <w:kern w:val="0"/>
          <w14:ligatures w14:val="none"/>
        </w:rPr>
      </w:pPr>
    </w:p>
    <w:p w:rsidRPr="008F34BE" w:rsidR="001E0D40" w:rsidP="00796984" w:rsidRDefault="001E0D40" w14:paraId="17E67427" w14:textId="77777777">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lastRenderedPageBreak/>
        <w:t>Actual Cost</w:t>
      </w:r>
      <w:r w:rsidRPr="008F34BE" w:rsidR="00635047">
        <w:rPr>
          <w:rFonts w:ascii="Palatino Linotype" w:hAnsi="Palatino Linotype" w:eastAsia="Palatino Linotype" w:cs="Times New Roman"/>
          <w:bCs/>
          <w:i/>
          <w:iCs/>
          <w:kern w:val="0"/>
          <w14:ligatures w14:val="none"/>
        </w:rPr>
        <w:t xml:space="preserve"> vs. Estimated Cost</w:t>
      </w:r>
    </w:p>
    <w:p w:rsidRPr="008F34BE" w:rsidR="001E0D40" w:rsidP="00796984" w:rsidRDefault="001E0D40" w14:paraId="7F02B616" w14:textId="77777777">
      <w:pPr>
        <w:keepNext/>
        <w:spacing w:after="0" w:line="240" w:lineRule="auto"/>
        <w:rPr>
          <w:rFonts w:ascii="Palatino Linotype" w:hAnsi="Palatino Linotype" w:eastAsia="Palatino Linotype" w:cs="Times New Roman"/>
          <w:bCs/>
          <w:kern w:val="0"/>
          <w14:ligatures w14:val="none"/>
        </w:rPr>
      </w:pPr>
    </w:p>
    <w:p w:rsidRPr="008F34BE" w:rsidR="00635047" w:rsidP="00796984" w:rsidRDefault="0045409F" w14:paraId="2610537E" w14:textId="77777777">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and Microsoft </w:t>
      </w:r>
      <w:r w:rsidRPr="008F34BE" w:rsidR="00635047">
        <w:rPr>
          <w:rFonts w:ascii="Palatino Linotype" w:hAnsi="Palatino Linotype" w:eastAsia="Palatino Linotype" w:cs="Times New Roman"/>
          <w:bCs/>
          <w:kern w:val="0"/>
          <w14:ligatures w14:val="none"/>
        </w:rPr>
        <w:t>have agreed</w:t>
      </w:r>
      <w:r w:rsidRPr="008F34BE" w:rsidR="00635047">
        <w:rPr>
          <w:rFonts w:ascii="Palatino Linotype" w:hAnsi="Palatino Linotype"/>
        </w:rPr>
        <w:t xml:space="preserve"> </w:t>
      </w:r>
      <w:r w:rsidRPr="008F34BE" w:rsidR="00635047">
        <w:rPr>
          <w:rFonts w:ascii="Palatino Linotype" w:hAnsi="Palatino Linotype" w:eastAsia="Palatino Linotype" w:cs="Times New Roman"/>
          <w:bCs/>
          <w:kern w:val="0"/>
          <w14:ligatures w14:val="none"/>
        </w:rPr>
        <w:t>that Microsoft will pay the actual cost for the</w:t>
      </w:r>
    </w:p>
    <w:p w:rsidRPr="008F34BE" w:rsidR="0045409F" w:rsidP="004259C7" w:rsidRDefault="00635047" w14:paraId="5B5FD905"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transmission facilities and Special Facilities</w:t>
      </w:r>
      <w:r w:rsidRPr="008F34BE" w:rsidR="00355F65">
        <w:rPr>
          <w:rFonts w:ascii="Palatino Linotype" w:hAnsi="Palatino Linotype" w:eastAsia="Palatino Linotype" w:cs="Times New Roman"/>
          <w:bCs/>
          <w:kern w:val="0"/>
          <w14:ligatures w14:val="none"/>
        </w:rPr>
        <w:t xml:space="preserve"> associated with the project</w:t>
      </w:r>
      <w:r w:rsidRPr="008F34BE">
        <w:rPr>
          <w:rFonts w:ascii="Palatino Linotype" w:hAnsi="Palatino Linotype" w:eastAsia="Palatino Linotype" w:cs="Times New Roman"/>
          <w:bCs/>
          <w:kern w:val="0"/>
          <w14:ligatures w14:val="none"/>
        </w:rPr>
        <w:t>, rather than paying based on an estimated</w:t>
      </w:r>
      <w:r w:rsidRPr="008F34BE" w:rsidR="00355F65">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cost basis. </w:t>
      </w:r>
      <w:r w:rsidRPr="008F34BE" w:rsidR="00F47B2B">
        <w:rPr>
          <w:rFonts w:ascii="Palatino Linotype" w:hAnsi="Palatino Linotype" w:eastAsia="Palatino Linotype" w:cs="Times New Roman"/>
          <w:bCs/>
          <w:kern w:val="0"/>
          <w14:ligatures w14:val="none"/>
        </w:rPr>
        <w:t xml:space="preserve">PG&amp;E states that </w:t>
      </w:r>
      <w:r w:rsidRPr="008F34BE" w:rsidR="00880FBE">
        <w:rPr>
          <w:rFonts w:ascii="Palatino Linotype" w:hAnsi="Palatino Linotype" w:eastAsia="Palatino Linotype" w:cs="Times New Roman"/>
          <w:bCs/>
          <w:kern w:val="0"/>
          <w14:ligatures w14:val="none"/>
        </w:rPr>
        <w:t>t</w:t>
      </w:r>
      <w:r w:rsidRPr="008F34BE" w:rsidR="00E32984">
        <w:rPr>
          <w:rFonts w:ascii="Palatino Linotype" w:hAnsi="Palatino Linotype" w:eastAsia="Palatino Linotype" w:cs="Times New Roman"/>
          <w:bCs/>
          <w:kern w:val="0"/>
          <w14:ligatures w14:val="none"/>
        </w:rPr>
        <w:t>he work associated with constructing these</w:t>
      </w:r>
      <w:r w:rsidRPr="008F34BE" w:rsidR="00732B99">
        <w:rPr>
          <w:rFonts w:ascii="Palatino Linotype" w:hAnsi="Palatino Linotype" w:eastAsia="Palatino Linotype" w:cs="Times New Roman"/>
          <w:bCs/>
          <w:kern w:val="0"/>
          <w14:ligatures w14:val="none"/>
        </w:rPr>
        <w:t xml:space="preserve"> n</w:t>
      </w:r>
      <w:r w:rsidRPr="008F34BE" w:rsidR="00880FBE">
        <w:rPr>
          <w:rFonts w:ascii="Palatino Linotype" w:hAnsi="Palatino Linotype" w:eastAsia="Palatino Linotype" w:cs="Times New Roman"/>
          <w:bCs/>
          <w:kern w:val="0"/>
          <w14:ligatures w14:val="none"/>
        </w:rPr>
        <w:t>ew</w:t>
      </w:r>
      <w:r w:rsidRPr="008F34BE" w:rsidR="00732B99">
        <w:rPr>
          <w:rFonts w:ascii="Palatino Linotype" w:hAnsi="Palatino Linotype" w:eastAsia="Palatino Linotype" w:cs="Times New Roman"/>
          <w:bCs/>
          <w:kern w:val="0"/>
          <w14:ligatures w14:val="none"/>
        </w:rPr>
        <w:t xml:space="preserve"> facilities entails a substantial scope of work and that </w:t>
      </w:r>
      <w:r w:rsidRPr="008F34BE" w:rsidR="00880FBE">
        <w:rPr>
          <w:rFonts w:ascii="Palatino Linotype" w:hAnsi="Palatino Linotype" w:eastAsia="Palatino Linotype" w:cs="Times New Roman"/>
          <w:bCs/>
          <w:kern w:val="0"/>
          <w14:ligatures w14:val="none"/>
        </w:rPr>
        <w:t>p</w:t>
      </w:r>
      <w:r w:rsidRPr="008F34BE" w:rsidR="00F47B2B">
        <w:rPr>
          <w:rFonts w:ascii="Palatino Linotype" w:hAnsi="Palatino Linotype" w:eastAsia="Palatino Linotype" w:cs="Times New Roman"/>
          <w:bCs/>
          <w:kern w:val="0"/>
          <w14:ligatures w14:val="none"/>
        </w:rPr>
        <w:t>erforming such a large project on an estimated cost basis</w:t>
      </w:r>
      <w:r w:rsidRPr="008F34BE" w:rsidR="00732B99">
        <w:rPr>
          <w:rFonts w:ascii="Palatino Linotype" w:hAnsi="Palatino Linotype" w:eastAsia="Palatino Linotype" w:cs="Times New Roman"/>
          <w:bCs/>
          <w:kern w:val="0"/>
          <w14:ligatures w14:val="none"/>
        </w:rPr>
        <w:t xml:space="preserve"> creates a risk that the cost estimate may not accurately capture the cost that will be incurred during the project.</w:t>
      </w:r>
      <w:r w:rsidRPr="008F34BE" w:rsidR="00880FBE">
        <w:rPr>
          <w:rFonts w:ascii="Palatino Linotype" w:hAnsi="Palatino Linotype" w:eastAsia="Palatino Linotype" w:cs="Times New Roman"/>
          <w:bCs/>
          <w:kern w:val="0"/>
          <w14:ligatures w14:val="none"/>
        </w:rPr>
        <w:t xml:space="preserve"> </w:t>
      </w:r>
      <w:r w:rsidRPr="008F34BE" w:rsidR="00E008EA">
        <w:rPr>
          <w:rFonts w:ascii="Palatino Linotype" w:hAnsi="Palatino Linotype" w:eastAsia="Palatino Linotype" w:cs="Times New Roman"/>
          <w:bCs/>
          <w:kern w:val="0"/>
          <w14:ligatures w14:val="none"/>
        </w:rPr>
        <w:t xml:space="preserve">The Agreements allow for what PG&amp;E terms as </w:t>
      </w:r>
      <w:r w:rsidRPr="008F34BE" w:rsidR="00F93060">
        <w:rPr>
          <w:rFonts w:ascii="Palatino Linotype" w:hAnsi="Palatino Linotype" w:eastAsia="Palatino Linotype" w:cs="Times New Roman"/>
          <w:bCs/>
          <w:kern w:val="0"/>
          <w14:ligatures w14:val="none"/>
        </w:rPr>
        <w:t>progress billing</w:t>
      </w:r>
      <w:r w:rsidRPr="008F34BE" w:rsidR="00A83BA3">
        <w:rPr>
          <w:rFonts w:ascii="Palatino Linotype" w:hAnsi="Palatino Linotype" w:eastAsia="Palatino Linotype" w:cs="Times New Roman"/>
          <w:bCs/>
          <w:kern w:val="0"/>
          <w14:ligatures w14:val="none"/>
        </w:rPr>
        <w:t xml:space="preserve"> </w:t>
      </w:r>
      <w:proofErr w:type="gramStart"/>
      <w:r w:rsidRPr="008F34BE" w:rsidR="00A83BA3">
        <w:rPr>
          <w:rFonts w:ascii="Palatino Linotype" w:hAnsi="Palatino Linotype" w:eastAsia="Palatino Linotype" w:cs="Times New Roman"/>
          <w:bCs/>
          <w:kern w:val="0"/>
          <w14:ligatures w14:val="none"/>
        </w:rPr>
        <w:t>during the course of</w:t>
      </w:r>
      <w:proofErr w:type="gramEnd"/>
      <w:r w:rsidRPr="008F34BE" w:rsidR="00A83BA3">
        <w:rPr>
          <w:rFonts w:ascii="Palatino Linotype" w:hAnsi="Palatino Linotype" w:eastAsia="Palatino Linotype" w:cs="Times New Roman"/>
          <w:bCs/>
          <w:kern w:val="0"/>
          <w14:ligatures w14:val="none"/>
        </w:rPr>
        <w:t xml:space="preserve"> work to ensure that there is no mismatch between estimates and actual costs, which PG&amp;E states poses a risk to both ratepayers and Microsoft alike in that </w:t>
      </w:r>
      <w:r w:rsidRPr="008F34BE" w:rsidR="00520A3D">
        <w:rPr>
          <w:rFonts w:ascii="Palatino Linotype" w:hAnsi="Palatino Linotype" w:eastAsia="Palatino Linotype" w:cs="Times New Roman"/>
          <w:bCs/>
          <w:kern w:val="0"/>
          <w14:ligatures w14:val="none"/>
        </w:rPr>
        <w:t>inaccurate cost estimates could cause one or the other to overpay for the infrastructure.</w:t>
      </w:r>
      <w:r w:rsidRPr="008F34BE" w:rsidR="004259C7">
        <w:rPr>
          <w:rFonts w:ascii="Palatino Linotype" w:hAnsi="Palatino Linotype" w:eastAsia="Palatino Linotype" w:cs="Times New Roman"/>
          <w:bCs/>
          <w:kern w:val="0"/>
          <w14:ligatures w14:val="none"/>
        </w:rPr>
        <w:t xml:space="preserve"> According to PG&amp;E, this solution will also reduce existing customer risks by obtaining up-front and actual cost-participation regardless of load once the project is placed in service</w:t>
      </w:r>
      <w:r w:rsidRPr="008F34BE" w:rsidR="00444888">
        <w:rPr>
          <w:rFonts w:ascii="Palatino Linotype" w:hAnsi="Palatino Linotype" w:eastAsia="Palatino Linotype" w:cs="Times New Roman"/>
          <w:bCs/>
          <w:kern w:val="0"/>
          <w14:ligatures w14:val="none"/>
        </w:rPr>
        <w:t>.</w:t>
      </w:r>
    </w:p>
    <w:p w:rsidRPr="008F34BE" w:rsidR="003A7FCD" w:rsidP="004259C7" w:rsidRDefault="003A7FCD" w14:paraId="07158344" w14:textId="77777777">
      <w:pPr>
        <w:spacing w:after="0" w:line="240" w:lineRule="auto"/>
        <w:rPr>
          <w:rFonts w:ascii="Palatino Linotype" w:hAnsi="Palatino Linotype" w:eastAsia="Palatino Linotype" w:cs="Times New Roman"/>
          <w:bCs/>
          <w:kern w:val="0"/>
          <w14:ligatures w14:val="none"/>
        </w:rPr>
      </w:pPr>
    </w:p>
    <w:p w:rsidRPr="008F34BE" w:rsidR="003A7FCD" w:rsidP="004259C7" w:rsidRDefault="00547831" w14:paraId="5F597123"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As noted above, w</w:t>
      </w:r>
      <w:r w:rsidRPr="008F34BE" w:rsidR="003A7FCD">
        <w:rPr>
          <w:rFonts w:ascii="Palatino Linotype" w:hAnsi="Palatino Linotype" w:eastAsia="Palatino Linotype" w:cs="Times New Roman"/>
          <w:bCs/>
          <w:kern w:val="0"/>
          <w14:ligatures w14:val="none"/>
        </w:rPr>
        <w:t>e</w:t>
      </w:r>
      <w:r w:rsidRPr="008F34BE">
        <w:rPr>
          <w:rFonts w:ascii="Palatino Linotype" w:hAnsi="Palatino Linotype" w:eastAsia="Palatino Linotype" w:cs="Times New Roman"/>
          <w:bCs/>
          <w:kern w:val="0"/>
          <w14:ligatures w14:val="none"/>
        </w:rPr>
        <w:t xml:space="preserve"> will</w:t>
      </w:r>
      <w:r w:rsidRPr="008F34BE" w:rsidR="003A7FCD">
        <w:rPr>
          <w:rFonts w:ascii="Palatino Linotype" w:hAnsi="Palatino Linotype" w:eastAsia="Palatino Linotype" w:cs="Times New Roman"/>
          <w:bCs/>
          <w:kern w:val="0"/>
          <w14:ligatures w14:val="none"/>
        </w:rPr>
        <w:t xml:space="preserve"> discuss the </w:t>
      </w:r>
      <w:r w:rsidRPr="008F34BE" w:rsidR="00C520B2">
        <w:rPr>
          <w:rFonts w:ascii="Palatino Linotype" w:hAnsi="Palatino Linotype" w:eastAsia="Palatino Linotype" w:cs="Times New Roman"/>
          <w:bCs/>
          <w:kern w:val="0"/>
          <w14:ligatures w14:val="none"/>
        </w:rPr>
        <w:t xml:space="preserve">use of actual cost versus </w:t>
      </w:r>
      <w:r w:rsidRPr="008F34BE" w:rsidR="0038104C">
        <w:rPr>
          <w:rFonts w:ascii="Palatino Linotype" w:hAnsi="Palatino Linotype" w:eastAsia="Palatino Linotype" w:cs="Times New Roman"/>
          <w:bCs/>
          <w:kern w:val="0"/>
          <w14:ligatures w14:val="none"/>
        </w:rPr>
        <w:t>estimated cost in Rule 15 and this specific instance in the Discussion section of this Resolution.</w:t>
      </w:r>
    </w:p>
    <w:p w:rsidRPr="008F34BE" w:rsidR="00444888" w:rsidP="004259C7" w:rsidRDefault="00444888" w14:paraId="055636B7" w14:textId="77777777">
      <w:pPr>
        <w:spacing w:after="0" w:line="240" w:lineRule="auto"/>
        <w:rPr>
          <w:rFonts w:ascii="Palatino Linotype" w:hAnsi="Palatino Linotype" w:eastAsia="Palatino Linotype" w:cs="Times New Roman"/>
          <w:bCs/>
          <w:kern w:val="0"/>
          <w14:ligatures w14:val="none"/>
        </w:rPr>
      </w:pPr>
    </w:p>
    <w:p w:rsidRPr="008F34BE" w:rsidR="00444888" w:rsidP="004259C7" w:rsidRDefault="00444888" w14:paraId="577DCCA4"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Microsoft’s Eligibility for Refunds</w:t>
      </w:r>
    </w:p>
    <w:p w:rsidRPr="008F34BE" w:rsidR="00444888" w:rsidP="004259C7" w:rsidRDefault="00444888" w14:paraId="10209855" w14:textId="77777777">
      <w:pPr>
        <w:spacing w:after="0" w:line="240" w:lineRule="auto"/>
        <w:rPr>
          <w:rFonts w:ascii="Palatino Linotype" w:hAnsi="Palatino Linotype" w:eastAsia="Palatino Linotype" w:cs="Times New Roman"/>
          <w:bCs/>
          <w:kern w:val="0"/>
          <w14:ligatures w14:val="none"/>
        </w:rPr>
      </w:pPr>
    </w:p>
    <w:p w:rsidRPr="008F34BE" w:rsidR="00444888" w:rsidP="00B51040" w:rsidRDefault="00063D47" w14:paraId="4D80A5CE"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w:t>
      </w:r>
      <w:r w:rsidRPr="008F34BE" w:rsidR="00B51040">
        <w:rPr>
          <w:rFonts w:ascii="Palatino Linotype" w:hAnsi="Palatino Linotype" w:eastAsia="Palatino Linotype" w:cs="Times New Roman"/>
          <w:bCs/>
          <w:kern w:val="0"/>
          <w14:ligatures w14:val="none"/>
        </w:rPr>
        <w:t>Microsoft’s eligibility for refunds is based on the revenues it generates after the facility starts receiving electrical service and that if Microsoft’s load projections are accurate, then electric revenues will help pay for the new facilities and benefit existing customers over time</w:t>
      </w:r>
      <w:r w:rsidRPr="008F34BE" w:rsidR="00880FBE">
        <w:rPr>
          <w:rFonts w:ascii="Palatino Linotype" w:hAnsi="Palatino Linotype" w:eastAsia="Palatino Linotype" w:cs="Times New Roman"/>
          <w:bCs/>
          <w:kern w:val="0"/>
          <w14:ligatures w14:val="none"/>
        </w:rPr>
        <w:t xml:space="preserve">. However, PG&amp;E also states that should Microsoft’s load projections turn out to be inaccurate, </w:t>
      </w:r>
      <w:r w:rsidRPr="008F34BE" w:rsidR="006B66E7">
        <w:rPr>
          <w:rFonts w:ascii="Palatino Linotype" w:hAnsi="Palatino Linotype" w:eastAsia="Palatino Linotype" w:cs="Times New Roman"/>
          <w:bCs/>
          <w:kern w:val="0"/>
          <w14:ligatures w14:val="none"/>
        </w:rPr>
        <w:t xml:space="preserve">then actual cost payments would either not be refunded or be reduced based on actual net revenue and the </w:t>
      </w:r>
      <w:r w:rsidRPr="008F34BE" w:rsidR="00871B61">
        <w:rPr>
          <w:rFonts w:ascii="Palatino Linotype" w:hAnsi="Palatino Linotype" w:eastAsia="Palatino Linotype" w:cs="Times New Roman"/>
          <w:bCs/>
          <w:kern w:val="0"/>
          <w14:ligatures w14:val="none"/>
        </w:rPr>
        <w:t>cost-of-service</w:t>
      </w:r>
      <w:r w:rsidRPr="008F34BE" w:rsidR="006B66E7">
        <w:rPr>
          <w:rFonts w:ascii="Palatino Linotype" w:hAnsi="Palatino Linotype" w:eastAsia="Palatino Linotype" w:cs="Times New Roman"/>
          <w:bCs/>
          <w:kern w:val="0"/>
          <w14:ligatures w14:val="none"/>
        </w:rPr>
        <w:t xml:space="preserve"> factor.</w:t>
      </w:r>
      <w:r w:rsidRPr="008F34BE" w:rsidR="00BE1C67">
        <w:rPr>
          <w:rFonts w:ascii="Palatino Linotype" w:hAnsi="Palatino Linotype" w:eastAsia="Palatino Linotype" w:cs="Times New Roman"/>
          <w:bCs/>
          <w:kern w:val="0"/>
          <w14:ligatures w14:val="none"/>
        </w:rPr>
        <w:t xml:space="preserve"> PG&amp;E states that refunds will be based on the Base Annual Revenue Calculation (BARC) process used in Electric Rule 15 </w:t>
      </w:r>
      <w:r w:rsidRPr="008F34BE" w:rsidR="00871B61">
        <w:rPr>
          <w:rFonts w:ascii="Palatino Linotype" w:hAnsi="Palatino Linotype" w:eastAsia="Palatino Linotype" w:cs="Times New Roman"/>
          <w:bCs/>
          <w:kern w:val="0"/>
          <w14:ligatures w14:val="none"/>
        </w:rPr>
        <w:t>and as such</w:t>
      </w:r>
      <w:r w:rsidRPr="008F34BE" w:rsidR="00DB64A3">
        <w:rPr>
          <w:rFonts w:ascii="Palatino Linotype" w:hAnsi="Palatino Linotype" w:eastAsia="Palatino Linotype" w:cs="Times New Roman"/>
          <w:bCs/>
          <w:kern w:val="0"/>
          <w14:ligatures w14:val="none"/>
        </w:rPr>
        <w:t>,</w:t>
      </w:r>
      <w:r w:rsidRPr="008F34BE" w:rsidR="00494120">
        <w:rPr>
          <w:rFonts w:ascii="Palatino Linotype" w:hAnsi="Palatino Linotype" w:eastAsia="Palatino Linotype" w:cs="Times New Roman"/>
          <w:bCs/>
          <w:kern w:val="0"/>
          <w14:ligatures w14:val="none"/>
        </w:rPr>
        <w:t xml:space="preserve"> is consistent with C</w:t>
      </w:r>
      <w:r w:rsidRPr="008F34BE" w:rsidR="008A3877">
        <w:rPr>
          <w:rFonts w:ascii="Palatino Linotype" w:hAnsi="Palatino Linotype" w:eastAsia="Palatino Linotype" w:cs="Times New Roman"/>
          <w:bCs/>
          <w:kern w:val="0"/>
          <w14:ligatures w14:val="none"/>
        </w:rPr>
        <w:t>ommission</w:t>
      </w:r>
      <w:r w:rsidRPr="008F34BE" w:rsidR="00494120">
        <w:rPr>
          <w:rFonts w:ascii="Palatino Linotype" w:hAnsi="Palatino Linotype" w:eastAsia="Palatino Linotype" w:cs="Times New Roman"/>
          <w:bCs/>
          <w:kern w:val="0"/>
          <w14:ligatures w14:val="none"/>
        </w:rPr>
        <w:t xml:space="preserve"> precedent</w:t>
      </w:r>
      <w:r w:rsidRPr="008F34BE" w:rsidR="00871B61">
        <w:rPr>
          <w:rFonts w:ascii="Palatino Linotype" w:hAnsi="Palatino Linotype" w:eastAsia="Palatino Linotype" w:cs="Times New Roman"/>
          <w:bCs/>
          <w:kern w:val="0"/>
          <w14:ligatures w14:val="none"/>
        </w:rPr>
        <w:t xml:space="preserve">. </w:t>
      </w:r>
      <w:r w:rsidRPr="008F34BE" w:rsidR="00AC653E">
        <w:rPr>
          <w:rFonts w:ascii="Palatino Linotype" w:hAnsi="Palatino Linotype" w:eastAsia="Palatino Linotype" w:cs="Times New Roman"/>
          <w:bCs/>
          <w:kern w:val="0"/>
          <w14:ligatures w14:val="none"/>
        </w:rPr>
        <w:t xml:space="preserve">PG&amp;E also states that revenues generated from this project </w:t>
      </w:r>
      <w:r w:rsidRPr="008F34BE" w:rsidR="0011634C">
        <w:rPr>
          <w:rFonts w:ascii="Palatino Linotype" w:hAnsi="Palatino Linotype" w:eastAsia="Palatino Linotype" w:cs="Times New Roman"/>
          <w:bCs/>
          <w:kern w:val="0"/>
          <w14:ligatures w14:val="none"/>
        </w:rPr>
        <w:t>can ultimately reduce customer bills overall.</w:t>
      </w:r>
    </w:p>
    <w:p w:rsidRPr="008F34BE" w:rsidR="0011634C" w:rsidP="00B51040" w:rsidRDefault="0011634C" w14:paraId="5B65C120" w14:textId="77777777">
      <w:pPr>
        <w:spacing w:after="0" w:line="240" w:lineRule="auto"/>
        <w:rPr>
          <w:rFonts w:ascii="Palatino Linotype" w:hAnsi="Palatino Linotype" w:eastAsia="Palatino Linotype" w:cs="Times New Roman"/>
          <w:bCs/>
          <w:kern w:val="0"/>
          <w14:ligatures w14:val="none"/>
        </w:rPr>
      </w:pPr>
    </w:p>
    <w:p w:rsidRPr="008F34BE" w:rsidR="0011634C" w:rsidP="00B51040" w:rsidRDefault="00547831" w14:paraId="69AEDB0A"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As noted above, </w:t>
      </w:r>
      <w:r w:rsidRPr="008F34BE" w:rsidR="00030052">
        <w:rPr>
          <w:rFonts w:ascii="Palatino Linotype" w:hAnsi="Palatino Linotype" w:eastAsia="Palatino Linotype" w:cs="Times New Roman"/>
          <w:bCs/>
          <w:kern w:val="0"/>
          <w14:ligatures w14:val="none"/>
        </w:rPr>
        <w:t>w</w:t>
      </w:r>
      <w:r w:rsidRPr="008F34BE" w:rsidR="0011634C">
        <w:rPr>
          <w:rFonts w:ascii="Palatino Linotype" w:hAnsi="Palatino Linotype" w:eastAsia="Palatino Linotype" w:cs="Times New Roman"/>
          <w:bCs/>
          <w:kern w:val="0"/>
          <w14:ligatures w14:val="none"/>
        </w:rPr>
        <w:t>e</w:t>
      </w:r>
      <w:r w:rsidRPr="008F34BE" w:rsidR="00030052">
        <w:rPr>
          <w:rFonts w:ascii="Palatino Linotype" w:hAnsi="Palatino Linotype" w:eastAsia="Palatino Linotype" w:cs="Times New Roman"/>
          <w:bCs/>
          <w:kern w:val="0"/>
          <w14:ligatures w14:val="none"/>
        </w:rPr>
        <w:t xml:space="preserve"> will</w:t>
      </w:r>
      <w:r w:rsidRPr="008F34BE" w:rsidR="0011634C">
        <w:rPr>
          <w:rFonts w:ascii="Palatino Linotype" w:hAnsi="Palatino Linotype" w:eastAsia="Palatino Linotype" w:cs="Times New Roman"/>
          <w:bCs/>
          <w:kern w:val="0"/>
          <w14:ligatures w14:val="none"/>
        </w:rPr>
        <w:t xml:space="preserve"> discuss the BARC process in more detail in the Discussion section of this Resolution.</w:t>
      </w:r>
    </w:p>
    <w:p w:rsidRPr="008F34BE" w:rsidR="00F86AC0" w:rsidP="00A76F4A" w:rsidRDefault="00F86AC0" w14:paraId="7415F67B" w14:textId="77777777">
      <w:pPr>
        <w:spacing w:after="0" w:line="240" w:lineRule="auto"/>
        <w:rPr>
          <w:rFonts w:ascii="Palatino Linotype" w:hAnsi="Palatino Linotype" w:eastAsia="Palatino Linotype" w:cs="Times New Roman"/>
          <w:b/>
          <w:kern w:val="0"/>
          <w:u w:val="single"/>
          <w14:ligatures w14:val="none"/>
        </w:rPr>
      </w:pPr>
    </w:p>
    <w:p w:rsidRPr="008F34BE" w:rsidR="00A17D52" w:rsidP="00A76F4A" w:rsidRDefault="00D57B8D" w14:paraId="099DC373"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Refunds for Special Facilities</w:t>
      </w:r>
    </w:p>
    <w:p w:rsidRPr="008F34BE" w:rsidR="00D57B8D" w:rsidP="00A76F4A" w:rsidRDefault="00D57B8D" w14:paraId="045FC283" w14:textId="77777777">
      <w:pPr>
        <w:spacing w:after="0" w:line="240" w:lineRule="auto"/>
        <w:rPr>
          <w:rFonts w:ascii="Palatino Linotype" w:hAnsi="Palatino Linotype" w:eastAsia="Palatino Linotype" w:cs="Times New Roman"/>
          <w:bCs/>
          <w:kern w:val="0"/>
          <w14:ligatures w14:val="none"/>
        </w:rPr>
      </w:pPr>
    </w:p>
    <w:p w:rsidRPr="008F34BE" w:rsidR="005E4856" w:rsidP="00A76F4A" w:rsidRDefault="00D57B8D" w14:paraId="68B5C3C0"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Microsoft </w:t>
      </w:r>
      <w:r w:rsidRPr="008F34BE" w:rsidR="001A159E">
        <w:rPr>
          <w:rFonts w:ascii="Palatino Linotype" w:hAnsi="Palatino Linotype" w:eastAsia="Palatino Linotype" w:cs="Times New Roman"/>
          <w:bCs/>
          <w:kern w:val="0"/>
          <w14:ligatures w14:val="none"/>
        </w:rPr>
        <w:t>is not entitled to refunds for Special Facilities it has requested and that Microsoft will be paying a monthly cost of ownership charge on these facilities.</w:t>
      </w:r>
      <w:r w:rsidRPr="008F34BE" w:rsidR="000D66DF">
        <w:rPr>
          <w:rFonts w:ascii="Palatino Linotype" w:hAnsi="Palatino Linotype" w:eastAsia="Palatino Linotype" w:cs="Times New Roman"/>
          <w:bCs/>
          <w:kern w:val="0"/>
          <w14:ligatures w14:val="none"/>
        </w:rPr>
        <w:t xml:space="preserve"> Ratepayers will not be charged for this expense.</w:t>
      </w:r>
      <w:r w:rsidRPr="008F34BE" w:rsidR="00C70830">
        <w:rPr>
          <w:rFonts w:ascii="Palatino Linotype" w:hAnsi="Palatino Linotype" w:eastAsia="Palatino Linotype" w:cs="Times New Roman"/>
          <w:bCs/>
          <w:kern w:val="0"/>
          <w14:ligatures w14:val="none"/>
        </w:rPr>
        <w:t xml:space="preserve"> </w:t>
      </w:r>
      <w:r w:rsidRPr="008F34BE" w:rsidR="00403A88">
        <w:rPr>
          <w:rFonts w:ascii="Palatino Linotype" w:hAnsi="Palatino Linotype" w:eastAsia="Palatino Linotype" w:cs="Times New Roman"/>
          <w:bCs/>
          <w:kern w:val="0"/>
          <w14:ligatures w14:val="none"/>
        </w:rPr>
        <w:t xml:space="preserve">This matter does not </w:t>
      </w:r>
      <w:r w:rsidRPr="008F34BE" w:rsidR="00403A88">
        <w:rPr>
          <w:rFonts w:ascii="Palatino Linotype" w:hAnsi="Palatino Linotype" w:eastAsia="Palatino Linotype" w:cs="Times New Roman"/>
          <w:bCs/>
          <w:kern w:val="0"/>
          <w14:ligatures w14:val="none"/>
        </w:rPr>
        <w:lastRenderedPageBreak/>
        <w:t>require a tariff deviation, though we discuss it in detail in the Discussion section of this Resolution.</w:t>
      </w:r>
    </w:p>
    <w:p w:rsidRPr="008F34BE" w:rsidR="00A17D52" w:rsidP="00A76F4A" w:rsidRDefault="00A17D52" w14:paraId="20238461" w14:textId="77777777">
      <w:pPr>
        <w:spacing w:after="0" w:line="240" w:lineRule="auto"/>
        <w:rPr>
          <w:rFonts w:ascii="Palatino Linotype" w:hAnsi="Palatino Linotype" w:eastAsia="Palatino Linotype" w:cs="Times New Roman"/>
          <w:b/>
          <w:kern w:val="0"/>
          <w:u w:val="single"/>
          <w14:ligatures w14:val="none"/>
        </w:rPr>
      </w:pPr>
    </w:p>
    <w:p w:rsidRPr="008F34BE" w:rsidR="00197910" w:rsidP="00A76F4A" w:rsidRDefault="00197910" w14:paraId="0D9A38BC" w14:textId="77777777">
      <w:p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b/>
          <w:kern w:val="0"/>
          <w14:ligatures w14:val="none"/>
        </w:rPr>
        <w:t>Cost Recovery Venues</w:t>
      </w:r>
    </w:p>
    <w:p w:rsidRPr="008F34BE" w:rsidR="00197910" w:rsidP="00A76F4A" w:rsidRDefault="00197910" w14:paraId="707F4050" w14:textId="77777777">
      <w:pPr>
        <w:spacing w:after="0" w:line="240" w:lineRule="auto"/>
        <w:rPr>
          <w:rFonts w:ascii="Palatino Linotype" w:hAnsi="Palatino Linotype" w:eastAsia="Palatino Linotype" w:cs="Times New Roman"/>
          <w:b/>
          <w:kern w:val="0"/>
          <w:u w:val="single"/>
          <w14:ligatures w14:val="none"/>
        </w:rPr>
      </w:pPr>
    </w:p>
    <w:p w:rsidRPr="008F34BE" w:rsidR="00391E1E" w:rsidP="00391E1E" w:rsidRDefault="00197910" w14:paraId="5CD329DB"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 Commission jurisdictional costs will be recovered through the General Rate Case (GRC) process, while Federal Energy Regulatory Commission (FERC) jurisdictional costs are recoverable through PG&amp;E’s Transmission Owner (TO) Formula Rate.</w:t>
      </w:r>
    </w:p>
    <w:p w:rsidRPr="008F34BE" w:rsidR="00391E1E" w:rsidP="00391E1E" w:rsidRDefault="00391E1E" w14:paraId="2BF9ACDF" w14:textId="77777777">
      <w:pPr>
        <w:spacing w:after="0" w:line="240" w:lineRule="auto"/>
        <w:rPr>
          <w:rFonts w:ascii="Palatino Linotype" w:hAnsi="Palatino Linotype" w:eastAsia="Times New Roman" w:cs="Times New Roman"/>
          <w:kern w:val="0"/>
          <w14:ligatures w14:val="none"/>
        </w:rPr>
      </w:pPr>
    </w:p>
    <w:p w:rsidRPr="008F34BE" w:rsidR="00197910" w:rsidP="00391E1E" w:rsidRDefault="00391E1E" w14:paraId="2469B996"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Transmission facility costs are generally FERC jurisdictional if: (1) the California Independent System Operator (CAISO) exercises operational control over the facilities; and (2) the facility demonstrates “any degree of integration” into the electric transmission network. PG&amp;E </w:t>
      </w:r>
      <w:r w:rsidRPr="008F34BE" w:rsidR="002628E4">
        <w:rPr>
          <w:rFonts w:ascii="Palatino Linotype" w:hAnsi="Palatino Linotype" w:eastAsia="Times New Roman" w:cs="Times New Roman"/>
          <w:kern w:val="0"/>
          <w14:ligatures w14:val="none"/>
        </w:rPr>
        <w:t>could not</w:t>
      </w:r>
      <w:r w:rsidRPr="008F34BE">
        <w:rPr>
          <w:rFonts w:ascii="Palatino Linotype" w:hAnsi="Palatino Linotype" w:eastAsia="Times New Roman" w:cs="Times New Roman"/>
          <w:kern w:val="0"/>
          <w14:ligatures w14:val="none"/>
        </w:rPr>
        <w:t xml:space="preserve"> determine which facilities CAISO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decide to exercise operational control over </w:t>
      </w:r>
      <w:r w:rsidRPr="008F34BE" w:rsidR="002628E4">
        <w:rPr>
          <w:rFonts w:ascii="Palatino Linotype" w:hAnsi="Palatino Linotype" w:eastAsia="Times New Roman" w:cs="Times New Roman"/>
          <w:kern w:val="0"/>
          <w14:ligatures w14:val="none"/>
        </w:rPr>
        <w:t>for this project</w:t>
      </w:r>
      <w:r w:rsidRPr="008F34BE">
        <w:rPr>
          <w:rFonts w:ascii="Palatino Linotype" w:hAnsi="Palatino Linotype" w:eastAsia="Times New Roman" w:cs="Times New Roman"/>
          <w:kern w:val="0"/>
          <w14:ligatures w14:val="none"/>
        </w:rPr>
        <w:t xml:space="preserve">. However, </w:t>
      </w:r>
      <w:r w:rsidRPr="008F34BE" w:rsidR="00AC7F50">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current assessment is that the costs for the transmission facilities that will be constructed under the</w:t>
      </w:r>
      <w:r w:rsidRPr="008F34BE" w:rsidR="002628E4">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Agreements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be recovered in the following venues:</w:t>
      </w:r>
    </w:p>
    <w:p w:rsidR="002628E4" w:rsidP="00391E1E" w:rsidRDefault="002628E4" w14:paraId="0701696A" w14:textId="77777777">
      <w:pPr>
        <w:spacing w:after="0" w:line="240" w:lineRule="auto"/>
        <w:rPr>
          <w:rFonts w:ascii="Palatino Linotype" w:hAnsi="Palatino Linotype" w:eastAsia="Times New Roman" w:cs="Times New Roman"/>
          <w:kern w:val="0"/>
          <w14:ligatures w14:val="none"/>
        </w:rPr>
      </w:pPr>
    </w:p>
    <w:tbl>
      <w:tblPr>
        <w:tblW w:w="0" w:type="auto"/>
        <w:tblInd w:w="-10" w:type="dxa"/>
        <w:tblLayout w:type="fixed"/>
        <w:tblCellMar>
          <w:left w:w="0" w:type="dxa"/>
          <w:right w:w="0" w:type="dxa"/>
        </w:tblCellMar>
        <w:tblLook w:val="0000" w:firstRow="0" w:lastRow="0" w:firstColumn="0" w:lastColumn="0" w:noHBand="0" w:noVBand="0"/>
      </w:tblPr>
      <w:tblGrid>
        <w:gridCol w:w="6091"/>
        <w:gridCol w:w="2629"/>
      </w:tblGrid>
      <w:tr w:rsidRPr="00835E87" w:rsidR="00835E87" w:rsidTr="00835E87" w14:paraId="5C90DBE1" w14:textId="77777777">
        <w:trPr>
          <w:trHeight w:val="745"/>
        </w:trPr>
        <w:tc>
          <w:tcPr>
            <w:tcW w:w="6091" w:type="dxa"/>
            <w:tcBorders>
              <w:top w:val="single" w:color="000000" w:sz="8" w:space="0"/>
              <w:left w:val="single" w:color="000000" w:sz="8" w:space="0"/>
              <w:bottom w:val="single" w:color="auto" w:sz="4" w:space="0"/>
              <w:right w:val="single" w:color="000000" w:sz="8" w:space="0"/>
            </w:tcBorders>
            <w:shd w:val="clear" w:color="auto" w:fill="D9D9D9"/>
          </w:tcPr>
          <w:p w:rsidRPr="00835E87" w:rsidR="00835E87" w:rsidP="00835E87" w:rsidRDefault="00835E87" w14:paraId="5C35CAA4" w14:textId="77777777">
            <w:pPr>
              <w:kinsoku w:val="0"/>
              <w:overflowPunct w:val="0"/>
              <w:autoSpaceDE w:val="0"/>
              <w:autoSpaceDN w:val="0"/>
              <w:adjustRightInd w:val="0"/>
              <w:spacing w:before="246" w:after="0" w:line="240" w:lineRule="auto"/>
              <w:ind w:left="1920"/>
              <w:rPr>
                <w:rFonts w:ascii="Arial" w:hAnsi="Arial" w:cs="Arial"/>
                <w:b/>
                <w:bCs/>
                <w:kern w:val="0"/>
                <w:sz w:val="22"/>
                <w:szCs w:val="22"/>
              </w:rPr>
            </w:pPr>
            <w:r w:rsidRPr="00835E87">
              <w:rPr>
                <w:rFonts w:ascii="Arial" w:hAnsi="Arial" w:cs="Arial"/>
                <w:b/>
                <w:bCs/>
                <w:kern w:val="0"/>
                <w:sz w:val="22"/>
                <w:szCs w:val="22"/>
              </w:rPr>
              <w:t>Transmission Facility</w:t>
            </w:r>
          </w:p>
        </w:tc>
        <w:tc>
          <w:tcPr>
            <w:tcW w:w="2629" w:type="dxa"/>
            <w:tcBorders>
              <w:top w:val="single" w:color="000000" w:sz="8" w:space="0"/>
              <w:left w:val="single" w:color="000000" w:sz="8" w:space="0"/>
              <w:bottom w:val="single" w:color="000000" w:sz="8" w:space="0"/>
              <w:right w:val="single" w:color="000000" w:sz="8" w:space="0"/>
            </w:tcBorders>
            <w:shd w:val="clear" w:color="auto" w:fill="D9D9D9"/>
          </w:tcPr>
          <w:p w:rsidRPr="00835E87" w:rsidR="00835E87" w:rsidP="00835E87" w:rsidRDefault="00835E87" w14:paraId="16ABEC31" w14:textId="77777777">
            <w:pPr>
              <w:kinsoku w:val="0"/>
              <w:overflowPunct w:val="0"/>
              <w:autoSpaceDE w:val="0"/>
              <w:autoSpaceDN w:val="0"/>
              <w:adjustRightInd w:val="0"/>
              <w:spacing w:before="120" w:after="0" w:line="240" w:lineRule="auto"/>
              <w:ind w:left="544" w:hanging="373"/>
              <w:rPr>
                <w:rFonts w:ascii="Arial" w:hAnsi="Arial" w:cs="Arial"/>
                <w:b/>
                <w:bCs/>
                <w:kern w:val="0"/>
                <w:sz w:val="22"/>
                <w:szCs w:val="22"/>
              </w:rPr>
            </w:pPr>
            <w:r w:rsidRPr="00835E87">
              <w:rPr>
                <w:rFonts w:ascii="Arial" w:hAnsi="Arial" w:cs="Arial"/>
                <w:b/>
                <w:bCs/>
                <w:kern w:val="0"/>
                <w:sz w:val="22"/>
                <w:szCs w:val="22"/>
              </w:rPr>
              <w:t>Likely</w:t>
            </w:r>
            <w:r w:rsidRPr="00835E87">
              <w:rPr>
                <w:rFonts w:ascii="Arial" w:hAnsi="Arial" w:cs="Arial"/>
                <w:b/>
                <w:bCs/>
                <w:spacing w:val="-16"/>
                <w:kern w:val="0"/>
                <w:sz w:val="22"/>
                <w:szCs w:val="22"/>
              </w:rPr>
              <w:t xml:space="preserve"> </w:t>
            </w:r>
            <w:r w:rsidRPr="00835E87">
              <w:rPr>
                <w:rFonts w:ascii="Arial" w:hAnsi="Arial" w:cs="Arial"/>
                <w:b/>
                <w:bCs/>
                <w:kern w:val="0"/>
                <w:sz w:val="22"/>
                <w:szCs w:val="22"/>
              </w:rPr>
              <w:t>Jurisdiction</w:t>
            </w:r>
            <w:r w:rsidRPr="00835E87">
              <w:rPr>
                <w:rFonts w:ascii="Arial" w:hAnsi="Arial" w:cs="Arial"/>
                <w:b/>
                <w:bCs/>
                <w:spacing w:val="-15"/>
                <w:kern w:val="0"/>
                <w:sz w:val="22"/>
                <w:szCs w:val="22"/>
              </w:rPr>
              <w:t xml:space="preserve"> </w:t>
            </w:r>
            <w:r w:rsidRPr="00835E87">
              <w:rPr>
                <w:rFonts w:ascii="Arial" w:hAnsi="Arial" w:cs="Arial"/>
                <w:b/>
                <w:bCs/>
                <w:kern w:val="0"/>
                <w:sz w:val="22"/>
                <w:szCs w:val="22"/>
              </w:rPr>
              <w:t>for Cost Recovery</w:t>
            </w:r>
          </w:p>
        </w:tc>
      </w:tr>
      <w:tr w:rsidRPr="00835E87" w:rsidR="00835E87" w:rsidTr="00835E87" w14:paraId="5F2FBFBF" w14:textId="77777777">
        <w:trPr>
          <w:trHeight w:val="492"/>
        </w:trPr>
        <w:tc>
          <w:tcPr>
            <w:tcW w:w="6091" w:type="dxa"/>
            <w:tcBorders>
              <w:top w:val="single" w:color="auto" w:sz="4" w:space="0"/>
              <w:left w:val="single" w:color="000000" w:sz="8" w:space="0"/>
              <w:bottom w:val="single" w:color="000000" w:sz="8" w:space="0"/>
              <w:right w:val="single" w:color="000000" w:sz="8" w:space="0"/>
            </w:tcBorders>
          </w:tcPr>
          <w:p w:rsidRPr="00835E87" w:rsidR="00835E87" w:rsidP="00835E87" w:rsidRDefault="00835E87" w14:paraId="3C503CE7"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Substation Facilities</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D3D2E8D"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FERC</w:t>
            </w:r>
          </w:p>
        </w:tc>
      </w:tr>
      <w:tr w:rsidRPr="00835E87" w:rsidR="00835E87" w14:paraId="1954028C"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45DBEB36"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20DB54E1"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78F1B3FC"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46F28149"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056B1D9"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7DE19C69"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B92C8CC"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92E3CDB" w14:textId="77777777">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r w:rsidRPr="00835E87" w:rsidR="00835E87" w:rsidTr="00835E87" w14:paraId="6D7A4E85"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33A55EA"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FFECFE4" w14:textId="77777777">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bl>
    <w:p w:rsidRPr="00197910" w:rsidR="002628E4" w:rsidP="00391E1E" w:rsidRDefault="002628E4" w14:paraId="0823255A" w14:textId="77777777">
      <w:pPr>
        <w:spacing w:after="0" w:line="240" w:lineRule="auto"/>
        <w:rPr>
          <w:rFonts w:ascii="Palatino Linotype" w:hAnsi="Palatino Linotype" w:eastAsia="Times New Roman" w:cs="Times New Roman"/>
          <w:kern w:val="0"/>
          <w14:ligatures w14:val="none"/>
        </w:rPr>
      </w:pPr>
    </w:p>
    <w:p w:rsidR="00197910" w:rsidP="00A76F4A" w:rsidRDefault="00197910" w14:paraId="475CA9DD" w14:textId="77777777">
      <w:pPr>
        <w:spacing w:after="0" w:line="240" w:lineRule="auto"/>
        <w:rPr>
          <w:rFonts w:ascii="Palatino Linotype" w:hAnsi="Palatino Linotype" w:eastAsia="Palatino Linotype" w:cs="Times New Roman"/>
          <w:b/>
          <w:kern w:val="0"/>
          <w:u w:val="single"/>
          <w14:ligatures w14:val="none"/>
        </w:rPr>
      </w:pPr>
    </w:p>
    <w:p w:rsidRPr="008F34BE" w:rsidR="00674D4A" w:rsidP="00674D4A" w:rsidRDefault="00674D4A" w14:paraId="48ED57A7" w14:textId="77777777">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Rule 30 Application – A. 24-11-007</w:t>
      </w:r>
    </w:p>
    <w:p w:rsidRPr="008F34BE" w:rsidR="00674D4A" w:rsidP="00674D4A" w:rsidRDefault="00674D4A" w14:paraId="54488FBD" w14:textId="77777777">
      <w:pPr>
        <w:spacing w:after="0" w:line="240" w:lineRule="auto"/>
        <w:rPr>
          <w:rFonts w:ascii="Palatino Linotype" w:hAnsi="Palatino Linotype" w:eastAsia="Times New Roman" w:cs="Times New Roman"/>
          <w:b/>
          <w:bCs/>
          <w:kern w:val="0"/>
          <w14:ligatures w14:val="none"/>
        </w:rPr>
      </w:pPr>
    </w:p>
    <w:p w:rsidRPr="008F34BE" w:rsidR="00674D4A" w:rsidP="00A76F4A" w:rsidRDefault="00674D4A" w14:paraId="7EBF18FA"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In A. 24-11-007, the Commission is currently considering a standard rule to address this kind of large-load energization at the transmission level for the PG&amp;E territory. On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July 28, 2025, Decision 25-07-039 was issued in that proceeding, partly granting and partly denying PG&amp;E’s request for interim implementation of the proposed Rule 30. </w:t>
      </w:r>
    </w:p>
    <w:p w:rsidRPr="008F34BE" w:rsidR="00674D4A" w:rsidP="00A76F4A" w:rsidRDefault="00674D4A" w14:paraId="042E2E6D" w14:textId="77777777">
      <w:pPr>
        <w:spacing w:after="0" w:line="240" w:lineRule="auto"/>
        <w:rPr>
          <w:rFonts w:ascii="Palatino Linotype" w:hAnsi="Palatino Linotype" w:eastAsia="Palatino Linotype" w:cs="Times New Roman"/>
          <w:b/>
          <w:kern w:val="0"/>
          <w:u w:val="single"/>
          <w14:ligatures w14:val="none"/>
        </w:rPr>
      </w:pPr>
    </w:p>
    <w:p w:rsidRPr="008F34BE" w:rsidR="00A76F4A" w:rsidP="00A76F4A" w:rsidRDefault="00A76F4A" w14:paraId="7AB7CBF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Notice</w:t>
      </w:r>
    </w:p>
    <w:p w:rsidRPr="008F34BE" w:rsidR="00EB2343" w:rsidP="00A76F4A" w:rsidRDefault="00A76F4A" w14:paraId="78187754"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Notice of A</w:t>
      </w:r>
      <w:r w:rsidRPr="008F34BE" w:rsidR="00280F35">
        <w:rPr>
          <w:rFonts w:ascii="Palatino Linotype" w:hAnsi="Palatino Linotype" w:eastAsia="Palatino Linotype" w:cs="Times New Roman"/>
          <w:kern w:val="0"/>
          <w14:ligatures w14:val="none"/>
        </w:rPr>
        <w:t xml:space="preserve">dvice </w:t>
      </w:r>
      <w:r w:rsidRPr="008F34BE">
        <w:rPr>
          <w:rFonts w:ascii="Palatino Linotype" w:hAnsi="Palatino Linotype" w:eastAsia="Palatino Linotype" w:cs="Times New Roman"/>
          <w:kern w:val="0"/>
          <w14:ligatures w14:val="none"/>
        </w:rPr>
        <w:t>L</w:t>
      </w:r>
      <w:r w:rsidRPr="008F34BE" w:rsidR="00280F35">
        <w:rPr>
          <w:rFonts w:ascii="Palatino Linotype" w:hAnsi="Palatino Linotype" w:eastAsia="Palatino Linotype" w:cs="Times New Roman"/>
          <w:kern w:val="0"/>
          <w14:ligatures w14:val="none"/>
        </w:rPr>
        <w:t>etter (AL)</w:t>
      </w:r>
      <w:r w:rsidRPr="008F34BE">
        <w:rPr>
          <w:rFonts w:ascii="Palatino Linotype" w:hAnsi="Palatino Linotype" w:eastAsia="Palatino Linotype" w:cs="Times New Roman"/>
          <w:kern w:val="0"/>
          <w14:ligatures w14:val="none"/>
        </w:rPr>
        <w:t xml:space="preserve"> </w:t>
      </w:r>
      <w:r w:rsidRPr="008F34BE" w:rsidR="00414E41">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made by publication in the </w:t>
      </w:r>
      <w:r w:rsidR="003B63D4">
        <w:rPr>
          <w:rFonts w:ascii="Palatino Linotype" w:hAnsi="Palatino Linotype" w:eastAsia="Palatino Linotype" w:cs="Times New Roman"/>
          <w:kern w:val="0"/>
          <w14:ligatures w14:val="none"/>
        </w:rPr>
        <w:br/>
      </w:r>
      <w:r w:rsidRPr="008F34BE">
        <w:rPr>
          <w:rFonts w:ascii="Palatino Linotype" w:hAnsi="Palatino Linotype" w:eastAsia="Palatino Linotype" w:cs="Times New Roman"/>
          <w:kern w:val="0"/>
          <w14:ligatures w14:val="none"/>
        </w:rPr>
        <w:t xml:space="preserve">Commission’s Daily Calendar.  </w:t>
      </w:r>
      <w:r w:rsidRPr="008F34BE" w:rsidR="0059603A">
        <w:rPr>
          <w:rFonts w:ascii="Palatino Linotype" w:hAnsi="Palatino Linotype" w:eastAsia="Palatino Linotype" w:cs="Times New Roman"/>
          <w:kern w:val="0"/>
          <w14:ligatures w14:val="none"/>
        </w:rPr>
        <w:t>PG&amp;E</w:t>
      </w:r>
      <w:r w:rsidRPr="008F34BE">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w:t>
      </w:r>
    </w:p>
    <w:p w:rsidRPr="008F34BE" w:rsidR="00EB2343" w:rsidP="00A76F4A" w:rsidRDefault="00EB2343" w14:paraId="5DA6BF22"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F07E9B" w14:paraId="60FF71A9"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PG&amp;E also served this AL filing on the Service List for A. </w:t>
      </w:r>
      <w:r w:rsidRPr="008F34BE" w:rsidR="00EB2343">
        <w:rPr>
          <w:rFonts w:ascii="Palatino Linotype" w:hAnsi="Palatino Linotype" w:eastAsia="Palatino Linotype" w:cs="Times New Roman"/>
          <w:kern w:val="0"/>
          <w14:ligatures w14:val="none"/>
        </w:rPr>
        <w:t>24-11-007: Application of Pacific Gas and Electric Company (U39E) for Approval of Electric Rule No. 30 for Transmission-Level Retail Electric Service and Microsoft.</w:t>
      </w:r>
    </w:p>
    <w:p w:rsidRPr="008F34BE" w:rsidR="00A76F4A" w:rsidP="00A76F4A" w:rsidRDefault="00A76F4A" w14:paraId="42B85954"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3547CBC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Protests</w:t>
      </w:r>
    </w:p>
    <w:p w:rsidRPr="008F34BE" w:rsidR="00A76F4A" w:rsidP="00A76F4A" w:rsidRDefault="00A76F4A" w14:paraId="1E623A9C"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Advice Letter </w:t>
      </w:r>
      <w:r w:rsidRPr="008F34BE" w:rsidR="002A3E3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not protested.  </w:t>
      </w:r>
    </w:p>
    <w:p w:rsidRPr="008F34BE" w:rsidR="00A76F4A" w:rsidP="00A76F4A" w:rsidRDefault="00A76F4A" w14:paraId="396F42EC"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7C671FD0"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Discussion</w:t>
      </w:r>
    </w:p>
    <w:p w:rsidRPr="008F34BE" w:rsidR="009556D1" w:rsidP="00A76F4A" w:rsidRDefault="00333EFD" w14:paraId="1B3C64BA"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Commission has reviewed Advice Letter (AL) 7635-E and </w:t>
      </w:r>
      <w:r w:rsidRPr="008F34BE" w:rsidR="00FD7D1C">
        <w:rPr>
          <w:rFonts w:ascii="Palatino Linotype" w:hAnsi="Palatino Linotype" w:eastAsia="Palatino Linotype" w:cs="Times New Roman"/>
          <w:kern w:val="0"/>
          <w14:ligatures w14:val="none"/>
        </w:rPr>
        <w:t>finds that the relief requested by Pacific Gas and Electric</w:t>
      </w:r>
      <w:r w:rsidR="00B21370">
        <w:rPr>
          <w:rFonts w:ascii="Palatino Linotype" w:hAnsi="Palatino Linotype" w:eastAsia="Palatino Linotype" w:cs="Times New Roman"/>
          <w:kern w:val="0"/>
          <w14:ligatures w14:val="none"/>
        </w:rPr>
        <w:t xml:space="preserve"> Company</w:t>
      </w:r>
      <w:r w:rsidRPr="008F34BE" w:rsidR="00FD7D1C">
        <w:rPr>
          <w:rFonts w:ascii="Palatino Linotype" w:hAnsi="Palatino Linotype" w:eastAsia="Palatino Linotype" w:cs="Times New Roman"/>
          <w:kern w:val="0"/>
          <w14:ligatures w14:val="none"/>
        </w:rPr>
        <w:t xml:space="preserve"> (PG&amp;E) is reasonable, with some modifications.</w:t>
      </w:r>
    </w:p>
    <w:p w:rsidRPr="008F34BE" w:rsidR="00B85CCE" w:rsidP="00A76F4A" w:rsidRDefault="0062742C" w14:paraId="76F0F847"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 </w:t>
      </w:r>
    </w:p>
    <w:p w:rsidRPr="008F34BE" w:rsidR="00333EFD" w:rsidP="00A76F4A" w:rsidRDefault="00BB22FE" w14:paraId="1571AB4A" w14:textId="77777777">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kern w:val="0"/>
          <w14:ligatures w14:val="none"/>
        </w:rPr>
        <w:t xml:space="preserve">The discussion is divided into </w:t>
      </w:r>
      <w:r w:rsidRPr="008F34BE" w:rsidR="00B25771">
        <w:rPr>
          <w:rFonts w:ascii="Palatino Linotype" w:hAnsi="Palatino Linotype" w:eastAsia="Palatino Linotype" w:cs="Times New Roman"/>
          <w:kern w:val="0"/>
          <w14:ligatures w14:val="none"/>
        </w:rPr>
        <w:t>four</w:t>
      </w:r>
      <w:r w:rsidRPr="008F34BE">
        <w:rPr>
          <w:rFonts w:ascii="Palatino Linotype" w:hAnsi="Palatino Linotype" w:eastAsia="Palatino Linotype" w:cs="Times New Roman"/>
          <w:kern w:val="0"/>
          <w14:ligatures w14:val="none"/>
        </w:rPr>
        <w:t xml:space="preserve"> sections: </w:t>
      </w:r>
      <w:r w:rsidRPr="008F34BE" w:rsidR="00A81F02">
        <w:rPr>
          <w:rFonts w:ascii="Palatino Linotype" w:hAnsi="Palatino Linotype" w:eastAsia="Palatino Linotype" w:cs="Times New Roman"/>
          <w:kern w:val="0"/>
          <w14:ligatures w14:val="none"/>
        </w:rPr>
        <w:t xml:space="preserve">Procedural Matters, </w:t>
      </w:r>
      <w:r w:rsidRPr="008F34BE">
        <w:rPr>
          <w:rFonts w:ascii="Palatino Linotype" w:hAnsi="Palatino Linotype" w:eastAsia="Palatino Linotype" w:cs="Times New Roman"/>
          <w:kern w:val="0"/>
          <w14:ligatures w14:val="none"/>
        </w:rPr>
        <w:t xml:space="preserve">Refundable Amount and the Base Annual Revenue Calculation </w:t>
      </w:r>
      <w:r w:rsidRPr="008F34BE" w:rsidR="005C4AC9">
        <w:rPr>
          <w:rFonts w:ascii="Palatino Linotype" w:hAnsi="Palatino Linotype" w:eastAsia="Palatino Linotype" w:cs="Times New Roman"/>
          <w:kern w:val="0"/>
          <w14:ligatures w14:val="none"/>
        </w:rPr>
        <w:t xml:space="preserve">Refund </w:t>
      </w:r>
      <w:r w:rsidRPr="008F34BE">
        <w:rPr>
          <w:rFonts w:ascii="Palatino Linotype" w:hAnsi="Palatino Linotype" w:eastAsia="Palatino Linotype" w:cs="Times New Roman"/>
          <w:kern w:val="0"/>
          <w14:ligatures w14:val="none"/>
        </w:rPr>
        <w:t xml:space="preserve">Process, </w:t>
      </w:r>
      <w:r w:rsidRPr="008F34BE" w:rsidR="00B25771">
        <w:rPr>
          <w:rFonts w:ascii="Palatino Linotype" w:hAnsi="Palatino Linotype" w:eastAsia="Palatino Linotype" w:cs="Times New Roman"/>
          <w:kern w:val="0"/>
          <w14:ligatures w14:val="none"/>
        </w:rPr>
        <w:t>Non-Controversial Requested Tariff Deviations, and Matters not Requiring a Tariff Deviation.</w:t>
      </w:r>
    </w:p>
    <w:p w:rsidRPr="008F34BE" w:rsidR="00737D08" w:rsidP="00A76F4A" w:rsidRDefault="00737D08" w14:paraId="44C4F426"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52D72D78" w14:textId="77777777">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Procedural Matters</w:t>
      </w:r>
    </w:p>
    <w:p w:rsidRPr="008F34BE" w:rsidR="00A81F02" w:rsidP="00A81F02" w:rsidRDefault="00A81F02" w14:paraId="23F8425E"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0616C799"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PG&amp;E</w:t>
      </w:r>
      <w:r w:rsidRPr="008F34BE">
        <w:rPr>
          <w:rFonts w:ascii="Palatino Linotype" w:hAnsi="Palatino Linotype" w:eastAsia="Times New Roman" w:cs="Times New Roman"/>
          <w:kern w:val="0"/>
          <w14:ligatures w14:val="none"/>
        </w:rPr>
        <w:t xml:space="preserve"> filed AL 7635-E on July 1, 2025, with a request that the submittal be effective pending Commission approval. The Commission suspended the AL starting on July 31</w:t>
      </w:r>
      <w:r w:rsidRPr="008F34BE">
        <w:rPr>
          <w:rFonts w:ascii="Palatino Linotype" w:hAnsi="Palatino Linotype" w:eastAsia="Times New Roman" w:cs="Times New Roman"/>
          <w:kern w:val="0"/>
          <w:vertAlign w:val="superscript"/>
          <w14:ligatures w14:val="none"/>
        </w:rPr>
        <w:t>st</w:t>
      </w:r>
      <w:r w:rsidRPr="008F34BE">
        <w:rPr>
          <w:rFonts w:ascii="Palatino Linotype" w:hAnsi="Palatino Linotype" w:eastAsia="Times New Roman" w:cs="Times New Roman"/>
          <w:kern w:val="0"/>
          <w14:ligatures w14:val="none"/>
        </w:rPr>
        <w:t xml:space="preserve"> (the 30</w:t>
      </w:r>
      <w:r w:rsidRPr="008F34BE">
        <w:rPr>
          <w:rFonts w:ascii="Palatino Linotype" w:hAnsi="Palatino Linotype" w:eastAsia="Times New Roman" w:cs="Times New Roman"/>
          <w:kern w:val="0"/>
          <w:vertAlign w:val="superscript"/>
          <w14:ligatures w14:val="none"/>
        </w:rPr>
        <w:t>th</w:t>
      </w:r>
      <w:r w:rsidRPr="008F34BE">
        <w:rPr>
          <w:rFonts w:ascii="Palatino Linotype" w:hAnsi="Palatino Linotype" w:eastAsia="Times New Roman" w:cs="Times New Roman"/>
          <w:kern w:val="0"/>
          <w14:ligatures w14:val="none"/>
        </w:rPr>
        <w:t xml:space="preserve"> day after submission to account for the 20-day comment period and the 10-day reply period). This AL filing was not prepared in </w:t>
      </w:r>
      <w:r w:rsidRPr="008F34BE" w:rsidR="00990F54">
        <w:rPr>
          <w:rFonts w:ascii="Palatino Linotype" w:hAnsi="Palatino Linotype" w:eastAsia="Times New Roman" w:cs="Times New Roman"/>
        </w:rPr>
        <w:t>response to any</w:t>
      </w:r>
      <w:r w:rsidRPr="008F34BE">
        <w:rPr>
          <w:rFonts w:ascii="Palatino Linotype" w:hAnsi="Palatino Linotype" w:eastAsia="Times New Roman" w:cs="Times New Roman"/>
          <w:kern w:val="0"/>
          <w14:ligatures w14:val="none"/>
        </w:rPr>
        <w:t xml:space="preserve"> Commission Decision or Order.</w:t>
      </w:r>
    </w:p>
    <w:p w:rsidRPr="008F34BE" w:rsidR="00A81F02" w:rsidP="00A81F02" w:rsidRDefault="00A81F02" w14:paraId="32F3FBF2"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551531B4"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This AL filing included a submittal of contracts and </w:t>
      </w:r>
      <w:r w:rsidRPr="008F34BE" w:rsidR="00EE3FE1">
        <w:rPr>
          <w:rFonts w:ascii="Palatino Linotype" w:hAnsi="Palatino Linotype" w:eastAsia="Palatino Linotype" w:cs="Times New Roman"/>
          <w:kern w:val="0"/>
          <w14:ligatures w14:val="none"/>
        </w:rPr>
        <w:t>requested</w:t>
      </w:r>
      <w:r w:rsidRPr="008F34BE">
        <w:rPr>
          <w:rFonts w:ascii="Palatino Linotype" w:hAnsi="Palatino Linotype" w:eastAsia="Palatino Linotype" w:cs="Times New Roman"/>
          <w:kern w:val="0"/>
          <w14:ligatures w14:val="none"/>
        </w:rPr>
        <w:t xml:space="preserve"> deviations from established Commission-approved Tariffs (namely Electric Rules 2, 15, and 16). Under General Order (GO) 96-B, Energy Industry Rule 5.3(5), both a submittal of a contract and a deviation are matters appropriate to a Tier 3 Advice Letter.</w:t>
      </w:r>
      <w:r w:rsidRPr="008F34BE">
        <w:rPr>
          <w:rStyle w:val="FootnoteReference"/>
          <w:rFonts w:ascii="Palatino Linotype" w:hAnsi="Palatino Linotype" w:eastAsia="Palatino Linotype" w:cs="Times New Roman"/>
          <w:kern w:val="0"/>
          <w14:ligatures w14:val="none"/>
        </w:rPr>
        <w:footnoteReference w:id="7"/>
      </w:r>
      <w:r w:rsidRPr="008F34BE">
        <w:rPr>
          <w:rFonts w:ascii="Palatino Linotype" w:hAnsi="Palatino Linotype" w:eastAsia="Palatino Linotype" w:cs="Times New Roman"/>
          <w:kern w:val="0"/>
          <w14:ligatures w14:val="none"/>
        </w:rPr>
        <w:t xml:space="preserve"> Thus we find that PG&amp;E filing this AL with a Tier 3 designation is reasonable.</w:t>
      </w:r>
    </w:p>
    <w:p w:rsidRPr="008F34BE" w:rsidR="00A81F02" w:rsidP="00A76F4A" w:rsidRDefault="00A81F02" w14:paraId="2920A879" w14:textId="77777777">
      <w:pPr>
        <w:spacing w:after="0" w:line="240" w:lineRule="auto"/>
        <w:rPr>
          <w:rFonts w:ascii="Palatino Linotype" w:hAnsi="Palatino Linotype" w:eastAsia="Palatino Linotype" w:cs="Times New Roman"/>
          <w:kern w:val="0"/>
          <w14:ligatures w14:val="none"/>
        </w:rPr>
      </w:pPr>
    </w:p>
    <w:p w:rsidRPr="008F34BE" w:rsidR="00B25771" w:rsidP="00091DF4" w:rsidRDefault="00B25771" w14:paraId="64EBFAE1" w14:textId="77777777">
      <w:pPr>
        <w:keepNext/>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 xml:space="preserve">Refundable Amount and the Base Annual Revenue Calculation </w:t>
      </w:r>
      <w:r w:rsidRPr="008F34BE" w:rsidR="005C4AC9">
        <w:rPr>
          <w:rFonts w:ascii="Palatino Linotype" w:hAnsi="Palatino Linotype" w:eastAsia="Palatino Linotype" w:cs="Times New Roman"/>
          <w:b/>
          <w:bCs/>
          <w:kern w:val="0"/>
          <w14:ligatures w14:val="none"/>
        </w:rPr>
        <w:t xml:space="preserve">Refund </w:t>
      </w:r>
      <w:r w:rsidRPr="008F34BE">
        <w:rPr>
          <w:rFonts w:ascii="Palatino Linotype" w:hAnsi="Palatino Linotype" w:eastAsia="Palatino Linotype" w:cs="Times New Roman"/>
          <w:b/>
          <w:bCs/>
          <w:kern w:val="0"/>
          <w14:ligatures w14:val="none"/>
        </w:rPr>
        <w:t>Process</w:t>
      </w:r>
    </w:p>
    <w:p w:rsidRPr="008F34BE" w:rsidR="00B25771" w:rsidP="00091DF4" w:rsidRDefault="00B25771" w14:paraId="4C046A2C" w14:textId="77777777">
      <w:pPr>
        <w:keepNext/>
        <w:spacing w:after="0" w:line="240" w:lineRule="auto"/>
        <w:rPr>
          <w:rFonts w:ascii="Palatino Linotype" w:hAnsi="Palatino Linotype" w:eastAsia="Palatino Linotype" w:cs="Times New Roman"/>
          <w:kern w:val="0"/>
          <w14:ligatures w14:val="none"/>
        </w:rPr>
      </w:pPr>
    </w:p>
    <w:p w:rsidRPr="008F34BE" w:rsidR="002E0FA4" w:rsidP="00091DF4" w:rsidRDefault="002C35B4" w14:paraId="6069EB0E" w14:textId="77777777">
      <w:pPr>
        <w:keepNext/>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Section, we discus</w:t>
      </w:r>
      <w:r w:rsidRPr="008F34BE" w:rsidR="00CB11F8">
        <w:rPr>
          <w:rFonts w:ascii="Palatino Linotype" w:hAnsi="Palatino Linotype" w:eastAsia="Palatino Linotype" w:cs="Times New Roman"/>
          <w:kern w:val="0"/>
          <w14:ligatures w14:val="none"/>
        </w:rPr>
        <w:t>s</w:t>
      </w:r>
      <w:r w:rsidRPr="008F34BE" w:rsidR="005C4AC9">
        <w:rPr>
          <w:rFonts w:ascii="Palatino Linotype" w:hAnsi="Palatino Linotype" w:eastAsia="Palatino Linotype" w:cs="Times New Roman"/>
          <w:kern w:val="0"/>
          <w14:ligatures w14:val="none"/>
        </w:rPr>
        <w:t xml:space="preserve"> the reasonableness of the amount PG&amp;E proposed should be refundable and</w:t>
      </w:r>
      <w:r w:rsidRPr="008F34BE" w:rsidR="00764A80">
        <w:rPr>
          <w:rFonts w:ascii="Palatino Linotype" w:hAnsi="Palatino Linotype" w:eastAsia="Palatino Linotype" w:cs="Times New Roman"/>
          <w:kern w:val="0"/>
          <w14:ligatures w14:val="none"/>
        </w:rPr>
        <w:t xml:space="preserve"> reasonable modifications to the Base Annual Revenue Calculation (BARC) refund process</w:t>
      </w:r>
      <w:r w:rsidRPr="008F34BE" w:rsidR="00FB2627">
        <w:rPr>
          <w:rFonts w:ascii="Palatino Linotype" w:hAnsi="Palatino Linotype" w:eastAsia="Palatino Linotype" w:cs="Times New Roman"/>
          <w:kern w:val="0"/>
          <w14:ligatures w14:val="none"/>
        </w:rPr>
        <w:t xml:space="preserve"> for this case.</w:t>
      </w:r>
    </w:p>
    <w:p w:rsidRPr="008F34BE" w:rsidR="0003326E" w:rsidP="00A76F4A" w:rsidRDefault="0003326E" w14:paraId="5A6B6674" w14:textId="77777777">
      <w:pPr>
        <w:spacing w:after="0" w:line="240" w:lineRule="auto"/>
        <w:rPr>
          <w:rFonts w:ascii="Palatino Linotype" w:hAnsi="Palatino Linotype" w:eastAsia="Palatino Linotype" w:cs="Times New Roman"/>
          <w:kern w:val="0"/>
          <w14:ligatures w14:val="none"/>
        </w:rPr>
      </w:pPr>
    </w:p>
    <w:p w:rsidRPr="008F34BE" w:rsidR="0003326E" w:rsidP="00A76F4A" w:rsidRDefault="00681890" w14:paraId="65465F55"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Base Annual Revenue Calculation Refund Process Overview</w:t>
      </w:r>
    </w:p>
    <w:p w:rsidRPr="008F34BE" w:rsidR="00681890" w:rsidP="00A76F4A" w:rsidRDefault="00681890" w14:paraId="57C42EFF" w14:textId="77777777">
      <w:pPr>
        <w:spacing w:after="0" w:line="240" w:lineRule="auto"/>
        <w:rPr>
          <w:rFonts w:ascii="Palatino Linotype" w:hAnsi="Palatino Linotype" w:eastAsia="Palatino Linotype" w:cs="Times New Roman"/>
          <w:kern w:val="0"/>
          <w14:ligatures w14:val="none"/>
        </w:rPr>
      </w:pPr>
    </w:p>
    <w:p w:rsidRPr="008F34BE" w:rsidR="00DC53BF" w:rsidP="0035683C" w:rsidRDefault="003A2BD9" w14:paraId="1C4BD4CA"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PG&amp;E’s Electric Rule 15 Tariff outlines the standard process by which a customer is refunded for </w:t>
      </w:r>
      <w:r w:rsidRPr="008F34BE" w:rsidR="00AE5AF7">
        <w:rPr>
          <w:rFonts w:ascii="Palatino Linotype" w:hAnsi="Palatino Linotype" w:eastAsia="Times New Roman" w:cs="Times New Roman"/>
          <w:kern w:val="0"/>
          <w14:ligatures w14:val="none"/>
        </w:rPr>
        <w:t>upfront</w:t>
      </w:r>
      <w:r w:rsidRPr="008F34BE" w:rsidR="00C478E7">
        <w:rPr>
          <w:rFonts w:ascii="Palatino Linotype" w:hAnsi="Palatino Linotype" w:eastAsia="Times New Roman" w:cs="Times New Roman"/>
          <w:kern w:val="0"/>
          <w14:ligatures w14:val="none"/>
        </w:rPr>
        <w:t xml:space="preserve"> payments made to cover direct cost</w:t>
      </w:r>
      <w:r w:rsidRPr="008F34BE" w:rsidR="0084401F">
        <w:rPr>
          <w:rFonts w:ascii="Palatino Linotype" w:hAnsi="Palatino Linotype" w:eastAsia="Times New Roman" w:cs="Times New Roman"/>
          <w:kern w:val="0"/>
          <w14:ligatures w14:val="none"/>
        </w:rPr>
        <w:t>s</w:t>
      </w:r>
      <w:r w:rsidRPr="008F34BE" w:rsidR="00C478E7">
        <w:rPr>
          <w:rFonts w:ascii="Palatino Linotype" w:hAnsi="Palatino Linotype" w:eastAsia="Times New Roman" w:cs="Times New Roman"/>
          <w:kern w:val="0"/>
          <w14:ligatures w14:val="none"/>
        </w:rPr>
        <w:t xml:space="preserve"> of energization</w:t>
      </w:r>
      <w:r w:rsidRPr="008F34BE" w:rsidR="0084401F">
        <w:rPr>
          <w:rFonts w:ascii="Palatino Linotype" w:hAnsi="Palatino Linotype" w:eastAsia="Times New Roman" w:cs="Times New Roman"/>
          <w:kern w:val="0"/>
          <w14:ligatures w14:val="none"/>
        </w:rPr>
        <w:t xml:space="preserve"> (i.e., </w:t>
      </w:r>
      <w:r w:rsidRPr="008F34BE" w:rsidR="00283D4F">
        <w:rPr>
          <w:rFonts w:ascii="Palatino Linotype" w:hAnsi="Palatino Linotype" w:eastAsia="Times New Roman" w:cs="Times New Roman"/>
          <w:kern w:val="0"/>
          <w14:ligatures w14:val="none"/>
        </w:rPr>
        <w:t>cabling and structures)</w:t>
      </w:r>
      <w:r w:rsidRPr="008F34BE" w:rsidR="00C478E7">
        <w:rPr>
          <w:rFonts w:ascii="Palatino Linotype" w:hAnsi="Palatino Linotype" w:eastAsia="Times New Roman" w:cs="Times New Roman"/>
          <w:kern w:val="0"/>
          <w14:ligatures w14:val="none"/>
        </w:rPr>
        <w:t>.</w:t>
      </w:r>
      <w:r w:rsidRPr="008F34BE" w:rsidR="0086419E">
        <w:rPr>
          <w:rFonts w:ascii="Palatino Linotype" w:hAnsi="Palatino Linotype" w:eastAsia="Times New Roman" w:cs="Times New Roman"/>
          <w:kern w:val="0"/>
          <w14:ligatures w14:val="none"/>
        </w:rPr>
        <w:t xml:space="preserve"> This is known as the </w:t>
      </w:r>
      <w:r w:rsidRPr="008F34BE" w:rsidR="00030D90">
        <w:rPr>
          <w:rFonts w:ascii="Palatino Linotype" w:hAnsi="Palatino Linotype" w:eastAsia="Times New Roman" w:cs="Times New Roman"/>
          <w:kern w:val="0"/>
          <w14:ligatures w14:val="none"/>
        </w:rPr>
        <w:t>Base Annual Revenue Calculation (BARC) refund process</w:t>
      </w:r>
      <w:r w:rsidRPr="008F34BE" w:rsidR="00F50B76">
        <w:rPr>
          <w:rFonts w:ascii="Palatino Linotype" w:hAnsi="Palatino Linotype" w:eastAsia="Times New Roman" w:cs="Times New Roman"/>
          <w:kern w:val="0"/>
          <w14:ligatures w14:val="none"/>
        </w:rPr>
        <w:t>.</w:t>
      </w:r>
      <w:r w:rsidRPr="008F34BE" w:rsidR="00F50B76">
        <w:rPr>
          <w:rStyle w:val="FootnoteReference"/>
          <w:rFonts w:ascii="Palatino Linotype" w:hAnsi="Palatino Linotype" w:eastAsia="Times New Roman" w:cs="Times New Roman"/>
          <w:kern w:val="0"/>
          <w14:ligatures w14:val="none"/>
        </w:rPr>
        <w:footnoteReference w:id="8"/>
      </w:r>
      <w:r w:rsidRPr="008F34BE" w:rsidR="00DC53BF">
        <w:rPr>
          <w:rFonts w:ascii="Palatino Linotype" w:hAnsi="Palatino Linotype" w:eastAsia="Times New Roman" w:cs="Times New Roman"/>
          <w:kern w:val="0"/>
          <w14:ligatures w14:val="none"/>
        </w:rPr>
        <w:t xml:space="preserve"> </w:t>
      </w:r>
      <w:r w:rsidRPr="008F34BE" w:rsidR="00F058AA">
        <w:rPr>
          <w:rFonts w:ascii="Palatino Linotype" w:hAnsi="Palatino Linotype" w:eastAsia="Times New Roman" w:cs="Times New Roman"/>
          <w:kern w:val="0"/>
          <w14:ligatures w14:val="none"/>
        </w:rPr>
        <w:t>In the standard BARC refund process, t</w:t>
      </w:r>
      <w:r w:rsidRPr="008F34BE" w:rsidR="0035683C">
        <w:rPr>
          <w:rFonts w:ascii="Palatino Linotype" w:hAnsi="Palatino Linotype" w:eastAsia="Times New Roman" w:cs="Times New Roman"/>
          <w:kern w:val="0"/>
          <w14:ligatures w14:val="none"/>
        </w:rPr>
        <w:t>h</w:t>
      </w:r>
      <w:r w:rsidRPr="008F34BE" w:rsidR="00765840">
        <w:rPr>
          <w:rFonts w:ascii="Palatino Linotype" w:hAnsi="Palatino Linotype" w:eastAsia="Times New Roman" w:cs="Times New Roman"/>
          <w:kern w:val="0"/>
          <w14:ligatures w14:val="none"/>
        </w:rPr>
        <w:t>e</w:t>
      </w:r>
      <w:r w:rsidRPr="008F34BE" w:rsidR="00DC53BF">
        <w:rPr>
          <w:rFonts w:ascii="Palatino Linotype" w:hAnsi="Palatino Linotype" w:eastAsia="Times New Roman" w:cs="Times New Roman"/>
          <w:kern w:val="0"/>
          <w14:ligatures w14:val="none"/>
        </w:rPr>
        <w:t xml:space="preserve"> </w:t>
      </w:r>
      <w:r w:rsidRPr="008F34BE" w:rsidR="009C762C">
        <w:rPr>
          <w:rFonts w:ascii="Palatino Linotype" w:hAnsi="Palatino Linotype" w:eastAsia="Times New Roman" w:cs="Times New Roman"/>
          <w:kern w:val="0"/>
          <w14:ligatures w14:val="none"/>
        </w:rPr>
        <w:t>up</w:t>
      </w:r>
      <w:r w:rsidRPr="008F34BE" w:rsidR="0035683C">
        <w:rPr>
          <w:rFonts w:ascii="Palatino Linotype" w:hAnsi="Palatino Linotype" w:eastAsia="Times New Roman" w:cs="Times New Roman"/>
          <w:kern w:val="0"/>
          <w14:ligatures w14:val="none"/>
        </w:rPr>
        <w:t>front</w:t>
      </w:r>
      <w:r w:rsidRPr="008F34BE" w:rsidR="00A81379">
        <w:rPr>
          <w:rFonts w:ascii="Palatino Linotype" w:hAnsi="Palatino Linotype" w:eastAsia="Times New Roman" w:cs="Times New Roman"/>
          <w:kern w:val="0"/>
          <w14:ligatures w14:val="none"/>
        </w:rPr>
        <w:t xml:space="preserve"> amount</w:t>
      </w:r>
      <w:r w:rsidRPr="008F34BE" w:rsidR="00765840">
        <w:rPr>
          <w:rFonts w:ascii="Palatino Linotype" w:hAnsi="Palatino Linotype" w:eastAsia="Times New Roman" w:cs="Times New Roman"/>
          <w:kern w:val="0"/>
          <w14:ligatures w14:val="none"/>
        </w:rPr>
        <w:t xml:space="preserve"> </w:t>
      </w:r>
      <w:r w:rsidRPr="008F34BE" w:rsidR="00A81379">
        <w:rPr>
          <w:rFonts w:ascii="Palatino Linotype" w:hAnsi="Palatino Linotype" w:eastAsia="Times New Roman" w:cs="Times New Roman"/>
          <w:kern w:val="0"/>
          <w14:ligatures w14:val="none"/>
        </w:rPr>
        <w:t>payable</w:t>
      </w:r>
      <w:r w:rsidRPr="008F34BE" w:rsidR="00765840">
        <w:rPr>
          <w:rFonts w:ascii="Palatino Linotype" w:hAnsi="Palatino Linotype" w:eastAsia="Times New Roman" w:cs="Times New Roman"/>
          <w:kern w:val="0"/>
          <w14:ligatures w14:val="none"/>
        </w:rPr>
        <w:t xml:space="preserve"> by </w:t>
      </w:r>
      <w:r w:rsidRPr="008F34BE" w:rsidR="00074768">
        <w:rPr>
          <w:rFonts w:ascii="Palatino Linotype" w:hAnsi="Palatino Linotype" w:eastAsia="Times New Roman" w:cs="Times New Roman"/>
          <w:kern w:val="0"/>
          <w14:ligatures w14:val="none"/>
        </w:rPr>
        <w:t>the</w:t>
      </w:r>
      <w:r w:rsidRPr="008F34BE" w:rsidR="00765840">
        <w:rPr>
          <w:rFonts w:ascii="Palatino Linotype" w:hAnsi="Palatino Linotype" w:eastAsia="Times New Roman" w:cs="Times New Roman"/>
          <w:kern w:val="0"/>
          <w14:ligatures w14:val="none"/>
        </w:rPr>
        <w:t xml:space="preserve"> customer</w:t>
      </w:r>
      <w:r w:rsidRPr="008F34BE" w:rsidR="00F058AA">
        <w:rPr>
          <w:rFonts w:ascii="Palatino Linotype" w:hAnsi="Palatino Linotype" w:eastAsia="Times New Roman" w:cs="Times New Roman"/>
          <w:kern w:val="0"/>
          <w14:ligatures w14:val="none"/>
        </w:rPr>
        <w:t xml:space="preserve"> </w:t>
      </w:r>
      <w:r w:rsidRPr="008F34BE" w:rsidR="00DC53BF">
        <w:rPr>
          <w:rFonts w:ascii="Palatino Linotype" w:hAnsi="Palatino Linotype" w:eastAsia="Times New Roman" w:cs="Times New Roman"/>
          <w:kern w:val="0"/>
          <w14:ligatures w14:val="none"/>
        </w:rPr>
        <w:t xml:space="preserve">is </w:t>
      </w:r>
      <w:r w:rsidRPr="008F34BE" w:rsidR="00C83CFB">
        <w:rPr>
          <w:rFonts w:ascii="Palatino Linotype" w:hAnsi="Palatino Linotype" w:eastAsia="Times New Roman" w:cs="Times New Roman"/>
          <w:kern w:val="0"/>
          <w14:ligatures w14:val="none"/>
        </w:rPr>
        <w:t>PG&amp;E’s total estimated installed cost</w:t>
      </w:r>
      <w:r w:rsidRPr="008F34BE" w:rsidR="00E05EB6">
        <w:rPr>
          <w:rFonts w:ascii="Palatino Linotype" w:hAnsi="Palatino Linotype" w:eastAsia="Times New Roman" w:cs="Times New Roman"/>
          <w:kern w:val="0"/>
          <w14:ligatures w14:val="none"/>
        </w:rPr>
        <w:t>,</w:t>
      </w:r>
      <w:r w:rsidRPr="008F34BE" w:rsidR="00C83CFB">
        <w:rPr>
          <w:rFonts w:ascii="Palatino Linotype" w:hAnsi="Palatino Linotype" w:eastAsia="Times New Roman" w:cs="Times New Roman"/>
          <w:kern w:val="0"/>
          <w14:ligatures w14:val="none"/>
        </w:rPr>
        <w:t xml:space="preserve"> </w:t>
      </w:r>
      <w:r w:rsidRPr="008F34BE" w:rsidR="00E05EB6">
        <w:rPr>
          <w:rFonts w:ascii="Palatino Linotype" w:hAnsi="Palatino Linotype" w:eastAsia="Times New Roman" w:cs="Times New Roman"/>
          <w:kern w:val="0"/>
          <w14:ligatures w14:val="none"/>
        </w:rPr>
        <w:t>plus Income Tax Component of Contribution</w:t>
      </w:r>
      <w:r w:rsidRPr="008F34BE" w:rsidR="00B86535">
        <w:rPr>
          <w:rFonts w:ascii="Palatino Linotype" w:hAnsi="Palatino Linotype" w:eastAsia="Times New Roman" w:cs="Times New Roman"/>
          <w:kern w:val="0"/>
          <w14:ligatures w14:val="none"/>
        </w:rPr>
        <w:t xml:space="preserve"> (ITCC)</w:t>
      </w:r>
      <w:r w:rsidRPr="008F34BE" w:rsidR="00E05EB6">
        <w:rPr>
          <w:rFonts w:ascii="Palatino Linotype" w:hAnsi="Palatino Linotype" w:eastAsia="Times New Roman" w:cs="Times New Roman"/>
          <w:kern w:val="0"/>
          <w14:ligatures w14:val="none"/>
        </w:rPr>
        <w:t xml:space="preserve"> </w:t>
      </w:r>
      <w:r w:rsidRPr="008F34BE" w:rsidR="00301223">
        <w:rPr>
          <w:rFonts w:ascii="Palatino Linotype" w:hAnsi="Palatino Linotype" w:eastAsia="Times New Roman" w:cs="Times New Roman"/>
          <w:kern w:val="0"/>
          <w14:ligatures w14:val="none"/>
        </w:rPr>
        <w:t xml:space="preserve">as </w:t>
      </w:r>
      <w:r w:rsidRPr="008F34BE" w:rsidR="0027046C">
        <w:rPr>
          <w:rFonts w:ascii="Palatino Linotype" w:hAnsi="Palatino Linotype" w:eastAsia="Times New Roman" w:cs="Times New Roman"/>
          <w:kern w:val="0"/>
          <w14:ligatures w14:val="none"/>
        </w:rPr>
        <w:t>described in PG&amp;E’s Electric Rule 15 Section D.5</w:t>
      </w:r>
      <w:r w:rsidRPr="008F34BE" w:rsidR="00DC53BF">
        <w:rPr>
          <w:rFonts w:ascii="Palatino Linotype" w:hAnsi="Palatino Linotype" w:eastAsia="Times New Roman" w:cs="Times New Roman"/>
          <w:kern w:val="0"/>
          <w14:ligatures w14:val="none"/>
        </w:rPr>
        <w:t>.</w:t>
      </w:r>
      <w:r w:rsidRPr="008F34BE" w:rsidR="00301223">
        <w:rPr>
          <w:rStyle w:val="FootnoteReference"/>
          <w:rFonts w:ascii="Palatino Linotype" w:hAnsi="Palatino Linotype" w:eastAsia="Times New Roman" w:cs="Times New Roman"/>
          <w:kern w:val="0"/>
          <w14:ligatures w14:val="none"/>
        </w:rPr>
        <w:footnoteReference w:id="9"/>
      </w:r>
      <w:r w:rsidRPr="008F34BE" w:rsidR="002D188D">
        <w:rPr>
          <w:rFonts w:ascii="Palatino Linotype" w:hAnsi="Palatino Linotype" w:eastAsia="Times New Roman" w:cs="Times New Roman"/>
          <w:kern w:val="0"/>
          <w14:ligatures w14:val="none"/>
        </w:rPr>
        <w:t xml:space="preserve"> </w:t>
      </w:r>
      <w:r w:rsidRPr="008F34BE" w:rsidR="002D188D">
        <w:rPr>
          <w:rStyle w:val="FootnoteReference"/>
          <w:rFonts w:ascii="Palatino Linotype" w:hAnsi="Palatino Linotype" w:eastAsia="Times New Roman" w:cs="Times New Roman"/>
          <w:kern w:val="0"/>
          <w14:ligatures w14:val="none"/>
        </w:rPr>
        <w:footnoteReference w:id="10"/>
      </w:r>
      <w:r w:rsidRPr="008F34BE" w:rsidR="00A81379">
        <w:rPr>
          <w:rFonts w:ascii="Palatino Linotype" w:hAnsi="Palatino Linotype" w:eastAsia="Times New Roman" w:cs="Times New Roman"/>
          <w:kern w:val="0"/>
          <w14:ligatures w14:val="none"/>
        </w:rPr>
        <w:t xml:space="preserve"> Note that</w:t>
      </w:r>
      <w:r w:rsidRPr="008F34BE" w:rsidR="00DC53BF">
        <w:rPr>
          <w:rFonts w:ascii="Palatino Linotype" w:hAnsi="Palatino Linotype" w:eastAsia="Times New Roman" w:cs="Times New Roman"/>
          <w:kern w:val="0"/>
          <w14:ligatures w14:val="none"/>
        </w:rPr>
        <w:t xml:space="preserve"> this up-front payment</w:t>
      </w:r>
      <w:r w:rsidRPr="008F34BE" w:rsidR="0035683C">
        <w:rPr>
          <w:rFonts w:ascii="Palatino Linotype" w:hAnsi="Palatino Linotype" w:eastAsia="Times New Roman" w:cs="Times New Roman"/>
          <w:kern w:val="0"/>
          <w14:ligatures w14:val="none"/>
        </w:rPr>
        <w:t xml:space="preserve"> </w:t>
      </w:r>
      <w:r w:rsidRPr="008F34BE" w:rsidR="0085244E">
        <w:rPr>
          <w:rFonts w:ascii="Palatino Linotype" w:hAnsi="Palatino Linotype" w:eastAsia="Times New Roman" w:cs="Times New Roman"/>
          <w:kern w:val="0"/>
          <w14:ligatures w14:val="none"/>
        </w:rPr>
        <w:t>does</w:t>
      </w:r>
      <w:r w:rsidRPr="008F34BE" w:rsidR="0035683C">
        <w:rPr>
          <w:rFonts w:ascii="Palatino Linotype" w:hAnsi="Palatino Linotype" w:eastAsia="Times New Roman" w:cs="Times New Roman"/>
          <w:kern w:val="0"/>
          <w14:ligatures w14:val="none"/>
        </w:rPr>
        <w:t xml:space="preserve"> not cover </w:t>
      </w:r>
      <w:r w:rsidRPr="008F34BE" w:rsidR="00F13DBB">
        <w:rPr>
          <w:rFonts w:ascii="Palatino Linotype" w:hAnsi="Palatino Linotype" w:eastAsia="Times New Roman" w:cs="Times New Roman"/>
          <w:kern w:val="0"/>
          <w14:ligatures w14:val="none"/>
        </w:rPr>
        <w:t>indirect</w:t>
      </w:r>
      <w:r w:rsidRPr="008F34BE" w:rsidR="0035683C">
        <w:rPr>
          <w:rFonts w:ascii="Palatino Linotype" w:hAnsi="Palatino Linotype" w:eastAsia="Times New Roman" w:cs="Times New Roman"/>
          <w:kern w:val="0"/>
          <w14:ligatures w14:val="none"/>
        </w:rPr>
        <w:t xml:space="preserve"> costs of energization, such as upgrades to the broader transmission network related to other system or customer needs.</w:t>
      </w:r>
    </w:p>
    <w:p w:rsidRPr="008F34BE" w:rsidR="00DC53BF" w:rsidP="0035683C" w:rsidRDefault="00DC53BF" w14:paraId="242F0F4B" w14:textId="77777777">
      <w:pPr>
        <w:spacing w:after="0" w:line="240" w:lineRule="auto"/>
        <w:rPr>
          <w:rFonts w:ascii="Palatino Linotype" w:hAnsi="Palatino Linotype" w:eastAsia="Times New Roman" w:cs="Times New Roman"/>
          <w:kern w:val="0"/>
          <w14:ligatures w14:val="none"/>
        </w:rPr>
      </w:pPr>
    </w:p>
    <w:p w:rsidRPr="008F34BE" w:rsidR="0035683C" w:rsidP="0035683C" w:rsidRDefault="0035683C" w14:paraId="3C6A75C8"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Once </w:t>
      </w:r>
      <w:r w:rsidRPr="008F34BE" w:rsidR="00074768">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customer is energized, </w:t>
      </w:r>
      <w:r w:rsidRPr="008F34BE" w:rsidR="00DC53BF">
        <w:rPr>
          <w:rFonts w:ascii="Palatino Linotype" w:hAnsi="Palatino Linotype" w:eastAsia="Times New Roman" w:cs="Times New Roman"/>
          <w:kern w:val="0"/>
          <w14:ligatures w14:val="none"/>
        </w:rPr>
        <w:t>it</w:t>
      </w:r>
      <w:r w:rsidRPr="008F34BE">
        <w:rPr>
          <w:rFonts w:ascii="Palatino Linotype" w:hAnsi="Palatino Linotype" w:eastAsia="Times New Roman" w:cs="Times New Roman"/>
          <w:kern w:val="0"/>
          <w14:ligatures w14:val="none"/>
        </w:rPr>
        <w:t xml:space="preserve"> would be eligible for a refund of these upfront payments based on </w:t>
      </w:r>
      <w:r w:rsidRPr="008F34BE" w:rsidR="00DC53BF">
        <w:rPr>
          <w:rFonts w:ascii="Palatino Linotype" w:hAnsi="Palatino Linotype" w:eastAsia="Times New Roman" w:cs="Times New Roman"/>
          <w:kern w:val="0"/>
          <w14:ligatures w14:val="none"/>
        </w:rPr>
        <w:t>its</w:t>
      </w:r>
      <w:r w:rsidRPr="008F34BE">
        <w:rPr>
          <w:rFonts w:ascii="Palatino Linotype" w:hAnsi="Palatino Linotype" w:eastAsia="Times New Roman" w:cs="Times New Roman"/>
          <w:kern w:val="0"/>
          <w14:ligatures w14:val="none"/>
        </w:rPr>
        <w:t xml:space="preserve"> current load and expected future revenues. In brief, </w:t>
      </w:r>
      <w:r w:rsidRPr="008F34BE" w:rsidR="008E553E">
        <w:rPr>
          <w:rFonts w:ascii="Palatino Linotype" w:hAnsi="Palatino Linotype" w:eastAsia="Times New Roman" w:cs="Times New Roman"/>
          <w:kern w:val="0"/>
          <w14:ligatures w14:val="none"/>
        </w:rPr>
        <w:t>t</w:t>
      </w:r>
      <w:r w:rsidRPr="008F34BE">
        <w:rPr>
          <w:rFonts w:ascii="Palatino Linotype" w:hAnsi="Palatino Linotype" w:eastAsia="Times New Roman" w:cs="Times New Roman"/>
          <w:kern w:val="0"/>
          <w14:ligatures w14:val="none"/>
        </w:rPr>
        <w:t xml:space="preserve">he BARC methodology takes current annual </w:t>
      </w:r>
      <w:r w:rsidRPr="008F34BE" w:rsidR="00FE6D00">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FE6D00">
        <w:rPr>
          <w:rFonts w:ascii="Palatino Linotype" w:hAnsi="Palatino Linotype" w:eastAsia="Times New Roman" w:cs="Times New Roman"/>
          <w:kern w:val="0"/>
          <w14:ligatures w14:val="none"/>
        </w:rPr>
        <w:t xml:space="preserve"> received by PG&amp;E</w:t>
      </w:r>
      <w:r w:rsidRPr="008F34BE">
        <w:rPr>
          <w:rFonts w:ascii="Palatino Linotype" w:hAnsi="Palatino Linotype" w:eastAsia="Times New Roman" w:cs="Times New Roman"/>
          <w:kern w:val="0"/>
          <w14:ligatures w14:val="none"/>
        </w:rPr>
        <w:t xml:space="preserve"> from the customer and assumes those revenues will continue</w:t>
      </w:r>
      <w:r w:rsidRPr="008F34BE" w:rsidR="000478F3">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w:t>
      </w:r>
      <w:r w:rsidRPr="008F34BE" w:rsidR="008041DF">
        <w:rPr>
          <w:rFonts w:ascii="Palatino Linotype" w:hAnsi="Palatino Linotype" w:eastAsia="Times New Roman" w:cs="Times New Roman"/>
          <w:kern w:val="0"/>
          <w14:ligatures w14:val="none"/>
        </w:rPr>
        <w:t>definitely</w:t>
      </w:r>
      <w:r w:rsidRPr="008F34BE">
        <w:rPr>
          <w:rFonts w:ascii="Palatino Linotype" w:hAnsi="Palatino Linotype" w:eastAsia="Times New Roman" w:cs="Times New Roman"/>
          <w:kern w:val="0"/>
          <w14:ligatures w14:val="none"/>
        </w:rPr>
        <w:t xml:space="preserve">. Then, the BARC methodology calculates </w:t>
      </w:r>
      <w:r w:rsidRPr="008F34BE" w:rsidR="000478F3">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amount of upfront capital costs deemed to be justified </w:t>
      </w:r>
      <w:r w:rsidRPr="008F34BE" w:rsidR="00E55FC0">
        <w:rPr>
          <w:rFonts w:ascii="Palatino Linotype" w:hAnsi="Palatino Linotype" w:eastAsia="Times New Roman" w:cs="Times New Roman"/>
          <w:kern w:val="0"/>
          <w14:ligatures w14:val="none"/>
        </w:rPr>
        <w:t xml:space="preserve">for </w:t>
      </w:r>
      <w:r w:rsidRPr="008F34BE" w:rsidR="00E55FC0">
        <w:rPr>
          <w:rFonts w:ascii="Palatino Linotype" w:hAnsi="Palatino Linotype" w:eastAsia="Times New Roman" w:cs="Times New Roman"/>
          <w:kern w:val="0"/>
          <w14:ligatures w14:val="none"/>
        </w:rPr>
        <w:lastRenderedPageBreak/>
        <w:t xml:space="preserve">refund </w:t>
      </w:r>
      <w:r w:rsidRPr="008F34BE">
        <w:rPr>
          <w:rFonts w:ascii="Palatino Linotype" w:hAnsi="Palatino Linotype" w:eastAsia="Times New Roman" w:cs="Times New Roman"/>
          <w:kern w:val="0"/>
          <w14:ligatures w14:val="none"/>
        </w:rPr>
        <w:t xml:space="preserve">based upon this </w:t>
      </w:r>
      <w:r w:rsidRPr="008F34BE" w:rsidR="000478F3">
        <w:rPr>
          <w:rFonts w:ascii="Palatino Linotype" w:hAnsi="Palatino Linotype" w:eastAsia="Times New Roman" w:cs="Times New Roman"/>
          <w:kern w:val="0"/>
          <w14:ligatures w14:val="none"/>
        </w:rPr>
        <w:t xml:space="preserve">hypothetical </w:t>
      </w:r>
      <w:r w:rsidRPr="008F34BE">
        <w:rPr>
          <w:rFonts w:ascii="Palatino Linotype" w:hAnsi="Palatino Linotype" w:eastAsia="Times New Roman" w:cs="Times New Roman"/>
          <w:kern w:val="0"/>
          <w14:ligatures w14:val="none"/>
        </w:rPr>
        <w:t>continuous stream of future revenues. Th</w:t>
      </w:r>
      <w:r w:rsidRPr="008F34BE" w:rsidR="00941065">
        <w:rPr>
          <w:rFonts w:ascii="Palatino Linotype" w:hAnsi="Palatino Linotype" w:eastAsia="Times New Roman" w:cs="Times New Roman"/>
          <w:kern w:val="0"/>
          <w14:ligatures w14:val="none"/>
        </w:rPr>
        <w:t>e</w:t>
      </w:r>
      <w:r w:rsidRPr="008F34BE">
        <w:rPr>
          <w:rFonts w:ascii="Palatino Linotype" w:hAnsi="Palatino Linotype" w:eastAsia="Times New Roman" w:cs="Times New Roman"/>
          <w:kern w:val="0"/>
          <w14:ligatures w14:val="none"/>
        </w:rPr>
        <w:t xml:space="preserve"> total amount of capital costs determined t</w:t>
      </w:r>
      <w:r w:rsidRPr="008F34BE" w:rsidR="00A616C5">
        <w:rPr>
          <w:rFonts w:ascii="Palatino Linotype" w:hAnsi="Palatino Linotype" w:eastAsia="Times New Roman" w:cs="Times New Roman"/>
          <w:kern w:val="0"/>
          <w14:ligatures w14:val="none"/>
        </w:rPr>
        <w:t>o be refundable through</w:t>
      </w:r>
      <w:r w:rsidRPr="008F34BE">
        <w:rPr>
          <w:rFonts w:ascii="Palatino Linotype" w:hAnsi="Palatino Linotype" w:eastAsia="Times New Roman" w:cs="Times New Roman"/>
          <w:kern w:val="0"/>
          <w14:ligatures w14:val="none"/>
        </w:rPr>
        <w:t xml:space="preserve"> the BARC methodology</w:t>
      </w:r>
      <w:r w:rsidRPr="008F34BE" w:rsidR="008850F3">
        <w:rPr>
          <w:rFonts w:ascii="Palatino Linotype" w:hAnsi="Palatino Linotype" w:eastAsia="Times New Roman" w:cs="Times New Roman"/>
          <w:kern w:val="0"/>
          <w14:ligatures w14:val="none"/>
        </w:rPr>
        <w:t xml:space="preserve"> </w:t>
      </w:r>
      <w:proofErr w:type="gramStart"/>
      <w:r w:rsidRPr="008F34BE" w:rsidR="008850F3">
        <w:rPr>
          <w:rFonts w:ascii="Palatino Linotype" w:hAnsi="Palatino Linotype" w:eastAsia="Times New Roman" w:cs="Times New Roman"/>
          <w:kern w:val="0"/>
          <w14:ligatures w14:val="none"/>
        </w:rPr>
        <w:t>in a given year</w:t>
      </w:r>
      <w:proofErr w:type="gramEnd"/>
      <w:r w:rsidRPr="008F34BE">
        <w:rPr>
          <w:rFonts w:ascii="Palatino Linotype" w:hAnsi="Palatino Linotype" w:eastAsia="Times New Roman" w:cs="Times New Roman"/>
          <w:kern w:val="0"/>
          <w14:ligatures w14:val="none"/>
        </w:rPr>
        <w:t xml:space="preserve"> is called the BARC Formula amount.</w:t>
      </w:r>
      <w:r w:rsidRPr="008F34BE">
        <w:rPr>
          <w:rStyle w:val="FootnoteReference"/>
          <w:rFonts w:ascii="Palatino Linotype" w:hAnsi="Palatino Linotype" w:eastAsia="Times New Roman" w:cs="Times New Roman"/>
          <w:kern w:val="0"/>
          <w14:ligatures w14:val="none"/>
        </w:rPr>
        <w:footnoteReference w:id="11"/>
      </w:r>
      <w:r w:rsidRPr="008F34BE">
        <w:rPr>
          <w:rFonts w:ascii="Palatino Linotype" w:hAnsi="Palatino Linotype" w:eastAsia="Times New Roman" w:cs="Times New Roman"/>
          <w:kern w:val="0"/>
          <w14:ligatures w14:val="none"/>
        </w:rPr>
        <w:t xml:space="preserve"> That full amount of costs can </w:t>
      </w:r>
      <w:r w:rsidRPr="008F34BE" w:rsidR="002C1A41">
        <w:rPr>
          <w:rFonts w:ascii="Palatino Linotype" w:hAnsi="Palatino Linotype" w:eastAsia="Times New Roman" w:cs="Times New Roman"/>
          <w:kern w:val="0"/>
          <w14:ligatures w14:val="none"/>
        </w:rPr>
        <w:t xml:space="preserve">then </w:t>
      </w:r>
      <w:r w:rsidRPr="008F34BE">
        <w:rPr>
          <w:rFonts w:ascii="Palatino Linotype" w:hAnsi="Palatino Linotype" w:eastAsia="Times New Roman" w:cs="Times New Roman"/>
          <w:kern w:val="0"/>
          <w14:ligatures w14:val="none"/>
        </w:rPr>
        <w:t xml:space="preserve">be immediately refunded to the customer. Because many of the specific details </w:t>
      </w:r>
      <w:r w:rsidRPr="008F34BE" w:rsidR="00801B69">
        <w:rPr>
          <w:rFonts w:ascii="Palatino Linotype" w:hAnsi="Palatino Linotype" w:eastAsia="Times New Roman" w:cs="Times New Roman"/>
          <w:kern w:val="0"/>
          <w14:ligatures w14:val="none"/>
        </w:rPr>
        <w:t xml:space="preserve">(including costs) </w:t>
      </w:r>
      <w:r w:rsidRPr="008F34BE">
        <w:rPr>
          <w:rFonts w:ascii="Palatino Linotype" w:hAnsi="Palatino Linotype" w:eastAsia="Times New Roman" w:cs="Times New Roman"/>
          <w:kern w:val="0"/>
          <w14:ligatures w14:val="none"/>
        </w:rPr>
        <w:t xml:space="preserve">of the </w:t>
      </w:r>
      <w:r w:rsidRPr="008F34BE" w:rsidR="002C1A41">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Pr="008F34BE" w:rsidR="0035683C" w:rsidP="0035683C" w:rsidRDefault="0035683C" w14:paraId="5B3542B6" w14:textId="77777777">
      <w:pPr>
        <w:spacing w:after="0" w:line="240" w:lineRule="auto"/>
        <w:rPr>
          <w:rFonts w:ascii="Palatino Linotype" w:hAnsi="Palatino Linotype" w:eastAsia="Times New Roman" w:cs="Times New Roman"/>
          <w:kern w:val="0"/>
          <w14:ligatures w14:val="none"/>
        </w:rPr>
      </w:pPr>
    </w:p>
    <w:p w:rsidRPr="008F34BE" w:rsidR="00C95916" w:rsidP="0035683C" w:rsidRDefault="0035683C" w14:paraId="254D1DC8"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To take a hypothetical example: a transmission customer might provide $50 million upfront to PG&amp;E to cover the </w:t>
      </w:r>
      <w:r w:rsidRPr="008F34BE" w:rsidDel="00E73F2C">
        <w:rPr>
          <w:rFonts w:ascii="Palatino Linotype" w:hAnsi="Palatino Linotype" w:eastAsia="Times New Roman" w:cs="Times New Roman"/>
          <w:kern w:val="0"/>
          <w14:ligatures w14:val="none"/>
        </w:rPr>
        <w:t>direct</w:t>
      </w:r>
      <w:r w:rsidRPr="008F34BE">
        <w:rPr>
          <w:rFonts w:ascii="Palatino Linotype" w:hAnsi="Palatino Linotype" w:eastAsia="Times New Roman" w:cs="Times New Roman"/>
          <w:kern w:val="0"/>
          <w14:ligatures w14:val="none"/>
        </w:rPr>
        <w:t xml:space="preserve"> costs of energization. Once that customer is energized, over its first year it might pay $12</w:t>
      </w:r>
      <w:r w:rsidRPr="008F34BE" w:rsidR="00520011">
        <w:rPr>
          <w:rFonts w:ascii="Palatino Linotype" w:hAnsi="Palatino Linotype" w:eastAsia="Times New Roman" w:cs="Times New Roman"/>
        </w:rPr>
        <w:t xml:space="preserve">.4 </w:t>
      </w:r>
      <w:r w:rsidRPr="008F34BE">
        <w:rPr>
          <w:rFonts w:ascii="Palatino Linotype" w:hAnsi="Palatino Linotype" w:eastAsia="Times New Roman" w:cs="Times New Roman"/>
          <w:kern w:val="0"/>
          <w14:ligatures w14:val="none"/>
        </w:rPr>
        <w:t>million in electric bills to PG&amp;E for energy delivery. Of that $12</w:t>
      </w:r>
      <w:r w:rsidRPr="008F34BE" w:rsidR="00520011">
        <w:rPr>
          <w:rFonts w:ascii="Palatino Linotype" w:hAnsi="Palatino Linotype" w:eastAsia="Times New Roman" w:cs="Times New Roman"/>
        </w:rPr>
        <w:t>.4</w:t>
      </w:r>
      <w:r w:rsidRPr="008F34BE">
        <w:rPr>
          <w:rFonts w:ascii="Palatino Linotype" w:hAnsi="Palatino Linotype" w:eastAsia="Times New Roman" w:cs="Times New Roman"/>
          <w:kern w:val="0"/>
          <w14:ligatures w14:val="none"/>
        </w:rPr>
        <w:t xml:space="preserve"> million,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would be</w:t>
      </w:r>
      <w:r w:rsidRPr="008F34BE" w:rsidR="005258D9">
        <w:rPr>
          <w:rFonts w:ascii="Palatino Linotype" w:hAnsi="Palatino Linotype" w:eastAsia="Times New Roman" w:cs="Times New Roman"/>
          <w:kern w:val="0"/>
          <w14:ligatures w14:val="none"/>
        </w:rPr>
        <w:t xml:space="preserve"> considered</w:t>
      </w:r>
      <w:r w:rsidRPr="008F34BE">
        <w:rPr>
          <w:rFonts w:ascii="Palatino Linotype" w:hAnsi="Palatino Linotype" w:eastAsia="Times New Roman" w:cs="Times New Roman"/>
          <w:kern w:val="0"/>
          <w14:ligatures w14:val="none"/>
        </w:rPr>
        <w:t xml:space="preserve"> the net revenue</w:t>
      </w:r>
      <w:r w:rsidRPr="008F34BE" w:rsidR="003B4F4B">
        <w:rPr>
          <w:rFonts w:ascii="Palatino Linotype" w:hAnsi="Palatino Linotype" w:eastAsia="Times New Roman" w:cs="Times New Roman"/>
        </w:rPr>
        <w:t xml:space="preserve"> for PG&amp;E</w:t>
      </w:r>
      <w:r w:rsidRPr="008F34BE">
        <w:rPr>
          <w:rFonts w:ascii="Palatino Linotype" w:hAnsi="Palatino Linotype" w:eastAsia="Times New Roman" w:cs="Times New Roman"/>
          <w:kern w:val="0"/>
          <w14:ligatures w14:val="none"/>
        </w:rPr>
        <w:t>, or the part of the electric bill specifically related to transmission costs and infrastructure. Based on this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in actual net revenue, the </w:t>
      </w:r>
      <w:r w:rsidRPr="008F34BE" w:rsidR="00AB4EF6">
        <w:rPr>
          <w:rFonts w:ascii="Palatino Linotype" w:hAnsi="Palatino Linotype" w:eastAsia="Times New Roman" w:cs="Times New Roman"/>
        </w:rPr>
        <w:t xml:space="preserve">standard </w:t>
      </w:r>
      <w:r w:rsidRPr="008F34BE">
        <w:rPr>
          <w:rFonts w:ascii="Palatino Linotype" w:hAnsi="Palatino Linotype" w:eastAsia="Times New Roman" w:cs="Times New Roman"/>
          <w:kern w:val="0"/>
          <w14:ligatures w14:val="none"/>
        </w:rPr>
        <w:t>BARC process would allow for an end-of-year refund</w:t>
      </w:r>
      <w:r w:rsidRPr="008F34BE" w:rsidR="003B4F4B">
        <w:rPr>
          <w:rFonts w:ascii="Palatino Linotype" w:hAnsi="Palatino Linotype" w:eastAsia="Times New Roman" w:cs="Times New Roman"/>
        </w:rPr>
        <w:t xml:space="preserve"> to the customer</w:t>
      </w:r>
      <w:r w:rsidRPr="008F34BE">
        <w:rPr>
          <w:rFonts w:ascii="Palatino Linotype" w:hAnsi="Palatino Linotype" w:eastAsia="Times New Roman" w:cs="Times New Roman"/>
          <w:kern w:val="0"/>
          <w14:ligatures w14:val="none"/>
        </w:rPr>
        <w:t xml:space="preserve"> of </w:t>
      </w:r>
      <w:r w:rsidRPr="008F34BE" w:rsidR="00897ACE">
        <w:rPr>
          <w:rFonts w:ascii="Palatino Linotype" w:hAnsi="Palatino Linotype" w:eastAsia="Times New Roman" w:cs="Times New Roman"/>
        </w:rPr>
        <w:t>the entire $50</w:t>
      </w:r>
      <w:r w:rsidRPr="008F34BE">
        <w:rPr>
          <w:rFonts w:ascii="Palatino Linotype" w:hAnsi="Palatino Linotype" w:eastAsia="Times New Roman" w:cs="Times New Roman"/>
          <w:kern w:val="0"/>
          <w14:ligatures w14:val="none"/>
        </w:rPr>
        <w:t xml:space="preserve"> million (the amount of capital investment deemed justified, assuming the customer’s net revenue continues</w:t>
      </w:r>
      <w:r w:rsidRPr="008F34BE" w:rsidR="001E10D4">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indefinitely into the future at about the same level).</w:t>
      </w:r>
      <w:r w:rsidRPr="008F34BE" w:rsidR="007F65B1">
        <w:rPr>
          <w:rStyle w:val="FootnoteReference"/>
          <w:rFonts w:ascii="Palatino Linotype" w:hAnsi="Palatino Linotype" w:eastAsia="Times New Roman" w:cs="Times New Roman"/>
          <w:kern w:val="0"/>
          <w14:ligatures w14:val="none"/>
        </w:rPr>
        <w:footnoteReference w:id="12"/>
      </w:r>
      <w:r w:rsidRPr="008F34BE">
        <w:rPr>
          <w:rFonts w:ascii="Palatino Linotype" w:hAnsi="Palatino Linotype" w:eastAsia="Times New Roman" w:cs="Times New Roman"/>
          <w:kern w:val="0"/>
          <w14:ligatures w14:val="none"/>
        </w:rPr>
        <w:t xml:space="preserve"> </w:t>
      </w:r>
      <w:r w:rsidRPr="008F34BE" w:rsidR="001917C2">
        <w:rPr>
          <w:rFonts w:ascii="Palatino Linotype" w:hAnsi="Palatino Linotype" w:eastAsia="Times New Roman" w:cs="Times New Roman"/>
        </w:rPr>
        <w:t xml:space="preserve">In other words, </w:t>
      </w:r>
      <w:r w:rsidRPr="008F34BE" w:rsidR="00133AB1">
        <w:rPr>
          <w:rFonts w:ascii="Palatino Linotype" w:hAnsi="Palatino Linotype" w:eastAsia="Times New Roman" w:cs="Times New Roman"/>
        </w:rPr>
        <w:t xml:space="preserve">because </w:t>
      </w:r>
      <w:r w:rsidRPr="008F34BE" w:rsidR="00C678A7">
        <w:rPr>
          <w:rFonts w:ascii="Palatino Linotype" w:hAnsi="Palatino Linotype" w:eastAsia="Times New Roman" w:cs="Times New Roman"/>
        </w:rPr>
        <w:t xml:space="preserve">the BARC formula </w:t>
      </w:r>
      <w:r w:rsidRPr="008F34BE" w:rsidR="00B20D50">
        <w:rPr>
          <w:rFonts w:ascii="Palatino Linotype" w:hAnsi="Palatino Linotype" w:eastAsia="Times New Roman" w:cs="Times New Roman"/>
        </w:rPr>
        <w:t>annualizes expected revenue over a</w:t>
      </w:r>
      <w:r w:rsidRPr="008F34BE" w:rsidR="00F46A18">
        <w:rPr>
          <w:rFonts w:ascii="Palatino Linotype" w:hAnsi="Palatino Linotype" w:eastAsia="Times New Roman" w:cs="Times New Roman"/>
        </w:rPr>
        <w:t xml:space="preserve"> </w:t>
      </w:r>
      <w:r w:rsidR="003B63D4">
        <w:rPr>
          <w:rFonts w:ascii="Palatino Linotype" w:hAnsi="Palatino Linotype" w:eastAsia="Times New Roman" w:cs="Times New Roman"/>
        </w:rPr>
        <w:br/>
      </w:r>
      <w:r w:rsidRPr="008F34BE" w:rsidR="00F46A18">
        <w:rPr>
          <w:rFonts w:ascii="Palatino Linotype" w:hAnsi="Palatino Linotype" w:eastAsia="Times New Roman" w:cs="Times New Roman"/>
        </w:rPr>
        <w:t xml:space="preserve">multi-year horizon, </w:t>
      </w:r>
      <w:r w:rsidRPr="008F34BE" w:rsidR="00112CE4">
        <w:rPr>
          <w:rFonts w:ascii="Palatino Linotype" w:hAnsi="Palatino Linotype" w:eastAsia="Times New Roman" w:cs="Times New Roman"/>
        </w:rPr>
        <w:t>t</w:t>
      </w:r>
      <w:r w:rsidRPr="008F34BE">
        <w:rPr>
          <w:rFonts w:ascii="Palatino Linotype" w:hAnsi="Palatino Linotype" w:eastAsia="Times New Roman" w:cs="Times New Roman"/>
          <w:kern w:val="0"/>
          <w14:ligatures w14:val="none"/>
        </w:rPr>
        <w:t xml:space="preserve">he immediate refund could be </w:t>
      </w:r>
      <w:r w:rsidRPr="008F34BE" w:rsidR="00854056">
        <w:rPr>
          <w:rFonts w:ascii="Palatino Linotype" w:hAnsi="Palatino Linotype" w:eastAsia="Times New Roman" w:cs="Times New Roman"/>
        </w:rPr>
        <w:t>over eight</w:t>
      </w:r>
      <w:r w:rsidRPr="008F34BE">
        <w:rPr>
          <w:rFonts w:ascii="Palatino Linotype" w:hAnsi="Palatino Linotype" w:eastAsia="Times New Roman" w:cs="Times New Roman"/>
          <w:kern w:val="0"/>
          <w14:ligatures w14:val="none"/>
        </w:rPr>
        <w:t xml:space="preserve"> times larger than the actual net revenues collected from the customer in the first year. </w:t>
      </w:r>
      <w:r w:rsidRPr="008F34BE" w:rsidR="00882747">
        <w:rPr>
          <w:rFonts w:ascii="Palatino Linotype" w:hAnsi="Palatino Linotype" w:eastAsia="Times New Roman" w:cs="Times New Roman"/>
          <w:kern w:val="0"/>
          <w14:ligatures w14:val="none"/>
        </w:rPr>
        <w:t>Per PG&amp;E’s Electric Rule 15 Tariff, t</w:t>
      </w:r>
      <w:r w:rsidRPr="008F34BE">
        <w:rPr>
          <w:rFonts w:ascii="Palatino Linotype" w:hAnsi="Palatino Linotype" w:eastAsia="Times New Roman" w:cs="Times New Roman"/>
          <w:kern w:val="0"/>
          <w14:ligatures w14:val="none"/>
        </w:rPr>
        <w:t>he total refund cannot be larger than the $50 million originally advanced by the customer.</w:t>
      </w:r>
      <w:r w:rsidRPr="008F34BE" w:rsidR="00882747">
        <w:rPr>
          <w:rStyle w:val="FootnoteReference"/>
          <w:rFonts w:ascii="Palatino Linotype" w:hAnsi="Palatino Linotype" w:eastAsia="Times New Roman" w:cs="Times New Roman"/>
          <w:kern w:val="0"/>
          <w14:ligatures w14:val="none"/>
        </w:rPr>
        <w:footnoteReference w:id="13"/>
      </w:r>
      <w:r w:rsidRPr="008F34BE">
        <w:rPr>
          <w:rFonts w:ascii="Palatino Linotype" w:hAnsi="Palatino Linotype" w:eastAsia="Times New Roman" w:cs="Times New Roman"/>
          <w:kern w:val="0"/>
          <w14:ligatures w14:val="none"/>
        </w:rPr>
        <w:t xml:space="preserve"> </w:t>
      </w:r>
      <w:r w:rsidRPr="008F34BE" w:rsidR="00E51053">
        <w:rPr>
          <w:rFonts w:ascii="Palatino Linotype" w:hAnsi="Palatino Linotype" w:eastAsia="Times New Roman" w:cs="Times New Roman"/>
          <w:kern w:val="0"/>
          <w14:ligatures w14:val="none"/>
        </w:rPr>
        <w:t xml:space="preserve">If the revenue received by PG&amp;E from the customer in a given year falls below a certain amount, the customer may not receive a full refund and will have to wait to get the refund in subsequent years. </w:t>
      </w:r>
      <w:r w:rsidRPr="008F34BE" w:rsidR="00854056">
        <w:rPr>
          <w:rFonts w:ascii="Palatino Linotype" w:hAnsi="Palatino Linotype" w:eastAsia="Times New Roman" w:cs="Times New Roman"/>
        </w:rPr>
        <w:t xml:space="preserve">Should the customer </w:t>
      </w:r>
      <w:r w:rsidRPr="008F34BE" w:rsidR="00B46B1A">
        <w:rPr>
          <w:rFonts w:ascii="Palatino Linotype" w:hAnsi="Palatino Linotype" w:eastAsia="Times New Roman" w:cs="Times New Roman"/>
        </w:rPr>
        <w:t xml:space="preserve">not be refunded the full upfront energization cost in the first year, </w:t>
      </w:r>
      <w:r w:rsidRPr="008F34BE">
        <w:rPr>
          <w:rFonts w:ascii="Palatino Linotype" w:hAnsi="Palatino Linotype" w:eastAsia="Times New Roman" w:cs="Times New Roman"/>
          <w:kern w:val="0"/>
          <w14:ligatures w14:val="none"/>
        </w:rPr>
        <w:t xml:space="preserve">the customer could receive </w:t>
      </w:r>
      <w:r w:rsidRPr="008F34BE" w:rsidR="00E85124">
        <w:rPr>
          <w:rFonts w:ascii="Palatino Linotype" w:hAnsi="Palatino Linotype" w:eastAsia="Times New Roman" w:cs="Times New Roman"/>
        </w:rPr>
        <w:t>any remaining balance as a</w:t>
      </w:r>
      <w:r w:rsidRPr="008F34BE">
        <w:rPr>
          <w:rFonts w:ascii="Palatino Linotype" w:hAnsi="Palatino Linotype" w:eastAsia="Times New Roman" w:cs="Times New Roman"/>
          <w:kern w:val="0"/>
          <w14:ligatures w14:val="none"/>
        </w:rPr>
        <w:t xml:space="preserve"> refund</w:t>
      </w:r>
      <w:r w:rsidRPr="008F34BE" w:rsidR="00E85124">
        <w:rPr>
          <w:rFonts w:ascii="Palatino Linotype" w:hAnsi="Palatino Linotype" w:eastAsia="Times New Roman" w:cs="Times New Roman"/>
        </w:rPr>
        <w:t xml:space="preserve"> over later years</w:t>
      </w:r>
      <w:r w:rsidRPr="008F34BE">
        <w:rPr>
          <w:rFonts w:ascii="Palatino Linotype" w:hAnsi="Palatino Linotype" w:eastAsia="Times New Roman" w:cs="Times New Roman"/>
          <w:kern w:val="0"/>
          <w14:ligatures w14:val="none"/>
        </w:rPr>
        <w:t xml:space="preserve"> if its electric bills increase, but no more than th</w:t>
      </w:r>
      <w:r w:rsidRPr="008F34BE" w:rsidR="00E85124">
        <w:rPr>
          <w:rFonts w:ascii="Palatino Linotype" w:hAnsi="Palatino Linotype" w:eastAsia="Times New Roman" w:cs="Times New Roman"/>
        </w:rPr>
        <w:t xml:space="preserve">e </w:t>
      </w:r>
      <w:r w:rsidRPr="008F34BE" w:rsidR="002449BD">
        <w:rPr>
          <w:rFonts w:ascii="Palatino Linotype" w:hAnsi="Palatino Linotype" w:eastAsia="Times New Roman" w:cs="Times New Roman"/>
        </w:rPr>
        <w:t xml:space="preserve">total </w:t>
      </w:r>
      <w:r w:rsidRPr="008F34BE" w:rsidR="00E85124">
        <w:rPr>
          <w:rFonts w:ascii="Palatino Linotype" w:hAnsi="Palatino Linotype" w:eastAsia="Times New Roman" w:cs="Times New Roman"/>
        </w:rPr>
        <w:t>original</w:t>
      </w:r>
      <w:r w:rsidRPr="008F34BE" w:rsidR="00C0787C">
        <w:rPr>
          <w:rFonts w:ascii="Palatino Linotype" w:hAnsi="Palatino Linotype" w:eastAsia="Times New Roman" w:cs="Times New Roman"/>
        </w:rPr>
        <w:t xml:space="preserve"> amount</w:t>
      </w:r>
      <w:r w:rsidRPr="008F34BE">
        <w:rPr>
          <w:rFonts w:ascii="Palatino Linotype" w:hAnsi="Palatino Linotype" w:eastAsia="Times New Roman" w:cs="Times New Roman"/>
          <w:kern w:val="0"/>
          <w14:ligatures w14:val="none"/>
        </w:rPr>
        <w:t>.</w:t>
      </w:r>
      <w:r w:rsidRPr="008F34BE" w:rsidR="00C95916">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As </w:t>
      </w:r>
      <w:r w:rsidRPr="008F34BE" w:rsidR="00C0787C">
        <w:rPr>
          <w:rFonts w:ascii="Palatino Linotype" w:hAnsi="Palatino Linotype" w:eastAsia="Times New Roman" w:cs="Times New Roman"/>
        </w:rPr>
        <w:t xml:space="preserve">the </w:t>
      </w:r>
      <w:r w:rsidRPr="008F34BE">
        <w:rPr>
          <w:rFonts w:ascii="Palatino Linotype" w:hAnsi="Palatino Linotype" w:eastAsia="Times New Roman" w:cs="Times New Roman"/>
          <w:kern w:val="0"/>
          <w14:ligatures w14:val="none"/>
        </w:rPr>
        <w:t>customer is refunded, the related capital costs are added to PG&amp;E’s accounts and ultimately recovered from ratepayers.</w:t>
      </w:r>
    </w:p>
    <w:p w:rsidRPr="008F34BE" w:rsidR="002E0FA4" w:rsidP="00A76F4A" w:rsidRDefault="002E0FA4" w14:paraId="1A7C3715" w14:textId="77777777">
      <w:pPr>
        <w:spacing w:after="0" w:line="240" w:lineRule="auto"/>
        <w:rPr>
          <w:rFonts w:ascii="Palatino Linotype" w:hAnsi="Palatino Linotype" w:eastAsia="Palatino Linotype" w:cs="Times New Roman"/>
          <w:kern w:val="0"/>
          <w14:ligatures w14:val="none"/>
        </w:rPr>
      </w:pPr>
    </w:p>
    <w:p w:rsidRPr="008F34BE" w:rsidR="00FB2627" w:rsidP="007D3109" w:rsidRDefault="000B6663" w14:paraId="2A59E7AA" w14:textId="77777777">
      <w:pPr>
        <w:keepNext/>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lastRenderedPageBreak/>
        <w:t>Net Revenues vs. Total Revenues</w:t>
      </w:r>
    </w:p>
    <w:p w:rsidRPr="008F34BE" w:rsidR="00FB2627" w:rsidP="007D3109" w:rsidRDefault="00FB2627" w14:paraId="56191FBA" w14:textId="77777777">
      <w:pPr>
        <w:keepNext/>
        <w:spacing w:after="0" w:line="240" w:lineRule="auto"/>
        <w:rPr>
          <w:rFonts w:ascii="Palatino Linotype" w:hAnsi="Palatino Linotype" w:eastAsia="Palatino Linotype" w:cs="Times New Roman"/>
          <w:kern w:val="0"/>
          <w14:ligatures w14:val="none"/>
        </w:rPr>
      </w:pPr>
    </w:p>
    <w:p w:rsidRPr="008F34BE" w:rsidR="00951590" w:rsidP="007D3109" w:rsidRDefault="00951590" w14:paraId="1CE2FA8A" w14:textId="77777777">
      <w:pPr>
        <w:keepNext/>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The standard BARC process described in the </w:t>
      </w:r>
      <w:r w:rsidRPr="008F34BE" w:rsidR="00E852EE">
        <w:rPr>
          <w:rFonts w:ascii="Palatino Linotype" w:hAnsi="Palatino Linotype" w:eastAsia="Aptos" w:cs="Times New Roman"/>
        </w:rPr>
        <w:t xml:space="preserve">previous </w:t>
      </w:r>
      <w:r w:rsidRPr="008F34BE">
        <w:rPr>
          <w:rFonts w:ascii="Palatino Linotype" w:hAnsi="Palatino Linotype" w:eastAsia="Aptos" w:cs="Times New Roman"/>
        </w:rPr>
        <w:t>section bases customer refunds on net revenue rather than the total revenue</w:t>
      </w:r>
      <w:r w:rsidRPr="008F34BE" w:rsidR="00DE2847">
        <w:rPr>
          <w:rFonts w:ascii="Palatino Linotype" w:hAnsi="Palatino Linotype" w:eastAsia="Aptos" w:cs="Times New Roman"/>
        </w:rPr>
        <w:t>s</w:t>
      </w:r>
      <w:r w:rsidRPr="008F34BE">
        <w:rPr>
          <w:rFonts w:ascii="Palatino Linotype" w:hAnsi="Palatino Linotype" w:eastAsia="Aptos" w:cs="Times New Roman"/>
        </w:rPr>
        <w:t xml:space="preserve"> received from a customer.</w:t>
      </w:r>
      <w:r w:rsidRPr="008F34BE" w:rsidR="00501561">
        <w:rPr>
          <w:rFonts w:ascii="Palatino Linotype" w:hAnsi="Palatino Linotype" w:eastAsia="Aptos" w:cs="Times New Roman"/>
        </w:rPr>
        <w:t xml:space="preserve"> As defined above, the </w:t>
      </w:r>
      <w:r w:rsidRPr="008F34BE" w:rsidR="00501561">
        <w:rPr>
          <w:rFonts w:ascii="Palatino Linotype" w:hAnsi="Palatino Linotype" w:eastAsia="Times New Roman" w:cs="Times New Roman"/>
          <w:kern w:val="0"/>
          <w14:ligatures w14:val="none"/>
        </w:rPr>
        <w:t xml:space="preserve">net revenue is </w:t>
      </w:r>
      <w:proofErr w:type="gramStart"/>
      <w:r w:rsidRPr="008F34BE" w:rsidR="00501561">
        <w:rPr>
          <w:rFonts w:ascii="Palatino Linotype" w:hAnsi="Palatino Linotype" w:eastAsia="Times New Roman" w:cs="Times New Roman"/>
          <w:kern w:val="0"/>
          <w14:ligatures w14:val="none"/>
        </w:rPr>
        <w:t>the part</w:t>
      </w:r>
      <w:proofErr w:type="gramEnd"/>
      <w:r w:rsidRPr="008F34BE" w:rsidR="00501561">
        <w:rPr>
          <w:rFonts w:ascii="Palatino Linotype" w:hAnsi="Palatino Linotype" w:eastAsia="Times New Roman" w:cs="Times New Roman"/>
          <w:kern w:val="0"/>
          <w14:ligatures w14:val="none"/>
        </w:rPr>
        <w:t xml:space="preserve"> of a customer’s electric bill specifically related to transmission costs and infrastructure.</w:t>
      </w:r>
    </w:p>
    <w:p w:rsidRPr="008F34BE" w:rsidR="00FB576A" w:rsidP="00FB576A" w:rsidRDefault="00FB576A" w14:paraId="4AB23D0D" w14:textId="77777777">
      <w:pPr>
        <w:spacing w:after="0" w:line="240" w:lineRule="auto"/>
        <w:rPr>
          <w:rFonts w:ascii="Palatino Linotype" w:hAnsi="Palatino Linotype" w:eastAsia="Aptos" w:cs="Times New Roman"/>
        </w:rPr>
      </w:pPr>
    </w:p>
    <w:p w:rsidRPr="008F34BE" w:rsidR="00951590" w:rsidP="00FB576A" w:rsidRDefault="00951590" w14:paraId="32DCE90D"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The term net revenue captures that part of a customer’s revenue</w:t>
      </w:r>
      <w:r w:rsidRPr="008F34BE" w:rsidR="00E11EA9">
        <w:rPr>
          <w:rFonts w:ascii="Palatino Linotype" w:hAnsi="Palatino Linotype" w:eastAsia="Aptos" w:cs="Times New Roman"/>
        </w:rPr>
        <w:t xml:space="preserve"> (paid to PG&amp;E through the customer’s electric bill)</w:t>
      </w:r>
      <w:r w:rsidRPr="008F34BE">
        <w:rPr>
          <w:rFonts w:ascii="Palatino Linotype" w:hAnsi="Palatino Linotype" w:eastAsia="Aptos" w:cs="Times New Roman"/>
        </w:rPr>
        <w:t xml:space="preserve"> that corresponds to the infrastructure costs in question. For a customer like </w:t>
      </w:r>
      <w:r w:rsidRPr="008F34BE" w:rsidR="00781E3A">
        <w:rPr>
          <w:rFonts w:ascii="Palatino Linotype" w:hAnsi="Palatino Linotype" w:eastAsia="Aptos" w:cs="Times New Roman"/>
        </w:rPr>
        <w:t xml:space="preserve">Microsoft that </w:t>
      </w:r>
      <w:r w:rsidRPr="008F34BE">
        <w:rPr>
          <w:rFonts w:ascii="Palatino Linotype" w:hAnsi="Palatino Linotype" w:eastAsia="Aptos" w:cs="Times New Roman"/>
        </w:rPr>
        <w:t>energiz</w:t>
      </w:r>
      <w:r w:rsidRPr="008F34BE" w:rsidR="00DA4354">
        <w:rPr>
          <w:rFonts w:ascii="Palatino Linotype" w:hAnsi="Palatino Linotype" w:eastAsia="Aptos" w:cs="Times New Roman"/>
        </w:rPr>
        <w:t>es</w:t>
      </w:r>
      <w:r w:rsidRPr="008F34BE">
        <w:rPr>
          <w:rFonts w:ascii="Palatino Linotype" w:hAnsi="Palatino Linotype" w:eastAsia="Aptos" w:cs="Times New Roman"/>
        </w:rPr>
        <w:t xml:space="preserve"> at the transmission level, the net revenue refers to the transmission component of a customer’s electric bill and the daily charge assigned to each electric meter.</w:t>
      </w:r>
      <w:r w:rsidRPr="008F34BE" w:rsidR="00A4152C">
        <w:rPr>
          <w:rFonts w:ascii="Palatino Linotype" w:hAnsi="Palatino Linotype" w:eastAsia="Aptos" w:cs="Times New Roman"/>
        </w:rPr>
        <w:t xml:space="preserve"> </w:t>
      </w:r>
      <w:r w:rsidRPr="008F34BE">
        <w:rPr>
          <w:rFonts w:ascii="Palatino Linotype" w:hAnsi="Palatino Linotype" w:eastAsia="Aptos" w:cs="Times New Roman"/>
        </w:rPr>
        <w:t>This structure is in place because it recognizes that the various components of a customer’s bill correspond to different costs and responsibilities within the larger electric grid system.</w:t>
      </w:r>
    </w:p>
    <w:p w:rsidRPr="008F34BE" w:rsidR="00FB576A" w:rsidP="00FB576A" w:rsidRDefault="00FB576A" w14:paraId="5FE55C95" w14:textId="77777777">
      <w:pPr>
        <w:spacing w:after="0" w:line="240" w:lineRule="auto"/>
        <w:rPr>
          <w:rFonts w:ascii="Palatino Linotype" w:hAnsi="Palatino Linotype" w:eastAsia="Aptos" w:cs="Times New Roman"/>
        </w:rPr>
      </w:pPr>
    </w:p>
    <w:p w:rsidRPr="008F34BE" w:rsidR="00951590" w:rsidP="005A317E" w:rsidRDefault="00D95138" w14:paraId="7D1D9731"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Net revenue does not include </w:t>
      </w:r>
      <w:r w:rsidRPr="008F34BE" w:rsidR="00951590">
        <w:rPr>
          <w:rFonts w:ascii="Palatino Linotype" w:hAnsi="Palatino Linotype" w:eastAsia="Aptos" w:cs="Times New Roman"/>
        </w:rPr>
        <w:t>generation</w:t>
      </w:r>
      <w:r w:rsidRPr="008F34BE" w:rsidR="009A6231">
        <w:rPr>
          <w:rFonts w:ascii="Palatino Linotype" w:hAnsi="Palatino Linotype" w:eastAsia="Aptos" w:cs="Times New Roman"/>
        </w:rPr>
        <w:t xml:space="preserve"> costs</w:t>
      </w:r>
      <w:r w:rsidRPr="008F34BE" w:rsidR="00C70C40">
        <w:rPr>
          <w:rFonts w:ascii="Palatino Linotype" w:hAnsi="Palatino Linotype" w:eastAsia="Aptos" w:cs="Times New Roman"/>
        </w:rPr>
        <w:t xml:space="preserve">, or </w:t>
      </w:r>
      <w:r w:rsidRPr="008F34BE" w:rsidR="00951590">
        <w:rPr>
          <w:rFonts w:ascii="Palatino Linotype" w:hAnsi="Palatino Linotype" w:eastAsia="Aptos" w:cs="Times New Roman"/>
        </w:rPr>
        <w:t>the costs of procuring reliable energy for the customer</w:t>
      </w:r>
      <w:r w:rsidRPr="008F34BE" w:rsidR="00C70C40">
        <w:rPr>
          <w:rFonts w:ascii="Palatino Linotype" w:hAnsi="Palatino Linotype" w:eastAsia="Aptos" w:cs="Times New Roman"/>
        </w:rPr>
        <w:t>. Th</w:t>
      </w:r>
      <w:r w:rsidRPr="008F34BE" w:rsidR="002A7066">
        <w:rPr>
          <w:rFonts w:ascii="Palatino Linotype" w:hAnsi="Palatino Linotype" w:eastAsia="Aptos" w:cs="Times New Roman"/>
        </w:rPr>
        <w:t>is</w:t>
      </w:r>
      <w:r w:rsidRPr="008F34BE" w:rsidR="00951590">
        <w:rPr>
          <w:rFonts w:ascii="Palatino Linotype" w:hAnsi="Palatino Linotype" w:eastAsia="Aptos" w:cs="Times New Roman"/>
        </w:rPr>
        <w:t xml:space="preserve"> revenue would go to the Load Serving Entity</w:t>
      </w:r>
      <w:r w:rsidRPr="008F34BE" w:rsidR="00815968">
        <w:rPr>
          <w:rFonts w:ascii="Palatino Linotype" w:hAnsi="Palatino Linotype" w:eastAsia="Aptos" w:cs="Times New Roman"/>
        </w:rPr>
        <w:t xml:space="preserve"> (</w:t>
      </w:r>
      <w:r w:rsidRPr="008F34BE" w:rsidR="00951590">
        <w:rPr>
          <w:rFonts w:ascii="Palatino Linotype" w:hAnsi="Palatino Linotype" w:eastAsia="Aptos" w:cs="Times New Roman"/>
        </w:rPr>
        <w:t>which may be a C</w:t>
      </w:r>
      <w:r w:rsidRPr="008F34BE" w:rsidR="00EA197D">
        <w:rPr>
          <w:rFonts w:ascii="Palatino Linotype" w:hAnsi="Palatino Linotype" w:eastAsia="Aptos" w:cs="Times New Roman"/>
        </w:rPr>
        <w:t xml:space="preserve">ommunity </w:t>
      </w:r>
      <w:r w:rsidRPr="008F34BE" w:rsidR="00951590">
        <w:rPr>
          <w:rFonts w:ascii="Palatino Linotype" w:hAnsi="Palatino Linotype" w:eastAsia="Aptos" w:cs="Times New Roman"/>
        </w:rPr>
        <w:t>C</w:t>
      </w:r>
      <w:r w:rsidRPr="008F34BE" w:rsidR="00EA197D">
        <w:rPr>
          <w:rFonts w:ascii="Palatino Linotype" w:hAnsi="Palatino Linotype" w:eastAsia="Aptos" w:cs="Times New Roman"/>
        </w:rPr>
        <w:t xml:space="preserve">hoice </w:t>
      </w:r>
      <w:r w:rsidRPr="008F34BE" w:rsidR="00951590">
        <w:rPr>
          <w:rFonts w:ascii="Palatino Linotype" w:hAnsi="Palatino Linotype" w:eastAsia="Aptos" w:cs="Times New Roman"/>
        </w:rPr>
        <w:t>A</w:t>
      </w:r>
      <w:r w:rsidRPr="008F34BE" w:rsidR="00EA197D">
        <w:rPr>
          <w:rFonts w:ascii="Palatino Linotype" w:hAnsi="Palatino Linotype" w:eastAsia="Aptos" w:cs="Times New Roman"/>
        </w:rPr>
        <w:t>ggregator (</w:t>
      </w:r>
      <w:r w:rsidRPr="008F34BE" w:rsidR="00951590">
        <w:rPr>
          <w:rFonts w:ascii="Palatino Linotype" w:hAnsi="Palatino Linotype" w:eastAsia="Aptos" w:cs="Times New Roman"/>
        </w:rPr>
        <w:t>CCA</w:t>
      </w:r>
      <w:r w:rsidRPr="008F34BE" w:rsidR="00EA197D">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1E21DD">
        <w:rPr>
          <w:rFonts w:ascii="Palatino Linotype" w:hAnsi="Palatino Linotype" w:eastAsia="Aptos" w:cs="Times New Roman"/>
        </w:rPr>
        <w:t>or</w:t>
      </w:r>
      <w:r w:rsidRPr="008F34BE" w:rsidR="00951590">
        <w:rPr>
          <w:rFonts w:ascii="Palatino Linotype" w:hAnsi="Palatino Linotype" w:eastAsia="Aptos" w:cs="Times New Roman"/>
        </w:rPr>
        <w:t xml:space="preserve"> PG&amp;E</w:t>
      </w:r>
      <w:r w:rsidRPr="008F34BE" w:rsidR="00815968">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2A7066">
        <w:rPr>
          <w:rFonts w:ascii="Palatino Linotype" w:hAnsi="Palatino Linotype" w:eastAsia="Aptos" w:cs="Times New Roman"/>
        </w:rPr>
        <w:t>This energy generation revenue is</w:t>
      </w:r>
      <w:r w:rsidRPr="008F34BE" w:rsidR="00951590">
        <w:rPr>
          <w:rFonts w:ascii="Palatino Linotype" w:hAnsi="Palatino Linotype" w:eastAsia="Aptos" w:cs="Times New Roman"/>
        </w:rPr>
        <w:t xml:space="preserve"> di</w:t>
      </w:r>
      <w:r w:rsidRPr="008F34BE" w:rsidR="0064031C">
        <w:rPr>
          <w:rFonts w:ascii="Palatino Linotype" w:hAnsi="Palatino Linotype" w:eastAsia="Aptos" w:cs="Times New Roman"/>
        </w:rPr>
        <w:t>stinct and separate</w:t>
      </w:r>
      <w:r w:rsidRPr="008F34BE" w:rsidR="00951590">
        <w:rPr>
          <w:rFonts w:ascii="Palatino Linotype" w:hAnsi="Palatino Linotype" w:eastAsia="Aptos" w:cs="Times New Roman"/>
        </w:rPr>
        <w:t xml:space="preserve"> from the revenue that pay</w:t>
      </w:r>
      <w:r w:rsidRPr="008F34BE" w:rsidR="002A7066">
        <w:rPr>
          <w:rFonts w:ascii="Palatino Linotype" w:hAnsi="Palatino Linotype" w:eastAsia="Aptos" w:cs="Times New Roman"/>
        </w:rPr>
        <w:t>s</w:t>
      </w:r>
      <w:r w:rsidRPr="008F34BE" w:rsidR="00951590">
        <w:rPr>
          <w:rFonts w:ascii="Palatino Linotype" w:hAnsi="Palatino Linotype" w:eastAsia="Aptos" w:cs="Times New Roman"/>
        </w:rPr>
        <w:t xml:space="preserve"> costs for energy delivery</w:t>
      </w:r>
      <w:r w:rsidRPr="008F34BE" w:rsidR="00947DDD">
        <w:rPr>
          <w:rFonts w:ascii="Palatino Linotype" w:hAnsi="Palatino Linotype" w:eastAsia="Aptos" w:cs="Times New Roman"/>
        </w:rPr>
        <w:t xml:space="preserve"> (i.e.,</w:t>
      </w:r>
      <w:r w:rsidRPr="008F34BE" w:rsidR="00951590">
        <w:rPr>
          <w:rFonts w:ascii="Palatino Linotype" w:hAnsi="Palatino Linotype" w:eastAsia="Aptos" w:cs="Times New Roman"/>
        </w:rPr>
        <w:t xml:space="preserve"> transmission and distribution infrastructure</w:t>
      </w:r>
      <w:r w:rsidRPr="008F34BE" w:rsidR="00947DDD">
        <w:rPr>
          <w:rFonts w:ascii="Palatino Linotype" w:hAnsi="Palatino Linotype" w:eastAsia="Aptos" w:cs="Times New Roman"/>
        </w:rPr>
        <w:t>)</w:t>
      </w:r>
      <w:r w:rsidRPr="008F34BE" w:rsidR="00951590">
        <w:rPr>
          <w:rFonts w:ascii="Palatino Linotype" w:hAnsi="Palatino Linotype" w:eastAsia="Aptos" w:cs="Times New Roman"/>
        </w:rPr>
        <w:t xml:space="preserve">. The generation component of a customer’s bill </w:t>
      </w:r>
      <w:r w:rsidRPr="008F34BE" w:rsidR="003B0BEA">
        <w:rPr>
          <w:rFonts w:ascii="Palatino Linotype" w:hAnsi="Palatino Linotype" w:eastAsia="Aptos" w:cs="Times New Roman"/>
        </w:rPr>
        <w:t>is</w:t>
      </w:r>
      <w:r w:rsidRPr="008F34BE" w:rsidR="00951590">
        <w:rPr>
          <w:rFonts w:ascii="Palatino Linotype" w:hAnsi="Palatino Linotype" w:eastAsia="Aptos" w:cs="Times New Roman"/>
        </w:rPr>
        <w:t xml:space="preserve"> not considered when evaluating refunds for the transmission infrastructure needed to energize a customer and </w:t>
      </w:r>
      <w:r w:rsidRPr="008F34BE" w:rsidR="003B0BEA">
        <w:rPr>
          <w:rFonts w:ascii="Palatino Linotype" w:hAnsi="Palatino Linotype" w:eastAsia="Aptos" w:cs="Times New Roman"/>
        </w:rPr>
        <w:t>is excluded from</w:t>
      </w:r>
      <w:r w:rsidRPr="008F34BE" w:rsidR="00951590">
        <w:rPr>
          <w:rFonts w:ascii="Palatino Linotype" w:hAnsi="Palatino Linotype" w:eastAsia="Aptos" w:cs="Times New Roman"/>
        </w:rPr>
        <w:t xml:space="preserve"> the BARC proces</w:t>
      </w:r>
      <w:r w:rsidRPr="008F34BE" w:rsidR="003B0BEA">
        <w:rPr>
          <w:rFonts w:ascii="Palatino Linotype" w:hAnsi="Palatino Linotype" w:eastAsia="Aptos" w:cs="Times New Roman"/>
        </w:rPr>
        <w:t>s calculations</w:t>
      </w:r>
      <w:r w:rsidRPr="008F34BE" w:rsidR="00951590">
        <w:rPr>
          <w:rFonts w:ascii="Palatino Linotype" w:hAnsi="Palatino Linotype" w:eastAsia="Aptos" w:cs="Times New Roman"/>
        </w:rPr>
        <w:t>.</w:t>
      </w:r>
    </w:p>
    <w:p w:rsidRPr="008F34BE" w:rsidR="005A317E" w:rsidP="005A317E" w:rsidRDefault="005A317E" w14:paraId="733E358C" w14:textId="77777777">
      <w:pPr>
        <w:spacing w:after="0" w:line="240" w:lineRule="auto"/>
        <w:rPr>
          <w:rFonts w:ascii="Palatino Linotype" w:hAnsi="Palatino Linotype" w:eastAsia="Aptos" w:cs="Times New Roman"/>
        </w:rPr>
      </w:pPr>
    </w:p>
    <w:p w:rsidRPr="008F34BE" w:rsidR="00951590" w:rsidP="005A317E" w:rsidRDefault="00DC4B57" w14:paraId="34993AB7"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Similarly, </w:t>
      </w:r>
      <w:r w:rsidRPr="008F34BE" w:rsidR="00A911A7">
        <w:rPr>
          <w:rFonts w:ascii="Palatino Linotype" w:hAnsi="Palatino Linotype" w:eastAsia="Aptos" w:cs="Times New Roman"/>
        </w:rPr>
        <w:t>net revenue does not include</w:t>
      </w:r>
      <w:r w:rsidRPr="008F34BE">
        <w:rPr>
          <w:rFonts w:ascii="Palatino Linotype" w:hAnsi="Palatino Linotype" w:eastAsia="Aptos" w:cs="Times New Roman"/>
        </w:rPr>
        <w:t xml:space="preserve"> r</w:t>
      </w:r>
      <w:r w:rsidRPr="008F34BE" w:rsidR="00951590">
        <w:rPr>
          <w:rFonts w:ascii="Palatino Linotype" w:hAnsi="Palatino Linotype" w:eastAsia="Aptos" w:cs="Times New Roman"/>
        </w:rPr>
        <w:t>evenue from Public Purpose Programs</w:t>
      </w:r>
      <w:r w:rsidRPr="008F34BE">
        <w:rPr>
          <w:rFonts w:ascii="Palatino Linotype" w:hAnsi="Palatino Linotype" w:eastAsia="Aptos" w:cs="Times New Roman"/>
        </w:rPr>
        <w:t>,</w:t>
      </w:r>
      <w:r w:rsidRPr="008F34BE" w:rsidR="00951590">
        <w:rPr>
          <w:rFonts w:ascii="Palatino Linotype" w:hAnsi="Palatino Linotype" w:eastAsia="Aptos" w:cs="Times New Roman"/>
        </w:rPr>
        <w:t xml:space="preserve"> such as the California Alternate Rates for Energy (CARE) Program. </w:t>
      </w:r>
      <w:r w:rsidRPr="008F34BE" w:rsidR="00EB413D">
        <w:rPr>
          <w:rFonts w:ascii="Palatino Linotype" w:hAnsi="Palatino Linotype" w:eastAsia="Aptos" w:cs="Times New Roman"/>
        </w:rPr>
        <w:t>As</w:t>
      </w:r>
      <w:r w:rsidRPr="008F34BE" w:rsidR="00951590">
        <w:rPr>
          <w:rFonts w:ascii="Palatino Linotype" w:hAnsi="Palatino Linotype" w:eastAsia="Aptos" w:cs="Times New Roman"/>
        </w:rPr>
        <w:t xml:space="preserve"> above, refunds </w:t>
      </w:r>
      <w:r w:rsidRPr="008F34BE" w:rsidR="00EB413D">
        <w:rPr>
          <w:rFonts w:ascii="Palatino Linotype" w:hAnsi="Palatino Linotype" w:eastAsia="Aptos" w:cs="Times New Roman"/>
        </w:rPr>
        <w:t xml:space="preserve">are only </w:t>
      </w:r>
      <w:proofErr w:type="gramStart"/>
      <w:r w:rsidRPr="008F34BE" w:rsidR="00EB413D">
        <w:rPr>
          <w:rFonts w:ascii="Palatino Linotype" w:hAnsi="Palatino Linotype" w:eastAsia="Aptos" w:cs="Times New Roman"/>
        </w:rPr>
        <w:t>predicated</w:t>
      </w:r>
      <w:proofErr w:type="gramEnd"/>
      <w:r w:rsidRPr="008F34BE" w:rsidR="00EB413D">
        <w:rPr>
          <w:rFonts w:ascii="Palatino Linotype" w:hAnsi="Palatino Linotype" w:eastAsia="Aptos" w:cs="Times New Roman"/>
        </w:rPr>
        <w:t xml:space="preserve"> on revenue collected to fund </w:t>
      </w:r>
      <w:r w:rsidRPr="008F34BE" w:rsidR="00951590">
        <w:rPr>
          <w:rFonts w:ascii="Palatino Linotype" w:hAnsi="Palatino Linotype" w:eastAsia="Aptos" w:cs="Times New Roman"/>
        </w:rPr>
        <w:t>transmission infrastructure</w:t>
      </w:r>
      <w:r w:rsidRPr="008F34BE" w:rsidR="000114EB">
        <w:rPr>
          <w:rFonts w:ascii="Palatino Linotype" w:hAnsi="Palatino Linotype" w:eastAsia="Aptos" w:cs="Times New Roman"/>
        </w:rPr>
        <w:t>, and thus the BARC process calculation excludes</w:t>
      </w:r>
      <w:r w:rsidRPr="008F34BE" w:rsidR="00951590">
        <w:rPr>
          <w:rFonts w:ascii="Palatino Linotype" w:hAnsi="Palatino Linotype" w:eastAsia="Aptos" w:cs="Times New Roman"/>
        </w:rPr>
        <w:t xml:space="preserve"> revenue the customer pays to fund </w:t>
      </w:r>
      <w:r w:rsidRPr="008F34BE" w:rsidR="000114EB">
        <w:rPr>
          <w:rFonts w:ascii="Palatino Linotype" w:hAnsi="Palatino Linotype" w:eastAsia="Aptos" w:cs="Times New Roman"/>
        </w:rPr>
        <w:t>Public Purpose Programs</w:t>
      </w:r>
      <w:r w:rsidRPr="008F34BE" w:rsidR="00951590">
        <w:rPr>
          <w:rFonts w:ascii="Palatino Linotype" w:hAnsi="Palatino Linotype" w:eastAsia="Aptos" w:cs="Times New Roman"/>
        </w:rPr>
        <w:t>.</w:t>
      </w:r>
    </w:p>
    <w:p w:rsidRPr="008F34BE" w:rsidR="005A317E" w:rsidP="005A317E" w:rsidRDefault="005A317E" w14:paraId="756E45E2" w14:textId="77777777">
      <w:pPr>
        <w:spacing w:after="0" w:line="240" w:lineRule="auto"/>
        <w:rPr>
          <w:rFonts w:ascii="Palatino Linotype" w:hAnsi="Palatino Linotype" w:eastAsia="Aptos" w:cs="Times New Roman"/>
        </w:rPr>
      </w:pPr>
    </w:p>
    <w:p w:rsidRPr="008F34BE" w:rsidR="00951590" w:rsidP="005A317E" w:rsidRDefault="00951590" w14:paraId="227BF347"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The following discussion of refunds relating to the cost of transmission infrastructure needed to energize a customer</w:t>
      </w:r>
      <w:r w:rsidRPr="008F34BE" w:rsidDel="00910877">
        <w:rPr>
          <w:rFonts w:ascii="Palatino Linotype" w:hAnsi="Palatino Linotype" w:eastAsia="Aptos" w:cs="Times New Roman"/>
        </w:rPr>
        <w:t xml:space="preserve"> </w:t>
      </w:r>
      <w:r w:rsidRPr="008F34BE">
        <w:rPr>
          <w:rFonts w:ascii="Palatino Linotype" w:hAnsi="Palatino Linotype" w:eastAsia="Aptos" w:cs="Times New Roman"/>
        </w:rPr>
        <w:t xml:space="preserve">therefore focuses </w:t>
      </w:r>
      <w:r w:rsidRPr="008F34BE" w:rsidR="00221DA6">
        <w:rPr>
          <w:rFonts w:ascii="Palatino Linotype" w:hAnsi="Palatino Linotype" w:eastAsia="Aptos" w:cs="Times New Roman"/>
        </w:rPr>
        <w:t xml:space="preserve">only </w:t>
      </w:r>
      <w:r w:rsidRPr="008F34BE">
        <w:rPr>
          <w:rFonts w:ascii="Palatino Linotype" w:hAnsi="Palatino Linotype" w:eastAsia="Aptos" w:cs="Times New Roman"/>
        </w:rPr>
        <w:t>on net revenue.</w:t>
      </w:r>
    </w:p>
    <w:p w:rsidRPr="008F34BE" w:rsidR="005A317E" w:rsidP="005A317E" w:rsidRDefault="005A317E" w14:paraId="0830AE28" w14:textId="77777777">
      <w:pPr>
        <w:spacing w:after="0" w:line="240" w:lineRule="auto"/>
        <w:rPr>
          <w:rFonts w:ascii="Palatino Linotype" w:hAnsi="Palatino Linotype" w:eastAsia="Aptos" w:cs="Times New Roman"/>
        </w:rPr>
      </w:pPr>
    </w:p>
    <w:p w:rsidRPr="008F34BE" w:rsidR="005A317E" w:rsidP="00100635" w:rsidRDefault="004D04BE" w14:paraId="4E95F352" w14:textId="77777777">
      <w:pPr>
        <w:keepNext/>
        <w:spacing w:after="0" w:line="240" w:lineRule="auto"/>
        <w:rPr>
          <w:rFonts w:ascii="Palatino Linotype" w:hAnsi="Palatino Linotype" w:eastAsia="Aptos" w:cs="Times New Roman"/>
          <w:i/>
          <w:iCs/>
        </w:rPr>
      </w:pPr>
      <w:r w:rsidRPr="008F34BE">
        <w:rPr>
          <w:rFonts w:ascii="Palatino Linotype" w:hAnsi="Palatino Linotype" w:eastAsia="Aptos" w:cs="Times New Roman"/>
          <w:i/>
          <w:iCs/>
        </w:rPr>
        <w:t>Cost of Energization and Future Revenue</w:t>
      </w:r>
    </w:p>
    <w:p w:rsidRPr="008F34BE" w:rsidR="005A317E" w:rsidP="00100635" w:rsidRDefault="005A317E" w14:paraId="69A472DE" w14:textId="77777777">
      <w:pPr>
        <w:keepNext/>
        <w:spacing w:after="0" w:line="240" w:lineRule="auto"/>
        <w:rPr>
          <w:rFonts w:ascii="Palatino Linotype" w:hAnsi="Palatino Linotype" w:eastAsia="Aptos" w:cs="Times New Roman"/>
        </w:rPr>
      </w:pPr>
    </w:p>
    <w:p w:rsidR="00F419E2" w:rsidP="00100635" w:rsidRDefault="004D04BE" w14:paraId="64D7A5EF" w14:textId="77777777">
      <w:pPr>
        <w:keepNext/>
        <w:spacing w:after="0" w:line="240" w:lineRule="auto"/>
        <w:rPr>
          <w:rFonts w:ascii="Palatino Linotype" w:hAnsi="Palatino Linotype" w:eastAsia="Aptos" w:cs="Times New Roman"/>
        </w:rPr>
      </w:pPr>
      <w:r w:rsidRPr="008F34BE">
        <w:rPr>
          <w:rFonts w:ascii="Palatino Linotype" w:hAnsi="Palatino Linotype" w:eastAsia="Aptos" w:cs="Times New Roman"/>
        </w:rPr>
        <w:t>Microsoft</w:t>
      </w:r>
      <w:r w:rsidRPr="008F34BE" w:rsidR="00F419E2">
        <w:rPr>
          <w:rFonts w:ascii="Palatino Linotype" w:hAnsi="Palatino Linotype" w:eastAsia="Aptos" w:cs="Times New Roman"/>
        </w:rPr>
        <w:t>’s projected new load is expected to be</w:t>
      </w:r>
      <w:r w:rsidRPr="008F34BE" w:rsidR="005A317E">
        <w:rPr>
          <w:rFonts w:ascii="Palatino Linotype" w:hAnsi="Palatino Linotype" w:eastAsia="Aptos" w:cs="Times New Roman"/>
        </w:rPr>
        <w:t xml:space="preserve"> 90 megawatt</w:t>
      </w:r>
      <w:r w:rsidRPr="008F34BE" w:rsidR="00F419E2">
        <w:rPr>
          <w:rFonts w:ascii="Palatino Linotype" w:hAnsi="Palatino Linotype" w:eastAsia="Aptos" w:cs="Times New Roman"/>
        </w:rPr>
        <w:t>s</w:t>
      </w:r>
      <w:r w:rsidRPr="008F34BE" w:rsidR="005A317E">
        <w:rPr>
          <w:rFonts w:ascii="Palatino Linotype" w:hAnsi="Palatino Linotype" w:eastAsia="Aptos" w:cs="Times New Roman"/>
        </w:rPr>
        <w:t xml:space="preserve"> (MW) </w:t>
      </w:r>
      <w:r w:rsidRPr="008F34BE" w:rsidR="00593E22">
        <w:rPr>
          <w:rFonts w:ascii="Palatino Linotype" w:hAnsi="Palatino Linotype" w:eastAsia="Aptos" w:cs="Times New Roman"/>
        </w:rPr>
        <w:t>continuously</w:t>
      </w:r>
      <w:r w:rsidRPr="008F34BE" w:rsidR="005A317E">
        <w:rPr>
          <w:rFonts w:ascii="Palatino Linotype" w:hAnsi="Palatino Linotype" w:eastAsia="Aptos" w:cs="Times New Roman"/>
        </w:rPr>
        <w:t>.</w:t>
      </w:r>
      <w:r w:rsidRPr="008F34BE" w:rsidR="00F419E2">
        <w:rPr>
          <w:rFonts w:ascii="Palatino Linotype" w:hAnsi="Palatino Linotype" w:eastAsia="Aptos" w:cs="Times New Roman"/>
        </w:rPr>
        <w:t xml:space="preserve"> This </w:t>
      </w:r>
      <w:r w:rsidRPr="008F34BE" w:rsidR="00D36F49">
        <w:rPr>
          <w:rFonts w:ascii="Palatino Linotype" w:hAnsi="Palatino Linotype" w:eastAsia="Aptos" w:cs="Times New Roman"/>
        </w:rPr>
        <w:t>represents</w:t>
      </w:r>
      <w:r w:rsidRPr="008F34BE" w:rsidR="00F419E2">
        <w:rPr>
          <w:rFonts w:ascii="Palatino Linotype" w:hAnsi="Palatino Linotype" w:eastAsia="Aptos" w:cs="Times New Roman"/>
        </w:rPr>
        <w:t xml:space="preserve"> a significant </w:t>
      </w:r>
      <w:r w:rsidRPr="008F34BE" w:rsidR="00D36F49">
        <w:rPr>
          <w:rFonts w:ascii="Palatino Linotype" w:hAnsi="Palatino Linotype" w:eastAsia="Aptos" w:cs="Times New Roman"/>
        </w:rPr>
        <w:t xml:space="preserve">new amount of load and will require </w:t>
      </w:r>
      <w:r w:rsidRPr="008F34BE" w:rsidR="00F30333">
        <w:rPr>
          <w:rFonts w:ascii="Palatino Linotype" w:hAnsi="Palatino Linotype" w:eastAsia="Aptos" w:cs="Times New Roman"/>
        </w:rPr>
        <w:t>a</w:t>
      </w:r>
      <w:r w:rsidRPr="008F34BE" w:rsidR="00D36F49">
        <w:rPr>
          <w:rFonts w:ascii="Palatino Linotype" w:hAnsi="Palatino Linotype" w:eastAsia="Aptos" w:cs="Times New Roman"/>
        </w:rPr>
        <w:t xml:space="preserve"> new dedicated </w:t>
      </w:r>
      <w:r w:rsidR="002911D6">
        <w:rPr>
          <w:rFonts w:ascii="Palatino Linotype" w:hAnsi="Palatino Linotype" w:eastAsia="Aptos" w:cs="Times New Roman"/>
        </w:rPr>
        <w:br/>
      </w:r>
      <w:r w:rsidRPr="008F34BE" w:rsidR="00D36F49">
        <w:rPr>
          <w:rFonts w:ascii="Palatino Linotype" w:hAnsi="Palatino Linotype" w:eastAsia="Aptos" w:cs="Times New Roman"/>
        </w:rPr>
        <w:t>115 k</w:t>
      </w:r>
      <w:r w:rsidRPr="008F34BE" w:rsidR="00CF2390">
        <w:rPr>
          <w:rFonts w:ascii="Palatino Linotype" w:hAnsi="Palatino Linotype" w:eastAsia="Aptos" w:cs="Times New Roman"/>
        </w:rPr>
        <w:t>ilovolt (kV)</w:t>
      </w:r>
      <w:r w:rsidRPr="008F34BE" w:rsidR="00D36F49">
        <w:rPr>
          <w:rFonts w:ascii="Palatino Linotype" w:hAnsi="Palatino Linotype" w:eastAsia="Aptos" w:cs="Times New Roman"/>
        </w:rPr>
        <w:t xml:space="preserve"> transmission </w:t>
      </w:r>
      <w:r w:rsidRPr="008F34BE" w:rsidR="002735AA">
        <w:rPr>
          <w:rFonts w:ascii="Palatino Linotype" w:hAnsi="Palatino Linotype" w:eastAsia="Aptos" w:cs="Times New Roman"/>
        </w:rPr>
        <w:t>line extension</w:t>
      </w:r>
      <w:r w:rsidRPr="008F34BE" w:rsidR="00D36F49">
        <w:rPr>
          <w:rFonts w:ascii="Palatino Linotype" w:hAnsi="Palatino Linotype" w:eastAsia="Aptos" w:cs="Times New Roman"/>
        </w:rPr>
        <w:t xml:space="preserve"> to serve</w:t>
      </w:r>
      <w:r w:rsidRPr="008F34BE" w:rsidR="00221595">
        <w:rPr>
          <w:rFonts w:ascii="Palatino Linotype" w:hAnsi="Palatino Linotype" w:eastAsia="Aptos" w:cs="Times New Roman"/>
        </w:rPr>
        <w:t xml:space="preserve"> the expected load</w:t>
      </w:r>
      <w:r w:rsidRPr="008F34BE" w:rsidR="00475AF6">
        <w:rPr>
          <w:rFonts w:ascii="Palatino Linotype" w:hAnsi="Palatino Linotype" w:eastAsia="Aptos" w:cs="Times New Roman"/>
        </w:rPr>
        <w:t>,</w:t>
      </w:r>
      <w:r w:rsidRPr="008F34BE" w:rsidR="00F30333">
        <w:rPr>
          <w:rFonts w:ascii="Palatino Linotype" w:hAnsi="Palatino Linotype" w:eastAsia="Aptos" w:cs="Times New Roman"/>
        </w:rPr>
        <w:t xml:space="preserve"> along with associated transmission substation </w:t>
      </w:r>
      <w:r w:rsidRPr="008F34BE" w:rsidR="00550458">
        <w:rPr>
          <w:rFonts w:ascii="Palatino Linotype" w:hAnsi="Palatino Linotype" w:eastAsia="Aptos" w:cs="Times New Roman"/>
        </w:rPr>
        <w:t>upgrades</w:t>
      </w:r>
      <w:r w:rsidRPr="008F34BE" w:rsidR="00CF2390">
        <w:rPr>
          <w:rFonts w:ascii="Palatino Linotype" w:hAnsi="Palatino Linotype" w:eastAsia="Aptos" w:cs="Times New Roman"/>
        </w:rPr>
        <w:t xml:space="preserve">. Microsoft has also requested a second </w:t>
      </w:r>
      <w:r w:rsidR="003B63D4">
        <w:rPr>
          <w:rFonts w:ascii="Palatino Linotype" w:hAnsi="Palatino Linotype" w:eastAsia="Aptos" w:cs="Times New Roman"/>
        </w:rPr>
        <w:br/>
      </w:r>
      <w:r w:rsidRPr="008F34BE" w:rsidR="00CF2390">
        <w:rPr>
          <w:rFonts w:ascii="Palatino Linotype" w:hAnsi="Palatino Linotype" w:eastAsia="Aptos" w:cs="Times New Roman"/>
        </w:rPr>
        <w:lastRenderedPageBreak/>
        <w:t xml:space="preserve">115 kV line to provide redundant service, though this work is being performed under a Special Facilities Agreement and </w:t>
      </w:r>
      <w:r w:rsidRPr="008F34BE" w:rsidR="00CF2390">
        <w:rPr>
          <w:rFonts w:ascii="Palatino Linotype" w:hAnsi="Palatino Linotype" w:eastAsia="Aptos" w:cs="Times New Roman"/>
          <w:i/>
          <w:iCs/>
        </w:rPr>
        <w:t>will not</w:t>
      </w:r>
      <w:r w:rsidRPr="008F34BE" w:rsidR="00CF2390">
        <w:rPr>
          <w:rFonts w:ascii="Palatino Linotype" w:hAnsi="Palatino Linotype" w:eastAsia="Aptos" w:cs="Times New Roman"/>
        </w:rPr>
        <w:t xml:space="preserve"> be paid by PG&amp;E ratepayers</w:t>
      </w:r>
      <w:r w:rsidRPr="008F34BE" w:rsidR="00410841">
        <w:rPr>
          <w:rFonts w:ascii="Palatino Linotype" w:hAnsi="Palatino Linotype" w:eastAsia="Aptos" w:cs="Times New Roman"/>
        </w:rPr>
        <w:t xml:space="preserve"> at any point</w:t>
      </w:r>
      <w:r w:rsidRPr="008F34BE" w:rsidR="00CF2390">
        <w:rPr>
          <w:rFonts w:ascii="Palatino Linotype" w:hAnsi="Palatino Linotype" w:eastAsia="Aptos" w:cs="Times New Roman"/>
        </w:rPr>
        <w:t>.</w:t>
      </w:r>
      <w:r w:rsidRPr="008F34BE" w:rsidR="00CF2390">
        <w:rPr>
          <w:rStyle w:val="FootnoteReference"/>
          <w:rFonts w:ascii="Palatino Linotype" w:hAnsi="Palatino Linotype" w:eastAsia="Aptos" w:cs="Times New Roman"/>
        </w:rPr>
        <w:footnoteReference w:id="14"/>
      </w:r>
    </w:p>
    <w:p w:rsidRPr="008F34BE" w:rsidR="005D0830" w:rsidP="00FB576A" w:rsidRDefault="005D0830" w14:paraId="4005A242" w14:textId="77777777">
      <w:pPr>
        <w:spacing w:after="0" w:line="240" w:lineRule="auto"/>
        <w:rPr>
          <w:rFonts w:ascii="Palatino Linotype" w:hAnsi="Palatino Linotype" w:eastAsia="Aptos" w:cs="Times New Roman"/>
        </w:rPr>
      </w:pPr>
    </w:p>
    <w:p w:rsidRPr="008F34BE" w:rsidR="005A317E" w:rsidP="00282ED0" w:rsidRDefault="00093CD9" w14:paraId="332E8F0D"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The cost of energization</w:t>
      </w:r>
      <w:r w:rsidRPr="008F34BE" w:rsidR="005A317E">
        <w:rPr>
          <w:rFonts w:ascii="Palatino Linotype" w:hAnsi="Palatino Linotype" w:eastAsia="Aptos" w:cs="Times New Roman"/>
        </w:rPr>
        <w:t xml:space="preserve">, once refunded by PG&amp;E, would then be considered </w:t>
      </w:r>
      <w:proofErr w:type="gramStart"/>
      <w:r w:rsidRPr="008F34BE" w:rsidR="00535584">
        <w:rPr>
          <w:rFonts w:ascii="Palatino Linotype" w:hAnsi="Palatino Linotype" w:eastAsia="Aptos" w:cs="Times New Roman"/>
        </w:rPr>
        <w:t xml:space="preserve">a </w:t>
      </w:r>
      <w:r w:rsidRPr="008F34BE" w:rsidR="005A317E">
        <w:rPr>
          <w:rFonts w:ascii="Palatino Linotype" w:hAnsi="Palatino Linotype" w:eastAsia="Aptos" w:cs="Times New Roman"/>
        </w:rPr>
        <w:t>capital</w:t>
      </w:r>
      <w:proofErr w:type="gramEnd"/>
      <w:r w:rsidRPr="008F34BE" w:rsidR="005A317E">
        <w:rPr>
          <w:rFonts w:ascii="Palatino Linotype" w:hAnsi="Palatino Linotype" w:eastAsia="Aptos" w:cs="Times New Roman"/>
        </w:rPr>
        <w:t xml:space="preserve"> exp</w:t>
      </w:r>
      <w:r w:rsidRPr="008F34BE" w:rsidR="00B65064">
        <w:rPr>
          <w:rFonts w:ascii="Palatino Linotype" w:hAnsi="Palatino Linotype" w:eastAsia="Aptos" w:cs="Times New Roman"/>
        </w:rPr>
        <w:t>enditure</w:t>
      </w:r>
      <w:r w:rsidRPr="008F34BE" w:rsidR="005A317E">
        <w:rPr>
          <w:rFonts w:ascii="Palatino Linotype" w:hAnsi="Palatino Linotype" w:eastAsia="Aptos" w:cs="Times New Roman"/>
        </w:rPr>
        <w:t xml:space="preserve"> and </w:t>
      </w:r>
      <w:r w:rsidRPr="008F34BE" w:rsidR="00B65064">
        <w:rPr>
          <w:rFonts w:ascii="Palatino Linotype" w:hAnsi="Palatino Linotype" w:eastAsia="Aptos" w:cs="Times New Roman"/>
        </w:rPr>
        <w:t>would</w:t>
      </w:r>
      <w:r w:rsidRPr="008F34BE" w:rsidR="00082CBA">
        <w:rPr>
          <w:rFonts w:ascii="Palatino Linotype" w:hAnsi="Palatino Linotype" w:eastAsia="Aptos" w:cs="Times New Roman"/>
        </w:rPr>
        <w:t xml:space="preserve"> be</w:t>
      </w:r>
      <w:r w:rsidRPr="008F34BE" w:rsidR="00B65064">
        <w:rPr>
          <w:rFonts w:ascii="Palatino Linotype" w:hAnsi="Palatino Linotype" w:eastAsia="Aptos" w:cs="Times New Roman"/>
        </w:rPr>
        <w:t xml:space="preserve"> </w:t>
      </w:r>
      <w:r w:rsidRPr="008F34BE" w:rsidR="005A317E">
        <w:rPr>
          <w:rFonts w:ascii="Palatino Linotype" w:hAnsi="Palatino Linotype" w:eastAsia="Aptos" w:cs="Times New Roman"/>
        </w:rPr>
        <w:t>recovered from PG&amp;E ratepayers on an amortized basis. The scale of th</w:t>
      </w:r>
      <w:r w:rsidRPr="008F34BE" w:rsidR="00626B4B">
        <w:rPr>
          <w:rFonts w:ascii="Palatino Linotype" w:hAnsi="Palatino Linotype" w:eastAsia="Aptos" w:cs="Times New Roman"/>
        </w:rPr>
        <w:t>e</w:t>
      </w:r>
      <w:r w:rsidRPr="008F34BE" w:rsidR="005A317E">
        <w:rPr>
          <w:rFonts w:ascii="Palatino Linotype" w:hAnsi="Palatino Linotype" w:eastAsia="Aptos" w:cs="Times New Roman"/>
        </w:rPr>
        <w:t xml:space="preserve"> required </w:t>
      </w:r>
      <w:r w:rsidRPr="008F34BE" w:rsidR="00626B4B">
        <w:rPr>
          <w:rFonts w:ascii="Palatino Linotype" w:hAnsi="Palatino Linotype" w:eastAsia="Aptos" w:cs="Times New Roman"/>
        </w:rPr>
        <w:t xml:space="preserve">construction and </w:t>
      </w:r>
      <w:r w:rsidRPr="008F34BE" w:rsidR="005A317E">
        <w:rPr>
          <w:rFonts w:ascii="Palatino Linotype" w:hAnsi="Palatino Linotype" w:eastAsia="Aptos" w:cs="Times New Roman"/>
        </w:rPr>
        <w:t>upgrades is much larger than is typical for energizing an average distribution-level customer, which typically costs closer to 120,000.</w:t>
      </w:r>
      <w:r w:rsidRPr="008F34BE" w:rsidR="005A317E">
        <w:rPr>
          <w:rStyle w:val="FootnoteReference"/>
          <w:rFonts w:ascii="Palatino Linotype" w:hAnsi="Palatino Linotype" w:eastAsia="Aptos" w:cs="Times New Roman"/>
        </w:rPr>
        <w:footnoteReference w:id="15"/>
      </w:r>
      <w:r w:rsidRPr="008F34BE" w:rsidR="00643384">
        <w:rPr>
          <w:rFonts w:ascii="Palatino Linotype" w:hAnsi="Palatino Linotype" w:eastAsia="Aptos" w:cs="Times New Roman"/>
        </w:rPr>
        <w:t xml:space="preserve"> The load factor for Microsoft’s data center w</w:t>
      </w:r>
      <w:r w:rsidRPr="008F34BE" w:rsidR="00626B4B">
        <w:rPr>
          <w:rFonts w:ascii="Palatino Linotype" w:hAnsi="Palatino Linotype" w:eastAsia="Aptos" w:cs="Times New Roman"/>
        </w:rPr>
        <w:t xml:space="preserve">ill likely also </w:t>
      </w:r>
      <w:r w:rsidRPr="008F34BE" w:rsidR="00A935F2">
        <w:rPr>
          <w:rFonts w:ascii="Palatino Linotype" w:hAnsi="Palatino Linotype" w:eastAsia="Aptos" w:cs="Times New Roman"/>
        </w:rPr>
        <w:t>be much higher than th</w:t>
      </w:r>
      <w:r w:rsidRPr="008F34BE" w:rsidR="00626B4B">
        <w:rPr>
          <w:rFonts w:ascii="Palatino Linotype" w:hAnsi="Palatino Linotype" w:eastAsia="Aptos" w:cs="Times New Roman"/>
        </w:rPr>
        <w:t>at of a</w:t>
      </w:r>
      <w:r w:rsidRPr="008F34BE" w:rsidR="00A935F2">
        <w:rPr>
          <w:rFonts w:ascii="Palatino Linotype" w:hAnsi="Palatino Linotype" w:eastAsia="Aptos" w:cs="Times New Roman"/>
        </w:rPr>
        <w:t xml:space="preserve"> typical distribution customer, with a typical</w:t>
      </w:r>
      <w:r w:rsidRPr="008F34BE" w:rsidR="005A317E">
        <w:rPr>
          <w:rFonts w:ascii="Palatino Linotype" w:hAnsi="Palatino Linotype" w:eastAsia="Aptos" w:cs="Times New Roman"/>
        </w:rPr>
        <w:t xml:space="preserve"> residential subdivision on the distribution system estimated to operate </w:t>
      </w:r>
      <w:r w:rsidRPr="008F34BE" w:rsidR="00A935F2">
        <w:rPr>
          <w:rFonts w:ascii="Palatino Linotype" w:hAnsi="Palatino Linotype" w:eastAsia="Aptos" w:cs="Times New Roman"/>
        </w:rPr>
        <w:t>at</w:t>
      </w:r>
      <w:r w:rsidRPr="008F34BE" w:rsidR="005A317E">
        <w:rPr>
          <w:rFonts w:ascii="Palatino Linotype" w:hAnsi="Palatino Linotype" w:eastAsia="Aptos" w:cs="Times New Roman"/>
        </w:rPr>
        <w:t xml:space="preserve"> a</w:t>
      </w:r>
      <w:r w:rsidRPr="008F34BE" w:rsidR="00470648">
        <w:rPr>
          <w:rFonts w:ascii="Palatino Linotype" w:hAnsi="Palatino Linotype" w:eastAsia="Aptos" w:cs="Times New Roman"/>
        </w:rPr>
        <w:t xml:space="preserve"> load factor of</w:t>
      </w:r>
      <w:r w:rsidRPr="008F34BE" w:rsidR="005A317E">
        <w:rPr>
          <w:rFonts w:ascii="Palatino Linotype" w:hAnsi="Palatino Linotype" w:eastAsia="Aptos" w:cs="Times New Roman"/>
        </w:rPr>
        <w:t xml:space="preserve"> approximately 30 percent. A customer with a high load factor and large load could generate significant revenue on an annual basis, though this impact would be reduced if a significant portion of revenue </w:t>
      </w:r>
      <w:proofErr w:type="gramStart"/>
      <w:r w:rsidRPr="008F34BE" w:rsidR="005A317E">
        <w:rPr>
          <w:rFonts w:ascii="Palatino Linotype" w:hAnsi="Palatino Linotype" w:eastAsia="Aptos" w:cs="Times New Roman"/>
        </w:rPr>
        <w:t>comes</w:t>
      </w:r>
      <w:proofErr w:type="gramEnd"/>
      <w:r w:rsidRPr="008F34BE" w:rsidR="005A317E">
        <w:rPr>
          <w:rFonts w:ascii="Palatino Linotype" w:hAnsi="Palatino Linotype" w:eastAsia="Aptos" w:cs="Times New Roman"/>
        </w:rPr>
        <w:t xml:space="preserve"> from demand rates rather than energy rates.</w:t>
      </w:r>
      <w:r w:rsidRPr="008F34BE" w:rsidR="005A317E">
        <w:rPr>
          <w:rStyle w:val="FootnoteReference"/>
          <w:rFonts w:ascii="Palatino Linotype" w:hAnsi="Palatino Linotype" w:eastAsia="Aptos" w:cs="Times New Roman"/>
        </w:rPr>
        <w:footnoteReference w:id="16"/>
      </w:r>
      <w:r w:rsidRPr="008F34BE" w:rsidR="005A317E">
        <w:rPr>
          <w:rFonts w:ascii="Palatino Linotype" w:hAnsi="Palatino Linotype" w:eastAsia="Aptos" w:cs="Times New Roman"/>
        </w:rPr>
        <w:t xml:space="preserve"> Overall, energizing </w:t>
      </w:r>
      <w:r w:rsidRPr="008F34BE" w:rsidR="00413E09">
        <w:rPr>
          <w:rFonts w:ascii="Palatino Linotype" w:hAnsi="Palatino Linotype" w:eastAsia="Aptos" w:cs="Times New Roman"/>
        </w:rPr>
        <w:t xml:space="preserve">the </w:t>
      </w:r>
      <w:r w:rsidRPr="008F34BE" w:rsidR="008659F7">
        <w:rPr>
          <w:rFonts w:ascii="Palatino Linotype" w:hAnsi="Palatino Linotype" w:eastAsia="Aptos" w:cs="Times New Roman"/>
        </w:rPr>
        <w:t>Microsoft</w:t>
      </w:r>
      <w:r w:rsidRPr="008F34BE" w:rsidR="005A317E">
        <w:rPr>
          <w:rFonts w:ascii="Palatino Linotype" w:hAnsi="Palatino Linotype" w:eastAsia="Aptos" w:cs="Times New Roman"/>
        </w:rPr>
        <w:t xml:space="preserve"> </w:t>
      </w:r>
      <w:r w:rsidRPr="008F34BE" w:rsidR="00413E09">
        <w:rPr>
          <w:rFonts w:ascii="Palatino Linotype" w:hAnsi="Palatino Linotype" w:eastAsia="Aptos" w:cs="Times New Roman"/>
        </w:rPr>
        <w:t>project</w:t>
      </w:r>
      <w:r w:rsidRPr="008F34BE" w:rsidR="005A317E">
        <w:rPr>
          <w:rFonts w:ascii="Palatino Linotype" w:hAnsi="Palatino Linotype" w:eastAsia="Aptos" w:cs="Times New Roman"/>
        </w:rPr>
        <w:t xml:space="preserve"> requires significant costs</w:t>
      </w:r>
      <w:r w:rsidRPr="008F34BE" w:rsidR="00413E09">
        <w:rPr>
          <w:rFonts w:ascii="Palatino Linotype" w:hAnsi="Palatino Linotype" w:eastAsia="Aptos" w:cs="Times New Roman"/>
        </w:rPr>
        <w:t>, but</w:t>
      </w:r>
      <w:r w:rsidRPr="008F34BE" w:rsidR="005A317E">
        <w:rPr>
          <w:rFonts w:ascii="Palatino Linotype" w:hAnsi="Palatino Linotype" w:eastAsia="Aptos" w:cs="Times New Roman"/>
        </w:rPr>
        <w:t xml:space="preserve"> comes with </w:t>
      </w:r>
      <w:r w:rsidRPr="008F34BE" w:rsidR="00413E09">
        <w:rPr>
          <w:rFonts w:ascii="Palatino Linotype" w:hAnsi="Palatino Linotype" w:eastAsia="Aptos" w:cs="Times New Roman"/>
        </w:rPr>
        <w:t xml:space="preserve">the </w:t>
      </w:r>
      <w:r w:rsidRPr="008F34BE" w:rsidR="005A317E">
        <w:rPr>
          <w:rFonts w:ascii="Palatino Linotype" w:hAnsi="Palatino Linotype" w:eastAsia="Aptos" w:cs="Times New Roman"/>
        </w:rPr>
        <w:t>opportunity for significant revenue</w:t>
      </w:r>
      <w:r w:rsidRPr="008F34BE" w:rsidR="00413E09">
        <w:rPr>
          <w:rFonts w:ascii="Palatino Linotype" w:hAnsi="Palatino Linotype" w:eastAsia="Aptos" w:cs="Times New Roman"/>
        </w:rPr>
        <w:t xml:space="preserve"> received by PG&amp;E</w:t>
      </w:r>
      <w:r w:rsidRPr="008F34BE" w:rsidR="005A317E">
        <w:rPr>
          <w:rFonts w:ascii="Palatino Linotype" w:hAnsi="Palatino Linotype" w:eastAsia="Aptos" w:cs="Times New Roman"/>
        </w:rPr>
        <w:t>. If these revenues are large and consistent enough, other customers</w:t>
      </w:r>
      <w:r w:rsidRPr="008F34BE" w:rsidR="00282ED0">
        <w:rPr>
          <w:rFonts w:ascii="Palatino Linotype" w:hAnsi="Palatino Linotype" w:eastAsia="Aptos" w:cs="Times New Roman"/>
        </w:rPr>
        <w:t xml:space="preserve"> may then have</w:t>
      </w:r>
      <w:r w:rsidRPr="008F34BE" w:rsidR="005A317E">
        <w:rPr>
          <w:rFonts w:ascii="Palatino Linotype" w:hAnsi="Palatino Linotype" w:eastAsia="Aptos" w:cs="Times New Roman"/>
        </w:rPr>
        <w:t xml:space="preserve"> to pay less of PG&amp;E’s overall revenue requirement, </w:t>
      </w:r>
      <w:r w:rsidRPr="008F34BE" w:rsidR="00282ED0">
        <w:rPr>
          <w:rFonts w:ascii="Palatino Linotype" w:hAnsi="Palatino Linotype" w:eastAsia="Aptos" w:cs="Times New Roman"/>
        </w:rPr>
        <w:t xml:space="preserve">which </w:t>
      </w:r>
      <w:r w:rsidRPr="008F34BE" w:rsidR="00D750B2">
        <w:rPr>
          <w:rFonts w:ascii="Palatino Linotype" w:hAnsi="Palatino Linotype" w:eastAsia="Aptos" w:cs="Times New Roman"/>
        </w:rPr>
        <w:t>could</w:t>
      </w:r>
      <w:r w:rsidRPr="008F34BE" w:rsidR="008955B7">
        <w:rPr>
          <w:rFonts w:ascii="Palatino Linotype" w:hAnsi="Palatino Linotype" w:eastAsia="Aptos" w:cs="Times New Roman"/>
        </w:rPr>
        <w:t xml:space="preserve"> </w:t>
      </w:r>
      <w:r w:rsidRPr="008F34BE" w:rsidR="00282ED0">
        <w:rPr>
          <w:rFonts w:ascii="Palatino Linotype" w:hAnsi="Palatino Linotype" w:eastAsia="Aptos" w:cs="Times New Roman"/>
        </w:rPr>
        <w:t>lower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r w:rsidRPr="008F34BE" w:rsidDel="00342DAE" w:rsidR="005A317E">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If these revenues are small or </w:t>
      </w:r>
      <w:r w:rsidRPr="008F34BE" w:rsidR="00413E09">
        <w:rPr>
          <w:rFonts w:ascii="Palatino Linotype" w:hAnsi="Palatino Linotype" w:eastAsia="Aptos" w:cs="Times New Roman"/>
        </w:rPr>
        <w:t>are not received</w:t>
      </w:r>
      <w:r w:rsidRPr="008F34BE" w:rsidR="005A317E">
        <w:rPr>
          <w:rFonts w:ascii="Palatino Linotype" w:hAnsi="Palatino Linotype" w:eastAsia="Aptos" w:cs="Times New Roman"/>
        </w:rPr>
        <w:t xml:space="preserve"> consistently</w:t>
      </w:r>
      <w:r w:rsidRPr="008F34BE" w:rsidR="00413E09">
        <w:rPr>
          <w:rFonts w:ascii="Palatino Linotype" w:hAnsi="Palatino Linotype" w:eastAsia="Aptos" w:cs="Times New Roman"/>
        </w:rPr>
        <w:t xml:space="preserve"> (e.g., the </w:t>
      </w:r>
      <w:r w:rsidRPr="008F34BE" w:rsidR="009074DC">
        <w:rPr>
          <w:rFonts w:ascii="Palatino Linotype" w:hAnsi="Palatino Linotype" w:eastAsia="Aptos" w:cs="Times New Roman"/>
        </w:rPr>
        <w:t>forecasted load does not materialize or runs at a significantly lower capacity factor than expected)</w:t>
      </w:r>
      <w:r w:rsidRPr="008F34BE" w:rsidR="005A317E">
        <w:rPr>
          <w:rFonts w:ascii="Palatino Linotype" w:hAnsi="Palatino Linotype" w:eastAsia="Aptos" w:cs="Times New Roman"/>
        </w:rPr>
        <w:t xml:space="preserve">, </w:t>
      </w:r>
      <w:r w:rsidRPr="008F34BE" w:rsidR="0064064E">
        <w:rPr>
          <w:rFonts w:ascii="Palatino Linotype" w:hAnsi="Palatino Linotype" w:eastAsia="Aptos" w:cs="Times New Roman"/>
        </w:rPr>
        <w:t>the shortfall could result in higher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p>
    <w:p w:rsidRPr="008F34BE" w:rsidR="00282ED0" w:rsidP="00282ED0" w:rsidRDefault="00282ED0" w14:paraId="1C32ADBB" w14:textId="77777777">
      <w:pPr>
        <w:spacing w:after="0" w:line="240" w:lineRule="auto"/>
        <w:rPr>
          <w:rFonts w:ascii="Palatino Linotype" w:hAnsi="Palatino Linotype" w:eastAsia="Aptos" w:cs="Times New Roman"/>
        </w:rPr>
      </w:pPr>
    </w:p>
    <w:p w:rsidRPr="008F34BE" w:rsidR="005A317E" w:rsidP="00F62790" w:rsidRDefault="005A317E" w14:paraId="5F3FA7C3"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proposes refunding the costs of new transmission facilities through the BARC</w:t>
      </w:r>
      <w:r w:rsidRPr="008F34BE" w:rsidR="00E530E4">
        <w:rPr>
          <w:rFonts w:ascii="Palatino Linotype" w:hAnsi="Palatino Linotype" w:eastAsia="Aptos" w:cs="Times New Roman"/>
        </w:rPr>
        <w:t xml:space="preserve"> refund process</w:t>
      </w:r>
      <w:r w:rsidRPr="008F34BE">
        <w:rPr>
          <w:rFonts w:ascii="Palatino Linotype" w:hAnsi="Palatino Linotype" w:eastAsia="Aptos" w:cs="Times New Roman"/>
        </w:rPr>
        <w:t>, which is the standard tariff mechanism under Electric Rule 15</w:t>
      </w:r>
      <w:r w:rsidRPr="008F34BE" w:rsidR="00E530E4">
        <w:rPr>
          <w:rFonts w:ascii="Palatino Linotype" w:hAnsi="Palatino Linotype" w:eastAsia="Aptos" w:cs="Times New Roman"/>
        </w:rPr>
        <w:t xml:space="preserve"> for the refund of </w:t>
      </w:r>
      <w:r w:rsidRPr="008F34BE" w:rsidR="00BA4701">
        <w:rPr>
          <w:rFonts w:ascii="Palatino Linotype" w:hAnsi="Palatino Linotype" w:eastAsia="Aptos" w:cs="Times New Roman"/>
        </w:rPr>
        <w:t>up-front energization costs paid by a customer</w:t>
      </w:r>
      <w:r w:rsidRPr="008F34BE">
        <w:rPr>
          <w:rFonts w:ascii="Palatino Linotype" w:hAnsi="Palatino Linotype" w:eastAsia="Aptos" w:cs="Times New Roman"/>
        </w:rPr>
        <w:t>. These rules are intended to guide cost responsibility and refunds for distribution-level energization</w:t>
      </w:r>
      <w:r w:rsidRPr="008F34BE" w:rsidR="00F93AC6">
        <w:rPr>
          <w:rFonts w:ascii="Palatino Linotype" w:hAnsi="Palatino Linotype" w:eastAsia="Aptos" w:cs="Times New Roman"/>
        </w:rPr>
        <w:t>,</w:t>
      </w:r>
      <w:r w:rsidRPr="008F34BE">
        <w:rPr>
          <w:rFonts w:ascii="Palatino Linotype" w:hAnsi="Palatino Linotype" w:eastAsia="Aptos" w:cs="Times New Roman"/>
        </w:rPr>
        <w:t xml:space="preserve"> and they provide </w:t>
      </w:r>
      <w:r w:rsidRPr="008F34BE" w:rsidR="00CF75DE">
        <w:rPr>
          <w:rFonts w:ascii="Palatino Linotype" w:hAnsi="Palatino Linotype" w:eastAsia="Aptos" w:cs="Times New Roman"/>
        </w:rPr>
        <w:t>a Commission-approved</w:t>
      </w:r>
      <w:r w:rsidRPr="008F34BE">
        <w:rPr>
          <w:rFonts w:ascii="Palatino Linotype" w:hAnsi="Palatino Linotype" w:eastAsia="Aptos" w:cs="Times New Roman"/>
        </w:rPr>
        <w:t xml:space="preserve"> framework for </w:t>
      </w:r>
      <w:r w:rsidRPr="008F34BE" w:rsidR="00CF75DE">
        <w:rPr>
          <w:rFonts w:ascii="Palatino Linotype" w:hAnsi="Palatino Linotype" w:eastAsia="Aptos" w:cs="Times New Roman"/>
        </w:rPr>
        <w:t xml:space="preserve">refunds related to </w:t>
      </w:r>
      <w:r w:rsidRPr="008F34BE" w:rsidR="00BA4701">
        <w:rPr>
          <w:rFonts w:ascii="Palatino Linotype" w:hAnsi="Palatino Linotype" w:eastAsia="Aptos" w:cs="Times New Roman"/>
        </w:rPr>
        <w:t xml:space="preserve">typical </w:t>
      </w:r>
      <w:r w:rsidR="003B63D4">
        <w:rPr>
          <w:rFonts w:ascii="Palatino Linotype" w:hAnsi="Palatino Linotype" w:eastAsia="Aptos" w:cs="Times New Roman"/>
        </w:rPr>
        <w:br/>
      </w:r>
      <w:r w:rsidRPr="008F34BE" w:rsidR="00BA4701">
        <w:rPr>
          <w:rFonts w:ascii="Palatino Linotype" w:hAnsi="Palatino Linotype" w:eastAsia="Aptos" w:cs="Times New Roman"/>
        </w:rPr>
        <w:t>distribution-level</w:t>
      </w:r>
      <w:r w:rsidRPr="008F34BE">
        <w:rPr>
          <w:rFonts w:ascii="Palatino Linotype" w:hAnsi="Palatino Linotype" w:eastAsia="Aptos" w:cs="Times New Roman"/>
        </w:rPr>
        <w:t xml:space="preserve"> loads. However, </w:t>
      </w:r>
      <w:r w:rsidRPr="008F34BE" w:rsidR="00EF6C44">
        <w:rPr>
          <w:rFonts w:ascii="Palatino Linotype" w:hAnsi="Palatino Linotype" w:eastAsia="Aptos" w:cs="Times New Roman"/>
        </w:rPr>
        <w:t>in this</w:t>
      </w:r>
      <w:r w:rsidRPr="008F34BE" w:rsidR="007D1787">
        <w:rPr>
          <w:rFonts w:ascii="Palatino Linotype" w:hAnsi="Palatino Linotype" w:eastAsia="Aptos" w:cs="Times New Roman"/>
        </w:rPr>
        <w:t xml:space="preserve"> exceptional</w:t>
      </w:r>
      <w:r w:rsidRPr="008F34BE" w:rsidR="00EF6C44">
        <w:rPr>
          <w:rFonts w:ascii="Palatino Linotype" w:hAnsi="Palatino Linotype" w:eastAsia="Aptos" w:cs="Times New Roman"/>
        </w:rPr>
        <w:t xml:space="preserve"> case</w:t>
      </w:r>
      <w:r w:rsidRPr="008F34BE" w:rsidR="007D1787">
        <w:rPr>
          <w:rFonts w:ascii="Palatino Linotype" w:hAnsi="Palatino Linotype" w:eastAsia="Aptos" w:cs="Times New Roman"/>
        </w:rPr>
        <w:t xml:space="preserve"> filing</w:t>
      </w:r>
      <w:r w:rsidRPr="008F34BE" w:rsidR="00EF6C44">
        <w:rPr>
          <w:rFonts w:ascii="Palatino Linotype" w:hAnsi="Palatino Linotype" w:eastAsia="Aptos" w:cs="Times New Roman"/>
        </w:rPr>
        <w:t xml:space="preserve">, </w:t>
      </w:r>
      <w:r w:rsidRPr="008F34BE">
        <w:rPr>
          <w:rFonts w:ascii="Palatino Linotype" w:hAnsi="Palatino Linotype" w:eastAsia="Aptos" w:cs="Times New Roman"/>
        </w:rPr>
        <w:t xml:space="preserve">considering the size of </w:t>
      </w:r>
      <w:r w:rsidRPr="008F34BE" w:rsidR="0072215E">
        <w:rPr>
          <w:rFonts w:ascii="Palatino Linotype" w:hAnsi="Palatino Linotype" w:eastAsia="Aptos" w:cs="Times New Roman"/>
        </w:rPr>
        <w:t>Microsoft’s</w:t>
      </w:r>
      <w:r w:rsidRPr="008F34BE">
        <w:rPr>
          <w:rFonts w:ascii="Palatino Linotype" w:hAnsi="Palatino Linotype" w:eastAsia="Aptos" w:cs="Times New Roman"/>
        </w:rPr>
        <w:t xml:space="preserve"> project and </w:t>
      </w:r>
      <w:r w:rsidRPr="008F34BE" w:rsidR="00CF75DE">
        <w:rPr>
          <w:rFonts w:ascii="Palatino Linotype" w:hAnsi="Palatino Linotype" w:eastAsia="Aptos" w:cs="Times New Roman"/>
        </w:rPr>
        <w:t xml:space="preserve">the </w:t>
      </w:r>
      <w:r w:rsidRPr="008F34BE">
        <w:rPr>
          <w:rFonts w:ascii="Palatino Linotype" w:hAnsi="Palatino Linotype" w:eastAsia="Aptos" w:cs="Times New Roman"/>
        </w:rPr>
        <w:t>scope of transmission-level work required to energize the project</w:t>
      </w:r>
      <w:r w:rsidRPr="008F34BE" w:rsidR="0072215E">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B84D50">
        <w:rPr>
          <w:rFonts w:ascii="Palatino Linotype" w:hAnsi="Palatino Linotype" w:eastAsia="Aptos" w:cs="Times New Roman"/>
        </w:rPr>
        <w:t>we</w:t>
      </w:r>
      <w:r w:rsidRPr="008F34BE" w:rsidR="007D1787">
        <w:rPr>
          <w:rFonts w:ascii="Palatino Linotype" w:hAnsi="Palatino Linotype" w:eastAsia="Aptos" w:cs="Times New Roman"/>
        </w:rPr>
        <w:t xml:space="preserve"> </w:t>
      </w:r>
      <w:r w:rsidRPr="008F34BE" w:rsidR="0072332B">
        <w:rPr>
          <w:rFonts w:ascii="Palatino Linotype" w:hAnsi="Palatino Linotype" w:eastAsia="Aptos" w:cs="Times New Roman"/>
        </w:rPr>
        <w:t xml:space="preserve">find that </w:t>
      </w:r>
      <w:r w:rsidRPr="008F34BE">
        <w:rPr>
          <w:rFonts w:ascii="Palatino Linotype" w:hAnsi="Palatino Linotype" w:eastAsia="Aptos" w:cs="Times New Roman"/>
        </w:rPr>
        <w:t xml:space="preserve">additional </w:t>
      </w:r>
      <w:r w:rsidRPr="008F34BE" w:rsidR="00CC7DBF">
        <w:rPr>
          <w:rFonts w:ascii="Palatino Linotype" w:hAnsi="Palatino Linotype" w:eastAsia="Aptos" w:cs="Times New Roman"/>
        </w:rPr>
        <w:t xml:space="preserve">ratepayer </w:t>
      </w:r>
      <w:r w:rsidRPr="008F34BE">
        <w:rPr>
          <w:rFonts w:ascii="Palatino Linotype" w:hAnsi="Palatino Linotype" w:eastAsia="Aptos" w:cs="Times New Roman"/>
        </w:rPr>
        <w:t>protection</w:t>
      </w:r>
      <w:r w:rsidRPr="008F34BE" w:rsidR="0072215E">
        <w:rPr>
          <w:rFonts w:ascii="Palatino Linotype" w:hAnsi="Palatino Linotype" w:eastAsia="Aptos" w:cs="Times New Roman"/>
        </w:rPr>
        <w:t>s</w:t>
      </w:r>
      <w:r w:rsidRPr="008F34BE">
        <w:rPr>
          <w:rFonts w:ascii="Palatino Linotype" w:hAnsi="Palatino Linotype" w:eastAsia="Aptos" w:cs="Times New Roman"/>
        </w:rPr>
        <w:t xml:space="preserve"> </w:t>
      </w:r>
      <w:r w:rsidRPr="008F34BE" w:rsidR="0072215E">
        <w:rPr>
          <w:rFonts w:ascii="Palatino Linotype" w:hAnsi="Palatino Linotype" w:eastAsia="Aptos" w:cs="Times New Roman"/>
        </w:rPr>
        <w:t>are</w:t>
      </w:r>
      <w:r w:rsidRPr="008F34BE">
        <w:rPr>
          <w:rFonts w:ascii="Palatino Linotype" w:hAnsi="Palatino Linotype" w:eastAsia="Aptos" w:cs="Times New Roman"/>
        </w:rPr>
        <w:t xml:space="preserve"> necessary</w:t>
      </w:r>
      <w:r w:rsidRPr="008F34BE" w:rsidR="00CC7DBF">
        <w:rPr>
          <w:rFonts w:ascii="Palatino Linotype" w:hAnsi="Palatino Linotype" w:eastAsia="Aptos" w:cs="Times New Roman"/>
        </w:rPr>
        <w:t xml:space="preserve">. Specifically, </w:t>
      </w:r>
      <w:r w:rsidRPr="008F34BE" w:rsidR="00B84D50">
        <w:rPr>
          <w:rFonts w:ascii="Palatino Linotype" w:hAnsi="Palatino Linotype" w:eastAsia="Aptos" w:cs="Times New Roman"/>
        </w:rPr>
        <w:t>we</w:t>
      </w:r>
      <w:r w:rsidRPr="008F34BE" w:rsidR="00CC7DBF">
        <w:rPr>
          <w:rFonts w:ascii="Palatino Linotype" w:hAnsi="Palatino Linotype" w:eastAsia="Aptos" w:cs="Times New Roman"/>
        </w:rPr>
        <w:t xml:space="preserve"> </w:t>
      </w:r>
      <w:r w:rsidRPr="008F34BE" w:rsidR="006C44D3">
        <w:rPr>
          <w:rFonts w:ascii="Palatino Linotype" w:hAnsi="Palatino Linotype" w:eastAsia="Aptos" w:cs="Times New Roman"/>
        </w:rPr>
        <w:t xml:space="preserve">find </w:t>
      </w:r>
      <w:proofErr w:type="gramStart"/>
      <w:r w:rsidRPr="008F34BE" w:rsidR="006C44D3">
        <w:rPr>
          <w:rFonts w:ascii="Palatino Linotype" w:hAnsi="Palatino Linotype" w:eastAsia="Aptos" w:cs="Times New Roman"/>
        </w:rPr>
        <w:t>a need</w:t>
      </w:r>
      <w:proofErr w:type="gramEnd"/>
      <w:r w:rsidRPr="008F34BE" w:rsidR="006C44D3">
        <w:rPr>
          <w:rFonts w:ascii="Palatino Linotype" w:hAnsi="Palatino Linotype" w:eastAsia="Aptos" w:cs="Times New Roman"/>
        </w:rPr>
        <w:t xml:space="preserve"> for additional measures to prevent</w:t>
      </w:r>
      <w:r w:rsidRPr="008F34BE">
        <w:rPr>
          <w:rFonts w:ascii="Palatino Linotype" w:hAnsi="Palatino Linotype" w:eastAsia="Aptos" w:cs="Times New Roman"/>
        </w:rPr>
        <w:t xml:space="preserve"> any potential shift in cost responsibility to </w:t>
      </w:r>
      <w:r w:rsidRPr="008F34BE">
        <w:rPr>
          <w:rFonts w:ascii="Palatino Linotype" w:hAnsi="Palatino Linotype" w:eastAsia="Aptos" w:cs="Times New Roman"/>
        </w:rPr>
        <w:lastRenderedPageBreak/>
        <w:t xml:space="preserve">ratepayers if the anticipated </w:t>
      </w:r>
      <w:r w:rsidRPr="008F34BE" w:rsidR="00F62790">
        <w:rPr>
          <w:rFonts w:ascii="Palatino Linotype" w:hAnsi="Palatino Linotype" w:eastAsia="Aptos" w:cs="Times New Roman"/>
        </w:rPr>
        <w:t xml:space="preserve">customer load, and thus </w:t>
      </w:r>
      <w:r w:rsidRPr="008F34BE">
        <w:rPr>
          <w:rFonts w:ascii="Palatino Linotype" w:hAnsi="Palatino Linotype" w:eastAsia="Aptos" w:cs="Times New Roman"/>
        </w:rPr>
        <w:t>revenue for the project</w:t>
      </w:r>
      <w:r w:rsidRPr="008F34BE" w:rsidR="006C44D3">
        <w:rPr>
          <w:rFonts w:ascii="Palatino Linotype" w:hAnsi="Palatino Linotype" w:eastAsia="Aptos" w:cs="Times New Roman"/>
        </w:rPr>
        <w:t>,</w:t>
      </w:r>
      <w:r w:rsidRPr="008F34BE">
        <w:rPr>
          <w:rFonts w:ascii="Palatino Linotype" w:hAnsi="Palatino Linotype" w:eastAsia="Aptos" w:cs="Times New Roman"/>
        </w:rPr>
        <w:t xml:space="preserve"> does not materialize.</w:t>
      </w:r>
    </w:p>
    <w:p w:rsidRPr="008F34BE" w:rsidR="00F62790" w:rsidP="00F62790" w:rsidRDefault="00F62790" w14:paraId="2813D2F6" w14:textId="77777777">
      <w:pPr>
        <w:spacing w:after="0" w:line="240" w:lineRule="auto"/>
        <w:rPr>
          <w:rFonts w:ascii="Palatino Linotype" w:hAnsi="Palatino Linotype" w:eastAsia="Aptos" w:cs="Times New Roman"/>
        </w:rPr>
      </w:pPr>
    </w:p>
    <w:p w:rsidRPr="008F34BE" w:rsidR="00F62790" w:rsidP="00F62790" w:rsidRDefault="005A317E" w14:paraId="1B90E928"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As noted above, the BARC</w:t>
      </w:r>
      <w:r w:rsidRPr="008F34BE" w:rsidR="00F62790">
        <w:rPr>
          <w:rFonts w:ascii="Palatino Linotype" w:hAnsi="Palatino Linotype" w:eastAsia="Aptos" w:cs="Times New Roman"/>
        </w:rPr>
        <w:t xml:space="preserve"> refund</w:t>
      </w:r>
      <w:r w:rsidRPr="008F34BE">
        <w:rPr>
          <w:rFonts w:ascii="Palatino Linotype" w:hAnsi="Palatino Linotype" w:eastAsia="Aptos" w:cs="Times New Roman"/>
        </w:rPr>
        <w:t xml:space="preserve"> process provides refunds based on expected future revenues </w:t>
      </w:r>
      <w:r w:rsidRPr="008F34BE" w:rsidR="00CF75DE">
        <w:rPr>
          <w:rFonts w:ascii="Palatino Linotype" w:hAnsi="Palatino Linotype" w:eastAsia="Aptos" w:cs="Times New Roman"/>
        </w:rPr>
        <w:t xml:space="preserve">received </w:t>
      </w:r>
      <w:r w:rsidRPr="008F34BE">
        <w:rPr>
          <w:rFonts w:ascii="Palatino Linotype" w:hAnsi="Palatino Linotype" w:eastAsia="Aptos" w:cs="Times New Roman"/>
        </w:rPr>
        <w:t xml:space="preserve">from the customer, meaning PG&amp;E could refund </w:t>
      </w:r>
      <w:r w:rsidRPr="008F34BE" w:rsidR="00F62790">
        <w:rPr>
          <w:rFonts w:ascii="Palatino Linotype" w:hAnsi="Palatino Linotype" w:eastAsia="Aptos" w:cs="Times New Roman"/>
        </w:rPr>
        <w:t>Microsoft</w:t>
      </w:r>
      <w:r w:rsidRPr="008F34BE">
        <w:rPr>
          <w:rFonts w:ascii="Palatino Linotype" w:hAnsi="Palatino Linotype" w:eastAsia="Aptos" w:cs="Times New Roman"/>
        </w:rPr>
        <w:t xml:space="preserve"> for the costs of energization well before net revenue </w:t>
      </w:r>
      <w:r w:rsidRPr="008F34BE" w:rsidR="00F62790">
        <w:rPr>
          <w:rFonts w:ascii="Palatino Linotype" w:hAnsi="Palatino Linotype" w:eastAsia="Aptos" w:cs="Times New Roman"/>
        </w:rPr>
        <w:t>collected from Microsoft</w:t>
      </w:r>
      <w:r w:rsidRPr="008F34BE">
        <w:rPr>
          <w:rFonts w:ascii="Palatino Linotype" w:hAnsi="Palatino Linotype" w:eastAsia="Aptos" w:cs="Times New Roman"/>
        </w:rPr>
        <w:t xml:space="preserve"> </w:t>
      </w:r>
      <w:r w:rsidRPr="008F34BE" w:rsidR="00CF75DE">
        <w:rPr>
          <w:rFonts w:ascii="Palatino Linotype" w:hAnsi="Palatino Linotype" w:eastAsia="Aptos" w:cs="Times New Roman"/>
        </w:rPr>
        <w:t>would</w:t>
      </w:r>
      <w:r w:rsidRPr="008F34BE">
        <w:rPr>
          <w:rFonts w:ascii="Palatino Linotype" w:hAnsi="Palatino Linotype" w:eastAsia="Aptos" w:cs="Times New Roman"/>
        </w:rPr>
        <w:t xml:space="preserve"> cover the upfront costs of energizing the</w:t>
      </w:r>
      <w:r w:rsidRPr="008F34BE" w:rsidR="00F62790">
        <w:rPr>
          <w:rFonts w:ascii="Palatino Linotype" w:hAnsi="Palatino Linotype" w:eastAsia="Aptos" w:cs="Times New Roman"/>
        </w:rPr>
        <w:t xml:space="preserve"> project</w:t>
      </w:r>
      <w:r w:rsidRPr="008F34BE" w:rsidR="00CF75DE">
        <w:rPr>
          <w:rFonts w:ascii="Palatino Linotype" w:hAnsi="Palatino Linotype" w:eastAsia="Aptos" w:cs="Times New Roman"/>
        </w:rPr>
        <w:t xml:space="preserve">, or the longer-term costs of funding the capital </w:t>
      </w:r>
      <w:r w:rsidRPr="008F34BE" w:rsidR="00463585">
        <w:rPr>
          <w:rFonts w:ascii="Palatino Linotype" w:hAnsi="Palatino Linotype" w:eastAsia="Aptos" w:cs="Times New Roman"/>
        </w:rPr>
        <w:t>project through amortization</w:t>
      </w:r>
      <w:r w:rsidRPr="008F34BE">
        <w:rPr>
          <w:rFonts w:ascii="Palatino Linotype" w:hAnsi="Palatino Linotype" w:eastAsia="Aptos" w:cs="Times New Roman"/>
        </w:rPr>
        <w:t xml:space="preserve">. </w:t>
      </w:r>
      <w:r w:rsidRPr="008F34BE" w:rsidR="00582B85">
        <w:rPr>
          <w:rFonts w:ascii="Palatino Linotype" w:hAnsi="Palatino Linotype" w:eastAsia="Aptos" w:cs="Times New Roman"/>
        </w:rPr>
        <w:t>For</w:t>
      </w:r>
      <w:r w:rsidRPr="008F34BE">
        <w:rPr>
          <w:rFonts w:ascii="Palatino Linotype" w:hAnsi="Palatino Linotype" w:eastAsia="Aptos" w:cs="Times New Roman"/>
        </w:rPr>
        <w:t xml:space="preserve"> a typical distribution</w:t>
      </w:r>
      <w:r w:rsidRPr="008F34BE" w:rsidR="00582B85">
        <w:rPr>
          <w:rFonts w:ascii="Palatino Linotype" w:hAnsi="Palatino Linotype" w:eastAsia="Aptos" w:cs="Times New Roman"/>
        </w:rPr>
        <w:t>-level li</w:t>
      </w:r>
      <w:r w:rsidRPr="008F34BE" w:rsidR="005E58EF">
        <w:rPr>
          <w:rFonts w:ascii="Palatino Linotype" w:hAnsi="Palatino Linotype" w:eastAsia="Aptos" w:cs="Times New Roman"/>
        </w:rPr>
        <w:t>n</w:t>
      </w:r>
      <w:r w:rsidRPr="008F34BE" w:rsidR="00582B85">
        <w:rPr>
          <w:rFonts w:ascii="Palatino Linotype" w:hAnsi="Palatino Linotype" w:eastAsia="Aptos" w:cs="Times New Roman"/>
        </w:rPr>
        <w:t>e extension</w:t>
      </w:r>
      <w:r w:rsidRPr="008F34BE" w:rsidR="00B646F8">
        <w:rPr>
          <w:rFonts w:ascii="Palatino Linotype" w:hAnsi="Palatino Linotype" w:eastAsia="Aptos" w:cs="Times New Roman"/>
        </w:rPr>
        <w:t>,</w:t>
      </w:r>
      <w:r w:rsidRPr="008F34BE">
        <w:rPr>
          <w:rFonts w:ascii="Palatino Linotype" w:hAnsi="Palatino Linotype" w:eastAsia="Aptos" w:cs="Times New Roman"/>
        </w:rPr>
        <w:t xml:space="preserve"> this assumption of </w:t>
      </w:r>
      <w:r w:rsidRPr="008F34BE" w:rsidR="00AE57BD">
        <w:rPr>
          <w:rFonts w:ascii="Palatino Linotype" w:hAnsi="Palatino Linotype" w:eastAsia="Aptos" w:cs="Times New Roman"/>
        </w:rPr>
        <w:t xml:space="preserve">cost </w:t>
      </w:r>
      <w:r w:rsidRPr="008F34BE">
        <w:rPr>
          <w:rFonts w:ascii="Palatino Linotype" w:hAnsi="Palatino Linotype" w:eastAsia="Aptos" w:cs="Times New Roman"/>
        </w:rPr>
        <w:t>recovery is</w:t>
      </w:r>
      <w:r w:rsidRPr="008F34BE" w:rsidR="00F62790">
        <w:rPr>
          <w:rFonts w:ascii="Palatino Linotype" w:hAnsi="Palatino Linotype" w:eastAsia="Aptos" w:cs="Times New Roman"/>
        </w:rPr>
        <w:t xml:space="preserve"> generally considered </w:t>
      </w:r>
      <w:r w:rsidRPr="008F34BE">
        <w:rPr>
          <w:rFonts w:ascii="Palatino Linotype" w:hAnsi="Palatino Linotype" w:eastAsia="Aptos" w:cs="Times New Roman"/>
        </w:rPr>
        <w:t>sufficient</w:t>
      </w:r>
      <w:r w:rsidRPr="008F34BE" w:rsidR="00F62790">
        <w:rPr>
          <w:rFonts w:ascii="Palatino Linotype" w:hAnsi="Palatino Linotype" w:eastAsia="Aptos" w:cs="Times New Roman"/>
        </w:rPr>
        <w:t xml:space="preserve"> </w:t>
      </w:r>
      <w:r w:rsidRPr="008F34BE" w:rsidR="00FD4363">
        <w:rPr>
          <w:rFonts w:ascii="Palatino Linotype" w:hAnsi="Palatino Linotype" w:eastAsia="Aptos" w:cs="Times New Roman"/>
        </w:rPr>
        <w:t>because</w:t>
      </w:r>
      <w:r w:rsidRPr="008F34BE" w:rsidR="00F62790">
        <w:rPr>
          <w:rFonts w:ascii="Palatino Linotype" w:hAnsi="Palatino Linotype" w:eastAsia="Aptos" w:cs="Times New Roman"/>
        </w:rPr>
        <w:t>:</w:t>
      </w:r>
      <w:r w:rsidRPr="008F34BE">
        <w:rPr>
          <w:rFonts w:ascii="Palatino Linotype" w:hAnsi="Palatino Linotype" w:eastAsia="Aptos" w:cs="Times New Roman"/>
        </w:rPr>
        <w:t xml:space="preserve"> (1) projects are much smaller in scale, (2) statistically, with thousands of similar</w:t>
      </w:r>
      <w:r w:rsidRPr="008F34BE" w:rsidR="004C1779">
        <w:rPr>
          <w:rFonts w:ascii="Palatino Linotype" w:hAnsi="Palatino Linotype" w:eastAsia="Aptos" w:cs="Times New Roman"/>
        </w:rPr>
        <w:t>ly sized</w:t>
      </w:r>
      <w:r w:rsidRPr="008F34BE">
        <w:rPr>
          <w:rFonts w:ascii="Palatino Linotype" w:hAnsi="Palatino Linotype" w:eastAsia="Aptos" w:cs="Times New Roman"/>
        </w:rPr>
        <w:t xml:space="preserve"> energizations per year, any single customer disconnecting from the grid does not present </w:t>
      </w:r>
      <w:r w:rsidRPr="008F34BE" w:rsidR="0098180B">
        <w:rPr>
          <w:rFonts w:ascii="Palatino Linotype" w:hAnsi="Palatino Linotype" w:eastAsia="Aptos" w:cs="Times New Roman"/>
        </w:rPr>
        <w:t xml:space="preserve">a </w:t>
      </w:r>
      <w:r w:rsidRPr="008F34BE">
        <w:rPr>
          <w:rFonts w:ascii="Palatino Linotype" w:hAnsi="Palatino Linotype" w:eastAsia="Aptos" w:cs="Times New Roman"/>
        </w:rPr>
        <w:t>large risk to ratepayers, and (3) the expectation of future revenue</w:t>
      </w:r>
      <w:r w:rsidRPr="008F34BE" w:rsidR="0098180B">
        <w:rPr>
          <w:rFonts w:ascii="Palatino Linotype" w:hAnsi="Palatino Linotype" w:eastAsia="Aptos" w:cs="Times New Roman"/>
        </w:rPr>
        <w:t xml:space="preserve"> received from these customers</w:t>
      </w:r>
      <w:r w:rsidRPr="008F34BE">
        <w:rPr>
          <w:rFonts w:ascii="Palatino Linotype" w:hAnsi="Palatino Linotype" w:eastAsia="Aptos" w:cs="Times New Roman"/>
        </w:rPr>
        <w:t xml:space="preserve"> </w:t>
      </w:r>
      <w:r w:rsidRPr="008F34BE" w:rsidR="0098180B">
        <w:rPr>
          <w:rFonts w:ascii="Palatino Linotype" w:hAnsi="Palatino Linotype" w:eastAsia="Aptos" w:cs="Times New Roman"/>
        </w:rPr>
        <w:t>is</w:t>
      </w:r>
      <w:r w:rsidRPr="008F34BE">
        <w:rPr>
          <w:rFonts w:ascii="Palatino Linotype" w:hAnsi="Palatino Linotype" w:eastAsia="Aptos" w:cs="Times New Roman"/>
        </w:rPr>
        <w:t xml:space="preserve"> based on many years of experience</w:t>
      </w:r>
      <w:r w:rsidRPr="008F34BE" w:rsidR="0098180B">
        <w:rPr>
          <w:rFonts w:ascii="Palatino Linotype" w:hAnsi="Palatino Linotype" w:eastAsia="Aptos" w:cs="Times New Roman"/>
        </w:rPr>
        <w:t xml:space="preserve"> and thousands of interconnections for </w:t>
      </w:r>
      <w:r w:rsidRPr="008F34BE">
        <w:rPr>
          <w:rFonts w:ascii="Palatino Linotype" w:hAnsi="Palatino Linotype" w:eastAsia="Aptos" w:cs="Times New Roman"/>
        </w:rPr>
        <w:t>similar customers.</w:t>
      </w:r>
    </w:p>
    <w:p w:rsidRPr="008F34BE" w:rsidR="00F62790" w:rsidP="00F62790" w:rsidRDefault="00F62790" w14:paraId="214D6971" w14:textId="77777777">
      <w:pPr>
        <w:spacing w:after="0" w:line="240" w:lineRule="auto"/>
        <w:rPr>
          <w:rFonts w:ascii="Palatino Linotype" w:hAnsi="Palatino Linotype" w:eastAsia="Aptos" w:cs="Times New Roman"/>
        </w:rPr>
      </w:pPr>
    </w:p>
    <w:p w:rsidRPr="008F34BE" w:rsidR="005A317E" w:rsidP="002B6DF1" w:rsidRDefault="00D73B49" w14:paraId="31D2D996"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I</w:t>
      </w:r>
      <w:r w:rsidRPr="008F34BE" w:rsidR="005A317E">
        <w:rPr>
          <w:rFonts w:ascii="Palatino Linotype" w:hAnsi="Palatino Linotype" w:eastAsia="Aptos" w:cs="Times New Roman"/>
        </w:rPr>
        <w:t xml:space="preserve">n </w:t>
      </w:r>
      <w:r w:rsidRPr="008F34BE" w:rsidR="00F62790">
        <w:rPr>
          <w:rFonts w:ascii="Palatino Linotype" w:hAnsi="Palatino Linotype" w:eastAsia="Aptos" w:cs="Times New Roman"/>
        </w:rPr>
        <w:t>Microsoft’s case</w:t>
      </w:r>
      <w:r w:rsidRPr="008F34BE" w:rsidR="00893F9F">
        <w:rPr>
          <w:rFonts w:ascii="Palatino Linotype" w:hAnsi="Palatino Linotype" w:eastAsia="Aptos" w:cs="Times New Roman"/>
        </w:rPr>
        <w:t>,</w:t>
      </w:r>
      <w:r w:rsidRPr="008F34BE">
        <w:rPr>
          <w:rFonts w:ascii="Palatino Linotype" w:hAnsi="Palatino Linotype" w:eastAsia="Aptos" w:cs="Times New Roman"/>
        </w:rPr>
        <w:t xml:space="preserve"> however,</w:t>
      </w:r>
      <w:r w:rsidRPr="008F34BE" w:rsidR="00EF0B00">
        <w:rPr>
          <w:rFonts w:ascii="Palatino Linotype" w:hAnsi="Palatino Linotype" w:eastAsia="Aptos" w:cs="Times New Roman"/>
        </w:rPr>
        <w:t xml:space="preserve"> the </w:t>
      </w:r>
      <w:r w:rsidRPr="008F34BE" w:rsidR="00AE57BD">
        <w:rPr>
          <w:rFonts w:ascii="Palatino Linotype" w:hAnsi="Palatino Linotype" w:eastAsia="Aptos" w:cs="Times New Roman"/>
        </w:rPr>
        <w:t xml:space="preserve">assumption of cost recovery is complicated by the following factors: </w:t>
      </w:r>
      <w:r w:rsidRPr="008F34BE" w:rsidR="005A317E">
        <w:rPr>
          <w:rFonts w:ascii="Palatino Linotype" w:hAnsi="Palatino Linotype" w:eastAsia="Aptos" w:cs="Times New Roman"/>
        </w:rPr>
        <w:t>(1) the refundable amount</w:t>
      </w:r>
      <w:r w:rsidRPr="008F34BE">
        <w:rPr>
          <w:rFonts w:ascii="Palatino Linotype" w:hAnsi="Palatino Linotype" w:eastAsia="Aptos" w:cs="Times New Roman"/>
        </w:rPr>
        <w:t xml:space="preserve"> </w:t>
      </w:r>
      <w:r w:rsidRPr="008F34BE" w:rsidR="005A317E">
        <w:rPr>
          <w:rFonts w:ascii="Palatino Linotype" w:hAnsi="Palatino Linotype" w:eastAsia="Aptos" w:cs="Times New Roman"/>
        </w:rPr>
        <w:t>is much larger</w:t>
      </w:r>
      <w:r w:rsidRPr="008F34BE">
        <w:rPr>
          <w:rFonts w:ascii="Palatino Linotype" w:hAnsi="Palatino Linotype" w:eastAsia="Aptos" w:cs="Times New Roman"/>
        </w:rPr>
        <w:t xml:space="preserve"> than that for a typical distribution-level line extension</w:t>
      </w:r>
      <w:r w:rsidRPr="008F34BE" w:rsidR="005A317E">
        <w:rPr>
          <w:rFonts w:ascii="Palatino Linotype" w:hAnsi="Palatino Linotype" w:eastAsia="Aptos" w:cs="Times New Roman"/>
        </w:rPr>
        <w:t xml:space="preserve">, (2) </w:t>
      </w:r>
      <w:r w:rsidRPr="008F34BE" w:rsidR="0086782F">
        <w:rPr>
          <w:rFonts w:ascii="Palatino Linotype" w:hAnsi="Palatino Linotype" w:eastAsia="Aptos" w:cs="Times New Roman"/>
        </w:rPr>
        <w:t>Microsoft</w:t>
      </w:r>
      <w:r w:rsidRPr="008F34BE" w:rsidR="005A317E">
        <w:rPr>
          <w:rFonts w:ascii="Palatino Linotype" w:hAnsi="Palatino Linotype" w:eastAsia="Aptos" w:cs="Times New Roman"/>
        </w:rPr>
        <w:t xml:space="preserve"> as a customer is large enough that if </w:t>
      </w:r>
      <w:r w:rsidRPr="008F34BE" w:rsidR="005873DC">
        <w:rPr>
          <w:rFonts w:ascii="Palatino Linotype" w:hAnsi="Palatino Linotype" w:eastAsia="Aptos" w:cs="Times New Roman"/>
        </w:rPr>
        <w:t>PG&amp;E receives in</w:t>
      </w:r>
      <w:r w:rsidRPr="008F34BE" w:rsidR="005A317E">
        <w:rPr>
          <w:rFonts w:ascii="Palatino Linotype" w:hAnsi="Palatino Linotype" w:eastAsia="Aptos" w:cs="Times New Roman"/>
        </w:rPr>
        <w:t>sufficient revenue</w:t>
      </w:r>
      <w:r w:rsidRPr="008F34BE" w:rsidR="005303B4">
        <w:rPr>
          <w:rFonts w:ascii="Palatino Linotype" w:hAnsi="Palatino Linotype" w:eastAsia="Aptos" w:cs="Times New Roman"/>
        </w:rPr>
        <w:t xml:space="preserve"> from the project</w:t>
      </w:r>
      <w:r w:rsidRPr="008F34BE" w:rsidR="005873DC">
        <w:rPr>
          <w:rFonts w:ascii="Palatino Linotype" w:hAnsi="Palatino Linotype" w:eastAsia="Aptos" w:cs="Times New Roman"/>
        </w:rPr>
        <w:t xml:space="preserve">, </w:t>
      </w:r>
      <w:r w:rsidRPr="008F34BE" w:rsidR="00AE57BD">
        <w:rPr>
          <w:rFonts w:ascii="Palatino Linotype" w:hAnsi="Palatino Linotype" w:eastAsia="Aptos" w:cs="Times New Roman"/>
        </w:rPr>
        <w:t>there is a</w:t>
      </w:r>
      <w:r w:rsidRPr="008F34BE" w:rsidR="005A317E">
        <w:rPr>
          <w:rFonts w:ascii="Palatino Linotype" w:hAnsi="Palatino Linotype" w:eastAsia="Aptos" w:cs="Times New Roman"/>
        </w:rPr>
        <w:t xml:space="preserve"> </w:t>
      </w:r>
      <w:r w:rsidRPr="008F34BE" w:rsidR="00F61127">
        <w:rPr>
          <w:rFonts w:ascii="Palatino Linotype" w:hAnsi="Palatino Linotype" w:eastAsia="Aptos" w:cs="Times New Roman"/>
        </w:rPr>
        <w:t>greater</w:t>
      </w:r>
      <w:r w:rsidRPr="008F34BE" w:rsidR="005303B4">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risk to ratepayers (in other words, there are not thousands of other similar customers utilizing </w:t>
      </w:r>
      <w:r w:rsidRPr="008F34BE" w:rsidR="005F25C6">
        <w:rPr>
          <w:rFonts w:ascii="Palatino Linotype" w:hAnsi="Palatino Linotype" w:eastAsia="Aptos" w:cs="Times New Roman"/>
        </w:rPr>
        <w:t xml:space="preserve">and paying for </w:t>
      </w:r>
      <w:r w:rsidRPr="008F34BE" w:rsidR="005A317E">
        <w:rPr>
          <w:rFonts w:ascii="Palatino Linotype" w:hAnsi="Palatino Linotype" w:eastAsia="Aptos" w:cs="Times New Roman"/>
        </w:rPr>
        <w:t>the same infrastructure</w:t>
      </w:r>
      <w:r w:rsidRPr="008F34BE" w:rsidR="00C26BCA">
        <w:rPr>
          <w:rFonts w:ascii="Palatino Linotype" w:hAnsi="Palatino Linotype" w:eastAsia="Aptos" w:cs="Times New Roman"/>
        </w:rPr>
        <w:t xml:space="preserve"> required by the Microsoft project</w:t>
      </w:r>
      <w:r w:rsidRPr="008F34BE" w:rsidR="00D3787C">
        <w:rPr>
          <w:rFonts w:ascii="Palatino Linotype" w:hAnsi="Palatino Linotype" w:eastAsia="Aptos" w:cs="Times New Roman"/>
        </w:rPr>
        <w:t xml:space="preserve">, which </w:t>
      </w:r>
      <w:r w:rsidRPr="008F34BE" w:rsidR="003A5745">
        <w:rPr>
          <w:rFonts w:ascii="Palatino Linotype" w:hAnsi="Palatino Linotype" w:eastAsia="Aptos" w:cs="Times New Roman"/>
        </w:rPr>
        <w:t>w</w:t>
      </w:r>
      <w:r w:rsidRPr="008F34BE" w:rsidR="00D3787C">
        <w:rPr>
          <w:rFonts w:ascii="Palatino Linotype" w:hAnsi="Palatino Linotype" w:eastAsia="Aptos" w:cs="Times New Roman"/>
        </w:rPr>
        <w:t xml:space="preserve">ould </w:t>
      </w:r>
      <w:r w:rsidRPr="008F34BE" w:rsidR="003A5745">
        <w:rPr>
          <w:rFonts w:ascii="Palatino Linotype" w:hAnsi="Palatino Linotype" w:eastAsia="Aptos" w:cs="Times New Roman"/>
        </w:rPr>
        <w:t xml:space="preserve">otherwise </w:t>
      </w:r>
      <w:r w:rsidRPr="008F34BE" w:rsidR="00967AA5">
        <w:rPr>
          <w:rFonts w:ascii="Palatino Linotype" w:hAnsi="Palatino Linotype" w:eastAsia="Aptos" w:cs="Times New Roman"/>
        </w:rPr>
        <w:t>help to offset any</w:t>
      </w:r>
      <w:r w:rsidRPr="008F34BE" w:rsidR="005A317E">
        <w:rPr>
          <w:rFonts w:ascii="Palatino Linotype" w:hAnsi="Palatino Linotype" w:eastAsia="Aptos" w:cs="Times New Roman"/>
        </w:rPr>
        <w:t xml:space="preserve"> revenue deficit</w:t>
      </w:r>
      <w:r w:rsidRPr="008F34BE" w:rsidR="0086782F">
        <w:rPr>
          <w:rFonts w:ascii="Palatino Linotype" w:hAnsi="Palatino Linotype" w:eastAsia="Aptos" w:cs="Times New Roman"/>
        </w:rPr>
        <w:t xml:space="preserve"> should the revenue </w:t>
      </w:r>
      <w:r w:rsidRPr="008F34BE" w:rsidR="00AE57BD">
        <w:rPr>
          <w:rFonts w:ascii="Palatino Linotype" w:hAnsi="Palatino Linotype" w:eastAsia="Aptos" w:cs="Times New Roman"/>
        </w:rPr>
        <w:t xml:space="preserve">from Microsoft </w:t>
      </w:r>
      <w:r w:rsidRPr="008F34BE" w:rsidR="0086782F">
        <w:rPr>
          <w:rFonts w:ascii="Palatino Linotype" w:hAnsi="Palatino Linotype" w:eastAsia="Aptos" w:cs="Times New Roman"/>
        </w:rPr>
        <w:t>not materialize</w:t>
      </w:r>
      <w:r w:rsidRPr="008F34BE" w:rsidR="005A317E">
        <w:rPr>
          <w:rFonts w:ascii="Palatino Linotype" w:hAnsi="Palatino Linotype" w:eastAsia="Aptos" w:cs="Times New Roman"/>
        </w:rPr>
        <w:t xml:space="preserve">), and (3) expectations of future revenue are uncertain and based on </w:t>
      </w:r>
      <w:r w:rsidRPr="008F34BE" w:rsidR="00541DBD">
        <w:rPr>
          <w:rFonts w:ascii="Palatino Linotype" w:hAnsi="Palatino Linotype" w:eastAsia="Aptos" w:cs="Times New Roman"/>
        </w:rPr>
        <w:t xml:space="preserve">limited </w:t>
      </w:r>
      <w:r w:rsidRPr="008F34BE" w:rsidR="005A317E">
        <w:rPr>
          <w:rFonts w:ascii="Palatino Linotype" w:hAnsi="Palatino Linotype" w:eastAsia="Aptos" w:cs="Times New Roman"/>
        </w:rPr>
        <w:t xml:space="preserve">historical </w:t>
      </w:r>
      <w:r w:rsidRPr="008F34BE" w:rsidR="00541DBD">
        <w:rPr>
          <w:rFonts w:ascii="Palatino Linotype" w:hAnsi="Palatino Linotype" w:eastAsia="Aptos" w:cs="Times New Roman"/>
        </w:rPr>
        <w:t>precedent</w:t>
      </w:r>
      <w:r w:rsidRPr="008F34BE" w:rsidR="005A317E">
        <w:rPr>
          <w:rFonts w:ascii="Palatino Linotype" w:hAnsi="Palatino Linotype" w:eastAsia="Aptos" w:cs="Times New Roman"/>
        </w:rPr>
        <w:t>.</w:t>
      </w:r>
      <w:r w:rsidRPr="008F34BE" w:rsidR="002F2E3B">
        <w:rPr>
          <w:rFonts w:ascii="Palatino Linotype" w:hAnsi="Palatino Linotype" w:eastAsia="Aptos" w:cs="Times New Roman"/>
        </w:rPr>
        <w:t xml:space="preserve"> </w:t>
      </w:r>
      <w:r w:rsidRPr="008F34BE" w:rsidR="005A317E">
        <w:rPr>
          <w:rFonts w:ascii="Palatino Linotype" w:hAnsi="Palatino Linotype" w:eastAsia="Aptos" w:cs="Times New Roman"/>
        </w:rPr>
        <w:t>T</w:t>
      </w:r>
      <w:r w:rsidRPr="008F34BE" w:rsidR="00541DBD">
        <w:rPr>
          <w:rFonts w:ascii="Palatino Linotype" w:hAnsi="Palatino Linotype" w:eastAsia="Aptos" w:cs="Times New Roman"/>
        </w:rPr>
        <w:t>aken t</w:t>
      </w:r>
      <w:r w:rsidRPr="008F34BE" w:rsidR="005A317E">
        <w:rPr>
          <w:rFonts w:ascii="Palatino Linotype" w:hAnsi="Palatino Linotype" w:eastAsia="Aptos" w:cs="Times New Roman"/>
        </w:rPr>
        <w:t xml:space="preserve">ogether, these </w:t>
      </w:r>
      <w:r w:rsidRPr="008F34BE" w:rsidR="003620C5">
        <w:rPr>
          <w:rFonts w:ascii="Palatino Linotype" w:hAnsi="Palatino Linotype" w:eastAsia="Aptos" w:cs="Times New Roman"/>
        </w:rPr>
        <w:t xml:space="preserve">factors </w:t>
      </w:r>
      <w:r w:rsidRPr="008F34BE" w:rsidR="005A317E">
        <w:rPr>
          <w:rFonts w:ascii="Palatino Linotype" w:hAnsi="Palatino Linotype" w:eastAsia="Aptos" w:cs="Times New Roman"/>
        </w:rPr>
        <w:t>indicate that energization</w:t>
      </w:r>
      <w:r w:rsidRPr="008F34BE" w:rsidR="00AE57BD">
        <w:rPr>
          <w:rFonts w:ascii="Palatino Linotype" w:hAnsi="Palatino Linotype" w:eastAsia="Aptos" w:cs="Times New Roman"/>
        </w:rPr>
        <w:t xml:space="preserve"> of the Microsoft project</w:t>
      </w:r>
      <w:r w:rsidRPr="008F34BE" w:rsidR="005A317E">
        <w:rPr>
          <w:rFonts w:ascii="Palatino Linotype" w:hAnsi="Palatino Linotype" w:eastAsia="Aptos" w:cs="Times New Roman"/>
        </w:rPr>
        <w:t xml:space="preserve"> presents a higher risk of stranded costs should revenue not materialize.</w:t>
      </w:r>
    </w:p>
    <w:p w:rsidRPr="008F34BE" w:rsidR="00EA1E8A" w:rsidP="00A76F4A" w:rsidRDefault="00EA1E8A" w14:paraId="00F2188D" w14:textId="77777777">
      <w:pPr>
        <w:spacing w:after="0" w:line="240" w:lineRule="auto"/>
        <w:rPr>
          <w:rFonts w:ascii="Palatino Linotype" w:hAnsi="Palatino Linotype" w:eastAsia="Palatino Linotype" w:cs="Times New Roman"/>
          <w:kern w:val="0"/>
          <w14:ligatures w14:val="none"/>
        </w:rPr>
      </w:pPr>
    </w:p>
    <w:p w:rsidRPr="008F34BE" w:rsidR="00EA1E8A" w:rsidP="00A76F4A" w:rsidRDefault="00506000" w14:paraId="62A49085" w14:textId="77777777">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Transmission Rates vs. Distribution Rates</w:t>
      </w:r>
    </w:p>
    <w:p w:rsidRPr="008F34BE" w:rsidR="00EA1E8A" w:rsidP="00A76F4A" w:rsidRDefault="00EA1E8A" w14:paraId="5E491A1A" w14:textId="77777777">
      <w:pPr>
        <w:spacing w:after="0" w:line="240" w:lineRule="auto"/>
        <w:rPr>
          <w:rFonts w:ascii="Palatino Linotype" w:hAnsi="Palatino Linotype" w:eastAsia="Palatino Linotype" w:cs="Times New Roman"/>
          <w:kern w:val="0"/>
          <w14:ligatures w14:val="none"/>
        </w:rPr>
      </w:pPr>
    </w:p>
    <w:p w:rsidRPr="008F34BE" w:rsidR="00BD1ED8" w:rsidP="00A76F4A" w:rsidRDefault="00EA1E8A" w14:paraId="357B504E"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submits an annual summary table of revenues and average rates that provides the average rates paid by large load customers connected both at the distribution and the transmission level.</w:t>
      </w:r>
      <w:r w:rsidRPr="008F34BE">
        <w:rPr>
          <w:rStyle w:val="FootnoteReference"/>
          <w:rFonts w:ascii="Palatino Linotype" w:hAnsi="Palatino Linotype" w:eastAsia="Aptos" w:cs="Times New Roman"/>
        </w:rPr>
        <w:footnoteReference w:id="17"/>
      </w:r>
      <w:r w:rsidRPr="008F34BE">
        <w:rPr>
          <w:rFonts w:ascii="Palatino Linotype" w:hAnsi="Palatino Linotype" w:eastAsia="Aptos" w:cs="Times New Roman"/>
        </w:rPr>
        <w:t xml:space="preserve"> Excluding the generation component of rates, large load customers in PG&amp;E’s territory on average</w:t>
      </w:r>
      <w:r w:rsidRPr="008F34BE" w:rsidR="00D96C8E">
        <w:rPr>
          <w:rFonts w:ascii="Palatino Linotype" w:hAnsi="Palatino Linotype" w:eastAsia="Aptos" w:cs="Times New Roman"/>
        </w:rPr>
        <w:t xml:space="preserve"> paid</w:t>
      </w:r>
      <w:r w:rsidRPr="008F34BE">
        <w:rPr>
          <w:rFonts w:ascii="Palatino Linotype" w:hAnsi="Palatino Linotype" w:eastAsia="Aptos" w:cs="Times New Roman"/>
        </w:rPr>
        <w:t xml:space="preserve"> 13.4 cents per kilowatt-hour (c/kWh) if connected at the primary distribution level and 6.0 c/kWh if connected at the </w:t>
      </w:r>
      <w:r w:rsidRPr="008F34BE">
        <w:rPr>
          <w:rFonts w:ascii="Palatino Linotype" w:hAnsi="Palatino Linotype" w:eastAsia="Aptos" w:cs="Times New Roman"/>
        </w:rPr>
        <w:lastRenderedPageBreak/>
        <w:t>transmission level.</w:t>
      </w:r>
      <w:r w:rsidRPr="008F34BE">
        <w:rPr>
          <w:rStyle w:val="FootnoteReference"/>
          <w:rFonts w:ascii="Palatino Linotype" w:hAnsi="Palatino Linotype" w:eastAsia="Aptos" w:cs="Times New Roman"/>
        </w:rPr>
        <w:footnoteReference w:id="18"/>
      </w:r>
      <w:r w:rsidRPr="008F34BE">
        <w:rPr>
          <w:rFonts w:ascii="Palatino Linotype" w:hAnsi="Palatino Linotype" w:eastAsia="Aptos" w:cs="Times New Roman"/>
        </w:rPr>
        <w:t xml:space="preserve"> An estimated 2.1 c/kWh specifically covers transmission facilities</w:t>
      </w:r>
      <w:r w:rsidRPr="008F34BE" w:rsidR="004F3F9A">
        <w:rPr>
          <w:rFonts w:ascii="Palatino Linotype" w:hAnsi="Palatino Linotype" w:eastAsia="Aptos" w:cs="Times New Roman"/>
        </w:rPr>
        <w:t>,</w:t>
      </w:r>
      <w:r w:rsidRPr="008F34BE" w:rsidR="004D494E">
        <w:rPr>
          <w:rFonts w:ascii="Palatino Linotype" w:hAnsi="Palatino Linotype" w:eastAsia="Aptos" w:cs="Times New Roman"/>
        </w:rPr>
        <w:t xml:space="preserve"> which</w:t>
      </w:r>
      <w:r w:rsidRPr="008F34BE">
        <w:rPr>
          <w:rFonts w:ascii="Palatino Linotype" w:hAnsi="Palatino Linotype" w:eastAsia="Aptos" w:cs="Times New Roman"/>
        </w:rPr>
        <w:t xml:space="preserve"> effectively makes up the net revenue</w:t>
      </w:r>
      <w:r w:rsidRPr="008F34BE" w:rsidR="008B498C">
        <w:rPr>
          <w:rFonts w:ascii="Palatino Linotype" w:hAnsi="Palatino Linotype" w:eastAsia="Aptos" w:cs="Times New Roman"/>
        </w:rPr>
        <w:t xml:space="preserve"> received from the customer as</w:t>
      </w:r>
      <w:r w:rsidRPr="008F34BE" w:rsidR="00CD7297">
        <w:rPr>
          <w:rFonts w:ascii="Palatino Linotype" w:hAnsi="Palatino Linotype" w:eastAsia="Aptos" w:cs="Times New Roman"/>
        </w:rPr>
        <w:t xml:space="preserve"> described above.</w:t>
      </w:r>
      <w:r w:rsidRPr="008F34BE">
        <w:rPr>
          <w:rFonts w:ascii="Palatino Linotype" w:hAnsi="Palatino Linotype" w:eastAsia="Aptos" w:cs="Times New Roman"/>
        </w:rPr>
        <w:t xml:space="preserve"> </w:t>
      </w:r>
      <w:r w:rsidRPr="008F34BE" w:rsidR="009B4748">
        <w:rPr>
          <w:rFonts w:ascii="Palatino Linotype" w:hAnsi="Palatino Linotype" w:eastAsia="Aptos" w:cs="Times New Roman"/>
        </w:rPr>
        <w:t>L</w:t>
      </w:r>
      <w:r w:rsidRPr="008F34BE">
        <w:rPr>
          <w:rFonts w:ascii="Palatino Linotype" w:hAnsi="Palatino Linotype" w:eastAsia="Aptos" w:cs="Times New Roman"/>
        </w:rPr>
        <w:t xml:space="preserve">arge loads and high load factors mean that electricity bills paid by these customers can still be very large, but this revenue </w:t>
      </w:r>
      <w:r w:rsidRPr="008F34BE" w:rsidR="00B046F5">
        <w:rPr>
          <w:rFonts w:ascii="Palatino Linotype" w:hAnsi="Palatino Linotype" w:eastAsia="Aptos" w:cs="Times New Roman"/>
        </w:rPr>
        <w:t>is not realized</w:t>
      </w:r>
      <w:r w:rsidRPr="008F34BE">
        <w:rPr>
          <w:rFonts w:ascii="Palatino Linotype" w:hAnsi="Palatino Linotype" w:eastAsia="Aptos" w:cs="Times New Roman"/>
        </w:rPr>
        <w:t xml:space="preserve"> if the </w:t>
      </w:r>
      <w:r w:rsidR="003B63D4">
        <w:rPr>
          <w:rFonts w:ascii="Palatino Linotype" w:hAnsi="Palatino Linotype" w:eastAsia="Aptos" w:cs="Times New Roman"/>
        </w:rPr>
        <w:br/>
      </w:r>
      <w:r w:rsidRPr="008F34BE">
        <w:rPr>
          <w:rFonts w:ascii="Palatino Linotype" w:hAnsi="Palatino Linotype" w:eastAsia="Aptos" w:cs="Times New Roman"/>
        </w:rPr>
        <w:t xml:space="preserve">transmission-level customer’s load does not </w:t>
      </w:r>
      <w:r w:rsidRPr="008F34BE" w:rsidR="00470A2C">
        <w:rPr>
          <w:rFonts w:ascii="Palatino Linotype" w:hAnsi="Palatino Linotype" w:eastAsia="Aptos" w:cs="Times New Roman"/>
        </w:rPr>
        <w:t>materialize</w:t>
      </w:r>
      <w:r w:rsidRPr="008F34BE">
        <w:rPr>
          <w:rFonts w:ascii="Palatino Linotype" w:hAnsi="Palatino Linotype" w:eastAsia="Aptos" w:cs="Times New Roman"/>
        </w:rPr>
        <w:t xml:space="preserve"> over the long term.</w:t>
      </w:r>
      <w:r w:rsidRPr="008F34BE" w:rsidDel="00BD598C">
        <w:rPr>
          <w:rFonts w:ascii="Palatino Linotype" w:hAnsi="Palatino Linotype" w:eastAsia="Aptos" w:cs="Times New Roman"/>
        </w:rPr>
        <w:t xml:space="preserve"> </w:t>
      </w:r>
      <w:r w:rsidRPr="008F34BE">
        <w:rPr>
          <w:rFonts w:ascii="Palatino Linotype" w:hAnsi="Palatino Linotype" w:eastAsia="Aptos" w:cs="Times New Roman"/>
        </w:rPr>
        <w:t xml:space="preserve">Energizing </w:t>
      </w:r>
      <w:r w:rsidR="003B63D4">
        <w:rPr>
          <w:rFonts w:ascii="Palatino Linotype" w:hAnsi="Palatino Linotype" w:eastAsia="Aptos" w:cs="Times New Roman"/>
        </w:rPr>
        <w:br/>
      </w:r>
      <w:r w:rsidRPr="008F34BE">
        <w:rPr>
          <w:rFonts w:ascii="Palatino Linotype" w:hAnsi="Palatino Linotype" w:eastAsia="Aptos" w:cs="Times New Roman"/>
        </w:rPr>
        <w:t>transmission-level customers can require significant new transmission infrastructure and can depend on larger upgrades to the broader transmission network.</w:t>
      </w:r>
      <w:r w:rsidRPr="008F34BE" w:rsidR="00A65E29">
        <w:rPr>
          <w:rFonts w:ascii="Palatino Linotype" w:hAnsi="Palatino Linotype" w:eastAsia="Aptos" w:cs="Times New Roman"/>
        </w:rPr>
        <w:t xml:space="preserve"> </w:t>
      </w:r>
    </w:p>
    <w:p w:rsidRPr="008F34BE" w:rsidR="00224994" w:rsidP="00A76F4A" w:rsidRDefault="00224994" w14:paraId="56C499A6" w14:textId="77777777">
      <w:pPr>
        <w:spacing w:after="0" w:line="240" w:lineRule="auto"/>
        <w:rPr>
          <w:rFonts w:ascii="Palatino Linotype" w:hAnsi="Palatino Linotype" w:eastAsia="Aptos" w:cs="Times New Roman"/>
        </w:rPr>
      </w:pPr>
    </w:p>
    <w:p w:rsidRPr="008F34BE" w:rsidR="00EA1E8A" w:rsidP="00A76F4A" w:rsidRDefault="00EA1E8A" w14:paraId="4F4762ED"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Like any customer</w:t>
      </w:r>
      <w:r w:rsidRPr="008F34BE" w:rsidR="001B4B9F">
        <w:rPr>
          <w:rFonts w:ascii="Palatino Linotype" w:hAnsi="Palatino Linotype" w:eastAsia="Aptos" w:cs="Times New Roman"/>
        </w:rPr>
        <w:t xml:space="preserve"> load</w:t>
      </w:r>
      <w:r w:rsidRPr="008F34BE">
        <w:rPr>
          <w:rFonts w:ascii="Palatino Linotype" w:hAnsi="Palatino Linotype" w:eastAsia="Aptos" w:cs="Times New Roman"/>
        </w:rPr>
        <w:t xml:space="preserv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will rely on the </w:t>
      </w:r>
      <w:r w:rsidRPr="008F34BE" w:rsidR="001B4B9F">
        <w:rPr>
          <w:rFonts w:ascii="Palatino Linotype" w:hAnsi="Palatino Linotype" w:eastAsia="Aptos" w:cs="Times New Roman"/>
        </w:rPr>
        <w:t>broad</w:t>
      </w:r>
      <w:r w:rsidRPr="008F34BE">
        <w:rPr>
          <w:rFonts w:ascii="Palatino Linotype" w:hAnsi="Palatino Linotype" w:eastAsia="Aptos" w:cs="Times New Roman"/>
        </w:rPr>
        <w:t xml:space="preserve">er transmission grid outside of the direct infrastructure needed for its energization. In addition, large loads like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often depend on and sometimes directly trigger new upgrades to the broader transmission network beyond the direct costs to connect the customer to that network.</w:t>
      </w:r>
      <w:r w:rsidRPr="008F34BE">
        <w:rPr>
          <w:rStyle w:val="FootnoteReference"/>
          <w:rFonts w:ascii="Palatino Linotype" w:hAnsi="Palatino Linotype" w:eastAsia="Aptos" w:cs="Times New Roman"/>
        </w:rPr>
        <w:footnoteReference w:id="19"/>
      </w:r>
    </w:p>
    <w:p w:rsidRPr="008F34BE" w:rsidR="0013733D" w:rsidP="00A76F4A" w:rsidRDefault="0013733D" w14:paraId="00AAEDFA" w14:textId="77777777">
      <w:pPr>
        <w:spacing w:after="0" w:line="240" w:lineRule="auto"/>
        <w:rPr>
          <w:rFonts w:ascii="Palatino Linotype" w:hAnsi="Palatino Linotype" w:eastAsia="Palatino Linotype" w:cs="Times New Roman"/>
          <w:kern w:val="0"/>
          <w14:ligatures w14:val="none"/>
        </w:rPr>
      </w:pPr>
    </w:p>
    <w:p w:rsidRPr="008F34BE" w:rsidR="001B4B9F" w:rsidP="00A76F4A" w:rsidRDefault="00A1756E" w14:paraId="3878350F"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Operation and Maintenance Costs</w:t>
      </w:r>
    </w:p>
    <w:p w:rsidRPr="008F34BE" w:rsidR="00A1756E" w:rsidP="00A76F4A" w:rsidRDefault="00A1756E" w14:paraId="769864DA" w14:textId="77777777">
      <w:pPr>
        <w:spacing w:after="0" w:line="240" w:lineRule="auto"/>
        <w:rPr>
          <w:rFonts w:ascii="Palatino Linotype" w:hAnsi="Palatino Linotype" w:eastAsia="Palatino Linotype" w:cs="Times New Roman"/>
          <w:kern w:val="0"/>
          <w14:ligatures w14:val="none"/>
        </w:rPr>
      </w:pPr>
    </w:p>
    <w:p w:rsidRPr="008F34BE" w:rsidR="00A1756E" w:rsidP="00A76F4A" w:rsidRDefault="00D31A67" w14:paraId="4F61F3C8"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New infrastructure requires additional yearly expenses for operations, maintenance, administration, and other general costs. </w:t>
      </w:r>
      <w:r w:rsidRPr="008F34BE" w:rsidR="007B607D">
        <w:rPr>
          <w:rFonts w:ascii="Palatino Linotype" w:hAnsi="Palatino Linotype" w:eastAsia="Aptos" w:cs="Times New Roman"/>
        </w:rPr>
        <w:t>Based on a conservative estimate</w:t>
      </w:r>
      <w:r w:rsidRPr="008F34BE" w:rsidR="00321760">
        <w:rPr>
          <w:rFonts w:ascii="Palatino Linotype" w:hAnsi="Palatino Linotype" w:eastAsia="Aptos" w:cs="Times New Roman"/>
        </w:rPr>
        <w:t xml:space="preserve"> of ongoing Operations and Maintenance (O&amp;M) costs</w:t>
      </w:r>
      <w:r w:rsidRPr="008F34BE" w:rsidR="00672BEA">
        <w:rPr>
          <w:rFonts w:ascii="Palatino Linotype" w:hAnsi="Palatino Linotype" w:eastAsia="Aptos" w:cs="Times New Roman"/>
        </w:rPr>
        <w:t xml:space="preserve"> set at</w:t>
      </w:r>
      <w:r w:rsidRPr="008F34BE" w:rsidR="007B607D">
        <w:rPr>
          <w:rFonts w:ascii="Palatino Linotype" w:hAnsi="Palatino Linotype" w:eastAsia="Aptos" w:cs="Times New Roman"/>
        </w:rPr>
        <w:t xml:space="preserve"> 2.5</w:t>
      </w:r>
      <w:r w:rsidRPr="008F34BE" w:rsidR="008252DC">
        <w:rPr>
          <w:rFonts w:ascii="Palatino Linotype" w:hAnsi="Palatino Linotype" w:eastAsia="Aptos" w:cs="Times New Roman"/>
        </w:rPr>
        <w:t xml:space="preserve"> percent</w:t>
      </w:r>
      <w:r w:rsidRPr="008F34BE" w:rsidR="0097535B">
        <w:rPr>
          <w:rFonts w:ascii="Palatino Linotype" w:hAnsi="Palatino Linotype" w:eastAsia="Aptos" w:cs="Times New Roman"/>
        </w:rPr>
        <w:t xml:space="preserve"> annually</w:t>
      </w:r>
      <w:r w:rsidRPr="008F34BE" w:rsidR="00672BEA">
        <w:rPr>
          <w:rFonts w:ascii="Palatino Linotype" w:hAnsi="Palatino Linotype" w:eastAsia="Aptos" w:cs="Times New Roman"/>
        </w:rPr>
        <w:t xml:space="preserve">, </w:t>
      </w:r>
      <w:r w:rsidRPr="008F34BE" w:rsidR="00C95310">
        <w:rPr>
          <w:rFonts w:ascii="Palatino Linotype" w:hAnsi="Palatino Linotype" w:eastAsia="Aptos" w:cs="Times New Roman"/>
        </w:rPr>
        <w:t xml:space="preserve">a $50 million infrastructure investment would incur </w:t>
      </w:r>
      <w:r w:rsidRPr="008F34BE" w:rsidR="00765304">
        <w:rPr>
          <w:rFonts w:ascii="Palatino Linotype" w:hAnsi="Palatino Linotype" w:eastAsia="Aptos" w:cs="Times New Roman"/>
        </w:rPr>
        <w:t xml:space="preserve">around $1.3 million in O&amp;M costs each year. </w:t>
      </w:r>
      <w:r w:rsidRPr="008F34BE" w:rsidR="009B7AF6">
        <w:rPr>
          <w:rFonts w:ascii="Palatino Linotype" w:hAnsi="Palatino Linotype" w:eastAsia="Aptos" w:cs="Times New Roman"/>
        </w:rPr>
        <w:t>Upgrades to the broader transmission network, though only</w:t>
      </w:r>
      <w:r w:rsidRPr="008F34BE" w:rsidR="00872775">
        <w:rPr>
          <w:rFonts w:ascii="Palatino Linotype" w:hAnsi="Palatino Linotype" w:eastAsia="Aptos" w:cs="Times New Roman"/>
        </w:rPr>
        <w:t xml:space="preserve"> indirectly</w:t>
      </w:r>
      <w:r w:rsidRPr="008F34BE" w:rsidR="009B7AF6">
        <w:rPr>
          <w:rFonts w:ascii="Palatino Linotype" w:hAnsi="Palatino Linotype" w:eastAsia="Aptos" w:cs="Times New Roman"/>
        </w:rPr>
        <w:t xml:space="preserve"> related to</w:t>
      </w:r>
      <w:r w:rsidRPr="008F34BE" w:rsidR="001525AC">
        <w:rPr>
          <w:rFonts w:ascii="Palatino Linotype" w:hAnsi="Palatino Linotype" w:eastAsia="Aptos" w:cs="Times New Roman"/>
        </w:rPr>
        <w:t xml:space="preserve"> the Microsoft project</w:t>
      </w:r>
      <w:r w:rsidRPr="008F34BE" w:rsidR="009B7AF6">
        <w:rPr>
          <w:rFonts w:ascii="Palatino Linotype" w:hAnsi="Palatino Linotype" w:eastAsia="Aptos" w:cs="Times New Roman"/>
        </w:rPr>
        <w:t>’s energization</w:t>
      </w:r>
      <w:r w:rsidRPr="008F34BE" w:rsidR="009C2A6D">
        <w:rPr>
          <w:rFonts w:ascii="Palatino Linotype" w:hAnsi="Palatino Linotype" w:eastAsia="Aptos" w:cs="Times New Roman"/>
        </w:rPr>
        <w:t>,</w:t>
      </w:r>
      <w:r w:rsidRPr="008F34BE" w:rsidR="001525AC">
        <w:rPr>
          <w:rFonts w:ascii="Palatino Linotype" w:hAnsi="Palatino Linotype" w:eastAsia="Aptos" w:cs="Times New Roman"/>
        </w:rPr>
        <w:t xml:space="preserve"> </w:t>
      </w:r>
      <w:r w:rsidRPr="008F34BE" w:rsidR="009B7AF6">
        <w:rPr>
          <w:rFonts w:ascii="Palatino Linotype" w:hAnsi="Palatino Linotype" w:eastAsia="Aptos" w:cs="Times New Roman"/>
        </w:rPr>
        <w:t>would also create additional yearly expenses.</w:t>
      </w:r>
    </w:p>
    <w:p w:rsidRPr="008F34BE" w:rsidR="001B4B9F" w:rsidP="00A76F4A" w:rsidRDefault="001B4B9F" w14:paraId="7BD231C5" w14:textId="77777777">
      <w:pPr>
        <w:spacing w:after="0" w:line="240" w:lineRule="auto"/>
        <w:rPr>
          <w:rFonts w:ascii="Palatino Linotype" w:hAnsi="Palatino Linotype" w:eastAsia="Palatino Linotype" w:cs="Times New Roman"/>
          <w:kern w:val="0"/>
          <w14:ligatures w14:val="none"/>
        </w:rPr>
      </w:pPr>
    </w:p>
    <w:p w:rsidRPr="008F34BE" w:rsidR="0012320A" w:rsidP="00A76F4A" w:rsidRDefault="002E61D8" w14:paraId="49CC44E8" w14:textId="77777777">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 xml:space="preserve">Reasonableness of the </w:t>
      </w:r>
      <w:r w:rsidRPr="008F34BE" w:rsidR="00D505DA">
        <w:rPr>
          <w:rFonts w:ascii="Palatino Linotype" w:hAnsi="Palatino Linotype" w:eastAsia="Palatino Linotype" w:cs="Times New Roman"/>
          <w:i/>
          <w:iCs/>
          <w:kern w:val="0"/>
          <w14:ligatures w14:val="none"/>
        </w:rPr>
        <w:t>Use of the Base Annual Revenue Calculation Process and Limiting Refunds</w:t>
      </w:r>
      <w:r w:rsidRPr="008F34BE">
        <w:rPr>
          <w:rFonts w:ascii="Palatino Linotype" w:hAnsi="Palatino Linotype" w:eastAsia="Palatino Linotype" w:cs="Times New Roman"/>
          <w:i/>
          <w:iCs/>
          <w:kern w:val="0"/>
          <w14:ligatures w14:val="none"/>
        </w:rPr>
        <w:t xml:space="preserve"> to 75</w:t>
      </w:r>
      <w:r w:rsidRPr="008F34BE" w:rsidR="00B842CA">
        <w:rPr>
          <w:rFonts w:ascii="Palatino Linotype" w:hAnsi="Palatino Linotype" w:eastAsia="Palatino Linotype" w:cs="Times New Roman"/>
          <w:i/>
          <w:iCs/>
          <w:kern w:val="0"/>
          <w14:ligatures w14:val="none"/>
        </w:rPr>
        <w:t xml:space="preserve"> </w:t>
      </w:r>
      <w:r w:rsidRPr="008F34BE" w:rsidR="001D01BB">
        <w:rPr>
          <w:rFonts w:ascii="Palatino Linotype" w:hAnsi="Palatino Linotype" w:eastAsia="Palatino Linotype" w:cs="Times New Roman"/>
          <w:i/>
          <w:iCs/>
          <w:kern w:val="0"/>
          <w14:ligatures w14:val="none"/>
        </w:rPr>
        <w:t>Percent</w:t>
      </w:r>
      <w:r w:rsidRPr="008F34BE">
        <w:rPr>
          <w:rFonts w:ascii="Palatino Linotype" w:hAnsi="Palatino Linotype" w:eastAsia="Palatino Linotype" w:cs="Times New Roman"/>
          <w:i/>
          <w:iCs/>
          <w:kern w:val="0"/>
          <w14:ligatures w14:val="none"/>
        </w:rPr>
        <w:t xml:space="preserve"> of Annual Revenue</w:t>
      </w:r>
    </w:p>
    <w:p w:rsidRPr="008F34BE" w:rsidR="0012320A" w:rsidP="00A76F4A" w:rsidRDefault="0012320A" w14:paraId="3C7C5950" w14:textId="77777777">
      <w:pPr>
        <w:spacing w:after="0" w:line="240" w:lineRule="auto"/>
        <w:rPr>
          <w:rFonts w:ascii="Palatino Linotype" w:hAnsi="Palatino Linotype" w:eastAsia="Palatino Linotype" w:cs="Times New Roman"/>
          <w:kern w:val="0"/>
          <w14:ligatures w14:val="none"/>
        </w:rPr>
      </w:pPr>
    </w:p>
    <w:p w:rsidRPr="008F34BE" w:rsidR="00EA78B4" w:rsidP="002E61D8" w:rsidRDefault="0012320A" w14:paraId="097B3486"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It is not reasonable to apply the standard Rule 15 refund process and the BARC methodology</w:t>
      </w:r>
      <w:r w:rsidRPr="008F34BE" w:rsidR="001046F0">
        <w:rPr>
          <w:rFonts w:ascii="Palatino Linotype" w:hAnsi="Palatino Linotype" w:eastAsia="Aptos" w:cs="Times New Roman"/>
        </w:rPr>
        <w:t xml:space="preserve"> as written</w:t>
      </w:r>
      <w:r w:rsidRPr="008F34BE">
        <w:rPr>
          <w:rFonts w:ascii="Palatino Linotype" w:hAnsi="Palatino Linotype" w:eastAsia="Aptos" w:cs="Times New Roman"/>
        </w:rPr>
        <w:t xml:space="preserve"> to this project without modification.</w:t>
      </w:r>
    </w:p>
    <w:p w:rsidRPr="008F34BE" w:rsidR="00EA78B4" w:rsidP="002E61D8" w:rsidRDefault="00EA78B4" w14:paraId="569A9FB7" w14:textId="77777777">
      <w:pPr>
        <w:spacing w:after="0" w:line="240" w:lineRule="auto"/>
        <w:rPr>
          <w:rFonts w:ascii="Palatino Linotype" w:hAnsi="Palatino Linotype" w:eastAsia="Aptos" w:cs="Times New Roman"/>
        </w:rPr>
      </w:pPr>
    </w:p>
    <w:p w:rsidRPr="008F34BE" w:rsidR="00EA78B4" w:rsidP="002E61D8" w:rsidRDefault="0012320A" w14:paraId="04EE21AD"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First, as a large load customer connecting at the transmission level</w:t>
      </w:r>
      <w:r w:rsidRPr="008F34BE" w:rsidR="001E7E21">
        <w:rPr>
          <w:rFonts w:ascii="Palatino Linotype" w:hAnsi="Palatino Linotype" w:eastAsia="Aptos" w:cs="Times New Roman"/>
        </w:rPr>
        <w:t xml:space="preserve"> and as a new customer type</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the </w:t>
      </w:r>
      <w:r w:rsidRPr="008F34BE" w:rsidR="00F66443">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project’s </w:t>
      </w:r>
      <w:r w:rsidRPr="008F34BE">
        <w:rPr>
          <w:rFonts w:ascii="Palatino Linotype" w:hAnsi="Palatino Linotype" w:eastAsia="Aptos" w:cs="Times New Roman"/>
        </w:rPr>
        <w:t xml:space="preserve">energization </w:t>
      </w:r>
      <w:r w:rsidRPr="008F34BE" w:rsidR="004935CB">
        <w:rPr>
          <w:rFonts w:ascii="Palatino Linotype" w:hAnsi="Palatino Linotype" w:eastAsia="Aptos" w:cs="Times New Roman"/>
        </w:rPr>
        <w:t xml:space="preserve">will </w:t>
      </w:r>
      <w:r w:rsidRPr="008F34BE" w:rsidR="00E16BA2">
        <w:rPr>
          <w:rFonts w:ascii="Palatino Linotype" w:hAnsi="Palatino Linotype" w:eastAsia="Aptos" w:cs="Times New Roman"/>
        </w:rPr>
        <w:t xml:space="preserve">involve significantly </w:t>
      </w:r>
      <w:r w:rsidRPr="008F34BE">
        <w:rPr>
          <w:rFonts w:ascii="Palatino Linotype" w:hAnsi="Palatino Linotype" w:eastAsia="Aptos" w:cs="Times New Roman"/>
        </w:rPr>
        <w:t xml:space="preserve">higher costs </w:t>
      </w:r>
      <w:r w:rsidRPr="008F34BE" w:rsidR="001E7E21">
        <w:rPr>
          <w:rFonts w:ascii="Palatino Linotype" w:hAnsi="Palatino Linotype" w:eastAsia="Aptos" w:cs="Times New Roman"/>
        </w:rPr>
        <w:t xml:space="preserve">and </w:t>
      </w:r>
      <w:r w:rsidRPr="008F34BE" w:rsidR="000D4085">
        <w:rPr>
          <w:rFonts w:ascii="Palatino Linotype" w:hAnsi="Palatino Linotype" w:eastAsia="Aptos" w:cs="Times New Roman"/>
        </w:rPr>
        <w:t>uncertainty</w:t>
      </w:r>
      <w:r w:rsidRPr="008F34BE">
        <w:rPr>
          <w:rFonts w:ascii="Palatino Linotype" w:hAnsi="Palatino Linotype" w:eastAsia="Aptos" w:cs="Times New Roman"/>
        </w:rPr>
        <w:t xml:space="preserve"> than </w:t>
      </w:r>
      <w:r w:rsidRPr="008F34BE" w:rsidR="001E7E21">
        <w:rPr>
          <w:rFonts w:ascii="Palatino Linotype" w:hAnsi="Palatino Linotype" w:eastAsia="Aptos" w:cs="Times New Roman"/>
        </w:rPr>
        <w:t xml:space="preserve">the energization of </w:t>
      </w:r>
      <w:r w:rsidRPr="008F34BE">
        <w:rPr>
          <w:rFonts w:ascii="Palatino Linotype" w:hAnsi="Palatino Linotype" w:eastAsia="Aptos" w:cs="Times New Roman"/>
        </w:rPr>
        <w:t>a smaller</w:t>
      </w:r>
      <w:r w:rsidRPr="008F34BE" w:rsidR="00686895">
        <w:rPr>
          <w:rFonts w:ascii="Palatino Linotype" w:hAnsi="Palatino Linotype" w:eastAsia="Aptos" w:cs="Times New Roman"/>
        </w:rPr>
        <w:t>,</w:t>
      </w:r>
      <w:r w:rsidRPr="008F34BE">
        <w:rPr>
          <w:rFonts w:ascii="Palatino Linotype" w:hAnsi="Palatino Linotype" w:eastAsia="Aptos" w:cs="Times New Roman"/>
        </w:rPr>
        <w:t xml:space="preserve"> distribution-level customer</w:t>
      </w:r>
      <w:r w:rsidRPr="008F34BE" w:rsidR="001E7E21">
        <w:rPr>
          <w:rFonts w:ascii="Palatino Linotype" w:hAnsi="Palatino Linotype" w:eastAsia="Aptos" w:cs="Times New Roman"/>
        </w:rPr>
        <w:t xml:space="preserve"> </w:t>
      </w:r>
      <w:r w:rsidRPr="008F34BE" w:rsidR="00686895">
        <w:rPr>
          <w:rFonts w:ascii="Palatino Linotype" w:hAnsi="Palatino Linotype" w:eastAsia="Aptos" w:cs="Times New Roman"/>
        </w:rPr>
        <w:t xml:space="preserve">for whom </w:t>
      </w:r>
      <w:r w:rsidRPr="008F34BE" w:rsidR="001E7E21">
        <w:rPr>
          <w:rFonts w:ascii="Palatino Linotype" w:hAnsi="Palatino Linotype" w:eastAsia="Aptos" w:cs="Times New Roman"/>
        </w:rPr>
        <w:t xml:space="preserve">the tariff </w:t>
      </w:r>
      <w:r w:rsidRPr="008F34BE" w:rsidR="00686895">
        <w:rPr>
          <w:rFonts w:ascii="Palatino Linotype" w:hAnsi="Palatino Linotype" w:eastAsia="Aptos" w:cs="Times New Roman"/>
        </w:rPr>
        <w:t>was originally designed</w:t>
      </w:r>
      <w:r w:rsidRPr="008F34BE">
        <w:rPr>
          <w:rFonts w:ascii="Palatino Linotype" w:hAnsi="Palatino Linotype" w:eastAsia="Aptos" w:cs="Times New Roman"/>
        </w:rPr>
        <w:t>.</w:t>
      </w:r>
    </w:p>
    <w:p w:rsidRPr="008F34BE" w:rsidR="00EA78B4" w:rsidP="002E61D8" w:rsidRDefault="00EA78B4" w14:paraId="3E8E966E" w14:textId="77777777">
      <w:pPr>
        <w:spacing w:after="0" w:line="240" w:lineRule="auto"/>
        <w:rPr>
          <w:rFonts w:ascii="Palatino Linotype" w:hAnsi="Palatino Linotype" w:eastAsia="Aptos" w:cs="Times New Roman"/>
        </w:rPr>
      </w:pPr>
    </w:p>
    <w:p w:rsidRPr="008F34BE" w:rsidR="002C7FB5" w:rsidP="002E61D8" w:rsidRDefault="0012320A" w14:paraId="7F2DD6B8"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lastRenderedPageBreak/>
        <w:t>Second, as a transmission-level customer</w:t>
      </w:r>
      <w:r w:rsidRPr="008F34BE" w:rsidR="00460CB1">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the </w:t>
      </w:r>
      <w:r w:rsidRPr="008F34BE" w:rsidR="001E7E21">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project </w:t>
      </w:r>
      <w:r w:rsidRPr="008F34BE">
        <w:rPr>
          <w:rFonts w:ascii="Palatino Linotype" w:hAnsi="Palatino Linotype" w:eastAsia="Aptos" w:cs="Times New Roman"/>
        </w:rPr>
        <w:t xml:space="preserve">would pay a </w:t>
      </w:r>
      <w:r w:rsidRPr="008F34BE" w:rsidR="002C7FB5">
        <w:rPr>
          <w:rFonts w:ascii="Palatino Linotype" w:hAnsi="Palatino Linotype" w:eastAsia="Aptos" w:cs="Times New Roman"/>
        </w:rPr>
        <w:t xml:space="preserve">significantly </w:t>
      </w:r>
      <w:r w:rsidRPr="008F34BE">
        <w:rPr>
          <w:rFonts w:ascii="Palatino Linotype" w:hAnsi="Palatino Linotype" w:eastAsia="Aptos" w:cs="Times New Roman"/>
        </w:rPr>
        <w:t>lower rate per kWh than a distribution-level customer normally covered by the Rule 15 process</w:t>
      </w:r>
      <w:r w:rsidRPr="008F34BE" w:rsidR="00C76D95">
        <w:rPr>
          <w:rFonts w:ascii="Palatino Linotype" w:hAnsi="Palatino Linotype" w:eastAsia="Aptos" w:cs="Times New Roman"/>
        </w:rPr>
        <w:t>,</w:t>
      </w:r>
      <w:r w:rsidRPr="008F34BE">
        <w:rPr>
          <w:rFonts w:ascii="Palatino Linotype" w:hAnsi="Palatino Linotype" w:eastAsia="Aptos" w:cs="Times New Roman"/>
        </w:rPr>
        <w:t xml:space="preserve"> and </w:t>
      </w:r>
      <w:r w:rsidRPr="008F34BE" w:rsidR="00EA78B4">
        <w:rPr>
          <w:rFonts w:ascii="Palatino Linotype" w:hAnsi="Palatino Linotype" w:eastAsia="Aptos" w:cs="Times New Roman"/>
        </w:rPr>
        <w:t>thus</w:t>
      </w:r>
      <w:r w:rsidRPr="008F34BE" w:rsidR="00C76D95">
        <w:rPr>
          <w:rFonts w:ascii="Palatino Linotype" w:hAnsi="Palatino Linotype" w:eastAsia="Aptos" w:cs="Times New Roman"/>
        </w:rPr>
        <w:t xml:space="preserve"> it</w:t>
      </w:r>
      <w:r w:rsidRPr="008F34BE" w:rsidR="00EA78B4">
        <w:rPr>
          <w:rFonts w:ascii="Palatino Linotype" w:hAnsi="Palatino Linotype" w:eastAsia="Aptos" w:cs="Times New Roman"/>
        </w:rPr>
        <w:t xml:space="preserve"> </w:t>
      </w:r>
      <w:r w:rsidRPr="008F34BE">
        <w:rPr>
          <w:rFonts w:ascii="Palatino Linotype" w:hAnsi="Palatino Linotype" w:eastAsia="Aptos" w:cs="Times New Roman"/>
        </w:rPr>
        <w:t xml:space="preserve">may generate lower infrastructure-related revenue depending on actual </w:t>
      </w:r>
      <w:r w:rsidRPr="008F34BE" w:rsidR="004E5967">
        <w:rPr>
          <w:rFonts w:ascii="Palatino Linotype" w:hAnsi="Palatino Linotype" w:eastAsia="Aptos" w:cs="Times New Roman"/>
        </w:rPr>
        <w:t>load</w:t>
      </w:r>
      <w:r w:rsidRPr="008F34BE">
        <w:rPr>
          <w:rFonts w:ascii="Palatino Linotype" w:hAnsi="Palatino Linotype" w:eastAsia="Aptos" w:cs="Times New Roman"/>
        </w:rPr>
        <w:t xml:space="preserve"> over time</w:t>
      </w:r>
      <w:r w:rsidRPr="008F34BE" w:rsidR="00EA78B4">
        <w:rPr>
          <w:rFonts w:ascii="Palatino Linotype" w:hAnsi="Palatino Linotype" w:eastAsia="Aptos" w:cs="Times New Roman"/>
        </w:rPr>
        <w:t>. A</w:t>
      </w:r>
      <w:r w:rsidRPr="008F34BE">
        <w:rPr>
          <w:rFonts w:ascii="Palatino Linotype" w:hAnsi="Palatino Linotype" w:eastAsia="Aptos" w:cs="Times New Roman"/>
        </w:rPr>
        <w:t>t the same time</w:t>
      </w:r>
      <w:r w:rsidRPr="008F34BE" w:rsidR="00EA78B4">
        <w:rPr>
          <w:rFonts w:ascii="Palatino Linotype" w:hAnsi="Palatino Linotype" w:eastAsia="Aptos" w:cs="Times New Roman"/>
        </w:rPr>
        <w:t>, the Microsoft project could</w:t>
      </w:r>
      <w:r w:rsidRPr="008F34BE">
        <w:rPr>
          <w:rFonts w:ascii="Palatino Linotype" w:hAnsi="Palatino Linotype" w:eastAsia="Aptos" w:cs="Times New Roman"/>
        </w:rPr>
        <w:t xml:space="preserve"> </w:t>
      </w:r>
      <w:r w:rsidRPr="008F34BE" w:rsidR="004E5967">
        <w:rPr>
          <w:rFonts w:ascii="Palatino Linotype" w:hAnsi="Palatino Linotype" w:eastAsia="Aptos" w:cs="Times New Roman"/>
        </w:rPr>
        <w:t xml:space="preserve">potentially </w:t>
      </w:r>
      <w:r w:rsidRPr="008F34BE">
        <w:rPr>
          <w:rFonts w:ascii="Palatino Linotype" w:hAnsi="Palatino Linotype" w:eastAsia="Aptos" w:cs="Times New Roman"/>
        </w:rPr>
        <w:t>contribut</w:t>
      </w:r>
      <w:r w:rsidRPr="008F34BE" w:rsidR="00EA78B4">
        <w:rPr>
          <w:rFonts w:ascii="Palatino Linotype" w:hAnsi="Palatino Linotype" w:eastAsia="Aptos" w:cs="Times New Roman"/>
        </w:rPr>
        <w:t>e</w:t>
      </w:r>
      <w:r w:rsidRPr="008F34BE">
        <w:rPr>
          <w:rFonts w:ascii="Palatino Linotype" w:hAnsi="Palatino Linotype" w:eastAsia="Aptos" w:cs="Times New Roman"/>
        </w:rPr>
        <w:t xml:space="preserve"> to the need for broader transmission network upgrades in the region.</w:t>
      </w:r>
    </w:p>
    <w:p w:rsidRPr="008F34BE" w:rsidR="002C7FB5" w:rsidP="002E61D8" w:rsidRDefault="002C7FB5" w14:paraId="1C934C1A" w14:textId="77777777">
      <w:pPr>
        <w:spacing w:after="0" w:line="240" w:lineRule="auto"/>
        <w:rPr>
          <w:rFonts w:ascii="Palatino Linotype" w:hAnsi="Palatino Linotype" w:eastAsia="Aptos" w:cs="Times New Roman"/>
        </w:rPr>
      </w:pPr>
    </w:p>
    <w:p w:rsidRPr="008F34BE" w:rsidR="002E61D8" w:rsidP="002E61D8" w:rsidRDefault="0012320A" w14:paraId="59DB53A4"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Third, while all the infrastructure costs related to energizing </w:t>
      </w:r>
      <w:r w:rsidRPr="008F34BE" w:rsidR="00EA78B4">
        <w:rPr>
          <w:rFonts w:ascii="Palatino Linotype" w:hAnsi="Palatino Linotype" w:eastAsia="Aptos" w:cs="Times New Roman"/>
        </w:rPr>
        <w:t>the Microsoft project</w:t>
      </w:r>
      <w:r w:rsidRPr="008F34BE">
        <w:rPr>
          <w:rFonts w:ascii="Palatino Linotype" w:hAnsi="Palatino Linotype" w:eastAsia="Aptos" w:cs="Times New Roman"/>
        </w:rPr>
        <w:t xml:space="preserve"> are capital expenses, energiz</w:t>
      </w:r>
      <w:r w:rsidRPr="008F34BE" w:rsidR="00983F8D">
        <w:rPr>
          <w:rFonts w:ascii="Palatino Linotype" w:hAnsi="Palatino Linotype" w:eastAsia="Aptos" w:cs="Times New Roman"/>
        </w:rPr>
        <w:t>ation of this project</w:t>
      </w:r>
      <w:r w:rsidRPr="008F34BE">
        <w:rPr>
          <w:rFonts w:ascii="Palatino Linotype" w:hAnsi="Palatino Linotype" w:eastAsia="Aptos" w:cs="Times New Roman"/>
        </w:rPr>
        <w:t xml:space="preserve"> </w:t>
      </w:r>
      <w:r w:rsidRPr="008F34BE" w:rsidR="00983F8D">
        <w:rPr>
          <w:rFonts w:ascii="Palatino Linotype" w:hAnsi="Palatino Linotype" w:eastAsia="Aptos" w:cs="Times New Roman"/>
        </w:rPr>
        <w:t>will</w:t>
      </w:r>
      <w:r w:rsidRPr="008F34BE">
        <w:rPr>
          <w:rFonts w:ascii="Palatino Linotype" w:hAnsi="Palatino Linotype" w:eastAsia="Aptos" w:cs="Times New Roman"/>
        </w:rPr>
        <w:t xml:space="preserve"> also lead to additional annual expenses for transmission system operations and maintenance, and </w:t>
      </w:r>
      <w:r w:rsidRPr="008F34BE" w:rsidR="00983F8D">
        <w:rPr>
          <w:rFonts w:ascii="Palatino Linotype" w:hAnsi="Palatino Linotype" w:eastAsia="Aptos" w:cs="Times New Roman"/>
        </w:rPr>
        <w:t>the Microsoft project</w:t>
      </w:r>
      <w:r w:rsidRPr="008F34BE">
        <w:rPr>
          <w:rFonts w:ascii="Palatino Linotype" w:hAnsi="Palatino Linotype" w:eastAsia="Aptos" w:cs="Times New Roman"/>
        </w:rPr>
        <w:t xml:space="preserve"> as a customer will rely on the broader operations and maintenance of the transmission grid.</w:t>
      </w:r>
    </w:p>
    <w:p w:rsidRPr="008F34BE" w:rsidR="002E61D8" w:rsidP="002E61D8" w:rsidRDefault="002E61D8" w14:paraId="4E249E62" w14:textId="77777777">
      <w:pPr>
        <w:spacing w:after="0" w:line="240" w:lineRule="auto"/>
        <w:rPr>
          <w:rFonts w:ascii="Palatino Linotype" w:hAnsi="Palatino Linotype" w:eastAsia="Aptos" w:cs="Times New Roman"/>
        </w:rPr>
      </w:pPr>
    </w:p>
    <w:p w:rsidRPr="008F34BE" w:rsidR="0038016B" w:rsidP="002E61D8" w:rsidRDefault="0012320A" w14:paraId="6DDCED57"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Given the factors</w:t>
      </w:r>
      <w:r w:rsidRPr="008F34BE" w:rsidR="00DE4C42">
        <w:rPr>
          <w:rFonts w:ascii="Palatino Linotype" w:hAnsi="Palatino Linotype" w:eastAsia="Aptos" w:cs="Times New Roman"/>
        </w:rPr>
        <w:t xml:space="preserve"> described above</w:t>
      </w:r>
      <w:r w:rsidRPr="008F34BE">
        <w:rPr>
          <w:rFonts w:ascii="Palatino Linotype" w:hAnsi="Palatino Linotype" w:eastAsia="Aptos" w:cs="Times New Roman"/>
        </w:rPr>
        <w:t xml:space="preserve">, there should be additional protections to safeguard </w:t>
      </w:r>
      <w:r w:rsidRPr="008F34BE" w:rsidR="00410BED">
        <w:rPr>
          <w:rFonts w:ascii="Palatino Linotype" w:hAnsi="Palatino Linotype" w:eastAsia="Aptos" w:cs="Times New Roman"/>
        </w:rPr>
        <w:t xml:space="preserve">PG&amp;E </w:t>
      </w:r>
      <w:r w:rsidRPr="008F34BE">
        <w:rPr>
          <w:rFonts w:ascii="Palatino Linotype" w:hAnsi="Palatino Linotype" w:eastAsia="Aptos" w:cs="Times New Roman"/>
        </w:rPr>
        <w:t xml:space="preserve">ratepayers from assuming the risk of energizing </w:t>
      </w:r>
      <w:r w:rsidRPr="008F34BE" w:rsidR="00B9476B">
        <w:rPr>
          <w:rFonts w:ascii="Palatino Linotype" w:hAnsi="Palatino Linotype" w:eastAsia="Aptos" w:cs="Times New Roman"/>
        </w:rPr>
        <w:t>the Microsoft project</w:t>
      </w:r>
      <w:r w:rsidRPr="008F34BE">
        <w:rPr>
          <w:rFonts w:ascii="Palatino Linotype" w:hAnsi="Palatino Linotype" w:eastAsia="Aptos" w:cs="Times New Roman"/>
        </w:rPr>
        <w:t xml:space="preserve"> and potentially being left with the costs if</w:t>
      </w:r>
      <w:r w:rsidRPr="008F34BE" w:rsidR="00B9476B">
        <w:rPr>
          <w:rFonts w:ascii="Palatino Linotype" w:hAnsi="Palatino Linotype" w:eastAsia="Aptos" w:cs="Times New Roman"/>
        </w:rPr>
        <w:t xml:space="preserve"> the project’s</w:t>
      </w:r>
      <w:r w:rsidRPr="008F34BE">
        <w:rPr>
          <w:rFonts w:ascii="Palatino Linotype" w:hAnsi="Palatino Linotype" w:eastAsia="Aptos" w:cs="Times New Roman"/>
        </w:rPr>
        <w:t xml:space="preserve"> anticipated load and resulting revenue does not materialize. Refunds should be provided only to the extent that actual net revenues</w:t>
      </w:r>
      <w:r w:rsidRPr="008F34BE" w:rsidR="00E36E7B">
        <w:rPr>
          <w:rFonts w:ascii="Palatino Linotype" w:hAnsi="Palatino Linotype" w:eastAsia="Aptos" w:cs="Times New Roman"/>
        </w:rPr>
        <w:t xml:space="preserve"> (as defined above)</w:t>
      </w:r>
      <w:r w:rsidRPr="008F34BE">
        <w:rPr>
          <w:rFonts w:ascii="Palatino Linotype" w:hAnsi="Palatino Linotype" w:eastAsia="Aptos" w:cs="Times New Roman"/>
        </w:rPr>
        <w:t xml:space="preserve"> cover both the costs of energization and other costs of providing electric service normally covered </w:t>
      </w:r>
      <w:r w:rsidRPr="008F34BE" w:rsidR="00FE2290">
        <w:rPr>
          <w:rFonts w:ascii="Palatino Linotype" w:hAnsi="Palatino Linotype" w:eastAsia="Aptos" w:cs="Times New Roman"/>
        </w:rPr>
        <w:t>by</w:t>
      </w:r>
      <w:r w:rsidRPr="008F34BE">
        <w:rPr>
          <w:rFonts w:ascii="Palatino Linotype" w:hAnsi="Palatino Linotype" w:eastAsia="Aptos" w:cs="Times New Roman"/>
        </w:rPr>
        <w:t xml:space="preserve"> those net revenues (i.e., broader grid upgrades and operations and maintenance</w:t>
      </w:r>
      <w:r w:rsidRPr="008F34BE" w:rsidR="009578AD">
        <w:rPr>
          <w:rFonts w:ascii="Palatino Linotype" w:hAnsi="Palatino Linotype" w:eastAsia="Aptos" w:cs="Times New Roman"/>
        </w:rPr>
        <w:t>, which are</w:t>
      </w:r>
      <w:r w:rsidRPr="008F34BE" w:rsidR="00FE2290">
        <w:rPr>
          <w:rFonts w:ascii="Palatino Linotype" w:hAnsi="Palatino Linotype" w:eastAsia="Aptos" w:cs="Times New Roman"/>
        </w:rPr>
        <w:t xml:space="preserve"> normally covered </w:t>
      </w:r>
      <w:r w:rsidRPr="008F34BE" w:rsidR="00EB2535">
        <w:rPr>
          <w:rFonts w:ascii="Palatino Linotype" w:hAnsi="Palatino Linotype" w:eastAsia="Aptos" w:cs="Times New Roman"/>
        </w:rPr>
        <w:t>by th</w:t>
      </w:r>
      <w:r w:rsidRPr="008F34BE" w:rsidR="00E20FB0">
        <w:rPr>
          <w:rFonts w:ascii="Palatino Linotype" w:hAnsi="Palatino Linotype" w:eastAsia="Aptos" w:cs="Times New Roman"/>
        </w:rPr>
        <w:t>ose portions of the customer bill</w:t>
      </w:r>
      <w:r w:rsidRPr="008F34BE">
        <w:rPr>
          <w:rFonts w:ascii="Palatino Linotype" w:hAnsi="Palatino Linotype" w:eastAsia="Aptos" w:cs="Times New Roman"/>
        </w:rPr>
        <w:t xml:space="preserve">). In other words, rather than being fully refunded after one year as a customer, based on </w:t>
      </w:r>
      <w:r w:rsidRPr="008F34BE">
        <w:rPr>
          <w:rFonts w:ascii="Palatino Linotype" w:hAnsi="Palatino Linotype" w:eastAsia="Aptos" w:cs="Times New Roman"/>
          <w:i/>
          <w:iCs/>
        </w:rPr>
        <w:t>expected future</w:t>
      </w:r>
      <w:r w:rsidRPr="008F34BE">
        <w:rPr>
          <w:rFonts w:ascii="Palatino Linotype" w:hAnsi="Palatino Linotype" w:eastAsia="Aptos" w:cs="Times New Roman"/>
        </w:rPr>
        <w:t xml:space="preserve"> revenues, </w:t>
      </w:r>
      <w:r w:rsidRPr="008F34BE" w:rsidR="0038016B">
        <w:rPr>
          <w:rFonts w:ascii="Palatino Linotype" w:hAnsi="Palatino Linotype" w:eastAsia="Aptos" w:cs="Times New Roman"/>
        </w:rPr>
        <w:t>the</w:t>
      </w:r>
      <w:r w:rsidRPr="008F34BE">
        <w:rPr>
          <w:rFonts w:ascii="Palatino Linotype" w:hAnsi="Palatino Linotype" w:eastAsia="Aptos" w:cs="Times New Roman"/>
        </w:rPr>
        <w:t xml:space="preserve"> refund </w:t>
      </w:r>
      <w:r w:rsidRPr="008F34BE" w:rsidR="0038016B">
        <w:rPr>
          <w:rFonts w:ascii="Palatino Linotype" w:hAnsi="Palatino Linotype" w:eastAsia="Aptos" w:cs="Times New Roman"/>
        </w:rPr>
        <w:t xml:space="preserve">for the Microsoft project </w:t>
      </w:r>
      <w:r w:rsidRPr="008F34BE">
        <w:rPr>
          <w:rFonts w:ascii="Palatino Linotype" w:hAnsi="Palatino Linotype" w:eastAsia="Aptos" w:cs="Times New Roman"/>
        </w:rPr>
        <w:t xml:space="preserve">should be </w:t>
      </w:r>
      <w:r w:rsidRPr="008F34BE" w:rsidR="009255CF">
        <w:rPr>
          <w:rFonts w:ascii="Palatino Linotype" w:hAnsi="Palatino Linotype" w:eastAsia="Aptos" w:cs="Times New Roman"/>
        </w:rPr>
        <w:t xml:space="preserve">annually </w:t>
      </w:r>
      <w:r w:rsidRPr="008F34BE">
        <w:rPr>
          <w:rFonts w:ascii="Palatino Linotype" w:hAnsi="Palatino Linotype" w:eastAsia="Aptos" w:cs="Times New Roman"/>
        </w:rPr>
        <w:t xml:space="preserve">provided in parts based on a percentage of the actual net revenues and </w:t>
      </w:r>
      <w:r w:rsidRPr="008F34BE" w:rsidR="00F60EBB">
        <w:rPr>
          <w:rFonts w:ascii="Palatino Linotype" w:hAnsi="Palatino Linotype" w:eastAsia="Aptos" w:cs="Times New Roman"/>
        </w:rPr>
        <w:t xml:space="preserve">taking into </w:t>
      </w:r>
      <w:r w:rsidRPr="008F34BE">
        <w:rPr>
          <w:rFonts w:ascii="Palatino Linotype" w:hAnsi="Palatino Linotype" w:eastAsia="Aptos" w:cs="Times New Roman"/>
        </w:rPr>
        <w:t>consider</w:t>
      </w:r>
      <w:r w:rsidRPr="008F34BE" w:rsidR="00F60EBB">
        <w:rPr>
          <w:rFonts w:ascii="Palatino Linotype" w:hAnsi="Palatino Linotype" w:eastAsia="Aptos" w:cs="Times New Roman"/>
        </w:rPr>
        <w:t>ation</w:t>
      </w:r>
      <w:r w:rsidRPr="008F34BE">
        <w:rPr>
          <w:rFonts w:ascii="Palatino Linotype" w:hAnsi="Palatino Linotype" w:eastAsia="Aptos" w:cs="Times New Roman"/>
        </w:rPr>
        <w:t xml:space="preserve"> other costs normally covered through those transmission rates.</w:t>
      </w:r>
    </w:p>
    <w:p w:rsidRPr="008F34BE" w:rsidR="0038016B" w:rsidP="002E61D8" w:rsidRDefault="0038016B" w14:paraId="4F8A1758" w14:textId="77777777">
      <w:pPr>
        <w:spacing w:after="0" w:line="240" w:lineRule="auto"/>
        <w:rPr>
          <w:rFonts w:ascii="Palatino Linotype" w:hAnsi="Palatino Linotype" w:eastAsia="Aptos" w:cs="Times New Roman"/>
        </w:rPr>
      </w:pPr>
    </w:p>
    <w:p w:rsidRPr="008F34BE" w:rsidR="0012320A" w:rsidP="002E61D8" w:rsidRDefault="0012320A" w14:paraId="7FAE64CE"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Specifically, we find it reasonable to limit annual refunds of the customer advance, which covers the direct costs of energiz</w:t>
      </w:r>
      <w:r w:rsidRPr="008F34BE" w:rsidR="00D96DC3">
        <w:rPr>
          <w:rFonts w:ascii="Palatino Linotype" w:hAnsi="Palatino Linotype" w:eastAsia="Aptos" w:cs="Times New Roman"/>
        </w:rPr>
        <w:t>ing</w:t>
      </w:r>
      <w:r w:rsidRPr="008F34BE" w:rsidR="00536DC1">
        <w:rPr>
          <w:rFonts w:ascii="Palatino Linotype" w:hAnsi="Palatino Linotype" w:eastAsia="Aptos" w:cs="Times New Roman"/>
        </w:rPr>
        <w:t xml:space="preserve"> the Microsoft </w:t>
      </w:r>
      <w:proofErr w:type="gramStart"/>
      <w:r w:rsidRPr="008F34BE" w:rsidR="00536DC1">
        <w:rPr>
          <w:rFonts w:ascii="Palatino Linotype" w:hAnsi="Palatino Linotype" w:eastAsia="Aptos" w:cs="Times New Roman"/>
        </w:rPr>
        <w:t>project</w:t>
      </w:r>
      <w:r w:rsidRPr="008F34BE" w:rsidR="004C30A4">
        <w:rPr>
          <w:rFonts w:ascii="Palatino Linotype" w:hAnsi="Palatino Linotype" w:eastAsia="Aptos" w:cs="Times New Roman"/>
        </w:rPr>
        <w:t>,</w:t>
      </w:r>
      <w:proofErr w:type="gramEnd"/>
      <w:r w:rsidRPr="008F34BE">
        <w:rPr>
          <w:rFonts w:ascii="Palatino Linotype" w:hAnsi="Palatino Linotype" w:eastAsia="Aptos" w:cs="Times New Roman"/>
        </w:rPr>
        <w:t xml:space="preserve"> to 75 percent of the net revenues PG&amp;E collects from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annually. Not including a portion (25 percent) of the annual net revenues in the annual refund will mean that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is refunded only to the extent that actual net revenues </w:t>
      </w:r>
      <w:r w:rsidRPr="008F34BE" w:rsidR="00536DC1">
        <w:rPr>
          <w:rFonts w:ascii="Palatino Linotype" w:hAnsi="Palatino Linotype" w:eastAsia="Aptos" w:cs="Times New Roman"/>
        </w:rPr>
        <w:t xml:space="preserve">collected from the project </w:t>
      </w:r>
      <w:r w:rsidRPr="008F34BE">
        <w:rPr>
          <w:rFonts w:ascii="Palatino Linotype" w:hAnsi="Palatino Linotype" w:eastAsia="Aptos" w:cs="Times New Roman"/>
        </w:rPr>
        <w:t xml:space="preserve">cover the direct energization </w:t>
      </w:r>
      <w:r w:rsidRPr="008F34BE" w:rsidR="00137A4E">
        <w:rPr>
          <w:rFonts w:ascii="Palatino Linotype" w:hAnsi="Palatino Linotype" w:eastAsia="Aptos" w:cs="Times New Roman"/>
        </w:rPr>
        <w:t xml:space="preserve">costs </w:t>
      </w:r>
      <w:r w:rsidRPr="008F34BE">
        <w:rPr>
          <w:rFonts w:ascii="Palatino Linotype" w:hAnsi="Palatino Linotype" w:eastAsia="Aptos" w:cs="Times New Roman"/>
        </w:rPr>
        <w:t xml:space="preserve">and </w:t>
      </w:r>
      <w:r w:rsidRPr="008F34BE" w:rsidR="001D0DBA">
        <w:rPr>
          <w:rFonts w:ascii="Palatino Linotype" w:hAnsi="Palatino Linotype" w:eastAsia="Aptos" w:cs="Times New Roman"/>
        </w:rPr>
        <w:t xml:space="preserve">contribute, in part, to </w:t>
      </w:r>
      <w:r w:rsidRPr="008F34BE">
        <w:rPr>
          <w:rFonts w:ascii="Palatino Linotype" w:hAnsi="Palatino Linotype" w:eastAsia="Aptos" w:cs="Times New Roman"/>
        </w:rPr>
        <w:t xml:space="preserve">the </w:t>
      </w:r>
      <w:r w:rsidRPr="008F34BE" w:rsidR="00FA2E8D">
        <w:rPr>
          <w:rFonts w:ascii="Palatino Linotype" w:hAnsi="Palatino Linotype" w:eastAsia="Aptos" w:cs="Times New Roman"/>
        </w:rPr>
        <w:t xml:space="preserve">ongoing </w:t>
      </w:r>
      <w:r w:rsidRPr="008F34BE">
        <w:rPr>
          <w:rFonts w:ascii="Palatino Linotype" w:hAnsi="Palatino Linotype" w:eastAsia="Aptos" w:cs="Times New Roman"/>
        </w:rPr>
        <w:t>costs of operation, maintenance, and upgrades of the broader transmission grid</w:t>
      </w:r>
      <w:r w:rsidRPr="008F34BE" w:rsidR="00FA2E8D">
        <w:rPr>
          <w:rFonts w:ascii="Palatino Linotype" w:hAnsi="Palatino Linotype" w:eastAsia="Aptos" w:cs="Times New Roman"/>
        </w:rPr>
        <w:t xml:space="preserve">—costs </w:t>
      </w:r>
      <w:r w:rsidRPr="008F34BE">
        <w:rPr>
          <w:rFonts w:ascii="Palatino Linotype" w:hAnsi="Palatino Linotype" w:eastAsia="Aptos" w:cs="Times New Roman"/>
        </w:rPr>
        <w:t xml:space="preserve">that would </w:t>
      </w:r>
      <w:r w:rsidRPr="008F34BE" w:rsidR="007007A6">
        <w:rPr>
          <w:rFonts w:ascii="Palatino Linotype" w:hAnsi="Palatino Linotype" w:eastAsia="Aptos" w:cs="Times New Roman"/>
        </w:rPr>
        <w:t xml:space="preserve">typically </w:t>
      </w:r>
      <w:r w:rsidRPr="008F34BE">
        <w:rPr>
          <w:rFonts w:ascii="Palatino Linotype" w:hAnsi="Palatino Linotype" w:eastAsia="Aptos" w:cs="Times New Roman"/>
        </w:rPr>
        <w:t xml:space="preserve">be </w:t>
      </w:r>
      <w:r w:rsidRPr="008F34BE" w:rsidR="005A17EA">
        <w:rPr>
          <w:rFonts w:ascii="Palatino Linotype" w:hAnsi="Palatino Linotype" w:eastAsia="Aptos" w:cs="Times New Roman"/>
        </w:rPr>
        <w:t>re</w:t>
      </w:r>
      <w:r w:rsidRPr="008F34BE">
        <w:rPr>
          <w:rFonts w:ascii="Palatino Linotype" w:hAnsi="Palatino Linotype" w:eastAsia="Aptos" w:cs="Times New Roman"/>
        </w:rPr>
        <w:t xml:space="preserve">covered </w:t>
      </w:r>
      <w:r w:rsidRPr="008F34BE" w:rsidR="001C1498">
        <w:rPr>
          <w:rFonts w:ascii="Palatino Linotype" w:hAnsi="Palatino Linotype" w:eastAsia="Aptos" w:cs="Times New Roman"/>
        </w:rPr>
        <w:t xml:space="preserve">through </w:t>
      </w:r>
      <w:r w:rsidRPr="008F34BE">
        <w:rPr>
          <w:rFonts w:ascii="Palatino Linotype" w:hAnsi="Palatino Linotype" w:eastAsia="Aptos" w:cs="Times New Roman"/>
        </w:rPr>
        <w:t>the transmission component of customer rates.</w:t>
      </w:r>
      <w:r w:rsidRPr="008F34BE" w:rsidR="00665A2D">
        <w:t xml:space="preserve"> </w:t>
      </w:r>
    </w:p>
    <w:p w:rsidRPr="008F34BE" w:rsidR="002E61D8" w:rsidP="002E61D8" w:rsidRDefault="002E61D8" w14:paraId="605E2ADF" w14:textId="77777777">
      <w:pPr>
        <w:spacing w:after="0" w:line="240" w:lineRule="auto"/>
        <w:rPr>
          <w:rFonts w:ascii="Palatino Linotype" w:hAnsi="Palatino Linotype" w:eastAsia="Aptos" w:cs="Times New Roman"/>
        </w:rPr>
      </w:pPr>
    </w:p>
    <w:p w:rsidRPr="008F34BE" w:rsidR="0012320A" w:rsidP="002E61D8" w:rsidRDefault="0012320A" w14:paraId="179F868E"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In short, we find it is reasonable for 25 percent of net revenue </w:t>
      </w:r>
      <w:r w:rsidRPr="008F34BE" w:rsidR="00B114C7">
        <w:rPr>
          <w:rFonts w:ascii="Palatino Linotype" w:hAnsi="Palatino Linotype" w:eastAsia="Aptos" w:cs="Times New Roman"/>
        </w:rPr>
        <w:t xml:space="preserve">generated by the Microsoft project </w:t>
      </w:r>
      <w:r w:rsidRPr="008F34BE">
        <w:rPr>
          <w:rFonts w:ascii="Palatino Linotype" w:hAnsi="Palatino Linotype" w:eastAsia="Aptos" w:cs="Times New Roman"/>
        </w:rPr>
        <w:t xml:space="preserve">to be </w:t>
      </w:r>
      <w:r w:rsidRPr="008F34BE" w:rsidR="000C0370">
        <w:rPr>
          <w:rFonts w:ascii="Palatino Linotype" w:hAnsi="Palatino Linotype" w:eastAsia="Aptos" w:cs="Times New Roman"/>
        </w:rPr>
        <w:t>withheld</w:t>
      </w:r>
      <w:r w:rsidRPr="008F34BE">
        <w:rPr>
          <w:rFonts w:ascii="Palatino Linotype" w:hAnsi="Palatino Linotype" w:eastAsia="Aptos" w:cs="Times New Roman"/>
        </w:rPr>
        <w:t xml:space="preserve"> to account for the transmission network</w:t>
      </w:r>
      <w:r w:rsidRPr="008F34BE" w:rsidR="001D2DBD">
        <w:rPr>
          <w:rFonts w:ascii="Palatino Linotype" w:hAnsi="Palatino Linotype" w:eastAsia="Aptos" w:cs="Times New Roman"/>
        </w:rPr>
        <w:t xml:space="preserve"> costs</w:t>
      </w:r>
      <w:r w:rsidRPr="008F34BE">
        <w:rPr>
          <w:rFonts w:ascii="Palatino Linotype" w:hAnsi="Palatino Linotype" w:eastAsia="Aptos" w:cs="Times New Roman"/>
        </w:rPr>
        <w:t xml:space="preserve"> that are not part of </w:t>
      </w:r>
      <w:r w:rsidRPr="008F34BE" w:rsidR="00AB1254">
        <w:rPr>
          <w:rFonts w:ascii="Palatino Linotype" w:hAnsi="Palatino Linotype" w:eastAsia="Aptos" w:cs="Times New Roman"/>
        </w:rPr>
        <w:t>the Microsoft project’s</w:t>
      </w:r>
      <w:r w:rsidRPr="008F34BE">
        <w:rPr>
          <w:rFonts w:ascii="Palatino Linotype" w:hAnsi="Palatino Linotype" w:eastAsia="Aptos" w:cs="Times New Roman"/>
        </w:rPr>
        <w:t xml:space="preserve"> direct energization, such as ongoing maintenance and </w:t>
      </w:r>
      <w:r w:rsidRPr="008F34BE">
        <w:rPr>
          <w:rFonts w:ascii="Palatino Linotype" w:hAnsi="Palatino Linotype" w:eastAsia="Aptos" w:cs="Times New Roman"/>
        </w:rPr>
        <w:lastRenderedPageBreak/>
        <w:t>broader grid upgrades. This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lead to a slower refund </w:t>
      </w:r>
      <w:r w:rsidRPr="008F34BE" w:rsidR="001B2963">
        <w:rPr>
          <w:rFonts w:ascii="Palatino Linotype" w:hAnsi="Palatino Linotype" w:eastAsia="Aptos" w:cs="Times New Roman"/>
        </w:rPr>
        <w:t>process but</w:t>
      </w:r>
      <w:r w:rsidRPr="008F34BE">
        <w:rPr>
          <w:rFonts w:ascii="Palatino Linotype" w:hAnsi="Palatino Linotype" w:eastAsia="Aptos" w:cs="Times New Roman"/>
        </w:rPr>
        <w:t xml:space="preserve">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not affect the total refund amount</w:t>
      </w:r>
      <w:r w:rsidRPr="008F34BE" w:rsidR="00B114C7">
        <w:rPr>
          <w:rFonts w:ascii="Palatino Linotype" w:hAnsi="Palatino Linotype" w:eastAsia="Aptos" w:cs="Times New Roman"/>
        </w:rPr>
        <w:t xml:space="preserve"> Microsoft is eligible to receive</w:t>
      </w:r>
      <w:r w:rsidRPr="008F34BE">
        <w:rPr>
          <w:rFonts w:ascii="Palatino Linotype" w:hAnsi="Palatino Linotype" w:eastAsia="Aptos" w:cs="Times New Roman"/>
        </w:rPr>
        <w:t>.</w:t>
      </w:r>
    </w:p>
    <w:p w:rsidRPr="008F34BE" w:rsidR="00601743" w:rsidP="002E61D8" w:rsidRDefault="00601743" w14:paraId="5DF9AB62" w14:textId="77777777">
      <w:pPr>
        <w:spacing w:after="0" w:line="240" w:lineRule="auto"/>
        <w:rPr>
          <w:rFonts w:ascii="Palatino Linotype" w:hAnsi="Palatino Linotype" w:eastAsia="Aptos" w:cs="Times New Roman"/>
        </w:rPr>
      </w:pPr>
    </w:p>
    <w:p w:rsidRPr="008F34BE" w:rsidR="00601743" w:rsidP="002E61D8" w:rsidRDefault="00601743" w14:paraId="4E30B87A"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Additionally, </w:t>
      </w:r>
      <w:r w:rsidRPr="008F34BE" w:rsidR="00E967E3">
        <w:rPr>
          <w:rFonts w:ascii="Palatino Linotype" w:hAnsi="Palatino Linotype" w:eastAsia="Aptos" w:cs="Times New Roman"/>
        </w:rPr>
        <w:t>we find it reasonable to include an</w:t>
      </w:r>
      <w:r w:rsidRPr="008F34BE" w:rsidR="00F94E7D">
        <w:rPr>
          <w:rFonts w:ascii="Palatino Linotype" w:hAnsi="Palatino Linotype" w:eastAsia="Aptos" w:cs="Times New Roman"/>
        </w:rPr>
        <w:t xml:space="preserve"> ITCC </w:t>
      </w:r>
      <w:r w:rsidRPr="008F34BE" w:rsidR="00E967E3">
        <w:rPr>
          <w:rFonts w:ascii="Palatino Linotype" w:hAnsi="Palatino Linotype" w:eastAsia="Aptos" w:cs="Times New Roman"/>
        </w:rPr>
        <w:t>adjustment when calculating the annual refunds based on annual net revenues.</w:t>
      </w:r>
      <w:r w:rsidRPr="008F34BE" w:rsidR="0051128B">
        <w:rPr>
          <w:rFonts w:ascii="Palatino Linotype" w:hAnsi="Palatino Linotype" w:eastAsia="Aptos" w:cs="Times New Roman"/>
        </w:rPr>
        <w:t xml:space="preserve"> </w:t>
      </w:r>
      <w:r w:rsidRPr="008F34BE" w:rsidR="003C759C">
        <w:rPr>
          <w:rFonts w:ascii="Palatino Linotype" w:hAnsi="Palatino Linotype" w:eastAsia="Aptos" w:cs="Times New Roman"/>
        </w:rPr>
        <w:t>We note that even without this modification, the ITCC is already included in the refund calculation as part of the total refund amount that</w:t>
      </w:r>
      <w:r w:rsidRPr="008F34BE" w:rsidR="00BF2649">
        <w:rPr>
          <w:rFonts w:ascii="Palatino Linotype" w:hAnsi="Palatino Linotype" w:eastAsia="Aptos" w:cs="Times New Roman"/>
        </w:rPr>
        <w:t xml:space="preserve"> would be due to Microsoft</w:t>
      </w:r>
      <w:r w:rsidRPr="008F34BE" w:rsidR="00132B9C">
        <w:rPr>
          <w:rFonts w:ascii="Palatino Linotype" w:hAnsi="Palatino Linotype" w:eastAsia="Aptos" w:cs="Times New Roman"/>
        </w:rPr>
        <w:t xml:space="preserve">. </w:t>
      </w:r>
      <w:r w:rsidRPr="008F34BE" w:rsidR="004F0DAC">
        <w:rPr>
          <w:rFonts w:ascii="Palatino Linotype" w:hAnsi="Palatino Linotype" w:eastAsia="Aptos" w:cs="Times New Roman"/>
        </w:rPr>
        <w:t>However, b</w:t>
      </w:r>
      <w:r w:rsidRPr="008F34BE" w:rsidR="00E3267F">
        <w:rPr>
          <w:rFonts w:ascii="Palatino Linotype" w:hAnsi="Palatino Linotype" w:eastAsia="Aptos" w:cs="Times New Roman"/>
        </w:rPr>
        <w:t xml:space="preserve">ecause the ITCC does not reflect direct infrastructure costs required to energize </w:t>
      </w:r>
      <w:r w:rsidRPr="008F34BE" w:rsidR="004F0DAC">
        <w:rPr>
          <w:rFonts w:ascii="Palatino Linotype" w:hAnsi="Palatino Linotype" w:eastAsia="Aptos" w:cs="Times New Roman"/>
        </w:rPr>
        <w:t xml:space="preserve">the </w:t>
      </w:r>
      <w:r w:rsidRPr="008F34BE" w:rsidR="00B17D22">
        <w:rPr>
          <w:rFonts w:ascii="Palatino Linotype" w:hAnsi="Palatino Linotype" w:eastAsia="Aptos" w:cs="Times New Roman"/>
        </w:rPr>
        <w:t>Microsoft</w:t>
      </w:r>
      <w:r w:rsidRPr="008F34BE" w:rsidR="004F0DAC">
        <w:rPr>
          <w:rFonts w:ascii="Palatino Linotype" w:hAnsi="Palatino Linotype" w:eastAsia="Aptos" w:cs="Times New Roman"/>
        </w:rPr>
        <w:t xml:space="preserve"> project</w:t>
      </w:r>
      <w:r w:rsidRPr="008F34BE" w:rsidR="00E3267F">
        <w:rPr>
          <w:rFonts w:ascii="Palatino Linotype" w:hAnsi="Palatino Linotype" w:eastAsia="Aptos" w:cs="Times New Roman"/>
        </w:rPr>
        <w:t xml:space="preserve">, it is reasonable to provide </w:t>
      </w:r>
      <w:r w:rsidRPr="008F34BE" w:rsidR="00B17D22">
        <w:rPr>
          <w:rFonts w:ascii="Palatino Linotype" w:hAnsi="Palatino Linotype" w:eastAsia="Aptos" w:cs="Times New Roman"/>
        </w:rPr>
        <w:t>a</w:t>
      </w:r>
      <w:r w:rsidRPr="008F34BE" w:rsidR="00E3267F">
        <w:rPr>
          <w:rFonts w:ascii="Palatino Linotype" w:hAnsi="Palatino Linotype" w:eastAsia="Aptos" w:cs="Times New Roman"/>
        </w:rPr>
        <w:t xml:space="preserve"> refund related to the ITCC as an additional adjustment to the </w:t>
      </w:r>
      <w:r w:rsidR="003B63D4">
        <w:rPr>
          <w:rFonts w:ascii="Palatino Linotype" w:hAnsi="Palatino Linotype" w:eastAsia="Aptos" w:cs="Times New Roman"/>
        </w:rPr>
        <w:br/>
      </w:r>
      <w:r w:rsidRPr="008F34BE" w:rsidR="00E3267F">
        <w:rPr>
          <w:rFonts w:ascii="Palatino Linotype" w:hAnsi="Palatino Linotype" w:eastAsia="Aptos" w:cs="Times New Roman"/>
        </w:rPr>
        <w:t xml:space="preserve">75 percent limit </w:t>
      </w:r>
      <w:r w:rsidRPr="008F34BE" w:rsidR="00A24CBB">
        <w:rPr>
          <w:rFonts w:ascii="Palatino Linotype" w:hAnsi="Palatino Linotype" w:eastAsia="Aptos" w:cs="Times New Roman"/>
        </w:rPr>
        <w:t>in line with</w:t>
      </w:r>
      <w:r w:rsidRPr="008F34BE" w:rsidR="00FC478E">
        <w:rPr>
          <w:rFonts w:ascii="Palatino Linotype" w:hAnsi="Palatino Linotype" w:eastAsia="Aptos" w:cs="Times New Roman"/>
        </w:rPr>
        <w:t xml:space="preserve"> </w:t>
      </w:r>
      <w:r w:rsidRPr="008F34BE" w:rsidR="00B0277C">
        <w:rPr>
          <w:rFonts w:ascii="Palatino Linotype" w:hAnsi="Palatino Linotype" w:eastAsia="Aptos" w:cs="Times New Roman"/>
        </w:rPr>
        <w:t xml:space="preserve">findings adopted in </w:t>
      </w:r>
      <w:r w:rsidRPr="008F34BE" w:rsidR="00FC478E">
        <w:rPr>
          <w:rFonts w:ascii="Palatino Linotype" w:hAnsi="Palatino Linotype" w:eastAsia="Aptos" w:cs="Times New Roman"/>
        </w:rPr>
        <w:t>Resolution E-5420</w:t>
      </w:r>
      <w:r w:rsidRPr="008F34BE" w:rsidR="00E3267F">
        <w:rPr>
          <w:rFonts w:ascii="Palatino Linotype" w:hAnsi="Palatino Linotype" w:eastAsia="Aptos" w:cs="Times New Roman"/>
        </w:rPr>
        <w:t>.</w:t>
      </w:r>
      <w:r w:rsidRPr="008F34BE" w:rsidR="004064C4">
        <w:rPr>
          <w:rStyle w:val="FootnoteReference"/>
          <w:rFonts w:ascii="Palatino Linotype" w:hAnsi="Palatino Linotype" w:eastAsia="Aptos" w:cs="Times New Roman"/>
        </w:rPr>
        <w:footnoteReference w:id="20"/>
      </w:r>
      <w:r w:rsidRPr="008F34BE" w:rsidR="00E3267F">
        <w:rPr>
          <w:rFonts w:ascii="Palatino Linotype" w:hAnsi="Palatino Linotype" w:eastAsia="Aptos" w:cs="Times New Roman"/>
        </w:rPr>
        <w:t xml:space="preserve"> This would multiply the annual refund limit</w:t>
      </w:r>
      <w:r w:rsidRPr="008F34BE" w:rsidR="003C1E6F">
        <w:rPr>
          <w:rFonts w:ascii="Palatino Linotype" w:hAnsi="Palatino Linotype" w:eastAsia="Aptos" w:cs="Times New Roman"/>
        </w:rPr>
        <w:t xml:space="preserve"> adopted above</w:t>
      </w:r>
      <w:r w:rsidRPr="008F34BE" w:rsidR="00E3267F">
        <w:rPr>
          <w:rFonts w:ascii="Palatino Linotype" w:hAnsi="Palatino Linotype" w:eastAsia="Aptos" w:cs="Times New Roman"/>
        </w:rPr>
        <w:t xml:space="preserve"> by (1 + ITCC), effectively raising the annual refund limit and reducing the time until </w:t>
      </w:r>
      <w:r w:rsidRPr="008F34BE" w:rsidR="002F10F8">
        <w:rPr>
          <w:rFonts w:ascii="Palatino Linotype" w:hAnsi="Palatino Linotype" w:eastAsia="Aptos" w:cs="Times New Roman"/>
        </w:rPr>
        <w:t>Microsoft</w:t>
      </w:r>
      <w:r w:rsidRPr="008F34BE" w:rsidR="00E3267F">
        <w:rPr>
          <w:rFonts w:ascii="Palatino Linotype" w:hAnsi="Palatino Linotype" w:eastAsia="Aptos" w:cs="Times New Roman"/>
        </w:rPr>
        <w:t xml:space="preserve"> receives a full refund.</w:t>
      </w:r>
      <w:r w:rsidRPr="008F34BE" w:rsidR="00926C7B">
        <w:rPr>
          <w:rFonts w:ascii="Palatino Linotype" w:hAnsi="Palatino Linotype" w:eastAsia="Aptos" w:cs="Times New Roman"/>
        </w:rPr>
        <w:t xml:space="preserve"> </w:t>
      </w:r>
      <w:r w:rsidRPr="008F34BE" w:rsidR="00956732">
        <w:rPr>
          <w:rFonts w:ascii="Palatino Linotype" w:hAnsi="Palatino Linotype" w:eastAsia="Aptos" w:cs="Times New Roman"/>
        </w:rPr>
        <w:t>T</w:t>
      </w:r>
      <w:r w:rsidRPr="008F34BE" w:rsidR="00027773">
        <w:rPr>
          <w:rFonts w:ascii="Palatino Linotype" w:hAnsi="Palatino Linotype" w:eastAsia="Aptos" w:cs="Times New Roman"/>
        </w:rPr>
        <w:t>he ITCC is set at 24 percent as of January 1, 201</w:t>
      </w:r>
      <w:r w:rsidRPr="008F34BE" w:rsidR="00AA334C">
        <w:rPr>
          <w:rFonts w:ascii="Palatino Linotype" w:hAnsi="Palatino Linotype" w:eastAsia="Aptos" w:cs="Times New Roman"/>
        </w:rPr>
        <w:t>9.</w:t>
      </w:r>
    </w:p>
    <w:p w:rsidRPr="008F34BE" w:rsidR="002D42A7" w:rsidP="002E61D8" w:rsidRDefault="002D42A7" w14:paraId="3E21ED0C" w14:textId="77777777">
      <w:pPr>
        <w:spacing w:after="0" w:line="240" w:lineRule="auto"/>
        <w:rPr>
          <w:rFonts w:ascii="Palatino Linotype" w:hAnsi="Palatino Linotype" w:eastAsia="Aptos" w:cs="Times New Roman"/>
        </w:rPr>
      </w:pPr>
    </w:p>
    <w:p w:rsidRPr="008F34BE" w:rsidR="002D42A7" w:rsidP="002E61D8" w:rsidRDefault="002D5182" w14:paraId="368FBF33"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It is also reasonable to extend the refund period to fifteen years</w:t>
      </w:r>
      <w:r w:rsidRPr="008F34BE" w:rsidR="00D6565D">
        <w:rPr>
          <w:rFonts w:ascii="Palatino Linotype" w:hAnsi="Palatino Linotype" w:eastAsia="Aptos" w:cs="Times New Roman"/>
        </w:rPr>
        <w:t xml:space="preserve">. The standard BARC process and the terms originally agreed to by PG&amp;E and Microsoft already include a risk that Microsoft or any customer might not receive a full refund of upfront energization costs if load fails to materialize or ramp up within the </w:t>
      </w:r>
      <w:r w:rsidRPr="008F34BE" w:rsidR="00062E02">
        <w:rPr>
          <w:rFonts w:ascii="Palatino Linotype" w:hAnsi="Palatino Linotype" w:eastAsia="Aptos" w:cs="Times New Roman"/>
        </w:rPr>
        <w:t xml:space="preserve">standard </w:t>
      </w:r>
      <w:r w:rsidRPr="008F34BE" w:rsidR="0041255C">
        <w:rPr>
          <w:rFonts w:ascii="Palatino Linotype" w:hAnsi="Palatino Linotype" w:eastAsia="Aptos" w:cs="Times New Roman"/>
        </w:rPr>
        <w:t>ten</w:t>
      </w:r>
      <w:r w:rsidRPr="008F34BE" w:rsidR="00A95DE2">
        <w:rPr>
          <w:rFonts w:ascii="Palatino Linotype" w:hAnsi="Palatino Linotype" w:eastAsia="Aptos" w:cs="Times New Roman"/>
        </w:rPr>
        <w:t>-</w:t>
      </w:r>
      <w:r w:rsidRPr="008F34BE" w:rsidR="00D6565D">
        <w:rPr>
          <w:rFonts w:ascii="Palatino Linotype" w:hAnsi="Palatino Linotype" w:eastAsia="Aptos" w:cs="Times New Roman"/>
        </w:rPr>
        <w:t>year refund period</w:t>
      </w:r>
      <w:r w:rsidRPr="008F34BE" w:rsidR="00283083">
        <w:rPr>
          <w:rFonts w:ascii="Palatino Linotype" w:hAnsi="Palatino Linotype" w:eastAsia="Aptos" w:cs="Times New Roman"/>
        </w:rPr>
        <w:t xml:space="preserve">. </w:t>
      </w:r>
      <w:r w:rsidRPr="008F34BE" w:rsidR="00121953">
        <w:rPr>
          <w:rFonts w:ascii="Palatino Linotype" w:hAnsi="Palatino Linotype" w:eastAsia="Aptos" w:cs="Times New Roman"/>
        </w:rPr>
        <w:t xml:space="preserve">While we expect </w:t>
      </w:r>
      <w:r w:rsidRPr="008F34BE" w:rsidR="001A2CC8">
        <w:rPr>
          <w:rFonts w:ascii="Palatino Linotype" w:hAnsi="Palatino Linotype" w:eastAsia="Aptos" w:cs="Times New Roman"/>
        </w:rPr>
        <w:t xml:space="preserve">the terms laid out above </w:t>
      </w:r>
      <w:r w:rsidRPr="008F34BE" w:rsidR="00FF087B">
        <w:rPr>
          <w:rFonts w:ascii="Palatino Linotype" w:hAnsi="Palatino Linotype" w:eastAsia="Aptos" w:cs="Times New Roman"/>
        </w:rPr>
        <w:t>will</w:t>
      </w:r>
      <w:r w:rsidRPr="008F34BE" w:rsidR="001A2CC8">
        <w:rPr>
          <w:rFonts w:ascii="Palatino Linotype" w:hAnsi="Palatino Linotype" w:eastAsia="Aptos" w:cs="Times New Roman"/>
        </w:rPr>
        <w:t xml:space="preserve"> </w:t>
      </w:r>
      <w:r w:rsidRPr="008F34BE" w:rsidR="006C05AD">
        <w:rPr>
          <w:rFonts w:ascii="Palatino Linotype" w:hAnsi="Palatino Linotype" w:eastAsia="Aptos" w:cs="Times New Roman"/>
        </w:rPr>
        <w:t>result in a full refund</w:t>
      </w:r>
      <w:r w:rsidRPr="008F34BE" w:rsidR="00005636">
        <w:rPr>
          <w:rFonts w:ascii="Palatino Linotype" w:hAnsi="Palatino Linotype" w:eastAsia="Aptos" w:cs="Times New Roman"/>
        </w:rPr>
        <w:t xml:space="preserve"> within ten years, </w:t>
      </w:r>
      <w:r w:rsidRPr="008F34BE" w:rsidR="009D1D20">
        <w:rPr>
          <w:rFonts w:ascii="Palatino Linotype" w:hAnsi="Palatino Linotype" w:eastAsia="Aptos" w:cs="Times New Roman"/>
        </w:rPr>
        <w:t>there is still a risk of factors outside of PG&amp;E and Microsoft’s control</w:t>
      </w:r>
      <w:r w:rsidRPr="008F34BE" w:rsidR="008C7144">
        <w:rPr>
          <w:rFonts w:ascii="Palatino Linotype" w:hAnsi="Palatino Linotype" w:eastAsia="Aptos" w:cs="Times New Roman"/>
        </w:rPr>
        <w:t xml:space="preserve"> impacting the refund timeline negatively</w:t>
      </w:r>
      <w:r w:rsidRPr="008F34BE" w:rsidR="00D55133">
        <w:rPr>
          <w:rFonts w:ascii="Palatino Linotype" w:hAnsi="Palatino Linotype" w:eastAsia="Aptos" w:cs="Times New Roman"/>
        </w:rPr>
        <w:t xml:space="preserve"> in a way that Microsoft would not receive a full refund in the </w:t>
      </w:r>
      <w:r w:rsidRPr="008F34BE" w:rsidR="00DC24F4">
        <w:rPr>
          <w:rFonts w:ascii="Palatino Linotype" w:hAnsi="Palatino Linotype" w:eastAsia="Aptos" w:cs="Times New Roman"/>
        </w:rPr>
        <w:t xml:space="preserve">standard ten years </w:t>
      </w:r>
      <w:r w:rsidRPr="008F34BE" w:rsidR="00265757">
        <w:rPr>
          <w:rFonts w:ascii="Palatino Linotype" w:hAnsi="Palatino Linotype" w:eastAsia="Aptos" w:cs="Times New Roman"/>
        </w:rPr>
        <w:t xml:space="preserve">of the BARC process. </w:t>
      </w:r>
      <w:r w:rsidRPr="008F34BE" w:rsidR="00FB59CE">
        <w:rPr>
          <w:rFonts w:ascii="Palatino Linotype" w:hAnsi="Palatino Linotype" w:eastAsia="Aptos" w:cs="Times New Roman"/>
        </w:rPr>
        <w:t>Thus, we find it reasonable to mitigate this risk by extending the refund period to fifteen years</w:t>
      </w:r>
      <w:r w:rsidRPr="008F34BE" w:rsidR="00961551">
        <w:rPr>
          <w:rFonts w:ascii="Palatino Linotype" w:hAnsi="Palatino Linotype" w:eastAsia="Aptos" w:cs="Times New Roman"/>
        </w:rPr>
        <w:t xml:space="preserve"> in line with findings adopted in Resolution E-5420.</w:t>
      </w:r>
      <w:r w:rsidRPr="008F34BE" w:rsidR="00961551">
        <w:rPr>
          <w:rStyle w:val="FootnoteReference"/>
          <w:rFonts w:ascii="Palatino Linotype" w:hAnsi="Palatino Linotype" w:eastAsia="Aptos" w:cs="Times New Roman"/>
        </w:rPr>
        <w:footnoteReference w:id="21"/>
      </w:r>
      <w:r w:rsidRPr="008F34BE" w:rsidR="00961551">
        <w:rPr>
          <w:rFonts w:ascii="Palatino Linotype" w:hAnsi="Palatino Linotype" w:eastAsia="Aptos" w:cs="Times New Roman"/>
        </w:rPr>
        <w:t xml:space="preserve"> </w:t>
      </w:r>
      <w:r w:rsidRPr="008F34BE" w:rsidR="00B3118B">
        <w:rPr>
          <w:rFonts w:ascii="Palatino Linotype" w:hAnsi="Palatino Linotype" w:eastAsia="Aptos" w:cs="Times New Roman"/>
        </w:rPr>
        <w:t xml:space="preserve">This extension of the refund period does not change </w:t>
      </w:r>
      <w:r w:rsidRPr="008F34BE" w:rsidR="0096033A">
        <w:rPr>
          <w:rFonts w:ascii="Palatino Linotype" w:hAnsi="Palatino Linotype" w:eastAsia="Aptos" w:cs="Times New Roman"/>
        </w:rPr>
        <w:t xml:space="preserve">the </w:t>
      </w:r>
      <w:r w:rsidRPr="008F34BE" w:rsidR="00F73DD7">
        <w:rPr>
          <w:rFonts w:ascii="Palatino Linotype" w:hAnsi="Palatino Linotype" w:eastAsia="Aptos" w:cs="Times New Roman"/>
        </w:rPr>
        <w:t>refund amount Microso</w:t>
      </w:r>
      <w:r w:rsidRPr="008F34BE" w:rsidR="00DF51FF">
        <w:rPr>
          <w:rFonts w:ascii="Palatino Linotype" w:hAnsi="Palatino Linotype" w:eastAsia="Aptos" w:cs="Times New Roman"/>
        </w:rPr>
        <w:t>ft is eligible</w:t>
      </w:r>
      <w:r w:rsidRPr="008F34BE" w:rsidR="00E923A2">
        <w:rPr>
          <w:rFonts w:ascii="Palatino Linotype" w:hAnsi="Palatino Linotype" w:eastAsia="Aptos" w:cs="Times New Roman"/>
        </w:rPr>
        <w:t xml:space="preserve"> to receive</w:t>
      </w:r>
      <w:r w:rsidRPr="008F34BE" w:rsidR="00FB59CE">
        <w:rPr>
          <w:rFonts w:ascii="Palatino Linotype" w:hAnsi="Palatino Linotype" w:eastAsia="Aptos" w:cs="Times New Roman"/>
        </w:rPr>
        <w:t>.</w:t>
      </w:r>
    </w:p>
    <w:p w:rsidRPr="008F34BE" w:rsidR="002E61D8" w:rsidP="002E61D8" w:rsidRDefault="002E61D8" w14:paraId="43A6D933" w14:textId="77777777">
      <w:pPr>
        <w:spacing w:after="0" w:line="240" w:lineRule="auto"/>
        <w:rPr>
          <w:rFonts w:ascii="Palatino Linotype" w:hAnsi="Palatino Linotype" w:eastAsia="Aptos" w:cs="Times New Roman"/>
        </w:rPr>
      </w:pPr>
    </w:p>
    <w:p w:rsidRPr="008F34BE" w:rsidR="0012320A" w:rsidP="002E61D8" w:rsidRDefault="0012320A" w14:paraId="72E752EA"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Based on the modified methodology authorized here, </w:t>
      </w:r>
      <w:r w:rsidRPr="008F34BE" w:rsidR="001B2963">
        <w:rPr>
          <w:rFonts w:ascii="Palatino Linotype" w:hAnsi="Palatino Linotype" w:eastAsia="Aptos" w:cs="Times New Roman"/>
        </w:rPr>
        <w:t>Mic</w:t>
      </w:r>
      <w:r w:rsidRPr="008F34BE" w:rsidR="00523873">
        <w:rPr>
          <w:rFonts w:ascii="Palatino Linotype" w:hAnsi="Palatino Linotype" w:eastAsia="Aptos" w:cs="Times New Roman"/>
        </w:rPr>
        <w:t>rosoft</w:t>
      </w:r>
      <w:r w:rsidRPr="008F34BE">
        <w:rPr>
          <w:rFonts w:ascii="Palatino Linotype" w:hAnsi="Palatino Linotype" w:eastAsia="Aptos" w:cs="Times New Roman"/>
        </w:rPr>
        <w:t xml:space="preserve"> will still </w:t>
      </w:r>
      <w:r w:rsidRPr="008F34BE" w:rsidR="00523873">
        <w:rPr>
          <w:rFonts w:ascii="Palatino Linotype" w:hAnsi="Palatino Linotype" w:eastAsia="Aptos" w:cs="Times New Roman"/>
        </w:rPr>
        <w:t>be eligible</w:t>
      </w:r>
      <w:r w:rsidRPr="008F34BE">
        <w:rPr>
          <w:rFonts w:ascii="Palatino Linotype" w:hAnsi="Palatino Linotype" w:eastAsia="Aptos" w:cs="Times New Roman"/>
        </w:rPr>
        <w:t xml:space="preserve"> to receive a full refund. PG&amp;E should refund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75 percent of its net annual revenues</w:t>
      </w:r>
      <w:r w:rsidRPr="008F34BE" w:rsidR="00C71D89">
        <w:rPr>
          <w:rFonts w:ascii="Palatino Linotype" w:hAnsi="Palatino Linotype" w:eastAsia="Aptos" w:cs="Times New Roman"/>
        </w:rPr>
        <w:t xml:space="preserve"> plus the </w:t>
      </w:r>
      <w:proofErr w:type="gramStart"/>
      <w:r w:rsidRPr="008F34BE" w:rsidR="00C71D89">
        <w:rPr>
          <w:rFonts w:ascii="Palatino Linotype" w:hAnsi="Palatino Linotype" w:eastAsia="Aptos" w:cs="Times New Roman"/>
        </w:rPr>
        <w:t>aforementioned ITCC</w:t>
      </w:r>
      <w:proofErr w:type="gramEnd"/>
      <w:r w:rsidRPr="008F34BE" w:rsidR="00C71D89">
        <w:rPr>
          <w:rFonts w:ascii="Palatino Linotype" w:hAnsi="Palatino Linotype" w:eastAsia="Aptos" w:cs="Times New Roman"/>
        </w:rPr>
        <w:t xml:space="preserve"> adjustment</w:t>
      </w:r>
      <w:r w:rsidRPr="008F34BE">
        <w:rPr>
          <w:rFonts w:ascii="Palatino Linotype" w:hAnsi="Palatino Linotype" w:eastAsia="Aptos" w:cs="Times New Roman"/>
        </w:rPr>
        <w:t xml:space="preserve"> each year until the full refund amount is reached or until </w:t>
      </w:r>
      <w:r w:rsidRPr="008F34BE" w:rsidR="00C71D89">
        <w:rPr>
          <w:rFonts w:ascii="Palatino Linotype" w:hAnsi="Palatino Linotype" w:eastAsia="Aptos" w:cs="Times New Roman"/>
        </w:rPr>
        <w:t>fifteen</w:t>
      </w:r>
      <w:r w:rsidRPr="008F34BE">
        <w:rPr>
          <w:rFonts w:ascii="Palatino Linotype" w:hAnsi="Palatino Linotype" w:eastAsia="Aptos" w:cs="Times New Roman"/>
        </w:rPr>
        <w:t xml:space="preserve"> years have passed, at which point the remaining refund shall be forfeited. PG&amp;E should still use other components from the standard </w:t>
      </w:r>
      <w:r w:rsidRPr="008F34BE" w:rsidR="00C71D89">
        <w:rPr>
          <w:rFonts w:ascii="Palatino Linotype" w:hAnsi="Palatino Linotype" w:eastAsia="Aptos" w:cs="Times New Roman"/>
        </w:rPr>
        <w:t xml:space="preserve">Electric </w:t>
      </w:r>
      <w:r w:rsidRPr="008F34BE">
        <w:rPr>
          <w:rFonts w:ascii="Palatino Linotype" w:hAnsi="Palatino Linotype" w:eastAsia="Aptos" w:cs="Times New Roman"/>
        </w:rPr>
        <w:t xml:space="preserve">Rule 15 process and BARC methodology to calculate the refund due to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For example, if </w:t>
      </w:r>
      <w:r w:rsidRPr="008F34BE" w:rsidR="006C7958">
        <w:rPr>
          <w:rFonts w:ascii="Palatino Linotype" w:hAnsi="Palatino Linotype" w:eastAsia="Aptos" w:cs="Times New Roman"/>
        </w:rPr>
        <w:t>the Microsoft project’s</w:t>
      </w:r>
      <w:r w:rsidRPr="008F34BE">
        <w:rPr>
          <w:rFonts w:ascii="Palatino Linotype" w:hAnsi="Palatino Linotype" w:eastAsia="Aptos" w:cs="Times New Roman"/>
        </w:rPr>
        <w:t xml:space="preserve"> load decreases such that the standard BARC Formula amount falls below the amount already refunded, no further refund should be provided that year. </w:t>
      </w:r>
      <w:r w:rsidRPr="008F34BE" w:rsidR="00A956F9">
        <w:rPr>
          <w:rFonts w:ascii="Palatino Linotype" w:hAnsi="Palatino Linotype" w:eastAsia="Aptos" w:cs="Times New Roman"/>
        </w:rPr>
        <w:t>As noted above</w:t>
      </w:r>
      <w:r w:rsidRPr="008F34BE" w:rsidR="00C11630">
        <w:rPr>
          <w:rFonts w:ascii="Palatino Linotype" w:hAnsi="Palatino Linotype" w:eastAsia="Aptos" w:cs="Times New Roman"/>
        </w:rPr>
        <w:t>,</w:t>
      </w:r>
      <w:r w:rsidRPr="008F34BE" w:rsidR="00A956F9">
        <w:rPr>
          <w:rFonts w:ascii="Palatino Linotype" w:hAnsi="Palatino Linotype" w:eastAsia="Aptos" w:cs="Times New Roman"/>
        </w:rPr>
        <w:t xml:space="preserve"> b</w:t>
      </w:r>
      <w:r w:rsidRPr="008F34BE">
        <w:rPr>
          <w:rFonts w:ascii="Palatino Linotype" w:hAnsi="Palatino Linotype" w:eastAsia="Aptos" w:cs="Times New Roman"/>
        </w:rPr>
        <w:t xml:space="preserve">ased on expected operations, </w:t>
      </w:r>
      <w:r w:rsidRPr="008F34BE" w:rsidR="00EC49C5">
        <w:rPr>
          <w:rFonts w:ascii="Palatino Linotype" w:hAnsi="Palatino Linotype" w:eastAsia="Aptos" w:cs="Times New Roman"/>
        </w:rPr>
        <w:t>Microsoft</w:t>
      </w:r>
      <w:r w:rsidRPr="008F34BE">
        <w:rPr>
          <w:rFonts w:ascii="Palatino Linotype" w:hAnsi="Palatino Linotype" w:eastAsia="Aptos" w:cs="Times New Roman"/>
        </w:rPr>
        <w:t xml:space="preserve"> should receive a full refund </w:t>
      </w:r>
      <w:r w:rsidRPr="008F34BE" w:rsidR="00EC49C5">
        <w:rPr>
          <w:rFonts w:ascii="Palatino Linotype" w:hAnsi="Palatino Linotype" w:eastAsia="Aptos" w:cs="Times New Roman"/>
        </w:rPr>
        <w:t xml:space="preserve">if the </w:t>
      </w:r>
      <w:r w:rsidRPr="008F34BE" w:rsidR="0053049E">
        <w:rPr>
          <w:rFonts w:ascii="Palatino Linotype" w:hAnsi="Palatino Linotype" w:eastAsia="Aptos" w:cs="Times New Roman"/>
        </w:rPr>
        <w:t xml:space="preserve">project’s </w:t>
      </w:r>
      <w:r w:rsidRPr="008F34BE" w:rsidR="00EC49C5">
        <w:rPr>
          <w:rFonts w:ascii="Palatino Linotype" w:hAnsi="Palatino Linotype" w:eastAsia="Aptos" w:cs="Times New Roman"/>
        </w:rPr>
        <w:t>load materializes as expected</w:t>
      </w:r>
      <w:r w:rsidRPr="008F34BE">
        <w:rPr>
          <w:rFonts w:ascii="Palatino Linotype" w:hAnsi="Palatino Linotype" w:eastAsia="Aptos" w:cs="Times New Roman"/>
        </w:rPr>
        <w:t>.</w:t>
      </w:r>
    </w:p>
    <w:p w:rsidRPr="008F34BE" w:rsidR="002E61D8" w:rsidP="002E61D8" w:rsidRDefault="002E61D8" w14:paraId="2F64CF99" w14:textId="77777777">
      <w:pPr>
        <w:spacing w:after="0" w:line="240" w:lineRule="auto"/>
        <w:rPr>
          <w:rFonts w:ascii="Palatino Linotype" w:hAnsi="Palatino Linotype" w:eastAsia="Aptos" w:cs="Times New Roman"/>
        </w:rPr>
      </w:pPr>
    </w:p>
    <w:p w:rsidRPr="008F34BE" w:rsidR="002E61D8" w:rsidP="002E61D8" w:rsidRDefault="0012320A" w14:paraId="497CEC56"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We make one additional modification to the standard BARC process </w:t>
      </w:r>
      <w:r w:rsidRPr="008F34BE" w:rsidR="00181DE9">
        <w:rPr>
          <w:rFonts w:ascii="Palatino Linotype" w:hAnsi="Palatino Linotype" w:eastAsia="Aptos" w:cs="Times New Roman"/>
        </w:rPr>
        <w:t xml:space="preserve">for use </w:t>
      </w:r>
      <w:r w:rsidRPr="008F34BE" w:rsidR="00605E94">
        <w:rPr>
          <w:rFonts w:ascii="Palatino Linotype" w:hAnsi="Palatino Linotype" w:eastAsia="Aptos" w:cs="Times New Roman"/>
        </w:rPr>
        <w:t xml:space="preserve">in </w:t>
      </w:r>
      <w:r w:rsidRPr="008F34BE" w:rsidR="00AE1815">
        <w:rPr>
          <w:rFonts w:ascii="Palatino Linotype" w:hAnsi="Palatino Linotype" w:eastAsia="Aptos" w:cs="Times New Roman"/>
        </w:rPr>
        <w:t xml:space="preserve">this </w:t>
      </w:r>
      <w:r w:rsidRPr="008F34BE" w:rsidR="000376D1">
        <w:rPr>
          <w:rFonts w:ascii="Palatino Linotype" w:hAnsi="Palatino Linotype" w:eastAsia="Aptos" w:cs="Times New Roman"/>
        </w:rPr>
        <w:t>exceptional case</w:t>
      </w:r>
      <w:r w:rsidRPr="008F34BE">
        <w:rPr>
          <w:rFonts w:ascii="Palatino Linotype" w:hAnsi="Palatino Linotype" w:eastAsia="Aptos" w:cs="Times New Roman"/>
        </w:rPr>
        <w:t xml:space="preserve">. Under the standard process, if a customer’s expected future net revenues are </w:t>
      </w:r>
      <w:r w:rsidRPr="008F34BE" w:rsidR="00331A8B">
        <w:rPr>
          <w:rFonts w:ascii="Palatino Linotype" w:hAnsi="Palatino Linotype" w:eastAsia="Aptos" w:cs="Times New Roman"/>
        </w:rPr>
        <w:t>in</w:t>
      </w:r>
      <w:r w:rsidRPr="008F34BE" w:rsidR="00617DC6">
        <w:rPr>
          <w:rFonts w:ascii="Palatino Linotype" w:hAnsi="Palatino Linotype" w:eastAsia="Aptos" w:cs="Times New Roman"/>
        </w:rPr>
        <w:t xml:space="preserve">sufficient </w:t>
      </w:r>
      <w:r w:rsidRPr="008F34BE">
        <w:rPr>
          <w:rFonts w:ascii="Palatino Linotype" w:hAnsi="Palatino Linotype" w:eastAsia="Aptos" w:cs="Times New Roman"/>
        </w:rPr>
        <w:t xml:space="preserve">to justify the costs of </w:t>
      </w:r>
      <w:r w:rsidRPr="008F34BE" w:rsidR="00617DC6">
        <w:rPr>
          <w:rFonts w:ascii="Palatino Linotype" w:hAnsi="Palatino Linotype" w:eastAsia="Aptos" w:cs="Times New Roman"/>
        </w:rPr>
        <w:t xml:space="preserve">its </w:t>
      </w:r>
      <w:r w:rsidRPr="008F34BE">
        <w:rPr>
          <w:rFonts w:ascii="Palatino Linotype" w:hAnsi="Palatino Linotype" w:eastAsia="Aptos" w:cs="Times New Roman"/>
        </w:rPr>
        <w:t xml:space="preserve">energization, </w:t>
      </w:r>
      <w:r w:rsidRPr="008F34BE" w:rsidR="00617DC6">
        <w:rPr>
          <w:rFonts w:ascii="Palatino Linotype" w:hAnsi="Palatino Linotype" w:eastAsia="Aptos" w:cs="Times New Roman"/>
        </w:rPr>
        <w:t>it is</w:t>
      </w:r>
      <w:r w:rsidRPr="008F34BE">
        <w:rPr>
          <w:rFonts w:ascii="Palatino Linotype" w:hAnsi="Palatino Linotype" w:eastAsia="Aptos" w:cs="Times New Roman"/>
        </w:rPr>
        <w:t xml:space="preserve"> charged an additional fee to cover PG&amp;E’s cost of ownership. </w:t>
      </w:r>
      <w:r w:rsidRPr="008F34BE" w:rsidR="00BA3500">
        <w:rPr>
          <w:rFonts w:ascii="Palatino Linotype" w:hAnsi="Palatino Linotype" w:eastAsia="Aptos" w:cs="Times New Roman"/>
        </w:rPr>
        <w:t>Considering</w:t>
      </w:r>
      <w:r w:rsidRPr="008F34BE">
        <w:rPr>
          <w:rFonts w:ascii="Palatino Linotype" w:hAnsi="Palatino Linotype" w:eastAsia="Aptos" w:cs="Times New Roman"/>
        </w:rPr>
        <w:t xml:space="preserve"> the modifications we adopt here</w:t>
      </w:r>
      <w:r w:rsidRPr="008F34BE" w:rsidR="00BA3500">
        <w:rPr>
          <w:rFonts w:ascii="Palatino Linotype" w:hAnsi="Palatino Linotype" w:eastAsia="Aptos" w:cs="Times New Roman"/>
        </w:rPr>
        <w:t xml:space="preserve"> that</w:t>
      </w:r>
      <w:r w:rsidRPr="008F34BE">
        <w:rPr>
          <w:rFonts w:ascii="Palatino Linotype" w:hAnsi="Palatino Linotype" w:eastAsia="Aptos" w:cs="Times New Roman"/>
        </w:rPr>
        <w:t xml:space="preserve"> intentionally limit</w:t>
      </w:r>
      <w:r w:rsidRPr="008F34BE" w:rsidR="00BA3500">
        <w:rPr>
          <w:rFonts w:ascii="Palatino Linotype" w:hAnsi="Palatino Linotype" w:eastAsia="Aptos" w:cs="Times New Roman"/>
        </w:rPr>
        <w:t xml:space="preserve"> </w:t>
      </w:r>
      <w:r w:rsidRPr="008F34BE">
        <w:rPr>
          <w:rFonts w:ascii="Palatino Linotype" w:hAnsi="Palatino Linotype" w:eastAsia="Aptos" w:cs="Times New Roman"/>
        </w:rPr>
        <w:t>the annual refund amounts, it is not necessary to impose an additional customer</w:t>
      </w:r>
      <w:r w:rsidRPr="008F34BE" w:rsidR="00951587">
        <w:rPr>
          <w:rFonts w:ascii="Palatino Linotype" w:hAnsi="Palatino Linotype" w:eastAsia="Aptos" w:cs="Times New Roman"/>
        </w:rPr>
        <w:t>-</w:t>
      </w:r>
      <w:r w:rsidRPr="008F34BE">
        <w:rPr>
          <w:rFonts w:ascii="Palatino Linotype" w:hAnsi="Palatino Linotype" w:eastAsia="Aptos" w:cs="Times New Roman"/>
        </w:rPr>
        <w:t>financed cost of ownership on the unrefunded amount.</w:t>
      </w:r>
    </w:p>
    <w:p w:rsidRPr="008F34BE" w:rsidR="0012320A" w:rsidP="002E61D8" w:rsidRDefault="0012320A" w14:paraId="58836B38"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  </w:t>
      </w:r>
    </w:p>
    <w:p w:rsidRPr="008F34BE" w:rsidR="0012320A" w:rsidP="00CF4348" w:rsidRDefault="0012320A" w14:paraId="44B5243A"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Finally, we order PG&amp;E to submit a modified agreement with the changes specified herein for approval through a Tier 1 Advice Letter.</w:t>
      </w:r>
    </w:p>
    <w:p w:rsidRPr="008F34BE" w:rsidR="00CF4348" w:rsidP="00E0405C" w:rsidRDefault="00CF4348" w14:paraId="743B9996" w14:textId="77777777">
      <w:pPr>
        <w:spacing w:after="0" w:line="240" w:lineRule="auto"/>
        <w:rPr>
          <w:rFonts w:ascii="Palatino Linotype" w:hAnsi="Palatino Linotype" w:eastAsia="Aptos" w:cs="Times New Roman"/>
        </w:rPr>
      </w:pPr>
    </w:p>
    <w:p w:rsidRPr="008F34BE" w:rsidR="00290090" w:rsidP="00356592" w:rsidRDefault="0012320A" w14:paraId="2D800B80"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The findings and conclusions in this Resolution should in no way prejudice the ongoing deliberation in the Rule 30 proceeding, A. 24-11-007. This Resolution is a response to an exceptional case filing and should not be considered a binding precedent moving forward.</w:t>
      </w:r>
    </w:p>
    <w:p w:rsidRPr="008F34BE" w:rsidR="001D75DF" w:rsidP="00A76F4A" w:rsidRDefault="001D75DF" w14:paraId="2445F8A8" w14:textId="77777777">
      <w:pPr>
        <w:spacing w:after="0" w:line="240" w:lineRule="auto"/>
        <w:rPr>
          <w:rFonts w:ascii="Palatino Linotype" w:hAnsi="Palatino Linotype" w:eastAsia="Palatino Linotype" w:cs="Times New Roman"/>
          <w:kern w:val="0"/>
          <w14:ligatures w14:val="none"/>
        </w:rPr>
      </w:pPr>
    </w:p>
    <w:p w:rsidRPr="008F34BE" w:rsidR="004F1620" w:rsidP="00A76F4A" w:rsidRDefault="00052FF7" w14:paraId="2B60FFA0" w14:textId="77777777">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 xml:space="preserve">Non-Controversial </w:t>
      </w:r>
      <w:r w:rsidRPr="008F34BE" w:rsidR="00992B98">
        <w:rPr>
          <w:rFonts w:ascii="Palatino Linotype" w:hAnsi="Palatino Linotype" w:eastAsia="Palatino Linotype" w:cs="Times New Roman"/>
          <w:b/>
          <w:bCs/>
          <w:kern w:val="0"/>
          <w14:ligatures w14:val="none"/>
        </w:rPr>
        <w:t xml:space="preserve">Requested </w:t>
      </w:r>
      <w:r w:rsidRPr="008F34BE" w:rsidR="00D87E5B">
        <w:rPr>
          <w:rFonts w:ascii="Palatino Linotype" w:hAnsi="Palatino Linotype" w:eastAsia="Palatino Linotype" w:cs="Times New Roman"/>
          <w:b/>
          <w:bCs/>
          <w:kern w:val="0"/>
          <w14:ligatures w14:val="none"/>
        </w:rPr>
        <w:t>Tariff Deviations</w:t>
      </w:r>
    </w:p>
    <w:p w:rsidRPr="008F34BE" w:rsidR="004F1620" w:rsidP="00A76F4A" w:rsidRDefault="004F1620" w14:paraId="433B789D" w14:textId="77777777">
      <w:pPr>
        <w:spacing w:after="0" w:line="240" w:lineRule="auto"/>
        <w:rPr>
          <w:rFonts w:ascii="Palatino Linotype" w:hAnsi="Palatino Linotype" w:eastAsia="Palatino Linotype" w:cs="Times New Roman"/>
          <w:kern w:val="0"/>
          <w14:ligatures w14:val="none"/>
        </w:rPr>
      </w:pPr>
    </w:p>
    <w:p w:rsidRPr="008F34BE" w:rsidR="004C09C7" w:rsidP="00A76F4A" w:rsidRDefault="00797285" w14:paraId="5B8EF08E"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As noted above, we discuss each of the requested tariff deviations in detail below.</w:t>
      </w:r>
      <w:r w:rsidRPr="008F34BE" w:rsidR="00FA5C84">
        <w:rPr>
          <w:rFonts w:ascii="Palatino Linotype" w:hAnsi="Palatino Linotype" w:eastAsia="Palatino Linotype" w:cs="Times New Roman"/>
          <w:kern w:val="0"/>
          <w14:ligatures w14:val="none"/>
        </w:rPr>
        <w:t xml:space="preserve"> Each of these specific deviation requests are reasonable; however, this determination only applies to AL 7635-E and sets no precedent for future filings or proceedings.</w:t>
      </w:r>
    </w:p>
    <w:p w:rsidRPr="008F34BE" w:rsidR="00797285" w:rsidP="00A76F4A" w:rsidRDefault="00797285" w14:paraId="15AF6968" w14:textId="77777777">
      <w:pPr>
        <w:spacing w:after="0" w:line="240" w:lineRule="auto"/>
        <w:rPr>
          <w:rFonts w:ascii="Palatino Linotype" w:hAnsi="Palatino Linotype" w:eastAsia="Palatino Linotype" w:cs="Times New Roman"/>
          <w:kern w:val="0"/>
          <w14:ligatures w14:val="none"/>
        </w:rPr>
      </w:pPr>
    </w:p>
    <w:p w:rsidRPr="008F34BE" w:rsidR="00797285" w:rsidP="00A76F4A" w:rsidRDefault="0078736C" w14:paraId="056B6AE4"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 Deposit Paid to PG&amp;E</w:t>
      </w:r>
    </w:p>
    <w:p w:rsidRPr="008F34BE" w:rsidR="0078736C" w:rsidP="00A76F4A" w:rsidRDefault="0078736C" w14:paraId="04F05179" w14:textId="77777777">
      <w:pPr>
        <w:spacing w:after="0" w:line="240" w:lineRule="auto"/>
        <w:rPr>
          <w:rFonts w:ascii="Palatino Linotype" w:hAnsi="Palatino Linotype" w:eastAsia="Palatino Linotype" w:cs="Times New Roman"/>
          <w:bCs/>
          <w:kern w:val="0"/>
          <w14:ligatures w14:val="none"/>
        </w:rPr>
      </w:pPr>
    </w:p>
    <w:p w:rsidRPr="008F34BE" w:rsidR="00412802" w:rsidP="00EE3D7A" w:rsidRDefault="00862BF5" w14:paraId="12723B9E"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bCs/>
          <w:kern w:val="0"/>
          <w14:ligatures w14:val="none"/>
        </w:rPr>
        <w:t xml:space="preserve">PG&amp;E accepted a deposit from Microsoft </w:t>
      </w:r>
      <w:r w:rsidRPr="008F34BE" w:rsidR="00D144E4">
        <w:rPr>
          <w:rFonts w:ascii="Palatino Linotype" w:hAnsi="Palatino Linotype" w:eastAsia="Palatino Linotype" w:cs="Times New Roman"/>
          <w:bCs/>
          <w:kern w:val="0"/>
          <w14:ligatures w14:val="none"/>
        </w:rPr>
        <w:t xml:space="preserve">to perform engineering and procurement of long-lead time materials </w:t>
      </w:r>
      <w:r w:rsidRPr="008F34BE" w:rsidR="00206C11">
        <w:rPr>
          <w:rFonts w:ascii="Palatino Linotype" w:hAnsi="Palatino Linotype" w:eastAsia="Palatino Linotype" w:cs="Times New Roman"/>
          <w:bCs/>
          <w:kern w:val="0"/>
          <w14:ligatures w14:val="none"/>
        </w:rPr>
        <w:t xml:space="preserve">related to </w:t>
      </w:r>
      <w:r w:rsidRPr="008F34BE" w:rsidR="00D41012">
        <w:rPr>
          <w:rFonts w:ascii="Palatino Linotype" w:hAnsi="Palatino Linotype" w:eastAsia="Palatino Linotype" w:cs="Times New Roman"/>
          <w:bCs/>
          <w:kern w:val="0"/>
          <w14:ligatures w14:val="none"/>
        </w:rPr>
        <w:t xml:space="preserve">the </w:t>
      </w:r>
      <w:r w:rsidRPr="008F34BE" w:rsidR="00D41012">
        <w:rPr>
          <w:rFonts w:ascii="Palatino Linotype" w:hAnsi="Palatino Linotype" w:eastAsia="Times New Roman" w:cs="Times New Roman"/>
          <w:kern w:val="0"/>
          <w14:ligatures w14:val="none"/>
        </w:rPr>
        <w:t>115 kV transmission upgrades at PG&amp;E’s Los Esteros substation and the new 115 kV transmission line extension from PG&amp;E’s Los Esteros substation to Microsoft’s Kaku substation to provide regular service.</w:t>
      </w:r>
      <w:r w:rsidRPr="008F34BE" w:rsidR="00584207">
        <w:rPr>
          <w:rFonts w:ascii="Palatino Linotype" w:hAnsi="Palatino Linotype" w:eastAsia="Times New Roman" w:cs="Times New Roman"/>
          <w:kern w:val="0"/>
          <w14:ligatures w14:val="none"/>
        </w:rPr>
        <w:t xml:space="preserve"> </w:t>
      </w:r>
      <w:r w:rsidR="003B63D4">
        <w:rPr>
          <w:rFonts w:ascii="Palatino Linotype" w:hAnsi="Palatino Linotype" w:eastAsia="Times New Roman" w:cs="Times New Roman"/>
          <w:kern w:val="0"/>
          <w14:ligatures w14:val="none"/>
        </w:rPr>
        <w:br/>
      </w:r>
      <w:r w:rsidRPr="008F34BE" w:rsidR="00EE3D7A">
        <w:rPr>
          <w:rFonts w:ascii="Palatino Linotype" w:hAnsi="Palatino Linotype" w:eastAsia="Times New Roman" w:cs="Times New Roman"/>
          <w:kern w:val="0"/>
          <w14:ligatures w14:val="none"/>
        </w:rPr>
        <w:t xml:space="preserve">PG&amp;E’s Electric Rule 15 does not describe a process by which </w:t>
      </w:r>
      <w:r w:rsidRPr="008F34BE" w:rsidR="00924EA8">
        <w:rPr>
          <w:rFonts w:ascii="Palatino Linotype" w:hAnsi="Palatino Linotype" w:eastAsia="Times New Roman" w:cs="Times New Roman"/>
          <w:kern w:val="0"/>
          <w14:ligatures w14:val="none"/>
        </w:rPr>
        <w:t>a deposit of this sort</w:t>
      </w:r>
      <w:r w:rsidRPr="008F34BE" w:rsidR="001301BF">
        <w:rPr>
          <w:rFonts w:ascii="Palatino Linotype" w:hAnsi="Palatino Linotype" w:eastAsia="Times New Roman" w:cs="Times New Roman"/>
          <w:kern w:val="0"/>
          <w14:ligatures w14:val="none"/>
        </w:rPr>
        <w:t xml:space="preserve"> would </w:t>
      </w:r>
      <w:r w:rsidRPr="008F34BE" w:rsidR="00924EA8">
        <w:rPr>
          <w:rFonts w:ascii="Palatino Linotype" w:hAnsi="Palatino Linotype" w:eastAsia="Times New Roman" w:cs="Times New Roman"/>
          <w:kern w:val="0"/>
          <w14:ligatures w14:val="none"/>
        </w:rPr>
        <w:t xml:space="preserve">normally </w:t>
      </w:r>
      <w:r w:rsidRPr="008F34BE" w:rsidR="001301BF">
        <w:rPr>
          <w:rFonts w:ascii="Palatino Linotype" w:hAnsi="Palatino Linotype" w:eastAsia="Times New Roman" w:cs="Times New Roman"/>
          <w:kern w:val="0"/>
          <w14:ligatures w14:val="none"/>
        </w:rPr>
        <w:t xml:space="preserve">be accepted. </w:t>
      </w:r>
      <w:r w:rsidRPr="008F34BE" w:rsidR="00EF6BE1">
        <w:rPr>
          <w:rFonts w:ascii="Palatino Linotype" w:hAnsi="Palatino Linotype" w:eastAsia="Times New Roman" w:cs="Times New Roman"/>
          <w:kern w:val="0"/>
          <w14:ligatures w14:val="none"/>
        </w:rPr>
        <w:t xml:space="preserve">Under normal tariff provisions in Electric Rule 15, a cash advance is only required if costs of providing service exceed </w:t>
      </w:r>
      <w:r w:rsidRPr="008F34BE" w:rsidR="00DD7E33">
        <w:rPr>
          <w:rFonts w:ascii="Palatino Linotype" w:hAnsi="Palatino Linotype" w:eastAsia="Times New Roman" w:cs="Times New Roman"/>
          <w:kern w:val="0"/>
          <w14:ligatures w14:val="none"/>
        </w:rPr>
        <w:t>a</w:t>
      </w:r>
      <w:r w:rsidRPr="008F34BE" w:rsidR="00A9193C">
        <w:rPr>
          <w:rFonts w:ascii="Palatino Linotype" w:hAnsi="Palatino Linotype" w:eastAsia="Times New Roman" w:cs="Times New Roman"/>
          <w:kern w:val="0"/>
          <w14:ligatures w14:val="none"/>
        </w:rPr>
        <w:t>n</w:t>
      </w:r>
      <w:r w:rsidRPr="008F34BE" w:rsidR="00DD7E33">
        <w:rPr>
          <w:rFonts w:ascii="Palatino Linotype" w:hAnsi="Palatino Linotype" w:eastAsia="Times New Roman" w:cs="Times New Roman"/>
          <w:kern w:val="0"/>
          <w14:ligatures w14:val="none"/>
        </w:rPr>
        <w:t xml:space="preserve"> allowance determined by a formula provided in Section C.2.c.</w:t>
      </w:r>
      <w:r w:rsidRPr="008F34BE" w:rsidR="00DD7E33">
        <w:rPr>
          <w:rStyle w:val="FootnoteReference"/>
          <w:rFonts w:ascii="Palatino Linotype" w:hAnsi="Palatino Linotype" w:eastAsia="Times New Roman" w:cs="Times New Roman"/>
          <w:kern w:val="0"/>
          <w14:ligatures w14:val="none"/>
        </w:rPr>
        <w:footnoteReference w:id="22"/>
      </w:r>
      <w:r w:rsidRPr="008F34BE" w:rsidR="00A9193C">
        <w:rPr>
          <w:rFonts w:ascii="Palatino Linotype" w:hAnsi="Palatino Linotype" w:eastAsia="Times New Roman" w:cs="Times New Roman"/>
          <w:kern w:val="0"/>
          <w14:ligatures w14:val="none"/>
        </w:rPr>
        <w:t xml:space="preserve"> </w:t>
      </w:r>
      <w:r w:rsidRPr="008F34BE" w:rsidR="003F5A02">
        <w:rPr>
          <w:rFonts w:ascii="Palatino Linotype" w:hAnsi="Palatino Linotype" w:eastAsia="Times New Roman" w:cs="Times New Roman"/>
          <w:kern w:val="0"/>
          <w14:ligatures w14:val="none"/>
        </w:rPr>
        <w:t xml:space="preserve">This cash advance protects ratepayers from having to cover </w:t>
      </w:r>
      <w:r w:rsidRPr="008F34BE" w:rsidR="00B608CF">
        <w:rPr>
          <w:rFonts w:ascii="Palatino Linotype" w:hAnsi="Palatino Linotype" w:eastAsia="Times New Roman" w:cs="Times New Roman"/>
          <w:kern w:val="0"/>
          <w14:ligatures w14:val="none"/>
        </w:rPr>
        <w:t xml:space="preserve">costs of </w:t>
      </w:r>
      <w:r w:rsidRPr="008F34BE" w:rsidR="00F97B77">
        <w:rPr>
          <w:rFonts w:ascii="Palatino Linotype" w:hAnsi="Palatino Linotype" w:eastAsia="Times New Roman" w:cs="Times New Roman"/>
          <w:kern w:val="0"/>
          <w14:ligatures w14:val="none"/>
        </w:rPr>
        <w:t xml:space="preserve">engineering </w:t>
      </w:r>
      <w:r w:rsidRPr="008F34BE" w:rsidR="00B608CF">
        <w:rPr>
          <w:rFonts w:ascii="Palatino Linotype" w:hAnsi="Palatino Linotype" w:eastAsia="Times New Roman" w:cs="Times New Roman"/>
          <w:kern w:val="0"/>
          <w14:ligatures w14:val="none"/>
        </w:rPr>
        <w:t xml:space="preserve">work </w:t>
      </w:r>
      <w:r w:rsidRPr="008F34BE" w:rsidR="00F97B77">
        <w:rPr>
          <w:rFonts w:ascii="Palatino Linotype" w:hAnsi="Palatino Linotype" w:eastAsia="Times New Roman" w:cs="Times New Roman"/>
          <w:kern w:val="0"/>
          <w14:ligatures w14:val="none"/>
        </w:rPr>
        <w:t>and</w:t>
      </w:r>
      <w:r w:rsidRPr="008F34BE" w:rsidR="00B608CF">
        <w:rPr>
          <w:rFonts w:ascii="Palatino Linotype" w:hAnsi="Palatino Linotype" w:eastAsia="Times New Roman" w:cs="Times New Roman"/>
          <w:kern w:val="0"/>
          <w14:ligatures w14:val="none"/>
        </w:rPr>
        <w:t xml:space="preserve"> materials with long procurement lead times</w:t>
      </w:r>
      <w:r w:rsidRPr="008F34BE" w:rsidR="009D54F9">
        <w:rPr>
          <w:rFonts w:ascii="Palatino Linotype" w:hAnsi="Palatino Linotype" w:eastAsia="Times New Roman" w:cs="Times New Roman"/>
          <w:kern w:val="0"/>
          <w14:ligatures w14:val="none"/>
        </w:rPr>
        <w:t xml:space="preserve"> that might otherwise </w:t>
      </w:r>
      <w:r w:rsidRPr="008F34BE" w:rsidR="00625AD6">
        <w:rPr>
          <w:rFonts w:ascii="Palatino Linotype" w:hAnsi="Palatino Linotype" w:eastAsia="Times New Roman" w:cs="Times New Roman"/>
          <w:kern w:val="0"/>
          <w14:ligatures w14:val="none"/>
        </w:rPr>
        <w:t>require PG&amp;E to fund this work internally</w:t>
      </w:r>
      <w:r w:rsidRPr="008F34BE" w:rsidR="00F97B77">
        <w:rPr>
          <w:rFonts w:ascii="Palatino Linotype" w:hAnsi="Palatino Linotype" w:eastAsia="Times New Roman" w:cs="Times New Roman"/>
          <w:kern w:val="0"/>
          <w14:ligatures w14:val="none"/>
        </w:rPr>
        <w:t xml:space="preserve"> and places the burden of covering this on Microsoft. </w:t>
      </w:r>
      <w:r w:rsidRPr="008F34BE" w:rsidR="00392934">
        <w:rPr>
          <w:rFonts w:ascii="Palatino Linotype" w:hAnsi="Palatino Linotype" w:eastAsia="Times New Roman" w:cs="Times New Roman"/>
          <w:kern w:val="0"/>
          <w14:ligatures w14:val="none"/>
        </w:rPr>
        <w:t>Thus</w:t>
      </w:r>
      <w:r w:rsidRPr="008F34BE" w:rsidR="00625AD6">
        <w:rPr>
          <w:rFonts w:ascii="Palatino Linotype" w:hAnsi="Palatino Linotype" w:eastAsia="Times New Roman" w:cs="Times New Roman"/>
          <w:kern w:val="0"/>
          <w14:ligatures w14:val="none"/>
        </w:rPr>
        <w:t>,</w:t>
      </w:r>
      <w:r w:rsidRPr="008F34BE" w:rsidR="00392934">
        <w:rPr>
          <w:rFonts w:ascii="Palatino Linotype" w:hAnsi="Palatino Linotype" w:eastAsia="Times New Roman" w:cs="Times New Roman"/>
          <w:kern w:val="0"/>
          <w14:ligatures w14:val="none"/>
        </w:rPr>
        <w:t xml:space="preserve"> we find that </w:t>
      </w:r>
      <w:r w:rsidRPr="008F34BE" w:rsidR="00F97B77">
        <w:rPr>
          <w:rFonts w:ascii="Palatino Linotype" w:hAnsi="Palatino Linotype" w:eastAsia="Times New Roman" w:cs="Times New Roman"/>
          <w:kern w:val="0"/>
          <w14:ligatures w14:val="none"/>
        </w:rPr>
        <w:t xml:space="preserve">this </w:t>
      </w:r>
      <w:r w:rsidRPr="008F34BE" w:rsidR="00392934">
        <w:rPr>
          <w:rFonts w:ascii="Palatino Linotype" w:hAnsi="Palatino Linotype" w:eastAsia="Times New Roman" w:cs="Times New Roman"/>
          <w:kern w:val="0"/>
          <w14:ligatures w14:val="none"/>
        </w:rPr>
        <w:t>payment of a cash advance</w:t>
      </w:r>
      <w:r w:rsidRPr="008F34BE" w:rsidR="00625AD6">
        <w:rPr>
          <w:rFonts w:ascii="Palatino Linotype" w:hAnsi="Palatino Linotype" w:eastAsia="Times New Roman" w:cs="Times New Roman"/>
          <w:kern w:val="0"/>
          <w14:ligatures w14:val="none"/>
        </w:rPr>
        <w:t xml:space="preserve"> from Microsoft to PG&amp;E</w:t>
      </w:r>
      <w:r w:rsidRPr="008F34BE" w:rsidR="00392934">
        <w:rPr>
          <w:rFonts w:ascii="Palatino Linotype" w:hAnsi="Palatino Linotype" w:eastAsia="Times New Roman" w:cs="Times New Roman"/>
          <w:kern w:val="0"/>
          <w14:ligatures w14:val="none"/>
        </w:rPr>
        <w:t xml:space="preserve"> is reasonable</w:t>
      </w:r>
      <w:r w:rsidRPr="008F34BE" w:rsidR="00625AD6">
        <w:rPr>
          <w:rFonts w:ascii="Palatino Linotype" w:hAnsi="Palatino Linotype" w:eastAsia="Times New Roman" w:cs="Times New Roman"/>
          <w:kern w:val="0"/>
          <w14:ligatures w14:val="none"/>
        </w:rPr>
        <w:t xml:space="preserve"> in this case</w:t>
      </w:r>
      <w:r w:rsidRPr="008F34BE" w:rsidR="009E291A">
        <w:rPr>
          <w:rFonts w:ascii="Palatino Linotype" w:hAnsi="Palatino Linotype" w:eastAsia="Times New Roman" w:cs="Times New Roman"/>
          <w:kern w:val="0"/>
          <w14:ligatures w14:val="none"/>
        </w:rPr>
        <w:t>.</w:t>
      </w:r>
    </w:p>
    <w:p w:rsidRPr="008F34BE" w:rsidR="00412802" w:rsidP="0084127C" w:rsidRDefault="00412802" w14:paraId="4365D9C4" w14:textId="77777777">
      <w:pPr>
        <w:spacing w:after="0" w:line="240" w:lineRule="auto"/>
        <w:rPr>
          <w:rFonts w:ascii="Palatino Linotype" w:hAnsi="Palatino Linotype" w:eastAsia="Times New Roman" w:cs="Times New Roman"/>
          <w:kern w:val="0"/>
          <w14:ligatures w14:val="none"/>
        </w:rPr>
      </w:pPr>
    </w:p>
    <w:p w:rsidRPr="008F34BE" w:rsidR="004C09C7" w:rsidP="00A76F4A" w:rsidRDefault="004D79C6" w14:paraId="356004FA"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lastRenderedPageBreak/>
        <w:t xml:space="preserve">Removal of the </w:t>
      </w:r>
      <w:r w:rsidRPr="008F34BE" w:rsidR="00331D1D">
        <w:rPr>
          <w:rFonts w:ascii="Palatino Linotype" w:hAnsi="Palatino Linotype" w:eastAsia="Palatino Linotype" w:cs="Times New Roman"/>
          <w:i/>
          <w:iCs/>
          <w:kern w:val="0"/>
          <w14:ligatures w14:val="none"/>
        </w:rPr>
        <w:t>Fifty Percent Discount Option</w:t>
      </w:r>
    </w:p>
    <w:p w:rsidRPr="008F34BE" w:rsidR="00331D1D" w:rsidP="00A76F4A" w:rsidRDefault="00331D1D" w14:paraId="3FABBD51" w14:textId="77777777">
      <w:pPr>
        <w:spacing w:after="0" w:line="240" w:lineRule="auto"/>
        <w:rPr>
          <w:rFonts w:ascii="Palatino Linotype" w:hAnsi="Palatino Linotype" w:eastAsia="Palatino Linotype" w:cs="Times New Roman"/>
          <w:kern w:val="0"/>
          <w14:ligatures w14:val="none"/>
        </w:rPr>
      </w:pPr>
    </w:p>
    <w:p w:rsidRPr="008F34BE" w:rsidR="00B752AF" w:rsidP="00B752AF" w:rsidRDefault="007E005F" w14:paraId="3A8AA5BE"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refund provisions in </w:t>
      </w:r>
      <w:r w:rsidRPr="008F34BE" w:rsidR="00227EB9">
        <w:rPr>
          <w:rFonts w:ascii="Palatino Linotype" w:hAnsi="Palatino Linotype" w:eastAsia="Palatino Linotype" w:cs="Times New Roman"/>
          <w:kern w:val="0"/>
          <w14:ligatures w14:val="none"/>
        </w:rPr>
        <w:t xml:space="preserve">the </w:t>
      </w:r>
      <w:r w:rsidRPr="008F34BE">
        <w:rPr>
          <w:rFonts w:ascii="Palatino Linotype" w:hAnsi="Palatino Linotype" w:eastAsia="Palatino Linotype" w:cs="Times New Roman"/>
          <w:kern w:val="0"/>
          <w14:ligatures w14:val="none"/>
        </w:rPr>
        <w:t xml:space="preserve">Electric Rule 15 </w:t>
      </w:r>
      <w:r w:rsidRPr="008F34BE" w:rsidR="00227EB9">
        <w:rPr>
          <w:rFonts w:ascii="Palatino Linotype" w:hAnsi="Palatino Linotype" w:eastAsia="Palatino Linotype" w:cs="Times New Roman"/>
          <w:kern w:val="0"/>
          <w14:ligatures w14:val="none"/>
        </w:rPr>
        <w:t xml:space="preserve">Tariff </w:t>
      </w:r>
      <w:r w:rsidRPr="008F34BE">
        <w:rPr>
          <w:rFonts w:ascii="Palatino Linotype" w:hAnsi="Palatino Linotype" w:eastAsia="Palatino Linotype" w:cs="Times New Roman"/>
          <w:kern w:val="0"/>
          <w14:ligatures w14:val="none"/>
        </w:rPr>
        <w:t xml:space="preserve">by not offering </w:t>
      </w:r>
      <w:r w:rsidRPr="008F34BE" w:rsidR="00120F3E">
        <w:rPr>
          <w:rFonts w:ascii="Palatino Linotype" w:hAnsi="Palatino Linotype" w:eastAsia="Palatino Linotype" w:cs="Times New Roman"/>
          <w:kern w:val="0"/>
          <w14:ligatures w14:val="none"/>
        </w:rPr>
        <w:t xml:space="preserve">the usual Non-Refundable Discount Option detailed in Section </w:t>
      </w:r>
      <w:r w:rsidRPr="008F34BE" w:rsidR="000A3741">
        <w:rPr>
          <w:rFonts w:ascii="Palatino Linotype" w:hAnsi="Palatino Linotype" w:eastAsia="Palatino Linotype" w:cs="Times New Roman"/>
          <w:kern w:val="0"/>
          <w14:ligatures w14:val="none"/>
        </w:rPr>
        <w:t>D.5.c.</w:t>
      </w:r>
      <w:r w:rsidRPr="008F34BE" w:rsidR="000A3741">
        <w:rPr>
          <w:rStyle w:val="FootnoteReference"/>
          <w:rFonts w:ascii="Palatino Linotype" w:hAnsi="Palatino Linotype" w:eastAsia="Palatino Linotype" w:cs="Times New Roman"/>
          <w:kern w:val="0"/>
          <w14:ligatures w14:val="none"/>
        </w:rPr>
        <w:footnoteReference w:id="23"/>
      </w:r>
      <w:r w:rsidRPr="008F34BE" w:rsidR="000A3741">
        <w:rPr>
          <w:rFonts w:ascii="Palatino Linotype" w:hAnsi="Palatino Linotype" w:eastAsia="Palatino Linotype" w:cs="Times New Roman"/>
          <w:kern w:val="0"/>
          <w14:ligatures w14:val="none"/>
        </w:rPr>
        <w:t xml:space="preserve"> </w:t>
      </w:r>
      <w:r w:rsidRPr="008F34BE" w:rsidR="00416EE6">
        <w:rPr>
          <w:rFonts w:ascii="Palatino Linotype" w:hAnsi="Palatino Linotype" w:eastAsia="Palatino Linotype" w:cs="Times New Roman"/>
          <w:kern w:val="0"/>
          <w14:ligatures w14:val="none"/>
        </w:rPr>
        <w:t>PG&amp;E’s Electric Rule 15</w:t>
      </w:r>
      <w:r w:rsidRPr="008F34BE" w:rsidR="00227EB9">
        <w:rPr>
          <w:rFonts w:ascii="Palatino Linotype" w:hAnsi="Palatino Linotype" w:eastAsia="Palatino Linotype" w:cs="Times New Roman"/>
          <w:kern w:val="0"/>
          <w14:ligatures w14:val="none"/>
        </w:rPr>
        <w:t xml:space="preserve"> Tariff</w:t>
      </w:r>
      <w:r w:rsidRPr="008F34BE" w:rsidR="00416EE6">
        <w:rPr>
          <w:rFonts w:ascii="Palatino Linotype" w:hAnsi="Palatino Linotype" w:eastAsia="Palatino Linotype" w:cs="Times New Roman"/>
          <w:kern w:val="0"/>
          <w14:ligatures w14:val="none"/>
        </w:rPr>
        <w:t xml:space="preserve"> normally requires a customer </w:t>
      </w:r>
      <w:r w:rsidRPr="008F34BE" w:rsidR="009920E9">
        <w:rPr>
          <w:rFonts w:ascii="Palatino Linotype" w:hAnsi="Palatino Linotype" w:eastAsia="Palatino Linotype" w:cs="Times New Roman"/>
          <w:kern w:val="0"/>
          <w14:ligatures w14:val="none"/>
        </w:rPr>
        <w:t xml:space="preserve">to pay </w:t>
      </w:r>
      <w:r w:rsidRPr="008F34BE" w:rsidR="00C10BFC">
        <w:rPr>
          <w:rFonts w:ascii="Palatino Linotype" w:hAnsi="Palatino Linotype" w:eastAsia="Palatino Linotype" w:cs="Times New Roman"/>
          <w:kern w:val="0"/>
          <w14:ligatures w14:val="none"/>
        </w:rPr>
        <w:t xml:space="preserve">a </w:t>
      </w:r>
      <w:r w:rsidRPr="008F34BE" w:rsidR="000E6047">
        <w:rPr>
          <w:rFonts w:ascii="Palatino Linotype" w:hAnsi="Palatino Linotype" w:eastAsia="Palatino Linotype" w:cs="Times New Roman"/>
          <w:kern w:val="0"/>
          <w14:ligatures w14:val="none"/>
        </w:rPr>
        <w:t xml:space="preserve">refundable </w:t>
      </w:r>
      <w:r w:rsidRPr="008F34BE" w:rsidR="00C10BFC">
        <w:rPr>
          <w:rFonts w:ascii="Palatino Linotype" w:hAnsi="Palatino Linotype" w:eastAsia="Palatino Linotype" w:cs="Times New Roman"/>
          <w:kern w:val="0"/>
          <w14:ligatures w14:val="none"/>
        </w:rPr>
        <w:t xml:space="preserve">cash advance </w:t>
      </w:r>
      <w:r w:rsidRPr="008F34BE" w:rsidR="00C10BFC">
        <w:rPr>
          <w:rFonts w:ascii="Palatino Linotype" w:hAnsi="Palatino Linotype" w:eastAsia="Times New Roman" w:cs="Times New Roman"/>
          <w:kern w:val="0"/>
          <w14:ligatures w14:val="none"/>
        </w:rPr>
        <w:t>if costs of providing service exceed an allowance determined by a formula provided in Section C.2.c</w:t>
      </w:r>
      <w:r w:rsidRPr="008F34BE" w:rsidR="00271238">
        <w:rPr>
          <w:rFonts w:ascii="Palatino Linotype" w:hAnsi="Palatino Linotype" w:eastAsia="Times New Roman" w:cs="Times New Roman"/>
          <w:kern w:val="0"/>
          <w14:ligatures w14:val="none"/>
        </w:rPr>
        <w:t>.</w:t>
      </w:r>
      <w:r w:rsidRPr="008F34BE" w:rsidR="00C10BFC">
        <w:rPr>
          <w:rStyle w:val="FootnoteReference"/>
          <w:rFonts w:ascii="Palatino Linotype" w:hAnsi="Palatino Linotype" w:eastAsia="Times New Roman" w:cs="Times New Roman"/>
          <w:kern w:val="0"/>
          <w14:ligatures w14:val="none"/>
        </w:rPr>
        <w:footnoteReference w:id="24"/>
      </w:r>
      <w:r w:rsidRPr="008F34BE" w:rsidR="006C38D1">
        <w:rPr>
          <w:rFonts w:ascii="Palatino Linotype" w:hAnsi="Palatino Linotype" w:eastAsia="Times New Roman" w:cs="Times New Roman"/>
          <w:kern w:val="0"/>
          <w14:ligatures w14:val="none"/>
        </w:rPr>
        <w:t xml:space="preserve"> </w:t>
      </w:r>
      <w:r w:rsidRPr="008F34BE" w:rsidR="006C38D1">
        <w:rPr>
          <w:rStyle w:val="FootnoteReference"/>
          <w:rFonts w:ascii="Palatino Linotype" w:hAnsi="Palatino Linotype" w:eastAsia="Times New Roman" w:cs="Times New Roman"/>
          <w:kern w:val="0"/>
          <w14:ligatures w14:val="none"/>
        </w:rPr>
        <w:footnoteReference w:id="25"/>
      </w:r>
      <w:r w:rsidRPr="008F34BE" w:rsidR="00271238">
        <w:rPr>
          <w:rFonts w:ascii="Palatino Linotype" w:hAnsi="Palatino Linotype" w:eastAsia="Times New Roman" w:cs="Times New Roman"/>
          <w:kern w:val="0"/>
          <w14:ligatures w14:val="none"/>
        </w:rPr>
        <w:t xml:space="preserve"> Customers also have the option to </w:t>
      </w:r>
      <w:r w:rsidRPr="008F34BE" w:rsidR="00A066CE">
        <w:rPr>
          <w:rFonts w:ascii="Palatino Linotype" w:hAnsi="Palatino Linotype" w:eastAsia="Times New Roman" w:cs="Times New Roman"/>
          <w:kern w:val="0"/>
          <w14:ligatures w14:val="none"/>
        </w:rPr>
        <w:t xml:space="preserve">pay the </w:t>
      </w:r>
      <w:r w:rsidRPr="008F34BE" w:rsidR="00A066CE">
        <w:rPr>
          <w:rFonts w:ascii="Palatino Linotype" w:hAnsi="Palatino Linotype" w:eastAsia="Palatino Linotype" w:cs="Times New Roman"/>
          <w:kern w:val="0"/>
          <w14:ligatures w14:val="none"/>
        </w:rPr>
        <w:t>Non-Refundable Discount Option</w:t>
      </w:r>
      <w:r w:rsidRPr="008F34BE" w:rsidR="00A2745C">
        <w:rPr>
          <w:rFonts w:ascii="Palatino Linotype" w:hAnsi="Palatino Linotype" w:eastAsia="Palatino Linotype" w:cs="Times New Roman"/>
          <w:kern w:val="0"/>
          <w14:ligatures w14:val="none"/>
        </w:rPr>
        <w:t>,</w:t>
      </w:r>
      <w:r w:rsidRPr="008F34BE" w:rsidR="00A066CE">
        <w:rPr>
          <w:rFonts w:ascii="Palatino Linotype" w:hAnsi="Palatino Linotype" w:eastAsia="Palatino Linotype" w:cs="Times New Roman"/>
          <w:kern w:val="0"/>
          <w14:ligatures w14:val="none"/>
        </w:rPr>
        <w:t xml:space="preserve"> which is a one-time, non-refundable payment of </w:t>
      </w:r>
      <w:r w:rsidRPr="008F34BE" w:rsidR="00A25C0D">
        <w:rPr>
          <w:rFonts w:ascii="Palatino Linotype" w:hAnsi="Palatino Linotype" w:eastAsia="Palatino Linotype" w:cs="Times New Roman"/>
          <w:kern w:val="0"/>
          <w14:ligatures w14:val="none"/>
        </w:rPr>
        <w:t>50</w:t>
      </w:r>
      <w:r w:rsidRPr="008F34BE" w:rsidR="002350CB">
        <w:rPr>
          <w:rFonts w:ascii="Palatino Linotype" w:hAnsi="Palatino Linotype" w:eastAsia="Palatino Linotype" w:cs="Times New Roman"/>
          <w:kern w:val="0"/>
          <w14:ligatures w14:val="none"/>
        </w:rPr>
        <w:t xml:space="preserve"> percent</w:t>
      </w:r>
      <w:r w:rsidRPr="008F34BE" w:rsidR="00A25C0D">
        <w:rPr>
          <w:rFonts w:ascii="Palatino Linotype" w:hAnsi="Palatino Linotype" w:eastAsia="Palatino Linotype" w:cs="Times New Roman"/>
          <w:kern w:val="0"/>
          <w14:ligatures w14:val="none"/>
        </w:rPr>
        <w:t xml:space="preserve"> of the refundable amount described in Section </w:t>
      </w:r>
      <w:r w:rsidRPr="008F34BE" w:rsidR="006E2D99">
        <w:rPr>
          <w:rFonts w:ascii="Palatino Linotype" w:hAnsi="Palatino Linotype" w:eastAsia="Palatino Linotype" w:cs="Times New Roman"/>
          <w:kern w:val="0"/>
          <w14:ligatures w14:val="none"/>
        </w:rPr>
        <w:t>C.2.c.</w:t>
      </w:r>
      <w:r w:rsidRPr="008F34BE" w:rsidR="00B15E15">
        <w:rPr>
          <w:rStyle w:val="FootnoteReference"/>
          <w:rFonts w:ascii="Palatino Linotype" w:hAnsi="Palatino Linotype" w:eastAsia="Palatino Linotype" w:cs="Times New Roman"/>
          <w:kern w:val="0"/>
          <w14:ligatures w14:val="none"/>
        </w:rPr>
        <w:footnoteReference w:id="26"/>
      </w:r>
      <w:r w:rsidRPr="008F34BE" w:rsidR="00B15E15">
        <w:rPr>
          <w:rFonts w:ascii="Palatino Linotype" w:hAnsi="Palatino Linotype" w:eastAsia="Palatino Linotype" w:cs="Times New Roman"/>
          <w:kern w:val="0"/>
          <w14:ligatures w14:val="none"/>
        </w:rPr>
        <w:t xml:space="preserve"> </w:t>
      </w:r>
      <w:r w:rsidRPr="008F34BE" w:rsidR="00873D52">
        <w:rPr>
          <w:rFonts w:ascii="Palatino Linotype" w:hAnsi="Palatino Linotype" w:eastAsia="Palatino Linotype" w:cs="Times New Roman"/>
          <w:kern w:val="0"/>
          <w14:ligatures w14:val="none"/>
        </w:rPr>
        <w:t xml:space="preserve">Because </w:t>
      </w:r>
      <w:r w:rsidRPr="008F34BE" w:rsidR="00122464">
        <w:rPr>
          <w:rFonts w:ascii="Palatino Linotype" w:hAnsi="Palatino Linotype" w:eastAsia="Palatino Linotype" w:cs="Times New Roman"/>
          <w:kern w:val="0"/>
          <w14:ligatures w14:val="none"/>
        </w:rPr>
        <w:t xml:space="preserve">Section D of Electric Rule 15 applies to distribution line extensions, there is no established allowance for the transmission facilities requested by Microsoft to interconnect. </w:t>
      </w:r>
      <w:r w:rsidRPr="008F34BE" w:rsidR="006C4F1D">
        <w:rPr>
          <w:rFonts w:ascii="Palatino Linotype" w:hAnsi="Palatino Linotype" w:eastAsia="Palatino Linotype" w:cs="Times New Roman"/>
          <w:kern w:val="0"/>
          <w14:ligatures w14:val="none"/>
        </w:rPr>
        <w:t>If this provision were available</w:t>
      </w:r>
      <w:r w:rsidRPr="008F34BE" w:rsidR="00472088">
        <w:rPr>
          <w:rFonts w:ascii="Palatino Linotype" w:hAnsi="Palatino Linotype" w:eastAsia="Palatino Linotype" w:cs="Times New Roman"/>
          <w:kern w:val="0"/>
          <w14:ligatures w14:val="none"/>
        </w:rPr>
        <w:t xml:space="preserve"> and taken by Microsoft</w:t>
      </w:r>
      <w:r w:rsidRPr="008F34BE" w:rsidR="006C4F1D">
        <w:rPr>
          <w:rFonts w:ascii="Palatino Linotype" w:hAnsi="Palatino Linotype" w:eastAsia="Palatino Linotype" w:cs="Times New Roman"/>
          <w:kern w:val="0"/>
          <w14:ligatures w14:val="none"/>
        </w:rPr>
        <w:t xml:space="preserve">, Microsoft would only have to pay a one-time fee equal to half of the cost of interconnection and the other half would </w:t>
      </w:r>
      <w:r w:rsidRPr="008F34BE" w:rsidR="00752214">
        <w:rPr>
          <w:rFonts w:ascii="Palatino Linotype" w:hAnsi="Palatino Linotype" w:eastAsia="Palatino Linotype" w:cs="Times New Roman"/>
          <w:kern w:val="0"/>
          <w14:ligatures w14:val="none"/>
        </w:rPr>
        <w:t xml:space="preserve">be </w:t>
      </w:r>
      <w:r w:rsidRPr="008F34BE" w:rsidR="003F0394">
        <w:rPr>
          <w:rFonts w:ascii="Palatino Linotype" w:hAnsi="Palatino Linotype" w:eastAsia="Palatino Linotype" w:cs="Times New Roman"/>
          <w:kern w:val="0"/>
          <w14:ligatures w14:val="none"/>
        </w:rPr>
        <w:t>borne</w:t>
      </w:r>
      <w:r w:rsidRPr="008F34BE" w:rsidR="00752214">
        <w:rPr>
          <w:rFonts w:ascii="Palatino Linotype" w:hAnsi="Palatino Linotype" w:eastAsia="Palatino Linotype" w:cs="Times New Roman"/>
          <w:kern w:val="0"/>
          <w14:ligatures w14:val="none"/>
        </w:rPr>
        <w:t xml:space="preserve"> by electric ratepayers. </w:t>
      </w:r>
      <w:r w:rsidRPr="008F34BE" w:rsidR="00A03C59">
        <w:rPr>
          <w:rFonts w:ascii="Palatino Linotype" w:hAnsi="Palatino Linotype" w:eastAsia="Palatino Linotype" w:cs="Times New Roman"/>
          <w:kern w:val="0"/>
          <w14:ligatures w14:val="none"/>
        </w:rPr>
        <w:t>Additionally, if Microsoft were to abandon the project and the infrastructure were stranded without</w:t>
      </w:r>
      <w:r w:rsidRPr="008F34BE" w:rsidR="00BD5030">
        <w:rPr>
          <w:rFonts w:ascii="Palatino Linotype" w:hAnsi="Palatino Linotype" w:eastAsia="Palatino Linotype" w:cs="Times New Roman"/>
          <w:kern w:val="0"/>
          <w14:ligatures w14:val="none"/>
        </w:rPr>
        <w:t xml:space="preserve"> PG&amp;E collecting revenue </w:t>
      </w:r>
      <w:r w:rsidRPr="008F34BE" w:rsidR="002D423B">
        <w:rPr>
          <w:rFonts w:ascii="Palatino Linotype" w:hAnsi="Palatino Linotype" w:eastAsia="Palatino Linotype" w:cs="Times New Roman"/>
          <w:kern w:val="0"/>
          <w14:ligatures w14:val="none"/>
        </w:rPr>
        <w:t xml:space="preserve">for services provided to </w:t>
      </w:r>
      <w:r w:rsidRPr="008F34BE" w:rsidR="00BD5030">
        <w:rPr>
          <w:rFonts w:ascii="Palatino Linotype" w:hAnsi="Palatino Linotype" w:eastAsia="Palatino Linotype" w:cs="Times New Roman"/>
          <w:kern w:val="0"/>
          <w14:ligatures w14:val="none"/>
        </w:rPr>
        <w:t xml:space="preserve">Microsoft, this cost would be borne by ratepayers without </w:t>
      </w:r>
      <w:r w:rsidRPr="008F34BE" w:rsidR="001E3B35">
        <w:rPr>
          <w:rFonts w:ascii="Palatino Linotype" w:hAnsi="Palatino Linotype" w:eastAsia="Palatino Linotype" w:cs="Times New Roman"/>
          <w:kern w:val="0"/>
          <w14:ligatures w14:val="none"/>
        </w:rPr>
        <w:t xml:space="preserve">reimbursement. </w:t>
      </w:r>
      <w:r w:rsidRPr="008F34BE" w:rsidR="00752214">
        <w:rPr>
          <w:rFonts w:ascii="Palatino Linotype" w:hAnsi="Palatino Linotype" w:eastAsia="Palatino Linotype" w:cs="Times New Roman"/>
          <w:kern w:val="0"/>
          <w14:ligatures w14:val="none"/>
        </w:rPr>
        <w:t xml:space="preserve">While Microsoft would not be eligible for a refund </w:t>
      </w:r>
      <w:r w:rsidRPr="008F34BE" w:rsidR="001E3B35">
        <w:rPr>
          <w:rFonts w:ascii="Palatino Linotype" w:hAnsi="Palatino Linotype" w:eastAsia="Palatino Linotype" w:cs="Times New Roman"/>
          <w:kern w:val="0"/>
          <w14:ligatures w14:val="none"/>
        </w:rPr>
        <w:t>if it chose the Non-Refundable Discount Option</w:t>
      </w:r>
      <w:r w:rsidRPr="008F34BE" w:rsidR="002F711B">
        <w:rPr>
          <w:rFonts w:ascii="Palatino Linotype" w:hAnsi="Palatino Linotype" w:eastAsia="Palatino Linotype" w:cs="Times New Roman"/>
          <w:kern w:val="0"/>
          <w14:ligatures w14:val="none"/>
        </w:rPr>
        <w:t>, the cost to ratepayers would be of concern considering the cost of transmission infrastructure construction. Thus</w:t>
      </w:r>
      <w:r w:rsidRPr="008F34BE" w:rsidR="001E3B35">
        <w:rPr>
          <w:rFonts w:ascii="Palatino Linotype" w:hAnsi="Palatino Linotype" w:eastAsia="Palatino Linotype" w:cs="Times New Roman"/>
          <w:kern w:val="0"/>
          <w14:ligatures w14:val="none"/>
        </w:rPr>
        <w:t>,</w:t>
      </w:r>
      <w:r w:rsidRPr="008F34BE" w:rsidR="002F711B">
        <w:rPr>
          <w:rFonts w:ascii="Palatino Linotype" w:hAnsi="Palatino Linotype" w:eastAsia="Palatino Linotype" w:cs="Times New Roman"/>
          <w:kern w:val="0"/>
          <w14:ligatures w14:val="none"/>
        </w:rPr>
        <w:t xml:space="preserve"> we find that elimination of this </w:t>
      </w:r>
      <w:r w:rsidRPr="008F34BE" w:rsidR="00A03C59">
        <w:rPr>
          <w:rFonts w:ascii="Palatino Linotype" w:hAnsi="Palatino Linotype" w:eastAsia="Palatino Linotype" w:cs="Times New Roman"/>
          <w:kern w:val="0"/>
          <w14:ligatures w14:val="none"/>
        </w:rPr>
        <w:t>option is reasonable to protect ratepayers f</w:t>
      </w:r>
      <w:r w:rsidRPr="008F34BE" w:rsidR="001E3B35">
        <w:rPr>
          <w:rFonts w:ascii="Palatino Linotype" w:hAnsi="Palatino Linotype" w:eastAsia="Palatino Linotype" w:cs="Times New Roman"/>
          <w:kern w:val="0"/>
          <w14:ligatures w14:val="none"/>
        </w:rPr>
        <w:t xml:space="preserve">rom undue </w:t>
      </w:r>
      <w:r w:rsidRPr="008F34BE" w:rsidR="00B80E06">
        <w:rPr>
          <w:rFonts w:ascii="Palatino Linotype" w:hAnsi="Palatino Linotype" w:eastAsia="Palatino Linotype" w:cs="Times New Roman"/>
          <w:kern w:val="0"/>
          <w14:ligatures w14:val="none"/>
        </w:rPr>
        <w:t>risk of the costs of interconnection.</w:t>
      </w:r>
    </w:p>
    <w:p w:rsidRPr="008F34BE" w:rsidR="00C829D8" w:rsidP="00A76F4A" w:rsidRDefault="00C829D8" w14:paraId="74053147"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FE14B4" w14:paraId="06406709"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PG&amp;E Design and Construction of Project and Special Facilities</w:t>
      </w:r>
    </w:p>
    <w:p w:rsidRPr="008F34BE" w:rsidR="00FE14B4" w:rsidP="00A76F4A" w:rsidRDefault="00FE14B4" w14:paraId="6FBD69A8"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02799E" w14:paraId="508B445F"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F71CBE">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existing provisions in </w:t>
      </w:r>
      <w:r w:rsidRPr="008F34BE" w:rsidR="00F71CBE">
        <w:rPr>
          <w:rFonts w:ascii="Palatino Linotype" w:hAnsi="Palatino Linotype" w:eastAsia="Palatino Linotype" w:cs="Times New Roman"/>
          <w:kern w:val="0"/>
          <w14:ligatures w14:val="none"/>
        </w:rPr>
        <w:t xml:space="preserve">its Electric Rule 15 Tariff, specifically Section F: </w:t>
      </w:r>
      <w:r w:rsidRPr="008F34BE" w:rsidR="00143088">
        <w:rPr>
          <w:rFonts w:ascii="Palatino Linotype" w:hAnsi="Palatino Linotype" w:eastAsia="Palatino Linotype" w:cs="Times New Roman"/>
          <w:kern w:val="0"/>
          <w14:ligatures w14:val="none"/>
        </w:rPr>
        <w:t>Applicant Design Option</w:t>
      </w:r>
      <w:r w:rsidRPr="008F34BE" w:rsidR="006F1B5F">
        <w:rPr>
          <w:rStyle w:val="FootnoteReference"/>
          <w:rFonts w:ascii="Palatino Linotype" w:hAnsi="Palatino Linotype" w:eastAsia="Palatino Linotype" w:cs="Times New Roman"/>
          <w:kern w:val="0"/>
          <w14:ligatures w14:val="none"/>
        </w:rPr>
        <w:footnoteReference w:id="27"/>
      </w:r>
      <w:r w:rsidRPr="008F34BE" w:rsidR="00143088">
        <w:rPr>
          <w:rFonts w:ascii="Palatino Linotype" w:hAnsi="Palatino Linotype" w:eastAsia="Palatino Linotype" w:cs="Times New Roman"/>
          <w:kern w:val="0"/>
          <w14:ligatures w14:val="none"/>
        </w:rPr>
        <w:t xml:space="preserve"> and Section G</w:t>
      </w:r>
      <w:r w:rsidRPr="008F34BE" w:rsidR="006F1B5F">
        <w:rPr>
          <w:rFonts w:ascii="Palatino Linotype" w:hAnsi="Palatino Linotype" w:eastAsia="Palatino Linotype" w:cs="Times New Roman"/>
          <w:kern w:val="0"/>
          <w14:ligatures w14:val="none"/>
        </w:rPr>
        <w:t>: Applicant Installation Option</w:t>
      </w:r>
      <w:r w:rsidRPr="008F34BE" w:rsidR="00143088">
        <w:rPr>
          <w:rFonts w:ascii="Palatino Linotype" w:hAnsi="Palatino Linotype" w:eastAsia="Palatino Linotype" w:cs="Times New Roman"/>
          <w:kern w:val="0"/>
          <w14:ligatures w14:val="none"/>
        </w:rPr>
        <w:t>.</w:t>
      </w:r>
      <w:r w:rsidRPr="008F34BE" w:rsidR="006F1B5F">
        <w:rPr>
          <w:rStyle w:val="FootnoteReference"/>
          <w:rFonts w:ascii="Palatino Linotype" w:hAnsi="Palatino Linotype" w:eastAsia="Palatino Linotype" w:cs="Times New Roman"/>
          <w:kern w:val="0"/>
          <w14:ligatures w14:val="none"/>
        </w:rPr>
        <w:footnoteReference w:id="28"/>
      </w:r>
      <w:r w:rsidRPr="008F34BE" w:rsidR="00143088">
        <w:rPr>
          <w:rFonts w:ascii="Palatino Linotype" w:hAnsi="Palatino Linotype" w:eastAsia="Palatino Linotype" w:cs="Times New Roman"/>
          <w:kern w:val="0"/>
          <w14:ligatures w14:val="none"/>
        </w:rPr>
        <w:t xml:space="preserve"> T</w:t>
      </w:r>
      <w:r w:rsidRPr="008F34BE" w:rsidR="001711D4">
        <w:rPr>
          <w:rFonts w:ascii="Palatino Linotype" w:hAnsi="Palatino Linotype" w:eastAsia="Palatino Linotype" w:cs="Times New Roman"/>
          <w:kern w:val="0"/>
          <w14:ligatures w14:val="none"/>
        </w:rPr>
        <w:t xml:space="preserve">hese provisions provide that the applicant (in this case Microsoft) </w:t>
      </w:r>
      <w:r w:rsidRPr="008F34BE" w:rsidR="00EC53EB">
        <w:rPr>
          <w:rFonts w:ascii="Palatino Linotype" w:hAnsi="Palatino Linotype" w:eastAsia="Palatino Linotype" w:cs="Times New Roman"/>
          <w:kern w:val="0"/>
          <w14:ligatures w14:val="none"/>
        </w:rPr>
        <w:t>w</w:t>
      </w:r>
      <w:r w:rsidRPr="008F34BE" w:rsidR="001711D4">
        <w:rPr>
          <w:rFonts w:ascii="Palatino Linotype" w:hAnsi="Palatino Linotype" w:eastAsia="Palatino Linotype" w:cs="Times New Roman"/>
          <w:kern w:val="0"/>
          <w14:ligatures w14:val="none"/>
        </w:rPr>
        <w:t xml:space="preserve">ould normally </w:t>
      </w:r>
      <w:r w:rsidRPr="008F34BE" w:rsidR="00EC53EB">
        <w:rPr>
          <w:rFonts w:ascii="Palatino Linotype" w:hAnsi="Palatino Linotype" w:eastAsia="Palatino Linotype" w:cs="Times New Roman"/>
          <w:kern w:val="0"/>
          <w14:ligatures w14:val="none"/>
        </w:rPr>
        <w:t xml:space="preserve">be able to </w:t>
      </w:r>
      <w:r w:rsidRPr="008F34BE" w:rsidR="001711D4">
        <w:rPr>
          <w:rFonts w:ascii="Palatino Linotype" w:hAnsi="Palatino Linotype" w:eastAsia="Palatino Linotype" w:cs="Times New Roman"/>
          <w:kern w:val="0"/>
          <w14:ligatures w14:val="none"/>
        </w:rPr>
        <w:t xml:space="preserve">hold a competitive bidding process to have </w:t>
      </w:r>
      <w:r w:rsidRPr="008F34BE" w:rsidR="008B2AB1">
        <w:rPr>
          <w:rFonts w:ascii="Palatino Linotype" w:hAnsi="Palatino Linotype" w:eastAsia="Palatino Linotype" w:cs="Times New Roman"/>
          <w:kern w:val="0"/>
          <w14:ligatures w14:val="none"/>
        </w:rPr>
        <w:t xml:space="preserve">a qualified contractor or sub-contractor design and install </w:t>
      </w:r>
      <w:r w:rsidRPr="008F34BE" w:rsidR="00EC53EB">
        <w:rPr>
          <w:rFonts w:ascii="Palatino Linotype" w:hAnsi="Palatino Linotype" w:eastAsia="Palatino Linotype" w:cs="Times New Roman"/>
          <w:kern w:val="0"/>
          <w14:ligatures w14:val="none"/>
        </w:rPr>
        <w:t>new</w:t>
      </w:r>
      <w:r w:rsidRPr="008F34BE" w:rsidR="006B15E1">
        <w:rPr>
          <w:rFonts w:ascii="Palatino Linotype" w:hAnsi="Palatino Linotype" w:eastAsia="Palatino Linotype" w:cs="Times New Roman"/>
          <w:kern w:val="0"/>
          <w14:ligatures w14:val="none"/>
        </w:rPr>
        <w:t xml:space="preserve"> facilities that adhere to PG&amp;E’s design and construction standards.</w:t>
      </w:r>
      <w:r w:rsidRPr="008F34BE" w:rsidR="006B15E1">
        <w:rPr>
          <w:rStyle w:val="FootnoteReference"/>
          <w:rFonts w:ascii="Palatino Linotype" w:hAnsi="Palatino Linotype" w:eastAsia="Palatino Linotype" w:cs="Times New Roman"/>
          <w:kern w:val="0"/>
          <w14:ligatures w14:val="none"/>
        </w:rPr>
        <w:footnoteReference w:id="29"/>
      </w:r>
      <w:r w:rsidRPr="008F34BE" w:rsidR="004204BF">
        <w:rPr>
          <w:rFonts w:ascii="Palatino Linotype" w:hAnsi="Palatino Linotype" w:eastAsia="Palatino Linotype" w:cs="Times New Roman"/>
          <w:kern w:val="0"/>
          <w:vertAlign w:val="superscript"/>
          <w14:ligatures w14:val="none"/>
        </w:rPr>
        <w:t>,</w:t>
      </w:r>
      <w:r w:rsidRPr="008F34BE" w:rsidR="006B15E1">
        <w:rPr>
          <w:rFonts w:ascii="Palatino Linotype" w:hAnsi="Palatino Linotype" w:eastAsia="Palatino Linotype" w:cs="Times New Roman"/>
          <w:kern w:val="0"/>
          <w14:ligatures w14:val="none"/>
        </w:rPr>
        <w:t xml:space="preserve"> </w:t>
      </w:r>
      <w:r w:rsidRPr="008F34BE" w:rsidR="006B15E1">
        <w:rPr>
          <w:rStyle w:val="FootnoteReference"/>
          <w:rFonts w:ascii="Palatino Linotype" w:hAnsi="Palatino Linotype" w:eastAsia="Palatino Linotype" w:cs="Times New Roman"/>
          <w:kern w:val="0"/>
          <w14:ligatures w14:val="none"/>
        </w:rPr>
        <w:footnoteReference w:id="30"/>
      </w:r>
      <w:r w:rsidRPr="008F34BE" w:rsidR="002B7FBC">
        <w:rPr>
          <w:rFonts w:ascii="Palatino Linotype" w:hAnsi="Palatino Linotype" w:eastAsia="Palatino Linotype" w:cs="Times New Roman"/>
          <w:kern w:val="0"/>
          <w14:ligatures w14:val="none"/>
        </w:rPr>
        <w:t xml:space="preserve"> Because the Electric Rule 15 Tariff normally only applies to</w:t>
      </w:r>
      <w:r w:rsidRPr="008F34BE" w:rsidR="00FB47A4">
        <w:rPr>
          <w:rFonts w:ascii="Palatino Linotype" w:hAnsi="Palatino Linotype" w:eastAsia="Palatino Linotype" w:cs="Times New Roman"/>
          <w:kern w:val="0"/>
          <w14:ligatures w14:val="none"/>
        </w:rPr>
        <w:t xml:space="preserve"> line extensions for distribution customers, these provisions are generally reasonable</w:t>
      </w:r>
      <w:r w:rsidRPr="008F34BE" w:rsidR="006E756B">
        <w:rPr>
          <w:rFonts w:ascii="Palatino Linotype" w:hAnsi="Palatino Linotype" w:eastAsia="Palatino Linotype" w:cs="Times New Roman"/>
          <w:kern w:val="0"/>
          <w14:ligatures w14:val="none"/>
        </w:rPr>
        <w:t xml:space="preserve"> as </w:t>
      </w:r>
      <w:r w:rsidRPr="008F34BE" w:rsidR="006E756B">
        <w:rPr>
          <w:rFonts w:ascii="Palatino Linotype" w:hAnsi="Palatino Linotype" w:eastAsia="Palatino Linotype" w:cs="Times New Roman"/>
          <w:kern w:val="0"/>
          <w14:ligatures w14:val="none"/>
        </w:rPr>
        <w:lastRenderedPageBreak/>
        <w:t>PG&amp;E publishes design and construction standards</w:t>
      </w:r>
      <w:r w:rsidRPr="008F34BE" w:rsidR="009A3F4C">
        <w:rPr>
          <w:rFonts w:ascii="Palatino Linotype" w:hAnsi="Palatino Linotype" w:eastAsia="Palatino Linotype" w:cs="Times New Roman"/>
          <w:kern w:val="0"/>
          <w14:ligatures w14:val="none"/>
        </w:rPr>
        <w:t xml:space="preserve"> for distribution customers</w:t>
      </w:r>
      <w:r w:rsidRPr="008F34BE" w:rsidR="006E756B">
        <w:rPr>
          <w:rFonts w:ascii="Palatino Linotype" w:hAnsi="Palatino Linotype" w:eastAsia="Palatino Linotype" w:cs="Times New Roman"/>
          <w:kern w:val="0"/>
          <w14:ligatures w14:val="none"/>
        </w:rPr>
        <w:t xml:space="preserve"> in their “Green</w:t>
      </w:r>
      <w:r w:rsidRPr="008F34BE" w:rsidR="00EA03FE">
        <w:rPr>
          <w:rFonts w:ascii="Palatino Linotype" w:hAnsi="Palatino Linotype" w:eastAsia="Palatino Linotype" w:cs="Times New Roman"/>
          <w:kern w:val="0"/>
          <w14:ligatures w14:val="none"/>
        </w:rPr>
        <w:t>bo</w:t>
      </w:r>
      <w:r w:rsidRPr="008F34BE" w:rsidR="006E756B">
        <w:rPr>
          <w:rFonts w:ascii="Palatino Linotype" w:hAnsi="Palatino Linotype" w:eastAsia="Palatino Linotype" w:cs="Times New Roman"/>
          <w:kern w:val="0"/>
          <w14:ligatures w14:val="none"/>
        </w:rPr>
        <w:t>o</w:t>
      </w:r>
      <w:r w:rsidRPr="008F34BE" w:rsidR="00EA03FE">
        <w:rPr>
          <w:rFonts w:ascii="Palatino Linotype" w:hAnsi="Palatino Linotype" w:eastAsia="Palatino Linotype" w:cs="Times New Roman"/>
          <w:kern w:val="0"/>
          <w14:ligatures w14:val="none"/>
        </w:rPr>
        <w:t>k Manual</w:t>
      </w:r>
      <w:r w:rsidRPr="008F34BE" w:rsidR="006E756B">
        <w:rPr>
          <w:rFonts w:ascii="Palatino Linotype" w:hAnsi="Palatino Linotype" w:eastAsia="Palatino Linotype" w:cs="Times New Roman"/>
          <w:kern w:val="0"/>
          <w14:ligatures w14:val="none"/>
        </w:rPr>
        <w:t>”</w:t>
      </w:r>
      <w:r w:rsidRPr="008F34BE" w:rsidR="00EA03FE">
        <w:rPr>
          <w:rFonts w:ascii="Palatino Linotype" w:hAnsi="Palatino Linotype" w:eastAsia="Palatino Linotype" w:cs="Times New Roman"/>
          <w:kern w:val="0"/>
          <w14:ligatures w14:val="none"/>
        </w:rPr>
        <w:t xml:space="preserve"> (formally known as </w:t>
      </w:r>
      <w:r w:rsidRPr="008F34BE" w:rsidR="009829AC">
        <w:rPr>
          <w:rFonts w:ascii="Palatino Linotype" w:hAnsi="Palatino Linotype" w:eastAsia="Palatino Linotype" w:cs="Times New Roman"/>
          <w:kern w:val="0"/>
          <w14:ligatures w14:val="none"/>
        </w:rPr>
        <w:t>Electric &amp; Gas Service Requirements).</w:t>
      </w:r>
      <w:r w:rsidRPr="008F34BE" w:rsidR="009829AC">
        <w:rPr>
          <w:rStyle w:val="FootnoteReference"/>
          <w:rFonts w:ascii="Palatino Linotype" w:hAnsi="Palatino Linotype" w:eastAsia="Palatino Linotype" w:cs="Times New Roman"/>
          <w:kern w:val="0"/>
          <w14:ligatures w14:val="none"/>
        </w:rPr>
        <w:footnoteReference w:id="31"/>
      </w:r>
      <w:r w:rsidRPr="008F34BE" w:rsidR="009A3F4C">
        <w:rPr>
          <w:rFonts w:ascii="Palatino Linotype" w:hAnsi="Palatino Linotype" w:eastAsia="Palatino Linotype" w:cs="Times New Roman"/>
          <w:kern w:val="0"/>
          <w14:ligatures w14:val="none"/>
        </w:rPr>
        <w:t xml:space="preserve"> </w:t>
      </w:r>
      <w:r w:rsidRPr="008F34BE" w:rsidR="00FC76AF">
        <w:rPr>
          <w:rFonts w:ascii="Palatino Linotype" w:hAnsi="Palatino Linotype" w:eastAsia="Palatino Linotype" w:cs="Times New Roman"/>
          <w:kern w:val="0"/>
          <w14:ligatures w14:val="none"/>
        </w:rPr>
        <w:t xml:space="preserve">However, transmission system design and construction is much more </w:t>
      </w:r>
      <w:r w:rsidRPr="008F34BE" w:rsidR="007973EF">
        <w:rPr>
          <w:rFonts w:ascii="Palatino Linotype" w:hAnsi="Palatino Linotype" w:eastAsia="Palatino Linotype" w:cs="Times New Roman"/>
          <w:kern w:val="0"/>
          <w14:ligatures w14:val="none"/>
        </w:rPr>
        <w:t xml:space="preserve">complex </w:t>
      </w:r>
      <w:r w:rsidRPr="008F34BE" w:rsidR="00FC76AF">
        <w:rPr>
          <w:rFonts w:ascii="Palatino Linotype" w:hAnsi="Palatino Linotype" w:eastAsia="Palatino Linotype" w:cs="Times New Roman"/>
          <w:kern w:val="0"/>
          <w14:ligatures w14:val="none"/>
        </w:rPr>
        <w:t>due to the higher voltages and associated safety hazards. Thus</w:t>
      </w:r>
      <w:r w:rsidRPr="008F34BE" w:rsidR="002B0EB8">
        <w:rPr>
          <w:rFonts w:ascii="Palatino Linotype" w:hAnsi="Palatino Linotype" w:eastAsia="Palatino Linotype" w:cs="Times New Roman"/>
          <w:kern w:val="0"/>
          <w14:ligatures w14:val="none"/>
        </w:rPr>
        <w:t>, it is reasonable that PG&amp;E should be the entity to both design and construct these facilities</w:t>
      </w:r>
      <w:r w:rsidRPr="008F34BE" w:rsidR="0002526E">
        <w:rPr>
          <w:rFonts w:ascii="Palatino Linotype" w:hAnsi="Palatino Linotype" w:eastAsia="Palatino Linotype" w:cs="Times New Roman"/>
          <w:kern w:val="0"/>
          <w14:ligatures w14:val="none"/>
        </w:rPr>
        <w:t xml:space="preserve"> and that PG&amp;E should not offer the Applicant Design and Installation Options normally offered under Electric Rule 15.</w:t>
      </w:r>
    </w:p>
    <w:p w:rsidRPr="008F34BE" w:rsidR="00FE14B4" w:rsidP="00A76F4A" w:rsidRDefault="00FE14B4" w14:paraId="09CAD18C" w14:textId="77777777">
      <w:pPr>
        <w:spacing w:after="0" w:line="240" w:lineRule="auto"/>
        <w:rPr>
          <w:rFonts w:ascii="Palatino Linotype" w:hAnsi="Palatino Linotype" w:eastAsia="Palatino Linotype" w:cs="Times New Roman"/>
          <w:kern w:val="0"/>
          <w14:ligatures w14:val="none"/>
        </w:rPr>
      </w:pPr>
    </w:p>
    <w:p w:rsidRPr="008F34BE" w:rsidR="007A6842" w:rsidP="00A76F4A" w:rsidRDefault="007A6842" w14:paraId="44D5A3F4"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Estimated Cost vs. Actual Cost</w:t>
      </w:r>
    </w:p>
    <w:p w:rsidRPr="008F34BE" w:rsidR="007A6842" w:rsidP="00A76F4A" w:rsidRDefault="007A6842" w14:paraId="52FF950A" w14:textId="77777777">
      <w:pPr>
        <w:spacing w:after="0" w:line="240" w:lineRule="auto"/>
        <w:rPr>
          <w:rFonts w:ascii="Palatino Linotype" w:hAnsi="Palatino Linotype" w:eastAsia="Palatino Linotype" w:cs="Times New Roman"/>
          <w:kern w:val="0"/>
          <w14:ligatures w14:val="none"/>
        </w:rPr>
      </w:pPr>
    </w:p>
    <w:p w:rsidRPr="008F34BE" w:rsidR="0062742C" w:rsidP="0062742C" w:rsidRDefault="000E5D3B" w14:paraId="320592D3"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provisions in </w:t>
      </w:r>
      <w:r w:rsidRPr="008F34BE" w:rsidR="00FD3824">
        <w:rPr>
          <w:rFonts w:ascii="Palatino Linotype" w:hAnsi="Palatino Linotype" w:eastAsia="Palatino Linotype" w:cs="Times New Roman"/>
          <w:kern w:val="0"/>
          <w14:ligatures w14:val="none"/>
        </w:rPr>
        <w:t>Electric Rules 15 and 16 by performing work on an actual cost basis</w:t>
      </w:r>
      <w:r w:rsidRPr="008F34BE" w:rsidR="000F4B5E">
        <w:rPr>
          <w:rFonts w:ascii="Palatino Linotype" w:hAnsi="Palatino Linotype" w:eastAsia="Palatino Linotype" w:cs="Times New Roman"/>
          <w:kern w:val="0"/>
          <w14:ligatures w14:val="none"/>
        </w:rPr>
        <w:t xml:space="preserve"> as opposed to an estimated cost basis.</w:t>
      </w:r>
      <w:r w:rsidRPr="008F34BE" w:rsidR="00326887">
        <w:rPr>
          <w:rFonts w:ascii="Palatino Linotype" w:hAnsi="Palatino Linotype" w:eastAsia="Palatino Linotype" w:cs="Times New Roman"/>
          <w:kern w:val="0"/>
          <w14:ligatures w14:val="none"/>
        </w:rPr>
        <w:t xml:space="preserve"> </w:t>
      </w:r>
      <w:r w:rsidRPr="008F34BE" w:rsidR="00132F44">
        <w:rPr>
          <w:rFonts w:ascii="Palatino Linotype" w:hAnsi="Palatino Linotype" w:eastAsia="Palatino Linotype" w:cs="Times New Roman"/>
          <w:kern w:val="0"/>
          <w14:ligatures w14:val="none"/>
        </w:rPr>
        <w:t>Per PG&amp;E’s Electric Rule 15 Tariff</w:t>
      </w:r>
      <w:r w:rsidRPr="008F34BE" w:rsidR="00C921C1">
        <w:rPr>
          <w:rFonts w:ascii="Palatino Linotype" w:hAnsi="Palatino Linotype" w:eastAsia="Palatino Linotype" w:cs="Times New Roman"/>
          <w:kern w:val="0"/>
          <w14:ligatures w14:val="none"/>
        </w:rPr>
        <w:t xml:space="preserve">, </w:t>
      </w:r>
      <w:r w:rsidRPr="008F34BE" w:rsidR="00DA367A">
        <w:rPr>
          <w:rFonts w:ascii="Palatino Linotype" w:hAnsi="Palatino Linotype" w:eastAsia="Palatino Linotype" w:cs="Times New Roman"/>
          <w:kern w:val="0"/>
          <w14:ligatures w14:val="none"/>
        </w:rPr>
        <w:t xml:space="preserve">the </w:t>
      </w:r>
      <w:r w:rsidRPr="008F34BE" w:rsidR="00E30815">
        <w:rPr>
          <w:rFonts w:ascii="Palatino Linotype" w:hAnsi="Palatino Linotype" w:eastAsia="Palatino Linotype" w:cs="Times New Roman"/>
          <w:kern w:val="0"/>
          <w14:ligatures w14:val="none"/>
        </w:rPr>
        <w:t xml:space="preserve">cost that PG&amp;E will refund to a customer for a requested overhead line extension is </w:t>
      </w:r>
      <w:r w:rsidRPr="008F34BE" w:rsidR="007772F8">
        <w:rPr>
          <w:rFonts w:ascii="Palatino Linotype" w:hAnsi="Palatino Linotype" w:eastAsia="Palatino Linotype" w:cs="Times New Roman"/>
          <w:kern w:val="0"/>
          <w14:ligatures w14:val="none"/>
        </w:rPr>
        <w:t>PG&amp;E’s total estimated installed cost.</w:t>
      </w:r>
      <w:r w:rsidRPr="008F34BE" w:rsidR="007772F8">
        <w:rPr>
          <w:rStyle w:val="FootnoteReference"/>
          <w:rFonts w:ascii="Palatino Linotype" w:hAnsi="Palatino Linotype" w:eastAsia="Palatino Linotype" w:cs="Times New Roman"/>
          <w:kern w:val="0"/>
          <w14:ligatures w14:val="none"/>
        </w:rPr>
        <w:footnoteReference w:id="32"/>
      </w:r>
      <w:r w:rsidRPr="008F34BE" w:rsidR="007E6C7E">
        <w:rPr>
          <w:rFonts w:ascii="Palatino Linotype" w:hAnsi="Palatino Linotype" w:eastAsia="Palatino Linotype" w:cs="Times New Roman"/>
          <w:kern w:val="0"/>
          <w14:ligatures w14:val="none"/>
        </w:rPr>
        <w:t xml:space="preserve"> </w:t>
      </w:r>
      <w:r w:rsidRPr="008F34BE" w:rsidR="000A6212">
        <w:rPr>
          <w:rFonts w:ascii="Palatino Linotype" w:hAnsi="Palatino Linotype" w:eastAsia="Palatino Linotype" w:cs="Times New Roman"/>
          <w:kern w:val="0"/>
          <w14:ligatures w14:val="none"/>
        </w:rPr>
        <w:t xml:space="preserve">PG&amp;E’s Electric </w:t>
      </w:r>
      <w:r w:rsidRPr="008F34BE" w:rsidR="000D15EE">
        <w:rPr>
          <w:rFonts w:ascii="Palatino Linotype" w:hAnsi="Palatino Linotype" w:eastAsia="Palatino Linotype" w:cs="Times New Roman"/>
          <w:kern w:val="0"/>
          <w14:ligatures w14:val="none"/>
        </w:rPr>
        <w:t>Rule 16 Tariff details the same approach.</w:t>
      </w:r>
      <w:r w:rsidRPr="008F34BE" w:rsidR="000D15EE">
        <w:rPr>
          <w:rStyle w:val="FootnoteReference"/>
          <w:rFonts w:ascii="Palatino Linotype" w:hAnsi="Palatino Linotype" w:eastAsia="Palatino Linotype" w:cs="Times New Roman"/>
          <w:kern w:val="0"/>
          <w14:ligatures w14:val="none"/>
        </w:rPr>
        <w:footnoteReference w:id="33"/>
      </w:r>
      <w:r w:rsidRPr="008F34BE" w:rsidR="00C9555E">
        <w:rPr>
          <w:rFonts w:ascii="Palatino Linotype" w:hAnsi="Palatino Linotype" w:eastAsia="Palatino Linotype" w:cs="Times New Roman"/>
          <w:kern w:val="0"/>
          <w14:ligatures w14:val="none"/>
        </w:rPr>
        <w:t xml:space="preserve"> </w:t>
      </w:r>
      <w:r w:rsidRPr="008F34BE" w:rsidR="00A424F3">
        <w:rPr>
          <w:rFonts w:ascii="Palatino Linotype" w:hAnsi="Palatino Linotype" w:eastAsia="Palatino Linotype" w:cs="Times New Roman"/>
          <w:kern w:val="0"/>
          <w14:ligatures w14:val="none"/>
        </w:rPr>
        <w:t>T</w:t>
      </w:r>
      <w:r w:rsidRPr="008F34BE" w:rsidR="00C9555E">
        <w:rPr>
          <w:rFonts w:ascii="Palatino Linotype" w:hAnsi="Palatino Linotype" w:eastAsia="Palatino Linotype" w:cs="Times New Roman"/>
          <w:kern w:val="0"/>
          <w14:ligatures w14:val="none"/>
        </w:rPr>
        <w:t>h</w:t>
      </w:r>
      <w:r w:rsidRPr="008F34BE" w:rsidR="00A424F3">
        <w:rPr>
          <w:rFonts w:ascii="Palatino Linotype" w:hAnsi="Palatino Linotype" w:eastAsia="Palatino Linotype" w:cs="Times New Roman"/>
          <w:kern w:val="0"/>
          <w14:ligatures w14:val="none"/>
        </w:rPr>
        <w:t xml:space="preserve">ese rules were written for distribution line extensions, for which PG&amp;E has much experience </w:t>
      </w:r>
      <w:r w:rsidRPr="008F34BE" w:rsidR="0065156C">
        <w:rPr>
          <w:rFonts w:ascii="Palatino Linotype" w:hAnsi="Palatino Linotype" w:eastAsia="Palatino Linotype" w:cs="Times New Roman"/>
          <w:kern w:val="0"/>
          <w14:ligatures w14:val="none"/>
        </w:rPr>
        <w:t xml:space="preserve">reasonably estimating costs. A transmission line extension is another matter, as transmission system design and construction </w:t>
      </w:r>
      <w:proofErr w:type="gramStart"/>
      <w:r w:rsidRPr="008F34BE" w:rsidR="0065156C">
        <w:rPr>
          <w:rFonts w:ascii="Palatino Linotype" w:hAnsi="Palatino Linotype" w:eastAsia="Palatino Linotype" w:cs="Times New Roman"/>
          <w:kern w:val="0"/>
          <w14:ligatures w14:val="none"/>
        </w:rPr>
        <w:t>is</w:t>
      </w:r>
      <w:proofErr w:type="gramEnd"/>
      <w:r w:rsidRPr="008F34BE" w:rsidR="0065156C">
        <w:rPr>
          <w:rFonts w:ascii="Palatino Linotype" w:hAnsi="Palatino Linotype" w:eastAsia="Palatino Linotype" w:cs="Times New Roman"/>
          <w:kern w:val="0"/>
          <w14:ligatures w14:val="none"/>
        </w:rPr>
        <w:t xml:space="preserve"> much more </w:t>
      </w:r>
      <w:r w:rsidRPr="008F34BE" w:rsidR="001871CD">
        <w:rPr>
          <w:rFonts w:ascii="Palatino Linotype" w:hAnsi="Palatino Linotype" w:eastAsia="Palatino Linotype" w:cs="Times New Roman"/>
          <w:kern w:val="0"/>
          <w14:ligatures w14:val="none"/>
        </w:rPr>
        <w:t xml:space="preserve">complex </w:t>
      </w:r>
      <w:r w:rsidRPr="008F34BE" w:rsidR="0065156C">
        <w:rPr>
          <w:rFonts w:ascii="Palatino Linotype" w:hAnsi="Palatino Linotype" w:eastAsia="Palatino Linotype" w:cs="Times New Roman"/>
          <w:kern w:val="0"/>
          <w14:ligatures w14:val="none"/>
        </w:rPr>
        <w:t>due to the higher voltages and associated safety hazards</w:t>
      </w:r>
      <w:r w:rsidRPr="008F34BE" w:rsidR="005B6E48">
        <w:rPr>
          <w:rFonts w:ascii="Palatino Linotype" w:hAnsi="Palatino Linotype" w:eastAsia="Palatino Linotype" w:cs="Times New Roman"/>
          <w:kern w:val="0"/>
          <w14:ligatures w14:val="none"/>
        </w:rPr>
        <w:t>,</w:t>
      </w:r>
      <w:r w:rsidRPr="008F34BE" w:rsidR="0065156C">
        <w:rPr>
          <w:rFonts w:ascii="Palatino Linotype" w:hAnsi="Palatino Linotype" w:eastAsia="Palatino Linotype" w:cs="Times New Roman"/>
          <w:kern w:val="0"/>
          <w14:ligatures w14:val="none"/>
        </w:rPr>
        <w:t xml:space="preserve"> </w:t>
      </w:r>
      <w:r w:rsidRPr="008F34BE" w:rsidR="00921278">
        <w:rPr>
          <w:rFonts w:ascii="Palatino Linotype" w:hAnsi="Palatino Linotype" w:eastAsia="Palatino Linotype" w:cs="Times New Roman"/>
          <w:kern w:val="0"/>
          <w14:ligatures w14:val="none"/>
        </w:rPr>
        <w:t xml:space="preserve">which can lead to more uncertain costs. </w:t>
      </w:r>
      <w:r w:rsidRPr="008F34BE" w:rsidR="00BC7828">
        <w:rPr>
          <w:rFonts w:ascii="Palatino Linotype" w:hAnsi="Palatino Linotype" w:eastAsia="Palatino Linotype" w:cs="Times New Roman"/>
          <w:kern w:val="0"/>
          <w14:ligatures w14:val="none"/>
        </w:rPr>
        <w:t xml:space="preserve">Allowing PG&amp;E to perform this work on an actual cost basis </w:t>
      </w:r>
      <w:r w:rsidRPr="008F34BE" w:rsidR="00621AB3">
        <w:rPr>
          <w:rFonts w:ascii="Palatino Linotype" w:hAnsi="Palatino Linotype" w:eastAsia="Palatino Linotype" w:cs="Times New Roman"/>
          <w:kern w:val="0"/>
          <w14:ligatures w14:val="none"/>
        </w:rPr>
        <w:t xml:space="preserve">will protect electric ratepayers from any </w:t>
      </w:r>
      <w:r w:rsidRPr="008F34BE" w:rsidR="00F63764">
        <w:rPr>
          <w:rFonts w:ascii="Palatino Linotype" w:hAnsi="Palatino Linotype" w:eastAsia="Palatino Linotype" w:cs="Times New Roman"/>
          <w:kern w:val="0"/>
          <w14:ligatures w14:val="none"/>
        </w:rPr>
        <w:t>unforeseen costs</w:t>
      </w:r>
      <w:r w:rsidRPr="008F34BE" w:rsidR="00621AB3">
        <w:rPr>
          <w:rFonts w:ascii="Palatino Linotype" w:hAnsi="Palatino Linotype" w:eastAsia="Palatino Linotype" w:cs="Times New Roman"/>
          <w:kern w:val="0"/>
          <w14:ligatures w14:val="none"/>
        </w:rPr>
        <w:t xml:space="preserve"> that may </w:t>
      </w:r>
      <w:r w:rsidRPr="008F34BE" w:rsidR="00F63764">
        <w:rPr>
          <w:rFonts w:ascii="Palatino Linotype" w:hAnsi="Palatino Linotype" w:eastAsia="Palatino Linotype" w:cs="Times New Roman"/>
          <w:kern w:val="0"/>
          <w14:ligatures w14:val="none"/>
        </w:rPr>
        <w:t>be incurred</w:t>
      </w:r>
      <w:r w:rsidRPr="008F34BE" w:rsidR="0065156C">
        <w:rPr>
          <w:rFonts w:ascii="Palatino Linotype" w:hAnsi="Palatino Linotype" w:eastAsia="Palatino Linotype" w:cs="Times New Roman"/>
          <w:kern w:val="0"/>
          <w14:ligatures w14:val="none"/>
        </w:rPr>
        <w:t xml:space="preserve"> </w:t>
      </w:r>
      <w:r w:rsidRPr="008F34BE" w:rsidR="00F63764">
        <w:rPr>
          <w:rFonts w:ascii="Palatino Linotype" w:hAnsi="Palatino Linotype" w:eastAsia="Palatino Linotype" w:cs="Times New Roman"/>
          <w:kern w:val="0"/>
          <w14:ligatures w14:val="none"/>
        </w:rPr>
        <w:t xml:space="preserve">during construction above what was estimated, while also providing </w:t>
      </w:r>
      <w:r w:rsidRPr="008F34BE" w:rsidR="0062742C">
        <w:rPr>
          <w:rFonts w:ascii="Palatino Linotype" w:hAnsi="Palatino Linotype" w:eastAsia="Palatino Linotype" w:cs="Times New Roman"/>
          <w:kern w:val="0"/>
          <w14:ligatures w14:val="none"/>
        </w:rPr>
        <w:t>protection from overpayment</w:t>
      </w:r>
      <w:r w:rsidRPr="008F34BE" w:rsidR="00B511C0">
        <w:rPr>
          <w:rFonts w:ascii="Palatino Linotype" w:hAnsi="Palatino Linotype" w:eastAsia="Palatino Linotype" w:cs="Times New Roman"/>
          <w:kern w:val="0"/>
          <w14:ligatures w14:val="none"/>
        </w:rPr>
        <w:t xml:space="preserve"> for Microsoft</w:t>
      </w:r>
      <w:r w:rsidRPr="008F34BE" w:rsidR="0062742C">
        <w:rPr>
          <w:rFonts w:ascii="Palatino Linotype" w:hAnsi="Palatino Linotype" w:eastAsia="Palatino Linotype" w:cs="Times New Roman"/>
          <w:kern w:val="0"/>
          <w14:ligatures w14:val="none"/>
        </w:rPr>
        <w:t>. Thus, it is reasonable to allow this work to be performed on an actual cost basis as requested by PG&amp;E.</w:t>
      </w:r>
    </w:p>
    <w:p w:rsidRPr="008F34BE" w:rsidR="00132F44" w:rsidP="00A76F4A" w:rsidRDefault="00132F44" w14:paraId="1ADE7B9A" w14:textId="77777777">
      <w:pPr>
        <w:spacing w:after="0" w:line="240" w:lineRule="auto"/>
        <w:rPr>
          <w:rFonts w:ascii="Palatino Linotype" w:hAnsi="Palatino Linotype" w:eastAsia="Palatino Linotype" w:cs="Times New Roman"/>
          <w:kern w:val="0"/>
          <w14:ligatures w14:val="none"/>
        </w:rPr>
      </w:pPr>
    </w:p>
    <w:p w:rsidRPr="008F34BE" w:rsidR="0052447C" w:rsidP="00A76F4A" w:rsidRDefault="0052447C" w14:paraId="64387957"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Attachment 2 Cost of Work at the Request of Others</w:t>
      </w:r>
    </w:p>
    <w:p w:rsidRPr="008F34BE" w:rsidR="0052447C" w:rsidP="00A76F4A" w:rsidRDefault="0052447C" w14:paraId="6593F9DC" w14:textId="77777777">
      <w:pPr>
        <w:spacing w:after="0" w:line="240" w:lineRule="auto"/>
        <w:rPr>
          <w:rFonts w:ascii="Palatino Linotype" w:hAnsi="Palatino Linotype" w:eastAsia="Palatino Linotype" w:cs="Times New Roman"/>
          <w:kern w:val="0"/>
          <w14:ligatures w14:val="none"/>
        </w:rPr>
      </w:pPr>
    </w:p>
    <w:p w:rsidRPr="008F34BE" w:rsidR="0052447C" w:rsidP="00A76F4A" w:rsidRDefault="00E05EFC" w14:paraId="78E56567"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8A5956">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w:t>
      </w:r>
      <w:r w:rsidRPr="008F34BE" w:rsidR="000B1930">
        <w:rPr>
          <w:rFonts w:ascii="Palatino Linotype" w:hAnsi="Palatino Linotype" w:eastAsia="Palatino Linotype" w:cs="Times New Roman"/>
          <w:kern w:val="0"/>
          <w14:ligatures w14:val="none"/>
        </w:rPr>
        <w:t xml:space="preserve">existing provisions in Electric Rules 15 and 16 by deeming the work performed for the </w:t>
      </w:r>
      <w:r w:rsidRPr="008F34BE" w:rsidR="000B1930">
        <w:rPr>
          <w:rFonts w:ascii="Palatino Linotype" w:hAnsi="Palatino Linotype" w:eastAsia="Times New Roman" w:cs="Times New Roman"/>
          <w:kern w:val="0"/>
          <w14:ligatures w14:val="none"/>
        </w:rPr>
        <w:t>Review of Applicant Substation Design to be non-refundable.</w:t>
      </w:r>
      <w:r w:rsidRPr="008F34BE" w:rsidR="00AE3728">
        <w:rPr>
          <w:rFonts w:ascii="Palatino Linotype" w:hAnsi="Palatino Linotype" w:eastAsia="Times New Roman" w:cs="Times New Roman"/>
          <w:kern w:val="0"/>
          <w14:ligatures w14:val="none"/>
        </w:rPr>
        <w:t xml:space="preserve"> This situation is not </w:t>
      </w:r>
      <w:r w:rsidRPr="008F34BE" w:rsidR="00DD423D">
        <w:rPr>
          <w:rFonts w:ascii="Palatino Linotype" w:hAnsi="Palatino Linotype" w:eastAsia="Times New Roman" w:cs="Times New Roman"/>
          <w:kern w:val="0"/>
          <w14:ligatures w14:val="none"/>
        </w:rPr>
        <w:t>describ</w:t>
      </w:r>
      <w:r w:rsidRPr="008F34BE" w:rsidR="00AE3728">
        <w:rPr>
          <w:rFonts w:ascii="Palatino Linotype" w:hAnsi="Palatino Linotype" w:eastAsia="Times New Roman" w:cs="Times New Roman"/>
          <w:kern w:val="0"/>
          <w14:ligatures w14:val="none"/>
        </w:rPr>
        <w:t xml:space="preserve">ed </w:t>
      </w:r>
      <w:r w:rsidRPr="008F34BE" w:rsidR="00DD423D">
        <w:rPr>
          <w:rFonts w:ascii="Palatino Linotype" w:hAnsi="Palatino Linotype" w:eastAsia="Times New Roman" w:cs="Times New Roman"/>
          <w:kern w:val="0"/>
          <w14:ligatures w14:val="none"/>
        </w:rPr>
        <w:t>in</w:t>
      </w:r>
      <w:r w:rsidRPr="008F34BE" w:rsidR="00AE3728">
        <w:rPr>
          <w:rFonts w:ascii="Palatino Linotype" w:hAnsi="Palatino Linotype" w:eastAsia="Times New Roman" w:cs="Times New Roman"/>
          <w:kern w:val="0"/>
          <w14:ligatures w14:val="none"/>
        </w:rPr>
        <w:t xml:space="preserve"> either Rule</w:t>
      </w:r>
      <w:r w:rsidRPr="008F34BE" w:rsidR="00DD423D">
        <w:rPr>
          <w:rFonts w:ascii="Palatino Linotype" w:hAnsi="Palatino Linotype" w:eastAsia="Times New Roman" w:cs="Times New Roman"/>
          <w:kern w:val="0"/>
          <w14:ligatures w14:val="none"/>
        </w:rPr>
        <w:t xml:space="preserve"> 15 or 16. Having Microsoft as the customer pay for this work is reasonable as it protects ratepayers from undue costs stemming from </w:t>
      </w:r>
      <w:r w:rsidRPr="008F34BE" w:rsidR="00E305D1">
        <w:rPr>
          <w:rFonts w:ascii="Palatino Linotype" w:hAnsi="Palatino Linotype" w:eastAsia="Times New Roman" w:cs="Times New Roman"/>
          <w:kern w:val="0"/>
          <w14:ligatures w14:val="none"/>
        </w:rPr>
        <w:t>this</w:t>
      </w:r>
      <w:r w:rsidRPr="008F34BE" w:rsidR="00DD423D">
        <w:rPr>
          <w:rFonts w:ascii="Palatino Linotype" w:hAnsi="Palatino Linotype" w:eastAsia="Times New Roman" w:cs="Times New Roman"/>
          <w:kern w:val="0"/>
          <w14:ligatures w14:val="none"/>
        </w:rPr>
        <w:t xml:space="preserve"> single customer’s </w:t>
      </w:r>
      <w:r w:rsidRPr="008F34BE" w:rsidR="0005533D">
        <w:rPr>
          <w:rFonts w:ascii="Palatino Linotype" w:hAnsi="Palatino Linotype" w:eastAsia="Times New Roman" w:cs="Times New Roman"/>
          <w:kern w:val="0"/>
          <w14:ligatures w14:val="none"/>
        </w:rPr>
        <w:t xml:space="preserve">request to interconnect a large load. Thus, it is reasonable for </w:t>
      </w:r>
      <w:r w:rsidRPr="008F34BE" w:rsidR="002E0FA4">
        <w:rPr>
          <w:rFonts w:ascii="Palatino Linotype" w:hAnsi="Palatino Linotype" w:eastAsia="Times New Roman" w:cs="Times New Roman"/>
          <w:kern w:val="0"/>
          <w14:ligatures w14:val="none"/>
        </w:rPr>
        <w:t>this work to be deemed non-refundable.</w:t>
      </w:r>
    </w:p>
    <w:p w:rsidRPr="008F34BE" w:rsidR="007A6842" w:rsidP="00A76F4A" w:rsidRDefault="007A6842" w14:paraId="1370239F" w14:textId="77777777">
      <w:pPr>
        <w:spacing w:after="0" w:line="240" w:lineRule="auto"/>
        <w:rPr>
          <w:rFonts w:ascii="Palatino Linotype" w:hAnsi="Palatino Linotype" w:eastAsia="Palatino Linotype" w:cs="Times New Roman"/>
          <w:kern w:val="0"/>
          <w14:ligatures w14:val="none"/>
        </w:rPr>
      </w:pPr>
    </w:p>
    <w:p w:rsidRPr="008F34BE" w:rsidR="00EC7199" w:rsidP="002B6AB9" w:rsidRDefault="009E7C60" w14:paraId="50134056" w14:textId="77777777">
      <w:pPr>
        <w:keepNext/>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lastRenderedPageBreak/>
        <w:t>Matters not Requiring a Tariff Deviation</w:t>
      </w:r>
    </w:p>
    <w:p w:rsidRPr="008F34BE" w:rsidR="00EC7199" w:rsidP="002B6AB9" w:rsidRDefault="00EC7199" w14:paraId="0D97F837" w14:textId="77777777">
      <w:pPr>
        <w:keepNext/>
        <w:spacing w:after="0" w:line="240" w:lineRule="auto"/>
        <w:rPr>
          <w:rFonts w:ascii="Palatino Linotype" w:hAnsi="Palatino Linotype" w:eastAsia="Palatino Linotype" w:cs="Times New Roman"/>
          <w:kern w:val="0"/>
          <w14:ligatures w14:val="none"/>
        </w:rPr>
      </w:pPr>
    </w:p>
    <w:p w:rsidRPr="008F34BE" w:rsidR="00B814CD" w:rsidP="002B6AB9" w:rsidRDefault="00AF5FFB" w14:paraId="1A1A08B6" w14:textId="77777777">
      <w:pPr>
        <w:keepNext/>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Special Facilities</w:t>
      </w:r>
    </w:p>
    <w:p w:rsidRPr="008F34BE" w:rsidR="00B814CD" w:rsidP="002B6AB9" w:rsidRDefault="00B814CD" w14:paraId="73CCE077" w14:textId="77777777">
      <w:pPr>
        <w:keepNext/>
        <w:spacing w:after="0" w:line="240" w:lineRule="auto"/>
        <w:rPr>
          <w:rFonts w:ascii="Palatino Linotype" w:hAnsi="Palatino Linotype" w:eastAsia="Palatino Linotype" w:cs="Times New Roman"/>
          <w:kern w:val="0"/>
          <w14:ligatures w14:val="none"/>
        </w:rPr>
      </w:pPr>
    </w:p>
    <w:p w:rsidRPr="008F34BE" w:rsidR="006375CB" w:rsidP="002B6AB9" w:rsidRDefault="00D416D2" w14:paraId="15CC37D5" w14:textId="77777777">
      <w:pPr>
        <w:keepNext/>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Special Facilities are defined in PG&amp;E’s Electric Rule 2 as “facilities requested by an Applicant which are in addition to or in substitution for standard facilities which PG&amp;E would normally provide for delivery of service at one point, through one meter, at one voltage class under its tariff schedules</w:t>
      </w:r>
      <w:r w:rsidRPr="008F34BE" w:rsidR="007532A0">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w:t>
      </w:r>
      <w:r w:rsidRPr="008F34BE" w:rsidR="00B3549A">
        <w:rPr>
          <w:rFonts w:ascii="Palatino Linotype" w:hAnsi="Palatino Linotype" w:eastAsia="Palatino Linotype" w:cs="Times New Roman"/>
          <w:bCs/>
          <w:kern w:val="0"/>
          <w14:ligatures w14:val="none"/>
        </w:rPr>
        <w:t>Such facilities</w:t>
      </w:r>
      <w:r w:rsidRPr="008F34BE" w:rsidR="007532A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are to be “installed, owned and maintained or allocated by PG&amp;E as an accommodation to the Applicant only if acceptable for operation by PG&amp;E and the reliability of service to PG&amp;E's other </w:t>
      </w:r>
      <w:r w:rsidRPr="008F34BE" w:rsidR="004F1284">
        <w:rPr>
          <w:rFonts w:ascii="Palatino Linotype" w:hAnsi="Palatino Linotype" w:eastAsia="Palatino Linotype" w:cs="Times New Roman"/>
          <w:bCs/>
          <w:kern w:val="0"/>
          <w14:ligatures w14:val="none"/>
        </w:rPr>
        <w:t>[c]</w:t>
      </w:r>
      <w:proofErr w:type="spellStart"/>
      <w:r w:rsidRPr="008F34BE">
        <w:rPr>
          <w:rFonts w:ascii="Palatino Linotype" w:hAnsi="Palatino Linotype" w:eastAsia="Palatino Linotype" w:cs="Times New Roman"/>
          <w:bCs/>
          <w:kern w:val="0"/>
          <w14:ligatures w14:val="none"/>
        </w:rPr>
        <w:t>ustomers</w:t>
      </w:r>
      <w:proofErr w:type="spellEnd"/>
      <w:r w:rsidRPr="008F34BE">
        <w:rPr>
          <w:rFonts w:ascii="Palatino Linotype" w:hAnsi="Palatino Linotype" w:eastAsia="Palatino Linotype" w:cs="Times New Roman"/>
          <w:bCs/>
          <w:kern w:val="0"/>
          <w14:ligatures w14:val="none"/>
        </w:rPr>
        <w:t xml:space="preserve"> is not impaired.”</w:t>
      </w:r>
      <w:r w:rsidRPr="008F34BE">
        <w:rPr>
          <w:rStyle w:val="FootnoteReference"/>
          <w:rFonts w:ascii="Palatino Linotype" w:hAnsi="Palatino Linotype" w:eastAsia="Palatino Linotype" w:cs="Times New Roman"/>
          <w:bCs/>
          <w:kern w:val="0"/>
          <w14:ligatures w14:val="none"/>
        </w:rPr>
        <w:footnoteReference w:id="34"/>
      </w:r>
      <w:r w:rsidRPr="008F34BE">
        <w:rPr>
          <w:rFonts w:ascii="Palatino Linotype" w:hAnsi="Palatino Linotype" w:eastAsia="Palatino Linotype" w:cs="Times New Roman"/>
          <w:bCs/>
          <w:kern w:val="0"/>
          <w14:ligatures w14:val="none"/>
        </w:rPr>
        <w:t xml:space="preserve"> In this case, the Special Facility that PG&amp;E is referring to is the redundant 115 kV line that Microsoft has requested be installed, which PG&amp;E has deemed to be in addition to the 115 kV line that is being constructed as part of the interconnection process</w:t>
      </w:r>
      <w:r w:rsidRPr="008F34BE" w:rsidR="002C6E61">
        <w:rPr>
          <w:rFonts w:ascii="Palatino Linotype" w:hAnsi="Palatino Linotype" w:eastAsia="Palatino Linotype" w:cs="Times New Roman"/>
          <w:bCs/>
          <w:kern w:val="0"/>
          <w14:ligatures w14:val="none"/>
        </w:rPr>
        <w:t>. T</w:t>
      </w:r>
      <w:r w:rsidRPr="008F34BE">
        <w:rPr>
          <w:rFonts w:ascii="Palatino Linotype" w:hAnsi="Palatino Linotype" w:eastAsia="Palatino Linotype" w:cs="Times New Roman"/>
          <w:bCs/>
          <w:kern w:val="0"/>
          <w14:ligatures w14:val="none"/>
        </w:rPr>
        <w:t>hus</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Microsoft will bear cost of ownership charges in accordance with PG&amp;E Electric Rule 2 and the </w:t>
      </w:r>
      <w:r w:rsidRPr="008F34BE">
        <w:rPr>
          <w:rFonts w:ascii="Palatino Linotype" w:hAnsi="Palatino Linotype" w:eastAsia="Times New Roman" w:cs="Times New Roman"/>
          <w:kern w:val="0"/>
          <w14:ligatures w14:val="none"/>
        </w:rPr>
        <w:t>Agreement for Installation or Allocation of Special Facilities</w:t>
      </w:r>
      <w:r w:rsidRPr="008F34BE">
        <w:rPr>
          <w:rFonts w:ascii="Palatino Linotype" w:hAnsi="Palatino Linotype" w:eastAsia="Palatino Linotype" w:cs="Times New Roman"/>
          <w:bCs/>
          <w:kern w:val="0"/>
          <w14:ligatures w14:val="none"/>
        </w:rPr>
        <w:t xml:space="preserve"> detailed above. This treatment does not represent a deviation from the existing Tariff</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and PG&amp;E </w:t>
      </w:r>
      <w:r w:rsidRPr="008F34BE" w:rsidR="000604C8">
        <w:rPr>
          <w:rFonts w:ascii="Palatino Linotype" w:hAnsi="Palatino Linotype" w:eastAsia="Palatino Linotype" w:cs="Times New Roman"/>
          <w:bCs/>
          <w:kern w:val="0"/>
          <w14:ligatures w14:val="none"/>
        </w:rPr>
        <w:t xml:space="preserve">presents </w:t>
      </w:r>
      <w:r w:rsidRPr="008F34BE" w:rsidR="00165CD3">
        <w:rPr>
          <w:rFonts w:ascii="Palatino Linotype" w:hAnsi="Palatino Linotype" w:eastAsia="Palatino Linotype" w:cs="Times New Roman"/>
          <w:bCs/>
          <w:kern w:val="0"/>
          <w14:ligatures w14:val="none"/>
        </w:rPr>
        <w:t xml:space="preserve">it </w:t>
      </w:r>
      <w:r w:rsidRPr="008F34BE">
        <w:rPr>
          <w:rFonts w:ascii="Palatino Linotype" w:hAnsi="Palatino Linotype" w:eastAsia="Palatino Linotype" w:cs="Times New Roman"/>
          <w:bCs/>
          <w:kern w:val="0"/>
          <w14:ligatures w14:val="none"/>
        </w:rPr>
        <w:t>as a reduction in risk to ratepayers.</w:t>
      </w:r>
      <w:r w:rsidRPr="008F34BE" w:rsidR="006375CB">
        <w:rPr>
          <w:rFonts w:ascii="Palatino Linotype" w:hAnsi="Palatino Linotype" w:eastAsia="Palatino Linotype" w:cs="Times New Roman"/>
          <w:bCs/>
          <w:kern w:val="0"/>
          <w14:ligatures w14:val="none"/>
        </w:rPr>
        <w:t xml:space="preserve"> </w:t>
      </w:r>
      <w:r w:rsidRPr="008F34BE" w:rsidR="00916826">
        <w:rPr>
          <w:rFonts w:ascii="Palatino Linotype" w:hAnsi="Palatino Linotype" w:eastAsia="Palatino Linotype" w:cs="Times New Roman"/>
          <w:bCs/>
          <w:kern w:val="0"/>
          <w14:ligatures w14:val="none"/>
        </w:rPr>
        <w:t xml:space="preserve">We find that no action needs to be taken on this matter and that treatment of the redundant </w:t>
      </w:r>
      <w:r w:rsidR="003B63D4">
        <w:rPr>
          <w:rFonts w:ascii="Palatino Linotype" w:hAnsi="Palatino Linotype" w:eastAsia="Palatino Linotype" w:cs="Times New Roman"/>
          <w:bCs/>
          <w:kern w:val="0"/>
          <w14:ligatures w14:val="none"/>
        </w:rPr>
        <w:br/>
      </w:r>
      <w:r w:rsidRPr="008F34BE" w:rsidR="00916826">
        <w:rPr>
          <w:rFonts w:ascii="Palatino Linotype" w:hAnsi="Palatino Linotype" w:eastAsia="Palatino Linotype" w:cs="Times New Roman"/>
          <w:bCs/>
          <w:kern w:val="0"/>
          <w14:ligatures w14:val="none"/>
        </w:rPr>
        <w:t>115 kV line as a Special Facility is reasonable.</w:t>
      </w:r>
    </w:p>
    <w:p w:rsidRPr="008F34BE" w:rsidR="00D416D2" w:rsidP="00A76F4A" w:rsidRDefault="00D416D2" w14:paraId="5686B0EE" w14:textId="77777777">
      <w:pPr>
        <w:spacing w:after="0" w:line="240" w:lineRule="auto"/>
        <w:rPr>
          <w:rFonts w:ascii="Palatino Linotype" w:hAnsi="Palatino Linotype" w:eastAsia="Palatino Linotype" w:cs="Times New Roman"/>
          <w:kern w:val="0"/>
          <w14:ligatures w14:val="none"/>
        </w:rPr>
      </w:pPr>
    </w:p>
    <w:p w:rsidRPr="008F34BE" w:rsidR="00A76F4A" w:rsidP="00A24FCE" w:rsidRDefault="00A76F4A" w14:paraId="083E9067"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Comments</w:t>
      </w:r>
    </w:p>
    <w:p w:rsidR="006C4807" w:rsidP="006C4807" w:rsidRDefault="006C4807" w14:paraId="63366F25"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Resolution was mailed on December 12, 2025. Comments were timely filed by Pacific Gas and Electric Company (PG&amp;E) on January 2, 2026. We discuss these comments below.</w:t>
      </w:r>
    </w:p>
    <w:p w:rsidR="006C4807" w:rsidP="006C4807" w:rsidRDefault="006C4807" w14:paraId="3A52D355"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16822525"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 its comments, PG&amp;E argues </w:t>
      </w:r>
      <w:r w:rsidRPr="002A5349">
        <w:rPr>
          <w:rFonts w:ascii="Palatino Linotype" w:hAnsi="Palatino Linotype" w:eastAsia="Palatino Linotype" w:cs="Times New Roman"/>
          <w:kern w:val="0"/>
          <w14:ligatures w14:val="none"/>
        </w:rPr>
        <w:t xml:space="preserve">against limiting annual refunds to 75 percent of the annual net revenues </w:t>
      </w:r>
      <w:r>
        <w:rPr>
          <w:rFonts w:ascii="Palatino Linotype" w:hAnsi="Palatino Linotype" w:eastAsia="Palatino Linotype" w:cs="Times New Roman"/>
          <w:kern w:val="0"/>
          <w14:ligatures w14:val="none"/>
        </w:rPr>
        <w:t>received from Microsoft Corporation (Microsoft)</w:t>
      </w:r>
      <w:r w:rsidRPr="002A5349">
        <w:rPr>
          <w:rFonts w:ascii="Palatino Linotype" w:hAnsi="Palatino Linotype" w:eastAsia="Palatino Linotype" w:cs="Times New Roman"/>
          <w:kern w:val="0"/>
          <w14:ligatures w14:val="none"/>
        </w:rPr>
        <w:t>, as proposed in this Resolution</w:t>
      </w:r>
      <w:r>
        <w:rPr>
          <w:rFonts w:ascii="Palatino Linotype" w:hAnsi="Palatino Linotype" w:eastAsia="Palatino Linotype" w:cs="Times New Roman"/>
          <w:kern w:val="0"/>
          <w14:ligatures w14:val="none"/>
        </w:rPr>
        <w:t>. PG&amp;E argues that (1) this is an unnecessary deviation from California Public Utilities Commission (Commission) precedent,</w:t>
      </w:r>
      <w:r>
        <w:rPr>
          <w:rStyle w:val="FootnoteReference"/>
          <w:rFonts w:ascii="Palatino Linotype" w:hAnsi="Palatino Linotype" w:eastAsia="Palatino Linotype" w:cs="Times New Roman"/>
          <w:kern w:val="0"/>
          <w14:ligatures w14:val="none"/>
        </w:rPr>
        <w:footnoteReference w:id="35"/>
      </w:r>
      <w:r>
        <w:rPr>
          <w:rFonts w:ascii="Palatino Linotype" w:hAnsi="Palatino Linotype" w:eastAsia="Palatino Linotype" w:cs="Times New Roman"/>
          <w:kern w:val="0"/>
          <w14:ligatures w14:val="none"/>
        </w:rPr>
        <w:t xml:space="preserve"> (2) the Base Annual Revenue Calculation (BARC) process already includes ample ratepayer protections that would avoid excessive refunds to Microsoft,</w:t>
      </w:r>
      <w:r>
        <w:rPr>
          <w:rStyle w:val="FootnoteReference"/>
          <w:rFonts w:ascii="Palatino Linotype" w:hAnsi="Palatino Linotype" w:eastAsia="Palatino Linotype" w:cs="Times New Roman"/>
          <w:kern w:val="0"/>
          <w14:ligatures w14:val="none"/>
        </w:rPr>
        <w:footnoteReference w:id="36"/>
      </w:r>
      <w:r>
        <w:rPr>
          <w:rFonts w:ascii="Palatino Linotype" w:hAnsi="Palatino Linotype" w:eastAsia="Palatino Linotype" w:cs="Times New Roman"/>
          <w:kern w:val="0"/>
          <w14:ligatures w14:val="none"/>
        </w:rPr>
        <w:t xml:space="preserve"> and (3) the proposed methodology could deter development of data centers in California.</w:t>
      </w:r>
      <w:r>
        <w:rPr>
          <w:rStyle w:val="FootnoteReference"/>
          <w:rFonts w:ascii="Palatino Linotype" w:hAnsi="Palatino Linotype" w:eastAsia="Palatino Linotype" w:cs="Times New Roman"/>
          <w:kern w:val="0"/>
          <w14:ligatures w14:val="none"/>
        </w:rPr>
        <w:footnoteReference w:id="37"/>
      </w:r>
      <w:r>
        <w:rPr>
          <w:rFonts w:ascii="Palatino Linotype" w:hAnsi="Palatino Linotype" w:eastAsia="Palatino Linotype" w:cs="Times New Roman"/>
          <w:kern w:val="0"/>
          <w14:ligatures w14:val="none"/>
        </w:rPr>
        <w:t xml:space="preserve"> PG&amp;E argues that should the Commission continue to reject the use of the standard BARC process as written in Electric Rules 15 </w:t>
      </w:r>
      <w:r>
        <w:rPr>
          <w:rFonts w:ascii="Palatino Linotype" w:hAnsi="Palatino Linotype" w:eastAsia="Palatino Linotype" w:cs="Times New Roman"/>
          <w:kern w:val="0"/>
          <w14:ligatures w14:val="none"/>
        </w:rPr>
        <w:lastRenderedPageBreak/>
        <w:t>and 16, that annual refunds to Microsoft should equal 100 percent of net revenue rather than the 75 percent proposed.</w:t>
      </w:r>
      <w:r>
        <w:rPr>
          <w:rStyle w:val="FootnoteReference"/>
          <w:rFonts w:ascii="Palatino Linotype" w:hAnsi="Palatino Linotype" w:eastAsia="Palatino Linotype" w:cs="Times New Roman"/>
          <w:kern w:val="0"/>
          <w14:ligatures w14:val="none"/>
        </w:rPr>
        <w:footnoteReference w:id="38"/>
      </w:r>
    </w:p>
    <w:p w:rsidR="006C4807" w:rsidP="006C4807" w:rsidRDefault="006C4807" w14:paraId="19D7B7F0"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03B82E36"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do not find these arguments persuasive. PG&amp;E’s comments do not raise any valid factual, legal, or technical errors with this Resolution and instead </w:t>
      </w:r>
      <w:proofErr w:type="gramStart"/>
      <w:r>
        <w:rPr>
          <w:rFonts w:ascii="Palatino Linotype" w:hAnsi="Palatino Linotype" w:eastAsia="Palatino Linotype" w:cs="Times New Roman"/>
          <w:kern w:val="0"/>
          <w14:ligatures w14:val="none"/>
        </w:rPr>
        <w:t>focused</w:t>
      </w:r>
      <w:proofErr w:type="gramEnd"/>
      <w:r>
        <w:rPr>
          <w:rFonts w:ascii="Palatino Linotype" w:hAnsi="Palatino Linotype" w:eastAsia="Palatino Linotype" w:cs="Times New Roman"/>
          <w:kern w:val="0"/>
          <w14:ligatures w14:val="none"/>
        </w:rPr>
        <w:t xml:space="preserve"> on relitigating its policy position from the Advice Letter. We address each argument in detail below.</w:t>
      </w:r>
    </w:p>
    <w:p w:rsidR="006C4807" w:rsidP="006C4807" w:rsidRDefault="006C4807" w14:paraId="4BD16DB0"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3C69C8E3"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First, PG&amp;E argues that limiting refunds to 75 percent of annual net revenue received from the project represents an unnecessary deviation from Commission precedent.</w:t>
      </w:r>
      <w:r>
        <w:rPr>
          <w:rStyle w:val="FootnoteReference"/>
          <w:rFonts w:ascii="Palatino Linotype" w:hAnsi="Palatino Linotype" w:eastAsia="Palatino Linotype" w:cs="Times New Roman"/>
          <w:kern w:val="0"/>
          <w14:ligatures w14:val="none"/>
        </w:rPr>
        <w:footnoteReference w:id="39"/>
      </w:r>
      <w:r>
        <w:rPr>
          <w:rFonts w:ascii="Palatino Linotype" w:hAnsi="Palatino Linotype" w:eastAsia="Palatino Linotype" w:cs="Times New Roman"/>
          <w:kern w:val="0"/>
          <w14:ligatures w14:val="none"/>
        </w:rPr>
        <w:t xml:space="preserve"> </w:t>
      </w:r>
      <w:r w:rsidRPr="004F3391">
        <w:rPr>
          <w:rFonts w:ascii="Palatino Linotype" w:hAnsi="Palatino Linotype" w:eastAsia="Palatino Linotype" w:cs="Times New Roman"/>
          <w:kern w:val="0"/>
          <w14:ligatures w14:val="none"/>
        </w:rPr>
        <w:t>In Advice Letter 7</w:t>
      </w:r>
      <w:r>
        <w:rPr>
          <w:rFonts w:ascii="Palatino Linotype" w:hAnsi="Palatino Linotype" w:eastAsia="Palatino Linotype" w:cs="Times New Roman"/>
          <w:kern w:val="0"/>
          <w14:ligatures w14:val="none"/>
        </w:rPr>
        <w:t>635</w:t>
      </w:r>
      <w:r w:rsidRPr="004F3391">
        <w:rPr>
          <w:rFonts w:ascii="Palatino Linotype" w:hAnsi="Palatino Linotype" w:eastAsia="Palatino Linotype" w:cs="Times New Roman"/>
          <w:kern w:val="0"/>
          <w14:ligatures w14:val="none"/>
        </w:rPr>
        <w:t xml:space="preserve">-E, approved with modification here, PG&amp;E </w:t>
      </w:r>
      <w:r>
        <w:rPr>
          <w:rFonts w:ascii="Palatino Linotype" w:hAnsi="Palatino Linotype" w:eastAsia="Palatino Linotype" w:cs="Times New Roman"/>
          <w:kern w:val="0"/>
          <w14:ligatures w14:val="none"/>
        </w:rPr>
        <w:t xml:space="preserve">invokes </w:t>
      </w:r>
      <w:r w:rsidRPr="004F3391">
        <w:rPr>
          <w:rFonts w:ascii="Palatino Linotype" w:hAnsi="Palatino Linotype" w:eastAsia="Palatino Linotype" w:cs="Times New Roman"/>
          <w:kern w:val="0"/>
          <w14:ligatures w14:val="none"/>
        </w:rPr>
        <w:t xml:space="preserve">exceptional </w:t>
      </w:r>
      <w:r>
        <w:rPr>
          <w:rFonts w:ascii="Palatino Linotype" w:hAnsi="Palatino Linotype" w:eastAsia="Palatino Linotype" w:cs="Times New Roman"/>
          <w:kern w:val="0"/>
          <w14:ligatures w14:val="none"/>
        </w:rPr>
        <w:t>case treatment of the</w:t>
      </w:r>
      <w:r w:rsidRPr="004F3391">
        <w:rPr>
          <w:rFonts w:ascii="Palatino Linotype" w:hAnsi="Palatino Linotype" w:eastAsia="Palatino Linotype" w:cs="Times New Roman"/>
          <w:kern w:val="0"/>
          <w14:ligatures w14:val="none"/>
        </w:rPr>
        <w:t xml:space="preserve"> terms and conditions</w:t>
      </w:r>
      <w:r>
        <w:rPr>
          <w:rFonts w:ascii="Palatino Linotype" w:hAnsi="Palatino Linotype" w:eastAsia="Palatino Linotype" w:cs="Times New Roman"/>
          <w:kern w:val="0"/>
          <w14:ligatures w14:val="none"/>
        </w:rPr>
        <w:t xml:space="preserve"> therein that were</w:t>
      </w:r>
      <w:r w:rsidRPr="004F3391">
        <w:rPr>
          <w:rFonts w:ascii="Palatino Linotype" w:hAnsi="Palatino Linotype" w:eastAsia="Palatino Linotype" w:cs="Times New Roman"/>
          <w:kern w:val="0"/>
          <w14:ligatures w14:val="none"/>
        </w:rPr>
        <w:t xml:space="preserve"> based on Electric Rules 2, 15</w:t>
      </w:r>
      <w:r>
        <w:rPr>
          <w:rFonts w:ascii="Palatino Linotype" w:hAnsi="Palatino Linotype" w:eastAsia="Palatino Linotype" w:cs="Times New Roman"/>
          <w:kern w:val="0"/>
          <w14:ligatures w14:val="none"/>
        </w:rPr>
        <w:t>,</w:t>
      </w:r>
      <w:r w:rsidRPr="004F3391">
        <w:rPr>
          <w:rFonts w:ascii="Palatino Linotype" w:hAnsi="Palatino Linotype" w:eastAsia="Palatino Linotype" w:cs="Times New Roman"/>
          <w:kern w:val="0"/>
          <w14:ligatures w14:val="none"/>
        </w:rPr>
        <w:t xml:space="preserve"> and 16. The nature of an exceptional case submittal acknowledges that there is no standard tariff or rule determining how to proceed in </w:t>
      </w:r>
      <w:r>
        <w:rPr>
          <w:rFonts w:ascii="Palatino Linotype" w:hAnsi="Palatino Linotype" w:eastAsia="Palatino Linotype" w:cs="Times New Roman"/>
          <w:kern w:val="0"/>
          <w14:ligatures w14:val="none"/>
        </w:rPr>
        <w:t>a given</w:t>
      </w:r>
      <w:r w:rsidRPr="004F3391">
        <w:rPr>
          <w:rFonts w:ascii="Palatino Linotype" w:hAnsi="Palatino Linotype" w:eastAsia="Palatino Linotype" w:cs="Times New Roman"/>
          <w:kern w:val="0"/>
          <w14:ligatures w14:val="none"/>
        </w:rPr>
        <w:t xml:space="preserve"> case.</w:t>
      </w:r>
      <w:r>
        <w:rPr>
          <w:rFonts w:ascii="Palatino Linotype" w:hAnsi="Palatino Linotype" w:eastAsia="Palatino Linotype" w:cs="Times New Roman"/>
          <w:kern w:val="0"/>
          <w14:ligatures w14:val="none"/>
        </w:rPr>
        <w:t xml:space="preserve"> </w:t>
      </w:r>
      <w:r w:rsidRPr="00E838CB">
        <w:rPr>
          <w:rFonts w:ascii="Palatino Linotype" w:hAnsi="Palatino Linotype" w:eastAsia="Palatino Linotype" w:cs="Times New Roman"/>
          <w:kern w:val="0"/>
          <w14:ligatures w14:val="none"/>
        </w:rPr>
        <w:t xml:space="preserve">In the Discussion section above, we </w:t>
      </w:r>
      <w:r w:rsidRPr="3753003E">
        <w:rPr>
          <w:rFonts w:ascii="Palatino Linotype" w:hAnsi="Palatino Linotype" w:eastAsia="Palatino Linotype" w:cs="Times New Roman"/>
        </w:rPr>
        <w:t xml:space="preserve">find </w:t>
      </w:r>
      <w:r w:rsidRPr="00E838CB">
        <w:rPr>
          <w:rFonts w:ascii="Palatino Linotype" w:hAnsi="Palatino Linotype" w:eastAsia="Palatino Linotype" w:cs="Times New Roman"/>
          <w:kern w:val="0"/>
          <w14:ligatures w14:val="none"/>
        </w:rPr>
        <w:t>that energization of</w:t>
      </w:r>
      <w:r>
        <w:rPr>
          <w:rFonts w:ascii="Palatino Linotype" w:hAnsi="Palatino Linotype" w:eastAsia="Palatino Linotype" w:cs="Times New Roman"/>
          <w:kern w:val="0"/>
          <w14:ligatures w14:val="none"/>
        </w:rPr>
        <w:t xml:space="preserve"> the Microsoft project</w:t>
      </w:r>
      <w:r w:rsidRPr="00E838CB">
        <w:rPr>
          <w:rFonts w:ascii="Palatino Linotype" w:hAnsi="Palatino Linotype" w:eastAsia="Palatino Linotype" w:cs="Times New Roman"/>
          <w:kern w:val="0"/>
          <w14:ligatures w14:val="none"/>
        </w:rPr>
        <w:t xml:space="preserve"> presents unique risks to ratepayers due to </w:t>
      </w:r>
      <w:r>
        <w:rPr>
          <w:rFonts w:ascii="Palatino Linotype" w:hAnsi="Palatino Linotype" w:eastAsia="Palatino Linotype" w:cs="Times New Roman"/>
          <w:kern w:val="0"/>
          <w14:ligatures w14:val="none"/>
        </w:rPr>
        <w:t>the</w:t>
      </w:r>
      <w:r w:rsidRPr="00E838CB">
        <w:rPr>
          <w:rFonts w:ascii="Palatino Linotype" w:hAnsi="Palatino Linotype" w:eastAsia="Palatino Linotype" w:cs="Times New Roman"/>
          <w:kern w:val="0"/>
          <w14:ligatures w14:val="none"/>
        </w:rPr>
        <w:t xml:space="preserve"> large load, high energization costs, and uncertain future revenues. Th</w:t>
      </w:r>
      <w:r>
        <w:rPr>
          <w:rFonts w:ascii="Palatino Linotype" w:hAnsi="Palatino Linotype" w:eastAsia="Palatino Linotype" w:cs="Times New Roman"/>
          <w:kern w:val="0"/>
          <w14:ligatures w14:val="none"/>
        </w:rPr>
        <w:t>is</w:t>
      </w:r>
      <w:r w:rsidRPr="00E838CB">
        <w:rPr>
          <w:rFonts w:ascii="Palatino Linotype" w:hAnsi="Palatino Linotype" w:eastAsia="Palatino Linotype" w:cs="Times New Roman"/>
          <w:kern w:val="0"/>
          <w14:ligatures w14:val="none"/>
        </w:rPr>
        <w:t xml:space="preserve"> Resolution proposes a simple modification to the proposed BARC process in response to these unique risks posed to ratepayers: limiting annual refunds to </w:t>
      </w:r>
      <w:r w:rsidR="007A76FD">
        <w:rPr>
          <w:rFonts w:ascii="Palatino Linotype" w:hAnsi="Palatino Linotype" w:eastAsia="Palatino Linotype" w:cs="Times New Roman"/>
          <w:kern w:val="0"/>
          <w14:ligatures w14:val="none"/>
        </w:rPr>
        <w:br/>
      </w:r>
      <w:r w:rsidRPr="00E838CB">
        <w:rPr>
          <w:rFonts w:ascii="Palatino Linotype" w:hAnsi="Palatino Linotype" w:eastAsia="Palatino Linotype" w:cs="Times New Roman"/>
          <w:kern w:val="0"/>
          <w14:ligatures w14:val="none"/>
        </w:rPr>
        <w:t xml:space="preserve">75 percent of the annual net revenues received from the customer. We do not agree that this represents a departure from precedent, as (1) this is an exceptional case filing and the Commission’s decisions on such filings </w:t>
      </w:r>
      <w:proofErr w:type="gramStart"/>
      <w:r w:rsidRPr="00E838CB">
        <w:rPr>
          <w:rFonts w:ascii="Palatino Linotype" w:hAnsi="Palatino Linotype" w:eastAsia="Palatino Linotype" w:cs="Times New Roman"/>
          <w:kern w:val="0"/>
          <w14:ligatures w14:val="none"/>
        </w:rPr>
        <w:t>by definition do</w:t>
      </w:r>
      <w:proofErr w:type="gramEnd"/>
      <w:r w:rsidRPr="00E838CB">
        <w:rPr>
          <w:rFonts w:ascii="Palatino Linotype" w:hAnsi="Palatino Linotype" w:eastAsia="Palatino Linotype" w:cs="Times New Roman"/>
          <w:kern w:val="0"/>
          <w14:ligatures w14:val="none"/>
        </w:rPr>
        <w:t xml:space="preserve"> not have</w:t>
      </w:r>
      <w:r>
        <w:rPr>
          <w:rFonts w:ascii="Palatino Linotype" w:hAnsi="Palatino Linotype" w:eastAsia="Palatino Linotype" w:cs="Times New Roman"/>
          <w:kern w:val="0"/>
          <w14:ligatures w14:val="none"/>
        </w:rPr>
        <w:t xml:space="preserve"> </w:t>
      </w:r>
      <w:r w:rsidRPr="007D3F84">
        <w:rPr>
          <w:rFonts w:ascii="Palatino Linotype" w:hAnsi="Palatino Linotype" w:eastAsia="Palatino Linotype" w:cs="Times New Roman"/>
          <w:kern w:val="0"/>
          <w14:ligatures w14:val="none"/>
        </w:rPr>
        <w:t xml:space="preserve">binding precedents and (2) the proposed modification </w:t>
      </w:r>
      <w:proofErr w:type="gramStart"/>
      <w:r w:rsidRPr="007D3F84">
        <w:rPr>
          <w:rFonts w:ascii="Palatino Linotype" w:hAnsi="Palatino Linotype" w:eastAsia="Palatino Linotype" w:cs="Times New Roman"/>
          <w:kern w:val="0"/>
          <w14:ligatures w14:val="none"/>
        </w:rPr>
        <w:t>is  corresponds</w:t>
      </w:r>
      <w:proofErr w:type="gramEnd"/>
      <w:r w:rsidRPr="007D3F84">
        <w:rPr>
          <w:rFonts w:ascii="Palatino Linotype" w:hAnsi="Palatino Linotype" w:eastAsia="Palatino Linotype" w:cs="Times New Roman"/>
          <w:kern w:val="0"/>
          <w14:ligatures w14:val="none"/>
        </w:rPr>
        <w:t xml:space="preserve"> to the preexisting logic of basing refunds on net revenues. </w:t>
      </w:r>
      <w:r>
        <w:rPr>
          <w:rFonts w:ascii="Palatino Linotype" w:hAnsi="Palatino Linotype" w:eastAsia="Palatino Linotype" w:cs="Times New Roman"/>
          <w:kern w:val="0"/>
          <w14:ligatures w14:val="none"/>
        </w:rPr>
        <w:t xml:space="preserve">Additionally, PG&amp;E’s assertion that changes to the refund process constitute a material revision to the agreement executed between PG&amp;E and Microsoft </w:t>
      </w:r>
      <w:r w:rsidRPr="3753003E">
        <w:rPr>
          <w:rFonts w:ascii="Palatino Linotype" w:hAnsi="Palatino Linotype" w:eastAsia="Palatino Linotype" w:cs="Times New Roman"/>
        </w:rPr>
        <w:t xml:space="preserve">similarly </w:t>
      </w:r>
      <w:r>
        <w:rPr>
          <w:rFonts w:ascii="Palatino Linotype" w:hAnsi="Palatino Linotype" w:eastAsia="Palatino Linotype" w:cs="Times New Roman"/>
          <w:kern w:val="0"/>
          <w14:ligatures w14:val="none"/>
        </w:rPr>
        <w:t xml:space="preserve">does not </w:t>
      </w:r>
      <w:r w:rsidRPr="3753003E">
        <w:rPr>
          <w:rFonts w:ascii="Palatino Linotype" w:hAnsi="Palatino Linotype" w:eastAsia="Palatino Linotype" w:cs="Times New Roman"/>
        </w:rPr>
        <w:t xml:space="preserve">constitute </w:t>
      </w:r>
      <w:r>
        <w:rPr>
          <w:rFonts w:ascii="Palatino Linotype" w:hAnsi="Palatino Linotype" w:eastAsia="Palatino Linotype" w:cs="Times New Roman"/>
          <w:kern w:val="0"/>
          <w14:ligatures w14:val="none"/>
        </w:rPr>
        <w:t>a departure from precedent</w:t>
      </w:r>
      <w:r w:rsidRPr="3753003E">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as the submission of the contracts for approval by the Commission necessarily involves the possibility of revision to the agreements by the Commission to satisfy ratepayer protection or other pertinent obligations. </w:t>
      </w:r>
      <w:r w:rsidRPr="007D3F84">
        <w:rPr>
          <w:rFonts w:ascii="Palatino Linotype" w:hAnsi="Palatino Linotype" w:eastAsia="Palatino Linotype" w:cs="Times New Roman"/>
          <w:kern w:val="0"/>
          <w14:ligatures w14:val="none"/>
        </w:rPr>
        <w:t xml:space="preserve">Given the unique risks posed to ratepayers in this case, we consider it necessary </w:t>
      </w:r>
      <w:r>
        <w:rPr>
          <w:rFonts w:ascii="Palatino Linotype" w:hAnsi="Palatino Linotype" w:eastAsia="Palatino Linotype" w:cs="Times New Roman"/>
          <w:kern w:val="0"/>
          <w14:ligatures w14:val="none"/>
        </w:rPr>
        <w:t xml:space="preserve">and reasonable </w:t>
      </w:r>
      <w:r w:rsidRPr="007D3F84">
        <w:rPr>
          <w:rFonts w:ascii="Palatino Linotype" w:hAnsi="Palatino Linotype" w:eastAsia="Palatino Linotype" w:cs="Times New Roman"/>
          <w:kern w:val="0"/>
          <w14:ligatures w14:val="none"/>
        </w:rPr>
        <w:t xml:space="preserve">to </w:t>
      </w:r>
      <w:r>
        <w:rPr>
          <w:rFonts w:ascii="Palatino Linotype" w:hAnsi="Palatino Linotype" w:eastAsia="Palatino Linotype" w:cs="Times New Roman"/>
          <w:kern w:val="0"/>
          <w14:ligatures w14:val="none"/>
        </w:rPr>
        <w:t xml:space="preserve">modify the refund process to </w:t>
      </w:r>
      <w:r w:rsidRPr="007D3F84">
        <w:rPr>
          <w:rFonts w:ascii="Palatino Linotype" w:hAnsi="Palatino Linotype" w:eastAsia="Palatino Linotype" w:cs="Times New Roman"/>
          <w:kern w:val="0"/>
          <w14:ligatures w14:val="none"/>
        </w:rPr>
        <w:t xml:space="preserve">provide </w:t>
      </w:r>
      <w:r>
        <w:rPr>
          <w:rFonts w:ascii="Palatino Linotype" w:hAnsi="Palatino Linotype" w:eastAsia="Palatino Linotype" w:cs="Times New Roman"/>
          <w:kern w:val="0"/>
          <w14:ligatures w14:val="none"/>
        </w:rPr>
        <w:t xml:space="preserve">these </w:t>
      </w:r>
      <w:r w:rsidRPr="007D3F84">
        <w:rPr>
          <w:rFonts w:ascii="Palatino Linotype" w:hAnsi="Palatino Linotype" w:eastAsia="Palatino Linotype" w:cs="Times New Roman"/>
          <w:kern w:val="0"/>
          <w14:ligatures w14:val="none"/>
        </w:rPr>
        <w:t>additional ratepayer protections</w:t>
      </w:r>
      <w:r>
        <w:rPr>
          <w:rFonts w:ascii="Palatino Linotype" w:hAnsi="Palatino Linotype" w:eastAsia="Palatino Linotype" w:cs="Times New Roman"/>
          <w:kern w:val="0"/>
          <w14:ligatures w14:val="none"/>
        </w:rPr>
        <w:t xml:space="preserve">. </w:t>
      </w:r>
    </w:p>
    <w:p w:rsidR="006C4807" w:rsidP="006C4807" w:rsidRDefault="006C4807" w14:paraId="414C7F09" w14:textId="77777777">
      <w:pPr>
        <w:spacing w:after="0" w:line="240" w:lineRule="auto"/>
        <w:rPr>
          <w:rFonts w:ascii="Palatino Linotype" w:hAnsi="Palatino Linotype" w:eastAsia="Palatino Linotype" w:cs="Times New Roman"/>
          <w:kern w:val="0"/>
          <w14:ligatures w14:val="none"/>
        </w:rPr>
      </w:pPr>
    </w:p>
    <w:p w:rsidRPr="00B96FEE" w:rsidR="006C4807" w:rsidP="006C4807" w:rsidRDefault="006C4807" w14:paraId="2EB25C8E"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Second, </w:t>
      </w:r>
      <w:r w:rsidRPr="00AB136A">
        <w:rPr>
          <w:rFonts w:ascii="Palatino Linotype" w:hAnsi="Palatino Linotype" w:eastAsia="Palatino Linotype" w:cs="Times New Roman"/>
          <w:kern w:val="0"/>
          <w14:ligatures w14:val="none"/>
        </w:rPr>
        <w:t xml:space="preserve">PG&amp;E argues that the standard BARC process already includes ample protection for ratepayers. </w:t>
      </w:r>
      <w:r>
        <w:rPr>
          <w:rFonts w:ascii="Palatino Linotype" w:hAnsi="Palatino Linotype" w:eastAsia="Palatino Linotype" w:cs="Times New Roman"/>
          <w:kern w:val="0"/>
          <w14:ligatures w14:val="none"/>
        </w:rPr>
        <w:t>It</w:t>
      </w:r>
      <w:r w:rsidRPr="00AB136A">
        <w:rPr>
          <w:rFonts w:ascii="Palatino Linotype" w:hAnsi="Palatino Linotype" w:eastAsia="Palatino Linotype" w:cs="Times New Roman"/>
          <w:kern w:val="0"/>
          <w14:ligatures w14:val="none"/>
        </w:rPr>
        <w:t xml:space="preserve"> cite</w:t>
      </w:r>
      <w:r>
        <w:rPr>
          <w:rFonts w:ascii="Palatino Linotype" w:hAnsi="Palatino Linotype" w:eastAsia="Palatino Linotype" w:cs="Times New Roman"/>
          <w:kern w:val="0"/>
          <w14:ligatures w14:val="none"/>
        </w:rPr>
        <w:t>s</w:t>
      </w:r>
      <w:r w:rsidRPr="00AB136A">
        <w:rPr>
          <w:rFonts w:ascii="Palatino Linotype" w:hAnsi="Palatino Linotype" w:eastAsia="Palatino Linotype" w:cs="Times New Roman"/>
          <w:kern w:val="0"/>
          <w14:ligatures w14:val="none"/>
        </w:rPr>
        <w:t xml:space="preserve"> two protections specifically: (1) </w:t>
      </w:r>
      <w:r>
        <w:rPr>
          <w:rFonts w:ascii="Palatino Linotype" w:hAnsi="Palatino Linotype" w:eastAsia="Palatino Linotype" w:cs="Times New Roman"/>
          <w:kern w:val="0"/>
          <w14:ligatures w14:val="none"/>
        </w:rPr>
        <w:t xml:space="preserve">the refund afforded </w:t>
      </w:r>
      <w:r w:rsidRPr="00EE72A9">
        <w:rPr>
          <w:rFonts w:ascii="Palatino Linotype" w:hAnsi="Palatino Linotype" w:eastAsia="Palatino Linotype" w:cs="Times New Roman"/>
          <w:kern w:val="0"/>
          <w14:ligatures w14:val="none"/>
        </w:rPr>
        <w:t>to Microsoft through the BARC process is limited based on Microsoft’s kilowatt (kW) demand</w:t>
      </w:r>
      <w:r>
        <w:rPr>
          <w:rFonts w:ascii="Palatino Linotype" w:hAnsi="Palatino Linotype" w:eastAsia="Palatino Linotype" w:cs="Times New Roman"/>
          <w:kern w:val="0"/>
          <w14:ligatures w14:val="none"/>
        </w:rPr>
        <w:t>, and (2) if</w:t>
      </w:r>
      <w:r w:rsidRPr="00EE72A9">
        <w:rPr>
          <w:rFonts w:ascii="Palatino Linotype" w:hAnsi="Palatino Linotype" w:eastAsia="Palatino Linotype" w:cs="Times New Roman"/>
          <w:kern w:val="0"/>
          <w14:ligatures w14:val="none"/>
        </w:rPr>
        <w:t xml:space="preserve"> Microsoft’s expected future net revenue does not justify the costs of its energization, Microsoft will be charged an additional fee to cover PG&amp;E’s cost of </w:t>
      </w:r>
      <w:r w:rsidRPr="00EE72A9">
        <w:rPr>
          <w:rFonts w:ascii="Palatino Linotype" w:hAnsi="Palatino Linotype" w:eastAsia="Palatino Linotype" w:cs="Times New Roman"/>
          <w:kern w:val="0"/>
          <w14:ligatures w14:val="none"/>
        </w:rPr>
        <w:lastRenderedPageBreak/>
        <w:t>ownership.</w:t>
      </w:r>
      <w:r>
        <w:rPr>
          <w:rStyle w:val="FootnoteReference"/>
          <w:rFonts w:ascii="Palatino Linotype" w:hAnsi="Palatino Linotype" w:eastAsia="Palatino Linotype" w:cs="Times New Roman"/>
          <w:kern w:val="0"/>
          <w14:ligatures w14:val="none"/>
        </w:rPr>
        <w:footnoteReference w:id="40"/>
      </w:r>
      <w:r w:rsidRPr="00EE72A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PG&amp;E further argues that determining the appropriate refund process for this type of infrastructure</w:t>
      </w:r>
      <w:r w:rsidRPr="00D9747A">
        <w:rPr>
          <w:rFonts w:ascii="Palatino Linotype" w:hAnsi="Palatino Linotype" w:eastAsia="Palatino Linotype" w:cs="Times New Roman"/>
          <w:kern w:val="0"/>
          <w14:ligatures w14:val="none"/>
        </w:rPr>
        <w:t xml:space="preserve"> should be done in Application (A.) 24-11-007</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41"/>
      </w:r>
      <w:r w:rsidRPr="00D9747A">
        <w:rPr>
          <w:rFonts w:ascii="Palatino Linotype" w:hAnsi="Palatino Linotype" w:eastAsia="Palatino Linotype" w:cs="Times New Roman"/>
          <w:kern w:val="0"/>
          <w14:ligatures w14:val="none"/>
        </w:rPr>
        <w:t xml:space="preserve"> </w:t>
      </w:r>
      <w:r w:rsidRPr="00A477C2">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argument</w:t>
      </w:r>
      <w:r w:rsidRPr="00A477C2">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regarding the first protection cited by PG&amp;E </w:t>
      </w:r>
      <w:r w:rsidRPr="00A477C2">
        <w:rPr>
          <w:rFonts w:ascii="Palatino Linotype" w:hAnsi="Palatino Linotype" w:eastAsia="Palatino Linotype" w:cs="Times New Roman"/>
          <w:kern w:val="0"/>
          <w14:ligatures w14:val="none"/>
        </w:rPr>
        <w:t xml:space="preserve">has already been addressed </w:t>
      </w:r>
      <w:r>
        <w:rPr>
          <w:rFonts w:ascii="Palatino Linotype" w:hAnsi="Palatino Linotype" w:eastAsia="Palatino Linotype" w:cs="Times New Roman"/>
          <w:kern w:val="0"/>
          <w14:ligatures w14:val="none"/>
        </w:rPr>
        <w:t>in</w:t>
      </w:r>
      <w:r w:rsidRPr="00A477C2">
        <w:rPr>
          <w:rFonts w:ascii="Palatino Linotype" w:hAnsi="Palatino Linotype" w:eastAsia="Palatino Linotype" w:cs="Times New Roman"/>
          <w:kern w:val="0"/>
          <w14:ligatures w14:val="none"/>
        </w:rPr>
        <w:t xml:space="preserve"> this Resolution</w:t>
      </w:r>
      <w:r>
        <w:rPr>
          <w:rFonts w:ascii="Palatino Linotype" w:hAnsi="Palatino Linotype" w:eastAsia="Palatino Linotype" w:cs="Times New Roman"/>
          <w:kern w:val="0"/>
          <w14:ligatures w14:val="none"/>
        </w:rPr>
        <w:t xml:space="preserve"> in that while</w:t>
      </w:r>
      <w:r w:rsidRPr="00A477C2">
        <w:rPr>
          <w:rFonts w:ascii="Palatino Linotype" w:hAnsi="Palatino Linotype" w:eastAsia="Palatino Linotype" w:cs="Times New Roman"/>
          <w:kern w:val="0"/>
          <w14:ligatures w14:val="none"/>
        </w:rPr>
        <w:t xml:space="preserve"> the BARC process does base refunds on net revenues, it assumes that those revenues will continue indefinitely into the future and thus provides a</w:t>
      </w:r>
      <w:r>
        <w:rPr>
          <w:rFonts w:ascii="Palatino Linotype" w:hAnsi="Palatino Linotype" w:eastAsia="Palatino Linotype" w:cs="Times New Roman"/>
          <w:kern w:val="0"/>
          <w14:ligatures w14:val="none"/>
        </w:rPr>
        <w:t>n annual</w:t>
      </w:r>
      <w:r w:rsidRPr="00A477C2">
        <w:rPr>
          <w:rFonts w:ascii="Palatino Linotype" w:hAnsi="Palatino Linotype" w:eastAsia="Palatino Linotype" w:cs="Times New Roman"/>
          <w:kern w:val="0"/>
          <w14:ligatures w14:val="none"/>
        </w:rPr>
        <w:t xml:space="preserve"> refund amount much larger than the actual net revenues collected</w:t>
      </w:r>
      <w:r>
        <w:rPr>
          <w:rFonts w:ascii="Palatino Linotype" w:hAnsi="Palatino Linotype" w:eastAsia="Palatino Linotype" w:cs="Times New Roman"/>
          <w:kern w:val="0"/>
          <w14:ligatures w14:val="none"/>
        </w:rPr>
        <w:t xml:space="preserve"> from the customer</w:t>
      </w:r>
      <w:r w:rsidRPr="00A477C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We find it reasonable to adjust the refund amount to mitigate the risk of Microsoft’s load not materializing and PG&amp;E issuing refund amounts that</w:t>
      </w:r>
      <w:r w:rsidRPr="00195521">
        <w:rPr>
          <w:rFonts w:ascii="Palatino Linotype" w:hAnsi="Palatino Linotype" w:eastAsia="Palatino Linotype" w:cs="Times New Roman"/>
          <w:kern w:val="0"/>
          <w14:ligatures w14:val="none"/>
        </w:rPr>
        <w:t xml:space="preserve"> might be disproportionate with the revenue PG&amp;E derives from </w:t>
      </w:r>
      <w:r>
        <w:rPr>
          <w:rFonts w:ascii="Palatino Linotype" w:hAnsi="Palatino Linotype" w:eastAsia="Palatino Linotype" w:cs="Times New Roman"/>
          <w:kern w:val="0"/>
          <w14:ligatures w14:val="none"/>
        </w:rPr>
        <w:t xml:space="preserve">Microsoft’s actual load. </w:t>
      </w:r>
      <w:r w:rsidRPr="000E4BC2">
        <w:rPr>
          <w:rFonts w:ascii="Palatino Linotype" w:hAnsi="Palatino Linotype" w:eastAsia="Palatino Linotype" w:cs="Times New Roman"/>
          <w:kern w:val="0"/>
          <w14:ligatures w14:val="none"/>
        </w:rPr>
        <w:t>The second protection cited by PG&amp;E</w:t>
      </w:r>
      <w:r>
        <w:rPr>
          <w:rFonts w:ascii="Palatino Linotype" w:hAnsi="Palatino Linotype" w:eastAsia="Palatino Linotype" w:cs="Times New Roman"/>
          <w:kern w:val="0"/>
          <w14:ligatures w14:val="none"/>
        </w:rPr>
        <w:t xml:space="preserve"> regarding</w:t>
      </w:r>
      <w:r w:rsidRPr="000E4BC2">
        <w:rPr>
          <w:rFonts w:ascii="Palatino Linotype" w:hAnsi="Palatino Linotype" w:eastAsia="Palatino Linotype" w:cs="Times New Roman"/>
          <w:kern w:val="0"/>
          <w14:ligatures w14:val="none"/>
        </w:rPr>
        <w:t xml:space="preserve"> levying  ownership fee cost</w:t>
      </w:r>
      <w:r>
        <w:rPr>
          <w:rFonts w:ascii="Palatino Linotype" w:hAnsi="Palatino Linotype" w:eastAsia="Palatino Linotype" w:cs="Times New Roman"/>
          <w:kern w:val="0"/>
          <w14:ligatures w14:val="none"/>
        </w:rPr>
        <w:t>s</w:t>
      </w:r>
      <w:r w:rsidRPr="000E4BC2">
        <w:rPr>
          <w:rFonts w:ascii="Palatino Linotype" w:hAnsi="Palatino Linotype" w:eastAsia="Palatino Linotype" w:cs="Times New Roman"/>
          <w:kern w:val="0"/>
          <w14:ligatures w14:val="none"/>
        </w:rPr>
        <w:t xml:space="preserve"> specifically applies to the case where the customer does not receive a full refund at the end of the first year after PG&amp;E is ready to serve.</w:t>
      </w:r>
      <w:r>
        <w:rPr>
          <w:rStyle w:val="FootnoteReference"/>
          <w:rFonts w:ascii="Palatino Linotype" w:hAnsi="Palatino Linotype" w:eastAsia="Palatino Linotype" w:cs="Times New Roman"/>
          <w:kern w:val="0"/>
          <w14:ligatures w14:val="none"/>
        </w:rPr>
        <w:footnoteReference w:id="42"/>
      </w:r>
      <w:r w:rsidRPr="000E4BC2">
        <w:rPr>
          <w:rFonts w:ascii="Palatino Linotype" w:hAnsi="Palatino Linotype" w:eastAsia="Palatino Linotype" w:cs="Times New Roman"/>
          <w:kern w:val="0"/>
          <w14:ligatures w14:val="none"/>
        </w:rPr>
        <w:t xml:space="preserve"> It </w:t>
      </w:r>
      <w:r>
        <w:rPr>
          <w:rFonts w:ascii="Palatino Linotype" w:hAnsi="Palatino Linotype" w:eastAsia="Palatino Linotype" w:cs="Times New Roman"/>
          <w:kern w:val="0"/>
          <w14:ligatures w14:val="none"/>
        </w:rPr>
        <w:t>does not</w:t>
      </w:r>
      <w:r w:rsidRPr="000E4BC2">
        <w:rPr>
          <w:rFonts w:ascii="Palatino Linotype" w:hAnsi="Palatino Linotype" w:eastAsia="Palatino Linotype" w:cs="Times New Roman"/>
          <w:kern w:val="0"/>
          <w14:ligatures w14:val="none"/>
        </w:rPr>
        <w:t xml:space="preserve"> address the risk of a customer receiving a full refund</w:t>
      </w:r>
      <w:r>
        <w:rPr>
          <w:rFonts w:ascii="Palatino Linotype" w:hAnsi="Palatino Linotype" w:eastAsia="Palatino Linotype" w:cs="Times New Roman"/>
          <w:kern w:val="0"/>
          <w14:ligatures w14:val="none"/>
        </w:rPr>
        <w:t xml:space="preserve"> early</w:t>
      </w:r>
      <w:r w:rsidRPr="000E4BC2">
        <w:rPr>
          <w:rFonts w:ascii="Palatino Linotype" w:hAnsi="Palatino Linotype" w:eastAsia="Palatino Linotype" w:cs="Times New Roman"/>
          <w:kern w:val="0"/>
          <w14:ligatures w14:val="none"/>
        </w:rPr>
        <w:t xml:space="preserve">, and then having </w:t>
      </w:r>
      <w:r>
        <w:rPr>
          <w:rFonts w:ascii="Palatino Linotype" w:hAnsi="Palatino Linotype" w:eastAsia="Palatino Linotype" w:cs="Times New Roman"/>
          <w:kern w:val="0"/>
          <w14:ligatures w14:val="none"/>
        </w:rPr>
        <w:t>its</w:t>
      </w:r>
      <w:r w:rsidRPr="000E4BC2">
        <w:rPr>
          <w:rFonts w:ascii="Palatino Linotype" w:hAnsi="Palatino Linotype" w:eastAsia="Palatino Linotype" w:cs="Times New Roman"/>
          <w:kern w:val="0"/>
          <w14:ligatures w14:val="none"/>
        </w:rPr>
        <w:t xml:space="preserve"> load </w:t>
      </w:r>
      <w:r>
        <w:rPr>
          <w:rFonts w:ascii="Palatino Linotype" w:hAnsi="Palatino Linotype" w:eastAsia="Palatino Linotype" w:cs="Times New Roman"/>
          <w:kern w:val="0"/>
          <w14:ligatures w14:val="none"/>
        </w:rPr>
        <w:t>decline</w:t>
      </w:r>
      <w:r w:rsidRPr="000E4BC2">
        <w:rPr>
          <w:rFonts w:ascii="Palatino Linotype" w:hAnsi="Palatino Linotype" w:eastAsia="Palatino Linotype" w:cs="Times New Roman"/>
          <w:kern w:val="0"/>
          <w14:ligatures w14:val="none"/>
        </w:rPr>
        <w:t xml:space="preserve"> in later years</w:t>
      </w:r>
      <w:r>
        <w:rPr>
          <w:rFonts w:ascii="Palatino Linotype" w:hAnsi="Palatino Linotype" w:eastAsia="Palatino Linotype" w:cs="Times New Roman"/>
          <w:kern w:val="0"/>
          <w14:ligatures w14:val="none"/>
        </w:rPr>
        <w:t xml:space="preserve"> with an attendant drop in revenue collected by PG&amp;E</w:t>
      </w:r>
      <w:r w:rsidRPr="000E4BC2">
        <w:rPr>
          <w:rFonts w:ascii="Palatino Linotype" w:hAnsi="Palatino Linotype" w:eastAsia="Palatino Linotype" w:cs="Times New Roman"/>
          <w:kern w:val="0"/>
          <w14:ligatures w14:val="none"/>
        </w:rPr>
        <w:t>. Again, given the unique risks presented to ratepayers in this case</w:t>
      </w:r>
      <w:r>
        <w:rPr>
          <w:rFonts w:ascii="Palatino Linotype" w:hAnsi="Palatino Linotype" w:eastAsia="Palatino Linotype" w:cs="Times New Roman"/>
          <w:kern w:val="0"/>
          <w14:ligatures w14:val="none"/>
        </w:rPr>
        <w:t xml:space="preserve"> </w:t>
      </w:r>
      <w:r w:rsidRPr="000E4BC2">
        <w:rPr>
          <w:rFonts w:ascii="Palatino Linotype" w:hAnsi="Palatino Linotype" w:eastAsia="Palatino Linotype" w:cs="Times New Roman"/>
          <w:kern w:val="0"/>
          <w14:ligatures w14:val="none"/>
        </w:rPr>
        <w:t xml:space="preserve">and </w:t>
      </w:r>
      <w:r>
        <w:rPr>
          <w:rFonts w:ascii="Palatino Linotype" w:hAnsi="Palatino Linotype" w:eastAsia="Palatino Linotype" w:cs="Times New Roman"/>
          <w:kern w:val="0"/>
          <w14:ligatures w14:val="none"/>
        </w:rPr>
        <w:t xml:space="preserve">given </w:t>
      </w:r>
      <w:r w:rsidRPr="000E4BC2">
        <w:rPr>
          <w:rFonts w:ascii="Palatino Linotype" w:hAnsi="Palatino Linotype" w:eastAsia="Palatino Linotype" w:cs="Times New Roman"/>
          <w:kern w:val="0"/>
          <w14:ligatures w14:val="none"/>
        </w:rPr>
        <w:t xml:space="preserve">that no existing protections in the BARC process respond to these risks, we consider it necessary to provide </w:t>
      </w:r>
      <w:r>
        <w:rPr>
          <w:rFonts w:ascii="Palatino Linotype" w:hAnsi="Palatino Linotype" w:eastAsia="Palatino Linotype" w:cs="Times New Roman"/>
          <w:kern w:val="0"/>
          <w14:ligatures w14:val="none"/>
        </w:rPr>
        <w:t xml:space="preserve">the </w:t>
      </w:r>
      <w:r w:rsidRPr="000E4BC2">
        <w:rPr>
          <w:rFonts w:ascii="Palatino Linotype" w:hAnsi="Palatino Linotype" w:eastAsia="Palatino Linotype" w:cs="Times New Roman"/>
          <w:kern w:val="0"/>
          <w14:ligatures w14:val="none"/>
        </w:rPr>
        <w:t>additional ratepayer protections</w:t>
      </w:r>
      <w:r>
        <w:rPr>
          <w:rFonts w:ascii="Palatino Linotype" w:hAnsi="Palatino Linotype" w:eastAsia="Palatino Linotype" w:cs="Times New Roman"/>
          <w:kern w:val="0"/>
          <w14:ligatures w14:val="none"/>
        </w:rPr>
        <w:t xml:space="preserve"> enumerated in this Resolution</w:t>
      </w:r>
      <w:r w:rsidRPr="000E4BC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Finally, while PG&amp;E’s assertion that the appropriate refund methodology should be determined in A.24-11-007 has some merit, PG&amp;E also submitted this Advice Letter as an exceptional case filing well before any decision was reached on refund procedures in that Application proceeding. Under these circumstances, it is appropriate to apply a consistent approach: either PG&amp;E could have deferred action pending a decision in A.24-11-007, or it may proceed subject to the Commission’s non-precedential orders issued in connection with this exceptional case filing. PG&amp;E has chosen the latter and is therefore subject to the terms laid out here. The terms laid out here are reasonable regardless of the status of A.24-11-007 and, as noted above, </w:t>
      </w:r>
      <w:r w:rsidRPr="27DF2887">
        <w:rPr>
          <w:rFonts w:ascii="Palatino Linotype" w:hAnsi="Palatino Linotype" w:eastAsia="Palatino Linotype" w:cs="Times New Roman"/>
          <w:i/>
          <w:iCs/>
          <w:kern w:val="0"/>
          <w14:ligatures w14:val="none"/>
        </w:rPr>
        <w:t>will not</w:t>
      </w:r>
      <w:r>
        <w:rPr>
          <w:rFonts w:ascii="Palatino Linotype" w:hAnsi="Palatino Linotype" w:eastAsia="Palatino Linotype" w:cs="Times New Roman"/>
          <w:kern w:val="0"/>
          <w14:ligatures w14:val="none"/>
        </w:rPr>
        <w:t xml:space="preserve"> prejudice the outcome of that proceeding. Thus PG&amp;E’s arguments here are unpersuasive.</w:t>
      </w:r>
    </w:p>
    <w:p w:rsidR="006C4807" w:rsidP="006C4807" w:rsidRDefault="006C4807" w14:paraId="0B9576BA" w14:textId="77777777">
      <w:pPr>
        <w:spacing w:after="0" w:line="240" w:lineRule="auto"/>
        <w:rPr>
          <w:rFonts w:ascii="Palatino Linotype" w:hAnsi="Palatino Linotype" w:eastAsia="Palatino Linotype" w:cs="Times New Roman"/>
          <w:kern w:val="0"/>
          <w14:ligatures w14:val="none"/>
        </w:rPr>
      </w:pPr>
    </w:p>
    <w:p w:rsidR="006C4807" w:rsidP="006C4807" w:rsidRDefault="006C4807" w14:paraId="7FF86774"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Third, PG&amp;E asserts that the refund methodology adopted in this Resolution and Resolution E-5420 may be viewed by o</w:t>
      </w:r>
      <w:r w:rsidRPr="008519CA">
        <w:rPr>
          <w:rFonts w:ascii="Palatino Linotype" w:hAnsi="Palatino Linotype" w:eastAsia="Palatino Linotype" w:cs="Times New Roman"/>
          <w:kern w:val="0"/>
          <w14:ligatures w14:val="none"/>
        </w:rPr>
        <w:t>ther transmission-level customers as an indication of how the Commission is likely to handle subsequent advice letters regarding similar facilities</w:t>
      </w:r>
      <w:r>
        <w:rPr>
          <w:rFonts w:ascii="Palatino Linotype" w:hAnsi="Palatino Linotype" w:eastAsia="Palatino Linotype" w:cs="Times New Roman"/>
          <w:kern w:val="0"/>
          <w14:ligatures w14:val="none"/>
        </w:rPr>
        <w:t xml:space="preserve"> and thus will choose to build these projects elsewhere.</w:t>
      </w:r>
      <w:r>
        <w:rPr>
          <w:rStyle w:val="FootnoteReference"/>
          <w:rFonts w:ascii="Palatino Linotype" w:hAnsi="Palatino Linotype" w:eastAsia="Palatino Linotype" w:cs="Times New Roman"/>
          <w:kern w:val="0"/>
          <w14:ligatures w14:val="none"/>
        </w:rPr>
        <w:footnoteReference w:id="43"/>
      </w:r>
      <w:r>
        <w:rPr>
          <w:rFonts w:ascii="Palatino Linotype" w:hAnsi="Palatino Linotype" w:eastAsia="Palatino Linotype" w:cs="Times New Roman"/>
          <w:kern w:val="0"/>
          <w14:ligatures w14:val="none"/>
        </w:rPr>
        <w:t xml:space="preserve"> T</w:t>
      </w:r>
      <w:r w:rsidRPr="00336040">
        <w:rPr>
          <w:rFonts w:ascii="Palatino Linotype" w:hAnsi="Palatino Linotype" w:eastAsia="Palatino Linotype" w:cs="Times New Roman"/>
          <w:kern w:val="0"/>
          <w14:ligatures w14:val="none"/>
        </w:rPr>
        <w:t>h</w:t>
      </w:r>
      <w:r>
        <w:rPr>
          <w:rFonts w:ascii="Palatino Linotype" w:hAnsi="Palatino Linotype" w:eastAsia="Palatino Linotype" w:cs="Times New Roman"/>
          <w:kern w:val="0"/>
          <w14:ligatures w14:val="none"/>
        </w:rPr>
        <w:t xml:space="preserve">e refund methodology adopted in this Resolution, however, </w:t>
      </w:r>
      <w:r w:rsidRPr="00336040">
        <w:rPr>
          <w:rFonts w:ascii="Palatino Linotype" w:hAnsi="Palatino Linotype" w:eastAsia="Palatino Linotype" w:cs="Times New Roman"/>
          <w:kern w:val="0"/>
          <w14:ligatures w14:val="none"/>
        </w:rPr>
        <w:t xml:space="preserve">was not </w:t>
      </w:r>
      <w:r>
        <w:rPr>
          <w:rFonts w:ascii="Palatino Linotype" w:hAnsi="Palatino Linotype" w:eastAsia="Palatino Linotype" w:cs="Times New Roman"/>
          <w:kern w:val="0"/>
          <w14:ligatures w14:val="none"/>
        </w:rPr>
        <w:t>developed</w:t>
      </w:r>
      <w:r w:rsidRPr="00336040">
        <w:rPr>
          <w:rFonts w:ascii="Palatino Linotype" w:hAnsi="Palatino Linotype" w:eastAsia="Palatino Linotype" w:cs="Times New Roman"/>
          <w:kern w:val="0"/>
          <w14:ligatures w14:val="none"/>
        </w:rPr>
        <w:t xml:space="preserve"> with </w:t>
      </w:r>
      <w:r>
        <w:rPr>
          <w:rFonts w:ascii="Palatino Linotype" w:hAnsi="Palatino Linotype" w:eastAsia="Palatino Linotype" w:cs="Times New Roman"/>
          <w:kern w:val="0"/>
          <w14:ligatures w14:val="none"/>
        </w:rPr>
        <w:t xml:space="preserve">the intent of </w:t>
      </w:r>
      <w:r w:rsidRPr="00336040">
        <w:rPr>
          <w:rFonts w:ascii="Palatino Linotype" w:hAnsi="Palatino Linotype" w:eastAsia="Palatino Linotype" w:cs="Times New Roman"/>
          <w:kern w:val="0"/>
          <w14:ligatures w14:val="none"/>
        </w:rPr>
        <w:t>encourag</w:t>
      </w:r>
      <w:r>
        <w:rPr>
          <w:rFonts w:ascii="Palatino Linotype" w:hAnsi="Palatino Linotype" w:eastAsia="Palatino Linotype" w:cs="Times New Roman"/>
          <w:kern w:val="0"/>
          <w14:ligatures w14:val="none"/>
        </w:rPr>
        <w:t>ing</w:t>
      </w:r>
      <w:r w:rsidRPr="00336040">
        <w:rPr>
          <w:rFonts w:ascii="Palatino Linotype" w:hAnsi="Palatino Linotype" w:eastAsia="Palatino Linotype" w:cs="Times New Roman"/>
          <w:kern w:val="0"/>
          <w14:ligatures w14:val="none"/>
        </w:rPr>
        <w:t xml:space="preserve"> or discourag</w:t>
      </w:r>
      <w:r>
        <w:rPr>
          <w:rFonts w:ascii="Palatino Linotype" w:hAnsi="Palatino Linotype" w:eastAsia="Palatino Linotype" w:cs="Times New Roman"/>
          <w:kern w:val="0"/>
          <w14:ligatures w14:val="none"/>
        </w:rPr>
        <w:t>ing</w:t>
      </w:r>
      <w:r w:rsidRPr="00336040">
        <w:rPr>
          <w:rFonts w:ascii="Palatino Linotype" w:hAnsi="Palatino Linotype" w:eastAsia="Palatino Linotype" w:cs="Times New Roman"/>
          <w:kern w:val="0"/>
          <w14:ligatures w14:val="none"/>
        </w:rPr>
        <w:t xml:space="preserve"> data center investment in the state</w:t>
      </w:r>
      <w:r>
        <w:rPr>
          <w:rFonts w:ascii="Palatino Linotype" w:hAnsi="Palatino Linotype" w:eastAsia="Palatino Linotype" w:cs="Times New Roman"/>
          <w:kern w:val="0"/>
          <w14:ligatures w14:val="none"/>
        </w:rPr>
        <w:t>. Rather, it was developed</w:t>
      </w:r>
      <w:r w:rsidRPr="00336040">
        <w:rPr>
          <w:rFonts w:ascii="Palatino Linotype" w:hAnsi="Palatino Linotype" w:eastAsia="Palatino Linotype" w:cs="Times New Roman"/>
          <w:kern w:val="0"/>
          <w14:ligatures w14:val="none"/>
        </w:rPr>
        <w:t xml:space="preserve"> in the interest of protecting ratepayers broadly from the risks of stranded </w:t>
      </w:r>
      <w:r w:rsidRPr="00336040">
        <w:rPr>
          <w:rFonts w:ascii="Palatino Linotype" w:hAnsi="Palatino Linotype" w:eastAsia="Palatino Linotype" w:cs="Times New Roman"/>
          <w:kern w:val="0"/>
          <w14:ligatures w14:val="none"/>
        </w:rPr>
        <w:lastRenderedPageBreak/>
        <w:t>costs and higher bills</w:t>
      </w:r>
      <w:r w:rsidRPr="0B8E788A">
        <w:rPr>
          <w:rFonts w:ascii="Palatino Linotype" w:hAnsi="Palatino Linotype" w:eastAsia="Times New Roman" w:cs="Times New Roman"/>
        </w:rPr>
        <w:t xml:space="preserve"> while allowing the Microsoft project to energize and receive a full refund over time</w:t>
      </w:r>
      <w:r w:rsidRPr="00336040">
        <w:rPr>
          <w:rFonts w:ascii="Palatino Linotype" w:hAnsi="Palatino Linotype" w:eastAsia="Palatino Linotype" w:cs="Times New Roman"/>
          <w:kern w:val="0"/>
          <w14:ligatures w14:val="none"/>
        </w:rPr>
        <w:t>. We note that there are many ways to encourage data center development without requiring electric ratepayers to bear the risks associated with that development</w:t>
      </w:r>
      <w:r>
        <w:rPr>
          <w:rFonts w:ascii="Palatino Linotype" w:hAnsi="Palatino Linotype" w:eastAsia="Palatino Linotype" w:cs="Times New Roman"/>
          <w:kern w:val="0"/>
          <w14:ligatures w14:val="none"/>
        </w:rPr>
        <w:t>, and this Resolution is not meant to address those broader questions. Thus, PG&amp;E’s argument here is also unpersuasive.</w:t>
      </w:r>
    </w:p>
    <w:p w:rsidR="006C4807" w:rsidP="006C4807" w:rsidRDefault="006C4807" w14:paraId="77A5BB95" w14:textId="77777777">
      <w:pPr>
        <w:spacing w:after="0" w:line="240" w:lineRule="auto"/>
        <w:rPr>
          <w:rFonts w:ascii="Palatino Linotype" w:hAnsi="Palatino Linotype" w:eastAsia="Palatino Linotype" w:cs="Times New Roman"/>
          <w:kern w:val="0"/>
          <w14:ligatures w14:val="none"/>
        </w:rPr>
      </w:pPr>
    </w:p>
    <w:p w:rsidRPr="00EE72A9" w:rsidR="006C4807" w:rsidP="006C4807" w:rsidRDefault="006C4807" w14:paraId="2C1A3971" w14:textId="77777777">
      <w:pPr>
        <w:tabs>
          <w:tab w:val="left" w:pos="675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For the reasons laid out above, we find it reasonable to decline PG&amp;E’s proposed changes in their entirety and retain the refund methodology adopted in this Resolution as written.</w:t>
      </w:r>
    </w:p>
    <w:p w:rsidRPr="008F34BE" w:rsidR="00A24FCE" w:rsidP="00A24FCE" w:rsidRDefault="00A24FCE" w14:paraId="051A76B3"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634871EA"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Findings AND CONCLUSIONS</w:t>
      </w:r>
    </w:p>
    <w:p w:rsidRPr="008F34BE" w:rsidR="00994F13" w:rsidP="00994F13" w:rsidRDefault="00994F13" w14:paraId="6D470362"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PG&amp;E filing this AL with a Tier 3 designation is reasonable.</w:t>
      </w:r>
    </w:p>
    <w:p w:rsidRPr="008F34BE" w:rsidR="00994F13" w:rsidP="00994F13" w:rsidRDefault="00994F13" w14:paraId="5859BD96" w14:textId="77777777">
      <w:pPr>
        <w:spacing w:after="0" w:line="240" w:lineRule="auto"/>
        <w:rPr>
          <w:rFonts w:ascii="Palatino Linotype" w:hAnsi="Palatino Linotype" w:eastAsia="Palatino Linotype" w:cs="Times New Roman"/>
          <w:kern w:val="0"/>
          <w14:ligatures w14:val="none"/>
        </w:rPr>
      </w:pPr>
    </w:p>
    <w:p w:rsidRPr="008F34BE" w:rsidR="00D94025" w:rsidP="00D94025" w:rsidRDefault="00C85678" w14:paraId="05CB0E6B"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Base Annual Revenue Calculation (BARC) refund process is the standard </w:t>
      </w:r>
      <w:r w:rsidRPr="008F34BE" w:rsidR="004B3D8F">
        <w:rPr>
          <w:rFonts w:ascii="Palatino Linotype" w:hAnsi="Palatino Linotype" w:eastAsia="Palatino Linotype" w:cs="Times New Roman"/>
          <w:kern w:val="0"/>
          <w14:ligatures w14:val="none"/>
        </w:rPr>
        <w:t xml:space="preserve">process by which customers requesting energization at the distribution level are refunded for up-front </w:t>
      </w:r>
      <w:r w:rsidRPr="008F34BE" w:rsidR="00DF3DFF">
        <w:rPr>
          <w:rFonts w:ascii="Palatino Linotype" w:hAnsi="Palatino Linotype" w:eastAsia="Palatino Linotype" w:cs="Times New Roman"/>
          <w:kern w:val="0"/>
          <w14:ligatures w14:val="none"/>
        </w:rPr>
        <w:t>payments made to the utility to perform the work to interconnect said customer, as enumerated in PG&amp;E’s Electric Rule 15 Tariff.</w:t>
      </w:r>
    </w:p>
    <w:p w:rsidRPr="008F34BE" w:rsidR="00D94025" w:rsidP="00D94025" w:rsidRDefault="00D94025" w14:paraId="59F4DA10" w14:textId="77777777">
      <w:pPr>
        <w:spacing w:after="0" w:line="240" w:lineRule="auto"/>
        <w:rPr>
          <w:rFonts w:ascii="Palatino Linotype" w:hAnsi="Palatino Linotype" w:eastAsia="Palatino Linotype" w:cs="Times New Roman"/>
          <w:kern w:val="0"/>
          <w14:ligatures w14:val="none"/>
        </w:rPr>
      </w:pPr>
    </w:p>
    <w:p w:rsidRPr="008F34BE" w:rsidR="00DF3DFF" w:rsidP="00A76F4A" w:rsidRDefault="003E05CF" w14:paraId="215E84AF"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standard BARC process </w:t>
      </w:r>
      <w:r w:rsidRPr="008F34BE" w:rsidR="00C127BC">
        <w:rPr>
          <w:rFonts w:ascii="Palatino Linotype" w:hAnsi="Palatino Linotype" w:eastAsia="Palatino Linotype" w:cs="Times New Roman"/>
          <w:kern w:val="0"/>
          <w14:ligatures w14:val="none"/>
        </w:rPr>
        <w:t>bases the annual refund amount to a customer on “net revenue</w:t>
      </w:r>
      <w:r w:rsidRPr="008F34BE" w:rsidR="00DA1777">
        <w:rPr>
          <w:rFonts w:ascii="Palatino Linotype" w:hAnsi="Palatino Linotype" w:eastAsia="Palatino Linotype" w:cs="Times New Roman"/>
          <w:kern w:val="0"/>
          <w14:ligatures w14:val="none"/>
        </w:rPr>
        <w:t>,</w:t>
      </w:r>
      <w:r w:rsidRPr="008F34BE" w:rsidR="00C127BC">
        <w:rPr>
          <w:rFonts w:ascii="Palatino Linotype" w:hAnsi="Palatino Linotype" w:eastAsia="Palatino Linotype" w:cs="Times New Roman"/>
          <w:kern w:val="0"/>
          <w14:ligatures w14:val="none"/>
        </w:rPr>
        <w:t xml:space="preserve">” or the revenue received from the customer that directly pays for the </w:t>
      </w:r>
      <w:r w:rsidRPr="008F34BE" w:rsidR="000445F0">
        <w:rPr>
          <w:rFonts w:ascii="Palatino Linotype" w:hAnsi="Palatino Linotype" w:eastAsia="Palatino Linotype" w:cs="Times New Roman"/>
          <w:kern w:val="0"/>
          <w14:ligatures w14:val="none"/>
        </w:rPr>
        <w:t>infrastructure needed to interconnect that customer.</w:t>
      </w:r>
    </w:p>
    <w:p w:rsidRPr="008F34BE" w:rsidR="00FF18BE" w:rsidP="00FF18BE" w:rsidRDefault="00FF18BE" w14:paraId="4215047E" w14:textId="77777777">
      <w:pPr>
        <w:spacing w:after="0" w:line="240" w:lineRule="auto"/>
        <w:rPr>
          <w:rFonts w:ascii="Palatino Linotype" w:hAnsi="Palatino Linotype" w:eastAsia="Palatino Linotype" w:cs="Times New Roman"/>
          <w:kern w:val="0"/>
          <w14:ligatures w14:val="none"/>
        </w:rPr>
      </w:pPr>
    </w:p>
    <w:p w:rsidRPr="008F34BE" w:rsidR="000144AD" w:rsidP="000144AD" w:rsidRDefault="000144AD" w14:paraId="3B5A2439"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The scale of required upgrades for large load customers seeking transmission-level energization is much larger than a </w:t>
      </w:r>
      <w:r w:rsidRPr="008F34BE" w:rsidR="00FF3EC9">
        <w:rPr>
          <w:rFonts w:ascii="Palatino Linotype" w:hAnsi="Palatino Linotype" w:eastAsia="Aptos" w:cs="Times New Roman"/>
        </w:rPr>
        <w:t>typi</w:t>
      </w:r>
      <w:r w:rsidRPr="008F34BE" w:rsidR="004836F0">
        <w:rPr>
          <w:rFonts w:ascii="Palatino Linotype" w:hAnsi="Palatino Linotype" w:eastAsia="Aptos" w:cs="Times New Roman"/>
        </w:rPr>
        <w:t>cal</w:t>
      </w:r>
      <w:r w:rsidRPr="008F34BE">
        <w:rPr>
          <w:rFonts w:ascii="Palatino Linotype" w:hAnsi="Palatino Linotype" w:eastAsia="Aptos" w:cs="Times New Roman"/>
        </w:rPr>
        <w:t xml:space="preserve"> distribution-level customer, and these customers present novel risks of substantial stranded costs.</w:t>
      </w:r>
    </w:p>
    <w:p w:rsidRPr="008F34BE" w:rsidR="00BC1429" w:rsidP="00BC1429" w:rsidRDefault="00BC1429" w14:paraId="0C2C7F5E" w14:textId="77777777">
      <w:pPr>
        <w:spacing w:after="0" w:line="240" w:lineRule="auto"/>
        <w:rPr>
          <w:rFonts w:ascii="Palatino Linotype" w:hAnsi="Palatino Linotype" w:eastAsia="Palatino Linotype" w:cs="Times New Roman"/>
          <w:kern w:val="0"/>
          <w14:ligatures w14:val="none"/>
        </w:rPr>
      </w:pPr>
    </w:p>
    <w:p w:rsidRPr="00087184" w:rsidR="00C76C52" w:rsidP="0015269D" w:rsidRDefault="00FD50E1" w14:paraId="221EF8C4" w14:textId="77777777">
      <w:pPr>
        <w:pStyle w:val="ListParagraph"/>
        <w:numPr>
          <w:ilvl w:val="0"/>
          <w:numId w:val="1"/>
        </w:numPr>
        <w:spacing w:after="0"/>
        <w:ind w:left="418" w:hanging="418"/>
        <w:rPr>
          <w:rFonts w:ascii="Palatino Linotype" w:hAnsi="Palatino Linotype" w:eastAsia="Palatino Linotype"/>
          <w:kern w:val="0"/>
          <w14:ligatures w14:val="none"/>
        </w:rPr>
      </w:pPr>
      <w:r w:rsidRPr="00087184">
        <w:rPr>
          <w:rFonts w:ascii="Palatino Linotype" w:hAnsi="Palatino Linotype"/>
        </w:rPr>
        <w:t xml:space="preserve">Because </w:t>
      </w:r>
      <w:r w:rsidRPr="00087184" w:rsidR="004F3EC9">
        <w:rPr>
          <w:rFonts w:ascii="Palatino Linotype" w:hAnsi="Palatino Linotype"/>
        </w:rPr>
        <w:t>the Microsoft project will be interconnected at the</w:t>
      </w:r>
      <w:r w:rsidRPr="00087184" w:rsidR="00C76C52">
        <w:rPr>
          <w:rFonts w:ascii="Palatino Linotype" w:hAnsi="Palatino Linotype"/>
        </w:rPr>
        <w:t xml:space="preserve"> transmission-level, </w:t>
      </w:r>
      <w:r w:rsidRPr="00087184">
        <w:rPr>
          <w:rFonts w:ascii="Palatino Linotype" w:hAnsi="Palatino Linotype"/>
        </w:rPr>
        <w:t>Microsoft will pay</w:t>
      </w:r>
      <w:r w:rsidRPr="00087184" w:rsidR="00C76C52">
        <w:rPr>
          <w:rFonts w:ascii="Palatino Linotype" w:hAnsi="Palatino Linotype"/>
        </w:rPr>
        <w:t xml:space="preserve"> lower electric rates than a</w:t>
      </w:r>
      <w:r w:rsidRPr="00087184" w:rsidR="004F3EC9">
        <w:rPr>
          <w:rFonts w:ascii="Palatino Linotype" w:hAnsi="Palatino Linotype"/>
        </w:rPr>
        <w:t>n equivalent</w:t>
      </w:r>
      <w:r w:rsidRPr="00087184" w:rsidR="00C76C52">
        <w:rPr>
          <w:rFonts w:ascii="Palatino Linotype" w:hAnsi="Palatino Linotype"/>
        </w:rPr>
        <w:t xml:space="preserve"> large load customer </w:t>
      </w:r>
      <w:r w:rsidRPr="00087184" w:rsidR="004F3EC9">
        <w:rPr>
          <w:rFonts w:ascii="Palatino Linotype" w:hAnsi="Palatino Linotype"/>
        </w:rPr>
        <w:t xml:space="preserve">that is </w:t>
      </w:r>
      <w:r w:rsidRPr="00087184" w:rsidR="00C76C52">
        <w:rPr>
          <w:rFonts w:ascii="Palatino Linotype" w:hAnsi="Palatino Linotype"/>
        </w:rPr>
        <w:t xml:space="preserve">connected at the distribution-level and normally covered by the Rule 15 process, while at the same time </w:t>
      </w:r>
      <w:r w:rsidRPr="00087184" w:rsidR="004F3EC9">
        <w:rPr>
          <w:rFonts w:ascii="Palatino Linotype" w:hAnsi="Palatino Linotype"/>
        </w:rPr>
        <w:t xml:space="preserve">potentially </w:t>
      </w:r>
      <w:r w:rsidRPr="00087184" w:rsidR="00C76C52">
        <w:rPr>
          <w:rFonts w:ascii="Palatino Linotype" w:hAnsi="Palatino Linotype"/>
        </w:rPr>
        <w:t>contributing to the need for broader transmission network upgrades in the region.</w:t>
      </w:r>
    </w:p>
    <w:p w:rsidRPr="008F34BE" w:rsidR="00FF18BE" w:rsidP="00FF18BE" w:rsidRDefault="00FF18BE" w14:paraId="193A32D9" w14:textId="77777777">
      <w:pPr>
        <w:spacing w:after="0" w:line="240" w:lineRule="auto"/>
        <w:rPr>
          <w:rFonts w:ascii="Palatino Linotype" w:hAnsi="Palatino Linotype" w:eastAsia="Palatino Linotype" w:cs="Times New Roman"/>
          <w:kern w:val="0"/>
          <w14:ligatures w14:val="none"/>
        </w:rPr>
      </w:pPr>
    </w:p>
    <w:p w:rsidRPr="008F34BE" w:rsidR="00B87CB5" w:rsidRDefault="00CB68C2" w14:paraId="68BD78C9" w14:textId="77777777">
      <w:pPr>
        <w:numPr>
          <w:ilvl w:val="0"/>
          <w:numId w:val="1"/>
        </w:numPr>
        <w:spacing w:after="0" w:line="240" w:lineRule="auto"/>
        <w:rPr>
          <w:rFonts w:ascii="Palatino Linotype" w:hAnsi="Palatino Linotype" w:eastAsia="Aptos" w:cs="Times New Roman"/>
        </w:rPr>
      </w:pPr>
      <w:r w:rsidRPr="008F34BE">
        <w:rPr>
          <w:rFonts w:ascii="Palatino Linotype" w:hAnsi="Palatino Linotype" w:eastAsia="Palatino Linotype" w:cs="Times New Roman"/>
          <w:kern w:val="0"/>
          <w14:ligatures w14:val="none"/>
        </w:rPr>
        <w:t xml:space="preserve">Like all customers, the Microsoft project will </w:t>
      </w:r>
      <w:r w:rsidRPr="008F34BE" w:rsidR="000A3136">
        <w:rPr>
          <w:rFonts w:ascii="Palatino Linotype" w:hAnsi="Palatino Linotype" w:eastAsia="Palatino Linotype" w:cs="Times New Roman"/>
          <w:kern w:val="0"/>
          <w14:ligatures w14:val="none"/>
        </w:rPr>
        <w:t>rely on the continued operation and maintenance of the existing transmission grid.</w:t>
      </w:r>
    </w:p>
    <w:p w:rsidRPr="00F43037" w:rsidR="00FF18BE" w:rsidP="00FF18BE" w:rsidRDefault="00FF18BE" w14:paraId="47CF9B93" w14:textId="77777777">
      <w:pPr>
        <w:spacing w:after="0" w:line="240" w:lineRule="auto"/>
        <w:rPr>
          <w:rFonts w:ascii="Palatino Linotype" w:hAnsi="Palatino Linotype" w:eastAsia="Palatino Linotype" w:cs="Times New Roman"/>
          <w:kern w:val="0"/>
          <w14:ligatures w14:val="none"/>
        </w:rPr>
      </w:pPr>
    </w:p>
    <w:p w:rsidRPr="008F34BE" w:rsidR="005619F7" w:rsidRDefault="00B87CB5" w14:paraId="0290271B"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It is not reasonable to apply the standard Rule 15 refund process and the BARC methodology as written to th</w:t>
      </w:r>
      <w:r w:rsidRPr="008F34BE" w:rsidR="005619F7">
        <w:rPr>
          <w:rFonts w:ascii="Palatino Linotype" w:hAnsi="Palatino Linotype" w:eastAsia="Aptos" w:cs="Times New Roman"/>
        </w:rPr>
        <w:t>e Microsoft</w:t>
      </w:r>
      <w:r w:rsidRPr="008F34BE">
        <w:rPr>
          <w:rFonts w:ascii="Palatino Linotype" w:hAnsi="Palatino Linotype" w:eastAsia="Aptos" w:cs="Times New Roman"/>
        </w:rPr>
        <w:t xml:space="preserve"> project without modification.</w:t>
      </w:r>
    </w:p>
    <w:p w:rsidRPr="008F34BE" w:rsidR="00FF18BE" w:rsidP="00FF18BE" w:rsidRDefault="00FF18BE" w14:paraId="6F38DBF8" w14:textId="77777777">
      <w:pPr>
        <w:spacing w:after="0" w:line="240" w:lineRule="auto"/>
        <w:rPr>
          <w:rFonts w:ascii="Palatino Linotype" w:hAnsi="Palatino Linotype" w:eastAsia="Palatino Linotype" w:cs="Times New Roman"/>
          <w:kern w:val="0"/>
          <w14:ligatures w14:val="none"/>
        </w:rPr>
      </w:pPr>
    </w:p>
    <w:p w:rsidRPr="008F34BE" w:rsidR="00325971" w:rsidRDefault="005619F7" w14:paraId="735BBCE4"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to </w:t>
      </w:r>
      <w:r w:rsidRPr="008F34BE" w:rsidR="004C1D95">
        <w:rPr>
          <w:rFonts w:ascii="Palatino Linotype" w:hAnsi="Palatino Linotype" w:eastAsia="Palatino Linotype" w:cs="Times New Roman"/>
          <w:kern w:val="0"/>
          <w14:ligatures w14:val="none"/>
        </w:rPr>
        <w:t xml:space="preserve">base the </w:t>
      </w:r>
      <w:r w:rsidRPr="008F34BE" w:rsidR="005D7636">
        <w:rPr>
          <w:rFonts w:ascii="Palatino Linotype" w:hAnsi="Palatino Linotype" w:eastAsia="Palatino Linotype" w:cs="Times New Roman"/>
          <w:kern w:val="0"/>
          <w14:ligatures w14:val="none"/>
        </w:rPr>
        <w:t xml:space="preserve">annual </w:t>
      </w:r>
      <w:r w:rsidRPr="008F34BE" w:rsidR="004C1D95">
        <w:rPr>
          <w:rFonts w:ascii="Palatino Linotype" w:hAnsi="Palatino Linotype" w:eastAsia="Palatino Linotype" w:cs="Times New Roman"/>
          <w:kern w:val="0"/>
          <w14:ligatures w14:val="none"/>
        </w:rPr>
        <w:t xml:space="preserve">refundable amount for </w:t>
      </w:r>
      <w:r w:rsidRPr="008F34BE" w:rsidR="002D2C8C">
        <w:rPr>
          <w:rFonts w:ascii="Palatino Linotype" w:hAnsi="Palatino Linotype" w:eastAsia="Palatino Linotype" w:cs="Times New Roman"/>
          <w:kern w:val="0"/>
          <w14:ligatures w14:val="none"/>
        </w:rPr>
        <w:t>infrastructure needed to energize the</w:t>
      </w:r>
      <w:r w:rsidRPr="008F34BE" w:rsidR="004C1D95">
        <w:rPr>
          <w:rFonts w:ascii="Palatino Linotype" w:hAnsi="Palatino Linotype" w:eastAsia="Palatino Linotype" w:cs="Times New Roman"/>
          <w:kern w:val="0"/>
          <w14:ligatures w14:val="none"/>
        </w:rPr>
        <w:t xml:space="preserve"> Microsoft project on</w:t>
      </w:r>
      <w:r w:rsidRPr="008F34BE" w:rsidR="005D7636">
        <w:rPr>
          <w:rFonts w:ascii="Palatino Linotype" w:hAnsi="Palatino Linotype" w:eastAsia="Palatino Linotype" w:cs="Times New Roman"/>
          <w:kern w:val="0"/>
          <w14:ligatures w14:val="none"/>
        </w:rPr>
        <w:t xml:space="preserve"> the net revenue that will be received from Microsoft when the project is energized</w:t>
      </w:r>
      <w:r w:rsidRPr="008F34BE" w:rsidR="002D2C8C">
        <w:rPr>
          <w:rFonts w:ascii="Palatino Linotype" w:hAnsi="Palatino Linotype" w:eastAsia="Palatino Linotype" w:cs="Times New Roman"/>
          <w:kern w:val="0"/>
          <w14:ligatures w14:val="none"/>
        </w:rPr>
        <w:t>.</w:t>
      </w:r>
    </w:p>
    <w:p w:rsidRPr="008F34BE" w:rsidR="00FF18BE" w:rsidP="00FF18BE" w:rsidRDefault="00FF18BE" w14:paraId="216A7B14" w14:textId="77777777">
      <w:pPr>
        <w:spacing w:after="0" w:line="240" w:lineRule="auto"/>
        <w:rPr>
          <w:rFonts w:ascii="Palatino Linotype" w:hAnsi="Palatino Linotype" w:eastAsia="Palatino Linotype" w:cs="Times New Roman"/>
          <w:kern w:val="0"/>
          <w14:ligatures w14:val="none"/>
        </w:rPr>
      </w:pPr>
    </w:p>
    <w:p w:rsidRPr="008F34BE" w:rsidR="00FF18BE" w:rsidRDefault="00325971" w14:paraId="0D0078AC"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BARC process as written in the Electric Rule 15 Tariff could result </w:t>
      </w:r>
      <w:r w:rsidRPr="008F34BE" w:rsidR="008D7BF2">
        <w:rPr>
          <w:rFonts w:ascii="Palatino Linotype" w:hAnsi="Palatino Linotype" w:eastAsia="Palatino Linotype" w:cs="Times New Roman"/>
          <w:kern w:val="0"/>
          <w14:ligatures w14:val="none"/>
        </w:rPr>
        <w:t xml:space="preserve">in the actual cost of energization being refunded to Microsoft </w:t>
      </w:r>
      <w:r w:rsidRPr="008F34BE" w:rsidR="00FF18BE">
        <w:rPr>
          <w:rFonts w:ascii="Palatino Linotype" w:hAnsi="Palatino Linotype" w:eastAsia="Palatino Linotype" w:cs="Times New Roman"/>
          <w:kern w:val="0"/>
          <w14:ligatures w14:val="none"/>
        </w:rPr>
        <w:t>before the net revenue received by PG&amp;E would equal to those costs.</w:t>
      </w:r>
    </w:p>
    <w:p w:rsidRPr="008F34BE" w:rsidR="00FF18BE" w:rsidP="00FF18BE" w:rsidRDefault="00FF18BE" w14:paraId="6622201F" w14:textId="77777777">
      <w:pPr>
        <w:spacing w:after="0" w:line="240" w:lineRule="auto"/>
        <w:rPr>
          <w:rFonts w:ascii="Palatino Linotype" w:hAnsi="Palatino Linotype" w:eastAsia="Palatino Linotype" w:cs="Times New Roman"/>
          <w:kern w:val="0"/>
          <w14:ligatures w14:val="none"/>
        </w:rPr>
      </w:pPr>
    </w:p>
    <w:p w:rsidRPr="0015269D" w:rsidR="00ED6672" w:rsidP="0015269D" w:rsidRDefault="003273E3" w14:paraId="46372399" w14:textId="77777777">
      <w:pPr>
        <w:pStyle w:val="ListParagraph"/>
        <w:numPr>
          <w:ilvl w:val="0"/>
          <w:numId w:val="1"/>
        </w:numPr>
        <w:spacing w:after="0"/>
        <w:ind w:left="418" w:hanging="418"/>
        <w:contextualSpacing w:val="0"/>
      </w:pPr>
      <w:r w:rsidRPr="008F34BE">
        <w:rPr>
          <w:rFonts w:ascii="Palatino Linotype" w:hAnsi="Palatino Linotype" w:eastAsia="Aptos" w:cs="Times New Roman"/>
        </w:rPr>
        <w:t>In this case, d</w:t>
      </w:r>
      <w:r w:rsidRPr="008F34BE" w:rsidR="007D20AB">
        <w:rPr>
          <w:rFonts w:ascii="Palatino Linotype" w:hAnsi="Palatino Linotype" w:eastAsia="Aptos" w:cs="Times New Roman"/>
        </w:rPr>
        <w:t xml:space="preserve">ifferences in electric rates and the </w:t>
      </w:r>
      <w:r w:rsidRPr="008F34BE" w:rsidR="00756312">
        <w:rPr>
          <w:rFonts w:ascii="Palatino Linotype" w:hAnsi="Palatino Linotype" w:eastAsia="Aptos" w:cs="Times New Roman"/>
        </w:rPr>
        <w:t xml:space="preserve">Microsoft project’s </w:t>
      </w:r>
      <w:r w:rsidRPr="008F34BE" w:rsidR="007D20AB">
        <w:rPr>
          <w:rFonts w:ascii="Palatino Linotype" w:hAnsi="Palatino Linotype" w:eastAsia="Aptos" w:cs="Times New Roman"/>
        </w:rPr>
        <w:t>scale and type of energization costs justify additional safeguards to protect ratepayers from assuming the risk of energizing these types of customers.</w:t>
      </w:r>
    </w:p>
    <w:p w:rsidRPr="00F43037" w:rsidR="0015269D" w:rsidP="00F43037" w:rsidRDefault="0015269D" w14:paraId="4C5D725B" w14:textId="77777777">
      <w:pPr>
        <w:spacing w:after="0" w:line="240" w:lineRule="auto"/>
        <w:rPr>
          <w:rFonts w:ascii="Palatino Linotype" w:hAnsi="Palatino Linotype" w:eastAsia="Palatino Linotype" w:cs="Times New Roman"/>
          <w:kern w:val="0"/>
          <w14:ligatures w14:val="none"/>
        </w:rPr>
      </w:pPr>
    </w:p>
    <w:p w:rsidRPr="008F34BE" w:rsidR="004B6FA2" w:rsidP="00B254C2" w:rsidRDefault="00FC6BC2" w14:paraId="37F8FBBA"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In this case, given differences in electric rates and the scale and type of energization costs large load transmission-level customers, </w:t>
      </w:r>
      <w:r w:rsidRPr="008F34BE" w:rsidR="0052621B">
        <w:rPr>
          <w:rFonts w:ascii="Palatino Linotype" w:hAnsi="Palatino Linotype" w:eastAsia="Palatino Linotype" w:cs="Times New Roman"/>
          <w:kern w:val="0"/>
          <w14:ligatures w14:val="none"/>
        </w:rPr>
        <w:t xml:space="preserve">it is reasonable to limit </w:t>
      </w:r>
      <w:r w:rsidR="003B63D4">
        <w:rPr>
          <w:rFonts w:ascii="Palatino Linotype" w:hAnsi="Palatino Linotype" w:eastAsia="Palatino Linotype" w:cs="Times New Roman"/>
          <w:kern w:val="0"/>
          <w14:ligatures w14:val="none"/>
        </w:rPr>
        <w:br/>
      </w:r>
      <w:r w:rsidRPr="008F34BE" w:rsidR="0052621B">
        <w:rPr>
          <w:rFonts w:ascii="Palatino Linotype" w:hAnsi="Palatino Linotype" w:eastAsia="Palatino Linotype" w:cs="Times New Roman"/>
          <w:kern w:val="0"/>
          <w14:ligatures w14:val="none"/>
        </w:rPr>
        <w:t>Microsoft’s annual refunds for energization costs to 75 percent of the annual, actual net revenues received.</w:t>
      </w:r>
    </w:p>
    <w:p w:rsidRPr="008F34BE" w:rsidR="009C1974" w:rsidP="00E0405C" w:rsidRDefault="009C1974" w14:paraId="65DDF346" w14:textId="77777777">
      <w:pPr>
        <w:spacing w:after="0" w:line="240" w:lineRule="auto"/>
        <w:rPr>
          <w:rFonts w:ascii="Palatino Linotype" w:hAnsi="Palatino Linotype" w:eastAsia="Palatino Linotype" w:cs="Times New Roman"/>
          <w:kern w:val="0"/>
          <w14:ligatures w14:val="none"/>
        </w:rPr>
      </w:pPr>
    </w:p>
    <w:p w:rsidRPr="008F34BE" w:rsidR="00B254C2" w:rsidP="00B254C2" w:rsidRDefault="00FD4EA4" w14:paraId="0ECAA311"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In this case, </w:t>
      </w:r>
      <w:r w:rsidRPr="008F34BE">
        <w:rPr>
          <w:rFonts w:ascii="Palatino Linotype" w:hAnsi="Palatino Linotype" w:eastAsia="Aptos" w:cs="Times New Roman"/>
        </w:rPr>
        <w:t>it is reasonable to provide a refund related to the ITCC as an additional adjustment to the 75 percent annual refund limit stated above.</w:t>
      </w:r>
    </w:p>
    <w:p w:rsidRPr="008F34BE" w:rsidR="00EE2F7F" w:rsidP="00E0405C" w:rsidRDefault="00EE2F7F" w14:paraId="0EDE8677" w14:textId="77777777">
      <w:pPr>
        <w:spacing w:after="0" w:line="240" w:lineRule="auto"/>
        <w:rPr>
          <w:rFonts w:ascii="Palatino Linotype" w:hAnsi="Palatino Linotype" w:eastAsia="Palatino Linotype" w:cs="Times New Roman"/>
          <w:kern w:val="0"/>
          <w14:ligatures w14:val="none"/>
        </w:rPr>
      </w:pPr>
    </w:p>
    <w:p w:rsidRPr="008F34BE" w:rsidR="000D5E57" w:rsidP="00B254C2" w:rsidRDefault="000D5E57" w14:paraId="09D93B0E"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In this case, it is reasonable to extend the refund period</w:t>
      </w:r>
      <w:r w:rsidRPr="008F34BE" w:rsidR="00977676">
        <w:rPr>
          <w:rFonts w:ascii="Palatino Linotype" w:hAnsi="Palatino Linotype" w:eastAsia="Aptos" w:cs="Times New Roman"/>
        </w:rPr>
        <w:t xml:space="preserve"> to fifteen years.</w:t>
      </w:r>
    </w:p>
    <w:p w:rsidRPr="008F34BE" w:rsidR="00DA2E59" w:rsidP="00B254C2" w:rsidRDefault="00DA2E59" w14:paraId="6DBB47EC" w14:textId="77777777">
      <w:pPr>
        <w:spacing w:after="0" w:line="240" w:lineRule="auto"/>
        <w:rPr>
          <w:rFonts w:ascii="Palatino Linotype" w:hAnsi="Palatino Linotype" w:eastAsia="Palatino Linotype" w:cs="Times New Roman"/>
          <w:kern w:val="0"/>
          <w14:ligatures w14:val="none"/>
        </w:rPr>
      </w:pPr>
    </w:p>
    <w:p w:rsidRPr="008F34BE" w:rsidR="00E25C53" w:rsidP="006C6380" w:rsidRDefault="00E25C53" w14:paraId="44C31FA5"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Given these modifications to the standard BARC process, it is also reasonable to disregard the customer financed cost of ownership in this case.</w:t>
      </w:r>
    </w:p>
    <w:p w:rsidRPr="008F34BE" w:rsidR="00F71B2D" w:rsidP="00F43037" w:rsidRDefault="00F71B2D" w14:paraId="0CA1E0F9" w14:textId="77777777">
      <w:pPr>
        <w:spacing w:after="0" w:line="240" w:lineRule="auto"/>
        <w:rPr>
          <w:rFonts w:ascii="Palatino Linotype" w:hAnsi="Palatino Linotype" w:eastAsia="Palatino Linotype" w:cs="Times New Roman"/>
          <w:kern w:val="0"/>
          <w14:ligatures w14:val="none"/>
        </w:rPr>
      </w:pPr>
    </w:p>
    <w:p w:rsidRPr="008F34BE" w:rsidR="00F71B2D" w:rsidP="006C6380" w:rsidRDefault="00F71B2D" w14:paraId="394076BE"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w:t>
      </w:r>
      <w:r w:rsidRPr="008F34BE" w:rsidR="00A81F02">
        <w:rPr>
          <w:rFonts w:ascii="Palatino Linotype" w:hAnsi="Palatino Linotype" w:eastAsia="Aptos" w:cs="Times New Roman"/>
        </w:rPr>
        <w:t>for PG&amp;E to submit a modified agreement with the changes specified herein for approval through a Tier 1 Advice Letter.</w:t>
      </w:r>
    </w:p>
    <w:p w:rsidRPr="008F34BE" w:rsidR="006C6380" w:rsidP="00F43037" w:rsidRDefault="006C6380" w14:paraId="79181908" w14:textId="77777777">
      <w:pPr>
        <w:spacing w:after="0" w:line="240" w:lineRule="auto"/>
        <w:rPr>
          <w:rFonts w:ascii="Palatino Linotype" w:hAnsi="Palatino Linotype" w:eastAsia="Palatino Linotype" w:cs="Times New Roman"/>
          <w:kern w:val="0"/>
          <w14:ligatures w14:val="none"/>
        </w:rPr>
      </w:pPr>
    </w:p>
    <w:p w:rsidRPr="008F34BE" w:rsidR="006C6380" w:rsidP="006C6380" w:rsidRDefault="00711F9E" w14:paraId="2C854916"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The findings and conclusions in this Resolution should in no way prejudice the ongoing deliberation in the Rule 30 proceeding, A. 24-11-007.</w:t>
      </w:r>
    </w:p>
    <w:p w:rsidRPr="008F34BE" w:rsidR="00A81F02" w:rsidP="00F43037" w:rsidRDefault="00A81F02" w14:paraId="10518A2A" w14:textId="77777777">
      <w:pPr>
        <w:spacing w:after="0" w:line="240" w:lineRule="auto"/>
        <w:rPr>
          <w:rFonts w:ascii="Palatino Linotype" w:hAnsi="Palatino Linotype" w:eastAsia="Palatino Linotype" w:cs="Times New Roman"/>
          <w:kern w:val="0"/>
          <w14:ligatures w14:val="none"/>
        </w:rPr>
      </w:pPr>
    </w:p>
    <w:p w:rsidRPr="008F34BE" w:rsidR="00A81F02" w:rsidP="006C6380" w:rsidRDefault="00B566AD" w14:paraId="232E3770"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w:t>
      </w:r>
      <w:r w:rsidRPr="008F34BE">
        <w:rPr>
          <w:rFonts w:ascii="Palatino Linotype" w:hAnsi="Palatino Linotype" w:eastAsia="Times New Roman" w:cs="Times New Roman"/>
          <w:kern w:val="0"/>
          <w14:ligatures w14:val="none"/>
        </w:rPr>
        <w:t>payment of a cash advance from Microsoft to PG&amp;E is reasonable.</w:t>
      </w:r>
    </w:p>
    <w:p w:rsidRPr="008F34BE" w:rsidR="00B566AD" w:rsidP="00F43037" w:rsidRDefault="00B566AD" w14:paraId="3F1196C9" w14:textId="77777777">
      <w:pPr>
        <w:spacing w:after="0" w:line="240" w:lineRule="auto"/>
        <w:rPr>
          <w:rFonts w:ascii="Palatino Linotype" w:hAnsi="Palatino Linotype" w:eastAsia="Palatino Linotype" w:cs="Times New Roman"/>
          <w:kern w:val="0"/>
          <w14:ligatures w14:val="none"/>
        </w:rPr>
      </w:pPr>
    </w:p>
    <w:p w:rsidRPr="008F34BE" w:rsidR="00B566AD" w:rsidP="006C6380" w:rsidRDefault="007F1DC8" w14:paraId="20D2615B"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The elimination of the</w:t>
      </w:r>
      <w:r w:rsidRPr="008F34BE" w:rsidR="0032718B">
        <w:rPr>
          <w:rFonts w:ascii="Palatino Linotype" w:hAnsi="Palatino Linotype" w:eastAsia="Palatino Linotype" w:cs="Times New Roman"/>
          <w:kern w:val="0"/>
          <w14:ligatures w14:val="none"/>
        </w:rPr>
        <w:t xml:space="preserve"> Non-Refundable Discount Option</w:t>
      </w:r>
      <w:r w:rsidRPr="008F34BE">
        <w:rPr>
          <w:rFonts w:ascii="Palatino Linotype" w:hAnsi="Palatino Linotype" w:eastAsia="Palatino Linotype" w:cs="Times New Roman"/>
          <w:kern w:val="0"/>
          <w14:ligatures w14:val="none"/>
        </w:rPr>
        <w:t xml:space="preserve"> is reasonable to protect ratepayers from undue risk of the costs of interconnection</w:t>
      </w:r>
      <w:r w:rsidRPr="008F34BE" w:rsidR="00167FED">
        <w:rPr>
          <w:rFonts w:ascii="Palatino Linotype" w:hAnsi="Palatino Linotype" w:eastAsia="Palatino Linotype" w:cs="Times New Roman"/>
          <w:kern w:val="0"/>
          <w14:ligatures w14:val="none"/>
        </w:rPr>
        <w:t>.</w:t>
      </w:r>
    </w:p>
    <w:p w:rsidRPr="008F34BE" w:rsidR="00167FED" w:rsidP="00375F2A" w:rsidRDefault="00167FED" w14:paraId="41EDACB6" w14:textId="77777777">
      <w:pPr>
        <w:pStyle w:val="ListParagraph"/>
        <w:spacing w:after="0"/>
        <w:rPr>
          <w:rFonts w:ascii="Palatino Linotype" w:hAnsi="Palatino Linotype" w:eastAsia="Palatino Linotype" w:cs="Times New Roman"/>
          <w:kern w:val="0"/>
          <w14:ligatures w14:val="none"/>
        </w:rPr>
      </w:pPr>
    </w:p>
    <w:p w:rsidRPr="008F34BE" w:rsidR="00167FED" w:rsidP="006C6380" w:rsidRDefault="00375F2A" w14:paraId="560794FD"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lastRenderedPageBreak/>
        <w:t>It is reasonable that PG&amp;E should be the entity to both design and construct the necessary transmission facilities and that PG&amp;E should not offer the Applicant Design and Installation Options normally offered under</w:t>
      </w:r>
      <w:r w:rsidRPr="008F34BE" w:rsidR="00AB5183">
        <w:rPr>
          <w:rFonts w:ascii="Palatino Linotype" w:hAnsi="Palatino Linotype" w:eastAsia="Palatino Linotype" w:cs="Times New Roman"/>
          <w:kern w:val="0"/>
          <w14:ligatures w14:val="none"/>
        </w:rPr>
        <w:t xml:space="preserve"> the</w:t>
      </w:r>
      <w:r w:rsidRPr="008F34BE">
        <w:rPr>
          <w:rFonts w:ascii="Palatino Linotype" w:hAnsi="Palatino Linotype" w:eastAsia="Palatino Linotype" w:cs="Times New Roman"/>
          <w:kern w:val="0"/>
          <w14:ligatures w14:val="none"/>
        </w:rPr>
        <w:t xml:space="preserve"> Electric Rule 15</w:t>
      </w:r>
      <w:r w:rsidRPr="008F34BE" w:rsidR="00AB5183">
        <w:rPr>
          <w:rFonts w:ascii="Palatino Linotype" w:hAnsi="Palatino Linotype" w:eastAsia="Palatino Linotype" w:cs="Times New Roman"/>
          <w:kern w:val="0"/>
          <w14:ligatures w14:val="none"/>
        </w:rPr>
        <w:t xml:space="preserve"> Tariff.</w:t>
      </w:r>
    </w:p>
    <w:p w:rsidRPr="008F34BE" w:rsidR="00AB5183" w:rsidP="00F43037" w:rsidRDefault="00AB5183" w14:paraId="7BEB83B3" w14:textId="77777777">
      <w:pPr>
        <w:spacing w:after="0" w:line="240" w:lineRule="auto"/>
        <w:rPr>
          <w:rFonts w:ascii="Palatino Linotype" w:hAnsi="Palatino Linotype" w:eastAsia="Palatino Linotype" w:cs="Times New Roman"/>
          <w:kern w:val="0"/>
          <w14:ligatures w14:val="none"/>
        </w:rPr>
      </w:pPr>
    </w:p>
    <w:p w:rsidRPr="008F34BE" w:rsidR="00AB5183" w:rsidP="006C6380" w:rsidRDefault="00936D8A" w14:paraId="15286969"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It is reasonable to allow this work to be performed on an actual cost basis as requested by PG&amp;E.</w:t>
      </w:r>
    </w:p>
    <w:p w:rsidRPr="008F34BE" w:rsidR="00EE2727" w:rsidP="00F43037" w:rsidRDefault="00EE2727" w14:paraId="4A608C87" w14:textId="77777777">
      <w:pPr>
        <w:spacing w:after="0" w:line="240" w:lineRule="auto"/>
        <w:rPr>
          <w:rFonts w:ascii="Palatino Linotype" w:hAnsi="Palatino Linotype" w:eastAsia="Palatino Linotype" w:cs="Times New Roman"/>
          <w:kern w:val="0"/>
          <w14:ligatures w14:val="none"/>
        </w:rPr>
      </w:pPr>
    </w:p>
    <w:p w:rsidRPr="008F34BE" w:rsidR="00EE2727" w:rsidP="006C6380" w:rsidRDefault="00EE2727" w14:paraId="74FBF766" w14:textId="7777777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for the work performed by PG&amp;E </w:t>
      </w:r>
      <w:r w:rsidRPr="008F34BE" w:rsidR="00561E82">
        <w:rPr>
          <w:rFonts w:ascii="Palatino Linotype" w:hAnsi="Palatino Linotype" w:eastAsia="Palatino Linotype" w:cs="Times New Roman"/>
          <w:kern w:val="0"/>
          <w14:ligatures w14:val="none"/>
        </w:rPr>
        <w:t>described in Attachment 2:</w:t>
      </w:r>
      <w:r w:rsidRPr="008F34BE">
        <w:rPr>
          <w:rFonts w:ascii="Palatino Linotype" w:hAnsi="Palatino Linotype" w:eastAsia="Palatino Linotype" w:cs="Times New Roman"/>
          <w:kern w:val="0"/>
          <w14:ligatures w14:val="none"/>
        </w:rPr>
        <w:t xml:space="preserve"> </w:t>
      </w:r>
      <w:r w:rsidRPr="008F34BE">
        <w:rPr>
          <w:rFonts w:ascii="Palatino Linotype" w:hAnsi="Palatino Linotype" w:eastAsia="Times New Roman" w:cs="Times New Roman"/>
          <w:kern w:val="0"/>
          <w14:ligatures w14:val="none"/>
        </w:rPr>
        <w:t xml:space="preserve">Review of Applicant Substation Design to be </w:t>
      </w:r>
      <w:r w:rsidRPr="008F34BE" w:rsidR="00561E82">
        <w:rPr>
          <w:rFonts w:ascii="Palatino Linotype" w:hAnsi="Palatino Linotype" w:eastAsia="Times New Roman" w:cs="Times New Roman"/>
          <w:kern w:val="0"/>
          <w14:ligatures w14:val="none"/>
        </w:rPr>
        <w:t xml:space="preserve">deemed </w:t>
      </w:r>
      <w:r w:rsidRPr="008F34BE">
        <w:rPr>
          <w:rFonts w:ascii="Palatino Linotype" w:hAnsi="Palatino Linotype" w:eastAsia="Times New Roman" w:cs="Times New Roman"/>
          <w:kern w:val="0"/>
          <w14:ligatures w14:val="none"/>
        </w:rPr>
        <w:t>non-refundable</w:t>
      </w:r>
      <w:r w:rsidRPr="008F34BE" w:rsidR="00561E82">
        <w:rPr>
          <w:rFonts w:ascii="Palatino Linotype" w:hAnsi="Palatino Linotype" w:eastAsia="Times New Roman" w:cs="Times New Roman"/>
          <w:kern w:val="0"/>
          <w14:ligatures w14:val="none"/>
        </w:rPr>
        <w:t>.</w:t>
      </w:r>
    </w:p>
    <w:p w:rsidRPr="008F34BE" w:rsidR="00A76F4A" w:rsidP="00A76F4A" w:rsidRDefault="00A76F4A" w14:paraId="014EF487" w14:textId="77777777">
      <w:pPr>
        <w:spacing w:after="0" w:line="240" w:lineRule="auto"/>
        <w:rPr>
          <w:rFonts w:ascii="Palatino Linotype" w:hAnsi="Palatino Linotype" w:eastAsia="Palatino Linotype" w:cs="Times New Roman"/>
          <w:b/>
          <w:kern w:val="0"/>
          <w14:ligatures w14:val="none"/>
        </w:rPr>
      </w:pPr>
    </w:p>
    <w:p w:rsidRPr="008F34BE" w:rsidR="00A76F4A" w:rsidP="00A76F4A" w:rsidRDefault="00A76F4A" w14:paraId="4D0784E2"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8F34BE">
        <w:rPr>
          <w:rFonts w:ascii="Palatino Linotype" w:hAnsi="Palatino Linotype" w:eastAsia="Palatino Linotype" w:cs="Times New Roman"/>
          <w:b/>
          <w:caps/>
          <w:kern w:val="28"/>
          <w:u w:val="single"/>
          <w14:ligatures w14:val="none"/>
        </w:rPr>
        <w:t>Therefore</w:t>
      </w:r>
      <w:proofErr w:type="gramEnd"/>
      <w:r w:rsidRPr="008F34BE">
        <w:rPr>
          <w:rFonts w:ascii="Palatino Linotype" w:hAnsi="Palatino Linotype" w:eastAsia="Palatino Linotype" w:cs="Times New Roman"/>
          <w:b/>
          <w:caps/>
          <w:kern w:val="28"/>
          <w:u w:val="single"/>
          <w14:ligatures w14:val="none"/>
        </w:rPr>
        <w:t xml:space="preserve"> it is ordered that:</w:t>
      </w:r>
    </w:p>
    <w:p w:rsidRPr="008F34BE" w:rsidR="00361456" w:rsidP="00A76F4A" w:rsidRDefault="00361456" w14:paraId="3481A187" w14:textId="77777777">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The request of Pacific Gas &amp; Electric (PG&amp;E)</w:t>
      </w:r>
      <w:r w:rsidRPr="008F34BE" w:rsidR="00A719C0">
        <w:rPr>
          <w:rFonts w:ascii="Palatino Linotype" w:hAnsi="Palatino Linotype" w:eastAsia="Palatino Linotype" w:cs="Times New Roman"/>
          <w:snapToGrid w:val="0"/>
          <w:kern w:val="0"/>
          <w14:ligatures w14:val="none"/>
        </w:rPr>
        <w:t xml:space="preserve"> to approve the </w:t>
      </w:r>
      <w:r w:rsidRPr="008F34BE" w:rsidR="002B30D1">
        <w:rPr>
          <w:rFonts w:ascii="Palatino Linotype" w:hAnsi="Palatino Linotype" w:eastAsia="Palatino Linotype" w:cs="Times New Roman"/>
          <w:snapToGrid w:val="0"/>
          <w:kern w:val="0"/>
          <w14:ligatures w14:val="none"/>
        </w:rPr>
        <w:t xml:space="preserve">following agreements </w:t>
      </w:r>
      <w:r w:rsidRPr="008F34BE" w:rsidR="00F94D3C">
        <w:rPr>
          <w:rFonts w:ascii="Palatino Linotype" w:hAnsi="Palatino Linotype" w:eastAsia="Palatino Linotype" w:cs="Times New Roman"/>
          <w:snapToGrid w:val="0"/>
          <w:kern w:val="0"/>
          <w14:ligatures w14:val="none"/>
        </w:rPr>
        <w:t xml:space="preserve">as requested in Advice Letter 7635-E are approved with the </w:t>
      </w:r>
      <w:r w:rsidRPr="008F34BE" w:rsidR="00552D47">
        <w:rPr>
          <w:rFonts w:ascii="Palatino Linotype" w:hAnsi="Palatino Linotype" w:eastAsia="Palatino Linotype" w:cs="Times New Roman"/>
          <w:snapToGrid w:val="0"/>
          <w:kern w:val="0"/>
          <w14:ligatures w14:val="none"/>
        </w:rPr>
        <w:t>modifications set forth above and otherwise specified herein:</w:t>
      </w:r>
    </w:p>
    <w:p w:rsidRPr="008F34BE" w:rsidR="00552D47" w:rsidP="008F110A" w:rsidRDefault="00552D47" w14:paraId="6C1E8BA9" w14:textId="77777777">
      <w:pPr>
        <w:spacing w:after="0" w:line="240" w:lineRule="auto"/>
        <w:rPr>
          <w:rFonts w:ascii="Palatino Linotype" w:hAnsi="Palatino Linotype" w:eastAsia="Palatino Linotype" w:cs="Times New Roman"/>
          <w:snapToGrid w:val="0"/>
          <w:kern w:val="0"/>
          <w14:ligatures w14:val="none"/>
        </w:rPr>
      </w:pPr>
    </w:p>
    <w:p w:rsidRPr="008F34BE" w:rsidR="008F110A" w:rsidP="008F110A" w:rsidRDefault="008F110A" w14:paraId="6AE0C781" w14:textId="77777777">
      <w:pPr>
        <w:pStyle w:val="ListParagraph"/>
        <w:numPr>
          <w:ilvl w:val="0"/>
          <w:numId w:val="13"/>
        </w:num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kern w:val="0"/>
          <w14:ligatures w14:val="none"/>
        </w:rPr>
        <w:t>Agreement to Perform Tariff Schedule Work (Electric Form 62-4527)</w:t>
      </w:r>
    </w:p>
    <w:p w:rsidRPr="008F34BE" w:rsidR="008F110A" w:rsidP="008F110A" w:rsidRDefault="008F110A" w14:paraId="4C529C78" w14:textId="77777777">
      <w:pPr>
        <w:spacing w:after="0" w:line="240" w:lineRule="auto"/>
        <w:rPr>
          <w:rFonts w:ascii="Palatino Linotype" w:hAnsi="Palatino Linotype" w:eastAsia="Palatino Linotype" w:cs="Times New Roman"/>
          <w:bCs/>
          <w:kern w:val="0"/>
          <w14:ligatures w14:val="none"/>
        </w:rPr>
      </w:pPr>
    </w:p>
    <w:p w:rsidRPr="008F34BE" w:rsidR="008F110A" w:rsidP="008F110A" w:rsidRDefault="008F110A" w14:paraId="18498422" w14:textId="77777777">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Agreement to Perform Tariff Schedule Related Work (Electric Form 62-4527) for PG&amp;E Review of Applicant Substation Design</w:t>
      </w:r>
    </w:p>
    <w:p w:rsidRPr="00F43037" w:rsidR="008F110A" w:rsidP="00F43037" w:rsidRDefault="008F110A" w14:paraId="575ECC57" w14:textId="77777777">
      <w:pPr>
        <w:spacing w:after="0" w:line="240" w:lineRule="auto"/>
        <w:rPr>
          <w:rFonts w:ascii="Palatino Linotype" w:hAnsi="Palatino Linotype" w:eastAsia="Palatino Linotype" w:cs="Times New Roman"/>
          <w:snapToGrid w:val="0"/>
          <w:kern w:val="0"/>
          <w14:ligatures w14:val="none"/>
        </w:rPr>
      </w:pPr>
    </w:p>
    <w:p w:rsidRPr="008F34BE" w:rsidR="008F110A" w:rsidP="008F110A" w:rsidRDefault="008F110A" w14:paraId="6AD20416" w14:textId="77777777">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Agreement for Installation or Allocation of Special Facilities (Electric Form </w:t>
      </w:r>
      <w:r w:rsidR="003B63D4">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79-255)</w:t>
      </w:r>
    </w:p>
    <w:p w:rsidRPr="008F34BE" w:rsidR="008F110A" w:rsidP="008F110A" w:rsidRDefault="008F110A" w14:paraId="15F3C212" w14:textId="77777777">
      <w:pPr>
        <w:spacing w:after="0" w:line="240" w:lineRule="auto"/>
        <w:rPr>
          <w:rFonts w:ascii="Palatino Linotype" w:hAnsi="Palatino Linotype" w:eastAsia="Times New Roman" w:cs="Times New Roman"/>
          <w:kern w:val="0"/>
          <w14:ligatures w14:val="none"/>
        </w:rPr>
      </w:pPr>
    </w:p>
    <w:p w:rsidRPr="008F34BE" w:rsidR="008F110A" w:rsidP="008F110A" w:rsidRDefault="008F110A" w14:paraId="4368EC9A" w14:textId="77777777">
      <w:pPr>
        <w:pStyle w:val="ListParagraph"/>
        <w:numPr>
          <w:ilvl w:val="0"/>
          <w:numId w:val="13"/>
        </w:num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Times New Roman" w:cs="Times New Roman"/>
          <w:kern w:val="0"/>
          <w14:ligatures w14:val="none"/>
        </w:rPr>
        <w:t>Addendum to the Agreement for the Installation or Allocation of Special Facilities for Microsoft Corporation SJC02 Project</w:t>
      </w:r>
    </w:p>
    <w:p w:rsidRPr="008F34BE" w:rsidR="008F110A" w:rsidP="008F110A" w:rsidRDefault="008F110A" w14:paraId="2B49B566" w14:textId="77777777">
      <w:pPr>
        <w:spacing w:after="0" w:line="240" w:lineRule="auto"/>
        <w:rPr>
          <w:rFonts w:ascii="Palatino Linotype" w:hAnsi="Palatino Linotype" w:eastAsia="Palatino Linotype" w:cs="Times New Roman"/>
          <w:snapToGrid w:val="0"/>
          <w:kern w:val="0"/>
          <w14:ligatures w14:val="none"/>
        </w:rPr>
      </w:pPr>
    </w:p>
    <w:p w:rsidRPr="008F34BE" w:rsidR="005F5B0F" w:rsidP="002D3786" w:rsidRDefault="002D3786" w14:paraId="45C0E1A5" w14:textId="77777777">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 xml:space="preserve">PG&amp;E shall modify the refund process in the Agreement to Perform Tariff Schedule Related Work to </w:t>
      </w:r>
      <w:r w:rsidRPr="008F34BE">
        <w:rPr>
          <w:rFonts w:ascii="Palatino Linotype" w:hAnsi="Palatino Linotype" w:eastAsia="Aptos" w:cs="Times New Roman"/>
        </w:rPr>
        <w:t xml:space="preserve">limit annual refunds to </w:t>
      </w:r>
      <w:r w:rsidRPr="008F34BE" w:rsidR="00EF063F">
        <w:rPr>
          <w:rFonts w:ascii="Palatino Linotype" w:hAnsi="Palatino Linotype" w:eastAsia="Aptos" w:cs="Times New Roman"/>
        </w:rPr>
        <w:t>the Microsoft project</w:t>
      </w:r>
      <w:r w:rsidRPr="008F34BE">
        <w:rPr>
          <w:rFonts w:ascii="Palatino Linotype" w:hAnsi="Palatino Linotype" w:eastAsia="Aptos" w:cs="Times New Roman"/>
        </w:rPr>
        <w:t xml:space="preserve"> to 75 percent of the annual net revenues PG&amp;E collected from </w:t>
      </w:r>
      <w:r w:rsidRPr="008F34BE" w:rsidR="00EF063F">
        <w:rPr>
          <w:rFonts w:ascii="Palatino Linotype" w:hAnsi="Palatino Linotype" w:eastAsia="Aptos" w:cs="Times New Roman"/>
        </w:rPr>
        <w:t>Microsoft</w:t>
      </w:r>
      <w:r w:rsidRPr="008F34BE">
        <w:rPr>
          <w:rFonts w:ascii="Palatino Linotype" w:hAnsi="Palatino Linotype" w:eastAsia="Aptos" w:cs="Times New Roman"/>
        </w:rPr>
        <w:t xml:space="preserve"> in that year</w:t>
      </w:r>
      <w:r w:rsidRPr="008F34BE" w:rsidR="00876112">
        <w:rPr>
          <w:rFonts w:ascii="Palatino Linotype" w:hAnsi="Palatino Linotype" w:eastAsia="Aptos" w:cs="Times New Roman"/>
        </w:rPr>
        <w:t xml:space="preserve">, adjusting for the Income Tax </w:t>
      </w:r>
      <w:r w:rsidRPr="008F34BE" w:rsidR="002A27F4">
        <w:rPr>
          <w:rFonts w:ascii="Palatino Linotype" w:hAnsi="Palatino Linotype" w:eastAsia="Aptos" w:cs="Times New Roman"/>
        </w:rPr>
        <w:t>Component of Contribution (ITCC)</w:t>
      </w:r>
      <w:r w:rsidRPr="008F34BE" w:rsidR="0088015F">
        <w:rPr>
          <w:rFonts w:ascii="Palatino Linotype" w:hAnsi="Palatino Linotype" w:eastAsia="Aptos" w:cs="Times New Roman"/>
        </w:rPr>
        <w:t xml:space="preserve"> as </w:t>
      </w:r>
      <w:r w:rsidRPr="008F34BE" w:rsidR="00F013DF">
        <w:rPr>
          <w:rFonts w:ascii="Palatino Linotype" w:hAnsi="Palatino Linotype" w:eastAsia="Aptos" w:cs="Times New Roman"/>
        </w:rPr>
        <w:t>set forth above</w:t>
      </w:r>
      <w:r w:rsidRPr="008F34BE">
        <w:rPr>
          <w:rFonts w:ascii="Palatino Linotype" w:hAnsi="Palatino Linotype" w:eastAsia="Aptos" w:cs="Times New Roman"/>
        </w:rPr>
        <w:t xml:space="preserve">. In this case, the term ‘net revenues’ refers to the transmission component of </w:t>
      </w:r>
      <w:r w:rsidRPr="008F34BE" w:rsidR="00F45608">
        <w:rPr>
          <w:rFonts w:ascii="Palatino Linotype" w:hAnsi="Palatino Linotype" w:eastAsia="Aptos" w:cs="Times New Roman"/>
        </w:rPr>
        <w:t>Microsoft</w:t>
      </w:r>
      <w:r w:rsidRPr="008F34BE">
        <w:rPr>
          <w:rFonts w:ascii="Palatino Linotype" w:hAnsi="Palatino Linotype" w:eastAsia="Aptos" w:cs="Times New Roman"/>
        </w:rPr>
        <w:t>’s electric rates and the per meter customer charge.</w:t>
      </w:r>
    </w:p>
    <w:p w:rsidRPr="008F34BE" w:rsidR="005F5B0F" w:rsidP="00E0405C" w:rsidRDefault="005F5B0F" w14:paraId="139D5DBF" w14:textId="77777777">
      <w:pPr>
        <w:spacing w:after="0" w:line="240" w:lineRule="auto"/>
        <w:rPr>
          <w:rFonts w:ascii="Palatino Linotype" w:hAnsi="Palatino Linotype" w:eastAsia="Palatino Linotype" w:cs="Times New Roman"/>
          <w:snapToGrid w:val="0"/>
          <w:kern w:val="0"/>
          <w14:ligatures w14:val="none"/>
        </w:rPr>
      </w:pPr>
    </w:p>
    <w:p w:rsidRPr="008F34BE" w:rsidR="002D3786" w:rsidP="002D3786" w:rsidRDefault="00B63623" w14:paraId="172223F5" w14:textId="77777777">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Aptos" w:cs="Times New Roman"/>
        </w:rPr>
        <w:t xml:space="preserve">PG&amp;E shall </w:t>
      </w:r>
      <w:r w:rsidRPr="008F34BE" w:rsidR="00051874">
        <w:rPr>
          <w:rFonts w:ascii="Palatino Linotype" w:hAnsi="Palatino Linotype" w:eastAsia="Aptos" w:cs="Times New Roman"/>
        </w:rPr>
        <w:t xml:space="preserve">extend the </w:t>
      </w:r>
      <w:r w:rsidRPr="008F34BE" w:rsidR="00CE4DBA">
        <w:rPr>
          <w:rFonts w:ascii="Palatino Linotype" w:hAnsi="Palatino Linotype" w:eastAsia="Aptos" w:cs="Times New Roman"/>
        </w:rPr>
        <w:t xml:space="preserve">period in which Microsoft is </w:t>
      </w:r>
      <w:r w:rsidRPr="008F34BE" w:rsidR="008C49AF">
        <w:rPr>
          <w:rFonts w:ascii="Palatino Linotype" w:hAnsi="Palatino Linotype" w:eastAsia="Aptos" w:cs="Times New Roman"/>
        </w:rPr>
        <w:t xml:space="preserve">eligible to receive a refund for </w:t>
      </w:r>
      <w:r w:rsidRPr="008F34BE" w:rsidR="00A000D2">
        <w:rPr>
          <w:rFonts w:ascii="Palatino Linotype" w:hAnsi="Palatino Linotype" w:eastAsia="Aptos" w:cs="Times New Roman"/>
        </w:rPr>
        <w:t>upfront energization costs from 10 years to 15 years.</w:t>
      </w:r>
    </w:p>
    <w:p w:rsidRPr="008F34BE" w:rsidR="002D3786" w:rsidP="002D3786" w:rsidRDefault="002D3786" w14:paraId="13CA30FE" w14:textId="77777777">
      <w:pPr>
        <w:spacing w:after="0" w:line="240" w:lineRule="auto"/>
        <w:rPr>
          <w:rFonts w:ascii="Palatino Linotype" w:hAnsi="Palatino Linotype" w:eastAsia="Palatino Linotype" w:cs="Times New Roman"/>
          <w:snapToGrid w:val="0"/>
          <w:kern w:val="0"/>
          <w14:ligatures w14:val="none"/>
        </w:rPr>
      </w:pPr>
    </w:p>
    <w:p w:rsidRPr="003B63D4" w:rsidR="003B63D4" w:rsidP="00E351FB" w:rsidRDefault="002D3786" w14:paraId="4EC64296" w14:textId="77777777">
      <w:pPr>
        <w:numPr>
          <w:ilvl w:val="0"/>
          <w:numId w:val="2"/>
        </w:numPr>
        <w:spacing w:after="0" w:line="240" w:lineRule="auto"/>
        <w:rPr>
          <w:rFonts w:ascii="Palatino Linotype" w:hAnsi="Palatino Linotype" w:eastAsia="Palatino Linotype" w:cs="Times New Roman"/>
          <w:snapToGrid w:val="0"/>
          <w:kern w:val="0"/>
          <w14:ligatures w14:val="none"/>
        </w:rPr>
      </w:pPr>
      <w:r w:rsidRPr="003B63D4">
        <w:rPr>
          <w:rFonts w:ascii="Palatino Linotype" w:hAnsi="Palatino Linotype" w:eastAsia="Palatino Linotype" w:cs="Times New Roman"/>
          <w:snapToGrid w:val="0"/>
          <w:kern w:val="0"/>
          <w14:ligatures w14:val="none"/>
        </w:rPr>
        <w:t>PG&amp;E may seek approval for the modified Agreement to Perform Tariff Schedule Related Work through a Tier 1 Advice Letter.</w:t>
      </w:r>
    </w:p>
    <w:p w:rsidRPr="008F34BE" w:rsidR="003B63D4" w:rsidP="003B63D4" w:rsidRDefault="003B63D4" w14:paraId="26F544D1" w14:textId="77777777">
      <w:pPr>
        <w:spacing w:after="0" w:line="240" w:lineRule="auto"/>
        <w:rPr>
          <w:rFonts w:ascii="Palatino Linotype" w:hAnsi="Palatino Linotype" w:eastAsia="Palatino Linotype" w:cs="Times New Roman"/>
          <w:snapToGrid w:val="0"/>
          <w:kern w:val="0"/>
          <w14:ligatures w14:val="none"/>
        </w:rPr>
      </w:pPr>
    </w:p>
    <w:p w:rsidRPr="008F34BE" w:rsidR="00A76F4A" w:rsidP="00A76F4A" w:rsidRDefault="00A76F4A" w14:paraId="2A5DD4FA"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6CC0467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A76F4A" w:rsidP="251370F6" w:rsidRDefault="00A76F4A" w14:paraId="275D6183"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44729D4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3B63D4" w:rsidP="003B63D4" w:rsidRDefault="00A76F4A" w14:paraId="7C099472" w14:textId="77777777">
      <w:pPr>
        <w:pStyle w:val="10sp0"/>
        <w:spacing w:after="480"/>
        <w:rPr>
          <w:rFonts w:ascii="Palatino Linotype" w:hAnsi="Palatino Linotype"/>
          <w:szCs w:val="24"/>
        </w:rPr>
      </w:pPr>
      <w:r w:rsidRPr="008F34BE">
        <w:rPr>
          <w:rFonts w:ascii="Palatino Linotype" w:hAnsi="Palatino Linotype"/>
          <w:szCs w:val="24"/>
        </w:rPr>
        <w:t xml:space="preserve">The foregoing resolution was duly introduced, passed and adopted at a conference of the Public Utilities Commission of the State of California held on </w:t>
      </w:r>
      <w:r w:rsidRPr="008F34BE" w:rsidR="008F34BE">
        <w:rPr>
          <w:rFonts w:ascii="Palatino Linotype" w:hAnsi="Palatino Linotype"/>
          <w:szCs w:val="24"/>
        </w:rPr>
        <w:t>January 15, 2026</w:t>
      </w:r>
      <w:r w:rsidRPr="008F34BE">
        <w:rPr>
          <w:rFonts w:ascii="Palatino Linotype" w:hAnsi="Palatino Linotype"/>
          <w:szCs w:val="24"/>
        </w:rPr>
        <w:t>; the following Commissioners voting favorably thereon:</w:t>
      </w:r>
    </w:p>
    <w:p w:rsidRPr="00CC0DE5" w:rsidR="00C83581" w:rsidP="00C83581" w:rsidRDefault="00C83581" w14:paraId="0A35FB95"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C83581" w:rsidP="00C83581" w:rsidRDefault="00C83581" w14:paraId="54012EE3"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C83581" w:rsidP="00C83581" w:rsidRDefault="00C83581" w14:paraId="4C70974D" w14:textId="77777777">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C83581" w:rsidP="00C83581" w:rsidRDefault="00C83581" w14:paraId="166940D6" w14:textId="77777777">
      <w:pPr>
        <w:pStyle w:val="10sp0"/>
        <w:spacing w:after="0"/>
        <w:ind w:left="5040"/>
        <w:rPr>
          <w:rFonts w:ascii="Palatino Linotype" w:hAnsi="Palatino Linotype" w:eastAsia="Palatino Linotype"/>
        </w:rPr>
      </w:pPr>
    </w:p>
    <w:p w:rsidRPr="00CC0DE5" w:rsidR="00C83581" w:rsidP="00C83581" w:rsidRDefault="00C83581" w14:paraId="5EE91FBE" w14:textId="77777777">
      <w:pPr>
        <w:pStyle w:val="10sp0"/>
        <w:spacing w:after="0"/>
        <w:ind w:left="5040"/>
        <w:rPr>
          <w:rFonts w:ascii="Palatino Linotype" w:hAnsi="Palatino Linotype" w:eastAsia="Palatino Linotype"/>
        </w:rPr>
      </w:pPr>
    </w:p>
    <w:p w:rsidRPr="0026243C" w:rsidR="00C83581" w:rsidP="00C83581" w:rsidRDefault="00C83581" w14:paraId="3073993C"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C83581" w:rsidP="00C83581" w:rsidRDefault="00C83581" w14:paraId="5DCA6B23"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C83581" w:rsidP="00C83581" w:rsidRDefault="00C83581" w14:paraId="397CFD79" w14:textId="77777777">
      <w:pPr>
        <w:pStyle w:val="10sp0"/>
        <w:spacing w:after="0"/>
        <w:ind w:left="5130"/>
        <w:rPr>
          <w:rFonts w:ascii="Palatino Linotype" w:hAnsi="Palatino Linotype" w:eastAsia="Palatino Linotype"/>
        </w:rPr>
      </w:pPr>
    </w:p>
    <w:p w:rsidRPr="0026243C" w:rsidR="00C83581" w:rsidP="00C83581" w:rsidRDefault="00C83581" w14:paraId="0B14EA0B"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C83581" w:rsidP="00C83581" w:rsidRDefault="00C83581" w14:paraId="3C636EBB"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C83581" w:rsidP="00C83581" w:rsidRDefault="00C83581" w14:paraId="4D9BC164"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C83581" w:rsidP="00C83581" w:rsidRDefault="00C83581" w14:paraId="6B5701C7"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C83581" w:rsidP="00C83581" w:rsidRDefault="00C83581" w14:paraId="03EC1114"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003B63D4" w:rsidP="003B63D4" w:rsidRDefault="003B63D4" w14:paraId="5F8376CC" w14:textId="77777777">
      <w:pPr>
        <w:pStyle w:val="10sp0"/>
        <w:spacing w:after="0"/>
        <w:jc w:val="center"/>
        <w:rPr>
          <w:rFonts w:ascii="Palatino Linotype" w:hAnsi="Palatino Linotype" w:eastAsia="Palatino Linotype"/>
          <w:szCs w:val="24"/>
        </w:rPr>
      </w:pPr>
    </w:p>
    <w:p w:rsidR="00C83581" w:rsidP="003B63D4" w:rsidRDefault="00C83581" w14:paraId="3DE63174" w14:textId="77777777">
      <w:pPr>
        <w:pStyle w:val="10sp0"/>
        <w:spacing w:after="0"/>
        <w:jc w:val="center"/>
        <w:rPr>
          <w:rFonts w:ascii="Palatino Linotype" w:hAnsi="Palatino Linotype" w:eastAsia="Palatino Linotype"/>
          <w:szCs w:val="24"/>
        </w:rPr>
      </w:pPr>
    </w:p>
    <w:p w:rsidR="003B63D4" w:rsidP="003B63D4" w:rsidRDefault="003B63D4" w14:paraId="51714899" w14:textId="77777777">
      <w:pPr>
        <w:pStyle w:val="10sp0"/>
        <w:spacing w:after="0"/>
        <w:jc w:val="center"/>
        <w:rPr>
          <w:rFonts w:ascii="Palatino Linotype" w:hAnsi="Palatino Linotype" w:eastAsia="Palatino Linotype"/>
          <w:szCs w:val="24"/>
        </w:rPr>
      </w:pPr>
    </w:p>
    <w:p w:rsidRPr="008F34BE" w:rsidR="00A76F4A" w:rsidP="003B63D4" w:rsidRDefault="00A76F4A" w14:paraId="01FB0348" w14:textId="77777777">
      <w:pPr>
        <w:pStyle w:val="10sp0"/>
        <w:spacing w:after="480"/>
        <w:rPr>
          <w:rFonts w:ascii="Palatino Linotype" w:hAnsi="Palatino Linotype" w:eastAsia="Palatino Linotype"/>
          <w:szCs w:val="24"/>
        </w:rPr>
      </w:pPr>
      <w:r w:rsidRPr="008F34BE">
        <w:rPr>
          <w:rFonts w:ascii="Palatino Linotype" w:hAnsi="Palatino Linotype" w:eastAsia="Palatino Linotype"/>
          <w:szCs w:val="24"/>
        </w:rPr>
        <w:t xml:space="preserve">Dated </w:t>
      </w:r>
      <w:r w:rsidRPr="008F34BE" w:rsid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sidR="008F34BE">
        <w:rPr>
          <w:rFonts w:ascii="Palatino Linotype" w:hAnsi="Palatino Linotype" w:eastAsia="Palatino Linotype"/>
        </w:rPr>
        <w:t>San Francisco</w:t>
      </w:r>
      <w:r w:rsidRPr="008F34BE">
        <w:rPr>
          <w:rFonts w:ascii="Palatino Linotype" w:hAnsi="Palatino Linotype" w:eastAsia="Palatino Linotype"/>
          <w:szCs w:val="24"/>
        </w:rPr>
        <w:t>, California</w:t>
      </w:r>
      <w:r w:rsidRPr="008F34BE" w:rsidR="1953FEF5">
        <w:rPr>
          <w:rFonts w:ascii="Palatino Linotype" w:hAnsi="Palatino Linotype" w:eastAsia="Palatino Linotype"/>
          <w:szCs w:val="24"/>
        </w:rPr>
        <w:t xml:space="preserve"> </w:t>
      </w:r>
    </w:p>
    <w:p w:rsidRPr="008F34BE" w:rsidR="00A76F4A" w:rsidP="00A76F4A" w:rsidRDefault="00A76F4A" w14:paraId="15B991A3" w14:textId="77777777">
      <w:pPr>
        <w:keepNext/>
        <w:spacing w:after="0" w:line="240" w:lineRule="auto"/>
        <w:rPr>
          <w:rFonts w:ascii="Palatino Linotype" w:hAnsi="Palatino Linotype" w:eastAsia="Palatino Linotype" w:cs="Times New Roman"/>
        </w:rPr>
      </w:pPr>
    </w:p>
    <w:p w:rsidRPr="008F34BE" w:rsidR="00A76F4A" w:rsidP="00E851DF" w:rsidRDefault="00A76F4A" w14:paraId="0B14E1B4" w14:textId="77777777">
      <w:pPr>
        <w:keepNext/>
        <w:spacing w:after="0" w:line="240" w:lineRule="auto"/>
      </w:pPr>
    </w:p>
    <w:sectPr w:rsidRPr="008F34BE"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8C79" w14:textId="77777777" w:rsidR="007674CB" w:rsidRDefault="007674CB" w:rsidP="00A76F4A">
      <w:pPr>
        <w:spacing w:after="0" w:line="240" w:lineRule="auto"/>
      </w:pPr>
      <w:r>
        <w:separator/>
      </w:r>
    </w:p>
  </w:endnote>
  <w:endnote w:type="continuationSeparator" w:id="0">
    <w:p w14:paraId="106F364C" w14:textId="77777777" w:rsidR="007674CB" w:rsidRDefault="007674CB" w:rsidP="00A76F4A">
      <w:pPr>
        <w:spacing w:after="0" w:line="240" w:lineRule="auto"/>
      </w:pPr>
      <w:r>
        <w:continuationSeparator/>
      </w:r>
    </w:p>
  </w:endnote>
  <w:endnote w:type="continuationNotice" w:id="1">
    <w:p w14:paraId="52755E25" w14:textId="77777777" w:rsidR="007674CB" w:rsidRDefault="00767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60BE1538"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4433" w14:textId="423CF912" w:rsidR="004A7A4C" w:rsidRPr="006D1DA1" w:rsidRDefault="00E625FD" w:rsidP="006D1DA1">
    <w:pPr>
      <w:pStyle w:val="Footer"/>
      <w:tabs>
        <w:tab w:val="clear" w:pos="9360"/>
      </w:tabs>
    </w:pPr>
    <w:r w:rsidRPr="00E625FD">
      <w:rPr>
        <w:rFonts w:ascii="Tahoma" w:hAnsi="Tahoma" w:cs="Tahoma"/>
        <w:sz w:val="18"/>
      </w:rPr>
      <w:t xml:space="preserve">595970063  </w:t>
    </w:r>
    <w:r>
      <w:rPr>
        <w:rFonts w:ascii="Tahoma" w:hAnsi="Tahoma" w:cs="Tahoma"/>
        <w:sz w:val="18"/>
      </w:rPr>
      <w:t xml:space="preserve"> </w:t>
    </w:r>
    <w:r w:rsidR="006D1DA1">
      <w:rPr>
        <w:rFonts w:ascii="Tahoma" w:hAnsi="Tahoma" w:cs="Tahoma"/>
        <w:sz w:val="18"/>
      </w:rPr>
      <w:tab/>
    </w:r>
    <w:r w:rsidR="006D1DA1" w:rsidRPr="006D1DA1">
      <w:rPr>
        <w:rFonts w:ascii="Palatino Linotype" w:hAnsi="Palatino Linotype"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7943" w14:textId="77777777" w:rsidR="007674CB" w:rsidRDefault="007674CB" w:rsidP="00A76F4A">
      <w:pPr>
        <w:spacing w:after="0" w:line="240" w:lineRule="auto"/>
      </w:pPr>
      <w:r>
        <w:separator/>
      </w:r>
    </w:p>
  </w:footnote>
  <w:footnote w:type="continuationSeparator" w:id="0">
    <w:p w14:paraId="3552811D" w14:textId="77777777" w:rsidR="007674CB" w:rsidRDefault="007674CB" w:rsidP="00A76F4A">
      <w:pPr>
        <w:spacing w:after="0" w:line="240" w:lineRule="auto"/>
      </w:pPr>
      <w:r>
        <w:continuationSeparator/>
      </w:r>
    </w:p>
  </w:footnote>
  <w:footnote w:type="continuationNotice" w:id="1">
    <w:p w14:paraId="015AE39D" w14:textId="77777777" w:rsidR="007674CB" w:rsidRDefault="007674CB">
      <w:pPr>
        <w:spacing w:after="0" w:line="240" w:lineRule="auto"/>
      </w:pPr>
    </w:p>
  </w:footnote>
  <w:footnote w:id="2">
    <w:p w14:paraId="782E9396"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Service delivery voltages are defined in PG&amp;E’s </w:t>
      </w:r>
      <w:hyperlink r:id="rId1" w:history="1">
        <w:r w:rsidRPr="0021173C">
          <w:rPr>
            <w:rStyle w:val="Hyperlink"/>
            <w:rFonts w:ascii="Palatino Linotype" w:hAnsi="Palatino Linotype"/>
          </w:rPr>
          <w:t>Electric Rule 2 Tariff</w:t>
        </w:r>
      </w:hyperlink>
      <w:r w:rsidRPr="0021173C">
        <w:rPr>
          <w:rFonts w:ascii="Palatino Linotype" w:hAnsi="Palatino Linotype"/>
        </w:rPr>
        <w:t xml:space="preserve"> at Sheet 2, accessed 9/22/2025.</w:t>
      </w:r>
    </w:p>
  </w:footnote>
  <w:footnote w:id="3">
    <w:p w14:paraId="2DE0E36B"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From PG&amp;E’s </w:t>
      </w:r>
      <w:hyperlink r:id="rId2" w:history="1">
        <w:r w:rsidRPr="0021173C">
          <w:rPr>
            <w:rStyle w:val="Hyperlink"/>
            <w:rFonts w:ascii="Palatino Linotype" w:hAnsi="Palatino Linotype"/>
          </w:rPr>
          <w:t>Electric Rule 15 Tariff</w:t>
        </w:r>
      </w:hyperlink>
      <w:r w:rsidRPr="0021173C">
        <w:rPr>
          <w:rFonts w:ascii="Palatino Linotype" w:hAnsi="Palatino Linotype"/>
        </w:rPr>
        <w:t xml:space="preserve"> at Sheet 1: “APPLICABILITY: This rule is applicable to extension of electric Distribution Lines of PG&amp;E's standard voltages (less than 50 kV)…”, accessed 9/22/2025.</w:t>
      </w:r>
    </w:p>
  </w:footnote>
  <w:footnote w:id="4">
    <w:p w14:paraId="27815883" w14:textId="77777777" w:rsidR="00FA7476" w:rsidRPr="0021173C" w:rsidRDefault="00FA7476" w:rsidP="00FA74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From PG&amp;E’s </w:t>
      </w:r>
      <w:hyperlink r:id="rId3" w:history="1">
        <w:r w:rsidRPr="0021173C">
          <w:rPr>
            <w:rStyle w:val="Hyperlink"/>
            <w:rFonts w:ascii="Palatino Linotype" w:hAnsi="Palatino Linotype"/>
          </w:rPr>
          <w:t>Electric Rule 16 Tariff</w:t>
        </w:r>
      </w:hyperlink>
      <w:r w:rsidRPr="0021173C">
        <w:rPr>
          <w:rFonts w:ascii="Palatino Linotype" w:hAnsi="Palatino Linotype"/>
        </w:rPr>
        <w:t xml:space="preserve"> at Sheet 1: “APPLICABILITY: This rule is applicable to both (1) PG&amp;E Service Facilities that extend from PG&amp;E's Distribution Line facilities to the Service Delivery Point, and (2) service related equipment required of Applicant on Applicant's Premises to receive electric service…”, accessed 9/22/2025.</w:t>
      </w:r>
    </w:p>
  </w:footnote>
  <w:footnote w:id="5">
    <w:p w14:paraId="282D6EDC" w14:textId="77777777" w:rsidR="006D2025" w:rsidRPr="0021173C" w:rsidRDefault="006D2025" w:rsidP="006D2025">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1F5573" w:rsidRPr="0021173C">
        <w:rPr>
          <w:rFonts w:ascii="Palatino Linotype" w:eastAsia="Palatino Linotype" w:hAnsi="Palatino Linotype" w:cs="Times New Roman"/>
          <w:bCs/>
          <w:kern w:val="0"/>
          <w14:ligatures w14:val="none"/>
        </w:rPr>
        <w:t>PG&amp;E asserts that this information is p</w:t>
      </w:r>
      <w:r w:rsidRPr="0021173C">
        <w:rPr>
          <w:rFonts w:ascii="Palatino Linotype" w:eastAsia="Palatino Linotype" w:hAnsi="Palatino Linotype" w:cs="Times New Roman"/>
          <w:bCs/>
          <w:kern w:val="0"/>
          <w14:ligatures w14:val="none"/>
        </w:rPr>
        <w:t>rotected under Public Utilities Code § 8380; Civ. Code §§ 1798 et seq. and Commission Decision (D.) 14-05-016. Applicable declaration filed as a part of the public version of PG&amp;E AL 7635-E.</w:t>
      </w:r>
    </w:p>
  </w:footnote>
  <w:footnote w:id="6">
    <w:p w14:paraId="7202BC85" w14:textId="77777777" w:rsidR="00006173" w:rsidRPr="0021173C" w:rsidRDefault="00006173" w:rsidP="00293CEC">
      <w:pPr>
        <w:pStyle w:val="FootnoteText"/>
        <w:rPr>
          <w:rFonts w:ascii="Palatino Linotype" w:hAnsi="Palatino Linotype"/>
        </w:rPr>
      </w:pPr>
      <w:r w:rsidRPr="0021173C">
        <w:rPr>
          <w:rStyle w:val="FootnoteReference"/>
          <w:rFonts w:ascii="Palatino Linotype" w:hAnsi="Palatino Linotype"/>
        </w:rPr>
        <w:footnoteRef/>
      </w:r>
      <w:r w:rsidR="001F5573" w:rsidRPr="0021173C">
        <w:rPr>
          <w:rFonts w:ascii="Palatino Linotype" w:hAnsi="Palatino Linotype"/>
        </w:rPr>
        <w:t xml:space="preserve"> </w:t>
      </w:r>
      <w:r w:rsidR="001F5573" w:rsidRPr="0021173C">
        <w:rPr>
          <w:rFonts w:ascii="Palatino Linotype" w:eastAsia="Palatino Linotype" w:hAnsi="Palatino Linotype" w:cs="Times New Roman"/>
          <w:bCs/>
          <w:kern w:val="0"/>
          <w14:ligatures w14:val="none"/>
        </w:rPr>
        <w:t>PG&amp;E asserts that this information is</w:t>
      </w:r>
      <w:r w:rsidRPr="0021173C">
        <w:rPr>
          <w:rFonts w:ascii="Palatino Linotype" w:eastAsia="Palatino Linotype" w:hAnsi="Palatino Linotype" w:cs="Times New Roman"/>
          <w:bCs/>
          <w:kern w:val="0"/>
          <w14:ligatures w14:val="none"/>
        </w:rPr>
        <w:t xml:space="preserve"> </w:t>
      </w:r>
      <w:r w:rsidR="001F5573" w:rsidRPr="0021173C">
        <w:rPr>
          <w:rFonts w:ascii="Palatino Linotype" w:eastAsia="Palatino Linotype" w:hAnsi="Palatino Linotype" w:cs="Times New Roman"/>
          <w:bCs/>
          <w:kern w:val="0"/>
          <w14:ligatures w14:val="none"/>
        </w:rPr>
        <w:t>p</w:t>
      </w:r>
      <w:r w:rsidR="00293CEC" w:rsidRPr="0021173C">
        <w:rPr>
          <w:rFonts w:ascii="Palatino Linotype" w:eastAsia="Palatino Linotype" w:hAnsi="Palatino Linotype" w:cs="Times New Roman"/>
          <w:bCs/>
          <w:kern w:val="0"/>
          <w14:ligatures w14:val="none"/>
        </w:rPr>
        <w:t>rotected under Civ. Code §§ 3426 et seq.; Gov. Code §§ 7927.300, 7927.705, 7929.420, 7927.605, 7930.205; Evid. Code §1060; CPUC D. 11-01-036</w:t>
      </w:r>
      <w:r w:rsidR="006D2025" w:rsidRPr="0021173C">
        <w:rPr>
          <w:rFonts w:ascii="Palatino Linotype" w:eastAsia="Palatino Linotype" w:hAnsi="Palatino Linotype" w:cs="Times New Roman"/>
          <w:bCs/>
          <w:kern w:val="0"/>
          <w14:ligatures w14:val="none"/>
        </w:rPr>
        <w:t>. Applicable declaration filed as a part of the public version of PG&amp;E AL 7635-E.</w:t>
      </w:r>
    </w:p>
  </w:footnote>
  <w:footnote w:id="7">
    <w:p w14:paraId="6E0728E8" w14:textId="77777777" w:rsidR="00A81F02" w:rsidRPr="0021173C" w:rsidRDefault="00A81F02" w:rsidP="00A81F02">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4" w:anchor="page=17" w:history="1">
        <w:r w:rsidRPr="0021173C">
          <w:rPr>
            <w:rStyle w:val="Hyperlink"/>
            <w:rFonts w:ascii="Palatino Linotype" w:hAnsi="Palatino Linotype"/>
          </w:rPr>
          <w:t>General Order 96-B</w:t>
        </w:r>
      </w:hyperlink>
      <w:r w:rsidRPr="0021173C">
        <w:rPr>
          <w:rFonts w:ascii="Palatino Linotype" w:hAnsi="Palatino Linotype"/>
        </w:rPr>
        <w:t xml:space="preserve"> Energy Industry Rules at pg. 4, accessed 08/25/2025</w:t>
      </w:r>
    </w:p>
  </w:footnote>
  <w:footnote w:id="8">
    <w:p w14:paraId="23B95062" w14:textId="77777777" w:rsidR="00F50B76" w:rsidRPr="0021173C" w:rsidRDefault="00F50B76">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5" w:history="1">
        <w:r w:rsidRPr="0021173C">
          <w:rPr>
            <w:rStyle w:val="Hyperlink"/>
            <w:rFonts w:ascii="Palatino Linotype" w:hAnsi="Palatino Linotype"/>
          </w:rPr>
          <w:t>PG&amp;E Electric Rule 15</w:t>
        </w:r>
      </w:hyperlink>
      <w:r w:rsidRPr="0021173C">
        <w:rPr>
          <w:rFonts w:ascii="Palatino Linotype" w:hAnsi="Palatino Linotype"/>
        </w:rPr>
        <w:t xml:space="preserve"> Section E at Sheet </w:t>
      </w:r>
      <w:r w:rsidR="00983A15" w:rsidRPr="0021173C">
        <w:rPr>
          <w:rFonts w:ascii="Palatino Linotype" w:hAnsi="Palatino Linotype"/>
        </w:rPr>
        <w:t>13</w:t>
      </w:r>
    </w:p>
  </w:footnote>
  <w:footnote w:id="9">
    <w:p w14:paraId="174D7C12" w14:textId="77777777" w:rsidR="00301223" w:rsidRPr="0021173C" w:rsidRDefault="00301223">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As a note, the standard refund process also includes an allowance</w:t>
      </w:r>
      <w:r w:rsidR="00E178CF" w:rsidRPr="0021173C">
        <w:rPr>
          <w:rFonts w:ascii="Palatino Linotype" w:hAnsi="Palatino Linotype"/>
        </w:rPr>
        <w:t xml:space="preserve"> for each requested distribution line extension that is deducted from the total </w:t>
      </w:r>
      <w:r w:rsidR="00013FC3" w:rsidRPr="0021173C">
        <w:rPr>
          <w:rFonts w:ascii="Palatino Linotype" w:hAnsi="Palatino Linotype"/>
        </w:rPr>
        <w:t>as calculated in Rule 15 Section D.5. The</w:t>
      </w:r>
      <w:r w:rsidR="00AA6662" w:rsidRPr="0021173C">
        <w:rPr>
          <w:rFonts w:ascii="Palatino Linotype" w:hAnsi="Palatino Linotype"/>
        </w:rPr>
        <w:t xml:space="preserve"> allowance is based on a revenue supported formula equal to the net revenue </w:t>
      </w:r>
      <w:r w:rsidR="006B1D2E" w:rsidRPr="0021173C">
        <w:rPr>
          <w:rFonts w:ascii="Palatino Linotype" w:hAnsi="Palatino Linotype"/>
        </w:rPr>
        <w:t xml:space="preserve">(defined as the portion of the total rate revenues that supports PG&amp;E’s Distribution Line and Service Extension costs) divided by a </w:t>
      </w:r>
      <w:r w:rsidR="00BA6144" w:rsidRPr="0021173C">
        <w:rPr>
          <w:rFonts w:ascii="Palatino Linotype" w:hAnsi="Palatino Linotype"/>
        </w:rPr>
        <w:t>cost-of-service</w:t>
      </w:r>
      <w:r w:rsidR="006B1D2E" w:rsidRPr="0021173C">
        <w:rPr>
          <w:rFonts w:ascii="Palatino Linotype" w:hAnsi="Palatino Linotype"/>
        </w:rPr>
        <w:t xml:space="preserve"> factor </w:t>
      </w:r>
      <w:r w:rsidR="00C64A33" w:rsidRPr="0021173C">
        <w:rPr>
          <w:rFonts w:ascii="Palatino Linotype" w:hAnsi="Palatino Linotype"/>
        </w:rPr>
        <w:t>(defined as the annualized utility-financed Cost of Ownership as stated in Electric Rule 2).</w:t>
      </w:r>
      <w:r w:rsidR="00856567" w:rsidRPr="0021173C">
        <w:rPr>
          <w:rFonts w:ascii="Palatino Linotype" w:hAnsi="Palatino Linotype"/>
        </w:rPr>
        <w:t xml:space="preserve"> This allowance does not apply here</w:t>
      </w:r>
      <w:r w:rsidR="000A246B" w:rsidRPr="0021173C">
        <w:rPr>
          <w:rFonts w:ascii="Palatino Linotype" w:hAnsi="Palatino Linotype"/>
        </w:rPr>
        <w:t>,</w:t>
      </w:r>
      <w:r w:rsidR="00856567" w:rsidRPr="0021173C">
        <w:rPr>
          <w:rFonts w:ascii="Palatino Linotype" w:hAnsi="Palatino Linotype"/>
        </w:rPr>
        <w:t xml:space="preserve"> as the requested line extension is at the transmission level and there is no standardized</w:t>
      </w:r>
      <w:r w:rsidR="00D40FED" w:rsidRPr="0021173C">
        <w:rPr>
          <w:rFonts w:ascii="Palatino Linotype" w:hAnsi="Palatino Linotype"/>
        </w:rPr>
        <w:t xml:space="preserve"> and approved</w:t>
      </w:r>
      <w:r w:rsidR="00856567" w:rsidRPr="0021173C">
        <w:rPr>
          <w:rFonts w:ascii="Palatino Linotype" w:hAnsi="Palatino Linotype"/>
        </w:rPr>
        <w:t xml:space="preserve"> approach to generating this sort of allowance</w:t>
      </w:r>
      <w:r w:rsidR="00D40FED" w:rsidRPr="0021173C">
        <w:rPr>
          <w:rFonts w:ascii="Palatino Linotype" w:hAnsi="Palatino Linotype"/>
        </w:rPr>
        <w:t>.</w:t>
      </w:r>
      <w:r w:rsidR="00C55247" w:rsidRPr="0021173C">
        <w:rPr>
          <w:rFonts w:ascii="Palatino Linotype" w:hAnsi="Palatino Linotype"/>
        </w:rPr>
        <w:t xml:space="preserve"> Microsoft</w:t>
      </w:r>
      <w:r w:rsidR="003826D8" w:rsidRPr="0021173C">
        <w:rPr>
          <w:rFonts w:ascii="Palatino Linotype" w:hAnsi="Palatino Linotype"/>
        </w:rPr>
        <w:t xml:space="preserve"> did pay a deposit to PG&amp;E to perform</w:t>
      </w:r>
      <w:r w:rsidR="00C55247" w:rsidRPr="0021173C">
        <w:rPr>
          <w:rFonts w:ascii="Palatino Linotype" w:hAnsi="Palatino Linotype"/>
        </w:rPr>
        <w:t xml:space="preserve"> </w:t>
      </w:r>
      <w:r w:rsidR="00C55247" w:rsidRPr="0021173C">
        <w:rPr>
          <w:rFonts w:ascii="Palatino Linotype" w:eastAsia="Palatino Linotype" w:hAnsi="Palatino Linotype" w:cs="Times New Roman"/>
          <w:bCs/>
          <w:kern w:val="0"/>
          <w14:ligatures w14:val="none"/>
        </w:rPr>
        <w:t>engineering and procurement of long-lead time materials, but this is separate and distin</w:t>
      </w:r>
      <w:r w:rsidR="005F50F2" w:rsidRPr="0021173C">
        <w:rPr>
          <w:rFonts w:ascii="Palatino Linotype" w:eastAsia="Palatino Linotype" w:hAnsi="Palatino Linotype" w:cs="Times New Roman"/>
          <w:bCs/>
          <w:kern w:val="0"/>
          <w14:ligatures w14:val="none"/>
        </w:rPr>
        <w:t>ct from the allowance amount specified in Electric Rule 15.</w:t>
      </w:r>
      <w:r w:rsidR="003826D8" w:rsidRPr="0021173C">
        <w:rPr>
          <w:rFonts w:ascii="Palatino Linotype" w:hAnsi="Palatino Linotype"/>
        </w:rPr>
        <w:t xml:space="preserve"> </w:t>
      </w:r>
      <w:r w:rsidR="00D40FED" w:rsidRPr="0021173C">
        <w:rPr>
          <w:rFonts w:ascii="Palatino Linotype" w:hAnsi="Palatino Linotype"/>
        </w:rPr>
        <w:t>We discuss th</w:t>
      </w:r>
      <w:r w:rsidR="005F50F2" w:rsidRPr="0021173C">
        <w:rPr>
          <w:rFonts w:ascii="Palatino Linotype" w:hAnsi="Palatino Linotype"/>
        </w:rPr>
        <w:t>e</w:t>
      </w:r>
      <w:r w:rsidR="00D40FED" w:rsidRPr="0021173C">
        <w:rPr>
          <w:rFonts w:ascii="Palatino Linotype" w:hAnsi="Palatino Linotype"/>
        </w:rPr>
        <w:t xml:space="preserve"> </w:t>
      </w:r>
      <w:r w:rsidR="00B078F8" w:rsidRPr="0021173C">
        <w:rPr>
          <w:rFonts w:ascii="Palatino Linotype" w:hAnsi="Palatino Linotype"/>
        </w:rPr>
        <w:t>issue</w:t>
      </w:r>
      <w:r w:rsidR="005F50F2" w:rsidRPr="0021173C">
        <w:rPr>
          <w:rFonts w:ascii="Palatino Linotype" w:hAnsi="Palatino Linotype"/>
        </w:rPr>
        <w:t xml:space="preserve"> of the deposit</w:t>
      </w:r>
      <w:r w:rsidR="00B078F8" w:rsidRPr="0021173C">
        <w:rPr>
          <w:rFonts w:ascii="Palatino Linotype" w:hAnsi="Palatino Linotype"/>
        </w:rPr>
        <w:t xml:space="preserve"> further </w:t>
      </w:r>
      <w:r w:rsidR="00D97500" w:rsidRPr="0021173C">
        <w:rPr>
          <w:rFonts w:ascii="Palatino Linotype" w:hAnsi="Palatino Linotype"/>
        </w:rPr>
        <w:t xml:space="preserve">below </w:t>
      </w:r>
      <w:r w:rsidR="00B078F8" w:rsidRPr="0021173C">
        <w:rPr>
          <w:rFonts w:ascii="Palatino Linotype" w:hAnsi="Palatino Linotype"/>
        </w:rPr>
        <w:t xml:space="preserve">in the Non-Controversial </w:t>
      </w:r>
      <w:r w:rsidR="00D97500" w:rsidRPr="0021173C">
        <w:rPr>
          <w:rFonts w:ascii="Palatino Linotype" w:hAnsi="Palatino Linotype"/>
        </w:rPr>
        <w:t>Requested Tariff Deviations section</w:t>
      </w:r>
      <w:r w:rsidR="005F50F2" w:rsidRPr="0021173C">
        <w:rPr>
          <w:rFonts w:ascii="Palatino Linotype" w:hAnsi="Palatino Linotype"/>
        </w:rPr>
        <w:t>.</w:t>
      </w:r>
    </w:p>
  </w:footnote>
  <w:footnote w:id="10">
    <w:p w14:paraId="129D886C" w14:textId="77777777" w:rsidR="002D188D" w:rsidRPr="0021173C" w:rsidRDefault="002D188D">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FF73E2" w:rsidRPr="0021173C">
        <w:rPr>
          <w:rFonts w:ascii="Palatino Linotype" w:hAnsi="Palatino Linotype"/>
        </w:rPr>
        <w:t xml:space="preserve">The Income Tax Component of Contribution (ITCC) is defined in the </w:t>
      </w:r>
      <w:hyperlink r:id="rId6" w:history="1">
        <w:r w:rsidR="000677CB" w:rsidRPr="0021173C">
          <w:rPr>
            <w:rStyle w:val="Hyperlink"/>
            <w:rFonts w:ascii="Palatino Linotype" w:hAnsi="Palatino Linotype"/>
          </w:rPr>
          <w:t>PG&amp;E Preliminary Statement Part J</w:t>
        </w:r>
      </w:hyperlink>
      <w:r w:rsidR="000677CB" w:rsidRPr="0021173C">
        <w:rPr>
          <w:rFonts w:ascii="Palatino Linotype" w:hAnsi="Palatino Linotype"/>
        </w:rPr>
        <w:t xml:space="preserve"> at Sheet 1</w:t>
      </w:r>
      <w:r w:rsidR="003830A0" w:rsidRPr="0021173C">
        <w:rPr>
          <w:rFonts w:ascii="Palatino Linotype" w:hAnsi="Palatino Linotype"/>
        </w:rPr>
        <w:t xml:space="preserve"> as “[the] charge to cover PG&amp;E's resulting estimated liability for Federal and State Income Tax.” The </w:t>
      </w:r>
      <w:r w:rsidR="00B76C69" w:rsidRPr="0021173C">
        <w:rPr>
          <w:rFonts w:ascii="Palatino Linotype" w:hAnsi="Palatino Linotype"/>
        </w:rPr>
        <w:t xml:space="preserve">ITCC is </w:t>
      </w:r>
      <w:r w:rsidR="000677CB" w:rsidRPr="0021173C">
        <w:rPr>
          <w:rFonts w:ascii="Palatino Linotype" w:hAnsi="Palatino Linotype"/>
        </w:rPr>
        <w:t>set at 24 percent as of January 1, 2019.</w:t>
      </w:r>
      <w:r w:rsidR="00F072B5" w:rsidRPr="0021173C">
        <w:rPr>
          <w:rFonts w:ascii="Palatino Linotype" w:hAnsi="Palatino Linotype"/>
        </w:rPr>
        <w:t xml:space="preserve"> </w:t>
      </w:r>
      <w:r w:rsidR="00FB3F43" w:rsidRPr="0021173C">
        <w:rPr>
          <w:rFonts w:ascii="Palatino Linotype" w:hAnsi="Palatino Linotype"/>
        </w:rPr>
        <w:t xml:space="preserve">In </w:t>
      </w:r>
      <w:r w:rsidR="00131AA9" w:rsidRPr="0021173C">
        <w:rPr>
          <w:rFonts w:ascii="Palatino Linotype" w:hAnsi="Palatino Linotype"/>
        </w:rPr>
        <w:t>other words</w:t>
      </w:r>
      <w:r w:rsidR="00FB3F43" w:rsidRPr="0021173C">
        <w:rPr>
          <w:rFonts w:ascii="Palatino Linotype" w:hAnsi="Palatino Linotype"/>
        </w:rPr>
        <w:t xml:space="preserve">, the total </w:t>
      </w:r>
      <w:r w:rsidR="00EB1DB7" w:rsidRPr="0021173C">
        <w:rPr>
          <w:rFonts w:ascii="Palatino Linotype" w:hAnsi="Palatino Linotype"/>
        </w:rPr>
        <w:t xml:space="preserve">upfront energization cost </w:t>
      </w:r>
      <w:r w:rsidR="00131AA9" w:rsidRPr="0021173C">
        <w:rPr>
          <w:rFonts w:ascii="Palatino Linotype" w:hAnsi="Palatino Linotype"/>
        </w:rPr>
        <w:t>paid</w:t>
      </w:r>
      <w:r w:rsidR="00EB1DB7" w:rsidRPr="0021173C">
        <w:rPr>
          <w:rFonts w:ascii="Palatino Linotype" w:hAnsi="Palatino Linotype"/>
        </w:rPr>
        <w:t xml:space="preserve"> by Microsoft </w:t>
      </w:r>
      <w:r w:rsidR="00E92A22" w:rsidRPr="0021173C">
        <w:rPr>
          <w:rFonts w:ascii="Palatino Linotype" w:hAnsi="Palatino Linotype"/>
        </w:rPr>
        <w:t>equals the estimated installed cost</w:t>
      </w:r>
      <w:r w:rsidR="00EF1E69" w:rsidRPr="0021173C">
        <w:rPr>
          <w:rFonts w:ascii="Palatino Linotype" w:hAnsi="Palatino Linotype"/>
        </w:rPr>
        <w:t xml:space="preserve"> of the </w:t>
      </w:r>
      <w:r w:rsidR="00425006" w:rsidRPr="0021173C">
        <w:rPr>
          <w:rFonts w:ascii="Palatino Linotype" w:hAnsi="Palatino Linotype"/>
        </w:rPr>
        <w:t>work to be performed by PG&amp;E</w:t>
      </w:r>
      <w:r w:rsidR="00E92A22" w:rsidRPr="0021173C">
        <w:rPr>
          <w:rFonts w:ascii="Palatino Linotype" w:hAnsi="Palatino Linotype"/>
        </w:rPr>
        <w:t xml:space="preserve"> </w:t>
      </w:r>
      <w:r w:rsidR="00E92A22" w:rsidRPr="0021173C">
        <w:rPr>
          <w:rFonts w:ascii="Palatino Linotype" w:hAnsi="Palatino Linotype"/>
          <w:i/>
          <w:iCs/>
        </w:rPr>
        <w:t>plus</w:t>
      </w:r>
      <w:r w:rsidR="00E92A22" w:rsidRPr="0021173C">
        <w:rPr>
          <w:rFonts w:ascii="Palatino Linotype" w:hAnsi="Palatino Linotype"/>
        </w:rPr>
        <w:t xml:space="preserve"> </w:t>
      </w:r>
      <w:r w:rsidR="004575DF" w:rsidRPr="0021173C">
        <w:rPr>
          <w:rFonts w:ascii="Palatino Linotype" w:hAnsi="Palatino Linotype"/>
        </w:rPr>
        <w:t xml:space="preserve">that cost multiplied by the 24 percent </w:t>
      </w:r>
      <w:r w:rsidR="00B73964" w:rsidRPr="0021173C">
        <w:rPr>
          <w:rFonts w:ascii="Palatino Linotype" w:hAnsi="Palatino Linotype"/>
        </w:rPr>
        <w:t>ITCC</w:t>
      </w:r>
      <w:r w:rsidR="00EB1DB7" w:rsidRPr="0021173C">
        <w:rPr>
          <w:rFonts w:ascii="Palatino Linotype" w:hAnsi="Palatino Linotype"/>
        </w:rPr>
        <w:t xml:space="preserve"> </w:t>
      </w:r>
      <w:r w:rsidR="0006263B" w:rsidRPr="0021173C">
        <w:rPr>
          <w:rFonts w:ascii="Palatino Linotype" w:hAnsi="Palatino Linotype"/>
        </w:rPr>
        <w:t>to cover</w:t>
      </w:r>
      <w:r w:rsidR="008F0BF0" w:rsidRPr="0021173C">
        <w:rPr>
          <w:rFonts w:ascii="Palatino Linotype" w:hAnsi="Palatino Linotype"/>
        </w:rPr>
        <w:t xml:space="preserve"> estimated</w:t>
      </w:r>
      <w:r w:rsidR="0006263B" w:rsidRPr="0021173C">
        <w:rPr>
          <w:rFonts w:ascii="Palatino Linotype" w:hAnsi="Palatino Linotype"/>
        </w:rPr>
        <w:t xml:space="preserve"> </w:t>
      </w:r>
      <w:r w:rsidR="002A1AF1" w:rsidRPr="0021173C">
        <w:rPr>
          <w:rFonts w:ascii="Palatino Linotype" w:hAnsi="Palatino Linotype"/>
        </w:rPr>
        <w:t>Federal and State income tax liabilities</w:t>
      </w:r>
      <w:r w:rsidR="0065156E" w:rsidRPr="0021173C">
        <w:rPr>
          <w:rFonts w:ascii="Palatino Linotype" w:hAnsi="Palatino Linotype"/>
        </w:rPr>
        <w:t xml:space="preserve"> that PG&amp;E would</w:t>
      </w:r>
      <w:r w:rsidR="004F62E5" w:rsidRPr="0021173C">
        <w:rPr>
          <w:rFonts w:ascii="Palatino Linotype" w:hAnsi="Palatino Linotype"/>
        </w:rPr>
        <w:t xml:space="preserve"> </w:t>
      </w:r>
      <w:r w:rsidR="00B362F8" w:rsidRPr="0021173C">
        <w:rPr>
          <w:rFonts w:ascii="Palatino Linotype" w:hAnsi="Palatino Linotype"/>
        </w:rPr>
        <w:t>owe</w:t>
      </w:r>
      <w:r w:rsidR="000373E4" w:rsidRPr="0021173C">
        <w:rPr>
          <w:rFonts w:ascii="Palatino Linotype" w:hAnsi="Palatino Linotype"/>
        </w:rPr>
        <w:t xml:space="preserve"> for the work performed</w:t>
      </w:r>
      <w:r w:rsidR="002A1AF1" w:rsidRPr="0021173C">
        <w:rPr>
          <w:rFonts w:ascii="Palatino Linotype" w:hAnsi="Palatino Linotype"/>
        </w:rPr>
        <w:t>.</w:t>
      </w:r>
      <w:r w:rsidR="00B00833" w:rsidRPr="0021173C">
        <w:rPr>
          <w:rFonts w:ascii="Palatino Linotype" w:hAnsi="Palatino Linotype"/>
        </w:rPr>
        <w:t xml:space="preserve"> This</w:t>
      </w:r>
      <w:r w:rsidR="00DA6E80" w:rsidRPr="0021173C">
        <w:rPr>
          <w:rFonts w:ascii="Palatino Linotype" w:hAnsi="Palatino Linotype"/>
        </w:rPr>
        <w:t xml:space="preserve"> charge</w:t>
      </w:r>
      <w:r w:rsidR="00B00833" w:rsidRPr="0021173C">
        <w:rPr>
          <w:rFonts w:ascii="Palatino Linotype" w:hAnsi="Palatino Linotype"/>
        </w:rPr>
        <w:t xml:space="preserve"> ensures that PG&amp;E ratepayers </w:t>
      </w:r>
      <w:r w:rsidR="00DA6E80" w:rsidRPr="0021173C">
        <w:rPr>
          <w:rFonts w:ascii="Palatino Linotype" w:hAnsi="Palatino Linotype"/>
        </w:rPr>
        <w:t xml:space="preserve">are </w:t>
      </w:r>
      <w:r w:rsidR="005A3AF3" w:rsidRPr="0021173C">
        <w:rPr>
          <w:rFonts w:ascii="Palatino Linotype" w:hAnsi="Palatino Linotype"/>
        </w:rPr>
        <w:t xml:space="preserve">protected from having to pay </w:t>
      </w:r>
      <w:r w:rsidR="00344C31" w:rsidRPr="0021173C">
        <w:rPr>
          <w:rFonts w:ascii="Palatino Linotype" w:hAnsi="Palatino Linotype"/>
        </w:rPr>
        <w:t>for</w:t>
      </w:r>
      <w:r w:rsidR="005A3AF3" w:rsidRPr="0021173C">
        <w:rPr>
          <w:rFonts w:ascii="Palatino Linotype" w:hAnsi="Palatino Linotype"/>
        </w:rPr>
        <w:t xml:space="preserve"> income tax liabilities caused by </w:t>
      </w:r>
      <w:r w:rsidR="001231A1" w:rsidRPr="0021173C">
        <w:rPr>
          <w:rFonts w:ascii="Palatino Linotype" w:hAnsi="Palatino Linotype"/>
        </w:rPr>
        <w:t xml:space="preserve">a single </w:t>
      </w:r>
      <w:r w:rsidR="00D26419" w:rsidRPr="0021173C">
        <w:rPr>
          <w:rFonts w:ascii="Palatino Linotype" w:hAnsi="Palatino Linotype"/>
        </w:rPr>
        <w:t>customer</w:t>
      </w:r>
      <w:r w:rsidR="00DB7B26" w:rsidRPr="0021173C">
        <w:rPr>
          <w:rFonts w:ascii="Palatino Linotype" w:hAnsi="Palatino Linotype"/>
        </w:rPr>
        <w:t xml:space="preserve">’s request </w:t>
      </w:r>
      <w:r w:rsidR="00424A1B" w:rsidRPr="0021173C">
        <w:rPr>
          <w:rFonts w:ascii="Palatino Linotype" w:hAnsi="Palatino Linotype"/>
        </w:rPr>
        <w:t>for interconnection</w:t>
      </w:r>
      <w:r w:rsidR="00610C9E" w:rsidRPr="0021173C">
        <w:rPr>
          <w:rFonts w:ascii="Palatino Linotype" w:hAnsi="Palatino Linotype"/>
        </w:rPr>
        <w:t>.</w:t>
      </w:r>
    </w:p>
  </w:footnote>
  <w:footnote w:id="11">
    <w:p w14:paraId="40874E75" w14:textId="77777777" w:rsidR="0035683C" w:rsidRPr="0021173C" w:rsidRDefault="0035683C" w:rsidP="0035683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For additional detail on the BARC methodology, including an example, see PG&amp;E Supplemental Testimony Work Paper 1 in A. 24-11-007, submitted March 21, 2025.</w:t>
      </w:r>
    </w:p>
  </w:footnote>
  <w:footnote w:id="12">
    <w:p w14:paraId="21D9B353" w14:textId="77777777" w:rsidR="007F65B1" w:rsidRPr="0021173C" w:rsidRDefault="007F65B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Note that these calculations are based on </w:t>
      </w:r>
      <w:r w:rsidR="00AD6604" w:rsidRPr="0021173C">
        <w:rPr>
          <w:rFonts w:ascii="Palatino Linotype" w:hAnsi="Palatino Linotype"/>
        </w:rPr>
        <w:t xml:space="preserve">figures that can be found in </w:t>
      </w:r>
      <w:hyperlink r:id="rId7" w:history="1">
        <w:r w:rsidR="00AD6604" w:rsidRPr="0021173C">
          <w:rPr>
            <w:rStyle w:val="Hyperlink"/>
            <w:rFonts w:ascii="Palatino Linotype" w:hAnsi="Palatino Linotype"/>
          </w:rPr>
          <w:t xml:space="preserve">PG&amp;E’s </w:t>
        </w:r>
        <w:r w:rsidR="002F5268" w:rsidRPr="0021173C">
          <w:rPr>
            <w:rStyle w:val="Hyperlink"/>
            <w:rFonts w:ascii="Palatino Linotype" w:hAnsi="Palatino Linotype"/>
          </w:rPr>
          <w:t>B-20T Tariff</w:t>
        </w:r>
      </w:hyperlink>
      <w:r w:rsidR="006465D3" w:rsidRPr="0021173C">
        <w:rPr>
          <w:rFonts w:ascii="Palatino Linotype" w:hAnsi="Palatino Linotype"/>
        </w:rPr>
        <w:t xml:space="preserve">, with an assumption of </w:t>
      </w:r>
      <w:r w:rsidR="002B4A0C" w:rsidRPr="0021173C">
        <w:rPr>
          <w:rFonts w:ascii="Palatino Linotype" w:hAnsi="Palatino Linotype"/>
        </w:rPr>
        <w:t>a 90 MW</w:t>
      </w:r>
      <w:r w:rsidR="00F37D01" w:rsidRPr="0021173C">
        <w:rPr>
          <w:rFonts w:ascii="Palatino Linotype" w:hAnsi="Palatino Linotype"/>
        </w:rPr>
        <w:t xml:space="preserve"> maximum load, </w:t>
      </w:r>
      <w:r w:rsidR="00020AC1" w:rsidRPr="0021173C">
        <w:rPr>
          <w:rFonts w:ascii="Palatino Linotype" w:hAnsi="Palatino Linotype"/>
        </w:rPr>
        <w:t xml:space="preserve">no additional energization costs, </w:t>
      </w:r>
      <w:r w:rsidR="000B6642" w:rsidRPr="0021173C">
        <w:rPr>
          <w:rFonts w:ascii="Palatino Linotype" w:hAnsi="Palatino Linotype"/>
        </w:rPr>
        <w:t xml:space="preserve">and terms and conditions </w:t>
      </w:r>
      <w:r w:rsidR="00501CC6" w:rsidRPr="0021173C">
        <w:rPr>
          <w:rFonts w:ascii="Palatino Linotype" w:hAnsi="Palatino Linotype"/>
        </w:rPr>
        <w:t>laid out in the standard BARC process</w:t>
      </w:r>
      <w:r w:rsidR="00AF31AE" w:rsidRPr="0021173C">
        <w:rPr>
          <w:rFonts w:ascii="Palatino Linotype" w:hAnsi="Palatino Linotype"/>
        </w:rPr>
        <w:t xml:space="preserve">. The refund </w:t>
      </w:r>
      <w:r w:rsidR="00EF59A0" w:rsidRPr="0021173C">
        <w:rPr>
          <w:rFonts w:ascii="Palatino Linotype" w:hAnsi="Palatino Linotype"/>
        </w:rPr>
        <w:t xml:space="preserve">timeline assumes that the hypothetical customer </w:t>
      </w:r>
      <w:r w:rsidR="004256CE" w:rsidRPr="0021173C">
        <w:rPr>
          <w:rFonts w:ascii="Palatino Linotype" w:hAnsi="Palatino Linotype"/>
        </w:rPr>
        <w:t>ramps to full load in 2 years</w:t>
      </w:r>
      <w:r w:rsidR="00B14218" w:rsidRPr="0021173C">
        <w:rPr>
          <w:rFonts w:ascii="Palatino Linotype" w:hAnsi="Palatino Linotype"/>
        </w:rPr>
        <w:t xml:space="preserve"> (though even</w:t>
      </w:r>
      <w:r w:rsidR="00BE1F74" w:rsidRPr="0021173C">
        <w:rPr>
          <w:rFonts w:ascii="Palatino Linotype" w:hAnsi="Palatino Linotype"/>
        </w:rPr>
        <w:t xml:space="preserve"> i</w:t>
      </w:r>
      <w:r w:rsidR="00CA6A57" w:rsidRPr="0021173C">
        <w:rPr>
          <w:rFonts w:ascii="Palatino Linotype" w:hAnsi="Palatino Linotype"/>
        </w:rPr>
        <w:t>f load reaches only half that level and then ceases</w:t>
      </w:r>
      <w:r w:rsidR="009A5065" w:rsidRPr="0021173C">
        <w:rPr>
          <w:rFonts w:ascii="Palatino Linotype" w:hAnsi="Palatino Linotype"/>
        </w:rPr>
        <w:t xml:space="preserve">, the refund </w:t>
      </w:r>
      <w:r w:rsidR="00CA6A57" w:rsidRPr="0021173C">
        <w:rPr>
          <w:rFonts w:ascii="Palatino Linotype" w:hAnsi="Palatino Linotype"/>
        </w:rPr>
        <w:t>schedule would not automatically adjust downward</w:t>
      </w:r>
      <w:r w:rsidR="009A5065" w:rsidRPr="0021173C">
        <w:rPr>
          <w:rFonts w:ascii="Palatino Linotype" w:hAnsi="Palatino Linotype"/>
        </w:rPr>
        <w:t>).</w:t>
      </w:r>
    </w:p>
  </w:footnote>
  <w:footnote w:id="13">
    <w:p w14:paraId="37C1424E" w14:textId="77777777" w:rsidR="00882747" w:rsidRPr="0021173C" w:rsidRDefault="0088274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8" w:history="1">
        <w:r w:rsidRPr="0021173C">
          <w:rPr>
            <w:rStyle w:val="Hyperlink"/>
            <w:rFonts w:ascii="Palatino Linotype" w:hAnsi="Palatino Linotype"/>
          </w:rPr>
          <w:t>PG&amp;E Electric Rule 15</w:t>
        </w:r>
      </w:hyperlink>
      <w:r w:rsidRPr="0021173C">
        <w:rPr>
          <w:rFonts w:ascii="Palatino Linotype" w:hAnsi="Palatino Linotype"/>
        </w:rPr>
        <w:t xml:space="preserve"> Section E at Sheet 13</w:t>
      </w:r>
    </w:p>
  </w:footnote>
  <w:footnote w:id="14">
    <w:p w14:paraId="0C198B4C" w14:textId="77777777" w:rsidR="00CF2390" w:rsidRPr="0021173C" w:rsidRDefault="00CF2390">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r w:rsidR="00FB576A" w:rsidRPr="0021173C">
        <w:rPr>
          <w:rFonts w:ascii="Palatino Linotype" w:hAnsi="Palatino Linotype"/>
        </w:rPr>
        <w:t>The Special Facilities Agreement is discussed in detail below.</w:t>
      </w:r>
    </w:p>
  </w:footnote>
  <w:footnote w:id="15">
    <w:p w14:paraId="4B0197BC" w14:textId="77777777" w:rsidR="005A317E" w:rsidRPr="0021173C" w:rsidRDefault="005A317E" w:rsidP="00DC206F">
      <w:pPr>
        <w:pStyle w:val="FootnoteText"/>
        <w:keepLines/>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This approximation was calculated based on PG&amp;E’s forecast for New Business costs (MWC 16), which includes installing electric infrastructure to connect new customers to the distribution system or expand service for existing customers. PG&amp;E estimated about $4.8 billion in costs to cover 38,212 units,</w:t>
      </w:r>
      <w:r w:rsidR="00E23957" w:rsidRPr="0021173C">
        <w:rPr>
          <w:rFonts w:ascii="Palatino Linotype" w:hAnsi="Palatino Linotype"/>
        </w:rPr>
        <w:t xml:space="preserve"> </w:t>
      </w:r>
      <w:r w:rsidR="00082CBA" w:rsidRPr="0021173C">
        <w:rPr>
          <w:rFonts w:ascii="Palatino Linotype" w:hAnsi="Palatino Linotype"/>
        </w:rPr>
        <w:t>(</w:t>
      </w:r>
      <w:r w:rsidRPr="0021173C">
        <w:rPr>
          <w:rFonts w:ascii="Palatino Linotype" w:hAnsi="Palatino Linotype"/>
        </w:rPr>
        <w:t>i.e. energizations or service expansions</w:t>
      </w:r>
      <w:r w:rsidR="00082CBA" w:rsidRPr="0021173C">
        <w:rPr>
          <w:rFonts w:ascii="Palatino Linotype" w:hAnsi="Palatino Linotype"/>
        </w:rPr>
        <w:t>)</w:t>
      </w:r>
      <w:r w:rsidR="00C90FFC" w:rsidRPr="0021173C">
        <w:rPr>
          <w:rFonts w:ascii="Palatino Linotype" w:hAnsi="Palatino Linotype"/>
        </w:rPr>
        <w:t xml:space="preserve">, amounting </w:t>
      </w:r>
      <w:r w:rsidRPr="0021173C">
        <w:rPr>
          <w:rFonts w:ascii="Palatino Linotype" w:hAnsi="Palatino Linotype"/>
        </w:rPr>
        <w:t xml:space="preserve">to about $120,000 typical cost for each unit. Note that </w:t>
      </w:r>
      <w:r w:rsidR="00270658" w:rsidRPr="0021173C">
        <w:rPr>
          <w:rFonts w:ascii="Palatino Linotype" w:hAnsi="Palatino Linotype"/>
        </w:rPr>
        <w:t>t</w:t>
      </w:r>
      <w:r w:rsidRPr="0021173C">
        <w:rPr>
          <w:rFonts w:ascii="Palatino Linotype" w:hAnsi="Palatino Linotype"/>
        </w:rPr>
        <w:t>his average would include both residential customers and larger commercial and industrial customers, and individual costs may vary significantly. See PG&amp;E’s Motion to Revise 2025 and 2026 Energization Cost Caps, filed October 4, 2024 in R. 24-01-018.</w:t>
      </w:r>
    </w:p>
  </w:footnote>
  <w:footnote w:id="16">
    <w:p w14:paraId="1726D8D2" w14:textId="77777777" w:rsidR="005A317E" w:rsidRPr="0021173C" w:rsidRDefault="005A317E" w:rsidP="005A317E">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For large load customers like </w:t>
      </w:r>
      <w:r w:rsidR="00106836" w:rsidRPr="0021173C">
        <w:rPr>
          <w:rFonts w:ascii="Palatino Linotype" w:hAnsi="Palatino Linotype"/>
        </w:rPr>
        <w:t>Microsoft</w:t>
      </w:r>
      <w:r w:rsidRPr="0021173C">
        <w:rPr>
          <w:rFonts w:ascii="Palatino Linotype" w:hAnsi="Palatino Linotype"/>
        </w:rPr>
        <w:t xml:space="preserve"> under the B-20 tariff, most net revenues would come from demand rates rather than energy rates. See Electric Schedule B-20, Sheets 5-6.</w:t>
      </w:r>
    </w:p>
  </w:footnote>
  <w:footnote w:id="17">
    <w:p w14:paraId="4858BBBE" w14:textId="77777777"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See the tables submitted in PG&amp;E Advice Letter 7516-E – specifically Appendix 1a, Page 4, column labeled “Revenue At Present.” Note that these tables reflect average revenues divided over total kWh sold, not actual customer rates.</w:t>
      </w:r>
      <w:r w:rsidR="003428EC" w:rsidRPr="0021173C">
        <w:rPr>
          <w:rFonts w:ascii="Palatino Linotype" w:hAnsi="Palatino Linotype"/>
        </w:rPr>
        <w:t xml:space="preserve"> See:</w:t>
      </w:r>
      <w:r w:rsidRPr="0021173C">
        <w:rPr>
          <w:rFonts w:ascii="Palatino Linotype" w:hAnsi="Palatino Linotype"/>
        </w:rPr>
        <w:t xml:space="preserve"> </w:t>
      </w:r>
      <w:hyperlink r:id="rId9" w:history="1">
        <w:r w:rsidRPr="0021173C">
          <w:rPr>
            <w:rStyle w:val="Hyperlink"/>
            <w:rFonts w:ascii="Palatino Linotype" w:hAnsi="Palatino Linotype"/>
          </w:rPr>
          <w:t>https://www.pge.com/tariffs/assets/pdf/adviceletter/ELEC_7516-E.pdf</w:t>
        </w:r>
      </w:hyperlink>
    </w:p>
  </w:footnote>
  <w:footnote w:id="18">
    <w:p w14:paraId="0F273E7E" w14:textId="77777777"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A residential customer, for reference, pays about 26.6 c/kWh according to the same table. However, residential and large load rates are not directly comparable as these customer types have significantly different utilization rates and tariffs, with residential customers having lower load factors.</w:t>
      </w:r>
    </w:p>
  </w:footnote>
  <w:footnote w:id="19">
    <w:p w14:paraId="6F9532C6" w14:textId="77777777" w:rsidR="00EA1E8A" w:rsidRPr="0021173C" w:rsidRDefault="00EA1E8A" w:rsidP="00EA1E8A">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In the Rule 30 proceeding, A. 24-11-007, this type of broader transmission network upgrade is referred to as</w:t>
      </w:r>
      <w:r w:rsidR="00CC45C0" w:rsidRPr="0021173C">
        <w:rPr>
          <w:rFonts w:ascii="Palatino Linotype" w:hAnsi="Palatino Linotype"/>
        </w:rPr>
        <w:t xml:space="preserve"> a</w:t>
      </w:r>
      <w:r w:rsidRPr="0021173C">
        <w:rPr>
          <w:rFonts w:ascii="Palatino Linotype" w:hAnsi="Palatino Linotype"/>
        </w:rPr>
        <w:t xml:space="preserve"> ‘Type 4’ Facilit</w:t>
      </w:r>
      <w:r w:rsidR="00CC45C0" w:rsidRPr="0021173C">
        <w:rPr>
          <w:rFonts w:ascii="Palatino Linotype" w:hAnsi="Palatino Linotype"/>
        </w:rPr>
        <w:t>y</w:t>
      </w:r>
      <w:r w:rsidRPr="0021173C">
        <w:rPr>
          <w:rFonts w:ascii="Palatino Linotype" w:hAnsi="Palatino Linotype"/>
        </w:rPr>
        <w:t>.</w:t>
      </w:r>
    </w:p>
  </w:footnote>
  <w:footnote w:id="20">
    <w:p w14:paraId="49C9CF50" w14:textId="77777777" w:rsidR="004064C4" w:rsidRPr="0021173C" w:rsidRDefault="004064C4">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0" w:history="1">
        <w:r w:rsidRPr="0021173C">
          <w:rPr>
            <w:rStyle w:val="Hyperlink"/>
            <w:rFonts w:ascii="Palatino Linotype" w:hAnsi="Palatino Linotype"/>
          </w:rPr>
          <w:t>Resolution E-5420</w:t>
        </w:r>
      </w:hyperlink>
      <w:r w:rsidRPr="0021173C">
        <w:rPr>
          <w:rFonts w:ascii="Palatino Linotype" w:hAnsi="Palatino Linotype"/>
        </w:rPr>
        <w:t xml:space="preserve"> at </w:t>
      </w:r>
      <w:r w:rsidR="00663344" w:rsidRPr="0021173C">
        <w:rPr>
          <w:rFonts w:ascii="Palatino Linotype" w:hAnsi="Palatino Linotype"/>
        </w:rPr>
        <w:t>18</w:t>
      </w:r>
    </w:p>
  </w:footnote>
  <w:footnote w:id="21">
    <w:p w14:paraId="5E2313CA" w14:textId="77777777" w:rsidR="00961551" w:rsidRPr="0021173C" w:rsidRDefault="00961551" w:rsidP="0096155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1" w:history="1">
        <w:r w:rsidRPr="0021173C">
          <w:rPr>
            <w:rStyle w:val="Hyperlink"/>
            <w:rFonts w:ascii="Palatino Linotype" w:hAnsi="Palatino Linotype"/>
          </w:rPr>
          <w:t>Resolution E-5420</w:t>
        </w:r>
      </w:hyperlink>
      <w:r w:rsidRPr="0021173C">
        <w:rPr>
          <w:rFonts w:ascii="Palatino Linotype" w:hAnsi="Palatino Linotype"/>
        </w:rPr>
        <w:t xml:space="preserve"> at 18</w:t>
      </w:r>
    </w:p>
  </w:footnote>
  <w:footnote w:id="22">
    <w:p w14:paraId="02BB2386" w14:textId="77777777" w:rsidR="00DD7E33" w:rsidRPr="0021173C" w:rsidRDefault="00DD7E33">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2" w:history="1">
        <w:r w:rsidRPr="0021173C">
          <w:rPr>
            <w:rStyle w:val="Hyperlink"/>
            <w:rFonts w:ascii="Palatino Linotype" w:hAnsi="Palatino Linotype"/>
          </w:rPr>
          <w:t>PG&amp;E Electric Rule 15</w:t>
        </w:r>
      </w:hyperlink>
      <w:r w:rsidR="00A9193C" w:rsidRPr="0021173C">
        <w:rPr>
          <w:rFonts w:ascii="Palatino Linotype" w:hAnsi="Palatino Linotype"/>
        </w:rPr>
        <w:t xml:space="preserve"> at Sheet 8</w:t>
      </w:r>
    </w:p>
  </w:footnote>
  <w:footnote w:id="23">
    <w:p w14:paraId="604E77D0" w14:textId="77777777" w:rsidR="000A3741" w:rsidRPr="0021173C" w:rsidRDefault="000A374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3" w:history="1">
        <w:r w:rsidRPr="0021173C">
          <w:rPr>
            <w:rStyle w:val="Hyperlink"/>
            <w:rFonts w:ascii="Palatino Linotype" w:hAnsi="Palatino Linotype"/>
          </w:rPr>
          <w:t>PG&amp;E Electric Rule 15</w:t>
        </w:r>
      </w:hyperlink>
      <w:r w:rsidRPr="0021173C">
        <w:rPr>
          <w:rFonts w:ascii="Palatino Linotype" w:hAnsi="Palatino Linotype"/>
        </w:rPr>
        <w:t xml:space="preserve"> Section D.5.c at Sheet 11</w:t>
      </w:r>
    </w:p>
  </w:footnote>
  <w:footnote w:id="24">
    <w:p w14:paraId="3D573FE1" w14:textId="77777777" w:rsidR="00C10BFC" w:rsidRPr="0021173C" w:rsidRDefault="00C10BFC" w:rsidP="00C10BF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4" w:history="1">
        <w:r w:rsidRPr="0021173C">
          <w:rPr>
            <w:rStyle w:val="Hyperlink"/>
            <w:rFonts w:ascii="Palatino Linotype" w:hAnsi="Palatino Linotype"/>
          </w:rPr>
          <w:t>PG&amp;E Electric Rule 15</w:t>
        </w:r>
      </w:hyperlink>
      <w:r w:rsidRPr="0021173C">
        <w:rPr>
          <w:rFonts w:ascii="Palatino Linotype" w:hAnsi="Palatino Linotype"/>
        </w:rPr>
        <w:t xml:space="preserve"> at Sheet 8</w:t>
      </w:r>
    </w:p>
  </w:footnote>
  <w:footnote w:id="25">
    <w:p w14:paraId="573A78FF" w14:textId="77777777" w:rsidR="006C38D1" w:rsidRPr="0021173C" w:rsidRDefault="006C38D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5" w:history="1">
        <w:r w:rsidRPr="0021173C">
          <w:rPr>
            <w:rStyle w:val="Hyperlink"/>
            <w:rFonts w:ascii="Palatino Linotype" w:hAnsi="Palatino Linotype"/>
          </w:rPr>
          <w:t>PG&amp;E Electric Rule 15</w:t>
        </w:r>
      </w:hyperlink>
      <w:r w:rsidRPr="0021173C">
        <w:rPr>
          <w:rFonts w:ascii="Palatino Linotype" w:hAnsi="Palatino Linotype"/>
        </w:rPr>
        <w:t xml:space="preserve"> Section D.5.b at Sheet 11</w:t>
      </w:r>
    </w:p>
  </w:footnote>
  <w:footnote w:id="26">
    <w:p w14:paraId="7940BBCE" w14:textId="77777777" w:rsidR="00B15E15" w:rsidRPr="0021173C" w:rsidRDefault="00B15E15">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6" w:history="1">
        <w:r w:rsidRPr="0021173C">
          <w:rPr>
            <w:rStyle w:val="Hyperlink"/>
            <w:rFonts w:ascii="Palatino Linotype" w:hAnsi="Palatino Linotype"/>
          </w:rPr>
          <w:t>PG&amp;E Electric Rule 15</w:t>
        </w:r>
      </w:hyperlink>
      <w:r w:rsidRPr="0021173C">
        <w:rPr>
          <w:rFonts w:ascii="Palatino Linotype" w:hAnsi="Palatino Linotype"/>
        </w:rPr>
        <w:t xml:space="preserve"> Section D.5.c at Sheet 11</w:t>
      </w:r>
    </w:p>
  </w:footnote>
  <w:footnote w:id="27">
    <w:p w14:paraId="4371C0A0" w14:textId="77777777" w:rsidR="006F1B5F" w:rsidRPr="0021173C" w:rsidRDefault="006F1B5F">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7" w:history="1">
        <w:r w:rsidRPr="0021173C">
          <w:rPr>
            <w:rStyle w:val="Hyperlink"/>
            <w:rFonts w:ascii="Palatino Linotype" w:hAnsi="Palatino Linotype"/>
          </w:rPr>
          <w:t>PG&amp;E Electric Rule 15</w:t>
        </w:r>
      </w:hyperlink>
      <w:r w:rsidRPr="0021173C">
        <w:rPr>
          <w:rFonts w:ascii="Palatino Linotype" w:hAnsi="Palatino Linotype"/>
        </w:rPr>
        <w:t xml:space="preserve"> Section F at Sheet 15</w:t>
      </w:r>
    </w:p>
  </w:footnote>
  <w:footnote w:id="28">
    <w:p w14:paraId="7DF79E73" w14:textId="77777777" w:rsidR="006F1B5F" w:rsidRPr="0021173C" w:rsidRDefault="006F1B5F">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8" w:history="1">
        <w:r w:rsidRPr="0021173C">
          <w:rPr>
            <w:rStyle w:val="Hyperlink"/>
            <w:rFonts w:ascii="Palatino Linotype" w:hAnsi="Palatino Linotype"/>
          </w:rPr>
          <w:t>PG&amp;E Electric Rule 15</w:t>
        </w:r>
      </w:hyperlink>
      <w:r w:rsidRPr="0021173C">
        <w:rPr>
          <w:rFonts w:ascii="Palatino Linotype" w:hAnsi="Palatino Linotype"/>
        </w:rPr>
        <w:t xml:space="preserve"> Section G at Sheet 16</w:t>
      </w:r>
    </w:p>
  </w:footnote>
  <w:footnote w:id="29">
    <w:p w14:paraId="1F86AA4D" w14:textId="77777777" w:rsidR="006B15E1" w:rsidRPr="0021173C" w:rsidRDefault="006B15E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19" w:history="1">
        <w:r w:rsidRPr="0021173C">
          <w:rPr>
            <w:rStyle w:val="Hyperlink"/>
            <w:rFonts w:ascii="Palatino Linotype" w:hAnsi="Palatino Linotype"/>
          </w:rPr>
          <w:t>PG&amp;E Electric Rule 15</w:t>
        </w:r>
      </w:hyperlink>
      <w:r w:rsidRPr="0021173C">
        <w:rPr>
          <w:rFonts w:ascii="Palatino Linotype" w:hAnsi="Palatino Linotype"/>
        </w:rPr>
        <w:t xml:space="preserve"> Section F and G at Sheet 15 through 16</w:t>
      </w:r>
    </w:p>
  </w:footnote>
  <w:footnote w:id="30">
    <w:p w14:paraId="0C3FFDA7" w14:textId="77777777" w:rsidR="006B15E1" w:rsidRPr="0021173C" w:rsidRDefault="006B15E1">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Note that this option is only available to </w:t>
      </w:r>
      <w:r w:rsidR="005A10CF" w:rsidRPr="0021173C">
        <w:rPr>
          <w:rFonts w:ascii="Palatino Linotype" w:hAnsi="Palatino Linotype"/>
        </w:rPr>
        <w:t xml:space="preserve">applicants for new service and is normally not available for replacement, reinforcement, or relocation of existing </w:t>
      </w:r>
      <w:r w:rsidR="002B7FBC" w:rsidRPr="0021173C">
        <w:rPr>
          <w:rFonts w:ascii="Palatino Linotype" w:hAnsi="Palatino Linotype"/>
        </w:rPr>
        <w:t>systems.</w:t>
      </w:r>
    </w:p>
  </w:footnote>
  <w:footnote w:id="31">
    <w:p w14:paraId="0DF2B38E" w14:textId="77777777" w:rsidR="009829AC" w:rsidRPr="0021173C" w:rsidRDefault="009829AC">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0" w:history="1">
        <w:r w:rsidR="006D6032" w:rsidRPr="0021173C">
          <w:rPr>
            <w:rStyle w:val="Hyperlink"/>
            <w:rFonts w:ascii="Palatino Linotype" w:hAnsi="Palatino Linotype"/>
          </w:rPr>
          <w:t>PG&amp;E Electric &amp; Gas Service Requirements</w:t>
        </w:r>
      </w:hyperlink>
    </w:p>
  </w:footnote>
  <w:footnote w:id="32">
    <w:p w14:paraId="32DF17CB" w14:textId="77777777" w:rsidR="007772F8" w:rsidRPr="0021173C" w:rsidRDefault="007772F8">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1" w:history="1">
        <w:r w:rsidRPr="0021173C">
          <w:rPr>
            <w:rStyle w:val="Hyperlink"/>
            <w:rFonts w:ascii="Palatino Linotype" w:hAnsi="Palatino Linotype"/>
          </w:rPr>
          <w:t>PG&amp;E Electric Rule 15</w:t>
        </w:r>
      </w:hyperlink>
      <w:r w:rsidRPr="0021173C">
        <w:rPr>
          <w:rFonts w:ascii="Palatino Linotype" w:hAnsi="Palatino Linotype"/>
        </w:rPr>
        <w:t xml:space="preserve"> </w:t>
      </w:r>
      <w:r w:rsidR="007E6C7E" w:rsidRPr="0021173C">
        <w:rPr>
          <w:rFonts w:ascii="Palatino Linotype" w:hAnsi="Palatino Linotype"/>
        </w:rPr>
        <w:t>Section D.5 at Sheet 10 through 11</w:t>
      </w:r>
    </w:p>
  </w:footnote>
  <w:footnote w:id="33">
    <w:p w14:paraId="33A08BFB" w14:textId="77777777" w:rsidR="000D15EE" w:rsidRPr="0021173C" w:rsidRDefault="000D15EE">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2" w:history="1">
        <w:r w:rsidRPr="0021173C">
          <w:rPr>
            <w:rStyle w:val="Hyperlink"/>
            <w:rFonts w:ascii="Palatino Linotype" w:hAnsi="Palatino Linotype"/>
          </w:rPr>
          <w:t>PG&amp;E Electric Rule 16</w:t>
        </w:r>
      </w:hyperlink>
      <w:r w:rsidRPr="0021173C">
        <w:rPr>
          <w:rFonts w:ascii="Palatino Linotype" w:hAnsi="Palatino Linotype"/>
        </w:rPr>
        <w:t xml:space="preserve"> Section </w:t>
      </w:r>
      <w:r w:rsidR="00C9555E" w:rsidRPr="0021173C">
        <w:rPr>
          <w:rFonts w:ascii="Palatino Linotype" w:hAnsi="Palatino Linotype"/>
        </w:rPr>
        <w:t>E.5 at Sheet 19 through 20</w:t>
      </w:r>
    </w:p>
  </w:footnote>
  <w:footnote w:id="34">
    <w:p w14:paraId="3126EFBB" w14:textId="77777777" w:rsidR="00D416D2" w:rsidRPr="0021173C" w:rsidRDefault="00D416D2" w:rsidP="00D416D2">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3" w:history="1">
        <w:r w:rsidR="00D64B97" w:rsidRPr="0021173C">
          <w:rPr>
            <w:rStyle w:val="Hyperlink"/>
            <w:rFonts w:ascii="Palatino Linotype" w:hAnsi="Palatino Linotype"/>
          </w:rPr>
          <w:t>PG&amp;E Electric Rule 2</w:t>
        </w:r>
      </w:hyperlink>
      <w:r w:rsidRPr="0021173C">
        <w:rPr>
          <w:rFonts w:ascii="Palatino Linotype" w:hAnsi="Palatino Linotype"/>
        </w:rPr>
        <w:t xml:space="preserve"> at Sheet 22</w:t>
      </w:r>
    </w:p>
  </w:footnote>
  <w:footnote w:id="35">
    <w:p w14:paraId="3DC7A0B7"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w:t>
      </w:r>
    </w:p>
  </w:footnote>
  <w:footnote w:id="36">
    <w:p w14:paraId="2E6D66C5"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 through 5</w:t>
      </w:r>
    </w:p>
  </w:footnote>
  <w:footnote w:id="37">
    <w:p w14:paraId="360C68B0"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5</w:t>
      </w:r>
    </w:p>
  </w:footnote>
  <w:footnote w:id="38">
    <w:p w14:paraId="1518E89B"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6</w:t>
      </w:r>
    </w:p>
  </w:footnote>
  <w:footnote w:id="39">
    <w:p w14:paraId="77A02C6A"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3</w:t>
      </w:r>
    </w:p>
  </w:footnote>
  <w:footnote w:id="40">
    <w:p w14:paraId="56D4E1DB"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4</w:t>
      </w:r>
    </w:p>
  </w:footnote>
  <w:footnote w:id="41">
    <w:p w14:paraId="3FE9786F"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4</w:t>
      </w:r>
    </w:p>
  </w:footnote>
  <w:footnote w:id="42">
    <w:p w14:paraId="7ABE070C"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w:t>
      </w:r>
      <w:hyperlink r:id="rId24" w:history="1">
        <w:r w:rsidRPr="0021173C">
          <w:rPr>
            <w:rStyle w:val="Hyperlink"/>
            <w:rFonts w:ascii="Palatino Linotype" w:hAnsi="Palatino Linotype"/>
          </w:rPr>
          <w:t>PG&amp;E Electric Rule 15</w:t>
        </w:r>
      </w:hyperlink>
      <w:r w:rsidRPr="0021173C">
        <w:rPr>
          <w:rFonts w:ascii="Palatino Linotype" w:hAnsi="Palatino Linotype"/>
        </w:rPr>
        <w:t xml:space="preserve"> Section E.4 at Sheet 13</w:t>
      </w:r>
    </w:p>
  </w:footnote>
  <w:footnote w:id="43">
    <w:p w14:paraId="6721578F" w14:textId="77777777" w:rsidR="006C4807" w:rsidRPr="0021173C" w:rsidRDefault="006C4807" w:rsidP="006C4807">
      <w:pPr>
        <w:pStyle w:val="FootnoteText"/>
        <w:rPr>
          <w:rFonts w:ascii="Palatino Linotype" w:hAnsi="Palatino Linotype"/>
        </w:rPr>
      </w:pPr>
      <w:r w:rsidRPr="0021173C">
        <w:rPr>
          <w:rStyle w:val="FootnoteReference"/>
          <w:rFonts w:ascii="Palatino Linotype" w:hAnsi="Palatino Linotype"/>
        </w:rPr>
        <w:footnoteRef/>
      </w:r>
      <w:r w:rsidRPr="0021173C">
        <w:rPr>
          <w:rFonts w:ascii="Palatino Linotype" w:hAnsi="Palatino Linotype"/>
        </w:rPr>
        <w:t xml:space="preserve"> Comments of Pacific Gas and Electric Company on Draft Resolution E-5439 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7078" w14:textId="6E7EDF73"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1C6ADE">
      <w:rPr>
        <w:rFonts w:ascii="Palatino Linotype" w:hAnsi="Palatino Linotype"/>
      </w:rPr>
      <w:t>E-5439</w:t>
    </w:r>
    <w:r w:rsidR="008213BB">
      <w:tab/>
    </w:r>
    <w:r w:rsidR="008213BB">
      <w:tab/>
    </w:r>
    <w:r w:rsidR="008F34BE">
      <w:rPr>
        <w:rFonts w:ascii="Palatino Linotype" w:hAnsi="Palatino Linotype"/>
      </w:rPr>
      <w:t>January 15, 2026</w:t>
    </w:r>
  </w:p>
  <w:p w14:paraId="0D7A7BFF" w14:textId="77777777" w:rsidR="008213BB" w:rsidRDefault="001C6ADE"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7635-E</w:t>
    </w:r>
    <w:r w:rsidR="00565F65">
      <w:rPr>
        <w:rFonts w:ascii="Palatino Linotype" w:hAnsi="Palatino Linotype"/>
      </w:rPr>
      <w:t>/</w:t>
    </w:r>
    <w:r>
      <w:rPr>
        <w:rFonts w:ascii="Palatino Linotype" w:hAnsi="Palatino Linotype"/>
      </w:rPr>
      <w:t>JE1</w:t>
    </w:r>
  </w:p>
  <w:p w14:paraId="2EF3954B" w14:textId="77777777" w:rsidR="008F34BE" w:rsidRPr="002A1AD8" w:rsidRDefault="008F34B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128F" w14:textId="64FBA8A5" w:rsidR="00750E92" w:rsidRPr="00C83581" w:rsidRDefault="00C83581" w:rsidP="00C83581">
    <w:pPr>
      <w:pStyle w:val="Header"/>
    </w:pPr>
    <w:r w:rsidRPr="00C83581">
      <w:rPr>
        <w:rFonts w:ascii="Palatino Linotype" w:hAnsi="Palatino Linotype"/>
      </w:rPr>
      <w:tab/>
    </w:r>
    <w:r w:rsidRPr="00C83581">
      <w:rPr>
        <w:rFonts w:ascii="Palatino Linotype" w:hAnsi="Palatino Linotype"/>
      </w:rPr>
      <w:tab/>
      <w:t xml:space="preserve">Date of Issuance: January </w:t>
    </w:r>
    <w:r>
      <w:rPr>
        <w:rFonts w:ascii="Palatino Linotype" w:hAnsi="Palatino Linotype"/>
      </w:rPr>
      <w:t>20</w:t>
    </w:r>
    <w:r w:rsidRPr="00C83581">
      <w:rPr>
        <w:rFonts w:ascii="Palatino Linotype" w:hAnsi="Palatino Linotype"/>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7D0A1C"/>
    <w:multiLevelType w:val="hybridMultilevel"/>
    <w:tmpl w:val="150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9E6"/>
    <w:multiLevelType w:val="hybridMultilevel"/>
    <w:tmpl w:val="60086C72"/>
    <w:lvl w:ilvl="0" w:tplc="D39A4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10D7D"/>
    <w:multiLevelType w:val="hybridMultilevel"/>
    <w:tmpl w:val="84E016F6"/>
    <w:lvl w:ilvl="0" w:tplc="2A161C9E">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B14"/>
    <w:multiLevelType w:val="hybridMultilevel"/>
    <w:tmpl w:val="C39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565C7"/>
    <w:multiLevelType w:val="singleLevel"/>
    <w:tmpl w:val="518834B2"/>
    <w:lvl w:ilvl="0">
      <w:start w:val="1"/>
      <w:numFmt w:val="decimal"/>
      <w:lvlText w:val="%1."/>
      <w:lvlJc w:val="left"/>
      <w:pPr>
        <w:tabs>
          <w:tab w:val="num" w:pos="420"/>
        </w:tabs>
        <w:ind w:left="420" w:hanging="420"/>
      </w:pPr>
      <w:rPr>
        <w:rFonts w:ascii="Palatino Linotype" w:hAnsi="Palatino Linotype"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0" w15:restartNumberingAfterBreak="0">
    <w:nsid w:val="742B5BCE"/>
    <w:multiLevelType w:val="hybridMultilevel"/>
    <w:tmpl w:val="73EA7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4DE33E5"/>
    <w:multiLevelType w:val="hybridMultilevel"/>
    <w:tmpl w:val="2690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11C8"/>
    <w:multiLevelType w:val="hybridMultilevel"/>
    <w:tmpl w:val="C49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2790">
    <w:abstractNumId w:val="6"/>
  </w:num>
  <w:num w:numId="2" w16cid:durableId="1991593136">
    <w:abstractNumId w:val="0"/>
  </w:num>
  <w:num w:numId="3" w16cid:durableId="1754620235">
    <w:abstractNumId w:val="3"/>
  </w:num>
  <w:num w:numId="4" w16cid:durableId="969365539">
    <w:abstractNumId w:val="8"/>
  </w:num>
  <w:num w:numId="5" w16cid:durableId="468133998">
    <w:abstractNumId w:val="7"/>
  </w:num>
  <w:num w:numId="6" w16cid:durableId="426273653">
    <w:abstractNumId w:val="9"/>
  </w:num>
  <w:num w:numId="7" w16cid:durableId="487408644">
    <w:abstractNumId w:val="1"/>
  </w:num>
  <w:num w:numId="8" w16cid:durableId="1365908383">
    <w:abstractNumId w:val="5"/>
  </w:num>
  <w:num w:numId="9" w16cid:durableId="671640202">
    <w:abstractNumId w:val="10"/>
  </w:num>
  <w:num w:numId="10" w16cid:durableId="635721726">
    <w:abstractNumId w:val="11"/>
  </w:num>
  <w:num w:numId="11" w16cid:durableId="439646776">
    <w:abstractNumId w:val="12"/>
  </w:num>
  <w:num w:numId="12" w16cid:durableId="356394112">
    <w:abstractNumId w:val="2"/>
  </w:num>
  <w:num w:numId="13" w16cid:durableId="146715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83"/>
    <w:rsid w:val="00002E7E"/>
    <w:rsid w:val="00003629"/>
    <w:rsid w:val="000043F2"/>
    <w:rsid w:val="00004FA8"/>
    <w:rsid w:val="00005636"/>
    <w:rsid w:val="00005BD9"/>
    <w:rsid w:val="00006173"/>
    <w:rsid w:val="000070FF"/>
    <w:rsid w:val="00007840"/>
    <w:rsid w:val="00007A98"/>
    <w:rsid w:val="00007E42"/>
    <w:rsid w:val="0001073C"/>
    <w:rsid w:val="00010A58"/>
    <w:rsid w:val="00010E62"/>
    <w:rsid w:val="000113B3"/>
    <w:rsid w:val="000114EB"/>
    <w:rsid w:val="000132EE"/>
    <w:rsid w:val="00013EA5"/>
    <w:rsid w:val="00013FC3"/>
    <w:rsid w:val="000144AD"/>
    <w:rsid w:val="00014505"/>
    <w:rsid w:val="00014A40"/>
    <w:rsid w:val="00015745"/>
    <w:rsid w:val="00016AAB"/>
    <w:rsid w:val="00016F4C"/>
    <w:rsid w:val="00017727"/>
    <w:rsid w:val="00017F14"/>
    <w:rsid w:val="00020AC1"/>
    <w:rsid w:val="0002223E"/>
    <w:rsid w:val="00025187"/>
    <w:rsid w:val="0002526E"/>
    <w:rsid w:val="000252BC"/>
    <w:rsid w:val="000263C7"/>
    <w:rsid w:val="00027773"/>
    <w:rsid w:val="0002799E"/>
    <w:rsid w:val="00027F45"/>
    <w:rsid w:val="00030052"/>
    <w:rsid w:val="00030CA7"/>
    <w:rsid w:val="00030D90"/>
    <w:rsid w:val="00030F3B"/>
    <w:rsid w:val="00031528"/>
    <w:rsid w:val="00031A75"/>
    <w:rsid w:val="00032695"/>
    <w:rsid w:val="0003326E"/>
    <w:rsid w:val="000332F4"/>
    <w:rsid w:val="00036046"/>
    <w:rsid w:val="000373E4"/>
    <w:rsid w:val="000376D1"/>
    <w:rsid w:val="00040840"/>
    <w:rsid w:val="00041211"/>
    <w:rsid w:val="00041EB0"/>
    <w:rsid w:val="00042BC4"/>
    <w:rsid w:val="00044568"/>
    <w:rsid w:val="000445F0"/>
    <w:rsid w:val="00047154"/>
    <w:rsid w:val="000478F3"/>
    <w:rsid w:val="00051874"/>
    <w:rsid w:val="00051AAB"/>
    <w:rsid w:val="00052301"/>
    <w:rsid w:val="00052F8B"/>
    <w:rsid w:val="00052FF7"/>
    <w:rsid w:val="00053981"/>
    <w:rsid w:val="00053EC3"/>
    <w:rsid w:val="000547E7"/>
    <w:rsid w:val="00054992"/>
    <w:rsid w:val="00054D11"/>
    <w:rsid w:val="0005533D"/>
    <w:rsid w:val="00056447"/>
    <w:rsid w:val="00056F40"/>
    <w:rsid w:val="00056FC9"/>
    <w:rsid w:val="000604C8"/>
    <w:rsid w:val="0006263B"/>
    <w:rsid w:val="00062E02"/>
    <w:rsid w:val="00063D47"/>
    <w:rsid w:val="00064F5B"/>
    <w:rsid w:val="000677CB"/>
    <w:rsid w:val="00073FB7"/>
    <w:rsid w:val="00074281"/>
    <w:rsid w:val="00074768"/>
    <w:rsid w:val="0007504B"/>
    <w:rsid w:val="00077858"/>
    <w:rsid w:val="00080B9A"/>
    <w:rsid w:val="000828F8"/>
    <w:rsid w:val="00082CBA"/>
    <w:rsid w:val="00082DB0"/>
    <w:rsid w:val="00085BF3"/>
    <w:rsid w:val="000864CB"/>
    <w:rsid w:val="00086EE0"/>
    <w:rsid w:val="00087184"/>
    <w:rsid w:val="0009168E"/>
    <w:rsid w:val="0009182F"/>
    <w:rsid w:val="00091DF4"/>
    <w:rsid w:val="00092D16"/>
    <w:rsid w:val="00093086"/>
    <w:rsid w:val="00093CD9"/>
    <w:rsid w:val="00094570"/>
    <w:rsid w:val="00095CC3"/>
    <w:rsid w:val="00095DBF"/>
    <w:rsid w:val="00095FD3"/>
    <w:rsid w:val="000A0F0F"/>
    <w:rsid w:val="000A246B"/>
    <w:rsid w:val="000A2F0B"/>
    <w:rsid w:val="000A3136"/>
    <w:rsid w:val="000A3741"/>
    <w:rsid w:val="000A4FF9"/>
    <w:rsid w:val="000A5434"/>
    <w:rsid w:val="000A6212"/>
    <w:rsid w:val="000A6FB8"/>
    <w:rsid w:val="000B1930"/>
    <w:rsid w:val="000B2E7C"/>
    <w:rsid w:val="000B3F36"/>
    <w:rsid w:val="000B5397"/>
    <w:rsid w:val="000B64A9"/>
    <w:rsid w:val="000B6642"/>
    <w:rsid w:val="000B6663"/>
    <w:rsid w:val="000B6BEE"/>
    <w:rsid w:val="000B7008"/>
    <w:rsid w:val="000B73B6"/>
    <w:rsid w:val="000B74F6"/>
    <w:rsid w:val="000C0370"/>
    <w:rsid w:val="000C0AC8"/>
    <w:rsid w:val="000C1D21"/>
    <w:rsid w:val="000C3594"/>
    <w:rsid w:val="000C3653"/>
    <w:rsid w:val="000C3FC6"/>
    <w:rsid w:val="000C5821"/>
    <w:rsid w:val="000C5B62"/>
    <w:rsid w:val="000C620A"/>
    <w:rsid w:val="000C69A4"/>
    <w:rsid w:val="000C7D8E"/>
    <w:rsid w:val="000D15EE"/>
    <w:rsid w:val="000D2FE6"/>
    <w:rsid w:val="000D4085"/>
    <w:rsid w:val="000D4104"/>
    <w:rsid w:val="000D5535"/>
    <w:rsid w:val="000D5E57"/>
    <w:rsid w:val="000D66DF"/>
    <w:rsid w:val="000D6835"/>
    <w:rsid w:val="000D7A96"/>
    <w:rsid w:val="000E2B98"/>
    <w:rsid w:val="000E5D3B"/>
    <w:rsid w:val="000E6047"/>
    <w:rsid w:val="000E6643"/>
    <w:rsid w:val="000E7C69"/>
    <w:rsid w:val="000F21A3"/>
    <w:rsid w:val="000F2B89"/>
    <w:rsid w:val="000F3A22"/>
    <w:rsid w:val="000F4B5E"/>
    <w:rsid w:val="000F5121"/>
    <w:rsid w:val="0010033B"/>
    <w:rsid w:val="00100635"/>
    <w:rsid w:val="00101272"/>
    <w:rsid w:val="00101287"/>
    <w:rsid w:val="0010142B"/>
    <w:rsid w:val="00104277"/>
    <w:rsid w:val="001046F0"/>
    <w:rsid w:val="00106157"/>
    <w:rsid w:val="00106836"/>
    <w:rsid w:val="00106F52"/>
    <w:rsid w:val="0010729C"/>
    <w:rsid w:val="00111196"/>
    <w:rsid w:val="00112CE4"/>
    <w:rsid w:val="0011402D"/>
    <w:rsid w:val="00114C7D"/>
    <w:rsid w:val="00115E21"/>
    <w:rsid w:val="0011634C"/>
    <w:rsid w:val="001172F0"/>
    <w:rsid w:val="00117F51"/>
    <w:rsid w:val="00117FA4"/>
    <w:rsid w:val="00117FD3"/>
    <w:rsid w:val="00120341"/>
    <w:rsid w:val="00120D9A"/>
    <w:rsid w:val="00120F3E"/>
    <w:rsid w:val="00121189"/>
    <w:rsid w:val="00121953"/>
    <w:rsid w:val="001219D2"/>
    <w:rsid w:val="00122236"/>
    <w:rsid w:val="00122464"/>
    <w:rsid w:val="001231A1"/>
    <w:rsid w:val="0012320A"/>
    <w:rsid w:val="00125532"/>
    <w:rsid w:val="00125AC7"/>
    <w:rsid w:val="001301BF"/>
    <w:rsid w:val="00130A30"/>
    <w:rsid w:val="0013174D"/>
    <w:rsid w:val="001317EC"/>
    <w:rsid w:val="00131AA9"/>
    <w:rsid w:val="00132B9C"/>
    <w:rsid w:val="00132F44"/>
    <w:rsid w:val="00133AB1"/>
    <w:rsid w:val="00133E4D"/>
    <w:rsid w:val="001362C8"/>
    <w:rsid w:val="0013733D"/>
    <w:rsid w:val="00137829"/>
    <w:rsid w:val="00137A4E"/>
    <w:rsid w:val="00141823"/>
    <w:rsid w:val="00141859"/>
    <w:rsid w:val="001424C2"/>
    <w:rsid w:val="00142E25"/>
    <w:rsid w:val="00143088"/>
    <w:rsid w:val="0014382A"/>
    <w:rsid w:val="00143C43"/>
    <w:rsid w:val="00144A92"/>
    <w:rsid w:val="0014563B"/>
    <w:rsid w:val="00146AD0"/>
    <w:rsid w:val="00150D8E"/>
    <w:rsid w:val="00151399"/>
    <w:rsid w:val="00151499"/>
    <w:rsid w:val="001516C1"/>
    <w:rsid w:val="001519E1"/>
    <w:rsid w:val="001525AC"/>
    <w:rsid w:val="0015269D"/>
    <w:rsid w:val="00153DCD"/>
    <w:rsid w:val="00155FA0"/>
    <w:rsid w:val="0015725A"/>
    <w:rsid w:val="00157BD8"/>
    <w:rsid w:val="0016062E"/>
    <w:rsid w:val="001617E2"/>
    <w:rsid w:val="0016286C"/>
    <w:rsid w:val="00164F3A"/>
    <w:rsid w:val="00165CD3"/>
    <w:rsid w:val="00165FB5"/>
    <w:rsid w:val="00165FD2"/>
    <w:rsid w:val="00166A97"/>
    <w:rsid w:val="00167FED"/>
    <w:rsid w:val="001711D4"/>
    <w:rsid w:val="001718DB"/>
    <w:rsid w:val="001718FA"/>
    <w:rsid w:val="00173BA2"/>
    <w:rsid w:val="00173D36"/>
    <w:rsid w:val="00175BB0"/>
    <w:rsid w:val="00181AF3"/>
    <w:rsid w:val="00181DE9"/>
    <w:rsid w:val="00182790"/>
    <w:rsid w:val="00184EAB"/>
    <w:rsid w:val="001853DD"/>
    <w:rsid w:val="001871CD"/>
    <w:rsid w:val="00187CC7"/>
    <w:rsid w:val="001903B7"/>
    <w:rsid w:val="0019167A"/>
    <w:rsid w:val="001917C2"/>
    <w:rsid w:val="001928B6"/>
    <w:rsid w:val="00194439"/>
    <w:rsid w:val="0019629B"/>
    <w:rsid w:val="00197910"/>
    <w:rsid w:val="00197D44"/>
    <w:rsid w:val="001A159E"/>
    <w:rsid w:val="001A2CC8"/>
    <w:rsid w:val="001A352C"/>
    <w:rsid w:val="001A5552"/>
    <w:rsid w:val="001A5B40"/>
    <w:rsid w:val="001A7BFC"/>
    <w:rsid w:val="001A7F40"/>
    <w:rsid w:val="001B2963"/>
    <w:rsid w:val="001B4120"/>
    <w:rsid w:val="001B4B9F"/>
    <w:rsid w:val="001C1498"/>
    <w:rsid w:val="001C3109"/>
    <w:rsid w:val="001C329E"/>
    <w:rsid w:val="001C5D12"/>
    <w:rsid w:val="001C61A6"/>
    <w:rsid w:val="001C64AE"/>
    <w:rsid w:val="001C6ADE"/>
    <w:rsid w:val="001C6B6C"/>
    <w:rsid w:val="001C766A"/>
    <w:rsid w:val="001D008B"/>
    <w:rsid w:val="001D01BB"/>
    <w:rsid w:val="001D0A84"/>
    <w:rsid w:val="001D0DBA"/>
    <w:rsid w:val="001D1A47"/>
    <w:rsid w:val="001D1AC8"/>
    <w:rsid w:val="001D1F96"/>
    <w:rsid w:val="001D258B"/>
    <w:rsid w:val="001D2D08"/>
    <w:rsid w:val="001D2DBD"/>
    <w:rsid w:val="001D30DB"/>
    <w:rsid w:val="001D3156"/>
    <w:rsid w:val="001D339D"/>
    <w:rsid w:val="001D3500"/>
    <w:rsid w:val="001D4D03"/>
    <w:rsid w:val="001D4E47"/>
    <w:rsid w:val="001D5FB1"/>
    <w:rsid w:val="001D6DBC"/>
    <w:rsid w:val="001D75DF"/>
    <w:rsid w:val="001E0D40"/>
    <w:rsid w:val="001E10D4"/>
    <w:rsid w:val="001E1BE5"/>
    <w:rsid w:val="001E21DD"/>
    <w:rsid w:val="001E36E3"/>
    <w:rsid w:val="001E3730"/>
    <w:rsid w:val="001E383B"/>
    <w:rsid w:val="001E39E5"/>
    <w:rsid w:val="001E3B35"/>
    <w:rsid w:val="001E5882"/>
    <w:rsid w:val="001E6DB9"/>
    <w:rsid w:val="001E7E21"/>
    <w:rsid w:val="001F0A95"/>
    <w:rsid w:val="001F1F66"/>
    <w:rsid w:val="001F4188"/>
    <w:rsid w:val="001F4601"/>
    <w:rsid w:val="001F5573"/>
    <w:rsid w:val="001F5760"/>
    <w:rsid w:val="002006D1"/>
    <w:rsid w:val="00200EBE"/>
    <w:rsid w:val="0020139E"/>
    <w:rsid w:val="002021EE"/>
    <w:rsid w:val="00203BE2"/>
    <w:rsid w:val="00204474"/>
    <w:rsid w:val="00204B1B"/>
    <w:rsid w:val="002054C5"/>
    <w:rsid w:val="00206C11"/>
    <w:rsid w:val="00207080"/>
    <w:rsid w:val="00211297"/>
    <w:rsid w:val="0021173C"/>
    <w:rsid w:val="002117FB"/>
    <w:rsid w:val="002121EC"/>
    <w:rsid w:val="00212A4D"/>
    <w:rsid w:val="0021345B"/>
    <w:rsid w:val="00215025"/>
    <w:rsid w:val="002159B9"/>
    <w:rsid w:val="00216901"/>
    <w:rsid w:val="00217EC1"/>
    <w:rsid w:val="00220765"/>
    <w:rsid w:val="00220987"/>
    <w:rsid w:val="00221595"/>
    <w:rsid w:val="00221DA6"/>
    <w:rsid w:val="00221FCC"/>
    <w:rsid w:val="00223C4D"/>
    <w:rsid w:val="00224994"/>
    <w:rsid w:val="002256B8"/>
    <w:rsid w:val="0022638D"/>
    <w:rsid w:val="002266DE"/>
    <w:rsid w:val="00227864"/>
    <w:rsid w:val="00227EB9"/>
    <w:rsid w:val="00230C3D"/>
    <w:rsid w:val="002310BF"/>
    <w:rsid w:val="00231A4B"/>
    <w:rsid w:val="0023244A"/>
    <w:rsid w:val="0023282D"/>
    <w:rsid w:val="00232941"/>
    <w:rsid w:val="002341D4"/>
    <w:rsid w:val="00234711"/>
    <w:rsid w:val="002350CB"/>
    <w:rsid w:val="00237043"/>
    <w:rsid w:val="0023749F"/>
    <w:rsid w:val="002378CC"/>
    <w:rsid w:val="0024135C"/>
    <w:rsid w:val="002424E5"/>
    <w:rsid w:val="00243B5F"/>
    <w:rsid w:val="0024477D"/>
    <w:rsid w:val="002449BD"/>
    <w:rsid w:val="00246423"/>
    <w:rsid w:val="002514A5"/>
    <w:rsid w:val="00252457"/>
    <w:rsid w:val="00253185"/>
    <w:rsid w:val="00254834"/>
    <w:rsid w:val="00256C7F"/>
    <w:rsid w:val="0026047B"/>
    <w:rsid w:val="00260587"/>
    <w:rsid w:val="002619B3"/>
    <w:rsid w:val="002628E4"/>
    <w:rsid w:val="00265757"/>
    <w:rsid w:val="0027046C"/>
    <w:rsid w:val="00270658"/>
    <w:rsid w:val="00270985"/>
    <w:rsid w:val="00271238"/>
    <w:rsid w:val="00273172"/>
    <w:rsid w:val="002735AA"/>
    <w:rsid w:val="002740C6"/>
    <w:rsid w:val="00276441"/>
    <w:rsid w:val="00276452"/>
    <w:rsid w:val="00277925"/>
    <w:rsid w:val="0028041C"/>
    <w:rsid w:val="00280F35"/>
    <w:rsid w:val="00281ABF"/>
    <w:rsid w:val="00282ED0"/>
    <w:rsid w:val="00283083"/>
    <w:rsid w:val="00283287"/>
    <w:rsid w:val="00283D4F"/>
    <w:rsid w:val="00286173"/>
    <w:rsid w:val="00290090"/>
    <w:rsid w:val="00290937"/>
    <w:rsid w:val="002911D6"/>
    <w:rsid w:val="00291368"/>
    <w:rsid w:val="00292E25"/>
    <w:rsid w:val="00293160"/>
    <w:rsid w:val="00293CEC"/>
    <w:rsid w:val="00295CF7"/>
    <w:rsid w:val="00296454"/>
    <w:rsid w:val="002966B5"/>
    <w:rsid w:val="00296BFA"/>
    <w:rsid w:val="00296E76"/>
    <w:rsid w:val="002976CE"/>
    <w:rsid w:val="002A0FC5"/>
    <w:rsid w:val="002A1600"/>
    <w:rsid w:val="002A173D"/>
    <w:rsid w:val="002A1AF1"/>
    <w:rsid w:val="002A1FBB"/>
    <w:rsid w:val="002A27F4"/>
    <w:rsid w:val="002A3109"/>
    <w:rsid w:val="002A3AA3"/>
    <w:rsid w:val="002A3E22"/>
    <w:rsid w:val="002A3E3A"/>
    <w:rsid w:val="002A40EC"/>
    <w:rsid w:val="002A47EE"/>
    <w:rsid w:val="002A7066"/>
    <w:rsid w:val="002A7990"/>
    <w:rsid w:val="002B0EB8"/>
    <w:rsid w:val="002B30D1"/>
    <w:rsid w:val="002B4A0C"/>
    <w:rsid w:val="002B4CEF"/>
    <w:rsid w:val="002B6072"/>
    <w:rsid w:val="002B60E7"/>
    <w:rsid w:val="002B64C8"/>
    <w:rsid w:val="002B6AB9"/>
    <w:rsid w:val="002B6DF1"/>
    <w:rsid w:val="002B7971"/>
    <w:rsid w:val="002B7FBC"/>
    <w:rsid w:val="002C0B0E"/>
    <w:rsid w:val="002C1A41"/>
    <w:rsid w:val="002C35B4"/>
    <w:rsid w:val="002C4383"/>
    <w:rsid w:val="002C45C5"/>
    <w:rsid w:val="002C4D2E"/>
    <w:rsid w:val="002C4FD5"/>
    <w:rsid w:val="002C6357"/>
    <w:rsid w:val="002C63F8"/>
    <w:rsid w:val="002C6660"/>
    <w:rsid w:val="002C6D09"/>
    <w:rsid w:val="002C6E61"/>
    <w:rsid w:val="002C7D7F"/>
    <w:rsid w:val="002C7FB5"/>
    <w:rsid w:val="002D09A3"/>
    <w:rsid w:val="002D188D"/>
    <w:rsid w:val="002D2941"/>
    <w:rsid w:val="002D2C8C"/>
    <w:rsid w:val="002D3786"/>
    <w:rsid w:val="002D423B"/>
    <w:rsid w:val="002D42A7"/>
    <w:rsid w:val="002D46E4"/>
    <w:rsid w:val="002D4911"/>
    <w:rsid w:val="002D4B80"/>
    <w:rsid w:val="002D5182"/>
    <w:rsid w:val="002E0FA4"/>
    <w:rsid w:val="002E61D8"/>
    <w:rsid w:val="002E7050"/>
    <w:rsid w:val="002E7098"/>
    <w:rsid w:val="002E72FD"/>
    <w:rsid w:val="002E7687"/>
    <w:rsid w:val="002E7978"/>
    <w:rsid w:val="002F02E2"/>
    <w:rsid w:val="002F09B7"/>
    <w:rsid w:val="002F0A06"/>
    <w:rsid w:val="002F10F8"/>
    <w:rsid w:val="002F1502"/>
    <w:rsid w:val="002F1537"/>
    <w:rsid w:val="002F2E3B"/>
    <w:rsid w:val="002F3E0C"/>
    <w:rsid w:val="002F5268"/>
    <w:rsid w:val="002F6881"/>
    <w:rsid w:val="002F711B"/>
    <w:rsid w:val="002F7964"/>
    <w:rsid w:val="002F7CFC"/>
    <w:rsid w:val="00301223"/>
    <w:rsid w:val="0030528B"/>
    <w:rsid w:val="00305D46"/>
    <w:rsid w:val="00312015"/>
    <w:rsid w:val="003122B2"/>
    <w:rsid w:val="00312F07"/>
    <w:rsid w:val="00315F76"/>
    <w:rsid w:val="00316460"/>
    <w:rsid w:val="00316B9E"/>
    <w:rsid w:val="00321466"/>
    <w:rsid w:val="00321760"/>
    <w:rsid w:val="00321B77"/>
    <w:rsid w:val="00322221"/>
    <w:rsid w:val="00322912"/>
    <w:rsid w:val="00324898"/>
    <w:rsid w:val="00325971"/>
    <w:rsid w:val="003264A8"/>
    <w:rsid w:val="003267EE"/>
    <w:rsid w:val="00326887"/>
    <w:rsid w:val="0032718B"/>
    <w:rsid w:val="00327241"/>
    <w:rsid w:val="00327329"/>
    <w:rsid w:val="00327363"/>
    <w:rsid w:val="003273E3"/>
    <w:rsid w:val="00331A8B"/>
    <w:rsid w:val="00331D1D"/>
    <w:rsid w:val="003322C1"/>
    <w:rsid w:val="003327B3"/>
    <w:rsid w:val="003329FC"/>
    <w:rsid w:val="00333EFD"/>
    <w:rsid w:val="00334A64"/>
    <w:rsid w:val="00335D39"/>
    <w:rsid w:val="0033618B"/>
    <w:rsid w:val="003412A1"/>
    <w:rsid w:val="003428EC"/>
    <w:rsid w:val="00344C31"/>
    <w:rsid w:val="00344D03"/>
    <w:rsid w:val="00344F0B"/>
    <w:rsid w:val="0034594F"/>
    <w:rsid w:val="003461EC"/>
    <w:rsid w:val="0034629A"/>
    <w:rsid w:val="00346C29"/>
    <w:rsid w:val="0034713A"/>
    <w:rsid w:val="00347732"/>
    <w:rsid w:val="00350E99"/>
    <w:rsid w:val="00351040"/>
    <w:rsid w:val="0035227C"/>
    <w:rsid w:val="00352817"/>
    <w:rsid w:val="003535D9"/>
    <w:rsid w:val="00353845"/>
    <w:rsid w:val="00353E7E"/>
    <w:rsid w:val="00355B03"/>
    <w:rsid w:val="00355ECD"/>
    <w:rsid w:val="00355F65"/>
    <w:rsid w:val="00356592"/>
    <w:rsid w:val="0035683C"/>
    <w:rsid w:val="00356B47"/>
    <w:rsid w:val="0035755E"/>
    <w:rsid w:val="003601B0"/>
    <w:rsid w:val="00361456"/>
    <w:rsid w:val="00361523"/>
    <w:rsid w:val="003620C5"/>
    <w:rsid w:val="00362133"/>
    <w:rsid w:val="00364504"/>
    <w:rsid w:val="00364EAF"/>
    <w:rsid w:val="00364EDD"/>
    <w:rsid w:val="00367085"/>
    <w:rsid w:val="003674E6"/>
    <w:rsid w:val="00370EBB"/>
    <w:rsid w:val="003713CB"/>
    <w:rsid w:val="003720CD"/>
    <w:rsid w:val="00373CC1"/>
    <w:rsid w:val="00374422"/>
    <w:rsid w:val="0037582B"/>
    <w:rsid w:val="00375F2A"/>
    <w:rsid w:val="003773BE"/>
    <w:rsid w:val="0038016B"/>
    <w:rsid w:val="003808E7"/>
    <w:rsid w:val="00380F4C"/>
    <w:rsid w:val="0038104C"/>
    <w:rsid w:val="003826D8"/>
    <w:rsid w:val="003830A0"/>
    <w:rsid w:val="0038321A"/>
    <w:rsid w:val="00385425"/>
    <w:rsid w:val="00386902"/>
    <w:rsid w:val="003872FE"/>
    <w:rsid w:val="00387B49"/>
    <w:rsid w:val="00387F9A"/>
    <w:rsid w:val="00390CB4"/>
    <w:rsid w:val="00390EFE"/>
    <w:rsid w:val="00391E1E"/>
    <w:rsid w:val="00392934"/>
    <w:rsid w:val="00393340"/>
    <w:rsid w:val="00395CD1"/>
    <w:rsid w:val="00396552"/>
    <w:rsid w:val="003A0B67"/>
    <w:rsid w:val="003A17B0"/>
    <w:rsid w:val="003A1D6B"/>
    <w:rsid w:val="003A1F41"/>
    <w:rsid w:val="003A28D1"/>
    <w:rsid w:val="003A2BD9"/>
    <w:rsid w:val="003A32DD"/>
    <w:rsid w:val="003A3DD6"/>
    <w:rsid w:val="003A49FA"/>
    <w:rsid w:val="003A54A6"/>
    <w:rsid w:val="003A5745"/>
    <w:rsid w:val="003A69CA"/>
    <w:rsid w:val="003A7FCD"/>
    <w:rsid w:val="003B0BEA"/>
    <w:rsid w:val="003B307F"/>
    <w:rsid w:val="003B3D0D"/>
    <w:rsid w:val="003B4F4B"/>
    <w:rsid w:val="003B5239"/>
    <w:rsid w:val="003B63D4"/>
    <w:rsid w:val="003B7E28"/>
    <w:rsid w:val="003C07E8"/>
    <w:rsid w:val="003C1C81"/>
    <w:rsid w:val="003C1E6F"/>
    <w:rsid w:val="003C2315"/>
    <w:rsid w:val="003C30AB"/>
    <w:rsid w:val="003C51F3"/>
    <w:rsid w:val="003C5724"/>
    <w:rsid w:val="003C759C"/>
    <w:rsid w:val="003D082A"/>
    <w:rsid w:val="003D2C4C"/>
    <w:rsid w:val="003D52E6"/>
    <w:rsid w:val="003D734D"/>
    <w:rsid w:val="003E05CF"/>
    <w:rsid w:val="003E06C9"/>
    <w:rsid w:val="003E4E74"/>
    <w:rsid w:val="003F0394"/>
    <w:rsid w:val="003F08AA"/>
    <w:rsid w:val="003F0DB7"/>
    <w:rsid w:val="003F0FC5"/>
    <w:rsid w:val="003F236F"/>
    <w:rsid w:val="003F2520"/>
    <w:rsid w:val="003F3CC1"/>
    <w:rsid w:val="003F427F"/>
    <w:rsid w:val="003F42A3"/>
    <w:rsid w:val="003F4E54"/>
    <w:rsid w:val="003F50EB"/>
    <w:rsid w:val="003F5A02"/>
    <w:rsid w:val="003F5C37"/>
    <w:rsid w:val="003F5EFC"/>
    <w:rsid w:val="003F7C0F"/>
    <w:rsid w:val="00400662"/>
    <w:rsid w:val="00401628"/>
    <w:rsid w:val="00403A88"/>
    <w:rsid w:val="00403AB0"/>
    <w:rsid w:val="00404016"/>
    <w:rsid w:val="00404CF3"/>
    <w:rsid w:val="004057FF"/>
    <w:rsid w:val="004064C4"/>
    <w:rsid w:val="004077BC"/>
    <w:rsid w:val="00407E0B"/>
    <w:rsid w:val="00410841"/>
    <w:rsid w:val="00410BED"/>
    <w:rsid w:val="00410E7F"/>
    <w:rsid w:val="0041255C"/>
    <w:rsid w:val="004125E2"/>
    <w:rsid w:val="00412802"/>
    <w:rsid w:val="00413E09"/>
    <w:rsid w:val="0041423D"/>
    <w:rsid w:val="0041481E"/>
    <w:rsid w:val="00414A27"/>
    <w:rsid w:val="00414E41"/>
    <w:rsid w:val="004158BF"/>
    <w:rsid w:val="00415BEA"/>
    <w:rsid w:val="00416CC4"/>
    <w:rsid w:val="00416EE6"/>
    <w:rsid w:val="00417027"/>
    <w:rsid w:val="004204BF"/>
    <w:rsid w:val="00422351"/>
    <w:rsid w:val="00424A1B"/>
    <w:rsid w:val="00425006"/>
    <w:rsid w:val="004250BD"/>
    <w:rsid w:val="004251AD"/>
    <w:rsid w:val="004255F8"/>
    <w:rsid w:val="004256CE"/>
    <w:rsid w:val="004259C7"/>
    <w:rsid w:val="00426A38"/>
    <w:rsid w:val="004331E7"/>
    <w:rsid w:val="00433994"/>
    <w:rsid w:val="00433E73"/>
    <w:rsid w:val="00434086"/>
    <w:rsid w:val="0043498F"/>
    <w:rsid w:val="00440DA8"/>
    <w:rsid w:val="0044336E"/>
    <w:rsid w:val="004434FF"/>
    <w:rsid w:val="004440D4"/>
    <w:rsid w:val="00444888"/>
    <w:rsid w:val="00446457"/>
    <w:rsid w:val="00446498"/>
    <w:rsid w:val="004524C1"/>
    <w:rsid w:val="0045267A"/>
    <w:rsid w:val="00452D81"/>
    <w:rsid w:val="0045409F"/>
    <w:rsid w:val="00454CAE"/>
    <w:rsid w:val="00455168"/>
    <w:rsid w:val="00456C5E"/>
    <w:rsid w:val="00456E6F"/>
    <w:rsid w:val="00457238"/>
    <w:rsid w:val="004575DF"/>
    <w:rsid w:val="00457A00"/>
    <w:rsid w:val="00457D27"/>
    <w:rsid w:val="00460569"/>
    <w:rsid w:val="00460B28"/>
    <w:rsid w:val="00460CB1"/>
    <w:rsid w:val="00463585"/>
    <w:rsid w:val="004643D5"/>
    <w:rsid w:val="00466C55"/>
    <w:rsid w:val="004703BC"/>
    <w:rsid w:val="00470648"/>
    <w:rsid w:val="004707D3"/>
    <w:rsid w:val="00470A2C"/>
    <w:rsid w:val="00470AE0"/>
    <w:rsid w:val="00472088"/>
    <w:rsid w:val="00473945"/>
    <w:rsid w:val="0047441C"/>
    <w:rsid w:val="0047445C"/>
    <w:rsid w:val="00474756"/>
    <w:rsid w:val="00475AF6"/>
    <w:rsid w:val="00476E9E"/>
    <w:rsid w:val="00480871"/>
    <w:rsid w:val="00482E90"/>
    <w:rsid w:val="004836F0"/>
    <w:rsid w:val="00484694"/>
    <w:rsid w:val="00484CCF"/>
    <w:rsid w:val="00484EB7"/>
    <w:rsid w:val="00486DE9"/>
    <w:rsid w:val="004909B2"/>
    <w:rsid w:val="00490A05"/>
    <w:rsid w:val="00490E0A"/>
    <w:rsid w:val="00491DFE"/>
    <w:rsid w:val="00492907"/>
    <w:rsid w:val="004935CB"/>
    <w:rsid w:val="00494120"/>
    <w:rsid w:val="004944E2"/>
    <w:rsid w:val="004947ED"/>
    <w:rsid w:val="00494E98"/>
    <w:rsid w:val="00495A53"/>
    <w:rsid w:val="00495C70"/>
    <w:rsid w:val="004A1774"/>
    <w:rsid w:val="004A1C9C"/>
    <w:rsid w:val="004A3142"/>
    <w:rsid w:val="004A5122"/>
    <w:rsid w:val="004A5712"/>
    <w:rsid w:val="004A6D2C"/>
    <w:rsid w:val="004A7A4C"/>
    <w:rsid w:val="004B0C85"/>
    <w:rsid w:val="004B0D0C"/>
    <w:rsid w:val="004B1096"/>
    <w:rsid w:val="004B30F6"/>
    <w:rsid w:val="004B3D8F"/>
    <w:rsid w:val="004B443F"/>
    <w:rsid w:val="004B4BF4"/>
    <w:rsid w:val="004B5C0A"/>
    <w:rsid w:val="004B6C2B"/>
    <w:rsid w:val="004B6FA2"/>
    <w:rsid w:val="004B78C3"/>
    <w:rsid w:val="004C0444"/>
    <w:rsid w:val="004C09C7"/>
    <w:rsid w:val="004C0EF0"/>
    <w:rsid w:val="004C1779"/>
    <w:rsid w:val="004C1D95"/>
    <w:rsid w:val="004C30A4"/>
    <w:rsid w:val="004C3E5C"/>
    <w:rsid w:val="004C4AE0"/>
    <w:rsid w:val="004C55CF"/>
    <w:rsid w:val="004C5F87"/>
    <w:rsid w:val="004C6438"/>
    <w:rsid w:val="004D04BE"/>
    <w:rsid w:val="004D1475"/>
    <w:rsid w:val="004D2FE7"/>
    <w:rsid w:val="004D377A"/>
    <w:rsid w:val="004D4601"/>
    <w:rsid w:val="004D472B"/>
    <w:rsid w:val="004D494E"/>
    <w:rsid w:val="004D79C6"/>
    <w:rsid w:val="004D7D05"/>
    <w:rsid w:val="004E022D"/>
    <w:rsid w:val="004E0586"/>
    <w:rsid w:val="004E0C75"/>
    <w:rsid w:val="004E15A4"/>
    <w:rsid w:val="004E15B6"/>
    <w:rsid w:val="004E35F7"/>
    <w:rsid w:val="004E39BC"/>
    <w:rsid w:val="004E449A"/>
    <w:rsid w:val="004E5967"/>
    <w:rsid w:val="004E60A8"/>
    <w:rsid w:val="004E67DC"/>
    <w:rsid w:val="004E721A"/>
    <w:rsid w:val="004E740B"/>
    <w:rsid w:val="004F0DAC"/>
    <w:rsid w:val="004F1284"/>
    <w:rsid w:val="004F1620"/>
    <w:rsid w:val="004F2670"/>
    <w:rsid w:val="004F3B5D"/>
    <w:rsid w:val="004F3EC9"/>
    <w:rsid w:val="004F3F9A"/>
    <w:rsid w:val="004F48A9"/>
    <w:rsid w:val="004F5A5A"/>
    <w:rsid w:val="004F62E5"/>
    <w:rsid w:val="004F63FA"/>
    <w:rsid w:val="004F6B97"/>
    <w:rsid w:val="004F729A"/>
    <w:rsid w:val="004F7E7A"/>
    <w:rsid w:val="00501452"/>
    <w:rsid w:val="00501561"/>
    <w:rsid w:val="00501CC6"/>
    <w:rsid w:val="005022A6"/>
    <w:rsid w:val="00506000"/>
    <w:rsid w:val="005072B2"/>
    <w:rsid w:val="005075B0"/>
    <w:rsid w:val="00507CA3"/>
    <w:rsid w:val="005105A5"/>
    <w:rsid w:val="00510FAE"/>
    <w:rsid w:val="0051128B"/>
    <w:rsid w:val="00511EC4"/>
    <w:rsid w:val="00512268"/>
    <w:rsid w:val="00512E75"/>
    <w:rsid w:val="00514E13"/>
    <w:rsid w:val="00515165"/>
    <w:rsid w:val="0051627E"/>
    <w:rsid w:val="00516D72"/>
    <w:rsid w:val="005172B5"/>
    <w:rsid w:val="005177FA"/>
    <w:rsid w:val="00520011"/>
    <w:rsid w:val="00520326"/>
    <w:rsid w:val="00520A3D"/>
    <w:rsid w:val="00522C67"/>
    <w:rsid w:val="00523873"/>
    <w:rsid w:val="0052399D"/>
    <w:rsid w:val="0052447C"/>
    <w:rsid w:val="00524533"/>
    <w:rsid w:val="005247DA"/>
    <w:rsid w:val="005258D9"/>
    <w:rsid w:val="0052621B"/>
    <w:rsid w:val="005303B4"/>
    <w:rsid w:val="00530411"/>
    <w:rsid w:val="0053049E"/>
    <w:rsid w:val="00535584"/>
    <w:rsid w:val="0053645B"/>
    <w:rsid w:val="00536CFA"/>
    <w:rsid w:val="00536DC1"/>
    <w:rsid w:val="00537127"/>
    <w:rsid w:val="00541DBD"/>
    <w:rsid w:val="00541F06"/>
    <w:rsid w:val="0054241F"/>
    <w:rsid w:val="0054277E"/>
    <w:rsid w:val="00543D90"/>
    <w:rsid w:val="0054642C"/>
    <w:rsid w:val="00546A3E"/>
    <w:rsid w:val="00547831"/>
    <w:rsid w:val="00547CB5"/>
    <w:rsid w:val="00550458"/>
    <w:rsid w:val="00550944"/>
    <w:rsid w:val="005521C2"/>
    <w:rsid w:val="00552D47"/>
    <w:rsid w:val="0055688C"/>
    <w:rsid w:val="005569DF"/>
    <w:rsid w:val="00556F1C"/>
    <w:rsid w:val="005571C0"/>
    <w:rsid w:val="00560C81"/>
    <w:rsid w:val="005619F7"/>
    <w:rsid w:val="00561E82"/>
    <w:rsid w:val="00565998"/>
    <w:rsid w:val="00565F65"/>
    <w:rsid w:val="00566B29"/>
    <w:rsid w:val="005703BA"/>
    <w:rsid w:val="00570A2A"/>
    <w:rsid w:val="00571338"/>
    <w:rsid w:val="00573767"/>
    <w:rsid w:val="00575784"/>
    <w:rsid w:val="005808CA"/>
    <w:rsid w:val="00580EE7"/>
    <w:rsid w:val="00582387"/>
    <w:rsid w:val="00582B85"/>
    <w:rsid w:val="005831C6"/>
    <w:rsid w:val="00584207"/>
    <w:rsid w:val="00586781"/>
    <w:rsid w:val="00586BBD"/>
    <w:rsid w:val="005873DC"/>
    <w:rsid w:val="00590D67"/>
    <w:rsid w:val="00590E04"/>
    <w:rsid w:val="0059186E"/>
    <w:rsid w:val="00591DE2"/>
    <w:rsid w:val="00593008"/>
    <w:rsid w:val="00593E22"/>
    <w:rsid w:val="005951B1"/>
    <w:rsid w:val="00595D5A"/>
    <w:rsid w:val="0059603A"/>
    <w:rsid w:val="00596361"/>
    <w:rsid w:val="00596F64"/>
    <w:rsid w:val="005A0CCF"/>
    <w:rsid w:val="005A10CF"/>
    <w:rsid w:val="005A17EA"/>
    <w:rsid w:val="005A2328"/>
    <w:rsid w:val="005A2945"/>
    <w:rsid w:val="005A317E"/>
    <w:rsid w:val="005A3AF3"/>
    <w:rsid w:val="005A6579"/>
    <w:rsid w:val="005A72E1"/>
    <w:rsid w:val="005A7A5A"/>
    <w:rsid w:val="005B11C2"/>
    <w:rsid w:val="005B38C0"/>
    <w:rsid w:val="005B434B"/>
    <w:rsid w:val="005B6E48"/>
    <w:rsid w:val="005B7280"/>
    <w:rsid w:val="005B776D"/>
    <w:rsid w:val="005C0680"/>
    <w:rsid w:val="005C1E0D"/>
    <w:rsid w:val="005C1E33"/>
    <w:rsid w:val="005C3A72"/>
    <w:rsid w:val="005C4AC9"/>
    <w:rsid w:val="005C5433"/>
    <w:rsid w:val="005C68A6"/>
    <w:rsid w:val="005C6B82"/>
    <w:rsid w:val="005C75E6"/>
    <w:rsid w:val="005D00E4"/>
    <w:rsid w:val="005D0830"/>
    <w:rsid w:val="005D1304"/>
    <w:rsid w:val="005D16CB"/>
    <w:rsid w:val="005D432E"/>
    <w:rsid w:val="005D60B7"/>
    <w:rsid w:val="005D720A"/>
    <w:rsid w:val="005D7370"/>
    <w:rsid w:val="005D7636"/>
    <w:rsid w:val="005E0179"/>
    <w:rsid w:val="005E109A"/>
    <w:rsid w:val="005E1A6F"/>
    <w:rsid w:val="005E24E1"/>
    <w:rsid w:val="005E2516"/>
    <w:rsid w:val="005E3147"/>
    <w:rsid w:val="005E4856"/>
    <w:rsid w:val="005E54CF"/>
    <w:rsid w:val="005E58EF"/>
    <w:rsid w:val="005E777C"/>
    <w:rsid w:val="005F1FC9"/>
    <w:rsid w:val="005F25C6"/>
    <w:rsid w:val="005F2DF1"/>
    <w:rsid w:val="005F4A43"/>
    <w:rsid w:val="005F4C2A"/>
    <w:rsid w:val="005F50F2"/>
    <w:rsid w:val="005F5426"/>
    <w:rsid w:val="005F5B0F"/>
    <w:rsid w:val="005F7868"/>
    <w:rsid w:val="005F7B9C"/>
    <w:rsid w:val="005F7F76"/>
    <w:rsid w:val="00601743"/>
    <w:rsid w:val="006023BF"/>
    <w:rsid w:val="0060253D"/>
    <w:rsid w:val="00603A18"/>
    <w:rsid w:val="006045B4"/>
    <w:rsid w:val="00605E94"/>
    <w:rsid w:val="006074FC"/>
    <w:rsid w:val="006105C1"/>
    <w:rsid w:val="00610C9E"/>
    <w:rsid w:val="00610CBB"/>
    <w:rsid w:val="00612228"/>
    <w:rsid w:val="0061261A"/>
    <w:rsid w:val="00614FF5"/>
    <w:rsid w:val="0061567E"/>
    <w:rsid w:val="00616015"/>
    <w:rsid w:val="00616FBD"/>
    <w:rsid w:val="00617467"/>
    <w:rsid w:val="00617DC6"/>
    <w:rsid w:val="006215E3"/>
    <w:rsid w:val="00621AB3"/>
    <w:rsid w:val="00621DB7"/>
    <w:rsid w:val="006228D5"/>
    <w:rsid w:val="00623485"/>
    <w:rsid w:val="00624538"/>
    <w:rsid w:val="00625143"/>
    <w:rsid w:val="00625731"/>
    <w:rsid w:val="00625AD6"/>
    <w:rsid w:val="00626214"/>
    <w:rsid w:val="00626B4B"/>
    <w:rsid w:val="00626C13"/>
    <w:rsid w:val="0062742C"/>
    <w:rsid w:val="00635047"/>
    <w:rsid w:val="0063564C"/>
    <w:rsid w:val="006368D9"/>
    <w:rsid w:val="006375CB"/>
    <w:rsid w:val="0064031C"/>
    <w:rsid w:val="0064064E"/>
    <w:rsid w:val="006412F8"/>
    <w:rsid w:val="0064197B"/>
    <w:rsid w:val="00642A3D"/>
    <w:rsid w:val="00643384"/>
    <w:rsid w:val="00644215"/>
    <w:rsid w:val="00645658"/>
    <w:rsid w:val="006465D3"/>
    <w:rsid w:val="00646A56"/>
    <w:rsid w:val="00647D7C"/>
    <w:rsid w:val="0065010F"/>
    <w:rsid w:val="006509B6"/>
    <w:rsid w:val="0065152F"/>
    <w:rsid w:val="0065156C"/>
    <w:rsid w:val="0065156E"/>
    <w:rsid w:val="00651A43"/>
    <w:rsid w:val="006530E5"/>
    <w:rsid w:val="00655407"/>
    <w:rsid w:val="0065542C"/>
    <w:rsid w:val="00655AA9"/>
    <w:rsid w:val="00656FAC"/>
    <w:rsid w:val="00657ACC"/>
    <w:rsid w:val="0066211D"/>
    <w:rsid w:val="00662CBC"/>
    <w:rsid w:val="00663344"/>
    <w:rsid w:val="0066370F"/>
    <w:rsid w:val="00663922"/>
    <w:rsid w:val="00665A2D"/>
    <w:rsid w:val="00666301"/>
    <w:rsid w:val="006667DF"/>
    <w:rsid w:val="0067200E"/>
    <w:rsid w:val="0067261F"/>
    <w:rsid w:val="00672BEA"/>
    <w:rsid w:val="006738C8"/>
    <w:rsid w:val="006742E3"/>
    <w:rsid w:val="00674D4A"/>
    <w:rsid w:val="00675B51"/>
    <w:rsid w:val="006778D0"/>
    <w:rsid w:val="0068076E"/>
    <w:rsid w:val="00681890"/>
    <w:rsid w:val="0068420F"/>
    <w:rsid w:val="00685731"/>
    <w:rsid w:val="00686286"/>
    <w:rsid w:val="00686895"/>
    <w:rsid w:val="00686C1A"/>
    <w:rsid w:val="00687339"/>
    <w:rsid w:val="00691C52"/>
    <w:rsid w:val="00693E33"/>
    <w:rsid w:val="00694362"/>
    <w:rsid w:val="006944C6"/>
    <w:rsid w:val="0069607F"/>
    <w:rsid w:val="00696969"/>
    <w:rsid w:val="006A12DE"/>
    <w:rsid w:val="006A14BE"/>
    <w:rsid w:val="006A1E45"/>
    <w:rsid w:val="006A42DF"/>
    <w:rsid w:val="006A43C5"/>
    <w:rsid w:val="006A7E8D"/>
    <w:rsid w:val="006B0D11"/>
    <w:rsid w:val="006B15E1"/>
    <w:rsid w:val="006B1D2E"/>
    <w:rsid w:val="006B1D62"/>
    <w:rsid w:val="006B2CAE"/>
    <w:rsid w:val="006B2EAC"/>
    <w:rsid w:val="006B387F"/>
    <w:rsid w:val="006B38F5"/>
    <w:rsid w:val="006B46B7"/>
    <w:rsid w:val="006B5CD0"/>
    <w:rsid w:val="006B64F1"/>
    <w:rsid w:val="006B66E7"/>
    <w:rsid w:val="006B70A5"/>
    <w:rsid w:val="006C0223"/>
    <w:rsid w:val="006C05AD"/>
    <w:rsid w:val="006C0CAE"/>
    <w:rsid w:val="006C195D"/>
    <w:rsid w:val="006C1C65"/>
    <w:rsid w:val="006C1EB4"/>
    <w:rsid w:val="006C22CC"/>
    <w:rsid w:val="006C2F6A"/>
    <w:rsid w:val="006C38D1"/>
    <w:rsid w:val="006C44D3"/>
    <w:rsid w:val="006C4807"/>
    <w:rsid w:val="006C4D8F"/>
    <w:rsid w:val="006C4F1D"/>
    <w:rsid w:val="006C6380"/>
    <w:rsid w:val="006C75A3"/>
    <w:rsid w:val="006C7958"/>
    <w:rsid w:val="006C7BBC"/>
    <w:rsid w:val="006D1DA1"/>
    <w:rsid w:val="006D2025"/>
    <w:rsid w:val="006D248D"/>
    <w:rsid w:val="006D27DF"/>
    <w:rsid w:val="006D41CE"/>
    <w:rsid w:val="006D42AC"/>
    <w:rsid w:val="006D4946"/>
    <w:rsid w:val="006D6032"/>
    <w:rsid w:val="006D618C"/>
    <w:rsid w:val="006E0757"/>
    <w:rsid w:val="006E0B57"/>
    <w:rsid w:val="006E0C47"/>
    <w:rsid w:val="006E18FC"/>
    <w:rsid w:val="006E2D99"/>
    <w:rsid w:val="006E3FE7"/>
    <w:rsid w:val="006E4989"/>
    <w:rsid w:val="006E5B67"/>
    <w:rsid w:val="006E5BEF"/>
    <w:rsid w:val="006E719B"/>
    <w:rsid w:val="006E72E5"/>
    <w:rsid w:val="006E73C1"/>
    <w:rsid w:val="006E756B"/>
    <w:rsid w:val="006E7AC6"/>
    <w:rsid w:val="006F1B5F"/>
    <w:rsid w:val="006F69C5"/>
    <w:rsid w:val="006F79CE"/>
    <w:rsid w:val="007007A6"/>
    <w:rsid w:val="007008C2"/>
    <w:rsid w:val="00700A83"/>
    <w:rsid w:val="0070276B"/>
    <w:rsid w:val="00702A1B"/>
    <w:rsid w:val="00705C69"/>
    <w:rsid w:val="00705D0B"/>
    <w:rsid w:val="00705DA4"/>
    <w:rsid w:val="0070636C"/>
    <w:rsid w:val="00706D3A"/>
    <w:rsid w:val="007103AC"/>
    <w:rsid w:val="007119C3"/>
    <w:rsid w:val="00711F9E"/>
    <w:rsid w:val="00716466"/>
    <w:rsid w:val="007170BC"/>
    <w:rsid w:val="007200F4"/>
    <w:rsid w:val="00720108"/>
    <w:rsid w:val="00721743"/>
    <w:rsid w:val="007220C8"/>
    <w:rsid w:val="0072215E"/>
    <w:rsid w:val="0072332B"/>
    <w:rsid w:val="00724067"/>
    <w:rsid w:val="00724C06"/>
    <w:rsid w:val="00725D8B"/>
    <w:rsid w:val="007266B1"/>
    <w:rsid w:val="00727969"/>
    <w:rsid w:val="00727B21"/>
    <w:rsid w:val="0073089A"/>
    <w:rsid w:val="00730A9E"/>
    <w:rsid w:val="007317D9"/>
    <w:rsid w:val="00732B99"/>
    <w:rsid w:val="00732DF5"/>
    <w:rsid w:val="007336FB"/>
    <w:rsid w:val="007351B1"/>
    <w:rsid w:val="0073569F"/>
    <w:rsid w:val="00735F98"/>
    <w:rsid w:val="00736E6A"/>
    <w:rsid w:val="0073714C"/>
    <w:rsid w:val="007375F3"/>
    <w:rsid w:val="00737D08"/>
    <w:rsid w:val="0074142D"/>
    <w:rsid w:val="00743863"/>
    <w:rsid w:val="00744E0E"/>
    <w:rsid w:val="007459C6"/>
    <w:rsid w:val="00745B6B"/>
    <w:rsid w:val="007464CC"/>
    <w:rsid w:val="0075025D"/>
    <w:rsid w:val="00750E92"/>
    <w:rsid w:val="00751677"/>
    <w:rsid w:val="00751F1F"/>
    <w:rsid w:val="00752214"/>
    <w:rsid w:val="00752796"/>
    <w:rsid w:val="0075286D"/>
    <w:rsid w:val="00752E26"/>
    <w:rsid w:val="007532A0"/>
    <w:rsid w:val="00755116"/>
    <w:rsid w:val="00756312"/>
    <w:rsid w:val="00756637"/>
    <w:rsid w:val="0075682E"/>
    <w:rsid w:val="00761BC4"/>
    <w:rsid w:val="00762ACE"/>
    <w:rsid w:val="00764A80"/>
    <w:rsid w:val="00764CF5"/>
    <w:rsid w:val="0076519F"/>
    <w:rsid w:val="00765304"/>
    <w:rsid w:val="00765393"/>
    <w:rsid w:val="00765840"/>
    <w:rsid w:val="007659C0"/>
    <w:rsid w:val="007674CB"/>
    <w:rsid w:val="00767EF8"/>
    <w:rsid w:val="007708B1"/>
    <w:rsid w:val="00776AAA"/>
    <w:rsid w:val="00776EBD"/>
    <w:rsid w:val="00777195"/>
    <w:rsid w:val="007772F8"/>
    <w:rsid w:val="0077737B"/>
    <w:rsid w:val="0078031A"/>
    <w:rsid w:val="00780A62"/>
    <w:rsid w:val="00781E3A"/>
    <w:rsid w:val="00785812"/>
    <w:rsid w:val="0078736C"/>
    <w:rsid w:val="007915DB"/>
    <w:rsid w:val="0079176A"/>
    <w:rsid w:val="00791B63"/>
    <w:rsid w:val="00792B7F"/>
    <w:rsid w:val="00792D4D"/>
    <w:rsid w:val="00792FFE"/>
    <w:rsid w:val="007937AA"/>
    <w:rsid w:val="0079419D"/>
    <w:rsid w:val="007944C9"/>
    <w:rsid w:val="00794968"/>
    <w:rsid w:val="00796344"/>
    <w:rsid w:val="00796984"/>
    <w:rsid w:val="00797285"/>
    <w:rsid w:val="007973EF"/>
    <w:rsid w:val="007A228B"/>
    <w:rsid w:val="007A4380"/>
    <w:rsid w:val="007A55B7"/>
    <w:rsid w:val="007A668C"/>
    <w:rsid w:val="007A682C"/>
    <w:rsid w:val="007A6842"/>
    <w:rsid w:val="007A76FD"/>
    <w:rsid w:val="007B0C42"/>
    <w:rsid w:val="007B2B9F"/>
    <w:rsid w:val="007B41D8"/>
    <w:rsid w:val="007B607D"/>
    <w:rsid w:val="007B6B7A"/>
    <w:rsid w:val="007B6D81"/>
    <w:rsid w:val="007B75F8"/>
    <w:rsid w:val="007B7929"/>
    <w:rsid w:val="007C0326"/>
    <w:rsid w:val="007C05D8"/>
    <w:rsid w:val="007C07FF"/>
    <w:rsid w:val="007C10E3"/>
    <w:rsid w:val="007C157B"/>
    <w:rsid w:val="007C31C3"/>
    <w:rsid w:val="007C331C"/>
    <w:rsid w:val="007C3559"/>
    <w:rsid w:val="007C4598"/>
    <w:rsid w:val="007C4ABA"/>
    <w:rsid w:val="007C6CF3"/>
    <w:rsid w:val="007C7A5F"/>
    <w:rsid w:val="007D014E"/>
    <w:rsid w:val="007D0BE9"/>
    <w:rsid w:val="007D1787"/>
    <w:rsid w:val="007D1FBB"/>
    <w:rsid w:val="007D2013"/>
    <w:rsid w:val="007D20AB"/>
    <w:rsid w:val="007D3109"/>
    <w:rsid w:val="007D35D9"/>
    <w:rsid w:val="007D5135"/>
    <w:rsid w:val="007D60FC"/>
    <w:rsid w:val="007D6AD5"/>
    <w:rsid w:val="007D744E"/>
    <w:rsid w:val="007E005F"/>
    <w:rsid w:val="007E1967"/>
    <w:rsid w:val="007E1F13"/>
    <w:rsid w:val="007E2018"/>
    <w:rsid w:val="007E29DD"/>
    <w:rsid w:val="007E4AB8"/>
    <w:rsid w:val="007E50A5"/>
    <w:rsid w:val="007E6C7E"/>
    <w:rsid w:val="007E7514"/>
    <w:rsid w:val="007E766F"/>
    <w:rsid w:val="007F00B6"/>
    <w:rsid w:val="007F1BCF"/>
    <w:rsid w:val="007F1C32"/>
    <w:rsid w:val="007F1DC8"/>
    <w:rsid w:val="007F22C4"/>
    <w:rsid w:val="007F24D4"/>
    <w:rsid w:val="007F2794"/>
    <w:rsid w:val="007F375F"/>
    <w:rsid w:val="007F5DA3"/>
    <w:rsid w:val="007F65B1"/>
    <w:rsid w:val="007F78C0"/>
    <w:rsid w:val="007F7ADA"/>
    <w:rsid w:val="00801B5A"/>
    <w:rsid w:val="00801B69"/>
    <w:rsid w:val="00802705"/>
    <w:rsid w:val="008041DF"/>
    <w:rsid w:val="008056E0"/>
    <w:rsid w:val="00805B96"/>
    <w:rsid w:val="00805CC4"/>
    <w:rsid w:val="00810B35"/>
    <w:rsid w:val="00812086"/>
    <w:rsid w:val="00812E52"/>
    <w:rsid w:val="00813539"/>
    <w:rsid w:val="00813DAB"/>
    <w:rsid w:val="00814F7F"/>
    <w:rsid w:val="00815968"/>
    <w:rsid w:val="00815A6A"/>
    <w:rsid w:val="00816B62"/>
    <w:rsid w:val="00817777"/>
    <w:rsid w:val="008177EE"/>
    <w:rsid w:val="00820B46"/>
    <w:rsid w:val="00820C44"/>
    <w:rsid w:val="00820D86"/>
    <w:rsid w:val="008213BB"/>
    <w:rsid w:val="00821C5A"/>
    <w:rsid w:val="00821FCB"/>
    <w:rsid w:val="00823154"/>
    <w:rsid w:val="00824211"/>
    <w:rsid w:val="00824D9E"/>
    <w:rsid w:val="008252DC"/>
    <w:rsid w:val="008259D9"/>
    <w:rsid w:val="00826F4C"/>
    <w:rsid w:val="008342B3"/>
    <w:rsid w:val="00834D80"/>
    <w:rsid w:val="00835E87"/>
    <w:rsid w:val="00836C3F"/>
    <w:rsid w:val="00836F61"/>
    <w:rsid w:val="0084022E"/>
    <w:rsid w:val="00840E42"/>
    <w:rsid w:val="0084125E"/>
    <w:rsid w:val="0084127C"/>
    <w:rsid w:val="008413C6"/>
    <w:rsid w:val="008417B0"/>
    <w:rsid w:val="00841984"/>
    <w:rsid w:val="0084401F"/>
    <w:rsid w:val="0084680F"/>
    <w:rsid w:val="0085244E"/>
    <w:rsid w:val="00852F5D"/>
    <w:rsid w:val="008539FD"/>
    <w:rsid w:val="00854056"/>
    <w:rsid w:val="0085489B"/>
    <w:rsid w:val="0085524E"/>
    <w:rsid w:val="00856567"/>
    <w:rsid w:val="00857C7D"/>
    <w:rsid w:val="00861319"/>
    <w:rsid w:val="00862BF5"/>
    <w:rsid w:val="0086316A"/>
    <w:rsid w:val="0086419E"/>
    <w:rsid w:val="008659F7"/>
    <w:rsid w:val="0086660A"/>
    <w:rsid w:val="0086782F"/>
    <w:rsid w:val="00871B61"/>
    <w:rsid w:val="00871CB1"/>
    <w:rsid w:val="00871FDB"/>
    <w:rsid w:val="00872768"/>
    <w:rsid w:val="00872775"/>
    <w:rsid w:val="00873D52"/>
    <w:rsid w:val="00876112"/>
    <w:rsid w:val="00876799"/>
    <w:rsid w:val="008771E5"/>
    <w:rsid w:val="00877D9F"/>
    <w:rsid w:val="0088015F"/>
    <w:rsid w:val="00880507"/>
    <w:rsid w:val="0088071C"/>
    <w:rsid w:val="00880FBE"/>
    <w:rsid w:val="00881F25"/>
    <w:rsid w:val="008823F3"/>
    <w:rsid w:val="00882747"/>
    <w:rsid w:val="00882E83"/>
    <w:rsid w:val="008850F3"/>
    <w:rsid w:val="00885E44"/>
    <w:rsid w:val="00886B9A"/>
    <w:rsid w:val="00887299"/>
    <w:rsid w:val="008875D4"/>
    <w:rsid w:val="00887695"/>
    <w:rsid w:val="00891BA4"/>
    <w:rsid w:val="00892AA2"/>
    <w:rsid w:val="00893F9F"/>
    <w:rsid w:val="008955B7"/>
    <w:rsid w:val="00895759"/>
    <w:rsid w:val="00895989"/>
    <w:rsid w:val="00895D14"/>
    <w:rsid w:val="00896313"/>
    <w:rsid w:val="00896968"/>
    <w:rsid w:val="00897ACE"/>
    <w:rsid w:val="008A124A"/>
    <w:rsid w:val="008A2B76"/>
    <w:rsid w:val="008A3877"/>
    <w:rsid w:val="008A3E19"/>
    <w:rsid w:val="008A4F71"/>
    <w:rsid w:val="008A5956"/>
    <w:rsid w:val="008A628C"/>
    <w:rsid w:val="008A6357"/>
    <w:rsid w:val="008A63AE"/>
    <w:rsid w:val="008A699A"/>
    <w:rsid w:val="008B107B"/>
    <w:rsid w:val="008B2AB1"/>
    <w:rsid w:val="008B368E"/>
    <w:rsid w:val="008B3DD5"/>
    <w:rsid w:val="008B3FCC"/>
    <w:rsid w:val="008B498C"/>
    <w:rsid w:val="008B6622"/>
    <w:rsid w:val="008B7CBA"/>
    <w:rsid w:val="008C00AB"/>
    <w:rsid w:val="008C2D47"/>
    <w:rsid w:val="008C33C6"/>
    <w:rsid w:val="008C3708"/>
    <w:rsid w:val="008C4546"/>
    <w:rsid w:val="008C49AF"/>
    <w:rsid w:val="008C5374"/>
    <w:rsid w:val="008C7144"/>
    <w:rsid w:val="008D1500"/>
    <w:rsid w:val="008D17C6"/>
    <w:rsid w:val="008D412C"/>
    <w:rsid w:val="008D4A4F"/>
    <w:rsid w:val="008D7BF2"/>
    <w:rsid w:val="008E02E1"/>
    <w:rsid w:val="008E135E"/>
    <w:rsid w:val="008E1CF7"/>
    <w:rsid w:val="008E26BC"/>
    <w:rsid w:val="008E2B9C"/>
    <w:rsid w:val="008E553E"/>
    <w:rsid w:val="008E6A32"/>
    <w:rsid w:val="008E7B1F"/>
    <w:rsid w:val="008F0845"/>
    <w:rsid w:val="008F0BF0"/>
    <w:rsid w:val="008F110A"/>
    <w:rsid w:val="008F22F5"/>
    <w:rsid w:val="008F34BE"/>
    <w:rsid w:val="008F4222"/>
    <w:rsid w:val="008F4264"/>
    <w:rsid w:val="008F4E5C"/>
    <w:rsid w:val="008F60C0"/>
    <w:rsid w:val="008F655E"/>
    <w:rsid w:val="008F7B2B"/>
    <w:rsid w:val="008F7BCB"/>
    <w:rsid w:val="00900E64"/>
    <w:rsid w:val="00901CB7"/>
    <w:rsid w:val="00902683"/>
    <w:rsid w:val="00905BA5"/>
    <w:rsid w:val="009074DC"/>
    <w:rsid w:val="00910920"/>
    <w:rsid w:val="0091297C"/>
    <w:rsid w:val="00914A17"/>
    <w:rsid w:val="00916293"/>
    <w:rsid w:val="00916826"/>
    <w:rsid w:val="00916D84"/>
    <w:rsid w:val="00917C5B"/>
    <w:rsid w:val="00921278"/>
    <w:rsid w:val="0092220B"/>
    <w:rsid w:val="009224B8"/>
    <w:rsid w:val="00923BD7"/>
    <w:rsid w:val="00924AE0"/>
    <w:rsid w:val="00924EA8"/>
    <w:rsid w:val="009255CF"/>
    <w:rsid w:val="00926C57"/>
    <w:rsid w:val="00926C7B"/>
    <w:rsid w:val="00927FB3"/>
    <w:rsid w:val="00930B81"/>
    <w:rsid w:val="009332E1"/>
    <w:rsid w:val="009335EF"/>
    <w:rsid w:val="00933E77"/>
    <w:rsid w:val="0093661F"/>
    <w:rsid w:val="00936D8A"/>
    <w:rsid w:val="00940927"/>
    <w:rsid w:val="00940C81"/>
    <w:rsid w:val="00941065"/>
    <w:rsid w:val="0094106A"/>
    <w:rsid w:val="00945C31"/>
    <w:rsid w:val="009472BC"/>
    <w:rsid w:val="009472E7"/>
    <w:rsid w:val="00947DDD"/>
    <w:rsid w:val="00947F3B"/>
    <w:rsid w:val="00951587"/>
    <w:rsid w:val="00951590"/>
    <w:rsid w:val="00951C7E"/>
    <w:rsid w:val="009531D1"/>
    <w:rsid w:val="009551AF"/>
    <w:rsid w:val="009556D1"/>
    <w:rsid w:val="00956675"/>
    <w:rsid w:val="00956732"/>
    <w:rsid w:val="00956CFB"/>
    <w:rsid w:val="009578AD"/>
    <w:rsid w:val="0096033A"/>
    <w:rsid w:val="009605A7"/>
    <w:rsid w:val="00961551"/>
    <w:rsid w:val="009623D9"/>
    <w:rsid w:val="00963033"/>
    <w:rsid w:val="00964DCC"/>
    <w:rsid w:val="009655A6"/>
    <w:rsid w:val="009665E7"/>
    <w:rsid w:val="00967AA5"/>
    <w:rsid w:val="009701C3"/>
    <w:rsid w:val="00970971"/>
    <w:rsid w:val="00970B84"/>
    <w:rsid w:val="0097510A"/>
    <w:rsid w:val="0097535B"/>
    <w:rsid w:val="009767A2"/>
    <w:rsid w:val="009774F3"/>
    <w:rsid w:val="00977676"/>
    <w:rsid w:val="00980319"/>
    <w:rsid w:val="009812A6"/>
    <w:rsid w:val="0098180B"/>
    <w:rsid w:val="00982353"/>
    <w:rsid w:val="009829AC"/>
    <w:rsid w:val="00983A15"/>
    <w:rsid w:val="00983F8D"/>
    <w:rsid w:val="00984480"/>
    <w:rsid w:val="009904F7"/>
    <w:rsid w:val="00990EDC"/>
    <w:rsid w:val="00990F54"/>
    <w:rsid w:val="00991BE1"/>
    <w:rsid w:val="009920E9"/>
    <w:rsid w:val="00992B98"/>
    <w:rsid w:val="00994F13"/>
    <w:rsid w:val="00995A7B"/>
    <w:rsid w:val="00996CB1"/>
    <w:rsid w:val="009A037A"/>
    <w:rsid w:val="009A07EC"/>
    <w:rsid w:val="009A0B9C"/>
    <w:rsid w:val="009A12DE"/>
    <w:rsid w:val="009A2887"/>
    <w:rsid w:val="009A3EC9"/>
    <w:rsid w:val="009A3F4C"/>
    <w:rsid w:val="009A4062"/>
    <w:rsid w:val="009A4E3A"/>
    <w:rsid w:val="009A5065"/>
    <w:rsid w:val="009A5F8B"/>
    <w:rsid w:val="009A6231"/>
    <w:rsid w:val="009A722F"/>
    <w:rsid w:val="009B03B7"/>
    <w:rsid w:val="009B0AB4"/>
    <w:rsid w:val="009B4050"/>
    <w:rsid w:val="009B4748"/>
    <w:rsid w:val="009B4905"/>
    <w:rsid w:val="009B5149"/>
    <w:rsid w:val="009B7AF6"/>
    <w:rsid w:val="009C138C"/>
    <w:rsid w:val="009C1974"/>
    <w:rsid w:val="009C2A6D"/>
    <w:rsid w:val="009C3440"/>
    <w:rsid w:val="009C42D3"/>
    <w:rsid w:val="009C4A37"/>
    <w:rsid w:val="009C4E9C"/>
    <w:rsid w:val="009C5C60"/>
    <w:rsid w:val="009C6725"/>
    <w:rsid w:val="009C704C"/>
    <w:rsid w:val="009C7128"/>
    <w:rsid w:val="009C762C"/>
    <w:rsid w:val="009C77B2"/>
    <w:rsid w:val="009D0393"/>
    <w:rsid w:val="009D0C9E"/>
    <w:rsid w:val="009D1D20"/>
    <w:rsid w:val="009D2E65"/>
    <w:rsid w:val="009D4052"/>
    <w:rsid w:val="009D47BA"/>
    <w:rsid w:val="009D4D52"/>
    <w:rsid w:val="009D54F9"/>
    <w:rsid w:val="009E076E"/>
    <w:rsid w:val="009E291A"/>
    <w:rsid w:val="009E29B8"/>
    <w:rsid w:val="009E30F9"/>
    <w:rsid w:val="009E3AA4"/>
    <w:rsid w:val="009E4708"/>
    <w:rsid w:val="009E50B4"/>
    <w:rsid w:val="009E5B88"/>
    <w:rsid w:val="009E628F"/>
    <w:rsid w:val="009E7C60"/>
    <w:rsid w:val="009F0C58"/>
    <w:rsid w:val="009F46E3"/>
    <w:rsid w:val="009F5675"/>
    <w:rsid w:val="009F6D12"/>
    <w:rsid w:val="00A000D2"/>
    <w:rsid w:val="00A012B3"/>
    <w:rsid w:val="00A01CFC"/>
    <w:rsid w:val="00A02656"/>
    <w:rsid w:val="00A032D2"/>
    <w:rsid w:val="00A03C59"/>
    <w:rsid w:val="00A03CF6"/>
    <w:rsid w:val="00A0590E"/>
    <w:rsid w:val="00A0599C"/>
    <w:rsid w:val="00A05EC5"/>
    <w:rsid w:val="00A066CE"/>
    <w:rsid w:val="00A06A59"/>
    <w:rsid w:val="00A06D24"/>
    <w:rsid w:val="00A1019D"/>
    <w:rsid w:val="00A1142F"/>
    <w:rsid w:val="00A117E0"/>
    <w:rsid w:val="00A14505"/>
    <w:rsid w:val="00A14BFD"/>
    <w:rsid w:val="00A14E15"/>
    <w:rsid w:val="00A154ED"/>
    <w:rsid w:val="00A1756E"/>
    <w:rsid w:val="00A17781"/>
    <w:rsid w:val="00A17D52"/>
    <w:rsid w:val="00A21530"/>
    <w:rsid w:val="00A2206A"/>
    <w:rsid w:val="00A22670"/>
    <w:rsid w:val="00A23678"/>
    <w:rsid w:val="00A2386A"/>
    <w:rsid w:val="00A24937"/>
    <w:rsid w:val="00A24CBB"/>
    <w:rsid w:val="00A24FCE"/>
    <w:rsid w:val="00A25C0D"/>
    <w:rsid w:val="00A261E2"/>
    <w:rsid w:val="00A2620F"/>
    <w:rsid w:val="00A2745C"/>
    <w:rsid w:val="00A30943"/>
    <w:rsid w:val="00A32D9E"/>
    <w:rsid w:val="00A34E20"/>
    <w:rsid w:val="00A34E38"/>
    <w:rsid w:val="00A359EC"/>
    <w:rsid w:val="00A35B04"/>
    <w:rsid w:val="00A3712D"/>
    <w:rsid w:val="00A372E9"/>
    <w:rsid w:val="00A4152C"/>
    <w:rsid w:val="00A424F3"/>
    <w:rsid w:val="00A429A5"/>
    <w:rsid w:val="00A44127"/>
    <w:rsid w:val="00A4413A"/>
    <w:rsid w:val="00A453DB"/>
    <w:rsid w:val="00A45C21"/>
    <w:rsid w:val="00A469AB"/>
    <w:rsid w:val="00A4730C"/>
    <w:rsid w:val="00A47836"/>
    <w:rsid w:val="00A513B5"/>
    <w:rsid w:val="00A519C6"/>
    <w:rsid w:val="00A527EA"/>
    <w:rsid w:val="00A528C4"/>
    <w:rsid w:val="00A52D46"/>
    <w:rsid w:val="00A56A60"/>
    <w:rsid w:val="00A56AA4"/>
    <w:rsid w:val="00A5791D"/>
    <w:rsid w:val="00A616C5"/>
    <w:rsid w:val="00A63776"/>
    <w:rsid w:val="00A63AD2"/>
    <w:rsid w:val="00A65E29"/>
    <w:rsid w:val="00A6630C"/>
    <w:rsid w:val="00A665BD"/>
    <w:rsid w:val="00A66D78"/>
    <w:rsid w:val="00A67F9A"/>
    <w:rsid w:val="00A70B51"/>
    <w:rsid w:val="00A719C0"/>
    <w:rsid w:val="00A71ECD"/>
    <w:rsid w:val="00A71F61"/>
    <w:rsid w:val="00A7488F"/>
    <w:rsid w:val="00A74C31"/>
    <w:rsid w:val="00A74DE7"/>
    <w:rsid w:val="00A7511C"/>
    <w:rsid w:val="00A76F4A"/>
    <w:rsid w:val="00A77C42"/>
    <w:rsid w:val="00A80392"/>
    <w:rsid w:val="00A80EBB"/>
    <w:rsid w:val="00A81379"/>
    <w:rsid w:val="00A81F02"/>
    <w:rsid w:val="00A82C71"/>
    <w:rsid w:val="00A83BA3"/>
    <w:rsid w:val="00A86084"/>
    <w:rsid w:val="00A87345"/>
    <w:rsid w:val="00A90207"/>
    <w:rsid w:val="00A911A7"/>
    <w:rsid w:val="00A9193C"/>
    <w:rsid w:val="00A935F2"/>
    <w:rsid w:val="00A93B4D"/>
    <w:rsid w:val="00A956F9"/>
    <w:rsid w:val="00A95DE2"/>
    <w:rsid w:val="00AA14A6"/>
    <w:rsid w:val="00AA1F1F"/>
    <w:rsid w:val="00AA334C"/>
    <w:rsid w:val="00AA37FB"/>
    <w:rsid w:val="00AA6662"/>
    <w:rsid w:val="00AA72A4"/>
    <w:rsid w:val="00AB0AFE"/>
    <w:rsid w:val="00AB1215"/>
    <w:rsid w:val="00AB1254"/>
    <w:rsid w:val="00AB3FA4"/>
    <w:rsid w:val="00AB4EF6"/>
    <w:rsid w:val="00AB5183"/>
    <w:rsid w:val="00AB52BC"/>
    <w:rsid w:val="00AB6175"/>
    <w:rsid w:val="00AB662E"/>
    <w:rsid w:val="00AB67A0"/>
    <w:rsid w:val="00AB775E"/>
    <w:rsid w:val="00AC20B7"/>
    <w:rsid w:val="00AC212D"/>
    <w:rsid w:val="00AC2E0B"/>
    <w:rsid w:val="00AC3E72"/>
    <w:rsid w:val="00AC5763"/>
    <w:rsid w:val="00AC60E1"/>
    <w:rsid w:val="00AC653E"/>
    <w:rsid w:val="00AC7F50"/>
    <w:rsid w:val="00AD065A"/>
    <w:rsid w:val="00AD2FDB"/>
    <w:rsid w:val="00AD5D30"/>
    <w:rsid w:val="00AD6604"/>
    <w:rsid w:val="00AD7583"/>
    <w:rsid w:val="00AD7617"/>
    <w:rsid w:val="00AE03F9"/>
    <w:rsid w:val="00AE0868"/>
    <w:rsid w:val="00AE1815"/>
    <w:rsid w:val="00AE343C"/>
    <w:rsid w:val="00AE3728"/>
    <w:rsid w:val="00AE3B52"/>
    <w:rsid w:val="00AE4952"/>
    <w:rsid w:val="00AE57BD"/>
    <w:rsid w:val="00AE5AF7"/>
    <w:rsid w:val="00AE7B88"/>
    <w:rsid w:val="00AF2BF0"/>
    <w:rsid w:val="00AF31AE"/>
    <w:rsid w:val="00AF31EF"/>
    <w:rsid w:val="00AF34A1"/>
    <w:rsid w:val="00AF3EBB"/>
    <w:rsid w:val="00AF5FFB"/>
    <w:rsid w:val="00B0014A"/>
    <w:rsid w:val="00B0069F"/>
    <w:rsid w:val="00B00833"/>
    <w:rsid w:val="00B0277C"/>
    <w:rsid w:val="00B02C39"/>
    <w:rsid w:val="00B03A1F"/>
    <w:rsid w:val="00B03A82"/>
    <w:rsid w:val="00B046F5"/>
    <w:rsid w:val="00B05190"/>
    <w:rsid w:val="00B0624D"/>
    <w:rsid w:val="00B06BAE"/>
    <w:rsid w:val="00B078F8"/>
    <w:rsid w:val="00B1071D"/>
    <w:rsid w:val="00B113B1"/>
    <w:rsid w:val="00B114C7"/>
    <w:rsid w:val="00B11AB4"/>
    <w:rsid w:val="00B12C79"/>
    <w:rsid w:val="00B13CED"/>
    <w:rsid w:val="00B14218"/>
    <w:rsid w:val="00B142C6"/>
    <w:rsid w:val="00B15301"/>
    <w:rsid w:val="00B15B28"/>
    <w:rsid w:val="00B15E15"/>
    <w:rsid w:val="00B17D22"/>
    <w:rsid w:val="00B20D50"/>
    <w:rsid w:val="00B21370"/>
    <w:rsid w:val="00B2152A"/>
    <w:rsid w:val="00B21AE7"/>
    <w:rsid w:val="00B23A99"/>
    <w:rsid w:val="00B254C2"/>
    <w:rsid w:val="00B25771"/>
    <w:rsid w:val="00B262E1"/>
    <w:rsid w:val="00B26EF8"/>
    <w:rsid w:val="00B3118B"/>
    <w:rsid w:val="00B3175E"/>
    <w:rsid w:val="00B31B82"/>
    <w:rsid w:val="00B31C01"/>
    <w:rsid w:val="00B323C0"/>
    <w:rsid w:val="00B32784"/>
    <w:rsid w:val="00B3549A"/>
    <w:rsid w:val="00B36228"/>
    <w:rsid w:val="00B362F8"/>
    <w:rsid w:val="00B37A71"/>
    <w:rsid w:val="00B40A3A"/>
    <w:rsid w:val="00B42DD1"/>
    <w:rsid w:val="00B43884"/>
    <w:rsid w:val="00B45599"/>
    <w:rsid w:val="00B46164"/>
    <w:rsid w:val="00B46B1A"/>
    <w:rsid w:val="00B46B23"/>
    <w:rsid w:val="00B46C88"/>
    <w:rsid w:val="00B51040"/>
    <w:rsid w:val="00B511C0"/>
    <w:rsid w:val="00B53407"/>
    <w:rsid w:val="00B540D6"/>
    <w:rsid w:val="00B54303"/>
    <w:rsid w:val="00B566AD"/>
    <w:rsid w:val="00B56AD2"/>
    <w:rsid w:val="00B57583"/>
    <w:rsid w:val="00B57589"/>
    <w:rsid w:val="00B608CF"/>
    <w:rsid w:val="00B608F0"/>
    <w:rsid w:val="00B620E6"/>
    <w:rsid w:val="00B63623"/>
    <w:rsid w:val="00B64077"/>
    <w:rsid w:val="00B646F8"/>
    <w:rsid w:val="00B65064"/>
    <w:rsid w:val="00B6572E"/>
    <w:rsid w:val="00B67800"/>
    <w:rsid w:val="00B71261"/>
    <w:rsid w:val="00B715FD"/>
    <w:rsid w:val="00B71BC7"/>
    <w:rsid w:val="00B727C8"/>
    <w:rsid w:val="00B736CC"/>
    <w:rsid w:val="00B73964"/>
    <w:rsid w:val="00B752AF"/>
    <w:rsid w:val="00B7536C"/>
    <w:rsid w:val="00B75F2F"/>
    <w:rsid w:val="00B76392"/>
    <w:rsid w:val="00B76C69"/>
    <w:rsid w:val="00B77720"/>
    <w:rsid w:val="00B778A8"/>
    <w:rsid w:val="00B77D10"/>
    <w:rsid w:val="00B80E06"/>
    <w:rsid w:val="00B814CD"/>
    <w:rsid w:val="00B816B6"/>
    <w:rsid w:val="00B821DC"/>
    <w:rsid w:val="00B83717"/>
    <w:rsid w:val="00B8399F"/>
    <w:rsid w:val="00B83AF0"/>
    <w:rsid w:val="00B842CA"/>
    <w:rsid w:val="00B84D50"/>
    <w:rsid w:val="00B850BC"/>
    <w:rsid w:val="00B857F8"/>
    <w:rsid w:val="00B859DB"/>
    <w:rsid w:val="00B85CCE"/>
    <w:rsid w:val="00B86535"/>
    <w:rsid w:val="00B87348"/>
    <w:rsid w:val="00B87CB5"/>
    <w:rsid w:val="00B90D75"/>
    <w:rsid w:val="00B919EA"/>
    <w:rsid w:val="00B93BDA"/>
    <w:rsid w:val="00B943C3"/>
    <w:rsid w:val="00B9476B"/>
    <w:rsid w:val="00B95C91"/>
    <w:rsid w:val="00B95CE0"/>
    <w:rsid w:val="00B96312"/>
    <w:rsid w:val="00BA06D0"/>
    <w:rsid w:val="00BA141E"/>
    <w:rsid w:val="00BA17AD"/>
    <w:rsid w:val="00BA3500"/>
    <w:rsid w:val="00BA4701"/>
    <w:rsid w:val="00BA4998"/>
    <w:rsid w:val="00BA4DE3"/>
    <w:rsid w:val="00BA6144"/>
    <w:rsid w:val="00BA68CA"/>
    <w:rsid w:val="00BA69C7"/>
    <w:rsid w:val="00BA73A3"/>
    <w:rsid w:val="00BB0400"/>
    <w:rsid w:val="00BB0FFA"/>
    <w:rsid w:val="00BB1403"/>
    <w:rsid w:val="00BB22FE"/>
    <w:rsid w:val="00BB293D"/>
    <w:rsid w:val="00BB2DF4"/>
    <w:rsid w:val="00BB306E"/>
    <w:rsid w:val="00BB3D12"/>
    <w:rsid w:val="00BB4E56"/>
    <w:rsid w:val="00BB5025"/>
    <w:rsid w:val="00BB6025"/>
    <w:rsid w:val="00BB6A36"/>
    <w:rsid w:val="00BB6B4B"/>
    <w:rsid w:val="00BB6FC6"/>
    <w:rsid w:val="00BB7790"/>
    <w:rsid w:val="00BC0D49"/>
    <w:rsid w:val="00BC0FAC"/>
    <w:rsid w:val="00BC1429"/>
    <w:rsid w:val="00BC2327"/>
    <w:rsid w:val="00BC345E"/>
    <w:rsid w:val="00BC70E0"/>
    <w:rsid w:val="00BC7828"/>
    <w:rsid w:val="00BD087E"/>
    <w:rsid w:val="00BD1D05"/>
    <w:rsid w:val="00BD1ED8"/>
    <w:rsid w:val="00BD2AD5"/>
    <w:rsid w:val="00BD5030"/>
    <w:rsid w:val="00BD5D01"/>
    <w:rsid w:val="00BE1C67"/>
    <w:rsid w:val="00BE1F74"/>
    <w:rsid w:val="00BE47EB"/>
    <w:rsid w:val="00BE4E5D"/>
    <w:rsid w:val="00BF2649"/>
    <w:rsid w:val="00BF3366"/>
    <w:rsid w:val="00BF400A"/>
    <w:rsid w:val="00BF5149"/>
    <w:rsid w:val="00BF58C3"/>
    <w:rsid w:val="00BF640D"/>
    <w:rsid w:val="00BF7C09"/>
    <w:rsid w:val="00C0152B"/>
    <w:rsid w:val="00C023E5"/>
    <w:rsid w:val="00C0374F"/>
    <w:rsid w:val="00C05570"/>
    <w:rsid w:val="00C0614D"/>
    <w:rsid w:val="00C06864"/>
    <w:rsid w:val="00C0698C"/>
    <w:rsid w:val="00C07296"/>
    <w:rsid w:val="00C0787C"/>
    <w:rsid w:val="00C10BFC"/>
    <w:rsid w:val="00C11630"/>
    <w:rsid w:val="00C1176C"/>
    <w:rsid w:val="00C127BC"/>
    <w:rsid w:val="00C1445A"/>
    <w:rsid w:val="00C145C3"/>
    <w:rsid w:val="00C151D9"/>
    <w:rsid w:val="00C15D21"/>
    <w:rsid w:val="00C205D1"/>
    <w:rsid w:val="00C21FCE"/>
    <w:rsid w:val="00C2203A"/>
    <w:rsid w:val="00C22B65"/>
    <w:rsid w:val="00C24A32"/>
    <w:rsid w:val="00C251AC"/>
    <w:rsid w:val="00C25854"/>
    <w:rsid w:val="00C26BCA"/>
    <w:rsid w:val="00C32782"/>
    <w:rsid w:val="00C33AD4"/>
    <w:rsid w:val="00C34548"/>
    <w:rsid w:val="00C346BB"/>
    <w:rsid w:val="00C3513F"/>
    <w:rsid w:val="00C36E43"/>
    <w:rsid w:val="00C40203"/>
    <w:rsid w:val="00C40A55"/>
    <w:rsid w:val="00C45DBB"/>
    <w:rsid w:val="00C478E7"/>
    <w:rsid w:val="00C51056"/>
    <w:rsid w:val="00C51A6C"/>
    <w:rsid w:val="00C520B2"/>
    <w:rsid w:val="00C52357"/>
    <w:rsid w:val="00C53568"/>
    <w:rsid w:val="00C54197"/>
    <w:rsid w:val="00C54260"/>
    <w:rsid w:val="00C544B1"/>
    <w:rsid w:val="00C55247"/>
    <w:rsid w:val="00C57256"/>
    <w:rsid w:val="00C57571"/>
    <w:rsid w:val="00C5781B"/>
    <w:rsid w:val="00C6116F"/>
    <w:rsid w:val="00C62A82"/>
    <w:rsid w:val="00C64A33"/>
    <w:rsid w:val="00C660A8"/>
    <w:rsid w:val="00C676EE"/>
    <w:rsid w:val="00C677C4"/>
    <w:rsid w:val="00C678A7"/>
    <w:rsid w:val="00C6794D"/>
    <w:rsid w:val="00C67DBC"/>
    <w:rsid w:val="00C70616"/>
    <w:rsid w:val="00C70830"/>
    <w:rsid w:val="00C70C40"/>
    <w:rsid w:val="00C7105F"/>
    <w:rsid w:val="00C71638"/>
    <w:rsid w:val="00C71C59"/>
    <w:rsid w:val="00C71D89"/>
    <w:rsid w:val="00C7300A"/>
    <w:rsid w:val="00C73875"/>
    <w:rsid w:val="00C75747"/>
    <w:rsid w:val="00C7593A"/>
    <w:rsid w:val="00C76C52"/>
    <w:rsid w:val="00C76D95"/>
    <w:rsid w:val="00C826E0"/>
    <w:rsid w:val="00C829D8"/>
    <w:rsid w:val="00C83581"/>
    <w:rsid w:val="00C83CFB"/>
    <w:rsid w:val="00C85678"/>
    <w:rsid w:val="00C86D80"/>
    <w:rsid w:val="00C90E51"/>
    <w:rsid w:val="00C90FFC"/>
    <w:rsid w:val="00C919FD"/>
    <w:rsid w:val="00C9213C"/>
    <w:rsid w:val="00C921C1"/>
    <w:rsid w:val="00C92B7A"/>
    <w:rsid w:val="00C935CA"/>
    <w:rsid w:val="00C9387F"/>
    <w:rsid w:val="00C9407F"/>
    <w:rsid w:val="00C94DC8"/>
    <w:rsid w:val="00C95033"/>
    <w:rsid w:val="00C95310"/>
    <w:rsid w:val="00C9555E"/>
    <w:rsid w:val="00C955E3"/>
    <w:rsid w:val="00C9589E"/>
    <w:rsid w:val="00C95916"/>
    <w:rsid w:val="00C95A25"/>
    <w:rsid w:val="00C962D0"/>
    <w:rsid w:val="00C96F21"/>
    <w:rsid w:val="00CA1D61"/>
    <w:rsid w:val="00CA35C4"/>
    <w:rsid w:val="00CA3AEA"/>
    <w:rsid w:val="00CA3D13"/>
    <w:rsid w:val="00CA6A57"/>
    <w:rsid w:val="00CA738D"/>
    <w:rsid w:val="00CA7B05"/>
    <w:rsid w:val="00CB0980"/>
    <w:rsid w:val="00CB11F8"/>
    <w:rsid w:val="00CB1535"/>
    <w:rsid w:val="00CB16EF"/>
    <w:rsid w:val="00CB3B28"/>
    <w:rsid w:val="00CB53F5"/>
    <w:rsid w:val="00CB621B"/>
    <w:rsid w:val="00CB68C2"/>
    <w:rsid w:val="00CB6D49"/>
    <w:rsid w:val="00CC00E9"/>
    <w:rsid w:val="00CC05C6"/>
    <w:rsid w:val="00CC34DB"/>
    <w:rsid w:val="00CC3FDA"/>
    <w:rsid w:val="00CC45C0"/>
    <w:rsid w:val="00CC5941"/>
    <w:rsid w:val="00CC7DBF"/>
    <w:rsid w:val="00CD3615"/>
    <w:rsid w:val="00CD39A6"/>
    <w:rsid w:val="00CD3C2F"/>
    <w:rsid w:val="00CD5803"/>
    <w:rsid w:val="00CD6AD1"/>
    <w:rsid w:val="00CD6EE5"/>
    <w:rsid w:val="00CD7031"/>
    <w:rsid w:val="00CD7297"/>
    <w:rsid w:val="00CD78A1"/>
    <w:rsid w:val="00CE0A31"/>
    <w:rsid w:val="00CE1163"/>
    <w:rsid w:val="00CE234D"/>
    <w:rsid w:val="00CE4324"/>
    <w:rsid w:val="00CE4397"/>
    <w:rsid w:val="00CE4DBA"/>
    <w:rsid w:val="00CE61BA"/>
    <w:rsid w:val="00CE6823"/>
    <w:rsid w:val="00CE687D"/>
    <w:rsid w:val="00CF0325"/>
    <w:rsid w:val="00CF1666"/>
    <w:rsid w:val="00CF2079"/>
    <w:rsid w:val="00CF2390"/>
    <w:rsid w:val="00CF4348"/>
    <w:rsid w:val="00CF46B2"/>
    <w:rsid w:val="00CF56D1"/>
    <w:rsid w:val="00CF63AF"/>
    <w:rsid w:val="00CF70C5"/>
    <w:rsid w:val="00CF75DE"/>
    <w:rsid w:val="00CF7D2F"/>
    <w:rsid w:val="00D00624"/>
    <w:rsid w:val="00D00797"/>
    <w:rsid w:val="00D0123A"/>
    <w:rsid w:val="00D01EE4"/>
    <w:rsid w:val="00D03925"/>
    <w:rsid w:val="00D052D5"/>
    <w:rsid w:val="00D05DD3"/>
    <w:rsid w:val="00D0789E"/>
    <w:rsid w:val="00D100E3"/>
    <w:rsid w:val="00D10747"/>
    <w:rsid w:val="00D11D84"/>
    <w:rsid w:val="00D144E4"/>
    <w:rsid w:val="00D21245"/>
    <w:rsid w:val="00D2264D"/>
    <w:rsid w:val="00D235A1"/>
    <w:rsid w:val="00D241A8"/>
    <w:rsid w:val="00D2454A"/>
    <w:rsid w:val="00D24E35"/>
    <w:rsid w:val="00D255F1"/>
    <w:rsid w:val="00D256CD"/>
    <w:rsid w:val="00D2620A"/>
    <w:rsid w:val="00D26419"/>
    <w:rsid w:val="00D26DA4"/>
    <w:rsid w:val="00D310F6"/>
    <w:rsid w:val="00D31246"/>
    <w:rsid w:val="00D31A67"/>
    <w:rsid w:val="00D320D7"/>
    <w:rsid w:val="00D3249D"/>
    <w:rsid w:val="00D34A39"/>
    <w:rsid w:val="00D34AC2"/>
    <w:rsid w:val="00D366E2"/>
    <w:rsid w:val="00D36F49"/>
    <w:rsid w:val="00D3787C"/>
    <w:rsid w:val="00D40FED"/>
    <w:rsid w:val="00D41012"/>
    <w:rsid w:val="00D416D2"/>
    <w:rsid w:val="00D42245"/>
    <w:rsid w:val="00D42CDA"/>
    <w:rsid w:val="00D43DFC"/>
    <w:rsid w:val="00D44077"/>
    <w:rsid w:val="00D44ED3"/>
    <w:rsid w:val="00D4558B"/>
    <w:rsid w:val="00D463FB"/>
    <w:rsid w:val="00D47CEB"/>
    <w:rsid w:val="00D502DD"/>
    <w:rsid w:val="00D503FD"/>
    <w:rsid w:val="00D50535"/>
    <w:rsid w:val="00D505DA"/>
    <w:rsid w:val="00D52B01"/>
    <w:rsid w:val="00D52C8D"/>
    <w:rsid w:val="00D55133"/>
    <w:rsid w:val="00D552B6"/>
    <w:rsid w:val="00D55A69"/>
    <w:rsid w:val="00D57B8D"/>
    <w:rsid w:val="00D57C4F"/>
    <w:rsid w:val="00D60F96"/>
    <w:rsid w:val="00D6345D"/>
    <w:rsid w:val="00D64B97"/>
    <w:rsid w:val="00D6565D"/>
    <w:rsid w:val="00D65F86"/>
    <w:rsid w:val="00D66B9F"/>
    <w:rsid w:val="00D73B49"/>
    <w:rsid w:val="00D750B2"/>
    <w:rsid w:val="00D751D6"/>
    <w:rsid w:val="00D759A4"/>
    <w:rsid w:val="00D77DB4"/>
    <w:rsid w:val="00D84111"/>
    <w:rsid w:val="00D84C19"/>
    <w:rsid w:val="00D850D0"/>
    <w:rsid w:val="00D87710"/>
    <w:rsid w:val="00D87E5B"/>
    <w:rsid w:val="00D91BD2"/>
    <w:rsid w:val="00D91CDC"/>
    <w:rsid w:val="00D923AF"/>
    <w:rsid w:val="00D93F26"/>
    <w:rsid w:val="00D94025"/>
    <w:rsid w:val="00D94477"/>
    <w:rsid w:val="00D95138"/>
    <w:rsid w:val="00D95A62"/>
    <w:rsid w:val="00D96C8E"/>
    <w:rsid w:val="00D96DC3"/>
    <w:rsid w:val="00D97500"/>
    <w:rsid w:val="00D97967"/>
    <w:rsid w:val="00DA131C"/>
    <w:rsid w:val="00DA1679"/>
    <w:rsid w:val="00DA1777"/>
    <w:rsid w:val="00DA2E59"/>
    <w:rsid w:val="00DA31FC"/>
    <w:rsid w:val="00DA35CE"/>
    <w:rsid w:val="00DA367A"/>
    <w:rsid w:val="00DA4354"/>
    <w:rsid w:val="00DA6E80"/>
    <w:rsid w:val="00DB11F4"/>
    <w:rsid w:val="00DB130D"/>
    <w:rsid w:val="00DB35BF"/>
    <w:rsid w:val="00DB64A3"/>
    <w:rsid w:val="00DB64B7"/>
    <w:rsid w:val="00DB7B26"/>
    <w:rsid w:val="00DB7CC6"/>
    <w:rsid w:val="00DC0C86"/>
    <w:rsid w:val="00DC206F"/>
    <w:rsid w:val="00DC24F4"/>
    <w:rsid w:val="00DC4320"/>
    <w:rsid w:val="00DC4B57"/>
    <w:rsid w:val="00DC53BF"/>
    <w:rsid w:val="00DC5860"/>
    <w:rsid w:val="00DC666F"/>
    <w:rsid w:val="00DC6E63"/>
    <w:rsid w:val="00DC714A"/>
    <w:rsid w:val="00DD2291"/>
    <w:rsid w:val="00DD2BDD"/>
    <w:rsid w:val="00DD2E72"/>
    <w:rsid w:val="00DD3916"/>
    <w:rsid w:val="00DD423D"/>
    <w:rsid w:val="00DD4897"/>
    <w:rsid w:val="00DD548E"/>
    <w:rsid w:val="00DD5AE7"/>
    <w:rsid w:val="00DD7424"/>
    <w:rsid w:val="00DD7D61"/>
    <w:rsid w:val="00DD7E33"/>
    <w:rsid w:val="00DD7F64"/>
    <w:rsid w:val="00DE0FF1"/>
    <w:rsid w:val="00DE14F6"/>
    <w:rsid w:val="00DE1798"/>
    <w:rsid w:val="00DE2847"/>
    <w:rsid w:val="00DE4C42"/>
    <w:rsid w:val="00DE5EA7"/>
    <w:rsid w:val="00DF1003"/>
    <w:rsid w:val="00DF16DB"/>
    <w:rsid w:val="00DF2A83"/>
    <w:rsid w:val="00DF335F"/>
    <w:rsid w:val="00DF3DFF"/>
    <w:rsid w:val="00DF485C"/>
    <w:rsid w:val="00DF511C"/>
    <w:rsid w:val="00DF51FF"/>
    <w:rsid w:val="00DF7546"/>
    <w:rsid w:val="00DF7D33"/>
    <w:rsid w:val="00DF7EA9"/>
    <w:rsid w:val="00E008EA"/>
    <w:rsid w:val="00E022AB"/>
    <w:rsid w:val="00E02546"/>
    <w:rsid w:val="00E029B1"/>
    <w:rsid w:val="00E0405C"/>
    <w:rsid w:val="00E05199"/>
    <w:rsid w:val="00E05EB6"/>
    <w:rsid w:val="00E05EFC"/>
    <w:rsid w:val="00E06064"/>
    <w:rsid w:val="00E06702"/>
    <w:rsid w:val="00E079B4"/>
    <w:rsid w:val="00E11177"/>
    <w:rsid w:val="00E11EA9"/>
    <w:rsid w:val="00E14B67"/>
    <w:rsid w:val="00E14CA3"/>
    <w:rsid w:val="00E15324"/>
    <w:rsid w:val="00E15447"/>
    <w:rsid w:val="00E15AF3"/>
    <w:rsid w:val="00E16BA2"/>
    <w:rsid w:val="00E175F8"/>
    <w:rsid w:val="00E178CF"/>
    <w:rsid w:val="00E17C8F"/>
    <w:rsid w:val="00E200EF"/>
    <w:rsid w:val="00E20FB0"/>
    <w:rsid w:val="00E22C8C"/>
    <w:rsid w:val="00E23957"/>
    <w:rsid w:val="00E2396C"/>
    <w:rsid w:val="00E25C53"/>
    <w:rsid w:val="00E305D1"/>
    <w:rsid w:val="00E30815"/>
    <w:rsid w:val="00E30D04"/>
    <w:rsid w:val="00E324A6"/>
    <w:rsid w:val="00E3267F"/>
    <w:rsid w:val="00E32984"/>
    <w:rsid w:val="00E33CBE"/>
    <w:rsid w:val="00E36E7B"/>
    <w:rsid w:val="00E36F89"/>
    <w:rsid w:val="00E4007F"/>
    <w:rsid w:val="00E4045B"/>
    <w:rsid w:val="00E418C9"/>
    <w:rsid w:val="00E4333F"/>
    <w:rsid w:val="00E43F32"/>
    <w:rsid w:val="00E45B73"/>
    <w:rsid w:val="00E466AB"/>
    <w:rsid w:val="00E46D67"/>
    <w:rsid w:val="00E47B83"/>
    <w:rsid w:val="00E50332"/>
    <w:rsid w:val="00E51053"/>
    <w:rsid w:val="00E530E4"/>
    <w:rsid w:val="00E534D6"/>
    <w:rsid w:val="00E542A4"/>
    <w:rsid w:val="00E54E98"/>
    <w:rsid w:val="00E55000"/>
    <w:rsid w:val="00E55FC0"/>
    <w:rsid w:val="00E625FD"/>
    <w:rsid w:val="00E62A03"/>
    <w:rsid w:val="00E633DC"/>
    <w:rsid w:val="00E64253"/>
    <w:rsid w:val="00E64653"/>
    <w:rsid w:val="00E679BA"/>
    <w:rsid w:val="00E71621"/>
    <w:rsid w:val="00E719C8"/>
    <w:rsid w:val="00E724BD"/>
    <w:rsid w:val="00E76301"/>
    <w:rsid w:val="00E8134F"/>
    <w:rsid w:val="00E81372"/>
    <w:rsid w:val="00E84339"/>
    <w:rsid w:val="00E845A4"/>
    <w:rsid w:val="00E85124"/>
    <w:rsid w:val="00E851DF"/>
    <w:rsid w:val="00E852EE"/>
    <w:rsid w:val="00E85779"/>
    <w:rsid w:val="00E85AC4"/>
    <w:rsid w:val="00E85C6F"/>
    <w:rsid w:val="00E90907"/>
    <w:rsid w:val="00E910E1"/>
    <w:rsid w:val="00E91B62"/>
    <w:rsid w:val="00E923A2"/>
    <w:rsid w:val="00E92A22"/>
    <w:rsid w:val="00E93E03"/>
    <w:rsid w:val="00E9427A"/>
    <w:rsid w:val="00E967E3"/>
    <w:rsid w:val="00E96936"/>
    <w:rsid w:val="00E97773"/>
    <w:rsid w:val="00E97D71"/>
    <w:rsid w:val="00EA0181"/>
    <w:rsid w:val="00EA03FE"/>
    <w:rsid w:val="00EA140C"/>
    <w:rsid w:val="00EA197D"/>
    <w:rsid w:val="00EA1E8A"/>
    <w:rsid w:val="00EA76A6"/>
    <w:rsid w:val="00EA78B4"/>
    <w:rsid w:val="00EB12E3"/>
    <w:rsid w:val="00EB1BB8"/>
    <w:rsid w:val="00EB1DB7"/>
    <w:rsid w:val="00EB1F50"/>
    <w:rsid w:val="00EB2343"/>
    <w:rsid w:val="00EB2535"/>
    <w:rsid w:val="00EB34B6"/>
    <w:rsid w:val="00EB413D"/>
    <w:rsid w:val="00EB479A"/>
    <w:rsid w:val="00EB482A"/>
    <w:rsid w:val="00EB4A37"/>
    <w:rsid w:val="00EB6FFF"/>
    <w:rsid w:val="00EB70A0"/>
    <w:rsid w:val="00EC11DD"/>
    <w:rsid w:val="00EC1F5A"/>
    <w:rsid w:val="00EC2805"/>
    <w:rsid w:val="00EC35F9"/>
    <w:rsid w:val="00EC4056"/>
    <w:rsid w:val="00EC49C5"/>
    <w:rsid w:val="00EC4C2A"/>
    <w:rsid w:val="00EC53EB"/>
    <w:rsid w:val="00EC5661"/>
    <w:rsid w:val="00EC5D2B"/>
    <w:rsid w:val="00EC63FD"/>
    <w:rsid w:val="00EC673D"/>
    <w:rsid w:val="00EC6C37"/>
    <w:rsid w:val="00EC7199"/>
    <w:rsid w:val="00EC7D6E"/>
    <w:rsid w:val="00ED05D1"/>
    <w:rsid w:val="00ED2994"/>
    <w:rsid w:val="00ED4E5F"/>
    <w:rsid w:val="00ED6672"/>
    <w:rsid w:val="00ED67FC"/>
    <w:rsid w:val="00ED689E"/>
    <w:rsid w:val="00ED72AF"/>
    <w:rsid w:val="00EE03F3"/>
    <w:rsid w:val="00EE1C3A"/>
    <w:rsid w:val="00EE20CE"/>
    <w:rsid w:val="00EE243D"/>
    <w:rsid w:val="00EE2727"/>
    <w:rsid w:val="00EE2F7F"/>
    <w:rsid w:val="00EE3D7A"/>
    <w:rsid w:val="00EE3FE1"/>
    <w:rsid w:val="00EE6B31"/>
    <w:rsid w:val="00EF0514"/>
    <w:rsid w:val="00EF063F"/>
    <w:rsid w:val="00EF0B00"/>
    <w:rsid w:val="00EF0E2A"/>
    <w:rsid w:val="00EF14EF"/>
    <w:rsid w:val="00EF172F"/>
    <w:rsid w:val="00EF1E69"/>
    <w:rsid w:val="00EF2957"/>
    <w:rsid w:val="00EF3079"/>
    <w:rsid w:val="00EF3A4E"/>
    <w:rsid w:val="00EF4D80"/>
    <w:rsid w:val="00EF5021"/>
    <w:rsid w:val="00EF59A0"/>
    <w:rsid w:val="00EF65A1"/>
    <w:rsid w:val="00EF670A"/>
    <w:rsid w:val="00EF6783"/>
    <w:rsid w:val="00EF6BE1"/>
    <w:rsid w:val="00EF6C44"/>
    <w:rsid w:val="00EF720E"/>
    <w:rsid w:val="00EF789C"/>
    <w:rsid w:val="00F013DF"/>
    <w:rsid w:val="00F033F6"/>
    <w:rsid w:val="00F03804"/>
    <w:rsid w:val="00F040E7"/>
    <w:rsid w:val="00F050F6"/>
    <w:rsid w:val="00F0588B"/>
    <w:rsid w:val="00F058AA"/>
    <w:rsid w:val="00F061CA"/>
    <w:rsid w:val="00F072B5"/>
    <w:rsid w:val="00F07E9B"/>
    <w:rsid w:val="00F10615"/>
    <w:rsid w:val="00F12B3A"/>
    <w:rsid w:val="00F1301E"/>
    <w:rsid w:val="00F135D7"/>
    <w:rsid w:val="00F1360F"/>
    <w:rsid w:val="00F13D7D"/>
    <w:rsid w:val="00F13DBB"/>
    <w:rsid w:val="00F1641D"/>
    <w:rsid w:val="00F176A3"/>
    <w:rsid w:val="00F17ADC"/>
    <w:rsid w:val="00F20EC8"/>
    <w:rsid w:val="00F22BDE"/>
    <w:rsid w:val="00F24C6F"/>
    <w:rsid w:val="00F24EC9"/>
    <w:rsid w:val="00F26487"/>
    <w:rsid w:val="00F2744C"/>
    <w:rsid w:val="00F27513"/>
    <w:rsid w:val="00F27EE1"/>
    <w:rsid w:val="00F30333"/>
    <w:rsid w:val="00F304C2"/>
    <w:rsid w:val="00F37D01"/>
    <w:rsid w:val="00F41402"/>
    <w:rsid w:val="00F419E2"/>
    <w:rsid w:val="00F41D8F"/>
    <w:rsid w:val="00F43037"/>
    <w:rsid w:val="00F43FE1"/>
    <w:rsid w:val="00F4427C"/>
    <w:rsid w:val="00F45608"/>
    <w:rsid w:val="00F45F87"/>
    <w:rsid w:val="00F46A18"/>
    <w:rsid w:val="00F47B2B"/>
    <w:rsid w:val="00F47EC0"/>
    <w:rsid w:val="00F50B76"/>
    <w:rsid w:val="00F51158"/>
    <w:rsid w:val="00F54E56"/>
    <w:rsid w:val="00F604A9"/>
    <w:rsid w:val="00F60830"/>
    <w:rsid w:val="00F60EBB"/>
    <w:rsid w:val="00F61127"/>
    <w:rsid w:val="00F612C3"/>
    <w:rsid w:val="00F61350"/>
    <w:rsid w:val="00F62790"/>
    <w:rsid w:val="00F63764"/>
    <w:rsid w:val="00F6378B"/>
    <w:rsid w:val="00F638CA"/>
    <w:rsid w:val="00F63996"/>
    <w:rsid w:val="00F65BA6"/>
    <w:rsid w:val="00F65D25"/>
    <w:rsid w:val="00F65E0E"/>
    <w:rsid w:val="00F66443"/>
    <w:rsid w:val="00F71B2D"/>
    <w:rsid w:val="00F71CBE"/>
    <w:rsid w:val="00F727AC"/>
    <w:rsid w:val="00F73DD7"/>
    <w:rsid w:val="00F73FC2"/>
    <w:rsid w:val="00F74852"/>
    <w:rsid w:val="00F749C7"/>
    <w:rsid w:val="00F74A4D"/>
    <w:rsid w:val="00F76C93"/>
    <w:rsid w:val="00F7795F"/>
    <w:rsid w:val="00F8036E"/>
    <w:rsid w:val="00F808EA"/>
    <w:rsid w:val="00F81506"/>
    <w:rsid w:val="00F82A32"/>
    <w:rsid w:val="00F8364C"/>
    <w:rsid w:val="00F84BA2"/>
    <w:rsid w:val="00F85B27"/>
    <w:rsid w:val="00F861EA"/>
    <w:rsid w:val="00F86AC0"/>
    <w:rsid w:val="00F86C65"/>
    <w:rsid w:val="00F86CBF"/>
    <w:rsid w:val="00F875BA"/>
    <w:rsid w:val="00F928D7"/>
    <w:rsid w:val="00F93060"/>
    <w:rsid w:val="00F93075"/>
    <w:rsid w:val="00F93AC6"/>
    <w:rsid w:val="00F93E41"/>
    <w:rsid w:val="00F94D3C"/>
    <w:rsid w:val="00F94E7D"/>
    <w:rsid w:val="00F9775D"/>
    <w:rsid w:val="00F97B77"/>
    <w:rsid w:val="00FA2E8D"/>
    <w:rsid w:val="00FA3885"/>
    <w:rsid w:val="00FA4B5C"/>
    <w:rsid w:val="00FA4D6B"/>
    <w:rsid w:val="00FA5C6D"/>
    <w:rsid w:val="00FA5C84"/>
    <w:rsid w:val="00FA7349"/>
    <w:rsid w:val="00FA7476"/>
    <w:rsid w:val="00FA7A04"/>
    <w:rsid w:val="00FA7CC3"/>
    <w:rsid w:val="00FB1393"/>
    <w:rsid w:val="00FB2627"/>
    <w:rsid w:val="00FB35A1"/>
    <w:rsid w:val="00FB3F43"/>
    <w:rsid w:val="00FB47A4"/>
    <w:rsid w:val="00FB576A"/>
    <w:rsid w:val="00FB579C"/>
    <w:rsid w:val="00FB59CE"/>
    <w:rsid w:val="00FB6FAE"/>
    <w:rsid w:val="00FB7C7C"/>
    <w:rsid w:val="00FB7D22"/>
    <w:rsid w:val="00FC014A"/>
    <w:rsid w:val="00FC055C"/>
    <w:rsid w:val="00FC093D"/>
    <w:rsid w:val="00FC0F35"/>
    <w:rsid w:val="00FC2517"/>
    <w:rsid w:val="00FC29AF"/>
    <w:rsid w:val="00FC478E"/>
    <w:rsid w:val="00FC4ED7"/>
    <w:rsid w:val="00FC5DBD"/>
    <w:rsid w:val="00FC6BC2"/>
    <w:rsid w:val="00FC74F8"/>
    <w:rsid w:val="00FC76AF"/>
    <w:rsid w:val="00FD00A5"/>
    <w:rsid w:val="00FD041C"/>
    <w:rsid w:val="00FD1696"/>
    <w:rsid w:val="00FD21DD"/>
    <w:rsid w:val="00FD2D35"/>
    <w:rsid w:val="00FD337F"/>
    <w:rsid w:val="00FD3824"/>
    <w:rsid w:val="00FD4363"/>
    <w:rsid w:val="00FD4EA4"/>
    <w:rsid w:val="00FD50E1"/>
    <w:rsid w:val="00FD572B"/>
    <w:rsid w:val="00FD6E57"/>
    <w:rsid w:val="00FD7114"/>
    <w:rsid w:val="00FD7D1C"/>
    <w:rsid w:val="00FE0FBD"/>
    <w:rsid w:val="00FE14B4"/>
    <w:rsid w:val="00FE2290"/>
    <w:rsid w:val="00FE2A36"/>
    <w:rsid w:val="00FE2A43"/>
    <w:rsid w:val="00FE3E24"/>
    <w:rsid w:val="00FE3EFE"/>
    <w:rsid w:val="00FE6B48"/>
    <w:rsid w:val="00FE6D00"/>
    <w:rsid w:val="00FE7602"/>
    <w:rsid w:val="00FF087B"/>
    <w:rsid w:val="00FF0CF2"/>
    <w:rsid w:val="00FF0D46"/>
    <w:rsid w:val="00FF18BE"/>
    <w:rsid w:val="00FF1B73"/>
    <w:rsid w:val="00FF3EC9"/>
    <w:rsid w:val="00FF4411"/>
    <w:rsid w:val="00FF4B49"/>
    <w:rsid w:val="00FF4BA6"/>
    <w:rsid w:val="00FF5227"/>
    <w:rsid w:val="00FF68FE"/>
    <w:rsid w:val="00FF73E2"/>
    <w:rsid w:val="1953FEF5"/>
    <w:rsid w:val="20895149"/>
    <w:rsid w:val="251370F6"/>
    <w:rsid w:val="25934AB5"/>
    <w:rsid w:val="3814BFBD"/>
    <w:rsid w:val="3FE7AED1"/>
    <w:rsid w:val="4B8EF7B2"/>
    <w:rsid w:val="532A924F"/>
    <w:rsid w:val="542AC687"/>
    <w:rsid w:val="56DF6A51"/>
    <w:rsid w:val="6C0ADE60"/>
    <w:rsid w:val="75E33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DB4E"/>
  <w15:chartTrackingRefBased/>
  <w15:docId w15:val="{3535C2AC-C9E2-4149-8457-D534BC5B7DD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F63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78B"/>
    <w:rPr>
      <w:sz w:val="20"/>
      <w:szCs w:val="20"/>
    </w:rPr>
  </w:style>
  <w:style w:type="character" w:styleId="FootnoteReference">
    <w:name w:val="footnote reference"/>
    <w:basedOn w:val="DefaultParagraphFont"/>
    <w:uiPriority w:val="99"/>
    <w:semiHidden/>
    <w:unhideWhenUsed/>
    <w:rsid w:val="00F6378B"/>
    <w:rPr>
      <w:vertAlign w:val="superscript"/>
    </w:rPr>
  </w:style>
  <w:style w:type="character" w:styleId="UnresolvedMention">
    <w:name w:val="Unresolved Mention"/>
    <w:basedOn w:val="DefaultParagraphFont"/>
    <w:uiPriority w:val="99"/>
    <w:semiHidden/>
    <w:unhideWhenUsed/>
    <w:rsid w:val="00EF5021"/>
    <w:rPr>
      <w:color w:val="605E5C"/>
      <w:shd w:val="clear" w:color="auto" w:fill="E1DFDD"/>
    </w:rPr>
  </w:style>
  <w:style w:type="character" w:styleId="FollowedHyperlink">
    <w:name w:val="FollowedHyperlink"/>
    <w:basedOn w:val="DefaultParagraphFont"/>
    <w:uiPriority w:val="99"/>
    <w:semiHidden/>
    <w:unhideWhenUsed/>
    <w:rsid w:val="003F3CC1"/>
    <w:rPr>
      <w:color w:val="96607D" w:themeColor="followedHyperlink"/>
      <w:u w:val="single"/>
    </w:rPr>
  </w:style>
  <w:style w:type="character" w:styleId="PlaceholderText">
    <w:name w:val="Placeholder Text"/>
    <w:basedOn w:val="DefaultParagraphFont"/>
    <w:uiPriority w:val="99"/>
    <w:semiHidden/>
    <w:rsid w:val="00590E04"/>
    <w:rPr>
      <w:color w:val="666666"/>
    </w:rPr>
  </w:style>
  <w:style w:type="paragraph" w:styleId="Revision">
    <w:name w:val="Revision"/>
    <w:hidden/>
    <w:uiPriority w:val="99"/>
    <w:semiHidden/>
    <w:rsid w:val="00891BA4"/>
    <w:pPr>
      <w:spacing w:after="0" w:line="240" w:lineRule="auto"/>
    </w:pPr>
  </w:style>
  <w:style w:type="character" w:styleId="Mention">
    <w:name w:val="Mention"/>
    <w:basedOn w:val="DefaultParagraphFont"/>
    <w:uiPriority w:val="99"/>
    <w:unhideWhenUsed/>
    <w:rsid w:val="00650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ge.com/tariffs/assets/pdf/tariffbook/ELEC_RULES_15.pdf" TargetMode="External"/><Relationship Id="rId13" Type="http://schemas.openxmlformats.org/officeDocument/2006/relationships/hyperlink" Target="https://www.pge.com/tariffs/assets/pdf/tariffbook/ELEC_RULES_15.pdf" TargetMode="External"/><Relationship Id="rId18" Type="http://schemas.openxmlformats.org/officeDocument/2006/relationships/hyperlink" Target="https://www.pge.com/tariffs/assets/pdf/tariffbook/ELEC_RULES_15.pdf" TargetMode="External"/><Relationship Id="rId3" Type="http://schemas.openxmlformats.org/officeDocument/2006/relationships/hyperlink" Target="https://www.pge.com/tariffs/assets/pdf/tariffbook/ELEC_RULES_16.pdf" TargetMode="External"/><Relationship Id="rId21" Type="http://schemas.openxmlformats.org/officeDocument/2006/relationships/hyperlink" Target="https://www.pge.com/tariffs/assets/pdf/tariffbook/ELEC_RULES_15.pdf" TargetMode="External"/><Relationship Id="rId7" Type="http://schemas.openxmlformats.org/officeDocument/2006/relationships/hyperlink" Target="https://www.pge.com/tariffs/assets/pdf/tariffbook/ELEC_SCHEDS_B-20.pdf" TargetMode="External"/><Relationship Id="rId12" Type="http://schemas.openxmlformats.org/officeDocument/2006/relationships/hyperlink" Target="https://www.pge.com/tariffs/assets/pdf/tariffbook/ELEC_RULES_15.pdf" TargetMode="External"/><Relationship Id="rId17" Type="http://schemas.openxmlformats.org/officeDocument/2006/relationships/hyperlink" Target="https://www.pge.com/tariffs/assets/pdf/tariffbook/ELEC_RULES_15.pdf" TargetMode="External"/><Relationship Id="rId2" Type="http://schemas.openxmlformats.org/officeDocument/2006/relationships/hyperlink" Target="https://www.pge.com/tariffs/assets/pdf/tariffbook/ELEC_RULES_15.pdf" TargetMode="External"/><Relationship Id="rId16" Type="http://schemas.openxmlformats.org/officeDocument/2006/relationships/hyperlink" Target="https://www.pge.com/tariffs/assets/pdf/tariffbook/ELEC_RULES_15.pdf" TargetMode="External"/><Relationship Id="rId20" Type="http://schemas.openxmlformats.org/officeDocument/2006/relationships/hyperlink" Target="https://www.pge.com/assets/pge/docs/account/service-requests/greenbook-manual-full.pdf" TargetMode="External"/><Relationship Id="rId1" Type="http://schemas.openxmlformats.org/officeDocument/2006/relationships/hyperlink" Target="https://www.pge.com/tariffs/assets/pdf/tariffbook/ELEC_RULES_2.pdf" TargetMode="External"/><Relationship Id="rId6" Type="http://schemas.openxmlformats.org/officeDocument/2006/relationships/hyperlink" Target="https://www.pge.com/tariffs/assets/pdf/tariffbook/ELEC_PRELIM_J.pdf" TargetMode="External"/><Relationship Id="rId11" Type="http://schemas.openxmlformats.org/officeDocument/2006/relationships/hyperlink" Target="https://docs.cpuc.ca.gov/PublishedDocs/Published/G000/M586/K498/586498115.PDF" TargetMode="External"/><Relationship Id="rId24" Type="http://schemas.openxmlformats.org/officeDocument/2006/relationships/hyperlink" Target="https://www.pge.com/tariffs/assets/pdf/tariffbook/ELEC_RULES_15.pdf" TargetMode="External"/><Relationship Id="rId5" Type="http://schemas.openxmlformats.org/officeDocument/2006/relationships/hyperlink" Target="https://www.pge.com/tariffs/assets/pdf/tariffbook/ELEC_RULES_15.pdf" TargetMode="External"/><Relationship Id="rId15" Type="http://schemas.openxmlformats.org/officeDocument/2006/relationships/hyperlink" Target="https://www.pge.com/tariffs/assets/pdf/tariffbook/ELEC_RULES_15.pdf" TargetMode="External"/><Relationship Id="rId23" Type="http://schemas.openxmlformats.org/officeDocument/2006/relationships/hyperlink" Target="https://www.pge.com/tariffs/assets/pdf/tariffbook/ELEC_RULES_2.pdf" TargetMode="External"/><Relationship Id="rId10" Type="http://schemas.openxmlformats.org/officeDocument/2006/relationships/hyperlink" Target="https://docs.cpuc.ca.gov/PublishedDocs/Published/G000/M586/K498/586498115.PDF" TargetMode="External"/><Relationship Id="rId19" Type="http://schemas.openxmlformats.org/officeDocument/2006/relationships/hyperlink" Target="https://www.pge.com/tariffs/assets/pdf/tariffbook/ELEC_RULES_15.pdf" TargetMode="External"/><Relationship Id="rId4" Type="http://schemas.openxmlformats.org/officeDocument/2006/relationships/hyperlink" Target="https://docs.cpuc.ca.gov/PublishedDocs/Published/G000/M023/K381/23381302.PDF" TargetMode="External"/><Relationship Id="rId9" Type="http://schemas.openxmlformats.org/officeDocument/2006/relationships/hyperlink" Target="https://www.pge.com/tariffs/assets/pdf/adviceletter/ELEC_7516-E.pdf" TargetMode="External"/><Relationship Id="rId14" Type="http://schemas.openxmlformats.org/officeDocument/2006/relationships/hyperlink" Target="https://www.pge.com/tariffs/assets/pdf/tariffbook/ELEC_RULES_15.pdf" TargetMode="External"/><Relationship Id="rId22" Type="http://schemas.openxmlformats.org/officeDocument/2006/relationships/hyperlink" Target="https://www.pge.com/tariffs/assets/pdf/tariffbook/ELEC_RULES_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D62BB367C13449AA1A194F617A76E4" ma:contentTypeVersion="20" ma:contentTypeDescription="Create a new document." ma:contentTypeScope="" ma:versionID="98f34c8c03b1ef8b7fee2db097b72c6c">
  <xsd:schema xmlns:xsd="http://www.w3.org/2001/XMLSchema" xmlns:xs="http://www.w3.org/2001/XMLSchema" xmlns:p="http://schemas.microsoft.com/office/2006/metadata/properties" xmlns:ns2="c3792811-17d4-4d84-9dea-2aac61cb402c" xmlns:ns3="3e861da3-3f5c-49e8-8199-910d1ca57fe2" targetNamespace="http://schemas.microsoft.com/office/2006/metadata/properties" ma:root="true" ma:fieldsID="e8986838565afad16757b23a34016411" ns2:_="" ns3:_="">
    <xsd:import namespace="c3792811-17d4-4d84-9dea-2aac61cb402c"/>
    <xsd:import namespace="3e861da3-3f5c-49e8-8199-910d1ca57f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ot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92811-17d4-4d84-9dea-2aac61cb4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51025f-ed0e-46aa-9cb5-6b9d659e7360}" ma:internalName="TaxCatchAll" ma:showField="CatchAllData" ma:web="c3792811-17d4-4d84-9dea-2aac61cb40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61da3-3f5c-49e8-8199-910d1ca57f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92811-17d4-4d84-9dea-2aac61cb402c" xsi:nil="true"/>
    <lcf76f155ced4ddcb4097134ff3c332f xmlns="3e861da3-3f5c-49e8-8199-910d1ca57fe2">
      <Terms xmlns="http://schemas.microsoft.com/office/infopath/2007/PartnerControls"/>
    </lcf76f155ced4ddcb4097134ff3c332f>
    <Notes xmlns="3e861da3-3f5c-49e8-8199-910d1ca57fe2" xsi:nil="true"/>
  </documentManagement>
</p:properties>
</file>

<file path=customXml/itemProps1.xml><?xml version="1.0" encoding="utf-8"?>
<ds:datastoreItem xmlns:ds="http://schemas.openxmlformats.org/officeDocument/2006/customXml" ds:itemID="{881C1C67-4C62-4BB6-8840-B5A0A2115FC0}">
  <ds:schemaRefs>
    <ds:schemaRef ds:uri="http://schemas.openxmlformats.org/officeDocument/2006/bibliography"/>
  </ds:schemaRefs>
</ds:datastoreItem>
</file>

<file path=customXml/itemProps2.xml><?xml version="1.0" encoding="utf-8"?>
<ds:datastoreItem xmlns:ds="http://schemas.openxmlformats.org/officeDocument/2006/customXml" ds:itemID="{D4A76BA2-2AAC-4A31-99AC-43C6CFE7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92811-17d4-4d84-9dea-2aac61cb402c"/>
    <ds:schemaRef ds:uri="3e861da3-3f5c-49e8-8199-910d1ca57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c3792811-17d4-4d84-9dea-2aac61cb402c"/>
    <ds:schemaRef ds:uri="3e861da3-3f5c-49e8-8199-910d1ca57fe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8404</ap:Words>
  <ap:Characters>47903</ap:Characters>
  <ap:Application>Microsoft Office Word</ap:Application>
  <ap:DocSecurity>0</ap:DocSecurity>
  <ap:Lines>399</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56195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2026-01-20T13:47:54Z</dcterms:created>
  <dcterms:modified xsi:type="dcterms:W3CDTF">2026-01-20T13:47:54Z</dcterms:modified>
</cp:coreProperties>
</file>