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73D58" w:rsidR="00B84E68" w:rsidP="00A379E2" w:rsidRDefault="00B84E68" w14:paraId="47969EFD" w14:textId="77777777">
      <w:pPr>
        <w:keepNext/>
        <w:suppressAutoHyphens/>
        <w:spacing w:after="0" w:line="240" w:lineRule="auto"/>
        <w:jc w:val="center"/>
        <w:rPr>
          <w:rFonts w:ascii="Helvetica" w:hAnsi="Helvetica" w:eastAsia="Times New Roman" w:cs="Helvetica"/>
          <w:b/>
          <w:kern w:val="0"/>
          <w:sz w:val="26"/>
          <w:szCs w:val="26"/>
          <w14:ligatures w14:val="none"/>
        </w:rPr>
      </w:pPr>
      <w:r w:rsidRPr="00173D58">
        <w:rPr>
          <w:rFonts w:ascii="Helvetica" w:hAnsi="Helvetica" w:eastAsia="Times New Roman" w:cs="Helvetica"/>
          <w:b/>
          <w:kern w:val="0"/>
          <w:sz w:val="26"/>
          <w:szCs w:val="26"/>
          <w14:ligatures w14:val="none"/>
        </w:rPr>
        <w:t>PUBLIC UTILITIES COMMISSION OF THE STATE OF CALIFORNIA</w:t>
      </w:r>
    </w:p>
    <w:p w:rsidRPr="0009589D" w:rsidR="0009589D" w:rsidP="00F954A9" w:rsidRDefault="0009589D" w14:paraId="7DBF9B9F" w14:textId="77777777">
      <w:pPr>
        <w:tabs>
          <w:tab w:val="right" w:pos="9630"/>
        </w:tabs>
        <w:spacing w:after="0" w:line="240" w:lineRule="auto"/>
        <w:ind w:left="360"/>
        <w:rPr>
          <w:rFonts w:ascii="Palatino Linotype" w:hAnsi="Palatino Linotype" w:eastAsia="Times New Roman" w:cs="Times New Roman"/>
          <w:b/>
          <w:kern w:val="0"/>
          <w:sz w:val="10"/>
          <w:szCs w:val="10"/>
          <w14:ligatures w14:val="none"/>
        </w:rPr>
      </w:pPr>
    </w:p>
    <w:p w:rsidR="0009589D" w:rsidP="00F954A9" w:rsidRDefault="0009589D" w14:paraId="46E376F6" w14:textId="77777777">
      <w:pPr>
        <w:tabs>
          <w:tab w:val="right" w:pos="9630"/>
        </w:tabs>
        <w:spacing w:after="0" w:line="240" w:lineRule="auto"/>
        <w:ind w:left="360"/>
        <w:rPr>
          <w:rFonts w:ascii="Palatino Linotype" w:hAnsi="Palatino Linotype" w:eastAsia="Times New Roman" w:cs="Times New Roman"/>
          <w:b/>
          <w:kern w:val="0"/>
          <w:sz w:val="24"/>
          <w:szCs w:val="24"/>
          <w14:ligatures w14:val="none"/>
        </w:rPr>
      </w:pPr>
    </w:p>
    <w:p w:rsidR="00FE32A8" w:rsidP="00F954A9" w:rsidRDefault="00FE32A8" w14:paraId="7B185179" w14:textId="3AC23120">
      <w:pPr>
        <w:tabs>
          <w:tab w:val="right" w:pos="9630"/>
        </w:tabs>
        <w:spacing w:after="0" w:line="240" w:lineRule="auto"/>
        <w:ind w:left="360"/>
        <w:rPr>
          <w:rFonts w:ascii="Palatino Linotype" w:hAnsi="Palatino Linotype" w:eastAsia="Times New Roman" w:cs="Times New Roman"/>
          <w:b/>
          <w:kern w:val="0"/>
          <w:sz w:val="24"/>
          <w:szCs w:val="24"/>
          <w14:ligatures w14:val="none"/>
        </w:rPr>
      </w:pPr>
      <w:r w:rsidRPr="00F17867">
        <w:rPr>
          <w:rFonts w:ascii="Palatino Linotype" w:hAnsi="Palatino Linotype" w:eastAsia="Times New Roman" w:cs="Times New Roman"/>
          <w:b/>
          <w:kern w:val="0"/>
          <w:sz w:val="24"/>
          <w:szCs w:val="24"/>
          <w14:ligatures w14:val="none"/>
        </w:rPr>
        <w:t>ENERGY DIVISION</w:t>
      </w:r>
      <w:r w:rsidRPr="00FE32A8">
        <w:rPr>
          <w:rFonts w:ascii="Palatino Linotype" w:hAnsi="Palatino Linotype" w:eastAsia="Times New Roman" w:cs="Times New Roman"/>
          <w:b/>
          <w:kern w:val="0"/>
          <w:sz w:val="24"/>
          <w:szCs w:val="24"/>
          <w14:ligatures w14:val="none"/>
        </w:rPr>
        <w:t xml:space="preserve"> </w:t>
      </w:r>
      <w:r>
        <w:rPr>
          <w:rFonts w:ascii="Palatino Linotype" w:hAnsi="Palatino Linotype" w:eastAsia="Times New Roman" w:cs="Times New Roman"/>
          <w:b/>
          <w:kern w:val="0"/>
          <w:sz w:val="24"/>
          <w:szCs w:val="24"/>
          <w14:ligatures w14:val="none"/>
        </w:rPr>
        <w:tab/>
      </w:r>
      <w:r w:rsidRPr="00F17867">
        <w:rPr>
          <w:rFonts w:ascii="Palatino Linotype" w:hAnsi="Palatino Linotype" w:eastAsia="Times New Roman" w:cs="Times New Roman"/>
          <w:b/>
          <w:kern w:val="0"/>
          <w:sz w:val="24"/>
          <w:szCs w:val="24"/>
          <w14:ligatures w14:val="none"/>
        </w:rPr>
        <w:t>RESOLUTION E-</w:t>
      </w:r>
      <w:r>
        <w:rPr>
          <w:rFonts w:ascii="Palatino Linotype" w:hAnsi="Palatino Linotype" w:eastAsia="Times New Roman" w:cs="Times New Roman"/>
          <w:b/>
          <w:kern w:val="0"/>
          <w:sz w:val="24"/>
          <w:szCs w:val="24"/>
          <w14:ligatures w14:val="none"/>
        </w:rPr>
        <w:t>5432</w:t>
      </w:r>
    </w:p>
    <w:p w:rsidR="00FE32A8" w:rsidP="00C34A2B" w:rsidRDefault="00FE32A8" w14:paraId="6EFA77C7" w14:textId="77777777">
      <w:pPr>
        <w:tabs>
          <w:tab w:val="right" w:pos="9630"/>
        </w:tabs>
        <w:spacing w:after="0" w:line="240" w:lineRule="auto"/>
        <w:rPr>
          <w:rFonts w:ascii="Palatino Linotype" w:hAnsi="Palatino Linotype" w:eastAsia="Times New Roman" w:cs="Times New Roman"/>
          <w:b/>
          <w:kern w:val="0"/>
          <w:sz w:val="24"/>
          <w:szCs w:val="24"/>
          <w14:ligatures w14:val="none"/>
        </w:rPr>
      </w:pPr>
      <w:r>
        <w:rPr>
          <w:rFonts w:ascii="Palatino Linotype" w:hAnsi="Palatino Linotype" w:eastAsia="Times New Roman" w:cs="Times New Roman"/>
          <w:b/>
          <w:kern w:val="0"/>
          <w:sz w:val="24"/>
          <w:szCs w:val="24"/>
          <w14:ligatures w14:val="none"/>
        </w:rPr>
        <w:tab/>
        <w:t xml:space="preserve">January </w:t>
      </w:r>
      <w:r w:rsidR="000B7990">
        <w:rPr>
          <w:rFonts w:ascii="Palatino Linotype" w:hAnsi="Palatino Linotype" w:eastAsia="Times New Roman" w:cs="Times New Roman"/>
          <w:b/>
          <w:kern w:val="0"/>
          <w:sz w:val="24"/>
          <w:szCs w:val="24"/>
          <w14:ligatures w14:val="none"/>
        </w:rPr>
        <w:t>15, 2026</w:t>
      </w:r>
    </w:p>
    <w:p w:rsidR="0009589D" w:rsidP="00C34A2B" w:rsidRDefault="0009589D" w14:paraId="7C3518BE" w14:textId="77777777">
      <w:pPr>
        <w:tabs>
          <w:tab w:val="right" w:pos="9630"/>
        </w:tabs>
        <w:spacing w:after="0" w:line="240" w:lineRule="auto"/>
        <w:rPr>
          <w:rFonts w:ascii="Palatino Linotype" w:hAnsi="Palatino Linotype" w:eastAsia="Times New Roman" w:cs="Times New Roman"/>
          <w:b/>
          <w:kern w:val="0"/>
          <w:sz w:val="24"/>
          <w:szCs w:val="24"/>
          <w14:ligatures w14:val="none"/>
        </w:rPr>
      </w:pPr>
    </w:p>
    <w:p w:rsidRPr="00C34A2B" w:rsidR="00BA2301" w:rsidP="00BA2301" w:rsidRDefault="00BA2301" w14:paraId="19D211FE" w14:textId="77777777">
      <w:pPr>
        <w:spacing w:after="0" w:line="240" w:lineRule="auto"/>
        <w:jc w:val="center"/>
        <w:rPr>
          <w:rFonts w:ascii="Helvetica" w:hAnsi="Helvetica" w:eastAsia="Times New Roman" w:cs="Helvetica"/>
          <w:b/>
          <w:spacing w:val="120"/>
          <w:kern w:val="0"/>
          <w:sz w:val="16"/>
          <w:szCs w:val="16"/>
          <w:u w:val="single"/>
          <w14:ligatures w14:val="none"/>
        </w:rPr>
      </w:pPr>
    </w:p>
    <w:p w:rsidRPr="00F17867" w:rsidR="00B84E68" w:rsidP="001D3871" w:rsidRDefault="00D40092" w14:paraId="2B090B20" w14:textId="77777777">
      <w:pPr>
        <w:spacing w:after="0" w:line="240" w:lineRule="auto"/>
        <w:jc w:val="center"/>
        <w:rPr>
          <w:rFonts w:ascii="Palatino Linotype" w:hAnsi="Palatino Linotype" w:eastAsia="Times New Roman" w:cs="Times New Roman"/>
          <w:b/>
          <w:kern w:val="0"/>
          <w:sz w:val="24"/>
          <w:szCs w:val="24"/>
          <w14:ligatures w14:val="none"/>
        </w:rPr>
      </w:pPr>
      <w:r>
        <w:rPr>
          <w:rFonts w:ascii="Helvetica" w:hAnsi="Helvetica" w:eastAsia="Times New Roman" w:cs="Helvetica"/>
          <w:b/>
          <w:spacing w:val="120"/>
          <w:kern w:val="0"/>
          <w:sz w:val="26"/>
          <w:szCs w:val="26"/>
          <w:u w:val="single"/>
          <w14:ligatures w14:val="none"/>
        </w:rPr>
        <w:t>REDACTED</w:t>
      </w:r>
    </w:p>
    <w:p w:rsidRPr="00344365" w:rsidR="00B84E68" w:rsidP="001D3871" w:rsidRDefault="00B84E68" w14:paraId="14FC99E7" w14:textId="77777777">
      <w:pPr>
        <w:keepNext/>
        <w:spacing w:after="0" w:line="240" w:lineRule="auto"/>
        <w:jc w:val="center"/>
        <w:rPr>
          <w:rFonts w:ascii="Helvetica" w:hAnsi="Helvetica" w:eastAsia="Times New Roman" w:cs="Helvetica"/>
          <w:b/>
          <w:spacing w:val="120"/>
          <w:kern w:val="0"/>
          <w:sz w:val="26"/>
          <w:szCs w:val="26"/>
          <w:u w:val="single"/>
          <w14:ligatures w14:val="none"/>
        </w:rPr>
      </w:pPr>
      <w:bookmarkStart w:name="_Ref404993683" w:id="0"/>
      <w:r w:rsidRPr="00344365">
        <w:rPr>
          <w:rFonts w:ascii="Helvetica" w:hAnsi="Helvetica" w:eastAsia="Times New Roman" w:cs="Helvetica"/>
          <w:b/>
          <w:spacing w:val="120"/>
          <w:kern w:val="0"/>
          <w:sz w:val="26"/>
          <w:szCs w:val="26"/>
          <w:u w:val="single"/>
          <w14:ligatures w14:val="none"/>
        </w:rPr>
        <w:t>RESOLUTION</w:t>
      </w:r>
    </w:p>
    <w:p w:rsidRPr="00C34A2B" w:rsidR="00B84E68" w:rsidP="00B84E68" w:rsidRDefault="00B84E68" w14:paraId="39A8ED23" w14:textId="77777777">
      <w:pPr>
        <w:spacing w:after="0" w:line="240" w:lineRule="auto"/>
        <w:rPr>
          <w:rFonts w:ascii="Palatino Linotype" w:hAnsi="Palatino Linotype" w:eastAsia="Times New Roman" w:cs="Times New Roman"/>
          <w:kern w:val="0"/>
          <w:sz w:val="16"/>
          <w:szCs w:val="16"/>
          <w14:ligatures w14:val="none"/>
        </w:rPr>
      </w:pPr>
    </w:p>
    <w:p w:rsidRPr="004A174A" w:rsidR="00B84E68" w:rsidP="00C34A2B" w:rsidRDefault="00B84E68" w14:paraId="209E36BA" w14:textId="77777777">
      <w:pPr>
        <w:spacing w:after="0" w:line="240" w:lineRule="auto"/>
        <w:ind w:right="18"/>
        <w:rPr>
          <w:rFonts w:ascii="Palatino Linotype" w:hAnsi="Palatino Linotype" w:eastAsia="Times New Roman" w:cs="Times New Roman"/>
          <w:kern w:val="0"/>
          <w:sz w:val="24"/>
          <w:szCs w:val="24"/>
          <w14:ligatures w14:val="none"/>
        </w:rPr>
      </w:pPr>
      <w:bookmarkStart w:name="_Hlk91749413" w:id="1"/>
      <w:r w:rsidRPr="003615FE">
        <w:rPr>
          <w:rFonts w:ascii="Palatino Linotype" w:hAnsi="Palatino Linotype" w:eastAsia="Times New Roman" w:cs="Times New Roman"/>
          <w:kern w:val="0"/>
          <w:sz w:val="24"/>
          <w:szCs w:val="24"/>
          <w14:ligatures w14:val="none"/>
        </w:rPr>
        <w:t>Resolution E-</w:t>
      </w:r>
      <w:r w:rsidRPr="003615FE" w:rsidR="003615FE">
        <w:rPr>
          <w:rFonts w:ascii="Palatino Linotype" w:hAnsi="Palatino Linotype" w:eastAsia="Times New Roman" w:cs="Times New Roman"/>
          <w:kern w:val="0"/>
          <w:sz w:val="24"/>
          <w:szCs w:val="24"/>
          <w14:ligatures w14:val="none"/>
        </w:rPr>
        <w:t>5432</w:t>
      </w:r>
      <w:r w:rsidRPr="003615FE">
        <w:rPr>
          <w:rFonts w:ascii="Palatino Linotype" w:hAnsi="Palatino Linotype" w:eastAsia="Times New Roman" w:cs="Times New Roman"/>
          <w:kern w:val="0"/>
          <w:sz w:val="24"/>
          <w:szCs w:val="24"/>
          <w14:ligatures w14:val="none"/>
        </w:rPr>
        <w:t xml:space="preserve">. Pacific Gas &amp; Electric Company Request for </w:t>
      </w:r>
      <w:r w:rsidRPr="003615FE" w:rsidR="00B6264A">
        <w:rPr>
          <w:rFonts w:ascii="Palatino Linotype" w:hAnsi="Palatino Linotype" w:eastAsia="Times New Roman" w:cs="Times New Roman"/>
          <w:kern w:val="0"/>
          <w:sz w:val="24"/>
          <w:szCs w:val="24"/>
          <w14:ligatures w14:val="none"/>
        </w:rPr>
        <w:t>Amendment of</w:t>
      </w:r>
      <w:r w:rsidR="00B6264A">
        <w:rPr>
          <w:rFonts w:ascii="Palatino Linotype" w:hAnsi="Palatino Linotype" w:eastAsia="Times New Roman" w:cs="Times New Roman"/>
          <w:kern w:val="0"/>
          <w:sz w:val="24"/>
          <w:szCs w:val="24"/>
          <w14:ligatures w14:val="none"/>
        </w:rPr>
        <w:t xml:space="preserve"> Mid-Term Reliability Contract </w:t>
      </w:r>
      <w:r w:rsidR="00881400">
        <w:rPr>
          <w:rFonts w:ascii="Palatino Linotype" w:hAnsi="Palatino Linotype" w:eastAsia="Times New Roman" w:cs="Times New Roman"/>
          <w:kern w:val="0"/>
          <w:sz w:val="24"/>
          <w:szCs w:val="24"/>
          <w14:ligatures w14:val="none"/>
        </w:rPr>
        <w:t>a</w:t>
      </w:r>
      <w:r w:rsidR="00B6264A">
        <w:rPr>
          <w:rFonts w:ascii="Palatino Linotype" w:hAnsi="Palatino Linotype" w:eastAsia="Times New Roman" w:cs="Times New Roman"/>
          <w:kern w:val="0"/>
          <w:sz w:val="24"/>
          <w:szCs w:val="24"/>
          <w14:ligatures w14:val="none"/>
        </w:rPr>
        <w:t xml:space="preserve">pproved in </w:t>
      </w:r>
      <w:r w:rsidR="00EB7262">
        <w:rPr>
          <w:rFonts w:ascii="Palatino Linotype" w:hAnsi="Palatino Linotype" w:eastAsia="Times New Roman" w:cs="Times New Roman"/>
          <w:kern w:val="0"/>
          <w:sz w:val="24"/>
          <w:szCs w:val="24"/>
          <w14:ligatures w14:val="none"/>
        </w:rPr>
        <w:t>Resolutions</w:t>
      </w:r>
      <w:r w:rsidR="00DB1558">
        <w:rPr>
          <w:rFonts w:ascii="Palatino Linotype" w:hAnsi="Palatino Linotype" w:eastAsia="Times New Roman" w:cs="Times New Roman"/>
          <w:kern w:val="0"/>
          <w:sz w:val="24"/>
          <w:szCs w:val="24"/>
          <w14:ligatures w14:val="none"/>
        </w:rPr>
        <w:t xml:space="preserve"> E-5202</w:t>
      </w:r>
      <w:r w:rsidR="00EB7262">
        <w:rPr>
          <w:rFonts w:ascii="Palatino Linotype" w:hAnsi="Palatino Linotype" w:eastAsia="Times New Roman" w:cs="Times New Roman"/>
          <w:kern w:val="0"/>
          <w:sz w:val="24"/>
          <w:szCs w:val="24"/>
          <w14:ligatures w14:val="none"/>
        </w:rPr>
        <w:t>, E-5243, and E-5285.</w:t>
      </w:r>
    </w:p>
    <w:p w:rsidRPr="00BA2301" w:rsidR="00B84E68" w:rsidP="00C34A2B" w:rsidRDefault="00B84E68" w14:paraId="70A63D55" w14:textId="77777777">
      <w:pPr>
        <w:spacing w:after="0" w:line="240" w:lineRule="auto"/>
        <w:ind w:left="720" w:right="18"/>
        <w:rPr>
          <w:rFonts w:ascii="Palatino Linotype" w:hAnsi="Palatino Linotype" w:eastAsia="Times New Roman" w:cs="Times New Roman"/>
          <w:kern w:val="0"/>
          <w:sz w:val="16"/>
          <w:szCs w:val="16"/>
          <w14:ligatures w14:val="none"/>
        </w:rPr>
      </w:pPr>
    </w:p>
    <w:p w:rsidRPr="004A174A" w:rsidR="00B84E68" w:rsidP="00C34A2B" w:rsidRDefault="00B84E68" w14:paraId="348BD5D3" w14:textId="77777777">
      <w:pPr>
        <w:spacing w:after="0" w:line="240" w:lineRule="auto"/>
        <w:ind w:right="18"/>
        <w:rPr>
          <w:rFonts w:ascii="Palatino Linotype" w:hAnsi="Palatino Linotype" w:eastAsia="Times New Roman" w:cs="Times New Roman"/>
          <w:kern w:val="0"/>
          <w:sz w:val="24"/>
          <w:szCs w:val="24"/>
          <w14:ligatures w14:val="none"/>
        </w:rPr>
      </w:pPr>
      <w:r w:rsidRPr="004A174A">
        <w:rPr>
          <w:rFonts w:ascii="Palatino Linotype" w:hAnsi="Palatino Linotype" w:eastAsia="Times New Roman" w:cs="Times New Roman"/>
          <w:kern w:val="0"/>
          <w:sz w:val="24"/>
          <w:szCs w:val="24"/>
          <w14:ligatures w14:val="none"/>
        </w:rPr>
        <w:t xml:space="preserve">PROPOSED OUTCOME: </w:t>
      </w:r>
    </w:p>
    <w:p w:rsidRPr="004A174A" w:rsidR="00B84E68" w:rsidP="00C34A2B" w:rsidRDefault="00B84E68" w14:paraId="7396C183" w14:textId="1C033C18">
      <w:pPr>
        <w:numPr>
          <w:ilvl w:val="0"/>
          <w:numId w:val="4"/>
        </w:numPr>
        <w:spacing w:after="0" w:line="240" w:lineRule="auto"/>
        <w:ind w:left="360" w:right="18"/>
        <w:rPr>
          <w:rFonts w:ascii="Palatino Linotype" w:hAnsi="Palatino Linotype" w:eastAsia="Palatino" w:cs="Palatino"/>
          <w:kern w:val="0"/>
          <w:sz w:val="24"/>
          <w:szCs w:val="24"/>
          <w14:ligatures w14:val="none"/>
        </w:rPr>
      </w:pPr>
      <w:r w:rsidRPr="004A174A">
        <w:rPr>
          <w:rFonts w:ascii="Palatino Linotype" w:hAnsi="Palatino Linotype" w:eastAsia="Palatino" w:cs="Palatino"/>
          <w:kern w:val="0"/>
          <w:sz w:val="24"/>
          <w:szCs w:val="24"/>
          <w14:ligatures w14:val="none"/>
        </w:rPr>
        <w:t>This Resolution approves</w:t>
      </w:r>
      <w:r w:rsidR="00881400">
        <w:rPr>
          <w:rFonts w:ascii="Palatino Linotype" w:hAnsi="Palatino Linotype" w:eastAsia="Palatino" w:cs="Palatino"/>
          <w:kern w:val="0"/>
          <w:sz w:val="24"/>
          <w:szCs w:val="24"/>
          <w14:ligatures w14:val="none"/>
        </w:rPr>
        <w:t xml:space="preserve"> Pacific Gas &amp; Electric Company’s request to</w:t>
      </w:r>
      <w:r w:rsidRPr="004A174A">
        <w:rPr>
          <w:rFonts w:ascii="Palatino Linotype" w:hAnsi="Palatino Linotype" w:eastAsia="Palatino" w:cs="Palatino"/>
          <w:kern w:val="0"/>
          <w:sz w:val="24"/>
          <w:szCs w:val="24"/>
          <w14:ligatures w14:val="none"/>
        </w:rPr>
        <w:t xml:space="preserve"> </w:t>
      </w:r>
      <w:r w:rsidR="003F33E1">
        <w:rPr>
          <w:rFonts w:ascii="Palatino Linotype" w:hAnsi="Palatino Linotype" w:eastAsia="Palatino" w:cs="Palatino"/>
          <w:kern w:val="0"/>
          <w:sz w:val="24"/>
          <w:szCs w:val="24"/>
          <w14:ligatures w14:val="none"/>
        </w:rPr>
        <w:t>a</w:t>
      </w:r>
      <w:r w:rsidR="00881400">
        <w:rPr>
          <w:rFonts w:ascii="Palatino Linotype" w:hAnsi="Palatino Linotype" w:eastAsia="Palatino" w:cs="Palatino"/>
          <w:kern w:val="0"/>
          <w:sz w:val="24"/>
          <w:szCs w:val="24"/>
          <w14:ligatures w14:val="none"/>
        </w:rPr>
        <w:t xml:space="preserve">mend its </w:t>
      </w:r>
      <w:r w:rsidR="0009589D">
        <w:rPr>
          <w:rFonts w:ascii="Palatino Linotype" w:hAnsi="Palatino Linotype" w:eastAsia="Palatino" w:cs="Palatino"/>
          <w:kern w:val="0"/>
          <w:sz w:val="24"/>
          <w:szCs w:val="24"/>
          <w14:ligatures w14:val="none"/>
        </w:rPr>
        <w:br/>
      </w:r>
      <w:r w:rsidR="00881400">
        <w:rPr>
          <w:rFonts w:ascii="Palatino Linotype" w:hAnsi="Palatino Linotype" w:eastAsia="Palatino" w:cs="Palatino"/>
          <w:kern w:val="0"/>
          <w:sz w:val="24"/>
          <w:szCs w:val="24"/>
          <w14:ligatures w14:val="none"/>
        </w:rPr>
        <w:t xml:space="preserve">Mid-Term Reliability energy storage contract with Nighthawk Energy Storage, LLC to </w:t>
      </w:r>
      <w:r w:rsidR="0018725F">
        <w:rPr>
          <w:rFonts w:ascii="Palatino Linotype" w:hAnsi="Palatino Linotype" w:eastAsia="Palatino" w:cs="Palatino"/>
          <w:kern w:val="0"/>
          <w:sz w:val="24"/>
          <w:szCs w:val="24"/>
          <w14:ligatures w14:val="none"/>
        </w:rPr>
        <w:t xml:space="preserve">change the delivery date from June 1, </w:t>
      </w:r>
      <w:proofErr w:type="gramStart"/>
      <w:r w:rsidR="0018725F">
        <w:rPr>
          <w:rFonts w:ascii="Palatino Linotype" w:hAnsi="Palatino Linotype" w:eastAsia="Palatino" w:cs="Palatino"/>
          <w:kern w:val="0"/>
          <w:sz w:val="24"/>
          <w:szCs w:val="24"/>
          <w14:ligatures w14:val="none"/>
        </w:rPr>
        <w:t>2025</w:t>
      </w:r>
      <w:proofErr w:type="gramEnd"/>
      <w:r w:rsidR="0018725F">
        <w:rPr>
          <w:rFonts w:ascii="Palatino Linotype" w:hAnsi="Palatino Linotype" w:eastAsia="Palatino" w:cs="Palatino"/>
          <w:kern w:val="0"/>
          <w:sz w:val="24"/>
          <w:szCs w:val="24"/>
          <w14:ligatures w14:val="none"/>
        </w:rPr>
        <w:t xml:space="preserve"> to June 1, 2026, and to </w:t>
      </w:r>
      <w:r w:rsidR="00FF3853">
        <w:rPr>
          <w:rFonts w:ascii="Palatino Linotype" w:hAnsi="Palatino Linotype" w:eastAsia="Palatino" w:cs="Palatino"/>
          <w:kern w:val="0"/>
          <w:sz w:val="24"/>
          <w:szCs w:val="24"/>
          <w14:ligatures w14:val="none"/>
        </w:rPr>
        <w:t>amend</w:t>
      </w:r>
      <w:r w:rsidR="0018725F">
        <w:rPr>
          <w:rFonts w:ascii="Palatino Linotype" w:hAnsi="Palatino Linotype" w:eastAsia="Palatino" w:cs="Palatino"/>
          <w:kern w:val="0"/>
          <w:sz w:val="24"/>
          <w:szCs w:val="24"/>
          <w14:ligatures w14:val="none"/>
        </w:rPr>
        <w:t xml:space="preserve"> the project’s price.</w:t>
      </w:r>
    </w:p>
    <w:bookmarkEnd w:id="1"/>
    <w:p w:rsidRPr="00BA2301" w:rsidR="00B84E68" w:rsidP="00C34A2B" w:rsidRDefault="00B84E68" w14:paraId="798AB1D4" w14:textId="77777777">
      <w:pPr>
        <w:spacing w:after="0" w:line="240" w:lineRule="auto"/>
        <w:ind w:left="720" w:right="18"/>
        <w:rPr>
          <w:rFonts w:ascii="Palatino Linotype" w:hAnsi="Palatino Linotype" w:eastAsia="Palatino" w:cs="Palatino"/>
          <w:kern w:val="0"/>
          <w:sz w:val="16"/>
          <w:szCs w:val="16"/>
          <w14:ligatures w14:val="none"/>
        </w:rPr>
      </w:pPr>
    </w:p>
    <w:p w:rsidRPr="004A174A" w:rsidR="00B84E68" w:rsidP="00C34A2B" w:rsidRDefault="00B84E68" w14:paraId="58D4F9F1" w14:textId="77777777">
      <w:pPr>
        <w:spacing w:after="0" w:line="240" w:lineRule="auto"/>
        <w:ind w:right="18"/>
        <w:rPr>
          <w:rFonts w:ascii="Palatino Linotype" w:hAnsi="Palatino Linotype" w:eastAsia="Times New Roman" w:cs="Times New Roman"/>
          <w:kern w:val="0"/>
          <w:sz w:val="24"/>
          <w:szCs w:val="24"/>
          <w14:ligatures w14:val="none"/>
        </w:rPr>
      </w:pPr>
      <w:r w:rsidRPr="004A174A">
        <w:rPr>
          <w:rFonts w:ascii="Palatino Linotype" w:hAnsi="Palatino Linotype" w:eastAsia="Times New Roman" w:cs="Times New Roman"/>
          <w:kern w:val="0"/>
          <w:sz w:val="24"/>
          <w:szCs w:val="24"/>
          <w14:ligatures w14:val="none"/>
        </w:rPr>
        <w:t>SAFETY CONSIDERATIONS:</w:t>
      </w:r>
    </w:p>
    <w:p w:rsidRPr="00CA5737" w:rsidR="00CA5737" w:rsidP="00C34A2B" w:rsidRDefault="00CA5737" w14:paraId="7D8569FD" w14:textId="77777777">
      <w:pPr>
        <w:pStyle w:val="ListParagraph"/>
        <w:numPr>
          <w:ilvl w:val="0"/>
          <w:numId w:val="4"/>
        </w:numPr>
        <w:ind w:left="360" w:right="18"/>
        <w:rPr>
          <w:rFonts w:ascii="Palatino Linotype" w:hAnsi="Palatino Linotype"/>
          <w:sz w:val="24"/>
          <w:szCs w:val="24"/>
        </w:rPr>
      </w:pPr>
      <w:r>
        <w:rPr>
          <w:rFonts w:ascii="Palatino Linotype" w:hAnsi="Palatino Linotype"/>
          <w:sz w:val="24"/>
          <w:szCs w:val="24"/>
        </w:rPr>
        <w:t xml:space="preserve">The </w:t>
      </w:r>
      <w:r w:rsidR="00690558">
        <w:rPr>
          <w:rFonts w:ascii="Palatino Linotype" w:hAnsi="Palatino Linotype"/>
          <w:sz w:val="24"/>
          <w:szCs w:val="24"/>
        </w:rPr>
        <w:t>requested</w:t>
      </w:r>
      <w:r>
        <w:rPr>
          <w:rFonts w:ascii="Palatino Linotype" w:hAnsi="Palatino Linotype"/>
          <w:sz w:val="24"/>
          <w:szCs w:val="24"/>
        </w:rPr>
        <w:t xml:space="preserve"> amendment </w:t>
      </w:r>
      <w:r w:rsidR="00690558">
        <w:rPr>
          <w:rFonts w:ascii="Palatino Linotype" w:hAnsi="Palatino Linotype"/>
          <w:sz w:val="24"/>
          <w:szCs w:val="24"/>
        </w:rPr>
        <w:t>incorporates</w:t>
      </w:r>
      <w:r w:rsidRPr="00CA5737">
        <w:rPr>
          <w:rFonts w:ascii="Palatino Linotype" w:hAnsi="Palatino Linotype"/>
          <w:sz w:val="24"/>
          <w:szCs w:val="24"/>
        </w:rPr>
        <w:t xml:space="preserve"> </w:t>
      </w:r>
      <w:r>
        <w:rPr>
          <w:rFonts w:ascii="Palatino Linotype" w:hAnsi="Palatino Linotype"/>
          <w:sz w:val="24"/>
          <w:szCs w:val="24"/>
        </w:rPr>
        <w:t>Pacific Gas &amp; Electric Company’s</w:t>
      </w:r>
      <w:r w:rsidRPr="00CA5737">
        <w:rPr>
          <w:rFonts w:ascii="Palatino Linotype" w:hAnsi="Palatino Linotype"/>
          <w:sz w:val="24"/>
          <w:szCs w:val="24"/>
        </w:rPr>
        <w:t xml:space="preserve"> </w:t>
      </w:r>
      <w:r w:rsidR="00690558">
        <w:rPr>
          <w:rFonts w:ascii="Palatino Linotype" w:hAnsi="Palatino Linotype"/>
          <w:sz w:val="24"/>
          <w:szCs w:val="24"/>
        </w:rPr>
        <w:t xml:space="preserve">updated </w:t>
      </w:r>
      <w:r w:rsidRPr="00CA5737">
        <w:rPr>
          <w:rFonts w:ascii="Palatino Linotype" w:hAnsi="Palatino Linotype"/>
          <w:sz w:val="24"/>
          <w:szCs w:val="24"/>
        </w:rPr>
        <w:t xml:space="preserve">safety language </w:t>
      </w:r>
      <w:r w:rsidR="002157D0">
        <w:rPr>
          <w:rFonts w:ascii="Palatino Linotype" w:hAnsi="Palatino Linotype"/>
          <w:sz w:val="24"/>
          <w:szCs w:val="24"/>
        </w:rPr>
        <w:t xml:space="preserve">in its </w:t>
      </w:r>
      <w:r w:rsidRPr="00CA5737">
        <w:rPr>
          <w:rFonts w:ascii="Palatino Linotype" w:hAnsi="Palatino Linotype"/>
          <w:sz w:val="24"/>
          <w:szCs w:val="24"/>
        </w:rPr>
        <w:t>pro-forma agreement.</w:t>
      </w:r>
    </w:p>
    <w:p w:rsidRPr="00A8240A" w:rsidR="00A8240A" w:rsidP="00C34A2B" w:rsidRDefault="00C73039" w14:paraId="02400E24" w14:textId="77777777">
      <w:pPr>
        <w:pStyle w:val="ListParagraph"/>
        <w:numPr>
          <w:ilvl w:val="0"/>
          <w:numId w:val="4"/>
        </w:numPr>
        <w:spacing w:after="0" w:line="240" w:lineRule="auto"/>
        <w:ind w:left="360" w:right="18"/>
        <w:rPr>
          <w:rFonts w:ascii="Palatino Linotype" w:hAnsi="Palatino Linotype" w:eastAsia="Times New Roman" w:cs="Times New Roman"/>
          <w:kern w:val="0"/>
          <w:sz w:val="24"/>
          <w:szCs w:val="24"/>
          <w14:ligatures w14:val="none"/>
        </w:rPr>
      </w:pPr>
      <w:r w:rsidRPr="00C73039">
        <w:rPr>
          <w:rFonts w:ascii="Palatino Linotype" w:hAnsi="Palatino Linotype"/>
          <w:sz w:val="24"/>
          <w:szCs w:val="24"/>
        </w:rPr>
        <w:t xml:space="preserve">The project </w:t>
      </w:r>
      <w:r w:rsidR="006B249C">
        <w:rPr>
          <w:rFonts w:ascii="Palatino Linotype" w:hAnsi="Palatino Linotype"/>
          <w:sz w:val="24"/>
          <w:szCs w:val="24"/>
        </w:rPr>
        <w:t>is</w:t>
      </w:r>
      <w:r w:rsidRPr="00C73039">
        <w:rPr>
          <w:rFonts w:ascii="Palatino Linotype" w:hAnsi="Palatino Linotype"/>
          <w:sz w:val="24"/>
          <w:szCs w:val="24"/>
        </w:rPr>
        <w:t xml:space="preserve"> owned, constructed, and operated by a third party. The seller of the project is responsible for the safe construction and operation of their facilities in compliance with standards for electrical practices and all applicable laws, including safety regulations.</w:t>
      </w:r>
    </w:p>
    <w:p w:rsidRPr="002774A6" w:rsidR="002774A6" w:rsidP="00C34A2B" w:rsidRDefault="00C73039" w14:paraId="6E6B3F09" w14:textId="77777777">
      <w:pPr>
        <w:pStyle w:val="ListParagraph"/>
        <w:numPr>
          <w:ilvl w:val="0"/>
          <w:numId w:val="4"/>
        </w:numPr>
        <w:spacing w:after="0" w:line="240" w:lineRule="auto"/>
        <w:ind w:left="360" w:right="18"/>
        <w:rPr>
          <w:rFonts w:ascii="Palatino Linotype" w:hAnsi="Palatino Linotype" w:eastAsia="Times New Roman" w:cs="Times New Roman"/>
          <w:kern w:val="0"/>
          <w:sz w:val="24"/>
          <w:szCs w:val="24"/>
          <w14:ligatures w14:val="none"/>
        </w:rPr>
      </w:pPr>
      <w:r w:rsidRPr="00C73039">
        <w:rPr>
          <w:rFonts w:ascii="Palatino Linotype" w:hAnsi="Palatino Linotype"/>
          <w:sz w:val="24"/>
          <w:szCs w:val="24"/>
        </w:rPr>
        <w:t>Pacific Gas &amp; Electric Company’s contractual terms and conditions require sellers to practice responsible safety management based on 1) standards for Prudent Electrical Practices, 2) all applicable laws and regulations, and 3) requirements of Pacific Gas &amp; Electric Company’s Contractor Safety Program.</w:t>
      </w:r>
    </w:p>
    <w:p w:rsidRPr="00D36D6E" w:rsidR="00B84E68" w:rsidP="00C34A2B" w:rsidRDefault="00C73039" w14:paraId="235E32CF" w14:textId="77777777">
      <w:pPr>
        <w:pStyle w:val="ListParagraph"/>
        <w:numPr>
          <w:ilvl w:val="0"/>
          <w:numId w:val="4"/>
        </w:numPr>
        <w:spacing w:after="0" w:line="240" w:lineRule="auto"/>
        <w:ind w:left="360" w:right="18"/>
        <w:rPr>
          <w:rFonts w:ascii="Palatino Linotype" w:hAnsi="Palatino Linotype" w:eastAsia="Times New Roman" w:cs="Times New Roman"/>
          <w:kern w:val="0"/>
          <w:sz w:val="24"/>
          <w:szCs w:val="24"/>
          <w14:ligatures w14:val="none"/>
        </w:rPr>
      </w:pPr>
      <w:r w:rsidRPr="00C73039">
        <w:rPr>
          <w:rFonts w:ascii="Palatino Linotype" w:hAnsi="Palatino Linotype"/>
          <w:sz w:val="24"/>
          <w:szCs w:val="24"/>
        </w:rPr>
        <w:t>Seller is required to have a project safety plan that demonstrates responsible safety management during all lifecycle phases, referencing applicable safety</w:t>
      </w:r>
      <w:r w:rsidR="00E81252">
        <w:rPr>
          <w:rFonts w:ascii="Palatino Linotype" w:hAnsi="Palatino Linotype"/>
          <w:sz w:val="24"/>
          <w:szCs w:val="24"/>
        </w:rPr>
        <w:t>-</w:t>
      </w:r>
      <w:r w:rsidRPr="00C73039">
        <w:rPr>
          <w:rFonts w:ascii="Palatino Linotype" w:hAnsi="Palatino Linotype"/>
          <w:sz w:val="24"/>
          <w:szCs w:val="24"/>
        </w:rPr>
        <w:t>related codes and standards and its own safety programs and policies, and describing the project design and key safety-related systems, including potential hazards and risk mitigations/safeguards. The seller is required to demonstrate and enforce its contractors’ and subcontractors’ compliance with the safety requirements, including CPUC General Order (GO) 167.</w:t>
      </w:r>
    </w:p>
    <w:p w:rsidRPr="00A1008E" w:rsidR="00D36D6E" w:rsidP="00C34A2B" w:rsidRDefault="00D36D6E" w14:paraId="6FD00763" w14:textId="77777777">
      <w:pPr>
        <w:pStyle w:val="ListParagraph"/>
        <w:spacing w:after="0" w:line="240" w:lineRule="auto"/>
        <w:ind w:left="360" w:right="18"/>
        <w:rPr>
          <w:rFonts w:ascii="Palatino Linotype" w:hAnsi="Palatino Linotype" w:eastAsia="Times New Roman" w:cs="Times New Roman"/>
          <w:kern w:val="0"/>
          <w:sz w:val="16"/>
          <w:szCs w:val="16"/>
          <w14:ligatures w14:val="none"/>
        </w:rPr>
      </w:pPr>
    </w:p>
    <w:p w:rsidRPr="00173D58" w:rsidR="00B84E68" w:rsidP="00C34A2B" w:rsidRDefault="00B84E68" w14:paraId="1AB85927" w14:textId="77777777">
      <w:pPr>
        <w:spacing w:after="0" w:line="240" w:lineRule="auto"/>
        <w:ind w:right="18"/>
        <w:rPr>
          <w:rFonts w:ascii="Palatino Linotype" w:hAnsi="Palatino Linotype" w:eastAsia="Times New Roman" w:cs="Times New Roman"/>
          <w:kern w:val="0"/>
          <w:sz w:val="24"/>
          <w:szCs w:val="24"/>
          <w14:ligatures w14:val="none"/>
        </w:rPr>
      </w:pPr>
      <w:r w:rsidRPr="00173D58">
        <w:rPr>
          <w:rFonts w:ascii="Palatino Linotype" w:hAnsi="Palatino Linotype" w:eastAsia="Times New Roman" w:cs="Times New Roman"/>
          <w:kern w:val="0"/>
          <w:sz w:val="24"/>
          <w:szCs w:val="24"/>
          <w14:ligatures w14:val="none"/>
        </w:rPr>
        <w:t xml:space="preserve">ESTIMATED COST:  </w:t>
      </w:r>
    </w:p>
    <w:p w:rsidRPr="00173D58" w:rsidR="00B84E68" w:rsidP="00C34A2B" w:rsidRDefault="00B84E68" w14:paraId="2D40EE22" w14:textId="77777777">
      <w:pPr>
        <w:numPr>
          <w:ilvl w:val="0"/>
          <w:numId w:val="3"/>
        </w:numPr>
        <w:spacing w:after="0" w:line="240" w:lineRule="auto"/>
        <w:ind w:left="360" w:right="18"/>
        <w:rPr>
          <w:rFonts w:ascii="Palatino Linotype" w:hAnsi="Palatino Linotype" w:eastAsia="Times New Roman" w:cs="Times New Roman"/>
          <w:kern w:val="0"/>
          <w:sz w:val="24"/>
          <w:szCs w:val="24"/>
          <w14:ligatures w14:val="none"/>
        </w:rPr>
      </w:pPr>
      <w:r w:rsidRPr="00173D58">
        <w:rPr>
          <w:rFonts w:ascii="Palatino Linotype" w:hAnsi="Palatino Linotype" w:eastAsia="Times New Roman" w:cs="Times New Roman"/>
          <w:kern w:val="0"/>
          <w:sz w:val="24"/>
          <w:szCs w:val="24"/>
          <w14:ligatures w14:val="none"/>
        </w:rPr>
        <w:t xml:space="preserve">Contract costs are </w:t>
      </w:r>
      <w:r w:rsidR="005B5CE3">
        <w:rPr>
          <w:rFonts w:ascii="Palatino Linotype" w:hAnsi="Palatino Linotype" w:eastAsia="Times New Roman" w:cs="Times New Roman"/>
          <w:kern w:val="0"/>
          <w:sz w:val="24"/>
          <w:szCs w:val="24"/>
          <w14:ligatures w14:val="none"/>
        </w:rPr>
        <w:t>currently confidential</w:t>
      </w:r>
      <w:r w:rsidRPr="00173D58">
        <w:rPr>
          <w:rFonts w:ascii="Palatino Linotype" w:hAnsi="Palatino Linotype" w:eastAsia="Times New Roman" w:cs="Times New Roman"/>
          <w:kern w:val="0"/>
          <w:sz w:val="24"/>
          <w:szCs w:val="24"/>
          <w14:ligatures w14:val="none"/>
        </w:rPr>
        <w:t xml:space="preserve">. </w:t>
      </w:r>
    </w:p>
    <w:p w:rsidRPr="00A1008E" w:rsidR="00B84E68" w:rsidP="00C34A2B" w:rsidRDefault="00B84E68" w14:paraId="2EFC5456" w14:textId="77777777">
      <w:pPr>
        <w:spacing w:after="0" w:line="240" w:lineRule="auto"/>
        <w:ind w:left="720" w:right="18"/>
        <w:rPr>
          <w:rFonts w:ascii="Palatino Linotype" w:hAnsi="Palatino Linotype" w:eastAsia="Times New Roman" w:cs="Times New Roman"/>
          <w:kern w:val="0"/>
          <w:sz w:val="16"/>
          <w:szCs w:val="16"/>
          <w14:ligatures w14:val="none"/>
        </w:rPr>
      </w:pPr>
    </w:p>
    <w:p w:rsidRPr="00173D58" w:rsidR="00B84E68" w:rsidP="00C34A2B" w:rsidRDefault="00B84E68" w14:paraId="213C33BF" w14:textId="77777777">
      <w:pPr>
        <w:spacing w:after="0" w:line="240" w:lineRule="auto"/>
        <w:ind w:right="18"/>
        <w:rPr>
          <w:rFonts w:ascii="Palatino Linotype" w:hAnsi="Palatino Linotype" w:eastAsia="Times New Roman" w:cs="Times New Roman"/>
          <w:kern w:val="0"/>
          <w:sz w:val="24"/>
          <w:szCs w:val="24"/>
          <w14:ligatures w14:val="none"/>
        </w:rPr>
      </w:pPr>
      <w:r w:rsidRPr="00173D58">
        <w:rPr>
          <w:rFonts w:ascii="Palatino Linotype" w:hAnsi="Palatino Linotype" w:eastAsia="Times New Roman" w:cs="Times New Roman"/>
          <w:kern w:val="0"/>
          <w:sz w:val="24"/>
          <w:szCs w:val="24"/>
          <w14:ligatures w14:val="none"/>
        </w:rPr>
        <w:t xml:space="preserve">By Advice Letter </w:t>
      </w:r>
      <w:r w:rsidRPr="00173D58" w:rsidR="4ADDF40F">
        <w:rPr>
          <w:rFonts w:ascii="Palatino Linotype" w:hAnsi="Palatino Linotype" w:eastAsia="Times New Roman" w:cs="Times New Roman"/>
          <w:kern w:val="0"/>
          <w:sz w:val="24"/>
          <w:szCs w:val="24"/>
          <w14:ligatures w14:val="none"/>
        </w:rPr>
        <w:t xml:space="preserve">(AL) </w:t>
      </w:r>
      <w:r w:rsidR="002245B3">
        <w:rPr>
          <w:rFonts w:ascii="Palatino Linotype" w:hAnsi="Palatino Linotype" w:eastAsia="Times New Roman" w:cs="Times New Roman"/>
          <w:kern w:val="0"/>
          <w:sz w:val="24"/>
          <w:szCs w:val="24"/>
          <w14:ligatures w14:val="none"/>
        </w:rPr>
        <w:t>7699</w:t>
      </w:r>
      <w:r w:rsidRPr="00173D58">
        <w:rPr>
          <w:rFonts w:ascii="Palatino Linotype" w:hAnsi="Palatino Linotype" w:eastAsia="Times New Roman" w:cs="Times New Roman"/>
          <w:kern w:val="0"/>
          <w:sz w:val="24"/>
          <w:szCs w:val="24"/>
          <w14:ligatures w14:val="none"/>
        </w:rPr>
        <w:t xml:space="preserve">-E, Filed on </w:t>
      </w:r>
      <w:r w:rsidR="002245B3">
        <w:rPr>
          <w:rFonts w:ascii="Palatino Linotype" w:hAnsi="Palatino Linotype" w:eastAsia="Times New Roman" w:cs="Times New Roman"/>
          <w:kern w:val="0"/>
          <w:sz w:val="24"/>
          <w:szCs w:val="24"/>
          <w14:ligatures w14:val="none"/>
        </w:rPr>
        <w:t>September 5</w:t>
      </w:r>
      <w:r w:rsidR="00222970">
        <w:rPr>
          <w:rFonts w:ascii="Palatino Linotype" w:hAnsi="Palatino Linotype" w:eastAsia="Times New Roman" w:cs="Times New Roman"/>
          <w:kern w:val="0"/>
          <w:sz w:val="24"/>
          <w:szCs w:val="24"/>
          <w14:ligatures w14:val="none"/>
        </w:rPr>
        <w:t>, 2025</w:t>
      </w:r>
      <w:r w:rsidRPr="00173D58">
        <w:rPr>
          <w:rFonts w:ascii="Palatino Linotype" w:hAnsi="Palatino Linotype" w:eastAsia="Times New Roman" w:cs="Times New Roman"/>
          <w:kern w:val="0"/>
          <w:sz w:val="24"/>
          <w:szCs w:val="24"/>
          <w14:ligatures w14:val="none"/>
        </w:rPr>
        <w:t xml:space="preserve">. </w:t>
      </w:r>
    </w:p>
    <w:p w:rsidRPr="00A1008E" w:rsidR="00B84E68" w:rsidP="00A1008E" w:rsidRDefault="00B84E68" w14:paraId="1D99EB53" w14:textId="77777777">
      <w:pPr>
        <w:spacing w:after="0" w:line="240" w:lineRule="auto"/>
        <w:jc w:val="center"/>
        <w:rPr>
          <w:rFonts w:ascii="Palatino Linotype" w:hAnsi="Palatino Linotype" w:eastAsia="Times New Roman" w:cs="Times New Roman"/>
          <w:kern w:val="0"/>
          <w:sz w:val="24"/>
          <w:szCs w:val="24"/>
          <w14:ligatures w14:val="none"/>
        </w:rPr>
      </w:pPr>
      <w:r w:rsidRPr="00173D58">
        <w:rPr>
          <w:rFonts w:ascii="Palatino Linotype" w:hAnsi="Palatino Linotype" w:eastAsia="Times New Roman" w:cs="Times New Roman"/>
          <w:kern w:val="0"/>
          <w:sz w:val="24"/>
          <w:szCs w:val="24"/>
          <w14:ligatures w14:val="none"/>
        </w:rPr>
        <w:t>__________________________________________________________</w:t>
      </w:r>
    </w:p>
    <w:p w:rsidRPr="00173D58" w:rsidR="00B84E68" w:rsidP="00E62DE0" w:rsidRDefault="00B84E68" w14:paraId="34E586D3" w14:textId="77777777">
      <w:pPr>
        <w:keepNext/>
        <w:spacing w:after="240" w:line="240" w:lineRule="auto"/>
        <w:outlineLvl w:val="0"/>
        <w:rPr>
          <w:rFonts w:ascii="Palatino Linotype" w:hAnsi="Palatino Linotype" w:eastAsia="Times New Roman" w:cs="Times New Roman"/>
          <w:kern w:val="0"/>
          <w:sz w:val="24"/>
          <w:szCs w:val="24"/>
          <w14:ligatures w14:val="none"/>
        </w:rPr>
      </w:pPr>
      <w:r w:rsidRPr="00173D58">
        <w:rPr>
          <w:rFonts w:ascii="Palatino Linotype" w:hAnsi="Palatino Linotype" w:eastAsia="Times New Roman" w:cs="Times New Roman"/>
          <w:b/>
          <w:caps/>
          <w:kern w:val="28"/>
          <w:sz w:val="24"/>
          <w:szCs w:val="24"/>
          <w:u w:val="single"/>
          <w14:ligatures w14:val="none"/>
        </w:rPr>
        <w:lastRenderedPageBreak/>
        <w:t>Summary</w:t>
      </w:r>
      <w:bookmarkEnd w:id="0"/>
    </w:p>
    <w:p w:rsidR="006707C1" w:rsidP="00AB630C" w:rsidRDefault="000752A4" w14:paraId="647224EA" w14:textId="77777777">
      <w:pPr>
        <w:autoSpaceDE w:val="0"/>
        <w:autoSpaceDN w:val="0"/>
        <w:adjustRightInd w:val="0"/>
        <w:spacing w:after="0" w:line="240" w:lineRule="auto"/>
        <w:rPr>
          <w:rFonts w:ascii="Palatino Linotype" w:hAnsi="Palatino Linotype"/>
          <w:sz w:val="24"/>
          <w:szCs w:val="24"/>
        </w:rPr>
      </w:pPr>
      <w:r w:rsidRPr="00AB630C">
        <w:rPr>
          <w:rFonts w:ascii="Palatino Linotype" w:hAnsi="Palatino Linotype"/>
          <w:sz w:val="24"/>
          <w:szCs w:val="24"/>
        </w:rPr>
        <w:t xml:space="preserve">This Resolution approves </w:t>
      </w:r>
      <w:r w:rsidR="006707C1">
        <w:rPr>
          <w:rFonts w:ascii="Palatino Linotype" w:hAnsi="Palatino Linotype"/>
          <w:sz w:val="24"/>
          <w:szCs w:val="24"/>
        </w:rPr>
        <w:t xml:space="preserve">an amendment to the contract between Pacific Gas and Electric Company (“PG&amp;E”) and Nighthawk Energy Storage, LLC (“Nighthawk”), a subsidiary of </w:t>
      </w:r>
      <w:r w:rsidR="00A52B6E">
        <w:rPr>
          <w:rFonts w:ascii="Palatino Linotype" w:hAnsi="Palatino Linotype"/>
          <w:sz w:val="24"/>
          <w:szCs w:val="24"/>
        </w:rPr>
        <w:t xml:space="preserve">its project developer, </w:t>
      </w:r>
      <w:proofErr w:type="spellStart"/>
      <w:r w:rsidR="005C3013">
        <w:rPr>
          <w:rFonts w:ascii="Palatino Linotype" w:hAnsi="Palatino Linotype"/>
          <w:sz w:val="24"/>
          <w:szCs w:val="24"/>
        </w:rPr>
        <w:t>Arevon</w:t>
      </w:r>
      <w:proofErr w:type="spellEnd"/>
      <w:r w:rsidR="000E5AC2">
        <w:rPr>
          <w:rFonts w:ascii="Palatino Linotype" w:hAnsi="Palatino Linotype"/>
          <w:sz w:val="24"/>
          <w:szCs w:val="24"/>
        </w:rPr>
        <w:t xml:space="preserve"> Energy Inc.</w:t>
      </w:r>
      <w:r w:rsidR="006707C1">
        <w:rPr>
          <w:rFonts w:ascii="Palatino Linotype" w:hAnsi="Palatino Linotype"/>
          <w:sz w:val="24"/>
          <w:szCs w:val="24"/>
        </w:rPr>
        <w:t xml:space="preserve">, for 300 megawatts (“MW”) of lithium-ion battery storage. Whereas the delivery date for the previously approved contract was </w:t>
      </w:r>
      <w:r w:rsidR="00FA48B7">
        <w:rPr>
          <w:rFonts w:ascii="Palatino Linotype" w:hAnsi="Palatino Linotype"/>
          <w:sz w:val="24"/>
          <w:szCs w:val="24"/>
        </w:rPr>
        <w:br/>
      </w:r>
      <w:r w:rsidR="006707C1">
        <w:rPr>
          <w:rFonts w:ascii="Palatino Linotype" w:hAnsi="Palatino Linotype"/>
          <w:sz w:val="24"/>
          <w:szCs w:val="24"/>
        </w:rPr>
        <w:t>June 1, 2025, the delivery date in the amended contract is June 1, 2026. In addition, this Resolution approves the amended contract price.</w:t>
      </w:r>
    </w:p>
    <w:p w:rsidRPr="006321A4" w:rsidR="00651FD7" w:rsidP="00AB630C" w:rsidRDefault="00651FD7" w14:paraId="09FF242A" w14:textId="77777777">
      <w:pPr>
        <w:autoSpaceDE w:val="0"/>
        <w:autoSpaceDN w:val="0"/>
        <w:adjustRightInd w:val="0"/>
        <w:spacing w:after="0" w:line="240" w:lineRule="auto"/>
        <w:rPr>
          <w:rFonts w:ascii="Palatino Linotype" w:hAnsi="Palatino Linotype"/>
          <w:sz w:val="24"/>
          <w:szCs w:val="24"/>
        </w:rPr>
      </w:pPr>
    </w:p>
    <w:p w:rsidR="00A1008E" w:rsidP="00E62DE0" w:rsidRDefault="00B84E68" w14:paraId="1C1B1C1A" w14:textId="77777777">
      <w:pPr>
        <w:spacing w:after="240" w:line="240" w:lineRule="auto"/>
        <w:rPr>
          <w:rFonts w:ascii="Palatino Linotype" w:hAnsi="Palatino Linotype" w:eastAsia="Times New Roman" w:cs="Times New Roman"/>
          <w:b/>
          <w:caps/>
          <w:kern w:val="28"/>
          <w:sz w:val="24"/>
          <w:szCs w:val="24"/>
          <w:u w:val="single"/>
          <w14:ligatures w14:val="none"/>
        </w:rPr>
      </w:pPr>
      <w:r w:rsidRPr="00173D58">
        <w:rPr>
          <w:rFonts w:ascii="Palatino Linotype" w:hAnsi="Palatino Linotype" w:eastAsia="Times New Roman" w:cs="Times New Roman"/>
          <w:b/>
          <w:caps/>
          <w:kern w:val="28"/>
          <w:sz w:val="24"/>
          <w:szCs w:val="24"/>
          <w:u w:val="single"/>
          <w14:ligatures w14:val="none"/>
        </w:rPr>
        <w:t>Background</w:t>
      </w:r>
    </w:p>
    <w:p w:rsidR="00D76F63" w:rsidP="00C11109" w:rsidRDefault="00D76F63" w14:paraId="5711D7CD" w14:textId="77777777">
      <w:pPr>
        <w:pStyle w:val="pf0"/>
        <w:spacing w:before="0" w:beforeAutospacing="0" w:after="0" w:afterAutospacing="0"/>
        <w:rPr>
          <w:rStyle w:val="cf01"/>
          <w:rFonts w:ascii="Palatino Linotype" w:hAnsi="Palatino Linotype" w:eastAsiaTheme="majorEastAsia"/>
          <w:sz w:val="24"/>
          <w:szCs w:val="24"/>
        </w:rPr>
      </w:pPr>
      <w:r w:rsidRPr="00D76F63">
        <w:rPr>
          <w:rStyle w:val="cf01"/>
          <w:rFonts w:ascii="Palatino Linotype" w:hAnsi="Palatino Linotype" w:eastAsiaTheme="majorEastAsia"/>
          <w:sz w:val="24"/>
          <w:szCs w:val="24"/>
        </w:rPr>
        <w:t>On June 30, 2021, the Commission issued Decision (</w:t>
      </w:r>
      <w:r w:rsidR="00671668">
        <w:rPr>
          <w:rStyle w:val="cf01"/>
          <w:rFonts w:ascii="Palatino Linotype" w:hAnsi="Palatino Linotype" w:eastAsiaTheme="majorEastAsia"/>
          <w:sz w:val="24"/>
          <w:szCs w:val="24"/>
        </w:rPr>
        <w:t>“</w:t>
      </w:r>
      <w:r w:rsidRPr="00D76F63">
        <w:rPr>
          <w:rStyle w:val="cf01"/>
          <w:rFonts w:ascii="Palatino Linotype" w:hAnsi="Palatino Linotype" w:eastAsiaTheme="majorEastAsia"/>
          <w:sz w:val="24"/>
          <w:szCs w:val="24"/>
        </w:rPr>
        <w:t>D.</w:t>
      </w:r>
      <w:r w:rsidR="00671668">
        <w:rPr>
          <w:rStyle w:val="cf01"/>
          <w:rFonts w:ascii="Palatino Linotype" w:hAnsi="Palatino Linotype" w:eastAsiaTheme="majorEastAsia"/>
          <w:sz w:val="24"/>
          <w:szCs w:val="24"/>
        </w:rPr>
        <w:t>”</w:t>
      </w:r>
      <w:r w:rsidRPr="00D76F63">
        <w:rPr>
          <w:rStyle w:val="cf01"/>
          <w:rFonts w:ascii="Palatino Linotype" w:hAnsi="Palatino Linotype" w:eastAsiaTheme="majorEastAsia"/>
          <w:sz w:val="24"/>
          <w:szCs w:val="24"/>
        </w:rPr>
        <w:t xml:space="preserve">) 21-06-035 (known as the </w:t>
      </w:r>
      <w:r w:rsidR="00FA48B7">
        <w:rPr>
          <w:rStyle w:val="cf01"/>
          <w:rFonts w:ascii="Palatino Linotype" w:hAnsi="Palatino Linotype" w:eastAsiaTheme="majorEastAsia"/>
          <w:sz w:val="24"/>
          <w:szCs w:val="24"/>
        </w:rPr>
        <w:br/>
      </w:r>
      <w:r w:rsidR="00671668">
        <w:rPr>
          <w:rStyle w:val="cf01"/>
          <w:rFonts w:ascii="Palatino Linotype" w:hAnsi="Palatino Linotype" w:eastAsiaTheme="majorEastAsia"/>
          <w:sz w:val="24"/>
          <w:szCs w:val="24"/>
        </w:rPr>
        <w:t>“</w:t>
      </w:r>
      <w:r w:rsidRPr="00D76F63">
        <w:rPr>
          <w:rStyle w:val="cf01"/>
          <w:rFonts w:ascii="Palatino Linotype" w:hAnsi="Palatino Linotype" w:eastAsiaTheme="majorEastAsia"/>
          <w:sz w:val="24"/>
          <w:szCs w:val="24"/>
        </w:rPr>
        <w:t>Mid-term Reliability Decision</w:t>
      </w:r>
      <w:r w:rsidR="00671668">
        <w:rPr>
          <w:rStyle w:val="cf01"/>
          <w:rFonts w:ascii="Palatino Linotype" w:hAnsi="Palatino Linotype" w:eastAsiaTheme="majorEastAsia"/>
          <w:sz w:val="24"/>
          <w:szCs w:val="24"/>
        </w:rPr>
        <w:t>”</w:t>
      </w:r>
      <w:r w:rsidRPr="00D76F63">
        <w:rPr>
          <w:rStyle w:val="cf01"/>
          <w:rFonts w:ascii="Palatino Linotype" w:hAnsi="Palatino Linotype" w:eastAsiaTheme="majorEastAsia"/>
          <w:sz w:val="24"/>
          <w:szCs w:val="24"/>
        </w:rPr>
        <w:t xml:space="preserve"> or </w:t>
      </w:r>
      <w:r w:rsidR="00671668">
        <w:rPr>
          <w:rStyle w:val="cf01"/>
          <w:rFonts w:ascii="Palatino Linotype" w:hAnsi="Palatino Linotype" w:eastAsiaTheme="majorEastAsia"/>
          <w:sz w:val="24"/>
          <w:szCs w:val="24"/>
        </w:rPr>
        <w:t>“</w:t>
      </w:r>
      <w:r w:rsidRPr="00D76F63">
        <w:rPr>
          <w:rStyle w:val="cf01"/>
          <w:rFonts w:ascii="Palatino Linotype" w:hAnsi="Palatino Linotype" w:eastAsiaTheme="majorEastAsia"/>
          <w:sz w:val="24"/>
          <w:szCs w:val="24"/>
        </w:rPr>
        <w:t>MTR Decision</w:t>
      </w:r>
      <w:r w:rsidR="00671668">
        <w:rPr>
          <w:rStyle w:val="cf01"/>
          <w:rFonts w:ascii="Palatino Linotype" w:hAnsi="Palatino Linotype" w:eastAsiaTheme="majorEastAsia"/>
          <w:sz w:val="24"/>
          <w:szCs w:val="24"/>
        </w:rPr>
        <w:t>”</w:t>
      </w:r>
      <w:r w:rsidRPr="00D76F63">
        <w:rPr>
          <w:rStyle w:val="cf01"/>
          <w:rFonts w:ascii="Palatino Linotype" w:hAnsi="Palatino Linotype" w:eastAsiaTheme="majorEastAsia"/>
          <w:sz w:val="24"/>
          <w:szCs w:val="24"/>
        </w:rPr>
        <w:t>) to address the mid-term reliability needs of the electricity system within the California Independent System Operator’s (</w:t>
      </w:r>
      <w:r w:rsidR="00671668">
        <w:rPr>
          <w:rStyle w:val="cf01"/>
          <w:rFonts w:ascii="Palatino Linotype" w:hAnsi="Palatino Linotype" w:eastAsiaTheme="majorEastAsia"/>
          <w:sz w:val="24"/>
          <w:szCs w:val="24"/>
        </w:rPr>
        <w:t>“</w:t>
      </w:r>
      <w:r w:rsidRPr="00D76F63">
        <w:rPr>
          <w:rStyle w:val="cf01"/>
          <w:rFonts w:ascii="Palatino Linotype" w:hAnsi="Palatino Linotype" w:eastAsiaTheme="majorEastAsia"/>
          <w:sz w:val="24"/>
          <w:szCs w:val="24"/>
        </w:rPr>
        <w:t>CAISO</w:t>
      </w:r>
      <w:r w:rsidR="00671668">
        <w:rPr>
          <w:rStyle w:val="cf01"/>
          <w:rFonts w:ascii="Palatino Linotype" w:hAnsi="Palatino Linotype" w:eastAsiaTheme="majorEastAsia"/>
          <w:sz w:val="24"/>
          <w:szCs w:val="24"/>
        </w:rPr>
        <w:t>”</w:t>
      </w:r>
      <w:r w:rsidRPr="00D76F63">
        <w:rPr>
          <w:rStyle w:val="cf01"/>
          <w:rFonts w:ascii="Palatino Linotype" w:hAnsi="Palatino Linotype" w:eastAsiaTheme="majorEastAsia"/>
          <w:sz w:val="24"/>
          <w:szCs w:val="24"/>
        </w:rPr>
        <w:t xml:space="preserve">) operating system by requiring at least 11,500 MW of additional </w:t>
      </w:r>
      <w:r w:rsidR="00ED5D78">
        <w:rPr>
          <w:rStyle w:val="cf01"/>
          <w:rFonts w:ascii="Palatino Linotype" w:hAnsi="Palatino Linotype" w:eastAsiaTheme="majorEastAsia"/>
          <w:sz w:val="24"/>
          <w:szCs w:val="24"/>
        </w:rPr>
        <w:t xml:space="preserve">September </w:t>
      </w:r>
      <w:r w:rsidRPr="00D76F63">
        <w:rPr>
          <w:rStyle w:val="cf01"/>
          <w:rFonts w:ascii="Palatino Linotype" w:hAnsi="Palatino Linotype" w:eastAsiaTheme="majorEastAsia"/>
          <w:sz w:val="24"/>
          <w:szCs w:val="24"/>
        </w:rPr>
        <w:t>net qualifying capacity (</w:t>
      </w:r>
      <w:r w:rsidR="00671668">
        <w:rPr>
          <w:rStyle w:val="cf01"/>
          <w:rFonts w:ascii="Palatino Linotype" w:hAnsi="Palatino Linotype" w:eastAsiaTheme="majorEastAsia"/>
          <w:sz w:val="24"/>
          <w:szCs w:val="24"/>
        </w:rPr>
        <w:t>“</w:t>
      </w:r>
      <w:r w:rsidRPr="00D76F63">
        <w:rPr>
          <w:rStyle w:val="cf01"/>
          <w:rFonts w:ascii="Palatino Linotype" w:hAnsi="Palatino Linotype" w:eastAsiaTheme="majorEastAsia"/>
          <w:sz w:val="24"/>
          <w:szCs w:val="24"/>
        </w:rPr>
        <w:t>NQC</w:t>
      </w:r>
      <w:r w:rsidR="00671668">
        <w:rPr>
          <w:rStyle w:val="cf01"/>
          <w:rFonts w:ascii="Palatino Linotype" w:hAnsi="Palatino Linotype" w:eastAsiaTheme="majorEastAsia"/>
          <w:sz w:val="24"/>
          <w:szCs w:val="24"/>
        </w:rPr>
        <w:t>”</w:t>
      </w:r>
      <w:r w:rsidRPr="00D76F63">
        <w:rPr>
          <w:rStyle w:val="cf01"/>
          <w:rFonts w:ascii="Palatino Linotype" w:hAnsi="Palatino Linotype" w:eastAsiaTheme="majorEastAsia"/>
          <w:sz w:val="24"/>
          <w:szCs w:val="24"/>
        </w:rPr>
        <w:t xml:space="preserve">) to be procured </w:t>
      </w:r>
      <w:r w:rsidR="00ED642A">
        <w:rPr>
          <w:rStyle w:val="cf01"/>
          <w:rFonts w:ascii="Palatino Linotype" w:hAnsi="Palatino Linotype" w:eastAsiaTheme="majorEastAsia"/>
          <w:sz w:val="24"/>
          <w:szCs w:val="24"/>
        </w:rPr>
        <w:t xml:space="preserve">over the course of four years </w:t>
      </w:r>
      <w:r w:rsidRPr="00D76F63">
        <w:rPr>
          <w:rStyle w:val="cf01"/>
          <w:rFonts w:ascii="Palatino Linotype" w:hAnsi="Palatino Linotype" w:eastAsiaTheme="majorEastAsia"/>
          <w:sz w:val="24"/>
          <w:szCs w:val="24"/>
        </w:rPr>
        <w:t>by all load-serving entities (</w:t>
      </w:r>
      <w:r w:rsidR="00671668">
        <w:rPr>
          <w:rStyle w:val="cf01"/>
          <w:rFonts w:ascii="Palatino Linotype" w:hAnsi="Palatino Linotype" w:eastAsiaTheme="majorEastAsia"/>
          <w:sz w:val="24"/>
          <w:szCs w:val="24"/>
        </w:rPr>
        <w:t>“</w:t>
      </w:r>
      <w:r w:rsidRPr="00D76F63">
        <w:rPr>
          <w:rStyle w:val="cf01"/>
          <w:rFonts w:ascii="Palatino Linotype" w:hAnsi="Palatino Linotype" w:eastAsiaTheme="majorEastAsia"/>
          <w:sz w:val="24"/>
          <w:szCs w:val="24"/>
        </w:rPr>
        <w:t>LSEs</w:t>
      </w:r>
      <w:r w:rsidR="00671668">
        <w:rPr>
          <w:rStyle w:val="cf01"/>
          <w:rFonts w:ascii="Palatino Linotype" w:hAnsi="Palatino Linotype" w:eastAsiaTheme="majorEastAsia"/>
          <w:sz w:val="24"/>
          <w:szCs w:val="24"/>
        </w:rPr>
        <w:t>”</w:t>
      </w:r>
      <w:r w:rsidRPr="00D76F63">
        <w:rPr>
          <w:rStyle w:val="cf01"/>
          <w:rFonts w:ascii="Palatino Linotype" w:hAnsi="Palatino Linotype" w:eastAsiaTheme="majorEastAsia"/>
          <w:sz w:val="24"/>
          <w:szCs w:val="24"/>
        </w:rPr>
        <w:t>) subject to the Commission’s integrated resource planning (</w:t>
      </w:r>
      <w:r w:rsidR="00671668">
        <w:rPr>
          <w:rStyle w:val="cf01"/>
          <w:rFonts w:ascii="Palatino Linotype" w:hAnsi="Palatino Linotype" w:eastAsiaTheme="majorEastAsia"/>
          <w:sz w:val="24"/>
          <w:szCs w:val="24"/>
        </w:rPr>
        <w:t>“</w:t>
      </w:r>
      <w:r w:rsidRPr="00D76F63">
        <w:rPr>
          <w:rStyle w:val="cf01"/>
          <w:rFonts w:ascii="Palatino Linotype" w:hAnsi="Palatino Linotype" w:eastAsiaTheme="majorEastAsia"/>
          <w:sz w:val="24"/>
          <w:szCs w:val="24"/>
        </w:rPr>
        <w:t>IRP</w:t>
      </w:r>
      <w:r w:rsidR="00671668">
        <w:rPr>
          <w:rStyle w:val="cf01"/>
          <w:rFonts w:ascii="Palatino Linotype" w:hAnsi="Palatino Linotype" w:eastAsiaTheme="majorEastAsia"/>
          <w:sz w:val="24"/>
          <w:szCs w:val="24"/>
        </w:rPr>
        <w:t>”</w:t>
      </w:r>
      <w:r w:rsidRPr="00D76F63">
        <w:rPr>
          <w:rStyle w:val="cf01"/>
          <w:rFonts w:ascii="Palatino Linotype" w:hAnsi="Palatino Linotype" w:eastAsiaTheme="majorEastAsia"/>
          <w:sz w:val="24"/>
          <w:szCs w:val="24"/>
        </w:rPr>
        <w:t>) authority. The LSE capacity requirements were specified by year, beginning with 2,00</w:t>
      </w:r>
      <w:r w:rsidR="00C87C02">
        <w:rPr>
          <w:rStyle w:val="cf01"/>
          <w:rFonts w:ascii="Palatino Linotype" w:hAnsi="Palatino Linotype" w:eastAsiaTheme="majorEastAsia"/>
          <w:sz w:val="24"/>
          <w:szCs w:val="24"/>
        </w:rPr>
        <w:t>0</w:t>
      </w:r>
      <w:r w:rsidRPr="00D76F63">
        <w:rPr>
          <w:rStyle w:val="cf01"/>
          <w:rFonts w:ascii="Palatino Linotype" w:hAnsi="Palatino Linotype" w:eastAsiaTheme="majorEastAsia"/>
          <w:sz w:val="24"/>
          <w:szCs w:val="24"/>
        </w:rPr>
        <w:t xml:space="preserve"> MW by </w:t>
      </w:r>
      <w:r w:rsidR="004B78A5">
        <w:rPr>
          <w:rStyle w:val="cf01"/>
          <w:rFonts w:ascii="Palatino Linotype" w:hAnsi="Palatino Linotype" w:eastAsiaTheme="majorEastAsia"/>
          <w:sz w:val="24"/>
          <w:szCs w:val="24"/>
        </w:rPr>
        <w:t xml:space="preserve">August 1, </w:t>
      </w:r>
      <w:r w:rsidRPr="00D76F63">
        <w:rPr>
          <w:rStyle w:val="cf01"/>
          <w:rFonts w:ascii="Palatino Linotype" w:hAnsi="Palatino Linotype" w:eastAsiaTheme="majorEastAsia"/>
          <w:sz w:val="24"/>
          <w:szCs w:val="24"/>
        </w:rPr>
        <w:t xml:space="preserve">2023, an additional 6,000 MW by </w:t>
      </w:r>
      <w:r w:rsidR="00AC73A1">
        <w:rPr>
          <w:rStyle w:val="cf01"/>
          <w:rFonts w:ascii="Palatino Linotype" w:hAnsi="Palatino Linotype" w:eastAsiaTheme="majorEastAsia"/>
          <w:sz w:val="24"/>
          <w:szCs w:val="24"/>
        </w:rPr>
        <w:t xml:space="preserve">June 1, </w:t>
      </w:r>
      <w:r w:rsidRPr="00D76F63">
        <w:rPr>
          <w:rStyle w:val="cf01"/>
          <w:rFonts w:ascii="Palatino Linotype" w:hAnsi="Palatino Linotype" w:eastAsiaTheme="majorEastAsia"/>
          <w:sz w:val="24"/>
          <w:szCs w:val="24"/>
        </w:rPr>
        <w:t>2024, an additional 1,500 by</w:t>
      </w:r>
      <w:r w:rsidR="00AC73A1">
        <w:rPr>
          <w:rStyle w:val="cf01"/>
          <w:rFonts w:ascii="Palatino Linotype" w:hAnsi="Palatino Linotype" w:eastAsiaTheme="majorEastAsia"/>
          <w:sz w:val="24"/>
          <w:szCs w:val="24"/>
        </w:rPr>
        <w:t xml:space="preserve"> June 1,</w:t>
      </w:r>
      <w:r w:rsidRPr="00D76F63">
        <w:rPr>
          <w:rStyle w:val="cf01"/>
          <w:rFonts w:ascii="Palatino Linotype" w:hAnsi="Palatino Linotype" w:eastAsiaTheme="majorEastAsia"/>
          <w:sz w:val="24"/>
          <w:szCs w:val="24"/>
        </w:rPr>
        <w:t xml:space="preserve"> 2025, and an additional 2,000 MW by </w:t>
      </w:r>
      <w:r w:rsidR="00AC73A1">
        <w:rPr>
          <w:rStyle w:val="cf01"/>
          <w:rFonts w:ascii="Palatino Linotype" w:hAnsi="Palatino Linotype" w:eastAsiaTheme="majorEastAsia"/>
          <w:sz w:val="24"/>
          <w:szCs w:val="24"/>
        </w:rPr>
        <w:t xml:space="preserve">June 1, </w:t>
      </w:r>
      <w:r w:rsidRPr="00D76F63">
        <w:rPr>
          <w:rStyle w:val="cf01"/>
          <w:rFonts w:ascii="Palatino Linotype" w:hAnsi="Palatino Linotype" w:eastAsiaTheme="majorEastAsia"/>
          <w:sz w:val="24"/>
          <w:szCs w:val="24"/>
        </w:rPr>
        <w:t xml:space="preserve">2026. </w:t>
      </w:r>
      <w:r w:rsidR="00567FCB">
        <w:rPr>
          <w:rStyle w:val="cf01"/>
          <w:rFonts w:ascii="Palatino Linotype" w:hAnsi="Palatino Linotype" w:eastAsiaTheme="majorEastAsia"/>
          <w:sz w:val="24"/>
          <w:szCs w:val="24"/>
        </w:rPr>
        <w:t xml:space="preserve">The Decision </w:t>
      </w:r>
      <w:r w:rsidR="00B05881">
        <w:rPr>
          <w:rStyle w:val="cf01"/>
          <w:rFonts w:ascii="Palatino Linotype" w:hAnsi="Palatino Linotype" w:eastAsiaTheme="majorEastAsia"/>
          <w:sz w:val="24"/>
          <w:szCs w:val="24"/>
        </w:rPr>
        <w:t xml:space="preserve">directed the </w:t>
      </w:r>
      <w:r w:rsidR="00671668">
        <w:rPr>
          <w:rStyle w:val="cf01"/>
          <w:rFonts w:ascii="Palatino Linotype" w:hAnsi="Palatino Linotype" w:eastAsiaTheme="majorEastAsia"/>
          <w:sz w:val="24"/>
          <w:szCs w:val="24"/>
        </w:rPr>
        <w:t>Investor-Owned</w:t>
      </w:r>
      <w:r w:rsidR="00B05881">
        <w:rPr>
          <w:rStyle w:val="cf01"/>
          <w:rFonts w:ascii="Palatino Linotype" w:hAnsi="Palatino Linotype" w:eastAsiaTheme="majorEastAsia"/>
          <w:sz w:val="24"/>
          <w:szCs w:val="24"/>
        </w:rPr>
        <w:t xml:space="preserve"> Utilities (</w:t>
      </w:r>
      <w:r w:rsidR="00671668">
        <w:rPr>
          <w:rStyle w:val="cf01"/>
          <w:rFonts w:ascii="Palatino Linotype" w:hAnsi="Palatino Linotype" w:eastAsiaTheme="majorEastAsia"/>
          <w:sz w:val="24"/>
          <w:szCs w:val="24"/>
        </w:rPr>
        <w:t>“</w:t>
      </w:r>
      <w:r w:rsidR="00B05881">
        <w:rPr>
          <w:rStyle w:val="cf01"/>
          <w:rFonts w:ascii="Palatino Linotype" w:hAnsi="Palatino Linotype" w:eastAsiaTheme="majorEastAsia"/>
          <w:sz w:val="24"/>
          <w:szCs w:val="24"/>
        </w:rPr>
        <w:t>IOUs</w:t>
      </w:r>
      <w:r w:rsidR="00671668">
        <w:rPr>
          <w:rStyle w:val="cf01"/>
          <w:rFonts w:ascii="Palatino Linotype" w:hAnsi="Palatino Linotype" w:eastAsiaTheme="majorEastAsia"/>
          <w:sz w:val="24"/>
          <w:szCs w:val="24"/>
        </w:rPr>
        <w:t>”</w:t>
      </w:r>
      <w:r w:rsidR="00B05881">
        <w:rPr>
          <w:rStyle w:val="cf01"/>
          <w:rFonts w:ascii="Palatino Linotype" w:hAnsi="Palatino Linotype" w:eastAsiaTheme="majorEastAsia"/>
          <w:sz w:val="24"/>
          <w:szCs w:val="24"/>
        </w:rPr>
        <w:t xml:space="preserve">) to file Tier 3 Advice Letters for procurement approval and cost recovery for </w:t>
      </w:r>
      <w:r w:rsidR="00FA0A8E">
        <w:rPr>
          <w:rStyle w:val="cf01"/>
          <w:rFonts w:ascii="Palatino Linotype" w:hAnsi="Palatino Linotype" w:eastAsiaTheme="majorEastAsia"/>
          <w:sz w:val="24"/>
          <w:szCs w:val="24"/>
        </w:rPr>
        <w:t>MTR contracts</w:t>
      </w:r>
      <w:r w:rsidR="00EF2D37">
        <w:rPr>
          <w:rStyle w:val="cf01"/>
          <w:rFonts w:ascii="Palatino Linotype" w:hAnsi="Palatino Linotype" w:eastAsiaTheme="majorEastAsia"/>
          <w:sz w:val="24"/>
          <w:szCs w:val="24"/>
        </w:rPr>
        <w:t xml:space="preserve">, except for utility-owned resources and pumped storage projects, </w:t>
      </w:r>
      <w:r w:rsidR="00BD6888">
        <w:rPr>
          <w:rStyle w:val="cf01"/>
          <w:rFonts w:ascii="Palatino Linotype" w:hAnsi="Palatino Linotype" w:eastAsiaTheme="majorEastAsia"/>
          <w:sz w:val="24"/>
          <w:szCs w:val="24"/>
        </w:rPr>
        <w:t>including where full applications are required.</w:t>
      </w:r>
    </w:p>
    <w:p w:rsidRPr="00C11109" w:rsidR="00C11109" w:rsidP="00C11109" w:rsidRDefault="00C11109" w14:paraId="6290C2D0" w14:textId="77777777">
      <w:pPr>
        <w:pStyle w:val="pf0"/>
        <w:spacing w:before="0" w:beforeAutospacing="0" w:after="0" w:afterAutospacing="0"/>
        <w:rPr>
          <w:rFonts w:ascii="Palatino Linotype" w:hAnsi="Palatino Linotype" w:cs="Arial"/>
          <w:sz w:val="16"/>
          <w:szCs w:val="16"/>
        </w:rPr>
      </w:pPr>
    </w:p>
    <w:p w:rsidRPr="00FF2B2B" w:rsidR="00446864" w:rsidP="5D5182C5" w:rsidRDefault="00D76F63" w14:paraId="668EA29E" w14:textId="77777777">
      <w:pPr>
        <w:pStyle w:val="pf0"/>
        <w:spacing w:before="0" w:beforeAutospacing="0" w:after="0" w:afterAutospacing="0"/>
        <w:rPr>
          <w:rFonts w:ascii="Palatino Linotype" w:hAnsi="Palatino Linotype" w:cs="Segoe UI" w:eastAsiaTheme="majorEastAsia"/>
        </w:rPr>
      </w:pPr>
      <w:r w:rsidRPr="11E98DEF">
        <w:rPr>
          <w:rStyle w:val="cf01"/>
          <w:rFonts w:ascii="Palatino Linotype" w:hAnsi="Palatino Linotype" w:eastAsiaTheme="majorEastAsia"/>
          <w:sz w:val="24"/>
          <w:szCs w:val="24"/>
        </w:rPr>
        <w:t xml:space="preserve">Subsequently, D.23-02-040, adopted on February 28, 2023, ordered supplemental MTR procurement of 2,000 MW NQC to be online by June 1, </w:t>
      </w:r>
      <w:proofErr w:type="gramStart"/>
      <w:r w:rsidRPr="11E98DEF">
        <w:rPr>
          <w:rStyle w:val="cf01"/>
          <w:rFonts w:ascii="Palatino Linotype" w:hAnsi="Palatino Linotype" w:eastAsiaTheme="majorEastAsia"/>
          <w:sz w:val="24"/>
          <w:szCs w:val="24"/>
        </w:rPr>
        <w:t>2026</w:t>
      </w:r>
      <w:proofErr w:type="gramEnd"/>
      <w:r w:rsidRPr="11E98DEF">
        <w:rPr>
          <w:rStyle w:val="cf01"/>
          <w:rFonts w:ascii="Palatino Linotype" w:hAnsi="Palatino Linotype" w:eastAsiaTheme="majorEastAsia"/>
          <w:sz w:val="24"/>
          <w:szCs w:val="24"/>
        </w:rPr>
        <w:t xml:space="preserve"> and 2,000 MW NQC to be online by June 1, 2027, and revised the online date for Long Lead Time (</w:t>
      </w:r>
      <w:r w:rsidR="00671668">
        <w:rPr>
          <w:rStyle w:val="cf01"/>
          <w:rFonts w:ascii="Palatino Linotype" w:hAnsi="Palatino Linotype" w:eastAsiaTheme="majorEastAsia"/>
          <w:sz w:val="24"/>
          <w:szCs w:val="24"/>
        </w:rPr>
        <w:t>“</w:t>
      </w:r>
      <w:r w:rsidRPr="11E98DEF">
        <w:rPr>
          <w:rStyle w:val="cf01"/>
          <w:rFonts w:ascii="Palatino Linotype" w:hAnsi="Palatino Linotype" w:eastAsiaTheme="majorEastAsia"/>
          <w:sz w:val="24"/>
          <w:szCs w:val="24"/>
        </w:rPr>
        <w:t>LLT</w:t>
      </w:r>
      <w:r w:rsidR="00671668">
        <w:rPr>
          <w:rStyle w:val="cf01"/>
          <w:rFonts w:ascii="Palatino Linotype" w:hAnsi="Palatino Linotype" w:eastAsiaTheme="majorEastAsia"/>
          <w:sz w:val="24"/>
          <w:szCs w:val="24"/>
        </w:rPr>
        <w:t>”</w:t>
      </w:r>
      <w:r w:rsidRPr="11E98DEF">
        <w:rPr>
          <w:rStyle w:val="cf01"/>
          <w:rFonts w:ascii="Palatino Linotype" w:hAnsi="Palatino Linotype" w:eastAsiaTheme="majorEastAsia"/>
          <w:sz w:val="24"/>
          <w:szCs w:val="24"/>
        </w:rPr>
        <w:t xml:space="preserve">) resources from June 1, </w:t>
      </w:r>
      <w:proofErr w:type="gramStart"/>
      <w:r w:rsidRPr="11E98DEF">
        <w:rPr>
          <w:rStyle w:val="cf01"/>
          <w:rFonts w:ascii="Palatino Linotype" w:hAnsi="Palatino Linotype" w:eastAsiaTheme="majorEastAsia"/>
          <w:sz w:val="24"/>
          <w:szCs w:val="24"/>
        </w:rPr>
        <w:t>2026</w:t>
      </w:r>
      <w:proofErr w:type="gramEnd"/>
      <w:r w:rsidRPr="11E98DEF">
        <w:rPr>
          <w:rStyle w:val="cf01"/>
          <w:rFonts w:ascii="Palatino Linotype" w:hAnsi="Palatino Linotype" w:eastAsiaTheme="majorEastAsia"/>
          <w:sz w:val="24"/>
          <w:szCs w:val="24"/>
        </w:rPr>
        <w:t xml:space="preserve"> to June 1, 2028. </w:t>
      </w:r>
      <w:r w:rsidRPr="11E98DEF" w:rsidR="00E1339A">
        <w:rPr>
          <w:rStyle w:val="cf01"/>
          <w:rFonts w:ascii="Palatino Linotype" w:hAnsi="Palatino Linotype" w:eastAsiaTheme="majorEastAsia"/>
          <w:sz w:val="24"/>
          <w:szCs w:val="24"/>
        </w:rPr>
        <w:t xml:space="preserve">This was updated </w:t>
      </w:r>
      <w:proofErr w:type="gramStart"/>
      <w:r w:rsidRPr="11E98DEF" w:rsidR="00E1339A">
        <w:rPr>
          <w:rStyle w:val="cf01"/>
          <w:rFonts w:ascii="Palatino Linotype" w:hAnsi="Palatino Linotype" w:eastAsiaTheme="majorEastAsia"/>
          <w:sz w:val="24"/>
          <w:szCs w:val="24"/>
        </w:rPr>
        <w:t>in</w:t>
      </w:r>
      <w:proofErr w:type="gramEnd"/>
      <w:r w:rsidRPr="11E98DEF" w:rsidR="00E1339A">
        <w:rPr>
          <w:rStyle w:val="cf01"/>
          <w:rFonts w:ascii="Palatino Linotype" w:hAnsi="Palatino Linotype" w:eastAsiaTheme="majorEastAsia"/>
          <w:sz w:val="24"/>
          <w:szCs w:val="24"/>
        </w:rPr>
        <w:t xml:space="preserve"> D.25-09-007, </w:t>
      </w:r>
      <w:r w:rsidRPr="11E98DEF" w:rsidR="002027CA">
        <w:rPr>
          <w:rStyle w:val="cf01"/>
          <w:rFonts w:ascii="Palatino Linotype" w:hAnsi="Palatino Linotype" w:eastAsiaTheme="majorEastAsia"/>
          <w:sz w:val="24"/>
          <w:szCs w:val="24"/>
        </w:rPr>
        <w:t>which considers an</w:t>
      </w:r>
      <w:r w:rsidRPr="11E98DEF" w:rsidR="00E1339A">
        <w:rPr>
          <w:rStyle w:val="cf01"/>
          <w:rFonts w:ascii="Palatino Linotype" w:hAnsi="Palatino Linotype" w:eastAsiaTheme="majorEastAsia"/>
          <w:sz w:val="24"/>
          <w:szCs w:val="24"/>
        </w:rPr>
        <w:t xml:space="preserve"> LSE compliant if its resources’ online dates are delayed from 2028 to 2031, provided the LSE has </w:t>
      </w:r>
      <w:r w:rsidRPr="11E98DEF" w:rsidR="3BF992C0">
        <w:rPr>
          <w:rStyle w:val="cf01"/>
          <w:rFonts w:ascii="Palatino Linotype" w:hAnsi="Palatino Linotype" w:eastAsiaTheme="majorEastAsia"/>
          <w:sz w:val="24"/>
          <w:szCs w:val="24"/>
        </w:rPr>
        <w:t>executed long-term contracts that meet its LLT procurement capacity</w:t>
      </w:r>
      <w:r w:rsidRPr="11E98DEF" w:rsidR="00E1339A">
        <w:rPr>
          <w:rStyle w:val="cf01"/>
          <w:rFonts w:ascii="Palatino Linotype" w:hAnsi="Palatino Linotype" w:eastAsiaTheme="majorEastAsia"/>
          <w:sz w:val="24"/>
          <w:szCs w:val="24"/>
        </w:rPr>
        <w:t xml:space="preserve"> and is otherwise meeting its month-ahead system RA obligations. Additionally, LSEs have the option to conduct long-term </w:t>
      </w:r>
      <w:proofErr w:type="gramStart"/>
      <w:r w:rsidRPr="11E98DEF" w:rsidR="00E1339A">
        <w:rPr>
          <w:rStyle w:val="cf01"/>
          <w:rFonts w:ascii="Palatino Linotype" w:hAnsi="Palatino Linotype" w:eastAsiaTheme="majorEastAsia"/>
          <w:sz w:val="24"/>
          <w:szCs w:val="24"/>
        </w:rPr>
        <w:t>contracting</w:t>
      </w:r>
      <w:proofErr w:type="gramEnd"/>
      <w:r w:rsidRPr="11E98DEF" w:rsidR="00E1339A">
        <w:rPr>
          <w:rStyle w:val="cf01"/>
          <w:rFonts w:ascii="Palatino Linotype" w:hAnsi="Palatino Linotype" w:eastAsiaTheme="majorEastAsia"/>
          <w:sz w:val="24"/>
          <w:szCs w:val="24"/>
        </w:rPr>
        <w:t xml:space="preserve"> for generic replacement resources. </w:t>
      </w:r>
      <w:r w:rsidRPr="11E98DEF">
        <w:rPr>
          <w:rStyle w:val="cf01"/>
          <w:rFonts w:ascii="Palatino Linotype" w:hAnsi="Palatino Linotype" w:eastAsiaTheme="majorEastAsia"/>
          <w:sz w:val="24"/>
          <w:szCs w:val="24"/>
        </w:rPr>
        <w:t xml:space="preserve">With the mutually agreed-upon reallocations and the additional MTR procurement ordered in </w:t>
      </w:r>
      <w:r w:rsidR="00FA48B7">
        <w:rPr>
          <w:rStyle w:val="cf01"/>
          <w:rFonts w:ascii="Palatino Linotype" w:hAnsi="Palatino Linotype" w:eastAsiaTheme="majorEastAsia"/>
          <w:sz w:val="24"/>
          <w:szCs w:val="24"/>
        </w:rPr>
        <w:br/>
      </w:r>
      <w:r w:rsidRPr="11E98DEF">
        <w:rPr>
          <w:rStyle w:val="cf01"/>
          <w:rFonts w:ascii="Palatino Linotype" w:hAnsi="Palatino Linotype" w:eastAsiaTheme="majorEastAsia"/>
          <w:sz w:val="24"/>
          <w:szCs w:val="24"/>
        </w:rPr>
        <w:t>D.23-02-040, PG&amp;E’s annual share of the MTR procurement requirements are as follows:</w:t>
      </w:r>
    </w:p>
    <w:tbl>
      <w:tblPr>
        <w:tblStyle w:val="TableGrid"/>
        <w:tblW w:w="98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830"/>
        <w:gridCol w:w="656"/>
        <w:gridCol w:w="765"/>
        <w:gridCol w:w="676"/>
        <w:gridCol w:w="719"/>
        <w:gridCol w:w="718"/>
        <w:gridCol w:w="676"/>
        <w:gridCol w:w="766"/>
      </w:tblGrid>
      <w:tr w:rsidRPr="00F766CA" w:rsidR="00FE28C1" w:rsidTr="00C700EB" w14:paraId="15E5085C" w14:textId="77777777">
        <w:tc>
          <w:tcPr>
            <w:tcW w:w="9806" w:type="dxa"/>
            <w:gridSpan w:val="8"/>
          </w:tcPr>
          <w:p w:rsidRPr="00F766CA" w:rsidR="00FE28C1" w:rsidP="005D4AD7" w:rsidRDefault="00FE28C1" w14:paraId="0901674F" w14:textId="77777777">
            <w:pPr>
              <w:keepNext/>
              <w:keepLines/>
              <w:jc w:val="center"/>
              <w:rPr>
                <w:rFonts w:ascii="Palatino Linotype" w:hAnsi="Palatino Linotype"/>
                <w:b/>
                <w:bCs/>
                <w:sz w:val="22"/>
                <w:szCs w:val="22"/>
              </w:rPr>
            </w:pPr>
            <w:bookmarkStart w:name="_Hlk187045049" w:id="2"/>
            <w:r w:rsidRPr="00F766CA">
              <w:rPr>
                <w:rFonts w:ascii="Palatino Linotype" w:hAnsi="Palatino Linotype"/>
                <w:b/>
                <w:bCs/>
                <w:sz w:val="22"/>
                <w:szCs w:val="22"/>
              </w:rPr>
              <w:lastRenderedPageBreak/>
              <w:t>Table 1: PG&amp;E Annual MTR Procurement Requirements (MW NQC)</w:t>
            </w:r>
          </w:p>
        </w:tc>
      </w:tr>
      <w:tr w:rsidRPr="00F766CA" w:rsidR="00EA0B8F" w:rsidTr="00C700EB" w14:paraId="1BF83D5B" w14:textId="77777777">
        <w:tc>
          <w:tcPr>
            <w:tcW w:w="4855" w:type="dxa"/>
          </w:tcPr>
          <w:p w:rsidRPr="00F766CA" w:rsidR="00FE28C1" w:rsidP="005D4AD7" w:rsidRDefault="00FE28C1" w14:paraId="0E7E6FEA" w14:textId="77777777">
            <w:pPr>
              <w:keepNext/>
              <w:keepLines/>
              <w:rPr>
                <w:rFonts w:ascii="Palatino Linotype" w:hAnsi="Palatino Linotype"/>
                <w:b/>
                <w:bCs/>
                <w:sz w:val="22"/>
                <w:szCs w:val="22"/>
              </w:rPr>
            </w:pPr>
          </w:p>
        </w:tc>
        <w:tc>
          <w:tcPr>
            <w:tcW w:w="630" w:type="dxa"/>
          </w:tcPr>
          <w:p w:rsidRPr="00F766CA" w:rsidR="00FE28C1" w:rsidP="005D4AD7" w:rsidRDefault="00FE28C1" w14:paraId="23982A38" w14:textId="77777777">
            <w:pPr>
              <w:keepNext/>
              <w:keepLines/>
              <w:jc w:val="center"/>
              <w:rPr>
                <w:rFonts w:ascii="Palatino Linotype" w:hAnsi="Palatino Linotype"/>
                <w:b/>
                <w:bCs/>
                <w:sz w:val="22"/>
                <w:szCs w:val="22"/>
              </w:rPr>
            </w:pPr>
            <w:r w:rsidRPr="00F766CA">
              <w:rPr>
                <w:rFonts w:ascii="Palatino Linotype" w:hAnsi="Palatino Linotype"/>
                <w:b/>
                <w:bCs/>
                <w:sz w:val="22"/>
                <w:szCs w:val="22"/>
              </w:rPr>
              <w:t>2023</w:t>
            </w:r>
          </w:p>
        </w:tc>
        <w:tc>
          <w:tcPr>
            <w:tcW w:w="766" w:type="dxa"/>
          </w:tcPr>
          <w:p w:rsidRPr="00F766CA" w:rsidR="00FE28C1" w:rsidP="005D4AD7" w:rsidRDefault="00FE28C1" w14:paraId="1F986164" w14:textId="77777777">
            <w:pPr>
              <w:keepNext/>
              <w:keepLines/>
              <w:jc w:val="center"/>
              <w:rPr>
                <w:rFonts w:ascii="Palatino Linotype" w:hAnsi="Palatino Linotype"/>
                <w:b/>
                <w:bCs/>
                <w:sz w:val="22"/>
                <w:szCs w:val="22"/>
              </w:rPr>
            </w:pPr>
            <w:r w:rsidRPr="00F766CA">
              <w:rPr>
                <w:rFonts w:ascii="Palatino Linotype" w:hAnsi="Palatino Linotype"/>
                <w:b/>
                <w:bCs/>
                <w:sz w:val="22"/>
                <w:szCs w:val="22"/>
              </w:rPr>
              <w:t>2024</w:t>
            </w:r>
          </w:p>
        </w:tc>
        <w:tc>
          <w:tcPr>
            <w:tcW w:w="676" w:type="dxa"/>
          </w:tcPr>
          <w:p w:rsidRPr="00F766CA" w:rsidR="00FE28C1" w:rsidP="005D4AD7" w:rsidRDefault="00FE28C1" w14:paraId="33DCF1E6" w14:textId="77777777">
            <w:pPr>
              <w:keepNext/>
              <w:keepLines/>
              <w:jc w:val="center"/>
              <w:rPr>
                <w:rFonts w:ascii="Palatino Linotype" w:hAnsi="Palatino Linotype"/>
                <w:b/>
                <w:bCs/>
                <w:sz w:val="22"/>
                <w:szCs w:val="22"/>
              </w:rPr>
            </w:pPr>
            <w:r w:rsidRPr="00F766CA">
              <w:rPr>
                <w:rFonts w:ascii="Palatino Linotype" w:hAnsi="Palatino Linotype"/>
                <w:b/>
                <w:bCs/>
                <w:sz w:val="22"/>
                <w:szCs w:val="22"/>
              </w:rPr>
              <w:t>2025</w:t>
            </w:r>
          </w:p>
        </w:tc>
        <w:tc>
          <w:tcPr>
            <w:tcW w:w="719" w:type="dxa"/>
          </w:tcPr>
          <w:p w:rsidRPr="00F766CA" w:rsidR="00FE28C1" w:rsidP="005D4AD7" w:rsidRDefault="00FE28C1" w14:paraId="3E38E3B7" w14:textId="77777777">
            <w:pPr>
              <w:keepNext/>
              <w:keepLines/>
              <w:jc w:val="center"/>
              <w:rPr>
                <w:rFonts w:ascii="Palatino Linotype" w:hAnsi="Palatino Linotype"/>
                <w:b/>
                <w:bCs/>
                <w:sz w:val="22"/>
                <w:szCs w:val="22"/>
              </w:rPr>
            </w:pPr>
            <w:r w:rsidRPr="00F766CA">
              <w:rPr>
                <w:rFonts w:ascii="Palatino Linotype" w:hAnsi="Palatino Linotype"/>
                <w:b/>
                <w:bCs/>
                <w:sz w:val="22"/>
                <w:szCs w:val="22"/>
              </w:rPr>
              <w:t>2026</w:t>
            </w:r>
          </w:p>
        </w:tc>
        <w:tc>
          <w:tcPr>
            <w:tcW w:w="718" w:type="dxa"/>
          </w:tcPr>
          <w:p w:rsidRPr="00F766CA" w:rsidR="00FE28C1" w:rsidP="005D4AD7" w:rsidRDefault="00FE28C1" w14:paraId="2784B12F" w14:textId="77777777">
            <w:pPr>
              <w:keepNext/>
              <w:keepLines/>
              <w:jc w:val="center"/>
              <w:rPr>
                <w:rFonts w:ascii="Palatino Linotype" w:hAnsi="Palatino Linotype"/>
                <w:b/>
                <w:bCs/>
                <w:sz w:val="22"/>
                <w:szCs w:val="22"/>
              </w:rPr>
            </w:pPr>
            <w:r w:rsidRPr="00F766CA">
              <w:rPr>
                <w:rFonts w:ascii="Palatino Linotype" w:hAnsi="Palatino Linotype"/>
                <w:b/>
                <w:bCs/>
                <w:sz w:val="22"/>
                <w:szCs w:val="22"/>
              </w:rPr>
              <w:t>2027</w:t>
            </w:r>
          </w:p>
        </w:tc>
        <w:tc>
          <w:tcPr>
            <w:tcW w:w="676" w:type="dxa"/>
          </w:tcPr>
          <w:p w:rsidRPr="00F766CA" w:rsidR="00FE28C1" w:rsidP="005D4AD7" w:rsidRDefault="00FE28C1" w14:paraId="288E196A" w14:textId="77777777">
            <w:pPr>
              <w:keepNext/>
              <w:keepLines/>
              <w:jc w:val="center"/>
              <w:rPr>
                <w:rFonts w:ascii="Palatino Linotype" w:hAnsi="Palatino Linotype"/>
                <w:b/>
                <w:bCs/>
                <w:sz w:val="22"/>
                <w:szCs w:val="22"/>
              </w:rPr>
            </w:pPr>
            <w:r w:rsidRPr="00F766CA">
              <w:rPr>
                <w:rFonts w:ascii="Palatino Linotype" w:hAnsi="Palatino Linotype"/>
                <w:b/>
                <w:bCs/>
                <w:sz w:val="22"/>
                <w:szCs w:val="22"/>
              </w:rPr>
              <w:t>2028</w:t>
            </w:r>
          </w:p>
        </w:tc>
        <w:tc>
          <w:tcPr>
            <w:tcW w:w="766" w:type="dxa"/>
          </w:tcPr>
          <w:p w:rsidRPr="00F766CA" w:rsidR="00FE28C1" w:rsidP="005D4AD7" w:rsidRDefault="00FE28C1" w14:paraId="6E71B9F7" w14:textId="77777777">
            <w:pPr>
              <w:keepNext/>
              <w:keepLines/>
              <w:jc w:val="center"/>
              <w:rPr>
                <w:rFonts w:ascii="Palatino Linotype" w:hAnsi="Palatino Linotype"/>
                <w:b/>
                <w:bCs/>
                <w:sz w:val="22"/>
                <w:szCs w:val="22"/>
              </w:rPr>
            </w:pPr>
            <w:r w:rsidRPr="00F766CA">
              <w:rPr>
                <w:rFonts w:ascii="Palatino Linotype" w:hAnsi="Palatino Linotype"/>
                <w:b/>
                <w:bCs/>
                <w:sz w:val="22"/>
                <w:szCs w:val="22"/>
              </w:rPr>
              <w:t>Total</w:t>
            </w:r>
          </w:p>
        </w:tc>
      </w:tr>
      <w:tr w:rsidRPr="00F766CA" w:rsidR="00EA0B8F" w:rsidTr="00C700EB" w14:paraId="0906F506" w14:textId="77777777">
        <w:tc>
          <w:tcPr>
            <w:tcW w:w="4855" w:type="dxa"/>
          </w:tcPr>
          <w:p w:rsidRPr="00F766CA" w:rsidR="00FE28C1" w:rsidP="005D4AD7" w:rsidRDefault="00FE28C1" w14:paraId="1D569305" w14:textId="77777777">
            <w:pPr>
              <w:keepNext/>
              <w:keepLines/>
              <w:rPr>
                <w:rFonts w:ascii="Palatino Linotype" w:hAnsi="Palatino Linotype"/>
                <w:b/>
                <w:bCs/>
                <w:sz w:val="22"/>
                <w:szCs w:val="22"/>
              </w:rPr>
            </w:pPr>
            <w:r w:rsidRPr="00F766CA">
              <w:rPr>
                <w:rFonts w:ascii="Palatino Linotype" w:hAnsi="Palatino Linotype"/>
                <w:b/>
                <w:bCs/>
                <w:sz w:val="22"/>
                <w:szCs w:val="22"/>
              </w:rPr>
              <w:t>General MTR Capacity</w:t>
            </w:r>
          </w:p>
        </w:tc>
        <w:tc>
          <w:tcPr>
            <w:tcW w:w="630" w:type="dxa"/>
          </w:tcPr>
          <w:p w:rsidRPr="00F766CA" w:rsidR="00FE28C1" w:rsidP="005D4AD7" w:rsidRDefault="00FE28C1" w14:paraId="1D52DAD2" w14:textId="77777777">
            <w:pPr>
              <w:keepNext/>
              <w:keepLines/>
              <w:jc w:val="center"/>
              <w:rPr>
                <w:rFonts w:ascii="Palatino Linotype" w:hAnsi="Palatino Linotype"/>
                <w:sz w:val="22"/>
                <w:szCs w:val="22"/>
              </w:rPr>
            </w:pPr>
            <w:r w:rsidRPr="00F766CA">
              <w:rPr>
                <w:rFonts w:ascii="Palatino Linotype" w:hAnsi="Palatino Linotype"/>
                <w:sz w:val="22"/>
                <w:szCs w:val="22"/>
              </w:rPr>
              <w:t>400</w:t>
            </w:r>
          </w:p>
        </w:tc>
        <w:tc>
          <w:tcPr>
            <w:tcW w:w="766" w:type="dxa"/>
          </w:tcPr>
          <w:p w:rsidRPr="00F766CA" w:rsidR="00FE28C1" w:rsidP="005D4AD7" w:rsidRDefault="00FE28C1" w14:paraId="0EA16004" w14:textId="77777777">
            <w:pPr>
              <w:keepNext/>
              <w:keepLines/>
              <w:jc w:val="center"/>
              <w:rPr>
                <w:rFonts w:ascii="Palatino Linotype" w:hAnsi="Palatino Linotype"/>
                <w:sz w:val="22"/>
                <w:szCs w:val="22"/>
              </w:rPr>
            </w:pPr>
            <w:r w:rsidRPr="00F766CA">
              <w:rPr>
                <w:rFonts w:ascii="Palatino Linotype" w:hAnsi="Palatino Linotype"/>
                <w:sz w:val="22"/>
                <w:szCs w:val="22"/>
              </w:rPr>
              <w:t>1201</w:t>
            </w:r>
          </w:p>
        </w:tc>
        <w:tc>
          <w:tcPr>
            <w:tcW w:w="676" w:type="dxa"/>
          </w:tcPr>
          <w:p w:rsidRPr="00F766CA" w:rsidR="00FE28C1" w:rsidP="005D4AD7" w:rsidRDefault="00FE28C1" w14:paraId="5FED35FE" w14:textId="77777777">
            <w:pPr>
              <w:keepNext/>
              <w:keepLines/>
              <w:jc w:val="center"/>
              <w:rPr>
                <w:rFonts w:ascii="Palatino Linotype" w:hAnsi="Palatino Linotype"/>
                <w:sz w:val="22"/>
                <w:szCs w:val="22"/>
              </w:rPr>
            </w:pPr>
            <w:r w:rsidRPr="00F766CA">
              <w:rPr>
                <w:rFonts w:ascii="Palatino Linotype" w:hAnsi="Palatino Linotype"/>
                <w:sz w:val="22"/>
                <w:szCs w:val="22"/>
              </w:rPr>
              <w:t>300</w:t>
            </w:r>
          </w:p>
        </w:tc>
        <w:tc>
          <w:tcPr>
            <w:tcW w:w="719" w:type="dxa"/>
          </w:tcPr>
          <w:p w:rsidRPr="00F766CA" w:rsidR="00FE28C1" w:rsidP="005D4AD7" w:rsidRDefault="00FE28C1" w14:paraId="2A3D487C" w14:textId="77777777">
            <w:pPr>
              <w:keepNext/>
              <w:keepLines/>
              <w:jc w:val="center"/>
              <w:rPr>
                <w:rFonts w:ascii="Palatino Linotype" w:hAnsi="Palatino Linotype"/>
                <w:sz w:val="22"/>
                <w:szCs w:val="22"/>
              </w:rPr>
            </w:pPr>
            <w:r w:rsidRPr="00F766CA">
              <w:rPr>
                <w:rFonts w:ascii="Palatino Linotype" w:hAnsi="Palatino Linotype"/>
                <w:sz w:val="22"/>
                <w:szCs w:val="22"/>
              </w:rPr>
              <w:t>388</w:t>
            </w:r>
          </w:p>
        </w:tc>
        <w:tc>
          <w:tcPr>
            <w:tcW w:w="718" w:type="dxa"/>
          </w:tcPr>
          <w:p w:rsidRPr="00F766CA" w:rsidR="00FE28C1" w:rsidP="005D4AD7" w:rsidRDefault="00FE28C1" w14:paraId="0C129684" w14:textId="77777777">
            <w:pPr>
              <w:keepNext/>
              <w:keepLines/>
              <w:jc w:val="center"/>
              <w:rPr>
                <w:rFonts w:ascii="Palatino Linotype" w:hAnsi="Palatino Linotype"/>
                <w:sz w:val="22"/>
                <w:szCs w:val="22"/>
              </w:rPr>
            </w:pPr>
            <w:r w:rsidRPr="00F766CA">
              <w:rPr>
                <w:rFonts w:ascii="Palatino Linotype" w:hAnsi="Palatino Linotype"/>
                <w:sz w:val="22"/>
                <w:szCs w:val="22"/>
              </w:rPr>
              <w:t>388</w:t>
            </w:r>
          </w:p>
        </w:tc>
        <w:tc>
          <w:tcPr>
            <w:tcW w:w="676" w:type="dxa"/>
          </w:tcPr>
          <w:p w:rsidRPr="00F766CA" w:rsidR="00FE28C1" w:rsidP="005D4AD7" w:rsidRDefault="00FE28C1" w14:paraId="4024F4C9" w14:textId="77777777">
            <w:pPr>
              <w:keepNext/>
              <w:keepLines/>
              <w:jc w:val="center"/>
              <w:rPr>
                <w:rFonts w:ascii="Palatino Linotype" w:hAnsi="Palatino Linotype"/>
                <w:sz w:val="22"/>
                <w:szCs w:val="22"/>
              </w:rPr>
            </w:pPr>
          </w:p>
        </w:tc>
        <w:tc>
          <w:tcPr>
            <w:tcW w:w="766" w:type="dxa"/>
          </w:tcPr>
          <w:p w:rsidRPr="00F766CA" w:rsidR="00FE28C1" w:rsidP="005D4AD7" w:rsidRDefault="00FE28C1" w14:paraId="64CF8AA6" w14:textId="77777777">
            <w:pPr>
              <w:keepNext/>
              <w:keepLines/>
              <w:jc w:val="center"/>
              <w:rPr>
                <w:rFonts w:ascii="Palatino Linotype" w:hAnsi="Palatino Linotype"/>
                <w:sz w:val="22"/>
                <w:szCs w:val="22"/>
              </w:rPr>
            </w:pPr>
            <w:r w:rsidRPr="00F766CA">
              <w:rPr>
                <w:rFonts w:ascii="Palatino Linotype" w:hAnsi="Palatino Linotype"/>
                <w:sz w:val="22"/>
                <w:szCs w:val="22"/>
              </w:rPr>
              <w:t>2677</w:t>
            </w:r>
          </w:p>
        </w:tc>
      </w:tr>
      <w:tr w:rsidRPr="00F766CA" w:rsidR="00EA0B8F" w:rsidTr="00C700EB" w14:paraId="1731117C" w14:textId="77777777">
        <w:tc>
          <w:tcPr>
            <w:tcW w:w="4855" w:type="dxa"/>
          </w:tcPr>
          <w:p w:rsidRPr="00F766CA" w:rsidR="00FE28C1" w:rsidP="005D4AD7" w:rsidRDefault="00FE28C1" w14:paraId="6AF29E2D" w14:textId="77777777">
            <w:pPr>
              <w:keepNext/>
              <w:keepLines/>
              <w:rPr>
                <w:rFonts w:ascii="Palatino Linotype" w:hAnsi="Palatino Linotype"/>
                <w:b/>
                <w:bCs/>
                <w:sz w:val="22"/>
                <w:szCs w:val="22"/>
              </w:rPr>
            </w:pPr>
            <w:r w:rsidRPr="00F766CA">
              <w:rPr>
                <w:rFonts w:ascii="Palatino Linotype" w:hAnsi="Palatino Linotype"/>
                <w:b/>
                <w:bCs/>
                <w:sz w:val="22"/>
                <w:szCs w:val="22"/>
              </w:rPr>
              <w:t>Minimum firm Zero-Emitting Capacity</w:t>
            </w:r>
            <w:r w:rsidRPr="00F766CA" w:rsidR="00A45CC3">
              <w:rPr>
                <w:rStyle w:val="FootnoteReference"/>
                <w:rFonts w:ascii="Palatino Linotype" w:hAnsi="Palatino Linotype"/>
                <w:b/>
                <w:bCs/>
                <w:sz w:val="22"/>
                <w:szCs w:val="22"/>
              </w:rPr>
              <w:footnoteReference w:id="2"/>
            </w:r>
          </w:p>
        </w:tc>
        <w:tc>
          <w:tcPr>
            <w:tcW w:w="2072" w:type="dxa"/>
            <w:gridSpan w:val="3"/>
            <w:vAlign w:val="center"/>
          </w:tcPr>
          <w:p w:rsidRPr="00F766CA" w:rsidR="00FE28C1" w:rsidP="005D4AD7" w:rsidRDefault="008E007F" w14:paraId="78AB0A9F" w14:textId="77777777">
            <w:pPr>
              <w:keepNext/>
              <w:keepLines/>
              <w:jc w:val="center"/>
              <w:rPr>
                <w:rFonts w:ascii="Palatino Linotype" w:hAnsi="Palatino Linotype"/>
                <w:sz w:val="22"/>
                <w:szCs w:val="22"/>
              </w:rPr>
            </w:pPr>
            <w:r w:rsidRPr="00F766CA">
              <w:rPr>
                <w:rFonts w:ascii="Palatino Linotype" w:hAnsi="Palatino Linotype"/>
                <w:sz w:val="22"/>
                <w:szCs w:val="22"/>
              </w:rPr>
              <w:t>500</w:t>
            </w:r>
            <w:r w:rsidRPr="00F766CA" w:rsidR="00FE28C1">
              <w:rPr>
                <w:rFonts w:ascii="Palatino Linotype" w:hAnsi="Palatino Linotype"/>
                <w:sz w:val="22"/>
                <w:szCs w:val="22"/>
              </w:rPr>
              <w:t xml:space="preserve"> total</w:t>
            </w:r>
          </w:p>
        </w:tc>
        <w:tc>
          <w:tcPr>
            <w:tcW w:w="719" w:type="dxa"/>
          </w:tcPr>
          <w:p w:rsidRPr="00F766CA" w:rsidR="00FE28C1" w:rsidP="005D4AD7" w:rsidRDefault="00FE28C1" w14:paraId="54C373B7" w14:textId="77777777">
            <w:pPr>
              <w:keepNext/>
              <w:keepLines/>
              <w:jc w:val="center"/>
              <w:rPr>
                <w:rFonts w:ascii="Palatino Linotype" w:hAnsi="Palatino Linotype"/>
                <w:sz w:val="22"/>
                <w:szCs w:val="22"/>
              </w:rPr>
            </w:pPr>
          </w:p>
        </w:tc>
        <w:tc>
          <w:tcPr>
            <w:tcW w:w="718" w:type="dxa"/>
          </w:tcPr>
          <w:p w:rsidRPr="00F766CA" w:rsidR="00FE28C1" w:rsidP="005D4AD7" w:rsidRDefault="00FE28C1" w14:paraId="693B1A5B" w14:textId="77777777">
            <w:pPr>
              <w:keepNext/>
              <w:keepLines/>
              <w:jc w:val="center"/>
              <w:rPr>
                <w:rFonts w:ascii="Palatino Linotype" w:hAnsi="Palatino Linotype"/>
                <w:sz w:val="22"/>
                <w:szCs w:val="22"/>
              </w:rPr>
            </w:pPr>
          </w:p>
        </w:tc>
        <w:tc>
          <w:tcPr>
            <w:tcW w:w="676" w:type="dxa"/>
          </w:tcPr>
          <w:p w:rsidRPr="00F766CA" w:rsidR="00FE28C1" w:rsidP="005D4AD7" w:rsidRDefault="00FE28C1" w14:paraId="1B6EFDF6" w14:textId="77777777">
            <w:pPr>
              <w:keepNext/>
              <w:keepLines/>
              <w:jc w:val="center"/>
              <w:rPr>
                <w:rFonts w:ascii="Palatino Linotype" w:hAnsi="Palatino Linotype"/>
                <w:sz w:val="22"/>
                <w:szCs w:val="22"/>
              </w:rPr>
            </w:pPr>
          </w:p>
        </w:tc>
        <w:tc>
          <w:tcPr>
            <w:tcW w:w="766" w:type="dxa"/>
            <w:vAlign w:val="center"/>
          </w:tcPr>
          <w:p w:rsidRPr="00F766CA" w:rsidR="00FE28C1" w:rsidP="005D4AD7" w:rsidRDefault="00FE28C1" w14:paraId="0C11853C" w14:textId="77777777">
            <w:pPr>
              <w:keepNext/>
              <w:keepLines/>
              <w:jc w:val="center"/>
              <w:rPr>
                <w:rFonts w:ascii="Palatino Linotype" w:hAnsi="Palatino Linotype"/>
                <w:sz w:val="22"/>
                <w:szCs w:val="22"/>
              </w:rPr>
            </w:pPr>
          </w:p>
        </w:tc>
      </w:tr>
      <w:tr w:rsidRPr="00F766CA" w:rsidR="00EA0B8F" w:rsidTr="00C700EB" w14:paraId="6D33255D" w14:textId="77777777">
        <w:tc>
          <w:tcPr>
            <w:tcW w:w="4855" w:type="dxa"/>
          </w:tcPr>
          <w:p w:rsidRPr="00F766CA" w:rsidR="00FE28C1" w:rsidP="005D4AD7" w:rsidRDefault="00FE28C1" w14:paraId="50788ED9" w14:textId="77777777">
            <w:pPr>
              <w:keepNext/>
              <w:keepLines/>
              <w:rPr>
                <w:rFonts w:ascii="Palatino Linotype" w:hAnsi="Palatino Linotype"/>
                <w:b/>
                <w:bCs/>
                <w:sz w:val="22"/>
                <w:szCs w:val="22"/>
              </w:rPr>
            </w:pPr>
            <w:r w:rsidRPr="00F766CA">
              <w:rPr>
                <w:rFonts w:ascii="Palatino Linotype" w:hAnsi="Palatino Linotype"/>
                <w:b/>
                <w:bCs/>
                <w:sz w:val="22"/>
                <w:szCs w:val="22"/>
              </w:rPr>
              <w:t>Long-Duration Storage (8+ hours)</w:t>
            </w:r>
            <w:r w:rsidRPr="00F766CA">
              <w:rPr>
                <w:rStyle w:val="FootnoteReference"/>
                <w:rFonts w:ascii="Palatino Linotype" w:hAnsi="Palatino Linotype" w:eastAsiaTheme="majorEastAsia"/>
                <w:b/>
                <w:bCs/>
                <w:sz w:val="22"/>
                <w:szCs w:val="22"/>
              </w:rPr>
              <w:footnoteReference w:id="3"/>
            </w:r>
          </w:p>
        </w:tc>
        <w:tc>
          <w:tcPr>
            <w:tcW w:w="630" w:type="dxa"/>
          </w:tcPr>
          <w:p w:rsidRPr="00F766CA" w:rsidR="00FE28C1" w:rsidP="005D4AD7" w:rsidRDefault="00FE28C1" w14:paraId="3C0CFBA4" w14:textId="77777777">
            <w:pPr>
              <w:keepNext/>
              <w:keepLines/>
              <w:jc w:val="center"/>
              <w:rPr>
                <w:rFonts w:ascii="Palatino Linotype" w:hAnsi="Palatino Linotype"/>
                <w:sz w:val="22"/>
                <w:szCs w:val="22"/>
              </w:rPr>
            </w:pPr>
          </w:p>
        </w:tc>
        <w:tc>
          <w:tcPr>
            <w:tcW w:w="766" w:type="dxa"/>
          </w:tcPr>
          <w:p w:rsidRPr="00F766CA" w:rsidR="00FE28C1" w:rsidP="005D4AD7" w:rsidRDefault="00FE28C1" w14:paraId="591E9021" w14:textId="77777777">
            <w:pPr>
              <w:keepNext/>
              <w:keepLines/>
              <w:jc w:val="center"/>
              <w:rPr>
                <w:rFonts w:ascii="Palatino Linotype" w:hAnsi="Palatino Linotype"/>
                <w:sz w:val="22"/>
                <w:szCs w:val="22"/>
              </w:rPr>
            </w:pPr>
          </w:p>
        </w:tc>
        <w:tc>
          <w:tcPr>
            <w:tcW w:w="676" w:type="dxa"/>
          </w:tcPr>
          <w:p w:rsidRPr="00F766CA" w:rsidR="00FE28C1" w:rsidP="005D4AD7" w:rsidRDefault="00FE28C1" w14:paraId="048C1BC2" w14:textId="77777777">
            <w:pPr>
              <w:keepNext/>
              <w:keepLines/>
              <w:jc w:val="center"/>
              <w:rPr>
                <w:rFonts w:ascii="Palatino Linotype" w:hAnsi="Palatino Linotype"/>
                <w:sz w:val="22"/>
                <w:szCs w:val="22"/>
              </w:rPr>
            </w:pPr>
          </w:p>
        </w:tc>
        <w:tc>
          <w:tcPr>
            <w:tcW w:w="719" w:type="dxa"/>
          </w:tcPr>
          <w:p w:rsidRPr="00F766CA" w:rsidR="00FE28C1" w:rsidP="005D4AD7" w:rsidRDefault="00FE28C1" w14:paraId="0E1185D2" w14:textId="77777777">
            <w:pPr>
              <w:keepNext/>
              <w:keepLines/>
              <w:jc w:val="center"/>
              <w:rPr>
                <w:rFonts w:ascii="Palatino Linotype" w:hAnsi="Palatino Linotype"/>
                <w:sz w:val="22"/>
                <w:szCs w:val="22"/>
              </w:rPr>
            </w:pPr>
          </w:p>
        </w:tc>
        <w:tc>
          <w:tcPr>
            <w:tcW w:w="718" w:type="dxa"/>
          </w:tcPr>
          <w:p w:rsidRPr="00F766CA" w:rsidR="00FE28C1" w:rsidP="005D4AD7" w:rsidRDefault="00FE28C1" w14:paraId="51478070" w14:textId="77777777">
            <w:pPr>
              <w:keepNext/>
              <w:keepLines/>
              <w:jc w:val="center"/>
              <w:rPr>
                <w:rFonts w:ascii="Palatino Linotype" w:hAnsi="Palatino Linotype"/>
                <w:sz w:val="22"/>
                <w:szCs w:val="22"/>
              </w:rPr>
            </w:pPr>
          </w:p>
        </w:tc>
        <w:tc>
          <w:tcPr>
            <w:tcW w:w="676" w:type="dxa"/>
            <w:vAlign w:val="center"/>
          </w:tcPr>
          <w:p w:rsidRPr="00F766CA" w:rsidR="00FE28C1" w:rsidP="005D4AD7" w:rsidRDefault="00FE28C1" w14:paraId="3F17168A" w14:textId="77777777">
            <w:pPr>
              <w:keepNext/>
              <w:keepLines/>
              <w:jc w:val="center"/>
              <w:rPr>
                <w:rFonts w:ascii="Palatino Linotype" w:hAnsi="Palatino Linotype"/>
                <w:sz w:val="22"/>
                <w:szCs w:val="22"/>
              </w:rPr>
            </w:pPr>
            <w:r w:rsidRPr="00F766CA">
              <w:rPr>
                <w:rFonts w:ascii="Palatino Linotype" w:hAnsi="Palatino Linotype"/>
                <w:sz w:val="22"/>
                <w:szCs w:val="22"/>
              </w:rPr>
              <w:t>200</w:t>
            </w:r>
          </w:p>
        </w:tc>
        <w:tc>
          <w:tcPr>
            <w:tcW w:w="766" w:type="dxa"/>
            <w:vAlign w:val="center"/>
          </w:tcPr>
          <w:p w:rsidRPr="00F766CA" w:rsidR="00FE28C1" w:rsidP="005D4AD7" w:rsidRDefault="00FE28C1" w14:paraId="73C87B67" w14:textId="77777777">
            <w:pPr>
              <w:keepNext/>
              <w:keepLines/>
              <w:jc w:val="center"/>
              <w:rPr>
                <w:rFonts w:ascii="Palatino Linotype" w:hAnsi="Palatino Linotype"/>
                <w:sz w:val="22"/>
                <w:szCs w:val="22"/>
              </w:rPr>
            </w:pPr>
            <w:r w:rsidRPr="00F766CA">
              <w:rPr>
                <w:rFonts w:ascii="Palatino Linotype" w:hAnsi="Palatino Linotype"/>
                <w:sz w:val="22"/>
                <w:szCs w:val="22"/>
              </w:rPr>
              <w:t>200</w:t>
            </w:r>
          </w:p>
        </w:tc>
      </w:tr>
      <w:tr w:rsidRPr="00F766CA" w:rsidR="00EA0B8F" w:rsidTr="00C700EB" w14:paraId="080A25D4" w14:textId="77777777">
        <w:tc>
          <w:tcPr>
            <w:tcW w:w="4855" w:type="dxa"/>
          </w:tcPr>
          <w:p w:rsidRPr="00F766CA" w:rsidR="00FE28C1" w:rsidP="005D4AD7" w:rsidRDefault="00FE28C1" w14:paraId="5E2D3FDE" w14:textId="77777777">
            <w:pPr>
              <w:keepNext/>
              <w:keepLines/>
              <w:rPr>
                <w:rFonts w:ascii="Palatino Linotype" w:hAnsi="Palatino Linotype"/>
                <w:b/>
                <w:bCs/>
                <w:sz w:val="22"/>
                <w:szCs w:val="22"/>
                <w:vertAlign w:val="superscript"/>
              </w:rPr>
            </w:pPr>
            <w:r w:rsidRPr="00F766CA">
              <w:rPr>
                <w:rFonts w:ascii="Palatino Linotype" w:hAnsi="Palatino Linotype"/>
                <w:b/>
                <w:bCs/>
                <w:sz w:val="22"/>
                <w:szCs w:val="22"/>
              </w:rPr>
              <w:t>Firm Zero-Emitting Generation Paired with Storage, or Demand Response Resources</w:t>
            </w:r>
            <w:r w:rsidRPr="00F766CA">
              <w:rPr>
                <w:rFonts w:ascii="Palatino Linotype" w:hAnsi="Palatino Linotype"/>
                <w:b/>
                <w:bCs/>
                <w:sz w:val="22"/>
                <w:szCs w:val="22"/>
                <w:vertAlign w:val="superscript"/>
              </w:rPr>
              <w:t>2</w:t>
            </w:r>
          </w:p>
        </w:tc>
        <w:tc>
          <w:tcPr>
            <w:tcW w:w="630" w:type="dxa"/>
          </w:tcPr>
          <w:p w:rsidRPr="00F766CA" w:rsidR="00FE28C1" w:rsidP="005D4AD7" w:rsidRDefault="00FE28C1" w14:paraId="08F814D3" w14:textId="77777777">
            <w:pPr>
              <w:keepNext/>
              <w:keepLines/>
              <w:jc w:val="center"/>
              <w:rPr>
                <w:rFonts w:ascii="Palatino Linotype" w:hAnsi="Palatino Linotype"/>
                <w:sz w:val="22"/>
                <w:szCs w:val="22"/>
              </w:rPr>
            </w:pPr>
          </w:p>
        </w:tc>
        <w:tc>
          <w:tcPr>
            <w:tcW w:w="766" w:type="dxa"/>
          </w:tcPr>
          <w:p w:rsidRPr="00F766CA" w:rsidR="00FE28C1" w:rsidP="005D4AD7" w:rsidRDefault="00FE28C1" w14:paraId="304388B8" w14:textId="77777777">
            <w:pPr>
              <w:keepNext/>
              <w:keepLines/>
              <w:jc w:val="center"/>
              <w:rPr>
                <w:rFonts w:ascii="Palatino Linotype" w:hAnsi="Palatino Linotype"/>
                <w:sz w:val="22"/>
                <w:szCs w:val="22"/>
              </w:rPr>
            </w:pPr>
          </w:p>
        </w:tc>
        <w:tc>
          <w:tcPr>
            <w:tcW w:w="676" w:type="dxa"/>
          </w:tcPr>
          <w:p w:rsidRPr="00F766CA" w:rsidR="00FE28C1" w:rsidP="005D4AD7" w:rsidRDefault="00FE28C1" w14:paraId="29E0B8D0" w14:textId="77777777">
            <w:pPr>
              <w:keepNext/>
              <w:keepLines/>
              <w:jc w:val="center"/>
              <w:rPr>
                <w:rFonts w:ascii="Palatino Linotype" w:hAnsi="Palatino Linotype"/>
                <w:sz w:val="22"/>
                <w:szCs w:val="22"/>
              </w:rPr>
            </w:pPr>
          </w:p>
        </w:tc>
        <w:tc>
          <w:tcPr>
            <w:tcW w:w="719" w:type="dxa"/>
          </w:tcPr>
          <w:p w:rsidRPr="00F766CA" w:rsidR="00FE28C1" w:rsidP="005D4AD7" w:rsidRDefault="00FE28C1" w14:paraId="2D1EBF5B" w14:textId="77777777">
            <w:pPr>
              <w:keepNext/>
              <w:keepLines/>
              <w:jc w:val="center"/>
              <w:rPr>
                <w:rFonts w:ascii="Palatino Linotype" w:hAnsi="Palatino Linotype"/>
                <w:sz w:val="22"/>
                <w:szCs w:val="22"/>
              </w:rPr>
            </w:pPr>
          </w:p>
        </w:tc>
        <w:tc>
          <w:tcPr>
            <w:tcW w:w="718" w:type="dxa"/>
          </w:tcPr>
          <w:p w:rsidRPr="00F766CA" w:rsidR="00FE28C1" w:rsidP="005D4AD7" w:rsidRDefault="00FE28C1" w14:paraId="0F9FDDF4" w14:textId="77777777">
            <w:pPr>
              <w:keepNext/>
              <w:keepLines/>
              <w:jc w:val="center"/>
              <w:rPr>
                <w:rFonts w:ascii="Palatino Linotype" w:hAnsi="Palatino Linotype"/>
                <w:sz w:val="22"/>
                <w:szCs w:val="22"/>
              </w:rPr>
            </w:pPr>
          </w:p>
        </w:tc>
        <w:tc>
          <w:tcPr>
            <w:tcW w:w="676" w:type="dxa"/>
          </w:tcPr>
          <w:p w:rsidRPr="00F766CA" w:rsidR="00FE28C1" w:rsidP="005D4AD7" w:rsidRDefault="00FE28C1" w14:paraId="03128F98" w14:textId="77777777">
            <w:pPr>
              <w:keepNext/>
              <w:keepLines/>
              <w:jc w:val="center"/>
              <w:rPr>
                <w:rFonts w:ascii="Palatino Linotype" w:hAnsi="Palatino Linotype"/>
                <w:sz w:val="22"/>
                <w:szCs w:val="22"/>
              </w:rPr>
            </w:pPr>
            <w:r w:rsidRPr="00F766CA">
              <w:rPr>
                <w:rFonts w:ascii="Palatino Linotype" w:hAnsi="Palatino Linotype"/>
                <w:sz w:val="22"/>
                <w:szCs w:val="22"/>
              </w:rPr>
              <w:t>200</w:t>
            </w:r>
          </w:p>
        </w:tc>
        <w:tc>
          <w:tcPr>
            <w:tcW w:w="766" w:type="dxa"/>
          </w:tcPr>
          <w:p w:rsidRPr="00F766CA" w:rsidR="00FE28C1" w:rsidP="005D4AD7" w:rsidRDefault="00FE28C1" w14:paraId="7A1B654D" w14:textId="77777777">
            <w:pPr>
              <w:keepNext/>
              <w:keepLines/>
              <w:jc w:val="center"/>
              <w:rPr>
                <w:rFonts w:ascii="Palatino Linotype" w:hAnsi="Palatino Linotype"/>
                <w:sz w:val="22"/>
                <w:szCs w:val="22"/>
              </w:rPr>
            </w:pPr>
            <w:r w:rsidRPr="00F766CA">
              <w:rPr>
                <w:rFonts w:ascii="Palatino Linotype" w:hAnsi="Palatino Linotype"/>
                <w:sz w:val="22"/>
                <w:szCs w:val="22"/>
              </w:rPr>
              <w:t>200</w:t>
            </w:r>
          </w:p>
        </w:tc>
      </w:tr>
      <w:tr w:rsidRPr="00F766CA" w:rsidR="00EA0B8F" w:rsidTr="00C700EB" w14:paraId="4C670ADE" w14:textId="77777777">
        <w:tc>
          <w:tcPr>
            <w:tcW w:w="4855" w:type="dxa"/>
          </w:tcPr>
          <w:p w:rsidRPr="00F766CA" w:rsidR="00FE28C1" w:rsidP="005D4AD7" w:rsidRDefault="00FE28C1" w14:paraId="0859DAF6" w14:textId="77777777">
            <w:pPr>
              <w:keepNext/>
              <w:keepLines/>
              <w:rPr>
                <w:rFonts w:ascii="Palatino Linotype" w:hAnsi="Palatino Linotype"/>
                <w:b/>
                <w:bCs/>
                <w:sz w:val="22"/>
                <w:szCs w:val="22"/>
              </w:rPr>
            </w:pPr>
            <w:r w:rsidRPr="00F766CA">
              <w:rPr>
                <w:rFonts w:ascii="Palatino Linotype" w:hAnsi="Palatino Linotype"/>
                <w:b/>
                <w:bCs/>
                <w:sz w:val="22"/>
                <w:szCs w:val="22"/>
              </w:rPr>
              <w:t>Total Need</w:t>
            </w:r>
          </w:p>
        </w:tc>
        <w:tc>
          <w:tcPr>
            <w:tcW w:w="630" w:type="dxa"/>
          </w:tcPr>
          <w:p w:rsidRPr="00F766CA" w:rsidR="00FE28C1" w:rsidP="005D4AD7" w:rsidRDefault="00FE28C1" w14:paraId="7A31B188" w14:textId="77777777">
            <w:pPr>
              <w:keepNext/>
              <w:keepLines/>
              <w:jc w:val="center"/>
              <w:rPr>
                <w:rFonts w:ascii="Palatino Linotype" w:hAnsi="Palatino Linotype"/>
                <w:b/>
                <w:bCs/>
                <w:sz w:val="22"/>
                <w:szCs w:val="22"/>
              </w:rPr>
            </w:pPr>
            <w:r w:rsidRPr="00F766CA">
              <w:rPr>
                <w:rFonts w:ascii="Palatino Linotype" w:hAnsi="Palatino Linotype"/>
                <w:b/>
                <w:bCs/>
                <w:sz w:val="22"/>
                <w:szCs w:val="22"/>
              </w:rPr>
              <w:t>400</w:t>
            </w:r>
          </w:p>
        </w:tc>
        <w:tc>
          <w:tcPr>
            <w:tcW w:w="766" w:type="dxa"/>
          </w:tcPr>
          <w:p w:rsidRPr="00F766CA" w:rsidR="00FE28C1" w:rsidP="005D4AD7" w:rsidRDefault="00FE28C1" w14:paraId="5F74A803" w14:textId="77777777">
            <w:pPr>
              <w:keepNext/>
              <w:keepLines/>
              <w:jc w:val="center"/>
              <w:rPr>
                <w:rFonts w:ascii="Palatino Linotype" w:hAnsi="Palatino Linotype"/>
                <w:b/>
                <w:bCs/>
                <w:sz w:val="22"/>
                <w:szCs w:val="22"/>
              </w:rPr>
            </w:pPr>
            <w:r w:rsidRPr="00F766CA">
              <w:rPr>
                <w:rFonts w:ascii="Palatino Linotype" w:hAnsi="Palatino Linotype"/>
                <w:b/>
                <w:bCs/>
                <w:sz w:val="22"/>
                <w:szCs w:val="22"/>
              </w:rPr>
              <w:t>1,201</w:t>
            </w:r>
          </w:p>
        </w:tc>
        <w:tc>
          <w:tcPr>
            <w:tcW w:w="676" w:type="dxa"/>
          </w:tcPr>
          <w:p w:rsidRPr="00F766CA" w:rsidR="00FE28C1" w:rsidP="005D4AD7" w:rsidRDefault="00FE28C1" w14:paraId="195E73CD" w14:textId="77777777">
            <w:pPr>
              <w:keepNext/>
              <w:keepLines/>
              <w:jc w:val="center"/>
              <w:rPr>
                <w:rFonts w:ascii="Palatino Linotype" w:hAnsi="Palatino Linotype"/>
                <w:b/>
                <w:bCs/>
                <w:sz w:val="22"/>
                <w:szCs w:val="22"/>
              </w:rPr>
            </w:pPr>
            <w:r w:rsidRPr="00F766CA">
              <w:rPr>
                <w:rFonts w:ascii="Palatino Linotype" w:hAnsi="Palatino Linotype"/>
                <w:b/>
                <w:bCs/>
                <w:sz w:val="22"/>
                <w:szCs w:val="22"/>
              </w:rPr>
              <w:t>300</w:t>
            </w:r>
          </w:p>
        </w:tc>
        <w:tc>
          <w:tcPr>
            <w:tcW w:w="719" w:type="dxa"/>
          </w:tcPr>
          <w:p w:rsidRPr="00F766CA" w:rsidR="00FE28C1" w:rsidP="005D4AD7" w:rsidRDefault="00FE28C1" w14:paraId="578D4AD9" w14:textId="77777777">
            <w:pPr>
              <w:keepNext/>
              <w:keepLines/>
              <w:jc w:val="center"/>
              <w:rPr>
                <w:rFonts w:ascii="Palatino Linotype" w:hAnsi="Palatino Linotype"/>
                <w:b/>
                <w:bCs/>
                <w:sz w:val="22"/>
                <w:szCs w:val="22"/>
              </w:rPr>
            </w:pPr>
            <w:r w:rsidRPr="00F766CA">
              <w:rPr>
                <w:rFonts w:ascii="Palatino Linotype" w:hAnsi="Palatino Linotype"/>
                <w:b/>
                <w:bCs/>
                <w:sz w:val="22"/>
                <w:szCs w:val="22"/>
              </w:rPr>
              <w:t>388</w:t>
            </w:r>
          </w:p>
        </w:tc>
        <w:tc>
          <w:tcPr>
            <w:tcW w:w="718" w:type="dxa"/>
          </w:tcPr>
          <w:p w:rsidRPr="00F766CA" w:rsidR="00FE28C1" w:rsidP="005D4AD7" w:rsidRDefault="00FE28C1" w14:paraId="627D5CB1" w14:textId="77777777">
            <w:pPr>
              <w:keepNext/>
              <w:keepLines/>
              <w:jc w:val="center"/>
              <w:rPr>
                <w:rFonts w:ascii="Palatino Linotype" w:hAnsi="Palatino Linotype"/>
                <w:b/>
                <w:bCs/>
                <w:sz w:val="22"/>
                <w:szCs w:val="22"/>
              </w:rPr>
            </w:pPr>
            <w:r w:rsidRPr="00F766CA">
              <w:rPr>
                <w:rFonts w:ascii="Palatino Linotype" w:hAnsi="Palatino Linotype"/>
                <w:b/>
                <w:bCs/>
                <w:sz w:val="22"/>
                <w:szCs w:val="22"/>
              </w:rPr>
              <w:t>388</w:t>
            </w:r>
          </w:p>
        </w:tc>
        <w:tc>
          <w:tcPr>
            <w:tcW w:w="676" w:type="dxa"/>
          </w:tcPr>
          <w:p w:rsidRPr="00F766CA" w:rsidR="00FE28C1" w:rsidP="005D4AD7" w:rsidRDefault="00FE28C1" w14:paraId="7E59E7C9" w14:textId="77777777">
            <w:pPr>
              <w:keepNext/>
              <w:keepLines/>
              <w:jc w:val="center"/>
              <w:rPr>
                <w:rFonts w:ascii="Palatino Linotype" w:hAnsi="Palatino Linotype"/>
                <w:b/>
                <w:bCs/>
                <w:sz w:val="22"/>
                <w:szCs w:val="22"/>
              </w:rPr>
            </w:pPr>
            <w:r w:rsidRPr="00F766CA">
              <w:rPr>
                <w:rFonts w:ascii="Palatino Linotype" w:hAnsi="Palatino Linotype"/>
                <w:b/>
                <w:bCs/>
                <w:sz w:val="22"/>
                <w:szCs w:val="22"/>
              </w:rPr>
              <w:t>400</w:t>
            </w:r>
          </w:p>
        </w:tc>
        <w:tc>
          <w:tcPr>
            <w:tcW w:w="766" w:type="dxa"/>
          </w:tcPr>
          <w:p w:rsidRPr="00F766CA" w:rsidR="00FE28C1" w:rsidP="005D4AD7" w:rsidRDefault="00FE28C1" w14:paraId="5A1E0307" w14:textId="77777777">
            <w:pPr>
              <w:keepNext/>
              <w:keepLines/>
              <w:jc w:val="center"/>
              <w:rPr>
                <w:rFonts w:ascii="Palatino Linotype" w:hAnsi="Palatino Linotype"/>
                <w:b/>
                <w:bCs/>
                <w:sz w:val="22"/>
                <w:szCs w:val="22"/>
              </w:rPr>
            </w:pPr>
            <w:r w:rsidRPr="00F766CA">
              <w:rPr>
                <w:rFonts w:ascii="Palatino Linotype" w:hAnsi="Palatino Linotype"/>
                <w:b/>
                <w:bCs/>
                <w:sz w:val="22"/>
                <w:szCs w:val="22"/>
              </w:rPr>
              <w:t>3,077</w:t>
            </w:r>
          </w:p>
        </w:tc>
      </w:tr>
      <w:bookmarkEnd w:id="2"/>
    </w:tbl>
    <w:p w:rsidRPr="00F766CA" w:rsidR="00FE28C1" w:rsidP="00202DBB" w:rsidRDefault="00FE28C1" w14:paraId="2818D2FF" w14:textId="77777777">
      <w:pPr>
        <w:keepNext/>
        <w:keepLines/>
        <w:spacing w:after="0" w:line="240" w:lineRule="auto"/>
        <w:rPr>
          <w:rFonts w:ascii="Palatino Linotype" w:hAnsi="Palatino Linotype"/>
          <w:sz w:val="16"/>
          <w:szCs w:val="16"/>
        </w:rPr>
      </w:pPr>
    </w:p>
    <w:p w:rsidR="00CB691A" w:rsidP="00A379E2" w:rsidRDefault="0088017E" w14:paraId="5B634D23" w14:textId="77777777">
      <w:pPr>
        <w:rPr>
          <w:rFonts w:ascii="Palatino Linotype" w:hAnsi="Palatino Linotype"/>
          <w:sz w:val="24"/>
          <w:szCs w:val="24"/>
        </w:rPr>
      </w:pPr>
      <w:r w:rsidRPr="32DF9905">
        <w:rPr>
          <w:rFonts w:ascii="Palatino Linotype" w:hAnsi="Palatino Linotype"/>
          <w:sz w:val="24"/>
          <w:szCs w:val="24"/>
        </w:rPr>
        <w:t xml:space="preserve">On June 18, 2021, </w:t>
      </w:r>
      <w:r w:rsidRPr="32DF9905" w:rsidR="00751D45">
        <w:rPr>
          <w:rFonts w:ascii="Palatino Linotype" w:hAnsi="Palatino Linotype"/>
          <w:sz w:val="24"/>
          <w:szCs w:val="24"/>
        </w:rPr>
        <w:t>PG&amp;E issued an MTR Request for Offers (RFO) – Phase 1</w:t>
      </w:r>
      <w:r w:rsidRPr="32DF9905" w:rsidR="00ED3909">
        <w:rPr>
          <w:rFonts w:ascii="Palatino Linotype" w:hAnsi="Palatino Linotype"/>
          <w:sz w:val="24"/>
          <w:szCs w:val="24"/>
        </w:rPr>
        <w:t>,</w:t>
      </w:r>
      <w:r w:rsidRPr="32DF9905" w:rsidR="00751D45">
        <w:rPr>
          <w:rFonts w:ascii="Palatino Linotype" w:hAnsi="Palatino Linotype"/>
          <w:sz w:val="24"/>
          <w:szCs w:val="24"/>
        </w:rPr>
        <w:t xml:space="preserve"> to procure resources for incremental NQC with expected online date</w:t>
      </w:r>
      <w:r w:rsidRPr="32DF9905" w:rsidR="356B3849">
        <w:rPr>
          <w:rFonts w:ascii="Palatino Linotype" w:hAnsi="Palatino Linotype"/>
          <w:sz w:val="24"/>
          <w:szCs w:val="24"/>
        </w:rPr>
        <w:t>s</w:t>
      </w:r>
      <w:r w:rsidRPr="32DF9905" w:rsidR="00751D45">
        <w:rPr>
          <w:rFonts w:ascii="Palatino Linotype" w:hAnsi="Palatino Linotype"/>
          <w:sz w:val="24"/>
          <w:szCs w:val="24"/>
        </w:rPr>
        <w:t xml:space="preserve"> of August 1, </w:t>
      </w:r>
      <w:r w:rsidRPr="32DF9905" w:rsidR="00ED3909">
        <w:rPr>
          <w:rFonts w:ascii="Palatino Linotype" w:hAnsi="Palatino Linotype"/>
          <w:sz w:val="24"/>
          <w:szCs w:val="24"/>
        </w:rPr>
        <w:t>2023,</w:t>
      </w:r>
      <w:r w:rsidRPr="32DF9905" w:rsidR="00751D45">
        <w:rPr>
          <w:rFonts w:ascii="Palatino Linotype" w:hAnsi="Palatino Linotype"/>
          <w:sz w:val="24"/>
          <w:szCs w:val="24"/>
        </w:rPr>
        <w:t xml:space="preserve"> and </w:t>
      </w:r>
      <w:r>
        <w:br/>
      </w:r>
      <w:r w:rsidRPr="32DF9905" w:rsidR="00751D45">
        <w:rPr>
          <w:rFonts w:ascii="Palatino Linotype" w:hAnsi="Palatino Linotype"/>
          <w:sz w:val="24"/>
          <w:szCs w:val="24"/>
        </w:rPr>
        <w:t>June 1, 2024</w:t>
      </w:r>
      <w:r w:rsidRPr="32DF9905" w:rsidR="00A01781">
        <w:rPr>
          <w:rFonts w:ascii="Palatino Linotype" w:hAnsi="Palatino Linotype"/>
          <w:sz w:val="24"/>
          <w:szCs w:val="24"/>
        </w:rPr>
        <w:t xml:space="preserve">. In accordance with D.21-06-035, PG&amp;E executed </w:t>
      </w:r>
      <w:r w:rsidRPr="32DF9905" w:rsidR="0060181C">
        <w:rPr>
          <w:rFonts w:ascii="Palatino Linotype" w:hAnsi="Palatino Linotype"/>
          <w:sz w:val="24"/>
          <w:szCs w:val="24"/>
        </w:rPr>
        <w:t xml:space="preserve">nine </w:t>
      </w:r>
      <w:r w:rsidRPr="32DF9905" w:rsidR="00751D45">
        <w:rPr>
          <w:rFonts w:ascii="Palatino Linotype" w:hAnsi="Palatino Linotype"/>
          <w:sz w:val="24"/>
          <w:szCs w:val="24"/>
        </w:rPr>
        <w:t xml:space="preserve">contracts </w:t>
      </w:r>
      <w:r w:rsidRPr="32DF9905" w:rsidR="005A25EC">
        <w:rPr>
          <w:rFonts w:ascii="Palatino Linotype" w:hAnsi="Palatino Linotype"/>
          <w:sz w:val="24"/>
          <w:szCs w:val="24"/>
        </w:rPr>
        <w:t xml:space="preserve">on </w:t>
      </w:r>
      <w:r w:rsidR="001E21CF">
        <w:rPr>
          <w:rFonts w:ascii="Palatino Linotype" w:hAnsi="Palatino Linotype"/>
          <w:sz w:val="24"/>
          <w:szCs w:val="24"/>
        </w:rPr>
        <w:br/>
      </w:r>
      <w:r w:rsidRPr="32DF9905" w:rsidR="005A25EC">
        <w:rPr>
          <w:rFonts w:ascii="Palatino Linotype" w:hAnsi="Palatino Linotype"/>
          <w:sz w:val="24"/>
          <w:szCs w:val="24"/>
        </w:rPr>
        <w:t>January 1, 2022</w:t>
      </w:r>
      <w:r w:rsidRPr="2DB640CD" w:rsidR="707D6624">
        <w:rPr>
          <w:rFonts w:ascii="Palatino Linotype" w:hAnsi="Palatino Linotype"/>
          <w:sz w:val="24"/>
          <w:szCs w:val="24"/>
        </w:rPr>
        <w:t>,</w:t>
      </w:r>
      <w:r w:rsidRPr="32DF9905" w:rsidR="005A25EC">
        <w:rPr>
          <w:rFonts w:ascii="Palatino Linotype" w:hAnsi="Palatino Linotype"/>
          <w:sz w:val="24"/>
          <w:szCs w:val="24"/>
        </w:rPr>
        <w:t xml:space="preserve"> </w:t>
      </w:r>
      <w:r w:rsidRPr="32DF9905" w:rsidR="00751D45">
        <w:rPr>
          <w:rFonts w:ascii="Palatino Linotype" w:hAnsi="Palatino Linotype"/>
          <w:sz w:val="24"/>
          <w:szCs w:val="24"/>
        </w:rPr>
        <w:t xml:space="preserve">for 1,598.7 MW of nameplate capacity. </w:t>
      </w:r>
      <w:r w:rsidRPr="32DF9905" w:rsidR="007A4976">
        <w:rPr>
          <w:rFonts w:ascii="Palatino Linotype" w:hAnsi="Palatino Linotype"/>
          <w:sz w:val="24"/>
          <w:szCs w:val="24"/>
        </w:rPr>
        <w:t xml:space="preserve">PG&amp;E sought approval for these contracts, which included </w:t>
      </w:r>
      <w:r w:rsidRPr="32DF9905" w:rsidR="00DC02EA">
        <w:rPr>
          <w:rFonts w:ascii="Palatino Linotype" w:hAnsi="Palatino Linotype"/>
          <w:sz w:val="24"/>
          <w:szCs w:val="24"/>
        </w:rPr>
        <w:t>Nighthawk</w:t>
      </w:r>
      <w:r w:rsidRPr="32DF9905" w:rsidR="00186877">
        <w:rPr>
          <w:rFonts w:ascii="Palatino Linotype" w:hAnsi="Palatino Linotype"/>
          <w:sz w:val="24"/>
          <w:szCs w:val="24"/>
        </w:rPr>
        <w:t>, in Advice Letter (AL) 6477-E, which the Commission approved on</w:t>
      </w:r>
      <w:r w:rsidRPr="32DF9905" w:rsidR="00751D45">
        <w:rPr>
          <w:rFonts w:ascii="Palatino Linotype" w:hAnsi="Palatino Linotype"/>
          <w:sz w:val="24"/>
          <w:szCs w:val="24"/>
        </w:rPr>
        <w:t xml:space="preserve"> April 21, </w:t>
      </w:r>
      <w:r w:rsidRPr="32DF9905" w:rsidR="00ED3909">
        <w:rPr>
          <w:rFonts w:ascii="Palatino Linotype" w:hAnsi="Palatino Linotype"/>
          <w:sz w:val="24"/>
          <w:szCs w:val="24"/>
        </w:rPr>
        <w:t>2022,</w:t>
      </w:r>
      <w:r w:rsidRPr="32DF9905" w:rsidR="00751D45">
        <w:rPr>
          <w:rFonts w:ascii="Palatino Linotype" w:hAnsi="Palatino Linotype"/>
          <w:sz w:val="24"/>
          <w:szCs w:val="24"/>
        </w:rPr>
        <w:t xml:space="preserve"> in Resolution E-5202.</w:t>
      </w:r>
    </w:p>
    <w:p w:rsidR="00C826E4" w:rsidP="00C34A2B" w:rsidRDefault="00CB691A" w14:paraId="0B932304" w14:textId="77777777">
      <w:pPr>
        <w:spacing w:after="120"/>
        <w:rPr>
          <w:rFonts w:ascii="Palatino Linotype" w:hAnsi="Palatino Linotype"/>
          <w:sz w:val="24"/>
          <w:szCs w:val="24"/>
        </w:rPr>
      </w:pPr>
      <w:r>
        <w:rPr>
          <w:rFonts w:ascii="Palatino Linotype" w:hAnsi="Palatino Linotype"/>
          <w:sz w:val="24"/>
          <w:szCs w:val="24"/>
        </w:rPr>
        <w:t>After the contracts were executed</w:t>
      </w:r>
      <w:r w:rsidRPr="036E28A1" w:rsidR="5646BF4B">
        <w:rPr>
          <w:rFonts w:ascii="Palatino Linotype" w:hAnsi="Palatino Linotype"/>
          <w:sz w:val="24"/>
          <w:szCs w:val="24"/>
        </w:rPr>
        <w:t xml:space="preserve"> and approved by the CPUC</w:t>
      </w:r>
      <w:r>
        <w:rPr>
          <w:rFonts w:ascii="Palatino Linotype" w:hAnsi="Palatino Linotype"/>
          <w:sz w:val="24"/>
          <w:szCs w:val="24"/>
        </w:rPr>
        <w:t xml:space="preserve">, </w:t>
      </w:r>
      <w:proofErr w:type="spellStart"/>
      <w:r w:rsidR="00F27750">
        <w:rPr>
          <w:rFonts w:ascii="Palatino Linotype" w:hAnsi="Palatino Linotype"/>
          <w:sz w:val="24"/>
          <w:szCs w:val="24"/>
        </w:rPr>
        <w:t>Arevon</w:t>
      </w:r>
      <w:proofErr w:type="spellEnd"/>
      <w:r w:rsidR="00F27750">
        <w:rPr>
          <w:rFonts w:ascii="Palatino Linotype" w:hAnsi="Palatino Linotype"/>
          <w:sz w:val="24"/>
          <w:szCs w:val="24"/>
        </w:rPr>
        <w:t xml:space="preserve"> Energy, Inc.</w:t>
      </w:r>
      <w:r w:rsidR="00EC0E21">
        <w:rPr>
          <w:rFonts w:ascii="Palatino Linotype" w:hAnsi="Palatino Linotype"/>
          <w:sz w:val="24"/>
          <w:szCs w:val="24"/>
        </w:rPr>
        <w:t xml:space="preserve"> </w:t>
      </w:r>
      <w:r w:rsidR="001E619E">
        <w:rPr>
          <w:rFonts w:ascii="Palatino Linotype" w:hAnsi="Palatino Linotype"/>
          <w:sz w:val="24"/>
          <w:szCs w:val="24"/>
        </w:rPr>
        <w:t>expressed</w:t>
      </w:r>
      <w:r w:rsidR="00FF57AE">
        <w:rPr>
          <w:rFonts w:ascii="Palatino Linotype" w:hAnsi="Palatino Linotype"/>
          <w:sz w:val="24"/>
          <w:szCs w:val="24"/>
        </w:rPr>
        <w:t xml:space="preserve"> concerns</w:t>
      </w:r>
      <w:r w:rsidRPr="036E28A1" w:rsidR="5D96C86C">
        <w:rPr>
          <w:rFonts w:ascii="Palatino Linotype" w:hAnsi="Palatino Linotype"/>
          <w:sz w:val="24"/>
          <w:szCs w:val="24"/>
        </w:rPr>
        <w:t xml:space="preserve"> </w:t>
      </w:r>
      <w:r w:rsidRPr="036E28A1" w:rsidR="3F9CD6FB">
        <w:rPr>
          <w:rFonts w:ascii="Palatino Linotype" w:hAnsi="Palatino Linotype"/>
          <w:sz w:val="24"/>
          <w:szCs w:val="24"/>
        </w:rPr>
        <w:t>to PG&amp;E</w:t>
      </w:r>
      <w:r w:rsidR="00FF57AE">
        <w:rPr>
          <w:rFonts w:ascii="Palatino Linotype" w:hAnsi="Palatino Linotype"/>
          <w:sz w:val="24"/>
          <w:szCs w:val="24"/>
        </w:rPr>
        <w:t xml:space="preserve"> regarding </w:t>
      </w:r>
      <w:r w:rsidR="00B37ACD">
        <w:rPr>
          <w:rFonts w:ascii="Palatino Linotype" w:hAnsi="Palatino Linotype"/>
          <w:sz w:val="24"/>
          <w:szCs w:val="24"/>
        </w:rPr>
        <w:t>unprecedentedly</w:t>
      </w:r>
      <w:r w:rsidR="00FF57AE">
        <w:rPr>
          <w:rFonts w:ascii="Palatino Linotype" w:hAnsi="Palatino Linotype"/>
          <w:sz w:val="24"/>
          <w:szCs w:val="24"/>
        </w:rPr>
        <w:t xml:space="preserve"> </w:t>
      </w:r>
      <w:r w:rsidR="00CD1A45">
        <w:rPr>
          <w:rFonts w:ascii="Palatino Linotype" w:hAnsi="Palatino Linotype"/>
          <w:sz w:val="24"/>
          <w:szCs w:val="24"/>
        </w:rPr>
        <w:t>changing</w:t>
      </w:r>
      <w:r w:rsidR="00FF57AE">
        <w:rPr>
          <w:rFonts w:ascii="Palatino Linotype" w:hAnsi="Palatino Linotype"/>
          <w:sz w:val="24"/>
          <w:szCs w:val="24"/>
        </w:rPr>
        <w:t xml:space="preserve"> market conditions that render the projects uneconomical.</w:t>
      </w:r>
      <w:r w:rsidR="00360A16">
        <w:rPr>
          <w:rFonts w:ascii="Palatino Linotype" w:hAnsi="Palatino Linotype"/>
          <w:sz w:val="24"/>
          <w:szCs w:val="24"/>
        </w:rPr>
        <w:t xml:space="preserve"> The parties indicated that</w:t>
      </w:r>
      <w:r w:rsidR="008644CC">
        <w:rPr>
          <w:rFonts w:ascii="Palatino Linotype" w:hAnsi="Palatino Linotype"/>
          <w:sz w:val="24"/>
          <w:szCs w:val="24"/>
        </w:rPr>
        <w:t>, because they were unable to complete the projects under the existing contractual terms and conditions, they request amendments to avoid default</w:t>
      </w:r>
      <w:r w:rsidR="00CD1A45">
        <w:rPr>
          <w:rFonts w:ascii="Palatino Linotype" w:hAnsi="Palatino Linotype"/>
          <w:sz w:val="24"/>
          <w:szCs w:val="24"/>
        </w:rPr>
        <w:t xml:space="preserve">. </w:t>
      </w:r>
      <w:r w:rsidR="00CA10FB">
        <w:rPr>
          <w:rFonts w:ascii="Palatino Linotype" w:hAnsi="Palatino Linotype"/>
          <w:sz w:val="24"/>
          <w:szCs w:val="24"/>
        </w:rPr>
        <w:t xml:space="preserve">PG&amp;E stated that the main drivers cited for the price </w:t>
      </w:r>
      <w:r w:rsidR="009E24B7">
        <w:rPr>
          <w:rFonts w:ascii="Palatino Linotype" w:hAnsi="Palatino Linotype"/>
          <w:sz w:val="24"/>
          <w:szCs w:val="24"/>
        </w:rPr>
        <w:t>changes</w:t>
      </w:r>
      <w:r w:rsidR="00CA10FB">
        <w:rPr>
          <w:rFonts w:ascii="Palatino Linotype" w:hAnsi="Palatino Linotype"/>
          <w:sz w:val="24"/>
          <w:szCs w:val="24"/>
        </w:rPr>
        <w:t xml:space="preserve"> include</w:t>
      </w:r>
      <w:r w:rsidR="00C826E4">
        <w:rPr>
          <w:rFonts w:ascii="Palatino Linotype" w:hAnsi="Palatino Linotype"/>
          <w:sz w:val="24"/>
          <w:szCs w:val="24"/>
        </w:rPr>
        <w:t>:</w:t>
      </w:r>
    </w:p>
    <w:p w:rsidRPr="00C826E4" w:rsidR="00C826E4" w:rsidP="00850004" w:rsidRDefault="00C826E4" w14:paraId="26B30820" w14:textId="77777777">
      <w:pPr>
        <w:pStyle w:val="ListParagraph"/>
        <w:numPr>
          <w:ilvl w:val="0"/>
          <w:numId w:val="3"/>
        </w:numPr>
        <w:ind w:left="810" w:hanging="450"/>
        <w:rPr>
          <w:rFonts w:ascii="Palatino Linotype" w:hAnsi="Palatino Linotype"/>
          <w:sz w:val="24"/>
          <w:szCs w:val="24"/>
        </w:rPr>
      </w:pPr>
      <w:r w:rsidRPr="00C826E4">
        <w:rPr>
          <w:rFonts w:ascii="Palatino Linotype" w:hAnsi="Palatino Linotype"/>
          <w:sz w:val="24"/>
          <w:szCs w:val="24"/>
        </w:rPr>
        <w:t>S</w:t>
      </w:r>
      <w:r w:rsidRPr="00C826E4" w:rsidR="00CA10FB">
        <w:rPr>
          <w:rFonts w:ascii="Palatino Linotype" w:hAnsi="Palatino Linotype"/>
          <w:sz w:val="24"/>
          <w:szCs w:val="24"/>
        </w:rPr>
        <w:t xml:space="preserve">ignificant increases in battery prices due to increases in commodity prices for lithium carbonate and metals used in manufacturing lithium-ion </w:t>
      </w:r>
      <w:proofErr w:type="gramStart"/>
      <w:r w:rsidRPr="00C826E4" w:rsidR="00CA10FB">
        <w:rPr>
          <w:rFonts w:ascii="Palatino Linotype" w:hAnsi="Palatino Linotype"/>
          <w:sz w:val="24"/>
          <w:szCs w:val="24"/>
        </w:rPr>
        <w:t>batteries</w:t>
      </w:r>
      <w:r w:rsidRPr="00C826E4">
        <w:rPr>
          <w:rFonts w:ascii="Palatino Linotype" w:hAnsi="Palatino Linotype"/>
          <w:sz w:val="24"/>
          <w:szCs w:val="24"/>
        </w:rPr>
        <w:t>;</w:t>
      </w:r>
      <w:proofErr w:type="gramEnd"/>
    </w:p>
    <w:p w:rsidRPr="00C826E4" w:rsidR="00C826E4" w:rsidP="00850004" w:rsidRDefault="00C826E4" w14:paraId="3D4B8BE4" w14:textId="77777777">
      <w:pPr>
        <w:pStyle w:val="ListParagraph"/>
        <w:numPr>
          <w:ilvl w:val="0"/>
          <w:numId w:val="3"/>
        </w:numPr>
        <w:ind w:left="810" w:hanging="450"/>
        <w:rPr>
          <w:rFonts w:ascii="Palatino Linotype" w:hAnsi="Palatino Linotype"/>
          <w:sz w:val="24"/>
          <w:szCs w:val="24"/>
        </w:rPr>
      </w:pPr>
      <w:r w:rsidRPr="00C826E4">
        <w:rPr>
          <w:rFonts w:ascii="Palatino Linotype" w:hAnsi="Palatino Linotype"/>
          <w:sz w:val="24"/>
          <w:szCs w:val="24"/>
        </w:rPr>
        <w:t xml:space="preserve">Continued supply chain </w:t>
      </w:r>
      <w:proofErr w:type="gramStart"/>
      <w:r w:rsidRPr="00C826E4">
        <w:rPr>
          <w:rFonts w:ascii="Palatino Linotype" w:hAnsi="Palatino Linotype"/>
          <w:sz w:val="24"/>
          <w:szCs w:val="24"/>
        </w:rPr>
        <w:t>constraints;</w:t>
      </w:r>
      <w:proofErr w:type="gramEnd"/>
    </w:p>
    <w:p w:rsidRPr="00C826E4" w:rsidR="00C826E4" w:rsidP="00850004" w:rsidRDefault="00C826E4" w14:paraId="1642829F" w14:textId="77777777">
      <w:pPr>
        <w:pStyle w:val="ListParagraph"/>
        <w:numPr>
          <w:ilvl w:val="0"/>
          <w:numId w:val="3"/>
        </w:numPr>
        <w:ind w:left="810" w:hanging="450"/>
        <w:rPr>
          <w:rFonts w:ascii="Palatino Linotype" w:hAnsi="Palatino Linotype"/>
          <w:sz w:val="24"/>
          <w:szCs w:val="24"/>
        </w:rPr>
      </w:pPr>
      <w:r w:rsidRPr="00C826E4">
        <w:rPr>
          <w:rFonts w:ascii="Palatino Linotype" w:hAnsi="Palatino Linotype"/>
          <w:sz w:val="24"/>
          <w:szCs w:val="24"/>
        </w:rPr>
        <w:t>Increasing balance of system costs due to high inflation affecting materials and labor costs; and</w:t>
      </w:r>
    </w:p>
    <w:p w:rsidR="00C826E4" w:rsidP="00C34A2B" w:rsidRDefault="00C826E4" w14:paraId="1099CA9B" w14:textId="77777777">
      <w:pPr>
        <w:pStyle w:val="ListParagraph"/>
        <w:numPr>
          <w:ilvl w:val="0"/>
          <w:numId w:val="3"/>
        </w:numPr>
        <w:spacing w:after="120"/>
        <w:ind w:left="806" w:hanging="446"/>
        <w:rPr>
          <w:rFonts w:ascii="Palatino Linotype" w:hAnsi="Palatino Linotype"/>
          <w:sz w:val="24"/>
          <w:szCs w:val="24"/>
        </w:rPr>
      </w:pPr>
      <w:r w:rsidRPr="00C826E4">
        <w:rPr>
          <w:rFonts w:ascii="Palatino Linotype" w:hAnsi="Palatino Linotype"/>
          <w:sz w:val="24"/>
          <w:szCs w:val="24"/>
        </w:rPr>
        <w:t xml:space="preserve">Increasing cost of capital as </w:t>
      </w:r>
      <w:r w:rsidR="001063DF">
        <w:rPr>
          <w:rFonts w:ascii="Palatino Linotype" w:hAnsi="Palatino Linotype"/>
          <w:sz w:val="24"/>
          <w:szCs w:val="24"/>
        </w:rPr>
        <w:t>The</w:t>
      </w:r>
      <w:r w:rsidRPr="00C826E4">
        <w:rPr>
          <w:rFonts w:ascii="Palatino Linotype" w:hAnsi="Palatino Linotype"/>
          <w:sz w:val="24"/>
          <w:szCs w:val="24"/>
        </w:rPr>
        <w:t xml:space="preserve"> Federal Reserve had </w:t>
      </w:r>
      <w:r w:rsidR="00AB3D6E">
        <w:rPr>
          <w:rFonts w:ascii="Palatino Linotype" w:hAnsi="Palatino Linotype"/>
          <w:sz w:val="24"/>
          <w:szCs w:val="24"/>
        </w:rPr>
        <w:t>raised</w:t>
      </w:r>
      <w:r w:rsidRPr="00C826E4">
        <w:rPr>
          <w:rFonts w:ascii="Palatino Linotype" w:hAnsi="Palatino Linotype"/>
          <w:sz w:val="24"/>
          <w:szCs w:val="24"/>
        </w:rPr>
        <w:t xml:space="preserve"> interest rates in response to inflation.</w:t>
      </w:r>
      <w:r w:rsidR="001063DF">
        <w:rPr>
          <w:rStyle w:val="FootnoteReference"/>
          <w:rFonts w:ascii="Palatino Linotype" w:hAnsi="Palatino Linotype"/>
          <w:sz w:val="24"/>
          <w:szCs w:val="24"/>
        </w:rPr>
        <w:footnoteReference w:id="4"/>
      </w:r>
    </w:p>
    <w:p w:rsidR="0007056B" w:rsidP="0046704C" w:rsidRDefault="006C6BF2" w14:paraId="76FE62AA" w14:textId="77777777">
      <w:pPr>
        <w:spacing w:after="0" w:line="264" w:lineRule="auto"/>
        <w:rPr>
          <w:rFonts w:ascii="Palatino Linotype" w:hAnsi="Palatino Linotype" w:eastAsia="Palatino Linotype" w:cs="Palatino Linotype"/>
          <w:sz w:val="24"/>
          <w:szCs w:val="24"/>
        </w:rPr>
      </w:pPr>
      <w:r w:rsidRPr="005C5F04">
        <w:rPr>
          <w:rFonts w:ascii="Palatino Linotype" w:hAnsi="Palatino Linotype" w:eastAsia="Palatino Linotype" w:cs="Palatino Linotype"/>
          <w:sz w:val="24"/>
          <w:szCs w:val="24"/>
        </w:rPr>
        <w:t xml:space="preserve">PG&amp;E </w:t>
      </w:r>
      <w:r w:rsidRPr="005C5F04" w:rsidR="001E404A">
        <w:rPr>
          <w:rFonts w:ascii="Palatino Linotype" w:hAnsi="Palatino Linotype" w:eastAsia="Palatino Linotype" w:cs="Palatino Linotype"/>
          <w:sz w:val="24"/>
          <w:szCs w:val="24"/>
        </w:rPr>
        <w:t>stated that the proposed price increases were competitive with the market prices and quantities of MW available in its subsequent</w:t>
      </w:r>
      <w:r w:rsidRPr="005C5F04">
        <w:rPr>
          <w:rFonts w:ascii="Palatino Linotype" w:hAnsi="Palatino Linotype" w:eastAsia="Palatino Linotype" w:cs="Palatino Linotype"/>
          <w:sz w:val="24"/>
          <w:szCs w:val="24"/>
        </w:rPr>
        <w:t xml:space="preserve"> </w:t>
      </w:r>
      <w:r w:rsidR="00183865">
        <w:rPr>
          <w:rFonts w:ascii="Palatino Linotype" w:hAnsi="Palatino Linotype" w:eastAsia="Palatino Linotype" w:cs="Palatino Linotype"/>
          <w:sz w:val="24"/>
          <w:szCs w:val="24"/>
        </w:rPr>
        <w:t>MTR</w:t>
      </w:r>
      <w:r w:rsidRPr="005C5F04">
        <w:rPr>
          <w:rFonts w:ascii="Palatino Linotype" w:hAnsi="Palatino Linotype" w:eastAsia="Palatino Linotype" w:cs="Palatino Linotype"/>
          <w:sz w:val="24"/>
          <w:szCs w:val="24"/>
        </w:rPr>
        <w:t xml:space="preserve"> Phase 2</w:t>
      </w:r>
      <w:r w:rsidRPr="005C5F04" w:rsidR="001E404A">
        <w:rPr>
          <w:rFonts w:ascii="Palatino Linotype" w:hAnsi="Palatino Linotype" w:eastAsia="Palatino Linotype" w:cs="Palatino Linotype"/>
          <w:sz w:val="24"/>
          <w:szCs w:val="24"/>
        </w:rPr>
        <w:t xml:space="preserve"> </w:t>
      </w:r>
      <w:r w:rsidR="008742DE">
        <w:rPr>
          <w:rFonts w:ascii="Palatino Linotype" w:hAnsi="Palatino Linotype" w:eastAsia="Palatino Linotype" w:cs="Palatino Linotype"/>
          <w:sz w:val="24"/>
          <w:szCs w:val="24"/>
        </w:rPr>
        <w:t>RFOs</w:t>
      </w:r>
      <w:r w:rsidRPr="005C5F04" w:rsidR="001E404A">
        <w:rPr>
          <w:rFonts w:ascii="Palatino Linotype" w:hAnsi="Palatino Linotype" w:eastAsia="Palatino Linotype" w:cs="Palatino Linotype"/>
          <w:sz w:val="24"/>
          <w:szCs w:val="24"/>
        </w:rPr>
        <w:t>.</w:t>
      </w:r>
      <w:r w:rsidRPr="005C5F04" w:rsidR="00F440DA">
        <w:rPr>
          <w:rFonts w:ascii="Palatino Linotype" w:hAnsi="Palatino Linotype" w:eastAsia="Palatino Linotype" w:cs="Palatino Linotype"/>
          <w:sz w:val="24"/>
          <w:szCs w:val="24"/>
        </w:rPr>
        <w:t xml:space="preserve"> Additionally, PG&amp;E stated that the final negotiated price reflected the </w:t>
      </w:r>
      <w:r w:rsidRPr="005C5F04" w:rsidR="00410AA1">
        <w:rPr>
          <w:rFonts w:ascii="Palatino Linotype" w:hAnsi="Palatino Linotype" w:eastAsia="Palatino Linotype" w:cs="Palatino Linotype"/>
          <w:sz w:val="24"/>
          <w:szCs w:val="24"/>
        </w:rPr>
        <w:t xml:space="preserve">benefit sharing </w:t>
      </w:r>
      <w:r w:rsidRPr="005C5F04" w:rsidR="000C359C">
        <w:rPr>
          <w:rFonts w:ascii="Palatino Linotype" w:hAnsi="Palatino Linotype" w:eastAsia="Palatino Linotype" w:cs="Palatino Linotype"/>
          <w:sz w:val="24"/>
          <w:szCs w:val="24"/>
        </w:rPr>
        <w:t>of</w:t>
      </w:r>
      <w:r w:rsidRPr="005C5F04" w:rsidR="00410AA1">
        <w:rPr>
          <w:rFonts w:ascii="Palatino Linotype" w:hAnsi="Palatino Linotype" w:eastAsia="Palatino Linotype" w:cs="Palatino Linotype"/>
          <w:sz w:val="24"/>
          <w:szCs w:val="24"/>
        </w:rPr>
        <w:t xml:space="preserve"> the lower capital cost of equipment for standalone energy storage as provided by the Inflation Reduction Act</w:t>
      </w:r>
      <w:r w:rsidRPr="005C5F04" w:rsidR="00491385">
        <w:rPr>
          <w:rFonts w:ascii="Palatino Linotype" w:hAnsi="Palatino Linotype" w:eastAsia="Palatino Linotype" w:cs="Palatino Linotype"/>
          <w:sz w:val="24"/>
          <w:szCs w:val="24"/>
        </w:rPr>
        <w:t xml:space="preserve">’s </w:t>
      </w:r>
      <w:r w:rsidRPr="005C5F04" w:rsidR="00491385">
        <w:rPr>
          <w:rFonts w:ascii="Palatino Linotype" w:hAnsi="Palatino Linotype" w:eastAsia="Palatino Linotype" w:cs="Palatino Linotype"/>
          <w:sz w:val="24"/>
          <w:szCs w:val="24"/>
        </w:rPr>
        <w:lastRenderedPageBreak/>
        <w:t>Investment Tax Credit (ITC) provisions.</w:t>
      </w:r>
      <w:r w:rsidRPr="005C5F04" w:rsidR="008927F4">
        <w:rPr>
          <w:rFonts w:ascii="Palatino Linotype" w:hAnsi="Palatino Linotype" w:eastAsia="Palatino Linotype" w:cs="Palatino Linotype"/>
          <w:sz w:val="24"/>
          <w:szCs w:val="24"/>
        </w:rPr>
        <w:t xml:space="preserve"> </w:t>
      </w:r>
      <w:r w:rsidRPr="005C5F04" w:rsidR="00AA244F">
        <w:rPr>
          <w:rFonts w:ascii="Palatino Linotype" w:hAnsi="Palatino Linotype"/>
          <w:sz w:val="24"/>
          <w:szCs w:val="24"/>
        </w:rPr>
        <w:t xml:space="preserve">PG&amp;E sought approval for </w:t>
      </w:r>
      <w:r w:rsidRPr="005C5F04" w:rsidR="00B70B3D">
        <w:rPr>
          <w:rFonts w:ascii="Palatino Linotype" w:hAnsi="Palatino Linotype"/>
          <w:sz w:val="24"/>
          <w:szCs w:val="24"/>
        </w:rPr>
        <w:t xml:space="preserve">these pricing </w:t>
      </w:r>
      <w:r w:rsidRPr="00B2109F" w:rsidR="00B70B3D">
        <w:rPr>
          <w:rFonts w:ascii="Palatino Linotype" w:hAnsi="Palatino Linotype"/>
          <w:sz w:val="24"/>
          <w:szCs w:val="24"/>
        </w:rPr>
        <w:t>amendme</w:t>
      </w:r>
      <w:r w:rsidRPr="00B2109F" w:rsidR="00760343">
        <w:rPr>
          <w:rFonts w:ascii="Palatino Linotype" w:hAnsi="Palatino Linotype"/>
          <w:sz w:val="24"/>
          <w:szCs w:val="24"/>
        </w:rPr>
        <w:t xml:space="preserve">nts in AL </w:t>
      </w:r>
      <w:r w:rsidRPr="00B2109F" w:rsidR="00B610A2">
        <w:rPr>
          <w:rFonts w:ascii="Palatino Linotype" w:hAnsi="Palatino Linotype"/>
          <w:sz w:val="24"/>
          <w:szCs w:val="24"/>
        </w:rPr>
        <w:t>6711</w:t>
      </w:r>
      <w:r w:rsidRPr="00B2109F" w:rsidR="00D26461">
        <w:rPr>
          <w:rFonts w:ascii="Palatino Linotype" w:hAnsi="Palatino Linotype"/>
          <w:sz w:val="24"/>
          <w:szCs w:val="24"/>
        </w:rPr>
        <w:t>-E,</w:t>
      </w:r>
      <w:r w:rsidRPr="00B2109F" w:rsidR="00DC02EA">
        <w:rPr>
          <w:rFonts w:ascii="Palatino Linotype" w:hAnsi="Palatino Linotype"/>
          <w:sz w:val="24"/>
          <w:szCs w:val="24"/>
        </w:rPr>
        <w:t xml:space="preserve"> which the Commission </w:t>
      </w:r>
      <w:r w:rsidRPr="036E28A1" w:rsidR="24482459">
        <w:rPr>
          <w:rFonts w:ascii="Palatino Linotype" w:hAnsi="Palatino Linotype"/>
          <w:sz w:val="24"/>
          <w:szCs w:val="24"/>
        </w:rPr>
        <w:t>subsequently</w:t>
      </w:r>
      <w:r w:rsidRPr="036E28A1" w:rsidR="3641DBC8">
        <w:rPr>
          <w:rFonts w:ascii="Palatino Linotype" w:hAnsi="Palatino Linotype"/>
          <w:sz w:val="24"/>
          <w:szCs w:val="24"/>
        </w:rPr>
        <w:t xml:space="preserve"> </w:t>
      </w:r>
      <w:r w:rsidRPr="00B2109F" w:rsidR="00DC02EA">
        <w:rPr>
          <w:rFonts w:ascii="Palatino Linotype" w:hAnsi="Palatino Linotype"/>
          <w:sz w:val="24"/>
          <w:szCs w:val="24"/>
        </w:rPr>
        <w:t xml:space="preserve">approved on </w:t>
      </w:r>
      <w:r w:rsidR="0089796F">
        <w:rPr>
          <w:rFonts w:ascii="Palatino Linotype" w:hAnsi="Palatino Linotype"/>
          <w:sz w:val="24"/>
          <w:szCs w:val="24"/>
        </w:rPr>
        <w:br/>
      </w:r>
      <w:r w:rsidRPr="00B2109F" w:rsidR="00DC02EA">
        <w:rPr>
          <w:rFonts w:ascii="Palatino Linotype" w:hAnsi="Palatino Linotype"/>
          <w:sz w:val="24"/>
          <w:szCs w:val="24"/>
        </w:rPr>
        <w:t>D</w:t>
      </w:r>
      <w:r w:rsidRPr="00B2109F" w:rsidR="00F4532D">
        <w:rPr>
          <w:rFonts w:ascii="Palatino Linotype" w:hAnsi="Palatino Linotype"/>
          <w:sz w:val="24"/>
          <w:szCs w:val="24"/>
        </w:rPr>
        <w:t>ecember 1, 2022, in Resolution E-5243.</w:t>
      </w:r>
      <w:r w:rsidRPr="00B2109F" w:rsidR="009712CA">
        <w:rPr>
          <w:rFonts w:ascii="Palatino Linotype" w:hAnsi="Palatino Linotype" w:eastAsia="Palatino Linotype" w:cs="Palatino Linotype"/>
          <w:sz w:val="24"/>
          <w:szCs w:val="24"/>
        </w:rPr>
        <w:t xml:space="preserve"> </w:t>
      </w:r>
    </w:p>
    <w:p w:rsidRPr="0046704C" w:rsidR="0046704C" w:rsidP="0046704C" w:rsidRDefault="0046704C" w14:paraId="181C031B" w14:textId="77777777">
      <w:pPr>
        <w:spacing w:after="0" w:line="264" w:lineRule="auto"/>
        <w:rPr>
          <w:rFonts w:ascii="Palatino Linotype" w:hAnsi="Palatino Linotype" w:eastAsia="Palatino Linotype" w:cs="Palatino Linotype"/>
          <w:sz w:val="16"/>
          <w:szCs w:val="16"/>
        </w:rPr>
      </w:pPr>
    </w:p>
    <w:p w:rsidR="000D6207" w:rsidP="0046704C" w:rsidRDefault="001A3A51" w14:paraId="05AFD34B" w14:textId="77777777">
      <w:pPr>
        <w:spacing w:after="0" w:line="264" w:lineRule="auto"/>
        <w:rPr>
          <w:rFonts w:ascii="Palatino Linotype" w:hAnsi="Palatino Linotype"/>
          <w:color w:val="000000" w:themeColor="text1"/>
          <w:sz w:val="24"/>
          <w:szCs w:val="24"/>
        </w:rPr>
      </w:pPr>
      <w:r w:rsidRPr="2DB640CD">
        <w:rPr>
          <w:rFonts w:ascii="Palatino Linotype" w:hAnsi="Palatino Linotype"/>
          <w:color w:val="000000" w:themeColor="text1"/>
          <w:sz w:val="24"/>
          <w:szCs w:val="24"/>
        </w:rPr>
        <w:t>After the</w:t>
      </w:r>
      <w:r w:rsidRPr="2DB640CD" w:rsidR="00642ECF">
        <w:rPr>
          <w:rFonts w:ascii="Palatino Linotype" w:hAnsi="Palatino Linotype"/>
          <w:color w:val="000000" w:themeColor="text1"/>
          <w:sz w:val="24"/>
          <w:szCs w:val="24"/>
        </w:rPr>
        <w:t xml:space="preserve"> </w:t>
      </w:r>
      <w:r w:rsidRPr="036E28A1" w:rsidR="6EC362DB">
        <w:rPr>
          <w:rFonts w:ascii="Palatino Linotype" w:hAnsi="Palatino Linotype"/>
          <w:color w:val="000000" w:themeColor="text1"/>
          <w:sz w:val="24"/>
          <w:szCs w:val="24"/>
        </w:rPr>
        <w:t xml:space="preserve">first </w:t>
      </w:r>
      <w:r w:rsidRPr="2DB640CD" w:rsidR="00642ECF">
        <w:rPr>
          <w:rFonts w:ascii="Palatino Linotype" w:hAnsi="Palatino Linotype"/>
          <w:color w:val="000000" w:themeColor="text1"/>
          <w:sz w:val="24"/>
          <w:szCs w:val="24"/>
        </w:rPr>
        <w:t xml:space="preserve">pricing amendments were </w:t>
      </w:r>
      <w:r w:rsidRPr="036E28A1" w:rsidR="7789B601">
        <w:rPr>
          <w:rFonts w:ascii="Palatino Linotype" w:hAnsi="Palatino Linotype"/>
          <w:color w:val="000000" w:themeColor="text1"/>
          <w:sz w:val="24"/>
          <w:szCs w:val="24"/>
        </w:rPr>
        <w:t>approved by the CPUC</w:t>
      </w:r>
      <w:r w:rsidRPr="036E28A1" w:rsidR="711878E2">
        <w:rPr>
          <w:rFonts w:ascii="Palatino Linotype" w:hAnsi="Palatino Linotype"/>
          <w:color w:val="000000" w:themeColor="text1"/>
          <w:sz w:val="24"/>
          <w:szCs w:val="24"/>
        </w:rPr>
        <w:t xml:space="preserve">, </w:t>
      </w:r>
      <w:proofErr w:type="spellStart"/>
      <w:r w:rsidRPr="036E28A1" w:rsidR="155F998C">
        <w:rPr>
          <w:rFonts w:ascii="Palatino Linotype" w:hAnsi="Palatino Linotype"/>
          <w:color w:val="000000" w:themeColor="text1"/>
          <w:sz w:val="24"/>
          <w:szCs w:val="24"/>
        </w:rPr>
        <w:t>Arevon</w:t>
      </w:r>
      <w:proofErr w:type="spellEnd"/>
      <w:r w:rsidRPr="2DB640CD" w:rsidR="00642ECF">
        <w:rPr>
          <w:rFonts w:ascii="Palatino Linotype" w:hAnsi="Palatino Linotype"/>
          <w:color w:val="000000" w:themeColor="text1"/>
          <w:sz w:val="24"/>
          <w:szCs w:val="24"/>
        </w:rPr>
        <w:t xml:space="preserve"> </w:t>
      </w:r>
      <w:r w:rsidRPr="2DB640CD" w:rsidR="00EE0F71">
        <w:rPr>
          <w:rFonts w:ascii="Palatino Linotype" w:hAnsi="Palatino Linotype"/>
          <w:color w:val="000000" w:themeColor="text1"/>
          <w:sz w:val="24"/>
          <w:szCs w:val="24"/>
        </w:rPr>
        <w:t xml:space="preserve">informed PG&amp;E that </w:t>
      </w:r>
      <w:r w:rsidRPr="2DB640CD" w:rsidR="009A6BE8">
        <w:rPr>
          <w:rFonts w:ascii="Palatino Linotype" w:hAnsi="Palatino Linotype"/>
          <w:color w:val="000000" w:themeColor="text1"/>
          <w:sz w:val="24"/>
          <w:szCs w:val="24"/>
        </w:rPr>
        <w:t>due to</w:t>
      </w:r>
      <w:r w:rsidRPr="2DB640CD" w:rsidR="00642ECF">
        <w:rPr>
          <w:rFonts w:ascii="Palatino Linotype" w:hAnsi="Palatino Linotype"/>
          <w:color w:val="000000" w:themeColor="text1"/>
          <w:sz w:val="24"/>
          <w:szCs w:val="24"/>
        </w:rPr>
        <w:t xml:space="preserve"> unexpected delays in their interconnection agreement </w:t>
      </w:r>
      <w:r w:rsidRPr="2DB640CD" w:rsidR="009A6BE8">
        <w:rPr>
          <w:rFonts w:ascii="Palatino Linotype" w:hAnsi="Palatino Linotype"/>
          <w:color w:val="000000" w:themeColor="text1"/>
          <w:sz w:val="24"/>
          <w:szCs w:val="24"/>
        </w:rPr>
        <w:t>they</w:t>
      </w:r>
      <w:r w:rsidRPr="2DB640CD" w:rsidR="00642ECF">
        <w:rPr>
          <w:rFonts w:ascii="Palatino Linotype" w:hAnsi="Palatino Linotype"/>
          <w:color w:val="000000" w:themeColor="text1"/>
          <w:sz w:val="24"/>
          <w:szCs w:val="24"/>
        </w:rPr>
        <w:t xml:space="preserve"> would not be able to meet the required online date. </w:t>
      </w:r>
      <w:r w:rsidRPr="2DB640CD" w:rsidR="009B00E3">
        <w:rPr>
          <w:rFonts w:ascii="Palatino Linotype" w:hAnsi="Palatino Linotype"/>
          <w:color w:val="000000" w:themeColor="text1"/>
          <w:sz w:val="24"/>
          <w:szCs w:val="24"/>
        </w:rPr>
        <w:t>Given the delay</w:t>
      </w:r>
      <w:r w:rsidRPr="2DB640CD" w:rsidR="00676B37">
        <w:rPr>
          <w:rFonts w:ascii="Palatino Linotype" w:hAnsi="Palatino Linotype"/>
          <w:color w:val="000000" w:themeColor="text1"/>
          <w:sz w:val="24"/>
          <w:szCs w:val="24"/>
        </w:rPr>
        <w:t>,</w:t>
      </w:r>
      <w:r w:rsidRPr="2DB640CD" w:rsidR="009B00E3">
        <w:rPr>
          <w:rFonts w:ascii="Palatino Linotype" w:hAnsi="Palatino Linotype"/>
          <w:color w:val="000000" w:themeColor="text1"/>
          <w:sz w:val="24"/>
          <w:szCs w:val="24"/>
        </w:rPr>
        <w:t xml:space="preserve"> </w:t>
      </w:r>
      <w:proofErr w:type="spellStart"/>
      <w:r w:rsidRPr="2DB640CD" w:rsidR="00586C5C">
        <w:rPr>
          <w:rFonts w:ascii="Palatino Linotype" w:hAnsi="Palatino Linotype"/>
          <w:color w:val="000000" w:themeColor="text1"/>
          <w:sz w:val="24"/>
          <w:szCs w:val="24"/>
        </w:rPr>
        <w:t>Arevon</w:t>
      </w:r>
      <w:proofErr w:type="spellEnd"/>
      <w:r w:rsidRPr="2DB640CD" w:rsidR="00642ECF">
        <w:rPr>
          <w:rFonts w:ascii="Palatino Linotype" w:hAnsi="Palatino Linotype"/>
          <w:color w:val="000000" w:themeColor="text1"/>
          <w:sz w:val="24"/>
          <w:szCs w:val="24"/>
        </w:rPr>
        <w:t xml:space="preserve"> requested that PG&amp;E again amend its contract to move the required online date</w:t>
      </w:r>
      <w:r w:rsidRPr="2DB640CD" w:rsidR="001846D9">
        <w:rPr>
          <w:rFonts w:ascii="Palatino Linotype" w:hAnsi="Palatino Linotype"/>
          <w:color w:val="000000" w:themeColor="text1"/>
          <w:sz w:val="24"/>
          <w:szCs w:val="24"/>
        </w:rPr>
        <w:t xml:space="preserve"> from June 1, 2024</w:t>
      </w:r>
      <w:r w:rsidRPr="2DB640CD" w:rsidR="024737E1">
        <w:rPr>
          <w:rFonts w:ascii="Palatino Linotype" w:hAnsi="Palatino Linotype"/>
          <w:color w:val="000000" w:themeColor="text1"/>
          <w:sz w:val="24"/>
          <w:szCs w:val="24"/>
        </w:rPr>
        <w:t>,</w:t>
      </w:r>
      <w:r w:rsidRPr="2DB640CD" w:rsidR="00642ECF">
        <w:rPr>
          <w:rFonts w:ascii="Palatino Linotype" w:hAnsi="Palatino Linotype"/>
          <w:color w:val="000000" w:themeColor="text1"/>
          <w:sz w:val="24"/>
          <w:szCs w:val="24"/>
        </w:rPr>
        <w:t xml:space="preserve"> to June 1, 2025</w:t>
      </w:r>
      <w:r w:rsidRPr="2DB640CD" w:rsidR="46423F83">
        <w:rPr>
          <w:rFonts w:ascii="Palatino Linotype" w:hAnsi="Palatino Linotype"/>
          <w:color w:val="000000" w:themeColor="text1"/>
          <w:sz w:val="24"/>
          <w:szCs w:val="24"/>
        </w:rPr>
        <w:t>,</w:t>
      </w:r>
      <w:r w:rsidRPr="2DB640CD" w:rsidR="003B1175">
        <w:rPr>
          <w:rFonts w:ascii="Palatino Linotype" w:hAnsi="Palatino Linotype"/>
          <w:color w:val="000000" w:themeColor="text1"/>
          <w:sz w:val="24"/>
          <w:szCs w:val="24"/>
        </w:rPr>
        <w:t xml:space="preserve"> </w:t>
      </w:r>
      <w:r w:rsidRPr="2DB640CD" w:rsidR="006367EC">
        <w:rPr>
          <w:rFonts w:ascii="Palatino Linotype" w:hAnsi="Palatino Linotype"/>
          <w:color w:val="000000" w:themeColor="text1"/>
          <w:sz w:val="24"/>
          <w:szCs w:val="24"/>
        </w:rPr>
        <w:t>to</w:t>
      </w:r>
      <w:r w:rsidRPr="2DB640CD" w:rsidR="003B1175">
        <w:rPr>
          <w:rFonts w:ascii="Palatino Linotype" w:hAnsi="Palatino Linotype"/>
          <w:color w:val="000000" w:themeColor="text1"/>
          <w:sz w:val="24"/>
          <w:szCs w:val="24"/>
        </w:rPr>
        <w:t xml:space="preserve"> avoid default and termination of </w:t>
      </w:r>
      <w:r w:rsidRPr="2DB640CD" w:rsidR="000A504B">
        <w:rPr>
          <w:rFonts w:ascii="Palatino Linotype" w:hAnsi="Palatino Linotype"/>
          <w:color w:val="000000" w:themeColor="text1"/>
          <w:sz w:val="24"/>
          <w:szCs w:val="24"/>
        </w:rPr>
        <w:t>contract</w:t>
      </w:r>
      <w:r w:rsidRPr="2DB640CD" w:rsidR="00B13635">
        <w:rPr>
          <w:rFonts w:ascii="Palatino Linotype" w:hAnsi="Palatino Linotype"/>
          <w:color w:val="000000" w:themeColor="text1"/>
          <w:sz w:val="24"/>
          <w:szCs w:val="24"/>
        </w:rPr>
        <w:t>.</w:t>
      </w:r>
      <w:r w:rsidRPr="2DB640CD" w:rsidR="00AB23BE">
        <w:rPr>
          <w:rFonts w:ascii="Palatino Linotype" w:hAnsi="Palatino Linotype"/>
          <w:color w:val="000000" w:themeColor="text1"/>
          <w:sz w:val="24"/>
          <w:szCs w:val="24"/>
        </w:rPr>
        <w:t xml:space="preserve"> On June 27, 2023</w:t>
      </w:r>
      <w:r w:rsidRPr="2DB640CD" w:rsidR="65C400DF">
        <w:rPr>
          <w:rFonts w:ascii="Palatino Linotype" w:hAnsi="Palatino Linotype"/>
          <w:color w:val="000000" w:themeColor="text1"/>
          <w:sz w:val="24"/>
          <w:szCs w:val="24"/>
        </w:rPr>
        <w:t>,</w:t>
      </w:r>
      <w:r w:rsidRPr="2DB640CD" w:rsidR="00B13635">
        <w:rPr>
          <w:rFonts w:ascii="Palatino Linotype" w:hAnsi="Palatino Linotype"/>
          <w:color w:val="000000" w:themeColor="text1"/>
          <w:sz w:val="24"/>
          <w:szCs w:val="24"/>
        </w:rPr>
        <w:t xml:space="preserve"> PG&amp;E</w:t>
      </w:r>
      <w:r w:rsidRPr="2DB640CD" w:rsidR="00555B0A">
        <w:rPr>
          <w:rFonts w:ascii="Palatino Linotype" w:hAnsi="Palatino Linotype"/>
          <w:color w:val="000000" w:themeColor="text1"/>
          <w:sz w:val="24"/>
          <w:szCs w:val="24"/>
        </w:rPr>
        <w:t xml:space="preserve"> requested approval for </w:t>
      </w:r>
      <w:r w:rsidRPr="2DB640CD" w:rsidR="000A504B">
        <w:rPr>
          <w:rFonts w:ascii="Palatino Linotype" w:hAnsi="Palatino Linotype"/>
          <w:color w:val="000000" w:themeColor="text1"/>
          <w:sz w:val="24"/>
          <w:szCs w:val="24"/>
        </w:rPr>
        <w:t>th</w:t>
      </w:r>
      <w:r w:rsidRPr="2DB640CD" w:rsidR="004169D6">
        <w:rPr>
          <w:rFonts w:ascii="Palatino Linotype" w:hAnsi="Palatino Linotype"/>
          <w:color w:val="000000" w:themeColor="text1"/>
          <w:sz w:val="24"/>
          <w:szCs w:val="24"/>
        </w:rPr>
        <w:t xml:space="preserve">e online date </w:t>
      </w:r>
      <w:r w:rsidRPr="2DB640CD" w:rsidR="000E492B">
        <w:rPr>
          <w:rFonts w:ascii="Palatino Linotype" w:hAnsi="Palatino Linotype"/>
          <w:color w:val="000000" w:themeColor="text1"/>
          <w:sz w:val="24"/>
          <w:szCs w:val="24"/>
        </w:rPr>
        <w:t>amendment in AL 6972-E and</w:t>
      </w:r>
      <w:r w:rsidRPr="2DB640CD" w:rsidR="00B13635">
        <w:rPr>
          <w:rFonts w:ascii="Palatino Linotype" w:hAnsi="Palatino Linotype"/>
          <w:color w:val="000000" w:themeColor="text1"/>
          <w:sz w:val="24"/>
          <w:szCs w:val="24"/>
        </w:rPr>
        <w:t xml:space="preserve"> </w:t>
      </w:r>
      <w:r w:rsidRPr="2DB640CD" w:rsidR="002C1929">
        <w:rPr>
          <w:rFonts w:ascii="Palatino Linotype" w:hAnsi="Palatino Linotype"/>
          <w:color w:val="000000" w:themeColor="text1"/>
          <w:sz w:val="24"/>
          <w:szCs w:val="24"/>
        </w:rPr>
        <w:t xml:space="preserve">stated that </w:t>
      </w:r>
      <w:r w:rsidRPr="2DB640CD" w:rsidR="002B0209">
        <w:rPr>
          <w:rFonts w:ascii="Palatino Linotype" w:hAnsi="Palatino Linotype"/>
          <w:color w:val="000000" w:themeColor="text1"/>
          <w:sz w:val="24"/>
          <w:szCs w:val="24"/>
        </w:rPr>
        <w:t xml:space="preserve">industry-wide delays </w:t>
      </w:r>
      <w:r w:rsidRPr="2DB640CD" w:rsidR="000E492B">
        <w:rPr>
          <w:rFonts w:ascii="Palatino Linotype" w:hAnsi="Palatino Linotype"/>
          <w:color w:val="000000" w:themeColor="text1"/>
          <w:sz w:val="24"/>
          <w:szCs w:val="24"/>
        </w:rPr>
        <w:t>were</w:t>
      </w:r>
      <w:r w:rsidRPr="2DB640CD" w:rsidR="002B0209">
        <w:rPr>
          <w:rFonts w:ascii="Palatino Linotype" w:hAnsi="Palatino Linotype"/>
          <w:color w:val="000000" w:themeColor="text1"/>
          <w:sz w:val="24"/>
          <w:szCs w:val="24"/>
        </w:rPr>
        <w:t xml:space="preserve"> both unprecedented and largely beyond the control of </w:t>
      </w:r>
      <w:proofErr w:type="spellStart"/>
      <w:r w:rsidRPr="2DB640CD" w:rsidR="00896A49">
        <w:rPr>
          <w:rFonts w:ascii="Palatino Linotype" w:hAnsi="Palatino Linotype"/>
          <w:color w:val="000000" w:themeColor="text1"/>
          <w:sz w:val="24"/>
          <w:szCs w:val="24"/>
        </w:rPr>
        <w:t>Arevon</w:t>
      </w:r>
      <w:proofErr w:type="spellEnd"/>
      <w:r w:rsidRPr="2DB640CD" w:rsidR="002B0209">
        <w:rPr>
          <w:rFonts w:ascii="Palatino Linotype" w:hAnsi="Palatino Linotype"/>
          <w:color w:val="000000" w:themeColor="text1"/>
          <w:sz w:val="24"/>
          <w:szCs w:val="24"/>
        </w:rPr>
        <w:t xml:space="preserve">. </w:t>
      </w:r>
      <w:r w:rsidRPr="2DB640CD" w:rsidR="000E492B">
        <w:rPr>
          <w:rFonts w:ascii="Palatino Linotype" w:hAnsi="Palatino Linotype"/>
          <w:color w:val="000000" w:themeColor="text1"/>
          <w:sz w:val="24"/>
          <w:szCs w:val="24"/>
        </w:rPr>
        <w:t>The Commission approved this</w:t>
      </w:r>
      <w:r w:rsidRPr="036E28A1" w:rsidR="77162190">
        <w:rPr>
          <w:rFonts w:ascii="Palatino Linotype" w:hAnsi="Palatino Linotype"/>
          <w:color w:val="000000" w:themeColor="text1"/>
          <w:sz w:val="24"/>
          <w:szCs w:val="24"/>
        </w:rPr>
        <w:t xml:space="preserve"> second amendment</w:t>
      </w:r>
      <w:r w:rsidRPr="2DB640CD" w:rsidR="000E492B">
        <w:rPr>
          <w:rFonts w:ascii="Palatino Linotype" w:hAnsi="Palatino Linotype"/>
          <w:color w:val="000000" w:themeColor="text1"/>
          <w:sz w:val="24"/>
          <w:szCs w:val="24"/>
        </w:rPr>
        <w:t xml:space="preserve"> request on November 16, 2023</w:t>
      </w:r>
      <w:r w:rsidRPr="2DB640CD" w:rsidR="05A5C0C9">
        <w:rPr>
          <w:rFonts w:ascii="Palatino Linotype" w:hAnsi="Palatino Linotype"/>
          <w:color w:val="000000" w:themeColor="text1"/>
          <w:sz w:val="24"/>
          <w:szCs w:val="24"/>
        </w:rPr>
        <w:t>,</w:t>
      </w:r>
      <w:r w:rsidRPr="2DB640CD" w:rsidR="00AB23BE">
        <w:rPr>
          <w:rFonts w:ascii="Palatino Linotype" w:hAnsi="Palatino Linotype"/>
          <w:color w:val="000000" w:themeColor="text1"/>
          <w:sz w:val="24"/>
          <w:szCs w:val="24"/>
        </w:rPr>
        <w:t xml:space="preserve"> in Resolution E</w:t>
      </w:r>
      <w:r w:rsidRPr="2DB640CD" w:rsidR="005C5F04">
        <w:rPr>
          <w:rFonts w:ascii="Palatino Linotype" w:hAnsi="Palatino Linotype"/>
          <w:color w:val="000000" w:themeColor="text1"/>
          <w:sz w:val="24"/>
          <w:szCs w:val="24"/>
        </w:rPr>
        <w:t>-5285.</w:t>
      </w:r>
    </w:p>
    <w:p w:rsidRPr="0046704C" w:rsidR="0046704C" w:rsidP="0046704C" w:rsidRDefault="0046704C" w14:paraId="4549855D" w14:textId="77777777">
      <w:pPr>
        <w:spacing w:after="0" w:line="264" w:lineRule="auto"/>
        <w:rPr>
          <w:rFonts w:ascii="Palatino Linotype" w:hAnsi="Palatino Linotype"/>
          <w:color w:val="000000"/>
          <w:sz w:val="16"/>
          <w:szCs w:val="16"/>
        </w:rPr>
      </w:pPr>
    </w:p>
    <w:p w:rsidRPr="006A6468" w:rsidR="006A6468" w:rsidP="0046704C" w:rsidRDefault="006612C1" w14:paraId="308E2591" w14:textId="77777777">
      <w:pPr>
        <w:spacing w:after="0" w:line="264" w:lineRule="auto"/>
        <w:rPr>
          <w:rFonts w:ascii="Palatino Linotype" w:hAnsi="Palatino Linotype"/>
          <w:color w:val="000000"/>
          <w:sz w:val="24"/>
          <w:szCs w:val="24"/>
        </w:rPr>
      </w:pPr>
      <w:r w:rsidRPr="00B2109F">
        <w:rPr>
          <w:rFonts w:ascii="Palatino Linotype" w:hAnsi="Palatino Linotype"/>
          <w:color w:val="000000"/>
          <w:sz w:val="24"/>
          <w:szCs w:val="24"/>
        </w:rPr>
        <w:t xml:space="preserve">On September 5, 2025, PG&amp;E submitted AL </w:t>
      </w:r>
      <w:r w:rsidRPr="00B2109F">
        <w:rPr>
          <w:rFonts w:ascii="Palatino Linotype" w:hAnsi="Palatino Linotype" w:eastAsia="Times New Roman" w:cs="Times New Roman"/>
          <w:kern w:val="0"/>
          <w:sz w:val="24"/>
          <w:szCs w:val="24"/>
          <w14:ligatures w14:val="none"/>
        </w:rPr>
        <w:t xml:space="preserve">7699-E, requesting its third </w:t>
      </w:r>
      <w:r w:rsidRPr="00B2109F" w:rsidR="002B5F92">
        <w:rPr>
          <w:rFonts w:ascii="Palatino Linotype" w:hAnsi="Palatino Linotype" w:eastAsia="Times New Roman" w:cs="Times New Roman"/>
          <w:kern w:val="0"/>
          <w:sz w:val="24"/>
          <w:szCs w:val="24"/>
          <w14:ligatures w14:val="none"/>
        </w:rPr>
        <w:t>amendment to the</w:t>
      </w:r>
      <w:r w:rsidR="002B5F92">
        <w:rPr>
          <w:rFonts w:ascii="Palatino Linotype" w:hAnsi="Palatino Linotype" w:eastAsia="Times New Roman" w:cs="Times New Roman"/>
          <w:kern w:val="0"/>
          <w:sz w:val="24"/>
          <w:szCs w:val="24"/>
          <w14:ligatures w14:val="none"/>
        </w:rPr>
        <w:t xml:space="preserve"> Nighthawk contract</w:t>
      </w:r>
      <w:r w:rsidR="000F02A5">
        <w:rPr>
          <w:rFonts w:ascii="Palatino Linotype" w:hAnsi="Palatino Linotype" w:eastAsia="Times New Roman" w:cs="Times New Roman"/>
          <w:kern w:val="0"/>
          <w:sz w:val="24"/>
          <w:szCs w:val="24"/>
          <w14:ligatures w14:val="none"/>
        </w:rPr>
        <w:t xml:space="preserve">. In AL </w:t>
      </w:r>
      <w:r w:rsidR="00804A54">
        <w:rPr>
          <w:rFonts w:ascii="Palatino Linotype" w:hAnsi="Palatino Linotype" w:eastAsia="Times New Roman" w:cs="Times New Roman"/>
          <w:kern w:val="0"/>
          <w:sz w:val="24"/>
          <w:szCs w:val="24"/>
          <w14:ligatures w14:val="none"/>
        </w:rPr>
        <w:t>7699-E, PG&amp;E states that</w:t>
      </w:r>
      <w:r w:rsidR="00804A54">
        <w:rPr>
          <w:rFonts w:ascii="Palatino Linotype" w:hAnsi="Palatino Linotype"/>
          <w:color w:val="000000"/>
          <w:sz w:val="24"/>
          <w:szCs w:val="24"/>
        </w:rPr>
        <w:t xml:space="preserve"> s</w:t>
      </w:r>
      <w:r w:rsidRPr="006A6468" w:rsidR="006A6468">
        <w:rPr>
          <w:rFonts w:ascii="Palatino Linotype" w:hAnsi="Palatino Linotype"/>
          <w:color w:val="000000"/>
          <w:sz w:val="24"/>
          <w:szCs w:val="24"/>
        </w:rPr>
        <w:t>ince execution of the previous amendments,</w:t>
      </w:r>
      <w:r>
        <w:rPr>
          <w:rFonts w:ascii="Palatino Linotype" w:hAnsi="Palatino Linotype"/>
          <w:color w:val="000000"/>
          <w:sz w:val="24"/>
          <w:szCs w:val="24"/>
        </w:rPr>
        <w:t xml:space="preserve"> </w:t>
      </w:r>
      <w:r w:rsidR="00B068ED">
        <w:rPr>
          <w:rFonts w:ascii="Palatino Linotype" w:hAnsi="Palatino Linotype"/>
          <w:color w:val="000000"/>
          <w:sz w:val="24"/>
          <w:szCs w:val="24"/>
        </w:rPr>
        <w:t>Nighth</w:t>
      </w:r>
      <w:r w:rsidR="00344622">
        <w:rPr>
          <w:rFonts w:ascii="Palatino Linotype" w:hAnsi="Palatino Linotype"/>
          <w:color w:val="000000"/>
          <w:sz w:val="24"/>
          <w:szCs w:val="24"/>
        </w:rPr>
        <w:t xml:space="preserve">awk </w:t>
      </w:r>
      <w:r w:rsidRPr="006A6468" w:rsidR="006A6468">
        <w:rPr>
          <w:rFonts w:ascii="Palatino Linotype" w:hAnsi="Palatino Linotype"/>
          <w:color w:val="000000"/>
          <w:sz w:val="24"/>
          <w:szCs w:val="24"/>
        </w:rPr>
        <w:t xml:space="preserve">has encountered (1) permitting delays that have postponed its expected online date from June 1, 2025, to June 1, 2026, and (2) unfavorable macroeconomic conditions that have increased overall project costs. </w:t>
      </w:r>
      <w:r w:rsidR="00734AB2">
        <w:rPr>
          <w:rFonts w:ascii="Palatino Linotype" w:hAnsi="Palatino Linotype"/>
          <w:color w:val="000000"/>
          <w:sz w:val="24"/>
          <w:szCs w:val="24"/>
        </w:rPr>
        <w:t xml:space="preserve">PG&amp;E </w:t>
      </w:r>
      <w:r w:rsidR="19CEC5F8">
        <w:rPr>
          <w:rFonts w:ascii="Palatino Linotype" w:hAnsi="Palatino Linotype"/>
          <w:color w:val="000000"/>
          <w:sz w:val="24"/>
          <w:szCs w:val="24"/>
        </w:rPr>
        <w:t>further</w:t>
      </w:r>
      <w:r w:rsidR="00734AB2">
        <w:rPr>
          <w:rFonts w:ascii="Palatino Linotype" w:hAnsi="Palatino Linotype"/>
          <w:color w:val="000000"/>
          <w:sz w:val="24"/>
          <w:szCs w:val="24"/>
        </w:rPr>
        <w:t xml:space="preserve"> </w:t>
      </w:r>
      <w:r w:rsidR="00E21A71">
        <w:rPr>
          <w:rFonts w:ascii="Palatino Linotype" w:hAnsi="Palatino Linotype"/>
          <w:color w:val="000000"/>
          <w:sz w:val="24"/>
          <w:szCs w:val="24"/>
        </w:rPr>
        <w:t>notes that w</w:t>
      </w:r>
      <w:r w:rsidRPr="006A6468" w:rsidR="006A6468">
        <w:rPr>
          <w:rFonts w:ascii="Palatino Linotype" w:hAnsi="Palatino Linotype"/>
          <w:color w:val="000000"/>
          <w:sz w:val="24"/>
          <w:szCs w:val="24"/>
        </w:rPr>
        <w:t xml:space="preserve">ithout relief in schedule and a corresponding price adjustment, </w:t>
      </w:r>
      <w:proofErr w:type="spellStart"/>
      <w:r w:rsidR="00586C5C">
        <w:rPr>
          <w:rFonts w:ascii="Palatino Linotype" w:hAnsi="Palatino Linotype"/>
          <w:color w:val="000000"/>
          <w:sz w:val="24"/>
          <w:szCs w:val="24"/>
        </w:rPr>
        <w:t>Arevon</w:t>
      </w:r>
      <w:proofErr w:type="spellEnd"/>
      <w:r w:rsidRPr="006A6468" w:rsidR="006A6468">
        <w:rPr>
          <w:rFonts w:ascii="Palatino Linotype" w:hAnsi="Palatino Linotype"/>
          <w:color w:val="000000"/>
          <w:sz w:val="24"/>
          <w:szCs w:val="24"/>
        </w:rPr>
        <w:t xml:space="preserve"> has indicated that it would be unable to continue under the current terms, which could result in an event of default and potential termination of the agreement.</w:t>
      </w:r>
    </w:p>
    <w:p w:rsidRPr="000C064B" w:rsidR="00206AA9" w:rsidP="0046704C" w:rsidRDefault="002B6FA2" w14:paraId="5843EAEA" w14:textId="77777777">
      <w:pPr>
        <w:spacing w:after="0" w:line="264" w:lineRule="auto"/>
        <w:rPr>
          <w:rFonts w:ascii="Palatino Linotype" w:hAnsi="Palatino Linotype"/>
          <w:color w:val="000000"/>
          <w:sz w:val="16"/>
          <w:szCs w:val="16"/>
        </w:rPr>
      </w:pPr>
      <w:r>
        <w:rPr>
          <w:rFonts w:ascii="Palatino Linotype" w:hAnsi="Palatino Linotype"/>
          <w:color w:val="000000"/>
          <w:sz w:val="24"/>
          <w:szCs w:val="24"/>
        </w:rPr>
        <w:t xml:space="preserve"> </w:t>
      </w:r>
    </w:p>
    <w:p w:rsidRPr="00206AA9" w:rsidR="00B84E68" w:rsidP="00216B29" w:rsidRDefault="00B84E68" w14:paraId="4097F889" w14:textId="77777777">
      <w:pPr>
        <w:spacing w:after="240" w:line="240" w:lineRule="auto"/>
        <w:rPr>
          <w:rFonts w:ascii="Palatino Linotype" w:hAnsi="Palatino Linotype"/>
          <w:color w:val="000000"/>
          <w:sz w:val="24"/>
          <w:szCs w:val="24"/>
        </w:rPr>
      </w:pPr>
      <w:r w:rsidRPr="00173D58">
        <w:rPr>
          <w:rFonts w:ascii="Palatino Linotype" w:hAnsi="Palatino Linotype" w:eastAsia="Times New Roman" w:cs="Times New Roman"/>
          <w:b/>
          <w:caps/>
          <w:kern w:val="28"/>
          <w:sz w:val="24"/>
          <w:szCs w:val="24"/>
          <w:u w:val="single"/>
          <w14:ligatures w14:val="none"/>
        </w:rPr>
        <w:t>Notice</w:t>
      </w:r>
    </w:p>
    <w:p w:rsidR="00206AA9" w:rsidP="00206AA9" w:rsidRDefault="00B84E68" w14:paraId="21267E55" w14:textId="77777777">
      <w:pPr>
        <w:spacing w:after="0" w:line="240" w:lineRule="auto"/>
        <w:rPr>
          <w:rFonts w:ascii="Palatino Linotype" w:hAnsi="Palatino Linotype" w:eastAsia="Palatino Linotype" w:cs="Palatino Linotype"/>
          <w:kern w:val="0"/>
          <w:sz w:val="24"/>
          <w:szCs w:val="24"/>
          <w14:ligatures w14:val="none"/>
        </w:rPr>
      </w:pPr>
      <w:r w:rsidRPr="00173D58">
        <w:rPr>
          <w:rFonts w:ascii="Palatino Linotype" w:hAnsi="Palatino Linotype" w:eastAsia="Palatino Linotype" w:cs="Palatino Linotype"/>
          <w:kern w:val="0"/>
          <w:sz w:val="24"/>
          <w:szCs w:val="24"/>
          <w14:ligatures w14:val="none"/>
        </w:rPr>
        <w:t xml:space="preserve">Notice of AL </w:t>
      </w:r>
      <w:r w:rsidR="00817DEE">
        <w:rPr>
          <w:rFonts w:ascii="Palatino Linotype" w:hAnsi="Palatino Linotype" w:eastAsia="Times New Roman" w:cs="Times New Roman"/>
          <w:kern w:val="0"/>
          <w:sz w:val="24"/>
          <w:szCs w:val="24"/>
          <w14:ligatures w14:val="none"/>
        </w:rPr>
        <w:t>7699</w:t>
      </w:r>
      <w:r w:rsidRPr="00173D58" w:rsidR="00F602D3">
        <w:rPr>
          <w:rFonts w:ascii="Palatino Linotype" w:hAnsi="Palatino Linotype" w:eastAsia="Times New Roman" w:cs="Times New Roman"/>
          <w:kern w:val="0"/>
          <w:sz w:val="24"/>
          <w:szCs w:val="24"/>
          <w14:ligatures w14:val="none"/>
        </w:rPr>
        <w:t>-E</w:t>
      </w:r>
      <w:r w:rsidRPr="00173D58" w:rsidR="00F602D3">
        <w:rPr>
          <w:rFonts w:ascii="Palatino Linotype" w:hAnsi="Palatino Linotype" w:eastAsia="Palatino Linotype" w:cs="Palatino Linotype"/>
          <w:kern w:val="0"/>
          <w:sz w:val="24"/>
          <w:szCs w:val="24"/>
          <w14:ligatures w14:val="none"/>
        </w:rPr>
        <w:t xml:space="preserve"> </w:t>
      </w:r>
      <w:r w:rsidRPr="00173D58">
        <w:rPr>
          <w:rFonts w:ascii="Palatino Linotype" w:hAnsi="Palatino Linotype" w:eastAsia="Palatino Linotype" w:cs="Palatino Linotype"/>
          <w:kern w:val="0"/>
          <w:sz w:val="24"/>
          <w:szCs w:val="24"/>
          <w14:ligatures w14:val="none"/>
        </w:rPr>
        <w:t xml:space="preserve">was made by publication in the Commission’s Daily Calendar.  PG&amp;E states that a copy of the Advice Letter was mailed and distributed in accordance with Section 4 of General Order 96-B. </w:t>
      </w:r>
    </w:p>
    <w:p w:rsidRPr="00C34A2B" w:rsidR="00206AA9" w:rsidP="00206AA9" w:rsidRDefault="00206AA9" w14:paraId="5CC93F32" w14:textId="77777777">
      <w:pPr>
        <w:spacing w:after="0" w:line="240" w:lineRule="auto"/>
        <w:rPr>
          <w:rFonts w:ascii="Palatino Linotype" w:hAnsi="Palatino Linotype" w:eastAsia="Palatino Linotype" w:cs="Palatino Linotype"/>
          <w:kern w:val="0"/>
          <w:sz w:val="16"/>
          <w:szCs w:val="16"/>
          <w14:ligatures w14:val="none"/>
        </w:rPr>
      </w:pPr>
    </w:p>
    <w:p w:rsidRPr="00A379E2" w:rsidR="00B84E68" w:rsidP="004A7A04" w:rsidRDefault="004841F0" w14:paraId="2F8A4379" w14:textId="77777777">
      <w:pPr>
        <w:spacing w:after="240" w:line="240" w:lineRule="auto"/>
        <w:rPr>
          <w:rFonts w:ascii="Palatino Linotype" w:hAnsi="Palatino Linotype" w:eastAsia="Palatino Linotype" w:cs="Palatino Linotype"/>
          <w:kern w:val="0"/>
          <w:sz w:val="24"/>
          <w:szCs w:val="24"/>
          <w14:ligatures w14:val="none"/>
        </w:rPr>
      </w:pPr>
      <w:r>
        <w:rPr>
          <w:rFonts w:ascii="Palatino Linotype" w:hAnsi="Palatino Linotype" w:eastAsia="Times New Roman" w:cs="Times New Roman"/>
          <w:b/>
          <w:caps/>
          <w:kern w:val="28"/>
          <w:sz w:val="24"/>
          <w:szCs w:val="24"/>
          <w:u w:val="single"/>
          <w14:ligatures w14:val="none"/>
        </w:rPr>
        <w:t>PROTESTS</w:t>
      </w:r>
    </w:p>
    <w:p w:rsidR="00206AA9" w:rsidP="00206AA9" w:rsidRDefault="008E7633" w14:paraId="664B386B" w14:textId="77777777">
      <w:pPr>
        <w:autoSpaceDE w:val="0"/>
        <w:autoSpaceDN w:val="0"/>
        <w:adjustRightInd w:val="0"/>
        <w:spacing w:after="0" w:line="240" w:lineRule="auto"/>
        <w:rPr>
          <w:rFonts w:ascii="Palatino Linotype" w:hAnsi="Palatino Linotype" w:eastAsia="Times New Roman" w:cs="Times New Roman"/>
          <w:kern w:val="0"/>
          <w:sz w:val="24"/>
          <w:szCs w:val="24"/>
          <w14:ligatures w14:val="none"/>
        </w:rPr>
      </w:pPr>
      <w:r>
        <w:rPr>
          <w:rFonts w:ascii="Palatino Linotype" w:hAnsi="Palatino Linotype" w:eastAsia="Times New Roman" w:cs="Times New Roman"/>
          <w:kern w:val="0"/>
          <w:sz w:val="24"/>
          <w:szCs w:val="24"/>
          <w14:ligatures w14:val="none"/>
        </w:rPr>
        <w:t>No protest</w:t>
      </w:r>
      <w:r w:rsidR="00F32B70">
        <w:rPr>
          <w:rFonts w:ascii="Palatino Linotype" w:hAnsi="Palatino Linotype" w:eastAsia="Times New Roman" w:cs="Times New Roman"/>
          <w:kern w:val="0"/>
          <w:sz w:val="24"/>
          <w:szCs w:val="24"/>
          <w14:ligatures w14:val="none"/>
        </w:rPr>
        <w:t>s</w:t>
      </w:r>
      <w:r>
        <w:rPr>
          <w:rFonts w:ascii="Palatino Linotype" w:hAnsi="Palatino Linotype" w:eastAsia="Times New Roman" w:cs="Times New Roman"/>
          <w:kern w:val="0"/>
          <w:sz w:val="24"/>
          <w:szCs w:val="24"/>
          <w14:ligatures w14:val="none"/>
        </w:rPr>
        <w:t xml:space="preserve"> were filed to </w:t>
      </w:r>
      <w:r w:rsidR="00BD579E">
        <w:rPr>
          <w:rFonts w:ascii="Palatino Linotype" w:hAnsi="Palatino Linotype" w:eastAsia="Times New Roman" w:cs="Times New Roman"/>
          <w:kern w:val="0"/>
          <w:sz w:val="24"/>
          <w:szCs w:val="24"/>
          <w14:ligatures w14:val="none"/>
        </w:rPr>
        <w:t xml:space="preserve">AL </w:t>
      </w:r>
      <w:r>
        <w:rPr>
          <w:rFonts w:ascii="Palatino Linotype" w:hAnsi="Palatino Linotype" w:eastAsia="Times New Roman" w:cs="Times New Roman"/>
          <w:kern w:val="0"/>
          <w:sz w:val="24"/>
          <w:szCs w:val="24"/>
          <w14:ligatures w14:val="none"/>
        </w:rPr>
        <w:t>7699</w:t>
      </w:r>
      <w:r w:rsidR="00BD579E">
        <w:rPr>
          <w:rFonts w:ascii="Palatino Linotype" w:hAnsi="Palatino Linotype" w:eastAsia="Times New Roman" w:cs="Times New Roman"/>
          <w:kern w:val="0"/>
          <w:sz w:val="24"/>
          <w:szCs w:val="24"/>
          <w14:ligatures w14:val="none"/>
        </w:rPr>
        <w:t>-E</w:t>
      </w:r>
      <w:r w:rsidR="00E73390">
        <w:rPr>
          <w:rFonts w:ascii="Palatino Linotype" w:hAnsi="Palatino Linotype" w:eastAsia="Times New Roman" w:cs="Times New Roman"/>
          <w:kern w:val="0"/>
          <w:sz w:val="24"/>
          <w:szCs w:val="24"/>
          <w14:ligatures w14:val="none"/>
        </w:rPr>
        <w:t>.</w:t>
      </w:r>
      <w:r w:rsidR="004E3D54">
        <w:rPr>
          <w:rFonts w:ascii="Palatino Linotype" w:hAnsi="Palatino Linotype" w:eastAsia="Times New Roman" w:cs="Times New Roman"/>
          <w:kern w:val="0"/>
          <w:sz w:val="24"/>
          <w:szCs w:val="24"/>
          <w14:ligatures w14:val="none"/>
        </w:rPr>
        <w:t xml:space="preserve"> </w:t>
      </w:r>
    </w:p>
    <w:p w:rsidRPr="00C34A2B" w:rsidR="00206AA9" w:rsidP="00206AA9" w:rsidRDefault="00206AA9" w14:paraId="6EC05B4D" w14:textId="77777777">
      <w:pPr>
        <w:autoSpaceDE w:val="0"/>
        <w:autoSpaceDN w:val="0"/>
        <w:adjustRightInd w:val="0"/>
        <w:spacing w:after="0" w:line="240" w:lineRule="auto"/>
        <w:rPr>
          <w:rFonts w:ascii="Palatino Linotype" w:hAnsi="Palatino Linotype" w:eastAsia="Times New Roman" w:cs="Times New Roman"/>
          <w:kern w:val="0"/>
          <w:sz w:val="16"/>
          <w:szCs w:val="16"/>
          <w14:ligatures w14:val="none"/>
        </w:rPr>
      </w:pPr>
    </w:p>
    <w:p w:rsidRPr="00A379E2" w:rsidR="00B84E68" w:rsidP="004A7A04" w:rsidRDefault="00B84E68" w14:paraId="647B9188" w14:textId="77777777">
      <w:pPr>
        <w:spacing w:after="240" w:line="240" w:lineRule="auto"/>
        <w:rPr>
          <w:rFonts w:ascii="Palatino Linotype" w:hAnsi="Palatino Linotype" w:eastAsia="Times New Roman" w:cs="Times New Roman"/>
          <w:kern w:val="0"/>
          <w:sz w:val="24"/>
          <w:szCs w:val="24"/>
          <w14:ligatures w14:val="none"/>
        </w:rPr>
      </w:pPr>
      <w:r w:rsidRPr="00173D58">
        <w:rPr>
          <w:rFonts w:ascii="Palatino Linotype" w:hAnsi="Palatino Linotype" w:eastAsia="Times New Roman" w:cs="Times New Roman"/>
          <w:b/>
          <w:caps/>
          <w:kern w:val="28"/>
          <w:sz w:val="24"/>
          <w:szCs w:val="24"/>
          <w:u w:val="single"/>
          <w14:ligatures w14:val="none"/>
        </w:rPr>
        <w:t>Discussion</w:t>
      </w:r>
    </w:p>
    <w:p w:rsidR="008E7633" w:rsidP="00B2109F" w:rsidRDefault="00421BE3" w14:paraId="738AF248" w14:textId="77777777">
      <w:pPr>
        <w:keepNext/>
        <w:spacing w:after="0" w:line="264" w:lineRule="auto"/>
        <w:rPr>
          <w:rFonts w:ascii="Palatino Linotype" w:hAnsi="Palatino Linotype" w:eastAsia="Times New Roman" w:cs="Times New Roman"/>
          <w:kern w:val="0"/>
          <w:sz w:val="24"/>
          <w:szCs w:val="24"/>
          <w14:ligatures w14:val="none"/>
        </w:rPr>
      </w:pPr>
      <w:r w:rsidRPr="00B2109F">
        <w:rPr>
          <w:rFonts w:ascii="Palatino Linotype" w:hAnsi="Palatino Linotype" w:eastAsia="Palatino Linotype"/>
          <w:sz w:val="24"/>
          <w:szCs w:val="24"/>
        </w:rPr>
        <w:t xml:space="preserve">The Commission has reviewed PG&amp;E AL </w:t>
      </w:r>
      <w:r w:rsidRPr="00B2109F" w:rsidR="00206AA9">
        <w:rPr>
          <w:rFonts w:ascii="Palatino Linotype" w:hAnsi="Palatino Linotype" w:eastAsia="Palatino Linotype"/>
          <w:sz w:val="24"/>
          <w:szCs w:val="24"/>
        </w:rPr>
        <w:t>7699</w:t>
      </w:r>
      <w:r w:rsidRPr="00B2109F">
        <w:rPr>
          <w:rFonts w:ascii="Palatino Linotype" w:hAnsi="Palatino Linotype" w:eastAsia="Palatino Linotype"/>
          <w:sz w:val="24"/>
          <w:szCs w:val="24"/>
        </w:rPr>
        <w:t xml:space="preserve">-E and finds that PG&amp;E’s request for </w:t>
      </w:r>
      <w:r w:rsidRPr="00B2109F" w:rsidR="008E7633">
        <w:rPr>
          <w:rFonts w:ascii="Palatino Linotype" w:hAnsi="Palatino Linotype" w:eastAsia="Palatino Linotype"/>
          <w:sz w:val="24"/>
          <w:szCs w:val="24"/>
        </w:rPr>
        <w:t>amendment</w:t>
      </w:r>
      <w:r w:rsidRPr="00B2109F" w:rsidR="0078604C">
        <w:rPr>
          <w:rFonts w:ascii="Palatino Linotype" w:hAnsi="Palatino Linotype" w:eastAsia="Palatino Linotype"/>
          <w:sz w:val="24"/>
          <w:szCs w:val="24"/>
        </w:rPr>
        <w:t>s to the Nighthawk</w:t>
      </w:r>
      <w:r w:rsidRPr="00B2109F">
        <w:rPr>
          <w:rFonts w:ascii="Palatino Linotype" w:hAnsi="Palatino Linotype" w:eastAsia="Palatino Linotype"/>
          <w:sz w:val="24"/>
          <w:szCs w:val="24"/>
        </w:rPr>
        <w:t xml:space="preserve"> MTR contract </w:t>
      </w:r>
      <w:r w:rsidRPr="00B2109F" w:rsidR="00F02CD5">
        <w:rPr>
          <w:rFonts w:ascii="Palatino Linotype" w:hAnsi="Palatino Linotype" w:eastAsia="Palatino Linotype"/>
          <w:sz w:val="24"/>
          <w:szCs w:val="24"/>
        </w:rPr>
        <w:t>are</w:t>
      </w:r>
      <w:r w:rsidRPr="00B2109F">
        <w:rPr>
          <w:rFonts w:ascii="Palatino Linotype" w:hAnsi="Palatino Linotype" w:eastAsia="Palatino Linotype"/>
          <w:sz w:val="24"/>
          <w:szCs w:val="24"/>
        </w:rPr>
        <w:t xml:space="preserve"> reasonable</w:t>
      </w:r>
      <w:r w:rsidRPr="00B2109F" w:rsidR="004162C6">
        <w:rPr>
          <w:rFonts w:ascii="Palatino Linotype" w:hAnsi="Palatino Linotype" w:eastAsia="Palatino Linotype"/>
          <w:sz w:val="24"/>
          <w:szCs w:val="24"/>
        </w:rPr>
        <w:t>.</w:t>
      </w:r>
      <w:r w:rsidRPr="00B2109F">
        <w:rPr>
          <w:rFonts w:ascii="Palatino Linotype" w:hAnsi="Palatino Linotype" w:eastAsia="Palatino Linotype"/>
          <w:sz w:val="24"/>
          <w:szCs w:val="24"/>
        </w:rPr>
        <w:t xml:space="preserve"> </w:t>
      </w:r>
      <w:r w:rsidRPr="00B2109F" w:rsidR="008E7633">
        <w:rPr>
          <w:rFonts w:ascii="Palatino Linotype" w:hAnsi="Palatino Linotype" w:eastAsia="Times New Roman" w:cs="Times New Roman"/>
          <w:kern w:val="0"/>
          <w:sz w:val="24"/>
          <w:szCs w:val="24"/>
          <w14:ligatures w14:val="none"/>
        </w:rPr>
        <w:t xml:space="preserve">The Commission recognizes that the </w:t>
      </w:r>
      <w:r w:rsidRPr="00B2109F" w:rsidR="00AF1446">
        <w:rPr>
          <w:rFonts w:ascii="Palatino Linotype" w:hAnsi="Palatino Linotype" w:eastAsia="Times New Roman" w:cs="Times New Roman"/>
          <w:kern w:val="0"/>
          <w:sz w:val="24"/>
          <w:szCs w:val="24"/>
          <w14:ligatures w14:val="none"/>
        </w:rPr>
        <w:t>Nighthawk</w:t>
      </w:r>
      <w:r w:rsidRPr="00B2109F" w:rsidR="0043015A">
        <w:rPr>
          <w:rFonts w:ascii="Palatino Linotype" w:hAnsi="Palatino Linotype" w:eastAsia="Times New Roman" w:cs="Times New Roman"/>
          <w:kern w:val="0"/>
          <w:sz w:val="24"/>
          <w:szCs w:val="24"/>
          <w14:ligatures w14:val="none"/>
        </w:rPr>
        <w:t xml:space="preserve"> </w:t>
      </w:r>
      <w:r w:rsidRPr="00B2109F" w:rsidR="008E7633">
        <w:rPr>
          <w:rFonts w:ascii="Palatino Linotype" w:hAnsi="Palatino Linotype" w:eastAsia="Times New Roman" w:cs="Times New Roman"/>
          <w:kern w:val="0"/>
          <w:sz w:val="24"/>
          <w:szCs w:val="24"/>
          <w14:ligatures w14:val="none"/>
        </w:rPr>
        <w:t xml:space="preserve">project </w:t>
      </w:r>
      <w:r w:rsidRPr="00B2109F" w:rsidR="00001D6C">
        <w:rPr>
          <w:rFonts w:ascii="Palatino Linotype" w:hAnsi="Palatino Linotype" w:eastAsia="Times New Roman" w:cs="Times New Roman"/>
          <w:kern w:val="0"/>
          <w:sz w:val="24"/>
          <w:szCs w:val="24"/>
          <w14:ligatures w14:val="none"/>
        </w:rPr>
        <w:t>was</w:t>
      </w:r>
      <w:r w:rsidRPr="00B2109F" w:rsidR="005A3F11">
        <w:rPr>
          <w:rFonts w:ascii="Palatino Linotype" w:hAnsi="Palatino Linotype" w:eastAsia="Times New Roman" w:cs="Times New Roman"/>
          <w:kern w:val="0"/>
          <w:sz w:val="24"/>
          <w:szCs w:val="24"/>
          <w14:ligatures w14:val="none"/>
        </w:rPr>
        <w:t xml:space="preserve"> executed by PG&amp;E to </w:t>
      </w:r>
      <w:r w:rsidRPr="00B2109F" w:rsidR="00001D6C">
        <w:rPr>
          <w:rFonts w:ascii="Palatino Linotype" w:hAnsi="Palatino Linotype" w:eastAsia="Times New Roman" w:cs="Times New Roman"/>
          <w:kern w:val="0"/>
          <w:sz w:val="24"/>
          <w:szCs w:val="24"/>
          <w14:ligatures w14:val="none"/>
        </w:rPr>
        <w:t xml:space="preserve">help </w:t>
      </w:r>
      <w:r w:rsidRPr="00B2109F" w:rsidR="005A3F11">
        <w:rPr>
          <w:rFonts w:ascii="Palatino Linotype" w:hAnsi="Palatino Linotype" w:eastAsia="Times New Roman" w:cs="Times New Roman"/>
          <w:kern w:val="0"/>
          <w:sz w:val="24"/>
          <w:szCs w:val="24"/>
          <w14:ligatures w14:val="none"/>
        </w:rPr>
        <w:t xml:space="preserve">satisfy its MTR procurement </w:t>
      </w:r>
      <w:r w:rsidRPr="00B2109F" w:rsidR="005A3F11">
        <w:rPr>
          <w:rFonts w:ascii="Palatino Linotype" w:hAnsi="Palatino Linotype" w:eastAsia="Times New Roman" w:cs="Times New Roman"/>
          <w:kern w:val="0"/>
          <w:sz w:val="24"/>
          <w:szCs w:val="24"/>
          <w14:ligatures w14:val="none"/>
        </w:rPr>
        <w:lastRenderedPageBreak/>
        <w:t xml:space="preserve">obligations. </w:t>
      </w:r>
      <w:r w:rsidRPr="00B2109F" w:rsidR="00783D4C">
        <w:rPr>
          <w:rFonts w:ascii="Palatino Linotype" w:hAnsi="Palatino Linotype" w:eastAsia="Times New Roman" w:cs="Times New Roman"/>
          <w:kern w:val="0"/>
          <w:sz w:val="24"/>
          <w:szCs w:val="24"/>
          <w14:ligatures w14:val="none"/>
        </w:rPr>
        <w:t>T</w:t>
      </w:r>
      <w:r w:rsidRPr="00B2109F" w:rsidR="008E7633">
        <w:rPr>
          <w:rFonts w:ascii="Palatino Linotype" w:hAnsi="Palatino Linotype" w:eastAsia="Times New Roman" w:cs="Times New Roman"/>
          <w:kern w:val="0"/>
          <w:sz w:val="24"/>
          <w:szCs w:val="24"/>
          <w14:ligatures w14:val="none"/>
        </w:rPr>
        <w:t>he proposed online date of June 1, 2026</w:t>
      </w:r>
      <w:r w:rsidRPr="00B2109F" w:rsidR="4469DBA3">
        <w:rPr>
          <w:rFonts w:ascii="Palatino Linotype" w:hAnsi="Palatino Linotype" w:eastAsia="Times New Roman" w:cs="Times New Roman"/>
          <w:kern w:val="0"/>
          <w:sz w:val="24"/>
          <w:szCs w:val="24"/>
          <w14:ligatures w14:val="none"/>
        </w:rPr>
        <w:t>,</w:t>
      </w:r>
      <w:r w:rsidRPr="00B2109F" w:rsidR="008E7633">
        <w:rPr>
          <w:rFonts w:ascii="Palatino Linotype" w:hAnsi="Palatino Linotype" w:eastAsia="Times New Roman" w:cs="Times New Roman"/>
          <w:kern w:val="0"/>
          <w:sz w:val="24"/>
          <w:szCs w:val="24"/>
          <w14:ligatures w14:val="none"/>
        </w:rPr>
        <w:t xml:space="preserve"> extends beyond the initial target delivery date of 2024 that PG&amp;E established in 2022</w:t>
      </w:r>
      <w:r w:rsidRPr="00B2109F" w:rsidR="00783D4C">
        <w:rPr>
          <w:rFonts w:ascii="Palatino Linotype" w:hAnsi="Palatino Linotype" w:eastAsia="Times New Roman" w:cs="Times New Roman"/>
          <w:kern w:val="0"/>
          <w:sz w:val="24"/>
          <w:szCs w:val="24"/>
          <w14:ligatures w14:val="none"/>
        </w:rPr>
        <w:t xml:space="preserve">. </w:t>
      </w:r>
    </w:p>
    <w:p w:rsidRPr="001B1B34" w:rsidR="00B2109F" w:rsidP="00B2109F" w:rsidRDefault="00B2109F" w14:paraId="347DB93B" w14:textId="77777777">
      <w:pPr>
        <w:keepNext/>
        <w:spacing w:after="0" w:line="264" w:lineRule="auto"/>
        <w:rPr>
          <w:rFonts w:ascii="Palatino Linotype" w:hAnsi="Palatino Linotype" w:eastAsia="Times New Roman" w:cs="Times New Roman"/>
          <w:kern w:val="0"/>
          <w:sz w:val="16"/>
          <w:szCs w:val="16"/>
          <w14:ligatures w14:val="none"/>
        </w:rPr>
      </w:pPr>
    </w:p>
    <w:p w:rsidRPr="00B2109F" w:rsidR="00B2109F" w:rsidP="00B2109F" w:rsidRDefault="00967940" w14:paraId="5637D6B0" w14:textId="77777777">
      <w:pPr>
        <w:pStyle w:val="pf0"/>
        <w:spacing w:before="0" w:beforeAutospacing="0" w:after="0" w:afterAutospacing="0" w:line="264" w:lineRule="auto"/>
        <w:rPr>
          <w:rStyle w:val="cf01"/>
          <w:rFonts w:ascii="Palatino Linotype" w:hAnsi="Palatino Linotype" w:eastAsiaTheme="majorEastAsia"/>
          <w:sz w:val="24"/>
          <w:szCs w:val="24"/>
        </w:rPr>
      </w:pPr>
      <w:r w:rsidRPr="00B2109F">
        <w:rPr>
          <w:rStyle w:val="cf01"/>
          <w:rFonts w:ascii="Palatino Linotype" w:hAnsi="Palatino Linotype" w:eastAsiaTheme="majorEastAsia"/>
          <w:sz w:val="24"/>
          <w:szCs w:val="24"/>
        </w:rPr>
        <w:t xml:space="preserve">The Commission recognizes industry-wide delays in developing some </w:t>
      </w:r>
      <w:r w:rsidRPr="036E28A1" w:rsidR="37398D60">
        <w:rPr>
          <w:rStyle w:val="cf01"/>
          <w:rFonts w:ascii="Palatino Linotype" w:hAnsi="Palatino Linotype" w:eastAsiaTheme="majorEastAsia"/>
          <w:sz w:val="24"/>
          <w:szCs w:val="24"/>
        </w:rPr>
        <w:t xml:space="preserve">IRP procurement </w:t>
      </w:r>
      <w:r w:rsidRPr="00B2109F">
        <w:rPr>
          <w:rStyle w:val="cf01"/>
          <w:rFonts w:ascii="Palatino Linotype" w:hAnsi="Palatino Linotype" w:eastAsiaTheme="majorEastAsia"/>
          <w:sz w:val="24"/>
          <w:szCs w:val="24"/>
        </w:rPr>
        <w:t>projects and acknowledges that the primary factors delaying Nighthawk, namely PTO interconnection delays</w:t>
      </w:r>
      <w:r w:rsidRPr="036E28A1" w:rsidR="0806E4D5">
        <w:rPr>
          <w:rStyle w:val="cf01"/>
          <w:rFonts w:ascii="Palatino Linotype" w:hAnsi="Palatino Linotype" w:eastAsiaTheme="majorEastAsia"/>
          <w:sz w:val="24"/>
          <w:szCs w:val="24"/>
        </w:rPr>
        <w:t xml:space="preserve"> with SDG&amp;E</w:t>
      </w:r>
      <w:r w:rsidRPr="00B2109F">
        <w:rPr>
          <w:rStyle w:val="cf01"/>
          <w:rFonts w:ascii="Palatino Linotype" w:hAnsi="Palatino Linotype" w:eastAsiaTheme="majorEastAsia"/>
          <w:sz w:val="24"/>
          <w:szCs w:val="24"/>
        </w:rPr>
        <w:t xml:space="preserve">, are largely beyond the control of the developer. The Commission also recognizes that the other factors beyond </w:t>
      </w:r>
      <w:r w:rsidRPr="036E28A1" w:rsidR="6CCA117A">
        <w:rPr>
          <w:rStyle w:val="cf01"/>
          <w:rFonts w:ascii="Palatino Linotype" w:hAnsi="Palatino Linotype" w:eastAsiaTheme="majorEastAsia"/>
          <w:sz w:val="24"/>
          <w:szCs w:val="24"/>
        </w:rPr>
        <w:t xml:space="preserve">SDG&amp;E </w:t>
      </w:r>
      <w:r w:rsidRPr="00B2109F">
        <w:rPr>
          <w:rStyle w:val="cf01"/>
          <w:rFonts w:ascii="Palatino Linotype" w:hAnsi="Palatino Linotype" w:eastAsiaTheme="majorEastAsia"/>
          <w:sz w:val="24"/>
          <w:szCs w:val="24"/>
        </w:rPr>
        <w:t>interconnection</w:t>
      </w:r>
      <w:r w:rsidRPr="036E28A1" w:rsidR="6968F671">
        <w:rPr>
          <w:rStyle w:val="cf01"/>
          <w:rFonts w:ascii="Palatino Linotype" w:hAnsi="Palatino Linotype" w:eastAsiaTheme="majorEastAsia"/>
          <w:sz w:val="24"/>
          <w:szCs w:val="24"/>
        </w:rPr>
        <w:t xml:space="preserve"> </w:t>
      </w:r>
      <w:r w:rsidRPr="036E28A1" w:rsidR="5786497B">
        <w:rPr>
          <w:rStyle w:val="cf01"/>
          <w:rFonts w:ascii="Palatino Linotype" w:hAnsi="Palatino Linotype" w:eastAsiaTheme="majorEastAsia"/>
          <w:sz w:val="24"/>
          <w:szCs w:val="24"/>
        </w:rPr>
        <w:t>delays</w:t>
      </w:r>
      <w:r w:rsidRPr="00B2109F">
        <w:rPr>
          <w:rStyle w:val="cf01"/>
          <w:rFonts w:ascii="Palatino Linotype" w:hAnsi="Palatino Linotype" w:eastAsiaTheme="majorEastAsia"/>
          <w:sz w:val="24"/>
          <w:szCs w:val="24"/>
        </w:rPr>
        <w:t xml:space="preserve"> may also contribute to the change in circumstances for this </w:t>
      </w:r>
      <w:r w:rsidRPr="00B2109F" w:rsidR="00EB463D">
        <w:rPr>
          <w:rStyle w:val="cf01"/>
          <w:rFonts w:ascii="Palatino Linotype" w:hAnsi="Palatino Linotype" w:eastAsiaTheme="majorEastAsia"/>
          <w:sz w:val="24"/>
          <w:szCs w:val="24"/>
        </w:rPr>
        <w:t>project</w:t>
      </w:r>
      <w:r w:rsidRPr="00B2109F">
        <w:rPr>
          <w:rStyle w:val="cf01"/>
          <w:rFonts w:ascii="Palatino Linotype" w:hAnsi="Palatino Linotype" w:eastAsiaTheme="majorEastAsia"/>
          <w:sz w:val="24"/>
          <w:szCs w:val="24"/>
        </w:rPr>
        <w:t xml:space="preserve">, namely a delay in receiving necessary permits and other market pressures, including supply chain constraints and inflationary trends, which have had lasting effects and continue to contribute to increased project development costs for certain projects. </w:t>
      </w:r>
      <w:r w:rsidRPr="00B2109F" w:rsidR="00B8102F">
        <w:rPr>
          <w:rFonts w:ascii="Palatino Linotype" w:hAnsi="Palatino Linotype"/>
        </w:rPr>
        <w:t xml:space="preserve">While the delay to 2026 is driven by permitting issues </w:t>
      </w:r>
      <w:r w:rsidRPr="036E28A1" w:rsidR="3EBF16FC">
        <w:rPr>
          <w:rFonts w:ascii="Palatino Linotype" w:hAnsi="Palatino Linotype"/>
        </w:rPr>
        <w:t xml:space="preserve">largely </w:t>
      </w:r>
      <w:r w:rsidRPr="00B2109F" w:rsidR="00B8102F">
        <w:rPr>
          <w:rFonts w:ascii="Palatino Linotype" w:hAnsi="Palatino Linotype"/>
        </w:rPr>
        <w:t xml:space="preserve">outside of </w:t>
      </w:r>
      <w:proofErr w:type="spellStart"/>
      <w:r w:rsidRPr="00B2109F" w:rsidR="00B8102F">
        <w:rPr>
          <w:rFonts w:ascii="Palatino Linotype" w:hAnsi="Palatino Linotype"/>
        </w:rPr>
        <w:t>Arevon’s</w:t>
      </w:r>
      <w:proofErr w:type="spellEnd"/>
      <w:r w:rsidRPr="00B2109F" w:rsidR="00B8102F">
        <w:rPr>
          <w:rFonts w:ascii="Palatino Linotype" w:hAnsi="Palatino Linotype"/>
        </w:rPr>
        <w:t xml:space="preserve"> control, the Commission expects PG&amp;E to </w:t>
      </w:r>
      <w:r w:rsidRPr="00B2109F" w:rsidR="00B24CA6">
        <w:rPr>
          <w:rFonts w:ascii="Palatino Linotype" w:hAnsi="Palatino Linotype"/>
        </w:rPr>
        <w:t>conduct</w:t>
      </w:r>
      <w:r w:rsidRPr="00B2109F" w:rsidR="00B8102F">
        <w:rPr>
          <w:rFonts w:ascii="Palatino Linotype" w:hAnsi="Palatino Linotype"/>
        </w:rPr>
        <w:t xml:space="preserve"> its viability assessments and </w:t>
      </w:r>
      <w:r w:rsidRPr="00B2109F" w:rsidR="00B24CA6">
        <w:rPr>
          <w:rFonts w:ascii="Palatino Linotype" w:hAnsi="Palatino Linotype"/>
        </w:rPr>
        <w:t xml:space="preserve">structure </w:t>
      </w:r>
      <w:r w:rsidRPr="00B2109F" w:rsidR="00B8102F">
        <w:rPr>
          <w:rFonts w:ascii="Palatino Linotype" w:hAnsi="Palatino Linotype"/>
        </w:rPr>
        <w:t>contractual requirements to minimize shifting of risks to ratepayers.</w:t>
      </w:r>
      <w:r w:rsidRPr="00B2109F" w:rsidR="00790434">
        <w:rPr>
          <w:rFonts w:ascii="Palatino Linotype" w:hAnsi="Palatino Linotype"/>
        </w:rPr>
        <w:t xml:space="preserve"> </w:t>
      </w:r>
      <w:r w:rsidRPr="00B2109F" w:rsidR="00790434">
        <w:rPr>
          <w:rStyle w:val="cf01"/>
          <w:rFonts w:ascii="Palatino Linotype" w:hAnsi="Palatino Linotype" w:eastAsiaTheme="majorEastAsia"/>
          <w:sz w:val="24"/>
          <w:szCs w:val="24"/>
        </w:rPr>
        <w:t xml:space="preserve">The Commission also expects PG&amp;E to give careful </w:t>
      </w:r>
      <w:proofErr w:type="gramStart"/>
      <w:r w:rsidRPr="00B2109F" w:rsidR="00790434">
        <w:rPr>
          <w:rStyle w:val="cf01"/>
          <w:rFonts w:ascii="Palatino Linotype" w:hAnsi="Palatino Linotype" w:eastAsiaTheme="majorEastAsia"/>
          <w:sz w:val="24"/>
          <w:szCs w:val="24"/>
        </w:rPr>
        <w:t>review</w:t>
      </w:r>
      <w:proofErr w:type="gramEnd"/>
      <w:r w:rsidRPr="00B2109F" w:rsidR="00790434">
        <w:rPr>
          <w:rStyle w:val="cf01"/>
          <w:rFonts w:ascii="Palatino Linotype" w:hAnsi="Palatino Linotype" w:eastAsiaTheme="majorEastAsia"/>
          <w:sz w:val="24"/>
          <w:szCs w:val="24"/>
        </w:rPr>
        <w:t xml:space="preserve"> of each new contract, and particularly contract modification requests, to ensure that market conditions warrant any modifications.</w:t>
      </w:r>
      <w:r w:rsidRPr="00B2109F" w:rsidR="00967014">
        <w:rPr>
          <w:rStyle w:val="cf01"/>
          <w:rFonts w:ascii="Palatino Linotype" w:hAnsi="Palatino Linotype" w:eastAsiaTheme="majorEastAsia"/>
          <w:sz w:val="24"/>
          <w:szCs w:val="24"/>
        </w:rPr>
        <w:t xml:space="preserve"> The Commission finds that</w:t>
      </w:r>
      <w:r w:rsidR="00B2109F">
        <w:rPr>
          <w:rStyle w:val="cf01"/>
          <w:rFonts w:ascii="Palatino Linotype" w:hAnsi="Palatino Linotype" w:eastAsiaTheme="majorEastAsia"/>
          <w:sz w:val="24"/>
          <w:szCs w:val="24"/>
        </w:rPr>
        <w:t xml:space="preserve"> PG&amp;E has placed c</w:t>
      </w:r>
      <w:r w:rsidR="007A1EE5">
        <w:rPr>
          <w:rStyle w:val="cf01"/>
          <w:rFonts w:ascii="Palatino Linotype" w:hAnsi="Palatino Linotype" w:eastAsiaTheme="majorEastAsia"/>
          <w:sz w:val="24"/>
          <w:szCs w:val="24"/>
        </w:rPr>
        <w:t>ontractual conditions to protect ratepayers in the event of market value erosion</w:t>
      </w:r>
      <w:r w:rsidR="00E631A1">
        <w:rPr>
          <w:rStyle w:val="cf01"/>
          <w:rFonts w:ascii="Palatino Linotype" w:hAnsi="Palatino Linotype" w:eastAsiaTheme="majorEastAsia"/>
          <w:sz w:val="24"/>
          <w:szCs w:val="24"/>
        </w:rPr>
        <w:t xml:space="preserve"> and further modifications.</w:t>
      </w:r>
      <w:r w:rsidRPr="00B2109F" w:rsidR="00790434">
        <w:rPr>
          <w:rStyle w:val="cf01"/>
          <w:rFonts w:ascii="Palatino Linotype" w:hAnsi="Palatino Linotype" w:eastAsiaTheme="majorEastAsia"/>
          <w:sz w:val="24"/>
          <w:szCs w:val="24"/>
        </w:rPr>
        <w:t xml:space="preserve"> </w:t>
      </w:r>
    </w:p>
    <w:p w:rsidRPr="001B1B34" w:rsidR="00B2109F" w:rsidP="00B2109F" w:rsidRDefault="00B2109F" w14:paraId="3733F801" w14:textId="77777777">
      <w:pPr>
        <w:pStyle w:val="pf0"/>
        <w:spacing w:before="0" w:beforeAutospacing="0" w:after="0" w:afterAutospacing="0" w:line="264" w:lineRule="auto"/>
        <w:rPr>
          <w:rFonts w:ascii="Palatino Linotype" w:hAnsi="Palatino Linotype" w:cs="Arial"/>
          <w:sz w:val="16"/>
          <w:szCs w:val="16"/>
        </w:rPr>
      </w:pPr>
    </w:p>
    <w:p w:rsidR="00B2109F" w:rsidP="11E98DEF" w:rsidRDefault="00B2109F" w14:paraId="5FBDFE93" w14:textId="77777777">
      <w:pPr>
        <w:pStyle w:val="pf0"/>
        <w:spacing w:before="0" w:beforeAutospacing="0" w:after="0" w:afterAutospacing="0" w:line="264" w:lineRule="auto"/>
        <w:rPr>
          <w:rStyle w:val="cf01"/>
          <w:rFonts w:ascii="Palatino Linotype" w:hAnsi="Palatino Linotype" w:eastAsiaTheme="majorEastAsia"/>
          <w:sz w:val="24"/>
          <w:szCs w:val="24"/>
        </w:rPr>
      </w:pPr>
      <w:r w:rsidRPr="11E98DEF">
        <w:rPr>
          <w:rStyle w:val="cf01"/>
          <w:rFonts w:ascii="Palatino Linotype" w:hAnsi="Palatino Linotype" w:eastAsiaTheme="majorEastAsia"/>
          <w:sz w:val="24"/>
          <w:szCs w:val="24"/>
        </w:rPr>
        <w:t xml:space="preserve">Over the past several years, the Commission has observed significant volatility in lithium-ion battery costs. Commodity prices for lithium-ion materials rose to unprecedented levels </w:t>
      </w:r>
      <w:r w:rsidRPr="11E98DEF" w:rsidR="00907221">
        <w:rPr>
          <w:rStyle w:val="cf01"/>
          <w:rFonts w:ascii="Palatino Linotype" w:hAnsi="Palatino Linotype" w:eastAsiaTheme="majorEastAsia"/>
          <w:sz w:val="24"/>
          <w:szCs w:val="24"/>
        </w:rPr>
        <w:t xml:space="preserve">beginning in </w:t>
      </w:r>
      <w:r w:rsidRPr="11E98DEF">
        <w:rPr>
          <w:rStyle w:val="cf01"/>
          <w:rFonts w:ascii="Palatino Linotype" w:hAnsi="Palatino Linotype" w:eastAsiaTheme="majorEastAsia"/>
          <w:sz w:val="24"/>
          <w:szCs w:val="24"/>
        </w:rPr>
        <w:t>2021</w:t>
      </w:r>
      <w:r w:rsidRPr="11E98DEF" w:rsidR="00A2660B">
        <w:rPr>
          <w:rStyle w:val="cf01"/>
          <w:rFonts w:ascii="Palatino Linotype" w:hAnsi="Palatino Linotype" w:eastAsiaTheme="majorEastAsia"/>
          <w:sz w:val="24"/>
          <w:szCs w:val="24"/>
        </w:rPr>
        <w:t xml:space="preserve"> and</w:t>
      </w:r>
      <w:r w:rsidRPr="11E98DEF">
        <w:rPr>
          <w:rStyle w:val="cf01"/>
          <w:rFonts w:ascii="Palatino Linotype" w:hAnsi="Palatino Linotype" w:eastAsiaTheme="majorEastAsia"/>
          <w:sz w:val="24"/>
          <w:szCs w:val="24"/>
        </w:rPr>
        <w:t xml:space="preserve"> through 2022, significantly increasing prices of similar storage project developments. While lithium commodity prices have since declined due to increased supply and lower lithium carbonate costs, ongoing pricing pressures – including elevated balance-of-system costs such as components, labor, and project financing expenses driven by high interest rates – continue to affect project economics. As noted by PG&amp;E</w:t>
      </w:r>
      <w:r w:rsidRPr="11E98DEF" w:rsidR="11C221BC">
        <w:rPr>
          <w:rStyle w:val="cf01"/>
          <w:rFonts w:ascii="Palatino Linotype" w:hAnsi="Palatino Linotype" w:eastAsiaTheme="majorEastAsia"/>
          <w:sz w:val="24"/>
          <w:szCs w:val="24"/>
        </w:rPr>
        <w:t>,</w:t>
      </w:r>
      <w:r w:rsidRPr="11E98DEF">
        <w:rPr>
          <w:rStyle w:val="cf01"/>
          <w:rFonts w:ascii="Palatino Linotype" w:hAnsi="Palatino Linotype" w:eastAsiaTheme="majorEastAsia"/>
          <w:sz w:val="24"/>
          <w:szCs w:val="24"/>
        </w:rPr>
        <w:t xml:space="preserve"> the developer has claimed several macroeconomic factors driving the </w:t>
      </w:r>
      <w:r w:rsidR="00A70EF1">
        <w:rPr>
          <w:rStyle w:val="cf01"/>
          <w:rFonts w:ascii="Palatino Linotype" w:hAnsi="Palatino Linotype" w:eastAsiaTheme="majorEastAsia"/>
          <w:sz w:val="24"/>
          <w:szCs w:val="24"/>
        </w:rPr>
        <w:t>amendment</w:t>
      </w:r>
      <w:r w:rsidRPr="11E98DEF">
        <w:rPr>
          <w:rStyle w:val="cf01"/>
          <w:rFonts w:ascii="Palatino Linotype" w:hAnsi="Palatino Linotype" w:eastAsiaTheme="majorEastAsia"/>
          <w:sz w:val="24"/>
          <w:szCs w:val="24"/>
        </w:rPr>
        <w:t xml:space="preserve"> in price to bring the resource to market. </w:t>
      </w:r>
    </w:p>
    <w:p w:rsidRPr="001B1B34" w:rsidR="00B2109F" w:rsidP="00B2109F" w:rsidRDefault="00B2109F" w14:paraId="16DC40CB" w14:textId="77777777">
      <w:pPr>
        <w:pStyle w:val="pf0"/>
        <w:spacing w:before="0" w:beforeAutospacing="0" w:after="0" w:afterAutospacing="0" w:line="264" w:lineRule="auto"/>
        <w:rPr>
          <w:rFonts w:ascii="Palatino Linotype" w:hAnsi="Palatino Linotype" w:cs="Arial"/>
          <w:sz w:val="16"/>
          <w:szCs w:val="16"/>
        </w:rPr>
      </w:pPr>
    </w:p>
    <w:p w:rsidRPr="00EB7E80" w:rsidR="008E7633" w:rsidP="00B2109F" w:rsidRDefault="00A960AA" w14:paraId="1AAE7B19" w14:textId="77777777">
      <w:pPr>
        <w:keepNext/>
        <w:spacing w:after="0" w:line="264" w:lineRule="auto"/>
        <w:rPr>
          <w:rFonts w:ascii="Palatino Linotype" w:hAnsi="Palatino Linotype" w:eastAsia="Times New Roman" w:cs="Times New Roman"/>
          <w:kern w:val="0"/>
          <w:sz w:val="24"/>
          <w:szCs w:val="24"/>
          <w14:ligatures w14:val="none"/>
        </w:rPr>
      </w:pPr>
      <w:proofErr w:type="spellStart"/>
      <w:r>
        <w:rPr>
          <w:rFonts w:ascii="Palatino Linotype" w:hAnsi="Palatino Linotype" w:eastAsia="Times New Roman" w:cs="Times New Roman"/>
          <w:kern w:val="0"/>
          <w:sz w:val="24"/>
          <w:szCs w:val="24"/>
          <w14:ligatures w14:val="none"/>
        </w:rPr>
        <w:t>Arevon</w:t>
      </w:r>
      <w:proofErr w:type="spellEnd"/>
      <w:r>
        <w:rPr>
          <w:rFonts w:ascii="Palatino Linotype" w:hAnsi="Palatino Linotype" w:eastAsia="Times New Roman" w:cs="Times New Roman"/>
          <w:kern w:val="0"/>
          <w:sz w:val="24"/>
          <w:szCs w:val="24"/>
          <w14:ligatures w14:val="none"/>
        </w:rPr>
        <w:t xml:space="preserve"> states that the delays</w:t>
      </w:r>
      <w:r w:rsidR="00790BC0">
        <w:rPr>
          <w:rFonts w:ascii="Palatino Linotype" w:hAnsi="Palatino Linotype" w:eastAsia="Times New Roman" w:cs="Times New Roman"/>
          <w:kern w:val="0"/>
          <w:sz w:val="24"/>
          <w:szCs w:val="24"/>
          <w14:ligatures w14:val="none"/>
        </w:rPr>
        <w:t xml:space="preserve"> – which </w:t>
      </w:r>
      <w:r w:rsidR="005E3465">
        <w:rPr>
          <w:rFonts w:ascii="Palatino Linotype" w:hAnsi="Palatino Linotype" w:eastAsia="Times New Roman" w:cs="Times New Roman"/>
          <w:kern w:val="0"/>
          <w:sz w:val="24"/>
          <w:szCs w:val="24"/>
          <w14:ligatures w14:val="none"/>
        </w:rPr>
        <w:t xml:space="preserve">consequently exposed Nighthawk to </w:t>
      </w:r>
      <w:r w:rsidR="00B36590">
        <w:rPr>
          <w:rFonts w:ascii="Palatino Linotype" w:hAnsi="Palatino Linotype" w:eastAsia="Times New Roman" w:cs="Times New Roman"/>
          <w:kern w:val="0"/>
          <w:sz w:val="24"/>
          <w:szCs w:val="24"/>
          <w14:ligatures w14:val="none"/>
        </w:rPr>
        <w:t xml:space="preserve">increased costs </w:t>
      </w:r>
      <w:r w:rsidR="005C6CE6">
        <w:rPr>
          <w:rFonts w:ascii="Palatino Linotype" w:hAnsi="Palatino Linotype" w:eastAsia="Times New Roman" w:cs="Times New Roman"/>
          <w:kern w:val="0"/>
          <w:sz w:val="24"/>
          <w:szCs w:val="24"/>
          <w14:ligatures w14:val="none"/>
        </w:rPr>
        <w:t>–</w:t>
      </w:r>
      <w:r w:rsidR="00B36590">
        <w:rPr>
          <w:rFonts w:ascii="Palatino Linotype" w:hAnsi="Palatino Linotype" w:eastAsia="Times New Roman" w:cs="Times New Roman"/>
          <w:kern w:val="0"/>
          <w:sz w:val="24"/>
          <w:szCs w:val="24"/>
          <w14:ligatures w14:val="none"/>
        </w:rPr>
        <w:t xml:space="preserve"> </w:t>
      </w:r>
      <w:r w:rsidR="005C6CE6">
        <w:rPr>
          <w:rFonts w:ascii="Palatino Linotype" w:hAnsi="Palatino Linotype" w:eastAsia="Times New Roman" w:cs="Times New Roman"/>
          <w:kern w:val="0"/>
          <w:sz w:val="24"/>
          <w:szCs w:val="24"/>
          <w14:ligatures w14:val="none"/>
        </w:rPr>
        <w:t xml:space="preserve">make it infeasible for the project </w:t>
      </w:r>
      <w:r w:rsidR="00370A7A">
        <w:rPr>
          <w:rFonts w:ascii="Palatino Linotype" w:hAnsi="Palatino Linotype" w:eastAsia="Times New Roman" w:cs="Times New Roman"/>
          <w:kern w:val="0"/>
          <w:sz w:val="24"/>
          <w:szCs w:val="24"/>
          <w14:ligatures w14:val="none"/>
        </w:rPr>
        <w:t>to maintain the contract price.</w:t>
      </w:r>
      <w:r w:rsidR="00F712A7">
        <w:rPr>
          <w:rStyle w:val="FootnoteReference"/>
          <w:rFonts w:ascii="Palatino Linotype" w:hAnsi="Palatino Linotype" w:eastAsia="Times New Roman" w:cs="Times New Roman"/>
          <w:kern w:val="0"/>
          <w:sz w:val="24"/>
          <w:szCs w:val="24"/>
          <w14:ligatures w14:val="none"/>
        </w:rPr>
        <w:footnoteReference w:id="5"/>
      </w:r>
      <w:r w:rsidR="00370A7A">
        <w:rPr>
          <w:rFonts w:ascii="Palatino Linotype" w:hAnsi="Palatino Linotype" w:eastAsia="Times New Roman" w:cs="Times New Roman"/>
          <w:kern w:val="0"/>
          <w:sz w:val="24"/>
          <w:szCs w:val="24"/>
          <w14:ligatures w14:val="none"/>
        </w:rPr>
        <w:t xml:space="preserve"> </w:t>
      </w:r>
      <w:r w:rsidRPr="00EB7E80" w:rsidR="00190227">
        <w:rPr>
          <w:rFonts w:ascii="Palatino Linotype" w:hAnsi="Palatino Linotype" w:eastAsia="Times New Roman" w:cs="Times New Roman"/>
          <w:kern w:val="0"/>
          <w:sz w:val="24"/>
          <w:szCs w:val="24"/>
          <w14:ligatures w14:val="none"/>
        </w:rPr>
        <w:t>A</w:t>
      </w:r>
      <w:r w:rsidRPr="00EB7E80" w:rsidR="008E7633">
        <w:rPr>
          <w:rFonts w:ascii="Palatino Linotype" w:hAnsi="Palatino Linotype" w:eastAsia="Times New Roman" w:cs="Times New Roman"/>
          <w:kern w:val="0"/>
          <w:sz w:val="24"/>
          <w:szCs w:val="24"/>
          <w14:ligatures w14:val="none"/>
        </w:rPr>
        <w:t>bsent approval of this amendment, it is</w:t>
      </w:r>
      <w:r>
        <w:rPr>
          <w:rFonts w:ascii="Palatino Linotype" w:hAnsi="Palatino Linotype" w:eastAsia="Times New Roman" w:cs="Times New Roman"/>
          <w:kern w:val="0"/>
          <w:sz w:val="24"/>
          <w:szCs w:val="24"/>
          <w14:ligatures w14:val="none"/>
        </w:rPr>
        <w:t xml:space="preserve"> likely </w:t>
      </w:r>
      <w:proofErr w:type="spellStart"/>
      <w:r>
        <w:rPr>
          <w:rFonts w:ascii="Palatino Linotype" w:hAnsi="Palatino Linotype" w:eastAsia="Times New Roman" w:cs="Times New Roman"/>
          <w:kern w:val="0"/>
          <w:sz w:val="24"/>
          <w:szCs w:val="24"/>
          <w14:ligatures w14:val="none"/>
        </w:rPr>
        <w:t>Arevon</w:t>
      </w:r>
      <w:proofErr w:type="spellEnd"/>
      <w:r>
        <w:rPr>
          <w:rFonts w:ascii="Palatino Linotype" w:hAnsi="Palatino Linotype" w:eastAsia="Times New Roman" w:cs="Times New Roman"/>
          <w:kern w:val="0"/>
          <w:sz w:val="24"/>
          <w:szCs w:val="24"/>
          <w14:ligatures w14:val="none"/>
        </w:rPr>
        <w:t xml:space="preserve"> </w:t>
      </w:r>
      <w:r w:rsidRPr="00EB7E80" w:rsidR="008E7633">
        <w:rPr>
          <w:rFonts w:ascii="Palatino Linotype" w:hAnsi="Palatino Linotype" w:eastAsia="Times New Roman" w:cs="Times New Roman"/>
          <w:kern w:val="0"/>
          <w:sz w:val="24"/>
          <w:szCs w:val="24"/>
          <w14:ligatures w14:val="none"/>
        </w:rPr>
        <w:t xml:space="preserve">would default on the terms of the existing agreement, </w:t>
      </w:r>
      <w:r w:rsidRPr="00EB7E80" w:rsidR="00336B1A">
        <w:rPr>
          <w:rFonts w:ascii="Palatino Linotype" w:hAnsi="Palatino Linotype" w:eastAsia="Times New Roman" w:cs="Times New Roman"/>
          <w:kern w:val="0"/>
          <w:sz w:val="24"/>
          <w:szCs w:val="24"/>
          <w14:ligatures w14:val="none"/>
        </w:rPr>
        <w:t xml:space="preserve">potentially </w:t>
      </w:r>
      <w:r w:rsidRPr="00EB7E80" w:rsidR="008E7633">
        <w:rPr>
          <w:rFonts w:ascii="Palatino Linotype" w:hAnsi="Palatino Linotype" w:eastAsia="Times New Roman" w:cs="Times New Roman"/>
          <w:kern w:val="0"/>
          <w:sz w:val="24"/>
          <w:szCs w:val="24"/>
          <w14:ligatures w14:val="none"/>
        </w:rPr>
        <w:t xml:space="preserve">resulting in the termination of the </w:t>
      </w:r>
      <w:r w:rsidRPr="00EB7E80" w:rsidR="00B26191">
        <w:rPr>
          <w:rFonts w:ascii="Palatino Linotype" w:hAnsi="Palatino Linotype" w:eastAsia="Times New Roman" w:cs="Times New Roman"/>
          <w:kern w:val="0"/>
          <w:sz w:val="24"/>
          <w:szCs w:val="24"/>
          <w14:ligatures w14:val="none"/>
        </w:rPr>
        <w:t>contract</w:t>
      </w:r>
      <w:r w:rsidRPr="00EB7E80" w:rsidR="008E7633">
        <w:rPr>
          <w:rFonts w:ascii="Palatino Linotype" w:hAnsi="Palatino Linotype" w:eastAsia="Times New Roman" w:cs="Times New Roman"/>
          <w:kern w:val="0"/>
          <w:sz w:val="24"/>
          <w:szCs w:val="24"/>
          <w14:ligatures w14:val="none"/>
        </w:rPr>
        <w:t xml:space="preserve">. Replacing the project with an </w:t>
      </w:r>
      <w:r w:rsidRPr="00EB7E80" w:rsidR="008E7633">
        <w:rPr>
          <w:rFonts w:ascii="Palatino Linotype" w:hAnsi="Palatino Linotype" w:eastAsia="Times New Roman" w:cs="Times New Roman"/>
          <w:kern w:val="0"/>
          <w:sz w:val="24"/>
          <w:szCs w:val="24"/>
          <w14:ligatures w14:val="none"/>
        </w:rPr>
        <w:lastRenderedPageBreak/>
        <w:t xml:space="preserve">entirely different project (and/or this project with a different negotiated outcome) could expose </w:t>
      </w:r>
      <w:r w:rsidRPr="00EB7E80" w:rsidR="00F92C16">
        <w:rPr>
          <w:rFonts w:ascii="Palatino Linotype" w:hAnsi="Palatino Linotype" w:eastAsia="Times New Roman" w:cs="Times New Roman"/>
          <w:kern w:val="0"/>
          <w:sz w:val="24"/>
          <w:szCs w:val="24"/>
          <w14:ligatures w14:val="none"/>
        </w:rPr>
        <w:t>ratepayers</w:t>
      </w:r>
      <w:r w:rsidRPr="00EB7E80" w:rsidR="008E7633">
        <w:rPr>
          <w:rFonts w:ascii="Palatino Linotype" w:hAnsi="Palatino Linotype" w:eastAsia="Times New Roman" w:cs="Times New Roman"/>
          <w:kern w:val="0"/>
          <w:sz w:val="24"/>
          <w:szCs w:val="24"/>
          <w14:ligatures w14:val="none"/>
        </w:rPr>
        <w:t xml:space="preserve"> to </w:t>
      </w:r>
      <w:proofErr w:type="spellStart"/>
      <w:r w:rsidRPr="00EB7E80" w:rsidR="008E7633">
        <w:rPr>
          <w:rFonts w:ascii="Palatino Linotype" w:hAnsi="Palatino Linotype" w:eastAsia="Times New Roman" w:cs="Times New Roman"/>
          <w:kern w:val="0"/>
          <w:sz w:val="24"/>
          <w:szCs w:val="24"/>
          <w14:ligatures w14:val="none"/>
        </w:rPr>
        <w:t>higher</w:t>
      </w:r>
      <w:proofErr w:type="spellEnd"/>
      <w:r w:rsidRPr="00EB7E80" w:rsidR="008E7633">
        <w:rPr>
          <w:rFonts w:ascii="Palatino Linotype" w:hAnsi="Palatino Linotype" w:eastAsia="Times New Roman" w:cs="Times New Roman"/>
          <w:kern w:val="0"/>
          <w:sz w:val="24"/>
          <w:szCs w:val="24"/>
          <w14:ligatures w14:val="none"/>
        </w:rPr>
        <w:t xml:space="preserve"> replacement costs and reduced mid-term reliability benefits. </w:t>
      </w:r>
    </w:p>
    <w:p w:rsidRPr="00EB7E80" w:rsidR="008E7633" w:rsidP="00B2109F" w:rsidRDefault="008E7633" w14:paraId="32B52F45" w14:textId="77777777">
      <w:pPr>
        <w:spacing w:after="0" w:line="264" w:lineRule="auto"/>
        <w:rPr>
          <w:rFonts w:ascii="Palatino Linotype" w:hAnsi="Palatino Linotype" w:eastAsia="Times New Roman" w:cs="Times New Roman"/>
          <w:kern w:val="0"/>
          <w:sz w:val="16"/>
          <w:szCs w:val="16"/>
          <w14:ligatures w14:val="none"/>
        </w:rPr>
      </w:pPr>
    </w:p>
    <w:p w:rsidRPr="00EB7E80" w:rsidR="008E7633" w:rsidP="00B2109F" w:rsidRDefault="00B26191" w14:paraId="6BE344F4" w14:textId="77777777">
      <w:pPr>
        <w:spacing w:after="0" w:line="264" w:lineRule="auto"/>
        <w:rPr>
          <w:rFonts w:ascii="Palatino Linotype" w:hAnsi="Palatino Linotype" w:eastAsia="Times New Roman" w:cs="Times New Roman"/>
          <w:kern w:val="0"/>
          <w:sz w:val="24"/>
          <w:szCs w:val="24"/>
          <w14:ligatures w14:val="none"/>
        </w:rPr>
      </w:pPr>
      <w:r w:rsidRPr="00EB7E80">
        <w:rPr>
          <w:rFonts w:ascii="Palatino Linotype" w:hAnsi="Palatino Linotype" w:eastAsia="Times New Roman" w:cs="Times New Roman"/>
          <w:kern w:val="0"/>
          <w:sz w:val="24"/>
          <w:szCs w:val="24"/>
          <w14:ligatures w14:val="none"/>
        </w:rPr>
        <w:t xml:space="preserve">The Energy Division </w:t>
      </w:r>
      <w:r w:rsidRPr="00EB7E80" w:rsidR="190D350B">
        <w:rPr>
          <w:rFonts w:ascii="Palatino Linotype" w:hAnsi="Palatino Linotype" w:eastAsia="Times New Roman" w:cs="Times New Roman"/>
          <w:kern w:val="0"/>
          <w:sz w:val="24"/>
          <w:szCs w:val="24"/>
          <w14:ligatures w14:val="none"/>
        </w:rPr>
        <w:t>staff</w:t>
      </w:r>
      <w:r w:rsidRPr="00EB7E80">
        <w:rPr>
          <w:rFonts w:ascii="Palatino Linotype" w:hAnsi="Palatino Linotype" w:eastAsia="Times New Roman" w:cs="Times New Roman"/>
          <w:kern w:val="0"/>
          <w:sz w:val="24"/>
          <w:szCs w:val="24"/>
          <w14:ligatures w14:val="none"/>
        </w:rPr>
        <w:t xml:space="preserve"> has reviewed</w:t>
      </w:r>
      <w:r w:rsidRPr="00EB7E80" w:rsidR="008E7633">
        <w:rPr>
          <w:rFonts w:ascii="Palatino Linotype" w:hAnsi="Palatino Linotype" w:eastAsia="Times New Roman" w:cs="Times New Roman"/>
          <w:kern w:val="0"/>
          <w:sz w:val="24"/>
          <w:szCs w:val="24"/>
          <w14:ligatures w14:val="none"/>
        </w:rPr>
        <w:t xml:space="preserve"> AL </w:t>
      </w:r>
      <w:r w:rsidRPr="00EB7E80" w:rsidR="008C73A5">
        <w:rPr>
          <w:rFonts w:ascii="Palatino Linotype" w:hAnsi="Palatino Linotype" w:eastAsia="Times New Roman" w:cs="Times New Roman"/>
          <w:kern w:val="0"/>
          <w:sz w:val="24"/>
          <w:szCs w:val="24"/>
          <w14:ligatures w14:val="none"/>
        </w:rPr>
        <w:t>7699</w:t>
      </w:r>
      <w:r w:rsidRPr="00EB7E80" w:rsidR="008E7633">
        <w:rPr>
          <w:rFonts w:ascii="Palatino Linotype" w:hAnsi="Palatino Linotype" w:eastAsia="Times New Roman" w:cs="Times New Roman"/>
          <w:kern w:val="0"/>
          <w:sz w:val="24"/>
          <w:szCs w:val="24"/>
          <w14:ligatures w14:val="none"/>
        </w:rPr>
        <w:t>-E</w:t>
      </w:r>
      <w:r w:rsidRPr="00EB7E80">
        <w:rPr>
          <w:rFonts w:ascii="Palatino Linotype" w:hAnsi="Palatino Linotype" w:eastAsia="Times New Roman" w:cs="Times New Roman"/>
          <w:kern w:val="0"/>
          <w:sz w:val="24"/>
          <w:szCs w:val="24"/>
          <w14:ligatures w14:val="none"/>
        </w:rPr>
        <w:t xml:space="preserve"> and the </w:t>
      </w:r>
      <w:r w:rsidRPr="00EB7E80" w:rsidR="008E7633">
        <w:rPr>
          <w:rFonts w:ascii="Palatino Linotype" w:hAnsi="Palatino Linotype" w:eastAsia="Times New Roman" w:cs="Times New Roman"/>
          <w:kern w:val="0"/>
          <w:sz w:val="24"/>
          <w:szCs w:val="24"/>
          <w14:ligatures w14:val="none"/>
        </w:rPr>
        <w:t>Confidential Appendices detailing the contract amendment</w:t>
      </w:r>
      <w:r w:rsidRPr="00EB7E80">
        <w:rPr>
          <w:rFonts w:ascii="Palatino Linotype" w:hAnsi="Palatino Linotype" w:eastAsia="Times New Roman" w:cs="Times New Roman"/>
          <w:kern w:val="0"/>
          <w:sz w:val="24"/>
          <w:szCs w:val="24"/>
          <w14:ligatures w14:val="none"/>
        </w:rPr>
        <w:t>s</w:t>
      </w:r>
      <w:r w:rsidRPr="00EB7E80" w:rsidR="008E7633">
        <w:rPr>
          <w:rFonts w:ascii="Palatino Linotype" w:hAnsi="Palatino Linotype" w:eastAsia="Times New Roman" w:cs="Times New Roman"/>
          <w:kern w:val="0"/>
          <w:sz w:val="24"/>
          <w:szCs w:val="24"/>
          <w14:ligatures w14:val="none"/>
        </w:rPr>
        <w:t xml:space="preserve"> and negotiation process</w:t>
      </w:r>
      <w:r w:rsidRPr="00EB7E80">
        <w:rPr>
          <w:rFonts w:ascii="Palatino Linotype" w:hAnsi="Palatino Linotype" w:eastAsia="Times New Roman" w:cs="Times New Roman"/>
          <w:kern w:val="0"/>
          <w:sz w:val="24"/>
          <w:szCs w:val="24"/>
          <w14:ligatures w14:val="none"/>
        </w:rPr>
        <w:t>es</w:t>
      </w:r>
      <w:r w:rsidRPr="00EB7E80" w:rsidR="008E7633">
        <w:rPr>
          <w:rFonts w:ascii="Palatino Linotype" w:hAnsi="Palatino Linotype" w:eastAsia="Times New Roman" w:cs="Times New Roman"/>
          <w:kern w:val="0"/>
          <w:sz w:val="24"/>
          <w:szCs w:val="24"/>
          <w14:ligatures w14:val="none"/>
        </w:rPr>
        <w:t xml:space="preserve">. We find that PG&amp;E demonstrated that it negotiated in good faith in the interest of ratepayers with </w:t>
      </w:r>
      <w:proofErr w:type="spellStart"/>
      <w:r w:rsidRPr="00EB7E80" w:rsidR="00644D5D">
        <w:rPr>
          <w:rFonts w:ascii="Palatino Linotype" w:hAnsi="Palatino Linotype" w:eastAsia="Times New Roman" w:cs="Times New Roman"/>
          <w:kern w:val="0"/>
          <w:sz w:val="24"/>
          <w:szCs w:val="24"/>
          <w14:ligatures w14:val="none"/>
        </w:rPr>
        <w:t>Arevon</w:t>
      </w:r>
      <w:proofErr w:type="spellEnd"/>
      <w:r w:rsidRPr="00EB7E80" w:rsidR="008E7633">
        <w:rPr>
          <w:rFonts w:ascii="Palatino Linotype" w:hAnsi="Palatino Linotype" w:eastAsia="Times New Roman" w:cs="Times New Roman"/>
          <w:kern w:val="0"/>
          <w:sz w:val="24"/>
          <w:szCs w:val="24"/>
          <w14:ligatures w14:val="none"/>
        </w:rPr>
        <w:t xml:space="preserve"> and considered its alternatives. PG&amp;E conducted appropriate due diligence in assessing mitigation actions taken by </w:t>
      </w:r>
      <w:proofErr w:type="spellStart"/>
      <w:r w:rsidRPr="00EB7E80" w:rsidR="00A21651">
        <w:rPr>
          <w:rFonts w:ascii="Palatino Linotype" w:hAnsi="Palatino Linotype" w:eastAsia="Times New Roman" w:cs="Times New Roman"/>
          <w:kern w:val="0"/>
          <w:sz w:val="24"/>
          <w:szCs w:val="24"/>
          <w14:ligatures w14:val="none"/>
        </w:rPr>
        <w:t>Arevon</w:t>
      </w:r>
      <w:proofErr w:type="spellEnd"/>
      <w:r w:rsidRPr="00EB7E80" w:rsidR="008E7633">
        <w:rPr>
          <w:rFonts w:ascii="Palatino Linotype" w:hAnsi="Palatino Linotype" w:eastAsia="Times New Roman" w:cs="Times New Roman"/>
          <w:kern w:val="0"/>
          <w:sz w:val="24"/>
          <w:szCs w:val="24"/>
          <w14:ligatures w14:val="none"/>
        </w:rPr>
        <w:t>.</w:t>
      </w:r>
    </w:p>
    <w:p w:rsidRPr="00EB7E80" w:rsidR="00767D84" w:rsidP="008E7633" w:rsidRDefault="00767D84" w14:paraId="08D92B25" w14:textId="77777777">
      <w:pPr>
        <w:spacing w:after="0" w:line="240" w:lineRule="auto"/>
        <w:rPr>
          <w:rFonts w:ascii="Palatino Linotype" w:hAnsi="Palatino Linotype" w:eastAsia="Times New Roman" w:cs="Times New Roman"/>
          <w:kern w:val="0"/>
          <w:sz w:val="16"/>
          <w:szCs w:val="16"/>
          <w14:ligatures w14:val="none"/>
        </w:rPr>
      </w:pPr>
    </w:p>
    <w:p w:rsidR="001C4817" w:rsidP="00767D84" w:rsidRDefault="004D2811" w14:paraId="0E58F081" w14:textId="77777777">
      <w:pPr>
        <w:keepNext/>
        <w:spacing w:after="0" w:line="240" w:lineRule="auto"/>
        <w:rPr>
          <w:rFonts w:ascii="Palatino Linotype" w:hAnsi="Palatino Linotype" w:eastAsia="Times New Roman" w:cs="Times New Roman"/>
          <w:sz w:val="24"/>
          <w:szCs w:val="24"/>
          <w14:ligatures w14:val="none"/>
        </w:rPr>
      </w:pPr>
      <w:r w:rsidRPr="00EB7E80">
        <w:rPr>
          <w:rFonts w:ascii="Palatino Linotype" w:hAnsi="Palatino Linotype" w:eastAsia="Times New Roman" w:cs="Times New Roman"/>
          <w:sz w:val="24"/>
          <w:szCs w:val="24"/>
          <w14:ligatures w14:val="none"/>
        </w:rPr>
        <w:t xml:space="preserve">The </w:t>
      </w:r>
      <w:r w:rsidRPr="692D920D" w:rsidR="76453BF2">
        <w:rPr>
          <w:rFonts w:ascii="Palatino Linotype" w:hAnsi="Palatino Linotype" w:eastAsia="Times New Roman" w:cs="Times New Roman"/>
          <w:sz w:val="24"/>
          <w:szCs w:val="24"/>
        </w:rPr>
        <w:t xml:space="preserve">Commission </w:t>
      </w:r>
      <w:r w:rsidRPr="00EB7E80">
        <w:rPr>
          <w:rFonts w:ascii="Palatino Linotype" w:hAnsi="Palatino Linotype" w:eastAsia="Times New Roman" w:cs="Times New Roman"/>
          <w:sz w:val="24"/>
          <w:szCs w:val="24"/>
          <w14:ligatures w14:val="none"/>
        </w:rPr>
        <w:t>finds</w:t>
      </w:r>
      <w:r w:rsidRPr="00EB7E80" w:rsidR="00767D84">
        <w:rPr>
          <w:rFonts w:ascii="Palatino Linotype" w:hAnsi="Palatino Linotype" w:eastAsia="Times New Roman" w:cs="Times New Roman"/>
          <w:sz w:val="24"/>
          <w:szCs w:val="24"/>
          <w14:ligatures w14:val="none"/>
        </w:rPr>
        <w:t xml:space="preserve"> the amendment to the contract, including a change of the online delivery date by </w:t>
      </w:r>
      <w:r w:rsidRPr="00EB7E80">
        <w:rPr>
          <w:rFonts w:ascii="Palatino Linotype" w:hAnsi="Palatino Linotype" w:eastAsia="Times New Roman" w:cs="Times New Roman"/>
          <w:sz w:val="24"/>
          <w:szCs w:val="24"/>
          <w14:ligatures w14:val="none"/>
        </w:rPr>
        <w:t>one</w:t>
      </w:r>
      <w:r w:rsidRPr="00EB7E80" w:rsidR="00767D84">
        <w:rPr>
          <w:rFonts w:ascii="Palatino Linotype" w:hAnsi="Palatino Linotype" w:eastAsia="Times New Roman" w:cs="Times New Roman"/>
          <w:sz w:val="24"/>
          <w:szCs w:val="24"/>
          <w14:ligatures w14:val="none"/>
        </w:rPr>
        <w:t xml:space="preserve"> </w:t>
      </w:r>
      <w:r w:rsidRPr="00EB7E80">
        <w:rPr>
          <w:rFonts w:ascii="Palatino Linotype" w:hAnsi="Palatino Linotype" w:eastAsia="Times New Roman" w:cs="Times New Roman"/>
          <w:sz w:val="24"/>
          <w:szCs w:val="24"/>
          <w14:ligatures w14:val="none"/>
        </w:rPr>
        <w:t>year</w:t>
      </w:r>
      <w:r w:rsidRPr="00EB7E80" w:rsidR="00767D84">
        <w:rPr>
          <w:rFonts w:ascii="Palatino Linotype" w:hAnsi="Palatino Linotype" w:eastAsia="Times New Roman" w:cs="Times New Roman"/>
          <w:sz w:val="24"/>
          <w:szCs w:val="24"/>
          <w14:ligatures w14:val="none"/>
        </w:rPr>
        <w:t xml:space="preserve"> and the change in price, to be reasonable. </w:t>
      </w:r>
      <w:r w:rsidRPr="00EB7E80" w:rsidR="11F26483">
        <w:rPr>
          <w:rFonts w:ascii="Palatino Linotype" w:hAnsi="Palatino Linotype" w:eastAsia="Times New Roman" w:cs="Times New Roman"/>
          <w:sz w:val="24"/>
          <w:szCs w:val="24"/>
          <w14:ligatures w14:val="none"/>
        </w:rPr>
        <w:t>While</w:t>
      </w:r>
      <w:r w:rsidRPr="00EB7E80" w:rsidR="00767D84">
        <w:rPr>
          <w:rFonts w:ascii="Palatino Linotype" w:hAnsi="Palatino Linotype" w:eastAsia="Times New Roman" w:cs="Times New Roman"/>
          <w:sz w:val="24"/>
          <w:szCs w:val="24"/>
          <w14:ligatures w14:val="none"/>
        </w:rPr>
        <w:t xml:space="preserve"> the price adjustment </w:t>
      </w:r>
      <w:r w:rsidRPr="00EB7E80" w:rsidR="461E83E8">
        <w:rPr>
          <w:rFonts w:ascii="Palatino Linotype" w:hAnsi="Palatino Linotype" w:eastAsia="Times New Roman" w:cs="Times New Roman"/>
          <w:sz w:val="24"/>
          <w:szCs w:val="24"/>
          <w14:ligatures w14:val="none"/>
        </w:rPr>
        <w:t>is</w:t>
      </w:r>
      <w:r w:rsidRPr="00EB7E80" w:rsidR="00767D84">
        <w:rPr>
          <w:rFonts w:ascii="Palatino Linotype" w:hAnsi="Palatino Linotype" w:eastAsia="Times New Roman" w:cs="Times New Roman"/>
          <w:sz w:val="24"/>
          <w:szCs w:val="24"/>
          <w14:ligatures w14:val="none"/>
        </w:rPr>
        <w:t xml:space="preserve"> </w:t>
      </w:r>
      <w:r w:rsidR="00216130">
        <w:rPr>
          <w:rFonts w:ascii="Palatino Linotype" w:hAnsi="Palatino Linotype" w:eastAsia="Times New Roman" w:cs="Times New Roman"/>
          <w:sz w:val="24"/>
          <w:szCs w:val="24"/>
          <w14:ligatures w14:val="none"/>
        </w:rPr>
        <w:t>unfortunate</w:t>
      </w:r>
      <w:r w:rsidRPr="00EB7E80" w:rsidR="00767D84">
        <w:rPr>
          <w:rFonts w:ascii="Palatino Linotype" w:hAnsi="Palatino Linotype" w:eastAsia="Times New Roman" w:cs="Times New Roman"/>
          <w:sz w:val="24"/>
          <w:szCs w:val="24"/>
          <w14:ligatures w14:val="none"/>
        </w:rPr>
        <w:t xml:space="preserve">, </w:t>
      </w:r>
      <w:r w:rsidRPr="00EB7E80" w:rsidR="0CBD8BB3">
        <w:rPr>
          <w:rFonts w:ascii="Palatino Linotype" w:hAnsi="Palatino Linotype" w:eastAsia="Times New Roman" w:cs="Times New Roman"/>
          <w:sz w:val="24"/>
          <w:szCs w:val="24"/>
          <w14:ligatures w14:val="none"/>
        </w:rPr>
        <w:t xml:space="preserve">we </w:t>
      </w:r>
      <w:r w:rsidRPr="00EB7E80" w:rsidR="00606D9E">
        <w:rPr>
          <w:rFonts w:ascii="Palatino Linotype" w:hAnsi="Palatino Linotype" w:eastAsia="Times New Roman" w:cs="Times New Roman"/>
          <w:sz w:val="24"/>
          <w:szCs w:val="24"/>
          <w14:ligatures w14:val="none"/>
        </w:rPr>
        <w:t xml:space="preserve">still </w:t>
      </w:r>
      <w:r w:rsidRPr="00EB7E80" w:rsidR="33E0CABE">
        <w:rPr>
          <w:rFonts w:ascii="Palatino Linotype" w:hAnsi="Palatino Linotype" w:eastAsia="Times New Roman" w:cs="Times New Roman"/>
          <w:sz w:val="24"/>
          <w:szCs w:val="24"/>
          <w14:ligatures w14:val="none"/>
        </w:rPr>
        <w:t>find it</w:t>
      </w:r>
      <w:r w:rsidRPr="00EB7E80" w:rsidR="00606D9E">
        <w:rPr>
          <w:rFonts w:ascii="Palatino Linotype" w:hAnsi="Palatino Linotype" w:eastAsia="Times New Roman" w:cs="Times New Roman"/>
          <w:sz w:val="24"/>
          <w:szCs w:val="24"/>
          <w14:ligatures w14:val="none"/>
        </w:rPr>
        <w:t xml:space="preserve"> </w:t>
      </w:r>
      <w:r w:rsidRPr="00EB7E80" w:rsidR="00767D84">
        <w:rPr>
          <w:rFonts w:ascii="Palatino Linotype" w:hAnsi="Palatino Linotype" w:eastAsia="Times New Roman" w:cs="Times New Roman"/>
          <w:sz w:val="24"/>
          <w:szCs w:val="24"/>
          <w14:ligatures w14:val="none"/>
        </w:rPr>
        <w:t xml:space="preserve">reasonable in this instance, because </w:t>
      </w:r>
      <w:r w:rsidRPr="00EB7E80" w:rsidR="00606D9E">
        <w:rPr>
          <w:rFonts w:ascii="Palatino Linotype" w:hAnsi="Palatino Linotype" w:eastAsia="Times New Roman" w:cs="Times New Roman"/>
          <w:sz w:val="24"/>
          <w:szCs w:val="24"/>
          <w14:ligatures w14:val="none"/>
        </w:rPr>
        <w:t>it remains</w:t>
      </w:r>
      <w:r w:rsidRPr="00EB7E80" w:rsidR="00767D84">
        <w:rPr>
          <w:rFonts w:ascii="Palatino Linotype" w:hAnsi="Palatino Linotype" w:eastAsia="Times New Roman" w:cs="Times New Roman"/>
          <w:sz w:val="24"/>
          <w:szCs w:val="24"/>
          <w14:ligatures w14:val="none"/>
        </w:rPr>
        <w:t xml:space="preserve"> competitive with the </w:t>
      </w:r>
      <w:r w:rsidRPr="00EB7E80" w:rsidR="0D71C911">
        <w:rPr>
          <w:rFonts w:ascii="Palatino Linotype" w:hAnsi="Palatino Linotype" w:eastAsia="Times New Roman" w:cs="Times New Roman"/>
          <w:sz w:val="24"/>
          <w:szCs w:val="24"/>
          <w14:ligatures w14:val="none"/>
        </w:rPr>
        <w:t>current market conditions</w:t>
      </w:r>
      <w:r w:rsidRPr="00EB7E80" w:rsidR="00767D84">
        <w:rPr>
          <w:rFonts w:ascii="Palatino Linotype" w:hAnsi="Palatino Linotype" w:eastAsia="Times New Roman" w:cs="Times New Roman"/>
          <w:sz w:val="24"/>
          <w:szCs w:val="24"/>
          <w14:ligatures w14:val="none"/>
        </w:rPr>
        <w:t>.</w:t>
      </w:r>
    </w:p>
    <w:p w:rsidRPr="00A0638B" w:rsidR="001C4817" w:rsidP="00767D84" w:rsidRDefault="001C4817" w14:paraId="050F31F9" w14:textId="77777777">
      <w:pPr>
        <w:keepNext/>
        <w:spacing w:after="0" w:line="240" w:lineRule="auto"/>
        <w:rPr>
          <w:rFonts w:ascii="Palatino Linotype" w:hAnsi="Palatino Linotype" w:eastAsia="Times New Roman" w:cs="Times New Roman"/>
          <w:sz w:val="16"/>
          <w:szCs w:val="16"/>
          <w14:ligatures w14:val="none"/>
        </w:rPr>
      </w:pPr>
    </w:p>
    <w:p w:rsidRPr="001C4817" w:rsidR="00767D84" w:rsidP="00767D84" w:rsidRDefault="001C4817" w14:paraId="32FCDE45" w14:textId="77777777">
      <w:pPr>
        <w:keepNext/>
        <w:spacing w:after="0" w:line="240" w:lineRule="auto"/>
        <w:rPr>
          <w:rFonts w:ascii="Palatino Linotype" w:hAnsi="Palatino Linotype" w:eastAsia="Times New Roman" w:cs="Times New Roman"/>
          <w:sz w:val="24"/>
          <w:szCs w:val="24"/>
        </w:rPr>
      </w:pPr>
      <w:r>
        <w:rPr>
          <w:rFonts w:ascii="Palatino Linotype" w:hAnsi="Palatino Linotype" w:eastAsia="Times New Roman" w:cs="Times New Roman"/>
          <w:sz w:val="24"/>
          <w:szCs w:val="24"/>
        </w:rPr>
        <w:t xml:space="preserve">The Commission notes that because the project has obtained the remaining </w:t>
      </w:r>
      <w:r w:rsidR="008A3A96">
        <w:rPr>
          <w:rFonts w:ascii="Palatino Linotype" w:hAnsi="Palatino Linotype" w:eastAsia="Times New Roman" w:cs="Times New Roman"/>
          <w:sz w:val="24"/>
          <w:szCs w:val="24"/>
        </w:rPr>
        <w:t>local permits</w:t>
      </w:r>
      <w:r>
        <w:rPr>
          <w:rFonts w:ascii="Palatino Linotype" w:hAnsi="Palatino Linotype" w:eastAsia="Times New Roman" w:cs="Times New Roman"/>
          <w:sz w:val="24"/>
          <w:szCs w:val="24"/>
        </w:rPr>
        <w:t>;</w:t>
      </w:r>
      <w:r>
        <w:rPr>
          <w:rStyle w:val="FootnoteReference"/>
          <w:rFonts w:ascii="Palatino Linotype" w:hAnsi="Palatino Linotype" w:eastAsia="Times New Roman" w:cs="Times New Roman"/>
          <w:sz w:val="24"/>
          <w:szCs w:val="24"/>
        </w:rPr>
        <w:footnoteReference w:id="6"/>
      </w:r>
      <w:r>
        <w:rPr>
          <w:rFonts w:ascii="Palatino Linotype" w:hAnsi="Palatino Linotype" w:eastAsia="Times New Roman" w:cs="Times New Roman"/>
          <w:sz w:val="24"/>
          <w:szCs w:val="24"/>
        </w:rPr>
        <w:t xml:space="preserve"> secured project financing;</w:t>
      </w:r>
      <w:r>
        <w:rPr>
          <w:rStyle w:val="FootnoteReference"/>
          <w:rFonts w:ascii="Palatino Linotype" w:hAnsi="Palatino Linotype" w:eastAsia="Times New Roman" w:cs="Times New Roman"/>
          <w:sz w:val="24"/>
          <w:szCs w:val="24"/>
        </w:rPr>
        <w:footnoteReference w:id="7"/>
      </w:r>
      <w:r>
        <w:rPr>
          <w:rFonts w:ascii="Palatino Linotype" w:hAnsi="Palatino Linotype" w:eastAsia="Times New Roman" w:cs="Times New Roman"/>
          <w:sz w:val="24"/>
          <w:szCs w:val="24"/>
        </w:rPr>
        <w:t xml:space="preserve"> and acquired a Large Generator Interconnection Agreement,</w:t>
      </w:r>
      <w:r>
        <w:rPr>
          <w:rStyle w:val="FootnoteReference"/>
          <w:rFonts w:ascii="Palatino Linotype" w:hAnsi="Palatino Linotype" w:eastAsia="Times New Roman" w:cs="Times New Roman"/>
          <w:sz w:val="24"/>
          <w:szCs w:val="24"/>
        </w:rPr>
        <w:footnoteReference w:id="8"/>
      </w:r>
      <w:r>
        <w:rPr>
          <w:rFonts w:ascii="Palatino Linotype" w:hAnsi="Palatino Linotype" w:eastAsia="Times New Roman" w:cs="Times New Roman"/>
          <w:sz w:val="24"/>
          <w:szCs w:val="24"/>
        </w:rPr>
        <w:t xml:space="preserve"> the project is likely to meet its current on-line date of March 1, 2026.</w:t>
      </w:r>
      <w:r>
        <w:rPr>
          <w:rStyle w:val="FootnoteReference"/>
          <w:rFonts w:ascii="Palatino Linotype" w:hAnsi="Palatino Linotype" w:eastAsia="Times New Roman" w:cs="Times New Roman"/>
          <w:sz w:val="24"/>
          <w:szCs w:val="24"/>
        </w:rPr>
        <w:footnoteReference w:id="9"/>
      </w:r>
      <w:r>
        <w:rPr>
          <w:rFonts w:ascii="Palatino Linotype" w:hAnsi="Palatino Linotype" w:eastAsia="Times New Roman" w:cs="Times New Roman"/>
          <w:sz w:val="24"/>
          <w:szCs w:val="24"/>
        </w:rPr>
        <w:t xml:space="preserve"> </w:t>
      </w:r>
      <w:r>
        <w:rPr>
          <w:rFonts w:ascii="Palatino Linotype" w:hAnsi="Palatino Linotype" w:eastAsia="Times New Roman" w:cs="Times New Roman"/>
          <w:sz w:val="24"/>
          <w:szCs w:val="24"/>
          <w14:ligatures w14:val="none"/>
        </w:rPr>
        <w:t>While we</w:t>
      </w:r>
      <w:r w:rsidRPr="00EB7E80" w:rsidR="00767D84">
        <w:rPr>
          <w:rFonts w:ascii="Palatino Linotype" w:hAnsi="Palatino Linotype" w:eastAsia="Times New Roman" w:cs="Times New Roman"/>
          <w:sz w:val="24"/>
          <w:szCs w:val="24"/>
          <w14:ligatures w14:val="none"/>
        </w:rPr>
        <w:t xml:space="preserve"> find the timing delay </w:t>
      </w:r>
      <w:r w:rsidR="00585D14">
        <w:rPr>
          <w:rFonts w:ascii="Palatino Linotype" w:hAnsi="Palatino Linotype" w:eastAsia="Times New Roman" w:cs="Times New Roman"/>
          <w:sz w:val="24"/>
          <w:szCs w:val="24"/>
          <w14:ligatures w14:val="none"/>
        </w:rPr>
        <w:t>unfavorable</w:t>
      </w:r>
      <w:r w:rsidRPr="00EB7E80" w:rsidR="00767D84">
        <w:rPr>
          <w:rFonts w:ascii="Palatino Linotype" w:hAnsi="Palatino Linotype" w:eastAsia="Times New Roman" w:cs="Times New Roman"/>
          <w:sz w:val="24"/>
          <w:szCs w:val="24"/>
          <w14:ligatures w14:val="none"/>
        </w:rPr>
        <w:t xml:space="preserve">, </w:t>
      </w:r>
      <w:r w:rsidR="00A32371">
        <w:rPr>
          <w:rFonts w:ascii="Palatino Linotype" w:hAnsi="Palatino Linotype" w:eastAsia="Times New Roman" w:cs="Times New Roman"/>
          <w:sz w:val="24"/>
          <w:szCs w:val="24"/>
          <w14:ligatures w14:val="none"/>
        </w:rPr>
        <w:t xml:space="preserve">the project has met thresholds that indicate </w:t>
      </w:r>
      <w:r w:rsidR="00C2791C">
        <w:rPr>
          <w:rFonts w:ascii="Palatino Linotype" w:hAnsi="Palatino Linotype" w:eastAsia="Times New Roman" w:cs="Times New Roman"/>
          <w:sz w:val="24"/>
          <w:szCs w:val="24"/>
          <w14:ligatures w14:val="none"/>
        </w:rPr>
        <w:t xml:space="preserve">the project has a </w:t>
      </w:r>
      <w:r w:rsidR="005F2113">
        <w:rPr>
          <w:rFonts w:ascii="Palatino Linotype" w:hAnsi="Palatino Linotype" w:eastAsia="Times New Roman" w:cs="Times New Roman"/>
          <w:sz w:val="24"/>
          <w:szCs w:val="24"/>
          <w14:ligatures w14:val="none"/>
        </w:rPr>
        <w:t xml:space="preserve">certain likelihood of meeting its amended </w:t>
      </w:r>
      <w:r w:rsidR="002237A4">
        <w:rPr>
          <w:rFonts w:ascii="Palatino Linotype" w:hAnsi="Palatino Linotype" w:eastAsia="Times New Roman" w:cs="Times New Roman"/>
          <w:sz w:val="24"/>
          <w:szCs w:val="24"/>
          <w14:ligatures w14:val="none"/>
        </w:rPr>
        <w:t>Initial Delivery Date (IDD)</w:t>
      </w:r>
      <w:r w:rsidR="005F2113">
        <w:rPr>
          <w:rFonts w:ascii="Palatino Linotype" w:hAnsi="Palatino Linotype" w:eastAsia="Times New Roman" w:cs="Times New Roman"/>
          <w:sz w:val="24"/>
          <w:szCs w:val="24"/>
          <w14:ligatures w14:val="none"/>
        </w:rPr>
        <w:t xml:space="preserve"> of June 1, 2026</w:t>
      </w:r>
      <w:r w:rsidR="74D3FD48">
        <w:rPr>
          <w:rFonts w:ascii="Palatino Linotype" w:hAnsi="Palatino Linotype" w:eastAsia="Times New Roman" w:cs="Times New Roman"/>
          <w:sz w:val="24"/>
          <w:szCs w:val="24"/>
          <w14:ligatures w14:val="none"/>
        </w:rPr>
        <w:t>,</w:t>
      </w:r>
      <w:r w:rsidR="00D46A99">
        <w:rPr>
          <w:rFonts w:ascii="Palatino Linotype" w:hAnsi="Palatino Linotype" w:eastAsia="Times New Roman" w:cs="Times New Roman"/>
          <w:sz w:val="24"/>
          <w:szCs w:val="24"/>
          <w14:ligatures w14:val="none"/>
        </w:rPr>
        <w:t xml:space="preserve"> and contributing to system reliability</w:t>
      </w:r>
      <w:r w:rsidR="00695F6A">
        <w:rPr>
          <w:rFonts w:ascii="Palatino Linotype" w:hAnsi="Palatino Linotype" w:eastAsia="Times New Roman" w:cs="Times New Roman"/>
          <w:sz w:val="24"/>
          <w:szCs w:val="24"/>
          <w14:ligatures w14:val="none"/>
        </w:rPr>
        <w:t>.</w:t>
      </w:r>
    </w:p>
    <w:p w:rsidRPr="00EB7E80" w:rsidR="00767D84" w:rsidP="00767D84" w:rsidRDefault="00767D84" w14:paraId="29E7DB7A" w14:textId="77777777">
      <w:pPr>
        <w:keepNext/>
        <w:spacing w:after="0" w:line="240" w:lineRule="auto"/>
        <w:rPr>
          <w:rFonts w:ascii="Palatino Linotype" w:hAnsi="Palatino Linotype" w:eastAsia="Times New Roman" w:cs="Times New Roman"/>
          <w:sz w:val="16"/>
          <w:szCs w:val="16"/>
          <w14:ligatures w14:val="none"/>
        </w:rPr>
      </w:pPr>
    </w:p>
    <w:p w:rsidR="00261731" w:rsidP="0073290C" w:rsidRDefault="00767D84" w14:paraId="3EDBAC11" w14:textId="77777777">
      <w:pPr>
        <w:widowControl w:val="0"/>
        <w:spacing w:after="0" w:line="240" w:lineRule="auto"/>
        <w:rPr>
          <w:rFonts w:ascii="Palatino Linotype" w:hAnsi="Palatino Linotype" w:eastAsia="Times New Roman" w:cs="Times New Roman"/>
          <w:sz w:val="24"/>
          <w:szCs w:val="24"/>
        </w:rPr>
      </w:pPr>
      <w:r w:rsidRPr="00EB7E80">
        <w:rPr>
          <w:rFonts w:ascii="Palatino Linotype" w:hAnsi="Palatino Linotype" w:eastAsia="Times New Roman" w:cs="Times New Roman"/>
          <w:sz w:val="24"/>
          <w:szCs w:val="24"/>
          <w14:ligatures w14:val="none"/>
        </w:rPr>
        <w:t>In balancing the realities of project development challenges against the need to secure system reliability, we find that approval of the amendment is warranted. However, in approving the amendment, the Commission does not expressly or implicitly modify PG&amp;E’s MTR requirements</w:t>
      </w:r>
      <w:r w:rsidRPr="00EB7E80" w:rsidR="00EB08AE">
        <w:rPr>
          <w:rFonts w:ascii="Palatino Linotype" w:hAnsi="Palatino Linotype" w:eastAsia="Times New Roman" w:cs="Times New Roman"/>
          <w:sz w:val="24"/>
          <w:szCs w:val="24"/>
          <w14:ligatures w14:val="none"/>
        </w:rPr>
        <w:t>. Additionally, the</w:t>
      </w:r>
      <w:r w:rsidRPr="00EB7E80">
        <w:rPr>
          <w:rFonts w:ascii="Palatino Linotype" w:hAnsi="Palatino Linotype" w:eastAsia="Times New Roman" w:cs="Times New Roman"/>
          <w:sz w:val="24"/>
          <w:szCs w:val="24"/>
          <w14:ligatures w14:val="none"/>
        </w:rPr>
        <w:t xml:space="preserve"> </w:t>
      </w:r>
      <w:r w:rsidRPr="00EB7E80" w:rsidR="00EF11F9">
        <w:rPr>
          <w:rFonts w:ascii="Palatino Linotype" w:hAnsi="Palatino Linotype" w:eastAsia="Times New Roman" w:cs="Times New Roman"/>
          <w:sz w:val="24"/>
          <w:szCs w:val="24"/>
          <w14:ligatures w14:val="none"/>
        </w:rPr>
        <w:t>Commission</w:t>
      </w:r>
      <w:r w:rsidRPr="00EB7E80">
        <w:rPr>
          <w:rFonts w:ascii="Palatino Linotype" w:hAnsi="Palatino Linotype" w:eastAsia="Times New Roman" w:cs="Times New Roman"/>
          <w:sz w:val="24"/>
          <w:szCs w:val="24"/>
          <w14:ligatures w14:val="none"/>
        </w:rPr>
        <w:t xml:space="preserve"> </w:t>
      </w:r>
      <w:r w:rsidRPr="00EB7E80" w:rsidR="008F3564">
        <w:rPr>
          <w:rFonts w:ascii="Palatino Linotype" w:hAnsi="Palatino Linotype" w:eastAsia="Times New Roman" w:cs="Times New Roman"/>
          <w:sz w:val="24"/>
          <w:szCs w:val="24"/>
          <w14:ligatures w14:val="none"/>
        </w:rPr>
        <w:t>notes that</w:t>
      </w:r>
      <w:r w:rsidRPr="00EB7E80" w:rsidR="001D371C">
        <w:rPr>
          <w:rFonts w:ascii="Palatino Linotype" w:hAnsi="Palatino Linotype" w:eastAsia="Times New Roman" w:cs="Times New Roman"/>
          <w:sz w:val="24"/>
          <w:szCs w:val="24"/>
          <w14:ligatures w14:val="none"/>
        </w:rPr>
        <w:t xml:space="preserve"> going forward</w:t>
      </w:r>
      <w:r w:rsidRPr="00EB7E80" w:rsidR="00383CCE">
        <w:rPr>
          <w:rFonts w:ascii="Palatino Linotype" w:hAnsi="Palatino Linotype" w:eastAsia="Times New Roman" w:cs="Times New Roman"/>
          <w:sz w:val="24"/>
          <w:szCs w:val="24"/>
          <w14:ligatures w14:val="none"/>
        </w:rPr>
        <w:t xml:space="preserve">, </w:t>
      </w:r>
      <w:r w:rsidR="00670249">
        <w:rPr>
          <w:rFonts w:ascii="Palatino Linotype" w:hAnsi="Palatino Linotype" w:eastAsia="Times New Roman" w:cs="Times New Roman"/>
          <w:sz w:val="24"/>
          <w:szCs w:val="24"/>
          <w14:ligatures w14:val="none"/>
        </w:rPr>
        <w:t>per</w:t>
      </w:r>
      <w:r w:rsidRPr="00EB7E80" w:rsidR="00383CCE">
        <w:rPr>
          <w:rFonts w:ascii="Palatino Linotype" w:hAnsi="Palatino Linotype" w:eastAsia="Times New Roman" w:cs="Times New Roman"/>
          <w:sz w:val="24"/>
          <w:szCs w:val="24"/>
          <w14:ligatures w14:val="none"/>
        </w:rPr>
        <w:t xml:space="preserve"> </w:t>
      </w:r>
      <w:r w:rsidRPr="00EB7E80" w:rsidR="00020FBE">
        <w:rPr>
          <w:rFonts w:ascii="Palatino Linotype" w:hAnsi="Palatino Linotype" w:eastAsia="Times New Roman" w:cs="Times New Roman"/>
          <w:sz w:val="24"/>
          <w:szCs w:val="24"/>
          <w14:ligatures w14:val="none"/>
        </w:rPr>
        <w:t>Decision (D.)</w:t>
      </w:r>
      <w:r w:rsidRPr="00EB7E80" w:rsidR="00A67BC1">
        <w:rPr>
          <w:rFonts w:ascii="Palatino Linotype" w:hAnsi="Palatino Linotype" w:eastAsia="Times New Roman" w:cs="Times New Roman"/>
          <w:sz w:val="24"/>
          <w:szCs w:val="24"/>
          <w14:ligatures w14:val="none"/>
        </w:rPr>
        <w:t xml:space="preserve"> 25-09-007</w:t>
      </w:r>
      <w:r w:rsidRPr="00EB7E80" w:rsidR="00383CCE">
        <w:rPr>
          <w:rFonts w:ascii="Palatino Linotype" w:hAnsi="Palatino Linotype" w:eastAsia="Times New Roman" w:cs="Times New Roman"/>
          <w:sz w:val="24"/>
          <w:szCs w:val="24"/>
          <w14:ligatures w14:val="none"/>
        </w:rPr>
        <w:t xml:space="preserve">, </w:t>
      </w:r>
      <w:r w:rsidRPr="00EB7E80" w:rsidR="004A6960">
        <w:rPr>
          <w:rFonts w:ascii="Palatino Linotype" w:hAnsi="Palatino Linotype" w:eastAsia="Times New Roman" w:cs="Times New Roman"/>
          <w:sz w:val="24"/>
          <w:szCs w:val="24"/>
          <w14:ligatures w14:val="none"/>
        </w:rPr>
        <w:t>LSEs</w:t>
      </w:r>
      <w:r w:rsidR="009504A3">
        <w:rPr>
          <w:rFonts w:ascii="Palatino Linotype" w:hAnsi="Palatino Linotype" w:eastAsia="Times New Roman" w:cs="Times New Roman"/>
          <w:sz w:val="24"/>
          <w:szCs w:val="24"/>
          <w14:ligatures w14:val="none"/>
        </w:rPr>
        <w:t xml:space="preserve"> may be deemed</w:t>
      </w:r>
      <w:r w:rsidRPr="00EB7E80" w:rsidR="00BC4F4B">
        <w:rPr>
          <w:rFonts w:ascii="Palatino Linotype" w:hAnsi="Palatino Linotype" w:eastAsia="Times New Roman" w:cs="Times New Roman"/>
          <w:sz w:val="24"/>
          <w:szCs w:val="24"/>
          <w14:ligatures w14:val="none"/>
        </w:rPr>
        <w:t xml:space="preserve"> compliant for up to three years beyond a project’s online date, provided</w:t>
      </w:r>
      <w:r w:rsidRPr="00EB7E80" w:rsidR="004A6960">
        <w:rPr>
          <w:rFonts w:ascii="Palatino Linotype" w:hAnsi="Palatino Linotype" w:eastAsia="Times New Roman" w:cs="Times New Roman"/>
          <w:sz w:val="24"/>
          <w:szCs w:val="24"/>
          <w14:ligatures w14:val="none"/>
        </w:rPr>
        <w:t xml:space="preserve"> that</w:t>
      </w:r>
      <w:r w:rsidRPr="00EB7E80" w:rsidR="00BC4F4B">
        <w:rPr>
          <w:rFonts w:ascii="Palatino Linotype" w:hAnsi="Palatino Linotype" w:eastAsia="Times New Roman" w:cs="Times New Roman"/>
          <w:sz w:val="24"/>
          <w:szCs w:val="24"/>
          <w14:ligatures w14:val="none"/>
        </w:rPr>
        <w:t xml:space="preserve"> the LSEs</w:t>
      </w:r>
      <w:r w:rsidRPr="00EB7E80" w:rsidR="004A6960">
        <w:rPr>
          <w:rFonts w:ascii="Palatino Linotype" w:hAnsi="Palatino Linotype" w:eastAsia="Times New Roman" w:cs="Times New Roman"/>
          <w:sz w:val="24"/>
          <w:szCs w:val="24"/>
          <w14:ligatures w14:val="none"/>
        </w:rPr>
        <w:t xml:space="preserve"> meet certain provisions.</w:t>
      </w:r>
      <w:r w:rsidRPr="00EB7E80" w:rsidR="00450111">
        <w:rPr>
          <w:rStyle w:val="FootnoteReference"/>
          <w:rFonts w:ascii="Palatino Linotype" w:hAnsi="Palatino Linotype" w:eastAsia="Times New Roman" w:cs="Times New Roman"/>
          <w:sz w:val="24"/>
          <w:szCs w:val="24"/>
          <w14:ligatures w14:val="none"/>
        </w:rPr>
        <w:footnoteReference w:id="10"/>
      </w:r>
      <w:r w:rsidRPr="00EB7E80" w:rsidR="004A6960">
        <w:rPr>
          <w:rFonts w:ascii="Palatino Linotype" w:hAnsi="Palatino Linotype" w:eastAsia="Times New Roman" w:cs="Times New Roman"/>
          <w:sz w:val="24"/>
          <w:szCs w:val="24"/>
          <w14:ligatures w14:val="none"/>
        </w:rPr>
        <w:t xml:space="preserve"> </w:t>
      </w:r>
      <w:r w:rsidRPr="00EB7E80" w:rsidR="6FCD730B">
        <w:rPr>
          <w:rFonts w:ascii="Palatino Linotype" w:hAnsi="Palatino Linotype" w:eastAsia="Times New Roman" w:cs="Times New Roman"/>
          <w:sz w:val="24"/>
          <w:szCs w:val="24"/>
          <w14:ligatures w14:val="none"/>
        </w:rPr>
        <w:t xml:space="preserve"> </w:t>
      </w:r>
      <w:r w:rsidRPr="00EB7E80">
        <w:rPr>
          <w:rFonts w:ascii="Palatino Linotype" w:hAnsi="Palatino Linotype" w:eastAsia="Times New Roman" w:cs="Times New Roman"/>
          <w:sz w:val="24"/>
          <w:szCs w:val="24"/>
          <w14:ligatures w14:val="none"/>
        </w:rPr>
        <w:t xml:space="preserve">While we approve this </w:t>
      </w:r>
      <w:r w:rsidRPr="00EB7E80" w:rsidR="435BD7BA">
        <w:rPr>
          <w:rFonts w:ascii="Palatino Linotype" w:hAnsi="Palatino Linotype" w:eastAsia="Times New Roman" w:cs="Times New Roman"/>
          <w:sz w:val="24"/>
          <w:szCs w:val="24"/>
          <w14:ligatures w14:val="none"/>
        </w:rPr>
        <w:t xml:space="preserve">third </w:t>
      </w:r>
      <w:r w:rsidRPr="00EB7E80">
        <w:rPr>
          <w:rFonts w:ascii="Palatino Linotype" w:hAnsi="Palatino Linotype" w:eastAsia="Times New Roman" w:cs="Times New Roman"/>
          <w:sz w:val="24"/>
          <w:szCs w:val="24"/>
          <w14:ligatures w14:val="none"/>
        </w:rPr>
        <w:t>amendment based on the current record</w:t>
      </w:r>
      <w:r w:rsidRPr="00EB7E80" w:rsidR="005578D4">
        <w:rPr>
          <w:rFonts w:ascii="Palatino Linotype" w:hAnsi="Palatino Linotype" w:eastAsia="Times New Roman" w:cs="Times New Roman"/>
          <w:sz w:val="24"/>
          <w:szCs w:val="24"/>
          <w14:ligatures w14:val="none"/>
        </w:rPr>
        <w:t xml:space="preserve"> --</w:t>
      </w:r>
      <w:r w:rsidRPr="00EB7E80">
        <w:rPr>
          <w:rFonts w:ascii="Palatino Linotype" w:hAnsi="Palatino Linotype" w:eastAsia="Times New Roman" w:cs="Times New Roman"/>
          <w:sz w:val="24"/>
          <w:szCs w:val="24"/>
          <w14:ligatures w14:val="none"/>
        </w:rPr>
        <w:t xml:space="preserve"> including </w:t>
      </w:r>
      <w:r w:rsidRPr="00EB7E80" w:rsidR="00FF1F95">
        <w:rPr>
          <w:rFonts w:ascii="Palatino Linotype" w:hAnsi="Palatino Linotype" w:eastAsia="Times New Roman" w:cs="Times New Roman"/>
          <w:sz w:val="24"/>
          <w:szCs w:val="24"/>
          <w14:ligatures w14:val="none"/>
        </w:rPr>
        <w:t>higher inflation and interest rates</w:t>
      </w:r>
      <w:r w:rsidRPr="00EB7E80" w:rsidR="005578D4">
        <w:rPr>
          <w:rFonts w:ascii="Palatino Linotype" w:hAnsi="Palatino Linotype" w:eastAsia="Times New Roman" w:cs="Times New Roman"/>
          <w:sz w:val="24"/>
          <w:szCs w:val="24"/>
          <w14:ligatures w14:val="none"/>
        </w:rPr>
        <w:t xml:space="preserve"> -- </w:t>
      </w:r>
      <w:r w:rsidRPr="00EB7E80">
        <w:rPr>
          <w:rFonts w:ascii="Palatino Linotype" w:hAnsi="Palatino Linotype" w:eastAsia="Times New Roman" w:cs="Times New Roman"/>
          <w:sz w:val="24"/>
          <w:szCs w:val="24"/>
          <w14:ligatures w14:val="none"/>
        </w:rPr>
        <w:t xml:space="preserve">the Commission expects PG&amp;E and </w:t>
      </w:r>
      <w:proofErr w:type="spellStart"/>
      <w:r w:rsidRPr="00EB7E80" w:rsidR="00FF1F95">
        <w:rPr>
          <w:rFonts w:ascii="Palatino Linotype" w:hAnsi="Palatino Linotype" w:eastAsia="Times New Roman" w:cs="Times New Roman"/>
          <w:sz w:val="24"/>
          <w:szCs w:val="24"/>
          <w14:ligatures w14:val="none"/>
        </w:rPr>
        <w:t>Arevon</w:t>
      </w:r>
      <w:proofErr w:type="spellEnd"/>
      <w:r w:rsidRPr="00EB7E80" w:rsidR="00FF1F95">
        <w:rPr>
          <w:rFonts w:ascii="Palatino Linotype" w:hAnsi="Palatino Linotype" w:eastAsia="Times New Roman" w:cs="Times New Roman"/>
          <w:sz w:val="24"/>
          <w:szCs w:val="24"/>
          <w14:ligatures w14:val="none"/>
        </w:rPr>
        <w:t xml:space="preserve"> </w:t>
      </w:r>
      <w:r w:rsidRPr="00EB7E80">
        <w:rPr>
          <w:rFonts w:ascii="Palatino Linotype" w:hAnsi="Palatino Linotype" w:eastAsia="Times New Roman" w:cs="Times New Roman"/>
          <w:sz w:val="24"/>
          <w:szCs w:val="24"/>
          <w14:ligatures w14:val="none"/>
        </w:rPr>
        <w:t>to make all reasonable efforts to achieve th</w:t>
      </w:r>
      <w:r w:rsidRPr="00EB7E80" w:rsidR="00665918">
        <w:rPr>
          <w:rFonts w:ascii="Palatino Linotype" w:hAnsi="Palatino Linotype" w:eastAsia="Times New Roman" w:cs="Times New Roman"/>
          <w:sz w:val="24"/>
          <w:szCs w:val="24"/>
          <w14:ligatures w14:val="none"/>
        </w:rPr>
        <w:t xml:space="preserve">is second revision to the </w:t>
      </w:r>
      <w:r w:rsidRPr="00EB7E80">
        <w:rPr>
          <w:rFonts w:ascii="Palatino Linotype" w:hAnsi="Palatino Linotype" w:eastAsia="Times New Roman" w:cs="Times New Roman"/>
          <w:sz w:val="24"/>
          <w:szCs w:val="24"/>
          <w14:ligatures w14:val="none"/>
        </w:rPr>
        <w:t>delivery date without further delays and will monitor the project’s development closely.  Accordingly, we approve</w:t>
      </w:r>
      <w:r w:rsidRPr="00800806">
        <w:rPr>
          <w:rFonts w:ascii="Palatino Linotype" w:hAnsi="Palatino Linotype" w:eastAsia="Times New Roman" w:cs="Times New Roman"/>
          <w:sz w:val="24"/>
          <w:szCs w:val="24"/>
        </w:rPr>
        <w:t xml:space="preserve"> PG&amp;E’s contract amendment request to both </w:t>
      </w:r>
      <w:r w:rsidRPr="00800806" w:rsidR="0A7B1D06">
        <w:rPr>
          <w:rFonts w:ascii="Palatino Linotype" w:hAnsi="Palatino Linotype" w:eastAsia="Times New Roman" w:cs="Times New Roman"/>
          <w:sz w:val="24"/>
          <w:szCs w:val="24"/>
        </w:rPr>
        <w:t xml:space="preserve">modify </w:t>
      </w:r>
      <w:r w:rsidRPr="00800806">
        <w:rPr>
          <w:rFonts w:ascii="Palatino Linotype" w:hAnsi="Palatino Linotype" w:eastAsia="Times New Roman" w:cs="Times New Roman"/>
          <w:sz w:val="24"/>
          <w:szCs w:val="24"/>
        </w:rPr>
        <w:t xml:space="preserve">the contract price and change the initial delivery date to </w:t>
      </w:r>
      <w:r w:rsidR="0073290C">
        <w:rPr>
          <w:rFonts w:ascii="Palatino Linotype" w:hAnsi="Palatino Linotype" w:eastAsia="Times New Roman" w:cs="Times New Roman"/>
          <w:sz w:val="24"/>
          <w:szCs w:val="24"/>
        </w:rPr>
        <w:br/>
      </w:r>
      <w:r w:rsidR="00962485">
        <w:rPr>
          <w:rFonts w:ascii="Palatino Linotype" w:hAnsi="Palatino Linotype" w:eastAsia="Times New Roman" w:cs="Times New Roman"/>
          <w:sz w:val="24"/>
          <w:szCs w:val="24"/>
        </w:rPr>
        <w:t>June 1, 2026</w:t>
      </w:r>
      <w:r w:rsidRPr="00800806">
        <w:rPr>
          <w:rFonts w:ascii="Palatino Linotype" w:hAnsi="Palatino Linotype" w:eastAsia="Times New Roman" w:cs="Times New Roman"/>
          <w:sz w:val="24"/>
          <w:szCs w:val="24"/>
        </w:rPr>
        <w:t>.</w:t>
      </w:r>
    </w:p>
    <w:p w:rsidR="00B84E68" w:rsidP="006E69BC" w:rsidRDefault="00B84E68" w14:paraId="0C64CC5D" w14:textId="77777777">
      <w:pPr>
        <w:keepNext/>
        <w:spacing w:after="240" w:line="240" w:lineRule="auto"/>
        <w:rPr>
          <w:rFonts w:ascii="Palatino Linotype" w:hAnsi="Palatino Linotype" w:eastAsia="Times New Roman" w:cs="Times New Roman"/>
          <w:b/>
          <w:caps/>
          <w:kern w:val="28"/>
          <w:sz w:val="24"/>
          <w:szCs w:val="24"/>
          <w:u w:val="single"/>
          <w14:ligatures w14:val="none"/>
        </w:rPr>
      </w:pPr>
      <w:r w:rsidRPr="00173D58">
        <w:rPr>
          <w:rFonts w:ascii="Palatino Linotype" w:hAnsi="Palatino Linotype" w:eastAsia="Times New Roman" w:cs="Times New Roman"/>
          <w:b/>
          <w:caps/>
          <w:kern w:val="28"/>
          <w:sz w:val="24"/>
          <w:szCs w:val="24"/>
          <w:u w:val="single"/>
          <w14:ligatures w14:val="none"/>
        </w:rPr>
        <w:lastRenderedPageBreak/>
        <w:t>Comments</w:t>
      </w:r>
    </w:p>
    <w:p w:rsidR="00926165" w:rsidP="00827156" w:rsidRDefault="00B84E68" w14:paraId="1200CA81" w14:textId="77777777">
      <w:pPr>
        <w:tabs>
          <w:tab w:val="left" w:pos="0"/>
        </w:tabs>
        <w:spacing w:after="0"/>
        <w:ind w:right="14"/>
        <w:textAlignment w:val="baseline"/>
        <w:rPr>
          <w:rFonts w:ascii="Palatino Linotype" w:hAnsi="Palatino Linotype" w:cs="Segoe UI"/>
          <w:sz w:val="24"/>
          <w:szCs w:val="24"/>
        </w:rPr>
      </w:pPr>
      <w:r w:rsidRPr="00173D58">
        <w:rPr>
          <w:rFonts w:ascii="Palatino Linotype" w:hAnsi="Palatino Linotype" w:eastAsia="Times New Roman" w:cs="Times New Roman"/>
          <w:kern w:val="0"/>
          <w:sz w:val="24"/>
          <w:szCs w:val="24"/>
          <w14:ligatures w14:val="none"/>
        </w:rPr>
        <w:t xml:space="preserve">Public Utilities Code section 311(g)(1) provides that this Resolution must be served on all parties and subject to at least 30 days public review.  Any comments are due within </w:t>
      </w:r>
      <w:r w:rsidR="0073290C">
        <w:rPr>
          <w:rFonts w:ascii="Palatino Linotype" w:hAnsi="Palatino Linotype" w:eastAsia="Times New Roman" w:cs="Times New Roman"/>
          <w:kern w:val="0"/>
          <w:sz w:val="24"/>
          <w:szCs w:val="24"/>
          <w14:ligatures w14:val="none"/>
        </w:rPr>
        <w:br/>
      </w:r>
      <w:r w:rsidRPr="00173D58">
        <w:rPr>
          <w:rFonts w:ascii="Palatino Linotype" w:hAnsi="Palatino Linotype" w:eastAsia="Times New Roman" w:cs="Times New Roman"/>
          <w:kern w:val="0"/>
          <w:sz w:val="24"/>
          <w:szCs w:val="24"/>
          <w14:ligatures w14:val="none"/>
        </w:rPr>
        <w:t xml:space="preserve">20 days of the date of its mailing and publication on the Commission’s website and in accordance with any instructions accompanying the notice. Section 311(g)(2) provides that this 30-day review period may be reduced or waived </w:t>
      </w:r>
      <w:r w:rsidR="00CF30AF">
        <w:rPr>
          <w:rFonts w:ascii="Palatino Linotype" w:hAnsi="Palatino Linotype" w:eastAsia="Times New Roman" w:cs="Times New Roman"/>
          <w:kern w:val="0"/>
          <w:sz w:val="24"/>
          <w:szCs w:val="24"/>
          <w14:ligatures w14:val="none"/>
        </w:rPr>
        <w:t xml:space="preserve">in an unforeseen </w:t>
      </w:r>
      <w:r w:rsidR="00E93348">
        <w:rPr>
          <w:rFonts w:ascii="Palatino Linotype" w:hAnsi="Palatino Linotype" w:eastAsia="Times New Roman" w:cs="Times New Roman"/>
          <w:kern w:val="0"/>
          <w:sz w:val="24"/>
          <w:szCs w:val="24"/>
          <w14:ligatures w14:val="none"/>
        </w:rPr>
        <w:t>emergency</w:t>
      </w:r>
      <w:r w:rsidR="00CF30AF">
        <w:rPr>
          <w:rFonts w:ascii="Palatino Linotype" w:hAnsi="Palatino Linotype" w:eastAsia="Times New Roman" w:cs="Times New Roman"/>
          <w:kern w:val="0"/>
          <w:sz w:val="24"/>
          <w:szCs w:val="24"/>
          <w14:ligatures w14:val="none"/>
        </w:rPr>
        <w:t xml:space="preserve">, upon the stipulation of all parties in the proceeding, for an uncontested matter in which the decision grants the relief </w:t>
      </w:r>
      <w:proofErr w:type="gramStart"/>
      <w:r w:rsidR="00CF30AF">
        <w:rPr>
          <w:rFonts w:ascii="Palatino Linotype" w:hAnsi="Palatino Linotype" w:eastAsia="Times New Roman" w:cs="Times New Roman"/>
          <w:kern w:val="0"/>
          <w:sz w:val="24"/>
          <w:szCs w:val="24"/>
          <w14:ligatures w14:val="none"/>
        </w:rPr>
        <w:t>requested, or</w:t>
      </w:r>
      <w:proofErr w:type="gramEnd"/>
      <w:r w:rsidR="00CF30AF">
        <w:rPr>
          <w:rFonts w:ascii="Palatino Linotype" w:hAnsi="Palatino Linotype" w:eastAsia="Times New Roman" w:cs="Times New Roman"/>
          <w:kern w:val="0"/>
          <w:sz w:val="24"/>
          <w:szCs w:val="24"/>
          <w14:ligatures w14:val="none"/>
        </w:rPr>
        <w:t xml:space="preserve"> for an order seeking temporary </w:t>
      </w:r>
      <w:r w:rsidR="00BD16CF">
        <w:rPr>
          <w:rFonts w:ascii="Palatino Linotype" w:hAnsi="Palatino Linotype" w:eastAsia="Times New Roman" w:cs="Times New Roman"/>
          <w:kern w:val="0"/>
          <w:sz w:val="24"/>
          <w:szCs w:val="24"/>
          <w14:ligatures w14:val="none"/>
        </w:rPr>
        <w:t>injunctive</w:t>
      </w:r>
      <w:r w:rsidR="00CF30AF">
        <w:rPr>
          <w:rFonts w:ascii="Palatino Linotype" w:hAnsi="Palatino Linotype" w:eastAsia="Times New Roman" w:cs="Times New Roman"/>
          <w:kern w:val="0"/>
          <w:sz w:val="24"/>
          <w:szCs w:val="24"/>
          <w14:ligatures w14:val="none"/>
        </w:rPr>
        <w:t xml:space="preserve"> relief, or for an order seeking temporary inju</w:t>
      </w:r>
      <w:r w:rsidR="00EB5C11">
        <w:rPr>
          <w:rFonts w:ascii="Palatino Linotype" w:hAnsi="Palatino Linotype" w:eastAsia="Times New Roman" w:cs="Times New Roman"/>
          <w:kern w:val="0"/>
          <w:sz w:val="24"/>
          <w:szCs w:val="24"/>
          <w14:ligatures w14:val="none"/>
        </w:rPr>
        <w:t>nctive relief</w:t>
      </w:r>
      <w:r w:rsidRPr="00173D58">
        <w:rPr>
          <w:rFonts w:ascii="Palatino Linotype" w:hAnsi="Palatino Linotype" w:eastAsia="Times New Roman" w:cs="Times New Roman"/>
          <w:kern w:val="0"/>
          <w:sz w:val="24"/>
          <w:szCs w:val="24"/>
          <w14:ligatures w14:val="none"/>
        </w:rPr>
        <w:t xml:space="preserve">. </w:t>
      </w:r>
    </w:p>
    <w:p w:rsidR="00B84E68" w:rsidP="00827156" w:rsidRDefault="00926165" w14:paraId="43656B9D" w14:textId="77777777">
      <w:pPr>
        <w:tabs>
          <w:tab w:val="left" w:pos="0"/>
        </w:tabs>
        <w:spacing w:after="0"/>
        <w:ind w:right="14"/>
        <w:textAlignment w:val="baseline"/>
        <w:rPr>
          <w:rFonts w:ascii="Palatino Linotype" w:hAnsi="Palatino Linotype" w:cs="Segoe UI"/>
          <w:sz w:val="24"/>
          <w:szCs w:val="24"/>
        </w:rPr>
      </w:pPr>
      <w:r w:rsidRPr="00173D58">
        <w:rPr>
          <w:rFonts w:ascii="Palatino Linotype" w:hAnsi="Palatino Linotype" w:cs="Segoe UI"/>
          <w:sz w:val="24"/>
          <w:szCs w:val="24"/>
        </w:rPr>
        <w:t>The 30-day review and 20-day comment period for the draft of this resolution was neither waived nor reduced. Accordingly, this draft resolution was mailed to parties for comments and will be placed on the Commission's agenda no earlier than 30 days from today. </w:t>
      </w:r>
    </w:p>
    <w:p w:rsidRPr="00051894" w:rsidR="00051894" w:rsidP="00827156" w:rsidRDefault="00051894" w14:paraId="24DE3B15" w14:textId="77777777">
      <w:pPr>
        <w:tabs>
          <w:tab w:val="left" w:pos="0"/>
        </w:tabs>
        <w:spacing w:after="0"/>
        <w:ind w:right="14"/>
        <w:textAlignment w:val="baseline"/>
        <w:rPr>
          <w:rFonts w:ascii="Palatino Linotype" w:hAnsi="Palatino Linotype" w:cs="Segoe UI"/>
          <w:sz w:val="16"/>
          <w:szCs w:val="16"/>
        </w:rPr>
      </w:pPr>
    </w:p>
    <w:p w:rsidRPr="00926165" w:rsidR="00051894" w:rsidP="00827156" w:rsidRDefault="00051894" w14:paraId="7C8D4E52" w14:textId="77777777">
      <w:pPr>
        <w:tabs>
          <w:tab w:val="left" w:pos="0"/>
        </w:tabs>
        <w:spacing w:after="0"/>
        <w:ind w:right="14"/>
        <w:textAlignment w:val="baseline"/>
        <w:rPr>
          <w:rFonts w:ascii="Palatino Linotype" w:hAnsi="Palatino Linotype" w:cs="Segoe UI"/>
          <w:sz w:val="24"/>
          <w:szCs w:val="24"/>
        </w:rPr>
      </w:pPr>
      <w:r>
        <w:rPr>
          <w:rFonts w:ascii="Palatino Linotype" w:hAnsi="Palatino Linotype"/>
          <w:sz w:val="24"/>
          <w:szCs w:val="24"/>
        </w:rPr>
        <w:t>No party submitted comments on the draft resolution.</w:t>
      </w:r>
    </w:p>
    <w:p w:rsidRPr="00051894" w:rsidR="00173D58" w:rsidP="00B84E68" w:rsidRDefault="00173D58" w14:paraId="54029ABF" w14:textId="77777777">
      <w:pPr>
        <w:spacing w:after="0" w:line="240" w:lineRule="auto"/>
        <w:rPr>
          <w:rFonts w:ascii="Palatino Linotype" w:hAnsi="Palatino Linotype" w:eastAsia="Times New Roman" w:cs="Times New Roman"/>
          <w:kern w:val="0"/>
          <w:sz w:val="16"/>
          <w:szCs w:val="16"/>
          <w14:ligatures w14:val="none"/>
        </w:rPr>
      </w:pPr>
    </w:p>
    <w:p w:rsidR="00B84E68" w:rsidP="0073038D" w:rsidRDefault="00B84E68" w14:paraId="02F76E14" w14:textId="77777777">
      <w:pPr>
        <w:spacing w:before="120" w:after="240" w:line="240" w:lineRule="auto"/>
        <w:textAlignment w:val="baseline"/>
        <w:rPr>
          <w:rFonts w:ascii="Palatino Linotype" w:hAnsi="Palatino Linotype" w:eastAsia="Times New Roman" w:cs="Times New Roman"/>
          <w:b/>
          <w:caps/>
          <w:kern w:val="28"/>
          <w:sz w:val="24"/>
          <w:szCs w:val="24"/>
          <w:u w:val="single"/>
          <w14:ligatures w14:val="none"/>
        </w:rPr>
      </w:pPr>
      <w:r w:rsidRPr="00173D58">
        <w:rPr>
          <w:rFonts w:ascii="Palatino Linotype" w:hAnsi="Palatino Linotype" w:eastAsia="Times New Roman" w:cs="Times New Roman"/>
          <w:b/>
          <w:caps/>
          <w:kern w:val="28"/>
          <w:sz w:val="24"/>
          <w:szCs w:val="24"/>
          <w:u w:val="single"/>
          <w14:ligatures w14:val="none"/>
        </w:rPr>
        <w:t>Findings</w:t>
      </w:r>
      <w:r w:rsidR="00B706E2">
        <w:rPr>
          <w:rFonts w:ascii="Palatino Linotype" w:hAnsi="Palatino Linotype" w:eastAsia="Times New Roman" w:cs="Times New Roman"/>
          <w:b/>
          <w:caps/>
          <w:kern w:val="28"/>
          <w:sz w:val="24"/>
          <w:szCs w:val="24"/>
          <w:u w:val="single"/>
          <w14:ligatures w14:val="none"/>
        </w:rPr>
        <w:t xml:space="preserve"> AND CONCLUSIONS</w:t>
      </w:r>
    </w:p>
    <w:p w:rsidRPr="00C12352" w:rsidR="009F71DA" w:rsidP="00C12352" w:rsidRDefault="009F71DA" w14:paraId="69469CD3" w14:textId="77777777">
      <w:pPr>
        <w:numPr>
          <w:ilvl w:val="0"/>
          <w:numId w:val="1"/>
        </w:numPr>
        <w:spacing w:after="0" w:line="240" w:lineRule="auto"/>
        <w:rPr>
          <w:rFonts w:ascii="Palatino Linotype" w:hAnsi="Palatino Linotype" w:eastAsia="Times New Roman" w:cs="Times New Roman"/>
          <w:kern w:val="0"/>
          <w:sz w:val="24"/>
          <w:szCs w:val="24"/>
          <w14:ligatures w14:val="none"/>
        </w:rPr>
      </w:pPr>
      <w:r w:rsidRPr="00173D58">
        <w:rPr>
          <w:rFonts w:ascii="Palatino Linotype" w:hAnsi="Palatino Linotype" w:eastAsia="Times New Roman" w:cs="Times New Roman"/>
          <w:kern w:val="0"/>
          <w:sz w:val="24"/>
          <w:szCs w:val="24"/>
          <w14:ligatures w14:val="none"/>
        </w:rPr>
        <w:t xml:space="preserve">Commission Decision </w:t>
      </w:r>
      <w:r w:rsidR="00A648D2">
        <w:rPr>
          <w:rFonts w:ascii="Palatino Linotype" w:hAnsi="Palatino Linotype" w:eastAsia="Times New Roman" w:cs="Times New Roman"/>
          <w:kern w:val="0"/>
          <w:sz w:val="24"/>
          <w:szCs w:val="24"/>
          <w14:ligatures w14:val="none"/>
        </w:rPr>
        <w:t xml:space="preserve">(D.) </w:t>
      </w:r>
      <w:r w:rsidRPr="00173D58">
        <w:rPr>
          <w:rFonts w:ascii="Palatino Linotype" w:hAnsi="Palatino Linotype" w:eastAsia="Times New Roman" w:cs="Times New Roman"/>
          <w:kern w:val="0"/>
          <w:sz w:val="24"/>
          <w:szCs w:val="24"/>
          <w14:ligatures w14:val="none"/>
        </w:rPr>
        <w:t xml:space="preserve">21-06-035 directed all Load Serving Entities to procure a total of 11,500 megawatts (“MW”) of incremental September net qualifying capacity under the Commission’s rules over the course of four years, with 2,000 MW to be online by August 1, 2023, an additional 6,000 MW online by June 1, 2024, an additional 1,500 MW online by June 1, 2025, and an additional 2,000 MW online by June 1, 2026. </w:t>
      </w:r>
    </w:p>
    <w:p w:rsidR="00963C86" w:rsidP="00C12352" w:rsidRDefault="00A648D2" w14:paraId="54FB4742" w14:textId="77777777">
      <w:pPr>
        <w:numPr>
          <w:ilvl w:val="0"/>
          <w:numId w:val="1"/>
        </w:numPr>
        <w:spacing w:after="0" w:line="240" w:lineRule="auto"/>
        <w:ind w:left="418" w:hanging="418"/>
        <w:rPr>
          <w:rFonts w:ascii="Palatino Linotype" w:hAnsi="Palatino Linotype"/>
          <w:sz w:val="24"/>
          <w:szCs w:val="24"/>
        </w:rPr>
      </w:pPr>
      <w:r w:rsidRPr="00F31A37">
        <w:rPr>
          <w:rFonts w:ascii="Palatino Linotype" w:hAnsi="Palatino Linotype"/>
          <w:sz w:val="24"/>
          <w:szCs w:val="24"/>
        </w:rPr>
        <w:t xml:space="preserve">Ordering Paragraph 13 of </w:t>
      </w:r>
      <w:r w:rsidRPr="00F31A37" w:rsidR="00963C86">
        <w:rPr>
          <w:rFonts w:ascii="Palatino Linotype" w:hAnsi="Palatino Linotype"/>
          <w:sz w:val="24"/>
          <w:szCs w:val="24"/>
        </w:rPr>
        <w:t>D.21-06-035</w:t>
      </w:r>
      <w:r w:rsidRPr="00F31A37" w:rsidR="00314D09">
        <w:rPr>
          <w:rFonts w:ascii="Palatino Linotype" w:hAnsi="Palatino Linotype"/>
          <w:sz w:val="24"/>
          <w:szCs w:val="24"/>
        </w:rPr>
        <w:t xml:space="preserve"> </w:t>
      </w:r>
      <w:r w:rsidRPr="00F31A37" w:rsidR="00077A30">
        <w:rPr>
          <w:rFonts w:ascii="Palatino Linotype" w:hAnsi="Palatino Linotype"/>
          <w:sz w:val="24"/>
          <w:szCs w:val="24"/>
        </w:rPr>
        <w:t xml:space="preserve">directed </w:t>
      </w:r>
      <w:r w:rsidRPr="00F31A37" w:rsidR="0081083B">
        <w:rPr>
          <w:rFonts w:ascii="Palatino Linotype" w:hAnsi="Palatino Linotype"/>
          <w:sz w:val="24"/>
          <w:szCs w:val="24"/>
        </w:rPr>
        <w:t>Pacific Gas and Electric Company</w:t>
      </w:r>
      <w:r w:rsidR="0081083B">
        <w:rPr>
          <w:rFonts w:ascii="Palatino Linotype" w:hAnsi="Palatino Linotype"/>
          <w:sz w:val="24"/>
          <w:szCs w:val="24"/>
        </w:rPr>
        <w:t xml:space="preserve"> (“</w:t>
      </w:r>
      <w:r w:rsidR="00077A30">
        <w:rPr>
          <w:rFonts w:ascii="Palatino Linotype" w:hAnsi="Palatino Linotype"/>
          <w:sz w:val="24"/>
          <w:szCs w:val="24"/>
        </w:rPr>
        <w:t>PG&amp;E</w:t>
      </w:r>
      <w:r w:rsidR="0081083B">
        <w:rPr>
          <w:rFonts w:ascii="Palatino Linotype" w:hAnsi="Palatino Linotype"/>
          <w:sz w:val="24"/>
          <w:szCs w:val="24"/>
        </w:rPr>
        <w:t>”)</w:t>
      </w:r>
      <w:r w:rsidR="00077A30">
        <w:rPr>
          <w:rFonts w:ascii="Palatino Linotype" w:hAnsi="Palatino Linotype"/>
          <w:sz w:val="24"/>
          <w:szCs w:val="24"/>
        </w:rPr>
        <w:t xml:space="preserve"> to file Tier 3 Advice Letter</w:t>
      </w:r>
      <w:r w:rsidR="00D21E46">
        <w:rPr>
          <w:rFonts w:ascii="Palatino Linotype" w:hAnsi="Palatino Linotype"/>
          <w:sz w:val="24"/>
          <w:szCs w:val="24"/>
        </w:rPr>
        <w:t>s</w:t>
      </w:r>
      <w:r w:rsidR="00077A30">
        <w:rPr>
          <w:rFonts w:ascii="Palatino Linotype" w:hAnsi="Palatino Linotype"/>
          <w:sz w:val="24"/>
          <w:szCs w:val="24"/>
        </w:rPr>
        <w:t xml:space="preserve"> for procurement</w:t>
      </w:r>
      <w:r w:rsidR="00264E2E">
        <w:rPr>
          <w:rFonts w:ascii="Palatino Linotype" w:hAnsi="Palatino Linotype"/>
          <w:sz w:val="24"/>
          <w:szCs w:val="24"/>
        </w:rPr>
        <w:t xml:space="preserve"> approval </w:t>
      </w:r>
      <w:r w:rsidRPr="0036153D" w:rsidR="0036153D">
        <w:rPr>
          <w:rFonts w:ascii="Palatino Linotype" w:hAnsi="Palatino Linotype"/>
          <w:sz w:val="24"/>
          <w:szCs w:val="24"/>
        </w:rPr>
        <w:t xml:space="preserve">and cost recovery for </w:t>
      </w:r>
      <w:r w:rsidR="0036153D">
        <w:rPr>
          <w:rFonts w:ascii="Palatino Linotype" w:hAnsi="Palatino Linotype"/>
          <w:sz w:val="24"/>
          <w:szCs w:val="24"/>
        </w:rPr>
        <w:t>MTR Contracts</w:t>
      </w:r>
      <w:r w:rsidRPr="0036153D" w:rsidR="0036153D">
        <w:rPr>
          <w:rFonts w:ascii="Palatino Linotype" w:hAnsi="Palatino Linotype"/>
          <w:sz w:val="24"/>
          <w:szCs w:val="24"/>
        </w:rPr>
        <w:t xml:space="preserve">, except for utility-owned resources and pumped storage projects, where full applications </w:t>
      </w:r>
      <w:r w:rsidR="00A22508">
        <w:rPr>
          <w:rFonts w:ascii="Palatino Linotype" w:hAnsi="Palatino Linotype"/>
          <w:sz w:val="24"/>
          <w:szCs w:val="24"/>
        </w:rPr>
        <w:t>are</w:t>
      </w:r>
      <w:r w:rsidRPr="0036153D" w:rsidR="0036153D">
        <w:rPr>
          <w:rFonts w:ascii="Palatino Linotype" w:hAnsi="Palatino Linotype"/>
          <w:sz w:val="24"/>
          <w:szCs w:val="24"/>
        </w:rPr>
        <w:t xml:space="preserve"> required</w:t>
      </w:r>
      <w:r w:rsidR="00A22508">
        <w:rPr>
          <w:rFonts w:ascii="Palatino Linotype" w:hAnsi="Palatino Linotype"/>
          <w:sz w:val="24"/>
          <w:szCs w:val="24"/>
        </w:rPr>
        <w:t>.</w:t>
      </w:r>
    </w:p>
    <w:p w:rsidR="003B5C69" w:rsidP="003B5C69" w:rsidRDefault="003B5C69" w14:paraId="46E9A271" w14:textId="77777777">
      <w:pPr>
        <w:numPr>
          <w:ilvl w:val="0"/>
          <w:numId w:val="1"/>
        </w:numPr>
        <w:spacing w:after="0" w:line="240" w:lineRule="auto"/>
        <w:rPr>
          <w:rFonts w:ascii="Palatino Linotype" w:hAnsi="Palatino Linotype"/>
          <w:sz w:val="24"/>
          <w:szCs w:val="24"/>
        </w:rPr>
      </w:pPr>
      <w:r>
        <w:rPr>
          <w:rFonts w:ascii="Palatino Linotype" w:hAnsi="Palatino Linotype"/>
          <w:sz w:val="24"/>
          <w:szCs w:val="24"/>
        </w:rPr>
        <w:t xml:space="preserve">Commission Decision (D.) 23-02-040 ordered supplemental MTR procurement of </w:t>
      </w:r>
      <w:r w:rsidR="00C312E1">
        <w:rPr>
          <w:rFonts w:ascii="Palatino Linotype" w:hAnsi="Palatino Linotype"/>
          <w:sz w:val="24"/>
          <w:szCs w:val="24"/>
        </w:rPr>
        <w:br/>
      </w:r>
      <w:r>
        <w:rPr>
          <w:rFonts w:ascii="Palatino Linotype" w:hAnsi="Palatino Linotype"/>
          <w:sz w:val="24"/>
          <w:szCs w:val="24"/>
        </w:rPr>
        <w:t xml:space="preserve">2,000 MW NQC to be online by June 1, 2026, and 2,000 MW NQC to be online by </w:t>
      </w:r>
      <w:r w:rsidR="003719D7">
        <w:rPr>
          <w:rFonts w:ascii="Palatino Linotype" w:hAnsi="Palatino Linotype"/>
          <w:sz w:val="24"/>
          <w:szCs w:val="24"/>
        </w:rPr>
        <w:br/>
      </w:r>
      <w:r>
        <w:rPr>
          <w:rFonts w:ascii="Palatino Linotype" w:hAnsi="Palatino Linotype"/>
          <w:sz w:val="24"/>
          <w:szCs w:val="24"/>
        </w:rPr>
        <w:t>June 1, 2027.</w:t>
      </w:r>
    </w:p>
    <w:p w:rsidR="00E05D86" w:rsidP="00C12352" w:rsidRDefault="0081083B" w14:paraId="0C099F5F" w14:textId="77777777">
      <w:pPr>
        <w:numPr>
          <w:ilvl w:val="0"/>
          <w:numId w:val="1"/>
        </w:numPr>
        <w:spacing w:after="0" w:line="240" w:lineRule="auto"/>
        <w:ind w:left="418" w:hanging="418"/>
        <w:rPr>
          <w:rFonts w:ascii="Palatino Linotype" w:hAnsi="Palatino Linotype"/>
          <w:sz w:val="24"/>
          <w:szCs w:val="24"/>
        </w:rPr>
      </w:pPr>
      <w:r>
        <w:rPr>
          <w:rFonts w:ascii="Palatino Linotype" w:hAnsi="Palatino Linotype"/>
          <w:sz w:val="24"/>
          <w:szCs w:val="24"/>
        </w:rPr>
        <w:t>PG&amp;E’s</w:t>
      </w:r>
      <w:r w:rsidRPr="00BF2D08" w:rsidR="00E05D86">
        <w:rPr>
          <w:rFonts w:ascii="Palatino Linotype" w:hAnsi="Palatino Linotype"/>
          <w:sz w:val="24"/>
          <w:szCs w:val="24"/>
        </w:rPr>
        <w:t xml:space="preserve"> share of the MTR procurement requirements under D.21-06-035 and </w:t>
      </w:r>
      <w:r w:rsidR="003719D7">
        <w:rPr>
          <w:rFonts w:ascii="Palatino Linotype" w:hAnsi="Palatino Linotype"/>
          <w:sz w:val="24"/>
          <w:szCs w:val="24"/>
        </w:rPr>
        <w:br/>
      </w:r>
      <w:r w:rsidRPr="00BF2D08" w:rsidR="00E05D86">
        <w:rPr>
          <w:rFonts w:ascii="Palatino Linotype" w:hAnsi="Palatino Linotype"/>
          <w:sz w:val="24"/>
          <w:szCs w:val="24"/>
        </w:rPr>
        <w:t xml:space="preserve">D.23-02-040 is 400 MW online by August 1, 2023; 1,201 MW online by June 1, 2024; </w:t>
      </w:r>
      <w:r w:rsidR="00C312E1">
        <w:rPr>
          <w:rFonts w:ascii="Palatino Linotype" w:hAnsi="Palatino Linotype"/>
          <w:sz w:val="24"/>
          <w:szCs w:val="24"/>
        </w:rPr>
        <w:br/>
      </w:r>
      <w:r w:rsidRPr="00BF2D08" w:rsidR="00E05D86">
        <w:rPr>
          <w:rFonts w:ascii="Palatino Linotype" w:hAnsi="Palatino Linotype"/>
          <w:sz w:val="24"/>
          <w:szCs w:val="24"/>
        </w:rPr>
        <w:t xml:space="preserve">300 MW online by June 1, 2025; 388 MW online by June 1, 2026; 388 MW online by </w:t>
      </w:r>
      <w:r w:rsidR="003719D7">
        <w:rPr>
          <w:rFonts w:ascii="Palatino Linotype" w:hAnsi="Palatino Linotype"/>
          <w:sz w:val="24"/>
          <w:szCs w:val="24"/>
        </w:rPr>
        <w:br/>
      </w:r>
      <w:r w:rsidRPr="00BF2D08" w:rsidR="00E05D86">
        <w:rPr>
          <w:rFonts w:ascii="Palatino Linotype" w:hAnsi="Palatino Linotype"/>
          <w:sz w:val="24"/>
          <w:szCs w:val="24"/>
        </w:rPr>
        <w:t>June 1, 2027; and 400 MW of long lead time resources by June 1, 2028.</w:t>
      </w:r>
    </w:p>
    <w:p w:rsidR="008232C1" w:rsidP="00C12352" w:rsidRDefault="008232C1" w14:paraId="6833BC93" w14:textId="77777777">
      <w:pPr>
        <w:numPr>
          <w:ilvl w:val="0"/>
          <w:numId w:val="1"/>
        </w:numPr>
        <w:spacing w:after="0" w:line="240" w:lineRule="auto"/>
        <w:ind w:left="418" w:hanging="418"/>
        <w:rPr>
          <w:rFonts w:ascii="Palatino Linotype" w:hAnsi="Palatino Linotype"/>
          <w:sz w:val="24"/>
          <w:szCs w:val="24"/>
        </w:rPr>
      </w:pPr>
      <w:r>
        <w:rPr>
          <w:rFonts w:ascii="Palatino Linotype" w:hAnsi="Palatino Linotype"/>
          <w:sz w:val="24"/>
          <w:szCs w:val="24"/>
        </w:rPr>
        <w:t xml:space="preserve">PG&amp;E’s share of </w:t>
      </w:r>
      <w:r w:rsidR="0023139B">
        <w:rPr>
          <w:rFonts w:ascii="Palatino Linotype" w:hAnsi="Palatino Linotype"/>
          <w:sz w:val="24"/>
          <w:szCs w:val="24"/>
        </w:rPr>
        <w:t xml:space="preserve">total </w:t>
      </w:r>
      <w:r>
        <w:rPr>
          <w:rFonts w:ascii="Palatino Linotype" w:hAnsi="Palatino Linotype"/>
          <w:sz w:val="24"/>
          <w:szCs w:val="24"/>
        </w:rPr>
        <w:t xml:space="preserve">MTR procurement </w:t>
      </w:r>
      <w:r w:rsidR="0023139B">
        <w:rPr>
          <w:rFonts w:ascii="Palatino Linotype" w:hAnsi="Palatino Linotype"/>
          <w:sz w:val="24"/>
          <w:szCs w:val="24"/>
        </w:rPr>
        <w:t>requirements</w:t>
      </w:r>
      <w:r>
        <w:rPr>
          <w:rFonts w:ascii="Palatino Linotype" w:hAnsi="Palatino Linotype"/>
          <w:sz w:val="24"/>
          <w:szCs w:val="24"/>
        </w:rPr>
        <w:t xml:space="preserve"> is 3,077 MW NQC.</w:t>
      </w:r>
    </w:p>
    <w:p w:rsidRPr="00260A47" w:rsidR="00BF4363" w:rsidP="00BF4363" w:rsidRDefault="00BF4363" w14:paraId="23D65508" w14:textId="77777777">
      <w:pPr>
        <w:numPr>
          <w:ilvl w:val="0"/>
          <w:numId w:val="1"/>
        </w:numPr>
        <w:spacing w:after="0" w:line="240" w:lineRule="auto"/>
        <w:rPr>
          <w:rStyle w:val="cf01"/>
          <w:rFonts w:ascii="Palatino Linotype" w:hAnsi="Palatino Linotype" w:cstheme="minorBidi"/>
          <w:sz w:val="24"/>
          <w:szCs w:val="24"/>
        </w:rPr>
      </w:pPr>
      <w:r>
        <w:rPr>
          <w:rFonts w:ascii="Palatino Linotype" w:hAnsi="Palatino Linotype"/>
          <w:sz w:val="24"/>
          <w:szCs w:val="24"/>
        </w:rPr>
        <w:t xml:space="preserve">Ordering Paragraph 6 of Commission Decision (D.) 25-09-007 </w:t>
      </w:r>
      <w:r>
        <w:rPr>
          <w:rStyle w:val="cf01"/>
          <w:rFonts w:ascii="Palatino Linotype" w:hAnsi="Palatino Linotype" w:eastAsiaTheme="majorEastAsia"/>
          <w:sz w:val="24"/>
          <w:szCs w:val="24"/>
        </w:rPr>
        <w:t>finds an LSE compliant if its resources’ online dates are delayed from 2028 to 2031, provided the LSE has a contract with the capacity and is otherwise meeting its month-ahead system RA obligations.</w:t>
      </w:r>
    </w:p>
    <w:p w:rsidRPr="00BF4363" w:rsidR="00BF4363" w:rsidP="00BF4363" w:rsidRDefault="00BF4363" w14:paraId="7088D085" w14:textId="77777777">
      <w:pPr>
        <w:numPr>
          <w:ilvl w:val="0"/>
          <w:numId w:val="1"/>
        </w:numPr>
        <w:spacing w:after="0" w:line="240" w:lineRule="auto"/>
        <w:rPr>
          <w:rFonts w:ascii="Palatino Linotype" w:hAnsi="Palatino Linotype"/>
          <w:sz w:val="24"/>
          <w:szCs w:val="24"/>
        </w:rPr>
      </w:pPr>
      <w:r w:rsidRPr="6F311C67">
        <w:rPr>
          <w:rStyle w:val="cf01"/>
          <w:rFonts w:ascii="Palatino Linotype" w:hAnsi="Palatino Linotype" w:eastAsiaTheme="majorEastAsia"/>
          <w:sz w:val="24"/>
          <w:szCs w:val="24"/>
        </w:rPr>
        <w:lastRenderedPageBreak/>
        <w:t xml:space="preserve">Ordering Paragraph 6 of D.25-09-007 provides </w:t>
      </w:r>
      <w:proofErr w:type="gramStart"/>
      <w:r w:rsidRPr="6F311C67">
        <w:rPr>
          <w:rStyle w:val="cf01"/>
          <w:rFonts w:ascii="Palatino Linotype" w:hAnsi="Palatino Linotype" w:eastAsiaTheme="majorEastAsia"/>
          <w:sz w:val="24"/>
          <w:szCs w:val="24"/>
        </w:rPr>
        <w:t>LSEs</w:t>
      </w:r>
      <w:proofErr w:type="gramEnd"/>
      <w:r w:rsidRPr="6F311C67">
        <w:rPr>
          <w:rStyle w:val="cf01"/>
          <w:rFonts w:ascii="Palatino Linotype" w:hAnsi="Palatino Linotype" w:eastAsiaTheme="majorEastAsia"/>
          <w:sz w:val="24"/>
          <w:szCs w:val="24"/>
        </w:rPr>
        <w:t xml:space="preserve"> the option to conduct long-term contracting for generic replacement resources.</w:t>
      </w:r>
    </w:p>
    <w:p w:rsidRPr="00F31A37" w:rsidR="000A06FC" w:rsidP="00423A74" w:rsidRDefault="00772118" w14:paraId="4BB47C7F" w14:textId="77777777">
      <w:pPr>
        <w:pStyle w:val="ListParagraph"/>
        <w:numPr>
          <w:ilvl w:val="0"/>
          <w:numId w:val="1"/>
        </w:numPr>
        <w:rPr>
          <w:rFonts w:ascii="Palatino Linotype" w:hAnsi="Palatino Linotype" w:eastAsia="Palatino Linotype" w:cs="Palatino Linotype"/>
          <w:sz w:val="24"/>
          <w:szCs w:val="24"/>
        </w:rPr>
      </w:pPr>
      <w:r w:rsidRPr="00F31A37">
        <w:rPr>
          <w:rFonts w:ascii="Palatino Linotype" w:hAnsi="Palatino Linotype"/>
          <w:sz w:val="24"/>
          <w:szCs w:val="24"/>
        </w:rPr>
        <w:t>On April 21, 2022</w:t>
      </w:r>
      <w:r w:rsidRPr="00F31A37" w:rsidR="00220417">
        <w:rPr>
          <w:rFonts w:ascii="Palatino Linotype" w:hAnsi="Palatino Linotype"/>
          <w:sz w:val="24"/>
          <w:szCs w:val="24"/>
        </w:rPr>
        <w:t>,</w:t>
      </w:r>
      <w:r w:rsidRPr="00F31A37" w:rsidR="003A2474">
        <w:rPr>
          <w:rFonts w:ascii="Palatino Linotype" w:hAnsi="Palatino Linotype"/>
          <w:sz w:val="24"/>
          <w:szCs w:val="24"/>
        </w:rPr>
        <w:t xml:space="preserve"> through Resolution E-5202, </w:t>
      </w:r>
      <w:r w:rsidRPr="00F31A37" w:rsidR="008B2BFD">
        <w:rPr>
          <w:rFonts w:ascii="Palatino Linotype" w:hAnsi="Palatino Linotype"/>
          <w:sz w:val="24"/>
          <w:szCs w:val="24"/>
        </w:rPr>
        <w:t>the Commission approved a contract</w:t>
      </w:r>
      <w:r w:rsidR="008B2BFD">
        <w:rPr>
          <w:rFonts w:ascii="Palatino Linotype" w:hAnsi="Palatino Linotype"/>
          <w:sz w:val="24"/>
          <w:szCs w:val="24"/>
        </w:rPr>
        <w:t xml:space="preserve"> between PG&amp;</w:t>
      </w:r>
      <w:r w:rsidR="00220417">
        <w:rPr>
          <w:rFonts w:ascii="Palatino Linotype" w:hAnsi="Palatino Linotype"/>
          <w:sz w:val="24"/>
          <w:szCs w:val="24"/>
        </w:rPr>
        <w:t>E and</w:t>
      </w:r>
      <w:r w:rsidR="009A42F0">
        <w:rPr>
          <w:rFonts w:ascii="Palatino Linotype" w:hAnsi="Palatino Linotype"/>
          <w:sz w:val="24"/>
          <w:szCs w:val="24"/>
        </w:rPr>
        <w:t xml:space="preserve"> </w:t>
      </w:r>
      <w:proofErr w:type="spellStart"/>
      <w:r w:rsidR="009A42F0">
        <w:rPr>
          <w:rFonts w:ascii="Palatino Linotype" w:hAnsi="Palatino Linotype"/>
          <w:sz w:val="24"/>
          <w:szCs w:val="24"/>
        </w:rPr>
        <w:t>Arevon</w:t>
      </w:r>
      <w:proofErr w:type="spellEnd"/>
      <w:r w:rsidR="009A42F0">
        <w:rPr>
          <w:rFonts w:ascii="Palatino Linotype" w:hAnsi="Palatino Linotype"/>
          <w:sz w:val="24"/>
          <w:szCs w:val="24"/>
        </w:rPr>
        <w:t xml:space="preserve"> Energy Inc., (“</w:t>
      </w:r>
      <w:proofErr w:type="spellStart"/>
      <w:r w:rsidR="009A42F0">
        <w:rPr>
          <w:rFonts w:ascii="Palatino Linotype" w:hAnsi="Palatino Linotype"/>
          <w:sz w:val="24"/>
          <w:szCs w:val="24"/>
        </w:rPr>
        <w:t>Arevon</w:t>
      </w:r>
      <w:proofErr w:type="spellEnd"/>
      <w:r w:rsidR="009A42F0">
        <w:rPr>
          <w:rFonts w:ascii="Palatino Linotype" w:hAnsi="Palatino Linotype"/>
          <w:sz w:val="24"/>
          <w:szCs w:val="24"/>
        </w:rPr>
        <w:t>”) for</w:t>
      </w:r>
      <w:r w:rsidR="008B2BFD">
        <w:rPr>
          <w:rFonts w:ascii="Palatino Linotype" w:hAnsi="Palatino Linotype"/>
          <w:sz w:val="24"/>
          <w:szCs w:val="24"/>
        </w:rPr>
        <w:t xml:space="preserve"> Nighthawk Energy Storage, </w:t>
      </w:r>
      <w:r w:rsidRPr="00F31A37" w:rsidR="008B2BFD">
        <w:rPr>
          <w:rFonts w:ascii="Palatino Linotype" w:hAnsi="Palatino Linotype"/>
          <w:sz w:val="24"/>
          <w:szCs w:val="24"/>
        </w:rPr>
        <w:t>LLC (“Nighthawk”)</w:t>
      </w:r>
      <w:r w:rsidRPr="00F31A37" w:rsidR="00C35648">
        <w:rPr>
          <w:rFonts w:ascii="Palatino Linotype" w:hAnsi="Palatino Linotype"/>
          <w:sz w:val="24"/>
          <w:szCs w:val="24"/>
        </w:rPr>
        <w:t xml:space="preserve"> </w:t>
      </w:r>
      <w:r w:rsidRPr="00F31A37" w:rsidR="00513365">
        <w:rPr>
          <w:rFonts w:ascii="Palatino Linotype" w:hAnsi="Palatino Linotype"/>
          <w:sz w:val="24"/>
          <w:szCs w:val="24"/>
        </w:rPr>
        <w:t xml:space="preserve">for 300 MW of </w:t>
      </w:r>
      <w:r w:rsidRPr="00F31A37" w:rsidR="00F92C16">
        <w:rPr>
          <w:rFonts w:ascii="Palatino Linotype" w:hAnsi="Palatino Linotype"/>
          <w:sz w:val="24"/>
          <w:szCs w:val="24"/>
        </w:rPr>
        <w:t>nameplate</w:t>
      </w:r>
      <w:r w:rsidRPr="00F31A37" w:rsidR="00513365">
        <w:rPr>
          <w:rFonts w:ascii="Palatino Linotype" w:hAnsi="Palatino Linotype"/>
          <w:sz w:val="24"/>
          <w:szCs w:val="24"/>
        </w:rPr>
        <w:t xml:space="preserve"> capacity from a lithium-ion storage facility.</w:t>
      </w:r>
    </w:p>
    <w:p w:rsidRPr="00F31A37" w:rsidR="00C2460C" w:rsidP="00423A74" w:rsidRDefault="00C2460C" w14:paraId="6618E97A" w14:textId="77777777">
      <w:pPr>
        <w:pStyle w:val="ListParagraph"/>
        <w:numPr>
          <w:ilvl w:val="0"/>
          <w:numId w:val="1"/>
        </w:numPr>
        <w:rPr>
          <w:rFonts w:ascii="Palatino Linotype" w:hAnsi="Palatino Linotype" w:eastAsia="Palatino Linotype" w:cs="Palatino Linotype"/>
          <w:sz w:val="24"/>
          <w:szCs w:val="24"/>
        </w:rPr>
      </w:pPr>
      <w:r w:rsidRPr="00F31A37">
        <w:rPr>
          <w:rFonts w:ascii="Palatino Linotype" w:hAnsi="Palatino Linotype"/>
          <w:sz w:val="24"/>
          <w:szCs w:val="24"/>
        </w:rPr>
        <w:t xml:space="preserve">On </w:t>
      </w:r>
      <w:r w:rsidRPr="00F31A37" w:rsidR="0015016B">
        <w:rPr>
          <w:rFonts w:ascii="Palatino Linotype" w:hAnsi="Palatino Linotype"/>
          <w:sz w:val="24"/>
          <w:szCs w:val="24"/>
        </w:rPr>
        <w:t>December 1, 2022,</w:t>
      </w:r>
      <w:r w:rsidRPr="00F31A37">
        <w:rPr>
          <w:rFonts w:ascii="Palatino Linotype" w:hAnsi="Palatino Linotype"/>
          <w:sz w:val="24"/>
          <w:szCs w:val="24"/>
        </w:rPr>
        <w:t xml:space="preserve"> </w:t>
      </w:r>
      <w:r w:rsidRPr="00F31A37" w:rsidR="003A2474">
        <w:rPr>
          <w:rFonts w:ascii="Palatino Linotype" w:hAnsi="Palatino Linotype"/>
          <w:sz w:val="24"/>
          <w:szCs w:val="24"/>
        </w:rPr>
        <w:t xml:space="preserve">through Resolution E-5243, </w:t>
      </w:r>
      <w:r w:rsidRPr="00F31A37">
        <w:rPr>
          <w:rFonts w:ascii="Palatino Linotype" w:hAnsi="Palatino Linotype"/>
          <w:sz w:val="24"/>
          <w:szCs w:val="24"/>
        </w:rPr>
        <w:t>the Commission approved</w:t>
      </w:r>
      <w:r w:rsidRPr="00F31A37" w:rsidR="00034EF1">
        <w:rPr>
          <w:rFonts w:ascii="Palatino Linotype" w:hAnsi="Palatino Linotype"/>
          <w:sz w:val="24"/>
          <w:szCs w:val="24"/>
        </w:rPr>
        <w:t xml:space="preserve"> PG&amp;E’s request for</w:t>
      </w:r>
      <w:r w:rsidRPr="00F31A37">
        <w:rPr>
          <w:rFonts w:ascii="Palatino Linotype" w:hAnsi="Palatino Linotype"/>
          <w:sz w:val="24"/>
          <w:szCs w:val="24"/>
        </w:rPr>
        <w:t xml:space="preserve"> </w:t>
      </w:r>
      <w:r w:rsidRPr="00F31A37" w:rsidR="001D4E0D">
        <w:rPr>
          <w:rFonts w:ascii="Palatino Linotype" w:hAnsi="Palatino Linotype"/>
          <w:sz w:val="24"/>
          <w:szCs w:val="24"/>
        </w:rPr>
        <w:t xml:space="preserve">a </w:t>
      </w:r>
      <w:r w:rsidRPr="24E65CDC" w:rsidR="77C16D42">
        <w:rPr>
          <w:rFonts w:ascii="Palatino Linotype" w:hAnsi="Palatino Linotype"/>
          <w:sz w:val="24"/>
          <w:szCs w:val="24"/>
        </w:rPr>
        <w:t>contract amendment,</w:t>
      </w:r>
      <w:r w:rsidRPr="28DE6AB9" w:rsidR="77C16D42">
        <w:rPr>
          <w:rFonts w:ascii="Palatino Linotype" w:hAnsi="Palatino Linotype"/>
          <w:sz w:val="24"/>
          <w:szCs w:val="24"/>
        </w:rPr>
        <w:t xml:space="preserve"> </w:t>
      </w:r>
      <w:r w:rsidRPr="16BBAE41" w:rsidR="77C16D42">
        <w:rPr>
          <w:rFonts w:ascii="Palatino Linotype" w:hAnsi="Palatino Linotype"/>
          <w:sz w:val="24"/>
          <w:szCs w:val="24"/>
        </w:rPr>
        <w:t xml:space="preserve">including </w:t>
      </w:r>
      <w:r w:rsidRPr="16BBAE41" w:rsidR="001D4E0D">
        <w:rPr>
          <w:rFonts w:ascii="Palatino Linotype" w:hAnsi="Palatino Linotype"/>
          <w:sz w:val="24"/>
          <w:szCs w:val="24"/>
        </w:rPr>
        <w:t>price</w:t>
      </w:r>
      <w:r w:rsidRPr="00F31A37" w:rsidR="001D4E0D">
        <w:rPr>
          <w:rFonts w:ascii="Palatino Linotype" w:hAnsi="Palatino Linotype"/>
          <w:sz w:val="24"/>
          <w:szCs w:val="24"/>
        </w:rPr>
        <w:t xml:space="preserve"> </w:t>
      </w:r>
      <w:proofErr w:type="gramStart"/>
      <w:r w:rsidRPr="3FCC62CB" w:rsidR="2EBAAB7A">
        <w:rPr>
          <w:rFonts w:ascii="Palatino Linotype" w:hAnsi="Palatino Linotype"/>
          <w:sz w:val="24"/>
          <w:szCs w:val="24"/>
        </w:rPr>
        <w:t>modification</w:t>
      </w:r>
      <w:r w:rsidRPr="16BBAE41" w:rsidR="018FF773">
        <w:rPr>
          <w:rFonts w:ascii="Palatino Linotype" w:hAnsi="Palatino Linotype"/>
          <w:sz w:val="24"/>
          <w:szCs w:val="24"/>
        </w:rPr>
        <w:t>,</w:t>
      </w:r>
      <w:r w:rsidRPr="42074021" w:rsidR="2EBAAB7A">
        <w:rPr>
          <w:rFonts w:ascii="Palatino Linotype" w:hAnsi="Palatino Linotype"/>
          <w:sz w:val="24"/>
          <w:szCs w:val="24"/>
        </w:rPr>
        <w:t xml:space="preserve"> </w:t>
      </w:r>
      <w:r w:rsidRPr="00F31A37" w:rsidR="001D4E0D">
        <w:rPr>
          <w:rFonts w:ascii="Palatino Linotype" w:hAnsi="Palatino Linotype"/>
          <w:sz w:val="24"/>
          <w:szCs w:val="24"/>
        </w:rPr>
        <w:t xml:space="preserve"> to</w:t>
      </w:r>
      <w:proofErr w:type="gramEnd"/>
      <w:r w:rsidRPr="00F31A37" w:rsidR="001D4E0D">
        <w:rPr>
          <w:rFonts w:ascii="Palatino Linotype" w:hAnsi="Palatino Linotype"/>
          <w:sz w:val="24"/>
          <w:szCs w:val="24"/>
        </w:rPr>
        <w:t xml:space="preserve"> the Nighthawk </w:t>
      </w:r>
      <w:r w:rsidRPr="00F31A37" w:rsidR="00A87971">
        <w:rPr>
          <w:rFonts w:ascii="Palatino Linotype" w:hAnsi="Palatino Linotype"/>
          <w:sz w:val="24"/>
          <w:szCs w:val="24"/>
        </w:rPr>
        <w:t>c</w:t>
      </w:r>
      <w:r w:rsidRPr="00F31A37" w:rsidR="001D4E0D">
        <w:rPr>
          <w:rFonts w:ascii="Palatino Linotype" w:hAnsi="Palatino Linotype"/>
          <w:sz w:val="24"/>
          <w:szCs w:val="24"/>
        </w:rPr>
        <w:t>ontract</w:t>
      </w:r>
      <w:r w:rsidRPr="00F31A37" w:rsidR="00A87971">
        <w:rPr>
          <w:rFonts w:ascii="Palatino Linotype" w:hAnsi="Palatino Linotype"/>
          <w:sz w:val="24"/>
          <w:szCs w:val="24"/>
        </w:rPr>
        <w:t>.</w:t>
      </w:r>
    </w:p>
    <w:p w:rsidRPr="00EE2685" w:rsidR="00173012" w:rsidP="00423A74" w:rsidRDefault="000A06FC" w14:paraId="64C1E940" w14:textId="77777777">
      <w:pPr>
        <w:pStyle w:val="ListParagraph"/>
        <w:numPr>
          <w:ilvl w:val="0"/>
          <w:numId w:val="1"/>
        </w:numPr>
        <w:rPr>
          <w:rFonts w:ascii="Palatino Linotype" w:hAnsi="Palatino Linotype" w:eastAsia="Palatino Linotype" w:cs="Palatino Linotype"/>
          <w:sz w:val="24"/>
          <w:szCs w:val="24"/>
        </w:rPr>
      </w:pPr>
      <w:r w:rsidRPr="00F31A37">
        <w:rPr>
          <w:rFonts w:ascii="Palatino Linotype" w:hAnsi="Palatino Linotype"/>
          <w:sz w:val="24"/>
          <w:szCs w:val="24"/>
        </w:rPr>
        <w:t xml:space="preserve">On November 16, 2023, </w:t>
      </w:r>
      <w:r w:rsidRPr="00F31A37" w:rsidR="001D4E0D">
        <w:rPr>
          <w:rFonts w:ascii="Palatino Linotype" w:hAnsi="Palatino Linotype"/>
          <w:sz w:val="24"/>
          <w:szCs w:val="24"/>
        </w:rPr>
        <w:t xml:space="preserve">through Resolution E-5285, </w:t>
      </w:r>
      <w:r w:rsidRPr="00F31A37">
        <w:rPr>
          <w:rFonts w:ascii="Palatino Linotype" w:hAnsi="Palatino Linotype"/>
          <w:sz w:val="24"/>
          <w:szCs w:val="24"/>
        </w:rPr>
        <w:t xml:space="preserve">the Commission approved </w:t>
      </w:r>
      <w:r w:rsidRPr="16BBAE41" w:rsidR="00F071F4">
        <w:rPr>
          <w:rFonts w:ascii="Palatino Linotype" w:hAnsi="Palatino Linotype"/>
          <w:sz w:val="24"/>
          <w:szCs w:val="24"/>
        </w:rPr>
        <w:t>a</w:t>
      </w:r>
      <w:r w:rsidRPr="16BBAE41" w:rsidR="34C995DE">
        <w:rPr>
          <w:rFonts w:ascii="Palatino Linotype" w:hAnsi="Palatino Linotype"/>
          <w:sz w:val="24"/>
          <w:szCs w:val="24"/>
        </w:rPr>
        <w:t xml:space="preserve"> </w:t>
      </w:r>
      <w:proofErr w:type="gramStart"/>
      <w:r w:rsidRPr="16BBAE41" w:rsidR="34C995DE">
        <w:rPr>
          <w:rFonts w:ascii="Palatino Linotype" w:hAnsi="Palatino Linotype"/>
          <w:sz w:val="24"/>
          <w:szCs w:val="24"/>
        </w:rPr>
        <w:t xml:space="preserve">second </w:t>
      </w:r>
      <w:r w:rsidRPr="00F31A37" w:rsidR="00C9429C">
        <w:rPr>
          <w:rFonts w:ascii="Palatino Linotype" w:hAnsi="Palatino Linotype"/>
          <w:sz w:val="24"/>
          <w:szCs w:val="24"/>
        </w:rPr>
        <w:t xml:space="preserve"> amendment</w:t>
      </w:r>
      <w:proofErr w:type="gramEnd"/>
      <w:r w:rsidRPr="00F31A37" w:rsidR="00C9429C">
        <w:rPr>
          <w:rFonts w:ascii="Palatino Linotype" w:hAnsi="Palatino Linotype"/>
          <w:sz w:val="24"/>
          <w:szCs w:val="24"/>
        </w:rPr>
        <w:t xml:space="preserve"> </w:t>
      </w:r>
      <w:r w:rsidRPr="00F31A37" w:rsidR="001466D7">
        <w:rPr>
          <w:rFonts w:ascii="Palatino Linotype" w:hAnsi="Palatino Linotype"/>
          <w:sz w:val="24"/>
          <w:szCs w:val="24"/>
        </w:rPr>
        <w:t xml:space="preserve">to </w:t>
      </w:r>
      <w:r w:rsidRPr="16BBAE41" w:rsidR="7146B4EE">
        <w:rPr>
          <w:rFonts w:ascii="Palatino Linotype" w:hAnsi="Palatino Linotype"/>
          <w:sz w:val="24"/>
          <w:szCs w:val="24"/>
        </w:rPr>
        <w:t xml:space="preserve">modify </w:t>
      </w:r>
      <w:r w:rsidRPr="00F31A37" w:rsidR="001D4E0D">
        <w:rPr>
          <w:rFonts w:ascii="Palatino Linotype" w:hAnsi="Palatino Linotype"/>
          <w:sz w:val="24"/>
          <w:szCs w:val="24"/>
        </w:rPr>
        <w:t xml:space="preserve">the </w:t>
      </w:r>
      <w:r w:rsidRPr="00F31A37" w:rsidR="001466D7">
        <w:rPr>
          <w:rFonts w:ascii="Palatino Linotype" w:hAnsi="Palatino Linotype"/>
          <w:sz w:val="24"/>
          <w:szCs w:val="24"/>
        </w:rPr>
        <w:t>Nighthawk</w:t>
      </w:r>
      <w:r w:rsidRPr="00F31A37" w:rsidR="001D4E0D">
        <w:rPr>
          <w:rFonts w:ascii="Palatino Linotype" w:hAnsi="Palatino Linotype"/>
          <w:sz w:val="24"/>
          <w:szCs w:val="24"/>
        </w:rPr>
        <w:t xml:space="preserve"> </w:t>
      </w:r>
      <w:r w:rsidRPr="00F31A37" w:rsidR="00A21651">
        <w:rPr>
          <w:rFonts w:ascii="Palatino Linotype" w:hAnsi="Palatino Linotype"/>
          <w:sz w:val="24"/>
          <w:szCs w:val="24"/>
        </w:rPr>
        <w:t>c</w:t>
      </w:r>
      <w:r w:rsidRPr="00F31A37" w:rsidR="001D4E0D">
        <w:rPr>
          <w:rFonts w:ascii="Palatino Linotype" w:hAnsi="Palatino Linotype"/>
          <w:sz w:val="24"/>
          <w:szCs w:val="24"/>
        </w:rPr>
        <w:t>ontract’s</w:t>
      </w:r>
      <w:r w:rsidRPr="00F31A37" w:rsidR="001466D7">
        <w:rPr>
          <w:rFonts w:ascii="Palatino Linotype" w:hAnsi="Palatino Linotype"/>
          <w:sz w:val="24"/>
          <w:szCs w:val="24"/>
        </w:rPr>
        <w:t xml:space="preserve"> </w:t>
      </w:r>
      <w:r w:rsidRPr="00F31A37" w:rsidR="009B3160">
        <w:rPr>
          <w:rFonts w:ascii="Palatino Linotype" w:hAnsi="Palatino Linotype"/>
          <w:sz w:val="24"/>
          <w:szCs w:val="24"/>
        </w:rPr>
        <w:t>expected</w:t>
      </w:r>
      <w:r w:rsidRPr="00F31A37" w:rsidR="001466D7">
        <w:rPr>
          <w:rFonts w:ascii="Palatino Linotype" w:hAnsi="Palatino Linotype"/>
          <w:sz w:val="24"/>
          <w:szCs w:val="24"/>
        </w:rPr>
        <w:t xml:space="preserve"> initial delivery date from June 1,</w:t>
      </w:r>
      <w:r w:rsidR="001466D7">
        <w:rPr>
          <w:rFonts w:ascii="Palatino Linotype" w:hAnsi="Palatino Linotype"/>
          <w:sz w:val="24"/>
          <w:szCs w:val="24"/>
        </w:rPr>
        <w:t xml:space="preserve"> </w:t>
      </w:r>
      <w:proofErr w:type="gramStart"/>
      <w:r w:rsidR="001466D7">
        <w:rPr>
          <w:rFonts w:ascii="Palatino Linotype" w:hAnsi="Palatino Linotype"/>
          <w:sz w:val="24"/>
          <w:szCs w:val="24"/>
        </w:rPr>
        <w:t>202</w:t>
      </w:r>
      <w:r w:rsidR="00F95383">
        <w:rPr>
          <w:rFonts w:ascii="Palatino Linotype" w:hAnsi="Palatino Linotype"/>
          <w:sz w:val="24"/>
          <w:szCs w:val="24"/>
        </w:rPr>
        <w:t>3</w:t>
      </w:r>
      <w:proofErr w:type="gramEnd"/>
      <w:r w:rsidR="001466D7">
        <w:rPr>
          <w:rFonts w:ascii="Palatino Linotype" w:hAnsi="Palatino Linotype"/>
          <w:sz w:val="24"/>
          <w:szCs w:val="24"/>
        </w:rPr>
        <w:t xml:space="preserve"> to June 1, 202</w:t>
      </w:r>
      <w:r w:rsidR="00F95383">
        <w:rPr>
          <w:rFonts w:ascii="Palatino Linotype" w:hAnsi="Palatino Linotype"/>
          <w:sz w:val="24"/>
          <w:szCs w:val="24"/>
        </w:rPr>
        <w:t>4</w:t>
      </w:r>
      <w:r w:rsidR="00EE2685">
        <w:rPr>
          <w:rFonts w:ascii="Palatino Linotype" w:hAnsi="Palatino Linotype"/>
          <w:sz w:val="24"/>
          <w:szCs w:val="24"/>
        </w:rPr>
        <w:t>.</w:t>
      </w:r>
    </w:p>
    <w:p w:rsidRPr="00EE2685" w:rsidR="00CA2F86" w:rsidP="00EE2685" w:rsidRDefault="00AD72C3" w14:paraId="7E1E26B8" w14:textId="77777777">
      <w:pPr>
        <w:pStyle w:val="ListParagraph"/>
        <w:numPr>
          <w:ilvl w:val="0"/>
          <w:numId w:val="1"/>
        </w:numPr>
        <w:spacing w:after="0" w:line="240" w:lineRule="auto"/>
        <w:rPr>
          <w:rFonts w:ascii="Palatino Linotype" w:hAnsi="Palatino Linotype"/>
          <w:color w:val="000000"/>
          <w:sz w:val="24"/>
          <w:szCs w:val="24"/>
        </w:rPr>
      </w:pPr>
      <w:proofErr w:type="spellStart"/>
      <w:r>
        <w:rPr>
          <w:rFonts w:ascii="Palatino Linotype" w:hAnsi="Palatino Linotype"/>
          <w:color w:val="000000"/>
          <w:sz w:val="24"/>
          <w:szCs w:val="24"/>
        </w:rPr>
        <w:t>Arevon’s</w:t>
      </w:r>
      <w:proofErr w:type="spellEnd"/>
      <w:r>
        <w:rPr>
          <w:rFonts w:ascii="Palatino Linotype" w:hAnsi="Palatino Linotype"/>
          <w:color w:val="000000"/>
          <w:sz w:val="24"/>
          <w:szCs w:val="24"/>
        </w:rPr>
        <w:t xml:space="preserve"> </w:t>
      </w:r>
      <w:r w:rsidR="00CA2F86">
        <w:rPr>
          <w:rFonts w:ascii="Palatino Linotype" w:hAnsi="Palatino Linotype"/>
          <w:color w:val="000000"/>
          <w:sz w:val="24"/>
          <w:szCs w:val="24"/>
        </w:rPr>
        <w:t xml:space="preserve">Nighthawk has experienced </w:t>
      </w:r>
      <w:r w:rsidR="00CF5383">
        <w:rPr>
          <w:rFonts w:ascii="Palatino Linotype" w:hAnsi="Palatino Linotype"/>
          <w:color w:val="000000"/>
          <w:sz w:val="24"/>
          <w:szCs w:val="24"/>
        </w:rPr>
        <w:t xml:space="preserve">additional </w:t>
      </w:r>
      <w:r w:rsidR="00845006">
        <w:rPr>
          <w:rFonts w:ascii="Palatino Linotype" w:hAnsi="Palatino Linotype"/>
          <w:color w:val="000000"/>
          <w:sz w:val="24"/>
          <w:szCs w:val="24"/>
        </w:rPr>
        <w:t>delivery delays</w:t>
      </w:r>
      <w:r w:rsidR="00CF5383">
        <w:rPr>
          <w:rFonts w:ascii="Palatino Linotype" w:hAnsi="Palatino Linotype"/>
          <w:color w:val="000000"/>
          <w:sz w:val="24"/>
          <w:szCs w:val="24"/>
        </w:rPr>
        <w:t xml:space="preserve"> that </w:t>
      </w:r>
      <w:r w:rsidR="00435251">
        <w:rPr>
          <w:rFonts w:ascii="Palatino Linotype" w:hAnsi="Palatino Linotype"/>
          <w:color w:val="000000"/>
          <w:sz w:val="24"/>
          <w:szCs w:val="24"/>
        </w:rPr>
        <w:t>made</w:t>
      </w:r>
      <w:r w:rsidR="00C000A4">
        <w:rPr>
          <w:rFonts w:ascii="Palatino Linotype" w:hAnsi="Palatino Linotype"/>
          <w:color w:val="000000"/>
          <w:sz w:val="24"/>
          <w:szCs w:val="24"/>
        </w:rPr>
        <w:t xml:space="preserve"> it unlikely </w:t>
      </w:r>
      <w:r w:rsidR="00435251">
        <w:rPr>
          <w:rFonts w:ascii="Palatino Linotype" w:hAnsi="Palatino Linotype"/>
          <w:color w:val="000000"/>
          <w:sz w:val="24"/>
          <w:szCs w:val="24"/>
        </w:rPr>
        <w:t>to meet its contractually obligated initial online date</w:t>
      </w:r>
      <w:r w:rsidR="00464328">
        <w:rPr>
          <w:rFonts w:ascii="Palatino Linotype" w:hAnsi="Palatino Linotype"/>
          <w:color w:val="000000"/>
          <w:sz w:val="24"/>
          <w:szCs w:val="24"/>
        </w:rPr>
        <w:t xml:space="preserve"> of</w:t>
      </w:r>
      <w:r w:rsidR="00435251">
        <w:rPr>
          <w:rFonts w:ascii="Palatino Linotype" w:hAnsi="Palatino Linotype"/>
          <w:color w:val="000000"/>
          <w:sz w:val="24"/>
          <w:szCs w:val="24"/>
        </w:rPr>
        <w:t xml:space="preserve"> </w:t>
      </w:r>
      <w:r w:rsidR="000F22E4">
        <w:rPr>
          <w:rFonts w:ascii="Palatino Linotype" w:hAnsi="Palatino Linotype"/>
          <w:color w:val="000000"/>
          <w:sz w:val="24"/>
          <w:szCs w:val="24"/>
        </w:rPr>
        <w:t xml:space="preserve">June 1, 2025. </w:t>
      </w:r>
    </w:p>
    <w:p w:rsidR="000A2BC8" w:rsidP="005C5730" w:rsidRDefault="000F22E4" w14:paraId="65C06551" w14:textId="77777777">
      <w:pPr>
        <w:pStyle w:val="ListParagraph"/>
        <w:numPr>
          <w:ilvl w:val="0"/>
          <w:numId w:val="1"/>
        </w:numPr>
        <w:rPr>
          <w:rFonts w:ascii="Palatino Linotype" w:hAnsi="Palatino Linotype" w:eastAsia="Palatino Linotype" w:cs="Palatino Linotype"/>
          <w:sz w:val="24"/>
          <w:szCs w:val="24"/>
        </w:rPr>
      </w:pPr>
      <w:r>
        <w:rPr>
          <w:rFonts w:ascii="Palatino Linotype" w:hAnsi="Palatino Linotype" w:eastAsia="Palatino Linotype" w:cs="Palatino Linotype"/>
          <w:sz w:val="24"/>
          <w:szCs w:val="24"/>
        </w:rPr>
        <w:t>Nighthawk</w:t>
      </w:r>
      <w:r w:rsidR="00992EB4">
        <w:rPr>
          <w:rFonts w:ascii="Palatino Linotype" w:hAnsi="Palatino Linotype" w:eastAsia="Palatino Linotype" w:cs="Palatino Linotype"/>
          <w:sz w:val="24"/>
          <w:szCs w:val="24"/>
        </w:rPr>
        <w:t xml:space="preserve"> Energy Storage, LLC</w:t>
      </w:r>
      <w:r w:rsidR="00BD514E">
        <w:rPr>
          <w:rFonts w:ascii="Palatino Linotype" w:hAnsi="Palatino Linotype" w:eastAsia="Palatino Linotype" w:cs="Palatino Linotype"/>
          <w:sz w:val="24"/>
          <w:szCs w:val="24"/>
        </w:rPr>
        <w:t xml:space="preserve">’s delay in schedule </w:t>
      </w:r>
      <w:r w:rsidRPr="16BBAE41" w:rsidR="1E756C51">
        <w:rPr>
          <w:rFonts w:ascii="Palatino Linotype" w:hAnsi="Palatino Linotype" w:eastAsia="Palatino Linotype" w:cs="Palatino Linotype"/>
          <w:sz w:val="24"/>
          <w:szCs w:val="24"/>
        </w:rPr>
        <w:t xml:space="preserve">past June 2025 </w:t>
      </w:r>
      <w:r w:rsidR="00BD514E">
        <w:rPr>
          <w:rFonts w:ascii="Palatino Linotype" w:hAnsi="Palatino Linotype" w:eastAsia="Palatino Linotype" w:cs="Palatino Linotype"/>
          <w:sz w:val="24"/>
          <w:szCs w:val="24"/>
        </w:rPr>
        <w:t xml:space="preserve">also </w:t>
      </w:r>
      <w:proofErr w:type="gramStart"/>
      <w:r w:rsidR="00BD514E">
        <w:rPr>
          <w:rFonts w:ascii="Palatino Linotype" w:hAnsi="Palatino Linotype" w:eastAsia="Palatino Linotype" w:cs="Palatino Linotype"/>
          <w:sz w:val="24"/>
          <w:szCs w:val="24"/>
        </w:rPr>
        <w:t>impacted</w:t>
      </w:r>
      <w:proofErr w:type="gramEnd"/>
      <w:r w:rsidR="00BD514E">
        <w:rPr>
          <w:rFonts w:ascii="Palatino Linotype" w:hAnsi="Palatino Linotype" w:eastAsia="Palatino Linotype" w:cs="Palatino Linotype"/>
          <w:sz w:val="24"/>
          <w:szCs w:val="24"/>
        </w:rPr>
        <w:t xml:space="preserve"> </w:t>
      </w:r>
      <w:proofErr w:type="spellStart"/>
      <w:r w:rsidR="00AD72C3">
        <w:rPr>
          <w:rFonts w:ascii="Palatino Linotype" w:hAnsi="Palatino Linotype" w:eastAsia="Palatino Linotype" w:cs="Palatino Linotype"/>
          <w:sz w:val="24"/>
          <w:szCs w:val="24"/>
        </w:rPr>
        <w:t>Arevon’s</w:t>
      </w:r>
      <w:proofErr w:type="spellEnd"/>
      <w:r w:rsidR="000A2BC8">
        <w:rPr>
          <w:rFonts w:ascii="Palatino Linotype" w:hAnsi="Palatino Linotype" w:eastAsia="Palatino Linotype" w:cs="Palatino Linotype"/>
          <w:sz w:val="24"/>
          <w:szCs w:val="24"/>
        </w:rPr>
        <w:t xml:space="preserve"> ability to maintain its </w:t>
      </w:r>
      <w:r w:rsidRPr="16BBAE41" w:rsidR="000A2BC8">
        <w:rPr>
          <w:rFonts w:ascii="Palatino Linotype" w:hAnsi="Palatino Linotype" w:eastAsia="Palatino Linotype" w:cs="Palatino Linotype"/>
          <w:sz w:val="24"/>
          <w:szCs w:val="24"/>
        </w:rPr>
        <w:t>contract</w:t>
      </w:r>
      <w:r w:rsidRPr="16BBAE41" w:rsidR="41838195">
        <w:rPr>
          <w:rFonts w:ascii="Palatino Linotype" w:hAnsi="Palatino Linotype" w:eastAsia="Palatino Linotype" w:cs="Palatino Linotype"/>
          <w:sz w:val="24"/>
          <w:szCs w:val="24"/>
        </w:rPr>
        <w:t xml:space="preserve">ual </w:t>
      </w:r>
      <w:r w:rsidRPr="5BB98B3C" w:rsidR="41838195">
        <w:rPr>
          <w:rFonts w:ascii="Palatino Linotype" w:hAnsi="Palatino Linotype" w:eastAsia="Palatino Linotype" w:cs="Palatino Linotype"/>
          <w:sz w:val="24"/>
          <w:szCs w:val="24"/>
        </w:rPr>
        <w:t xml:space="preserve">obligations, terms </w:t>
      </w:r>
      <w:r w:rsidRPr="4B30E732" w:rsidR="41838195">
        <w:rPr>
          <w:rFonts w:ascii="Palatino Linotype" w:hAnsi="Palatino Linotype" w:eastAsia="Palatino Linotype" w:cs="Palatino Linotype"/>
          <w:sz w:val="24"/>
          <w:szCs w:val="24"/>
        </w:rPr>
        <w:t>and conditions</w:t>
      </w:r>
      <w:r w:rsidR="000A2BC8">
        <w:rPr>
          <w:rFonts w:ascii="Palatino Linotype" w:hAnsi="Palatino Linotype" w:eastAsia="Palatino Linotype" w:cs="Palatino Linotype"/>
          <w:sz w:val="24"/>
          <w:szCs w:val="24"/>
        </w:rPr>
        <w:t xml:space="preserve">. </w:t>
      </w:r>
    </w:p>
    <w:p w:rsidRPr="005C5730" w:rsidR="00992EB4" w:rsidP="005C5730" w:rsidRDefault="00AD72C3" w14:paraId="20FBB3A9" w14:textId="77777777">
      <w:pPr>
        <w:pStyle w:val="ListParagraph"/>
        <w:numPr>
          <w:ilvl w:val="0"/>
          <w:numId w:val="1"/>
        </w:numPr>
        <w:rPr>
          <w:rFonts w:ascii="Palatino Linotype" w:hAnsi="Palatino Linotype" w:eastAsia="Palatino Linotype" w:cs="Palatino Linotype"/>
          <w:sz w:val="24"/>
          <w:szCs w:val="24"/>
        </w:rPr>
      </w:pPr>
      <w:proofErr w:type="spellStart"/>
      <w:r>
        <w:rPr>
          <w:rFonts w:ascii="Palatino Linotype" w:hAnsi="Palatino Linotype" w:eastAsia="Palatino Linotype" w:cs="Palatino Linotype"/>
          <w:sz w:val="24"/>
          <w:szCs w:val="24"/>
        </w:rPr>
        <w:t>Arevon</w:t>
      </w:r>
      <w:proofErr w:type="spellEnd"/>
      <w:r w:rsidR="000A2BC8">
        <w:rPr>
          <w:rFonts w:ascii="Palatino Linotype" w:hAnsi="Palatino Linotype" w:eastAsia="Palatino Linotype" w:cs="Palatino Linotype"/>
          <w:sz w:val="24"/>
          <w:szCs w:val="24"/>
        </w:rPr>
        <w:t xml:space="preserve"> </w:t>
      </w:r>
      <w:r w:rsidR="000F22E4">
        <w:rPr>
          <w:rFonts w:ascii="Palatino Linotype" w:hAnsi="Palatino Linotype" w:eastAsia="Palatino Linotype" w:cs="Palatino Linotype"/>
          <w:sz w:val="24"/>
          <w:szCs w:val="24"/>
        </w:rPr>
        <w:t xml:space="preserve">and PG&amp;E negotiated a price </w:t>
      </w:r>
      <w:r w:rsidRPr="4B30E732" w:rsidR="2038160D">
        <w:rPr>
          <w:rFonts w:ascii="Palatino Linotype" w:hAnsi="Palatino Linotype" w:eastAsia="Palatino Linotype" w:cs="Palatino Linotype"/>
          <w:sz w:val="24"/>
          <w:szCs w:val="24"/>
        </w:rPr>
        <w:t>modification</w:t>
      </w:r>
      <w:r w:rsidR="000F22E4">
        <w:rPr>
          <w:rFonts w:ascii="Palatino Linotype" w:hAnsi="Palatino Linotype" w:eastAsia="Palatino Linotype" w:cs="Palatino Linotype"/>
          <w:sz w:val="24"/>
          <w:szCs w:val="24"/>
        </w:rPr>
        <w:t xml:space="preserve"> </w:t>
      </w:r>
      <w:r w:rsidR="00B33A05">
        <w:rPr>
          <w:rFonts w:ascii="Palatino Linotype" w:hAnsi="Palatino Linotype" w:eastAsia="Palatino Linotype" w:cs="Palatino Linotype"/>
          <w:sz w:val="24"/>
          <w:szCs w:val="24"/>
        </w:rPr>
        <w:t xml:space="preserve">due to </w:t>
      </w:r>
      <w:r w:rsidR="00FA6EF8">
        <w:rPr>
          <w:rFonts w:ascii="Palatino Linotype" w:hAnsi="Palatino Linotype" w:eastAsia="Palatino Linotype" w:cs="Palatino Linotype"/>
          <w:sz w:val="24"/>
          <w:szCs w:val="24"/>
        </w:rPr>
        <w:t>higher inflation and interest rates</w:t>
      </w:r>
      <w:r w:rsidR="000A2BC8">
        <w:rPr>
          <w:rFonts w:ascii="Palatino Linotype" w:hAnsi="Palatino Linotype" w:eastAsia="Palatino Linotype" w:cs="Palatino Linotype"/>
          <w:sz w:val="24"/>
          <w:szCs w:val="24"/>
        </w:rPr>
        <w:t>.</w:t>
      </w:r>
      <w:r w:rsidRPr="3EF8C2FB" w:rsidR="6C6F8460">
        <w:rPr>
          <w:rFonts w:ascii="Palatino Linotype" w:hAnsi="Palatino Linotype" w:eastAsia="Palatino Linotype" w:cs="Palatino Linotype"/>
          <w:sz w:val="24"/>
          <w:szCs w:val="24"/>
        </w:rPr>
        <w:t xml:space="preserve"> </w:t>
      </w:r>
      <w:r w:rsidRPr="72E61784" w:rsidR="00C71648">
        <w:rPr>
          <w:rFonts w:ascii="Palatino Linotype" w:hAnsi="Palatino Linotype"/>
          <w:sz w:val="24"/>
          <w:szCs w:val="24"/>
        </w:rPr>
        <w:t xml:space="preserve">PG&amp;E </w:t>
      </w:r>
      <w:r w:rsidRPr="72E61784" w:rsidR="2084AF5D">
        <w:rPr>
          <w:rFonts w:ascii="Palatino Linotype" w:hAnsi="Palatino Linotype"/>
          <w:sz w:val="24"/>
          <w:szCs w:val="24"/>
        </w:rPr>
        <w:t xml:space="preserve">filed a third </w:t>
      </w:r>
      <w:r w:rsidRPr="72E61784" w:rsidR="00C71648">
        <w:rPr>
          <w:rFonts w:ascii="Palatino Linotype" w:hAnsi="Palatino Linotype"/>
          <w:sz w:val="24"/>
          <w:szCs w:val="24"/>
        </w:rPr>
        <w:t>contract</w:t>
      </w:r>
      <w:r w:rsidR="00C71648">
        <w:rPr>
          <w:rFonts w:ascii="Palatino Linotype" w:hAnsi="Palatino Linotype"/>
          <w:sz w:val="24"/>
          <w:szCs w:val="24"/>
        </w:rPr>
        <w:t xml:space="preserve"> amendment with </w:t>
      </w:r>
      <w:proofErr w:type="spellStart"/>
      <w:r w:rsidR="00262E34">
        <w:rPr>
          <w:rFonts w:ascii="Palatino Linotype" w:hAnsi="Palatino Linotype"/>
          <w:sz w:val="24"/>
          <w:szCs w:val="24"/>
        </w:rPr>
        <w:t>Arevon</w:t>
      </w:r>
      <w:proofErr w:type="spellEnd"/>
      <w:r w:rsidR="00262E34">
        <w:rPr>
          <w:rFonts w:ascii="Palatino Linotype" w:hAnsi="Palatino Linotype"/>
          <w:sz w:val="24"/>
          <w:szCs w:val="24"/>
        </w:rPr>
        <w:t xml:space="preserve"> for </w:t>
      </w:r>
      <w:r w:rsidR="00C71648">
        <w:rPr>
          <w:rFonts w:ascii="Palatino Linotype" w:hAnsi="Palatino Linotype"/>
          <w:sz w:val="24"/>
          <w:szCs w:val="24"/>
        </w:rPr>
        <w:t xml:space="preserve">Nighthawk </w:t>
      </w:r>
      <w:r w:rsidR="00AD2743">
        <w:rPr>
          <w:rFonts w:ascii="Palatino Linotype" w:hAnsi="Palatino Linotype"/>
          <w:sz w:val="24"/>
          <w:szCs w:val="24"/>
        </w:rPr>
        <w:t>in PG&amp;E Advice Letter 7699-E</w:t>
      </w:r>
      <w:r w:rsidR="0008339A">
        <w:rPr>
          <w:rFonts w:ascii="Palatino Linotype" w:hAnsi="Palatino Linotype"/>
          <w:sz w:val="24"/>
          <w:szCs w:val="24"/>
        </w:rPr>
        <w:t>,</w:t>
      </w:r>
      <w:r w:rsidR="00AD2743">
        <w:rPr>
          <w:rFonts w:ascii="Palatino Linotype" w:hAnsi="Palatino Linotype"/>
          <w:sz w:val="24"/>
          <w:szCs w:val="24"/>
        </w:rPr>
        <w:t xml:space="preserve"> to both </w:t>
      </w:r>
      <w:r w:rsidRPr="34509A5C" w:rsidR="094671F8">
        <w:rPr>
          <w:rFonts w:ascii="Palatino Linotype" w:hAnsi="Palatino Linotype"/>
          <w:sz w:val="24"/>
          <w:szCs w:val="24"/>
        </w:rPr>
        <w:t xml:space="preserve">modify </w:t>
      </w:r>
      <w:r w:rsidRPr="34509A5C" w:rsidR="00AD2743">
        <w:rPr>
          <w:rFonts w:ascii="Palatino Linotype" w:hAnsi="Palatino Linotype"/>
          <w:sz w:val="24"/>
          <w:szCs w:val="24"/>
        </w:rPr>
        <w:t>the</w:t>
      </w:r>
      <w:r w:rsidR="00AD2743">
        <w:rPr>
          <w:rFonts w:ascii="Palatino Linotype" w:hAnsi="Palatino Linotype"/>
          <w:sz w:val="24"/>
          <w:szCs w:val="24"/>
        </w:rPr>
        <w:t xml:space="preserve"> contract price and change the initial delivery date to June 1, 2026. </w:t>
      </w:r>
    </w:p>
    <w:p w:rsidR="00BD16CF" w:rsidP="00051894" w:rsidRDefault="548232C1" w14:paraId="73282F10" w14:textId="77777777">
      <w:pPr>
        <w:pStyle w:val="ListParagraph"/>
        <w:numPr>
          <w:ilvl w:val="0"/>
          <w:numId w:val="1"/>
        </w:numPr>
        <w:spacing w:after="120"/>
        <w:ind w:left="418" w:hanging="418"/>
        <w:rPr>
          <w:rFonts w:ascii="Palatino Linotype" w:hAnsi="Palatino Linotype" w:eastAsia="Palatino Linotype" w:cs="Palatino Linotype"/>
          <w:sz w:val="24"/>
          <w:szCs w:val="24"/>
        </w:rPr>
      </w:pPr>
      <w:r w:rsidRPr="71D2B992">
        <w:rPr>
          <w:rFonts w:ascii="Palatino Linotype" w:hAnsi="Palatino Linotype" w:eastAsia="Palatino Linotype" w:cs="Palatino Linotype"/>
          <w:sz w:val="24"/>
          <w:szCs w:val="24"/>
        </w:rPr>
        <w:t xml:space="preserve">The </w:t>
      </w:r>
      <w:r w:rsidRPr="1DD47A9E">
        <w:rPr>
          <w:rFonts w:ascii="Palatino Linotype" w:hAnsi="Palatino Linotype" w:eastAsia="Palatino Linotype" w:cs="Palatino Linotype"/>
          <w:sz w:val="24"/>
          <w:szCs w:val="24"/>
        </w:rPr>
        <w:t xml:space="preserve">PG&amp;E </w:t>
      </w:r>
      <w:r w:rsidRPr="3475A2EE">
        <w:rPr>
          <w:rFonts w:ascii="Palatino Linotype" w:hAnsi="Palatino Linotype" w:eastAsia="Palatino Linotype" w:cs="Palatino Linotype"/>
          <w:sz w:val="24"/>
          <w:szCs w:val="24"/>
        </w:rPr>
        <w:t xml:space="preserve">Advice </w:t>
      </w:r>
      <w:r w:rsidRPr="6C146C82">
        <w:rPr>
          <w:rFonts w:ascii="Palatino Linotype" w:hAnsi="Palatino Linotype" w:eastAsia="Palatino Linotype" w:cs="Palatino Linotype"/>
          <w:sz w:val="24"/>
          <w:szCs w:val="24"/>
        </w:rPr>
        <w:t>Letter 7699-</w:t>
      </w:r>
      <w:r w:rsidRPr="208588BB">
        <w:rPr>
          <w:rFonts w:ascii="Palatino Linotype" w:hAnsi="Palatino Linotype" w:eastAsia="Palatino Linotype" w:cs="Palatino Linotype"/>
          <w:sz w:val="24"/>
          <w:szCs w:val="24"/>
        </w:rPr>
        <w:t xml:space="preserve">E </w:t>
      </w:r>
      <w:r w:rsidRPr="30765774">
        <w:rPr>
          <w:rFonts w:ascii="Palatino Linotype" w:hAnsi="Palatino Linotype" w:eastAsia="Palatino Linotype" w:cs="Palatino Linotype"/>
          <w:sz w:val="24"/>
          <w:szCs w:val="24"/>
        </w:rPr>
        <w:t xml:space="preserve">can be found </w:t>
      </w:r>
      <w:r w:rsidRPr="0FF7ADF2">
        <w:rPr>
          <w:rFonts w:ascii="Palatino Linotype" w:hAnsi="Palatino Linotype" w:eastAsia="Palatino Linotype" w:cs="Palatino Linotype"/>
          <w:sz w:val="24"/>
          <w:szCs w:val="24"/>
        </w:rPr>
        <w:t>reasonable based</w:t>
      </w:r>
      <w:r w:rsidRPr="5A7BFE08">
        <w:rPr>
          <w:rFonts w:ascii="Palatino Linotype" w:hAnsi="Palatino Linotype" w:eastAsia="Palatino Linotype" w:cs="Palatino Linotype"/>
          <w:sz w:val="24"/>
          <w:szCs w:val="24"/>
        </w:rPr>
        <w:t xml:space="preserve"> on current market </w:t>
      </w:r>
      <w:r w:rsidRPr="535ADEF3">
        <w:rPr>
          <w:rFonts w:ascii="Palatino Linotype" w:hAnsi="Palatino Linotype" w:eastAsia="Palatino Linotype" w:cs="Palatino Linotype"/>
          <w:sz w:val="24"/>
          <w:szCs w:val="24"/>
        </w:rPr>
        <w:t>conditions</w:t>
      </w:r>
      <w:r w:rsidRPr="03BA0716">
        <w:rPr>
          <w:rFonts w:ascii="Palatino Linotype" w:hAnsi="Palatino Linotype" w:eastAsia="Palatino Linotype" w:cs="Palatino Linotype"/>
          <w:sz w:val="24"/>
          <w:szCs w:val="24"/>
        </w:rPr>
        <w:t>.</w:t>
      </w:r>
    </w:p>
    <w:p w:rsidRPr="00771F80" w:rsidR="00771F80" w:rsidP="00771F80" w:rsidRDefault="00771F80" w14:paraId="67A25C64" w14:textId="77777777">
      <w:pPr>
        <w:pStyle w:val="ListParagraph"/>
        <w:spacing w:after="0"/>
        <w:ind w:left="418"/>
        <w:contextualSpacing w:val="0"/>
        <w:rPr>
          <w:rFonts w:ascii="Palatino Linotype" w:hAnsi="Palatino Linotype" w:eastAsia="Palatino Linotype" w:cs="Palatino Linotype"/>
          <w:sz w:val="16"/>
          <w:szCs w:val="16"/>
        </w:rPr>
      </w:pPr>
    </w:p>
    <w:p w:rsidR="00B84E68" w:rsidP="0073038D" w:rsidRDefault="00ED3909" w14:paraId="5ABF519A" w14:textId="77777777">
      <w:pPr>
        <w:keepNext/>
        <w:spacing w:before="120" w:after="240" w:line="240" w:lineRule="auto"/>
        <w:outlineLvl w:val="0"/>
        <w:rPr>
          <w:rFonts w:ascii="Palatino Linotype" w:hAnsi="Palatino Linotype" w:eastAsia="Times New Roman" w:cs="Times New Roman"/>
          <w:b/>
          <w:caps/>
          <w:kern w:val="28"/>
          <w:sz w:val="24"/>
          <w:szCs w:val="24"/>
          <w:u w:val="single"/>
          <w14:ligatures w14:val="none"/>
        </w:rPr>
      </w:pPr>
      <w:r w:rsidRPr="00173D58">
        <w:rPr>
          <w:rFonts w:ascii="Palatino Linotype" w:hAnsi="Palatino Linotype" w:eastAsia="Times New Roman" w:cs="Times New Roman"/>
          <w:b/>
          <w:caps/>
          <w:kern w:val="28"/>
          <w:sz w:val="24"/>
          <w:szCs w:val="24"/>
          <w:u w:val="single"/>
          <w14:ligatures w14:val="none"/>
        </w:rPr>
        <w:t>THEREFORE,</w:t>
      </w:r>
      <w:r w:rsidRPr="00173D58" w:rsidR="00B84E68">
        <w:rPr>
          <w:rFonts w:ascii="Palatino Linotype" w:hAnsi="Palatino Linotype" w:eastAsia="Times New Roman" w:cs="Times New Roman"/>
          <w:b/>
          <w:caps/>
          <w:kern w:val="28"/>
          <w:sz w:val="24"/>
          <w:szCs w:val="24"/>
          <w:u w:val="single"/>
          <w14:ligatures w14:val="none"/>
        </w:rPr>
        <w:t xml:space="preserve"> it is ordered that:</w:t>
      </w:r>
    </w:p>
    <w:p w:rsidR="00050870" w:rsidP="002F48AB" w:rsidRDefault="00387D0B" w14:paraId="78AA62A6" w14:textId="77777777">
      <w:pPr>
        <w:numPr>
          <w:ilvl w:val="0"/>
          <w:numId w:val="2"/>
        </w:numPr>
        <w:spacing w:after="0" w:line="240" w:lineRule="auto"/>
        <w:rPr>
          <w:rFonts w:ascii="Palatino Linotype" w:hAnsi="Palatino Linotype" w:eastAsia="Palatino Linotype"/>
          <w:snapToGrid w:val="0"/>
          <w:sz w:val="24"/>
          <w:szCs w:val="24"/>
        </w:rPr>
      </w:pPr>
      <w:r w:rsidRPr="00D865A9">
        <w:rPr>
          <w:rFonts w:ascii="Palatino Linotype" w:hAnsi="Palatino Linotype" w:eastAsia="Palatino Linotype"/>
          <w:snapToGrid w:val="0"/>
          <w:sz w:val="24"/>
          <w:szCs w:val="24"/>
        </w:rPr>
        <w:t xml:space="preserve">The request of </w:t>
      </w:r>
      <w:r>
        <w:rPr>
          <w:rFonts w:ascii="Palatino Linotype" w:hAnsi="Palatino Linotype" w:eastAsia="Palatino Linotype"/>
          <w:snapToGrid w:val="0"/>
          <w:sz w:val="24"/>
          <w:szCs w:val="24"/>
        </w:rPr>
        <w:t>Pacific Gas and Electric Company</w:t>
      </w:r>
      <w:r w:rsidR="00E30776">
        <w:rPr>
          <w:rFonts w:ascii="Palatino Linotype" w:hAnsi="Palatino Linotype" w:eastAsia="Palatino Linotype"/>
          <w:snapToGrid w:val="0"/>
          <w:sz w:val="24"/>
          <w:szCs w:val="24"/>
        </w:rPr>
        <w:t xml:space="preserve"> </w:t>
      </w:r>
      <w:r w:rsidR="00534665">
        <w:rPr>
          <w:rFonts w:ascii="Palatino Linotype" w:hAnsi="Palatino Linotype" w:eastAsia="Palatino Linotype"/>
          <w:snapToGrid w:val="0"/>
          <w:sz w:val="24"/>
          <w:szCs w:val="24"/>
        </w:rPr>
        <w:t xml:space="preserve">to amend its contract with </w:t>
      </w:r>
      <w:proofErr w:type="spellStart"/>
      <w:r w:rsidR="00C66C18">
        <w:rPr>
          <w:rFonts w:ascii="Palatino Linotype" w:hAnsi="Palatino Linotype" w:eastAsia="Palatino Linotype"/>
          <w:snapToGrid w:val="0"/>
          <w:sz w:val="24"/>
          <w:szCs w:val="24"/>
        </w:rPr>
        <w:t>Arevon</w:t>
      </w:r>
      <w:proofErr w:type="spellEnd"/>
      <w:r w:rsidR="00C66C18">
        <w:rPr>
          <w:rFonts w:ascii="Palatino Linotype" w:hAnsi="Palatino Linotype" w:eastAsia="Palatino Linotype"/>
          <w:snapToGrid w:val="0"/>
          <w:sz w:val="24"/>
          <w:szCs w:val="24"/>
        </w:rPr>
        <w:t xml:space="preserve"> Energy, Inc. for its </w:t>
      </w:r>
      <w:r w:rsidR="00534665">
        <w:rPr>
          <w:rFonts w:ascii="Palatino Linotype" w:hAnsi="Palatino Linotype" w:eastAsia="Palatino Linotype"/>
          <w:snapToGrid w:val="0"/>
          <w:sz w:val="24"/>
          <w:szCs w:val="24"/>
        </w:rPr>
        <w:t xml:space="preserve">Nighthawk Energy Storage, LLC in Advice Letter 7699-E </w:t>
      </w:r>
      <w:r w:rsidR="003C7C51">
        <w:rPr>
          <w:rFonts w:ascii="Palatino Linotype" w:hAnsi="Palatino Linotype" w:eastAsia="Palatino Linotype"/>
          <w:snapToGrid w:val="0"/>
          <w:sz w:val="24"/>
          <w:szCs w:val="24"/>
        </w:rPr>
        <w:t xml:space="preserve">by delaying the initial online </w:t>
      </w:r>
      <w:r w:rsidR="0059502E">
        <w:rPr>
          <w:rFonts w:ascii="Palatino Linotype" w:hAnsi="Palatino Linotype" w:eastAsia="Palatino Linotype"/>
          <w:snapToGrid w:val="0"/>
          <w:sz w:val="24"/>
          <w:szCs w:val="24"/>
        </w:rPr>
        <w:t xml:space="preserve">delivery </w:t>
      </w:r>
      <w:r w:rsidR="003C7C51">
        <w:rPr>
          <w:rFonts w:ascii="Palatino Linotype" w:hAnsi="Palatino Linotype" w:eastAsia="Palatino Linotype"/>
          <w:snapToGrid w:val="0"/>
          <w:sz w:val="24"/>
          <w:szCs w:val="24"/>
        </w:rPr>
        <w:t xml:space="preserve">date for the project to June 1, 2026, and allowing a price </w:t>
      </w:r>
      <w:r w:rsidR="40A1AA03">
        <w:rPr>
          <w:rFonts w:ascii="Palatino Linotype" w:hAnsi="Palatino Linotype" w:eastAsia="Palatino Linotype"/>
          <w:snapToGrid w:val="0"/>
          <w:sz w:val="24"/>
          <w:szCs w:val="24"/>
        </w:rPr>
        <w:t>modification</w:t>
      </w:r>
      <w:r w:rsidR="003C7C51">
        <w:rPr>
          <w:rFonts w:ascii="Palatino Linotype" w:hAnsi="Palatino Linotype" w:eastAsia="Palatino Linotype"/>
          <w:snapToGrid w:val="0"/>
          <w:sz w:val="24"/>
          <w:szCs w:val="24"/>
        </w:rPr>
        <w:t xml:space="preserve"> in the project cost is approved. </w:t>
      </w:r>
    </w:p>
    <w:p w:rsidRPr="002F48AB" w:rsidR="002F48AB" w:rsidP="002F48AB" w:rsidRDefault="002F48AB" w14:paraId="3B97751D" w14:textId="77777777">
      <w:pPr>
        <w:spacing w:after="0" w:line="240" w:lineRule="auto"/>
        <w:ind w:left="360"/>
        <w:rPr>
          <w:rFonts w:ascii="Palatino Linotype" w:hAnsi="Palatino Linotype" w:eastAsia="Palatino Linotype"/>
          <w:snapToGrid w:val="0"/>
          <w:sz w:val="16"/>
          <w:szCs w:val="16"/>
        </w:rPr>
      </w:pPr>
    </w:p>
    <w:p w:rsidR="00A97CAD" w:rsidRDefault="00A97CAD" w14:paraId="3C74A849" w14:textId="77777777">
      <w:pPr>
        <w:rPr>
          <w:rStyle w:val="normaltextrun"/>
          <w:rFonts w:ascii="Palatino Linotype" w:hAnsi="Palatino Linotype" w:cs="Segoe UI" w:eastAsiaTheme="majorEastAsia"/>
          <w:kern w:val="0"/>
          <w:sz w:val="24"/>
          <w:szCs w:val="24"/>
          <w14:ligatures w14:val="none"/>
        </w:rPr>
      </w:pPr>
      <w:r>
        <w:rPr>
          <w:rStyle w:val="normaltextrun"/>
          <w:rFonts w:ascii="Palatino Linotype" w:hAnsi="Palatino Linotype" w:cs="Segoe UI" w:eastAsiaTheme="majorEastAsia"/>
        </w:rPr>
        <w:br w:type="page"/>
      </w:r>
    </w:p>
    <w:p w:rsidR="00AC38EA" w:rsidP="00D74D45" w:rsidRDefault="00AC38EA" w14:paraId="6268CEAF" w14:textId="77777777">
      <w:pPr>
        <w:pStyle w:val="paragraph"/>
        <w:spacing w:before="0" w:beforeAutospacing="0" w:after="0" w:afterAutospacing="0"/>
        <w:textAlignment w:val="baseline"/>
        <w:rPr>
          <w:rFonts w:ascii="Segoe UI" w:hAnsi="Segoe UI" w:cs="Segoe UI"/>
          <w:sz w:val="18"/>
          <w:szCs w:val="18"/>
        </w:rPr>
      </w:pPr>
      <w:r>
        <w:rPr>
          <w:rStyle w:val="normaltextrun"/>
          <w:rFonts w:ascii="Palatino Linotype" w:hAnsi="Palatino Linotype" w:cs="Segoe UI" w:eastAsiaTheme="majorEastAsia"/>
        </w:rPr>
        <w:lastRenderedPageBreak/>
        <w:t>This Resolution is effective today.</w:t>
      </w:r>
      <w:r>
        <w:rPr>
          <w:rStyle w:val="eop"/>
          <w:rFonts w:ascii="Palatino Linotype" w:hAnsi="Palatino Linotype" w:cs="Segoe UI" w:eastAsiaTheme="majorEastAsia"/>
        </w:rPr>
        <w:t> </w:t>
      </w:r>
    </w:p>
    <w:p w:rsidRPr="002F48AB" w:rsidR="00AC38EA" w:rsidP="00D74D45" w:rsidRDefault="00AC38EA" w14:paraId="69CE0B6E" w14:textId="77777777">
      <w:pPr>
        <w:pStyle w:val="paragraph"/>
        <w:spacing w:before="0" w:beforeAutospacing="0" w:after="0" w:afterAutospacing="0"/>
        <w:textAlignment w:val="baseline"/>
        <w:rPr>
          <w:rFonts w:ascii="Segoe UI" w:hAnsi="Segoe UI" w:cs="Segoe UI"/>
          <w:sz w:val="16"/>
          <w:szCs w:val="16"/>
        </w:rPr>
      </w:pPr>
      <w:r>
        <w:rPr>
          <w:rStyle w:val="eop"/>
          <w:rFonts w:ascii="Palatino Linotype" w:hAnsi="Palatino Linotype" w:cs="Segoe UI" w:eastAsiaTheme="majorEastAsia"/>
        </w:rPr>
        <w:t> </w:t>
      </w:r>
    </w:p>
    <w:p w:rsidR="00AC38EA" w:rsidP="00D74D45" w:rsidRDefault="00AC38EA" w14:paraId="20995E78" w14:textId="77777777">
      <w:pPr>
        <w:pStyle w:val="paragraph"/>
        <w:spacing w:before="0" w:beforeAutospacing="0" w:after="0" w:afterAutospacing="0"/>
        <w:textAlignment w:val="baseline"/>
        <w:rPr>
          <w:rStyle w:val="eop"/>
          <w:rFonts w:ascii="Palatino Linotype" w:hAnsi="Palatino Linotype" w:cs="Segoe UI" w:eastAsiaTheme="majorEastAsia"/>
        </w:rPr>
      </w:pPr>
      <w:r>
        <w:rPr>
          <w:rStyle w:val="normaltextrun"/>
          <w:rFonts w:ascii="Palatino Linotype" w:hAnsi="Palatino Linotype" w:cs="Segoe UI" w:eastAsiaTheme="majorEastAsia"/>
        </w:rPr>
        <w:t xml:space="preserve">The foregoing resolution was duly introduced, passed and adopted at a conference of the Public Utilities Commission of the State of California held on </w:t>
      </w:r>
      <w:r w:rsidRPr="00AC1F37" w:rsidR="00FB069B">
        <w:rPr>
          <w:rStyle w:val="normaltextrun"/>
          <w:rFonts w:ascii="Palatino Linotype" w:hAnsi="Palatino Linotype" w:cs="Segoe UI" w:eastAsiaTheme="majorEastAsia"/>
        </w:rPr>
        <w:t>January 15, 2026</w:t>
      </w:r>
      <w:r w:rsidR="00056F9B">
        <w:rPr>
          <w:rStyle w:val="normaltextrun"/>
          <w:rFonts w:ascii="Palatino Linotype" w:hAnsi="Palatino Linotype" w:cs="Segoe UI" w:eastAsiaTheme="majorEastAsia"/>
        </w:rPr>
        <w:t>, with t</w:t>
      </w:r>
      <w:r>
        <w:rPr>
          <w:rStyle w:val="normaltextrun"/>
          <w:rFonts w:ascii="Palatino Linotype" w:hAnsi="Palatino Linotype" w:cs="Segoe UI" w:eastAsiaTheme="majorEastAsia"/>
        </w:rPr>
        <w:t>he following Commissioners voting favorably thereon:</w:t>
      </w:r>
      <w:r>
        <w:rPr>
          <w:rStyle w:val="eop"/>
          <w:rFonts w:ascii="Palatino Linotype" w:hAnsi="Palatino Linotype" w:cs="Segoe UI" w:eastAsiaTheme="majorEastAsia"/>
        </w:rPr>
        <w:t> </w:t>
      </w:r>
    </w:p>
    <w:p w:rsidRPr="00083C29" w:rsidR="00050870" w:rsidP="00D74D45" w:rsidRDefault="00050870" w14:paraId="36C9DD76" w14:textId="77777777">
      <w:pPr>
        <w:pStyle w:val="paragraph"/>
        <w:spacing w:before="0" w:beforeAutospacing="0" w:after="0" w:afterAutospacing="0"/>
        <w:textAlignment w:val="baseline"/>
        <w:rPr>
          <w:rStyle w:val="eop"/>
          <w:rFonts w:ascii="Palatino Linotype" w:hAnsi="Palatino Linotype" w:cs="Segoe UI" w:eastAsiaTheme="majorEastAsia"/>
          <w:sz w:val="16"/>
          <w:szCs w:val="16"/>
        </w:rPr>
      </w:pPr>
    </w:p>
    <w:p w:rsidRPr="00083C29" w:rsidR="00EB4497" w:rsidP="00D74D45" w:rsidRDefault="00EB4497" w14:paraId="7941D6B9" w14:textId="77777777">
      <w:pPr>
        <w:pStyle w:val="paragraph"/>
        <w:spacing w:before="0" w:beforeAutospacing="0" w:after="0" w:afterAutospacing="0"/>
        <w:textAlignment w:val="baseline"/>
        <w:rPr>
          <w:rStyle w:val="normaltextrun"/>
          <w:rFonts w:ascii="Palatino Linotype" w:hAnsi="Palatino Linotype" w:eastAsiaTheme="majorEastAsia"/>
          <w:color w:val="000000"/>
          <w:sz w:val="16"/>
          <w:szCs w:val="16"/>
          <w:shd w:val="clear" w:color="auto" w:fill="FFFFFF"/>
        </w:rPr>
      </w:pPr>
    </w:p>
    <w:p w:rsidRPr="0009589D" w:rsidR="0009589D" w:rsidP="0009589D" w:rsidRDefault="0009589D" w14:paraId="023BBF49" w14:textId="77777777">
      <w:pPr>
        <w:suppressAutoHyphens/>
        <w:spacing w:after="0" w:line="240" w:lineRule="auto"/>
        <w:ind w:left="5040"/>
        <w:rPr>
          <w:rFonts w:ascii="Palatino Linotype" w:hAnsi="Palatino Linotype" w:eastAsia="Palatino Linotype" w:cs="Times New Roman"/>
          <w:kern w:val="0"/>
          <w:sz w:val="24"/>
          <w:szCs w:val="20"/>
          <w:u w:val="single"/>
          <w14:ligatures w14:val="none"/>
        </w:rPr>
      </w:pPr>
      <w:r w:rsidRPr="0009589D">
        <w:rPr>
          <w:rFonts w:ascii="Palatino Linotype" w:hAnsi="Palatino Linotype" w:eastAsia="Palatino Linotype" w:cs="Times New Roman"/>
          <w:kern w:val="0"/>
          <w:sz w:val="24"/>
          <w:szCs w:val="20"/>
          <w:u w:val="single"/>
          <w14:ligatures w14:val="none"/>
        </w:rPr>
        <w:t>/s/ RACHEL PETERSON</w:t>
      </w:r>
    </w:p>
    <w:p w:rsidRPr="0009589D" w:rsidR="0009589D" w:rsidP="0009589D" w:rsidRDefault="0009589D" w14:paraId="4926177B" w14:textId="77777777">
      <w:pPr>
        <w:suppressAutoHyphens/>
        <w:spacing w:after="0" w:line="240" w:lineRule="auto"/>
        <w:ind w:left="5040"/>
        <w:rPr>
          <w:rFonts w:ascii="Palatino Linotype" w:hAnsi="Palatino Linotype" w:eastAsia="Palatino Linotype" w:cs="Times New Roman"/>
          <w:kern w:val="0"/>
          <w:sz w:val="24"/>
          <w:szCs w:val="20"/>
          <w14:ligatures w14:val="none"/>
        </w:rPr>
      </w:pPr>
      <w:r w:rsidRPr="0009589D">
        <w:rPr>
          <w:rFonts w:ascii="Palatino Linotype" w:hAnsi="Palatino Linotype" w:eastAsia="Palatino Linotype" w:cs="Times New Roman"/>
          <w:kern w:val="0"/>
          <w:sz w:val="24"/>
          <w:szCs w:val="20"/>
          <w14:ligatures w14:val="none"/>
        </w:rPr>
        <w:t xml:space="preserve">         Rachel Peterson</w:t>
      </w:r>
    </w:p>
    <w:p w:rsidRPr="0009589D" w:rsidR="0009589D" w:rsidP="0009589D" w:rsidRDefault="0009589D" w14:paraId="555F99DC" w14:textId="77777777">
      <w:pPr>
        <w:suppressAutoHyphens/>
        <w:spacing w:after="0" w:line="240" w:lineRule="auto"/>
        <w:ind w:left="5040"/>
        <w:rPr>
          <w:rFonts w:ascii="Palatino Linotype" w:hAnsi="Palatino Linotype" w:eastAsia="Palatino Linotype" w:cs="Times New Roman"/>
          <w:kern w:val="0"/>
          <w:sz w:val="24"/>
          <w:szCs w:val="20"/>
          <w14:ligatures w14:val="none"/>
        </w:rPr>
      </w:pPr>
      <w:r w:rsidRPr="0009589D">
        <w:rPr>
          <w:rFonts w:ascii="Palatino Linotype" w:hAnsi="Palatino Linotype" w:eastAsia="Palatino Linotype" w:cs="Times New Roman"/>
          <w:kern w:val="0"/>
          <w:sz w:val="24"/>
          <w:szCs w:val="20"/>
          <w14:ligatures w14:val="none"/>
        </w:rPr>
        <w:t xml:space="preserve">     Executive Director</w:t>
      </w:r>
    </w:p>
    <w:p w:rsidRPr="0009589D" w:rsidR="0009589D" w:rsidP="0009589D" w:rsidRDefault="0009589D" w14:paraId="4F9E6509" w14:textId="77777777">
      <w:pPr>
        <w:suppressAutoHyphens/>
        <w:spacing w:after="0" w:line="240" w:lineRule="auto"/>
        <w:ind w:left="5040"/>
        <w:rPr>
          <w:rFonts w:ascii="Palatino Linotype" w:hAnsi="Palatino Linotype" w:eastAsia="Palatino Linotype" w:cs="Times New Roman"/>
          <w:kern w:val="0"/>
          <w:sz w:val="24"/>
          <w:szCs w:val="20"/>
          <w14:ligatures w14:val="none"/>
        </w:rPr>
      </w:pPr>
    </w:p>
    <w:p w:rsidRPr="0009589D" w:rsidR="0009589D" w:rsidP="0009589D" w:rsidRDefault="0009589D" w14:paraId="0A96FB7D" w14:textId="77777777">
      <w:pPr>
        <w:suppressAutoHyphens/>
        <w:spacing w:after="0" w:line="240" w:lineRule="auto"/>
        <w:ind w:left="5040"/>
        <w:rPr>
          <w:rFonts w:ascii="Palatino Linotype" w:hAnsi="Palatino Linotype" w:eastAsia="Palatino Linotype" w:cs="Times New Roman"/>
          <w:kern w:val="0"/>
          <w:sz w:val="24"/>
          <w:szCs w:val="20"/>
          <w14:ligatures w14:val="none"/>
        </w:rPr>
      </w:pPr>
    </w:p>
    <w:p w:rsidRPr="0009589D" w:rsidR="0009589D" w:rsidP="0009589D" w:rsidRDefault="0009589D" w14:paraId="5D3AAF7E" w14:textId="77777777">
      <w:pPr>
        <w:suppressAutoHyphens/>
        <w:spacing w:after="0" w:line="240" w:lineRule="auto"/>
        <w:ind w:left="5130"/>
        <w:rPr>
          <w:rFonts w:ascii="Palatino Linotype" w:hAnsi="Palatino Linotype" w:eastAsia="Palatino Linotype" w:cs="Times New Roman"/>
          <w:kern w:val="0"/>
          <w:sz w:val="24"/>
          <w:szCs w:val="20"/>
          <w14:ligatures w14:val="none"/>
        </w:rPr>
      </w:pPr>
      <w:r w:rsidRPr="0009589D">
        <w:rPr>
          <w:rFonts w:ascii="Palatino Linotype" w:hAnsi="Palatino Linotype" w:eastAsia="Palatino Linotype" w:cs="Times New Roman"/>
          <w:kern w:val="0"/>
          <w:sz w:val="24"/>
          <w:szCs w:val="20"/>
          <w14:ligatures w14:val="none"/>
        </w:rPr>
        <w:t>ALICE REYNOLDS</w:t>
      </w:r>
    </w:p>
    <w:p w:rsidRPr="0009589D" w:rsidR="0009589D" w:rsidP="0009589D" w:rsidRDefault="0009589D" w14:paraId="2F6B60BF" w14:textId="77777777">
      <w:pPr>
        <w:suppressAutoHyphens/>
        <w:spacing w:after="0" w:line="240" w:lineRule="auto"/>
        <w:ind w:left="5130"/>
        <w:rPr>
          <w:rFonts w:ascii="Palatino Linotype" w:hAnsi="Palatino Linotype" w:eastAsia="Palatino Linotype" w:cs="Times New Roman"/>
          <w:kern w:val="0"/>
          <w:sz w:val="24"/>
          <w:szCs w:val="20"/>
          <w14:ligatures w14:val="none"/>
        </w:rPr>
      </w:pPr>
      <w:r w:rsidRPr="0009589D">
        <w:rPr>
          <w:rFonts w:ascii="Palatino Linotype" w:hAnsi="Palatino Linotype" w:eastAsia="Palatino Linotype" w:cs="Times New Roman"/>
          <w:kern w:val="0"/>
          <w:sz w:val="24"/>
          <w:szCs w:val="20"/>
          <w14:ligatures w14:val="none"/>
        </w:rPr>
        <w:t xml:space="preserve">         President</w:t>
      </w:r>
    </w:p>
    <w:p w:rsidRPr="0009589D" w:rsidR="0009589D" w:rsidP="0009589D" w:rsidRDefault="0009589D" w14:paraId="456B4F69" w14:textId="77777777">
      <w:pPr>
        <w:suppressAutoHyphens/>
        <w:spacing w:after="0" w:line="240" w:lineRule="auto"/>
        <w:ind w:left="5130"/>
        <w:rPr>
          <w:rFonts w:ascii="Palatino Linotype" w:hAnsi="Palatino Linotype" w:eastAsia="Palatino Linotype" w:cs="Times New Roman"/>
          <w:kern w:val="0"/>
          <w:sz w:val="24"/>
          <w:szCs w:val="20"/>
          <w14:ligatures w14:val="none"/>
        </w:rPr>
      </w:pPr>
    </w:p>
    <w:p w:rsidRPr="0009589D" w:rsidR="0009589D" w:rsidP="0009589D" w:rsidRDefault="0009589D" w14:paraId="40D248AF" w14:textId="77777777">
      <w:pPr>
        <w:suppressAutoHyphens/>
        <w:spacing w:after="0" w:line="240" w:lineRule="auto"/>
        <w:ind w:left="5130"/>
        <w:rPr>
          <w:rFonts w:ascii="Palatino Linotype" w:hAnsi="Palatino Linotype" w:eastAsia="Palatino Linotype" w:cs="Times New Roman"/>
          <w:kern w:val="0"/>
          <w:sz w:val="24"/>
          <w:szCs w:val="20"/>
          <w14:ligatures w14:val="none"/>
        </w:rPr>
      </w:pPr>
      <w:r w:rsidRPr="0009589D">
        <w:rPr>
          <w:rFonts w:ascii="Palatino Linotype" w:hAnsi="Palatino Linotype" w:eastAsia="Palatino Linotype" w:cs="Times New Roman"/>
          <w:kern w:val="0"/>
          <w:sz w:val="24"/>
          <w:szCs w:val="20"/>
          <w14:ligatures w14:val="none"/>
        </w:rPr>
        <w:t>DARCIE L. HOUCK</w:t>
      </w:r>
    </w:p>
    <w:p w:rsidRPr="0009589D" w:rsidR="0009589D" w:rsidP="0009589D" w:rsidRDefault="0009589D" w14:paraId="5E3B3DBC" w14:textId="77777777">
      <w:pPr>
        <w:suppressAutoHyphens/>
        <w:spacing w:after="0" w:line="240" w:lineRule="auto"/>
        <w:ind w:left="5130"/>
        <w:rPr>
          <w:rFonts w:ascii="Palatino Linotype" w:hAnsi="Palatino Linotype" w:eastAsia="Palatino Linotype" w:cs="Times New Roman"/>
          <w:kern w:val="0"/>
          <w:sz w:val="24"/>
          <w:szCs w:val="20"/>
          <w14:ligatures w14:val="none"/>
        </w:rPr>
      </w:pPr>
      <w:r w:rsidRPr="0009589D">
        <w:rPr>
          <w:rFonts w:ascii="Palatino Linotype" w:hAnsi="Palatino Linotype" w:eastAsia="Palatino Linotype" w:cs="Times New Roman"/>
          <w:kern w:val="0"/>
          <w:sz w:val="24"/>
          <w:szCs w:val="20"/>
          <w14:ligatures w14:val="none"/>
        </w:rPr>
        <w:t>JOHN REYNOLDS</w:t>
      </w:r>
    </w:p>
    <w:p w:rsidRPr="0009589D" w:rsidR="0009589D" w:rsidP="0009589D" w:rsidRDefault="0009589D" w14:paraId="21BC3F2C" w14:textId="77777777">
      <w:pPr>
        <w:suppressAutoHyphens/>
        <w:spacing w:after="0" w:line="240" w:lineRule="auto"/>
        <w:ind w:left="5130"/>
        <w:rPr>
          <w:rFonts w:ascii="Palatino Linotype" w:hAnsi="Palatino Linotype" w:eastAsia="Palatino Linotype" w:cs="Times New Roman"/>
          <w:kern w:val="0"/>
          <w:sz w:val="24"/>
          <w:szCs w:val="20"/>
          <w14:ligatures w14:val="none"/>
        </w:rPr>
      </w:pPr>
      <w:r w:rsidRPr="0009589D">
        <w:rPr>
          <w:rFonts w:ascii="Palatino Linotype" w:hAnsi="Palatino Linotype" w:eastAsia="Palatino Linotype" w:cs="Times New Roman"/>
          <w:kern w:val="0"/>
          <w:sz w:val="24"/>
          <w:szCs w:val="20"/>
          <w14:ligatures w14:val="none"/>
        </w:rPr>
        <w:t>KAREN DOUGLAS</w:t>
      </w:r>
    </w:p>
    <w:p w:rsidRPr="0009589D" w:rsidR="0009589D" w:rsidP="0009589D" w:rsidRDefault="0009589D" w14:paraId="4DD047B6" w14:textId="77777777">
      <w:pPr>
        <w:suppressAutoHyphens/>
        <w:spacing w:after="0" w:line="240" w:lineRule="auto"/>
        <w:ind w:left="5130"/>
        <w:rPr>
          <w:rFonts w:ascii="Palatino Linotype" w:hAnsi="Palatino Linotype" w:eastAsia="Palatino Linotype" w:cs="Times New Roman"/>
          <w:kern w:val="0"/>
          <w:sz w:val="24"/>
          <w:szCs w:val="20"/>
          <w14:ligatures w14:val="none"/>
        </w:rPr>
      </w:pPr>
      <w:r w:rsidRPr="0009589D">
        <w:rPr>
          <w:rFonts w:ascii="Palatino Linotype" w:hAnsi="Palatino Linotype" w:eastAsia="Palatino Linotype" w:cs="Times New Roman"/>
          <w:kern w:val="0"/>
          <w:sz w:val="24"/>
          <w:szCs w:val="20"/>
          <w14:ligatures w14:val="none"/>
        </w:rPr>
        <w:t>MATHEW BAKER</w:t>
      </w:r>
    </w:p>
    <w:p w:rsidRPr="0009589D" w:rsidR="0009589D" w:rsidP="0009589D" w:rsidRDefault="0009589D" w14:paraId="4A5BEAF5" w14:textId="77777777">
      <w:pPr>
        <w:suppressAutoHyphens/>
        <w:spacing w:after="0" w:line="240" w:lineRule="auto"/>
        <w:ind w:left="5130"/>
        <w:rPr>
          <w:rFonts w:ascii="Palatino Linotype" w:hAnsi="Palatino Linotype" w:eastAsia="Palatino Linotype" w:cs="Times New Roman"/>
          <w:kern w:val="0"/>
          <w:sz w:val="24"/>
          <w:szCs w:val="20"/>
          <w14:ligatures w14:val="none"/>
        </w:rPr>
      </w:pPr>
      <w:r w:rsidRPr="0009589D">
        <w:rPr>
          <w:rFonts w:ascii="Palatino Linotype" w:hAnsi="Palatino Linotype" w:eastAsia="Palatino Linotype" w:cs="Times New Roman"/>
          <w:kern w:val="0"/>
          <w:sz w:val="24"/>
          <w:szCs w:val="20"/>
          <w14:ligatures w14:val="none"/>
        </w:rPr>
        <w:t xml:space="preserve">   Commissioners</w:t>
      </w:r>
    </w:p>
    <w:p w:rsidRPr="0009589D" w:rsidR="0009589D" w:rsidP="0009589D" w:rsidRDefault="0009589D" w14:paraId="43518AAD" w14:textId="77777777">
      <w:pPr>
        <w:suppressAutoHyphens/>
        <w:spacing w:after="0" w:line="240" w:lineRule="auto"/>
        <w:ind w:left="5130"/>
        <w:rPr>
          <w:rFonts w:ascii="Palatino Linotype" w:hAnsi="Palatino Linotype" w:eastAsia="Palatino Linotype" w:cs="Times New Roman"/>
          <w:kern w:val="0"/>
          <w:sz w:val="24"/>
          <w:szCs w:val="20"/>
          <w14:ligatures w14:val="none"/>
        </w:rPr>
      </w:pPr>
    </w:p>
    <w:p w:rsidRPr="0009589D" w:rsidR="0009589D" w:rsidP="0009589D" w:rsidRDefault="0009589D" w14:paraId="2A41E83D" w14:textId="77777777">
      <w:pPr>
        <w:suppressAutoHyphens/>
        <w:spacing w:after="0" w:line="240" w:lineRule="auto"/>
        <w:jc w:val="center"/>
        <w:rPr>
          <w:rFonts w:ascii="Palatino Linotype" w:hAnsi="Palatino Linotype" w:eastAsia="Palatino Linotype" w:cs="Times New Roman"/>
          <w:kern w:val="0"/>
          <w:sz w:val="24"/>
          <w:szCs w:val="24"/>
          <w14:ligatures w14:val="none"/>
        </w:rPr>
      </w:pPr>
    </w:p>
    <w:p w:rsidRPr="0009589D" w:rsidR="0009589D" w:rsidP="0009589D" w:rsidRDefault="0009589D" w14:paraId="3D773A63" w14:textId="77777777">
      <w:pPr>
        <w:suppressAutoHyphens/>
        <w:spacing w:after="0" w:line="240" w:lineRule="auto"/>
        <w:jc w:val="center"/>
        <w:rPr>
          <w:rFonts w:ascii="Palatino Linotype" w:hAnsi="Palatino Linotype" w:eastAsia="Palatino Linotype" w:cs="Times New Roman"/>
          <w:kern w:val="0"/>
          <w:sz w:val="24"/>
          <w:szCs w:val="24"/>
          <w14:ligatures w14:val="none"/>
        </w:rPr>
      </w:pPr>
    </w:p>
    <w:p w:rsidRPr="0009589D" w:rsidR="0009589D" w:rsidP="0009589D" w:rsidRDefault="0009589D" w14:paraId="2207B3B8" w14:textId="77777777">
      <w:pPr>
        <w:suppressAutoHyphens/>
        <w:spacing w:after="480" w:line="240" w:lineRule="auto"/>
        <w:rPr>
          <w:rFonts w:ascii="Palatino Linotype" w:hAnsi="Palatino Linotype" w:eastAsia="Palatino Linotype" w:cs="Times New Roman"/>
          <w:kern w:val="0"/>
          <w:sz w:val="24"/>
          <w:szCs w:val="20"/>
          <w14:ligatures w14:val="none"/>
        </w:rPr>
      </w:pPr>
      <w:r w:rsidRPr="0009589D">
        <w:rPr>
          <w:rFonts w:ascii="Palatino Linotype" w:hAnsi="Palatino Linotype" w:eastAsia="Palatino Linotype" w:cs="Times New Roman"/>
          <w:kern w:val="0"/>
          <w:sz w:val="24"/>
          <w:szCs w:val="24"/>
          <w14:ligatures w14:val="none"/>
        </w:rPr>
        <w:t xml:space="preserve">Dated </w:t>
      </w:r>
      <w:r w:rsidRPr="0009589D">
        <w:rPr>
          <w:rFonts w:ascii="Palatino Linotype" w:hAnsi="Palatino Linotype" w:eastAsia="Palatino Linotype" w:cs="Times New Roman"/>
          <w:kern w:val="0"/>
          <w:sz w:val="24"/>
          <w:szCs w:val="20"/>
          <w14:ligatures w14:val="none"/>
        </w:rPr>
        <w:t>January 15, 2026</w:t>
      </w:r>
      <w:r w:rsidRPr="0009589D">
        <w:rPr>
          <w:rFonts w:ascii="Palatino Linotype" w:hAnsi="Palatino Linotype" w:eastAsia="Palatino Linotype" w:cs="Times New Roman"/>
          <w:kern w:val="0"/>
          <w:sz w:val="24"/>
          <w:szCs w:val="24"/>
          <w14:ligatures w14:val="none"/>
        </w:rPr>
        <w:t xml:space="preserve">, at </w:t>
      </w:r>
      <w:r w:rsidRPr="0009589D">
        <w:rPr>
          <w:rFonts w:ascii="Palatino Linotype" w:hAnsi="Palatino Linotype" w:eastAsia="Palatino Linotype" w:cs="Times New Roman"/>
          <w:kern w:val="0"/>
          <w:sz w:val="24"/>
          <w:szCs w:val="20"/>
          <w14:ligatures w14:val="none"/>
        </w:rPr>
        <w:t>San Francisco</w:t>
      </w:r>
      <w:r w:rsidRPr="0009589D">
        <w:rPr>
          <w:rFonts w:ascii="Palatino Linotype" w:hAnsi="Palatino Linotype" w:eastAsia="Palatino Linotype" w:cs="Times New Roman"/>
          <w:kern w:val="0"/>
          <w:sz w:val="24"/>
          <w:szCs w:val="24"/>
          <w14:ligatures w14:val="none"/>
        </w:rPr>
        <w:t xml:space="preserve">, California </w:t>
      </w:r>
    </w:p>
    <w:p w:rsidR="0051508C" w:rsidRDefault="0051508C" w14:paraId="005D65F8" w14:textId="77777777">
      <w:pPr>
        <w:rPr>
          <w:rFonts w:ascii="Palatino Linotype" w:hAnsi="Palatino Linotype" w:eastAsia="Times New Roman" w:cs="Times New Roman"/>
          <w:b/>
          <w:bCs/>
          <w:kern w:val="0"/>
          <w:sz w:val="24"/>
          <w:szCs w:val="24"/>
          <w:u w:val="single"/>
          <w14:ligatures w14:val="none"/>
        </w:rPr>
      </w:pPr>
    </w:p>
    <w:p w:rsidR="0051508C" w:rsidRDefault="0051508C" w14:paraId="1A1D9B3C" w14:textId="77777777">
      <w:pPr>
        <w:rPr>
          <w:rFonts w:ascii="Palatino Linotype" w:hAnsi="Palatino Linotype" w:eastAsia="Times New Roman" w:cs="Times New Roman"/>
          <w:b/>
          <w:bCs/>
          <w:kern w:val="0"/>
          <w:sz w:val="24"/>
          <w:szCs w:val="24"/>
          <w:u w:val="single"/>
          <w14:ligatures w14:val="none"/>
        </w:rPr>
      </w:pPr>
    </w:p>
    <w:p w:rsidR="00755247" w:rsidRDefault="002A28A1" w14:paraId="7CD912DA" w14:textId="77777777">
      <w:pPr>
        <w:rPr>
          <w:rFonts w:ascii="Palatino Linotype" w:hAnsi="Palatino Linotype" w:eastAsia="Times New Roman" w:cs="Times New Roman"/>
          <w:b/>
          <w:bCs/>
          <w:kern w:val="0"/>
          <w:sz w:val="24"/>
          <w:szCs w:val="24"/>
          <w:u w:val="single"/>
          <w14:ligatures w14:val="none"/>
        </w:rPr>
        <w:sectPr w:rsidR="00755247" w:rsidSect="00AE31D5">
          <w:headerReference w:type="default" r:id="rId11"/>
          <w:footerReference w:type="default" r:id="rId12"/>
          <w:headerReference w:type="first" r:id="rId13"/>
          <w:footerReference w:type="first" r:id="rId14"/>
          <w:pgSz w:w="12240" w:h="15840" w:code="1"/>
          <w:pgMar w:top="1296" w:right="1296" w:bottom="1296" w:left="1296" w:header="720" w:footer="720" w:gutter="0"/>
          <w:pgNumType w:start="1"/>
          <w:cols w:space="720"/>
          <w:titlePg/>
          <w:docGrid w:linePitch="299"/>
        </w:sectPr>
      </w:pPr>
      <w:r>
        <w:rPr>
          <w:rFonts w:ascii="Palatino Linotype" w:hAnsi="Palatino Linotype" w:eastAsia="Times New Roman" w:cs="Times New Roman"/>
          <w:b/>
          <w:bCs/>
          <w:kern w:val="0"/>
          <w:sz w:val="24"/>
          <w:szCs w:val="24"/>
          <w:u w:val="single"/>
          <w14:ligatures w14:val="none"/>
        </w:rPr>
        <w:br w:type="page"/>
      </w:r>
    </w:p>
    <w:p w:rsidR="002A28A1" w:rsidRDefault="002A28A1" w14:paraId="2EB53D66" w14:textId="77777777">
      <w:pPr>
        <w:rPr>
          <w:rFonts w:ascii="Palatino Linotype" w:hAnsi="Palatino Linotype" w:eastAsia="Times New Roman" w:cs="Times New Roman"/>
          <w:b/>
          <w:bCs/>
          <w:kern w:val="0"/>
          <w:sz w:val="24"/>
          <w:szCs w:val="24"/>
          <w:u w:val="single"/>
          <w14:ligatures w14:val="none"/>
        </w:rPr>
      </w:pPr>
    </w:p>
    <w:p w:rsidR="00910CCC" w:rsidRDefault="00910CCC" w14:paraId="7A013603" w14:textId="77777777">
      <w:pPr>
        <w:rPr>
          <w:rFonts w:ascii="Palatino Linotype" w:hAnsi="Palatino Linotype" w:eastAsia="Times New Roman" w:cs="Times New Roman"/>
          <w:b/>
          <w:bCs/>
          <w:kern w:val="0"/>
          <w:sz w:val="24"/>
          <w:szCs w:val="24"/>
          <w:u w:val="single"/>
          <w14:ligatures w14:val="none"/>
        </w:rPr>
      </w:pPr>
    </w:p>
    <w:p w:rsidR="00910CCC" w:rsidRDefault="00910CCC" w14:paraId="1B8207A1" w14:textId="77777777">
      <w:pPr>
        <w:rPr>
          <w:rFonts w:ascii="Palatino Linotype" w:hAnsi="Palatino Linotype" w:eastAsia="Times New Roman" w:cs="Times New Roman"/>
          <w:b/>
          <w:bCs/>
          <w:kern w:val="0"/>
          <w:sz w:val="24"/>
          <w:szCs w:val="24"/>
          <w:u w:val="single"/>
          <w14:ligatures w14:val="none"/>
        </w:rPr>
      </w:pPr>
    </w:p>
    <w:p w:rsidRPr="00D51C48" w:rsidR="00D51C48" w:rsidP="00D51C48" w:rsidRDefault="00D51C48" w14:paraId="372D033F" w14:textId="77777777">
      <w:pPr>
        <w:spacing w:after="0" w:line="240" w:lineRule="auto"/>
        <w:jc w:val="center"/>
        <w:rPr>
          <w:rFonts w:ascii="Palatino Linotype" w:hAnsi="Palatino Linotype" w:eastAsia="Times New Roman" w:cs="Times New Roman"/>
          <w:kern w:val="0"/>
          <w:sz w:val="36"/>
          <w:szCs w:val="36"/>
          <w14:ligatures w14:val="none"/>
        </w:rPr>
      </w:pPr>
      <w:r w:rsidRPr="00D51C48">
        <w:rPr>
          <w:rFonts w:ascii="Palatino Linotype" w:hAnsi="Palatino Linotype" w:eastAsia="Times New Roman" w:cs="Times New Roman"/>
          <w:b/>
          <w:bCs/>
          <w:kern w:val="0"/>
          <w:sz w:val="36"/>
          <w:szCs w:val="36"/>
          <w:u w:val="single"/>
          <w14:ligatures w14:val="none"/>
        </w:rPr>
        <w:t>Confidential Appendix A</w:t>
      </w:r>
    </w:p>
    <w:p w:rsidR="006204C5" w:rsidP="00D51C48" w:rsidRDefault="006204C5" w14:paraId="54E25A88" w14:textId="77777777">
      <w:pPr>
        <w:spacing w:after="0" w:line="240" w:lineRule="auto"/>
        <w:jc w:val="center"/>
        <w:rPr>
          <w:rFonts w:ascii="Palatino Linotype" w:hAnsi="Palatino Linotype" w:eastAsia="Times New Roman" w:cs="Times New Roman"/>
          <w:kern w:val="0"/>
          <w:sz w:val="23"/>
          <w:szCs w:val="23"/>
          <w14:ligatures w14:val="none"/>
        </w:rPr>
      </w:pPr>
    </w:p>
    <w:p w:rsidRPr="00212BAB" w:rsidR="00D51C48" w:rsidP="00D51C48" w:rsidRDefault="00D51C48" w14:paraId="0AB7FAA9" w14:textId="77777777">
      <w:pPr>
        <w:spacing w:after="0" w:line="240" w:lineRule="auto"/>
        <w:jc w:val="center"/>
        <w:rPr>
          <w:rFonts w:ascii="Palatino Linotype" w:hAnsi="Palatino Linotype" w:eastAsia="Times New Roman" w:cs="Times New Roman"/>
          <w:kern w:val="0"/>
          <w:sz w:val="23"/>
          <w:szCs w:val="23"/>
          <w14:ligatures w14:val="none"/>
        </w:rPr>
      </w:pPr>
      <w:r w:rsidRPr="00212BAB">
        <w:rPr>
          <w:rFonts w:ascii="Palatino Linotype" w:hAnsi="Palatino Linotype" w:eastAsia="Times New Roman" w:cs="Times New Roman"/>
          <w:kern w:val="0"/>
          <w:sz w:val="23"/>
          <w:szCs w:val="23"/>
          <w14:ligatures w14:val="none"/>
        </w:rPr>
        <w:t>Summary of Amended Contract Terms</w:t>
      </w:r>
      <w:r>
        <w:rPr>
          <w:rFonts w:ascii="Palatino Linotype" w:hAnsi="Palatino Linotype" w:eastAsia="Times New Roman" w:cs="Times New Roman"/>
          <w:kern w:val="0"/>
          <w:sz w:val="23"/>
          <w:szCs w:val="23"/>
          <w14:ligatures w14:val="none"/>
        </w:rPr>
        <w:t xml:space="preserve"> and Responses to Select Data Requests</w:t>
      </w:r>
    </w:p>
    <w:p w:rsidR="002A28A1" w:rsidRDefault="002A28A1" w14:paraId="4F17E469" w14:textId="77777777">
      <w:pPr>
        <w:rPr>
          <w:rFonts w:ascii="Palatino Linotype" w:hAnsi="Palatino Linotype" w:eastAsia="Times New Roman" w:cs="Times New Roman"/>
          <w:b/>
          <w:bCs/>
          <w:kern w:val="0"/>
          <w:sz w:val="24"/>
          <w:szCs w:val="24"/>
          <w:u w:val="single"/>
          <w14:ligatures w14:val="none"/>
        </w:rPr>
      </w:pPr>
    </w:p>
    <w:p w:rsidRPr="005C4161" w:rsidR="002A28A1" w:rsidP="00910CCC" w:rsidRDefault="00060402" w14:paraId="62A260C4" w14:textId="77777777">
      <w:pPr>
        <w:jc w:val="center"/>
        <w:rPr>
          <w:rFonts w:ascii="Palatino Linotype" w:hAnsi="Palatino Linotype" w:eastAsia="Times New Roman" w:cs="Times New Roman"/>
          <w:kern w:val="0"/>
          <w:sz w:val="28"/>
          <w:szCs w:val="28"/>
          <w14:ligatures w14:val="none"/>
        </w:rPr>
      </w:pPr>
      <w:r w:rsidRPr="005C4161">
        <w:rPr>
          <w:rFonts w:ascii="Palatino Linotype" w:hAnsi="Palatino Linotype" w:eastAsia="Times New Roman" w:cs="Times New Roman"/>
          <w:kern w:val="0"/>
          <w:sz w:val="28"/>
          <w:szCs w:val="28"/>
          <w14:ligatures w14:val="none"/>
        </w:rPr>
        <w:t>REDACTED</w:t>
      </w:r>
    </w:p>
    <w:p w:rsidR="00841F54" w:rsidRDefault="00841F54" w14:paraId="0A672A21" w14:textId="77777777">
      <w:pPr>
        <w:rPr>
          <w:rFonts w:ascii="Palatino Linotype" w:hAnsi="Palatino Linotype" w:eastAsia="Times New Roman" w:cs="Times New Roman"/>
          <w:b/>
          <w:bCs/>
          <w:kern w:val="0"/>
          <w:sz w:val="24"/>
          <w:szCs w:val="24"/>
          <w:u w:val="single"/>
          <w14:ligatures w14:val="none"/>
        </w:rPr>
      </w:pPr>
    </w:p>
    <w:sectPr w:rsidR="00841F54" w:rsidSect="00AE31D5">
      <w:headerReference w:type="default" r:id="rId15"/>
      <w:footerReference w:type="default" r:id="rId16"/>
      <w:headerReference w:type="first" r:id="rId17"/>
      <w:footerReference w:type="first" r:id="rId18"/>
      <w:pgSz w:w="12240" w:h="15840" w:code="1"/>
      <w:pgMar w:top="1296" w:right="1296" w:bottom="1296" w:left="1296"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BFDD2D" w14:textId="77777777" w:rsidR="00132E61" w:rsidRDefault="00132E61" w:rsidP="00B84E68">
      <w:pPr>
        <w:spacing w:after="0" w:line="240" w:lineRule="auto"/>
      </w:pPr>
      <w:r>
        <w:separator/>
      </w:r>
    </w:p>
  </w:endnote>
  <w:endnote w:type="continuationSeparator" w:id="0">
    <w:p w14:paraId="73594E13" w14:textId="77777777" w:rsidR="00132E61" w:rsidRDefault="00132E61" w:rsidP="00B84E68">
      <w:pPr>
        <w:spacing w:after="0" w:line="240" w:lineRule="auto"/>
      </w:pPr>
      <w:r>
        <w:continuationSeparator/>
      </w:r>
    </w:p>
  </w:endnote>
  <w:endnote w:type="continuationNotice" w:id="1">
    <w:p w14:paraId="79614BB6" w14:textId="77777777" w:rsidR="00132E61" w:rsidRDefault="00132E6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Palatino Linotype"/>
    <w:charset w:val="00"/>
    <w:family w:val="auto"/>
    <w:pitch w:val="variable"/>
    <w:sig w:usb0="20000A87" w:usb1="08000000" w:usb2="00000008" w:usb3="00000000" w:csb0="0000011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Palatino Linotype" w:hAnsi="Palatino Linotype"/>
        <w:sz w:val="24"/>
        <w:szCs w:val="24"/>
      </w:rPr>
      <w:id w:val="823000726"/>
      <w:docPartObj>
        <w:docPartGallery w:val="Page Numbers (Bottom of Page)"/>
        <w:docPartUnique/>
      </w:docPartObj>
    </w:sdtPr>
    <w:sdtEndPr>
      <w:rPr>
        <w:noProof/>
      </w:rPr>
    </w:sdtEndPr>
    <w:sdtContent>
      <w:p w14:paraId="0BC47768" w14:textId="77777777" w:rsidR="00E62DE0" w:rsidRPr="0040139B" w:rsidRDefault="00E62DE0">
        <w:pPr>
          <w:pStyle w:val="Footer"/>
          <w:jc w:val="center"/>
          <w:rPr>
            <w:rFonts w:ascii="Palatino Linotype" w:hAnsi="Palatino Linotype"/>
            <w:sz w:val="24"/>
            <w:szCs w:val="24"/>
          </w:rPr>
        </w:pPr>
        <w:r w:rsidRPr="0040139B">
          <w:rPr>
            <w:rFonts w:ascii="Palatino Linotype" w:hAnsi="Palatino Linotype"/>
            <w:sz w:val="24"/>
            <w:szCs w:val="24"/>
          </w:rPr>
          <w:fldChar w:fldCharType="begin"/>
        </w:r>
        <w:r w:rsidRPr="0040139B">
          <w:rPr>
            <w:rFonts w:ascii="Palatino Linotype" w:hAnsi="Palatino Linotype"/>
            <w:sz w:val="24"/>
            <w:szCs w:val="24"/>
          </w:rPr>
          <w:instrText xml:space="preserve"> PAGE   \* MERGEFORMAT </w:instrText>
        </w:r>
        <w:r w:rsidRPr="0040139B">
          <w:rPr>
            <w:rFonts w:ascii="Palatino Linotype" w:hAnsi="Palatino Linotype"/>
            <w:sz w:val="24"/>
            <w:szCs w:val="24"/>
          </w:rPr>
          <w:fldChar w:fldCharType="separate"/>
        </w:r>
        <w:r w:rsidRPr="0040139B">
          <w:rPr>
            <w:rFonts w:ascii="Palatino Linotype" w:hAnsi="Palatino Linotype"/>
            <w:noProof/>
            <w:sz w:val="24"/>
            <w:szCs w:val="24"/>
          </w:rPr>
          <w:t>2</w:t>
        </w:r>
        <w:r w:rsidRPr="0040139B">
          <w:rPr>
            <w:rFonts w:ascii="Palatino Linotype" w:hAnsi="Palatino Linotype"/>
            <w:noProof/>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Palatino Linotype" w:hAnsi="Palatino Linotype"/>
        <w:sz w:val="24"/>
        <w:szCs w:val="24"/>
      </w:rPr>
      <w:id w:val="-857341772"/>
      <w:docPartObj>
        <w:docPartGallery w:val="Page Numbers (Bottom of Page)"/>
        <w:docPartUnique/>
      </w:docPartObj>
    </w:sdtPr>
    <w:sdtEndPr>
      <w:rPr>
        <w:noProof/>
      </w:rPr>
    </w:sdtEndPr>
    <w:sdtContent>
      <w:p w14:paraId="200193E5" w14:textId="6A67BC67" w:rsidR="002E42E0" w:rsidRPr="00FA48B7" w:rsidRDefault="00261729" w:rsidP="006321A4">
        <w:pPr>
          <w:pStyle w:val="Footer"/>
          <w:rPr>
            <w:rFonts w:ascii="Palatino Linotype" w:hAnsi="Palatino Linotype"/>
            <w:sz w:val="24"/>
            <w:szCs w:val="24"/>
          </w:rPr>
        </w:pPr>
        <w:r w:rsidRPr="00261729">
          <w:rPr>
            <w:rFonts w:ascii="Tahoma" w:hAnsi="Tahoma" w:cs="Tahoma"/>
            <w:sz w:val="18"/>
            <w:szCs w:val="18"/>
          </w:rPr>
          <w:t xml:space="preserve">596003942  </w:t>
        </w:r>
        <w:r>
          <w:rPr>
            <w:rFonts w:ascii="Tahoma" w:hAnsi="Tahoma" w:cs="Tahoma"/>
            <w:sz w:val="18"/>
            <w:szCs w:val="18"/>
          </w:rPr>
          <w:t xml:space="preserve"> </w:t>
        </w:r>
        <w:r w:rsidR="006321A4">
          <w:rPr>
            <w:rFonts w:ascii="Palatino Linotype" w:hAnsi="Palatino Linotype"/>
            <w:sz w:val="24"/>
            <w:szCs w:val="24"/>
          </w:rPr>
          <w:tab/>
        </w:r>
        <w:r w:rsidR="002E42E0" w:rsidRPr="00FA48B7">
          <w:rPr>
            <w:rFonts w:ascii="Palatino Linotype" w:hAnsi="Palatino Linotype"/>
            <w:sz w:val="24"/>
            <w:szCs w:val="24"/>
          </w:rPr>
          <w:fldChar w:fldCharType="begin"/>
        </w:r>
        <w:r w:rsidR="002E42E0" w:rsidRPr="00FA48B7">
          <w:rPr>
            <w:rFonts w:ascii="Palatino Linotype" w:hAnsi="Palatino Linotype"/>
            <w:sz w:val="24"/>
            <w:szCs w:val="24"/>
          </w:rPr>
          <w:instrText xml:space="preserve"> PAGE   \* MERGEFORMAT </w:instrText>
        </w:r>
        <w:r w:rsidR="002E42E0" w:rsidRPr="00FA48B7">
          <w:rPr>
            <w:rFonts w:ascii="Palatino Linotype" w:hAnsi="Palatino Linotype"/>
            <w:sz w:val="24"/>
            <w:szCs w:val="24"/>
          </w:rPr>
          <w:fldChar w:fldCharType="separate"/>
        </w:r>
        <w:r w:rsidR="002E42E0" w:rsidRPr="00FA48B7">
          <w:rPr>
            <w:rFonts w:ascii="Palatino Linotype" w:hAnsi="Palatino Linotype"/>
            <w:noProof/>
            <w:sz w:val="24"/>
            <w:szCs w:val="24"/>
          </w:rPr>
          <w:t>2</w:t>
        </w:r>
        <w:r w:rsidR="002E42E0" w:rsidRPr="00FA48B7">
          <w:rPr>
            <w:rFonts w:ascii="Palatino Linotype" w:hAnsi="Palatino Linotype"/>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Palatino Linotype" w:hAnsi="Palatino Linotype"/>
        <w:sz w:val="24"/>
        <w:szCs w:val="24"/>
      </w:rPr>
      <w:id w:val="476659098"/>
      <w:docPartObj>
        <w:docPartGallery w:val="Page Numbers (Bottom of Page)"/>
        <w:docPartUnique/>
      </w:docPartObj>
    </w:sdtPr>
    <w:sdtEndPr>
      <w:rPr>
        <w:noProof/>
      </w:rPr>
    </w:sdtEndPr>
    <w:sdtContent>
      <w:p w14:paraId="62189B03" w14:textId="77777777" w:rsidR="00755247" w:rsidRPr="0040139B" w:rsidRDefault="00755247">
        <w:pPr>
          <w:pStyle w:val="Footer"/>
          <w:jc w:val="center"/>
          <w:rPr>
            <w:rFonts w:ascii="Palatino Linotype" w:hAnsi="Palatino Linotype"/>
            <w:sz w:val="24"/>
            <w:szCs w:val="24"/>
          </w:rPr>
        </w:pPr>
        <w:r>
          <w:rPr>
            <w:rFonts w:ascii="Palatino Linotype" w:hAnsi="Palatino Linotype"/>
            <w:sz w:val="24"/>
            <w:szCs w:val="24"/>
          </w:rPr>
          <w:t>A-</w:t>
        </w:r>
        <w:r w:rsidRPr="0040139B">
          <w:rPr>
            <w:rFonts w:ascii="Palatino Linotype" w:hAnsi="Palatino Linotype"/>
            <w:sz w:val="24"/>
            <w:szCs w:val="24"/>
          </w:rPr>
          <w:fldChar w:fldCharType="begin"/>
        </w:r>
        <w:r w:rsidRPr="0040139B">
          <w:rPr>
            <w:rFonts w:ascii="Palatino Linotype" w:hAnsi="Palatino Linotype"/>
            <w:sz w:val="24"/>
            <w:szCs w:val="24"/>
          </w:rPr>
          <w:instrText xml:space="preserve"> PAGE   \* MERGEFORMAT </w:instrText>
        </w:r>
        <w:r w:rsidRPr="0040139B">
          <w:rPr>
            <w:rFonts w:ascii="Palatino Linotype" w:hAnsi="Palatino Linotype"/>
            <w:sz w:val="24"/>
            <w:szCs w:val="24"/>
          </w:rPr>
          <w:fldChar w:fldCharType="separate"/>
        </w:r>
        <w:r w:rsidRPr="0040139B">
          <w:rPr>
            <w:rFonts w:ascii="Palatino Linotype" w:hAnsi="Palatino Linotype"/>
            <w:noProof/>
            <w:sz w:val="24"/>
            <w:szCs w:val="24"/>
          </w:rPr>
          <w:t>2</w:t>
        </w:r>
        <w:r w:rsidRPr="0040139B">
          <w:rPr>
            <w:rFonts w:ascii="Palatino Linotype" w:hAnsi="Palatino Linotype"/>
            <w:noProof/>
            <w:sz w:val="24"/>
            <w:szCs w:val="24"/>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Palatino Linotype" w:hAnsi="Palatino Linotype"/>
        <w:sz w:val="24"/>
        <w:szCs w:val="24"/>
      </w:rPr>
      <w:id w:val="-641349611"/>
      <w:docPartObj>
        <w:docPartGallery w:val="Page Numbers (Bottom of Page)"/>
        <w:docPartUnique/>
      </w:docPartObj>
    </w:sdtPr>
    <w:sdtEndPr>
      <w:rPr>
        <w:noProof/>
      </w:rPr>
    </w:sdtEndPr>
    <w:sdtContent>
      <w:p w14:paraId="59DBC6A0" w14:textId="77777777" w:rsidR="00755247" w:rsidRPr="00FA48B7" w:rsidRDefault="00755247">
        <w:pPr>
          <w:pStyle w:val="Footer"/>
          <w:jc w:val="center"/>
          <w:rPr>
            <w:rFonts w:ascii="Palatino Linotype" w:hAnsi="Palatino Linotype"/>
            <w:sz w:val="24"/>
            <w:szCs w:val="24"/>
          </w:rPr>
        </w:pPr>
        <w:r>
          <w:rPr>
            <w:rFonts w:ascii="Palatino Linotype" w:hAnsi="Palatino Linotype"/>
            <w:sz w:val="24"/>
            <w:szCs w:val="24"/>
          </w:rPr>
          <w:t>A-</w:t>
        </w:r>
        <w:r w:rsidRPr="00FA48B7">
          <w:rPr>
            <w:rFonts w:ascii="Palatino Linotype" w:hAnsi="Palatino Linotype"/>
            <w:sz w:val="24"/>
            <w:szCs w:val="24"/>
          </w:rPr>
          <w:fldChar w:fldCharType="begin"/>
        </w:r>
        <w:r w:rsidRPr="00FA48B7">
          <w:rPr>
            <w:rFonts w:ascii="Palatino Linotype" w:hAnsi="Palatino Linotype"/>
            <w:sz w:val="24"/>
            <w:szCs w:val="24"/>
          </w:rPr>
          <w:instrText xml:space="preserve"> PAGE   \* MERGEFORMAT </w:instrText>
        </w:r>
        <w:r w:rsidRPr="00FA48B7">
          <w:rPr>
            <w:rFonts w:ascii="Palatino Linotype" w:hAnsi="Palatino Linotype"/>
            <w:sz w:val="24"/>
            <w:szCs w:val="24"/>
          </w:rPr>
          <w:fldChar w:fldCharType="separate"/>
        </w:r>
        <w:r w:rsidRPr="00FA48B7">
          <w:rPr>
            <w:rFonts w:ascii="Palatino Linotype" w:hAnsi="Palatino Linotype"/>
            <w:noProof/>
            <w:sz w:val="24"/>
            <w:szCs w:val="24"/>
          </w:rPr>
          <w:t>2</w:t>
        </w:r>
        <w:r w:rsidRPr="00FA48B7">
          <w:rPr>
            <w:rFonts w:ascii="Palatino Linotype" w:hAnsi="Palatino Linotype"/>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DF1A76" w14:textId="77777777" w:rsidR="00132E61" w:rsidRDefault="00132E61" w:rsidP="00B84E68">
      <w:pPr>
        <w:spacing w:after="0" w:line="240" w:lineRule="auto"/>
      </w:pPr>
      <w:r>
        <w:separator/>
      </w:r>
    </w:p>
  </w:footnote>
  <w:footnote w:type="continuationSeparator" w:id="0">
    <w:p w14:paraId="5F5C5199" w14:textId="77777777" w:rsidR="00132E61" w:rsidRDefault="00132E61" w:rsidP="00B84E68">
      <w:pPr>
        <w:spacing w:after="0" w:line="240" w:lineRule="auto"/>
      </w:pPr>
      <w:r>
        <w:continuationSeparator/>
      </w:r>
    </w:p>
  </w:footnote>
  <w:footnote w:type="continuationNotice" w:id="1">
    <w:p w14:paraId="3F58E91A" w14:textId="77777777" w:rsidR="00132E61" w:rsidRDefault="00132E61">
      <w:pPr>
        <w:spacing w:after="0" w:line="240" w:lineRule="auto"/>
      </w:pPr>
    </w:p>
  </w:footnote>
  <w:footnote w:id="2">
    <w:p w14:paraId="56837891" w14:textId="77777777" w:rsidR="00A45CC3" w:rsidRPr="00D02732" w:rsidRDefault="00A45CC3" w:rsidP="007F54B0">
      <w:pPr>
        <w:pStyle w:val="FootnoteText"/>
        <w:ind w:left="180" w:hanging="180"/>
        <w:rPr>
          <w:rFonts w:ascii="Palatino Linotype" w:hAnsi="Palatino Linotype"/>
        </w:rPr>
      </w:pPr>
      <w:r w:rsidRPr="00D02732">
        <w:rPr>
          <w:rStyle w:val="FootnoteReference"/>
          <w:rFonts w:ascii="Palatino Linotype" w:hAnsi="Palatino Linotype"/>
        </w:rPr>
        <w:footnoteRef/>
      </w:r>
      <w:r w:rsidRPr="00D02732">
        <w:rPr>
          <w:rFonts w:ascii="Palatino Linotype" w:hAnsi="Palatino Linotype"/>
        </w:rPr>
        <w:t xml:space="preserve"> The amount in this row is a subset of the 2023, 2024, and 2025 columns, and is therefore not also added to the total.</w:t>
      </w:r>
    </w:p>
  </w:footnote>
  <w:footnote w:id="3">
    <w:p w14:paraId="0CB52E2B" w14:textId="77777777" w:rsidR="00FE28C1" w:rsidRPr="00D02732" w:rsidRDefault="00FE28C1" w:rsidP="007F54B0">
      <w:pPr>
        <w:pStyle w:val="FootnoteText"/>
        <w:ind w:left="180" w:hanging="180"/>
        <w:rPr>
          <w:rFonts w:ascii="Palatino Linotype" w:hAnsi="Palatino Linotype"/>
        </w:rPr>
      </w:pPr>
      <w:r w:rsidRPr="00D02732">
        <w:rPr>
          <w:rStyle w:val="FootnoteReference"/>
          <w:rFonts w:ascii="Palatino Linotype" w:hAnsi="Palatino Linotype"/>
        </w:rPr>
        <w:footnoteRef/>
      </w:r>
      <w:r w:rsidRPr="00D02732">
        <w:rPr>
          <w:rFonts w:ascii="Palatino Linotype" w:hAnsi="Palatino Linotype"/>
        </w:rPr>
        <w:t xml:space="preserve"> The Long Lead Time (LLT) resource requirements are divided into half from long-duration storage and half from firm, zero-emitting generation resources.</w:t>
      </w:r>
    </w:p>
  </w:footnote>
  <w:footnote w:id="4">
    <w:p w14:paraId="1DB8D2C8" w14:textId="77777777" w:rsidR="001063DF" w:rsidRPr="00D02732" w:rsidRDefault="001063DF" w:rsidP="007F54B0">
      <w:pPr>
        <w:pStyle w:val="FootnoteText"/>
        <w:ind w:left="180" w:hanging="180"/>
        <w:rPr>
          <w:rFonts w:ascii="Palatino Linotype" w:hAnsi="Palatino Linotype"/>
        </w:rPr>
      </w:pPr>
      <w:r w:rsidRPr="00D02732">
        <w:rPr>
          <w:rStyle w:val="FootnoteReference"/>
          <w:rFonts w:ascii="Palatino Linotype" w:hAnsi="Palatino Linotype"/>
        </w:rPr>
        <w:footnoteRef/>
      </w:r>
      <w:r w:rsidRPr="00D02732">
        <w:rPr>
          <w:rFonts w:ascii="Palatino Linotype" w:hAnsi="Palatino Linotype"/>
        </w:rPr>
        <w:t xml:space="preserve"> PG&amp;E AL 6711-E at 3.</w:t>
      </w:r>
    </w:p>
  </w:footnote>
  <w:footnote w:id="5">
    <w:p w14:paraId="567B0E1C" w14:textId="77777777" w:rsidR="00F712A7" w:rsidRPr="00D02732" w:rsidRDefault="00F712A7">
      <w:pPr>
        <w:pStyle w:val="FootnoteText"/>
        <w:rPr>
          <w:rFonts w:ascii="Palatino Linotype" w:hAnsi="Palatino Linotype"/>
        </w:rPr>
      </w:pPr>
      <w:r w:rsidRPr="00D02732">
        <w:rPr>
          <w:rStyle w:val="FootnoteReference"/>
          <w:rFonts w:ascii="Palatino Linotype" w:hAnsi="Palatino Linotype"/>
        </w:rPr>
        <w:footnoteRef/>
      </w:r>
      <w:r w:rsidRPr="00D02732">
        <w:rPr>
          <w:rFonts w:ascii="Palatino Linotype" w:hAnsi="Palatino Linotype"/>
        </w:rPr>
        <w:t xml:space="preserve"> PG&amp;E AL 7699-E, Confidential Appendix A at 2.</w:t>
      </w:r>
    </w:p>
  </w:footnote>
  <w:footnote w:id="6">
    <w:p w14:paraId="49D91EA4" w14:textId="77777777" w:rsidR="001C4817" w:rsidRPr="00D02732" w:rsidRDefault="001C4817" w:rsidP="001C4817">
      <w:pPr>
        <w:pStyle w:val="FootnoteText"/>
        <w:ind w:left="180" w:hanging="180"/>
        <w:rPr>
          <w:rFonts w:ascii="Palatino Linotype" w:hAnsi="Palatino Linotype"/>
        </w:rPr>
      </w:pPr>
      <w:r w:rsidRPr="00D02732">
        <w:rPr>
          <w:rStyle w:val="FootnoteReference"/>
          <w:rFonts w:ascii="Palatino Linotype" w:hAnsi="Palatino Linotype"/>
        </w:rPr>
        <w:footnoteRef/>
      </w:r>
      <w:r w:rsidRPr="00D02732">
        <w:rPr>
          <w:rFonts w:ascii="Palatino Linotype" w:hAnsi="Palatino Linotype"/>
        </w:rPr>
        <w:t xml:space="preserve"> City of Poway</w:t>
      </w:r>
      <w:r w:rsidR="000E4436" w:rsidRPr="00D02732">
        <w:rPr>
          <w:rFonts w:ascii="Palatino Linotype" w:hAnsi="Palatino Linotype"/>
        </w:rPr>
        <w:t xml:space="preserve"> and </w:t>
      </w:r>
      <w:r w:rsidRPr="00D02732">
        <w:rPr>
          <w:rFonts w:ascii="Palatino Linotype" w:hAnsi="Palatino Linotype"/>
        </w:rPr>
        <w:t>San Diego County Planning and Development Services</w:t>
      </w:r>
      <w:r w:rsidR="000E4436" w:rsidRPr="00D02732">
        <w:rPr>
          <w:rFonts w:ascii="Palatino Linotype" w:hAnsi="Palatino Linotype"/>
        </w:rPr>
        <w:t>.</w:t>
      </w:r>
    </w:p>
  </w:footnote>
  <w:footnote w:id="7">
    <w:p w14:paraId="29794495" w14:textId="77777777" w:rsidR="001C4817" w:rsidRPr="00D02732" w:rsidRDefault="001C4817" w:rsidP="001C4817">
      <w:pPr>
        <w:pStyle w:val="FootnoteText"/>
        <w:rPr>
          <w:rFonts w:ascii="Palatino Linotype" w:hAnsi="Palatino Linotype"/>
        </w:rPr>
      </w:pPr>
      <w:r w:rsidRPr="00D02732">
        <w:rPr>
          <w:rStyle w:val="FootnoteReference"/>
          <w:rFonts w:ascii="Palatino Linotype" w:hAnsi="Palatino Linotype"/>
        </w:rPr>
        <w:footnoteRef/>
      </w:r>
      <w:r w:rsidRPr="00D02732">
        <w:rPr>
          <w:rFonts w:ascii="Palatino Linotype" w:hAnsi="Palatino Linotype"/>
        </w:rPr>
        <w:t xml:space="preserve"> Arevon Energy, Inc., “</w:t>
      </w:r>
      <w:hyperlink r:id="rId1" w:anchor=":~:text=The%20project%20will%20deliver%20energy%20and%20capacity,Poway%20*%20**Construction%20Jobs**%20More%20than%20130" w:history="1">
        <w:r w:rsidRPr="00D02732">
          <w:rPr>
            <w:rStyle w:val="Hyperlink"/>
            <w:rFonts w:ascii="Palatino Linotype" w:hAnsi="Palatino Linotype"/>
          </w:rPr>
          <w:t>Arevon: A Leader in America’s Critical Energy Storage Future</w:t>
        </w:r>
      </w:hyperlink>
      <w:r w:rsidRPr="00D02732">
        <w:rPr>
          <w:rFonts w:ascii="Palatino Linotype" w:hAnsi="Palatino Linotype"/>
        </w:rPr>
        <w:t>”, July 22, 2025</w:t>
      </w:r>
    </w:p>
  </w:footnote>
  <w:footnote w:id="8">
    <w:p w14:paraId="2C48DB27" w14:textId="77777777" w:rsidR="001C4817" w:rsidRPr="00D02732" w:rsidRDefault="001C4817" w:rsidP="001C4817">
      <w:pPr>
        <w:pStyle w:val="FootnoteText"/>
        <w:ind w:left="180" w:hanging="180"/>
        <w:rPr>
          <w:rFonts w:ascii="Palatino Linotype" w:hAnsi="Palatino Linotype"/>
        </w:rPr>
      </w:pPr>
      <w:r w:rsidRPr="00D02732">
        <w:rPr>
          <w:rStyle w:val="FootnoteReference"/>
          <w:rFonts w:ascii="Palatino Linotype" w:hAnsi="Palatino Linotype"/>
        </w:rPr>
        <w:footnoteRef/>
      </w:r>
      <w:r w:rsidRPr="00D02732">
        <w:rPr>
          <w:rFonts w:ascii="Palatino Linotype" w:hAnsi="Palatino Linotype"/>
        </w:rPr>
        <w:t xml:space="preserve"> </w:t>
      </w:r>
      <w:hyperlink r:id="rId2" w:history="1">
        <w:r w:rsidRPr="00D02732">
          <w:rPr>
            <w:rStyle w:val="Hyperlink"/>
            <w:rFonts w:ascii="Palatino Linotype" w:hAnsi="Palatino Linotype"/>
          </w:rPr>
          <w:t>CAISO List of Large and Small Generator Interconnection Agreement</w:t>
        </w:r>
      </w:hyperlink>
      <w:r w:rsidRPr="00D02732">
        <w:rPr>
          <w:rFonts w:ascii="Palatino Linotype" w:hAnsi="Palatino Linotype"/>
        </w:rPr>
        <w:t>, October 1, 2025, at 10.</w:t>
      </w:r>
    </w:p>
  </w:footnote>
  <w:footnote w:id="9">
    <w:p w14:paraId="020C248A" w14:textId="77777777" w:rsidR="001C4817" w:rsidRPr="00D02732" w:rsidRDefault="001C4817" w:rsidP="001C4817">
      <w:pPr>
        <w:pStyle w:val="FootnoteText"/>
        <w:rPr>
          <w:rFonts w:ascii="Palatino Linotype" w:hAnsi="Palatino Linotype"/>
        </w:rPr>
      </w:pPr>
      <w:r w:rsidRPr="00D02732">
        <w:rPr>
          <w:rStyle w:val="FootnoteReference"/>
          <w:rFonts w:ascii="Palatino Linotype" w:hAnsi="Palatino Linotype"/>
        </w:rPr>
        <w:footnoteRef/>
      </w:r>
      <w:r w:rsidRPr="00D02732">
        <w:rPr>
          <w:rFonts w:ascii="Palatino Linotype" w:hAnsi="Palatino Linotype"/>
        </w:rPr>
        <w:t xml:space="preserve"> </w:t>
      </w:r>
      <w:hyperlink r:id="rId3" w:history="1">
        <w:r w:rsidRPr="00D02732">
          <w:rPr>
            <w:rStyle w:val="Hyperlink"/>
            <w:rFonts w:ascii="Palatino Linotype" w:hAnsi="Palatino Linotype"/>
          </w:rPr>
          <w:t>CAISO Public Queue Report</w:t>
        </w:r>
      </w:hyperlink>
      <w:r w:rsidRPr="00D02732">
        <w:rPr>
          <w:rFonts w:ascii="Palatino Linotype" w:hAnsi="Palatino Linotype"/>
        </w:rPr>
        <w:t>, run date October 17, 2025.</w:t>
      </w:r>
    </w:p>
  </w:footnote>
  <w:footnote w:id="10">
    <w:p w14:paraId="26E26C8B" w14:textId="77777777" w:rsidR="00450111" w:rsidRPr="00D02732" w:rsidRDefault="00450111">
      <w:pPr>
        <w:pStyle w:val="FootnoteText"/>
        <w:rPr>
          <w:rFonts w:ascii="Palatino Linotype" w:hAnsi="Palatino Linotype"/>
          <w:sz w:val="22"/>
          <w:szCs w:val="22"/>
        </w:rPr>
      </w:pPr>
      <w:r w:rsidRPr="00D02732">
        <w:rPr>
          <w:rStyle w:val="FootnoteReference"/>
          <w:rFonts w:ascii="Palatino Linotype" w:hAnsi="Palatino Linotype"/>
        </w:rPr>
        <w:footnoteRef/>
      </w:r>
      <w:r w:rsidRPr="00D02732">
        <w:rPr>
          <w:rFonts w:ascii="Palatino Linotype" w:hAnsi="Palatino Linotype"/>
        </w:rPr>
        <w:t xml:space="preserve"> OP 11 of </w:t>
      </w:r>
      <w:hyperlink r:id="rId4" w:history="1">
        <w:r w:rsidRPr="00D02732">
          <w:rPr>
            <w:rStyle w:val="Hyperlink"/>
            <w:rFonts w:ascii="Palatino Linotype" w:hAnsi="Palatino Linotype"/>
          </w:rPr>
          <w:t>D.25-09-007</w:t>
        </w:r>
      </w:hyperlink>
      <w:r w:rsidR="00720997" w:rsidRPr="00D02732">
        <w:rPr>
          <w:rFonts w:ascii="Palatino Linotype" w:hAnsi="Palatino Linotype"/>
        </w:rPr>
        <w:t xml:space="preserve"> at </w:t>
      </w:r>
      <w:r w:rsidR="00EB7E80" w:rsidRPr="00D02732">
        <w:rPr>
          <w:rFonts w:ascii="Palatino Linotype" w:hAnsi="Palatino Linotype"/>
        </w:rPr>
        <w:t>49.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BE33B" w14:textId="55CF1C20" w:rsidR="00333D48" w:rsidRPr="002E42E0" w:rsidRDefault="00333D48">
    <w:pPr>
      <w:pStyle w:val="Header"/>
      <w:rPr>
        <w:rFonts w:ascii="Palatino Linotype" w:hAnsi="Palatino Linotype"/>
        <w:sz w:val="24"/>
        <w:szCs w:val="24"/>
      </w:rPr>
    </w:pPr>
    <w:r w:rsidRPr="002E42E0">
      <w:rPr>
        <w:rFonts w:ascii="Palatino Linotype" w:hAnsi="Palatino Linotype"/>
        <w:sz w:val="24"/>
        <w:szCs w:val="24"/>
      </w:rPr>
      <w:t>ED/Resolution E-5432</w:t>
    </w:r>
    <w:r w:rsidR="002E42E0" w:rsidRPr="002E42E0">
      <w:rPr>
        <w:rFonts w:ascii="Palatino Linotype" w:hAnsi="Palatino Linotype"/>
        <w:sz w:val="24"/>
        <w:szCs w:val="24"/>
      </w:rPr>
      <w:tab/>
    </w:r>
    <w:r w:rsidR="002E42E0" w:rsidRPr="002E42E0">
      <w:rPr>
        <w:rFonts w:ascii="Palatino Linotype" w:hAnsi="Palatino Linotype"/>
        <w:sz w:val="24"/>
        <w:szCs w:val="24"/>
      </w:rPr>
      <w:tab/>
      <w:t>January 15, 2026</w:t>
    </w:r>
  </w:p>
  <w:p w14:paraId="1969117F" w14:textId="77777777" w:rsidR="00333D48" w:rsidRPr="002E42E0" w:rsidRDefault="00D02F32">
    <w:pPr>
      <w:pStyle w:val="Header"/>
      <w:rPr>
        <w:rFonts w:ascii="Palatino Linotype" w:hAnsi="Palatino Linotype"/>
        <w:sz w:val="24"/>
        <w:szCs w:val="24"/>
      </w:rPr>
    </w:pPr>
    <w:r w:rsidRPr="002E42E0">
      <w:rPr>
        <w:rFonts w:ascii="Palatino Linotype" w:hAnsi="Palatino Linotype"/>
        <w:sz w:val="24"/>
        <w:szCs w:val="24"/>
      </w:rPr>
      <w:t>PG&amp;E AL 7699-E</w:t>
    </w:r>
    <w:r w:rsidR="00E3456E" w:rsidRPr="002E42E0">
      <w:rPr>
        <w:rFonts w:ascii="Palatino Linotype" w:hAnsi="Palatino Linotype"/>
        <w:sz w:val="24"/>
        <w:szCs w:val="24"/>
      </w:rPr>
      <w:t>/NG3</w:t>
    </w:r>
  </w:p>
  <w:p w14:paraId="6ED0FE6A" w14:textId="77777777" w:rsidR="00E3456E" w:rsidRPr="002E42E0" w:rsidRDefault="00E3456E">
    <w:pPr>
      <w:pStyle w:val="Header"/>
      <w:rPr>
        <w:rFonts w:ascii="Palatino Linotype" w:hAnsi="Palatino Linotype"/>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49C25" w14:textId="3D0F4B8A" w:rsidR="00854266" w:rsidRDefault="0009589D" w:rsidP="0009589D">
    <w:pPr>
      <w:pStyle w:val="Header"/>
      <w:rPr>
        <w:rFonts w:ascii="Palatino Linotype" w:hAnsi="Palatino Linotype"/>
        <w:sz w:val="24"/>
        <w:szCs w:val="24"/>
      </w:rPr>
    </w:pPr>
    <w:r>
      <w:rPr>
        <w:rFonts w:ascii="Palatino Linotype" w:hAnsi="Palatino Linotype"/>
        <w:sz w:val="24"/>
        <w:szCs w:val="24"/>
      </w:rPr>
      <w:t xml:space="preserve">                                                                                 </w:t>
    </w:r>
    <w:r w:rsidR="00F11E4B">
      <w:rPr>
        <w:rFonts w:ascii="Palatino Linotype" w:hAnsi="Palatino Linotype"/>
        <w:sz w:val="24"/>
        <w:szCs w:val="24"/>
      </w:rPr>
      <w:t xml:space="preserve">             </w:t>
    </w:r>
    <w:r>
      <w:rPr>
        <w:rFonts w:ascii="Palatino Linotype" w:hAnsi="Palatino Linotype"/>
        <w:sz w:val="24"/>
        <w:szCs w:val="24"/>
      </w:rPr>
      <w:t xml:space="preserve">      </w:t>
    </w:r>
    <w:r w:rsidRPr="0009589D">
      <w:rPr>
        <w:rFonts w:ascii="Palatino Linotype" w:hAnsi="Palatino Linotype"/>
        <w:sz w:val="24"/>
        <w:szCs w:val="24"/>
      </w:rPr>
      <w:t xml:space="preserve">Date of Issuance: January </w:t>
    </w:r>
    <w:r>
      <w:rPr>
        <w:rFonts w:ascii="Palatino Linotype" w:hAnsi="Palatino Linotype"/>
        <w:sz w:val="24"/>
        <w:szCs w:val="24"/>
      </w:rPr>
      <w:t>21</w:t>
    </w:r>
    <w:r w:rsidRPr="0009589D">
      <w:rPr>
        <w:rFonts w:ascii="Palatino Linotype" w:hAnsi="Palatino Linotype"/>
        <w:sz w:val="24"/>
        <w:szCs w:val="24"/>
      </w:rPr>
      <w:t>, 2026</w:t>
    </w:r>
  </w:p>
  <w:p w14:paraId="77CBE811" w14:textId="77777777" w:rsidR="0009589D" w:rsidRPr="0009589D" w:rsidRDefault="0009589D" w:rsidP="0009589D">
    <w:pPr>
      <w:pStyle w:val="Header"/>
      <w:rPr>
        <w:rFonts w:ascii="Palatino Linotype" w:hAnsi="Palatino Linotype"/>
        <w:sz w:val="10"/>
        <w:szCs w:val="10"/>
      </w:rPr>
    </w:pPr>
  </w:p>
  <w:p w14:paraId="3DD3EEAF" w14:textId="77777777" w:rsidR="0009589D" w:rsidRPr="0009589D" w:rsidRDefault="0009589D" w:rsidP="0009589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47E7C" w14:textId="77777777" w:rsidR="00755247" w:rsidRPr="002E42E0" w:rsidRDefault="00755247">
    <w:pPr>
      <w:pStyle w:val="Header"/>
      <w:rPr>
        <w:rFonts w:ascii="Palatino Linotype" w:hAnsi="Palatino Linotype"/>
        <w:sz w:val="24"/>
        <w:szCs w:val="24"/>
      </w:rPr>
    </w:pPr>
    <w:r w:rsidRPr="002E42E0">
      <w:rPr>
        <w:rFonts w:ascii="Palatino Linotype" w:hAnsi="Palatino Linotype"/>
        <w:sz w:val="24"/>
        <w:szCs w:val="24"/>
      </w:rPr>
      <w:t>ED/Resolution E-5432</w:t>
    </w:r>
    <w:r w:rsidRPr="002E42E0">
      <w:rPr>
        <w:rFonts w:ascii="Palatino Linotype" w:hAnsi="Palatino Linotype"/>
        <w:sz w:val="24"/>
        <w:szCs w:val="24"/>
      </w:rPr>
      <w:tab/>
      <w:t>DRAFT</w:t>
    </w:r>
    <w:r w:rsidRPr="002E42E0">
      <w:rPr>
        <w:rFonts w:ascii="Palatino Linotype" w:hAnsi="Palatino Linotype"/>
        <w:sz w:val="24"/>
        <w:szCs w:val="24"/>
      </w:rPr>
      <w:tab/>
      <w:t>January 15, 2026</w:t>
    </w:r>
  </w:p>
  <w:p w14:paraId="4BA53CAE" w14:textId="77777777" w:rsidR="00755247" w:rsidRPr="002E42E0" w:rsidRDefault="00755247">
    <w:pPr>
      <w:pStyle w:val="Header"/>
      <w:rPr>
        <w:rFonts w:ascii="Palatino Linotype" w:hAnsi="Palatino Linotype"/>
        <w:sz w:val="24"/>
        <w:szCs w:val="24"/>
      </w:rPr>
    </w:pPr>
    <w:r w:rsidRPr="002E42E0">
      <w:rPr>
        <w:rFonts w:ascii="Palatino Linotype" w:hAnsi="Palatino Linotype"/>
        <w:sz w:val="24"/>
        <w:szCs w:val="24"/>
      </w:rPr>
      <w:t>PG&amp;E AL 7699-E/NG3</w:t>
    </w:r>
  </w:p>
  <w:p w14:paraId="1D15ACC4" w14:textId="77777777" w:rsidR="00755247" w:rsidRPr="002E42E0" w:rsidRDefault="00755247">
    <w:pPr>
      <w:pStyle w:val="Header"/>
      <w:rPr>
        <w:rFonts w:ascii="Palatino Linotype" w:hAnsi="Palatino Linotype"/>
        <w:sz w:val="24"/>
        <w:szCs w:val="2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AA4CC" w14:textId="4D4B16AB" w:rsidR="00755247" w:rsidRPr="002E42E0" w:rsidRDefault="00755247" w:rsidP="00755247">
    <w:pPr>
      <w:pStyle w:val="Header"/>
      <w:rPr>
        <w:rFonts w:ascii="Palatino Linotype" w:hAnsi="Palatino Linotype"/>
        <w:sz w:val="24"/>
        <w:szCs w:val="24"/>
      </w:rPr>
    </w:pPr>
    <w:r w:rsidRPr="002E42E0">
      <w:rPr>
        <w:rFonts w:ascii="Palatino Linotype" w:hAnsi="Palatino Linotype"/>
        <w:sz w:val="24"/>
        <w:szCs w:val="24"/>
      </w:rPr>
      <w:t>ED/Resolution E-5432</w:t>
    </w:r>
    <w:r w:rsidRPr="002E42E0">
      <w:rPr>
        <w:rFonts w:ascii="Palatino Linotype" w:hAnsi="Palatino Linotype"/>
        <w:sz w:val="24"/>
        <w:szCs w:val="24"/>
      </w:rPr>
      <w:tab/>
    </w:r>
    <w:r w:rsidRPr="002E42E0">
      <w:rPr>
        <w:rFonts w:ascii="Palatino Linotype" w:hAnsi="Palatino Linotype"/>
        <w:sz w:val="24"/>
        <w:szCs w:val="24"/>
      </w:rPr>
      <w:tab/>
      <w:t>January 15, 2026</w:t>
    </w:r>
  </w:p>
  <w:p w14:paraId="70B0F562" w14:textId="77777777" w:rsidR="00755247" w:rsidRPr="002E42E0" w:rsidRDefault="00755247" w:rsidP="00755247">
    <w:pPr>
      <w:pStyle w:val="Header"/>
      <w:rPr>
        <w:rFonts w:ascii="Palatino Linotype" w:hAnsi="Palatino Linotype"/>
        <w:sz w:val="24"/>
        <w:szCs w:val="24"/>
      </w:rPr>
    </w:pPr>
    <w:r w:rsidRPr="002E42E0">
      <w:rPr>
        <w:rFonts w:ascii="Palatino Linotype" w:hAnsi="Palatino Linotype"/>
        <w:sz w:val="24"/>
        <w:szCs w:val="24"/>
      </w:rPr>
      <w:t>PG&amp;E AL 7699-E/NG3</w:t>
    </w:r>
  </w:p>
  <w:p w14:paraId="4FC2912F" w14:textId="77777777" w:rsidR="00755247" w:rsidRPr="00755247" w:rsidRDefault="00755247" w:rsidP="007552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E24C4"/>
    <w:multiLevelType w:val="hybridMultilevel"/>
    <w:tmpl w:val="A280789A"/>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BDB7819"/>
    <w:multiLevelType w:val="hybridMultilevel"/>
    <w:tmpl w:val="0409000F"/>
    <w:lvl w:ilvl="0" w:tplc="28A22846">
      <w:start w:val="1"/>
      <w:numFmt w:val="decimal"/>
      <w:lvlText w:val="%1."/>
      <w:lvlJc w:val="left"/>
      <w:pPr>
        <w:tabs>
          <w:tab w:val="num" w:pos="360"/>
        </w:tabs>
        <w:ind w:left="360" w:hanging="360"/>
      </w:pPr>
    </w:lvl>
    <w:lvl w:ilvl="1" w:tplc="4F083E7A">
      <w:numFmt w:val="decimal"/>
      <w:lvlText w:val=""/>
      <w:lvlJc w:val="left"/>
    </w:lvl>
    <w:lvl w:ilvl="2" w:tplc="47C85A20">
      <w:numFmt w:val="decimal"/>
      <w:lvlText w:val=""/>
      <w:lvlJc w:val="left"/>
    </w:lvl>
    <w:lvl w:ilvl="3" w:tplc="F0348562">
      <w:numFmt w:val="decimal"/>
      <w:lvlText w:val=""/>
      <w:lvlJc w:val="left"/>
    </w:lvl>
    <w:lvl w:ilvl="4" w:tplc="A2D8A67E">
      <w:numFmt w:val="decimal"/>
      <w:lvlText w:val=""/>
      <w:lvlJc w:val="left"/>
    </w:lvl>
    <w:lvl w:ilvl="5" w:tplc="CF8E1EDA">
      <w:numFmt w:val="decimal"/>
      <w:lvlText w:val=""/>
      <w:lvlJc w:val="left"/>
    </w:lvl>
    <w:lvl w:ilvl="6" w:tplc="F5021964">
      <w:numFmt w:val="decimal"/>
      <w:lvlText w:val=""/>
      <w:lvlJc w:val="left"/>
    </w:lvl>
    <w:lvl w:ilvl="7" w:tplc="56C0950C">
      <w:numFmt w:val="decimal"/>
      <w:lvlText w:val=""/>
      <w:lvlJc w:val="left"/>
    </w:lvl>
    <w:lvl w:ilvl="8" w:tplc="8DAC735C">
      <w:numFmt w:val="decimal"/>
      <w:lvlText w:val=""/>
      <w:lvlJc w:val="left"/>
    </w:lvl>
  </w:abstractNum>
  <w:abstractNum w:abstractNumId="2" w15:restartNumberingAfterBreak="0">
    <w:nsid w:val="26F8414F"/>
    <w:multiLevelType w:val="hybridMultilevel"/>
    <w:tmpl w:val="16DAE7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CC74200"/>
    <w:multiLevelType w:val="hybridMultilevel"/>
    <w:tmpl w:val="8BD01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F2A38F2"/>
    <w:multiLevelType w:val="hybridMultilevel"/>
    <w:tmpl w:val="BC825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72565C7"/>
    <w:multiLevelType w:val="hybridMultilevel"/>
    <w:tmpl w:val="658AC294"/>
    <w:lvl w:ilvl="0" w:tplc="B0BA4286">
      <w:start w:val="1"/>
      <w:numFmt w:val="decimal"/>
      <w:lvlText w:val="%1."/>
      <w:lvlJc w:val="left"/>
      <w:pPr>
        <w:tabs>
          <w:tab w:val="num" w:pos="420"/>
        </w:tabs>
        <w:ind w:left="420" w:hanging="420"/>
      </w:pPr>
      <w:rPr>
        <w:rFonts w:hint="default"/>
      </w:rPr>
    </w:lvl>
    <w:lvl w:ilvl="1" w:tplc="980EE42A">
      <w:numFmt w:val="decimal"/>
      <w:lvlText w:val=""/>
      <w:lvlJc w:val="left"/>
    </w:lvl>
    <w:lvl w:ilvl="2" w:tplc="A302F6E0">
      <w:numFmt w:val="decimal"/>
      <w:lvlText w:val=""/>
      <w:lvlJc w:val="left"/>
    </w:lvl>
    <w:lvl w:ilvl="3" w:tplc="815AE59C">
      <w:numFmt w:val="decimal"/>
      <w:lvlText w:val=""/>
      <w:lvlJc w:val="left"/>
    </w:lvl>
    <w:lvl w:ilvl="4" w:tplc="1C66C80A">
      <w:numFmt w:val="decimal"/>
      <w:lvlText w:val=""/>
      <w:lvlJc w:val="left"/>
    </w:lvl>
    <w:lvl w:ilvl="5" w:tplc="D90AF118">
      <w:numFmt w:val="decimal"/>
      <w:lvlText w:val=""/>
      <w:lvlJc w:val="left"/>
    </w:lvl>
    <w:lvl w:ilvl="6" w:tplc="AC746574">
      <w:numFmt w:val="decimal"/>
      <w:lvlText w:val=""/>
      <w:lvlJc w:val="left"/>
    </w:lvl>
    <w:lvl w:ilvl="7" w:tplc="728E44AE">
      <w:numFmt w:val="decimal"/>
      <w:lvlText w:val=""/>
      <w:lvlJc w:val="left"/>
    </w:lvl>
    <w:lvl w:ilvl="8" w:tplc="16D66D76">
      <w:numFmt w:val="decimal"/>
      <w:lvlText w:val=""/>
      <w:lvlJc w:val="left"/>
    </w:lvl>
  </w:abstractNum>
  <w:abstractNum w:abstractNumId="6" w15:restartNumberingAfterBreak="0">
    <w:nsid w:val="5A27653F"/>
    <w:multiLevelType w:val="multilevel"/>
    <w:tmpl w:val="DF6601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DAE3390"/>
    <w:multiLevelType w:val="hybridMultilevel"/>
    <w:tmpl w:val="630E6434"/>
    <w:lvl w:ilvl="0" w:tplc="66485DD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EEC46DE"/>
    <w:multiLevelType w:val="hybridMultilevel"/>
    <w:tmpl w:val="9A1A3E5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BB84711"/>
    <w:multiLevelType w:val="hybridMultilevel"/>
    <w:tmpl w:val="240E75B0"/>
    <w:lvl w:ilvl="0" w:tplc="04090001">
      <w:start w:val="1"/>
      <w:numFmt w:val="bullet"/>
      <w:lvlText w:val=""/>
      <w:lvlJc w:val="left"/>
      <w:pPr>
        <w:ind w:left="1440" w:hanging="360"/>
      </w:pPr>
      <w:rPr>
        <w:rFonts w:ascii="Symbol" w:hAnsi="Symbol" w:hint="default"/>
      </w:rPr>
    </w:lvl>
    <w:lvl w:ilvl="1" w:tplc="9D962DDE">
      <w:numFmt w:val="bullet"/>
      <w:lvlText w:val="•"/>
      <w:lvlJc w:val="left"/>
      <w:pPr>
        <w:ind w:left="2160" w:hanging="360"/>
      </w:pPr>
      <w:rPr>
        <w:rFonts w:ascii="Palatino" w:eastAsia="Times New Roman" w:hAnsi="Palatino" w:cs="Times New Roman"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542326228">
    <w:abstractNumId w:val="5"/>
  </w:num>
  <w:num w:numId="2" w16cid:durableId="1990985697">
    <w:abstractNumId w:val="1"/>
  </w:num>
  <w:num w:numId="3" w16cid:durableId="2127384715">
    <w:abstractNumId w:val="2"/>
  </w:num>
  <w:num w:numId="4" w16cid:durableId="1353722570">
    <w:abstractNumId w:val="9"/>
  </w:num>
  <w:num w:numId="5" w16cid:durableId="658118272">
    <w:abstractNumId w:val="0"/>
  </w:num>
  <w:num w:numId="6" w16cid:durableId="86006629">
    <w:abstractNumId w:val="8"/>
  </w:num>
  <w:num w:numId="7" w16cid:durableId="404769735">
    <w:abstractNumId w:val="6"/>
  </w:num>
  <w:num w:numId="8" w16cid:durableId="309022909">
    <w:abstractNumId w:val="7"/>
  </w:num>
  <w:num w:numId="9" w16cid:durableId="894894348">
    <w:abstractNumId w:val="4"/>
  </w:num>
  <w:num w:numId="10" w16cid:durableId="21464600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E68"/>
    <w:rsid w:val="0000001A"/>
    <w:rsid w:val="00000BE6"/>
    <w:rsid w:val="0000126E"/>
    <w:rsid w:val="00001D6C"/>
    <w:rsid w:val="00004E74"/>
    <w:rsid w:val="000058C1"/>
    <w:rsid w:val="000059BE"/>
    <w:rsid w:val="000061B6"/>
    <w:rsid w:val="0000644D"/>
    <w:rsid w:val="00006682"/>
    <w:rsid w:val="00006AAF"/>
    <w:rsid w:val="00007F4A"/>
    <w:rsid w:val="000130C0"/>
    <w:rsid w:val="000175CB"/>
    <w:rsid w:val="00020FBE"/>
    <w:rsid w:val="00021F73"/>
    <w:rsid w:val="00022F08"/>
    <w:rsid w:val="00023195"/>
    <w:rsid w:val="0002381C"/>
    <w:rsid w:val="00023A69"/>
    <w:rsid w:val="00023CFC"/>
    <w:rsid w:val="00023DD0"/>
    <w:rsid w:val="00025F3C"/>
    <w:rsid w:val="00027559"/>
    <w:rsid w:val="0002797D"/>
    <w:rsid w:val="000308A0"/>
    <w:rsid w:val="000313A1"/>
    <w:rsid w:val="00032364"/>
    <w:rsid w:val="00032C4D"/>
    <w:rsid w:val="00033AEB"/>
    <w:rsid w:val="00034375"/>
    <w:rsid w:val="00034EF1"/>
    <w:rsid w:val="00035299"/>
    <w:rsid w:val="00035505"/>
    <w:rsid w:val="00035EAE"/>
    <w:rsid w:val="00036D81"/>
    <w:rsid w:val="0003794F"/>
    <w:rsid w:val="00037A0A"/>
    <w:rsid w:val="0004017B"/>
    <w:rsid w:val="00040D3A"/>
    <w:rsid w:val="00041BDA"/>
    <w:rsid w:val="000420CC"/>
    <w:rsid w:val="00042F41"/>
    <w:rsid w:val="00043CBD"/>
    <w:rsid w:val="0004434B"/>
    <w:rsid w:val="00045F6E"/>
    <w:rsid w:val="0004736C"/>
    <w:rsid w:val="00050674"/>
    <w:rsid w:val="00050870"/>
    <w:rsid w:val="00051626"/>
    <w:rsid w:val="00051894"/>
    <w:rsid w:val="000519BC"/>
    <w:rsid w:val="00051A4C"/>
    <w:rsid w:val="00052123"/>
    <w:rsid w:val="000528ED"/>
    <w:rsid w:val="00053CA4"/>
    <w:rsid w:val="0005474A"/>
    <w:rsid w:val="00054887"/>
    <w:rsid w:val="00055124"/>
    <w:rsid w:val="0005568E"/>
    <w:rsid w:val="00056779"/>
    <w:rsid w:val="00056F9B"/>
    <w:rsid w:val="00057540"/>
    <w:rsid w:val="00057D90"/>
    <w:rsid w:val="00060402"/>
    <w:rsid w:val="00061328"/>
    <w:rsid w:val="00061869"/>
    <w:rsid w:val="00063CB7"/>
    <w:rsid w:val="00064923"/>
    <w:rsid w:val="00065839"/>
    <w:rsid w:val="00065C24"/>
    <w:rsid w:val="00066E71"/>
    <w:rsid w:val="0007056B"/>
    <w:rsid w:val="00070813"/>
    <w:rsid w:val="00071D87"/>
    <w:rsid w:val="00073212"/>
    <w:rsid w:val="0007338E"/>
    <w:rsid w:val="0007389E"/>
    <w:rsid w:val="000744D9"/>
    <w:rsid w:val="000752A4"/>
    <w:rsid w:val="00076043"/>
    <w:rsid w:val="00076054"/>
    <w:rsid w:val="000763DE"/>
    <w:rsid w:val="0007660F"/>
    <w:rsid w:val="00076B1A"/>
    <w:rsid w:val="00076CD6"/>
    <w:rsid w:val="0007778E"/>
    <w:rsid w:val="00077A30"/>
    <w:rsid w:val="00077B56"/>
    <w:rsid w:val="00080643"/>
    <w:rsid w:val="00080CFE"/>
    <w:rsid w:val="00080DD9"/>
    <w:rsid w:val="00080E55"/>
    <w:rsid w:val="00080F0D"/>
    <w:rsid w:val="0008339A"/>
    <w:rsid w:val="00083C29"/>
    <w:rsid w:val="000858EA"/>
    <w:rsid w:val="00085C78"/>
    <w:rsid w:val="00086418"/>
    <w:rsid w:val="0008675F"/>
    <w:rsid w:val="00087319"/>
    <w:rsid w:val="00087AF0"/>
    <w:rsid w:val="00087F29"/>
    <w:rsid w:val="0009086A"/>
    <w:rsid w:val="0009102E"/>
    <w:rsid w:val="00091A61"/>
    <w:rsid w:val="00091B7B"/>
    <w:rsid w:val="0009287E"/>
    <w:rsid w:val="0009589D"/>
    <w:rsid w:val="00095CA2"/>
    <w:rsid w:val="00096AF2"/>
    <w:rsid w:val="000973C0"/>
    <w:rsid w:val="000A00AF"/>
    <w:rsid w:val="000A06FC"/>
    <w:rsid w:val="000A1355"/>
    <w:rsid w:val="000A1DF4"/>
    <w:rsid w:val="000A2BC8"/>
    <w:rsid w:val="000A3033"/>
    <w:rsid w:val="000A30DB"/>
    <w:rsid w:val="000A31FB"/>
    <w:rsid w:val="000A3DAA"/>
    <w:rsid w:val="000A48F9"/>
    <w:rsid w:val="000A504B"/>
    <w:rsid w:val="000A64B8"/>
    <w:rsid w:val="000A73EE"/>
    <w:rsid w:val="000B03E2"/>
    <w:rsid w:val="000B196A"/>
    <w:rsid w:val="000B2773"/>
    <w:rsid w:val="000B3C13"/>
    <w:rsid w:val="000B525E"/>
    <w:rsid w:val="000B61D2"/>
    <w:rsid w:val="000B64C7"/>
    <w:rsid w:val="000B6690"/>
    <w:rsid w:val="000B7990"/>
    <w:rsid w:val="000C064B"/>
    <w:rsid w:val="000C101A"/>
    <w:rsid w:val="000C21BC"/>
    <w:rsid w:val="000C22DC"/>
    <w:rsid w:val="000C2DAC"/>
    <w:rsid w:val="000C359C"/>
    <w:rsid w:val="000C5AB9"/>
    <w:rsid w:val="000C729B"/>
    <w:rsid w:val="000D0040"/>
    <w:rsid w:val="000D1D32"/>
    <w:rsid w:val="000D450E"/>
    <w:rsid w:val="000D4EFF"/>
    <w:rsid w:val="000D556E"/>
    <w:rsid w:val="000D6207"/>
    <w:rsid w:val="000D63E9"/>
    <w:rsid w:val="000D7BE5"/>
    <w:rsid w:val="000E1355"/>
    <w:rsid w:val="000E1B1C"/>
    <w:rsid w:val="000E2379"/>
    <w:rsid w:val="000E3040"/>
    <w:rsid w:val="000E4436"/>
    <w:rsid w:val="000E48EA"/>
    <w:rsid w:val="000E492B"/>
    <w:rsid w:val="000E5AC2"/>
    <w:rsid w:val="000E6039"/>
    <w:rsid w:val="000F02A5"/>
    <w:rsid w:val="000F0421"/>
    <w:rsid w:val="000F07AE"/>
    <w:rsid w:val="000F153A"/>
    <w:rsid w:val="000F22E4"/>
    <w:rsid w:val="000F4EF3"/>
    <w:rsid w:val="000F5026"/>
    <w:rsid w:val="000F506D"/>
    <w:rsid w:val="000F789C"/>
    <w:rsid w:val="000F7ECA"/>
    <w:rsid w:val="00100D8E"/>
    <w:rsid w:val="00100E59"/>
    <w:rsid w:val="0010153C"/>
    <w:rsid w:val="00101545"/>
    <w:rsid w:val="00101EDB"/>
    <w:rsid w:val="00101EFE"/>
    <w:rsid w:val="001025EA"/>
    <w:rsid w:val="00102687"/>
    <w:rsid w:val="00102B5A"/>
    <w:rsid w:val="00103716"/>
    <w:rsid w:val="001049B3"/>
    <w:rsid w:val="00105402"/>
    <w:rsid w:val="001063DF"/>
    <w:rsid w:val="001072A5"/>
    <w:rsid w:val="0011016C"/>
    <w:rsid w:val="00110FC8"/>
    <w:rsid w:val="00112C75"/>
    <w:rsid w:val="0011461E"/>
    <w:rsid w:val="00114AE3"/>
    <w:rsid w:val="0011773E"/>
    <w:rsid w:val="001179DD"/>
    <w:rsid w:val="00120A17"/>
    <w:rsid w:val="001218F6"/>
    <w:rsid w:val="00126071"/>
    <w:rsid w:val="00126425"/>
    <w:rsid w:val="00126518"/>
    <w:rsid w:val="00126CBD"/>
    <w:rsid w:val="00131F4E"/>
    <w:rsid w:val="00132E61"/>
    <w:rsid w:val="001338F3"/>
    <w:rsid w:val="00133EE5"/>
    <w:rsid w:val="00134C01"/>
    <w:rsid w:val="00135456"/>
    <w:rsid w:val="00136C87"/>
    <w:rsid w:val="00137EA2"/>
    <w:rsid w:val="00140129"/>
    <w:rsid w:val="00140159"/>
    <w:rsid w:val="00140315"/>
    <w:rsid w:val="0014083D"/>
    <w:rsid w:val="00140890"/>
    <w:rsid w:val="001429A6"/>
    <w:rsid w:val="00142D6F"/>
    <w:rsid w:val="00144E7A"/>
    <w:rsid w:val="00145811"/>
    <w:rsid w:val="00145A81"/>
    <w:rsid w:val="001466D7"/>
    <w:rsid w:val="001471B9"/>
    <w:rsid w:val="0015016B"/>
    <w:rsid w:val="00153A85"/>
    <w:rsid w:val="00154229"/>
    <w:rsid w:val="00154BD9"/>
    <w:rsid w:val="00154D55"/>
    <w:rsid w:val="00154E7A"/>
    <w:rsid w:val="00155321"/>
    <w:rsid w:val="00155586"/>
    <w:rsid w:val="00155619"/>
    <w:rsid w:val="0015561F"/>
    <w:rsid w:val="00156E64"/>
    <w:rsid w:val="001573E9"/>
    <w:rsid w:val="001575DE"/>
    <w:rsid w:val="00160084"/>
    <w:rsid w:val="00160B0B"/>
    <w:rsid w:val="0016265D"/>
    <w:rsid w:val="001627B5"/>
    <w:rsid w:val="00163E7F"/>
    <w:rsid w:val="001645D9"/>
    <w:rsid w:val="00164769"/>
    <w:rsid w:val="00165571"/>
    <w:rsid w:val="00165F93"/>
    <w:rsid w:val="0017018D"/>
    <w:rsid w:val="0017177C"/>
    <w:rsid w:val="00171EC5"/>
    <w:rsid w:val="001725C8"/>
    <w:rsid w:val="00172CE8"/>
    <w:rsid w:val="00173012"/>
    <w:rsid w:val="00173D58"/>
    <w:rsid w:val="00174E20"/>
    <w:rsid w:val="00177197"/>
    <w:rsid w:val="00180055"/>
    <w:rsid w:val="00182FE5"/>
    <w:rsid w:val="00183865"/>
    <w:rsid w:val="001846D9"/>
    <w:rsid w:val="00184959"/>
    <w:rsid w:val="00184D4B"/>
    <w:rsid w:val="00185812"/>
    <w:rsid w:val="00186877"/>
    <w:rsid w:val="0018725F"/>
    <w:rsid w:val="0018737A"/>
    <w:rsid w:val="00190227"/>
    <w:rsid w:val="00191D34"/>
    <w:rsid w:val="001945BB"/>
    <w:rsid w:val="00194B48"/>
    <w:rsid w:val="00195503"/>
    <w:rsid w:val="001965DC"/>
    <w:rsid w:val="001A0056"/>
    <w:rsid w:val="001A065F"/>
    <w:rsid w:val="001A1115"/>
    <w:rsid w:val="001A113E"/>
    <w:rsid w:val="001A1B0F"/>
    <w:rsid w:val="001A3577"/>
    <w:rsid w:val="001A3811"/>
    <w:rsid w:val="001A3A51"/>
    <w:rsid w:val="001A3BEE"/>
    <w:rsid w:val="001A415F"/>
    <w:rsid w:val="001A6609"/>
    <w:rsid w:val="001B1B34"/>
    <w:rsid w:val="001B1D45"/>
    <w:rsid w:val="001B25D3"/>
    <w:rsid w:val="001B2A02"/>
    <w:rsid w:val="001B420F"/>
    <w:rsid w:val="001B63F8"/>
    <w:rsid w:val="001B7742"/>
    <w:rsid w:val="001B7B87"/>
    <w:rsid w:val="001C082E"/>
    <w:rsid w:val="001C1962"/>
    <w:rsid w:val="001C235C"/>
    <w:rsid w:val="001C3C9A"/>
    <w:rsid w:val="001C421B"/>
    <w:rsid w:val="001C4817"/>
    <w:rsid w:val="001C48B1"/>
    <w:rsid w:val="001C4DA7"/>
    <w:rsid w:val="001C4FE9"/>
    <w:rsid w:val="001C51EA"/>
    <w:rsid w:val="001C59B4"/>
    <w:rsid w:val="001C66AE"/>
    <w:rsid w:val="001C6C9C"/>
    <w:rsid w:val="001C78DF"/>
    <w:rsid w:val="001D25DA"/>
    <w:rsid w:val="001D371C"/>
    <w:rsid w:val="001D3871"/>
    <w:rsid w:val="001D4C7D"/>
    <w:rsid w:val="001D4E0D"/>
    <w:rsid w:val="001D5858"/>
    <w:rsid w:val="001D60E7"/>
    <w:rsid w:val="001D6136"/>
    <w:rsid w:val="001D6919"/>
    <w:rsid w:val="001D79BA"/>
    <w:rsid w:val="001E0478"/>
    <w:rsid w:val="001E0ECB"/>
    <w:rsid w:val="001E120F"/>
    <w:rsid w:val="001E21CF"/>
    <w:rsid w:val="001E3A70"/>
    <w:rsid w:val="001E404A"/>
    <w:rsid w:val="001E4CB3"/>
    <w:rsid w:val="001E619E"/>
    <w:rsid w:val="001E63B6"/>
    <w:rsid w:val="001E726C"/>
    <w:rsid w:val="001F30FB"/>
    <w:rsid w:val="001F535C"/>
    <w:rsid w:val="001F6430"/>
    <w:rsid w:val="001F67BA"/>
    <w:rsid w:val="001F70EE"/>
    <w:rsid w:val="001F769F"/>
    <w:rsid w:val="001F7D63"/>
    <w:rsid w:val="001F7E0E"/>
    <w:rsid w:val="00200654"/>
    <w:rsid w:val="002027CA"/>
    <w:rsid w:val="00202DBB"/>
    <w:rsid w:val="00203C99"/>
    <w:rsid w:val="00203E39"/>
    <w:rsid w:val="0020441F"/>
    <w:rsid w:val="0020451E"/>
    <w:rsid w:val="002052D4"/>
    <w:rsid w:val="0020575D"/>
    <w:rsid w:val="00205BFA"/>
    <w:rsid w:val="002065EB"/>
    <w:rsid w:val="00206AA9"/>
    <w:rsid w:val="00210475"/>
    <w:rsid w:val="00210AB6"/>
    <w:rsid w:val="00211481"/>
    <w:rsid w:val="00211771"/>
    <w:rsid w:val="002121EC"/>
    <w:rsid w:val="002126FC"/>
    <w:rsid w:val="00212BAB"/>
    <w:rsid w:val="00213116"/>
    <w:rsid w:val="00213985"/>
    <w:rsid w:val="00213BB6"/>
    <w:rsid w:val="0021502F"/>
    <w:rsid w:val="002157D0"/>
    <w:rsid w:val="00215D28"/>
    <w:rsid w:val="00216130"/>
    <w:rsid w:val="00216B29"/>
    <w:rsid w:val="00220417"/>
    <w:rsid w:val="00221C9E"/>
    <w:rsid w:val="00221D4B"/>
    <w:rsid w:val="002220E8"/>
    <w:rsid w:val="00222181"/>
    <w:rsid w:val="00222970"/>
    <w:rsid w:val="002237A4"/>
    <w:rsid w:val="00223DD3"/>
    <w:rsid w:val="002245B3"/>
    <w:rsid w:val="00224CEA"/>
    <w:rsid w:val="00224FB0"/>
    <w:rsid w:val="0022608B"/>
    <w:rsid w:val="0022647B"/>
    <w:rsid w:val="0022687C"/>
    <w:rsid w:val="00226B3D"/>
    <w:rsid w:val="0022762A"/>
    <w:rsid w:val="00230268"/>
    <w:rsid w:val="00230942"/>
    <w:rsid w:val="0023139B"/>
    <w:rsid w:val="00232396"/>
    <w:rsid w:val="00232A39"/>
    <w:rsid w:val="00233B33"/>
    <w:rsid w:val="00234F82"/>
    <w:rsid w:val="00235179"/>
    <w:rsid w:val="00235CEC"/>
    <w:rsid w:val="0023721D"/>
    <w:rsid w:val="002407E7"/>
    <w:rsid w:val="00241822"/>
    <w:rsid w:val="00241D57"/>
    <w:rsid w:val="0024374D"/>
    <w:rsid w:val="00243924"/>
    <w:rsid w:val="00243988"/>
    <w:rsid w:val="00245124"/>
    <w:rsid w:val="00245C71"/>
    <w:rsid w:val="00245C76"/>
    <w:rsid w:val="00246C69"/>
    <w:rsid w:val="002473D4"/>
    <w:rsid w:val="00250228"/>
    <w:rsid w:val="00250945"/>
    <w:rsid w:val="00250FE4"/>
    <w:rsid w:val="00251658"/>
    <w:rsid w:val="00253E6A"/>
    <w:rsid w:val="00254252"/>
    <w:rsid w:val="002544C8"/>
    <w:rsid w:val="0025515F"/>
    <w:rsid w:val="00255327"/>
    <w:rsid w:val="002554AE"/>
    <w:rsid w:val="002555F0"/>
    <w:rsid w:val="00256B03"/>
    <w:rsid w:val="00257B46"/>
    <w:rsid w:val="0026083F"/>
    <w:rsid w:val="00260A47"/>
    <w:rsid w:val="00261729"/>
    <w:rsid w:val="00261731"/>
    <w:rsid w:val="00261D6E"/>
    <w:rsid w:val="00262AF2"/>
    <w:rsid w:val="00262DD4"/>
    <w:rsid w:val="00262E34"/>
    <w:rsid w:val="0026381D"/>
    <w:rsid w:val="00264E18"/>
    <w:rsid w:val="00264E2E"/>
    <w:rsid w:val="0026598B"/>
    <w:rsid w:val="00267CFB"/>
    <w:rsid w:val="0027094B"/>
    <w:rsid w:val="0027122C"/>
    <w:rsid w:val="0027237C"/>
    <w:rsid w:val="0027306B"/>
    <w:rsid w:val="00273B37"/>
    <w:rsid w:val="00274FAA"/>
    <w:rsid w:val="002759F9"/>
    <w:rsid w:val="00275A74"/>
    <w:rsid w:val="00276374"/>
    <w:rsid w:val="002772CD"/>
    <w:rsid w:val="002774A6"/>
    <w:rsid w:val="00280109"/>
    <w:rsid w:val="0028333F"/>
    <w:rsid w:val="00283B6D"/>
    <w:rsid w:val="002848B2"/>
    <w:rsid w:val="00284E08"/>
    <w:rsid w:val="002857ED"/>
    <w:rsid w:val="0028585F"/>
    <w:rsid w:val="00287049"/>
    <w:rsid w:val="00287488"/>
    <w:rsid w:val="002905E9"/>
    <w:rsid w:val="00291666"/>
    <w:rsid w:val="002939EF"/>
    <w:rsid w:val="00294512"/>
    <w:rsid w:val="00294E9C"/>
    <w:rsid w:val="00296F91"/>
    <w:rsid w:val="0029759B"/>
    <w:rsid w:val="00297BB5"/>
    <w:rsid w:val="002A0337"/>
    <w:rsid w:val="002A047A"/>
    <w:rsid w:val="002A0C5A"/>
    <w:rsid w:val="002A19A9"/>
    <w:rsid w:val="002A20B5"/>
    <w:rsid w:val="002A28A1"/>
    <w:rsid w:val="002A318A"/>
    <w:rsid w:val="002A4405"/>
    <w:rsid w:val="002A776F"/>
    <w:rsid w:val="002A79A1"/>
    <w:rsid w:val="002B01AE"/>
    <w:rsid w:val="002B0209"/>
    <w:rsid w:val="002B0244"/>
    <w:rsid w:val="002B08DD"/>
    <w:rsid w:val="002B0A85"/>
    <w:rsid w:val="002B178E"/>
    <w:rsid w:val="002B2B53"/>
    <w:rsid w:val="002B3EC6"/>
    <w:rsid w:val="002B4F0B"/>
    <w:rsid w:val="002B563C"/>
    <w:rsid w:val="002B5F92"/>
    <w:rsid w:val="002B6FA2"/>
    <w:rsid w:val="002B7079"/>
    <w:rsid w:val="002C0F57"/>
    <w:rsid w:val="002C1929"/>
    <w:rsid w:val="002C19B7"/>
    <w:rsid w:val="002C242A"/>
    <w:rsid w:val="002C242E"/>
    <w:rsid w:val="002C308D"/>
    <w:rsid w:val="002C3157"/>
    <w:rsid w:val="002C3711"/>
    <w:rsid w:val="002C3CCF"/>
    <w:rsid w:val="002C43CA"/>
    <w:rsid w:val="002D22A9"/>
    <w:rsid w:val="002D2FF7"/>
    <w:rsid w:val="002D3405"/>
    <w:rsid w:val="002D3621"/>
    <w:rsid w:val="002D474F"/>
    <w:rsid w:val="002D54C8"/>
    <w:rsid w:val="002D6958"/>
    <w:rsid w:val="002E065D"/>
    <w:rsid w:val="002E0A73"/>
    <w:rsid w:val="002E1107"/>
    <w:rsid w:val="002E1490"/>
    <w:rsid w:val="002E252C"/>
    <w:rsid w:val="002E25DD"/>
    <w:rsid w:val="002E2DD9"/>
    <w:rsid w:val="002E30AD"/>
    <w:rsid w:val="002E42E0"/>
    <w:rsid w:val="002E4913"/>
    <w:rsid w:val="002E6E56"/>
    <w:rsid w:val="002E7296"/>
    <w:rsid w:val="002F0D0D"/>
    <w:rsid w:val="002F26C9"/>
    <w:rsid w:val="002F2F1F"/>
    <w:rsid w:val="002F3423"/>
    <w:rsid w:val="002F4669"/>
    <w:rsid w:val="002F48AB"/>
    <w:rsid w:val="002F561D"/>
    <w:rsid w:val="002F5A8D"/>
    <w:rsid w:val="00300BDA"/>
    <w:rsid w:val="00300EC4"/>
    <w:rsid w:val="00300FE3"/>
    <w:rsid w:val="0030109B"/>
    <w:rsid w:val="00301A85"/>
    <w:rsid w:val="00302398"/>
    <w:rsid w:val="00303B16"/>
    <w:rsid w:val="00307EDD"/>
    <w:rsid w:val="003100C8"/>
    <w:rsid w:val="003108FF"/>
    <w:rsid w:val="003109CF"/>
    <w:rsid w:val="00310CFA"/>
    <w:rsid w:val="00310DDE"/>
    <w:rsid w:val="0031150E"/>
    <w:rsid w:val="00313111"/>
    <w:rsid w:val="003131F9"/>
    <w:rsid w:val="00313407"/>
    <w:rsid w:val="00314D09"/>
    <w:rsid w:val="00314DCF"/>
    <w:rsid w:val="00315C91"/>
    <w:rsid w:val="00315FD0"/>
    <w:rsid w:val="003169C9"/>
    <w:rsid w:val="0032088C"/>
    <w:rsid w:val="00322805"/>
    <w:rsid w:val="003230D9"/>
    <w:rsid w:val="003240D0"/>
    <w:rsid w:val="003242C3"/>
    <w:rsid w:val="00324535"/>
    <w:rsid w:val="00324C59"/>
    <w:rsid w:val="00325317"/>
    <w:rsid w:val="003256FF"/>
    <w:rsid w:val="00330870"/>
    <w:rsid w:val="00330CEC"/>
    <w:rsid w:val="00333CD2"/>
    <w:rsid w:val="00333D42"/>
    <w:rsid w:val="00333D48"/>
    <w:rsid w:val="00335886"/>
    <w:rsid w:val="00336B1A"/>
    <w:rsid w:val="00336CA2"/>
    <w:rsid w:val="00341857"/>
    <w:rsid w:val="00341B68"/>
    <w:rsid w:val="00342FF9"/>
    <w:rsid w:val="00343B71"/>
    <w:rsid w:val="00344365"/>
    <w:rsid w:val="00344622"/>
    <w:rsid w:val="00345FCA"/>
    <w:rsid w:val="003462EB"/>
    <w:rsid w:val="003464AE"/>
    <w:rsid w:val="003506C7"/>
    <w:rsid w:val="00350F55"/>
    <w:rsid w:val="003517C5"/>
    <w:rsid w:val="003533B4"/>
    <w:rsid w:val="003536B8"/>
    <w:rsid w:val="003537DE"/>
    <w:rsid w:val="0035451A"/>
    <w:rsid w:val="00355C43"/>
    <w:rsid w:val="003566AB"/>
    <w:rsid w:val="003566CD"/>
    <w:rsid w:val="003570DF"/>
    <w:rsid w:val="00357880"/>
    <w:rsid w:val="00357A0E"/>
    <w:rsid w:val="00360A16"/>
    <w:rsid w:val="0036128F"/>
    <w:rsid w:val="0036153D"/>
    <w:rsid w:val="003615FE"/>
    <w:rsid w:val="00363FD2"/>
    <w:rsid w:val="00365998"/>
    <w:rsid w:val="00365B22"/>
    <w:rsid w:val="00365EFD"/>
    <w:rsid w:val="00370195"/>
    <w:rsid w:val="0037021E"/>
    <w:rsid w:val="0037064D"/>
    <w:rsid w:val="0037079E"/>
    <w:rsid w:val="00370A7A"/>
    <w:rsid w:val="003719D7"/>
    <w:rsid w:val="003732AF"/>
    <w:rsid w:val="003748EB"/>
    <w:rsid w:val="003750FE"/>
    <w:rsid w:val="00375382"/>
    <w:rsid w:val="0037563D"/>
    <w:rsid w:val="00375FE4"/>
    <w:rsid w:val="0037603A"/>
    <w:rsid w:val="00377DF3"/>
    <w:rsid w:val="0038133F"/>
    <w:rsid w:val="00381F03"/>
    <w:rsid w:val="00381FC7"/>
    <w:rsid w:val="0038233A"/>
    <w:rsid w:val="00382A7B"/>
    <w:rsid w:val="0038329D"/>
    <w:rsid w:val="00383CCE"/>
    <w:rsid w:val="00383E65"/>
    <w:rsid w:val="00384EB2"/>
    <w:rsid w:val="00385A3A"/>
    <w:rsid w:val="00385F62"/>
    <w:rsid w:val="00386F29"/>
    <w:rsid w:val="00386F7A"/>
    <w:rsid w:val="003877A5"/>
    <w:rsid w:val="00387A9D"/>
    <w:rsid w:val="00387D0B"/>
    <w:rsid w:val="0039064A"/>
    <w:rsid w:val="00390A89"/>
    <w:rsid w:val="00390AA0"/>
    <w:rsid w:val="00390B4E"/>
    <w:rsid w:val="0039118B"/>
    <w:rsid w:val="00391932"/>
    <w:rsid w:val="00393A32"/>
    <w:rsid w:val="00394D7E"/>
    <w:rsid w:val="003967C8"/>
    <w:rsid w:val="00397BF5"/>
    <w:rsid w:val="003A0C8D"/>
    <w:rsid w:val="003A2474"/>
    <w:rsid w:val="003A26CC"/>
    <w:rsid w:val="003A2A90"/>
    <w:rsid w:val="003A3C46"/>
    <w:rsid w:val="003A6E2E"/>
    <w:rsid w:val="003A6E4E"/>
    <w:rsid w:val="003B1175"/>
    <w:rsid w:val="003B248B"/>
    <w:rsid w:val="003B307E"/>
    <w:rsid w:val="003B5C69"/>
    <w:rsid w:val="003B5D1E"/>
    <w:rsid w:val="003B64E0"/>
    <w:rsid w:val="003B77DB"/>
    <w:rsid w:val="003C110B"/>
    <w:rsid w:val="003C17AA"/>
    <w:rsid w:val="003C24E8"/>
    <w:rsid w:val="003C294E"/>
    <w:rsid w:val="003C371F"/>
    <w:rsid w:val="003C4FEE"/>
    <w:rsid w:val="003C5578"/>
    <w:rsid w:val="003C7B74"/>
    <w:rsid w:val="003C7C51"/>
    <w:rsid w:val="003D1654"/>
    <w:rsid w:val="003D2341"/>
    <w:rsid w:val="003D2738"/>
    <w:rsid w:val="003D33F3"/>
    <w:rsid w:val="003D5D4A"/>
    <w:rsid w:val="003D6B92"/>
    <w:rsid w:val="003D70D5"/>
    <w:rsid w:val="003D79AF"/>
    <w:rsid w:val="003E11E7"/>
    <w:rsid w:val="003E2173"/>
    <w:rsid w:val="003E2521"/>
    <w:rsid w:val="003E368B"/>
    <w:rsid w:val="003E5972"/>
    <w:rsid w:val="003E5EA3"/>
    <w:rsid w:val="003E5F66"/>
    <w:rsid w:val="003E6FE5"/>
    <w:rsid w:val="003F0D62"/>
    <w:rsid w:val="003F33E1"/>
    <w:rsid w:val="003F4B02"/>
    <w:rsid w:val="003F7BF9"/>
    <w:rsid w:val="00400C39"/>
    <w:rsid w:val="00401177"/>
    <w:rsid w:val="0040139B"/>
    <w:rsid w:val="00402140"/>
    <w:rsid w:val="00402913"/>
    <w:rsid w:val="0040457E"/>
    <w:rsid w:val="00405D37"/>
    <w:rsid w:val="004063F1"/>
    <w:rsid w:val="004065FA"/>
    <w:rsid w:val="004106A1"/>
    <w:rsid w:val="00410AA1"/>
    <w:rsid w:val="00410D0C"/>
    <w:rsid w:val="00411770"/>
    <w:rsid w:val="00412129"/>
    <w:rsid w:val="00413AAA"/>
    <w:rsid w:val="00414064"/>
    <w:rsid w:val="00414847"/>
    <w:rsid w:val="00415732"/>
    <w:rsid w:val="004162C6"/>
    <w:rsid w:val="0041651A"/>
    <w:rsid w:val="0041694C"/>
    <w:rsid w:val="004169D6"/>
    <w:rsid w:val="00416CBF"/>
    <w:rsid w:val="00416DCD"/>
    <w:rsid w:val="004210F2"/>
    <w:rsid w:val="00421137"/>
    <w:rsid w:val="00421275"/>
    <w:rsid w:val="004216E7"/>
    <w:rsid w:val="00421BE3"/>
    <w:rsid w:val="00422954"/>
    <w:rsid w:val="00423A74"/>
    <w:rsid w:val="004241B0"/>
    <w:rsid w:val="004243A9"/>
    <w:rsid w:val="00424C6A"/>
    <w:rsid w:val="00425679"/>
    <w:rsid w:val="00425E36"/>
    <w:rsid w:val="004262B2"/>
    <w:rsid w:val="00426D76"/>
    <w:rsid w:val="0043015A"/>
    <w:rsid w:val="0043159D"/>
    <w:rsid w:val="00431DEB"/>
    <w:rsid w:val="004327EA"/>
    <w:rsid w:val="00435251"/>
    <w:rsid w:val="004354FF"/>
    <w:rsid w:val="00436ACB"/>
    <w:rsid w:val="00437867"/>
    <w:rsid w:val="00441481"/>
    <w:rsid w:val="004415F4"/>
    <w:rsid w:val="004418AB"/>
    <w:rsid w:val="00444067"/>
    <w:rsid w:val="00444E32"/>
    <w:rsid w:val="004451A9"/>
    <w:rsid w:val="0044529B"/>
    <w:rsid w:val="004453EF"/>
    <w:rsid w:val="00446864"/>
    <w:rsid w:val="00450111"/>
    <w:rsid w:val="004511D8"/>
    <w:rsid w:val="00451902"/>
    <w:rsid w:val="00453331"/>
    <w:rsid w:val="00453F9E"/>
    <w:rsid w:val="0045418B"/>
    <w:rsid w:val="00454ABE"/>
    <w:rsid w:val="00455056"/>
    <w:rsid w:val="00456344"/>
    <w:rsid w:val="004575BE"/>
    <w:rsid w:val="00460504"/>
    <w:rsid w:val="004605E3"/>
    <w:rsid w:val="00460757"/>
    <w:rsid w:val="00461383"/>
    <w:rsid w:val="004619EA"/>
    <w:rsid w:val="00462941"/>
    <w:rsid w:val="00464328"/>
    <w:rsid w:val="004644B6"/>
    <w:rsid w:val="00464829"/>
    <w:rsid w:val="00465B15"/>
    <w:rsid w:val="0046704C"/>
    <w:rsid w:val="00467C99"/>
    <w:rsid w:val="00467CD8"/>
    <w:rsid w:val="0047007C"/>
    <w:rsid w:val="00470C3E"/>
    <w:rsid w:val="00470FA6"/>
    <w:rsid w:val="004718A4"/>
    <w:rsid w:val="00471AC7"/>
    <w:rsid w:val="00471CDB"/>
    <w:rsid w:val="00472F33"/>
    <w:rsid w:val="00473FA5"/>
    <w:rsid w:val="00474AEA"/>
    <w:rsid w:val="00474AEE"/>
    <w:rsid w:val="00476458"/>
    <w:rsid w:val="004809A0"/>
    <w:rsid w:val="00481149"/>
    <w:rsid w:val="00481F46"/>
    <w:rsid w:val="004834D7"/>
    <w:rsid w:val="00483F53"/>
    <w:rsid w:val="00484130"/>
    <w:rsid w:val="004841F0"/>
    <w:rsid w:val="00484E5C"/>
    <w:rsid w:val="00485783"/>
    <w:rsid w:val="00485F44"/>
    <w:rsid w:val="00486B1C"/>
    <w:rsid w:val="00486D35"/>
    <w:rsid w:val="00490387"/>
    <w:rsid w:val="00491385"/>
    <w:rsid w:val="00492A50"/>
    <w:rsid w:val="0049349A"/>
    <w:rsid w:val="00494381"/>
    <w:rsid w:val="004949A9"/>
    <w:rsid w:val="00496B53"/>
    <w:rsid w:val="00497698"/>
    <w:rsid w:val="0049784A"/>
    <w:rsid w:val="004A174A"/>
    <w:rsid w:val="004A2218"/>
    <w:rsid w:val="004A275D"/>
    <w:rsid w:val="004A3583"/>
    <w:rsid w:val="004A3F47"/>
    <w:rsid w:val="004A411D"/>
    <w:rsid w:val="004A41C9"/>
    <w:rsid w:val="004A59EA"/>
    <w:rsid w:val="004A68EA"/>
    <w:rsid w:val="004A6960"/>
    <w:rsid w:val="004A7452"/>
    <w:rsid w:val="004A7A04"/>
    <w:rsid w:val="004A7D98"/>
    <w:rsid w:val="004A7E57"/>
    <w:rsid w:val="004B0AAE"/>
    <w:rsid w:val="004B0D42"/>
    <w:rsid w:val="004B2502"/>
    <w:rsid w:val="004B51E4"/>
    <w:rsid w:val="004B7304"/>
    <w:rsid w:val="004B78A3"/>
    <w:rsid w:val="004B78A5"/>
    <w:rsid w:val="004B7DB6"/>
    <w:rsid w:val="004C05E9"/>
    <w:rsid w:val="004C1227"/>
    <w:rsid w:val="004C1233"/>
    <w:rsid w:val="004C1EBA"/>
    <w:rsid w:val="004C1EC5"/>
    <w:rsid w:val="004C2344"/>
    <w:rsid w:val="004C3955"/>
    <w:rsid w:val="004C46B7"/>
    <w:rsid w:val="004C5C64"/>
    <w:rsid w:val="004C65CB"/>
    <w:rsid w:val="004D2811"/>
    <w:rsid w:val="004D3447"/>
    <w:rsid w:val="004D3C7B"/>
    <w:rsid w:val="004D4660"/>
    <w:rsid w:val="004D71DE"/>
    <w:rsid w:val="004E280F"/>
    <w:rsid w:val="004E2DDA"/>
    <w:rsid w:val="004E3D54"/>
    <w:rsid w:val="004E6743"/>
    <w:rsid w:val="004E74E6"/>
    <w:rsid w:val="004E77F6"/>
    <w:rsid w:val="004F050A"/>
    <w:rsid w:val="004F130E"/>
    <w:rsid w:val="004F1935"/>
    <w:rsid w:val="004F24FC"/>
    <w:rsid w:val="004F4A11"/>
    <w:rsid w:val="004F5C71"/>
    <w:rsid w:val="004F667D"/>
    <w:rsid w:val="004F69C4"/>
    <w:rsid w:val="004F6A2B"/>
    <w:rsid w:val="004F6DA4"/>
    <w:rsid w:val="004F758B"/>
    <w:rsid w:val="004F7A5F"/>
    <w:rsid w:val="0050085A"/>
    <w:rsid w:val="00502706"/>
    <w:rsid w:val="00502B00"/>
    <w:rsid w:val="00504466"/>
    <w:rsid w:val="00505F70"/>
    <w:rsid w:val="0050646D"/>
    <w:rsid w:val="00507E20"/>
    <w:rsid w:val="00510104"/>
    <w:rsid w:val="00513365"/>
    <w:rsid w:val="00513737"/>
    <w:rsid w:val="0051377C"/>
    <w:rsid w:val="0051508C"/>
    <w:rsid w:val="00516BE5"/>
    <w:rsid w:val="0052055E"/>
    <w:rsid w:val="00520778"/>
    <w:rsid w:val="00524272"/>
    <w:rsid w:val="005247D4"/>
    <w:rsid w:val="00524AA8"/>
    <w:rsid w:val="005255A3"/>
    <w:rsid w:val="005257F8"/>
    <w:rsid w:val="00527D6C"/>
    <w:rsid w:val="00527F19"/>
    <w:rsid w:val="00531C96"/>
    <w:rsid w:val="005320A8"/>
    <w:rsid w:val="005324A4"/>
    <w:rsid w:val="00532DE7"/>
    <w:rsid w:val="00534665"/>
    <w:rsid w:val="0053563F"/>
    <w:rsid w:val="005363A6"/>
    <w:rsid w:val="00536743"/>
    <w:rsid w:val="0053683A"/>
    <w:rsid w:val="005373FC"/>
    <w:rsid w:val="00540854"/>
    <w:rsid w:val="00540880"/>
    <w:rsid w:val="00543749"/>
    <w:rsid w:val="00543A26"/>
    <w:rsid w:val="00544739"/>
    <w:rsid w:val="00545543"/>
    <w:rsid w:val="00545A41"/>
    <w:rsid w:val="00550701"/>
    <w:rsid w:val="00550C92"/>
    <w:rsid w:val="00552951"/>
    <w:rsid w:val="00553557"/>
    <w:rsid w:val="00553618"/>
    <w:rsid w:val="00553A06"/>
    <w:rsid w:val="005549EB"/>
    <w:rsid w:val="00555AD9"/>
    <w:rsid w:val="00555B0A"/>
    <w:rsid w:val="005578D4"/>
    <w:rsid w:val="005608ED"/>
    <w:rsid w:val="005619C3"/>
    <w:rsid w:val="00561B4F"/>
    <w:rsid w:val="00563AC1"/>
    <w:rsid w:val="00564E5A"/>
    <w:rsid w:val="00565F9B"/>
    <w:rsid w:val="005672EA"/>
    <w:rsid w:val="00567FCB"/>
    <w:rsid w:val="0057053F"/>
    <w:rsid w:val="00570846"/>
    <w:rsid w:val="00573BEC"/>
    <w:rsid w:val="0057430D"/>
    <w:rsid w:val="0057446C"/>
    <w:rsid w:val="00575F3F"/>
    <w:rsid w:val="00576840"/>
    <w:rsid w:val="00576967"/>
    <w:rsid w:val="00577A85"/>
    <w:rsid w:val="00580A7B"/>
    <w:rsid w:val="00580C3C"/>
    <w:rsid w:val="00581898"/>
    <w:rsid w:val="00581943"/>
    <w:rsid w:val="00582CE1"/>
    <w:rsid w:val="00584CA0"/>
    <w:rsid w:val="005854AF"/>
    <w:rsid w:val="00585D14"/>
    <w:rsid w:val="00586C5C"/>
    <w:rsid w:val="00591A3E"/>
    <w:rsid w:val="00593BA6"/>
    <w:rsid w:val="00594B33"/>
    <w:rsid w:val="0059502E"/>
    <w:rsid w:val="00596A95"/>
    <w:rsid w:val="00596EEB"/>
    <w:rsid w:val="00597F1D"/>
    <w:rsid w:val="005A25EC"/>
    <w:rsid w:val="005A3F11"/>
    <w:rsid w:val="005A4E19"/>
    <w:rsid w:val="005A522B"/>
    <w:rsid w:val="005A5975"/>
    <w:rsid w:val="005B0134"/>
    <w:rsid w:val="005B2143"/>
    <w:rsid w:val="005B3449"/>
    <w:rsid w:val="005B5956"/>
    <w:rsid w:val="005B5CE3"/>
    <w:rsid w:val="005B7A7A"/>
    <w:rsid w:val="005B7DBF"/>
    <w:rsid w:val="005C0202"/>
    <w:rsid w:val="005C1671"/>
    <w:rsid w:val="005C234A"/>
    <w:rsid w:val="005C2AC7"/>
    <w:rsid w:val="005C2FDD"/>
    <w:rsid w:val="005C3013"/>
    <w:rsid w:val="005C375C"/>
    <w:rsid w:val="005C392B"/>
    <w:rsid w:val="005C4161"/>
    <w:rsid w:val="005C4F4E"/>
    <w:rsid w:val="005C5730"/>
    <w:rsid w:val="005C5E24"/>
    <w:rsid w:val="005C5F04"/>
    <w:rsid w:val="005C650A"/>
    <w:rsid w:val="005C67B9"/>
    <w:rsid w:val="005C6CE6"/>
    <w:rsid w:val="005C6D49"/>
    <w:rsid w:val="005C6DB7"/>
    <w:rsid w:val="005C7231"/>
    <w:rsid w:val="005C7BFB"/>
    <w:rsid w:val="005D06DC"/>
    <w:rsid w:val="005D0898"/>
    <w:rsid w:val="005D26A2"/>
    <w:rsid w:val="005D4AD7"/>
    <w:rsid w:val="005D5EFD"/>
    <w:rsid w:val="005D5F35"/>
    <w:rsid w:val="005E0378"/>
    <w:rsid w:val="005E0956"/>
    <w:rsid w:val="005E2695"/>
    <w:rsid w:val="005E3465"/>
    <w:rsid w:val="005E3518"/>
    <w:rsid w:val="005E4B4B"/>
    <w:rsid w:val="005E64A1"/>
    <w:rsid w:val="005E71FD"/>
    <w:rsid w:val="005E7525"/>
    <w:rsid w:val="005E7853"/>
    <w:rsid w:val="005E7B47"/>
    <w:rsid w:val="005E7B65"/>
    <w:rsid w:val="005F0D86"/>
    <w:rsid w:val="005F1F23"/>
    <w:rsid w:val="005F210D"/>
    <w:rsid w:val="005F2113"/>
    <w:rsid w:val="005F2AD7"/>
    <w:rsid w:val="005F39F7"/>
    <w:rsid w:val="005F4112"/>
    <w:rsid w:val="005F43B2"/>
    <w:rsid w:val="005F60C7"/>
    <w:rsid w:val="005F71A4"/>
    <w:rsid w:val="005F79BD"/>
    <w:rsid w:val="005F7CA5"/>
    <w:rsid w:val="006001BA"/>
    <w:rsid w:val="006008EF"/>
    <w:rsid w:val="0060181C"/>
    <w:rsid w:val="00604CB1"/>
    <w:rsid w:val="0060566A"/>
    <w:rsid w:val="00605F8C"/>
    <w:rsid w:val="00606C3B"/>
    <w:rsid w:val="00606D9E"/>
    <w:rsid w:val="00606DA4"/>
    <w:rsid w:val="006070BB"/>
    <w:rsid w:val="00607DFE"/>
    <w:rsid w:val="0061057D"/>
    <w:rsid w:val="006106AE"/>
    <w:rsid w:val="0061243A"/>
    <w:rsid w:val="00613108"/>
    <w:rsid w:val="00613C1B"/>
    <w:rsid w:val="00616F4A"/>
    <w:rsid w:val="006204C5"/>
    <w:rsid w:val="00620693"/>
    <w:rsid w:val="006224FF"/>
    <w:rsid w:val="00623475"/>
    <w:rsid w:val="0062511D"/>
    <w:rsid w:val="006261CF"/>
    <w:rsid w:val="00627501"/>
    <w:rsid w:val="006279E5"/>
    <w:rsid w:val="00630E8D"/>
    <w:rsid w:val="006321A4"/>
    <w:rsid w:val="00632524"/>
    <w:rsid w:val="00634129"/>
    <w:rsid w:val="00634E60"/>
    <w:rsid w:val="006355A5"/>
    <w:rsid w:val="00636293"/>
    <w:rsid w:val="006367EC"/>
    <w:rsid w:val="00640321"/>
    <w:rsid w:val="00641349"/>
    <w:rsid w:val="00642ECF"/>
    <w:rsid w:val="0064305A"/>
    <w:rsid w:val="00643173"/>
    <w:rsid w:val="00643D56"/>
    <w:rsid w:val="00644A4F"/>
    <w:rsid w:val="00644D5D"/>
    <w:rsid w:val="00645BAD"/>
    <w:rsid w:val="00646CB3"/>
    <w:rsid w:val="00647363"/>
    <w:rsid w:val="00650306"/>
    <w:rsid w:val="006504AC"/>
    <w:rsid w:val="0065051F"/>
    <w:rsid w:val="00650AA7"/>
    <w:rsid w:val="00650DBA"/>
    <w:rsid w:val="00651022"/>
    <w:rsid w:val="00651BCB"/>
    <w:rsid w:val="00651FD7"/>
    <w:rsid w:val="006527F9"/>
    <w:rsid w:val="006546A9"/>
    <w:rsid w:val="006555CE"/>
    <w:rsid w:val="00657371"/>
    <w:rsid w:val="006575BF"/>
    <w:rsid w:val="00657EA5"/>
    <w:rsid w:val="00660096"/>
    <w:rsid w:val="006606FA"/>
    <w:rsid w:val="006608CD"/>
    <w:rsid w:val="006612C1"/>
    <w:rsid w:val="00662894"/>
    <w:rsid w:val="00663575"/>
    <w:rsid w:val="0066472F"/>
    <w:rsid w:val="00664873"/>
    <w:rsid w:val="006656BC"/>
    <w:rsid w:val="00665918"/>
    <w:rsid w:val="006660EA"/>
    <w:rsid w:val="00666938"/>
    <w:rsid w:val="00666F14"/>
    <w:rsid w:val="00670182"/>
    <w:rsid w:val="00670249"/>
    <w:rsid w:val="006707C1"/>
    <w:rsid w:val="00671668"/>
    <w:rsid w:val="006746B9"/>
    <w:rsid w:val="0067662D"/>
    <w:rsid w:val="00676B37"/>
    <w:rsid w:val="0068008B"/>
    <w:rsid w:val="006808AC"/>
    <w:rsid w:val="00680F50"/>
    <w:rsid w:val="00682C57"/>
    <w:rsid w:val="00682DF5"/>
    <w:rsid w:val="0068535B"/>
    <w:rsid w:val="00685777"/>
    <w:rsid w:val="00686B5F"/>
    <w:rsid w:val="006875B5"/>
    <w:rsid w:val="00687808"/>
    <w:rsid w:val="006878EF"/>
    <w:rsid w:val="00690558"/>
    <w:rsid w:val="006921A6"/>
    <w:rsid w:val="006921AE"/>
    <w:rsid w:val="00692AA1"/>
    <w:rsid w:val="006933A0"/>
    <w:rsid w:val="00693842"/>
    <w:rsid w:val="00693F12"/>
    <w:rsid w:val="006940F3"/>
    <w:rsid w:val="00694124"/>
    <w:rsid w:val="00694358"/>
    <w:rsid w:val="0069466D"/>
    <w:rsid w:val="00694831"/>
    <w:rsid w:val="006951D0"/>
    <w:rsid w:val="00695F6A"/>
    <w:rsid w:val="006974C5"/>
    <w:rsid w:val="006A09DB"/>
    <w:rsid w:val="006A2438"/>
    <w:rsid w:val="006A26BB"/>
    <w:rsid w:val="006A3707"/>
    <w:rsid w:val="006A3A21"/>
    <w:rsid w:val="006A41CA"/>
    <w:rsid w:val="006A4312"/>
    <w:rsid w:val="006A4B85"/>
    <w:rsid w:val="006A5A1C"/>
    <w:rsid w:val="006A5F94"/>
    <w:rsid w:val="006A6468"/>
    <w:rsid w:val="006B0DA8"/>
    <w:rsid w:val="006B1F87"/>
    <w:rsid w:val="006B249C"/>
    <w:rsid w:val="006B3D28"/>
    <w:rsid w:val="006B3D2B"/>
    <w:rsid w:val="006B57DF"/>
    <w:rsid w:val="006B5922"/>
    <w:rsid w:val="006B5B4B"/>
    <w:rsid w:val="006C05D4"/>
    <w:rsid w:val="006C06AE"/>
    <w:rsid w:val="006C1042"/>
    <w:rsid w:val="006C20F0"/>
    <w:rsid w:val="006C27A3"/>
    <w:rsid w:val="006C28FC"/>
    <w:rsid w:val="006C3BFF"/>
    <w:rsid w:val="006C45D5"/>
    <w:rsid w:val="006C50A9"/>
    <w:rsid w:val="006C558E"/>
    <w:rsid w:val="006C6BF2"/>
    <w:rsid w:val="006D0703"/>
    <w:rsid w:val="006D0C1D"/>
    <w:rsid w:val="006D2A58"/>
    <w:rsid w:val="006D31F1"/>
    <w:rsid w:val="006D392B"/>
    <w:rsid w:val="006D3B4F"/>
    <w:rsid w:val="006D5670"/>
    <w:rsid w:val="006D6A6C"/>
    <w:rsid w:val="006D6DD5"/>
    <w:rsid w:val="006E1720"/>
    <w:rsid w:val="006E3820"/>
    <w:rsid w:val="006E3A2C"/>
    <w:rsid w:val="006E3E7E"/>
    <w:rsid w:val="006E409A"/>
    <w:rsid w:val="006E41E0"/>
    <w:rsid w:val="006E5496"/>
    <w:rsid w:val="006E69BC"/>
    <w:rsid w:val="006E7982"/>
    <w:rsid w:val="006F086B"/>
    <w:rsid w:val="006F0DD5"/>
    <w:rsid w:val="006F0E07"/>
    <w:rsid w:val="006F1AB9"/>
    <w:rsid w:val="006F1C15"/>
    <w:rsid w:val="006F24E5"/>
    <w:rsid w:val="006F3B1E"/>
    <w:rsid w:val="006F4B01"/>
    <w:rsid w:val="006F511B"/>
    <w:rsid w:val="006F5D99"/>
    <w:rsid w:val="0070116D"/>
    <w:rsid w:val="007013E4"/>
    <w:rsid w:val="007014F2"/>
    <w:rsid w:val="0070164F"/>
    <w:rsid w:val="007019F0"/>
    <w:rsid w:val="00702112"/>
    <w:rsid w:val="007044D3"/>
    <w:rsid w:val="007045BA"/>
    <w:rsid w:val="007070CA"/>
    <w:rsid w:val="00710B00"/>
    <w:rsid w:val="0071153A"/>
    <w:rsid w:val="00713103"/>
    <w:rsid w:val="00714826"/>
    <w:rsid w:val="007171CE"/>
    <w:rsid w:val="00720997"/>
    <w:rsid w:val="00720CDC"/>
    <w:rsid w:val="00723892"/>
    <w:rsid w:val="00724298"/>
    <w:rsid w:val="00724570"/>
    <w:rsid w:val="0072490A"/>
    <w:rsid w:val="00726C7B"/>
    <w:rsid w:val="0073038D"/>
    <w:rsid w:val="00731AB5"/>
    <w:rsid w:val="00731EF6"/>
    <w:rsid w:val="00732906"/>
    <w:rsid w:val="0073290C"/>
    <w:rsid w:val="00733AB6"/>
    <w:rsid w:val="007348B6"/>
    <w:rsid w:val="00734AB2"/>
    <w:rsid w:val="00734B21"/>
    <w:rsid w:val="007353CC"/>
    <w:rsid w:val="00735FC3"/>
    <w:rsid w:val="00736335"/>
    <w:rsid w:val="00736ECC"/>
    <w:rsid w:val="00736F89"/>
    <w:rsid w:val="0074141C"/>
    <w:rsid w:val="00741470"/>
    <w:rsid w:val="00741CF9"/>
    <w:rsid w:val="007421F3"/>
    <w:rsid w:val="007451AD"/>
    <w:rsid w:val="00745E8D"/>
    <w:rsid w:val="0074618D"/>
    <w:rsid w:val="00746D32"/>
    <w:rsid w:val="00746F58"/>
    <w:rsid w:val="00747269"/>
    <w:rsid w:val="0075032E"/>
    <w:rsid w:val="00750F49"/>
    <w:rsid w:val="00751D45"/>
    <w:rsid w:val="00751F0D"/>
    <w:rsid w:val="0075343F"/>
    <w:rsid w:val="007541B4"/>
    <w:rsid w:val="00754837"/>
    <w:rsid w:val="00754C94"/>
    <w:rsid w:val="00755247"/>
    <w:rsid w:val="00756C0B"/>
    <w:rsid w:val="00760343"/>
    <w:rsid w:val="00760B5F"/>
    <w:rsid w:val="00761DE3"/>
    <w:rsid w:val="00762296"/>
    <w:rsid w:val="007622FC"/>
    <w:rsid w:val="00763966"/>
    <w:rsid w:val="0076718A"/>
    <w:rsid w:val="00767C70"/>
    <w:rsid w:val="00767D84"/>
    <w:rsid w:val="0077172C"/>
    <w:rsid w:val="00771F80"/>
    <w:rsid w:val="00772118"/>
    <w:rsid w:val="00773AA4"/>
    <w:rsid w:val="00774A0D"/>
    <w:rsid w:val="00775A5B"/>
    <w:rsid w:val="00776270"/>
    <w:rsid w:val="007764C5"/>
    <w:rsid w:val="0078008E"/>
    <w:rsid w:val="007803A0"/>
    <w:rsid w:val="00780B10"/>
    <w:rsid w:val="00781C2B"/>
    <w:rsid w:val="00782406"/>
    <w:rsid w:val="0078287A"/>
    <w:rsid w:val="00783D4C"/>
    <w:rsid w:val="00785377"/>
    <w:rsid w:val="007859E7"/>
    <w:rsid w:val="0078604C"/>
    <w:rsid w:val="00786CF1"/>
    <w:rsid w:val="00787156"/>
    <w:rsid w:val="0079041E"/>
    <w:rsid w:val="00790434"/>
    <w:rsid w:val="00790607"/>
    <w:rsid w:val="00790BC0"/>
    <w:rsid w:val="007920CE"/>
    <w:rsid w:val="00792970"/>
    <w:rsid w:val="007929D2"/>
    <w:rsid w:val="00792D3D"/>
    <w:rsid w:val="00792D4A"/>
    <w:rsid w:val="00793BA8"/>
    <w:rsid w:val="00794905"/>
    <w:rsid w:val="00795588"/>
    <w:rsid w:val="00796D8E"/>
    <w:rsid w:val="007979B6"/>
    <w:rsid w:val="00797ADE"/>
    <w:rsid w:val="007A1EE5"/>
    <w:rsid w:val="007A2249"/>
    <w:rsid w:val="007A2FEE"/>
    <w:rsid w:val="007A4976"/>
    <w:rsid w:val="007A5214"/>
    <w:rsid w:val="007A68BC"/>
    <w:rsid w:val="007B0E88"/>
    <w:rsid w:val="007B10D2"/>
    <w:rsid w:val="007B20C2"/>
    <w:rsid w:val="007B3D00"/>
    <w:rsid w:val="007B5EB6"/>
    <w:rsid w:val="007B7C6F"/>
    <w:rsid w:val="007C0D50"/>
    <w:rsid w:val="007C3991"/>
    <w:rsid w:val="007C4C9B"/>
    <w:rsid w:val="007C62B7"/>
    <w:rsid w:val="007C679C"/>
    <w:rsid w:val="007C6D65"/>
    <w:rsid w:val="007D0DAD"/>
    <w:rsid w:val="007D2F82"/>
    <w:rsid w:val="007D397A"/>
    <w:rsid w:val="007D4DD9"/>
    <w:rsid w:val="007D5061"/>
    <w:rsid w:val="007D52E1"/>
    <w:rsid w:val="007D552C"/>
    <w:rsid w:val="007D5D80"/>
    <w:rsid w:val="007D79C3"/>
    <w:rsid w:val="007E0C89"/>
    <w:rsid w:val="007E0F0E"/>
    <w:rsid w:val="007E1F52"/>
    <w:rsid w:val="007E2C28"/>
    <w:rsid w:val="007E2F0E"/>
    <w:rsid w:val="007E31D3"/>
    <w:rsid w:val="007E5F1D"/>
    <w:rsid w:val="007E6B73"/>
    <w:rsid w:val="007E7DB7"/>
    <w:rsid w:val="007F0332"/>
    <w:rsid w:val="007F0FBA"/>
    <w:rsid w:val="007F1205"/>
    <w:rsid w:val="007F23BE"/>
    <w:rsid w:val="007F4134"/>
    <w:rsid w:val="007F54B0"/>
    <w:rsid w:val="007F5B5F"/>
    <w:rsid w:val="007F690C"/>
    <w:rsid w:val="007F748E"/>
    <w:rsid w:val="0080155A"/>
    <w:rsid w:val="00801BD0"/>
    <w:rsid w:val="00804A54"/>
    <w:rsid w:val="00805281"/>
    <w:rsid w:val="008059F8"/>
    <w:rsid w:val="00805BAA"/>
    <w:rsid w:val="0080766C"/>
    <w:rsid w:val="0081083B"/>
    <w:rsid w:val="00812100"/>
    <w:rsid w:val="0081246C"/>
    <w:rsid w:val="008154AB"/>
    <w:rsid w:val="008165AA"/>
    <w:rsid w:val="0081693A"/>
    <w:rsid w:val="00816A44"/>
    <w:rsid w:val="00816EBA"/>
    <w:rsid w:val="0081718D"/>
    <w:rsid w:val="00817DEE"/>
    <w:rsid w:val="00820846"/>
    <w:rsid w:val="00820927"/>
    <w:rsid w:val="00821F7E"/>
    <w:rsid w:val="0082228A"/>
    <w:rsid w:val="008232C1"/>
    <w:rsid w:val="00823BB1"/>
    <w:rsid w:val="0082417C"/>
    <w:rsid w:val="00824D31"/>
    <w:rsid w:val="00824EFE"/>
    <w:rsid w:val="00825129"/>
    <w:rsid w:val="00826789"/>
    <w:rsid w:val="00826B27"/>
    <w:rsid w:val="00826BD3"/>
    <w:rsid w:val="00827156"/>
    <w:rsid w:val="00827E2D"/>
    <w:rsid w:val="0083029D"/>
    <w:rsid w:val="00830B1C"/>
    <w:rsid w:val="0083226A"/>
    <w:rsid w:val="00834E34"/>
    <w:rsid w:val="0084021C"/>
    <w:rsid w:val="00840DFD"/>
    <w:rsid w:val="0084155C"/>
    <w:rsid w:val="0084160B"/>
    <w:rsid w:val="00841E8D"/>
    <w:rsid w:val="00841F54"/>
    <w:rsid w:val="008437D2"/>
    <w:rsid w:val="00843AE9"/>
    <w:rsid w:val="00844ACA"/>
    <w:rsid w:val="00845006"/>
    <w:rsid w:val="00845232"/>
    <w:rsid w:val="00850004"/>
    <w:rsid w:val="00850611"/>
    <w:rsid w:val="00852633"/>
    <w:rsid w:val="00852DD4"/>
    <w:rsid w:val="00853BDE"/>
    <w:rsid w:val="00854266"/>
    <w:rsid w:val="008548D2"/>
    <w:rsid w:val="00855E28"/>
    <w:rsid w:val="00857852"/>
    <w:rsid w:val="00860EDB"/>
    <w:rsid w:val="00862EC3"/>
    <w:rsid w:val="008644CC"/>
    <w:rsid w:val="008644D1"/>
    <w:rsid w:val="00866327"/>
    <w:rsid w:val="00866854"/>
    <w:rsid w:val="00866E8F"/>
    <w:rsid w:val="00867293"/>
    <w:rsid w:val="00870652"/>
    <w:rsid w:val="00870F09"/>
    <w:rsid w:val="00872C87"/>
    <w:rsid w:val="0087310A"/>
    <w:rsid w:val="008742DE"/>
    <w:rsid w:val="008746E1"/>
    <w:rsid w:val="00876754"/>
    <w:rsid w:val="00877C65"/>
    <w:rsid w:val="0088017E"/>
    <w:rsid w:val="008809BA"/>
    <w:rsid w:val="00880FF8"/>
    <w:rsid w:val="00881400"/>
    <w:rsid w:val="00882692"/>
    <w:rsid w:val="00882911"/>
    <w:rsid w:val="00884A30"/>
    <w:rsid w:val="008869C3"/>
    <w:rsid w:val="00886A86"/>
    <w:rsid w:val="00886B61"/>
    <w:rsid w:val="008901AB"/>
    <w:rsid w:val="00890CD5"/>
    <w:rsid w:val="0089132A"/>
    <w:rsid w:val="008927F4"/>
    <w:rsid w:val="0089372A"/>
    <w:rsid w:val="008937FC"/>
    <w:rsid w:val="0089435E"/>
    <w:rsid w:val="008955B6"/>
    <w:rsid w:val="008956EC"/>
    <w:rsid w:val="00896A49"/>
    <w:rsid w:val="00896D53"/>
    <w:rsid w:val="00897840"/>
    <w:rsid w:val="0089796F"/>
    <w:rsid w:val="008A0EB2"/>
    <w:rsid w:val="008A13AA"/>
    <w:rsid w:val="008A1A20"/>
    <w:rsid w:val="008A1E7B"/>
    <w:rsid w:val="008A2356"/>
    <w:rsid w:val="008A2B18"/>
    <w:rsid w:val="008A3A96"/>
    <w:rsid w:val="008A4EE3"/>
    <w:rsid w:val="008A51D3"/>
    <w:rsid w:val="008A6D7E"/>
    <w:rsid w:val="008B19EE"/>
    <w:rsid w:val="008B1F9C"/>
    <w:rsid w:val="008B295F"/>
    <w:rsid w:val="008B2BFD"/>
    <w:rsid w:val="008B2F1A"/>
    <w:rsid w:val="008B5512"/>
    <w:rsid w:val="008B5740"/>
    <w:rsid w:val="008B6D96"/>
    <w:rsid w:val="008C0E76"/>
    <w:rsid w:val="008C1443"/>
    <w:rsid w:val="008C2176"/>
    <w:rsid w:val="008C21B9"/>
    <w:rsid w:val="008C73A5"/>
    <w:rsid w:val="008C7F23"/>
    <w:rsid w:val="008D365A"/>
    <w:rsid w:val="008D6438"/>
    <w:rsid w:val="008D66D1"/>
    <w:rsid w:val="008D67AC"/>
    <w:rsid w:val="008E007F"/>
    <w:rsid w:val="008E0330"/>
    <w:rsid w:val="008E08C9"/>
    <w:rsid w:val="008E133C"/>
    <w:rsid w:val="008E1AA6"/>
    <w:rsid w:val="008E279A"/>
    <w:rsid w:val="008E2A6C"/>
    <w:rsid w:val="008E5614"/>
    <w:rsid w:val="008E56FB"/>
    <w:rsid w:val="008E571A"/>
    <w:rsid w:val="008E7434"/>
    <w:rsid w:val="008E7633"/>
    <w:rsid w:val="008F02BB"/>
    <w:rsid w:val="008F0FA3"/>
    <w:rsid w:val="008F287D"/>
    <w:rsid w:val="008F2E45"/>
    <w:rsid w:val="008F3564"/>
    <w:rsid w:val="008F3753"/>
    <w:rsid w:val="00902148"/>
    <w:rsid w:val="009023C7"/>
    <w:rsid w:val="00903B17"/>
    <w:rsid w:val="00905719"/>
    <w:rsid w:val="009061BC"/>
    <w:rsid w:val="009065C4"/>
    <w:rsid w:val="00906743"/>
    <w:rsid w:val="00906E95"/>
    <w:rsid w:val="00907075"/>
    <w:rsid w:val="00907221"/>
    <w:rsid w:val="00910CCC"/>
    <w:rsid w:val="00910E35"/>
    <w:rsid w:val="00911BC6"/>
    <w:rsid w:val="009138D8"/>
    <w:rsid w:val="0091427D"/>
    <w:rsid w:val="009168FE"/>
    <w:rsid w:val="00917565"/>
    <w:rsid w:val="0092010F"/>
    <w:rsid w:val="00920C05"/>
    <w:rsid w:val="00921B42"/>
    <w:rsid w:val="009227FF"/>
    <w:rsid w:val="009241F0"/>
    <w:rsid w:val="009251BD"/>
    <w:rsid w:val="00926035"/>
    <w:rsid w:val="00926165"/>
    <w:rsid w:val="00930563"/>
    <w:rsid w:val="00930E2A"/>
    <w:rsid w:val="00931F67"/>
    <w:rsid w:val="009330B6"/>
    <w:rsid w:val="00937138"/>
    <w:rsid w:val="00937781"/>
    <w:rsid w:val="009415B4"/>
    <w:rsid w:val="00942E0F"/>
    <w:rsid w:val="00942E66"/>
    <w:rsid w:val="00943409"/>
    <w:rsid w:val="00943844"/>
    <w:rsid w:val="00944F3C"/>
    <w:rsid w:val="00945753"/>
    <w:rsid w:val="00945AE7"/>
    <w:rsid w:val="00945E35"/>
    <w:rsid w:val="00946882"/>
    <w:rsid w:val="0094713D"/>
    <w:rsid w:val="009478B1"/>
    <w:rsid w:val="00950056"/>
    <w:rsid w:val="009500AB"/>
    <w:rsid w:val="00950273"/>
    <w:rsid w:val="009504A3"/>
    <w:rsid w:val="009506A2"/>
    <w:rsid w:val="0095392D"/>
    <w:rsid w:val="00954977"/>
    <w:rsid w:val="00955319"/>
    <w:rsid w:val="00955798"/>
    <w:rsid w:val="00956031"/>
    <w:rsid w:val="00957116"/>
    <w:rsid w:val="009604A6"/>
    <w:rsid w:val="00960DB4"/>
    <w:rsid w:val="009612CF"/>
    <w:rsid w:val="00962485"/>
    <w:rsid w:val="00963C86"/>
    <w:rsid w:val="00964F90"/>
    <w:rsid w:val="009655DE"/>
    <w:rsid w:val="00965DC5"/>
    <w:rsid w:val="00966EA8"/>
    <w:rsid w:val="00966FB2"/>
    <w:rsid w:val="00967014"/>
    <w:rsid w:val="0096711D"/>
    <w:rsid w:val="009671C5"/>
    <w:rsid w:val="00967940"/>
    <w:rsid w:val="00967970"/>
    <w:rsid w:val="00967F9B"/>
    <w:rsid w:val="00970C6A"/>
    <w:rsid w:val="009712CA"/>
    <w:rsid w:val="0097141C"/>
    <w:rsid w:val="00972A13"/>
    <w:rsid w:val="00972E61"/>
    <w:rsid w:val="00975C4E"/>
    <w:rsid w:val="00977089"/>
    <w:rsid w:val="0098085F"/>
    <w:rsid w:val="00980BCD"/>
    <w:rsid w:val="00981522"/>
    <w:rsid w:val="009822DE"/>
    <w:rsid w:val="00983E09"/>
    <w:rsid w:val="009843D8"/>
    <w:rsid w:val="009847F7"/>
    <w:rsid w:val="00985902"/>
    <w:rsid w:val="009862E6"/>
    <w:rsid w:val="00987333"/>
    <w:rsid w:val="00987733"/>
    <w:rsid w:val="0099086D"/>
    <w:rsid w:val="00990E00"/>
    <w:rsid w:val="00992B68"/>
    <w:rsid w:val="00992EB4"/>
    <w:rsid w:val="00993295"/>
    <w:rsid w:val="0099790C"/>
    <w:rsid w:val="00997B73"/>
    <w:rsid w:val="009A0329"/>
    <w:rsid w:val="009A0E03"/>
    <w:rsid w:val="009A116E"/>
    <w:rsid w:val="009A1BCE"/>
    <w:rsid w:val="009A2476"/>
    <w:rsid w:val="009A2E2D"/>
    <w:rsid w:val="009A31DB"/>
    <w:rsid w:val="009A42F0"/>
    <w:rsid w:val="009A5D93"/>
    <w:rsid w:val="009A61B1"/>
    <w:rsid w:val="009A6BE8"/>
    <w:rsid w:val="009A75FB"/>
    <w:rsid w:val="009A796E"/>
    <w:rsid w:val="009A7ABF"/>
    <w:rsid w:val="009A7C80"/>
    <w:rsid w:val="009B00E3"/>
    <w:rsid w:val="009B0F23"/>
    <w:rsid w:val="009B178C"/>
    <w:rsid w:val="009B294F"/>
    <w:rsid w:val="009B3160"/>
    <w:rsid w:val="009B33EE"/>
    <w:rsid w:val="009B39AA"/>
    <w:rsid w:val="009B3FB8"/>
    <w:rsid w:val="009B6E73"/>
    <w:rsid w:val="009B7140"/>
    <w:rsid w:val="009C0151"/>
    <w:rsid w:val="009C01CF"/>
    <w:rsid w:val="009C1813"/>
    <w:rsid w:val="009C29D1"/>
    <w:rsid w:val="009C458B"/>
    <w:rsid w:val="009C747C"/>
    <w:rsid w:val="009C75B3"/>
    <w:rsid w:val="009D0946"/>
    <w:rsid w:val="009D160A"/>
    <w:rsid w:val="009D3CDB"/>
    <w:rsid w:val="009D5150"/>
    <w:rsid w:val="009D6966"/>
    <w:rsid w:val="009E02C0"/>
    <w:rsid w:val="009E041D"/>
    <w:rsid w:val="009E05FB"/>
    <w:rsid w:val="009E192C"/>
    <w:rsid w:val="009E24B7"/>
    <w:rsid w:val="009E2B53"/>
    <w:rsid w:val="009E3476"/>
    <w:rsid w:val="009E3D68"/>
    <w:rsid w:val="009E4C84"/>
    <w:rsid w:val="009E5C69"/>
    <w:rsid w:val="009E6386"/>
    <w:rsid w:val="009F069C"/>
    <w:rsid w:val="009F1451"/>
    <w:rsid w:val="009F1C13"/>
    <w:rsid w:val="009F1D56"/>
    <w:rsid w:val="009F21E5"/>
    <w:rsid w:val="009F48EB"/>
    <w:rsid w:val="009F71DA"/>
    <w:rsid w:val="009F742E"/>
    <w:rsid w:val="00A0133D"/>
    <w:rsid w:val="00A01781"/>
    <w:rsid w:val="00A01A34"/>
    <w:rsid w:val="00A0371D"/>
    <w:rsid w:val="00A03B2A"/>
    <w:rsid w:val="00A04E8F"/>
    <w:rsid w:val="00A0638B"/>
    <w:rsid w:val="00A06664"/>
    <w:rsid w:val="00A0711D"/>
    <w:rsid w:val="00A0778E"/>
    <w:rsid w:val="00A1008E"/>
    <w:rsid w:val="00A10912"/>
    <w:rsid w:val="00A112DE"/>
    <w:rsid w:val="00A11DBD"/>
    <w:rsid w:val="00A1240D"/>
    <w:rsid w:val="00A13468"/>
    <w:rsid w:val="00A136FB"/>
    <w:rsid w:val="00A13BAC"/>
    <w:rsid w:val="00A13FF6"/>
    <w:rsid w:val="00A15F86"/>
    <w:rsid w:val="00A16646"/>
    <w:rsid w:val="00A16964"/>
    <w:rsid w:val="00A169DF"/>
    <w:rsid w:val="00A17559"/>
    <w:rsid w:val="00A177B9"/>
    <w:rsid w:val="00A20431"/>
    <w:rsid w:val="00A21651"/>
    <w:rsid w:val="00A22508"/>
    <w:rsid w:val="00A22C4B"/>
    <w:rsid w:val="00A253B2"/>
    <w:rsid w:val="00A25C0F"/>
    <w:rsid w:val="00A25DCA"/>
    <w:rsid w:val="00A2660B"/>
    <w:rsid w:val="00A27664"/>
    <w:rsid w:val="00A27988"/>
    <w:rsid w:val="00A30C7C"/>
    <w:rsid w:val="00A320A9"/>
    <w:rsid w:val="00A32371"/>
    <w:rsid w:val="00A327C2"/>
    <w:rsid w:val="00A338F8"/>
    <w:rsid w:val="00A3785F"/>
    <w:rsid w:val="00A379E2"/>
    <w:rsid w:val="00A4076D"/>
    <w:rsid w:val="00A40BCD"/>
    <w:rsid w:val="00A40C8E"/>
    <w:rsid w:val="00A43639"/>
    <w:rsid w:val="00A44829"/>
    <w:rsid w:val="00A45CC3"/>
    <w:rsid w:val="00A51D3B"/>
    <w:rsid w:val="00A52B6E"/>
    <w:rsid w:val="00A52C01"/>
    <w:rsid w:val="00A579A3"/>
    <w:rsid w:val="00A60139"/>
    <w:rsid w:val="00A60994"/>
    <w:rsid w:val="00A60CEC"/>
    <w:rsid w:val="00A61B76"/>
    <w:rsid w:val="00A61FD3"/>
    <w:rsid w:val="00A62060"/>
    <w:rsid w:val="00A628C1"/>
    <w:rsid w:val="00A6397D"/>
    <w:rsid w:val="00A648D2"/>
    <w:rsid w:val="00A648D9"/>
    <w:rsid w:val="00A64A4B"/>
    <w:rsid w:val="00A65AB8"/>
    <w:rsid w:val="00A66E9A"/>
    <w:rsid w:val="00A6709F"/>
    <w:rsid w:val="00A6753D"/>
    <w:rsid w:val="00A67BC1"/>
    <w:rsid w:val="00A70263"/>
    <w:rsid w:val="00A70EF1"/>
    <w:rsid w:val="00A7168F"/>
    <w:rsid w:val="00A72318"/>
    <w:rsid w:val="00A7260E"/>
    <w:rsid w:val="00A72B12"/>
    <w:rsid w:val="00A77D19"/>
    <w:rsid w:val="00A80633"/>
    <w:rsid w:val="00A8097B"/>
    <w:rsid w:val="00A80FAC"/>
    <w:rsid w:val="00A8240A"/>
    <w:rsid w:val="00A82CC7"/>
    <w:rsid w:val="00A83D08"/>
    <w:rsid w:val="00A84CBB"/>
    <w:rsid w:val="00A87971"/>
    <w:rsid w:val="00A9022D"/>
    <w:rsid w:val="00A906B3"/>
    <w:rsid w:val="00A906CB"/>
    <w:rsid w:val="00A90F25"/>
    <w:rsid w:val="00A9396C"/>
    <w:rsid w:val="00A960AA"/>
    <w:rsid w:val="00A96CC6"/>
    <w:rsid w:val="00A96F2A"/>
    <w:rsid w:val="00A97C3B"/>
    <w:rsid w:val="00A97CAD"/>
    <w:rsid w:val="00AA244F"/>
    <w:rsid w:val="00AA2EB3"/>
    <w:rsid w:val="00AA6398"/>
    <w:rsid w:val="00AA6ADF"/>
    <w:rsid w:val="00AA72D8"/>
    <w:rsid w:val="00AA7CD2"/>
    <w:rsid w:val="00AB11E6"/>
    <w:rsid w:val="00AB172C"/>
    <w:rsid w:val="00AB22C5"/>
    <w:rsid w:val="00AB23BE"/>
    <w:rsid w:val="00AB2ABB"/>
    <w:rsid w:val="00AB3326"/>
    <w:rsid w:val="00AB3BA6"/>
    <w:rsid w:val="00AB3D6E"/>
    <w:rsid w:val="00AB435C"/>
    <w:rsid w:val="00AB5061"/>
    <w:rsid w:val="00AB630C"/>
    <w:rsid w:val="00AB6B8C"/>
    <w:rsid w:val="00AC09F3"/>
    <w:rsid w:val="00AC19DF"/>
    <w:rsid w:val="00AC1F37"/>
    <w:rsid w:val="00AC23B2"/>
    <w:rsid w:val="00AC38EA"/>
    <w:rsid w:val="00AC71FC"/>
    <w:rsid w:val="00AC73A1"/>
    <w:rsid w:val="00AC7DF7"/>
    <w:rsid w:val="00AD0625"/>
    <w:rsid w:val="00AD0F89"/>
    <w:rsid w:val="00AD22E0"/>
    <w:rsid w:val="00AD2743"/>
    <w:rsid w:val="00AD330B"/>
    <w:rsid w:val="00AD3B3A"/>
    <w:rsid w:val="00AD477E"/>
    <w:rsid w:val="00AD6A67"/>
    <w:rsid w:val="00AD72C3"/>
    <w:rsid w:val="00AD7A57"/>
    <w:rsid w:val="00AD7C46"/>
    <w:rsid w:val="00AE0E78"/>
    <w:rsid w:val="00AE0EB4"/>
    <w:rsid w:val="00AE12C8"/>
    <w:rsid w:val="00AE286D"/>
    <w:rsid w:val="00AE2F7D"/>
    <w:rsid w:val="00AE2FCC"/>
    <w:rsid w:val="00AE31D5"/>
    <w:rsid w:val="00AE4145"/>
    <w:rsid w:val="00AF08A8"/>
    <w:rsid w:val="00AF0EC6"/>
    <w:rsid w:val="00AF1446"/>
    <w:rsid w:val="00AF4760"/>
    <w:rsid w:val="00AF713B"/>
    <w:rsid w:val="00AF74EE"/>
    <w:rsid w:val="00AF7F27"/>
    <w:rsid w:val="00B02077"/>
    <w:rsid w:val="00B057E1"/>
    <w:rsid w:val="00B05881"/>
    <w:rsid w:val="00B068ED"/>
    <w:rsid w:val="00B0700E"/>
    <w:rsid w:val="00B0795C"/>
    <w:rsid w:val="00B07FD7"/>
    <w:rsid w:val="00B10C96"/>
    <w:rsid w:val="00B1122E"/>
    <w:rsid w:val="00B13635"/>
    <w:rsid w:val="00B16780"/>
    <w:rsid w:val="00B167BA"/>
    <w:rsid w:val="00B17DC9"/>
    <w:rsid w:val="00B20CCB"/>
    <w:rsid w:val="00B2109F"/>
    <w:rsid w:val="00B2248F"/>
    <w:rsid w:val="00B22E10"/>
    <w:rsid w:val="00B246D2"/>
    <w:rsid w:val="00B24CA6"/>
    <w:rsid w:val="00B24FCB"/>
    <w:rsid w:val="00B26191"/>
    <w:rsid w:val="00B26A35"/>
    <w:rsid w:val="00B26D60"/>
    <w:rsid w:val="00B27AE6"/>
    <w:rsid w:val="00B27D68"/>
    <w:rsid w:val="00B27EDD"/>
    <w:rsid w:val="00B312ED"/>
    <w:rsid w:val="00B334A1"/>
    <w:rsid w:val="00B33A05"/>
    <w:rsid w:val="00B36590"/>
    <w:rsid w:val="00B3744B"/>
    <w:rsid w:val="00B374B6"/>
    <w:rsid w:val="00B37ACD"/>
    <w:rsid w:val="00B4173A"/>
    <w:rsid w:val="00B44B4E"/>
    <w:rsid w:val="00B44C90"/>
    <w:rsid w:val="00B46044"/>
    <w:rsid w:val="00B46B4F"/>
    <w:rsid w:val="00B4792A"/>
    <w:rsid w:val="00B47F68"/>
    <w:rsid w:val="00B52BE6"/>
    <w:rsid w:val="00B5771B"/>
    <w:rsid w:val="00B57FE6"/>
    <w:rsid w:val="00B60A75"/>
    <w:rsid w:val="00B610A2"/>
    <w:rsid w:val="00B611A9"/>
    <w:rsid w:val="00B6264A"/>
    <w:rsid w:val="00B62EE7"/>
    <w:rsid w:val="00B62F7E"/>
    <w:rsid w:val="00B630BB"/>
    <w:rsid w:val="00B64B67"/>
    <w:rsid w:val="00B65D43"/>
    <w:rsid w:val="00B6625A"/>
    <w:rsid w:val="00B67B35"/>
    <w:rsid w:val="00B706E2"/>
    <w:rsid w:val="00B70855"/>
    <w:rsid w:val="00B70B3D"/>
    <w:rsid w:val="00B73E0F"/>
    <w:rsid w:val="00B75D7B"/>
    <w:rsid w:val="00B76382"/>
    <w:rsid w:val="00B76FDB"/>
    <w:rsid w:val="00B77C54"/>
    <w:rsid w:val="00B80700"/>
    <w:rsid w:val="00B8102F"/>
    <w:rsid w:val="00B81A84"/>
    <w:rsid w:val="00B82615"/>
    <w:rsid w:val="00B8458B"/>
    <w:rsid w:val="00B84E68"/>
    <w:rsid w:val="00B8533D"/>
    <w:rsid w:val="00B85A5D"/>
    <w:rsid w:val="00B85A86"/>
    <w:rsid w:val="00B861DF"/>
    <w:rsid w:val="00B87020"/>
    <w:rsid w:val="00B9144D"/>
    <w:rsid w:val="00B93029"/>
    <w:rsid w:val="00B948F9"/>
    <w:rsid w:val="00B95D98"/>
    <w:rsid w:val="00BA07D1"/>
    <w:rsid w:val="00BA0E8A"/>
    <w:rsid w:val="00BA105E"/>
    <w:rsid w:val="00BA1484"/>
    <w:rsid w:val="00BA1982"/>
    <w:rsid w:val="00BA1D16"/>
    <w:rsid w:val="00BA2301"/>
    <w:rsid w:val="00BA3885"/>
    <w:rsid w:val="00BA5BD6"/>
    <w:rsid w:val="00BA6329"/>
    <w:rsid w:val="00BA670F"/>
    <w:rsid w:val="00BA736F"/>
    <w:rsid w:val="00BA7D3D"/>
    <w:rsid w:val="00BB08C5"/>
    <w:rsid w:val="00BB18C8"/>
    <w:rsid w:val="00BB1968"/>
    <w:rsid w:val="00BB1F71"/>
    <w:rsid w:val="00BB2222"/>
    <w:rsid w:val="00BB3133"/>
    <w:rsid w:val="00BB3235"/>
    <w:rsid w:val="00BB3FAA"/>
    <w:rsid w:val="00BB458C"/>
    <w:rsid w:val="00BB4A5A"/>
    <w:rsid w:val="00BB70C9"/>
    <w:rsid w:val="00BB72FE"/>
    <w:rsid w:val="00BB78AB"/>
    <w:rsid w:val="00BC1DE1"/>
    <w:rsid w:val="00BC281A"/>
    <w:rsid w:val="00BC3476"/>
    <w:rsid w:val="00BC3BF6"/>
    <w:rsid w:val="00BC46C5"/>
    <w:rsid w:val="00BC4F4B"/>
    <w:rsid w:val="00BC5136"/>
    <w:rsid w:val="00BC5177"/>
    <w:rsid w:val="00BC540F"/>
    <w:rsid w:val="00BC570E"/>
    <w:rsid w:val="00BC7961"/>
    <w:rsid w:val="00BD16CF"/>
    <w:rsid w:val="00BD1EDE"/>
    <w:rsid w:val="00BD2236"/>
    <w:rsid w:val="00BD23CD"/>
    <w:rsid w:val="00BD41DF"/>
    <w:rsid w:val="00BD514E"/>
    <w:rsid w:val="00BD579E"/>
    <w:rsid w:val="00BD57F7"/>
    <w:rsid w:val="00BD62F5"/>
    <w:rsid w:val="00BD6888"/>
    <w:rsid w:val="00BD6C42"/>
    <w:rsid w:val="00BD7B65"/>
    <w:rsid w:val="00BE2070"/>
    <w:rsid w:val="00BE26A9"/>
    <w:rsid w:val="00BE2A34"/>
    <w:rsid w:val="00BE3A19"/>
    <w:rsid w:val="00BE3B1A"/>
    <w:rsid w:val="00BE4691"/>
    <w:rsid w:val="00BE58A3"/>
    <w:rsid w:val="00BE5AC2"/>
    <w:rsid w:val="00BE6E50"/>
    <w:rsid w:val="00BE7E15"/>
    <w:rsid w:val="00BE7EB7"/>
    <w:rsid w:val="00BF0BEB"/>
    <w:rsid w:val="00BF0F7C"/>
    <w:rsid w:val="00BF19C5"/>
    <w:rsid w:val="00BF2809"/>
    <w:rsid w:val="00BF2D08"/>
    <w:rsid w:val="00BF2FF3"/>
    <w:rsid w:val="00BF3E61"/>
    <w:rsid w:val="00BF4363"/>
    <w:rsid w:val="00BF441E"/>
    <w:rsid w:val="00BF459C"/>
    <w:rsid w:val="00BF5C4E"/>
    <w:rsid w:val="00BF691B"/>
    <w:rsid w:val="00BF71B2"/>
    <w:rsid w:val="00C000A4"/>
    <w:rsid w:val="00C0099D"/>
    <w:rsid w:val="00C011C6"/>
    <w:rsid w:val="00C01DA7"/>
    <w:rsid w:val="00C0488E"/>
    <w:rsid w:val="00C05947"/>
    <w:rsid w:val="00C0692A"/>
    <w:rsid w:val="00C0797D"/>
    <w:rsid w:val="00C07D14"/>
    <w:rsid w:val="00C11109"/>
    <w:rsid w:val="00C11177"/>
    <w:rsid w:val="00C11F45"/>
    <w:rsid w:val="00C12352"/>
    <w:rsid w:val="00C12CCB"/>
    <w:rsid w:val="00C138A9"/>
    <w:rsid w:val="00C14314"/>
    <w:rsid w:val="00C1497E"/>
    <w:rsid w:val="00C153BD"/>
    <w:rsid w:val="00C15661"/>
    <w:rsid w:val="00C16538"/>
    <w:rsid w:val="00C17FBE"/>
    <w:rsid w:val="00C224B4"/>
    <w:rsid w:val="00C23A71"/>
    <w:rsid w:val="00C23F35"/>
    <w:rsid w:val="00C2402C"/>
    <w:rsid w:val="00C24319"/>
    <w:rsid w:val="00C2460C"/>
    <w:rsid w:val="00C24AEC"/>
    <w:rsid w:val="00C26155"/>
    <w:rsid w:val="00C2615D"/>
    <w:rsid w:val="00C26A11"/>
    <w:rsid w:val="00C26E2D"/>
    <w:rsid w:val="00C2791C"/>
    <w:rsid w:val="00C27B55"/>
    <w:rsid w:val="00C27F37"/>
    <w:rsid w:val="00C3001B"/>
    <w:rsid w:val="00C312E1"/>
    <w:rsid w:val="00C31523"/>
    <w:rsid w:val="00C31763"/>
    <w:rsid w:val="00C31CF0"/>
    <w:rsid w:val="00C34A2B"/>
    <w:rsid w:val="00C35648"/>
    <w:rsid w:val="00C35AC8"/>
    <w:rsid w:val="00C36264"/>
    <w:rsid w:val="00C3639F"/>
    <w:rsid w:val="00C367E6"/>
    <w:rsid w:val="00C41F11"/>
    <w:rsid w:val="00C433D7"/>
    <w:rsid w:val="00C44B34"/>
    <w:rsid w:val="00C46795"/>
    <w:rsid w:val="00C478FC"/>
    <w:rsid w:val="00C49CC2"/>
    <w:rsid w:val="00C50D3C"/>
    <w:rsid w:val="00C50E35"/>
    <w:rsid w:val="00C53B6B"/>
    <w:rsid w:val="00C540FB"/>
    <w:rsid w:val="00C5469C"/>
    <w:rsid w:val="00C54E1B"/>
    <w:rsid w:val="00C5534A"/>
    <w:rsid w:val="00C563DA"/>
    <w:rsid w:val="00C57A24"/>
    <w:rsid w:val="00C630FC"/>
    <w:rsid w:val="00C63EA6"/>
    <w:rsid w:val="00C65671"/>
    <w:rsid w:val="00C66C18"/>
    <w:rsid w:val="00C66CCF"/>
    <w:rsid w:val="00C67369"/>
    <w:rsid w:val="00C700EB"/>
    <w:rsid w:val="00C71648"/>
    <w:rsid w:val="00C7172E"/>
    <w:rsid w:val="00C7302E"/>
    <w:rsid w:val="00C73039"/>
    <w:rsid w:val="00C73106"/>
    <w:rsid w:val="00C7460F"/>
    <w:rsid w:val="00C74C9D"/>
    <w:rsid w:val="00C75446"/>
    <w:rsid w:val="00C75924"/>
    <w:rsid w:val="00C75BE3"/>
    <w:rsid w:val="00C75CD7"/>
    <w:rsid w:val="00C7633B"/>
    <w:rsid w:val="00C76D4D"/>
    <w:rsid w:val="00C80AF0"/>
    <w:rsid w:val="00C80E46"/>
    <w:rsid w:val="00C82542"/>
    <w:rsid w:val="00C826E4"/>
    <w:rsid w:val="00C83D15"/>
    <w:rsid w:val="00C8532E"/>
    <w:rsid w:val="00C86D28"/>
    <w:rsid w:val="00C86E4A"/>
    <w:rsid w:val="00C86F3E"/>
    <w:rsid w:val="00C87C02"/>
    <w:rsid w:val="00C926CD"/>
    <w:rsid w:val="00C930F2"/>
    <w:rsid w:val="00C93380"/>
    <w:rsid w:val="00C93456"/>
    <w:rsid w:val="00C934C0"/>
    <w:rsid w:val="00C9373C"/>
    <w:rsid w:val="00C93E7F"/>
    <w:rsid w:val="00C9429C"/>
    <w:rsid w:val="00C949D3"/>
    <w:rsid w:val="00C96B97"/>
    <w:rsid w:val="00C96E2C"/>
    <w:rsid w:val="00CA10FB"/>
    <w:rsid w:val="00CA2F86"/>
    <w:rsid w:val="00CA4986"/>
    <w:rsid w:val="00CA54EF"/>
    <w:rsid w:val="00CA5737"/>
    <w:rsid w:val="00CA61C8"/>
    <w:rsid w:val="00CA680F"/>
    <w:rsid w:val="00CA7247"/>
    <w:rsid w:val="00CA75AA"/>
    <w:rsid w:val="00CB060E"/>
    <w:rsid w:val="00CB1C47"/>
    <w:rsid w:val="00CB2CF7"/>
    <w:rsid w:val="00CB50FA"/>
    <w:rsid w:val="00CB5403"/>
    <w:rsid w:val="00CB5480"/>
    <w:rsid w:val="00CB60ED"/>
    <w:rsid w:val="00CB624F"/>
    <w:rsid w:val="00CB691A"/>
    <w:rsid w:val="00CC04CD"/>
    <w:rsid w:val="00CC1EAA"/>
    <w:rsid w:val="00CC3260"/>
    <w:rsid w:val="00CC4848"/>
    <w:rsid w:val="00CC4F87"/>
    <w:rsid w:val="00CC5112"/>
    <w:rsid w:val="00CC641A"/>
    <w:rsid w:val="00CC6C64"/>
    <w:rsid w:val="00CC759F"/>
    <w:rsid w:val="00CD0110"/>
    <w:rsid w:val="00CD185E"/>
    <w:rsid w:val="00CD1A45"/>
    <w:rsid w:val="00CD235D"/>
    <w:rsid w:val="00CD31B7"/>
    <w:rsid w:val="00CD3B62"/>
    <w:rsid w:val="00CD3C16"/>
    <w:rsid w:val="00CD4DF3"/>
    <w:rsid w:val="00CD6F54"/>
    <w:rsid w:val="00CD7275"/>
    <w:rsid w:val="00CD79A3"/>
    <w:rsid w:val="00CE1977"/>
    <w:rsid w:val="00CE1FE0"/>
    <w:rsid w:val="00CE314B"/>
    <w:rsid w:val="00CE6F19"/>
    <w:rsid w:val="00CE71A9"/>
    <w:rsid w:val="00CF08B3"/>
    <w:rsid w:val="00CF12EA"/>
    <w:rsid w:val="00CF2D45"/>
    <w:rsid w:val="00CF30AF"/>
    <w:rsid w:val="00CF43C6"/>
    <w:rsid w:val="00CF461B"/>
    <w:rsid w:val="00CF47C3"/>
    <w:rsid w:val="00CF5383"/>
    <w:rsid w:val="00CF5E0E"/>
    <w:rsid w:val="00CF62F4"/>
    <w:rsid w:val="00CF6888"/>
    <w:rsid w:val="00CF7611"/>
    <w:rsid w:val="00D007B3"/>
    <w:rsid w:val="00D02732"/>
    <w:rsid w:val="00D027AB"/>
    <w:rsid w:val="00D02935"/>
    <w:rsid w:val="00D02F32"/>
    <w:rsid w:val="00D031AA"/>
    <w:rsid w:val="00D05154"/>
    <w:rsid w:val="00D07D62"/>
    <w:rsid w:val="00D129B0"/>
    <w:rsid w:val="00D14C12"/>
    <w:rsid w:val="00D15318"/>
    <w:rsid w:val="00D157C4"/>
    <w:rsid w:val="00D1732C"/>
    <w:rsid w:val="00D20863"/>
    <w:rsid w:val="00D21BA7"/>
    <w:rsid w:val="00D21E46"/>
    <w:rsid w:val="00D22188"/>
    <w:rsid w:val="00D22A3F"/>
    <w:rsid w:val="00D2436E"/>
    <w:rsid w:val="00D24601"/>
    <w:rsid w:val="00D2645F"/>
    <w:rsid w:val="00D26461"/>
    <w:rsid w:val="00D269CA"/>
    <w:rsid w:val="00D26E04"/>
    <w:rsid w:val="00D26E23"/>
    <w:rsid w:val="00D26E2C"/>
    <w:rsid w:val="00D27256"/>
    <w:rsid w:val="00D278D5"/>
    <w:rsid w:val="00D2796B"/>
    <w:rsid w:val="00D27984"/>
    <w:rsid w:val="00D300BA"/>
    <w:rsid w:val="00D30136"/>
    <w:rsid w:val="00D303FF"/>
    <w:rsid w:val="00D30ADB"/>
    <w:rsid w:val="00D31C14"/>
    <w:rsid w:val="00D32113"/>
    <w:rsid w:val="00D32CFE"/>
    <w:rsid w:val="00D33FD1"/>
    <w:rsid w:val="00D36D6E"/>
    <w:rsid w:val="00D40092"/>
    <w:rsid w:val="00D4075D"/>
    <w:rsid w:val="00D42422"/>
    <w:rsid w:val="00D443CB"/>
    <w:rsid w:val="00D4444C"/>
    <w:rsid w:val="00D44452"/>
    <w:rsid w:val="00D45923"/>
    <w:rsid w:val="00D459E7"/>
    <w:rsid w:val="00D46A99"/>
    <w:rsid w:val="00D46CA1"/>
    <w:rsid w:val="00D4743D"/>
    <w:rsid w:val="00D50987"/>
    <w:rsid w:val="00D516CE"/>
    <w:rsid w:val="00D51C48"/>
    <w:rsid w:val="00D54179"/>
    <w:rsid w:val="00D55410"/>
    <w:rsid w:val="00D55F93"/>
    <w:rsid w:val="00D56544"/>
    <w:rsid w:val="00D56755"/>
    <w:rsid w:val="00D567F6"/>
    <w:rsid w:val="00D5759F"/>
    <w:rsid w:val="00D57679"/>
    <w:rsid w:val="00D60837"/>
    <w:rsid w:val="00D61CC5"/>
    <w:rsid w:val="00D628F7"/>
    <w:rsid w:val="00D629C9"/>
    <w:rsid w:val="00D63217"/>
    <w:rsid w:val="00D6362E"/>
    <w:rsid w:val="00D6434D"/>
    <w:rsid w:val="00D643D5"/>
    <w:rsid w:val="00D64D14"/>
    <w:rsid w:val="00D66D88"/>
    <w:rsid w:val="00D66DF4"/>
    <w:rsid w:val="00D6736D"/>
    <w:rsid w:val="00D679A5"/>
    <w:rsid w:val="00D67CFF"/>
    <w:rsid w:val="00D7058F"/>
    <w:rsid w:val="00D711B5"/>
    <w:rsid w:val="00D71997"/>
    <w:rsid w:val="00D71E26"/>
    <w:rsid w:val="00D7201D"/>
    <w:rsid w:val="00D73133"/>
    <w:rsid w:val="00D731C3"/>
    <w:rsid w:val="00D7424E"/>
    <w:rsid w:val="00D748BB"/>
    <w:rsid w:val="00D74A5D"/>
    <w:rsid w:val="00D74D45"/>
    <w:rsid w:val="00D76BED"/>
    <w:rsid w:val="00D76F63"/>
    <w:rsid w:val="00D80452"/>
    <w:rsid w:val="00D84D1F"/>
    <w:rsid w:val="00D85217"/>
    <w:rsid w:val="00D85314"/>
    <w:rsid w:val="00D859A9"/>
    <w:rsid w:val="00D85B34"/>
    <w:rsid w:val="00D86443"/>
    <w:rsid w:val="00D877BD"/>
    <w:rsid w:val="00D87EB8"/>
    <w:rsid w:val="00D91608"/>
    <w:rsid w:val="00D91CDF"/>
    <w:rsid w:val="00D92C41"/>
    <w:rsid w:val="00D9366C"/>
    <w:rsid w:val="00DA0678"/>
    <w:rsid w:val="00DA10EC"/>
    <w:rsid w:val="00DA1F7D"/>
    <w:rsid w:val="00DA23C5"/>
    <w:rsid w:val="00DA5DDE"/>
    <w:rsid w:val="00DA6BEF"/>
    <w:rsid w:val="00DA7657"/>
    <w:rsid w:val="00DA7D9B"/>
    <w:rsid w:val="00DB1558"/>
    <w:rsid w:val="00DB1A95"/>
    <w:rsid w:val="00DB1CD0"/>
    <w:rsid w:val="00DB20F0"/>
    <w:rsid w:val="00DB222F"/>
    <w:rsid w:val="00DB3559"/>
    <w:rsid w:val="00DB35A7"/>
    <w:rsid w:val="00DB589F"/>
    <w:rsid w:val="00DB65F1"/>
    <w:rsid w:val="00DB68BF"/>
    <w:rsid w:val="00DB6C78"/>
    <w:rsid w:val="00DB6F51"/>
    <w:rsid w:val="00DB713A"/>
    <w:rsid w:val="00DB7D8B"/>
    <w:rsid w:val="00DC02EA"/>
    <w:rsid w:val="00DC0504"/>
    <w:rsid w:val="00DC1107"/>
    <w:rsid w:val="00DC1587"/>
    <w:rsid w:val="00DC291C"/>
    <w:rsid w:val="00DC3974"/>
    <w:rsid w:val="00DC402E"/>
    <w:rsid w:val="00DC41A9"/>
    <w:rsid w:val="00DC43DD"/>
    <w:rsid w:val="00DC5965"/>
    <w:rsid w:val="00DC5A30"/>
    <w:rsid w:val="00DC5C53"/>
    <w:rsid w:val="00DC61D9"/>
    <w:rsid w:val="00DC6208"/>
    <w:rsid w:val="00DD0F76"/>
    <w:rsid w:val="00DD12DD"/>
    <w:rsid w:val="00DD259C"/>
    <w:rsid w:val="00DD285E"/>
    <w:rsid w:val="00DD49F0"/>
    <w:rsid w:val="00DD5D32"/>
    <w:rsid w:val="00DD6573"/>
    <w:rsid w:val="00DD7B3E"/>
    <w:rsid w:val="00DE01C8"/>
    <w:rsid w:val="00DE1902"/>
    <w:rsid w:val="00DE1A67"/>
    <w:rsid w:val="00DE1A92"/>
    <w:rsid w:val="00DE295A"/>
    <w:rsid w:val="00DE4C3A"/>
    <w:rsid w:val="00DE506E"/>
    <w:rsid w:val="00DE5A59"/>
    <w:rsid w:val="00DE70FB"/>
    <w:rsid w:val="00DE7AE9"/>
    <w:rsid w:val="00DE7DBE"/>
    <w:rsid w:val="00DF06A6"/>
    <w:rsid w:val="00DF1143"/>
    <w:rsid w:val="00DF230A"/>
    <w:rsid w:val="00DF261C"/>
    <w:rsid w:val="00DF572E"/>
    <w:rsid w:val="00DF5D3B"/>
    <w:rsid w:val="00DF5D84"/>
    <w:rsid w:val="00DF7C82"/>
    <w:rsid w:val="00E00C51"/>
    <w:rsid w:val="00E02B13"/>
    <w:rsid w:val="00E05D86"/>
    <w:rsid w:val="00E0654C"/>
    <w:rsid w:val="00E06B6F"/>
    <w:rsid w:val="00E07401"/>
    <w:rsid w:val="00E10368"/>
    <w:rsid w:val="00E11A7E"/>
    <w:rsid w:val="00E1339A"/>
    <w:rsid w:val="00E13FA4"/>
    <w:rsid w:val="00E1511F"/>
    <w:rsid w:val="00E15453"/>
    <w:rsid w:val="00E20075"/>
    <w:rsid w:val="00E200D3"/>
    <w:rsid w:val="00E20DCB"/>
    <w:rsid w:val="00E21A70"/>
    <w:rsid w:val="00E21A71"/>
    <w:rsid w:val="00E2234D"/>
    <w:rsid w:val="00E2321F"/>
    <w:rsid w:val="00E24169"/>
    <w:rsid w:val="00E30776"/>
    <w:rsid w:val="00E32AB8"/>
    <w:rsid w:val="00E32F48"/>
    <w:rsid w:val="00E330BC"/>
    <w:rsid w:val="00E33EF3"/>
    <w:rsid w:val="00E340C8"/>
    <w:rsid w:val="00E3456E"/>
    <w:rsid w:val="00E3504C"/>
    <w:rsid w:val="00E37CFD"/>
    <w:rsid w:val="00E37DDE"/>
    <w:rsid w:val="00E40438"/>
    <w:rsid w:val="00E412B2"/>
    <w:rsid w:val="00E42259"/>
    <w:rsid w:val="00E422CB"/>
    <w:rsid w:val="00E42A60"/>
    <w:rsid w:val="00E4309E"/>
    <w:rsid w:val="00E43529"/>
    <w:rsid w:val="00E43A5C"/>
    <w:rsid w:val="00E43C90"/>
    <w:rsid w:val="00E440D3"/>
    <w:rsid w:val="00E4530E"/>
    <w:rsid w:val="00E46318"/>
    <w:rsid w:val="00E47965"/>
    <w:rsid w:val="00E5081D"/>
    <w:rsid w:val="00E508E6"/>
    <w:rsid w:val="00E521DB"/>
    <w:rsid w:val="00E53EA1"/>
    <w:rsid w:val="00E5581A"/>
    <w:rsid w:val="00E56BF4"/>
    <w:rsid w:val="00E57900"/>
    <w:rsid w:val="00E60B77"/>
    <w:rsid w:val="00E60C23"/>
    <w:rsid w:val="00E61226"/>
    <w:rsid w:val="00E6207A"/>
    <w:rsid w:val="00E623C1"/>
    <w:rsid w:val="00E62CF2"/>
    <w:rsid w:val="00E62DE0"/>
    <w:rsid w:val="00E631A1"/>
    <w:rsid w:val="00E632F4"/>
    <w:rsid w:val="00E65BA6"/>
    <w:rsid w:val="00E67D30"/>
    <w:rsid w:val="00E7080B"/>
    <w:rsid w:val="00E70ABA"/>
    <w:rsid w:val="00E710C2"/>
    <w:rsid w:val="00E73390"/>
    <w:rsid w:val="00E7429A"/>
    <w:rsid w:val="00E75F69"/>
    <w:rsid w:val="00E80D05"/>
    <w:rsid w:val="00E81252"/>
    <w:rsid w:val="00E81374"/>
    <w:rsid w:val="00E818D6"/>
    <w:rsid w:val="00E822E5"/>
    <w:rsid w:val="00E82393"/>
    <w:rsid w:val="00E85013"/>
    <w:rsid w:val="00E8606E"/>
    <w:rsid w:val="00E86204"/>
    <w:rsid w:val="00E86BBF"/>
    <w:rsid w:val="00E90AB2"/>
    <w:rsid w:val="00E90E75"/>
    <w:rsid w:val="00E9188B"/>
    <w:rsid w:val="00E91A4B"/>
    <w:rsid w:val="00E91E1B"/>
    <w:rsid w:val="00E92371"/>
    <w:rsid w:val="00E93048"/>
    <w:rsid w:val="00E93348"/>
    <w:rsid w:val="00E93863"/>
    <w:rsid w:val="00E949CE"/>
    <w:rsid w:val="00E9591B"/>
    <w:rsid w:val="00E95AA6"/>
    <w:rsid w:val="00E97013"/>
    <w:rsid w:val="00E975AE"/>
    <w:rsid w:val="00EA0221"/>
    <w:rsid w:val="00EA0B8F"/>
    <w:rsid w:val="00EA2F47"/>
    <w:rsid w:val="00EA53BE"/>
    <w:rsid w:val="00EA6BF4"/>
    <w:rsid w:val="00EA792E"/>
    <w:rsid w:val="00EA7C71"/>
    <w:rsid w:val="00EB08AE"/>
    <w:rsid w:val="00EB1AAE"/>
    <w:rsid w:val="00EB1CDB"/>
    <w:rsid w:val="00EB27FE"/>
    <w:rsid w:val="00EB2CEC"/>
    <w:rsid w:val="00EB3D95"/>
    <w:rsid w:val="00EB41D4"/>
    <w:rsid w:val="00EB4497"/>
    <w:rsid w:val="00EB463D"/>
    <w:rsid w:val="00EB5AAB"/>
    <w:rsid w:val="00EB5C01"/>
    <w:rsid w:val="00EB5C11"/>
    <w:rsid w:val="00EB6EC1"/>
    <w:rsid w:val="00EB7262"/>
    <w:rsid w:val="00EB7E80"/>
    <w:rsid w:val="00EC0E21"/>
    <w:rsid w:val="00EC17E1"/>
    <w:rsid w:val="00EC204C"/>
    <w:rsid w:val="00EC2BCD"/>
    <w:rsid w:val="00EC2F0A"/>
    <w:rsid w:val="00EC2F5A"/>
    <w:rsid w:val="00EC2FA3"/>
    <w:rsid w:val="00EC3396"/>
    <w:rsid w:val="00EC36A8"/>
    <w:rsid w:val="00EC38D2"/>
    <w:rsid w:val="00EC40A0"/>
    <w:rsid w:val="00EC50AE"/>
    <w:rsid w:val="00EC5840"/>
    <w:rsid w:val="00EC595F"/>
    <w:rsid w:val="00ED02F8"/>
    <w:rsid w:val="00ED1457"/>
    <w:rsid w:val="00ED2FCB"/>
    <w:rsid w:val="00ED334D"/>
    <w:rsid w:val="00ED3909"/>
    <w:rsid w:val="00ED3AF2"/>
    <w:rsid w:val="00ED3AFF"/>
    <w:rsid w:val="00ED5010"/>
    <w:rsid w:val="00ED598C"/>
    <w:rsid w:val="00ED5D78"/>
    <w:rsid w:val="00ED642A"/>
    <w:rsid w:val="00ED674A"/>
    <w:rsid w:val="00ED7F9F"/>
    <w:rsid w:val="00EE0F3C"/>
    <w:rsid w:val="00EE0F71"/>
    <w:rsid w:val="00EE16E4"/>
    <w:rsid w:val="00EE2685"/>
    <w:rsid w:val="00EE3B22"/>
    <w:rsid w:val="00EE4A30"/>
    <w:rsid w:val="00EE5958"/>
    <w:rsid w:val="00EE69FD"/>
    <w:rsid w:val="00EE6ED3"/>
    <w:rsid w:val="00EE70F9"/>
    <w:rsid w:val="00EE77A6"/>
    <w:rsid w:val="00EE7949"/>
    <w:rsid w:val="00EF06FE"/>
    <w:rsid w:val="00EF11F9"/>
    <w:rsid w:val="00EF12E7"/>
    <w:rsid w:val="00EF2D37"/>
    <w:rsid w:val="00EF4418"/>
    <w:rsid w:val="00EF4741"/>
    <w:rsid w:val="00EF5C78"/>
    <w:rsid w:val="00EF6AE8"/>
    <w:rsid w:val="00F00BB6"/>
    <w:rsid w:val="00F00CAB"/>
    <w:rsid w:val="00F013FB"/>
    <w:rsid w:val="00F0269C"/>
    <w:rsid w:val="00F02CD5"/>
    <w:rsid w:val="00F035D8"/>
    <w:rsid w:val="00F03D35"/>
    <w:rsid w:val="00F05C23"/>
    <w:rsid w:val="00F06B47"/>
    <w:rsid w:val="00F071F4"/>
    <w:rsid w:val="00F11555"/>
    <w:rsid w:val="00F119C0"/>
    <w:rsid w:val="00F11E4B"/>
    <w:rsid w:val="00F12010"/>
    <w:rsid w:val="00F124EA"/>
    <w:rsid w:val="00F1363E"/>
    <w:rsid w:val="00F15188"/>
    <w:rsid w:val="00F160DA"/>
    <w:rsid w:val="00F1648D"/>
    <w:rsid w:val="00F1763A"/>
    <w:rsid w:val="00F17867"/>
    <w:rsid w:val="00F20072"/>
    <w:rsid w:val="00F20E56"/>
    <w:rsid w:val="00F20F19"/>
    <w:rsid w:val="00F21E98"/>
    <w:rsid w:val="00F23F3B"/>
    <w:rsid w:val="00F24EAB"/>
    <w:rsid w:val="00F25935"/>
    <w:rsid w:val="00F25C16"/>
    <w:rsid w:val="00F2608B"/>
    <w:rsid w:val="00F26E79"/>
    <w:rsid w:val="00F26F2F"/>
    <w:rsid w:val="00F27750"/>
    <w:rsid w:val="00F27C53"/>
    <w:rsid w:val="00F27D18"/>
    <w:rsid w:val="00F31A37"/>
    <w:rsid w:val="00F31F2E"/>
    <w:rsid w:val="00F32B70"/>
    <w:rsid w:val="00F343F6"/>
    <w:rsid w:val="00F35025"/>
    <w:rsid w:val="00F36B1C"/>
    <w:rsid w:val="00F36F31"/>
    <w:rsid w:val="00F37631"/>
    <w:rsid w:val="00F400F5"/>
    <w:rsid w:val="00F42CDF"/>
    <w:rsid w:val="00F440DA"/>
    <w:rsid w:val="00F4532D"/>
    <w:rsid w:val="00F45944"/>
    <w:rsid w:val="00F45BAD"/>
    <w:rsid w:val="00F47021"/>
    <w:rsid w:val="00F479F5"/>
    <w:rsid w:val="00F50329"/>
    <w:rsid w:val="00F50C11"/>
    <w:rsid w:val="00F53F7E"/>
    <w:rsid w:val="00F54470"/>
    <w:rsid w:val="00F54601"/>
    <w:rsid w:val="00F54F4F"/>
    <w:rsid w:val="00F5625C"/>
    <w:rsid w:val="00F571D1"/>
    <w:rsid w:val="00F602D3"/>
    <w:rsid w:val="00F6168D"/>
    <w:rsid w:val="00F61A76"/>
    <w:rsid w:val="00F61BF7"/>
    <w:rsid w:val="00F61EAC"/>
    <w:rsid w:val="00F63DBC"/>
    <w:rsid w:val="00F65208"/>
    <w:rsid w:val="00F66501"/>
    <w:rsid w:val="00F67A0F"/>
    <w:rsid w:val="00F67D3B"/>
    <w:rsid w:val="00F70035"/>
    <w:rsid w:val="00F706F5"/>
    <w:rsid w:val="00F712A7"/>
    <w:rsid w:val="00F7264A"/>
    <w:rsid w:val="00F75541"/>
    <w:rsid w:val="00F766CA"/>
    <w:rsid w:val="00F768AA"/>
    <w:rsid w:val="00F77502"/>
    <w:rsid w:val="00F77F05"/>
    <w:rsid w:val="00F81415"/>
    <w:rsid w:val="00F82929"/>
    <w:rsid w:val="00F857EE"/>
    <w:rsid w:val="00F870F8"/>
    <w:rsid w:val="00F87442"/>
    <w:rsid w:val="00F876DA"/>
    <w:rsid w:val="00F90A3E"/>
    <w:rsid w:val="00F92C16"/>
    <w:rsid w:val="00F9332B"/>
    <w:rsid w:val="00F93A6A"/>
    <w:rsid w:val="00F9529A"/>
    <w:rsid w:val="00F95383"/>
    <w:rsid w:val="00F954A9"/>
    <w:rsid w:val="00F958DD"/>
    <w:rsid w:val="00F97A81"/>
    <w:rsid w:val="00F97F0C"/>
    <w:rsid w:val="00FA0A8E"/>
    <w:rsid w:val="00FA25D2"/>
    <w:rsid w:val="00FA3110"/>
    <w:rsid w:val="00FA42F4"/>
    <w:rsid w:val="00FA47BB"/>
    <w:rsid w:val="00FA48B7"/>
    <w:rsid w:val="00FA55B4"/>
    <w:rsid w:val="00FA6EF8"/>
    <w:rsid w:val="00FB00BA"/>
    <w:rsid w:val="00FB069B"/>
    <w:rsid w:val="00FB1247"/>
    <w:rsid w:val="00FB20FF"/>
    <w:rsid w:val="00FB3F20"/>
    <w:rsid w:val="00FB5148"/>
    <w:rsid w:val="00FB599F"/>
    <w:rsid w:val="00FB5CB1"/>
    <w:rsid w:val="00FB6211"/>
    <w:rsid w:val="00FB7333"/>
    <w:rsid w:val="00FC0405"/>
    <w:rsid w:val="00FC09E0"/>
    <w:rsid w:val="00FC34A3"/>
    <w:rsid w:val="00FC3CCD"/>
    <w:rsid w:val="00FC407F"/>
    <w:rsid w:val="00FC4101"/>
    <w:rsid w:val="00FC542F"/>
    <w:rsid w:val="00FC70DD"/>
    <w:rsid w:val="00FC718B"/>
    <w:rsid w:val="00FC730F"/>
    <w:rsid w:val="00FD0690"/>
    <w:rsid w:val="00FD0C1B"/>
    <w:rsid w:val="00FD2A54"/>
    <w:rsid w:val="00FD2B8C"/>
    <w:rsid w:val="00FD31E3"/>
    <w:rsid w:val="00FD34E4"/>
    <w:rsid w:val="00FD3A2B"/>
    <w:rsid w:val="00FD52D8"/>
    <w:rsid w:val="00FD572A"/>
    <w:rsid w:val="00FD6431"/>
    <w:rsid w:val="00FD6CEF"/>
    <w:rsid w:val="00FD75F8"/>
    <w:rsid w:val="00FD763D"/>
    <w:rsid w:val="00FD7D67"/>
    <w:rsid w:val="00FE01EB"/>
    <w:rsid w:val="00FE0390"/>
    <w:rsid w:val="00FE0B80"/>
    <w:rsid w:val="00FE0DCF"/>
    <w:rsid w:val="00FE2428"/>
    <w:rsid w:val="00FE28C1"/>
    <w:rsid w:val="00FE2E99"/>
    <w:rsid w:val="00FE320C"/>
    <w:rsid w:val="00FE32A8"/>
    <w:rsid w:val="00FE5C25"/>
    <w:rsid w:val="00FF0651"/>
    <w:rsid w:val="00FF11E1"/>
    <w:rsid w:val="00FF17CA"/>
    <w:rsid w:val="00FF1D4D"/>
    <w:rsid w:val="00FF1F95"/>
    <w:rsid w:val="00FF2B2B"/>
    <w:rsid w:val="00FF3853"/>
    <w:rsid w:val="00FF4D65"/>
    <w:rsid w:val="00FF57AE"/>
    <w:rsid w:val="00FF5F3F"/>
    <w:rsid w:val="00FF676F"/>
    <w:rsid w:val="00FF74AD"/>
    <w:rsid w:val="00FF7FAE"/>
    <w:rsid w:val="0176BF6D"/>
    <w:rsid w:val="018FF773"/>
    <w:rsid w:val="024737E1"/>
    <w:rsid w:val="02639048"/>
    <w:rsid w:val="0273BD8D"/>
    <w:rsid w:val="0291217E"/>
    <w:rsid w:val="02AD0C79"/>
    <w:rsid w:val="0316271B"/>
    <w:rsid w:val="0342B65E"/>
    <w:rsid w:val="036E28A1"/>
    <w:rsid w:val="03907D78"/>
    <w:rsid w:val="03B10652"/>
    <w:rsid w:val="03BA0716"/>
    <w:rsid w:val="047D9501"/>
    <w:rsid w:val="04891E75"/>
    <w:rsid w:val="04B51483"/>
    <w:rsid w:val="05A5C0C9"/>
    <w:rsid w:val="0607EA1A"/>
    <w:rsid w:val="060CD295"/>
    <w:rsid w:val="063AA4C9"/>
    <w:rsid w:val="0677D28D"/>
    <w:rsid w:val="06AB98AA"/>
    <w:rsid w:val="06E86784"/>
    <w:rsid w:val="07151259"/>
    <w:rsid w:val="07C4B448"/>
    <w:rsid w:val="0806E4D5"/>
    <w:rsid w:val="0872B30C"/>
    <w:rsid w:val="087D358C"/>
    <w:rsid w:val="08932201"/>
    <w:rsid w:val="08D7E732"/>
    <w:rsid w:val="08D7F773"/>
    <w:rsid w:val="094671F8"/>
    <w:rsid w:val="0959D167"/>
    <w:rsid w:val="09763E21"/>
    <w:rsid w:val="09C87AF8"/>
    <w:rsid w:val="0A10F680"/>
    <w:rsid w:val="0A7B1D06"/>
    <w:rsid w:val="0B1AE8EF"/>
    <w:rsid w:val="0B46DC80"/>
    <w:rsid w:val="0B5A9093"/>
    <w:rsid w:val="0C3123EC"/>
    <w:rsid w:val="0CBD8BB3"/>
    <w:rsid w:val="0CF9C51F"/>
    <w:rsid w:val="0D5E38B7"/>
    <w:rsid w:val="0D71C911"/>
    <w:rsid w:val="0D8EBBE4"/>
    <w:rsid w:val="0DF9C2BA"/>
    <w:rsid w:val="0E067C76"/>
    <w:rsid w:val="0FF7ADF2"/>
    <w:rsid w:val="104C7AEF"/>
    <w:rsid w:val="109F6F35"/>
    <w:rsid w:val="1166D3CB"/>
    <w:rsid w:val="118C76AA"/>
    <w:rsid w:val="11A7DBB0"/>
    <w:rsid w:val="11C221BC"/>
    <w:rsid w:val="11E19973"/>
    <w:rsid w:val="11E98DEF"/>
    <w:rsid w:val="11F26483"/>
    <w:rsid w:val="12708DAE"/>
    <w:rsid w:val="12D27FA8"/>
    <w:rsid w:val="12F21572"/>
    <w:rsid w:val="13206099"/>
    <w:rsid w:val="134B3CB0"/>
    <w:rsid w:val="138F9F51"/>
    <w:rsid w:val="13FF5535"/>
    <w:rsid w:val="1424AFA2"/>
    <w:rsid w:val="147B7D2C"/>
    <w:rsid w:val="14AD769E"/>
    <w:rsid w:val="14F4C82E"/>
    <w:rsid w:val="150BD72D"/>
    <w:rsid w:val="152BA347"/>
    <w:rsid w:val="155C49E6"/>
    <w:rsid w:val="155EB2F8"/>
    <w:rsid w:val="155F998C"/>
    <w:rsid w:val="15940057"/>
    <w:rsid w:val="15DB0349"/>
    <w:rsid w:val="161D2F06"/>
    <w:rsid w:val="1676C5BA"/>
    <w:rsid w:val="16B86018"/>
    <w:rsid w:val="16BBAE41"/>
    <w:rsid w:val="16BC3697"/>
    <w:rsid w:val="16EC82E2"/>
    <w:rsid w:val="171881E8"/>
    <w:rsid w:val="1727C9EF"/>
    <w:rsid w:val="172AAD6E"/>
    <w:rsid w:val="173AEFBB"/>
    <w:rsid w:val="17A69216"/>
    <w:rsid w:val="17EB208B"/>
    <w:rsid w:val="18564FDA"/>
    <w:rsid w:val="185CAA2C"/>
    <w:rsid w:val="18728376"/>
    <w:rsid w:val="18D0E5E6"/>
    <w:rsid w:val="190D350B"/>
    <w:rsid w:val="19749D4A"/>
    <w:rsid w:val="19BEBF44"/>
    <w:rsid w:val="19CEC5F8"/>
    <w:rsid w:val="1A6DA15E"/>
    <w:rsid w:val="1A737C79"/>
    <w:rsid w:val="1A94B615"/>
    <w:rsid w:val="1AD2F77F"/>
    <w:rsid w:val="1B06CC2D"/>
    <w:rsid w:val="1CB48DBB"/>
    <w:rsid w:val="1DD47A9E"/>
    <w:rsid w:val="1E220F6B"/>
    <w:rsid w:val="1E756C51"/>
    <w:rsid w:val="1F8E11DB"/>
    <w:rsid w:val="1FE53D1C"/>
    <w:rsid w:val="2038160D"/>
    <w:rsid w:val="2084AF5D"/>
    <w:rsid w:val="208588BB"/>
    <w:rsid w:val="21902935"/>
    <w:rsid w:val="2214F15C"/>
    <w:rsid w:val="2234FC0B"/>
    <w:rsid w:val="22443ED2"/>
    <w:rsid w:val="2245A13F"/>
    <w:rsid w:val="22588F02"/>
    <w:rsid w:val="22B5B04A"/>
    <w:rsid w:val="2339EFB6"/>
    <w:rsid w:val="233D65CC"/>
    <w:rsid w:val="2373B063"/>
    <w:rsid w:val="24482459"/>
    <w:rsid w:val="2451C6CA"/>
    <w:rsid w:val="246E30B9"/>
    <w:rsid w:val="24E65CDC"/>
    <w:rsid w:val="2585D29F"/>
    <w:rsid w:val="25C7BBDA"/>
    <w:rsid w:val="25F7E863"/>
    <w:rsid w:val="2669CBE9"/>
    <w:rsid w:val="271E8F68"/>
    <w:rsid w:val="2734515B"/>
    <w:rsid w:val="274B5725"/>
    <w:rsid w:val="279CFD6C"/>
    <w:rsid w:val="27AE38AA"/>
    <w:rsid w:val="28D1678C"/>
    <w:rsid w:val="28DE6AB9"/>
    <w:rsid w:val="292B632F"/>
    <w:rsid w:val="2996AB35"/>
    <w:rsid w:val="29A1935D"/>
    <w:rsid w:val="29F0D86E"/>
    <w:rsid w:val="29F48B75"/>
    <w:rsid w:val="2A6B1915"/>
    <w:rsid w:val="2AC4E84E"/>
    <w:rsid w:val="2B149900"/>
    <w:rsid w:val="2B3C0B73"/>
    <w:rsid w:val="2B5B4D22"/>
    <w:rsid w:val="2BB33819"/>
    <w:rsid w:val="2BC72451"/>
    <w:rsid w:val="2C19CC6A"/>
    <w:rsid w:val="2C6C8137"/>
    <w:rsid w:val="2CDBDA2A"/>
    <w:rsid w:val="2D7FA234"/>
    <w:rsid w:val="2D91FDD9"/>
    <w:rsid w:val="2DB640CD"/>
    <w:rsid w:val="2E4D0A35"/>
    <w:rsid w:val="2EAF902B"/>
    <w:rsid w:val="2EAFACC7"/>
    <w:rsid w:val="2EBAAB7A"/>
    <w:rsid w:val="2EC2B401"/>
    <w:rsid w:val="2ECBF6B8"/>
    <w:rsid w:val="2F54051D"/>
    <w:rsid w:val="30765774"/>
    <w:rsid w:val="30D7F038"/>
    <w:rsid w:val="315CC877"/>
    <w:rsid w:val="31C07008"/>
    <w:rsid w:val="323BFFE3"/>
    <w:rsid w:val="3270F931"/>
    <w:rsid w:val="32DF9905"/>
    <w:rsid w:val="33E0CABE"/>
    <w:rsid w:val="34509A5C"/>
    <w:rsid w:val="3475A2EE"/>
    <w:rsid w:val="34C995DE"/>
    <w:rsid w:val="356B3849"/>
    <w:rsid w:val="35C24F75"/>
    <w:rsid w:val="3614DFD1"/>
    <w:rsid w:val="3641DBC8"/>
    <w:rsid w:val="3697C5F4"/>
    <w:rsid w:val="36BA8FCC"/>
    <w:rsid w:val="36BC55EF"/>
    <w:rsid w:val="36BDCB6D"/>
    <w:rsid w:val="36CB8899"/>
    <w:rsid w:val="36E245BD"/>
    <w:rsid w:val="370BE79D"/>
    <w:rsid w:val="37398D60"/>
    <w:rsid w:val="3812713B"/>
    <w:rsid w:val="38DA150E"/>
    <w:rsid w:val="3937B2A4"/>
    <w:rsid w:val="3A0399E3"/>
    <w:rsid w:val="3A19E654"/>
    <w:rsid w:val="3A9D624C"/>
    <w:rsid w:val="3AC506DB"/>
    <w:rsid w:val="3BE44CED"/>
    <w:rsid w:val="3BF992C0"/>
    <w:rsid w:val="3BFAC479"/>
    <w:rsid w:val="3EBF16FC"/>
    <w:rsid w:val="3ED601B1"/>
    <w:rsid w:val="3EF8C2FB"/>
    <w:rsid w:val="3F95888D"/>
    <w:rsid w:val="3F9CD6FB"/>
    <w:rsid w:val="3FCC62CB"/>
    <w:rsid w:val="3FD3E61D"/>
    <w:rsid w:val="403C1917"/>
    <w:rsid w:val="40A1AA03"/>
    <w:rsid w:val="41838195"/>
    <w:rsid w:val="41C8F61E"/>
    <w:rsid w:val="42074021"/>
    <w:rsid w:val="422F09A9"/>
    <w:rsid w:val="42476DBD"/>
    <w:rsid w:val="42EA5306"/>
    <w:rsid w:val="4300776C"/>
    <w:rsid w:val="435BD7BA"/>
    <w:rsid w:val="443C33AC"/>
    <w:rsid w:val="4460A956"/>
    <w:rsid w:val="4469DBA3"/>
    <w:rsid w:val="452DF9FB"/>
    <w:rsid w:val="45310692"/>
    <w:rsid w:val="4539269D"/>
    <w:rsid w:val="454095F2"/>
    <w:rsid w:val="461E83E8"/>
    <w:rsid w:val="46423F83"/>
    <w:rsid w:val="4692E0EC"/>
    <w:rsid w:val="46B7A904"/>
    <w:rsid w:val="46C142C6"/>
    <w:rsid w:val="477B2B3E"/>
    <w:rsid w:val="4827B66C"/>
    <w:rsid w:val="48620275"/>
    <w:rsid w:val="48BBDEDC"/>
    <w:rsid w:val="48F0B097"/>
    <w:rsid w:val="490BF308"/>
    <w:rsid w:val="49A200AC"/>
    <w:rsid w:val="49C0CB8E"/>
    <w:rsid w:val="4A42BB18"/>
    <w:rsid w:val="4ADDF40F"/>
    <w:rsid w:val="4B11BBDC"/>
    <w:rsid w:val="4B30E732"/>
    <w:rsid w:val="4BDC9ECF"/>
    <w:rsid w:val="4C300995"/>
    <w:rsid w:val="4CB496B1"/>
    <w:rsid w:val="4D78EFCC"/>
    <w:rsid w:val="4EA27CCC"/>
    <w:rsid w:val="4EF83E46"/>
    <w:rsid w:val="4F05811E"/>
    <w:rsid w:val="500BBEFF"/>
    <w:rsid w:val="504C3363"/>
    <w:rsid w:val="5103779B"/>
    <w:rsid w:val="516DC67A"/>
    <w:rsid w:val="51933923"/>
    <w:rsid w:val="51BBFDC0"/>
    <w:rsid w:val="51D6E665"/>
    <w:rsid w:val="51D7F400"/>
    <w:rsid w:val="526F39D3"/>
    <w:rsid w:val="5297E484"/>
    <w:rsid w:val="530203DB"/>
    <w:rsid w:val="535ADEF3"/>
    <w:rsid w:val="53E94F1D"/>
    <w:rsid w:val="540E859B"/>
    <w:rsid w:val="54110AE0"/>
    <w:rsid w:val="54242B4E"/>
    <w:rsid w:val="548232C1"/>
    <w:rsid w:val="54A4872B"/>
    <w:rsid w:val="54FFC5CE"/>
    <w:rsid w:val="55A24BC0"/>
    <w:rsid w:val="55ED2020"/>
    <w:rsid w:val="563B020D"/>
    <w:rsid w:val="5646BF4B"/>
    <w:rsid w:val="567A48F3"/>
    <w:rsid w:val="56E864C0"/>
    <w:rsid w:val="56EB0337"/>
    <w:rsid w:val="5786497B"/>
    <w:rsid w:val="57A5D125"/>
    <w:rsid w:val="58EB139D"/>
    <w:rsid w:val="5914DE22"/>
    <w:rsid w:val="5929D888"/>
    <w:rsid w:val="59E71D8F"/>
    <w:rsid w:val="5A781342"/>
    <w:rsid w:val="5A7BFE08"/>
    <w:rsid w:val="5AB96592"/>
    <w:rsid w:val="5B09956E"/>
    <w:rsid w:val="5B7FBBF8"/>
    <w:rsid w:val="5BB5CF47"/>
    <w:rsid w:val="5BB98B3C"/>
    <w:rsid w:val="5C0AB1F8"/>
    <w:rsid w:val="5C1F60F6"/>
    <w:rsid w:val="5C5F1F3D"/>
    <w:rsid w:val="5C66B123"/>
    <w:rsid w:val="5C69AA2D"/>
    <w:rsid w:val="5D32650B"/>
    <w:rsid w:val="5D5182C5"/>
    <w:rsid w:val="5D96C86C"/>
    <w:rsid w:val="5EAFA6DA"/>
    <w:rsid w:val="5F65D64E"/>
    <w:rsid w:val="5FC3A94A"/>
    <w:rsid w:val="5FF45EB9"/>
    <w:rsid w:val="60890598"/>
    <w:rsid w:val="608D7D09"/>
    <w:rsid w:val="62B20B33"/>
    <w:rsid w:val="62B60DAF"/>
    <w:rsid w:val="62DC0578"/>
    <w:rsid w:val="62EC5CD1"/>
    <w:rsid w:val="63634FCD"/>
    <w:rsid w:val="63D985D0"/>
    <w:rsid w:val="64107F29"/>
    <w:rsid w:val="64189AA8"/>
    <w:rsid w:val="648B6ACE"/>
    <w:rsid w:val="65C400DF"/>
    <w:rsid w:val="66AF156B"/>
    <w:rsid w:val="673E1C7C"/>
    <w:rsid w:val="6773EBE1"/>
    <w:rsid w:val="67EE6736"/>
    <w:rsid w:val="67F03FAB"/>
    <w:rsid w:val="68B050B5"/>
    <w:rsid w:val="68C9A641"/>
    <w:rsid w:val="69248E7E"/>
    <w:rsid w:val="692D920D"/>
    <w:rsid w:val="696263B4"/>
    <w:rsid w:val="6968F671"/>
    <w:rsid w:val="6A406BB3"/>
    <w:rsid w:val="6A85384D"/>
    <w:rsid w:val="6B475FFA"/>
    <w:rsid w:val="6C146C82"/>
    <w:rsid w:val="6C2F9F53"/>
    <w:rsid w:val="6C3498C6"/>
    <w:rsid w:val="6C6F8460"/>
    <w:rsid w:val="6CA82FB0"/>
    <w:rsid w:val="6CCA117A"/>
    <w:rsid w:val="6CDDBB5B"/>
    <w:rsid w:val="6D0FF993"/>
    <w:rsid w:val="6D21024D"/>
    <w:rsid w:val="6D8A582F"/>
    <w:rsid w:val="6DD32CF0"/>
    <w:rsid w:val="6EC362DB"/>
    <w:rsid w:val="6ECFE6AB"/>
    <w:rsid w:val="6F311C67"/>
    <w:rsid w:val="6F3A4808"/>
    <w:rsid w:val="6F7624FA"/>
    <w:rsid w:val="6FCD730B"/>
    <w:rsid w:val="6FE31E5A"/>
    <w:rsid w:val="702364AE"/>
    <w:rsid w:val="70481B4D"/>
    <w:rsid w:val="707D6624"/>
    <w:rsid w:val="709D82AF"/>
    <w:rsid w:val="70CB8923"/>
    <w:rsid w:val="70EAF8C8"/>
    <w:rsid w:val="711878E2"/>
    <w:rsid w:val="7146B4EE"/>
    <w:rsid w:val="71D2B992"/>
    <w:rsid w:val="71DCECA4"/>
    <w:rsid w:val="729EB701"/>
    <w:rsid w:val="72E61784"/>
    <w:rsid w:val="734E9025"/>
    <w:rsid w:val="73DD335E"/>
    <w:rsid w:val="740C7F26"/>
    <w:rsid w:val="742449F3"/>
    <w:rsid w:val="74637ADB"/>
    <w:rsid w:val="74C5058D"/>
    <w:rsid w:val="74D3FD48"/>
    <w:rsid w:val="74EBC998"/>
    <w:rsid w:val="75AB549C"/>
    <w:rsid w:val="7600CF09"/>
    <w:rsid w:val="76158B1F"/>
    <w:rsid w:val="76453BF2"/>
    <w:rsid w:val="7681E231"/>
    <w:rsid w:val="77162190"/>
    <w:rsid w:val="771B4C95"/>
    <w:rsid w:val="771C887F"/>
    <w:rsid w:val="7789B601"/>
    <w:rsid w:val="778A3F26"/>
    <w:rsid w:val="77C16D42"/>
    <w:rsid w:val="782FF50B"/>
    <w:rsid w:val="7842B679"/>
    <w:rsid w:val="7857C155"/>
    <w:rsid w:val="78F8A0C0"/>
    <w:rsid w:val="792A4A3C"/>
    <w:rsid w:val="79433F1A"/>
    <w:rsid w:val="7A8DFAB8"/>
    <w:rsid w:val="7ADDDDB2"/>
    <w:rsid w:val="7B140B9A"/>
    <w:rsid w:val="7B628667"/>
    <w:rsid w:val="7BDB751E"/>
    <w:rsid w:val="7C77F7F7"/>
    <w:rsid w:val="7CD3798A"/>
    <w:rsid w:val="7D44EAFB"/>
    <w:rsid w:val="7E1AEDB9"/>
    <w:rsid w:val="7E1C149E"/>
    <w:rsid w:val="7E375390"/>
    <w:rsid w:val="7E4AC13F"/>
    <w:rsid w:val="7E69AC0A"/>
    <w:rsid w:val="7E7AC4F1"/>
    <w:rsid w:val="7E836D75"/>
    <w:rsid w:val="7EB00C53"/>
    <w:rsid w:val="7EEC1591"/>
    <w:rsid w:val="7F026883"/>
    <w:rsid w:val="7F08A8A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6FF769"/>
  <w15:chartTrackingRefBased/>
  <w15:docId w15:val="{E6ACF5A6-550B-43E5-8B23-010B3F470C95}"/>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1C48"/>
  </w:style>
  <w:style w:type="paragraph" w:styleId="Heading1">
    <w:name w:val="heading 1"/>
    <w:basedOn w:val="Normal"/>
    <w:next w:val="Normal"/>
    <w:link w:val="Heading1Char"/>
    <w:uiPriority w:val="9"/>
    <w:qFormat/>
    <w:rsid w:val="00B84E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B84E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84E6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84E6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84E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84E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4E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4E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4E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4E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84E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84E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84E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84E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84E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4E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4E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4E68"/>
    <w:rPr>
      <w:rFonts w:eastAsiaTheme="majorEastAsia" w:cstheme="majorBidi"/>
      <w:color w:val="272727" w:themeColor="text1" w:themeTint="D8"/>
    </w:rPr>
  </w:style>
  <w:style w:type="paragraph" w:styleId="Title">
    <w:name w:val="Title"/>
    <w:basedOn w:val="Normal"/>
    <w:next w:val="Normal"/>
    <w:link w:val="TitleChar"/>
    <w:uiPriority w:val="10"/>
    <w:qFormat/>
    <w:rsid w:val="00B84E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4E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4E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4E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4E68"/>
    <w:pPr>
      <w:spacing w:before="160"/>
      <w:jc w:val="center"/>
    </w:pPr>
    <w:rPr>
      <w:i/>
      <w:iCs/>
      <w:color w:val="404040" w:themeColor="text1" w:themeTint="BF"/>
    </w:rPr>
  </w:style>
  <w:style w:type="character" w:customStyle="1" w:styleId="QuoteChar">
    <w:name w:val="Quote Char"/>
    <w:basedOn w:val="DefaultParagraphFont"/>
    <w:link w:val="Quote"/>
    <w:uiPriority w:val="29"/>
    <w:rsid w:val="00B84E68"/>
    <w:rPr>
      <w:i/>
      <w:iCs/>
      <w:color w:val="404040" w:themeColor="text1" w:themeTint="BF"/>
    </w:rPr>
  </w:style>
  <w:style w:type="paragraph" w:styleId="ListParagraph">
    <w:name w:val="List Paragraph"/>
    <w:basedOn w:val="Normal"/>
    <w:uiPriority w:val="34"/>
    <w:qFormat/>
    <w:rsid w:val="00B84E68"/>
    <w:pPr>
      <w:ind w:left="720"/>
      <w:contextualSpacing/>
    </w:pPr>
  </w:style>
  <w:style w:type="character" w:styleId="IntenseEmphasis">
    <w:name w:val="Intense Emphasis"/>
    <w:basedOn w:val="DefaultParagraphFont"/>
    <w:uiPriority w:val="21"/>
    <w:qFormat/>
    <w:rsid w:val="00B84E68"/>
    <w:rPr>
      <w:i/>
      <w:iCs/>
      <w:color w:val="0F4761" w:themeColor="accent1" w:themeShade="BF"/>
    </w:rPr>
  </w:style>
  <w:style w:type="paragraph" w:styleId="IntenseQuote">
    <w:name w:val="Intense Quote"/>
    <w:basedOn w:val="Normal"/>
    <w:next w:val="Normal"/>
    <w:link w:val="IntenseQuoteChar"/>
    <w:uiPriority w:val="30"/>
    <w:qFormat/>
    <w:rsid w:val="00B84E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84E68"/>
    <w:rPr>
      <w:i/>
      <w:iCs/>
      <w:color w:val="0F4761" w:themeColor="accent1" w:themeShade="BF"/>
    </w:rPr>
  </w:style>
  <w:style w:type="character" w:styleId="IntenseReference">
    <w:name w:val="Intense Reference"/>
    <w:basedOn w:val="DefaultParagraphFont"/>
    <w:uiPriority w:val="32"/>
    <w:qFormat/>
    <w:rsid w:val="00B84E68"/>
    <w:rPr>
      <w:b/>
      <w:bCs/>
      <w:smallCaps/>
      <w:color w:val="0F4761" w:themeColor="accent1" w:themeShade="BF"/>
      <w:spacing w:val="5"/>
    </w:rPr>
  </w:style>
  <w:style w:type="paragraph" w:styleId="FootnoteText">
    <w:name w:val="footnote text"/>
    <w:aliases w:val="Footnote Text Char1,Footnote Text Char Char,Footnote Text Char1 Char,Footnote Text Char Char Char,Char Char,Footnote Text Char2 Char,Footnote Text Char2 Char Char Char Char,Footnote Text Char1 Char1 Char1 Char Char Char"/>
    <w:basedOn w:val="Normal"/>
    <w:link w:val="FootnoteTextChar"/>
    <w:unhideWhenUsed/>
    <w:rsid w:val="00B84E68"/>
    <w:pPr>
      <w:spacing w:after="0" w:line="240" w:lineRule="auto"/>
    </w:pPr>
    <w:rPr>
      <w:sz w:val="20"/>
      <w:szCs w:val="20"/>
    </w:rPr>
  </w:style>
  <w:style w:type="character" w:customStyle="1" w:styleId="FootnoteTextChar">
    <w:name w:val="Footnote Text Char"/>
    <w:aliases w:val="Footnote Text Char1 Char1,Footnote Text Char Char Char1,Footnote Text Char1 Char Char,Footnote Text Char Char Char Char,Char Char Char,Footnote Text Char2 Char Char,Footnote Text Char2 Char Char Char Char Char"/>
    <w:basedOn w:val="DefaultParagraphFont"/>
    <w:link w:val="FootnoteText"/>
    <w:uiPriority w:val="99"/>
    <w:rsid w:val="00B84E68"/>
    <w:rPr>
      <w:sz w:val="20"/>
      <w:szCs w:val="20"/>
    </w:rPr>
  </w:style>
  <w:style w:type="paragraph" w:styleId="Header">
    <w:name w:val="header"/>
    <w:basedOn w:val="Normal"/>
    <w:link w:val="HeaderChar"/>
    <w:uiPriority w:val="99"/>
    <w:unhideWhenUsed/>
    <w:rsid w:val="00B84E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4E68"/>
  </w:style>
  <w:style w:type="paragraph" w:styleId="Footer">
    <w:name w:val="footer"/>
    <w:basedOn w:val="Normal"/>
    <w:link w:val="FooterChar"/>
    <w:uiPriority w:val="99"/>
    <w:unhideWhenUsed/>
    <w:rsid w:val="00B84E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4E68"/>
  </w:style>
  <w:style w:type="character" w:styleId="PageNumber">
    <w:name w:val="page number"/>
    <w:basedOn w:val="DefaultParagraphFont"/>
    <w:rsid w:val="00B84E68"/>
  </w:style>
  <w:style w:type="character" w:styleId="FootnoteReference">
    <w:name w:val="footnote reference"/>
    <w:aliases w:val="o,fr,Style 3,o1,o2,o3,o4,o5,o6,o11,o21,o7,Footnote Reference1"/>
    <w:qFormat/>
    <w:rsid w:val="00B84E68"/>
    <w:rPr>
      <w:vertAlign w:val="superscript"/>
    </w:rPr>
  </w:style>
  <w:style w:type="table" w:styleId="TableGrid">
    <w:name w:val="Table Grid"/>
    <w:basedOn w:val="TableNormal"/>
    <w:uiPriority w:val="59"/>
    <w:rsid w:val="00B84E68"/>
    <w:pPr>
      <w:spacing w:after="0" w:line="240" w:lineRule="auto"/>
    </w:pPr>
    <w:rPr>
      <w:rFonts w:ascii="Times New Roman" w:eastAsia="Times New Roman" w:hAnsi="Times New Roman" w:cs="Times New Roman"/>
      <w:kern w:val="0"/>
      <w:sz w:val="20"/>
      <w:szCs w:val="20"/>
      <w14:ligatures w14:val="none"/>
    </w:rPr>
    <w:tblPr/>
  </w:style>
  <w:style w:type="character" w:styleId="CommentReference">
    <w:name w:val="annotation reference"/>
    <w:basedOn w:val="DefaultParagraphFont"/>
    <w:uiPriority w:val="99"/>
    <w:semiHidden/>
    <w:unhideWhenUsed/>
    <w:rsid w:val="00B84E68"/>
    <w:rPr>
      <w:sz w:val="16"/>
      <w:szCs w:val="16"/>
    </w:rPr>
  </w:style>
  <w:style w:type="paragraph" w:styleId="CommentText">
    <w:name w:val="annotation text"/>
    <w:basedOn w:val="Normal"/>
    <w:link w:val="CommentTextChar"/>
    <w:uiPriority w:val="99"/>
    <w:unhideWhenUsed/>
    <w:rsid w:val="00B84E68"/>
    <w:pPr>
      <w:spacing w:after="0" w:line="240" w:lineRule="auto"/>
    </w:pPr>
    <w:rPr>
      <w:rFonts w:ascii="Palatino" w:eastAsia="Times New Roman" w:hAnsi="Palatino" w:cs="Times New Roman"/>
      <w:kern w:val="0"/>
      <w:sz w:val="20"/>
      <w:szCs w:val="20"/>
      <w14:ligatures w14:val="none"/>
    </w:rPr>
  </w:style>
  <w:style w:type="character" w:customStyle="1" w:styleId="CommentTextChar">
    <w:name w:val="Comment Text Char"/>
    <w:basedOn w:val="DefaultParagraphFont"/>
    <w:link w:val="CommentText"/>
    <w:uiPriority w:val="99"/>
    <w:rsid w:val="00B84E68"/>
    <w:rPr>
      <w:rFonts w:ascii="Palatino" w:eastAsia="Times New Roman" w:hAnsi="Palatino" w:cs="Times New Roman"/>
      <w:kern w:val="0"/>
      <w:sz w:val="20"/>
      <w:szCs w:val="20"/>
      <w14:ligatures w14:val="none"/>
    </w:rPr>
  </w:style>
  <w:style w:type="character" w:customStyle="1" w:styleId="cf01">
    <w:name w:val="cf01"/>
    <w:basedOn w:val="DefaultParagraphFont"/>
    <w:rsid w:val="00B84E68"/>
    <w:rPr>
      <w:rFonts w:ascii="Segoe UI" w:hAnsi="Segoe UI" w:cs="Segoe UI" w:hint="default"/>
      <w:sz w:val="18"/>
      <w:szCs w:val="18"/>
    </w:rPr>
  </w:style>
  <w:style w:type="paragraph" w:styleId="CommentSubject">
    <w:name w:val="annotation subject"/>
    <w:basedOn w:val="CommentText"/>
    <w:next w:val="CommentText"/>
    <w:link w:val="CommentSubjectChar"/>
    <w:uiPriority w:val="99"/>
    <w:semiHidden/>
    <w:unhideWhenUsed/>
    <w:rsid w:val="00FF74AD"/>
    <w:pPr>
      <w:spacing w:after="160"/>
    </w:pPr>
    <w:rPr>
      <w:rFonts w:asciiTheme="minorHAnsi" w:eastAsiaTheme="minorHAnsi" w:hAnsiTheme="minorHAnsi" w:cstheme="minorBidi"/>
      <w:b/>
      <w:bCs/>
      <w:kern w:val="2"/>
      <w14:ligatures w14:val="standardContextual"/>
    </w:rPr>
  </w:style>
  <w:style w:type="character" w:customStyle="1" w:styleId="CommentSubjectChar">
    <w:name w:val="Comment Subject Char"/>
    <w:basedOn w:val="CommentTextChar"/>
    <w:link w:val="CommentSubject"/>
    <w:uiPriority w:val="99"/>
    <w:semiHidden/>
    <w:rsid w:val="00FF74AD"/>
    <w:rPr>
      <w:rFonts w:ascii="Palatino" w:eastAsia="Times New Roman" w:hAnsi="Palatino" w:cs="Times New Roman"/>
      <w:b/>
      <w:bCs/>
      <w:kern w:val="0"/>
      <w:sz w:val="20"/>
      <w:szCs w:val="20"/>
      <w14:ligatures w14:val="none"/>
    </w:rPr>
  </w:style>
  <w:style w:type="character" w:styleId="Mention">
    <w:name w:val="Mention"/>
    <w:basedOn w:val="DefaultParagraphFont"/>
    <w:uiPriority w:val="99"/>
    <w:unhideWhenUsed/>
    <w:rsid w:val="008437D2"/>
    <w:rPr>
      <w:color w:val="2B579A"/>
      <w:shd w:val="clear" w:color="auto" w:fill="E1DFDD"/>
    </w:rPr>
  </w:style>
  <w:style w:type="paragraph" w:styleId="Revision">
    <w:name w:val="Revision"/>
    <w:hidden/>
    <w:uiPriority w:val="99"/>
    <w:semiHidden/>
    <w:rsid w:val="00F20F19"/>
    <w:pPr>
      <w:spacing w:after="0" w:line="240" w:lineRule="auto"/>
    </w:pPr>
  </w:style>
  <w:style w:type="paragraph" w:customStyle="1" w:styleId="Res-Caption">
    <w:name w:val="Res-Caption"/>
    <w:basedOn w:val="Normal"/>
    <w:rsid w:val="00F20F19"/>
    <w:pPr>
      <w:spacing w:after="0" w:line="240" w:lineRule="auto"/>
      <w:ind w:left="720" w:right="720"/>
    </w:pPr>
    <w:rPr>
      <w:rFonts w:ascii="Palatino" w:eastAsia="Times New Roman" w:hAnsi="Palatino" w:cs="Times New Roman"/>
      <w:kern w:val="0"/>
      <w:sz w:val="26"/>
      <w:szCs w:val="20"/>
      <w14:ligatures w14:val="none"/>
    </w:rPr>
  </w:style>
  <w:style w:type="paragraph" w:styleId="NoSpacing">
    <w:name w:val="No Spacing"/>
    <w:uiPriority w:val="1"/>
    <w:qFormat/>
    <w:rsid w:val="002A79A1"/>
    <w:pPr>
      <w:spacing w:after="0" w:line="240" w:lineRule="auto"/>
    </w:pPr>
    <w:rPr>
      <w:rFonts w:ascii="Palatino" w:eastAsia="Times New Roman" w:hAnsi="Palatino" w:cs="Times New Roman"/>
      <w:kern w:val="0"/>
      <w:sz w:val="26"/>
      <w:szCs w:val="20"/>
      <w14:ligatures w14:val="none"/>
    </w:rPr>
  </w:style>
  <w:style w:type="character" w:styleId="Hyperlink">
    <w:name w:val="Hyperlink"/>
    <w:basedOn w:val="DefaultParagraphFont"/>
    <w:uiPriority w:val="99"/>
    <w:unhideWhenUsed/>
    <w:rsid w:val="001072A5"/>
    <w:rPr>
      <w:color w:val="467886" w:themeColor="hyperlink"/>
      <w:u w:val="single"/>
    </w:rPr>
  </w:style>
  <w:style w:type="paragraph" w:customStyle="1" w:styleId="paragraph">
    <w:name w:val="paragraph"/>
    <w:basedOn w:val="Normal"/>
    <w:rsid w:val="00AC38E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AC38EA"/>
  </w:style>
  <w:style w:type="character" w:customStyle="1" w:styleId="eop">
    <w:name w:val="eop"/>
    <w:basedOn w:val="DefaultParagraphFont"/>
    <w:rsid w:val="00AC38EA"/>
  </w:style>
  <w:style w:type="character" w:customStyle="1" w:styleId="tabchar">
    <w:name w:val="tabchar"/>
    <w:basedOn w:val="DefaultParagraphFont"/>
    <w:rsid w:val="00852633"/>
  </w:style>
  <w:style w:type="character" w:styleId="UnresolvedMention">
    <w:name w:val="Unresolved Mention"/>
    <w:basedOn w:val="DefaultParagraphFont"/>
    <w:uiPriority w:val="99"/>
    <w:semiHidden/>
    <w:unhideWhenUsed/>
    <w:rsid w:val="0026381D"/>
    <w:rPr>
      <w:color w:val="605E5C"/>
      <w:shd w:val="clear" w:color="auto" w:fill="E1DFDD"/>
    </w:rPr>
  </w:style>
  <w:style w:type="paragraph" w:customStyle="1" w:styleId="pf0">
    <w:name w:val="pf0"/>
    <w:basedOn w:val="Normal"/>
    <w:rsid w:val="00D76F6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cf11">
    <w:name w:val="cf11"/>
    <w:basedOn w:val="DefaultParagraphFont"/>
    <w:rsid w:val="00790434"/>
    <w:rPr>
      <w:rFonts w:ascii="Segoe UI" w:hAnsi="Segoe UI" w:cs="Segoe UI" w:hint="default"/>
      <w:sz w:val="18"/>
      <w:szCs w:val="18"/>
      <w:shd w:val="clear" w:color="auto" w:fill="FFFF00"/>
    </w:rPr>
  </w:style>
  <w:style w:type="character" w:styleId="FollowedHyperlink">
    <w:name w:val="FollowedHyperlink"/>
    <w:basedOn w:val="DefaultParagraphFont"/>
    <w:uiPriority w:val="99"/>
    <w:semiHidden/>
    <w:unhideWhenUsed/>
    <w:rsid w:val="00663575"/>
    <w:rPr>
      <w:color w:val="96607D" w:themeColor="followedHyperlink"/>
      <w:u w:val="single"/>
    </w:rPr>
  </w:style>
  <w:style w:type="paragraph" w:styleId="BodyText">
    <w:name w:val="Body Text"/>
    <w:basedOn w:val="Normal"/>
    <w:link w:val="BodyTextChar"/>
    <w:uiPriority w:val="1"/>
    <w:qFormat/>
    <w:rsid w:val="0081246C"/>
    <w:pPr>
      <w:widowControl w:val="0"/>
      <w:autoSpaceDE w:val="0"/>
      <w:autoSpaceDN w:val="0"/>
      <w:spacing w:before="240" w:after="0" w:line="240" w:lineRule="auto"/>
    </w:pPr>
    <w:rPr>
      <w:rFonts w:ascii="Arial" w:eastAsia="Arial" w:hAnsi="Arial" w:cs="Arial"/>
      <w:kern w:val="0"/>
      <w:sz w:val="24"/>
      <w:szCs w:val="24"/>
      <w14:ligatures w14:val="none"/>
    </w:rPr>
  </w:style>
  <w:style w:type="character" w:customStyle="1" w:styleId="BodyTextChar">
    <w:name w:val="Body Text Char"/>
    <w:basedOn w:val="DefaultParagraphFont"/>
    <w:link w:val="BodyText"/>
    <w:uiPriority w:val="1"/>
    <w:rsid w:val="0081246C"/>
    <w:rPr>
      <w:rFonts w:ascii="Arial" w:eastAsia="Arial" w:hAnsi="Arial" w:cs="Arial"/>
      <w:kern w:val="0"/>
      <w:sz w:val="24"/>
      <w:szCs w:val="24"/>
      <w14:ligatures w14:val="none"/>
    </w:rPr>
  </w:style>
  <w:style w:type="paragraph" w:customStyle="1" w:styleId="TableParagraph">
    <w:name w:val="Table Paragraph"/>
    <w:basedOn w:val="Normal"/>
    <w:uiPriority w:val="1"/>
    <w:qFormat/>
    <w:rsid w:val="0081246C"/>
    <w:pPr>
      <w:widowControl w:val="0"/>
      <w:autoSpaceDE w:val="0"/>
      <w:autoSpaceDN w:val="0"/>
      <w:spacing w:before="30" w:after="0" w:line="240" w:lineRule="auto"/>
      <w:ind w:left="105"/>
    </w:pPr>
    <w:rPr>
      <w:rFonts w:ascii="Arial" w:eastAsia="Arial" w:hAnsi="Arial" w:cs="Arial"/>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0513015">
      <w:bodyDiv w:val="1"/>
      <w:marLeft w:val="0"/>
      <w:marRight w:val="0"/>
      <w:marTop w:val="0"/>
      <w:marBottom w:val="0"/>
      <w:divBdr>
        <w:top w:val="none" w:sz="0" w:space="0" w:color="auto"/>
        <w:left w:val="none" w:sz="0" w:space="0" w:color="auto"/>
        <w:bottom w:val="none" w:sz="0" w:space="0" w:color="auto"/>
        <w:right w:val="none" w:sz="0" w:space="0" w:color="auto"/>
      </w:divBdr>
      <w:divsChild>
        <w:div w:id="324089053">
          <w:marLeft w:val="0"/>
          <w:marRight w:val="0"/>
          <w:marTop w:val="0"/>
          <w:marBottom w:val="0"/>
          <w:divBdr>
            <w:top w:val="none" w:sz="0" w:space="0" w:color="auto"/>
            <w:left w:val="none" w:sz="0" w:space="0" w:color="auto"/>
            <w:bottom w:val="none" w:sz="0" w:space="0" w:color="auto"/>
            <w:right w:val="none" w:sz="0" w:space="0" w:color="auto"/>
          </w:divBdr>
        </w:div>
        <w:div w:id="538322375">
          <w:marLeft w:val="0"/>
          <w:marRight w:val="0"/>
          <w:marTop w:val="0"/>
          <w:marBottom w:val="0"/>
          <w:divBdr>
            <w:top w:val="none" w:sz="0" w:space="0" w:color="auto"/>
            <w:left w:val="none" w:sz="0" w:space="0" w:color="auto"/>
            <w:bottom w:val="none" w:sz="0" w:space="0" w:color="auto"/>
            <w:right w:val="none" w:sz="0" w:space="0" w:color="auto"/>
          </w:divBdr>
        </w:div>
        <w:div w:id="598755895">
          <w:marLeft w:val="0"/>
          <w:marRight w:val="0"/>
          <w:marTop w:val="0"/>
          <w:marBottom w:val="0"/>
          <w:divBdr>
            <w:top w:val="none" w:sz="0" w:space="0" w:color="auto"/>
            <w:left w:val="none" w:sz="0" w:space="0" w:color="auto"/>
            <w:bottom w:val="none" w:sz="0" w:space="0" w:color="auto"/>
            <w:right w:val="none" w:sz="0" w:space="0" w:color="auto"/>
          </w:divBdr>
        </w:div>
        <w:div w:id="784084723">
          <w:marLeft w:val="0"/>
          <w:marRight w:val="0"/>
          <w:marTop w:val="0"/>
          <w:marBottom w:val="0"/>
          <w:divBdr>
            <w:top w:val="none" w:sz="0" w:space="0" w:color="auto"/>
            <w:left w:val="none" w:sz="0" w:space="0" w:color="auto"/>
            <w:bottom w:val="none" w:sz="0" w:space="0" w:color="auto"/>
            <w:right w:val="none" w:sz="0" w:space="0" w:color="auto"/>
          </w:divBdr>
        </w:div>
        <w:div w:id="839151375">
          <w:marLeft w:val="0"/>
          <w:marRight w:val="0"/>
          <w:marTop w:val="0"/>
          <w:marBottom w:val="0"/>
          <w:divBdr>
            <w:top w:val="none" w:sz="0" w:space="0" w:color="auto"/>
            <w:left w:val="none" w:sz="0" w:space="0" w:color="auto"/>
            <w:bottom w:val="none" w:sz="0" w:space="0" w:color="auto"/>
            <w:right w:val="none" w:sz="0" w:space="0" w:color="auto"/>
          </w:divBdr>
        </w:div>
        <w:div w:id="979652685">
          <w:marLeft w:val="0"/>
          <w:marRight w:val="0"/>
          <w:marTop w:val="0"/>
          <w:marBottom w:val="0"/>
          <w:divBdr>
            <w:top w:val="none" w:sz="0" w:space="0" w:color="auto"/>
            <w:left w:val="none" w:sz="0" w:space="0" w:color="auto"/>
            <w:bottom w:val="none" w:sz="0" w:space="0" w:color="auto"/>
            <w:right w:val="none" w:sz="0" w:space="0" w:color="auto"/>
          </w:divBdr>
        </w:div>
        <w:div w:id="1117259358">
          <w:marLeft w:val="0"/>
          <w:marRight w:val="0"/>
          <w:marTop w:val="0"/>
          <w:marBottom w:val="0"/>
          <w:divBdr>
            <w:top w:val="none" w:sz="0" w:space="0" w:color="auto"/>
            <w:left w:val="none" w:sz="0" w:space="0" w:color="auto"/>
            <w:bottom w:val="none" w:sz="0" w:space="0" w:color="auto"/>
            <w:right w:val="none" w:sz="0" w:space="0" w:color="auto"/>
          </w:divBdr>
        </w:div>
        <w:div w:id="1270620340">
          <w:marLeft w:val="0"/>
          <w:marRight w:val="0"/>
          <w:marTop w:val="0"/>
          <w:marBottom w:val="0"/>
          <w:divBdr>
            <w:top w:val="none" w:sz="0" w:space="0" w:color="auto"/>
            <w:left w:val="none" w:sz="0" w:space="0" w:color="auto"/>
            <w:bottom w:val="none" w:sz="0" w:space="0" w:color="auto"/>
            <w:right w:val="none" w:sz="0" w:space="0" w:color="auto"/>
          </w:divBdr>
        </w:div>
        <w:div w:id="1673727374">
          <w:marLeft w:val="0"/>
          <w:marRight w:val="0"/>
          <w:marTop w:val="0"/>
          <w:marBottom w:val="0"/>
          <w:divBdr>
            <w:top w:val="none" w:sz="0" w:space="0" w:color="auto"/>
            <w:left w:val="none" w:sz="0" w:space="0" w:color="auto"/>
            <w:bottom w:val="none" w:sz="0" w:space="0" w:color="auto"/>
            <w:right w:val="none" w:sz="0" w:space="0" w:color="auto"/>
          </w:divBdr>
        </w:div>
      </w:divsChild>
    </w:div>
    <w:div w:id="1441491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view.officeapps.live.com/op/view.aspx?src=https%3A%2F%2Fwww.caiso.com%2Fdocuments%2Fpublicqueuereport.xlsx&amp;wdOrigin=BROWSELINK" TargetMode="External"/><Relationship Id="rId2" Type="http://schemas.openxmlformats.org/officeDocument/2006/relationships/hyperlink" Target="https://www.caiso.com/documents/list-of-large-generator-interconnection-agreements-and-small-generator-interconnection-agreements.pdf" TargetMode="External"/><Relationship Id="rId1" Type="http://schemas.openxmlformats.org/officeDocument/2006/relationships/hyperlink" Target="https://arevonenergy.com/news/blog/a-leader-in-americas-critical-energy-storage-future/" TargetMode="External"/><Relationship Id="rId4" Type="http://schemas.openxmlformats.org/officeDocument/2006/relationships/hyperlink" Target="https://docs.cpuc.ca.gov/PublishedDocs/Published/G000/M581/K576/58157692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b95f576-ac1d-41e6-9609-5e83155ee812">
      <Terms xmlns="http://schemas.microsoft.com/office/infopath/2007/PartnerControls"/>
    </lcf76f155ced4ddcb4097134ff3c332f>
    <TaxCatchAll xmlns="76be18ba-3f21-4542-9cb1-4070a1d5beb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586BC3AB7D76A4C95100ABA517F5E83" ma:contentTypeVersion="13" ma:contentTypeDescription="Create a new document." ma:contentTypeScope="" ma:versionID="487e63b5125888cb36f0d4dc225f6011">
  <xsd:schema xmlns:xsd="http://www.w3.org/2001/XMLSchema" xmlns:xs="http://www.w3.org/2001/XMLSchema" xmlns:p="http://schemas.microsoft.com/office/2006/metadata/properties" xmlns:ns2="76be18ba-3f21-4542-9cb1-4070a1d5beb6" xmlns:ns3="1b95f576-ac1d-41e6-9609-5e83155ee812" targetNamespace="http://schemas.microsoft.com/office/2006/metadata/properties" ma:root="true" ma:fieldsID="f6f0731ad294fef8936a0bc7d5d86ba6" ns2:_="" ns3:_="">
    <xsd:import namespace="76be18ba-3f21-4542-9cb1-4070a1d5beb6"/>
    <xsd:import namespace="1b95f576-ac1d-41e6-9609-5e83155ee81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e18ba-3f21-4542-9cb1-4070a1d5beb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a2ad91bc-5df5-4177-b239-83290d7e6c2a}" ma:internalName="TaxCatchAll" ma:showField="CatchAllData" ma:web="76be18ba-3f21-4542-9cb1-4070a1d5beb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b95f576-ac1d-41e6-9609-5e83155ee81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15922A-2F77-4C06-8111-07A427FC64B5}">
  <ds:schemaRefs>
    <ds:schemaRef ds:uri="http://schemas.openxmlformats.org/officeDocument/2006/bibliography"/>
  </ds:schemaRefs>
</ds:datastoreItem>
</file>

<file path=customXml/itemProps2.xml><?xml version="1.0" encoding="utf-8"?>
<ds:datastoreItem xmlns:ds="http://schemas.openxmlformats.org/officeDocument/2006/customXml" ds:itemID="{CB2B2EBE-76D7-475B-B790-2F1ED1A9C2F5}">
  <ds:schemaRefs>
    <ds:schemaRef ds:uri="http://schemas.microsoft.com/office/2006/metadata/properties"/>
    <ds:schemaRef ds:uri="http://schemas.microsoft.com/office/infopath/2007/PartnerControls"/>
    <ds:schemaRef ds:uri="1b95f576-ac1d-41e6-9609-5e83155ee812"/>
    <ds:schemaRef ds:uri="76be18ba-3f21-4542-9cb1-4070a1d5beb6"/>
  </ds:schemaRefs>
</ds:datastoreItem>
</file>

<file path=customXml/itemProps3.xml><?xml version="1.0" encoding="utf-8"?>
<ds:datastoreItem xmlns:ds="http://schemas.openxmlformats.org/officeDocument/2006/customXml" ds:itemID="{F1E906F5-F8F7-4976-AC5B-FF3DF91EF7F3}">
  <ds:schemaRefs>
    <ds:schemaRef ds:uri="http://schemas.microsoft.com/sharepoint/v3/contenttype/forms"/>
  </ds:schemaRefs>
</ds:datastoreItem>
</file>

<file path=customXml/itemProps4.xml><?xml version="1.0" encoding="utf-8"?>
<ds:datastoreItem xmlns:ds="http://schemas.openxmlformats.org/officeDocument/2006/customXml" ds:itemID="{03BDA27D-9B4A-4D6D-B385-C918220859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e18ba-3f21-4542-9cb1-4070a1d5beb6"/>
    <ds:schemaRef ds:uri="1b95f576-ac1d-41e6-9609-5e83155ee8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10</ap:Pages>
  <ap:Words>2705</ap:Words>
  <ap:Characters>15419</ap:Characters>
  <ap:Application>Microsoft Office Word</ap:Application>
  <ap:DocSecurity>0</ap:DocSecurity>
  <ap:Lines>128</ap:Lines>
  <ap:Paragraphs>36</ap:Paragraphs>
  <ap:ScaleCrop>false</ap:ScaleCrop>
  <ap:Company/>
  <ap:LinksUpToDate>false</ap:LinksUpToDate>
  <ap:CharactersWithSpaces>18088</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2026-01-21T11:53:14Z</dcterms:created>
  <dcterms:modified xsi:type="dcterms:W3CDTF">2026-01-21T11:53:14Z</dcterms:modified>
</cp:coreProperties>
</file>