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0089" w:rsidR="00D6208C" w:rsidP="00E34CF1" w:rsidRDefault="00D6208C" w14:paraId="3B0DA53C" w14:textId="3CC6F7D5">
      <w:pPr>
        <w:suppressAutoHyphens/>
        <w:ind w:right="-450"/>
        <w:rPr>
          <w:rFonts w:ascii="Book Antiqua" w:hAnsi="Book Antiqua"/>
          <w:color w:val="000000"/>
          <w:sz w:val="26"/>
          <w:szCs w:val="26"/>
        </w:rPr>
      </w:pPr>
      <w:r w:rsidRPr="00C40089">
        <w:rPr>
          <w:rFonts w:ascii="Book Antiqua" w:hAnsi="Book Antiqua"/>
          <w:color w:val="000000"/>
          <w:sz w:val="26"/>
          <w:szCs w:val="26"/>
        </w:rPr>
        <w:t>ALJ/</w:t>
      </w:r>
      <w:r>
        <w:rPr>
          <w:rFonts w:ascii="Book Antiqua" w:hAnsi="Book Antiqua"/>
          <w:color w:val="000000"/>
          <w:sz w:val="26"/>
          <w:szCs w:val="26"/>
        </w:rPr>
        <w:t>JOR</w:t>
      </w:r>
      <w:r w:rsidRPr="00C40089">
        <w:rPr>
          <w:rFonts w:ascii="Book Antiqua" w:hAnsi="Book Antiqua"/>
          <w:color w:val="000000"/>
          <w:sz w:val="26"/>
          <w:szCs w:val="26"/>
        </w:rPr>
        <w:t>/avs</w:t>
      </w:r>
      <w:r w:rsidRPr="00C40089">
        <w:rPr>
          <w:rFonts w:ascii="Book Antiqua" w:hAnsi="Book Antiqua"/>
          <w:color w:val="000000"/>
          <w:sz w:val="26"/>
          <w:szCs w:val="26"/>
        </w:rPr>
        <w:tab/>
      </w:r>
      <w:r w:rsidRPr="00C40089">
        <w:rPr>
          <w:rFonts w:ascii="Book Antiqua" w:hAnsi="Book Antiqua"/>
          <w:color w:val="000000"/>
          <w:sz w:val="26"/>
          <w:szCs w:val="26"/>
        </w:rPr>
        <w:tab/>
      </w:r>
      <w:r w:rsidR="00E34CF1">
        <w:rPr>
          <w:rFonts w:ascii="Book Antiqua" w:hAnsi="Book Antiqua"/>
          <w:color w:val="000000"/>
          <w:sz w:val="26"/>
          <w:szCs w:val="26"/>
        </w:rPr>
        <w:tab/>
      </w:r>
      <w:r w:rsidR="00156089">
        <w:rPr>
          <w:rFonts w:ascii="Book Antiqua" w:hAnsi="Book Antiqua"/>
          <w:color w:val="000000"/>
          <w:sz w:val="26"/>
          <w:szCs w:val="26"/>
        </w:rPr>
        <w:tab/>
      </w:r>
      <w:r w:rsidR="00156089">
        <w:rPr>
          <w:rFonts w:ascii="Book Antiqua" w:hAnsi="Book Antiqua"/>
          <w:color w:val="000000"/>
          <w:sz w:val="26"/>
          <w:szCs w:val="26"/>
        </w:rPr>
        <w:tab/>
      </w:r>
      <w:r w:rsidR="00156089">
        <w:rPr>
          <w:rFonts w:ascii="Book Antiqua" w:hAnsi="Book Antiqua"/>
          <w:color w:val="000000"/>
          <w:sz w:val="26"/>
          <w:szCs w:val="26"/>
        </w:rPr>
        <w:tab/>
      </w:r>
      <w:r w:rsidR="00156089">
        <w:rPr>
          <w:rFonts w:ascii="Book Antiqua" w:hAnsi="Book Antiqua"/>
          <w:color w:val="000000"/>
          <w:sz w:val="26"/>
          <w:szCs w:val="26"/>
        </w:rPr>
        <w:tab/>
      </w:r>
      <w:r w:rsidR="00156089">
        <w:rPr>
          <w:rFonts w:ascii="Book Antiqua" w:hAnsi="Book Antiqua"/>
          <w:b/>
          <w:bCs/>
          <w:color w:val="000000"/>
          <w:sz w:val="26"/>
          <w:szCs w:val="26"/>
        </w:rPr>
        <w:t xml:space="preserve">Date of </w:t>
      </w:r>
      <w:proofErr w:type="gramStart"/>
      <w:r w:rsidR="00156089">
        <w:rPr>
          <w:rFonts w:ascii="Book Antiqua" w:hAnsi="Book Antiqua"/>
          <w:b/>
          <w:bCs/>
          <w:color w:val="000000"/>
          <w:sz w:val="26"/>
          <w:szCs w:val="26"/>
        </w:rPr>
        <w:t>Issuance  1</w:t>
      </w:r>
      <w:proofErr w:type="gramEnd"/>
      <w:r w:rsidR="00156089">
        <w:rPr>
          <w:rFonts w:ascii="Book Antiqua" w:hAnsi="Book Antiqua"/>
          <w:b/>
          <w:bCs/>
          <w:color w:val="000000"/>
          <w:sz w:val="26"/>
          <w:szCs w:val="26"/>
        </w:rPr>
        <w:t>/21/2026</w:t>
      </w:r>
    </w:p>
    <w:p w:rsidRPr="00C40089" w:rsidR="00D6208C" w:rsidP="00D6208C" w:rsidRDefault="00D6208C" w14:paraId="3907C399" w14:textId="77777777">
      <w:pPr>
        <w:suppressAutoHyphens/>
        <w:rPr>
          <w:rFonts w:ascii="Book Antiqua" w:hAnsi="Book Antiqua"/>
          <w:color w:val="000000"/>
          <w:sz w:val="26"/>
          <w:szCs w:val="26"/>
        </w:rPr>
      </w:pPr>
    </w:p>
    <w:p w:rsidRPr="00C40089" w:rsidR="00D6208C" w:rsidP="00D6208C" w:rsidRDefault="00D6208C" w14:paraId="79E79820" w14:textId="77777777">
      <w:pPr>
        <w:suppressAutoHyphens/>
        <w:rPr>
          <w:rFonts w:ascii="Book Antiqua" w:hAnsi="Book Antiqua"/>
          <w:color w:val="000000"/>
          <w:sz w:val="26"/>
          <w:szCs w:val="26"/>
        </w:rPr>
      </w:pPr>
    </w:p>
    <w:p w:rsidRPr="00C40089" w:rsidR="00D6208C" w:rsidP="00D6208C" w:rsidRDefault="00D6208C" w14:paraId="44C3F1C5" w14:textId="101E81F9">
      <w:pPr>
        <w:suppressAutoHyphens/>
        <w:rPr>
          <w:rFonts w:ascii="Book Antiqua" w:hAnsi="Book Antiqua"/>
          <w:color w:val="000000"/>
          <w:sz w:val="26"/>
          <w:szCs w:val="26"/>
        </w:rPr>
      </w:pPr>
      <w:r w:rsidRPr="00C40089">
        <w:rPr>
          <w:rFonts w:ascii="Book Antiqua" w:hAnsi="Book Antiqua"/>
          <w:color w:val="000000"/>
          <w:sz w:val="26"/>
          <w:szCs w:val="26"/>
        </w:rPr>
        <w:t xml:space="preserve">Decision </w:t>
      </w:r>
      <w:r w:rsidR="00156089">
        <w:rPr>
          <w:rFonts w:ascii="Book Antiqua" w:hAnsi="Book Antiqua"/>
          <w:color w:val="000000"/>
          <w:sz w:val="26"/>
          <w:szCs w:val="26"/>
        </w:rPr>
        <w:t>26-01-</w:t>
      </w:r>
      <w:proofErr w:type="gramStart"/>
      <w:r w:rsidR="00156089">
        <w:rPr>
          <w:rFonts w:ascii="Book Antiqua" w:hAnsi="Book Antiqua"/>
          <w:color w:val="000000"/>
          <w:sz w:val="26"/>
          <w:szCs w:val="26"/>
        </w:rPr>
        <w:t>016  January</w:t>
      </w:r>
      <w:proofErr w:type="gramEnd"/>
      <w:r w:rsidR="00156089">
        <w:rPr>
          <w:rFonts w:ascii="Book Antiqua" w:hAnsi="Book Antiqua"/>
          <w:color w:val="000000"/>
          <w:sz w:val="26"/>
          <w:szCs w:val="26"/>
        </w:rPr>
        <w:t xml:space="preserve"> 15, 2026</w:t>
      </w:r>
    </w:p>
    <w:p w:rsidRPr="00237F57" w:rsidR="00A92D0B" w:rsidRDefault="00A92D0B" w14:paraId="6D327C87" w14:textId="77777777">
      <w:pPr>
        <w:pStyle w:val="titlebar"/>
        <w:rPr>
          <w:rFonts w:ascii="Times New Roman" w:hAnsi="Times New Roman"/>
          <w:color w:val="000000"/>
          <w:sz w:val="24"/>
          <w:szCs w:val="24"/>
        </w:rPr>
      </w:pPr>
    </w:p>
    <w:p w:rsidRPr="00237F57" w:rsidR="00A92D0B" w:rsidRDefault="00A92D0B" w14:paraId="44E03231" w14:textId="77777777">
      <w:pPr>
        <w:pStyle w:val="titlebar"/>
        <w:rPr>
          <w:rFonts w:ascii="Times New Roman" w:hAnsi="Times New Roman"/>
          <w:color w:val="000000"/>
          <w:sz w:val="24"/>
          <w:szCs w:val="24"/>
        </w:rPr>
      </w:pPr>
    </w:p>
    <w:p w:rsidRPr="00237F57" w:rsidR="00A92D0B" w:rsidRDefault="00A92D0B" w14:paraId="67F2520C" w14:textId="77777777">
      <w:pPr>
        <w:pStyle w:val="titlebar"/>
        <w:rPr>
          <w:rFonts w:ascii="Times New Roman" w:hAnsi="Times New Roman"/>
          <w:color w:val="000000"/>
          <w:sz w:val="24"/>
          <w:szCs w:val="24"/>
        </w:rPr>
      </w:pPr>
      <w:r w:rsidRPr="00237F57">
        <w:rPr>
          <w:rFonts w:ascii="Times New Roman" w:hAnsi="Times New Roman"/>
          <w:color w:val="000000"/>
          <w:sz w:val="24"/>
          <w:szCs w:val="24"/>
        </w:rPr>
        <w:t>BEFORE THE PUBLIC UTILITIES COMMISSION OF THE STATE OF CALIFORNIA</w:t>
      </w:r>
    </w:p>
    <w:p w:rsidRPr="00237F57"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770"/>
        <w:gridCol w:w="5058"/>
      </w:tblGrid>
      <w:tr w:rsidRPr="00890276" w:rsidR="00A92D0B" w:rsidTr="00890276" w14:paraId="3942D7B4" w14:textId="77777777">
        <w:tc>
          <w:tcPr>
            <w:tcW w:w="4770" w:type="dxa"/>
          </w:tcPr>
          <w:p w:rsidRPr="00890276" w:rsidR="00A92D0B" w:rsidRDefault="00B01878" w14:paraId="47F7B23C" w14:textId="77777777">
            <w:pPr>
              <w:rPr>
                <w:rStyle w:val="displayonly"/>
                <w:rFonts w:ascii="Book Antiqua" w:hAnsi="Book Antiqua"/>
                <w:sz w:val="26"/>
                <w:szCs w:val="26"/>
              </w:rPr>
            </w:pPr>
            <w:r w:rsidRPr="00890276">
              <w:rPr>
                <w:rStyle w:val="displayonly"/>
                <w:rFonts w:ascii="Book Antiqua" w:hAnsi="Book Antiqua"/>
                <w:sz w:val="26"/>
                <w:szCs w:val="26"/>
              </w:rPr>
              <w:t>Application of Pacific Gas and Electric Company for Authority, Among Other Things, to Increase Rates and Charges for Electric and Gas Service Effective on January 1, 2023. (U39M</w:t>
            </w:r>
            <w:r w:rsidRPr="00890276" w:rsidR="00D6208C">
              <w:rPr>
                <w:rStyle w:val="displayonly"/>
                <w:rFonts w:ascii="Book Antiqua" w:hAnsi="Book Antiqua"/>
                <w:sz w:val="26"/>
                <w:szCs w:val="26"/>
              </w:rPr>
              <w:t>.</w:t>
            </w:r>
            <w:r w:rsidRPr="00890276">
              <w:rPr>
                <w:rStyle w:val="displayonly"/>
                <w:rFonts w:ascii="Book Antiqua" w:hAnsi="Book Antiqua"/>
                <w:sz w:val="26"/>
                <w:szCs w:val="26"/>
              </w:rPr>
              <w:t>)</w:t>
            </w:r>
          </w:p>
          <w:p w:rsidRPr="00890276" w:rsidR="00D6208C" w:rsidRDefault="00D6208C" w14:paraId="47850BD9" w14:textId="0CF28EEB">
            <w:pPr>
              <w:rPr>
                <w:rFonts w:ascii="Book Antiqua" w:hAnsi="Book Antiqua"/>
                <w:color w:val="000000"/>
                <w:sz w:val="26"/>
                <w:szCs w:val="26"/>
              </w:rPr>
            </w:pPr>
          </w:p>
        </w:tc>
        <w:tc>
          <w:tcPr>
            <w:tcW w:w="5058" w:type="dxa"/>
            <w:tcBorders>
              <w:top w:val="nil"/>
              <w:bottom w:val="nil"/>
            </w:tcBorders>
          </w:tcPr>
          <w:p w:rsidRPr="00890276" w:rsidR="009715D2" w:rsidP="009715D2" w:rsidRDefault="009715D2" w14:paraId="00C10C28" w14:textId="77777777">
            <w:pPr>
              <w:tabs>
                <w:tab w:val="left" w:pos="3132"/>
              </w:tabs>
              <w:spacing w:before="29"/>
              <w:ind w:right="-4"/>
              <w:jc w:val="center"/>
              <w:rPr>
                <w:rFonts w:ascii="Book Antiqua" w:hAnsi="Book Antiqua"/>
                <w:sz w:val="26"/>
                <w:szCs w:val="26"/>
              </w:rPr>
            </w:pPr>
          </w:p>
          <w:p w:rsidRPr="00890276" w:rsidR="00D6208C" w:rsidP="009715D2" w:rsidRDefault="00D6208C" w14:paraId="6C2BE111" w14:textId="77777777">
            <w:pPr>
              <w:tabs>
                <w:tab w:val="left" w:pos="3132"/>
              </w:tabs>
              <w:spacing w:before="29"/>
              <w:ind w:right="-4"/>
              <w:jc w:val="center"/>
              <w:rPr>
                <w:rFonts w:ascii="Book Antiqua" w:hAnsi="Book Antiqua"/>
                <w:sz w:val="26"/>
                <w:szCs w:val="26"/>
              </w:rPr>
            </w:pPr>
          </w:p>
          <w:p w:rsidRPr="00890276" w:rsidR="003F1E8A" w:rsidP="009715D2" w:rsidRDefault="003F1E8A" w14:paraId="0F3A15A2" w14:textId="144045C3">
            <w:pPr>
              <w:tabs>
                <w:tab w:val="left" w:pos="3132"/>
              </w:tabs>
              <w:spacing w:before="29"/>
              <w:ind w:right="-4"/>
              <w:jc w:val="center"/>
              <w:rPr>
                <w:rFonts w:ascii="Book Antiqua" w:hAnsi="Book Antiqua"/>
                <w:sz w:val="26"/>
                <w:szCs w:val="26"/>
              </w:rPr>
            </w:pPr>
            <w:r w:rsidRPr="00890276">
              <w:rPr>
                <w:rFonts w:ascii="Book Antiqua" w:hAnsi="Book Antiqua"/>
                <w:sz w:val="26"/>
                <w:szCs w:val="26"/>
              </w:rPr>
              <w:t>Application 21-06-021</w:t>
            </w:r>
          </w:p>
          <w:p w:rsidRPr="00890276" w:rsidR="00A92D0B" w:rsidP="00D6208C" w:rsidRDefault="00A92D0B" w14:paraId="7EC7277D" w14:textId="0F14848E">
            <w:pPr>
              <w:tabs>
                <w:tab w:val="left" w:pos="3132"/>
              </w:tabs>
              <w:spacing w:before="29"/>
              <w:ind w:right="-4"/>
              <w:jc w:val="center"/>
              <w:rPr>
                <w:rFonts w:ascii="Book Antiqua" w:hAnsi="Book Antiqua"/>
                <w:color w:val="000000"/>
                <w:sz w:val="26"/>
                <w:szCs w:val="26"/>
              </w:rPr>
            </w:pPr>
          </w:p>
        </w:tc>
      </w:tr>
    </w:tbl>
    <w:p w:rsidR="00FC72B7" w:rsidRDefault="00FC72B7" w14:paraId="5459E071" w14:textId="77777777">
      <w:pPr>
        <w:jc w:val="center"/>
        <w:rPr>
          <w:b/>
          <w:color w:val="000000"/>
        </w:rPr>
      </w:pPr>
    </w:p>
    <w:p w:rsidRPr="00237F57" w:rsidR="00890276" w:rsidRDefault="00890276" w14:paraId="4F54ACC6" w14:textId="77777777">
      <w:pPr>
        <w:jc w:val="center"/>
        <w:rPr>
          <w:b/>
          <w:color w:val="000000"/>
        </w:rPr>
      </w:pPr>
    </w:p>
    <w:p w:rsidRPr="00237F57" w:rsidR="00374FD1" w:rsidRDefault="006C7AF1" w14:paraId="7DD45571" w14:textId="0C08175B">
      <w:pPr>
        <w:jc w:val="center"/>
        <w:rPr>
          <w:b/>
          <w:shd w:val="clear" w:color="auto" w:fill="CCFFCC"/>
        </w:rPr>
      </w:pPr>
      <w:r w:rsidRPr="00B9280F">
        <w:rPr>
          <w:b/>
        </w:rPr>
        <w:t>DECISION GRANTING COMPENSATION TO</w:t>
      </w:r>
      <w:r w:rsidRPr="00237F57" w:rsidR="00A92D0B">
        <w:rPr>
          <w:b/>
        </w:rPr>
        <w:t xml:space="preserve"> </w:t>
      </w:r>
      <w:r w:rsidRPr="00AB005D" w:rsidR="00C613EF">
        <w:rPr>
          <w:b/>
        </w:rPr>
        <w:t>WILD TREE FOUNDATION</w:t>
      </w:r>
      <w:r w:rsidRPr="005D440C" w:rsidR="005D440C">
        <w:rPr>
          <w:b/>
        </w:rPr>
        <w:t xml:space="preserve"> </w:t>
      </w:r>
      <w:r w:rsidRPr="00B9280F" w:rsidR="00AB005D">
        <w:rPr>
          <w:b/>
        </w:rPr>
        <w:t>FOR SUBSTANTIAL CONTRIBUTION TO DECISION</w:t>
      </w:r>
      <w:r w:rsidR="00AB005D">
        <w:rPr>
          <w:b/>
        </w:rPr>
        <w:t xml:space="preserve"> </w:t>
      </w:r>
      <w:r w:rsidRPr="00B9280F" w:rsidR="00AB005D">
        <w:rPr>
          <w:b/>
        </w:rPr>
        <w:t>(D.)</w:t>
      </w:r>
      <w:r w:rsidR="00AB005D">
        <w:rPr>
          <w:b/>
        </w:rPr>
        <w:t xml:space="preserve"> </w:t>
      </w:r>
      <w:r w:rsidRPr="00AB005D" w:rsidR="00AB005D">
        <w:rPr>
          <w:b/>
          <w:bCs/>
        </w:rPr>
        <w:t>23-11-069</w:t>
      </w:r>
    </w:p>
    <w:p w:rsidRPr="00237F57"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69"/>
        <w:gridCol w:w="5391"/>
      </w:tblGrid>
      <w:tr w:rsidRPr="00237F57" w:rsidR="00A92D0B" w:rsidTr="0091075A" w14:paraId="0FE98F62" w14:textId="77777777">
        <w:tc>
          <w:tcPr>
            <w:tcW w:w="3969" w:type="dxa"/>
          </w:tcPr>
          <w:p w:rsidRPr="00237F57" w:rsidR="00A92D0B" w:rsidP="00C47A2B" w:rsidRDefault="005A63D4" w14:paraId="11570D4A" w14:textId="1F7EEE4F">
            <w:pPr>
              <w:tabs>
                <w:tab w:val="left" w:pos="1620"/>
                <w:tab w:val="right" w:pos="4500"/>
              </w:tabs>
              <w:rPr>
                <w:color w:val="000000"/>
              </w:rPr>
            </w:pPr>
            <w:r w:rsidRPr="00237F57">
              <w:rPr>
                <w:b/>
                <w:color w:val="000000"/>
              </w:rPr>
              <w:t>Intervenor</w:t>
            </w:r>
            <w:r w:rsidRPr="00237F57" w:rsidR="00F63C29">
              <w:rPr>
                <w:b/>
                <w:color w:val="000000"/>
              </w:rPr>
              <w:t>:</w:t>
            </w:r>
            <w:r w:rsidRPr="00237F57" w:rsidR="00691528">
              <w:rPr>
                <w:b/>
                <w:color w:val="000000"/>
              </w:rPr>
              <w:t xml:space="preserve"> </w:t>
            </w:r>
            <w:r w:rsidRPr="00237F57" w:rsidR="00C613EF">
              <w:rPr>
                <w:color w:val="000000"/>
              </w:rPr>
              <w:t>Wild Tree Foundation</w:t>
            </w:r>
          </w:p>
        </w:tc>
        <w:tc>
          <w:tcPr>
            <w:tcW w:w="5391" w:type="dxa"/>
          </w:tcPr>
          <w:p w:rsidRPr="00237F57" w:rsidR="00A92D0B" w:rsidP="00C613EF" w:rsidRDefault="00A92D0B" w14:paraId="53A584EE" w14:textId="42B9C675">
            <w:pPr>
              <w:tabs>
                <w:tab w:val="left" w:pos="1872"/>
                <w:tab w:val="right" w:pos="3672"/>
              </w:tabs>
              <w:rPr>
                <w:b/>
                <w:color w:val="000000"/>
              </w:rPr>
            </w:pPr>
            <w:r w:rsidRPr="00237F57">
              <w:rPr>
                <w:b/>
                <w:color w:val="000000"/>
              </w:rPr>
              <w:t>For contribution to D</w:t>
            </w:r>
            <w:r w:rsidRPr="00237F57" w:rsidR="00DE3A5D">
              <w:rPr>
                <w:b/>
                <w:color w:val="000000"/>
              </w:rPr>
              <w:t>ecision (D.)</w:t>
            </w:r>
            <w:r w:rsidR="009C61CB">
              <w:rPr>
                <w:b/>
                <w:color w:val="000000"/>
              </w:rPr>
              <w:t xml:space="preserve"> </w:t>
            </w:r>
            <w:r w:rsidRPr="00E637C3" w:rsidR="009D4708">
              <w:rPr>
                <w:b/>
                <w:bCs/>
              </w:rPr>
              <w:t>23-11-069</w:t>
            </w:r>
          </w:p>
        </w:tc>
      </w:tr>
      <w:tr w:rsidRPr="00237F57" w:rsidR="00A92D0B" w:rsidTr="0091075A" w14:paraId="47003B8E" w14:textId="77777777">
        <w:tc>
          <w:tcPr>
            <w:tcW w:w="3969" w:type="dxa"/>
          </w:tcPr>
          <w:p w:rsidRPr="00237F57" w:rsidR="00A92D0B" w:rsidP="00C47A2B" w:rsidRDefault="00A92D0B" w14:paraId="0E2E4BD1" w14:textId="116252E9">
            <w:pPr>
              <w:tabs>
                <w:tab w:val="left" w:pos="1620"/>
                <w:tab w:val="right" w:pos="4500"/>
              </w:tabs>
              <w:rPr>
                <w:b/>
                <w:color w:val="000000"/>
                <w:u w:val="single"/>
              </w:rPr>
            </w:pPr>
            <w:r w:rsidRPr="00237F57">
              <w:rPr>
                <w:b/>
                <w:color w:val="000000"/>
              </w:rPr>
              <w:t>Claimed:</w:t>
            </w:r>
            <w:r w:rsidRPr="00237F57" w:rsidR="00F63C29">
              <w:rPr>
                <w:b/>
                <w:color w:val="000000"/>
              </w:rPr>
              <w:t xml:space="preserve"> </w:t>
            </w:r>
            <w:r w:rsidRPr="00DF2F06" w:rsidR="00DF2F06">
              <w:rPr>
                <w:color w:val="000000"/>
              </w:rPr>
              <w:t>$29,335.50</w:t>
            </w:r>
          </w:p>
        </w:tc>
        <w:tc>
          <w:tcPr>
            <w:tcW w:w="5391" w:type="dxa"/>
            <w:tcBorders>
              <w:bottom w:val="single" w:color="auto" w:sz="4" w:space="0"/>
            </w:tcBorders>
          </w:tcPr>
          <w:p w:rsidRPr="00237F57" w:rsidR="00A92D0B" w:rsidP="00C47A2B" w:rsidRDefault="00A92D0B" w14:paraId="211F40A8" w14:textId="3CF30722">
            <w:pPr>
              <w:tabs>
                <w:tab w:val="left" w:pos="1872"/>
                <w:tab w:val="right" w:pos="3672"/>
              </w:tabs>
              <w:rPr>
                <w:b/>
                <w:color w:val="000000"/>
                <w:u w:val="single"/>
              </w:rPr>
            </w:pPr>
            <w:r w:rsidRPr="00237F57">
              <w:rPr>
                <w:b/>
                <w:color w:val="000000"/>
              </w:rPr>
              <w:t>Awarded:</w:t>
            </w:r>
            <w:r w:rsidRPr="00237F57" w:rsidR="00FC72B7">
              <w:rPr>
                <w:b/>
                <w:color w:val="000000"/>
              </w:rPr>
              <w:t xml:space="preserve"> </w:t>
            </w:r>
            <w:r w:rsidR="00DC6DC5">
              <w:t>$</w:t>
            </w:r>
            <w:r w:rsidR="00D80E50">
              <w:t>19,659.15</w:t>
            </w:r>
            <w:r w:rsidR="009C75A0">
              <w:t xml:space="preserve"> </w:t>
            </w:r>
          </w:p>
        </w:tc>
      </w:tr>
      <w:tr w:rsidRPr="00237F57" w:rsidR="00A92D0B" w:rsidTr="0091075A" w14:paraId="5C56877D" w14:textId="77777777">
        <w:tc>
          <w:tcPr>
            <w:tcW w:w="3969" w:type="dxa"/>
          </w:tcPr>
          <w:p w:rsidRPr="00237F57" w:rsidR="00A92D0B" w:rsidP="00C47A2B" w:rsidRDefault="00A92D0B" w14:paraId="6EF99E36" w14:textId="23460F4E">
            <w:pPr>
              <w:tabs>
                <w:tab w:val="left" w:pos="3060"/>
                <w:tab w:val="right" w:pos="4500"/>
              </w:tabs>
              <w:rPr>
                <w:color w:val="000000"/>
                <w:u w:val="single"/>
              </w:rPr>
            </w:pPr>
            <w:r w:rsidRPr="00237F57">
              <w:rPr>
                <w:b/>
                <w:color w:val="000000"/>
              </w:rPr>
              <w:t xml:space="preserve">Assigned Commissioner: </w:t>
            </w:r>
            <w:r w:rsidRPr="00237F57" w:rsidR="009D4708">
              <w:rPr>
                <w:rStyle w:val="displayonly"/>
              </w:rPr>
              <w:t>John Reynolds</w:t>
            </w:r>
          </w:p>
        </w:tc>
        <w:tc>
          <w:tcPr>
            <w:tcW w:w="5391" w:type="dxa"/>
          </w:tcPr>
          <w:p w:rsidRPr="00237F57" w:rsidR="00A92D0B" w:rsidP="00C47A2B" w:rsidRDefault="00A92D0B" w14:paraId="79375F78" w14:textId="1DEB7AA2">
            <w:pPr>
              <w:tabs>
                <w:tab w:val="left" w:pos="1872"/>
                <w:tab w:val="right" w:pos="3672"/>
              </w:tabs>
              <w:rPr>
                <w:color w:val="000000"/>
                <w:u w:val="single"/>
              </w:rPr>
            </w:pPr>
            <w:r w:rsidRPr="00237F57">
              <w:rPr>
                <w:b/>
                <w:color w:val="000000"/>
              </w:rPr>
              <w:t>Assigned ALJ</w:t>
            </w:r>
            <w:r w:rsidR="005D440C">
              <w:rPr>
                <w:b/>
                <w:color w:val="000000"/>
              </w:rPr>
              <w:t>s</w:t>
            </w:r>
            <w:r w:rsidRPr="00237F57">
              <w:rPr>
                <w:b/>
                <w:color w:val="000000"/>
              </w:rPr>
              <w:t>:</w:t>
            </w:r>
            <w:r w:rsidRPr="00237F57" w:rsidR="00F63C29">
              <w:rPr>
                <w:b/>
                <w:color w:val="000000"/>
              </w:rPr>
              <w:t xml:space="preserve"> </w:t>
            </w:r>
            <w:r w:rsidRPr="00237F57" w:rsidR="009D4708">
              <w:rPr>
                <w:rStyle w:val="displayonly"/>
              </w:rPr>
              <w:t>John Larsen</w:t>
            </w:r>
            <w:r w:rsidR="004D35A0">
              <w:rPr>
                <w:rStyle w:val="displayonly"/>
              </w:rPr>
              <w:t xml:space="preserve"> and Just</w:t>
            </w:r>
            <w:r w:rsidR="00BB4B6D">
              <w:rPr>
                <w:rStyle w:val="displayonly"/>
              </w:rPr>
              <w:t>in Regnier</w:t>
            </w:r>
            <w:r w:rsidR="00BB4B6D">
              <w:rPr>
                <w:rStyle w:val="FootnoteReference"/>
              </w:rPr>
              <w:footnoteReference w:id="1"/>
            </w:r>
          </w:p>
        </w:tc>
      </w:tr>
    </w:tbl>
    <w:p w:rsidRPr="00237F57" w:rsidR="00691528" w:rsidP="00B70551" w:rsidRDefault="00A92D0B" w14:paraId="3CEED871" w14:textId="09FE28B3">
      <w:pPr>
        <w:keepNext/>
        <w:spacing w:before="240"/>
        <w:jc w:val="center"/>
        <w:rPr>
          <w:b/>
          <w:color w:val="000000"/>
        </w:rPr>
      </w:pPr>
      <w:r w:rsidRPr="00237F57">
        <w:rPr>
          <w:b/>
          <w:color w:val="000000"/>
        </w:rPr>
        <w:t>PART I</w:t>
      </w:r>
      <w:r w:rsidRPr="00237F57" w:rsidR="00801D15">
        <w:rPr>
          <w:b/>
          <w:color w:val="000000"/>
        </w:rPr>
        <w:t>: PROCEDURAL</w:t>
      </w:r>
      <w:r w:rsidRPr="00237F57">
        <w:rPr>
          <w:b/>
          <w:color w:val="000000"/>
        </w:rPr>
        <w:t xml:space="preserve"> ISSUES</w:t>
      </w:r>
    </w:p>
    <w:p w:rsidRPr="00237F57"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237F57" w:rsidR="00A92D0B" w:rsidTr="0091075A" w14:paraId="3C5C25ED" w14:textId="77777777">
        <w:tc>
          <w:tcPr>
            <w:tcW w:w="3708" w:type="dxa"/>
          </w:tcPr>
          <w:p w:rsidRPr="00237F57" w:rsidR="00A92D0B" w:rsidP="00915118" w:rsidRDefault="00A92D0B" w14:paraId="1576A0A6" w14:textId="77777777">
            <w:pPr>
              <w:rPr>
                <w:b/>
                <w:color w:val="000000"/>
              </w:rPr>
            </w:pPr>
            <w:r w:rsidRPr="00237F57">
              <w:rPr>
                <w:b/>
                <w:color w:val="000000"/>
              </w:rPr>
              <w:t xml:space="preserve">A.  Brief </w:t>
            </w:r>
            <w:r w:rsidRPr="00237F57" w:rsidR="00A319DE">
              <w:rPr>
                <w:b/>
                <w:color w:val="000000"/>
              </w:rPr>
              <w:t>d</w:t>
            </w:r>
            <w:r w:rsidRPr="00237F57">
              <w:rPr>
                <w:b/>
                <w:color w:val="000000"/>
              </w:rPr>
              <w:t xml:space="preserve">escription of Decision: </w:t>
            </w:r>
          </w:p>
        </w:tc>
        <w:tc>
          <w:tcPr>
            <w:tcW w:w="6120" w:type="dxa"/>
          </w:tcPr>
          <w:p w:rsidRPr="00237F57" w:rsidR="00C02649" w:rsidP="009D4708" w:rsidRDefault="006938BB" w14:paraId="67B8ECAA" w14:textId="62C861C7">
            <w:pPr>
              <w:autoSpaceDE w:val="0"/>
              <w:autoSpaceDN w:val="0"/>
              <w:adjustRightInd w:val="0"/>
              <w:rPr>
                <w:color w:val="000000"/>
              </w:rPr>
            </w:pPr>
            <w:r w:rsidRPr="00237F57">
              <w:t>D.</w:t>
            </w:r>
            <w:r w:rsidR="00241113">
              <w:t>23-11-069</w:t>
            </w:r>
            <w:r w:rsidRPr="00237F57" w:rsidR="009D4708">
              <w:t xml:space="preserve"> (“Decision”) approves ratepayer funds for Pacific Gas and Electric Company (“PG&amp;E”) for infrastructure and operations investments.  </w:t>
            </w:r>
            <w:r w:rsidRPr="00237F57" w:rsidR="004C722C">
              <w:t>Th</w:t>
            </w:r>
            <w:r w:rsidRPr="00237F57" w:rsidR="0083256F">
              <w:t>e</w:t>
            </w:r>
            <w:r w:rsidRPr="00237F57" w:rsidR="004C722C">
              <w:t xml:space="preserve"> </w:t>
            </w:r>
            <w:r w:rsidRPr="00237F57" w:rsidR="0083256F">
              <w:t>D</w:t>
            </w:r>
            <w:r w:rsidRPr="00237F57" w:rsidR="004C722C">
              <w:t xml:space="preserve">ecision authorizes PG&amp;E to collect from customers $13.521 billion as its 2023 general rate case Track 1 test year revenue requirement, with two adjustments described below. Among other investments and capital increases, PG&amp;E is directed to invest approximately $4.723 billion in system hardening, </w:t>
            </w:r>
            <w:proofErr w:type="gramStart"/>
            <w:r w:rsidRPr="00237F57" w:rsidR="004C722C">
              <w:t>including undergrounding</w:t>
            </w:r>
            <w:proofErr w:type="gramEnd"/>
            <w:r w:rsidRPr="00237F57" w:rsidR="004C722C">
              <w:t xml:space="preserve"> and installing covered conductor, and approximately $1.059 billion in vegetation management to reduce wildfire ignition risk on its electrical system. </w:t>
            </w:r>
            <w:r w:rsidRPr="00237F57" w:rsidR="009D4708">
              <w:rPr>
                <w:color w:val="000000"/>
              </w:rPr>
              <w:t xml:space="preserve"> </w:t>
            </w:r>
            <w:r w:rsidRPr="00237F57" w:rsidR="0083256F">
              <w:rPr>
                <w:color w:val="000000"/>
              </w:rPr>
              <w:t>T</w:t>
            </w:r>
            <w:r w:rsidRPr="00237F57" w:rsidR="0083256F">
              <w:t xml:space="preserve">he Decision also provides enhanced oversight of PG&amp;E’s work and spending on key safety areas. For system hardening, the Decision requires heightened reporting for PG&amp;E to demonstrate its progress towards achieving risk reduction </w:t>
            </w:r>
            <w:r w:rsidRPr="00237F57" w:rsidR="0083256F">
              <w:lastRenderedPageBreak/>
              <w:t xml:space="preserve">and forecasted unit costs, in addition to requiring that costs be recorded in a </w:t>
            </w:r>
            <w:proofErr w:type="gramStart"/>
            <w:r w:rsidRPr="00237F57" w:rsidR="0083256F">
              <w:t>balancing</w:t>
            </w:r>
            <w:proofErr w:type="gramEnd"/>
            <w:r w:rsidRPr="00237F57" w:rsidR="0083256F">
              <w:t xml:space="preserve"> account.</w:t>
            </w:r>
          </w:p>
        </w:tc>
      </w:tr>
    </w:tbl>
    <w:p w:rsidRPr="00237F57" w:rsidR="00A92D0B" w:rsidP="00880855" w:rsidRDefault="005A63D4" w14:paraId="2FBF046C" w14:textId="5772F5C4">
      <w:pPr>
        <w:keepNext/>
        <w:numPr>
          <w:ilvl w:val="0"/>
          <w:numId w:val="5"/>
        </w:numPr>
        <w:spacing w:before="240" w:after="240"/>
        <w:rPr>
          <w:b/>
          <w:color w:val="000000"/>
        </w:rPr>
      </w:pPr>
      <w:r w:rsidRPr="00237F57">
        <w:rPr>
          <w:b/>
          <w:color w:val="000000"/>
        </w:rPr>
        <w:lastRenderedPageBreak/>
        <w:t xml:space="preserve">Intervenor </w:t>
      </w:r>
      <w:r w:rsidRPr="00237F57" w:rsidR="00A92D0B">
        <w:rPr>
          <w:b/>
          <w:color w:val="000000"/>
        </w:rPr>
        <w:t xml:space="preserve">must satisfy intervenor compensation </w:t>
      </w:r>
      <w:r w:rsidRPr="00237F57" w:rsidR="00DE3A5D">
        <w:rPr>
          <w:b/>
          <w:color w:val="000000"/>
        </w:rPr>
        <w:t>requirements set forth in Pub. Util.</w:t>
      </w:r>
      <w:r w:rsidRPr="00237F57" w:rsidR="00A92D0B">
        <w:rPr>
          <w:b/>
          <w:color w:val="000000"/>
        </w:rPr>
        <w:t xml:space="preserve"> Code §§ 1801-1812</w:t>
      </w:r>
      <w:r w:rsidR="00177A9F">
        <w:rPr>
          <w:b/>
          <w:color w:val="000000"/>
        </w:rPr>
        <w:t>:</w:t>
      </w:r>
      <w:r w:rsidRPr="00237F57" w:rsidR="003B6A1B">
        <w:rPr>
          <w:rStyle w:val="FootnoteReference"/>
          <w:b/>
          <w:color w:val="000000"/>
        </w:rPr>
        <w:footnoteReference w:id="2"/>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5035"/>
        <w:gridCol w:w="2049"/>
        <w:gridCol w:w="2276"/>
      </w:tblGrid>
      <w:tr w:rsidRPr="00237F57" w:rsidR="00A92D0B" w:rsidTr="000A2E8F" w14:paraId="640CF70A" w14:textId="77777777">
        <w:trPr>
          <w:tblHeader/>
        </w:trPr>
        <w:tc>
          <w:tcPr>
            <w:tcW w:w="5035" w:type="dxa"/>
            <w:tcBorders>
              <w:bottom w:val="single" w:color="auto" w:sz="4" w:space="0"/>
            </w:tcBorders>
          </w:tcPr>
          <w:p w:rsidRPr="00237F57" w:rsidR="00A92D0B" w:rsidP="00F028C8" w:rsidRDefault="00A92D0B" w14:paraId="409E4D92" w14:textId="77777777">
            <w:pPr>
              <w:tabs>
                <w:tab w:val="left" w:pos="360"/>
              </w:tabs>
              <w:jc w:val="center"/>
              <w:rPr>
                <w:color w:val="000000"/>
              </w:rPr>
            </w:pPr>
          </w:p>
        </w:tc>
        <w:tc>
          <w:tcPr>
            <w:tcW w:w="2049" w:type="dxa"/>
            <w:tcBorders>
              <w:bottom w:val="single" w:color="auto" w:sz="4" w:space="0"/>
            </w:tcBorders>
          </w:tcPr>
          <w:p w:rsidRPr="00237F57" w:rsidR="00A92D0B" w:rsidP="00F028C8" w:rsidRDefault="005A63D4" w14:paraId="1412A3C6" w14:textId="77777777">
            <w:pPr>
              <w:tabs>
                <w:tab w:val="left" w:pos="360"/>
              </w:tabs>
              <w:jc w:val="center"/>
              <w:rPr>
                <w:b/>
                <w:color w:val="000000"/>
              </w:rPr>
            </w:pPr>
            <w:r w:rsidRPr="00237F57">
              <w:rPr>
                <w:b/>
                <w:color w:val="000000"/>
              </w:rPr>
              <w:t>Intervenor</w:t>
            </w:r>
          </w:p>
        </w:tc>
        <w:tc>
          <w:tcPr>
            <w:tcW w:w="2276" w:type="dxa"/>
            <w:tcBorders>
              <w:bottom w:val="single" w:color="auto" w:sz="4" w:space="0"/>
            </w:tcBorders>
          </w:tcPr>
          <w:p w:rsidRPr="00237F57" w:rsidR="00A92D0B" w:rsidP="00F028C8" w:rsidRDefault="00A92D0B" w14:paraId="2A218C38" w14:textId="386C9A6A">
            <w:pPr>
              <w:tabs>
                <w:tab w:val="left" w:pos="360"/>
              </w:tabs>
              <w:jc w:val="center"/>
              <w:rPr>
                <w:b/>
                <w:color w:val="000000"/>
              </w:rPr>
            </w:pPr>
            <w:r w:rsidRPr="00237F57">
              <w:rPr>
                <w:b/>
                <w:color w:val="000000"/>
              </w:rPr>
              <w:t xml:space="preserve">CPUC </w:t>
            </w:r>
            <w:r w:rsidRPr="00237F57" w:rsidR="0081626F">
              <w:rPr>
                <w:b/>
                <w:color w:val="000000"/>
              </w:rPr>
              <w:t>Verification</w:t>
            </w:r>
          </w:p>
        </w:tc>
      </w:tr>
      <w:tr w:rsidRPr="00237F57"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37F57" w:rsidR="00A92D0B" w:rsidP="00F028C8" w:rsidRDefault="00A92D0B" w14:paraId="606E2B66" w14:textId="77777777">
            <w:pPr>
              <w:keepNext/>
              <w:tabs>
                <w:tab w:val="left" w:pos="360"/>
              </w:tabs>
              <w:jc w:val="center"/>
              <w:rPr>
                <w:b/>
              </w:rPr>
            </w:pPr>
            <w:r w:rsidRPr="00237F57">
              <w:rPr>
                <w:b/>
              </w:rPr>
              <w:t>Timely filing of notice of intent to claim compensation (NOI) (§ 1804(a)):</w:t>
            </w:r>
          </w:p>
        </w:tc>
      </w:tr>
      <w:tr w:rsidRPr="00237F57" w:rsidR="00A92D0B" w:rsidTr="007300B5" w14:paraId="160E284A" w14:textId="77777777">
        <w:tc>
          <w:tcPr>
            <w:tcW w:w="5035" w:type="dxa"/>
            <w:tcBorders>
              <w:top w:val="single" w:color="auto" w:sz="4" w:space="0"/>
            </w:tcBorders>
          </w:tcPr>
          <w:p w:rsidRPr="00237F57" w:rsidR="00A92D0B" w:rsidP="00F028C8" w:rsidRDefault="00A92D0B" w14:paraId="44D1876C" w14:textId="478A95F3">
            <w:pPr>
              <w:keepNext/>
              <w:tabs>
                <w:tab w:val="left" w:pos="360"/>
              </w:tabs>
              <w:ind w:left="360" w:hanging="360"/>
              <w:rPr>
                <w:color w:val="000000"/>
              </w:rPr>
            </w:pPr>
            <w:r w:rsidRPr="00237F57">
              <w:rPr>
                <w:color w:val="000000"/>
              </w:rPr>
              <w:t>1.</w:t>
            </w:r>
            <w:r w:rsidRPr="00237F57" w:rsidR="001E7EE2">
              <w:rPr>
                <w:color w:val="000000"/>
              </w:rPr>
              <w:tab/>
            </w:r>
            <w:r w:rsidRPr="00237F57">
              <w:rPr>
                <w:color w:val="000000"/>
              </w:rPr>
              <w:t>Date of Prehearing Conference:</w:t>
            </w:r>
          </w:p>
        </w:tc>
        <w:tc>
          <w:tcPr>
            <w:tcW w:w="2049" w:type="dxa"/>
            <w:tcBorders>
              <w:top w:val="single" w:color="auto" w:sz="4" w:space="0"/>
            </w:tcBorders>
          </w:tcPr>
          <w:p w:rsidRPr="00237F57" w:rsidR="00A92D0B" w:rsidP="00F028C8" w:rsidRDefault="0083256F" w14:paraId="35450816" w14:textId="0C17D612">
            <w:pPr>
              <w:keepNext/>
              <w:keepLines/>
              <w:tabs>
                <w:tab w:val="left" w:pos="360"/>
              </w:tabs>
              <w:ind w:left="360" w:hanging="360"/>
              <w:rPr>
                <w:color w:val="000000"/>
              </w:rPr>
            </w:pPr>
            <w:r w:rsidRPr="00237F57">
              <w:rPr>
                <w:color w:val="000000"/>
              </w:rPr>
              <w:t>8</w:t>
            </w:r>
            <w:r w:rsidRPr="00237F57" w:rsidR="00C613EF">
              <w:rPr>
                <w:color w:val="000000"/>
              </w:rPr>
              <w:t>/</w:t>
            </w:r>
            <w:r w:rsidRPr="00237F57">
              <w:rPr>
                <w:color w:val="000000"/>
              </w:rPr>
              <w:t>30</w:t>
            </w:r>
            <w:r w:rsidRPr="00237F57" w:rsidR="00C613EF">
              <w:rPr>
                <w:color w:val="000000"/>
              </w:rPr>
              <w:t>/2021</w:t>
            </w:r>
          </w:p>
        </w:tc>
        <w:tc>
          <w:tcPr>
            <w:tcW w:w="2276" w:type="dxa"/>
            <w:tcBorders>
              <w:top w:val="single" w:color="auto" w:sz="4" w:space="0"/>
            </w:tcBorders>
          </w:tcPr>
          <w:p w:rsidRPr="00237F57" w:rsidR="00A92D0B" w:rsidP="00F028C8" w:rsidRDefault="0027766A" w14:paraId="34540344" w14:textId="5FBB235E">
            <w:pPr>
              <w:keepNext/>
              <w:tabs>
                <w:tab w:val="left" w:pos="360"/>
              </w:tabs>
              <w:jc w:val="both"/>
              <w:rPr>
                <w:color w:val="000000"/>
              </w:rPr>
            </w:pPr>
            <w:r>
              <w:rPr>
                <w:color w:val="000000"/>
              </w:rPr>
              <w:t>Verified</w:t>
            </w:r>
          </w:p>
        </w:tc>
      </w:tr>
      <w:tr w:rsidRPr="00237F57" w:rsidR="00A92D0B" w:rsidTr="007300B5" w14:paraId="24C85564" w14:textId="77777777">
        <w:tc>
          <w:tcPr>
            <w:tcW w:w="5035" w:type="dxa"/>
          </w:tcPr>
          <w:p w:rsidRPr="00237F57" w:rsidR="00A92D0B" w:rsidP="00F028C8" w:rsidRDefault="00A92D0B" w14:paraId="382C5788" w14:textId="49F0E39E">
            <w:pPr>
              <w:tabs>
                <w:tab w:val="left" w:pos="360"/>
              </w:tabs>
              <w:ind w:left="360" w:hanging="360"/>
              <w:rPr>
                <w:color w:val="000000"/>
              </w:rPr>
            </w:pPr>
            <w:r w:rsidRPr="00237F57">
              <w:rPr>
                <w:color w:val="000000"/>
              </w:rPr>
              <w:t>2.</w:t>
            </w:r>
            <w:r w:rsidRPr="00237F57" w:rsidR="001E7EE2">
              <w:rPr>
                <w:color w:val="000000"/>
              </w:rPr>
              <w:tab/>
            </w:r>
            <w:r w:rsidRPr="00237F57">
              <w:rPr>
                <w:color w:val="000000"/>
              </w:rPr>
              <w:t xml:space="preserve">Other </w:t>
            </w:r>
            <w:r w:rsidRPr="00237F57" w:rsidR="00A319DE">
              <w:rPr>
                <w:color w:val="000000"/>
              </w:rPr>
              <w:t>s</w:t>
            </w:r>
            <w:r w:rsidRPr="00237F57">
              <w:rPr>
                <w:color w:val="000000"/>
              </w:rPr>
              <w:t xml:space="preserve">pecified </w:t>
            </w:r>
            <w:r w:rsidRPr="00237F57" w:rsidR="00A319DE">
              <w:rPr>
                <w:color w:val="000000"/>
              </w:rPr>
              <w:t>d</w:t>
            </w:r>
            <w:r w:rsidRPr="00237F57">
              <w:rPr>
                <w:color w:val="000000"/>
              </w:rPr>
              <w:t>ate for NOI:</w:t>
            </w:r>
          </w:p>
        </w:tc>
        <w:tc>
          <w:tcPr>
            <w:tcW w:w="2049" w:type="dxa"/>
          </w:tcPr>
          <w:p w:rsidRPr="00237F57" w:rsidR="00A92D0B" w:rsidP="00F028C8" w:rsidRDefault="00201CC6" w14:paraId="1826BC2C" w14:textId="3F37526A">
            <w:pPr>
              <w:keepNext/>
              <w:keepLines/>
              <w:tabs>
                <w:tab w:val="left" w:pos="360"/>
              </w:tabs>
              <w:ind w:left="360" w:hanging="360"/>
              <w:rPr>
                <w:color w:val="000000"/>
              </w:rPr>
            </w:pPr>
            <w:r w:rsidRPr="00237F57">
              <w:rPr>
                <w:color w:val="000000"/>
              </w:rPr>
              <w:t>6/24/2022</w:t>
            </w:r>
          </w:p>
        </w:tc>
        <w:tc>
          <w:tcPr>
            <w:tcW w:w="2276" w:type="dxa"/>
          </w:tcPr>
          <w:p w:rsidRPr="00237F57" w:rsidR="00A92D0B" w:rsidP="008449F6" w:rsidRDefault="00961BAE" w14:paraId="210DAD91" w14:textId="4DC73A3E">
            <w:pPr>
              <w:tabs>
                <w:tab w:val="left" w:pos="360"/>
              </w:tabs>
              <w:rPr>
                <w:color w:val="000000"/>
              </w:rPr>
            </w:pPr>
            <w:r>
              <w:rPr>
                <w:color w:val="000000"/>
              </w:rPr>
              <w:t>Verified</w:t>
            </w:r>
            <w:r w:rsidRPr="008449F6" w:rsidR="008449F6">
              <w:rPr>
                <w:color w:val="000000"/>
              </w:rPr>
              <w:t>;</w:t>
            </w:r>
            <w:r w:rsidR="008449F6">
              <w:rPr>
                <w:color w:val="000000"/>
              </w:rPr>
              <w:t xml:space="preserve"> </w:t>
            </w:r>
            <w:r w:rsidRPr="008449F6" w:rsidR="008449F6">
              <w:rPr>
                <w:color w:val="000000"/>
              </w:rPr>
              <w:t>an</w:t>
            </w:r>
            <w:r w:rsidR="008449F6">
              <w:rPr>
                <w:color w:val="000000"/>
              </w:rPr>
              <w:t xml:space="preserve"> </w:t>
            </w:r>
            <w:r w:rsidR="002C179B">
              <w:rPr>
                <w:color w:val="000000"/>
              </w:rPr>
              <w:t xml:space="preserve">ALJ </w:t>
            </w:r>
            <w:r w:rsidRPr="008449F6" w:rsidR="008449F6">
              <w:rPr>
                <w:color w:val="000000"/>
              </w:rPr>
              <w:t>e</w:t>
            </w:r>
            <w:r w:rsidR="002C179B">
              <w:rPr>
                <w:color w:val="000000"/>
              </w:rPr>
              <w:t>-</w:t>
            </w:r>
            <w:r w:rsidRPr="008449F6" w:rsidR="008449F6">
              <w:rPr>
                <w:color w:val="000000"/>
              </w:rPr>
              <w:t xml:space="preserve">mail ruling </w:t>
            </w:r>
            <w:r w:rsidR="002C179B">
              <w:rPr>
                <w:color w:val="000000"/>
              </w:rPr>
              <w:t>issued on</w:t>
            </w:r>
            <w:r w:rsidRPr="008449F6" w:rsidR="002C179B">
              <w:rPr>
                <w:color w:val="000000"/>
              </w:rPr>
              <w:t xml:space="preserve"> </w:t>
            </w:r>
            <w:r w:rsidRPr="008449F6" w:rsidR="008449F6">
              <w:rPr>
                <w:color w:val="000000"/>
              </w:rPr>
              <w:t>June 9,</w:t>
            </w:r>
            <w:r w:rsidR="002C179B">
              <w:rPr>
                <w:color w:val="000000"/>
              </w:rPr>
              <w:t xml:space="preserve"> </w:t>
            </w:r>
            <w:proofErr w:type="gramStart"/>
            <w:r w:rsidRPr="008449F6" w:rsidR="008449F6">
              <w:rPr>
                <w:color w:val="000000"/>
              </w:rPr>
              <w:t>2022</w:t>
            </w:r>
            <w:proofErr w:type="gramEnd"/>
            <w:r w:rsidRPr="008449F6" w:rsidR="008449F6">
              <w:rPr>
                <w:color w:val="000000"/>
              </w:rPr>
              <w:t xml:space="preserve"> granted </w:t>
            </w:r>
            <w:r w:rsidR="002C179B">
              <w:rPr>
                <w:color w:val="000000"/>
              </w:rPr>
              <w:t>parties</w:t>
            </w:r>
            <w:r w:rsidRPr="008449F6" w:rsidR="008449F6">
              <w:rPr>
                <w:color w:val="000000"/>
              </w:rPr>
              <w:t xml:space="preserve"> additional time to file an NOI due to new issues emerging </w:t>
            </w:r>
            <w:proofErr w:type="gramStart"/>
            <w:r w:rsidRPr="008449F6" w:rsidR="008449F6">
              <w:rPr>
                <w:color w:val="000000"/>
              </w:rPr>
              <w:t>subsequent to</w:t>
            </w:r>
            <w:proofErr w:type="gramEnd"/>
            <w:r w:rsidRPr="008449F6" w:rsidR="008449F6">
              <w:rPr>
                <w:color w:val="000000"/>
              </w:rPr>
              <w:t xml:space="preserve"> the time set for filing in accordance with Pub. Util. Code section 1804(a)(1).</w:t>
            </w:r>
          </w:p>
        </w:tc>
      </w:tr>
      <w:tr w:rsidRPr="00237F57" w:rsidR="00A92D0B" w:rsidTr="007300B5" w14:paraId="4836EEA6" w14:textId="77777777">
        <w:tc>
          <w:tcPr>
            <w:tcW w:w="5035" w:type="dxa"/>
          </w:tcPr>
          <w:p w:rsidRPr="00237F57" w:rsidR="00A92D0B" w:rsidP="00F028C8" w:rsidRDefault="00A92D0B" w14:paraId="34809C45" w14:textId="2501A8A3">
            <w:pPr>
              <w:tabs>
                <w:tab w:val="left" w:pos="360"/>
              </w:tabs>
              <w:ind w:left="360" w:hanging="360"/>
              <w:rPr>
                <w:color w:val="000000"/>
              </w:rPr>
            </w:pPr>
            <w:r w:rsidRPr="00237F57">
              <w:rPr>
                <w:color w:val="000000"/>
              </w:rPr>
              <w:t>3.</w:t>
            </w:r>
            <w:r w:rsidRPr="00237F57" w:rsidR="001E7EE2">
              <w:rPr>
                <w:color w:val="000000"/>
              </w:rPr>
              <w:tab/>
            </w:r>
            <w:r w:rsidRPr="00237F57">
              <w:rPr>
                <w:color w:val="000000"/>
              </w:rPr>
              <w:t xml:space="preserve">Date NOI </w:t>
            </w:r>
            <w:r w:rsidRPr="00237F57" w:rsidR="00A319DE">
              <w:rPr>
                <w:color w:val="000000"/>
              </w:rPr>
              <w:t>f</w:t>
            </w:r>
            <w:r w:rsidRPr="00237F57">
              <w:rPr>
                <w:color w:val="000000"/>
              </w:rPr>
              <w:t>iled:</w:t>
            </w:r>
          </w:p>
        </w:tc>
        <w:tc>
          <w:tcPr>
            <w:tcW w:w="2049" w:type="dxa"/>
            <w:tcBorders>
              <w:bottom w:val="single" w:color="auto" w:sz="4" w:space="0"/>
            </w:tcBorders>
          </w:tcPr>
          <w:p w:rsidRPr="00237F57" w:rsidR="00A92D0B" w:rsidP="00F028C8" w:rsidRDefault="00237F57" w14:paraId="44F7CCB9" w14:textId="3F0B9CC3">
            <w:pPr>
              <w:keepNext/>
              <w:keepLines/>
              <w:tabs>
                <w:tab w:val="left" w:pos="360"/>
              </w:tabs>
              <w:ind w:left="360" w:hanging="360"/>
              <w:rPr>
                <w:color w:val="000000"/>
              </w:rPr>
            </w:pPr>
            <w:r>
              <w:rPr>
                <w:color w:val="000000"/>
              </w:rPr>
              <w:t>6/24/2022</w:t>
            </w:r>
          </w:p>
        </w:tc>
        <w:tc>
          <w:tcPr>
            <w:tcW w:w="2276" w:type="dxa"/>
            <w:tcBorders>
              <w:bottom w:val="single" w:color="auto" w:sz="4" w:space="0"/>
            </w:tcBorders>
          </w:tcPr>
          <w:p w:rsidRPr="00237F57" w:rsidR="00A92D0B" w:rsidP="008449F6" w:rsidRDefault="00DA2D1E" w14:paraId="71759DE3" w14:textId="15E9CA09">
            <w:pPr>
              <w:pStyle w:val="FootnoteText"/>
              <w:rPr>
                <w:color w:val="000000"/>
              </w:rPr>
            </w:pPr>
            <w:r w:rsidRPr="00E00485">
              <w:rPr>
                <w:color w:val="000000"/>
                <w:sz w:val="24"/>
                <w:szCs w:val="24"/>
              </w:rPr>
              <w:t>Verified</w:t>
            </w:r>
          </w:p>
        </w:tc>
      </w:tr>
      <w:tr w:rsidRPr="00237F57" w:rsidR="00A92D0B" w:rsidTr="00504293" w14:paraId="22BBCDE3" w14:textId="77777777">
        <w:tc>
          <w:tcPr>
            <w:tcW w:w="7084" w:type="dxa"/>
            <w:gridSpan w:val="2"/>
            <w:tcBorders>
              <w:bottom w:val="single" w:color="auto" w:sz="4" w:space="0"/>
            </w:tcBorders>
          </w:tcPr>
          <w:p w:rsidRPr="00237F57" w:rsidR="00A92D0B" w:rsidP="00F028C8" w:rsidRDefault="00A92D0B" w14:paraId="7E6E2068" w14:textId="1D4DD6B8">
            <w:pPr>
              <w:tabs>
                <w:tab w:val="left" w:pos="360"/>
              </w:tabs>
              <w:ind w:left="360" w:hanging="360"/>
              <w:rPr>
                <w:color w:val="000000"/>
              </w:rPr>
            </w:pPr>
            <w:r w:rsidRPr="00237F57">
              <w:rPr>
                <w:color w:val="000000"/>
              </w:rPr>
              <w:t>4.</w:t>
            </w:r>
            <w:r w:rsidRPr="00237F57" w:rsidR="001E7EE2">
              <w:rPr>
                <w:color w:val="000000"/>
              </w:rPr>
              <w:tab/>
            </w:r>
            <w:r w:rsidRPr="00237F57">
              <w:rPr>
                <w:color w:val="000000"/>
              </w:rPr>
              <w:t>Was the NOI timely filed?</w:t>
            </w:r>
          </w:p>
        </w:tc>
        <w:tc>
          <w:tcPr>
            <w:tcW w:w="2276" w:type="dxa"/>
            <w:tcBorders>
              <w:bottom w:val="single" w:color="auto" w:sz="4" w:space="0"/>
            </w:tcBorders>
          </w:tcPr>
          <w:p w:rsidRPr="00237F57" w:rsidR="00A92D0B" w:rsidP="00F028C8" w:rsidRDefault="005D138E" w14:paraId="61DE2845" w14:textId="3F2DCA6F">
            <w:pPr>
              <w:tabs>
                <w:tab w:val="left" w:pos="360"/>
              </w:tabs>
              <w:rPr>
                <w:color w:val="000000"/>
              </w:rPr>
            </w:pPr>
            <w:r>
              <w:rPr>
                <w:color w:val="000000"/>
              </w:rPr>
              <w:t>Yes</w:t>
            </w:r>
          </w:p>
        </w:tc>
      </w:tr>
      <w:tr w:rsidRPr="00237F57"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237F57" w:rsidR="00F028C8" w:rsidP="00F028C8" w:rsidRDefault="00A92D0B" w14:paraId="003AB151" w14:textId="75841E30">
            <w:pPr>
              <w:keepNext/>
              <w:keepLines/>
              <w:tabs>
                <w:tab w:val="left" w:pos="360"/>
              </w:tabs>
              <w:jc w:val="center"/>
              <w:rPr>
                <w:b/>
                <w:color w:val="000000"/>
              </w:rPr>
            </w:pPr>
            <w:r w:rsidRPr="00237F57">
              <w:rPr>
                <w:b/>
                <w:color w:val="000000"/>
              </w:rPr>
              <w:lastRenderedPageBreak/>
              <w:t xml:space="preserve">Showing of </w:t>
            </w:r>
            <w:r w:rsidRPr="00237F57" w:rsidR="00F63C29">
              <w:rPr>
                <w:b/>
                <w:color w:val="000000"/>
              </w:rPr>
              <w:t xml:space="preserve">eligible </w:t>
            </w:r>
            <w:r w:rsidRPr="00237F57">
              <w:rPr>
                <w:b/>
                <w:color w:val="000000"/>
              </w:rPr>
              <w:t xml:space="preserve">customer </w:t>
            </w:r>
            <w:r w:rsidRPr="00237F57" w:rsidR="00F63C29">
              <w:rPr>
                <w:b/>
                <w:color w:val="000000"/>
              </w:rPr>
              <w:t>status (§ 1802(b)</w:t>
            </w:r>
            <w:r w:rsidRPr="00237F57" w:rsidR="00F028C8">
              <w:rPr>
                <w:b/>
                <w:color w:val="000000"/>
              </w:rPr>
              <w:t>)</w:t>
            </w:r>
          </w:p>
          <w:p w:rsidRPr="00237F57" w:rsidR="00A92D0B" w:rsidP="00F028C8" w:rsidRDefault="00F63C29" w14:paraId="19D649BF" w14:textId="31FAE647">
            <w:pPr>
              <w:keepNext/>
              <w:keepLines/>
              <w:tabs>
                <w:tab w:val="left" w:pos="360"/>
              </w:tabs>
              <w:jc w:val="center"/>
              <w:rPr>
                <w:b/>
                <w:color w:val="000000"/>
              </w:rPr>
            </w:pPr>
            <w:r w:rsidRPr="00237F57">
              <w:rPr>
                <w:b/>
                <w:color w:val="000000"/>
              </w:rPr>
              <w:t xml:space="preserve"> or eligible local government entity </w:t>
            </w:r>
            <w:r w:rsidRPr="00237F57" w:rsidR="00ED6B6B">
              <w:rPr>
                <w:b/>
                <w:color w:val="000000"/>
              </w:rPr>
              <w:t>status</w:t>
            </w:r>
            <w:r w:rsidRPr="00237F57" w:rsidR="00F028C8">
              <w:rPr>
                <w:b/>
                <w:color w:val="000000"/>
              </w:rPr>
              <w:t xml:space="preserve"> </w:t>
            </w:r>
            <w:r w:rsidRPr="00237F57">
              <w:rPr>
                <w:b/>
                <w:color w:val="000000"/>
              </w:rPr>
              <w:t>(§§ 1802(d), 1802.4)</w:t>
            </w:r>
            <w:r w:rsidRPr="00237F57" w:rsidR="00A92D0B">
              <w:rPr>
                <w:b/>
                <w:color w:val="000000"/>
              </w:rPr>
              <w:t>:</w:t>
            </w:r>
          </w:p>
        </w:tc>
      </w:tr>
      <w:tr w:rsidRPr="00237F57" w:rsidR="00A92D0B" w:rsidTr="008F373B" w14:paraId="259EC227" w14:textId="77777777">
        <w:tc>
          <w:tcPr>
            <w:tcW w:w="5035" w:type="dxa"/>
            <w:tcBorders>
              <w:top w:val="single" w:color="auto" w:sz="4" w:space="0"/>
            </w:tcBorders>
          </w:tcPr>
          <w:p w:rsidRPr="00237F57" w:rsidR="00A92D0B" w:rsidP="00F028C8" w:rsidRDefault="00A92D0B" w14:paraId="0EFCD0E9" w14:textId="1A5E3FBE">
            <w:pPr>
              <w:keepNext/>
              <w:keepLines/>
              <w:ind w:left="360" w:hanging="360"/>
              <w:rPr>
                <w:color w:val="000000"/>
              </w:rPr>
            </w:pPr>
            <w:r w:rsidRPr="00237F57">
              <w:rPr>
                <w:color w:val="000000"/>
              </w:rPr>
              <w:t>5.</w:t>
            </w:r>
            <w:r w:rsidRPr="00237F57" w:rsidR="001E7EE2">
              <w:rPr>
                <w:color w:val="000000"/>
              </w:rPr>
              <w:tab/>
            </w:r>
            <w:r w:rsidRPr="00237F57">
              <w:rPr>
                <w:color w:val="000000"/>
              </w:rPr>
              <w:t xml:space="preserve">Based on ALJ ruling issued in proceeding </w:t>
            </w:r>
            <w:r w:rsidRPr="00237F57" w:rsidR="00E3786F">
              <w:rPr>
                <w:color w:val="000000"/>
              </w:rPr>
              <w:t xml:space="preserve">  </w:t>
            </w:r>
            <w:r w:rsidRPr="00237F57">
              <w:rPr>
                <w:color w:val="000000"/>
              </w:rPr>
              <w:t>number:</w:t>
            </w:r>
          </w:p>
        </w:tc>
        <w:tc>
          <w:tcPr>
            <w:tcW w:w="2049" w:type="dxa"/>
            <w:tcBorders>
              <w:top w:val="single" w:color="auto" w:sz="4" w:space="0"/>
            </w:tcBorders>
          </w:tcPr>
          <w:p w:rsidRPr="00237F57" w:rsidR="00C613EF" w:rsidP="00C613EF" w:rsidRDefault="00C613EF" w14:paraId="1D8561DE" w14:textId="77777777">
            <w:pPr>
              <w:keepNext/>
              <w:keepLines/>
              <w:tabs>
                <w:tab w:val="left" w:pos="360"/>
              </w:tabs>
              <w:ind w:left="360" w:hanging="360"/>
              <w:rPr>
                <w:bCs/>
              </w:rPr>
            </w:pPr>
            <w:r w:rsidRPr="00237F57">
              <w:rPr>
                <w:bCs/>
              </w:rPr>
              <w:t>A.21-08-</w:t>
            </w:r>
            <w:proofErr w:type="gramStart"/>
            <w:r w:rsidRPr="00237F57">
              <w:rPr>
                <w:bCs/>
              </w:rPr>
              <w:t>013;</w:t>
            </w:r>
            <w:proofErr w:type="gramEnd"/>
          </w:p>
          <w:p w:rsidRPr="00237F57" w:rsidR="00A92D0B" w:rsidP="00C613EF" w:rsidRDefault="00C613EF" w14:paraId="13E72B6D" w14:textId="210836A0">
            <w:pPr>
              <w:keepNext/>
              <w:keepLines/>
              <w:tabs>
                <w:tab w:val="left" w:pos="360"/>
              </w:tabs>
              <w:ind w:left="360" w:hanging="360"/>
              <w:rPr>
                <w:color w:val="000000"/>
              </w:rPr>
            </w:pPr>
            <w:r w:rsidRPr="00237F57">
              <w:rPr>
                <w:bCs/>
              </w:rPr>
              <w:t>R.19-01-011</w:t>
            </w:r>
          </w:p>
        </w:tc>
        <w:tc>
          <w:tcPr>
            <w:tcW w:w="2276" w:type="dxa"/>
            <w:tcBorders>
              <w:top w:val="single" w:color="auto" w:sz="4" w:space="0"/>
            </w:tcBorders>
          </w:tcPr>
          <w:p w:rsidR="006961D4" w:rsidP="00F028C8" w:rsidRDefault="006961D4" w14:paraId="432FBDE7" w14:textId="35C77B0F">
            <w:pPr>
              <w:keepNext/>
              <w:keepLines/>
              <w:tabs>
                <w:tab w:val="left" w:pos="360"/>
              </w:tabs>
              <w:rPr>
                <w:color w:val="000000"/>
              </w:rPr>
            </w:pPr>
            <w:r>
              <w:rPr>
                <w:color w:val="000000"/>
              </w:rPr>
              <w:t xml:space="preserve">A ruling issued in </w:t>
            </w:r>
            <w:r w:rsidR="00AA04B6">
              <w:rPr>
                <w:color w:val="000000"/>
              </w:rPr>
              <w:t>A.21-08-013</w:t>
            </w:r>
            <w:r>
              <w:rPr>
                <w:color w:val="000000"/>
              </w:rPr>
              <w:t>, et al. p</w:t>
            </w:r>
            <w:r w:rsidRPr="00E93962">
              <w:rPr>
                <w:color w:val="000000"/>
              </w:rPr>
              <w:t>rovide</w:t>
            </w:r>
            <w:r>
              <w:rPr>
                <w:color w:val="000000"/>
              </w:rPr>
              <w:t>d</w:t>
            </w:r>
            <w:r w:rsidRPr="00E93962">
              <w:rPr>
                <w:color w:val="000000"/>
              </w:rPr>
              <w:t xml:space="preserve"> a finding of eligible customer </w:t>
            </w:r>
            <w:r>
              <w:rPr>
                <w:color w:val="000000"/>
              </w:rPr>
              <w:t xml:space="preserve">status </w:t>
            </w:r>
            <w:r w:rsidR="00015664">
              <w:rPr>
                <w:color w:val="000000"/>
              </w:rPr>
              <w:t>to</w:t>
            </w:r>
            <w:r>
              <w:rPr>
                <w:color w:val="000000"/>
              </w:rPr>
              <w:t xml:space="preserve"> Wild Tree </w:t>
            </w:r>
            <w:r w:rsidR="00015664">
              <w:rPr>
                <w:color w:val="000000"/>
              </w:rPr>
              <w:t>Foundation (Wild Tree) for</w:t>
            </w:r>
            <w:r>
              <w:rPr>
                <w:color w:val="000000"/>
              </w:rPr>
              <w:t xml:space="preserve"> </w:t>
            </w:r>
            <w:r w:rsidRPr="00E93962">
              <w:rPr>
                <w:color w:val="000000"/>
              </w:rPr>
              <w:t>this proceeding.</w:t>
            </w:r>
          </w:p>
          <w:p w:rsidR="006961D4" w:rsidP="00F028C8" w:rsidRDefault="006961D4" w14:paraId="5D208940" w14:textId="77777777">
            <w:pPr>
              <w:keepNext/>
              <w:keepLines/>
              <w:tabs>
                <w:tab w:val="left" w:pos="360"/>
              </w:tabs>
              <w:rPr>
                <w:color w:val="000000"/>
              </w:rPr>
            </w:pPr>
          </w:p>
          <w:p w:rsidRPr="00237F57" w:rsidR="00A92D0B" w:rsidP="00F028C8" w:rsidRDefault="006961D4" w14:paraId="2679B197" w14:textId="4AF1DD45">
            <w:pPr>
              <w:keepNext/>
              <w:keepLines/>
              <w:tabs>
                <w:tab w:val="left" w:pos="360"/>
              </w:tabs>
              <w:rPr>
                <w:color w:val="000000"/>
              </w:rPr>
            </w:pPr>
            <w:r>
              <w:rPr>
                <w:color w:val="000000"/>
              </w:rPr>
              <w:t>N</w:t>
            </w:r>
            <w:r w:rsidRPr="00E93962" w:rsidR="00E93962">
              <w:rPr>
                <w:color w:val="000000"/>
              </w:rPr>
              <w:t>o ruling or decision in proceeding R.19-01-0</w:t>
            </w:r>
            <w:r>
              <w:rPr>
                <w:color w:val="000000"/>
              </w:rPr>
              <w:t>1</w:t>
            </w:r>
            <w:r w:rsidRPr="00E93962" w:rsidR="00E93962">
              <w:rPr>
                <w:color w:val="000000"/>
              </w:rPr>
              <w:t>1 provide</w:t>
            </w:r>
            <w:r>
              <w:rPr>
                <w:color w:val="000000"/>
              </w:rPr>
              <w:t>d</w:t>
            </w:r>
            <w:r w:rsidRPr="00E93962" w:rsidR="00E93962">
              <w:rPr>
                <w:color w:val="000000"/>
              </w:rPr>
              <w:t xml:space="preserve"> a finding of eligible customer </w:t>
            </w:r>
            <w:r>
              <w:rPr>
                <w:color w:val="000000"/>
              </w:rPr>
              <w:t xml:space="preserve">status </w:t>
            </w:r>
            <w:r w:rsidR="00801D15">
              <w:rPr>
                <w:color w:val="000000"/>
              </w:rPr>
              <w:t xml:space="preserve">for </w:t>
            </w:r>
            <w:r>
              <w:rPr>
                <w:color w:val="000000"/>
              </w:rPr>
              <w:t xml:space="preserve">Wild Tree in </w:t>
            </w:r>
            <w:r w:rsidRPr="00E93962" w:rsidR="00801D15">
              <w:rPr>
                <w:color w:val="000000"/>
              </w:rPr>
              <w:t>this</w:t>
            </w:r>
            <w:r w:rsidRPr="00E93962" w:rsidR="00E93962">
              <w:rPr>
                <w:color w:val="000000"/>
              </w:rPr>
              <w:t xml:space="preserve"> proceeding.</w:t>
            </w:r>
          </w:p>
        </w:tc>
      </w:tr>
      <w:tr w:rsidRPr="00237F57" w:rsidR="00A92D0B" w:rsidTr="008F373B" w14:paraId="4E0FB3B6" w14:textId="77777777">
        <w:tc>
          <w:tcPr>
            <w:tcW w:w="5035" w:type="dxa"/>
          </w:tcPr>
          <w:p w:rsidRPr="00237F57" w:rsidR="00A92D0B" w:rsidP="00F028C8" w:rsidRDefault="00A92D0B" w14:paraId="568B12E8" w14:textId="6121FC05">
            <w:pPr>
              <w:tabs>
                <w:tab w:val="left" w:pos="360"/>
              </w:tabs>
              <w:ind w:left="360" w:hanging="360"/>
              <w:rPr>
                <w:color w:val="000000"/>
              </w:rPr>
            </w:pPr>
            <w:r w:rsidRPr="00237F57">
              <w:rPr>
                <w:color w:val="000000"/>
              </w:rPr>
              <w:t>6.</w:t>
            </w:r>
            <w:r w:rsidRPr="00237F57" w:rsidR="001E7EE2">
              <w:rPr>
                <w:color w:val="000000"/>
              </w:rPr>
              <w:tab/>
            </w:r>
            <w:r w:rsidRPr="00237F57">
              <w:rPr>
                <w:color w:val="000000"/>
              </w:rPr>
              <w:t>Date of ALJ ruling:</w:t>
            </w:r>
          </w:p>
        </w:tc>
        <w:tc>
          <w:tcPr>
            <w:tcW w:w="2049" w:type="dxa"/>
          </w:tcPr>
          <w:p w:rsidRPr="00237F57" w:rsidR="00A92D0B" w:rsidP="00C613EF" w:rsidRDefault="00C613EF" w14:paraId="306125B9" w14:textId="787E11DE">
            <w:pPr>
              <w:tabs>
                <w:tab w:val="left" w:pos="360"/>
              </w:tabs>
              <w:ind w:left="360" w:hanging="360"/>
              <w:rPr>
                <w:color w:val="000000"/>
              </w:rPr>
            </w:pPr>
            <w:r w:rsidRPr="00237F57">
              <w:rPr>
                <w:color w:val="000000"/>
              </w:rPr>
              <w:t>3/2/2022; 10/16/2023 (D.21-11-002)</w:t>
            </w:r>
          </w:p>
        </w:tc>
        <w:tc>
          <w:tcPr>
            <w:tcW w:w="2276" w:type="dxa"/>
          </w:tcPr>
          <w:p w:rsidR="006961D4" w:rsidP="00F028C8" w:rsidRDefault="00015664" w14:paraId="5AE19656" w14:textId="60EBA806">
            <w:pPr>
              <w:tabs>
                <w:tab w:val="left" w:pos="360"/>
              </w:tabs>
              <w:rPr>
                <w:color w:val="000000"/>
              </w:rPr>
            </w:pPr>
            <w:r>
              <w:rPr>
                <w:color w:val="000000"/>
              </w:rPr>
              <w:t xml:space="preserve">Verified per ALJ </w:t>
            </w:r>
            <w:r w:rsidR="006961D4">
              <w:rPr>
                <w:color w:val="000000"/>
              </w:rPr>
              <w:t>ruling issued in A.21-08-013, et al. on March 2, 2022</w:t>
            </w:r>
            <w:r>
              <w:rPr>
                <w:color w:val="000000"/>
              </w:rPr>
              <w:t>.</w:t>
            </w:r>
            <w:r w:rsidR="006961D4">
              <w:rPr>
                <w:color w:val="000000"/>
              </w:rPr>
              <w:t xml:space="preserve"> </w:t>
            </w:r>
          </w:p>
          <w:p w:rsidR="006961D4" w:rsidP="00F028C8" w:rsidRDefault="006961D4" w14:paraId="3691BB85" w14:textId="77777777">
            <w:pPr>
              <w:tabs>
                <w:tab w:val="left" w:pos="360"/>
              </w:tabs>
              <w:rPr>
                <w:color w:val="000000"/>
              </w:rPr>
            </w:pPr>
          </w:p>
          <w:p w:rsidR="006961D4" w:rsidP="00F028C8" w:rsidRDefault="00064CF7" w14:paraId="75B86A87" w14:textId="08A854BA">
            <w:pPr>
              <w:tabs>
                <w:tab w:val="left" w:pos="360"/>
              </w:tabs>
              <w:rPr>
                <w:color w:val="000000"/>
              </w:rPr>
            </w:pPr>
            <w:r w:rsidRPr="00064CF7">
              <w:rPr>
                <w:color w:val="000000"/>
              </w:rPr>
              <w:t>D.21-11-002, issued</w:t>
            </w:r>
            <w:r w:rsidR="00015664">
              <w:rPr>
                <w:color w:val="000000"/>
              </w:rPr>
              <w:t xml:space="preserve"> on November 9, </w:t>
            </w:r>
            <w:proofErr w:type="gramStart"/>
            <w:r w:rsidR="00015664">
              <w:rPr>
                <w:color w:val="000000"/>
              </w:rPr>
              <w:t>2021</w:t>
            </w:r>
            <w:proofErr w:type="gramEnd"/>
            <w:r w:rsidRPr="00064CF7">
              <w:rPr>
                <w:color w:val="000000"/>
              </w:rPr>
              <w:t xml:space="preserve"> in </w:t>
            </w:r>
            <w:r w:rsidRPr="000E6034" w:rsidR="000E6034">
              <w:rPr>
                <w:color w:val="000000"/>
              </w:rPr>
              <w:t>R.19-01-0</w:t>
            </w:r>
            <w:r w:rsidR="006961D4">
              <w:rPr>
                <w:color w:val="000000"/>
              </w:rPr>
              <w:t>1</w:t>
            </w:r>
            <w:r w:rsidRPr="000E6034" w:rsidR="000E6034">
              <w:rPr>
                <w:color w:val="000000"/>
              </w:rPr>
              <w:t>1</w:t>
            </w:r>
            <w:r w:rsidRPr="00064CF7">
              <w:rPr>
                <w:color w:val="000000"/>
              </w:rPr>
              <w:t xml:space="preserve">, </w:t>
            </w:r>
            <w:r w:rsidRPr="006961D4" w:rsidR="006961D4">
              <w:rPr>
                <w:color w:val="000000"/>
              </w:rPr>
              <w:t>adopt</w:t>
            </w:r>
            <w:r w:rsidR="006961D4">
              <w:rPr>
                <w:color w:val="000000"/>
              </w:rPr>
              <w:t>ed</w:t>
            </w:r>
            <w:r w:rsidRPr="006961D4" w:rsidR="006961D4">
              <w:rPr>
                <w:color w:val="000000"/>
              </w:rPr>
              <w:t xml:space="preserve"> a set of guiding principles for the layering of incentives from various building decarbonization programs. This decision also adopt</w:t>
            </w:r>
            <w:r w:rsidR="006961D4">
              <w:rPr>
                <w:color w:val="000000"/>
              </w:rPr>
              <w:t>ed</w:t>
            </w:r>
            <w:r w:rsidRPr="006961D4" w:rsidR="006961D4">
              <w:rPr>
                <w:color w:val="000000"/>
              </w:rPr>
              <w:t xml:space="preserve"> a statewide Wildfire and Natural Disaster Resiliency Rebuild Program</w:t>
            </w:r>
            <w:r w:rsidR="006961D4">
              <w:rPr>
                <w:color w:val="000000"/>
              </w:rPr>
              <w:t>.</w:t>
            </w:r>
          </w:p>
          <w:p w:rsidR="006961D4" w:rsidP="00F028C8" w:rsidRDefault="006961D4" w14:paraId="128852C8" w14:textId="77777777">
            <w:pPr>
              <w:tabs>
                <w:tab w:val="left" w:pos="360"/>
              </w:tabs>
              <w:rPr>
                <w:color w:val="000000"/>
              </w:rPr>
            </w:pPr>
          </w:p>
          <w:p w:rsidRPr="00237F57" w:rsidR="00A92D0B" w:rsidP="00F028C8" w:rsidRDefault="00064CF7" w14:paraId="19F10313" w14:textId="4A5F2918">
            <w:pPr>
              <w:tabs>
                <w:tab w:val="left" w:pos="360"/>
              </w:tabs>
              <w:rPr>
                <w:color w:val="000000"/>
              </w:rPr>
            </w:pPr>
            <w:r w:rsidRPr="00064CF7">
              <w:rPr>
                <w:color w:val="000000"/>
              </w:rPr>
              <w:t xml:space="preserve">We remind </w:t>
            </w:r>
            <w:r w:rsidR="000E6034">
              <w:rPr>
                <w:color w:val="000000"/>
              </w:rPr>
              <w:t>Wild Tree</w:t>
            </w:r>
            <w:r w:rsidRPr="00064CF7">
              <w:rPr>
                <w:color w:val="000000"/>
              </w:rPr>
              <w:t xml:space="preserve"> to include relevant customer status and significant </w:t>
            </w:r>
            <w:r w:rsidRPr="00064CF7">
              <w:rPr>
                <w:color w:val="000000"/>
              </w:rPr>
              <w:lastRenderedPageBreak/>
              <w:t>financial hardship findings in their future requests for compensation.</w:t>
            </w:r>
          </w:p>
        </w:tc>
      </w:tr>
      <w:tr w:rsidRPr="00237F57" w:rsidR="00A92D0B" w:rsidTr="008F373B" w14:paraId="7F6C1E54" w14:textId="77777777">
        <w:tc>
          <w:tcPr>
            <w:tcW w:w="5035" w:type="dxa"/>
          </w:tcPr>
          <w:p w:rsidRPr="00237F57" w:rsidR="00A92D0B" w:rsidP="00F028C8" w:rsidRDefault="00A92D0B" w14:paraId="4B6E35B7" w14:textId="56E59D65">
            <w:pPr>
              <w:tabs>
                <w:tab w:val="left" w:pos="360"/>
              </w:tabs>
              <w:ind w:left="360" w:hanging="360"/>
              <w:rPr>
                <w:color w:val="000000"/>
              </w:rPr>
            </w:pPr>
            <w:r w:rsidRPr="00237F57">
              <w:rPr>
                <w:color w:val="000000"/>
              </w:rPr>
              <w:lastRenderedPageBreak/>
              <w:t>7.</w:t>
            </w:r>
            <w:r w:rsidRPr="00237F57" w:rsidR="001E7EE2">
              <w:rPr>
                <w:color w:val="000000"/>
              </w:rPr>
              <w:tab/>
            </w:r>
            <w:r w:rsidRPr="00237F57">
              <w:rPr>
                <w:color w:val="000000"/>
              </w:rPr>
              <w:t>Based on another CPUC determination (specify):</w:t>
            </w:r>
          </w:p>
        </w:tc>
        <w:tc>
          <w:tcPr>
            <w:tcW w:w="2049" w:type="dxa"/>
            <w:tcBorders>
              <w:bottom w:val="single" w:color="auto" w:sz="4" w:space="0"/>
            </w:tcBorders>
          </w:tcPr>
          <w:p w:rsidRPr="00237F57" w:rsidR="00A92D0B" w:rsidP="00F028C8" w:rsidRDefault="00C613EF" w14:paraId="5E0F9D32" w14:textId="63B571B5">
            <w:pPr>
              <w:tabs>
                <w:tab w:val="left" w:pos="360"/>
              </w:tabs>
              <w:ind w:left="360" w:hanging="360"/>
              <w:rPr>
                <w:color w:val="000000"/>
              </w:rPr>
            </w:pPr>
            <w:r w:rsidRPr="00237F57">
              <w:rPr>
                <w:color w:val="000000"/>
              </w:rPr>
              <w:t>n/a</w:t>
            </w:r>
          </w:p>
        </w:tc>
        <w:tc>
          <w:tcPr>
            <w:tcW w:w="2276" w:type="dxa"/>
            <w:tcBorders>
              <w:bottom w:val="single" w:color="auto" w:sz="4" w:space="0"/>
            </w:tcBorders>
          </w:tcPr>
          <w:p w:rsidRPr="00237F57" w:rsidR="00A92D0B" w:rsidP="00F028C8" w:rsidRDefault="00A92D0B" w14:paraId="180E80B3" w14:textId="77777777">
            <w:pPr>
              <w:tabs>
                <w:tab w:val="left" w:pos="360"/>
              </w:tabs>
              <w:rPr>
                <w:color w:val="000000"/>
              </w:rPr>
            </w:pPr>
          </w:p>
        </w:tc>
      </w:tr>
      <w:tr w:rsidRPr="00237F57" w:rsidR="00A92D0B" w:rsidTr="00504293" w14:paraId="397CC4AD" w14:textId="77777777">
        <w:tc>
          <w:tcPr>
            <w:tcW w:w="7084" w:type="dxa"/>
            <w:gridSpan w:val="2"/>
            <w:tcBorders>
              <w:bottom w:val="single" w:color="auto" w:sz="4" w:space="0"/>
            </w:tcBorders>
          </w:tcPr>
          <w:p w:rsidRPr="00237F57" w:rsidR="00A92D0B" w:rsidP="00F028C8" w:rsidRDefault="00A92D0B" w14:paraId="71D46B68" w14:textId="56857D2E">
            <w:pPr>
              <w:tabs>
                <w:tab w:val="left" w:pos="360"/>
              </w:tabs>
              <w:ind w:left="360" w:hanging="360"/>
              <w:rPr>
                <w:color w:val="000000"/>
              </w:rPr>
            </w:pPr>
            <w:r w:rsidRPr="00237F57">
              <w:rPr>
                <w:color w:val="000000"/>
              </w:rPr>
              <w:t>8.</w:t>
            </w:r>
            <w:r w:rsidRPr="00237F57" w:rsidR="001E7EE2">
              <w:rPr>
                <w:color w:val="000000"/>
              </w:rPr>
              <w:tab/>
            </w:r>
            <w:r w:rsidRPr="00237F57">
              <w:rPr>
                <w:color w:val="000000"/>
              </w:rPr>
              <w:t xml:space="preserve">Has the </w:t>
            </w:r>
            <w:r w:rsidRPr="00237F57" w:rsidR="005A63D4">
              <w:rPr>
                <w:color w:val="000000"/>
              </w:rPr>
              <w:t xml:space="preserve">Intervenor </w:t>
            </w:r>
            <w:r w:rsidRPr="00237F57">
              <w:rPr>
                <w:color w:val="000000"/>
              </w:rPr>
              <w:t xml:space="preserve">demonstrated </w:t>
            </w:r>
            <w:r w:rsidRPr="00237F57">
              <w:t>customer</w:t>
            </w:r>
            <w:r w:rsidRPr="00237F57">
              <w:rPr>
                <w:color w:val="000000"/>
              </w:rPr>
              <w:t xml:space="preserve"> </w:t>
            </w:r>
            <w:r w:rsidRPr="00237F57" w:rsidR="00ED6B6B">
              <w:rPr>
                <w:color w:val="000000"/>
              </w:rPr>
              <w:t>status or eligible government entity status</w:t>
            </w:r>
            <w:r w:rsidRPr="00237F57">
              <w:rPr>
                <w:color w:val="000000"/>
              </w:rPr>
              <w:t>?</w:t>
            </w:r>
          </w:p>
        </w:tc>
        <w:tc>
          <w:tcPr>
            <w:tcW w:w="2276" w:type="dxa"/>
            <w:tcBorders>
              <w:bottom w:val="single" w:color="auto" w:sz="4" w:space="0"/>
            </w:tcBorders>
          </w:tcPr>
          <w:p w:rsidRPr="00237F57" w:rsidR="00A92D0B" w:rsidP="00F028C8" w:rsidRDefault="008F373B" w14:paraId="7D296E63" w14:textId="2D9D49D5">
            <w:pPr>
              <w:tabs>
                <w:tab w:val="left" w:pos="360"/>
              </w:tabs>
              <w:rPr>
                <w:color w:val="000000"/>
              </w:rPr>
            </w:pPr>
            <w:r>
              <w:rPr>
                <w:color w:val="000000"/>
              </w:rPr>
              <w:t>Yes</w:t>
            </w:r>
          </w:p>
        </w:tc>
      </w:tr>
      <w:tr w:rsidRPr="00237F57"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237F57" w:rsidR="00A92D0B" w:rsidP="00F028C8" w:rsidRDefault="00A92D0B" w14:paraId="0291EC4E" w14:textId="77777777">
            <w:pPr>
              <w:keepNext/>
              <w:tabs>
                <w:tab w:val="left" w:pos="360"/>
              </w:tabs>
              <w:jc w:val="center"/>
              <w:rPr>
                <w:color w:val="000000"/>
              </w:rPr>
            </w:pPr>
            <w:r w:rsidRPr="00237F57">
              <w:rPr>
                <w:b/>
                <w:color w:val="000000"/>
              </w:rPr>
              <w:t>Showing of “significant</w:t>
            </w:r>
            <w:r w:rsidRPr="00237F57" w:rsidR="00F63C29">
              <w:rPr>
                <w:b/>
                <w:color w:val="000000"/>
              </w:rPr>
              <w:t xml:space="preserve"> financial hardship” (§1802(</w:t>
            </w:r>
            <w:r w:rsidRPr="00237F57" w:rsidR="00175865">
              <w:rPr>
                <w:b/>
                <w:color w:val="000000"/>
              </w:rPr>
              <w:t>h</w:t>
            </w:r>
            <w:r w:rsidRPr="00237F57" w:rsidR="00F63C29">
              <w:rPr>
                <w:b/>
                <w:color w:val="000000"/>
              </w:rPr>
              <w:t xml:space="preserve">) or </w:t>
            </w:r>
            <w:r w:rsidRPr="00237F57" w:rsidR="00ED6B6B">
              <w:rPr>
                <w:b/>
                <w:color w:val="000000"/>
              </w:rPr>
              <w:t>§</w:t>
            </w:r>
            <w:r w:rsidRPr="00237F57" w:rsidR="00F63C29">
              <w:rPr>
                <w:b/>
                <w:color w:val="000000"/>
              </w:rPr>
              <w:t>1803.1(b))</w:t>
            </w:r>
            <w:r w:rsidRPr="00237F57" w:rsidR="00C02649">
              <w:rPr>
                <w:b/>
                <w:color w:val="000000"/>
              </w:rPr>
              <w:t>:</w:t>
            </w:r>
          </w:p>
        </w:tc>
      </w:tr>
      <w:tr w:rsidRPr="00237F57" w:rsidR="00A92D0B" w:rsidTr="008F373B" w14:paraId="77F91856" w14:textId="77777777">
        <w:tc>
          <w:tcPr>
            <w:tcW w:w="5035" w:type="dxa"/>
            <w:tcBorders>
              <w:top w:val="single" w:color="auto" w:sz="4" w:space="0"/>
            </w:tcBorders>
          </w:tcPr>
          <w:p w:rsidRPr="00237F57" w:rsidR="00A92D0B" w:rsidP="00F028C8" w:rsidRDefault="00A92D0B" w14:paraId="6506E60E" w14:textId="7F0FF6A0">
            <w:pPr>
              <w:tabs>
                <w:tab w:val="left" w:pos="315"/>
              </w:tabs>
              <w:ind w:left="360" w:hanging="360"/>
              <w:rPr>
                <w:color w:val="000000"/>
              </w:rPr>
            </w:pPr>
            <w:r w:rsidRPr="00237F57">
              <w:rPr>
                <w:color w:val="000000"/>
              </w:rPr>
              <w:t>9.</w:t>
            </w:r>
            <w:r w:rsidRPr="00237F57" w:rsidR="001E7EE2">
              <w:rPr>
                <w:color w:val="000000"/>
              </w:rPr>
              <w:tab/>
            </w:r>
            <w:r w:rsidRPr="00237F57">
              <w:rPr>
                <w:color w:val="000000"/>
              </w:rPr>
              <w:t>Based on ALJ ruling issued in proceeding number:</w:t>
            </w:r>
          </w:p>
        </w:tc>
        <w:tc>
          <w:tcPr>
            <w:tcW w:w="2049" w:type="dxa"/>
            <w:tcBorders>
              <w:top w:val="single" w:color="auto" w:sz="4" w:space="0"/>
            </w:tcBorders>
          </w:tcPr>
          <w:p w:rsidRPr="00237F57" w:rsidR="00C613EF" w:rsidP="00C613EF" w:rsidRDefault="00C613EF" w14:paraId="26D546D2" w14:textId="77777777">
            <w:pPr>
              <w:keepNext/>
              <w:keepLines/>
              <w:tabs>
                <w:tab w:val="left" w:pos="360"/>
              </w:tabs>
              <w:ind w:left="360" w:hanging="360"/>
              <w:rPr>
                <w:bCs/>
              </w:rPr>
            </w:pPr>
            <w:r w:rsidRPr="00237F57">
              <w:rPr>
                <w:bCs/>
              </w:rPr>
              <w:t>A.21-08-</w:t>
            </w:r>
            <w:proofErr w:type="gramStart"/>
            <w:r w:rsidRPr="00237F57">
              <w:rPr>
                <w:bCs/>
              </w:rPr>
              <w:t>013;</w:t>
            </w:r>
            <w:proofErr w:type="gramEnd"/>
          </w:p>
          <w:p w:rsidRPr="00237F57" w:rsidR="00A92D0B" w:rsidP="00C613EF" w:rsidRDefault="00C613EF" w14:paraId="54B4911C" w14:textId="5F0AB569">
            <w:pPr>
              <w:tabs>
                <w:tab w:val="left" w:pos="360"/>
              </w:tabs>
              <w:ind w:left="360" w:hanging="360"/>
              <w:rPr>
                <w:color w:val="000000"/>
              </w:rPr>
            </w:pPr>
            <w:r w:rsidRPr="00237F57">
              <w:rPr>
                <w:bCs/>
              </w:rPr>
              <w:t>R.19-01-01</w:t>
            </w:r>
          </w:p>
        </w:tc>
        <w:tc>
          <w:tcPr>
            <w:tcW w:w="2276" w:type="dxa"/>
            <w:tcBorders>
              <w:top w:val="single" w:color="auto" w:sz="4" w:space="0"/>
            </w:tcBorders>
          </w:tcPr>
          <w:p w:rsidR="00015664" w:rsidP="00015664" w:rsidRDefault="00015664" w14:paraId="7C6C55FF" w14:textId="39F93CA4">
            <w:pPr>
              <w:keepNext/>
              <w:keepLines/>
              <w:tabs>
                <w:tab w:val="left" w:pos="360"/>
              </w:tabs>
              <w:rPr>
                <w:color w:val="000000"/>
              </w:rPr>
            </w:pPr>
            <w:r>
              <w:rPr>
                <w:color w:val="000000"/>
              </w:rPr>
              <w:t xml:space="preserve">A ruling issued </w:t>
            </w:r>
            <w:proofErr w:type="gramStart"/>
            <w:r>
              <w:rPr>
                <w:color w:val="000000"/>
              </w:rPr>
              <w:t>in</w:t>
            </w:r>
            <w:proofErr w:type="gramEnd"/>
            <w:r>
              <w:rPr>
                <w:color w:val="000000"/>
              </w:rPr>
              <w:t xml:space="preserve"> A.21-08-013, et al. p</w:t>
            </w:r>
            <w:r w:rsidRPr="00E93962">
              <w:rPr>
                <w:color w:val="000000"/>
              </w:rPr>
              <w:t>rovide</w:t>
            </w:r>
            <w:r>
              <w:rPr>
                <w:color w:val="000000"/>
              </w:rPr>
              <w:t>d</w:t>
            </w:r>
            <w:r w:rsidRPr="00E93962">
              <w:rPr>
                <w:color w:val="000000"/>
              </w:rPr>
              <w:t xml:space="preserve"> a finding of </w:t>
            </w:r>
            <w:r>
              <w:rPr>
                <w:color w:val="000000"/>
              </w:rPr>
              <w:t>significant financial hardship to Wild Tree</w:t>
            </w:r>
            <w:r w:rsidRPr="00E93962">
              <w:rPr>
                <w:color w:val="000000"/>
              </w:rPr>
              <w:t>.</w:t>
            </w:r>
          </w:p>
          <w:p w:rsidR="00015664" w:rsidP="00015664" w:rsidRDefault="00015664" w14:paraId="632BFFEF" w14:textId="77777777">
            <w:pPr>
              <w:keepNext/>
              <w:keepLines/>
              <w:tabs>
                <w:tab w:val="left" w:pos="360"/>
              </w:tabs>
              <w:rPr>
                <w:color w:val="000000"/>
              </w:rPr>
            </w:pPr>
          </w:p>
          <w:p w:rsidRPr="00237F57" w:rsidR="00A92D0B" w:rsidP="00015664" w:rsidRDefault="00015664" w14:paraId="2E2FB9D6" w14:textId="6234475E">
            <w:pPr>
              <w:tabs>
                <w:tab w:val="left" w:pos="360"/>
              </w:tabs>
              <w:rPr>
                <w:color w:val="000000"/>
              </w:rPr>
            </w:pPr>
            <w:r>
              <w:rPr>
                <w:color w:val="000000"/>
              </w:rPr>
              <w:t>N</w:t>
            </w:r>
            <w:r w:rsidRPr="00E93962">
              <w:rPr>
                <w:color w:val="000000"/>
              </w:rPr>
              <w:t>o ruling or decision in proceeding R.19-01-0</w:t>
            </w:r>
            <w:r>
              <w:rPr>
                <w:color w:val="000000"/>
              </w:rPr>
              <w:t>1</w:t>
            </w:r>
            <w:r w:rsidRPr="00E93962">
              <w:rPr>
                <w:color w:val="000000"/>
              </w:rPr>
              <w:t>1 provide</w:t>
            </w:r>
            <w:r>
              <w:rPr>
                <w:color w:val="000000"/>
              </w:rPr>
              <w:t>d</w:t>
            </w:r>
            <w:r w:rsidRPr="00E93962">
              <w:rPr>
                <w:color w:val="000000"/>
              </w:rPr>
              <w:t xml:space="preserve"> a finding of </w:t>
            </w:r>
            <w:r>
              <w:rPr>
                <w:color w:val="000000"/>
              </w:rPr>
              <w:t>significant financial hardship to Wild Tree for this proceeding</w:t>
            </w:r>
            <w:r w:rsidRPr="00E93962">
              <w:rPr>
                <w:color w:val="000000"/>
              </w:rPr>
              <w:t>.</w:t>
            </w:r>
          </w:p>
        </w:tc>
      </w:tr>
      <w:tr w:rsidRPr="00237F57" w:rsidR="00A92D0B" w:rsidTr="008F373B" w14:paraId="4AD750C1" w14:textId="77777777">
        <w:tc>
          <w:tcPr>
            <w:tcW w:w="5035" w:type="dxa"/>
          </w:tcPr>
          <w:p w:rsidRPr="00237F57" w:rsidR="00A92D0B" w:rsidP="00F028C8" w:rsidRDefault="00A92D0B" w14:paraId="2A279407" w14:textId="1E831EEE">
            <w:pPr>
              <w:ind w:left="360" w:hanging="360"/>
              <w:rPr>
                <w:color w:val="000000"/>
              </w:rPr>
            </w:pPr>
            <w:r w:rsidRPr="00237F57">
              <w:rPr>
                <w:color w:val="000000"/>
              </w:rPr>
              <w:t>10.</w:t>
            </w:r>
            <w:r w:rsidRPr="00237F57" w:rsidR="001E7EE2">
              <w:rPr>
                <w:color w:val="000000"/>
              </w:rPr>
              <w:tab/>
            </w:r>
            <w:r w:rsidRPr="00237F57">
              <w:rPr>
                <w:color w:val="000000"/>
              </w:rPr>
              <w:t>Date of ALJ ruling:</w:t>
            </w:r>
          </w:p>
        </w:tc>
        <w:tc>
          <w:tcPr>
            <w:tcW w:w="2049" w:type="dxa"/>
          </w:tcPr>
          <w:p w:rsidRPr="00237F57" w:rsidR="00A92D0B" w:rsidP="00C613EF" w:rsidRDefault="00C613EF" w14:paraId="4B66A2E4" w14:textId="3979AE9F">
            <w:pPr>
              <w:tabs>
                <w:tab w:val="left" w:pos="112"/>
              </w:tabs>
              <w:ind w:left="360" w:hanging="360"/>
              <w:rPr>
                <w:color w:val="000000"/>
              </w:rPr>
            </w:pPr>
            <w:r w:rsidRPr="00237F57">
              <w:rPr>
                <w:color w:val="000000"/>
              </w:rPr>
              <w:t>3/2/2022; 10/16/2023 (D.21-11-002)</w:t>
            </w:r>
          </w:p>
        </w:tc>
        <w:tc>
          <w:tcPr>
            <w:tcW w:w="2276" w:type="dxa"/>
          </w:tcPr>
          <w:p w:rsidR="00015664" w:rsidP="00015664" w:rsidRDefault="00015664" w14:paraId="737B28AD" w14:textId="77777777">
            <w:pPr>
              <w:tabs>
                <w:tab w:val="left" w:pos="360"/>
              </w:tabs>
              <w:rPr>
                <w:color w:val="000000"/>
              </w:rPr>
            </w:pPr>
            <w:r>
              <w:rPr>
                <w:color w:val="000000"/>
              </w:rPr>
              <w:t xml:space="preserve">Verified per ALJ ruling issued in A.21-08-013, et al. on March 2, 2022. </w:t>
            </w:r>
          </w:p>
          <w:p w:rsidR="00015664" w:rsidP="00015664" w:rsidRDefault="00015664" w14:paraId="56D47C8B" w14:textId="77777777">
            <w:pPr>
              <w:tabs>
                <w:tab w:val="left" w:pos="360"/>
              </w:tabs>
              <w:rPr>
                <w:color w:val="000000"/>
              </w:rPr>
            </w:pPr>
          </w:p>
          <w:p w:rsidR="00015664" w:rsidP="00015664" w:rsidRDefault="00015664" w14:paraId="30BAB88A" w14:textId="77777777">
            <w:pPr>
              <w:tabs>
                <w:tab w:val="left" w:pos="360"/>
              </w:tabs>
              <w:rPr>
                <w:color w:val="000000"/>
              </w:rPr>
            </w:pPr>
            <w:r w:rsidRPr="00064CF7">
              <w:rPr>
                <w:color w:val="000000"/>
              </w:rPr>
              <w:t>D.21-11-002, issued</w:t>
            </w:r>
            <w:r>
              <w:rPr>
                <w:color w:val="000000"/>
              </w:rPr>
              <w:t xml:space="preserve"> on November 9, </w:t>
            </w:r>
            <w:proofErr w:type="gramStart"/>
            <w:r>
              <w:rPr>
                <w:color w:val="000000"/>
              </w:rPr>
              <w:t>2021</w:t>
            </w:r>
            <w:proofErr w:type="gramEnd"/>
            <w:r w:rsidRPr="00064CF7">
              <w:rPr>
                <w:color w:val="000000"/>
              </w:rPr>
              <w:t xml:space="preserve"> in </w:t>
            </w:r>
            <w:r w:rsidRPr="000E6034">
              <w:rPr>
                <w:color w:val="000000"/>
              </w:rPr>
              <w:t>R.19-01-0</w:t>
            </w:r>
            <w:r>
              <w:rPr>
                <w:color w:val="000000"/>
              </w:rPr>
              <w:t>1</w:t>
            </w:r>
            <w:r w:rsidRPr="000E6034">
              <w:rPr>
                <w:color w:val="000000"/>
              </w:rPr>
              <w:t>1</w:t>
            </w:r>
            <w:r w:rsidRPr="00064CF7">
              <w:rPr>
                <w:color w:val="000000"/>
              </w:rPr>
              <w:t xml:space="preserve">, </w:t>
            </w:r>
            <w:r w:rsidRPr="006961D4">
              <w:rPr>
                <w:color w:val="000000"/>
              </w:rPr>
              <w:t>adopt</w:t>
            </w:r>
            <w:r>
              <w:rPr>
                <w:color w:val="000000"/>
              </w:rPr>
              <w:t>ed</w:t>
            </w:r>
            <w:r w:rsidRPr="006961D4">
              <w:rPr>
                <w:color w:val="000000"/>
              </w:rPr>
              <w:t xml:space="preserve"> a set of guiding principles for the layering of incentives from various building decarbonization programs. This decision also adopt</w:t>
            </w:r>
            <w:r>
              <w:rPr>
                <w:color w:val="000000"/>
              </w:rPr>
              <w:t>ed</w:t>
            </w:r>
            <w:r w:rsidRPr="006961D4">
              <w:rPr>
                <w:color w:val="000000"/>
              </w:rPr>
              <w:t xml:space="preserve"> a statewide Wildfire and Natural </w:t>
            </w:r>
            <w:r w:rsidRPr="006961D4">
              <w:rPr>
                <w:color w:val="000000"/>
              </w:rPr>
              <w:lastRenderedPageBreak/>
              <w:t>Disaster Resiliency Rebuild Program</w:t>
            </w:r>
            <w:r>
              <w:rPr>
                <w:color w:val="000000"/>
              </w:rPr>
              <w:t>.</w:t>
            </w:r>
          </w:p>
          <w:p w:rsidR="00015664" w:rsidP="00F028C8" w:rsidRDefault="00015664" w14:paraId="6B74A591" w14:textId="6F471AA3">
            <w:pPr>
              <w:tabs>
                <w:tab w:val="left" w:pos="360"/>
              </w:tabs>
              <w:rPr>
                <w:color w:val="000000"/>
              </w:rPr>
            </w:pPr>
          </w:p>
          <w:p w:rsidRPr="00237F57" w:rsidR="00A92D0B" w:rsidP="00F028C8" w:rsidRDefault="00064CF7" w14:paraId="3B83D035" w14:textId="052B5BFD">
            <w:pPr>
              <w:tabs>
                <w:tab w:val="left" w:pos="360"/>
              </w:tabs>
              <w:rPr>
                <w:color w:val="000000"/>
              </w:rPr>
            </w:pPr>
            <w:r w:rsidRPr="00064CF7">
              <w:rPr>
                <w:color w:val="000000"/>
              </w:rPr>
              <w:t xml:space="preserve">We remind </w:t>
            </w:r>
            <w:r w:rsidRPr="000E6034" w:rsidR="000E6034">
              <w:rPr>
                <w:color w:val="000000"/>
              </w:rPr>
              <w:t>Wild Tree Foundation</w:t>
            </w:r>
            <w:r w:rsidRPr="00064CF7">
              <w:rPr>
                <w:color w:val="000000"/>
              </w:rPr>
              <w:t xml:space="preserve"> to include relevant customer status and significant financial hardship findings in their future requests for compensation.</w:t>
            </w:r>
          </w:p>
        </w:tc>
      </w:tr>
      <w:tr w:rsidRPr="00237F57" w:rsidR="00357F1A" w:rsidTr="008F373B" w14:paraId="7C183C5E" w14:textId="77777777">
        <w:tc>
          <w:tcPr>
            <w:tcW w:w="5035" w:type="dxa"/>
          </w:tcPr>
          <w:p w:rsidRPr="00237F57" w:rsidR="00357F1A" w:rsidP="00F028C8" w:rsidRDefault="00357F1A" w14:paraId="4141CB3D" w14:textId="0B27BF04">
            <w:pPr>
              <w:ind w:left="360" w:hanging="360"/>
              <w:rPr>
                <w:color w:val="000000"/>
              </w:rPr>
            </w:pPr>
            <w:r w:rsidRPr="00237F57">
              <w:rPr>
                <w:color w:val="000000"/>
              </w:rPr>
              <w:lastRenderedPageBreak/>
              <w:t>11.</w:t>
            </w:r>
            <w:r w:rsidRPr="00237F57" w:rsidR="001E7EE2">
              <w:rPr>
                <w:color w:val="000000"/>
              </w:rPr>
              <w:tab/>
            </w:r>
            <w:r w:rsidRPr="00237F57">
              <w:rPr>
                <w:color w:val="000000"/>
              </w:rPr>
              <w:t>Based on another CPUC determination</w:t>
            </w:r>
            <w:r w:rsidR="000A2E8F">
              <w:rPr>
                <w:color w:val="000000"/>
              </w:rPr>
              <w:t xml:space="preserve"> </w:t>
            </w:r>
            <w:r w:rsidRPr="00237F57">
              <w:rPr>
                <w:color w:val="000000"/>
              </w:rPr>
              <w:t>(specify):</w:t>
            </w:r>
          </w:p>
        </w:tc>
        <w:tc>
          <w:tcPr>
            <w:tcW w:w="2049" w:type="dxa"/>
          </w:tcPr>
          <w:p w:rsidRPr="00237F57" w:rsidR="00357F1A" w:rsidP="00F028C8" w:rsidRDefault="00C613EF" w14:paraId="141EB5CF" w14:textId="676B7571">
            <w:pPr>
              <w:tabs>
                <w:tab w:val="left" w:pos="360"/>
              </w:tabs>
              <w:ind w:left="360" w:hanging="360"/>
              <w:rPr>
                <w:color w:val="000000"/>
              </w:rPr>
            </w:pPr>
            <w:r w:rsidRPr="00237F57">
              <w:rPr>
                <w:color w:val="000000"/>
              </w:rPr>
              <w:t>n/a</w:t>
            </w:r>
          </w:p>
        </w:tc>
        <w:tc>
          <w:tcPr>
            <w:tcW w:w="2276" w:type="dxa"/>
          </w:tcPr>
          <w:p w:rsidRPr="00237F57" w:rsidR="00357F1A" w:rsidP="00F028C8" w:rsidRDefault="00357F1A" w14:paraId="79318715" w14:textId="77777777">
            <w:pPr>
              <w:tabs>
                <w:tab w:val="left" w:pos="360"/>
              </w:tabs>
              <w:rPr>
                <w:color w:val="000000"/>
              </w:rPr>
            </w:pPr>
          </w:p>
        </w:tc>
      </w:tr>
      <w:tr w:rsidRPr="00237F57" w:rsidR="00A92D0B" w:rsidTr="00504293" w14:paraId="4E8D20BF" w14:textId="77777777">
        <w:tc>
          <w:tcPr>
            <w:tcW w:w="7084" w:type="dxa"/>
            <w:gridSpan w:val="2"/>
            <w:tcBorders>
              <w:bottom w:val="single" w:color="auto" w:sz="4" w:space="0"/>
            </w:tcBorders>
          </w:tcPr>
          <w:p w:rsidRPr="00237F57" w:rsidR="00A92D0B" w:rsidP="00F028C8" w:rsidRDefault="00180E8C" w14:paraId="48D0D936" w14:textId="6A3DF8B8">
            <w:pPr>
              <w:tabs>
                <w:tab w:val="left" w:pos="360"/>
              </w:tabs>
              <w:ind w:left="360" w:hanging="360"/>
              <w:rPr>
                <w:color w:val="000000"/>
              </w:rPr>
            </w:pPr>
            <w:r w:rsidRPr="00237F57">
              <w:rPr>
                <w:color w:val="000000"/>
              </w:rPr>
              <w:t>12</w:t>
            </w:r>
            <w:r w:rsidRPr="00237F57" w:rsidR="00A92D0B">
              <w:rPr>
                <w:color w:val="000000"/>
              </w:rPr>
              <w:t>.</w:t>
            </w:r>
            <w:r w:rsidRPr="00237F57" w:rsidR="001E7EE2">
              <w:rPr>
                <w:color w:val="000000"/>
              </w:rPr>
              <w:tab/>
            </w:r>
            <w:r w:rsidRPr="00237F57" w:rsidR="00A92D0B">
              <w:rPr>
                <w:color w:val="000000"/>
              </w:rPr>
              <w:t>Has the</w:t>
            </w:r>
            <w:r w:rsidRPr="00237F57" w:rsidR="00A319DE">
              <w:rPr>
                <w:color w:val="000000"/>
              </w:rPr>
              <w:t xml:space="preserve"> </w:t>
            </w:r>
            <w:r w:rsidRPr="00237F57" w:rsidR="005A63D4">
              <w:rPr>
                <w:color w:val="000000"/>
              </w:rPr>
              <w:t>Intervenor</w:t>
            </w:r>
            <w:r w:rsidRPr="00237F57" w:rsidR="00A92D0B">
              <w:rPr>
                <w:color w:val="000000"/>
              </w:rPr>
              <w:t xml:space="preserve"> demonstrated significant financial hardship?</w:t>
            </w:r>
          </w:p>
        </w:tc>
        <w:tc>
          <w:tcPr>
            <w:tcW w:w="2276" w:type="dxa"/>
            <w:tcBorders>
              <w:bottom w:val="single" w:color="auto" w:sz="4" w:space="0"/>
            </w:tcBorders>
          </w:tcPr>
          <w:p w:rsidRPr="00237F57" w:rsidR="00A92D0B" w:rsidP="00F028C8" w:rsidRDefault="008F373B" w14:paraId="0F29B839" w14:textId="2990BB27">
            <w:pPr>
              <w:tabs>
                <w:tab w:val="left" w:pos="360"/>
              </w:tabs>
              <w:rPr>
                <w:color w:val="000000"/>
              </w:rPr>
            </w:pPr>
            <w:r>
              <w:rPr>
                <w:color w:val="000000"/>
              </w:rPr>
              <w:t>Yes</w:t>
            </w:r>
          </w:p>
        </w:tc>
      </w:tr>
      <w:tr w:rsidRPr="00237F57" w:rsidR="00A92D0B" w:rsidTr="002E21E0"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237F57" w:rsidR="00A92D0B" w:rsidP="007056FC" w:rsidRDefault="00A92D0B" w14:paraId="172E2884" w14:textId="77777777">
            <w:pPr>
              <w:keepNext/>
              <w:tabs>
                <w:tab w:val="left" w:pos="360"/>
              </w:tabs>
              <w:jc w:val="center"/>
              <w:rPr>
                <w:color w:val="000000"/>
              </w:rPr>
            </w:pPr>
            <w:r w:rsidRPr="00237F57">
              <w:rPr>
                <w:b/>
                <w:color w:val="000000"/>
              </w:rPr>
              <w:t>Timely request for compensation (§ 1804(c)):</w:t>
            </w:r>
          </w:p>
        </w:tc>
      </w:tr>
      <w:tr w:rsidRPr="00237F57" w:rsidR="00A92D0B" w:rsidTr="00B71945" w14:paraId="3E7938B0" w14:textId="77777777">
        <w:tc>
          <w:tcPr>
            <w:tcW w:w="5035" w:type="dxa"/>
            <w:tcBorders>
              <w:top w:val="single" w:color="auto" w:sz="4" w:space="0"/>
            </w:tcBorders>
          </w:tcPr>
          <w:p w:rsidRPr="00237F57" w:rsidR="00A92D0B" w:rsidP="00F028C8" w:rsidRDefault="00A92D0B" w14:paraId="66088F1B" w14:textId="2DB4A731">
            <w:pPr>
              <w:keepNext/>
              <w:tabs>
                <w:tab w:val="left" w:pos="612"/>
              </w:tabs>
              <w:ind w:left="360" w:hanging="360"/>
              <w:rPr>
                <w:color w:val="000000"/>
              </w:rPr>
            </w:pPr>
            <w:r w:rsidRPr="00237F57">
              <w:rPr>
                <w:color w:val="000000"/>
              </w:rPr>
              <w:t>13.</w:t>
            </w:r>
            <w:r w:rsidRPr="00237F57" w:rsidR="001E7EE2">
              <w:rPr>
                <w:color w:val="000000"/>
              </w:rPr>
              <w:tab/>
            </w:r>
            <w:r w:rsidRPr="00237F57">
              <w:rPr>
                <w:color w:val="000000"/>
              </w:rPr>
              <w:t>Identify Final Decision:</w:t>
            </w:r>
          </w:p>
        </w:tc>
        <w:tc>
          <w:tcPr>
            <w:tcW w:w="2049" w:type="dxa"/>
            <w:tcBorders>
              <w:top w:val="single" w:color="auto" w:sz="4" w:space="0"/>
            </w:tcBorders>
          </w:tcPr>
          <w:p w:rsidRPr="00237F57" w:rsidR="00A92D0B" w:rsidP="00F028C8" w:rsidRDefault="00241113" w14:paraId="7166F318" w14:textId="33487AB3">
            <w:pPr>
              <w:tabs>
                <w:tab w:val="left" w:pos="360"/>
              </w:tabs>
              <w:rPr>
                <w:color w:val="000000"/>
              </w:rPr>
            </w:pPr>
            <w:r w:rsidRPr="00237F57">
              <w:t>D.</w:t>
            </w:r>
            <w:r>
              <w:t>23-11-069</w:t>
            </w:r>
          </w:p>
        </w:tc>
        <w:tc>
          <w:tcPr>
            <w:tcW w:w="2276" w:type="dxa"/>
            <w:tcBorders>
              <w:top w:val="single" w:color="auto" w:sz="4" w:space="0"/>
            </w:tcBorders>
          </w:tcPr>
          <w:p w:rsidRPr="00237F57" w:rsidR="00A92D0B" w:rsidP="00F028C8" w:rsidRDefault="00530E5C" w14:paraId="1588DC54" w14:textId="30AC5CBB">
            <w:pPr>
              <w:tabs>
                <w:tab w:val="left" w:pos="360"/>
              </w:tabs>
              <w:rPr>
                <w:color w:val="000000"/>
              </w:rPr>
            </w:pPr>
            <w:r>
              <w:rPr>
                <w:color w:val="000000"/>
              </w:rPr>
              <w:t>Verified</w:t>
            </w:r>
          </w:p>
        </w:tc>
      </w:tr>
      <w:tr w:rsidRPr="00237F57" w:rsidR="00A92D0B" w:rsidTr="00B71945" w14:paraId="6360DE59" w14:textId="77777777">
        <w:tc>
          <w:tcPr>
            <w:tcW w:w="5035" w:type="dxa"/>
          </w:tcPr>
          <w:p w:rsidRPr="00237F57" w:rsidR="00A92D0B" w:rsidP="00F028C8" w:rsidRDefault="00A92D0B" w14:paraId="4B809E4A" w14:textId="4BEED0BB">
            <w:pPr>
              <w:tabs>
                <w:tab w:val="left" w:pos="612"/>
              </w:tabs>
              <w:ind w:left="360" w:hanging="360"/>
              <w:rPr>
                <w:color w:val="000000"/>
              </w:rPr>
            </w:pPr>
            <w:r w:rsidRPr="00237F57">
              <w:rPr>
                <w:color w:val="000000"/>
              </w:rPr>
              <w:t>14.</w:t>
            </w:r>
            <w:r w:rsidRPr="00237F57" w:rsidR="001E7EE2">
              <w:rPr>
                <w:color w:val="000000"/>
              </w:rPr>
              <w:tab/>
            </w:r>
            <w:r w:rsidRPr="00237F57">
              <w:rPr>
                <w:color w:val="000000"/>
              </w:rPr>
              <w:t xml:space="preserve">Date of </w:t>
            </w:r>
            <w:r w:rsidRPr="00237F57" w:rsidR="00A319DE">
              <w:rPr>
                <w:color w:val="000000"/>
              </w:rPr>
              <w:t>i</w:t>
            </w:r>
            <w:r w:rsidRPr="00237F57">
              <w:rPr>
                <w:color w:val="000000"/>
              </w:rPr>
              <w:t xml:space="preserve">ssuance of Final Order or Decision:    </w:t>
            </w:r>
          </w:p>
        </w:tc>
        <w:tc>
          <w:tcPr>
            <w:tcW w:w="2049" w:type="dxa"/>
          </w:tcPr>
          <w:p w:rsidRPr="00237F57" w:rsidR="00A92D0B" w:rsidP="00F028C8" w:rsidRDefault="00120588" w14:paraId="20455B5F" w14:textId="30747746">
            <w:pPr>
              <w:tabs>
                <w:tab w:val="left" w:pos="360"/>
              </w:tabs>
              <w:rPr>
                <w:color w:val="000000"/>
              </w:rPr>
            </w:pPr>
            <w:r w:rsidRPr="00237F57">
              <w:rPr>
                <w:color w:val="000000"/>
              </w:rPr>
              <w:t>11/17/2023</w:t>
            </w:r>
          </w:p>
        </w:tc>
        <w:tc>
          <w:tcPr>
            <w:tcW w:w="2276" w:type="dxa"/>
          </w:tcPr>
          <w:p w:rsidRPr="00237F57" w:rsidR="00A92D0B" w:rsidP="00F028C8" w:rsidRDefault="00B71945" w14:paraId="1FCF00DD" w14:textId="73B860E1">
            <w:pPr>
              <w:tabs>
                <w:tab w:val="left" w:pos="360"/>
              </w:tabs>
              <w:rPr>
                <w:color w:val="000000"/>
              </w:rPr>
            </w:pPr>
            <w:r>
              <w:rPr>
                <w:color w:val="000000"/>
              </w:rPr>
              <w:t>V</w:t>
            </w:r>
            <w:r w:rsidR="00530E5C">
              <w:rPr>
                <w:color w:val="000000"/>
              </w:rPr>
              <w:t>erified</w:t>
            </w:r>
          </w:p>
        </w:tc>
      </w:tr>
      <w:tr w:rsidRPr="00237F57" w:rsidR="00A92D0B" w:rsidTr="00B71945" w14:paraId="723259E3" w14:textId="77777777">
        <w:tc>
          <w:tcPr>
            <w:tcW w:w="5035" w:type="dxa"/>
          </w:tcPr>
          <w:p w:rsidRPr="00237F57" w:rsidR="00A92D0B" w:rsidP="00F028C8" w:rsidRDefault="00A92D0B" w14:paraId="163EE1CA" w14:textId="2B64EB9E">
            <w:pPr>
              <w:tabs>
                <w:tab w:val="left" w:pos="612"/>
              </w:tabs>
              <w:ind w:left="360" w:hanging="360"/>
              <w:rPr>
                <w:color w:val="000000"/>
              </w:rPr>
            </w:pPr>
            <w:r w:rsidRPr="00237F57">
              <w:rPr>
                <w:color w:val="000000"/>
              </w:rPr>
              <w:t>15.</w:t>
            </w:r>
            <w:r w:rsidRPr="00237F57" w:rsidR="001E7EE2">
              <w:rPr>
                <w:color w:val="000000"/>
              </w:rPr>
              <w:tab/>
            </w:r>
            <w:r w:rsidRPr="00237F57">
              <w:rPr>
                <w:color w:val="000000"/>
              </w:rPr>
              <w:t>File date of compensation request:</w:t>
            </w:r>
          </w:p>
        </w:tc>
        <w:tc>
          <w:tcPr>
            <w:tcW w:w="2049" w:type="dxa"/>
          </w:tcPr>
          <w:p w:rsidRPr="00237F57" w:rsidR="00A92D0B" w:rsidP="00F028C8" w:rsidRDefault="00120588" w14:paraId="0568B39D" w14:textId="26F48C6B">
            <w:pPr>
              <w:tabs>
                <w:tab w:val="left" w:pos="360"/>
              </w:tabs>
              <w:rPr>
                <w:color w:val="000000"/>
              </w:rPr>
            </w:pPr>
            <w:r w:rsidRPr="00237F57">
              <w:rPr>
                <w:color w:val="000000"/>
              </w:rPr>
              <w:t>1/1</w:t>
            </w:r>
            <w:r w:rsidR="00AA5475">
              <w:rPr>
                <w:color w:val="000000"/>
              </w:rPr>
              <w:t>6</w:t>
            </w:r>
            <w:r w:rsidRPr="00237F57">
              <w:rPr>
                <w:color w:val="000000"/>
              </w:rPr>
              <w:t>/2024</w:t>
            </w:r>
          </w:p>
        </w:tc>
        <w:tc>
          <w:tcPr>
            <w:tcW w:w="2276" w:type="dxa"/>
          </w:tcPr>
          <w:p w:rsidRPr="00237F57" w:rsidR="00A92D0B" w:rsidP="00F028C8" w:rsidRDefault="00B71945" w14:paraId="1CBF4E7A" w14:textId="6FF26DAE">
            <w:pPr>
              <w:tabs>
                <w:tab w:val="left" w:pos="360"/>
              </w:tabs>
              <w:rPr>
                <w:color w:val="000000"/>
              </w:rPr>
            </w:pPr>
            <w:r>
              <w:rPr>
                <w:color w:val="000000"/>
              </w:rPr>
              <w:t>Verified</w:t>
            </w:r>
          </w:p>
        </w:tc>
      </w:tr>
      <w:tr w:rsidRPr="00237F57" w:rsidR="00A92D0B" w:rsidTr="00504293" w14:paraId="406BCA3A" w14:textId="77777777">
        <w:tc>
          <w:tcPr>
            <w:tcW w:w="7084" w:type="dxa"/>
            <w:gridSpan w:val="2"/>
          </w:tcPr>
          <w:p w:rsidRPr="00237F57" w:rsidR="00A92D0B" w:rsidP="00F028C8" w:rsidRDefault="00A92D0B" w14:paraId="10AF42D1" w14:textId="67695104">
            <w:pPr>
              <w:tabs>
                <w:tab w:val="left" w:pos="360"/>
              </w:tabs>
              <w:ind w:left="360" w:hanging="360"/>
              <w:rPr>
                <w:color w:val="000000"/>
              </w:rPr>
            </w:pPr>
            <w:proofErr w:type="gramStart"/>
            <w:r w:rsidRPr="00237F57">
              <w:rPr>
                <w:color w:val="000000"/>
              </w:rPr>
              <w:t>16</w:t>
            </w:r>
            <w:r w:rsidRPr="00237F57" w:rsidR="001E7EE2">
              <w:rPr>
                <w:color w:val="000000"/>
              </w:rPr>
              <w:t>.</w:t>
            </w:r>
            <w:r w:rsidRPr="00237F57" w:rsidR="001E7EE2">
              <w:rPr>
                <w:color w:val="000000"/>
              </w:rPr>
              <w:tab/>
            </w:r>
            <w:r w:rsidRPr="00237F57">
              <w:rPr>
                <w:color w:val="000000"/>
              </w:rPr>
              <w:t>Was</w:t>
            </w:r>
            <w:proofErr w:type="gramEnd"/>
            <w:r w:rsidRPr="00237F57">
              <w:rPr>
                <w:color w:val="000000"/>
              </w:rPr>
              <w:t xml:space="preserve"> the request for compensation timely?</w:t>
            </w:r>
          </w:p>
        </w:tc>
        <w:tc>
          <w:tcPr>
            <w:tcW w:w="2276" w:type="dxa"/>
          </w:tcPr>
          <w:p w:rsidRPr="00237F57" w:rsidR="00A92D0B" w:rsidP="00F028C8" w:rsidRDefault="00B71945" w14:paraId="2EA30E63" w14:textId="4CCE328D">
            <w:pPr>
              <w:tabs>
                <w:tab w:val="left" w:pos="360"/>
              </w:tabs>
              <w:rPr>
                <w:color w:val="000000"/>
              </w:rPr>
            </w:pPr>
            <w:r>
              <w:rPr>
                <w:color w:val="000000"/>
              </w:rPr>
              <w:t>Yes</w:t>
            </w:r>
          </w:p>
        </w:tc>
      </w:tr>
    </w:tbl>
    <w:p w:rsidRPr="00237F57" w:rsidR="00A92D0B" w:rsidP="00880855" w:rsidRDefault="00A92D0B" w14:paraId="0068592B" w14:textId="0649E0C6">
      <w:pPr>
        <w:keepNext/>
        <w:numPr>
          <w:ilvl w:val="0"/>
          <w:numId w:val="5"/>
        </w:numPr>
        <w:spacing w:before="240" w:after="240"/>
        <w:rPr>
          <w:b/>
          <w:color w:val="000000"/>
        </w:rPr>
      </w:pPr>
      <w:r w:rsidRPr="00237F57">
        <w:rPr>
          <w:b/>
          <w:color w:val="000000"/>
        </w:rPr>
        <w:t>Additional Comments on Part I</w:t>
      </w:r>
      <w:r w:rsidRPr="00237F57" w:rsidR="00C02649">
        <w:rPr>
          <w:b/>
          <w:color w:val="000000"/>
        </w:rPr>
        <w:t>:</w:t>
      </w:r>
      <w:r w:rsidRPr="00237F57">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237F57"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237F57" w:rsidR="003C608A" w:rsidP="007056FC" w:rsidRDefault="003C608A" w14:paraId="0CB867A6" w14:textId="77777777">
            <w:pPr>
              <w:tabs>
                <w:tab w:val="left" w:pos="360"/>
              </w:tabs>
              <w:jc w:val="center"/>
              <w:rPr>
                <w:b/>
                <w:color w:val="000000"/>
              </w:rPr>
            </w:pPr>
            <w:r w:rsidRPr="00237F57">
              <w:rPr>
                <w:b/>
                <w:color w:val="000000"/>
              </w:rPr>
              <w:t>#</w:t>
            </w:r>
          </w:p>
        </w:tc>
        <w:tc>
          <w:tcPr>
            <w:tcW w:w="3759" w:type="dxa"/>
            <w:tcBorders>
              <w:bottom w:val="single" w:color="auto" w:sz="4" w:space="0"/>
            </w:tcBorders>
            <w:shd w:val="clear" w:color="auto" w:fill="D9D9D9" w:themeFill="background1" w:themeFillShade="D9"/>
          </w:tcPr>
          <w:p w:rsidRPr="00237F57" w:rsidR="003C608A" w:rsidP="007056FC" w:rsidRDefault="003C608A" w14:paraId="196D09DF" w14:textId="77777777">
            <w:pPr>
              <w:tabs>
                <w:tab w:val="left" w:pos="360"/>
              </w:tabs>
              <w:jc w:val="center"/>
              <w:rPr>
                <w:b/>
                <w:color w:val="000000"/>
              </w:rPr>
            </w:pPr>
            <w:r w:rsidRPr="00237F57">
              <w:rPr>
                <w:b/>
                <w:color w:val="000000"/>
              </w:rPr>
              <w:t>Intervenor’s Comment(s)</w:t>
            </w:r>
          </w:p>
        </w:tc>
        <w:tc>
          <w:tcPr>
            <w:tcW w:w="4741" w:type="dxa"/>
            <w:shd w:val="clear" w:color="auto" w:fill="D9D9D9" w:themeFill="background1" w:themeFillShade="D9"/>
          </w:tcPr>
          <w:p w:rsidRPr="00237F57" w:rsidR="003C608A" w:rsidP="007056FC" w:rsidRDefault="003C608A" w14:paraId="07207D31" w14:textId="77777777">
            <w:pPr>
              <w:tabs>
                <w:tab w:val="left" w:pos="360"/>
              </w:tabs>
              <w:jc w:val="center"/>
              <w:rPr>
                <w:b/>
                <w:color w:val="000000"/>
              </w:rPr>
            </w:pPr>
            <w:r w:rsidRPr="00237F57">
              <w:rPr>
                <w:b/>
                <w:color w:val="000000"/>
              </w:rPr>
              <w:t>CPUC Discussion</w:t>
            </w:r>
          </w:p>
        </w:tc>
      </w:tr>
      <w:tr w:rsidRPr="00237F57" w:rsidR="003C608A" w:rsidTr="007300B5" w14:paraId="1C6180A4" w14:textId="77777777">
        <w:trPr>
          <w:trHeight w:val="67"/>
        </w:trPr>
        <w:tc>
          <w:tcPr>
            <w:tcW w:w="860" w:type="dxa"/>
          </w:tcPr>
          <w:p w:rsidRPr="00237F57" w:rsidR="003C608A" w:rsidP="007056FC" w:rsidRDefault="001D20D2" w14:paraId="4350D384" w14:textId="41A028D6">
            <w:pPr>
              <w:tabs>
                <w:tab w:val="left" w:pos="360"/>
              </w:tabs>
              <w:rPr>
                <w:color w:val="000000"/>
              </w:rPr>
            </w:pPr>
            <w:r>
              <w:rPr>
                <w:color w:val="000000"/>
              </w:rPr>
              <w:t xml:space="preserve">2. </w:t>
            </w:r>
          </w:p>
        </w:tc>
        <w:tc>
          <w:tcPr>
            <w:tcW w:w="3759" w:type="dxa"/>
          </w:tcPr>
          <w:p w:rsidRPr="00237F57" w:rsidR="003C608A" w:rsidP="0091551E" w:rsidRDefault="0091551E" w14:paraId="0ECF4A98" w14:textId="0A18D7B9">
            <w:pPr>
              <w:pStyle w:val="Default"/>
              <w:jc w:val="both"/>
            </w:pPr>
            <w:r>
              <w:t xml:space="preserve">June 9, </w:t>
            </w:r>
            <w:proofErr w:type="gramStart"/>
            <w:r>
              <w:t>2022</w:t>
            </w:r>
            <w:proofErr w:type="gramEnd"/>
            <w:r>
              <w:t xml:space="preserve"> </w:t>
            </w:r>
            <w:r w:rsidRPr="00AA5475">
              <w:rPr>
                <w:i/>
              </w:rPr>
              <w:t>Email Ruling Granting Wild Tree Motion for Party Status and Setting Date for the Filing of Notice of Intent</w:t>
            </w:r>
            <w:r w:rsidR="00AA5475">
              <w:t xml:space="preserve"> authorized Wild Tree Foundation to file NOI June 24, 2022.</w:t>
            </w:r>
          </w:p>
        </w:tc>
        <w:tc>
          <w:tcPr>
            <w:tcW w:w="4741" w:type="dxa"/>
          </w:tcPr>
          <w:p w:rsidRPr="00237F57" w:rsidR="003C608A" w:rsidP="007056FC" w:rsidRDefault="00DD0B6A" w14:paraId="416D6250" w14:textId="4922BEF7">
            <w:pPr>
              <w:tabs>
                <w:tab w:val="left" w:pos="360"/>
              </w:tabs>
              <w:rPr>
                <w:color w:val="000000"/>
              </w:rPr>
            </w:pPr>
            <w:r>
              <w:rPr>
                <w:color w:val="000000"/>
              </w:rPr>
              <w:t>Verified</w:t>
            </w:r>
            <w:r w:rsidR="00417EA3">
              <w:rPr>
                <w:color w:val="000000"/>
              </w:rPr>
              <w:t>.</w:t>
            </w:r>
            <w:r w:rsidR="005D138E">
              <w:rPr>
                <w:color w:val="000000"/>
              </w:rPr>
              <w:t xml:space="preserve"> </w:t>
            </w:r>
            <w:r w:rsidR="00417EA3">
              <w:rPr>
                <w:color w:val="000000"/>
              </w:rPr>
              <w:t>A</w:t>
            </w:r>
            <w:r>
              <w:t xml:space="preserve">n email ruling </w:t>
            </w:r>
            <w:r w:rsidR="00D52EF3">
              <w:t xml:space="preserve">issued on </w:t>
            </w:r>
            <w:r>
              <w:t xml:space="preserve">June 9, </w:t>
            </w:r>
            <w:r w:rsidR="002D2464">
              <w:t>2022,</w:t>
            </w:r>
            <w:r>
              <w:t xml:space="preserve"> from A</w:t>
            </w:r>
            <w:r w:rsidR="00417EA3">
              <w:t xml:space="preserve">dministrative </w:t>
            </w:r>
            <w:r>
              <w:t>L</w:t>
            </w:r>
            <w:r w:rsidR="00417EA3">
              <w:t xml:space="preserve">aw </w:t>
            </w:r>
            <w:r>
              <w:t>J</w:t>
            </w:r>
            <w:r w:rsidR="00417EA3">
              <w:t>udge</w:t>
            </w:r>
            <w:r>
              <w:t xml:space="preserve">s </w:t>
            </w:r>
            <w:r w:rsidR="00417EA3">
              <w:t xml:space="preserve">John </w:t>
            </w:r>
            <w:r>
              <w:t xml:space="preserve">Larsen and </w:t>
            </w:r>
            <w:r w:rsidR="00417EA3">
              <w:t xml:space="preserve">Regina </w:t>
            </w:r>
            <w:r>
              <w:t xml:space="preserve">DeAngelis granted Wild Tree Foundation party status and additional time to file an NOI due to new issues emerging </w:t>
            </w:r>
            <w:proofErr w:type="gramStart"/>
            <w:r>
              <w:t>subsequent to</w:t>
            </w:r>
            <w:proofErr w:type="gramEnd"/>
            <w:r>
              <w:t xml:space="preserve"> the time set for filing in accordance with Pub. Util. Code section 1804(a)(1).  Wild Tree </w:t>
            </w:r>
            <w:r w:rsidR="00D52EF3">
              <w:t xml:space="preserve">based </w:t>
            </w:r>
            <w:r>
              <w:t xml:space="preserve">its motion on the new issues in </w:t>
            </w:r>
            <w:r w:rsidR="00EA4A12">
              <w:t>Pacific Gas and Electric Company’s (</w:t>
            </w:r>
            <w:r>
              <w:t>PG&amp;E’s</w:t>
            </w:r>
            <w:r w:rsidR="00EA4A12">
              <w:t>)</w:t>
            </w:r>
            <w:r>
              <w:t xml:space="preserve"> March 10, </w:t>
            </w:r>
            <w:r w:rsidR="00EA4A12">
              <w:t>2022,</w:t>
            </w:r>
            <w:r>
              <w:t xml:space="preserve"> amended application filed after the prehearing conference.</w:t>
            </w:r>
            <w:r w:rsidR="00FC5894">
              <w:t xml:space="preserve"> The </w:t>
            </w:r>
            <w:r w:rsidR="00EE3695">
              <w:t xml:space="preserve">deadline to file a timely NOI due to these changes was </w:t>
            </w:r>
            <w:r w:rsidR="00484B39">
              <w:t>June 24, 2022.</w:t>
            </w:r>
          </w:p>
        </w:tc>
      </w:tr>
    </w:tbl>
    <w:p w:rsidRPr="00237F57" w:rsidR="003B6A1B" w:rsidP="0057088A" w:rsidRDefault="00A92D0B" w14:paraId="501B5F3D" w14:textId="653F3A6F">
      <w:pPr>
        <w:keepNext/>
        <w:spacing w:before="480"/>
        <w:jc w:val="center"/>
        <w:rPr>
          <w:b/>
          <w:color w:val="000000"/>
        </w:rPr>
      </w:pPr>
      <w:r w:rsidRPr="00237F57">
        <w:rPr>
          <w:b/>
          <w:color w:val="000000"/>
        </w:rPr>
        <w:lastRenderedPageBreak/>
        <w:t>PART II</w:t>
      </w:r>
      <w:r w:rsidRPr="00237F57" w:rsidR="008F01C9">
        <w:rPr>
          <w:b/>
          <w:color w:val="000000"/>
        </w:rPr>
        <w:t>: SUBSTANTIAL</w:t>
      </w:r>
      <w:r w:rsidRPr="00237F57">
        <w:rPr>
          <w:b/>
          <w:color w:val="000000"/>
        </w:rPr>
        <w:t xml:space="preserve"> CONTRIBUTION</w:t>
      </w:r>
    </w:p>
    <w:p w:rsidRPr="00C50B98" w:rsidR="00C50B98" w:rsidP="00C50B98" w:rsidRDefault="00D075B1" w14:paraId="7910AF8A" w14:textId="03045482">
      <w:pPr>
        <w:keepNext/>
        <w:numPr>
          <w:ilvl w:val="0"/>
          <w:numId w:val="8"/>
        </w:numPr>
        <w:spacing w:before="240" w:after="240"/>
        <w:rPr>
          <w:b/>
          <w:color w:val="000000"/>
        </w:rPr>
      </w:pPr>
      <w:r w:rsidRPr="00237F57">
        <w:rPr>
          <w:b/>
          <w:color w:val="000000"/>
        </w:rPr>
        <w:t xml:space="preserve">Did the </w:t>
      </w:r>
      <w:r w:rsidRPr="00237F57" w:rsidR="005A63D4">
        <w:rPr>
          <w:b/>
          <w:color w:val="000000"/>
        </w:rPr>
        <w:t>Intervenor</w:t>
      </w:r>
      <w:r w:rsidRPr="00237F57">
        <w:rPr>
          <w:b/>
          <w:color w:val="000000"/>
        </w:rPr>
        <w:t xml:space="preserve"> substantially contribute to the final decision</w:t>
      </w:r>
      <w:r w:rsidRPr="00237F57" w:rsidR="00A92D0B">
        <w:rPr>
          <w:b/>
          <w:color w:val="000000"/>
        </w:rPr>
        <w:t xml:space="preserve"> (</w:t>
      </w:r>
      <w:r w:rsidRPr="00237F57" w:rsidR="00A92D0B">
        <w:rPr>
          <w:b/>
          <w:i/>
          <w:color w:val="000000"/>
        </w:rPr>
        <w:t>see</w:t>
      </w:r>
      <w:r w:rsidRPr="00237F57" w:rsidR="00A92D0B">
        <w:rPr>
          <w:b/>
          <w:color w:val="000000"/>
        </w:rPr>
        <w:t xml:space="preserve"> § 1802(</w:t>
      </w:r>
      <w:r w:rsidRPr="00237F57" w:rsidR="00ED6B6B">
        <w:rPr>
          <w:b/>
          <w:color w:val="000000"/>
        </w:rPr>
        <w:t>j</w:t>
      </w:r>
      <w:r w:rsidRPr="00237F57" w:rsidR="00A92D0B">
        <w:rPr>
          <w:b/>
          <w:color w:val="000000"/>
        </w:rPr>
        <w:t xml:space="preserve">), </w:t>
      </w:r>
      <w:r w:rsidRPr="00237F57" w:rsidR="001E77CF">
        <w:rPr>
          <w:b/>
          <w:color w:val="000000"/>
        </w:rPr>
        <w:br/>
      </w:r>
      <w:r w:rsidRPr="00237F57" w:rsidR="00A92D0B">
        <w:rPr>
          <w:b/>
          <w:color w:val="000000"/>
        </w:rPr>
        <w:t>§ 1803(a)</w:t>
      </w:r>
      <w:r w:rsidRPr="00237F57" w:rsidR="00F30DA8">
        <w:rPr>
          <w:b/>
          <w:color w:val="000000"/>
        </w:rPr>
        <w:t>,</w:t>
      </w:r>
      <w:r w:rsidRPr="00237F57" w:rsidR="00A92D0B">
        <w:rPr>
          <w:b/>
          <w:color w:val="000000"/>
        </w:rPr>
        <w:t xml:space="preserve"> </w:t>
      </w:r>
      <w:r w:rsidRPr="00237F57" w:rsidR="00ED6B6B">
        <w:rPr>
          <w:b/>
          <w:color w:val="000000"/>
        </w:rPr>
        <w:t xml:space="preserve">1803.1(a) </w:t>
      </w:r>
      <w:r w:rsidRPr="00237F57" w:rsidR="00F30DA8">
        <w:rPr>
          <w:b/>
          <w:color w:val="000000"/>
        </w:rPr>
        <w:t>and</w:t>
      </w:r>
      <w:r w:rsidRPr="00237F57" w:rsidR="00A92D0B">
        <w:rPr>
          <w:b/>
          <w:color w:val="000000"/>
        </w:rPr>
        <w:t xml:space="preserve"> D.98-04-059)</w:t>
      </w:r>
      <w:r w:rsidRPr="00237F57"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237F57" w:rsidR="00A92D0B" w:rsidTr="00C50B98" w14:paraId="67755362" w14:textId="77777777">
        <w:trPr>
          <w:cantSplit/>
        </w:trPr>
        <w:tc>
          <w:tcPr>
            <w:tcW w:w="3258" w:type="dxa"/>
            <w:tcBorders>
              <w:bottom w:val="single" w:color="auto" w:sz="4" w:space="0"/>
            </w:tcBorders>
            <w:shd w:val="pct12" w:color="auto" w:fill="auto"/>
            <w:vAlign w:val="bottom"/>
          </w:tcPr>
          <w:p w:rsidRPr="00237F57" w:rsidR="00A92D0B" w:rsidP="00073262" w:rsidRDefault="00D075B1" w14:paraId="7CE2E5BB" w14:textId="77777777">
            <w:pPr>
              <w:jc w:val="center"/>
              <w:rPr>
                <w:b/>
                <w:color w:val="000000"/>
              </w:rPr>
            </w:pPr>
            <w:r w:rsidRPr="00237F57">
              <w:rPr>
                <w:b/>
                <w:color w:val="000000"/>
              </w:rPr>
              <w:t>Intervenor’s Claimed Contribution(s)</w:t>
            </w:r>
          </w:p>
        </w:tc>
        <w:tc>
          <w:tcPr>
            <w:tcW w:w="4140" w:type="dxa"/>
            <w:tcBorders>
              <w:bottom w:val="single" w:color="auto" w:sz="4" w:space="0"/>
            </w:tcBorders>
            <w:shd w:val="pct12" w:color="auto" w:fill="auto"/>
            <w:vAlign w:val="bottom"/>
          </w:tcPr>
          <w:p w:rsidRPr="00237F57" w:rsidR="00A92D0B" w:rsidP="00073262" w:rsidRDefault="00A92D0B" w14:paraId="2794272E" w14:textId="77777777">
            <w:pPr>
              <w:jc w:val="center"/>
              <w:rPr>
                <w:b/>
                <w:color w:val="000000"/>
              </w:rPr>
            </w:pPr>
            <w:r w:rsidRPr="00237F57">
              <w:rPr>
                <w:b/>
                <w:color w:val="000000"/>
              </w:rPr>
              <w:t xml:space="preserve">Specific References to </w:t>
            </w:r>
            <w:r w:rsidRPr="00237F57" w:rsidR="00D075B1">
              <w:rPr>
                <w:b/>
                <w:color w:val="000000"/>
              </w:rPr>
              <w:t>Intervenor’s Claimed Contribution(s)</w:t>
            </w:r>
          </w:p>
        </w:tc>
        <w:tc>
          <w:tcPr>
            <w:tcW w:w="2340" w:type="dxa"/>
            <w:shd w:val="pct12" w:color="auto" w:fill="auto"/>
            <w:vAlign w:val="bottom"/>
          </w:tcPr>
          <w:p w:rsidRPr="00237F57" w:rsidR="00A92D0B" w:rsidP="00073262" w:rsidRDefault="00D075B1" w14:paraId="79AFC714" w14:textId="77777777">
            <w:pPr>
              <w:jc w:val="center"/>
              <w:rPr>
                <w:b/>
                <w:color w:val="000000"/>
              </w:rPr>
            </w:pPr>
            <w:r w:rsidRPr="00237F57">
              <w:rPr>
                <w:b/>
                <w:color w:val="000000"/>
              </w:rPr>
              <w:t>CPUC Discussion</w:t>
            </w:r>
          </w:p>
        </w:tc>
      </w:tr>
      <w:tr w:rsidRPr="00237F57" w:rsidR="00A92D0B" w:rsidTr="001C02A8" w14:paraId="2E691FFC" w14:textId="77777777">
        <w:trPr>
          <w:tblHeader/>
        </w:trPr>
        <w:tc>
          <w:tcPr>
            <w:tcW w:w="3258" w:type="dxa"/>
          </w:tcPr>
          <w:p w:rsidRPr="00237F57" w:rsidR="00671F4C" w:rsidP="00B059A4" w:rsidRDefault="00671F4C" w14:paraId="52EF18E0" w14:textId="3C557BF5">
            <w:pPr>
              <w:rPr>
                <w:b/>
                <w:color w:val="000000"/>
              </w:rPr>
            </w:pPr>
            <w:r w:rsidRPr="00237F57">
              <w:rPr>
                <w:b/>
                <w:color w:val="000000"/>
              </w:rPr>
              <w:t>System Hardening</w:t>
            </w:r>
          </w:p>
          <w:p w:rsidRPr="00237F57" w:rsidR="00926EB7" w:rsidP="00B059A4" w:rsidRDefault="00F66445" w14:paraId="1CE970B2" w14:textId="02D22556">
            <w:pPr>
              <w:rPr>
                <w:color w:val="000000"/>
              </w:rPr>
            </w:pPr>
            <w:r w:rsidRPr="00237F57">
              <w:rPr>
                <w:color w:val="000000"/>
              </w:rPr>
              <w:t>Wild Tree provided testimony and argument regarding the risk, cost, feasibility and reasonableness of PG&amp;E’s system hardening proposal.  Wild Tree argued that PG&amp;E’s proposal for</w:t>
            </w:r>
            <w:r w:rsidRPr="00237F57" w:rsidR="00E22351">
              <w:rPr>
                <w:color w:val="000000"/>
              </w:rPr>
              <w:t xml:space="preserve"> </w:t>
            </w:r>
            <w:r w:rsidRPr="00237F57" w:rsidR="00CC42CD">
              <w:rPr>
                <w:color w:val="000000"/>
              </w:rPr>
              <w:t>1000’s of</w:t>
            </w:r>
            <w:r w:rsidRPr="00237F57" w:rsidR="00E22351">
              <w:rPr>
                <w:color w:val="000000"/>
              </w:rPr>
              <w:t xml:space="preserve"> miles of undergrounding and </w:t>
            </w:r>
            <w:r w:rsidRPr="00237F57" w:rsidR="00C524B5">
              <w:rPr>
                <w:color w:val="000000"/>
              </w:rPr>
              <w:t>a few</w:t>
            </w:r>
            <w:r w:rsidRPr="00237F57" w:rsidR="00CC42CD">
              <w:rPr>
                <w:color w:val="000000"/>
              </w:rPr>
              <w:t xml:space="preserve"> hundred </w:t>
            </w:r>
            <w:r w:rsidRPr="00237F57" w:rsidR="00E22351">
              <w:rPr>
                <w:color w:val="000000"/>
              </w:rPr>
              <w:t xml:space="preserve">miles of covered conductors was risky, not cost effective, not feasible, and unreasonable.  Wild Tree recommended that </w:t>
            </w:r>
            <w:r w:rsidRPr="00237F57">
              <w:rPr>
                <w:color w:val="000000"/>
              </w:rPr>
              <w:t>cost</w:t>
            </w:r>
            <w:r w:rsidRPr="00237F57" w:rsidR="00E22351">
              <w:rPr>
                <w:color w:val="000000"/>
              </w:rPr>
              <w:t xml:space="preserve">s </w:t>
            </w:r>
            <w:r w:rsidRPr="00237F57">
              <w:rPr>
                <w:color w:val="000000"/>
              </w:rPr>
              <w:t xml:space="preserve">be shifted </w:t>
            </w:r>
            <w:r w:rsidRPr="00237F57" w:rsidR="00E22351">
              <w:rPr>
                <w:color w:val="000000"/>
              </w:rPr>
              <w:t xml:space="preserve">from </w:t>
            </w:r>
            <w:proofErr w:type="gramStart"/>
            <w:r w:rsidRPr="00237F57" w:rsidR="00E22351">
              <w:rPr>
                <w:color w:val="000000"/>
              </w:rPr>
              <w:t>undergrounding</w:t>
            </w:r>
            <w:proofErr w:type="gramEnd"/>
            <w:r w:rsidRPr="00237F57" w:rsidR="00E22351">
              <w:rPr>
                <w:color w:val="000000"/>
              </w:rPr>
              <w:t xml:space="preserve"> </w:t>
            </w:r>
            <w:r w:rsidRPr="00237F57">
              <w:rPr>
                <w:color w:val="000000"/>
              </w:rPr>
              <w:t xml:space="preserve">to covered conductors </w:t>
            </w:r>
            <w:r w:rsidRPr="00237F57" w:rsidR="00E22351">
              <w:rPr>
                <w:color w:val="000000"/>
              </w:rPr>
              <w:t>to provide mo</w:t>
            </w:r>
            <w:r w:rsidRPr="00237F57" w:rsidR="00662818">
              <w:rPr>
                <w:color w:val="000000"/>
              </w:rPr>
              <w:t>re</w:t>
            </w:r>
            <w:r w:rsidRPr="00237F57" w:rsidR="00E22351">
              <w:rPr>
                <w:color w:val="000000"/>
              </w:rPr>
              <w:t xml:space="preserve"> cost effective, expedient fire risk reduction. </w:t>
            </w:r>
            <w:r w:rsidRPr="00237F57">
              <w:rPr>
                <w:color w:val="000000"/>
              </w:rPr>
              <w:t xml:space="preserve"> </w:t>
            </w:r>
          </w:p>
          <w:p w:rsidRPr="00237F57" w:rsidR="00662818" w:rsidP="00B059A4" w:rsidRDefault="00662818" w14:paraId="6C7C1C88" w14:textId="77777777">
            <w:pPr>
              <w:rPr>
                <w:color w:val="000000"/>
              </w:rPr>
            </w:pPr>
          </w:p>
          <w:p w:rsidRPr="00237F57" w:rsidR="00662818" w:rsidP="00B059A4" w:rsidRDefault="00662818" w14:paraId="6576D014" w14:textId="34C0FCDB">
            <w:pPr>
              <w:rPr>
                <w:color w:val="000000"/>
              </w:rPr>
            </w:pPr>
            <w:r w:rsidRPr="00237F57">
              <w:rPr>
                <w:color w:val="000000"/>
              </w:rPr>
              <w:t>Wild Tree Testimony at pp. 2-21.</w:t>
            </w:r>
          </w:p>
          <w:p w:rsidRPr="00237F57" w:rsidR="00662818" w:rsidP="00B059A4" w:rsidRDefault="00662818" w14:paraId="5DAB0DEB" w14:textId="77777777">
            <w:pPr>
              <w:rPr>
                <w:color w:val="000000"/>
              </w:rPr>
            </w:pPr>
          </w:p>
          <w:p w:rsidRPr="00237F57" w:rsidR="00662818" w:rsidP="00B059A4" w:rsidRDefault="00662818" w14:paraId="7BA891E2" w14:textId="008B3975">
            <w:pPr>
              <w:rPr>
                <w:color w:val="000000"/>
              </w:rPr>
            </w:pPr>
            <w:r w:rsidRPr="00237F57">
              <w:rPr>
                <w:color w:val="000000"/>
              </w:rPr>
              <w:t xml:space="preserve">Wild Tree Opening Brief at </w:t>
            </w:r>
            <w:proofErr w:type="gramStart"/>
            <w:r w:rsidRPr="00237F57">
              <w:rPr>
                <w:color w:val="000000"/>
              </w:rPr>
              <w:t>pp</w:t>
            </w:r>
            <w:proofErr w:type="gramEnd"/>
            <w:r w:rsidRPr="00237F57">
              <w:rPr>
                <w:color w:val="000000"/>
              </w:rPr>
              <w:t>. 3-21.</w:t>
            </w:r>
          </w:p>
          <w:p w:rsidRPr="00237F57" w:rsidR="00E47CE8" w:rsidP="00B059A4" w:rsidRDefault="00E47CE8" w14:paraId="7827F938" w14:textId="3090D0A2">
            <w:pPr>
              <w:rPr>
                <w:color w:val="000000"/>
              </w:rPr>
            </w:pPr>
          </w:p>
          <w:p w:rsidRPr="00237F57" w:rsidR="00E47CE8" w:rsidP="00E47CE8" w:rsidRDefault="00E47CE8" w14:paraId="0CC16050" w14:textId="50A0EA3C">
            <w:r w:rsidRPr="00237F57">
              <w:rPr>
                <w:color w:val="000000"/>
              </w:rPr>
              <w:t xml:space="preserve">In </w:t>
            </w:r>
            <w:proofErr w:type="gramStart"/>
            <w:r w:rsidRPr="00237F57">
              <w:rPr>
                <w:color w:val="000000"/>
              </w:rPr>
              <w:t>it</w:t>
            </w:r>
            <w:proofErr w:type="gramEnd"/>
            <w:r w:rsidRPr="00237F57">
              <w:rPr>
                <w:color w:val="000000"/>
              </w:rPr>
              <w:t xml:space="preserve"> reply brief, PG&amp;E changed its system proposal to decrease underground miles from 3,346 to 2,000</w:t>
            </w:r>
            <w:r w:rsidR="0091551E">
              <w:rPr>
                <w:color w:val="000000"/>
              </w:rPr>
              <w:t xml:space="preserve"> in </w:t>
            </w:r>
            <w:r w:rsidRPr="00237F57">
              <w:t>response to intervenors’ concerns.  PG&amp;E stated that</w:t>
            </w:r>
            <w:r w:rsidR="0091551E">
              <w:t>,</w:t>
            </w:r>
            <w:r w:rsidRPr="00237F57">
              <w:t xml:space="preserve"> “Intervenors have questioned several aspects of PG&amp;E’s undergrounding proposal, including the reasonableness of the proposed scope, pace, and costs” and “the adjustment also </w:t>
            </w:r>
            <w:r w:rsidRPr="00237F57">
              <w:lastRenderedPageBreak/>
              <w:t>is consistent with recommendations made by</w:t>
            </w:r>
          </w:p>
          <w:p w:rsidRPr="00237F57" w:rsidR="00E47CE8" w:rsidP="00B059A4" w:rsidRDefault="00E47CE8" w14:paraId="3EA09C76" w14:textId="65A4B652">
            <w:pPr>
              <w:rPr>
                <w:color w:val="000000"/>
              </w:rPr>
            </w:pPr>
            <w:r w:rsidRPr="00237F57">
              <w:t xml:space="preserve">several intervenors for PG&amp;E to reduce the pace and costs of the program during the 2023-2026 GRC period pending further regulatory review.” (PG&amp;E Reply at pp. 327-328).  Wild Tree’s arguments and testimony describing concerns with PG&amp;E’s proposal and arguing that it was not cost effective, risky, and infeasible contributed to PG&amp;E’s decreased underground mile proposal. </w:t>
            </w:r>
          </w:p>
          <w:p w:rsidRPr="00237F57" w:rsidR="00E47CE8" w:rsidP="00B059A4" w:rsidRDefault="00E47CE8" w14:paraId="1F3D465F" w14:textId="77777777">
            <w:pPr>
              <w:rPr>
                <w:color w:val="000000"/>
              </w:rPr>
            </w:pPr>
          </w:p>
          <w:p w:rsidRPr="00237F57" w:rsidR="00662818" w:rsidP="00B059A4" w:rsidRDefault="00E47CE8" w14:paraId="2896EB3A" w14:textId="431B211D">
            <w:pPr>
              <w:rPr>
                <w:color w:val="000000"/>
              </w:rPr>
            </w:pPr>
            <w:r w:rsidRPr="00237F57">
              <w:rPr>
                <w:color w:val="000000"/>
              </w:rPr>
              <w:t xml:space="preserve">The Commission ultimately approved even less underground miles and more </w:t>
            </w:r>
            <w:proofErr w:type="gramStart"/>
            <w:r w:rsidRPr="00237F57">
              <w:rPr>
                <w:color w:val="000000"/>
              </w:rPr>
              <w:t>covered conductor miles</w:t>
            </w:r>
            <w:proofErr w:type="gramEnd"/>
            <w:r w:rsidRPr="00237F57">
              <w:rPr>
                <w:color w:val="000000"/>
              </w:rPr>
              <w:t xml:space="preserve"> than PG&amp;E’s </w:t>
            </w:r>
            <w:r w:rsidRPr="00237F57" w:rsidR="00671F4C">
              <w:rPr>
                <w:color w:val="000000"/>
              </w:rPr>
              <w:t>final</w:t>
            </w:r>
            <w:r w:rsidRPr="00237F57">
              <w:rPr>
                <w:color w:val="000000"/>
              </w:rPr>
              <w:t xml:space="preserve"> proposal.  </w:t>
            </w:r>
          </w:p>
          <w:p w:rsidRPr="00237F57" w:rsidR="00E47CE8" w:rsidP="00B059A4" w:rsidRDefault="00E47CE8" w14:paraId="47BACC0B" w14:textId="77777777">
            <w:pPr>
              <w:rPr>
                <w:color w:val="000000"/>
              </w:rPr>
            </w:pPr>
          </w:p>
          <w:p w:rsidRPr="00237F57" w:rsidR="00662818" w:rsidP="00B059A4" w:rsidRDefault="00E47CE8" w14:paraId="27068D60" w14:textId="5DD1668A">
            <w:pPr>
              <w:rPr>
                <w:color w:val="000000"/>
              </w:rPr>
            </w:pPr>
            <w:r w:rsidRPr="006D1BD9">
              <w:rPr>
                <w:color w:val="000000"/>
              </w:rPr>
              <w:t>In making it determination on system hardening, t</w:t>
            </w:r>
            <w:r w:rsidRPr="006D1BD9" w:rsidR="00662818">
              <w:rPr>
                <w:color w:val="000000"/>
              </w:rPr>
              <w:t>he Decision discussed Wild Tree’s positions on risk, cost effectiveness,</w:t>
            </w:r>
            <w:r w:rsidRPr="006D1BD9" w:rsidR="00C524B5">
              <w:rPr>
                <w:color w:val="000000"/>
              </w:rPr>
              <w:t xml:space="preserve"> and</w:t>
            </w:r>
            <w:r w:rsidRPr="006D1BD9" w:rsidR="00662818">
              <w:rPr>
                <w:color w:val="000000"/>
              </w:rPr>
              <w:t xml:space="preserve"> feasibility</w:t>
            </w:r>
            <w:r w:rsidRPr="006D1BD9" w:rsidR="00C524B5">
              <w:rPr>
                <w:color w:val="000000"/>
              </w:rPr>
              <w:t xml:space="preserve"> of PG&amp;E’s proposal</w:t>
            </w:r>
            <w:r w:rsidRPr="006D1BD9" w:rsidR="00662818">
              <w:rPr>
                <w:color w:val="000000"/>
              </w:rPr>
              <w:t xml:space="preserve">, specifically discussing Wild Tree’s </w:t>
            </w:r>
            <w:r w:rsidRPr="006D1BD9" w:rsidR="0091551E">
              <w:rPr>
                <w:color w:val="000000"/>
              </w:rPr>
              <w:t>arguments about</w:t>
            </w:r>
            <w:r w:rsidRPr="006D1BD9" w:rsidR="00BF71FF">
              <w:rPr>
                <w:color w:val="000000"/>
              </w:rPr>
              <w:t xml:space="preserve"> shifting resources from </w:t>
            </w:r>
            <w:proofErr w:type="gramStart"/>
            <w:r w:rsidRPr="006D1BD9" w:rsidR="00BF71FF">
              <w:rPr>
                <w:color w:val="000000"/>
              </w:rPr>
              <w:t>undergrounding</w:t>
            </w:r>
            <w:proofErr w:type="gramEnd"/>
            <w:r w:rsidRPr="006D1BD9" w:rsidR="00BF71FF">
              <w:rPr>
                <w:color w:val="000000"/>
              </w:rPr>
              <w:t xml:space="preserve"> to covered conductors and </w:t>
            </w:r>
            <w:r w:rsidRPr="006D1BD9" w:rsidR="00BF71FF">
              <w:t>the feasibility of PG&amp;E’s proposal</w:t>
            </w:r>
            <w:r w:rsidRPr="006D1BD9">
              <w:t>s</w:t>
            </w:r>
            <w:r w:rsidRPr="006D1BD9" w:rsidR="00BF71FF">
              <w:t xml:space="preserve"> to construct </w:t>
            </w:r>
            <w:r w:rsidRPr="006D1BD9">
              <w:t xml:space="preserve">3,346 or </w:t>
            </w:r>
            <w:r w:rsidRPr="006D1BD9" w:rsidR="00BF71FF">
              <w:t>2,000 miles of its distribution system underground.</w:t>
            </w:r>
            <w:r w:rsidRPr="00237F57" w:rsidR="00BF71FF">
              <w:t xml:space="preserve">  (Decision at pp. 277, </w:t>
            </w:r>
            <w:r w:rsidRPr="00237F57" w:rsidR="00671F4C">
              <w:t>285.)</w:t>
            </w:r>
          </w:p>
          <w:p w:rsidRPr="00237F57" w:rsidR="00662818" w:rsidP="00B059A4" w:rsidRDefault="00662818" w14:paraId="27DD3113" w14:textId="77777777">
            <w:pPr>
              <w:rPr>
                <w:color w:val="000000"/>
              </w:rPr>
            </w:pPr>
          </w:p>
          <w:p w:rsidRPr="00237F57" w:rsidR="00662818" w:rsidP="00662818" w:rsidRDefault="00662818" w14:paraId="19764DD2" w14:textId="472B771D">
            <w:pPr>
              <w:autoSpaceDE w:val="0"/>
              <w:autoSpaceDN w:val="0"/>
              <w:adjustRightInd w:val="0"/>
            </w:pPr>
            <w:r w:rsidRPr="00237F57">
              <w:t>Wild Tree’s position</w:t>
            </w:r>
            <w:r w:rsidRPr="00237F57" w:rsidR="00B668D3">
              <w:t>s</w:t>
            </w:r>
            <w:r w:rsidRPr="00237F57">
              <w:t xml:space="preserve"> w</w:t>
            </w:r>
            <w:r w:rsidRPr="00237F57" w:rsidR="00B668D3">
              <w:t>ere</w:t>
            </w:r>
            <w:r w:rsidRPr="00237F57">
              <w:t xml:space="preserve"> discussed in the Decision</w:t>
            </w:r>
            <w:r w:rsidRPr="00237F57" w:rsidR="00E47CE8">
              <w:t xml:space="preserve"> and the Commission ultimately adopted intervenor recommendations that less </w:t>
            </w:r>
            <w:proofErr w:type="gramStart"/>
            <w:r w:rsidRPr="00237F57" w:rsidR="00E47CE8">
              <w:t>undergrounding</w:t>
            </w:r>
            <w:proofErr w:type="gramEnd"/>
            <w:r w:rsidRPr="00237F57" w:rsidR="00E47CE8">
              <w:t xml:space="preserve"> and more covered conductors be </w:t>
            </w:r>
            <w:r w:rsidRPr="00237F57" w:rsidR="00E47CE8">
              <w:lastRenderedPageBreak/>
              <w:t xml:space="preserve">approved. </w:t>
            </w:r>
            <w:r w:rsidRPr="00237F57">
              <w:t xml:space="preserve">Wild Tree believes that its participation ensured a thorough analysis on </w:t>
            </w:r>
            <w:r w:rsidRPr="00237F57" w:rsidR="00E47CE8">
              <w:t>system hardening</w:t>
            </w:r>
            <w:r w:rsidRPr="00237F57">
              <w:t xml:space="preserve"> and assisted in providing for a complete record on this issue.  Wild Tree has thus made a substantial contribution to the issue.</w:t>
            </w:r>
          </w:p>
          <w:p w:rsidRPr="00237F57" w:rsidR="00662818" w:rsidP="00B059A4" w:rsidRDefault="00662818" w14:paraId="1B0CC007" w14:textId="6BB06AC2">
            <w:pPr>
              <w:rPr>
                <w:color w:val="000000"/>
              </w:rPr>
            </w:pPr>
          </w:p>
        </w:tc>
        <w:tc>
          <w:tcPr>
            <w:tcW w:w="4140" w:type="dxa"/>
          </w:tcPr>
          <w:p w:rsidRPr="00237F57" w:rsidR="001F3573" w:rsidP="001F3573" w:rsidRDefault="00F66445" w14:paraId="6829558C" w14:textId="06F25FF2">
            <w:pPr>
              <w:rPr>
                <w:color w:val="000000"/>
              </w:rPr>
            </w:pPr>
            <w:r w:rsidRPr="00237F57">
              <w:rPr>
                <w:color w:val="000000"/>
              </w:rPr>
              <w:lastRenderedPageBreak/>
              <w:t xml:space="preserve">In the Decision, the Commission </w:t>
            </w:r>
            <w:r w:rsidRPr="00237F57" w:rsidR="00E22351">
              <w:rPr>
                <w:color w:val="000000"/>
              </w:rPr>
              <w:t>approved 1,230 underground miles and 778 miles of covered conductors</w:t>
            </w:r>
            <w:r w:rsidRPr="00237F57" w:rsidR="00E47CE8">
              <w:rPr>
                <w:color w:val="000000"/>
              </w:rPr>
              <w:t>, a significant decrease of underground miles and increase in covered conductors from PG&amp;E’s various proposals</w:t>
            </w:r>
            <w:r w:rsidRPr="00237F57" w:rsidR="00E22351">
              <w:rPr>
                <w:color w:val="000000"/>
              </w:rPr>
              <w:t xml:space="preserve">.  </w:t>
            </w:r>
            <w:r w:rsidRPr="00237F57" w:rsidR="001F3573">
              <w:rPr>
                <w:color w:val="000000"/>
              </w:rPr>
              <w:t>“</w:t>
            </w:r>
            <w:r w:rsidRPr="00237F57" w:rsidR="001F3573">
              <w:t xml:space="preserve">Overall, based on the significant unknowns and unaddressed concerns regarding PG&amp;E’s ability to successfully implement its proposal in a timely manner together with the steep costs, the Commission finds that PG&amp;E’s $6.4 billion forecast for System Hardening (undergrounding and covered conductor) is unreasonable </w:t>
            </w:r>
            <w:proofErr w:type="gramStart"/>
            <w:r w:rsidRPr="00237F57" w:rsidR="001F3573">
              <w:t>at this point in time</w:t>
            </w:r>
            <w:proofErr w:type="gramEnd"/>
            <w:r w:rsidRPr="00237F57" w:rsidR="001F3573">
              <w:t xml:space="preserve">. </w:t>
            </w:r>
            <w:r w:rsidRPr="00237F57" w:rsidR="001F3573">
              <w:rPr>
                <w:color w:val="000000"/>
              </w:rPr>
              <w:t xml:space="preserve">Instead, the Commission approves a System Hardening forecast consistent with the “hybrid scenario.” This scenario, reducing more wildfire risk at a lower cost with fewer feasibility and timeline risks, is a superior option </w:t>
            </w:r>
            <w:proofErr w:type="gramStart"/>
            <w:r w:rsidRPr="00237F57" w:rsidR="001F3573">
              <w:rPr>
                <w:color w:val="000000"/>
              </w:rPr>
              <w:t>at this time</w:t>
            </w:r>
            <w:proofErr w:type="gramEnd"/>
            <w:r w:rsidRPr="00237F57" w:rsidR="001F3573">
              <w:rPr>
                <w:color w:val="000000"/>
              </w:rPr>
              <w:t xml:space="preserve">.”  </w:t>
            </w:r>
            <w:r w:rsidR="0091551E">
              <w:rPr>
                <w:color w:val="000000"/>
              </w:rPr>
              <w:t>(</w:t>
            </w:r>
            <w:r w:rsidRPr="00237F57" w:rsidR="001F3573">
              <w:rPr>
                <w:color w:val="000000"/>
              </w:rPr>
              <w:t>Decision at p. 296.</w:t>
            </w:r>
            <w:r w:rsidR="0091551E">
              <w:rPr>
                <w:color w:val="000000"/>
              </w:rPr>
              <w:t>)</w:t>
            </w:r>
          </w:p>
          <w:p w:rsidRPr="00237F57" w:rsidR="001F3573" w:rsidP="00073262" w:rsidRDefault="001F3573" w14:paraId="6B5567BD" w14:textId="46799E05">
            <w:pPr>
              <w:rPr>
                <w:color w:val="000000"/>
              </w:rPr>
            </w:pPr>
          </w:p>
          <w:p w:rsidRPr="00237F57" w:rsidR="009A3FC3" w:rsidP="00073262" w:rsidRDefault="009A3FC3" w14:paraId="3610A484" w14:textId="77777777">
            <w:pPr>
              <w:rPr>
                <w:color w:val="000000"/>
              </w:rPr>
            </w:pPr>
          </w:p>
          <w:p w:rsidRPr="00237F57" w:rsidR="009A3FC3" w:rsidP="00073262" w:rsidRDefault="009A3FC3" w14:paraId="1AB0AA27" w14:textId="08D77851">
            <w:r w:rsidRPr="00237F57">
              <w:rPr>
                <w:color w:val="000000"/>
              </w:rPr>
              <w:t>“</w:t>
            </w:r>
            <w:r w:rsidRPr="00237F57">
              <w:t>Similarly, Wild Tree Foundation states that the historically high amount of time and resources PG&amp;E must necessarily spend on undergrounding conversions are time and resources not available to implement proven wildfire mitigation strategies, in particular deployment of covered conductors. (Wild Tree Foundation Ex-01 at 4.)”</w:t>
            </w:r>
            <w:r w:rsidR="0091551E">
              <w:t xml:space="preserve"> (Decision at </w:t>
            </w:r>
            <w:r w:rsidRPr="00237F57">
              <w:t>p. 277</w:t>
            </w:r>
            <w:r w:rsidR="0091551E">
              <w:t>.)</w:t>
            </w:r>
          </w:p>
          <w:p w:rsidRPr="00237F57" w:rsidR="00671F4C" w:rsidP="00073262" w:rsidRDefault="00671F4C" w14:paraId="1727B6E5" w14:textId="69A026A3"/>
          <w:p w:rsidRPr="00237F57" w:rsidR="00671F4C" w:rsidP="00073262" w:rsidRDefault="00671F4C" w14:paraId="3FF724F0" w14:textId="38777B5B"/>
          <w:p w:rsidRPr="00237F57" w:rsidR="00671F4C" w:rsidP="00671F4C" w:rsidRDefault="00671F4C" w14:paraId="3184975C" w14:textId="3270468E">
            <w:r w:rsidRPr="00237F57">
              <w:rPr>
                <w:color w:val="000000"/>
              </w:rPr>
              <w:lastRenderedPageBreak/>
              <w:t>“</w:t>
            </w:r>
            <w:r w:rsidRPr="00237F57">
              <w:t xml:space="preserve">PG&amp;E failed to provide convincing evidence that it can achieve its ambitious construction goals on the proposed timeline of four years which is required to achieve increased system reliability. Failure to place assets underground would mean continued reliance on PSPS and EPSS (in addition to the higher wildfire risk presented by bare overhead wire). At the same time, the impact of aggressive installation of covered conductor, increased maintenance, and new technologies, such as REFCL/Rapid Earth Fault Current Limiter, could similarly decrease reliance on PSPS and EPSS.” </w:t>
            </w:r>
            <w:r w:rsidR="0091551E">
              <w:t>(</w:t>
            </w:r>
            <w:r w:rsidRPr="00237F57">
              <w:t>Decision at pp. 295-296.</w:t>
            </w:r>
            <w:r w:rsidR="0091551E">
              <w:t>)</w:t>
            </w:r>
          </w:p>
          <w:p w:rsidRPr="00237F57" w:rsidR="009A3FC3" w:rsidP="00073262" w:rsidRDefault="009A3FC3" w14:paraId="6AD817CF" w14:textId="77777777">
            <w:pPr>
              <w:rPr>
                <w:color w:val="000000"/>
              </w:rPr>
            </w:pPr>
          </w:p>
          <w:p w:rsidRPr="00237F57" w:rsidR="009A3FC3" w:rsidP="00073262" w:rsidRDefault="009A3FC3" w14:paraId="321D82BD" w14:textId="2F7B4E4B">
            <w:r w:rsidRPr="00237F57">
              <w:rPr>
                <w:color w:val="000000"/>
              </w:rPr>
              <w:t>“</w:t>
            </w:r>
            <w:r w:rsidRPr="00237F57">
              <w:t>Parties raise serious questions about the feasibility of PG&amp;E’s proposal to construct 2,000 miles of its distribution system underground. . . Wild Tree Foundation states that PG&amp;E will not be able to scale up its undergrounding conversions at the pace it claims. (Wild Tree Foundation Ex-01 at 5.) . . . Based on the above, the Commission finds that, while PG&amp;E may intend to underground 2,000 miles in four years, PG&amp;E fails to establish the feasibility of its full proposal to underground 2,000 miles of assets.” (Decision at pp. 285-286.)</w:t>
            </w:r>
          </w:p>
          <w:p w:rsidRPr="00237F57" w:rsidR="009A3FC3" w:rsidP="00073262" w:rsidRDefault="009A3FC3" w14:paraId="287756D5" w14:textId="054AFD14">
            <w:pPr>
              <w:rPr>
                <w:color w:val="000000"/>
              </w:rPr>
            </w:pPr>
          </w:p>
          <w:p w:rsidRPr="00237F57" w:rsidR="009A3FC3" w:rsidP="009A3FC3" w:rsidRDefault="009A3FC3" w14:paraId="56A8BF0A" w14:textId="17E7234F">
            <w:pPr>
              <w:pStyle w:val="Default"/>
            </w:pPr>
            <w:r w:rsidRPr="00237F57">
              <w:t>“</w:t>
            </w:r>
            <w:r w:rsidRPr="00237F57" w:rsidR="001F3573">
              <w:t>I</w:t>
            </w:r>
            <w:r w:rsidRPr="00237F57">
              <w:t xml:space="preserve">n evaluating the arguments and evidence presented on PG&amp;E’s 2023-2026 capital forecast of $6.4 billion for System Hardening, the Commission finds that the evidence and arguments summarized above weigh against approving PG&amp;E’s full request and that PG&amp;E has failed to establish by the preponderance of evidence that its combined forecast for System Hardening ($5.9 billion for </w:t>
            </w:r>
            <w:r w:rsidRPr="00237F57">
              <w:lastRenderedPageBreak/>
              <w:t xml:space="preserve">undergrounding and $517 million for covered conductor) is reasonable. </w:t>
            </w:r>
          </w:p>
          <w:p w:rsidRPr="00237F57" w:rsidR="009A3FC3" w:rsidP="00073262" w:rsidRDefault="009A3FC3" w14:paraId="32133898" w14:textId="6BF8CBE1">
            <w:pPr>
              <w:rPr>
                <w:color w:val="000000"/>
              </w:rPr>
            </w:pPr>
            <w:r w:rsidRPr="00237F57">
              <w:rPr>
                <w:color w:val="000000"/>
              </w:rPr>
              <w:t>Instead, the Commission finds the alternative proposed capital expenditures forecast of $4723 billion associated with the “hybrid scenario,” which combines elements of proposals from PG&amp;E and TURN, to be reasonable because it achieves a balance of risk reduction, feasibility, timeliness, and cost containment.</w:t>
            </w:r>
            <w:r w:rsidRPr="00237F57" w:rsidR="00CC42CD">
              <w:rPr>
                <w:color w:val="000000"/>
              </w:rPr>
              <w:t xml:space="preserve">  </w:t>
            </w:r>
            <w:r w:rsidRPr="00237F57" w:rsidR="00CC42CD">
              <w:t xml:space="preserve">To summarize the discussion above, covered conductor and undergrounding both offer unique benefits and tradeoffs as wildfire mitigation </w:t>
            </w:r>
            <w:proofErr w:type="gramStart"/>
            <w:r w:rsidRPr="00237F57" w:rsidR="00CC42CD">
              <w:t xml:space="preserve">approaches. </w:t>
            </w:r>
            <w:r w:rsidRPr="00237F57" w:rsidR="00671F4C">
              <w:t xml:space="preserve"> .  .</w:t>
            </w:r>
            <w:proofErr w:type="gramEnd"/>
            <w:r w:rsidRPr="00237F57" w:rsidR="00CC42CD">
              <w:t xml:space="preserve"> Covered conductor projects can be completed at a faster pace with significantly less construction </w:t>
            </w:r>
            <w:proofErr w:type="gramStart"/>
            <w:r w:rsidRPr="00237F57" w:rsidR="00CC42CD">
              <w:t>feasibility unknowns</w:t>
            </w:r>
            <w:proofErr w:type="gramEnd"/>
            <w:r w:rsidRPr="00237F57" w:rsidR="00CC42CD">
              <w:t xml:space="preserve"> than </w:t>
            </w:r>
            <w:proofErr w:type="gramStart"/>
            <w:r w:rsidRPr="00237F57" w:rsidR="00CC42CD">
              <w:t>undergrounding</w:t>
            </w:r>
            <w:proofErr w:type="gramEnd"/>
            <w:r w:rsidRPr="00237F57" w:rsidR="00CC42CD">
              <w:t xml:space="preserve"> projects. Covered conductor is a proven mitigation and has been installed on thousands of miles across California. Construction feasibility is a significant concern with PG&amp;E’s 2,000-mile proposal, as unknowns around the availability of material and labor place an unreasonably high level of uncertainty around PG&amp;E’s ability to execute its plans.</w:t>
            </w:r>
            <w:r w:rsidR="0091551E">
              <w:t xml:space="preserve"> </w:t>
            </w:r>
            <w:r w:rsidRPr="00237F57" w:rsidR="00671F4C">
              <w:t xml:space="preserve"> . . .</w:t>
            </w:r>
            <w:r w:rsidRPr="00237F57" w:rsidR="00CC42CD">
              <w:t xml:space="preserve"> The hybrid approach approved here reduces more risk than PG&amp;E’s proposal, at less cost, with fewer unknowns with respect to the feasibility of construction, and with less risk of delay in project completion.  </w:t>
            </w:r>
            <w:r w:rsidR="0091551E">
              <w:t>(</w:t>
            </w:r>
            <w:r w:rsidRPr="00237F57" w:rsidR="00CC42CD">
              <w:t>Decision at pp. 294-295</w:t>
            </w:r>
            <w:r w:rsidR="0091551E">
              <w:t>.)</w:t>
            </w:r>
          </w:p>
          <w:p w:rsidRPr="00237F57" w:rsidR="009A3FC3" w:rsidP="00073262" w:rsidRDefault="009A3FC3" w14:paraId="532F95D2" w14:textId="312D4DED">
            <w:pPr>
              <w:rPr>
                <w:color w:val="000000"/>
              </w:rPr>
            </w:pPr>
          </w:p>
        </w:tc>
        <w:tc>
          <w:tcPr>
            <w:tcW w:w="2340" w:type="dxa"/>
          </w:tcPr>
          <w:p w:rsidRPr="00237F57" w:rsidR="00A92D0B" w:rsidP="00073262" w:rsidRDefault="00081703" w14:paraId="63938BDA" w14:textId="06741DE4">
            <w:pPr>
              <w:rPr>
                <w:color w:val="000000"/>
              </w:rPr>
            </w:pPr>
            <w:r>
              <w:rPr>
                <w:color w:val="000000"/>
              </w:rPr>
              <w:lastRenderedPageBreak/>
              <w:t xml:space="preserve">Noted. </w:t>
            </w:r>
            <w:r w:rsidR="002D2464">
              <w:rPr>
                <w:color w:val="000000"/>
              </w:rPr>
              <w:t>However,</w:t>
            </w:r>
            <w:r>
              <w:rPr>
                <w:color w:val="000000"/>
              </w:rPr>
              <w:t xml:space="preserve"> </w:t>
            </w:r>
            <w:r w:rsidR="0042137E">
              <w:t>See Part III.D, CPUC Comments, Disallowances and Adjustments [5]</w:t>
            </w:r>
            <w:r w:rsidR="00A10ED5">
              <w:t>.</w:t>
            </w:r>
          </w:p>
        </w:tc>
      </w:tr>
    </w:tbl>
    <w:p w:rsidRPr="00237F57" w:rsidR="00A92D0B" w:rsidP="005B5B44" w:rsidRDefault="00A92D0B" w14:paraId="0D4BCD3A" w14:textId="77777777">
      <w:pPr>
        <w:keepNext/>
        <w:numPr>
          <w:ilvl w:val="0"/>
          <w:numId w:val="8"/>
        </w:numPr>
        <w:spacing w:before="240" w:after="240"/>
        <w:rPr>
          <w:b/>
          <w:color w:val="000000"/>
        </w:rPr>
      </w:pPr>
      <w:r w:rsidRPr="00237F57">
        <w:rPr>
          <w:b/>
          <w:color w:val="000000"/>
        </w:rPr>
        <w:lastRenderedPageBreak/>
        <w:t xml:space="preserve">Duplication of Effort (§ 1801.3(f) </w:t>
      </w:r>
      <w:r w:rsidRPr="00237F57" w:rsidR="00F30DA8">
        <w:rPr>
          <w:b/>
          <w:color w:val="000000"/>
        </w:rPr>
        <w:t xml:space="preserve">and § </w:t>
      </w:r>
      <w:r w:rsidRPr="00237F57" w:rsidR="0022302F">
        <w:rPr>
          <w:b/>
          <w:color w:val="000000"/>
        </w:rPr>
        <w:t>1802.5)</w:t>
      </w:r>
      <w:r w:rsidRPr="00237F57"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237F57" w:rsidR="00A92D0B" w:rsidTr="00B71945" w14:paraId="76F3266C" w14:textId="77777777">
        <w:tc>
          <w:tcPr>
            <w:tcW w:w="6048" w:type="dxa"/>
            <w:shd w:val="clear" w:color="auto" w:fill="D9D9D9" w:themeFill="background1" w:themeFillShade="D9"/>
          </w:tcPr>
          <w:p w:rsidRPr="00237F57"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237F57" w:rsidR="00A92D0B" w:rsidP="00073262" w:rsidRDefault="005A63D4" w14:paraId="7B091096" w14:textId="77777777">
            <w:pPr>
              <w:keepNext/>
              <w:keepLines/>
              <w:jc w:val="center"/>
              <w:rPr>
                <w:b/>
                <w:color w:val="000000"/>
              </w:rPr>
            </w:pPr>
            <w:r w:rsidRPr="00237F57">
              <w:rPr>
                <w:b/>
                <w:color w:val="000000"/>
              </w:rPr>
              <w:t>Interveno</w:t>
            </w:r>
            <w:r w:rsidRPr="00237F57" w:rsidR="00204E3A">
              <w:rPr>
                <w:b/>
                <w:color w:val="000000"/>
              </w:rPr>
              <w:t>r</w:t>
            </w:r>
            <w:r w:rsidRPr="00237F57">
              <w:rPr>
                <w:b/>
                <w:color w:val="000000"/>
              </w:rPr>
              <w:t xml:space="preserve">’s </w:t>
            </w:r>
            <w:r w:rsidRPr="00237F57" w:rsidR="00D075B1">
              <w:rPr>
                <w:b/>
                <w:color w:val="000000"/>
              </w:rPr>
              <w:t>Assertion</w:t>
            </w:r>
          </w:p>
        </w:tc>
        <w:tc>
          <w:tcPr>
            <w:tcW w:w="1980" w:type="dxa"/>
            <w:shd w:val="clear" w:color="auto" w:fill="D9D9D9" w:themeFill="background1" w:themeFillShade="D9"/>
          </w:tcPr>
          <w:p w:rsidRPr="00237F57" w:rsidR="00A92D0B" w:rsidP="00073262" w:rsidRDefault="00A92D0B" w14:paraId="25CE5081" w14:textId="77777777">
            <w:pPr>
              <w:keepNext/>
              <w:keepLines/>
              <w:jc w:val="center"/>
              <w:rPr>
                <w:b/>
                <w:color w:val="000000"/>
              </w:rPr>
            </w:pPr>
            <w:r w:rsidRPr="00237F57">
              <w:rPr>
                <w:b/>
                <w:color w:val="000000"/>
              </w:rPr>
              <w:t xml:space="preserve">CPUC </w:t>
            </w:r>
            <w:r w:rsidRPr="00237F57" w:rsidR="00D075B1">
              <w:rPr>
                <w:b/>
                <w:color w:val="000000"/>
              </w:rPr>
              <w:t>Discussion</w:t>
            </w:r>
          </w:p>
        </w:tc>
      </w:tr>
      <w:tr w:rsidRPr="00237F57" w:rsidR="00A92D0B" w:rsidTr="00B71945" w14:paraId="24A12BE1" w14:textId="77777777">
        <w:trPr>
          <w:tblHeader/>
        </w:trPr>
        <w:tc>
          <w:tcPr>
            <w:tcW w:w="6048" w:type="dxa"/>
          </w:tcPr>
          <w:p w:rsidRPr="00237F57" w:rsidR="00A92D0B" w:rsidP="00073262" w:rsidRDefault="00A92D0B" w14:paraId="6915FAF6" w14:textId="075B4CF6">
            <w:pPr>
              <w:keepLines/>
              <w:ind w:left="360" w:hanging="360"/>
              <w:rPr>
                <w:b/>
                <w:color w:val="000000"/>
              </w:rPr>
            </w:pPr>
            <w:r w:rsidRPr="00237F57">
              <w:rPr>
                <w:b/>
                <w:color w:val="000000"/>
              </w:rPr>
              <w:t>a.</w:t>
            </w:r>
            <w:r w:rsidRPr="00237F57">
              <w:rPr>
                <w:b/>
                <w:color w:val="000000"/>
              </w:rPr>
              <w:tab/>
            </w:r>
            <w:r w:rsidRPr="00237F57">
              <w:rPr>
                <w:b/>
              </w:rPr>
              <w:t xml:space="preserve">Was the </w:t>
            </w:r>
            <w:r w:rsidRPr="00237F57" w:rsidR="009E48E4">
              <w:rPr>
                <w:b/>
                <w:color w:val="000000"/>
              </w:rPr>
              <w:t>Public Advocates Office of the Public Utilities Commission</w:t>
            </w:r>
            <w:r w:rsidRPr="00237F57" w:rsidR="009E48E4">
              <w:rPr>
                <w:b/>
              </w:rPr>
              <w:t xml:space="preserve"> </w:t>
            </w:r>
            <w:r w:rsidRPr="00237F57">
              <w:rPr>
                <w:b/>
                <w:color w:val="000000"/>
              </w:rPr>
              <w:t>(</w:t>
            </w:r>
            <w:r w:rsidRPr="00237F57" w:rsidR="00B55D78">
              <w:rPr>
                <w:b/>
                <w:color w:val="000000"/>
              </w:rPr>
              <w:t>Cal Advocates</w:t>
            </w:r>
            <w:r w:rsidRPr="00237F57">
              <w:rPr>
                <w:b/>
              </w:rPr>
              <w:t>) a party to the proceeding</w:t>
            </w:r>
            <w:r w:rsidRPr="00237F57">
              <w:rPr>
                <w:b/>
                <w:color w:val="000000"/>
              </w:rPr>
              <w:t>?</w:t>
            </w:r>
          </w:p>
        </w:tc>
        <w:tc>
          <w:tcPr>
            <w:tcW w:w="1710" w:type="dxa"/>
          </w:tcPr>
          <w:p w:rsidRPr="00237F57" w:rsidR="00A92D0B" w:rsidP="00073262" w:rsidRDefault="000E71A5" w14:paraId="0B49A7C8" w14:textId="0325FC09">
            <w:pPr>
              <w:keepNext/>
              <w:keepLines/>
              <w:rPr>
                <w:color w:val="000000"/>
              </w:rPr>
            </w:pPr>
            <w:r w:rsidRPr="00237F57">
              <w:rPr>
                <w:color w:val="000000"/>
              </w:rPr>
              <w:t>Yes</w:t>
            </w:r>
          </w:p>
        </w:tc>
        <w:tc>
          <w:tcPr>
            <w:tcW w:w="1980" w:type="dxa"/>
          </w:tcPr>
          <w:p w:rsidRPr="0065713E" w:rsidR="0065713E" w:rsidP="005D440C" w:rsidRDefault="0065713E" w14:paraId="23B6532A" w14:textId="372005BF">
            <w:pPr>
              <w:keepNext/>
              <w:keepLines/>
            </w:pPr>
            <w:r>
              <w:rPr>
                <w:color w:val="000000"/>
              </w:rPr>
              <w:t>Verified</w:t>
            </w:r>
          </w:p>
        </w:tc>
      </w:tr>
      <w:tr w:rsidRPr="00237F57" w:rsidR="00A92D0B" w:rsidTr="00B71945" w14:paraId="3317BD71" w14:textId="77777777">
        <w:tc>
          <w:tcPr>
            <w:tcW w:w="6048" w:type="dxa"/>
          </w:tcPr>
          <w:p w:rsidRPr="00237F57" w:rsidR="00A92D0B" w:rsidP="00073262" w:rsidRDefault="00A92D0B" w14:paraId="561D245D" w14:textId="77777777">
            <w:pPr>
              <w:tabs>
                <w:tab w:val="left" w:pos="360"/>
              </w:tabs>
              <w:ind w:left="360" w:hanging="360"/>
              <w:rPr>
                <w:b/>
                <w:color w:val="000000"/>
              </w:rPr>
            </w:pPr>
            <w:r w:rsidRPr="00237F57">
              <w:rPr>
                <w:b/>
                <w:color w:val="000000"/>
              </w:rPr>
              <w:lastRenderedPageBreak/>
              <w:t>b.</w:t>
            </w:r>
            <w:r w:rsidRPr="00237F57">
              <w:rPr>
                <w:b/>
                <w:color w:val="000000"/>
              </w:rPr>
              <w:tab/>
              <w:t xml:space="preserve">Were there other parties to </w:t>
            </w:r>
            <w:proofErr w:type="gramStart"/>
            <w:r w:rsidRPr="00237F57">
              <w:rPr>
                <w:b/>
                <w:color w:val="000000"/>
              </w:rPr>
              <w:t>the proceeding</w:t>
            </w:r>
            <w:proofErr w:type="gramEnd"/>
            <w:r w:rsidRPr="00237F57">
              <w:rPr>
                <w:b/>
                <w:color w:val="000000"/>
              </w:rPr>
              <w:t xml:space="preserve"> with positions </w:t>
            </w:r>
            <w:proofErr w:type="gramStart"/>
            <w:r w:rsidRPr="00237F57">
              <w:rPr>
                <w:b/>
                <w:color w:val="000000"/>
              </w:rPr>
              <w:t>similar to</w:t>
            </w:r>
            <w:proofErr w:type="gramEnd"/>
            <w:r w:rsidRPr="00237F57">
              <w:rPr>
                <w:b/>
                <w:color w:val="000000"/>
              </w:rPr>
              <w:t xml:space="preserve"> yours? </w:t>
            </w:r>
          </w:p>
        </w:tc>
        <w:tc>
          <w:tcPr>
            <w:tcW w:w="1710" w:type="dxa"/>
          </w:tcPr>
          <w:p w:rsidRPr="00237F57" w:rsidR="00A92D0B" w:rsidP="00073262" w:rsidRDefault="000E71A5" w14:paraId="3708E485" w14:textId="03A614D2">
            <w:pPr>
              <w:rPr>
                <w:color w:val="000000"/>
              </w:rPr>
            </w:pPr>
            <w:r w:rsidRPr="00237F57">
              <w:rPr>
                <w:color w:val="000000"/>
              </w:rPr>
              <w:t>Yes</w:t>
            </w:r>
          </w:p>
        </w:tc>
        <w:tc>
          <w:tcPr>
            <w:tcW w:w="1980" w:type="dxa"/>
          </w:tcPr>
          <w:p w:rsidRPr="00237F57" w:rsidR="00A92D0B" w:rsidP="00073262" w:rsidRDefault="0065713E" w14:paraId="6B3388E6" w14:textId="4EA6F778">
            <w:pPr>
              <w:rPr>
                <w:color w:val="000000"/>
              </w:rPr>
            </w:pPr>
            <w:r>
              <w:rPr>
                <w:color w:val="000000"/>
              </w:rPr>
              <w:t>Verified</w:t>
            </w:r>
          </w:p>
        </w:tc>
      </w:tr>
      <w:tr w:rsidRPr="00237F57" w:rsidR="00A92D0B" w:rsidTr="00193BC7" w14:paraId="0A51B7D4" w14:textId="77777777">
        <w:tc>
          <w:tcPr>
            <w:tcW w:w="7758" w:type="dxa"/>
            <w:gridSpan w:val="2"/>
          </w:tcPr>
          <w:p w:rsidRPr="00237F57" w:rsidR="00A92D0B" w:rsidP="00073262" w:rsidRDefault="00A92D0B" w14:paraId="30CB6275" w14:textId="7D63B4F2">
            <w:pPr>
              <w:ind w:left="360" w:hanging="360"/>
              <w:rPr>
                <w:color w:val="000000"/>
              </w:rPr>
            </w:pPr>
            <w:proofErr w:type="gramStart"/>
            <w:r w:rsidRPr="00237F57">
              <w:rPr>
                <w:b/>
                <w:color w:val="000000"/>
              </w:rPr>
              <w:t>c.</w:t>
            </w:r>
            <w:r w:rsidRPr="00237F57">
              <w:rPr>
                <w:b/>
                <w:color w:val="000000"/>
              </w:rPr>
              <w:tab/>
              <w:t>If</w:t>
            </w:r>
            <w:proofErr w:type="gramEnd"/>
            <w:r w:rsidRPr="00237F57">
              <w:rPr>
                <w:b/>
                <w:color w:val="000000"/>
              </w:rPr>
              <w:t xml:space="preserve"> so, provide name of other parties:</w:t>
            </w:r>
            <w:r w:rsidRPr="00237F57" w:rsidR="00E25078">
              <w:rPr>
                <w:color w:val="000000"/>
              </w:rPr>
              <w:t xml:space="preserve"> </w:t>
            </w:r>
          </w:p>
          <w:p w:rsidRPr="00237F57" w:rsidR="00A92D0B" w:rsidP="005D440C" w:rsidRDefault="001718C2" w14:paraId="0919176B" w14:textId="6B145DB1">
            <w:pPr>
              <w:ind w:left="68"/>
              <w:rPr>
                <w:color w:val="000000"/>
              </w:rPr>
            </w:pPr>
            <w:r w:rsidRPr="00237F57">
              <w:t>TURN, Wild Tree Foundation, MGRA, AARP, AT&amp;T, Comcast, California Farm Bureau Federation.</w:t>
            </w:r>
          </w:p>
        </w:tc>
        <w:tc>
          <w:tcPr>
            <w:tcW w:w="1980" w:type="dxa"/>
            <w:tcBorders>
              <w:bottom w:val="single" w:color="auto" w:sz="4" w:space="0"/>
            </w:tcBorders>
          </w:tcPr>
          <w:p w:rsidRPr="00237F57" w:rsidR="00A92D0B" w:rsidP="00073262" w:rsidRDefault="0065713E" w14:paraId="22A40B49" w14:textId="73843C5B">
            <w:pPr>
              <w:rPr>
                <w:color w:val="000000"/>
              </w:rPr>
            </w:pPr>
            <w:r>
              <w:rPr>
                <w:color w:val="000000"/>
              </w:rPr>
              <w:t>Noted</w:t>
            </w:r>
          </w:p>
        </w:tc>
      </w:tr>
      <w:tr w:rsidRPr="00237F57" w:rsidR="00A92D0B" w:rsidTr="00193BC7" w14:paraId="744830F5" w14:textId="77777777">
        <w:tc>
          <w:tcPr>
            <w:tcW w:w="7758" w:type="dxa"/>
            <w:gridSpan w:val="2"/>
          </w:tcPr>
          <w:p w:rsidRPr="00237F57" w:rsidR="00A92D0B" w:rsidP="00073262" w:rsidRDefault="00A92D0B" w14:paraId="7C05FE5A" w14:textId="7521972E">
            <w:pPr>
              <w:tabs>
                <w:tab w:val="left" w:pos="360"/>
              </w:tabs>
              <w:ind w:left="360" w:hanging="360"/>
              <w:rPr>
                <w:color w:val="000000"/>
              </w:rPr>
            </w:pPr>
            <w:r w:rsidRPr="00237F57">
              <w:rPr>
                <w:b/>
                <w:color w:val="000000"/>
              </w:rPr>
              <w:t>d.</w:t>
            </w:r>
            <w:r w:rsidRPr="00237F57">
              <w:rPr>
                <w:b/>
                <w:color w:val="000000"/>
              </w:rPr>
              <w:tab/>
            </w:r>
            <w:r w:rsidRPr="00237F57" w:rsidR="00D075B1">
              <w:rPr>
                <w:b/>
                <w:color w:val="000000"/>
              </w:rPr>
              <w:t xml:space="preserve">Intervenor’s </w:t>
            </w:r>
            <w:r w:rsidRPr="00237F57" w:rsidR="00A319DE">
              <w:rPr>
                <w:b/>
                <w:color w:val="000000"/>
              </w:rPr>
              <w:t>c</w:t>
            </w:r>
            <w:r w:rsidRPr="00237F57" w:rsidR="00D075B1">
              <w:rPr>
                <w:b/>
                <w:color w:val="000000"/>
              </w:rPr>
              <w:t xml:space="preserve">laim of </w:t>
            </w:r>
            <w:r w:rsidRPr="00237F57" w:rsidR="00A319DE">
              <w:rPr>
                <w:b/>
                <w:color w:val="000000"/>
              </w:rPr>
              <w:t>n</w:t>
            </w:r>
            <w:r w:rsidRPr="00237F57" w:rsidR="00D075B1">
              <w:rPr>
                <w:b/>
                <w:color w:val="000000"/>
              </w:rPr>
              <w:t>on-</w:t>
            </w:r>
            <w:r w:rsidRPr="00237F57" w:rsidR="00A319DE">
              <w:rPr>
                <w:b/>
                <w:color w:val="000000"/>
              </w:rPr>
              <w:t>d</w:t>
            </w:r>
            <w:r w:rsidRPr="00237F57" w:rsidR="00D075B1">
              <w:rPr>
                <w:b/>
                <w:color w:val="000000"/>
              </w:rPr>
              <w:t>uplication:</w:t>
            </w:r>
            <w:r w:rsidRPr="00237F57" w:rsidR="00E25078">
              <w:rPr>
                <w:color w:val="000000"/>
              </w:rPr>
              <w:t xml:space="preserve"> </w:t>
            </w:r>
          </w:p>
          <w:p w:rsidRPr="00237F57" w:rsidR="004C1596" w:rsidP="00521F23" w:rsidRDefault="00E81F25" w14:paraId="5C9877B8" w14:textId="44CD0164">
            <w:pPr>
              <w:tabs>
                <w:tab w:val="left" w:pos="247"/>
              </w:tabs>
            </w:pPr>
            <w:r w:rsidRPr="00237F57">
              <w:rPr>
                <w:color w:val="000000"/>
              </w:rPr>
              <w:t xml:space="preserve">Wild Tree shared the position with </w:t>
            </w:r>
            <w:r w:rsidRPr="00237F57" w:rsidR="00067F04">
              <w:rPr>
                <w:color w:val="000000"/>
              </w:rPr>
              <w:t xml:space="preserve">several </w:t>
            </w:r>
            <w:r w:rsidRPr="00237F57">
              <w:rPr>
                <w:color w:val="000000"/>
              </w:rPr>
              <w:t xml:space="preserve">other intervenors that PG&amp;E’s undergrounding proposal was </w:t>
            </w:r>
            <w:proofErr w:type="gramStart"/>
            <w:r w:rsidRPr="00237F57" w:rsidR="00067F04">
              <w:rPr>
                <w:color w:val="000000"/>
              </w:rPr>
              <w:t>unreasonable</w:t>
            </w:r>
            <w:proofErr w:type="gramEnd"/>
            <w:r w:rsidRPr="00237F57">
              <w:rPr>
                <w:color w:val="000000"/>
              </w:rPr>
              <w:t xml:space="preserve"> and the Commission</w:t>
            </w:r>
            <w:r w:rsidRPr="00237F57" w:rsidR="00067F04">
              <w:rPr>
                <w:color w:val="000000"/>
              </w:rPr>
              <w:t xml:space="preserve"> should not approve it and should instead focus resources elsewhere.  While there was overlap in </w:t>
            </w:r>
            <w:proofErr w:type="gramStart"/>
            <w:r w:rsidRPr="00237F57" w:rsidR="00067F04">
              <w:rPr>
                <w:color w:val="000000"/>
              </w:rPr>
              <w:t>parties</w:t>
            </w:r>
            <w:proofErr w:type="gramEnd"/>
            <w:r w:rsidRPr="00237F57" w:rsidR="00067F04">
              <w:rPr>
                <w:color w:val="000000"/>
              </w:rPr>
              <w:t xml:space="preserve"> positions and </w:t>
            </w:r>
            <w:proofErr w:type="gramStart"/>
            <w:r w:rsidRPr="00237F57" w:rsidR="00067F04">
              <w:rPr>
                <w:color w:val="000000"/>
              </w:rPr>
              <w:t>recommendation</w:t>
            </w:r>
            <w:proofErr w:type="gramEnd"/>
            <w:r w:rsidRPr="00237F57" w:rsidR="00067F04">
              <w:rPr>
                <w:color w:val="000000"/>
              </w:rPr>
              <w:t>, there were differences in the approaches taken and specific arguments.  For example, the Farm Bureau focused on use of microgrids as alternative to undergrounding and Comcast and AT&amp;T focuses on issue of impact</w:t>
            </w:r>
            <w:r w:rsidRPr="00237F57" w:rsidR="004C1596">
              <w:rPr>
                <w:color w:val="000000"/>
              </w:rPr>
              <w:t>s</w:t>
            </w:r>
            <w:r w:rsidRPr="00237F57" w:rsidR="00067F04">
              <w:rPr>
                <w:color w:val="000000"/>
              </w:rPr>
              <w:t xml:space="preserve"> </w:t>
            </w:r>
            <w:r w:rsidRPr="00237F57" w:rsidR="004C1596">
              <w:rPr>
                <w:color w:val="000000"/>
              </w:rPr>
              <w:t xml:space="preserve">of undergrounding </w:t>
            </w:r>
            <w:r w:rsidRPr="00237F57" w:rsidR="00067F04">
              <w:rPr>
                <w:color w:val="000000"/>
              </w:rPr>
              <w:t>on co-located telecommunications on existing poles</w:t>
            </w:r>
            <w:r w:rsidR="0091551E">
              <w:rPr>
                <w:color w:val="000000"/>
              </w:rPr>
              <w:t>, approaches which Wild Tree did not share</w:t>
            </w:r>
            <w:r w:rsidRPr="00237F57" w:rsidR="00067F04">
              <w:rPr>
                <w:color w:val="000000"/>
              </w:rPr>
              <w:t xml:space="preserve">.  </w:t>
            </w:r>
            <w:r w:rsidRPr="00237F57" w:rsidR="00067F04">
              <w:t xml:space="preserve">The variety of analyses and arguments from the intervenors enhanced and supplemented the record as well as the discussions in the final decision.  </w:t>
            </w:r>
            <w:r w:rsidRPr="00237F57" w:rsidR="004C1596">
              <w:t>Wild Tree did represent its own positions and provided unique testimony and argument as to the legal and factual grounds upon which the</w:t>
            </w:r>
            <w:r w:rsidRPr="00237F57" w:rsidR="00D631BB">
              <w:t xml:space="preserve"> system hardening proposal </w:t>
            </w:r>
            <w:r w:rsidRPr="00237F57" w:rsidR="004C1596">
              <w:t xml:space="preserve">should </w:t>
            </w:r>
            <w:proofErr w:type="gramStart"/>
            <w:r w:rsidRPr="00237F57" w:rsidR="004C1596">
              <w:t xml:space="preserve">be </w:t>
            </w:r>
            <w:r w:rsidRPr="00237F57" w:rsidR="00D631BB">
              <w:t>not</w:t>
            </w:r>
            <w:proofErr w:type="gramEnd"/>
            <w:r w:rsidRPr="00237F57" w:rsidR="00D631BB">
              <w:t xml:space="preserve"> adopted</w:t>
            </w:r>
            <w:r w:rsidRPr="00237F57" w:rsidR="004C1596">
              <w:t>.</w:t>
            </w:r>
          </w:p>
          <w:p w:rsidRPr="00237F57" w:rsidR="00D631BB" w:rsidP="00521F23" w:rsidRDefault="00D631BB" w14:paraId="3F150276" w14:textId="77777777">
            <w:pPr>
              <w:tabs>
                <w:tab w:val="left" w:pos="247"/>
              </w:tabs>
            </w:pPr>
          </w:p>
          <w:p w:rsidRPr="00237F57" w:rsidR="00A33090" w:rsidP="0091551E" w:rsidRDefault="00605EC5" w14:paraId="2FE0F87E" w14:textId="5A21207F">
            <w:pPr>
              <w:tabs>
                <w:tab w:val="left" w:pos="247"/>
              </w:tabs>
              <w:rPr>
                <w:color w:val="000000"/>
              </w:rPr>
            </w:pPr>
            <w:r w:rsidRPr="00237F57">
              <w:rPr>
                <w:color w:val="000000"/>
              </w:rPr>
              <w:t>Wild Tree</w:t>
            </w:r>
            <w:r w:rsidRPr="00237F57" w:rsidR="00067F04">
              <w:rPr>
                <w:color w:val="000000"/>
              </w:rPr>
              <w:t xml:space="preserve"> </w:t>
            </w:r>
            <w:r w:rsidRPr="00237F57" w:rsidR="004C1596">
              <w:rPr>
                <w:color w:val="000000"/>
              </w:rPr>
              <w:t xml:space="preserve">further </w:t>
            </w:r>
            <w:r w:rsidRPr="00237F57" w:rsidR="00067F04">
              <w:rPr>
                <w:color w:val="000000"/>
              </w:rPr>
              <w:t>sought to limit duplication of efforts by</w:t>
            </w:r>
            <w:r w:rsidRPr="00237F57" w:rsidR="00B446A7">
              <w:rPr>
                <w:color w:val="000000"/>
              </w:rPr>
              <w:t xml:space="preserve"> limit</w:t>
            </w:r>
            <w:r w:rsidRPr="00237F57" w:rsidR="00067F04">
              <w:rPr>
                <w:color w:val="000000"/>
              </w:rPr>
              <w:t>ing</w:t>
            </w:r>
            <w:r w:rsidRPr="00237F57" w:rsidR="00B446A7">
              <w:rPr>
                <w:color w:val="000000"/>
              </w:rPr>
              <w:t xml:space="preserve"> its participation </w:t>
            </w:r>
            <w:r w:rsidRPr="00237F57" w:rsidR="00067F04">
              <w:rPr>
                <w:color w:val="000000"/>
              </w:rPr>
              <w:t xml:space="preserve">in the proceeding. Wild Tree participated in the proceeding only on the issue of system hardening and did so in as efficient a manner as possible.  For example, Wild Tree negotiated stipulation to entry of </w:t>
            </w:r>
            <w:r w:rsidRPr="00237F57" w:rsidR="004C1596">
              <w:rPr>
                <w:color w:val="000000"/>
              </w:rPr>
              <w:t>its</w:t>
            </w:r>
            <w:r w:rsidRPr="00237F57" w:rsidR="00067F04">
              <w:rPr>
                <w:color w:val="000000"/>
              </w:rPr>
              <w:t xml:space="preserve"> exhibits in lieu of cross examination to </w:t>
            </w:r>
            <w:r w:rsidRPr="00237F57" w:rsidR="004C1596">
              <w:rPr>
                <w:color w:val="000000"/>
              </w:rPr>
              <w:t xml:space="preserve">decrease time and resources spent on evidentiary hearings and coordinated with other like-minded intervenors on using its stipulated exhibits to decrease their </w:t>
            </w:r>
            <w:proofErr w:type="gramStart"/>
            <w:r w:rsidRPr="00237F57" w:rsidR="004C1596">
              <w:rPr>
                <w:color w:val="000000"/>
              </w:rPr>
              <w:t>cross examination</w:t>
            </w:r>
            <w:proofErr w:type="gramEnd"/>
            <w:r w:rsidRPr="00237F57" w:rsidR="004C1596">
              <w:rPr>
                <w:color w:val="000000"/>
              </w:rPr>
              <w:t xml:space="preserve"> time.  </w:t>
            </w:r>
            <w:r w:rsidRPr="00237F57" w:rsidR="004E3D3C">
              <w:t>Any duplication of efforts was minor and therefore reasonable</w:t>
            </w:r>
            <w:r w:rsidRPr="00237F57" w:rsidR="00521F23">
              <w:t xml:space="preserve"> and Wild Tree’s contribution to the proceeding did not result in duplication of efforts</w:t>
            </w:r>
            <w:r w:rsidRPr="00237F57" w:rsidR="004E3D3C">
              <w:t xml:space="preserve">. </w:t>
            </w:r>
          </w:p>
          <w:p w:rsidRPr="00237F57" w:rsidR="00A92D0B" w:rsidP="00073262" w:rsidRDefault="00A92D0B" w14:paraId="3228BB07" w14:textId="77777777">
            <w:pPr>
              <w:tabs>
                <w:tab w:val="left" w:pos="360"/>
              </w:tabs>
              <w:ind w:left="360" w:hanging="360"/>
              <w:rPr>
                <w:color w:val="000000"/>
              </w:rPr>
            </w:pPr>
          </w:p>
        </w:tc>
        <w:tc>
          <w:tcPr>
            <w:tcW w:w="1980" w:type="dxa"/>
            <w:tcBorders>
              <w:bottom w:val="nil"/>
            </w:tcBorders>
          </w:tcPr>
          <w:p w:rsidRPr="00237F57" w:rsidR="00A92D0B" w:rsidP="00DC37F1" w:rsidRDefault="00B71945" w14:paraId="5F9BBA55" w14:textId="2120D31B">
            <w:pPr>
              <w:tabs>
                <w:tab w:val="left" w:pos="360"/>
              </w:tabs>
              <w:rPr>
                <w:color w:val="000000"/>
              </w:rPr>
            </w:pPr>
            <w:r>
              <w:rPr>
                <w:color w:val="000000"/>
              </w:rPr>
              <w:t>Noted</w:t>
            </w:r>
            <w:r w:rsidR="00193BC7">
              <w:rPr>
                <w:color w:val="000000"/>
              </w:rPr>
              <w:t xml:space="preserve">; </w:t>
            </w:r>
            <w:r w:rsidRPr="00DC37F1" w:rsidR="00193BC7">
              <w:rPr>
                <w:i/>
                <w:iCs/>
                <w:color w:val="000000"/>
              </w:rPr>
              <w:t>See</w:t>
            </w:r>
            <w:r w:rsidRPr="00193BC7" w:rsidR="00193BC7">
              <w:rPr>
                <w:color w:val="000000"/>
              </w:rPr>
              <w:t xml:space="preserve"> Part</w:t>
            </w:r>
            <w:r w:rsidR="00193BC7">
              <w:rPr>
                <w:color w:val="000000"/>
              </w:rPr>
              <w:t xml:space="preserve"> </w:t>
            </w:r>
            <w:r w:rsidRPr="00193BC7" w:rsidR="00193BC7">
              <w:rPr>
                <w:color w:val="000000"/>
              </w:rPr>
              <w:t>III.D, CPUC Comments, Disallowances and</w:t>
            </w:r>
            <w:r w:rsidR="00DC37F1">
              <w:rPr>
                <w:color w:val="000000"/>
              </w:rPr>
              <w:t xml:space="preserve"> </w:t>
            </w:r>
            <w:r w:rsidRPr="00193BC7" w:rsidR="00193BC7">
              <w:rPr>
                <w:color w:val="000000"/>
              </w:rPr>
              <w:t>Adjustments</w:t>
            </w:r>
            <w:r w:rsidR="00DC37F1">
              <w:rPr>
                <w:color w:val="000000"/>
              </w:rPr>
              <w:t xml:space="preserve"> [5]</w:t>
            </w:r>
            <w:r w:rsidRPr="00193BC7" w:rsidR="00193BC7">
              <w:rPr>
                <w:color w:val="000000"/>
              </w:rPr>
              <w:t>.</w:t>
            </w:r>
          </w:p>
        </w:tc>
      </w:tr>
    </w:tbl>
    <w:p w:rsidRPr="00237F57" w:rsidR="00B312DA" w:rsidP="005B5B44" w:rsidRDefault="00A92D0B" w14:paraId="175C3F89" w14:textId="2332EACB">
      <w:pPr>
        <w:keepNext/>
        <w:tabs>
          <w:tab w:val="left" w:pos="1260"/>
        </w:tabs>
        <w:spacing w:before="480"/>
        <w:ind w:left="1267" w:hanging="1267"/>
        <w:jc w:val="center"/>
        <w:rPr>
          <w:b/>
          <w:color w:val="000000"/>
        </w:rPr>
      </w:pPr>
      <w:r w:rsidRPr="00237F57">
        <w:rPr>
          <w:b/>
          <w:color w:val="000000"/>
        </w:rPr>
        <w:t>PART III</w:t>
      </w:r>
      <w:r w:rsidRPr="00237F57" w:rsidR="008F01C9">
        <w:rPr>
          <w:b/>
          <w:color w:val="000000"/>
        </w:rPr>
        <w:t>: REASONABLENESS</w:t>
      </w:r>
      <w:r w:rsidRPr="00237F57">
        <w:rPr>
          <w:b/>
          <w:color w:val="000000"/>
        </w:rPr>
        <w:t xml:space="preserve"> OF REQUESTED COMPENSATION</w:t>
      </w:r>
    </w:p>
    <w:p w:rsidRPr="00237F57" w:rsidR="00A92D0B" w:rsidP="005B5B44" w:rsidRDefault="00A92D0B" w14:paraId="6F74DAE2" w14:textId="77777777">
      <w:pPr>
        <w:keepNext/>
        <w:numPr>
          <w:ilvl w:val="0"/>
          <w:numId w:val="9"/>
        </w:numPr>
        <w:spacing w:before="240" w:after="240"/>
        <w:rPr>
          <w:b/>
          <w:color w:val="000000"/>
        </w:rPr>
      </w:pPr>
      <w:r w:rsidRPr="00237F57">
        <w:rPr>
          <w:b/>
          <w:color w:val="000000"/>
        </w:rPr>
        <w:t xml:space="preserve">General Claim of Reasonableness </w:t>
      </w:r>
      <w:r w:rsidRPr="00237F57" w:rsidR="00F30DA8">
        <w:rPr>
          <w:b/>
          <w:color w:val="000000"/>
        </w:rPr>
        <w:t xml:space="preserve">(§ </w:t>
      </w:r>
      <w:r w:rsidRPr="00237F57">
        <w:rPr>
          <w:b/>
          <w:color w:val="000000"/>
        </w:rPr>
        <w:t xml:space="preserve">1801 </w:t>
      </w:r>
      <w:r w:rsidRPr="00237F57" w:rsidR="00F30DA8">
        <w:rPr>
          <w:b/>
          <w:color w:val="000000"/>
        </w:rPr>
        <w:t>and §</w:t>
      </w:r>
      <w:r w:rsidRPr="00237F57" w:rsidR="0022302F">
        <w:rPr>
          <w:b/>
          <w:color w:val="000000"/>
        </w:rPr>
        <w:t xml:space="preserve"> 1806)</w:t>
      </w:r>
      <w:r w:rsidRPr="00237F57"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237F57"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237F57" w:rsidR="00FE3BAE" w:rsidP="00EC6387" w:rsidRDefault="00FE3BAE" w14:paraId="70FDF5DA" w14:textId="77777777">
            <w:pPr>
              <w:rPr>
                <w:b/>
                <w:color w:val="000000"/>
              </w:rPr>
            </w:pPr>
          </w:p>
        </w:tc>
        <w:tc>
          <w:tcPr>
            <w:tcW w:w="2250" w:type="dxa"/>
            <w:shd w:val="clear" w:color="auto" w:fill="D9D9D9" w:themeFill="background1" w:themeFillShade="D9"/>
          </w:tcPr>
          <w:p w:rsidRPr="00237F57" w:rsidR="00FE3BAE" w:rsidP="00EC6387" w:rsidRDefault="00FE3BAE" w14:paraId="59CD9FCF" w14:textId="77777777">
            <w:pPr>
              <w:rPr>
                <w:color w:val="000000"/>
              </w:rPr>
            </w:pPr>
            <w:r w:rsidRPr="00237F57">
              <w:rPr>
                <w:b/>
                <w:color w:val="000000"/>
              </w:rPr>
              <w:t>CPUC Discussion</w:t>
            </w:r>
          </w:p>
        </w:tc>
      </w:tr>
      <w:tr w:rsidRPr="00237F57" w:rsidR="00FE3BAE" w:rsidTr="00B71945" w14:paraId="5708510E" w14:textId="77777777">
        <w:tc>
          <w:tcPr>
            <w:tcW w:w="7488" w:type="dxa"/>
            <w:tcBorders>
              <w:bottom w:val="single" w:color="auto" w:sz="4" w:space="0"/>
            </w:tcBorders>
          </w:tcPr>
          <w:p w:rsidRPr="00237F57" w:rsidR="00FE3BAE" w:rsidP="00EC6387" w:rsidRDefault="00FE3BAE" w14:paraId="707F9932" w14:textId="24B1B5E0">
            <w:pPr>
              <w:rPr>
                <w:color w:val="000000"/>
              </w:rPr>
            </w:pPr>
            <w:r w:rsidRPr="00237F57">
              <w:rPr>
                <w:b/>
                <w:color w:val="000000"/>
              </w:rPr>
              <w:t>a. Intervenor’s claim of cost reasonableness:</w:t>
            </w:r>
            <w:r w:rsidRPr="00237F57" w:rsidR="00E25078">
              <w:rPr>
                <w:color w:val="000000"/>
              </w:rPr>
              <w:t xml:space="preserve"> </w:t>
            </w:r>
          </w:p>
          <w:p w:rsidRPr="00237F57" w:rsidR="00691528" w:rsidP="00EC6387" w:rsidRDefault="00691528" w14:paraId="6A25116A" w14:textId="77777777">
            <w:pPr>
              <w:rPr>
                <w:color w:val="000000"/>
              </w:rPr>
            </w:pPr>
          </w:p>
          <w:p w:rsidRPr="00237F57" w:rsidR="00B84D29" w:rsidP="00B84D29" w:rsidRDefault="000E71A5" w14:paraId="01F2D95C" w14:textId="00F5688B">
            <w:pPr>
              <w:rPr>
                <w:color w:val="000000"/>
              </w:rPr>
            </w:pPr>
            <w:r w:rsidRPr="00237F57">
              <w:rPr>
                <w:color w:val="000000"/>
              </w:rPr>
              <w:t>Wild Tree</w:t>
            </w:r>
            <w:r w:rsidRPr="00237F57" w:rsidR="00B84D29">
              <w:rPr>
                <w:color w:val="000000"/>
              </w:rPr>
              <w:t>’s</w:t>
            </w:r>
            <w:r w:rsidRPr="00237F57">
              <w:rPr>
                <w:color w:val="000000"/>
              </w:rPr>
              <w:t xml:space="preserve"> request </w:t>
            </w:r>
            <w:r w:rsidRPr="00237F57" w:rsidR="008A5321">
              <w:rPr>
                <w:color w:val="000000"/>
              </w:rPr>
              <w:t xml:space="preserve">for </w:t>
            </w:r>
            <w:r w:rsidRPr="00237F57">
              <w:rPr>
                <w:color w:val="000000"/>
              </w:rPr>
              <w:t xml:space="preserve">intervenor compensation </w:t>
            </w:r>
            <w:r w:rsidRPr="00237F57" w:rsidR="008A5321">
              <w:rPr>
                <w:color w:val="000000"/>
              </w:rPr>
              <w:t xml:space="preserve">seeks an award </w:t>
            </w:r>
            <w:proofErr w:type="gramStart"/>
            <w:r w:rsidRPr="00237F57" w:rsidR="008A5321">
              <w:rPr>
                <w:color w:val="000000"/>
              </w:rPr>
              <w:t xml:space="preserve">of  </w:t>
            </w:r>
            <w:r w:rsidRPr="00237F57" w:rsidR="004663BE">
              <w:rPr>
                <w:color w:val="000000"/>
              </w:rPr>
              <w:t>$</w:t>
            </w:r>
            <w:proofErr w:type="gramEnd"/>
            <w:r w:rsidRPr="00237F57" w:rsidR="004663BE">
              <w:rPr>
                <w:color w:val="000000"/>
              </w:rPr>
              <w:t>29,335.50</w:t>
            </w:r>
            <w:r w:rsidRPr="00237F57" w:rsidR="008A5321">
              <w:rPr>
                <w:color w:val="000000"/>
              </w:rPr>
              <w:t xml:space="preserve"> as the reasonable cost of participation in this proceeding</w:t>
            </w:r>
            <w:r w:rsidRPr="00237F57">
              <w:rPr>
                <w:color w:val="000000"/>
              </w:rPr>
              <w:t>.</w:t>
            </w:r>
            <w:r w:rsidRPr="00237F57" w:rsidR="004C1596">
              <w:rPr>
                <w:color w:val="000000"/>
              </w:rPr>
              <w:t xml:space="preserve">  </w:t>
            </w:r>
            <w:r w:rsidRPr="00237F57">
              <w:rPr>
                <w:color w:val="000000"/>
              </w:rPr>
              <w:t xml:space="preserve">Wild Tree’s costs are </w:t>
            </w:r>
            <w:r w:rsidRPr="00237F57" w:rsidR="00AD4594">
              <w:rPr>
                <w:color w:val="000000"/>
              </w:rPr>
              <w:t xml:space="preserve">therefore </w:t>
            </w:r>
            <w:r w:rsidRPr="00237F57">
              <w:rPr>
                <w:color w:val="000000"/>
              </w:rPr>
              <w:t xml:space="preserve">reasonable </w:t>
            </w:r>
            <w:proofErr w:type="gramStart"/>
            <w:r w:rsidRPr="00237F57">
              <w:rPr>
                <w:color w:val="000000"/>
              </w:rPr>
              <w:t>in light of</w:t>
            </w:r>
            <w:proofErr w:type="gramEnd"/>
            <w:r w:rsidRPr="00237F57">
              <w:rPr>
                <w:color w:val="000000"/>
              </w:rPr>
              <w:t xml:space="preserve"> the amount of time, resources, and effort Wild Tree put into the </w:t>
            </w:r>
            <w:proofErr w:type="gramStart"/>
            <w:r w:rsidRPr="00237F57">
              <w:rPr>
                <w:color w:val="000000"/>
              </w:rPr>
              <w:t>proceeding</w:t>
            </w:r>
            <w:proofErr w:type="gramEnd"/>
            <w:r w:rsidRPr="00237F57">
              <w:rPr>
                <w:color w:val="000000"/>
              </w:rPr>
              <w:t xml:space="preserve"> as a party.</w:t>
            </w:r>
            <w:r w:rsidRPr="00237F57" w:rsidR="00B84D29">
              <w:rPr>
                <w:color w:val="000000"/>
              </w:rPr>
              <w:t xml:space="preserve">  Given the </w:t>
            </w:r>
            <w:r w:rsidRPr="00237F57" w:rsidR="00B84D29">
              <w:t xml:space="preserve">novelty of the </w:t>
            </w:r>
            <w:r w:rsidRPr="00237F57" w:rsidR="004C1596">
              <w:t>undergrounding proposal,</w:t>
            </w:r>
            <w:r w:rsidRPr="00237F57" w:rsidR="00B84D29">
              <w:t xml:space="preserve"> the quality of Wild Tree’s </w:t>
            </w:r>
            <w:r w:rsidRPr="00237F57" w:rsidR="00B84D29">
              <w:lastRenderedPageBreak/>
              <w:t>work and the importance of the outcome, the Commission should be able to determine that Wild Tree’s request is reasonable.</w:t>
            </w:r>
          </w:p>
          <w:p w:rsidRPr="00237F57" w:rsidR="00FE3BAE" w:rsidP="006475E5" w:rsidRDefault="00FE3BAE" w14:paraId="2B1A1242" w14:textId="77777777">
            <w:pPr>
              <w:rPr>
                <w:color w:val="000000"/>
              </w:rPr>
            </w:pPr>
          </w:p>
        </w:tc>
        <w:tc>
          <w:tcPr>
            <w:tcW w:w="2250" w:type="dxa"/>
          </w:tcPr>
          <w:p w:rsidRPr="00237F57" w:rsidR="00FE3BAE" w:rsidP="00EC6387" w:rsidRDefault="00B71945" w14:paraId="223B4665" w14:textId="1E0551F9">
            <w:pPr>
              <w:rPr>
                <w:color w:val="000000"/>
              </w:rPr>
            </w:pPr>
            <w:r>
              <w:rPr>
                <w:color w:val="000000"/>
              </w:rPr>
              <w:lastRenderedPageBreak/>
              <w:t>Noted</w:t>
            </w:r>
          </w:p>
        </w:tc>
      </w:tr>
      <w:tr w:rsidRPr="00237F57" w:rsidR="00FE3BAE" w:rsidTr="00B71945" w14:paraId="5548029C" w14:textId="77777777">
        <w:tc>
          <w:tcPr>
            <w:tcW w:w="7488" w:type="dxa"/>
          </w:tcPr>
          <w:p w:rsidRPr="00237F57" w:rsidR="00FE3BAE" w:rsidP="00EC6387" w:rsidRDefault="00FE3BAE" w14:paraId="751A610C" w14:textId="509B1715">
            <w:pPr>
              <w:rPr>
                <w:color w:val="000000"/>
              </w:rPr>
            </w:pPr>
            <w:r w:rsidRPr="00237F57">
              <w:rPr>
                <w:b/>
                <w:color w:val="000000"/>
              </w:rPr>
              <w:t>b. Reasonableness of hours claimed:</w:t>
            </w:r>
            <w:r w:rsidRPr="00237F57" w:rsidR="00E25078">
              <w:rPr>
                <w:color w:val="000000"/>
              </w:rPr>
              <w:t xml:space="preserve"> </w:t>
            </w:r>
          </w:p>
          <w:p w:rsidRPr="00237F57" w:rsidR="00FE3BAE" w:rsidP="00EC6387" w:rsidRDefault="00FE3BAE" w14:paraId="1009F6D5" w14:textId="48528539">
            <w:pPr>
              <w:rPr>
                <w:color w:val="000000"/>
              </w:rPr>
            </w:pPr>
          </w:p>
          <w:p w:rsidRPr="00237F57" w:rsidR="00F41652" w:rsidP="00EC6387" w:rsidRDefault="00B84D29" w14:paraId="20DE1D2E" w14:textId="4C084BE3">
            <w:r w:rsidRPr="00237F57">
              <w:rPr>
                <w:color w:val="000000"/>
              </w:rPr>
              <w:t xml:space="preserve">Wild Tree </w:t>
            </w:r>
            <w:proofErr w:type="gramStart"/>
            <w:r w:rsidRPr="00237F57">
              <w:rPr>
                <w:color w:val="000000"/>
              </w:rPr>
              <w:t>seek</w:t>
            </w:r>
            <w:proofErr w:type="gramEnd"/>
            <w:r w:rsidRPr="00237F57">
              <w:rPr>
                <w:color w:val="000000"/>
              </w:rPr>
              <w:t xml:space="preserve"> compensation for a total of </w:t>
            </w:r>
            <w:r w:rsidRPr="00237F57" w:rsidR="00F41652">
              <w:rPr>
                <w:color w:val="000000"/>
              </w:rPr>
              <w:t>57.23</w:t>
            </w:r>
            <w:r w:rsidRPr="00237F57">
              <w:rPr>
                <w:color w:val="000000"/>
              </w:rPr>
              <w:t xml:space="preserve"> hours of substantive work in this proceeding.  Wild Tree </w:t>
            </w:r>
            <w:r w:rsidRPr="00237F57">
              <w:t xml:space="preserve">spent a reasonable and prudent amount of time on this matter, working diligently </w:t>
            </w:r>
            <w:r w:rsidRPr="00237F57" w:rsidR="00D631BB">
              <w:t xml:space="preserve">to </w:t>
            </w:r>
            <w:r w:rsidRPr="00237F57">
              <w:t xml:space="preserve">address </w:t>
            </w:r>
            <w:r w:rsidRPr="00237F57" w:rsidR="00D631BB">
              <w:t xml:space="preserve">a </w:t>
            </w:r>
            <w:r w:rsidRPr="00237F57">
              <w:t>complicated issue in an efficient and expedient manner</w:t>
            </w:r>
            <w:r w:rsidRPr="00237F57" w:rsidR="00F41652">
              <w:t>.</w:t>
            </w:r>
            <w:r w:rsidRPr="00237F57" w:rsidR="00B3431E">
              <w:t xml:space="preserve">  </w:t>
            </w:r>
            <w:r w:rsidRPr="00237F57" w:rsidR="00A160B7">
              <w:rPr>
                <w:color w:val="000000"/>
              </w:rPr>
              <w:t>Wild Tree limited the time and resources it spent on the proceeding by stream</w:t>
            </w:r>
            <w:r w:rsidR="0091551E">
              <w:rPr>
                <w:color w:val="000000"/>
              </w:rPr>
              <w:t>-</w:t>
            </w:r>
            <w:r w:rsidRPr="00237F57" w:rsidR="00A160B7">
              <w:rPr>
                <w:color w:val="000000"/>
              </w:rPr>
              <w:t>lining its participation in the proceeding. Wild Tree participated in the proceeding only on the issue of system hardening and did so in as efficient a manner as possible</w:t>
            </w:r>
            <w:r w:rsidRPr="00237F57" w:rsidR="00D804C7">
              <w:rPr>
                <w:color w:val="000000"/>
              </w:rPr>
              <w:t>, focusing its efforts on testimony and briefing</w:t>
            </w:r>
            <w:r w:rsidRPr="00237F57" w:rsidR="00A160B7">
              <w:rPr>
                <w:color w:val="000000"/>
              </w:rPr>
              <w:t xml:space="preserve">. </w:t>
            </w:r>
            <w:r w:rsidRPr="00237F57" w:rsidR="00777E94">
              <w:t>A single in-house attorne</w:t>
            </w:r>
            <w:r w:rsidRPr="00237F57" w:rsidR="00A160B7">
              <w:t>y</w:t>
            </w:r>
            <w:r w:rsidRPr="00237F57" w:rsidR="00777E94">
              <w:t xml:space="preserve">, who is also Wild Tree Foundation’s Legal Director, experienced in practice before the Commission, drafted all filings for Wild Tree thereby leveraging many years of experience and expertise while limiting its attorney costs. </w:t>
            </w:r>
            <w:r w:rsidRPr="00237F57" w:rsidR="00B3431E">
              <w:t xml:space="preserve">A single expert authored </w:t>
            </w:r>
            <w:r w:rsidRPr="00237F57" w:rsidR="00697469">
              <w:t xml:space="preserve">focused and succinct </w:t>
            </w:r>
            <w:r w:rsidRPr="00237F57" w:rsidR="00B3431E">
              <w:t xml:space="preserve">testimony </w:t>
            </w:r>
            <w:r w:rsidRPr="00237F57" w:rsidR="00697469">
              <w:t>on behalf of Wild Tree</w:t>
            </w:r>
            <w:r w:rsidRPr="00237F57" w:rsidR="001B3685">
              <w:t>, thereby limiting its expert costs.</w:t>
            </w:r>
          </w:p>
          <w:p w:rsidRPr="00237F57" w:rsidR="00691528" w:rsidP="00F41652" w:rsidRDefault="00691528" w14:paraId="694F0B63" w14:textId="77777777">
            <w:pPr>
              <w:rPr>
                <w:color w:val="000000"/>
              </w:rPr>
            </w:pPr>
          </w:p>
        </w:tc>
        <w:tc>
          <w:tcPr>
            <w:tcW w:w="2250" w:type="dxa"/>
          </w:tcPr>
          <w:p w:rsidRPr="00237F57" w:rsidR="00FE3BAE" w:rsidP="00EC6387" w:rsidRDefault="00B71945" w14:paraId="1874D625" w14:textId="7DC819BA">
            <w:pPr>
              <w:rPr>
                <w:color w:val="000000"/>
              </w:rPr>
            </w:pPr>
            <w:r>
              <w:rPr>
                <w:color w:val="000000"/>
              </w:rPr>
              <w:t>Noted</w:t>
            </w:r>
          </w:p>
        </w:tc>
      </w:tr>
      <w:tr w:rsidRPr="00237F57" w:rsidR="00FE3BAE" w:rsidTr="00B71945" w14:paraId="3FD38B74" w14:textId="77777777">
        <w:tc>
          <w:tcPr>
            <w:tcW w:w="7488" w:type="dxa"/>
          </w:tcPr>
          <w:p w:rsidRPr="00237F57" w:rsidR="00FE3BAE" w:rsidP="00EC6387" w:rsidRDefault="00FE3BAE" w14:paraId="46990B37" w14:textId="569E5E0F">
            <w:pPr>
              <w:rPr>
                <w:color w:val="000000"/>
              </w:rPr>
            </w:pPr>
            <w:r w:rsidRPr="00237F57">
              <w:rPr>
                <w:b/>
                <w:color w:val="000000"/>
              </w:rPr>
              <w:t>c. Allocation of hours by issue:</w:t>
            </w:r>
            <w:r w:rsidRPr="00237F57" w:rsidR="00E25078">
              <w:rPr>
                <w:color w:val="000000"/>
              </w:rPr>
              <w:t xml:space="preserve"> </w:t>
            </w:r>
          </w:p>
          <w:p w:rsidRPr="00237F57" w:rsidR="00777E94" w:rsidP="00EC6387" w:rsidRDefault="00777E94" w14:paraId="2DFE5280" w14:textId="4F032F54">
            <w:pPr>
              <w:rPr>
                <w:color w:val="000000"/>
              </w:rPr>
            </w:pPr>
          </w:p>
          <w:p w:rsidRPr="00237F57" w:rsidR="00F41652" w:rsidP="00EC6387" w:rsidRDefault="006475E5" w14:paraId="33A7E2B0" w14:textId="33A8D4BD">
            <w:pPr>
              <w:rPr>
                <w:color w:val="000000"/>
              </w:rPr>
            </w:pPr>
            <w:r w:rsidRPr="00237F57">
              <w:rPr>
                <w:color w:val="000000"/>
              </w:rPr>
              <w:t xml:space="preserve">Wild Tree’s work was 100% on the issue of System Hardening </w:t>
            </w:r>
          </w:p>
          <w:p w:rsidRPr="00237F57" w:rsidR="00D631BB" w:rsidP="00EC6387" w:rsidRDefault="00D631BB" w14:paraId="68A4C622" w14:textId="3AB3C04B">
            <w:pPr>
              <w:rPr>
                <w:color w:val="000000"/>
              </w:rPr>
            </w:pPr>
          </w:p>
          <w:p w:rsidRPr="00237F57" w:rsidR="00D631BB" w:rsidP="00EC6387" w:rsidRDefault="00D631BB" w14:paraId="1CE4D12B" w14:textId="799802FB">
            <w:pPr>
              <w:rPr>
                <w:color w:val="000000"/>
              </w:rPr>
            </w:pPr>
          </w:p>
          <w:tbl>
            <w:tblPr>
              <w:tblW w:w="6988" w:type="dxa"/>
              <w:tblLayout w:type="fixed"/>
              <w:tblLook w:val="04A0" w:firstRow="1" w:lastRow="0" w:firstColumn="1" w:lastColumn="0" w:noHBand="0" w:noVBand="1"/>
            </w:tblPr>
            <w:tblGrid>
              <w:gridCol w:w="1048"/>
              <w:gridCol w:w="3960"/>
              <w:gridCol w:w="1980"/>
            </w:tblGrid>
            <w:tr w:rsidRPr="0092597E" w:rsidR="0091551E" w:rsidTr="0091551E" w14:paraId="4C44F3D1" w14:textId="77777777">
              <w:trPr>
                <w:trHeight w:val="285"/>
              </w:trPr>
              <w:tc>
                <w:tcPr>
                  <w:tcW w:w="1048" w:type="dxa"/>
                  <w:tcBorders>
                    <w:top w:val="single" w:color="auto" w:sz="4" w:space="0"/>
                    <w:left w:val="single" w:color="auto" w:sz="4" w:space="0"/>
                    <w:bottom w:val="single" w:color="auto" w:sz="4" w:space="0"/>
                    <w:right w:val="single" w:color="auto" w:sz="4" w:space="0"/>
                  </w:tcBorders>
                  <w:hideMark/>
                </w:tcPr>
                <w:p w:rsidRPr="0092597E" w:rsidR="00D631BB" w:rsidP="00D631BB" w:rsidRDefault="00D631BB" w14:paraId="7038A7E9" w14:textId="77777777">
                  <w:pPr>
                    <w:rPr>
                      <w:b/>
                      <w:bCs/>
                      <w:color w:val="000000"/>
                    </w:rPr>
                  </w:pPr>
                  <w:r w:rsidRPr="0092597E">
                    <w:rPr>
                      <w:b/>
                      <w:bCs/>
                      <w:color w:val="000000"/>
                    </w:rPr>
                    <w:t>ISSUE CODE</w:t>
                  </w:r>
                </w:p>
              </w:tc>
              <w:tc>
                <w:tcPr>
                  <w:tcW w:w="3960" w:type="dxa"/>
                  <w:tcBorders>
                    <w:top w:val="single" w:color="auto" w:sz="4" w:space="0"/>
                    <w:left w:val="nil"/>
                    <w:bottom w:val="single" w:color="auto" w:sz="4" w:space="0"/>
                    <w:right w:val="single" w:color="auto" w:sz="4" w:space="0"/>
                  </w:tcBorders>
                  <w:hideMark/>
                </w:tcPr>
                <w:p w:rsidRPr="0092597E" w:rsidR="00D631BB" w:rsidP="00D631BB" w:rsidRDefault="00D631BB" w14:paraId="488E7A0C" w14:textId="77777777">
                  <w:pPr>
                    <w:rPr>
                      <w:b/>
                      <w:bCs/>
                      <w:color w:val="000000"/>
                    </w:rPr>
                  </w:pPr>
                  <w:r w:rsidRPr="0092597E">
                    <w:rPr>
                      <w:b/>
                      <w:bCs/>
                      <w:color w:val="000000"/>
                    </w:rPr>
                    <w:t>DESCRIPTION</w:t>
                  </w:r>
                </w:p>
              </w:tc>
              <w:tc>
                <w:tcPr>
                  <w:tcW w:w="1980" w:type="dxa"/>
                  <w:tcBorders>
                    <w:top w:val="single" w:color="auto" w:sz="4" w:space="0"/>
                    <w:left w:val="nil"/>
                    <w:bottom w:val="single" w:color="auto" w:sz="4" w:space="0"/>
                    <w:right w:val="single" w:color="auto" w:sz="4" w:space="0"/>
                  </w:tcBorders>
                  <w:hideMark/>
                </w:tcPr>
                <w:p w:rsidRPr="0092597E" w:rsidR="00D631BB" w:rsidP="00D631BB" w:rsidRDefault="00D631BB" w14:paraId="1CED077C" w14:textId="77777777">
                  <w:pPr>
                    <w:rPr>
                      <w:b/>
                      <w:bCs/>
                      <w:color w:val="000000"/>
                    </w:rPr>
                  </w:pPr>
                  <w:r w:rsidRPr="00237F57">
                    <w:rPr>
                      <w:b/>
                      <w:bCs/>
                      <w:color w:val="000000"/>
                    </w:rPr>
                    <w:t>ALLOCATION</w:t>
                  </w:r>
                </w:p>
              </w:tc>
            </w:tr>
            <w:tr w:rsidRPr="0092597E" w:rsidR="0091551E" w:rsidTr="0091551E" w14:paraId="022A8123" w14:textId="77777777">
              <w:trPr>
                <w:trHeight w:val="855"/>
              </w:trPr>
              <w:tc>
                <w:tcPr>
                  <w:tcW w:w="1048" w:type="dxa"/>
                  <w:tcBorders>
                    <w:top w:val="nil"/>
                    <w:left w:val="single" w:color="auto" w:sz="4" w:space="0"/>
                    <w:bottom w:val="single" w:color="auto" w:sz="4" w:space="0"/>
                    <w:right w:val="single" w:color="auto" w:sz="4" w:space="0"/>
                  </w:tcBorders>
                  <w:hideMark/>
                </w:tcPr>
                <w:p w:rsidRPr="0092597E" w:rsidR="00D631BB" w:rsidP="00D631BB" w:rsidRDefault="00D631BB" w14:paraId="0C4A759E" w14:textId="77777777">
                  <w:pPr>
                    <w:rPr>
                      <w:color w:val="000000"/>
                    </w:rPr>
                  </w:pPr>
                  <w:r w:rsidRPr="0092597E">
                    <w:rPr>
                      <w:color w:val="000000"/>
                    </w:rPr>
                    <w:t>SH</w:t>
                  </w:r>
                </w:p>
              </w:tc>
              <w:tc>
                <w:tcPr>
                  <w:tcW w:w="3960" w:type="dxa"/>
                  <w:tcBorders>
                    <w:top w:val="nil"/>
                    <w:left w:val="nil"/>
                    <w:bottom w:val="single" w:color="auto" w:sz="4" w:space="0"/>
                    <w:right w:val="single" w:color="auto" w:sz="4" w:space="0"/>
                  </w:tcBorders>
                  <w:hideMark/>
                </w:tcPr>
                <w:p w:rsidRPr="0092597E" w:rsidR="00D631BB" w:rsidP="00D631BB" w:rsidRDefault="00D631BB" w14:paraId="1F8ED5F6" w14:textId="77777777">
                  <w:pPr>
                    <w:rPr>
                      <w:color w:val="000000"/>
                    </w:rPr>
                  </w:pPr>
                  <w:r w:rsidRPr="0092597E">
                    <w:rPr>
                      <w:color w:val="000000"/>
                    </w:rPr>
                    <w:t xml:space="preserve">System hardening - work related to addressing reasonableness of PG&amp;E's system hardening proposal specifically miles planned for </w:t>
                  </w:r>
                  <w:proofErr w:type="gramStart"/>
                  <w:r w:rsidRPr="0092597E">
                    <w:rPr>
                      <w:color w:val="000000"/>
                    </w:rPr>
                    <w:t>undergrounding</w:t>
                  </w:r>
                  <w:proofErr w:type="gramEnd"/>
                  <w:r w:rsidRPr="0092597E">
                    <w:rPr>
                      <w:color w:val="000000"/>
                    </w:rPr>
                    <w:t xml:space="preserve"> and covered conductors</w:t>
                  </w:r>
                </w:p>
              </w:tc>
              <w:tc>
                <w:tcPr>
                  <w:tcW w:w="1980" w:type="dxa"/>
                  <w:tcBorders>
                    <w:top w:val="nil"/>
                    <w:left w:val="nil"/>
                    <w:bottom w:val="single" w:color="auto" w:sz="4" w:space="0"/>
                    <w:right w:val="single" w:color="auto" w:sz="4" w:space="0"/>
                  </w:tcBorders>
                  <w:hideMark/>
                </w:tcPr>
                <w:p w:rsidRPr="0092597E" w:rsidR="00D631BB" w:rsidP="00D631BB" w:rsidRDefault="00D631BB" w14:paraId="45B3149C" w14:textId="77777777">
                  <w:pPr>
                    <w:jc w:val="right"/>
                    <w:rPr>
                      <w:color w:val="000000"/>
                    </w:rPr>
                  </w:pPr>
                  <w:r w:rsidRPr="00237F57">
                    <w:rPr>
                      <w:color w:val="000000"/>
                    </w:rPr>
                    <w:t>100%</w:t>
                  </w:r>
                </w:p>
              </w:tc>
            </w:tr>
          </w:tbl>
          <w:p w:rsidRPr="00237F57" w:rsidR="00D631BB" w:rsidP="00EC6387" w:rsidRDefault="00D631BB" w14:paraId="268AED06" w14:textId="77777777">
            <w:pPr>
              <w:rPr>
                <w:color w:val="000000"/>
              </w:rPr>
            </w:pPr>
          </w:p>
          <w:p w:rsidRPr="00237F57" w:rsidR="00691528" w:rsidP="00EC6387" w:rsidRDefault="00691528" w14:paraId="3285939A" w14:textId="77777777">
            <w:pPr>
              <w:rPr>
                <w:color w:val="000000"/>
              </w:rPr>
            </w:pPr>
          </w:p>
        </w:tc>
        <w:tc>
          <w:tcPr>
            <w:tcW w:w="2250" w:type="dxa"/>
          </w:tcPr>
          <w:p w:rsidRPr="00237F57" w:rsidR="00FE3BAE" w:rsidP="00EC6387" w:rsidRDefault="00B71945" w14:paraId="497C4799" w14:textId="034F87B5">
            <w:pPr>
              <w:rPr>
                <w:color w:val="000000"/>
              </w:rPr>
            </w:pPr>
            <w:r>
              <w:rPr>
                <w:color w:val="000000"/>
              </w:rPr>
              <w:t>Noted</w:t>
            </w:r>
            <w:r w:rsidR="00636C84">
              <w:rPr>
                <w:color w:val="000000"/>
              </w:rPr>
              <w:t>; total</w:t>
            </w:r>
            <w:r w:rsidR="00DC37F1">
              <w:rPr>
                <w:color w:val="000000"/>
              </w:rPr>
              <w:t>s</w:t>
            </w:r>
            <w:r w:rsidR="00636C84">
              <w:rPr>
                <w:color w:val="000000"/>
              </w:rPr>
              <w:t xml:space="preserve"> 100</w:t>
            </w:r>
            <w:r w:rsidR="00364EB8">
              <w:rPr>
                <w:color w:val="000000"/>
              </w:rPr>
              <w:t>%.</w:t>
            </w:r>
          </w:p>
        </w:tc>
      </w:tr>
    </w:tbl>
    <w:p w:rsidRPr="00237F57" w:rsidR="00A92D0B" w:rsidP="005B5B44" w:rsidRDefault="00A92D0B" w14:paraId="710BC7D6" w14:textId="0A2428A3">
      <w:pPr>
        <w:keepNext/>
        <w:numPr>
          <w:ilvl w:val="0"/>
          <w:numId w:val="9"/>
        </w:numPr>
        <w:spacing w:before="240" w:after="240"/>
        <w:rPr>
          <w:b/>
          <w:color w:val="000000"/>
        </w:rPr>
      </w:pPr>
      <w:r w:rsidRPr="00237F57">
        <w:rPr>
          <w:b/>
          <w:color w:val="000000"/>
        </w:rPr>
        <w:lastRenderedPageBreak/>
        <w:t xml:space="preserve">Specific </w:t>
      </w:r>
      <w:r w:rsidRPr="00237F57" w:rsidR="008F01C9">
        <w:rPr>
          <w:b/>
          <w:color w:val="000000"/>
        </w:rPr>
        <w:t>Claim: *</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810"/>
        <w:gridCol w:w="537"/>
        <w:gridCol w:w="363"/>
        <w:gridCol w:w="900"/>
        <w:gridCol w:w="646"/>
        <w:gridCol w:w="1154"/>
        <w:gridCol w:w="1137"/>
        <w:gridCol w:w="286"/>
        <w:gridCol w:w="955"/>
        <w:gridCol w:w="1146"/>
        <w:gridCol w:w="1881"/>
      </w:tblGrid>
      <w:tr w:rsidRPr="00237F57" w:rsidR="00A92D0B" w:rsidTr="00B71945" w14:paraId="780664A2" w14:textId="77777777">
        <w:trPr>
          <w:jc w:val="center"/>
        </w:trPr>
        <w:tc>
          <w:tcPr>
            <w:tcW w:w="7178" w:type="dxa"/>
            <w:gridSpan w:val="9"/>
            <w:tcBorders>
              <w:bottom w:val="single" w:color="auto" w:sz="4" w:space="0"/>
              <w:right w:val="single" w:color="auto" w:sz="24" w:space="0"/>
            </w:tcBorders>
          </w:tcPr>
          <w:p w:rsidRPr="00237F57" w:rsidR="00A92D0B" w:rsidP="00DE3A5D" w:rsidRDefault="00A92D0B" w14:paraId="6BFE54DA" w14:textId="77777777">
            <w:pPr>
              <w:keepNext/>
              <w:keepLines/>
              <w:spacing w:before="60" w:after="60"/>
              <w:jc w:val="center"/>
              <w:rPr>
                <w:b/>
                <w:smallCaps/>
                <w:color w:val="000000"/>
              </w:rPr>
            </w:pPr>
            <w:r w:rsidRPr="00237F57">
              <w:rPr>
                <w:b/>
                <w:smallCaps/>
                <w:color w:val="000000"/>
              </w:rPr>
              <w:t>Claimed</w:t>
            </w:r>
          </w:p>
        </w:tc>
        <w:tc>
          <w:tcPr>
            <w:tcW w:w="3982" w:type="dxa"/>
            <w:gridSpan w:val="3"/>
            <w:tcBorders>
              <w:left w:val="single" w:color="auto" w:sz="24" w:space="0"/>
              <w:bottom w:val="single" w:color="auto" w:sz="4" w:space="0"/>
            </w:tcBorders>
          </w:tcPr>
          <w:p w:rsidRPr="00237F57" w:rsidR="00A92D0B" w:rsidP="00DE3A5D" w:rsidRDefault="00A92D0B" w14:paraId="170A0FA1" w14:textId="77777777">
            <w:pPr>
              <w:keepNext/>
              <w:keepLines/>
              <w:spacing w:before="60" w:after="60"/>
              <w:jc w:val="center"/>
              <w:rPr>
                <w:b/>
                <w:smallCaps/>
                <w:color w:val="000000"/>
              </w:rPr>
            </w:pPr>
            <w:r w:rsidRPr="00237F57">
              <w:rPr>
                <w:b/>
                <w:smallCaps/>
                <w:color w:val="000000"/>
              </w:rPr>
              <w:t>CPUC Award</w:t>
            </w:r>
          </w:p>
        </w:tc>
      </w:tr>
      <w:tr w:rsidRPr="00237F57" w:rsidR="00A92D0B" w:rsidTr="0074153F"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37F57" w:rsidR="00A92D0B" w:rsidP="00DE3A5D" w:rsidRDefault="00A92D0B" w14:paraId="284F9031" w14:textId="77777777">
            <w:pPr>
              <w:keepNext/>
              <w:keepLines/>
              <w:spacing w:before="60" w:after="60"/>
              <w:jc w:val="center"/>
              <w:rPr>
                <w:b/>
              </w:rPr>
            </w:pPr>
            <w:r w:rsidRPr="00237F57">
              <w:rPr>
                <w:b/>
              </w:rPr>
              <w:t>ATTORNEY, EXPERT, AND ADVOCATE FEES</w:t>
            </w:r>
          </w:p>
        </w:tc>
      </w:tr>
      <w:tr w:rsidRPr="00237F57" w:rsidR="00A92D0B" w:rsidTr="0065713E" w14:paraId="5A70C962" w14:textId="77777777">
        <w:trPr>
          <w:jc w:val="center"/>
        </w:trPr>
        <w:tc>
          <w:tcPr>
            <w:tcW w:w="1345" w:type="dxa"/>
            <w:tcBorders>
              <w:top w:val="single" w:color="auto" w:sz="4" w:space="0"/>
              <w:bottom w:val="single" w:color="auto" w:sz="4" w:space="0"/>
            </w:tcBorders>
            <w:vAlign w:val="bottom"/>
          </w:tcPr>
          <w:p w:rsidRPr="00237F57" w:rsidR="00A92D0B" w:rsidP="003B6A1B" w:rsidRDefault="00A92D0B" w14:paraId="41646676" w14:textId="77777777">
            <w:pPr>
              <w:keepNext/>
              <w:keepLines/>
              <w:spacing w:before="60" w:after="60"/>
              <w:jc w:val="center"/>
              <w:rPr>
                <w:b/>
                <w:color w:val="000000"/>
              </w:rPr>
            </w:pPr>
            <w:r w:rsidRPr="00237F57">
              <w:rPr>
                <w:b/>
                <w:color w:val="000000"/>
              </w:rPr>
              <w:t>Item</w:t>
            </w:r>
          </w:p>
        </w:tc>
        <w:tc>
          <w:tcPr>
            <w:tcW w:w="810" w:type="dxa"/>
            <w:tcBorders>
              <w:top w:val="single" w:color="auto" w:sz="4" w:space="0"/>
              <w:bottom w:val="single" w:color="auto" w:sz="4" w:space="0"/>
            </w:tcBorders>
            <w:vAlign w:val="bottom"/>
          </w:tcPr>
          <w:p w:rsidRPr="00237F57" w:rsidR="00A92D0B" w:rsidP="003B6A1B" w:rsidRDefault="00A92D0B" w14:paraId="43BB9941" w14:textId="77777777">
            <w:pPr>
              <w:keepNext/>
              <w:keepLines/>
              <w:spacing w:before="60" w:after="60"/>
              <w:jc w:val="center"/>
              <w:rPr>
                <w:b/>
                <w:color w:val="000000"/>
              </w:rPr>
            </w:pPr>
            <w:r w:rsidRPr="00237F57">
              <w:rPr>
                <w:b/>
                <w:color w:val="000000"/>
              </w:rPr>
              <w:t>Year</w:t>
            </w:r>
          </w:p>
        </w:tc>
        <w:tc>
          <w:tcPr>
            <w:tcW w:w="900" w:type="dxa"/>
            <w:gridSpan w:val="2"/>
            <w:tcBorders>
              <w:top w:val="single" w:color="auto" w:sz="4" w:space="0"/>
              <w:bottom w:val="single" w:color="auto" w:sz="4" w:space="0"/>
            </w:tcBorders>
            <w:vAlign w:val="bottom"/>
          </w:tcPr>
          <w:p w:rsidRPr="00237F57" w:rsidR="00A92D0B" w:rsidP="003B6A1B" w:rsidRDefault="00A92D0B" w14:paraId="0EF32B08" w14:textId="77777777">
            <w:pPr>
              <w:keepNext/>
              <w:keepLines/>
              <w:spacing w:before="60" w:after="60"/>
              <w:jc w:val="center"/>
              <w:rPr>
                <w:b/>
                <w:color w:val="000000"/>
              </w:rPr>
            </w:pPr>
            <w:r w:rsidRPr="00237F57">
              <w:rPr>
                <w:b/>
                <w:color w:val="000000"/>
              </w:rPr>
              <w:t>Hours</w:t>
            </w:r>
          </w:p>
        </w:tc>
        <w:tc>
          <w:tcPr>
            <w:tcW w:w="900" w:type="dxa"/>
            <w:tcBorders>
              <w:top w:val="single" w:color="auto" w:sz="4" w:space="0"/>
              <w:bottom w:val="single" w:color="auto" w:sz="4" w:space="0"/>
            </w:tcBorders>
            <w:vAlign w:val="bottom"/>
          </w:tcPr>
          <w:p w:rsidRPr="00237F57" w:rsidR="00A92D0B" w:rsidP="003B6A1B" w:rsidRDefault="00A92D0B" w14:paraId="21C69246" w14:textId="77777777">
            <w:pPr>
              <w:keepNext/>
              <w:keepLines/>
              <w:spacing w:before="60" w:after="60"/>
              <w:jc w:val="center"/>
              <w:rPr>
                <w:b/>
                <w:color w:val="000000"/>
              </w:rPr>
            </w:pPr>
            <w:r w:rsidRPr="00237F57">
              <w:rPr>
                <w:b/>
                <w:color w:val="000000"/>
              </w:rPr>
              <w:t>Rate</w:t>
            </w:r>
            <w:r w:rsidRPr="00237F57" w:rsidR="00E3786F">
              <w:rPr>
                <w:b/>
                <w:color w:val="000000"/>
              </w:rPr>
              <w:t xml:space="preserve"> $</w:t>
            </w:r>
          </w:p>
        </w:tc>
        <w:tc>
          <w:tcPr>
            <w:tcW w:w="1800" w:type="dxa"/>
            <w:gridSpan w:val="2"/>
            <w:tcBorders>
              <w:top w:val="single" w:color="auto" w:sz="4" w:space="0"/>
              <w:bottom w:val="single" w:color="auto" w:sz="4" w:space="0"/>
              <w:right w:val="single" w:color="auto" w:sz="4" w:space="0"/>
            </w:tcBorders>
            <w:vAlign w:val="bottom"/>
          </w:tcPr>
          <w:p w:rsidRPr="00237F57" w:rsidR="00A92D0B" w:rsidP="003B6A1B" w:rsidRDefault="00A92D0B" w14:paraId="59E63C07" w14:textId="77777777">
            <w:pPr>
              <w:keepNext/>
              <w:keepLines/>
              <w:spacing w:before="60" w:after="60"/>
              <w:jc w:val="center"/>
              <w:rPr>
                <w:b/>
                <w:color w:val="000000"/>
              </w:rPr>
            </w:pPr>
            <w:r w:rsidRPr="00237F57">
              <w:rPr>
                <w:b/>
                <w:color w:val="000000"/>
              </w:rPr>
              <w:t>Basis for Rate*</w:t>
            </w:r>
          </w:p>
        </w:tc>
        <w:tc>
          <w:tcPr>
            <w:tcW w:w="1423" w:type="dxa"/>
            <w:gridSpan w:val="2"/>
            <w:tcBorders>
              <w:top w:val="single" w:color="auto" w:sz="4" w:space="0"/>
              <w:left w:val="single" w:color="auto" w:sz="4" w:space="0"/>
              <w:bottom w:val="single" w:color="auto" w:sz="4" w:space="0"/>
              <w:right w:val="single" w:color="auto" w:sz="24" w:space="0"/>
            </w:tcBorders>
            <w:vAlign w:val="bottom"/>
          </w:tcPr>
          <w:p w:rsidRPr="00237F57" w:rsidR="00A92D0B" w:rsidP="003B6A1B" w:rsidRDefault="00A92D0B" w14:paraId="7099C603" w14:textId="77777777">
            <w:pPr>
              <w:keepNext/>
              <w:keepLines/>
              <w:spacing w:before="60" w:after="60"/>
              <w:jc w:val="center"/>
              <w:rPr>
                <w:b/>
                <w:color w:val="000000"/>
              </w:rPr>
            </w:pPr>
            <w:r w:rsidRPr="00237F57">
              <w:rPr>
                <w:b/>
                <w:color w:val="000000"/>
              </w:rPr>
              <w:t>Total $</w:t>
            </w:r>
          </w:p>
        </w:tc>
        <w:tc>
          <w:tcPr>
            <w:tcW w:w="955" w:type="dxa"/>
            <w:tcBorders>
              <w:top w:val="single" w:color="auto" w:sz="4" w:space="0"/>
              <w:left w:val="single" w:color="auto" w:sz="4" w:space="0"/>
            </w:tcBorders>
            <w:vAlign w:val="bottom"/>
          </w:tcPr>
          <w:p w:rsidRPr="00237F57" w:rsidR="00A92D0B" w:rsidP="003B6A1B" w:rsidRDefault="00A92D0B" w14:paraId="564E4964" w14:textId="77777777">
            <w:pPr>
              <w:keepNext/>
              <w:keepLines/>
              <w:spacing w:before="60" w:after="60"/>
              <w:jc w:val="center"/>
              <w:rPr>
                <w:b/>
                <w:color w:val="000000"/>
              </w:rPr>
            </w:pPr>
            <w:r w:rsidRPr="00237F57">
              <w:rPr>
                <w:b/>
                <w:color w:val="000000"/>
              </w:rPr>
              <w:t>Hours</w:t>
            </w:r>
          </w:p>
        </w:tc>
        <w:tc>
          <w:tcPr>
            <w:tcW w:w="1146" w:type="dxa"/>
            <w:tcBorders>
              <w:top w:val="single" w:color="auto" w:sz="4" w:space="0"/>
            </w:tcBorders>
            <w:vAlign w:val="bottom"/>
          </w:tcPr>
          <w:p w:rsidRPr="00237F57" w:rsidR="00A92D0B" w:rsidP="003B6A1B" w:rsidRDefault="00A92D0B" w14:paraId="1462552D" w14:textId="77777777">
            <w:pPr>
              <w:keepNext/>
              <w:keepLines/>
              <w:spacing w:before="60" w:after="60"/>
              <w:jc w:val="center"/>
              <w:rPr>
                <w:b/>
                <w:color w:val="000000"/>
              </w:rPr>
            </w:pPr>
            <w:r w:rsidRPr="00237F57">
              <w:rPr>
                <w:b/>
                <w:color w:val="000000"/>
              </w:rPr>
              <w:t>Rate</w:t>
            </w:r>
            <w:r w:rsidRPr="00237F57" w:rsidR="00E3786F">
              <w:rPr>
                <w:b/>
                <w:color w:val="000000"/>
              </w:rPr>
              <w:t xml:space="preserve"> $</w:t>
            </w:r>
          </w:p>
        </w:tc>
        <w:tc>
          <w:tcPr>
            <w:tcW w:w="1881" w:type="dxa"/>
            <w:tcBorders>
              <w:top w:val="single" w:color="auto" w:sz="4" w:space="0"/>
            </w:tcBorders>
            <w:vAlign w:val="bottom"/>
          </w:tcPr>
          <w:p w:rsidRPr="00237F57" w:rsidR="00A92D0B" w:rsidP="003B6A1B" w:rsidRDefault="00A92D0B" w14:paraId="1B6A5CA4" w14:textId="77777777">
            <w:pPr>
              <w:keepNext/>
              <w:keepLines/>
              <w:spacing w:before="60" w:after="60"/>
              <w:jc w:val="center"/>
              <w:rPr>
                <w:b/>
                <w:color w:val="000000"/>
              </w:rPr>
            </w:pPr>
            <w:r w:rsidRPr="00237F57">
              <w:rPr>
                <w:b/>
                <w:color w:val="000000"/>
              </w:rPr>
              <w:t>Total $</w:t>
            </w:r>
          </w:p>
        </w:tc>
      </w:tr>
      <w:tr w:rsidRPr="00237F57" w:rsidR="00A92D0B" w:rsidTr="00F44C99" w14:paraId="5BF6A154" w14:textId="77777777">
        <w:trPr>
          <w:jc w:val="center"/>
        </w:trPr>
        <w:tc>
          <w:tcPr>
            <w:tcW w:w="1345" w:type="dxa"/>
          </w:tcPr>
          <w:p w:rsidRPr="00237F57" w:rsidR="00A92D0B" w:rsidP="003B6A1B" w:rsidRDefault="00777E94" w14:paraId="118506EC" w14:textId="6A3AC73F">
            <w:pPr>
              <w:spacing w:before="60" w:after="60"/>
              <w:rPr>
                <w:color w:val="000000"/>
              </w:rPr>
            </w:pPr>
            <w:r w:rsidRPr="00237F57">
              <w:rPr>
                <w:color w:val="000000"/>
              </w:rPr>
              <w:t>April Maurath Sommer</w:t>
            </w:r>
          </w:p>
        </w:tc>
        <w:tc>
          <w:tcPr>
            <w:tcW w:w="810" w:type="dxa"/>
          </w:tcPr>
          <w:p w:rsidRPr="00237F57" w:rsidR="00A92D0B" w:rsidP="00AF61A9" w:rsidRDefault="0032312B" w14:paraId="3767540B" w14:textId="250D10AA">
            <w:pPr>
              <w:spacing w:before="60" w:after="60"/>
              <w:jc w:val="center"/>
              <w:rPr>
                <w:color w:val="000000"/>
              </w:rPr>
            </w:pPr>
            <w:r w:rsidRPr="00237F57">
              <w:rPr>
                <w:color w:val="000000"/>
              </w:rPr>
              <w:t>2022</w:t>
            </w:r>
          </w:p>
        </w:tc>
        <w:tc>
          <w:tcPr>
            <w:tcW w:w="900" w:type="dxa"/>
            <w:gridSpan w:val="2"/>
          </w:tcPr>
          <w:p w:rsidRPr="00237F57" w:rsidR="00A92D0B" w:rsidP="00AF61A9" w:rsidRDefault="006475E5" w14:paraId="120FE857" w14:textId="0047A2BB">
            <w:pPr>
              <w:spacing w:before="60" w:after="60"/>
              <w:jc w:val="center"/>
              <w:rPr>
                <w:color w:val="000000"/>
              </w:rPr>
            </w:pPr>
            <w:r w:rsidRPr="00237F57">
              <w:rPr>
                <w:color w:val="000000"/>
              </w:rPr>
              <w:t>42.13</w:t>
            </w:r>
          </w:p>
        </w:tc>
        <w:tc>
          <w:tcPr>
            <w:tcW w:w="900" w:type="dxa"/>
          </w:tcPr>
          <w:p w:rsidRPr="00237F57" w:rsidR="00A92D0B" w:rsidP="00E775D0" w:rsidRDefault="00777E94" w14:paraId="075109E1" w14:textId="2DC3AC3E">
            <w:pPr>
              <w:spacing w:before="60" w:after="60"/>
              <w:jc w:val="right"/>
              <w:rPr>
                <w:color w:val="000000"/>
              </w:rPr>
            </w:pPr>
            <w:r w:rsidRPr="00237F57">
              <w:rPr>
                <w:color w:val="000000"/>
              </w:rPr>
              <w:t>$600</w:t>
            </w:r>
          </w:p>
        </w:tc>
        <w:tc>
          <w:tcPr>
            <w:tcW w:w="1800" w:type="dxa"/>
            <w:gridSpan w:val="2"/>
            <w:tcBorders>
              <w:right w:val="single" w:color="auto" w:sz="4" w:space="0"/>
            </w:tcBorders>
          </w:tcPr>
          <w:p w:rsidRPr="00237F57" w:rsidR="00A92D0B" w:rsidP="00CC10AF" w:rsidRDefault="00777E94" w14:paraId="4AF4C006" w14:textId="2BD82639">
            <w:pPr>
              <w:spacing w:before="60" w:after="60"/>
              <w:rPr>
                <w:color w:val="000000"/>
              </w:rPr>
            </w:pPr>
            <w:r w:rsidRPr="00237F57">
              <w:rPr>
                <w:color w:val="000000"/>
              </w:rPr>
              <w:t>See Comment 1</w:t>
            </w:r>
          </w:p>
        </w:tc>
        <w:tc>
          <w:tcPr>
            <w:tcW w:w="1423" w:type="dxa"/>
            <w:gridSpan w:val="2"/>
            <w:tcBorders>
              <w:top w:val="single" w:color="auto" w:sz="4" w:space="0"/>
              <w:left w:val="single" w:color="auto" w:sz="4" w:space="0"/>
              <w:bottom w:val="single" w:color="auto" w:sz="4" w:space="0"/>
              <w:right w:val="single" w:color="auto" w:sz="24" w:space="0"/>
            </w:tcBorders>
          </w:tcPr>
          <w:p w:rsidRPr="00237F57" w:rsidR="00A92D0B" w:rsidP="00B17005" w:rsidRDefault="00777E94" w14:paraId="2A77845E" w14:textId="432CD8CF">
            <w:pPr>
              <w:spacing w:before="60" w:after="60"/>
              <w:jc w:val="right"/>
              <w:rPr>
                <w:color w:val="000000"/>
              </w:rPr>
            </w:pPr>
            <w:r w:rsidRPr="00237F57">
              <w:rPr>
                <w:color w:val="000000"/>
              </w:rPr>
              <w:t>$</w:t>
            </w:r>
            <w:r w:rsidRPr="00237F57" w:rsidR="006475E5">
              <w:rPr>
                <w:color w:val="000000"/>
              </w:rPr>
              <w:t>25,278.00</w:t>
            </w:r>
          </w:p>
        </w:tc>
        <w:tc>
          <w:tcPr>
            <w:tcW w:w="955" w:type="dxa"/>
            <w:tcBorders>
              <w:left w:val="single" w:color="auto" w:sz="4" w:space="0"/>
            </w:tcBorders>
          </w:tcPr>
          <w:p w:rsidRPr="00237F57" w:rsidR="00A92D0B" w:rsidP="00AF61A9" w:rsidRDefault="00A8179D" w14:paraId="461DC9FD" w14:textId="34C1E875">
            <w:pPr>
              <w:spacing w:before="60" w:after="60"/>
              <w:jc w:val="center"/>
              <w:rPr>
                <w:color w:val="000000"/>
              </w:rPr>
            </w:pPr>
            <w:r>
              <w:rPr>
                <w:color w:val="000000"/>
              </w:rPr>
              <w:t>3</w:t>
            </w:r>
            <w:r w:rsidR="00D11854">
              <w:rPr>
                <w:color w:val="000000"/>
              </w:rPr>
              <w:t>0.</w:t>
            </w:r>
            <w:r w:rsidR="009669D2">
              <w:rPr>
                <w:color w:val="000000"/>
              </w:rPr>
              <w:t>76</w:t>
            </w:r>
            <w:r w:rsidR="00324C17">
              <w:rPr>
                <w:color w:val="000000"/>
              </w:rPr>
              <w:t xml:space="preserve"> [3</w:t>
            </w:r>
            <w:r>
              <w:rPr>
                <w:color w:val="000000"/>
              </w:rPr>
              <w:t>,5</w:t>
            </w:r>
            <w:r w:rsidR="00324C17">
              <w:rPr>
                <w:color w:val="000000"/>
              </w:rPr>
              <w:t>]</w:t>
            </w:r>
          </w:p>
        </w:tc>
        <w:tc>
          <w:tcPr>
            <w:tcW w:w="1146" w:type="dxa"/>
          </w:tcPr>
          <w:p w:rsidRPr="00237F57" w:rsidR="00A92D0B" w:rsidP="00AF61A9" w:rsidRDefault="00EE1C1B" w14:paraId="7FDABF74" w14:textId="19EFA149">
            <w:pPr>
              <w:spacing w:before="60" w:after="60"/>
              <w:jc w:val="right"/>
              <w:rPr>
                <w:color w:val="000000"/>
              </w:rPr>
            </w:pPr>
            <w:r>
              <w:rPr>
                <w:color w:val="000000"/>
              </w:rPr>
              <w:t xml:space="preserve">$540.00 </w:t>
            </w:r>
            <w:r w:rsidR="00DA346E">
              <w:rPr>
                <w:color w:val="000000"/>
              </w:rPr>
              <w:t>[1]</w:t>
            </w:r>
          </w:p>
        </w:tc>
        <w:tc>
          <w:tcPr>
            <w:tcW w:w="1881" w:type="dxa"/>
          </w:tcPr>
          <w:p w:rsidRPr="00237F57" w:rsidR="00A92D0B" w:rsidP="00B17005" w:rsidRDefault="00305839" w14:paraId="05EFCF76" w14:textId="47DB58EC">
            <w:pPr>
              <w:spacing w:before="60" w:after="60"/>
              <w:jc w:val="right"/>
              <w:rPr>
                <w:color w:val="000000"/>
              </w:rPr>
            </w:pPr>
            <w:r w:rsidRPr="00305839">
              <w:rPr>
                <w:color w:val="000000"/>
              </w:rPr>
              <w:t>$16,610.40</w:t>
            </w:r>
          </w:p>
        </w:tc>
      </w:tr>
      <w:tr w:rsidRPr="00237F57" w:rsidR="00A92D0B" w:rsidTr="00F44C99" w14:paraId="38E0B4EA" w14:textId="77777777">
        <w:trPr>
          <w:jc w:val="center"/>
        </w:trPr>
        <w:tc>
          <w:tcPr>
            <w:tcW w:w="1345" w:type="dxa"/>
          </w:tcPr>
          <w:p w:rsidRPr="00237F57" w:rsidR="00A92D0B" w:rsidP="00A92D0B" w:rsidRDefault="0032312B" w14:paraId="1F980DF3" w14:textId="7AA44104">
            <w:pPr>
              <w:spacing w:before="60" w:after="60"/>
              <w:rPr>
                <w:color w:val="000000"/>
              </w:rPr>
            </w:pPr>
            <w:r w:rsidRPr="00237F57">
              <w:rPr>
                <w:color w:val="000000"/>
              </w:rPr>
              <w:t>Robin McCollum</w:t>
            </w:r>
          </w:p>
        </w:tc>
        <w:tc>
          <w:tcPr>
            <w:tcW w:w="810" w:type="dxa"/>
          </w:tcPr>
          <w:p w:rsidRPr="00237F57" w:rsidR="00A92D0B" w:rsidP="00AF61A9" w:rsidRDefault="00777E94" w14:paraId="275BF57A" w14:textId="573AE388">
            <w:pPr>
              <w:spacing w:before="60" w:after="60"/>
              <w:jc w:val="center"/>
              <w:rPr>
                <w:color w:val="000000"/>
              </w:rPr>
            </w:pPr>
            <w:r w:rsidRPr="00237F57">
              <w:rPr>
                <w:color w:val="000000"/>
              </w:rPr>
              <w:t>202</w:t>
            </w:r>
            <w:r w:rsidRPr="00237F57" w:rsidR="0032312B">
              <w:rPr>
                <w:color w:val="000000"/>
              </w:rPr>
              <w:t>2</w:t>
            </w:r>
          </w:p>
        </w:tc>
        <w:tc>
          <w:tcPr>
            <w:tcW w:w="900" w:type="dxa"/>
            <w:gridSpan w:val="2"/>
          </w:tcPr>
          <w:p w:rsidRPr="00237F57" w:rsidR="00A92D0B" w:rsidP="00AF61A9" w:rsidRDefault="006475E5" w14:paraId="0DE506C4" w14:textId="3D662505">
            <w:pPr>
              <w:spacing w:before="60" w:after="60"/>
              <w:jc w:val="center"/>
              <w:rPr>
                <w:color w:val="000000"/>
              </w:rPr>
            </w:pPr>
            <w:r w:rsidRPr="00237F57">
              <w:rPr>
                <w:color w:val="000000"/>
              </w:rPr>
              <w:t>15.1</w:t>
            </w:r>
          </w:p>
        </w:tc>
        <w:tc>
          <w:tcPr>
            <w:tcW w:w="900" w:type="dxa"/>
          </w:tcPr>
          <w:p w:rsidRPr="00237F57" w:rsidR="00A92D0B" w:rsidP="00E775D0" w:rsidRDefault="00777E94" w14:paraId="26413E95" w14:textId="2EAF564B">
            <w:pPr>
              <w:spacing w:before="60" w:after="60"/>
              <w:jc w:val="right"/>
              <w:rPr>
                <w:color w:val="000000"/>
              </w:rPr>
            </w:pPr>
            <w:r w:rsidRPr="00237F57">
              <w:rPr>
                <w:color w:val="000000"/>
              </w:rPr>
              <w:t>$</w:t>
            </w:r>
            <w:r w:rsidRPr="00237F57" w:rsidR="0032312B">
              <w:rPr>
                <w:color w:val="000000"/>
              </w:rPr>
              <w:t>225</w:t>
            </w:r>
          </w:p>
        </w:tc>
        <w:tc>
          <w:tcPr>
            <w:tcW w:w="1800" w:type="dxa"/>
            <w:gridSpan w:val="2"/>
            <w:tcBorders>
              <w:right w:val="single" w:color="auto" w:sz="4" w:space="0"/>
            </w:tcBorders>
          </w:tcPr>
          <w:p w:rsidRPr="00237F57" w:rsidR="00A92D0B" w:rsidP="00CC10AF" w:rsidRDefault="00777E94" w14:paraId="300AA881" w14:textId="4DE2A63F">
            <w:pPr>
              <w:spacing w:before="60" w:after="60"/>
              <w:rPr>
                <w:color w:val="000000"/>
              </w:rPr>
            </w:pPr>
            <w:r w:rsidRPr="00237F57">
              <w:rPr>
                <w:color w:val="000000"/>
              </w:rPr>
              <w:t>See Comment 2</w:t>
            </w:r>
          </w:p>
        </w:tc>
        <w:tc>
          <w:tcPr>
            <w:tcW w:w="1423" w:type="dxa"/>
            <w:gridSpan w:val="2"/>
            <w:tcBorders>
              <w:top w:val="single" w:color="auto" w:sz="4" w:space="0"/>
              <w:left w:val="single" w:color="auto" w:sz="4" w:space="0"/>
              <w:bottom w:val="single" w:color="auto" w:sz="4" w:space="0"/>
              <w:right w:val="single" w:color="auto" w:sz="24" w:space="0"/>
            </w:tcBorders>
          </w:tcPr>
          <w:p w:rsidRPr="00237F57" w:rsidR="00A92D0B" w:rsidP="00B17005" w:rsidRDefault="00777E94" w14:paraId="23EF368E" w14:textId="09EE0226">
            <w:pPr>
              <w:spacing w:before="60" w:after="60"/>
              <w:jc w:val="right"/>
              <w:rPr>
                <w:color w:val="000000"/>
              </w:rPr>
            </w:pPr>
            <w:r w:rsidRPr="00237F57">
              <w:rPr>
                <w:color w:val="000000"/>
              </w:rPr>
              <w:t>$</w:t>
            </w:r>
            <w:r w:rsidRPr="00237F57" w:rsidR="006475E5">
              <w:rPr>
                <w:color w:val="000000"/>
              </w:rPr>
              <w:t>3,397.50</w:t>
            </w:r>
          </w:p>
        </w:tc>
        <w:tc>
          <w:tcPr>
            <w:tcW w:w="955" w:type="dxa"/>
            <w:tcBorders>
              <w:left w:val="single" w:color="auto" w:sz="4" w:space="0"/>
            </w:tcBorders>
          </w:tcPr>
          <w:p w:rsidR="009F53CC" w:rsidP="00AF61A9" w:rsidRDefault="00324C17" w14:paraId="42AE9956" w14:textId="45BF54B6">
            <w:pPr>
              <w:spacing w:before="60" w:after="60"/>
              <w:jc w:val="center"/>
              <w:rPr>
                <w:color w:val="000000"/>
              </w:rPr>
            </w:pPr>
            <w:r>
              <w:rPr>
                <w:color w:val="000000"/>
              </w:rPr>
              <w:t>1</w:t>
            </w:r>
            <w:r w:rsidR="002D2464">
              <w:rPr>
                <w:color w:val="000000"/>
              </w:rPr>
              <w:t>0</w:t>
            </w:r>
            <w:r>
              <w:rPr>
                <w:color w:val="000000"/>
              </w:rPr>
              <w:t>.</w:t>
            </w:r>
            <w:r w:rsidR="00D11854">
              <w:rPr>
                <w:color w:val="000000"/>
              </w:rPr>
              <w:t>95</w:t>
            </w:r>
          </w:p>
          <w:p w:rsidRPr="00237F57" w:rsidR="00A92D0B" w:rsidP="0074153F" w:rsidRDefault="00324C17" w14:paraId="2B0CA953" w14:textId="2A814AFB">
            <w:pPr>
              <w:spacing w:before="60" w:after="60"/>
              <w:jc w:val="center"/>
              <w:rPr>
                <w:color w:val="000000"/>
              </w:rPr>
            </w:pPr>
            <w:r>
              <w:rPr>
                <w:color w:val="000000"/>
              </w:rPr>
              <w:t>[4</w:t>
            </w:r>
            <w:r w:rsidR="00A8179D">
              <w:rPr>
                <w:color w:val="000000"/>
              </w:rPr>
              <w:t>,5</w:t>
            </w:r>
            <w:r>
              <w:rPr>
                <w:color w:val="000000"/>
              </w:rPr>
              <w:t>]</w:t>
            </w:r>
          </w:p>
        </w:tc>
        <w:tc>
          <w:tcPr>
            <w:tcW w:w="1146" w:type="dxa"/>
          </w:tcPr>
          <w:p w:rsidRPr="00237F57" w:rsidR="00A92D0B" w:rsidP="00AF61A9" w:rsidRDefault="003E14E1" w14:paraId="1FC8906C" w14:textId="74F475AC">
            <w:pPr>
              <w:spacing w:before="60" w:after="60"/>
              <w:jc w:val="right"/>
              <w:rPr>
                <w:color w:val="000000"/>
              </w:rPr>
            </w:pPr>
            <w:r>
              <w:rPr>
                <w:color w:val="000000"/>
              </w:rPr>
              <w:t>$2</w:t>
            </w:r>
            <w:r w:rsidR="00E00BBE">
              <w:rPr>
                <w:color w:val="000000"/>
              </w:rPr>
              <w:t>25</w:t>
            </w:r>
            <w:r>
              <w:rPr>
                <w:color w:val="000000"/>
              </w:rPr>
              <w:t xml:space="preserve">.00 </w:t>
            </w:r>
            <w:r w:rsidR="00EE1C1B">
              <w:rPr>
                <w:color w:val="000000"/>
              </w:rPr>
              <w:t>[2]</w:t>
            </w:r>
          </w:p>
        </w:tc>
        <w:tc>
          <w:tcPr>
            <w:tcW w:w="1881" w:type="dxa"/>
          </w:tcPr>
          <w:p w:rsidRPr="00237F57" w:rsidR="00A92D0B" w:rsidP="001A3AF6" w:rsidRDefault="00B61C45" w14:paraId="6C594CB5" w14:textId="14156625">
            <w:pPr>
              <w:spacing w:before="60" w:after="60"/>
              <w:jc w:val="right"/>
              <w:rPr>
                <w:color w:val="000000"/>
              </w:rPr>
            </w:pPr>
            <w:r w:rsidRPr="00B61C45">
              <w:rPr>
                <w:color w:val="000000"/>
              </w:rPr>
              <w:t>$2,463.75</w:t>
            </w:r>
          </w:p>
        </w:tc>
      </w:tr>
      <w:tr w:rsidRPr="00237F57" w:rsidR="00E3786F" w:rsidTr="00EC6387" w14:paraId="1B237C11" w14:textId="77777777">
        <w:trPr>
          <w:jc w:val="center"/>
        </w:trPr>
        <w:tc>
          <w:tcPr>
            <w:tcW w:w="7178" w:type="dxa"/>
            <w:gridSpan w:val="9"/>
            <w:tcBorders>
              <w:bottom w:val="single" w:color="auto" w:sz="4" w:space="0"/>
              <w:right w:val="single" w:color="auto" w:sz="24" w:space="0"/>
            </w:tcBorders>
            <w:vAlign w:val="bottom"/>
          </w:tcPr>
          <w:p w:rsidRPr="00237F57" w:rsidR="00E3786F" w:rsidP="00691528" w:rsidRDefault="00E3786F" w14:paraId="2ECB6744" w14:textId="244EF7A5">
            <w:pPr>
              <w:tabs>
                <w:tab w:val="left" w:pos="957"/>
              </w:tabs>
              <w:spacing w:before="60" w:after="60"/>
              <w:ind w:right="162"/>
              <w:jc w:val="right"/>
              <w:rPr>
                <w:b/>
                <w:i/>
                <w:color w:val="000000"/>
              </w:rPr>
            </w:pPr>
            <w:r w:rsidRPr="00237F57">
              <w:rPr>
                <w:b/>
                <w:i/>
                <w:color w:val="000000"/>
              </w:rPr>
              <w:t xml:space="preserve">Subtotal: </w:t>
            </w:r>
            <w:r w:rsidRPr="00237F57" w:rsidR="00777E94">
              <w:rPr>
                <w:b/>
                <w:i/>
                <w:color w:val="000000"/>
              </w:rPr>
              <w:t>$</w:t>
            </w:r>
            <w:r w:rsidRPr="00237F57" w:rsidR="006475E5">
              <w:rPr>
                <w:b/>
                <w:i/>
                <w:color w:val="000000"/>
              </w:rPr>
              <w:t>28,675.50</w:t>
            </w:r>
          </w:p>
        </w:tc>
        <w:tc>
          <w:tcPr>
            <w:tcW w:w="3982" w:type="dxa"/>
            <w:gridSpan w:val="3"/>
            <w:tcBorders>
              <w:left w:val="single" w:color="auto" w:sz="24" w:space="0"/>
              <w:bottom w:val="single" w:color="auto" w:sz="4" w:space="0"/>
            </w:tcBorders>
            <w:vAlign w:val="bottom"/>
          </w:tcPr>
          <w:p w:rsidRPr="00A8179D" w:rsidR="00E3786F" w:rsidP="003B6A1B" w:rsidRDefault="00E3786F" w14:paraId="4C4556E5" w14:textId="59065454">
            <w:pPr>
              <w:tabs>
                <w:tab w:val="left" w:pos="957"/>
              </w:tabs>
              <w:spacing w:before="60" w:after="60"/>
              <w:ind w:right="162"/>
              <w:jc w:val="right"/>
              <w:rPr>
                <w:i/>
                <w:color w:val="000000"/>
              </w:rPr>
            </w:pPr>
            <w:r w:rsidRPr="00FB7207">
              <w:rPr>
                <w:b/>
                <w:i/>
                <w:color w:val="000000"/>
              </w:rPr>
              <w:t xml:space="preserve">Subtotal: </w:t>
            </w:r>
            <w:r w:rsidRPr="00930F8D" w:rsidR="00930F8D">
              <w:rPr>
                <w:b/>
                <w:i/>
                <w:color w:val="000000"/>
              </w:rPr>
              <w:t>$19,074.15</w:t>
            </w:r>
          </w:p>
        </w:tc>
      </w:tr>
      <w:tr w:rsidRPr="00237F57" w:rsidR="00A92D0B" w:rsidTr="0074153F"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37F57" w:rsidR="00A92D0B" w:rsidP="004A6FD4" w:rsidRDefault="00A92D0B" w14:paraId="41FE304C" w14:textId="149EABA0">
            <w:pPr>
              <w:keepNext/>
              <w:spacing w:before="60" w:after="60"/>
              <w:jc w:val="center"/>
              <w:rPr>
                <w:color w:val="000000"/>
              </w:rPr>
            </w:pPr>
            <w:r w:rsidRPr="00237F57">
              <w:rPr>
                <w:b/>
                <w:color w:val="000000"/>
              </w:rPr>
              <w:t xml:space="preserve">INTERVENOR COMPENSATION CLAIM </w:t>
            </w:r>
            <w:r w:rsidRPr="00237F57" w:rsidR="008F01C9">
              <w:rPr>
                <w:b/>
                <w:color w:val="000000"/>
              </w:rPr>
              <w:t xml:space="preserve">PREPARATION </w:t>
            </w:r>
            <w:r w:rsidRPr="00237F57" w:rsidR="008F01C9">
              <w:rPr>
                <w:b/>
                <w:smallCaps/>
                <w:color w:val="000000"/>
              </w:rPr>
              <w:t>*</w:t>
            </w:r>
            <w:r w:rsidRPr="00237F57">
              <w:rPr>
                <w:b/>
                <w:smallCaps/>
                <w:color w:val="000000"/>
              </w:rPr>
              <w:t>*</w:t>
            </w:r>
          </w:p>
        </w:tc>
      </w:tr>
      <w:tr w:rsidRPr="00237F57" w:rsidR="00A92D0B" w:rsidTr="0065713E" w14:paraId="48B3E535" w14:textId="77777777">
        <w:trPr>
          <w:jc w:val="center"/>
        </w:trPr>
        <w:tc>
          <w:tcPr>
            <w:tcW w:w="1345" w:type="dxa"/>
            <w:tcBorders>
              <w:top w:val="single" w:color="auto" w:sz="4" w:space="0"/>
              <w:bottom w:val="single" w:color="auto" w:sz="4" w:space="0"/>
            </w:tcBorders>
            <w:vAlign w:val="bottom"/>
          </w:tcPr>
          <w:p w:rsidRPr="00237F57" w:rsidR="00A92D0B" w:rsidP="004A6FD4" w:rsidRDefault="00A92D0B" w14:paraId="563A43BB" w14:textId="77777777">
            <w:pPr>
              <w:keepNext/>
              <w:spacing w:before="60" w:after="60"/>
              <w:jc w:val="center"/>
              <w:rPr>
                <w:b/>
                <w:color w:val="000000"/>
              </w:rPr>
            </w:pPr>
            <w:r w:rsidRPr="00237F57">
              <w:rPr>
                <w:b/>
                <w:color w:val="000000"/>
              </w:rPr>
              <w:t>Item</w:t>
            </w:r>
          </w:p>
        </w:tc>
        <w:tc>
          <w:tcPr>
            <w:tcW w:w="810" w:type="dxa"/>
            <w:tcBorders>
              <w:top w:val="single" w:color="auto" w:sz="4" w:space="0"/>
              <w:bottom w:val="single" w:color="auto" w:sz="4" w:space="0"/>
            </w:tcBorders>
            <w:vAlign w:val="bottom"/>
          </w:tcPr>
          <w:p w:rsidRPr="00237F57" w:rsidR="00A92D0B" w:rsidP="004A6FD4" w:rsidRDefault="00A92D0B" w14:paraId="144552E0" w14:textId="77777777">
            <w:pPr>
              <w:keepNext/>
              <w:spacing w:before="60" w:after="60"/>
              <w:jc w:val="center"/>
              <w:rPr>
                <w:b/>
                <w:color w:val="000000"/>
              </w:rPr>
            </w:pPr>
            <w:r w:rsidRPr="00237F57">
              <w:rPr>
                <w:b/>
                <w:color w:val="000000"/>
              </w:rPr>
              <w:t>Year</w:t>
            </w:r>
          </w:p>
        </w:tc>
        <w:tc>
          <w:tcPr>
            <w:tcW w:w="900" w:type="dxa"/>
            <w:gridSpan w:val="2"/>
            <w:tcBorders>
              <w:top w:val="single" w:color="auto" w:sz="4" w:space="0"/>
              <w:bottom w:val="single" w:color="auto" w:sz="4" w:space="0"/>
            </w:tcBorders>
            <w:vAlign w:val="bottom"/>
          </w:tcPr>
          <w:p w:rsidRPr="00237F57" w:rsidR="00A92D0B" w:rsidP="004A6FD4" w:rsidRDefault="00A92D0B" w14:paraId="42890B1B" w14:textId="77777777">
            <w:pPr>
              <w:keepNext/>
              <w:spacing w:before="60" w:after="60"/>
              <w:jc w:val="center"/>
              <w:rPr>
                <w:b/>
                <w:color w:val="000000"/>
              </w:rPr>
            </w:pPr>
            <w:r w:rsidRPr="00237F57">
              <w:rPr>
                <w:b/>
                <w:color w:val="000000"/>
              </w:rPr>
              <w:t>Hours</w:t>
            </w:r>
          </w:p>
        </w:tc>
        <w:tc>
          <w:tcPr>
            <w:tcW w:w="900" w:type="dxa"/>
            <w:tcBorders>
              <w:top w:val="single" w:color="auto" w:sz="4" w:space="0"/>
              <w:bottom w:val="single" w:color="auto" w:sz="4" w:space="0"/>
            </w:tcBorders>
            <w:vAlign w:val="bottom"/>
          </w:tcPr>
          <w:p w:rsidRPr="00237F57" w:rsidR="00A92D0B" w:rsidP="004A6FD4" w:rsidRDefault="00A92D0B" w14:paraId="1E7BD956" w14:textId="243077B9">
            <w:pPr>
              <w:keepNext/>
              <w:spacing w:before="60" w:after="60"/>
              <w:jc w:val="center"/>
              <w:rPr>
                <w:b/>
                <w:color w:val="000000"/>
              </w:rPr>
            </w:pPr>
            <w:r w:rsidRPr="00237F57">
              <w:rPr>
                <w:b/>
                <w:color w:val="000000"/>
              </w:rPr>
              <w:t>Rate</w:t>
            </w:r>
            <w:r w:rsidRPr="00237F57" w:rsidR="00380703">
              <w:rPr>
                <w:b/>
                <w:color w:val="000000"/>
              </w:rPr>
              <w:t xml:space="preserve"> $</w:t>
            </w:r>
          </w:p>
        </w:tc>
        <w:tc>
          <w:tcPr>
            <w:tcW w:w="1800" w:type="dxa"/>
            <w:gridSpan w:val="2"/>
            <w:tcBorders>
              <w:top w:val="single" w:color="auto" w:sz="4" w:space="0"/>
              <w:bottom w:val="single" w:color="auto" w:sz="4" w:space="0"/>
              <w:right w:val="single" w:color="auto" w:sz="4" w:space="0"/>
            </w:tcBorders>
            <w:vAlign w:val="bottom"/>
          </w:tcPr>
          <w:p w:rsidRPr="00237F57" w:rsidR="00A92D0B" w:rsidP="004A6FD4" w:rsidRDefault="00A92D0B" w14:paraId="104D7982" w14:textId="77777777">
            <w:pPr>
              <w:keepNext/>
              <w:spacing w:before="60" w:after="60"/>
              <w:jc w:val="center"/>
              <w:rPr>
                <w:b/>
                <w:color w:val="000000"/>
              </w:rPr>
            </w:pPr>
            <w:r w:rsidRPr="00237F57">
              <w:rPr>
                <w:b/>
                <w:color w:val="000000"/>
              </w:rPr>
              <w:t>Basis for Rate*</w:t>
            </w:r>
          </w:p>
        </w:tc>
        <w:tc>
          <w:tcPr>
            <w:tcW w:w="1423" w:type="dxa"/>
            <w:gridSpan w:val="2"/>
            <w:tcBorders>
              <w:top w:val="single" w:color="auto" w:sz="4" w:space="0"/>
              <w:left w:val="single" w:color="auto" w:sz="4" w:space="0"/>
              <w:bottom w:val="single" w:color="auto" w:sz="4" w:space="0"/>
              <w:right w:val="single" w:color="auto" w:sz="24" w:space="0"/>
            </w:tcBorders>
            <w:vAlign w:val="bottom"/>
          </w:tcPr>
          <w:p w:rsidRPr="00237F57" w:rsidR="00A92D0B" w:rsidP="004A6FD4" w:rsidRDefault="00A92D0B" w14:paraId="073B2BB9" w14:textId="77777777">
            <w:pPr>
              <w:keepNext/>
              <w:spacing w:before="60" w:after="60"/>
              <w:jc w:val="center"/>
              <w:rPr>
                <w:b/>
                <w:color w:val="000000"/>
              </w:rPr>
            </w:pPr>
            <w:r w:rsidRPr="00237F57">
              <w:rPr>
                <w:b/>
                <w:color w:val="000000"/>
              </w:rPr>
              <w:t>Total $</w:t>
            </w:r>
          </w:p>
        </w:tc>
        <w:tc>
          <w:tcPr>
            <w:tcW w:w="955" w:type="dxa"/>
            <w:tcBorders>
              <w:top w:val="single" w:color="auto" w:sz="4" w:space="0"/>
              <w:left w:val="single" w:color="auto" w:sz="4" w:space="0"/>
            </w:tcBorders>
            <w:vAlign w:val="bottom"/>
          </w:tcPr>
          <w:p w:rsidRPr="00237F57" w:rsidR="00A92D0B" w:rsidP="004A6FD4" w:rsidRDefault="00A92D0B" w14:paraId="0409143B" w14:textId="77777777">
            <w:pPr>
              <w:keepNext/>
              <w:spacing w:before="60" w:after="60"/>
              <w:jc w:val="center"/>
              <w:rPr>
                <w:b/>
                <w:color w:val="000000"/>
              </w:rPr>
            </w:pPr>
            <w:r w:rsidRPr="00237F57">
              <w:rPr>
                <w:b/>
                <w:color w:val="000000"/>
              </w:rPr>
              <w:t>Hours</w:t>
            </w:r>
          </w:p>
        </w:tc>
        <w:tc>
          <w:tcPr>
            <w:tcW w:w="1146" w:type="dxa"/>
            <w:tcBorders>
              <w:top w:val="single" w:color="auto" w:sz="4" w:space="0"/>
            </w:tcBorders>
            <w:vAlign w:val="bottom"/>
          </w:tcPr>
          <w:p w:rsidRPr="00237F57" w:rsidR="00A92D0B" w:rsidP="004A6FD4" w:rsidRDefault="00A92D0B" w14:paraId="6B59BB80" w14:textId="2C791D8E">
            <w:pPr>
              <w:keepNext/>
              <w:spacing w:before="60" w:after="60"/>
              <w:jc w:val="center"/>
              <w:rPr>
                <w:b/>
                <w:color w:val="000000"/>
              </w:rPr>
            </w:pPr>
            <w:r w:rsidRPr="00237F57">
              <w:rPr>
                <w:b/>
                <w:color w:val="000000"/>
              </w:rPr>
              <w:t xml:space="preserve">Rate </w:t>
            </w:r>
            <w:r w:rsidRPr="00237F57" w:rsidR="00B17005">
              <w:rPr>
                <w:b/>
                <w:color w:val="000000"/>
              </w:rPr>
              <w:t>$</w:t>
            </w:r>
          </w:p>
        </w:tc>
        <w:tc>
          <w:tcPr>
            <w:tcW w:w="1881" w:type="dxa"/>
            <w:tcBorders>
              <w:top w:val="single" w:color="auto" w:sz="4" w:space="0"/>
            </w:tcBorders>
            <w:vAlign w:val="bottom"/>
          </w:tcPr>
          <w:p w:rsidRPr="00237F57" w:rsidR="00A92D0B" w:rsidP="004A6FD4" w:rsidRDefault="00A92D0B" w14:paraId="6C7B13CF" w14:textId="77777777">
            <w:pPr>
              <w:keepNext/>
              <w:spacing w:before="60" w:after="60"/>
              <w:jc w:val="center"/>
              <w:rPr>
                <w:b/>
                <w:color w:val="000000"/>
              </w:rPr>
            </w:pPr>
            <w:r w:rsidRPr="00237F57">
              <w:rPr>
                <w:b/>
                <w:color w:val="000000"/>
              </w:rPr>
              <w:t>Total $</w:t>
            </w:r>
          </w:p>
        </w:tc>
      </w:tr>
      <w:tr w:rsidRPr="00237F57" w:rsidR="00A92D0B" w:rsidTr="00F44C99" w14:paraId="25086E67" w14:textId="77777777">
        <w:trPr>
          <w:jc w:val="center"/>
        </w:trPr>
        <w:tc>
          <w:tcPr>
            <w:tcW w:w="1345" w:type="dxa"/>
          </w:tcPr>
          <w:p w:rsidRPr="00237F57" w:rsidR="00A92D0B" w:rsidP="003B6A1B" w:rsidRDefault="00777E94" w14:paraId="386D0995" w14:textId="60AEA131">
            <w:pPr>
              <w:spacing w:before="60" w:after="60"/>
              <w:rPr>
                <w:color w:val="000000"/>
              </w:rPr>
            </w:pPr>
            <w:r w:rsidRPr="00237F57">
              <w:rPr>
                <w:color w:val="000000"/>
              </w:rPr>
              <w:t>April Maurath Sommer</w:t>
            </w:r>
          </w:p>
        </w:tc>
        <w:tc>
          <w:tcPr>
            <w:tcW w:w="810" w:type="dxa"/>
          </w:tcPr>
          <w:p w:rsidRPr="00237F57" w:rsidR="00A92D0B" w:rsidP="00AF61A9" w:rsidRDefault="00777E94" w14:paraId="4A155F1D" w14:textId="43AD1ED0">
            <w:pPr>
              <w:spacing w:before="60" w:after="60"/>
              <w:jc w:val="center"/>
              <w:rPr>
                <w:color w:val="000000"/>
              </w:rPr>
            </w:pPr>
            <w:r w:rsidRPr="00237F57">
              <w:rPr>
                <w:color w:val="000000"/>
              </w:rPr>
              <w:t>2024</w:t>
            </w:r>
          </w:p>
        </w:tc>
        <w:tc>
          <w:tcPr>
            <w:tcW w:w="900" w:type="dxa"/>
            <w:gridSpan w:val="2"/>
          </w:tcPr>
          <w:p w:rsidRPr="00237F57" w:rsidR="00A92D0B" w:rsidP="00AF61A9" w:rsidRDefault="00B668D3" w14:paraId="30EEA80A" w14:textId="7CEA57E9">
            <w:pPr>
              <w:spacing w:before="60" w:after="60"/>
              <w:jc w:val="center"/>
              <w:rPr>
                <w:color w:val="000000"/>
              </w:rPr>
            </w:pPr>
            <w:r w:rsidRPr="00237F57">
              <w:rPr>
                <w:color w:val="000000"/>
              </w:rPr>
              <w:t>2</w:t>
            </w:r>
          </w:p>
        </w:tc>
        <w:tc>
          <w:tcPr>
            <w:tcW w:w="900" w:type="dxa"/>
          </w:tcPr>
          <w:p w:rsidRPr="00237F57" w:rsidR="00A92D0B" w:rsidP="003B6A1B" w:rsidRDefault="00777E94" w14:paraId="4EB14C91" w14:textId="30C186EE">
            <w:pPr>
              <w:spacing w:before="60" w:after="60"/>
              <w:rPr>
                <w:color w:val="000000"/>
              </w:rPr>
            </w:pPr>
            <w:r w:rsidRPr="00237F57">
              <w:rPr>
                <w:color w:val="000000"/>
              </w:rPr>
              <w:t>$330</w:t>
            </w:r>
          </w:p>
        </w:tc>
        <w:tc>
          <w:tcPr>
            <w:tcW w:w="1800" w:type="dxa"/>
            <w:gridSpan w:val="2"/>
            <w:tcBorders>
              <w:right w:val="single" w:color="auto" w:sz="4" w:space="0"/>
            </w:tcBorders>
          </w:tcPr>
          <w:p w:rsidRPr="00237F57" w:rsidR="00777E94" w:rsidP="00777E94" w:rsidRDefault="00777E94" w14:paraId="090A4B91" w14:textId="77777777">
            <w:pPr>
              <w:spacing w:before="60" w:after="60"/>
              <w:rPr>
                <w:color w:val="000000"/>
              </w:rPr>
            </w:pPr>
            <w:r w:rsidRPr="00237F57">
              <w:rPr>
                <w:color w:val="000000"/>
              </w:rPr>
              <w:t>See comment 1</w:t>
            </w:r>
          </w:p>
          <w:p w:rsidRPr="00237F57" w:rsidR="00A92D0B" w:rsidP="00777E94" w:rsidRDefault="00777E94" w14:paraId="02D334B7" w14:textId="6B01BE88">
            <w:pPr>
              <w:spacing w:before="60" w:after="60"/>
              <w:rPr>
                <w:color w:val="000000"/>
              </w:rPr>
            </w:pPr>
            <w:r w:rsidRPr="00237F57">
              <w:rPr>
                <w:color w:val="000000"/>
              </w:rPr>
              <w:t>(½)2024 rate of $658.66, rounded to nearest $5</w:t>
            </w:r>
          </w:p>
        </w:tc>
        <w:tc>
          <w:tcPr>
            <w:tcW w:w="1423" w:type="dxa"/>
            <w:gridSpan w:val="2"/>
            <w:tcBorders>
              <w:top w:val="single" w:color="auto" w:sz="4" w:space="0"/>
              <w:left w:val="single" w:color="auto" w:sz="4" w:space="0"/>
              <w:bottom w:val="single" w:color="auto" w:sz="4" w:space="0"/>
              <w:right w:val="single" w:color="auto" w:sz="24" w:space="0"/>
            </w:tcBorders>
          </w:tcPr>
          <w:p w:rsidRPr="00237F57" w:rsidR="00A92D0B" w:rsidP="00AE6488" w:rsidRDefault="00777E94" w14:paraId="7B9A0261" w14:textId="13C97CC1">
            <w:pPr>
              <w:spacing w:before="60" w:after="60"/>
              <w:jc w:val="right"/>
              <w:rPr>
                <w:color w:val="000000"/>
              </w:rPr>
            </w:pPr>
            <w:r w:rsidRPr="00237F57">
              <w:rPr>
                <w:color w:val="000000"/>
              </w:rPr>
              <w:t>$</w:t>
            </w:r>
            <w:r w:rsidRPr="00237F57" w:rsidR="00B668D3">
              <w:rPr>
                <w:color w:val="000000"/>
              </w:rPr>
              <w:t>66</w:t>
            </w:r>
            <w:r w:rsidRPr="00237F57">
              <w:rPr>
                <w:color w:val="000000"/>
              </w:rPr>
              <w:t>0.00</w:t>
            </w:r>
          </w:p>
        </w:tc>
        <w:tc>
          <w:tcPr>
            <w:tcW w:w="955" w:type="dxa"/>
            <w:tcBorders>
              <w:left w:val="single" w:color="auto" w:sz="4" w:space="0"/>
              <w:right w:val="single" w:color="auto" w:sz="4" w:space="0"/>
            </w:tcBorders>
          </w:tcPr>
          <w:p w:rsidRPr="00237F57" w:rsidR="00A92D0B" w:rsidP="00324C17" w:rsidRDefault="00324C17" w14:paraId="5E5A4264" w14:textId="12A73E5B">
            <w:pPr>
              <w:spacing w:before="60" w:after="60"/>
              <w:jc w:val="center"/>
              <w:rPr>
                <w:color w:val="000000"/>
              </w:rPr>
            </w:pPr>
            <w:r>
              <w:rPr>
                <w:color w:val="000000"/>
              </w:rPr>
              <w:t>2.00</w:t>
            </w:r>
          </w:p>
        </w:tc>
        <w:tc>
          <w:tcPr>
            <w:tcW w:w="1146" w:type="dxa"/>
            <w:tcBorders>
              <w:left w:val="single" w:color="auto" w:sz="4" w:space="0"/>
            </w:tcBorders>
          </w:tcPr>
          <w:p w:rsidRPr="00237F57" w:rsidR="00A92D0B" w:rsidP="00B17005" w:rsidRDefault="009F5BD5" w14:paraId="47B1F089" w14:textId="00BE883E">
            <w:pPr>
              <w:spacing w:before="60" w:after="60"/>
              <w:jc w:val="right"/>
              <w:rPr>
                <w:color w:val="000000"/>
              </w:rPr>
            </w:pPr>
            <w:r>
              <w:rPr>
                <w:color w:val="000000"/>
              </w:rPr>
              <w:t>$</w:t>
            </w:r>
            <w:r w:rsidR="000F733E">
              <w:rPr>
                <w:color w:val="000000"/>
              </w:rPr>
              <w:t>292.50</w:t>
            </w:r>
            <w:r>
              <w:rPr>
                <w:color w:val="000000"/>
              </w:rPr>
              <w:t xml:space="preserve"> </w:t>
            </w:r>
            <w:r w:rsidR="00EE1C1B">
              <w:rPr>
                <w:color w:val="000000"/>
              </w:rPr>
              <w:t>[1]</w:t>
            </w:r>
          </w:p>
        </w:tc>
        <w:tc>
          <w:tcPr>
            <w:tcW w:w="1881" w:type="dxa"/>
          </w:tcPr>
          <w:p w:rsidRPr="00237F57" w:rsidR="00A92D0B" w:rsidP="00B17005" w:rsidRDefault="004F7937" w14:paraId="10659B6D" w14:textId="4DA62BF6">
            <w:pPr>
              <w:spacing w:before="60" w:after="60"/>
              <w:jc w:val="right"/>
              <w:rPr>
                <w:color w:val="000000"/>
              </w:rPr>
            </w:pPr>
            <w:r w:rsidRPr="004F7937">
              <w:rPr>
                <w:color w:val="000000"/>
              </w:rPr>
              <w:t>$585.00</w:t>
            </w:r>
          </w:p>
        </w:tc>
      </w:tr>
      <w:tr w:rsidRPr="00237F57" w:rsidR="00E15DC3" w:rsidTr="00EC6387" w14:paraId="266CEDD5" w14:textId="77777777">
        <w:trPr>
          <w:jc w:val="center"/>
        </w:trPr>
        <w:tc>
          <w:tcPr>
            <w:tcW w:w="7178" w:type="dxa"/>
            <w:gridSpan w:val="9"/>
            <w:tcBorders>
              <w:bottom w:val="single" w:color="auto" w:sz="4" w:space="0"/>
              <w:right w:val="single" w:color="auto" w:sz="24" w:space="0"/>
            </w:tcBorders>
            <w:vAlign w:val="bottom"/>
          </w:tcPr>
          <w:p w:rsidRPr="00237F57" w:rsidR="00E15DC3" w:rsidP="003B6A1B" w:rsidRDefault="00E15DC3" w14:paraId="4A1F5988" w14:textId="07A4DBA5">
            <w:pPr>
              <w:tabs>
                <w:tab w:val="left" w:pos="957"/>
              </w:tabs>
              <w:spacing w:before="60" w:after="60"/>
              <w:ind w:right="162"/>
              <w:jc w:val="right"/>
              <w:rPr>
                <w:b/>
                <w:i/>
                <w:color w:val="000000"/>
              </w:rPr>
            </w:pPr>
            <w:r w:rsidRPr="00237F57">
              <w:rPr>
                <w:b/>
                <w:i/>
                <w:color w:val="000000"/>
              </w:rPr>
              <w:t xml:space="preserve">Subtotal: </w:t>
            </w:r>
            <w:r w:rsidRPr="00237F57" w:rsidR="00B668D3">
              <w:rPr>
                <w:b/>
                <w:i/>
                <w:color w:val="000000"/>
              </w:rPr>
              <w:t>$66</w:t>
            </w:r>
            <w:r w:rsidRPr="00237F57" w:rsidR="00777E94">
              <w:rPr>
                <w:b/>
                <w:i/>
                <w:color w:val="000000"/>
              </w:rPr>
              <w:t>0.00</w:t>
            </w:r>
          </w:p>
        </w:tc>
        <w:tc>
          <w:tcPr>
            <w:tcW w:w="3982" w:type="dxa"/>
            <w:gridSpan w:val="3"/>
            <w:tcBorders>
              <w:left w:val="single" w:color="auto" w:sz="24" w:space="0"/>
              <w:bottom w:val="single" w:color="auto" w:sz="4" w:space="0"/>
            </w:tcBorders>
            <w:vAlign w:val="bottom"/>
          </w:tcPr>
          <w:p w:rsidRPr="00237F57" w:rsidR="00E15DC3" w:rsidP="00691528" w:rsidRDefault="00E15DC3" w14:paraId="2FBAA587" w14:textId="66A08130">
            <w:pPr>
              <w:tabs>
                <w:tab w:val="left" w:pos="957"/>
              </w:tabs>
              <w:spacing w:before="60" w:after="60"/>
              <w:ind w:right="162"/>
              <w:jc w:val="right"/>
              <w:rPr>
                <w:b/>
                <w:i/>
                <w:color w:val="000000"/>
              </w:rPr>
            </w:pPr>
            <w:r w:rsidRPr="00237F57">
              <w:rPr>
                <w:b/>
                <w:i/>
                <w:color w:val="000000"/>
              </w:rPr>
              <w:t xml:space="preserve">Subtotal: </w:t>
            </w:r>
            <w:r w:rsidRPr="000E2A22" w:rsidR="000E2A22">
              <w:rPr>
                <w:b/>
                <w:i/>
                <w:color w:val="000000"/>
              </w:rPr>
              <w:t>$585.00</w:t>
            </w:r>
          </w:p>
        </w:tc>
      </w:tr>
      <w:tr w:rsidRPr="00237F57" w:rsidR="003B6A1B" w:rsidTr="0074153F"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D9D9D9" w:themeFill="background1" w:themeFillShade="D9"/>
            <w:vAlign w:val="bottom"/>
          </w:tcPr>
          <w:p w:rsidRPr="00237F57" w:rsidR="003B6A1B" w:rsidP="00FE3BAE" w:rsidRDefault="003B6A1B" w14:paraId="11B3B704" w14:textId="7719A551">
            <w:pPr>
              <w:tabs>
                <w:tab w:val="left" w:pos="957"/>
              </w:tabs>
              <w:spacing w:before="60" w:after="60"/>
              <w:ind w:right="72"/>
              <w:jc w:val="right"/>
              <w:rPr>
                <w:b/>
                <w:color w:val="000000"/>
              </w:rPr>
            </w:pPr>
            <w:r w:rsidRPr="00237F57">
              <w:rPr>
                <w:b/>
                <w:i/>
                <w:color w:val="000000"/>
              </w:rPr>
              <w:t>TOTAL REQUEST: $</w:t>
            </w:r>
            <w:r w:rsidRPr="00237F57" w:rsidR="00B668D3">
              <w:rPr>
                <w:b/>
                <w:i/>
                <w:color w:val="000000"/>
              </w:rPr>
              <w:t>29,335.50</w:t>
            </w:r>
          </w:p>
        </w:tc>
        <w:tc>
          <w:tcPr>
            <w:tcW w:w="3982" w:type="dxa"/>
            <w:gridSpan w:val="3"/>
            <w:tcBorders>
              <w:left w:val="single" w:color="auto" w:sz="24" w:space="0"/>
            </w:tcBorders>
            <w:shd w:val="clear" w:color="auto" w:fill="D9D9D9" w:themeFill="background1" w:themeFillShade="D9"/>
            <w:vAlign w:val="bottom"/>
          </w:tcPr>
          <w:p w:rsidRPr="00237F57" w:rsidR="003B6A1B" w:rsidP="00FE3BAE" w:rsidRDefault="003B6A1B" w14:paraId="3680D139" w14:textId="161E1F4C">
            <w:pPr>
              <w:tabs>
                <w:tab w:val="left" w:pos="957"/>
              </w:tabs>
              <w:spacing w:before="60" w:after="60"/>
              <w:ind w:right="72"/>
              <w:jc w:val="right"/>
              <w:rPr>
                <w:b/>
                <w:color w:val="000000"/>
              </w:rPr>
            </w:pPr>
            <w:r w:rsidRPr="00237F57">
              <w:rPr>
                <w:b/>
                <w:i/>
                <w:color w:val="000000"/>
              </w:rPr>
              <w:t>TOTAL AWARD:</w:t>
            </w:r>
            <w:r w:rsidR="00DC6DC5">
              <w:rPr>
                <w:b/>
                <w:i/>
                <w:color w:val="000000"/>
              </w:rPr>
              <w:t xml:space="preserve"> </w:t>
            </w:r>
            <w:r w:rsidRPr="000B64BB" w:rsidR="000B64BB">
              <w:rPr>
                <w:b/>
                <w:i/>
                <w:color w:val="000000"/>
              </w:rPr>
              <w:t>$19,659.15</w:t>
            </w:r>
          </w:p>
        </w:tc>
      </w:tr>
      <w:tr w:rsidRPr="00237F57" w:rsidR="003B6A1B" w:rsidTr="00EC6387" w14:paraId="6A909BC1" w14:textId="77777777">
        <w:trPr>
          <w:jc w:val="center"/>
        </w:trPr>
        <w:tc>
          <w:tcPr>
            <w:tcW w:w="11160" w:type="dxa"/>
            <w:gridSpan w:val="12"/>
            <w:tcBorders>
              <w:top w:val="single" w:color="auto" w:sz="4" w:space="0"/>
              <w:bottom w:val="single" w:color="auto" w:sz="4" w:space="0"/>
            </w:tcBorders>
          </w:tcPr>
          <w:p w:rsidRPr="00237F57" w:rsidR="003B6A1B" w:rsidP="00D075B1" w:rsidRDefault="003B6A1B" w14:paraId="6F39872E" w14:textId="77777777">
            <w:pPr>
              <w:spacing w:before="60" w:after="60"/>
              <w:rPr>
                <w:color w:val="000000"/>
              </w:rPr>
            </w:pPr>
            <w:r w:rsidRPr="00237F57">
              <w:rPr>
                <w:color w:val="000000"/>
              </w:rPr>
              <w:t xml:space="preserve">  *We remind all intervenors that Commission staff may audit </w:t>
            </w:r>
            <w:r w:rsidRPr="00237F57">
              <w:t>the records and books of the intervenors to the extent necessary to verify the basis for the award (§1804(d)).  I</w:t>
            </w:r>
            <w:r w:rsidRPr="00237F57">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237F57" w:rsidR="003B6A1B" w:rsidP="00963EEF" w:rsidRDefault="003B6A1B" w14:paraId="0D03EC65" w14:textId="77777777">
            <w:pPr>
              <w:spacing w:before="60" w:after="60"/>
              <w:rPr>
                <w:color w:val="000000"/>
              </w:rPr>
            </w:pPr>
            <w:r w:rsidRPr="00237F57">
              <w:rPr>
                <w:color w:val="000000"/>
              </w:rPr>
              <w:t>**Travel and Reasonable Claim preparation time are typically compensated at ½ of preparer’s normal hourly rate</w:t>
            </w:r>
            <w:r w:rsidRPr="00237F57" w:rsidDel="00D075B1">
              <w:rPr>
                <w:color w:val="000000"/>
              </w:rPr>
              <w:t xml:space="preserve"> </w:t>
            </w:r>
          </w:p>
        </w:tc>
      </w:tr>
      <w:tr w:rsidRPr="00237F57" w:rsidR="003B6A1B"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37F57" w:rsidR="003B6A1B" w:rsidP="004A6FD4" w:rsidRDefault="003B6A1B" w14:paraId="48B43CBD" w14:textId="77777777">
            <w:pPr>
              <w:keepNext/>
              <w:spacing w:before="60" w:after="60"/>
              <w:jc w:val="center"/>
              <w:rPr>
                <w:b/>
                <w:smallCaps/>
                <w:color w:val="000000"/>
              </w:rPr>
            </w:pPr>
            <w:r w:rsidRPr="00237F57">
              <w:rPr>
                <w:b/>
                <w:smallCaps/>
                <w:color w:val="000000"/>
              </w:rPr>
              <w:t>ATTORNEY INFORMATION</w:t>
            </w:r>
          </w:p>
        </w:tc>
      </w:tr>
      <w:tr w:rsidRPr="00237F57" w:rsidR="003B6A1B"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237F57" w:rsidR="003B6A1B" w:rsidP="00E775D0" w:rsidRDefault="003B6A1B" w14:paraId="00CAC866" w14:textId="77777777">
            <w:pPr>
              <w:keepNext/>
              <w:keepLines/>
              <w:spacing w:before="60" w:after="60"/>
              <w:jc w:val="center"/>
              <w:rPr>
                <w:b/>
                <w:color w:val="000000"/>
              </w:rPr>
            </w:pPr>
            <w:r w:rsidRPr="00237F57">
              <w:rPr>
                <w:b/>
              </w:rPr>
              <w:t>Attorney</w:t>
            </w:r>
          </w:p>
        </w:tc>
        <w:tc>
          <w:tcPr>
            <w:tcW w:w="1909" w:type="dxa"/>
            <w:gridSpan w:val="3"/>
            <w:tcBorders>
              <w:top w:val="single" w:color="auto" w:sz="4" w:space="0"/>
              <w:bottom w:val="single" w:color="auto" w:sz="4" w:space="0"/>
            </w:tcBorders>
            <w:shd w:val="clear" w:color="auto" w:fill="FFFFFF"/>
            <w:vAlign w:val="bottom"/>
          </w:tcPr>
          <w:p w:rsidRPr="00237F57" w:rsidR="003B6A1B" w:rsidP="00E775D0" w:rsidRDefault="003B6A1B" w14:paraId="7E76A008" w14:textId="77777777">
            <w:pPr>
              <w:keepNext/>
              <w:keepLines/>
              <w:spacing w:before="60" w:after="60"/>
              <w:jc w:val="center"/>
              <w:rPr>
                <w:b/>
                <w:color w:val="000000"/>
              </w:rPr>
            </w:pPr>
            <w:r w:rsidRPr="00237F57">
              <w:rPr>
                <w:b/>
              </w:rPr>
              <w:t>Date Admitted to CA BAR</w:t>
            </w:r>
            <w:r w:rsidRPr="00237F57">
              <w:rPr>
                <w:rStyle w:val="FootnoteReference"/>
                <w:b/>
              </w:rPr>
              <w:footnoteReference w:id="3"/>
            </w:r>
          </w:p>
        </w:tc>
        <w:tc>
          <w:tcPr>
            <w:tcW w:w="2291" w:type="dxa"/>
            <w:gridSpan w:val="2"/>
            <w:tcBorders>
              <w:top w:val="single" w:color="auto" w:sz="4" w:space="0"/>
              <w:bottom w:val="single" w:color="auto" w:sz="4" w:space="0"/>
            </w:tcBorders>
            <w:shd w:val="clear" w:color="auto" w:fill="FFFFFF"/>
            <w:vAlign w:val="bottom"/>
          </w:tcPr>
          <w:p w:rsidRPr="00237F57" w:rsidR="003B6A1B" w:rsidP="00E775D0" w:rsidRDefault="003B6A1B" w14:paraId="27E64ED7" w14:textId="77777777">
            <w:pPr>
              <w:keepNext/>
              <w:keepLines/>
              <w:spacing w:before="60" w:after="60"/>
              <w:jc w:val="center"/>
              <w:rPr>
                <w:b/>
                <w:color w:val="000000"/>
              </w:rPr>
            </w:pPr>
            <w:r w:rsidRPr="00237F57">
              <w:rPr>
                <w:b/>
              </w:rPr>
              <w:t>Member Number</w:t>
            </w:r>
          </w:p>
        </w:tc>
        <w:tc>
          <w:tcPr>
            <w:tcW w:w="4268" w:type="dxa"/>
            <w:gridSpan w:val="4"/>
            <w:tcBorders>
              <w:top w:val="single" w:color="auto" w:sz="4" w:space="0"/>
              <w:bottom w:val="single" w:color="auto" w:sz="4" w:space="0"/>
            </w:tcBorders>
            <w:shd w:val="clear" w:color="auto" w:fill="FFFFFF"/>
            <w:vAlign w:val="bottom"/>
          </w:tcPr>
          <w:p w:rsidRPr="00237F57" w:rsidR="003B6A1B" w:rsidP="00E775D0" w:rsidRDefault="003B6A1B" w14:paraId="496B5DC1" w14:textId="77777777">
            <w:pPr>
              <w:keepNext/>
              <w:keepLines/>
              <w:spacing w:before="60" w:after="60"/>
              <w:jc w:val="center"/>
              <w:rPr>
                <w:b/>
              </w:rPr>
            </w:pPr>
            <w:r w:rsidRPr="00237F57">
              <w:rPr>
                <w:b/>
              </w:rPr>
              <w:t>Actions Affecting Eligibility (Yes/No?)</w:t>
            </w:r>
          </w:p>
          <w:p w:rsidRPr="00237F57" w:rsidR="003B6A1B" w:rsidP="00E775D0" w:rsidRDefault="003B6A1B" w14:paraId="36F8922D" w14:textId="77777777">
            <w:pPr>
              <w:keepNext/>
              <w:keepLines/>
              <w:spacing w:before="60" w:after="60"/>
              <w:jc w:val="center"/>
              <w:rPr>
                <w:b/>
                <w:color w:val="000000"/>
              </w:rPr>
            </w:pPr>
            <w:r w:rsidRPr="00237F57">
              <w:rPr>
                <w:b/>
              </w:rPr>
              <w:t>If “Yes”, attach explanation</w:t>
            </w:r>
          </w:p>
        </w:tc>
      </w:tr>
      <w:tr w:rsidRPr="00237F57" w:rsidR="003B6A1B" w:rsidTr="00B71945" w14:paraId="4DC5EE9B" w14:textId="77777777">
        <w:trPr>
          <w:trHeight w:val="172"/>
          <w:jc w:val="center"/>
        </w:trPr>
        <w:tc>
          <w:tcPr>
            <w:tcW w:w="2692" w:type="dxa"/>
            <w:gridSpan w:val="3"/>
            <w:tcBorders>
              <w:top w:val="single" w:color="auto" w:sz="4" w:space="0"/>
              <w:bottom w:val="single" w:color="auto" w:sz="4" w:space="0"/>
            </w:tcBorders>
          </w:tcPr>
          <w:p w:rsidRPr="00237F57" w:rsidR="003B6A1B" w:rsidP="001A3CF3" w:rsidRDefault="00777E94" w14:paraId="7266B7BF" w14:textId="1CED9D89">
            <w:pPr>
              <w:keepLines/>
              <w:spacing w:before="60" w:after="60"/>
              <w:jc w:val="center"/>
              <w:rPr>
                <w:color w:val="000000"/>
              </w:rPr>
            </w:pPr>
            <w:r w:rsidRPr="00237F57">
              <w:rPr>
                <w:color w:val="000000"/>
              </w:rPr>
              <w:t>April Maurath Sommer</w:t>
            </w:r>
          </w:p>
        </w:tc>
        <w:tc>
          <w:tcPr>
            <w:tcW w:w="1909" w:type="dxa"/>
            <w:gridSpan w:val="3"/>
            <w:tcBorders>
              <w:top w:val="single" w:color="auto" w:sz="4" w:space="0"/>
              <w:bottom w:val="single" w:color="auto" w:sz="4" w:space="0"/>
            </w:tcBorders>
          </w:tcPr>
          <w:p w:rsidRPr="00237F57" w:rsidR="003B6A1B" w:rsidP="001A3CF3" w:rsidRDefault="00777E94" w14:paraId="69A41F15" w14:textId="1C6F19F1">
            <w:pPr>
              <w:keepLines/>
              <w:spacing w:before="60" w:after="60"/>
              <w:jc w:val="center"/>
              <w:rPr>
                <w:color w:val="000000"/>
              </w:rPr>
            </w:pPr>
            <w:r w:rsidRPr="00237F57">
              <w:rPr>
                <w:color w:val="000000"/>
              </w:rPr>
              <w:t>2008</w:t>
            </w:r>
          </w:p>
        </w:tc>
        <w:tc>
          <w:tcPr>
            <w:tcW w:w="2291" w:type="dxa"/>
            <w:gridSpan w:val="2"/>
            <w:tcBorders>
              <w:top w:val="single" w:color="auto" w:sz="4" w:space="0"/>
              <w:bottom w:val="single" w:color="auto" w:sz="4" w:space="0"/>
            </w:tcBorders>
          </w:tcPr>
          <w:p w:rsidRPr="00237F57" w:rsidR="003B6A1B" w:rsidP="001A3CF3" w:rsidRDefault="00777E94" w14:paraId="58495CD7" w14:textId="49952416">
            <w:pPr>
              <w:keepLines/>
              <w:spacing w:before="60" w:after="60"/>
              <w:jc w:val="center"/>
              <w:rPr>
                <w:color w:val="000000"/>
              </w:rPr>
            </w:pPr>
            <w:r w:rsidRPr="00237F57">
              <w:rPr>
                <w:color w:val="000000"/>
              </w:rPr>
              <w:t>257967</w:t>
            </w:r>
          </w:p>
        </w:tc>
        <w:tc>
          <w:tcPr>
            <w:tcW w:w="4268" w:type="dxa"/>
            <w:gridSpan w:val="4"/>
            <w:tcBorders>
              <w:top w:val="single" w:color="auto" w:sz="4" w:space="0"/>
              <w:bottom w:val="single" w:color="auto" w:sz="4" w:space="0"/>
            </w:tcBorders>
          </w:tcPr>
          <w:p w:rsidRPr="00237F57" w:rsidR="003B6A1B" w:rsidP="001A3CF3" w:rsidRDefault="00777E94" w14:paraId="117B99BF" w14:textId="13802EB1">
            <w:pPr>
              <w:keepLines/>
              <w:spacing w:before="60" w:after="60"/>
              <w:jc w:val="center"/>
              <w:rPr>
                <w:color w:val="000000"/>
              </w:rPr>
            </w:pPr>
            <w:r w:rsidRPr="00237F57">
              <w:rPr>
                <w:color w:val="000000"/>
              </w:rPr>
              <w:t>No</w:t>
            </w:r>
          </w:p>
        </w:tc>
      </w:tr>
    </w:tbl>
    <w:p w:rsidRPr="001820AA" w:rsidR="00A92D0B" w:rsidP="001820AA" w:rsidRDefault="00A92D0B" w14:paraId="04BC309E" w14:textId="0FF1227B">
      <w:pPr>
        <w:keepNext/>
        <w:numPr>
          <w:ilvl w:val="0"/>
          <w:numId w:val="9"/>
        </w:numPr>
        <w:spacing w:before="240"/>
        <w:rPr>
          <w:b/>
          <w:color w:val="000000"/>
        </w:rPr>
      </w:pPr>
      <w:r w:rsidRPr="00237F57">
        <w:rPr>
          <w:b/>
          <w:color w:val="000000"/>
        </w:rPr>
        <w:lastRenderedPageBreak/>
        <w:t>Attachments</w:t>
      </w:r>
      <w:r w:rsidRPr="00237F57">
        <w:rPr>
          <w:b/>
        </w:rPr>
        <w:t xml:space="preserve"> Documenting Specific Claim and Comments on Part III</w:t>
      </w:r>
      <w:r w:rsidR="009143B6">
        <w:rPr>
          <w:rStyle w:val="FootnoteReference"/>
          <w:b/>
        </w:rPr>
        <w:footnoteReference w:id="4"/>
      </w:r>
      <w:r w:rsidRPr="00237F57" w:rsidR="00C02649">
        <w:rPr>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237F57" w:rsidR="00A92D0B" w:rsidTr="001A3CF3" w14:paraId="0C2B760A" w14:textId="77777777">
        <w:trPr>
          <w:tblHeader/>
        </w:trPr>
        <w:tc>
          <w:tcPr>
            <w:tcW w:w="1795" w:type="dxa"/>
            <w:shd w:val="clear" w:color="auto" w:fill="D9D9D9" w:themeFill="background1" w:themeFillShade="D9"/>
            <w:vAlign w:val="bottom"/>
          </w:tcPr>
          <w:p w:rsidRPr="00237F57" w:rsidR="00A92D0B" w:rsidP="001A3CF3" w:rsidRDefault="00A92D0B" w14:paraId="42A1D838" w14:textId="7109355A">
            <w:pPr>
              <w:tabs>
                <w:tab w:val="left" w:pos="1260"/>
              </w:tabs>
              <w:jc w:val="center"/>
              <w:rPr>
                <w:b/>
                <w:color w:val="000000"/>
              </w:rPr>
            </w:pPr>
            <w:r w:rsidRPr="00237F57">
              <w:rPr>
                <w:b/>
                <w:color w:val="000000"/>
              </w:rPr>
              <w:t xml:space="preserve">Attachment or </w:t>
            </w:r>
            <w:r w:rsidRPr="00237F57" w:rsidR="00281089">
              <w:rPr>
                <w:b/>
                <w:color w:val="000000"/>
              </w:rPr>
              <w:t>Comment #</w:t>
            </w:r>
          </w:p>
        </w:tc>
        <w:tc>
          <w:tcPr>
            <w:tcW w:w="7565" w:type="dxa"/>
            <w:tcBorders>
              <w:bottom w:val="single" w:color="auto" w:sz="4" w:space="0"/>
            </w:tcBorders>
            <w:shd w:val="clear" w:color="auto" w:fill="D9D9D9" w:themeFill="background1" w:themeFillShade="D9"/>
            <w:vAlign w:val="bottom"/>
          </w:tcPr>
          <w:p w:rsidRPr="00237F57" w:rsidR="00A92D0B" w:rsidP="001A3CF3" w:rsidRDefault="00A92D0B" w14:paraId="55F0A65F" w14:textId="77777777">
            <w:pPr>
              <w:tabs>
                <w:tab w:val="left" w:pos="1260"/>
              </w:tabs>
              <w:jc w:val="center"/>
              <w:rPr>
                <w:b/>
                <w:color w:val="000000"/>
              </w:rPr>
            </w:pPr>
            <w:r w:rsidRPr="00237F57">
              <w:rPr>
                <w:b/>
                <w:color w:val="000000"/>
              </w:rPr>
              <w:t>Description/Comment</w:t>
            </w:r>
          </w:p>
        </w:tc>
      </w:tr>
      <w:tr w:rsidRPr="00237F57" w:rsidR="00777E94" w:rsidTr="00BA07E5" w14:paraId="71F47148" w14:textId="77777777">
        <w:tc>
          <w:tcPr>
            <w:tcW w:w="1795" w:type="dxa"/>
            <w:tcBorders>
              <w:bottom w:val="single" w:color="auto" w:sz="4" w:space="0"/>
            </w:tcBorders>
          </w:tcPr>
          <w:p w:rsidRPr="00237F57" w:rsidR="00777E94" w:rsidP="00777E94" w:rsidRDefault="00777E94" w14:paraId="7A5C03D8" w14:textId="1E324B36">
            <w:pPr>
              <w:tabs>
                <w:tab w:val="left" w:pos="1260"/>
              </w:tabs>
              <w:rPr>
                <w:color w:val="000000"/>
              </w:rPr>
            </w:pPr>
            <w:r w:rsidRPr="00237F57">
              <w:rPr>
                <w:color w:val="000000"/>
              </w:rPr>
              <w:t>Comment 1</w:t>
            </w:r>
          </w:p>
        </w:tc>
        <w:tc>
          <w:tcPr>
            <w:tcW w:w="7565" w:type="dxa"/>
            <w:tcBorders>
              <w:bottom w:val="single" w:color="auto" w:sz="4" w:space="0"/>
            </w:tcBorders>
          </w:tcPr>
          <w:p w:rsidRPr="00237F57" w:rsidR="00777E94" w:rsidP="00777E94" w:rsidRDefault="00777E94" w14:paraId="0DDE855F" w14:textId="77777777">
            <w:pPr>
              <w:tabs>
                <w:tab w:val="left" w:pos="1260"/>
              </w:tabs>
              <w:rPr>
                <w:color w:val="000000"/>
              </w:rPr>
            </w:pPr>
            <w:r w:rsidRPr="00237F57">
              <w:rPr>
                <w:color w:val="000000"/>
              </w:rPr>
              <w:t>Fair Market Rate for Attorney April Maurath Sommer</w:t>
            </w:r>
          </w:p>
          <w:p w:rsidRPr="00237F57" w:rsidR="00777E94" w:rsidP="00777E94" w:rsidRDefault="00777E94" w14:paraId="2CAF56F1" w14:textId="77777777">
            <w:pPr>
              <w:tabs>
                <w:tab w:val="left" w:pos="1260"/>
              </w:tabs>
              <w:rPr>
                <w:color w:val="000000"/>
              </w:rPr>
            </w:pPr>
          </w:p>
          <w:p w:rsidRPr="00237F57" w:rsidR="00777E94" w:rsidP="00777E94" w:rsidRDefault="00777E94" w14:paraId="5DA735B0" w14:textId="53C62BBB">
            <w:pPr>
              <w:tabs>
                <w:tab w:val="left" w:pos="1260"/>
              </w:tabs>
              <w:rPr>
                <w:color w:val="000000"/>
              </w:rPr>
            </w:pPr>
            <w:r w:rsidRPr="00237F57">
              <w:rPr>
                <w:color w:val="000000"/>
              </w:rPr>
              <w:t xml:space="preserve">As demonstrated by the resume attached to this claim, in 2022 </w:t>
            </w:r>
            <w:r w:rsidR="00AA5475">
              <w:rPr>
                <w:color w:val="000000"/>
              </w:rPr>
              <w:t xml:space="preserve">April </w:t>
            </w:r>
            <w:r w:rsidRPr="00237F57">
              <w:rPr>
                <w:color w:val="000000"/>
              </w:rPr>
              <w:t xml:space="preserve">Maurath Sommer had 14 years of experience as an attorney, all of them specifically in work either before the Commission or directly relevant to work at the Commission in environmental, regulatory, and energy law.  Maurath Sommer is not only exceptionally qualified as an attorney practicing before the </w:t>
            </w:r>
            <w:proofErr w:type="gramStart"/>
            <w:r w:rsidRPr="00237F57">
              <w:rPr>
                <w:color w:val="000000"/>
              </w:rPr>
              <w:t>Commission, but</w:t>
            </w:r>
            <w:proofErr w:type="gramEnd"/>
            <w:r w:rsidRPr="00237F57">
              <w:rPr>
                <w:color w:val="000000"/>
              </w:rPr>
              <w:t xml:space="preserve"> also has additional experience and responsibility as a legal director of two organizations with significant experience as intervenors before the Commission.   </w:t>
            </w:r>
          </w:p>
          <w:p w:rsidRPr="00237F57" w:rsidR="00777E94" w:rsidP="00777E94" w:rsidRDefault="00777E94" w14:paraId="72C38E7B" w14:textId="77777777">
            <w:pPr>
              <w:tabs>
                <w:tab w:val="left" w:pos="1260"/>
              </w:tabs>
              <w:rPr>
                <w:color w:val="000000"/>
              </w:rPr>
            </w:pPr>
          </w:p>
          <w:p w:rsidRPr="00237F57" w:rsidR="00777E94" w:rsidP="00777E94" w:rsidRDefault="00777E94" w14:paraId="533DF3F4" w14:textId="279CEBE1">
            <w:pPr>
              <w:tabs>
                <w:tab w:val="left" w:pos="1260"/>
              </w:tabs>
              <w:rPr>
                <w:color w:val="000000"/>
              </w:rPr>
            </w:pPr>
            <w:r w:rsidRPr="00237F57">
              <w:rPr>
                <w:color w:val="000000"/>
              </w:rPr>
              <w:t xml:space="preserve">Resolution ALJ-393’s hourly rate chart states, for the attorney role, “higher experience levels should have experience with areas of law and procedures relevant to CPUC matters, such as environmental law or utility regulation.”  All of Maurath Sommer’s </w:t>
            </w:r>
            <w:proofErr w:type="spellStart"/>
            <w:r w:rsidRPr="00237F57">
              <w:rPr>
                <w:color w:val="000000"/>
              </w:rPr>
              <w:t>years experience</w:t>
            </w:r>
            <w:proofErr w:type="spellEnd"/>
            <w:r w:rsidRPr="00237F57">
              <w:rPr>
                <w:color w:val="000000"/>
              </w:rPr>
              <w:t xml:space="preserve"> meets this requirement and, in addition, as of 2024, 11 years of </w:t>
            </w:r>
            <w:proofErr w:type="gramStart"/>
            <w:r w:rsidRPr="00237F57">
              <w:rPr>
                <w:color w:val="000000"/>
              </w:rPr>
              <w:t>her experience</w:t>
            </w:r>
            <w:proofErr w:type="gramEnd"/>
            <w:r w:rsidRPr="00237F57">
              <w:rPr>
                <w:color w:val="000000"/>
              </w:rPr>
              <w:t xml:space="preserve"> has been in practice before the Commission, and 9 years of her experience as an attorney has also been as a legal director for ratepayer </w:t>
            </w:r>
            <w:proofErr w:type="spellStart"/>
            <w:r w:rsidRPr="00237F57">
              <w:rPr>
                <w:color w:val="000000"/>
              </w:rPr>
              <w:t>advocat</w:t>
            </w:r>
            <w:r w:rsidRPr="00237F57" w:rsidR="0032312B">
              <w:rPr>
                <w:color w:val="000000"/>
              </w:rPr>
              <w:t>cy</w:t>
            </w:r>
            <w:proofErr w:type="spellEnd"/>
            <w:r w:rsidRPr="00237F57">
              <w:rPr>
                <w:color w:val="000000"/>
              </w:rPr>
              <w:t xml:space="preserve"> organizations.    </w:t>
            </w:r>
          </w:p>
          <w:p w:rsidRPr="00237F57" w:rsidR="00777E94" w:rsidP="00777E94" w:rsidRDefault="00777E94" w14:paraId="0AC4A771" w14:textId="77777777">
            <w:pPr>
              <w:tabs>
                <w:tab w:val="left" w:pos="1260"/>
              </w:tabs>
              <w:rPr>
                <w:color w:val="000000"/>
              </w:rPr>
            </w:pPr>
          </w:p>
          <w:p w:rsidRPr="00237F57" w:rsidR="00777E94" w:rsidP="00777E94" w:rsidRDefault="00777E94" w14:paraId="091BCFD6" w14:textId="77777777">
            <w:pPr>
              <w:tabs>
                <w:tab w:val="left" w:pos="1260"/>
              </w:tabs>
              <w:rPr>
                <w:color w:val="000000"/>
              </w:rPr>
            </w:pPr>
            <w:r w:rsidRPr="00237F57">
              <w:rPr>
                <w:color w:val="000000"/>
              </w:rPr>
              <w:t xml:space="preserve">Pursuant to Resolution ALJ-393’s hourly rate chart, Maurath Sommer’s 2022 rate should be calculated based on the Attorney IV (10-15 years) 2022 range $398.27 - $635.75.  Based upon Maurath Sommer’s 14 years’ experience as an attorney, Maurath Sommer’s 2022 fair market rate as an attorney should be at the upper end of the Attorney IV (10-15 years) range of no less than $600.  </w:t>
            </w:r>
          </w:p>
          <w:p w:rsidRPr="00237F57" w:rsidR="00777E94" w:rsidP="00777E94" w:rsidRDefault="00777E94" w14:paraId="0B00F5AD" w14:textId="77777777">
            <w:pPr>
              <w:tabs>
                <w:tab w:val="left" w:pos="1260"/>
              </w:tabs>
              <w:rPr>
                <w:color w:val="000000"/>
              </w:rPr>
            </w:pPr>
          </w:p>
          <w:p w:rsidRPr="00237F57" w:rsidR="00777E94" w:rsidP="00777E94" w:rsidRDefault="00777E94" w14:paraId="3EDD926A" w14:textId="77777777">
            <w:pPr>
              <w:tabs>
                <w:tab w:val="left" w:pos="1260"/>
              </w:tabs>
              <w:rPr>
                <w:color w:val="000000"/>
              </w:rPr>
            </w:pPr>
            <w:r w:rsidRPr="00237F57">
              <w:rPr>
                <w:color w:val="000000"/>
              </w:rPr>
              <w:t xml:space="preserve">For 2023, with 15 years’ experience, Maurath Sommer’s rate should be at the top of the Attorney IV (10-15 years) 2023 range of $658.66.  </w:t>
            </w:r>
          </w:p>
          <w:p w:rsidRPr="00237F57" w:rsidR="00777E94" w:rsidP="00777E94" w:rsidRDefault="00777E94" w14:paraId="5546B88F" w14:textId="77777777">
            <w:pPr>
              <w:tabs>
                <w:tab w:val="left" w:pos="1260"/>
              </w:tabs>
              <w:rPr>
                <w:color w:val="000000"/>
              </w:rPr>
            </w:pPr>
          </w:p>
          <w:p w:rsidRPr="00237F57" w:rsidR="00777E94" w:rsidP="00777E94" w:rsidRDefault="00777E94" w14:paraId="370C67BC" w14:textId="3BC92704">
            <w:pPr>
              <w:tabs>
                <w:tab w:val="left" w:pos="1260"/>
              </w:tabs>
              <w:rPr>
                <w:color w:val="000000"/>
              </w:rPr>
            </w:pPr>
            <w:r w:rsidRPr="00237F57">
              <w:rPr>
                <w:color w:val="000000"/>
              </w:rPr>
              <w:t>There was no work done on this case in 2023, but intervenor compensation claim preparation was completed by Maurath Sommer in 2024.  The rate chart does not presently include rates for 2024 but with 15+ years’ experience in 2024, Maurath Sommer’s 2024 fair market rate should at least be at the high rate for the Attorney IV (10-15 years) range for 2023 which is $658.66.</w:t>
            </w:r>
          </w:p>
        </w:tc>
      </w:tr>
      <w:tr w:rsidRPr="00237F57" w:rsidR="00777E94" w:rsidTr="00BA07E5" w14:paraId="72C869B0" w14:textId="77777777">
        <w:tc>
          <w:tcPr>
            <w:tcW w:w="1795" w:type="dxa"/>
          </w:tcPr>
          <w:p w:rsidRPr="00237F57" w:rsidR="00777E94" w:rsidP="00777E94" w:rsidRDefault="00777E94" w14:paraId="49AADD21" w14:textId="14484422">
            <w:pPr>
              <w:tabs>
                <w:tab w:val="left" w:pos="1260"/>
              </w:tabs>
              <w:rPr>
                <w:color w:val="000000"/>
              </w:rPr>
            </w:pPr>
            <w:r w:rsidRPr="00237F57">
              <w:rPr>
                <w:color w:val="000000"/>
              </w:rPr>
              <w:t>Comment 2</w:t>
            </w:r>
          </w:p>
        </w:tc>
        <w:tc>
          <w:tcPr>
            <w:tcW w:w="7565" w:type="dxa"/>
          </w:tcPr>
          <w:p w:rsidRPr="00237F57" w:rsidR="005B3BAB" w:rsidP="00777E94" w:rsidRDefault="001B3685" w14:paraId="225B0761" w14:textId="4F0D2B76">
            <w:pPr>
              <w:tabs>
                <w:tab w:val="left" w:pos="1260"/>
              </w:tabs>
              <w:rPr>
                <w:color w:val="000000"/>
              </w:rPr>
            </w:pPr>
            <w:r w:rsidRPr="00237F57">
              <w:rPr>
                <w:color w:val="000000"/>
              </w:rPr>
              <w:t>Fair Market Rate for Expert Robin McCollum</w:t>
            </w:r>
          </w:p>
          <w:p w:rsidRPr="00237F57" w:rsidR="005B3BAB" w:rsidP="00777E94" w:rsidRDefault="005B3BAB" w14:paraId="68364B04" w14:textId="77777777">
            <w:pPr>
              <w:tabs>
                <w:tab w:val="left" w:pos="1260"/>
              </w:tabs>
              <w:rPr>
                <w:color w:val="000000"/>
              </w:rPr>
            </w:pPr>
          </w:p>
          <w:p w:rsidRPr="00237F57" w:rsidR="001B3685" w:rsidP="001B3685" w:rsidRDefault="001B3685" w14:paraId="5E4B5374" w14:textId="7B6A213C">
            <w:pPr>
              <w:tabs>
                <w:tab w:val="left" w:pos="1260"/>
              </w:tabs>
              <w:rPr>
                <w:color w:val="000000"/>
              </w:rPr>
            </w:pPr>
            <w:r w:rsidRPr="00237F57">
              <w:rPr>
                <w:color w:val="000000"/>
              </w:rPr>
              <w:t>As demonstrated in testimony and by the resume attached to this claim,</w:t>
            </w:r>
            <w:r w:rsidRPr="00237F57">
              <w:t xml:space="preserve"> </w:t>
            </w:r>
            <w:r w:rsidRPr="00237F57">
              <w:rPr>
                <w:color w:val="000000"/>
              </w:rPr>
              <w:t xml:space="preserve">Robin McCollum has 35 </w:t>
            </w:r>
            <w:proofErr w:type="spellStart"/>
            <w:r w:rsidRPr="00237F57">
              <w:rPr>
                <w:color w:val="000000"/>
              </w:rPr>
              <w:t>years experience</w:t>
            </w:r>
            <w:proofErr w:type="spellEnd"/>
            <w:r w:rsidRPr="00237F57">
              <w:rPr>
                <w:color w:val="000000"/>
              </w:rPr>
              <w:t xml:space="preserve"> as a wildland firefighter, certified </w:t>
            </w:r>
            <w:r w:rsidRPr="00237F57">
              <w:rPr>
                <w:color w:val="000000"/>
              </w:rPr>
              <w:lastRenderedPageBreak/>
              <w:t>forester, and certified arborist in which he gained on-the-ground experience in wildfire prevention and mitigation strategies and in working with and against PG&amp;E in construction and maintenance of their infrastructure.</w:t>
            </w:r>
          </w:p>
          <w:p w:rsidRPr="00237F57" w:rsidR="00777E94" w:rsidP="00777E94" w:rsidRDefault="00D13006" w14:paraId="3AF20C23" w14:textId="32CDA8C6">
            <w:pPr>
              <w:tabs>
                <w:tab w:val="left" w:pos="1260"/>
              </w:tabs>
              <w:rPr>
                <w:b/>
                <w:color w:val="000000"/>
              </w:rPr>
            </w:pPr>
            <w:r w:rsidRPr="00237F57">
              <w:rPr>
                <w:color w:val="000000"/>
              </w:rPr>
              <w:t>The labor categories in Res</w:t>
            </w:r>
            <w:r w:rsidRPr="00237F57" w:rsidR="001B3685">
              <w:rPr>
                <w:color w:val="000000"/>
              </w:rPr>
              <w:t>olution</w:t>
            </w:r>
            <w:r w:rsidRPr="00237F57">
              <w:rPr>
                <w:color w:val="000000"/>
              </w:rPr>
              <w:t xml:space="preserve"> ALJ-393 do not include</w:t>
            </w:r>
            <w:r w:rsidRPr="00237F57" w:rsidR="005B3BAB">
              <w:rPr>
                <w:color w:val="000000"/>
              </w:rPr>
              <w:t xml:space="preserve"> a category that accurately captures expert </w:t>
            </w:r>
            <w:r w:rsidRPr="00237F57">
              <w:rPr>
                <w:color w:val="000000"/>
              </w:rPr>
              <w:t xml:space="preserve">McCollum’s </w:t>
            </w:r>
            <w:r w:rsidRPr="00237F57" w:rsidR="001B3685">
              <w:rPr>
                <w:color w:val="000000"/>
              </w:rPr>
              <w:t xml:space="preserve">multifaceted experience in local government, forest management, and fire prevention and mitigation. </w:t>
            </w:r>
            <w:r w:rsidRPr="00237F57">
              <w:rPr>
                <w:color w:val="000000"/>
              </w:rPr>
              <w:t xml:space="preserve">For experts (unclassified) with 15+ </w:t>
            </w:r>
            <w:proofErr w:type="spellStart"/>
            <w:proofErr w:type="gramStart"/>
            <w:r w:rsidRPr="00237F57">
              <w:rPr>
                <w:color w:val="000000"/>
              </w:rPr>
              <w:t>years</w:t>
            </w:r>
            <w:proofErr w:type="gramEnd"/>
            <w:r w:rsidRPr="00237F57">
              <w:rPr>
                <w:color w:val="000000"/>
              </w:rPr>
              <w:t xml:space="preserve"> experience</w:t>
            </w:r>
            <w:proofErr w:type="spellEnd"/>
            <w:r w:rsidRPr="00237F57">
              <w:rPr>
                <w:color w:val="000000"/>
              </w:rPr>
              <w:t xml:space="preserve">, the </w:t>
            </w:r>
            <w:r w:rsidRPr="00237F57" w:rsidR="001B3685">
              <w:rPr>
                <w:color w:val="000000"/>
              </w:rPr>
              <w:t xml:space="preserve">Res. ALJ-393 hourly rate chart </w:t>
            </w:r>
            <w:r w:rsidRPr="00237F57">
              <w:rPr>
                <w:color w:val="000000"/>
              </w:rPr>
              <w:t xml:space="preserve">range is $219.12 - $356.50. </w:t>
            </w:r>
            <w:r w:rsidR="00EF7327">
              <w:rPr>
                <w:rStyle w:val="FootnoteReference"/>
                <w:color w:val="000000"/>
              </w:rPr>
              <w:footnoteReference w:id="5"/>
            </w:r>
            <w:r w:rsidRPr="00237F57">
              <w:rPr>
                <w:color w:val="000000"/>
              </w:rPr>
              <w:t xml:space="preserve"> A reasonable market rate for an expert with McCollum’s experience is $225.</w:t>
            </w:r>
          </w:p>
        </w:tc>
      </w:tr>
      <w:tr w:rsidRPr="00237F57" w:rsidR="00777E94" w:rsidTr="00BA07E5" w14:paraId="6C218C8F" w14:textId="77777777">
        <w:tc>
          <w:tcPr>
            <w:tcW w:w="1795" w:type="dxa"/>
          </w:tcPr>
          <w:p w:rsidRPr="00237F57" w:rsidR="00777E94" w:rsidP="00777E94" w:rsidRDefault="00777E94" w14:paraId="05D01200" w14:textId="563EE443">
            <w:pPr>
              <w:tabs>
                <w:tab w:val="left" w:pos="1260"/>
              </w:tabs>
              <w:rPr>
                <w:color w:val="000000"/>
              </w:rPr>
            </w:pPr>
            <w:r w:rsidRPr="00237F57">
              <w:rPr>
                <w:color w:val="000000"/>
              </w:rPr>
              <w:lastRenderedPageBreak/>
              <w:t>Attachment 1</w:t>
            </w:r>
          </w:p>
        </w:tc>
        <w:tc>
          <w:tcPr>
            <w:tcW w:w="7565" w:type="dxa"/>
          </w:tcPr>
          <w:p w:rsidRPr="00237F57" w:rsidR="00777E94" w:rsidP="00777E94" w:rsidRDefault="00777E94" w14:paraId="1A4F37EF" w14:textId="1F0371FD">
            <w:pPr>
              <w:tabs>
                <w:tab w:val="left" w:pos="1260"/>
              </w:tabs>
              <w:rPr>
                <w:b/>
                <w:color w:val="000000"/>
              </w:rPr>
            </w:pPr>
            <w:r w:rsidRPr="00237F57">
              <w:rPr>
                <w:color w:val="000000"/>
              </w:rPr>
              <w:t>Certificate of Service</w:t>
            </w:r>
          </w:p>
        </w:tc>
      </w:tr>
      <w:tr w:rsidRPr="00237F57" w:rsidR="00777E94" w:rsidTr="00BA07E5" w14:paraId="591E82A5" w14:textId="77777777">
        <w:tc>
          <w:tcPr>
            <w:tcW w:w="1795" w:type="dxa"/>
          </w:tcPr>
          <w:p w:rsidRPr="00237F57" w:rsidR="00777E94" w:rsidP="00777E94" w:rsidRDefault="00777E94" w14:paraId="563330E8" w14:textId="3B772791">
            <w:pPr>
              <w:tabs>
                <w:tab w:val="left" w:pos="1260"/>
              </w:tabs>
              <w:rPr>
                <w:color w:val="000000"/>
              </w:rPr>
            </w:pPr>
            <w:r w:rsidRPr="00237F57">
              <w:rPr>
                <w:color w:val="000000"/>
              </w:rPr>
              <w:t>Attachment 2</w:t>
            </w:r>
          </w:p>
        </w:tc>
        <w:tc>
          <w:tcPr>
            <w:tcW w:w="7565" w:type="dxa"/>
          </w:tcPr>
          <w:p w:rsidRPr="00237F57" w:rsidR="00777E94" w:rsidP="00777E94" w:rsidRDefault="00777E94" w14:paraId="04E826A0" w14:textId="244924E3">
            <w:pPr>
              <w:tabs>
                <w:tab w:val="left" w:pos="1260"/>
              </w:tabs>
              <w:rPr>
                <w:b/>
                <w:color w:val="000000"/>
              </w:rPr>
            </w:pPr>
            <w:r w:rsidRPr="00237F57">
              <w:rPr>
                <w:color w:val="000000"/>
              </w:rPr>
              <w:t>Timesheets of April Maurath Sommer</w:t>
            </w:r>
            <w:r w:rsidR="00AA5475">
              <w:rPr>
                <w:color w:val="000000"/>
              </w:rPr>
              <w:t>, Robin McCollum</w:t>
            </w:r>
          </w:p>
        </w:tc>
      </w:tr>
      <w:tr w:rsidRPr="00237F57" w:rsidR="00777E94" w:rsidTr="00BA07E5" w14:paraId="7704281A" w14:textId="77777777">
        <w:tc>
          <w:tcPr>
            <w:tcW w:w="1795" w:type="dxa"/>
          </w:tcPr>
          <w:p w:rsidRPr="00237F57" w:rsidR="00777E94" w:rsidP="00777E94" w:rsidRDefault="00777E94" w14:paraId="324968AC" w14:textId="5940654A">
            <w:pPr>
              <w:tabs>
                <w:tab w:val="left" w:pos="1260"/>
              </w:tabs>
              <w:rPr>
                <w:color w:val="000000"/>
              </w:rPr>
            </w:pPr>
            <w:r w:rsidRPr="00237F57">
              <w:rPr>
                <w:color w:val="000000"/>
              </w:rPr>
              <w:t>Attachment 3</w:t>
            </w:r>
          </w:p>
        </w:tc>
        <w:tc>
          <w:tcPr>
            <w:tcW w:w="7565" w:type="dxa"/>
          </w:tcPr>
          <w:p w:rsidRPr="00237F57" w:rsidR="00777E94" w:rsidP="00777E94" w:rsidRDefault="00777E94" w14:paraId="4541591B" w14:textId="2FF6E64F">
            <w:pPr>
              <w:tabs>
                <w:tab w:val="left" w:pos="1260"/>
              </w:tabs>
              <w:rPr>
                <w:b/>
                <w:color w:val="000000"/>
              </w:rPr>
            </w:pPr>
            <w:r w:rsidRPr="00237F57">
              <w:rPr>
                <w:color w:val="000000"/>
              </w:rPr>
              <w:t>Bio and Resume of April Maurath Sommer</w:t>
            </w:r>
          </w:p>
        </w:tc>
      </w:tr>
      <w:tr w:rsidRPr="00237F57" w:rsidR="00777E94" w:rsidTr="00BA07E5" w14:paraId="6E7B51C9" w14:textId="77777777">
        <w:tc>
          <w:tcPr>
            <w:tcW w:w="1795" w:type="dxa"/>
          </w:tcPr>
          <w:p w:rsidRPr="00237F57" w:rsidR="00777E94" w:rsidP="00777E94" w:rsidRDefault="00777E94" w14:paraId="758353F2" w14:textId="7AAC1B97">
            <w:pPr>
              <w:tabs>
                <w:tab w:val="left" w:pos="1260"/>
              </w:tabs>
              <w:rPr>
                <w:color w:val="000000"/>
              </w:rPr>
            </w:pPr>
            <w:r w:rsidRPr="00237F57">
              <w:rPr>
                <w:color w:val="000000"/>
              </w:rPr>
              <w:t>Attachment 4</w:t>
            </w:r>
          </w:p>
        </w:tc>
        <w:tc>
          <w:tcPr>
            <w:tcW w:w="7565" w:type="dxa"/>
          </w:tcPr>
          <w:p w:rsidRPr="00237F57" w:rsidR="00777E94" w:rsidP="00777E94" w:rsidRDefault="00777E94" w14:paraId="4A385756" w14:textId="4B162EB2">
            <w:pPr>
              <w:tabs>
                <w:tab w:val="left" w:pos="1260"/>
              </w:tabs>
              <w:rPr>
                <w:b/>
                <w:color w:val="000000"/>
              </w:rPr>
            </w:pPr>
            <w:r w:rsidRPr="00237F57">
              <w:rPr>
                <w:color w:val="000000"/>
              </w:rPr>
              <w:t>Resume</w:t>
            </w:r>
            <w:r w:rsidR="00AA5475">
              <w:rPr>
                <w:color w:val="000000"/>
              </w:rPr>
              <w:t xml:space="preserve"> of Robin McCollum</w:t>
            </w:r>
          </w:p>
        </w:tc>
      </w:tr>
    </w:tbl>
    <w:p w:rsidRPr="00237F57" w:rsidR="00A92D0B" w:rsidP="005B5B44" w:rsidRDefault="00A92D0B" w14:paraId="0D8B7003" w14:textId="44FDDC0F">
      <w:pPr>
        <w:keepNext/>
        <w:numPr>
          <w:ilvl w:val="0"/>
          <w:numId w:val="9"/>
        </w:numPr>
        <w:spacing w:before="240" w:after="240"/>
        <w:rPr>
          <w:b/>
          <w:color w:val="000000"/>
        </w:rPr>
      </w:pPr>
      <w:r w:rsidRPr="00237F57">
        <w:rPr>
          <w:b/>
          <w:color w:val="000000"/>
        </w:rPr>
        <w:t xml:space="preserve">CPUC </w:t>
      </w:r>
      <w:r w:rsidRPr="00237F57" w:rsidR="008C09F7">
        <w:rPr>
          <w:b/>
          <w:color w:val="000000"/>
        </w:rPr>
        <w:t xml:space="preserve">Comments, </w:t>
      </w:r>
      <w:r w:rsidRPr="00237F57">
        <w:rPr>
          <w:b/>
          <w:color w:val="000000"/>
        </w:rPr>
        <w:t>Disallowances</w:t>
      </w:r>
      <w:r w:rsidRPr="00237F57" w:rsidR="008C09F7">
        <w:rPr>
          <w:b/>
          <w:color w:val="000000"/>
        </w:rPr>
        <w:t>,</w:t>
      </w:r>
      <w:r w:rsidRPr="00237F57" w:rsidR="00D075B1">
        <w:rPr>
          <w:b/>
          <w:color w:val="000000"/>
        </w:rPr>
        <w:t xml:space="preserve"> </w:t>
      </w:r>
      <w:r w:rsidRPr="00237F57" w:rsidR="00A319DE">
        <w:rPr>
          <w:b/>
          <w:color w:val="000000"/>
        </w:rPr>
        <w:t>and</w:t>
      </w:r>
      <w:r w:rsidRPr="00237F57" w:rsidR="00D075B1">
        <w:rPr>
          <w:b/>
          <w:color w:val="000000"/>
        </w:rPr>
        <w:t xml:space="preserve"> </w:t>
      </w:r>
      <w:r w:rsidRPr="00237F57">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16"/>
        <w:gridCol w:w="7744"/>
      </w:tblGrid>
      <w:tr w:rsidRPr="00237F57" w:rsidR="00A92D0B" w:rsidTr="00992640" w14:paraId="52CD0603" w14:textId="77777777">
        <w:trPr>
          <w:tblHeader/>
        </w:trPr>
        <w:tc>
          <w:tcPr>
            <w:tcW w:w="1616" w:type="dxa"/>
            <w:shd w:val="pct12" w:color="auto" w:fill="auto"/>
          </w:tcPr>
          <w:p w:rsidRPr="00237F57" w:rsidR="00A92D0B" w:rsidP="00EB64CF" w:rsidRDefault="00072C81" w14:paraId="3954EC4C" w14:textId="77777777">
            <w:pPr>
              <w:tabs>
                <w:tab w:val="left" w:pos="1440"/>
              </w:tabs>
              <w:jc w:val="center"/>
              <w:rPr>
                <w:b/>
                <w:color w:val="000000"/>
              </w:rPr>
            </w:pPr>
            <w:r w:rsidRPr="00237F57">
              <w:rPr>
                <w:b/>
                <w:color w:val="000000"/>
              </w:rPr>
              <w:t>Item</w:t>
            </w:r>
          </w:p>
        </w:tc>
        <w:tc>
          <w:tcPr>
            <w:tcW w:w="7744" w:type="dxa"/>
            <w:shd w:val="pct12" w:color="auto" w:fill="auto"/>
          </w:tcPr>
          <w:p w:rsidRPr="00237F57" w:rsidR="00A92D0B" w:rsidP="00EB64CF" w:rsidRDefault="00A92D0B" w14:paraId="09F9E4D9" w14:textId="77777777">
            <w:pPr>
              <w:tabs>
                <w:tab w:val="left" w:pos="1440"/>
              </w:tabs>
              <w:jc w:val="center"/>
              <w:rPr>
                <w:b/>
                <w:color w:val="000000"/>
              </w:rPr>
            </w:pPr>
            <w:r w:rsidRPr="00237F57">
              <w:rPr>
                <w:b/>
                <w:color w:val="000000"/>
              </w:rPr>
              <w:t>Reason</w:t>
            </w:r>
          </w:p>
        </w:tc>
      </w:tr>
      <w:tr w:rsidRPr="00237F57" w:rsidR="00A92D0B" w:rsidTr="00992640" w14:paraId="69DEE01C" w14:textId="77777777">
        <w:tc>
          <w:tcPr>
            <w:tcW w:w="1616" w:type="dxa"/>
          </w:tcPr>
          <w:p w:rsidRPr="00214D4C" w:rsidR="00A92D0B" w:rsidP="00EB64CF" w:rsidRDefault="00DA346E" w14:paraId="1E6C8F3D" w14:textId="32EC63A6">
            <w:pPr>
              <w:tabs>
                <w:tab w:val="left" w:pos="1440"/>
              </w:tabs>
              <w:rPr>
                <w:color w:val="000000"/>
              </w:rPr>
            </w:pPr>
            <w:r w:rsidRPr="00214D4C">
              <w:rPr>
                <w:color w:val="000000"/>
              </w:rPr>
              <w:t>[1] Sommer</w:t>
            </w:r>
            <w:r w:rsidRPr="00214D4C" w:rsidR="00CB4685">
              <w:rPr>
                <w:color w:val="000000"/>
              </w:rPr>
              <w:t>’s</w:t>
            </w:r>
            <w:r w:rsidRPr="00214D4C">
              <w:rPr>
                <w:color w:val="000000"/>
              </w:rPr>
              <w:t xml:space="preserve"> 2022 </w:t>
            </w:r>
            <w:r w:rsidRPr="00214D4C" w:rsidR="00CB4685">
              <w:rPr>
                <w:color w:val="000000"/>
              </w:rPr>
              <w:t xml:space="preserve">and </w:t>
            </w:r>
            <w:r w:rsidRPr="00214D4C" w:rsidR="001000F0">
              <w:rPr>
                <w:color w:val="000000"/>
              </w:rPr>
              <w:t xml:space="preserve">2024 </w:t>
            </w:r>
            <w:r w:rsidRPr="00214D4C" w:rsidR="00CB4685">
              <w:rPr>
                <w:color w:val="000000"/>
              </w:rPr>
              <w:t>Hourly Rates</w:t>
            </w:r>
          </w:p>
        </w:tc>
        <w:tc>
          <w:tcPr>
            <w:tcW w:w="7744" w:type="dxa"/>
          </w:tcPr>
          <w:p w:rsidRPr="00214D4C" w:rsidR="006E7D0C" w:rsidP="00EB64CF" w:rsidRDefault="000F0F28" w14:paraId="6B2159D2" w14:textId="3AF6295F">
            <w:pPr>
              <w:tabs>
                <w:tab w:val="left" w:pos="1440"/>
              </w:tabs>
              <w:rPr>
                <w:color w:val="000000"/>
              </w:rPr>
            </w:pPr>
            <w:r w:rsidRPr="00214D4C">
              <w:rPr>
                <w:color w:val="000000"/>
              </w:rPr>
              <w:t>D.</w:t>
            </w:r>
            <w:r w:rsidRPr="00214D4C" w:rsidR="00144251">
              <w:rPr>
                <w:color w:val="000000"/>
              </w:rPr>
              <w:t>24-03-062 approved a 2022 hourly rate of</w:t>
            </w:r>
            <w:r w:rsidRPr="00214D4C" w:rsidR="00A62CF9">
              <w:rPr>
                <w:color w:val="000000"/>
              </w:rPr>
              <w:t xml:space="preserve"> $540.00</w:t>
            </w:r>
            <w:r w:rsidRPr="00214D4C" w:rsidR="001E7615">
              <w:rPr>
                <w:color w:val="000000"/>
              </w:rPr>
              <w:t>.</w:t>
            </w:r>
          </w:p>
          <w:p w:rsidRPr="00214D4C" w:rsidR="006E7D0C" w:rsidP="00EB64CF" w:rsidRDefault="006E7D0C" w14:paraId="3C9D03B1" w14:textId="77777777">
            <w:pPr>
              <w:tabs>
                <w:tab w:val="left" w:pos="1440"/>
              </w:tabs>
              <w:rPr>
                <w:color w:val="000000"/>
              </w:rPr>
            </w:pPr>
          </w:p>
          <w:p w:rsidRPr="00214D4C" w:rsidR="004E5EEE" w:rsidP="004E5EEE" w:rsidRDefault="004E5EEE" w14:paraId="3AC1BCA8" w14:textId="6B0049E4">
            <w:pPr>
              <w:tabs>
                <w:tab w:val="left" w:pos="1440"/>
              </w:tabs>
              <w:rPr>
                <w:color w:val="000000"/>
              </w:rPr>
            </w:pPr>
            <w:r w:rsidRPr="00214D4C">
              <w:rPr>
                <w:color w:val="000000"/>
              </w:rPr>
              <w:t xml:space="preserve">Wild Tree Foundation requested a 2024 </w:t>
            </w:r>
            <w:r w:rsidR="00567C23">
              <w:rPr>
                <w:color w:val="000000"/>
              </w:rPr>
              <w:t xml:space="preserve">hourly </w:t>
            </w:r>
            <w:r w:rsidRPr="00214D4C">
              <w:rPr>
                <w:color w:val="000000"/>
              </w:rPr>
              <w:t xml:space="preserve">rate of $660.00 for April Maurath Sommer (Maurath Sommer) as a Legal – Attorney – V. </w:t>
            </w:r>
          </w:p>
          <w:p w:rsidRPr="00214D4C" w:rsidR="004E5EEE" w:rsidP="004E5EEE" w:rsidRDefault="004E5EEE" w14:paraId="7464133F" w14:textId="77777777">
            <w:pPr>
              <w:tabs>
                <w:tab w:val="left" w:pos="1440"/>
              </w:tabs>
              <w:rPr>
                <w:color w:val="000000"/>
              </w:rPr>
            </w:pPr>
          </w:p>
          <w:p w:rsidRPr="00214D4C" w:rsidR="00A64485" w:rsidP="00A64485" w:rsidRDefault="00A64485" w14:paraId="452F2DC7" w14:textId="4E3F4730">
            <w:pPr>
              <w:tabs>
                <w:tab w:val="left" w:pos="1440"/>
              </w:tabs>
              <w:rPr>
                <w:color w:val="000000"/>
              </w:rPr>
            </w:pPr>
            <w:r w:rsidRPr="00214D4C">
              <w:rPr>
                <w:color w:val="000000"/>
              </w:rPr>
              <w:t xml:space="preserve">Review of the submitted resume found 15+ years of relevant experience, including nearly 7 years performing duties of a Legal Director, therefore qualifying Maurath Sommer as a Legal – Legal Director – III. The Commission previously approved Maurath Sommer as a Legal Director – II, while considering Maurath Sommer’s attorney experience that would align with an Attorney – IV.  The 2024 rate range for a Legal – Legal Director – III is $461.99 to $738.39 with a median of $594.33. Maurath Sommer’s resume reflects </w:t>
            </w:r>
            <w:r w:rsidRPr="00214D4C" w:rsidR="00813516">
              <w:rPr>
                <w:color w:val="000000"/>
              </w:rPr>
              <w:t>the role</w:t>
            </w:r>
            <w:r w:rsidRPr="00214D4C">
              <w:rPr>
                <w:color w:val="000000"/>
              </w:rPr>
              <w:t xml:space="preserve"> of Legal Director. We summarily adjust the experience level up from Legal Director – II to </w:t>
            </w:r>
            <w:bookmarkStart w:name="_Hlk187676587" w:id="0"/>
            <w:r w:rsidRPr="00214D4C">
              <w:rPr>
                <w:color w:val="000000"/>
              </w:rPr>
              <w:t>Legal Director – III</w:t>
            </w:r>
            <w:bookmarkEnd w:id="0"/>
            <w:r w:rsidRPr="00214D4C">
              <w:rPr>
                <w:color w:val="000000"/>
              </w:rPr>
              <w:t>. Per ALJ-393, we apply the 2024 escalation factor of 4.07% to Sommer’s established 2023 rate of $565</w:t>
            </w:r>
            <w:r w:rsidRPr="00214D4C" w:rsidR="00163BFD">
              <w:rPr>
                <w:color w:val="000000"/>
              </w:rPr>
              <w:t>.00</w:t>
            </w:r>
            <w:r w:rsidRPr="00214D4C">
              <w:rPr>
                <w:color w:val="000000"/>
              </w:rPr>
              <w:t xml:space="preserve"> to arrive at a 2024 hourly rate of $585</w:t>
            </w:r>
            <w:r w:rsidRPr="00214D4C" w:rsidR="00163BFD">
              <w:rPr>
                <w:color w:val="000000"/>
              </w:rPr>
              <w:t>.00</w:t>
            </w:r>
            <w:r w:rsidRPr="00214D4C">
              <w:rPr>
                <w:color w:val="000000"/>
              </w:rPr>
              <w:t xml:space="preserve">, rounded to the nearest allowable five-dollar increment. </w:t>
            </w:r>
          </w:p>
          <w:p w:rsidRPr="00214D4C" w:rsidR="00A64485" w:rsidP="00A64485" w:rsidRDefault="00A64485" w14:paraId="3DFBFA09" w14:textId="77777777">
            <w:pPr>
              <w:tabs>
                <w:tab w:val="left" w:pos="1440"/>
              </w:tabs>
              <w:rPr>
                <w:color w:val="000000"/>
              </w:rPr>
            </w:pPr>
          </w:p>
          <w:p w:rsidRPr="00214D4C" w:rsidR="00EE1C1B" w:rsidP="004E5EEE" w:rsidRDefault="00A64485" w14:paraId="45BFCB16" w14:textId="659DCA9F">
            <w:pPr>
              <w:tabs>
                <w:tab w:val="left" w:pos="1440"/>
              </w:tabs>
              <w:rPr>
                <w:color w:val="000000"/>
              </w:rPr>
            </w:pPr>
            <w:r w:rsidRPr="00214D4C">
              <w:rPr>
                <w:color w:val="000000"/>
              </w:rPr>
              <w:t xml:space="preserve">Intervenor Compensation Claim Preparation hours are compensated at ½ preparer’s normal hourly </w:t>
            </w:r>
            <w:proofErr w:type="gramStart"/>
            <w:r w:rsidRPr="00214D4C">
              <w:rPr>
                <w:color w:val="000000"/>
              </w:rPr>
              <w:t>rate,</w:t>
            </w:r>
            <w:proofErr w:type="gramEnd"/>
            <w:r w:rsidRPr="00214D4C">
              <w:rPr>
                <w:color w:val="000000"/>
              </w:rPr>
              <w:t xml:space="preserve"> we apply the rate of $292.50 for Sommer.</w:t>
            </w:r>
          </w:p>
        </w:tc>
      </w:tr>
      <w:tr w:rsidRPr="00237F57" w:rsidR="00A92D0B" w:rsidTr="006F4E57" w14:paraId="52155EFC" w14:textId="77777777">
        <w:trPr>
          <w:trHeight w:val="5242"/>
        </w:trPr>
        <w:tc>
          <w:tcPr>
            <w:tcW w:w="1616" w:type="dxa"/>
          </w:tcPr>
          <w:p w:rsidRPr="00237F57" w:rsidR="00A92D0B" w:rsidP="00EB64CF" w:rsidRDefault="00763833" w14:paraId="26487933" w14:textId="39DE1D70">
            <w:pPr>
              <w:tabs>
                <w:tab w:val="left" w:pos="1440"/>
              </w:tabs>
              <w:rPr>
                <w:color w:val="000000"/>
              </w:rPr>
            </w:pPr>
            <w:r>
              <w:rPr>
                <w:color w:val="000000"/>
              </w:rPr>
              <w:lastRenderedPageBreak/>
              <w:t>[2] McCollum</w:t>
            </w:r>
            <w:r w:rsidR="00CB4685">
              <w:rPr>
                <w:color w:val="000000"/>
              </w:rPr>
              <w:t>’s</w:t>
            </w:r>
            <w:r>
              <w:rPr>
                <w:color w:val="000000"/>
              </w:rPr>
              <w:t xml:space="preserve"> 2022 Hourly Rate</w:t>
            </w:r>
          </w:p>
        </w:tc>
        <w:tc>
          <w:tcPr>
            <w:tcW w:w="7744" w:type="dxa"/>
          </w:tcPr>
          <w:p w:rsidR="006A600A" w:rsidP="00DF2E61" w:rsidRDefault="000558FE" w14:paraId="74A7DB81" w14:textId="77777777">
            <w:pPr>
              <w:tabs>
                <w:tab w:val="left" w:pos="1440"/>
              </w:tabs>
              <w:rPr>
                <w:color w:val="000000"/>
              </w:rPr>
            </w:pPr>
            <w:r>
              <w:rPr>
                <w:color w:val="000000"/>
              </w:rPr>
              <w:t>Wild Tree Foundation</w:t>
            </w:r>
            <w:r w:rsidRPr="0059547A" w:rsidR="0059547A">
              <w:rPr>
                <w:color w:val="000000"/>
              </w:rPr>
              <w:t xml:space="preserve"> has confirmed that </w:t>
            </w:r>
            <w:r>
              <w:rPr>
                <w:color w:val="000000"/>
              </w:rPr>
              <w:t>McCollum</w:t>
            </w:r>
            <w:r w:rsidRPr="0059547A" w:rsidR="0059547A">
              <w:rPr>
                <w:color w:val="000000"/>
              </w:rPr>
              <w:t xml:space="preserve"> is a consultant</w:t>
            </w:r>
            <w:r w:rsidR="006E7213">
              <w:rPr>
                <w:color w:val="000000"/>
              </w:rPr>
              <w:t>, in</w:t>
            </w:r>
            <w:r w:rsidR="008E729D">
              <w:rPr>
                <w:color w:val="000000"/>
              </w:rPr>
              <w:t>stead of a full-time staff member of Wild Tree</w:t>
            </w:r>
            <w:r w:rsidRPr="0059547A" w:rsidR="0059547A">
              <w:rPr>
                <w:color w:val="000000"/>
              </w:rPr>
              <w:t xml:space="preserve"> </w:t>
            </w:r>
            <w:r w:rsidR="009A7E7C">
              <w:rPr>
                <w:color w:val="000000"/>
              </w:rPr>
              <w:t xml:space="preserve">in their </w:t>
            </w:r>
            <w:r w:rsidR="00065BAF">
              <w:rPr>
                <w:color w:val="000000"/>
              </w:rPr>
              <w:t xml:space="preserve">resume submitted with </w:t>
            </w:r>
            <w:r w:rsidR="004A3205">
              <w:rPr>
                <w:color w:val="000000"/>
              </w:rPr>
              <w:t xml:space="preserve">this </w:t>
            </w:r>
            <w:r w:rsidR="00D340D8">
              <w:rPr>
                <w:color w:val="000000"/>
              </w:rPr>
              <w:t>claim.</w:t>
            </w:r>
            <w:r w:rsidRPr="00441C9D" w:rsidR="00441C9D">
              <w:rPr>
                <w:color w:val="000000"/>
              </w:rPr>
              <w:t xml:space="preserve"> The Commission requested supplemental documentation be submitted by </w:t>
            </w:r>
            <w:r w:rsidRPr="00341CC0" w:rsidR="00341CC0">
              <w:rPr>
                <w:color w:val="000000"/>
              </w:rPr>
              <w:t xml:space="preserve">Wild Tree </w:t>
            </w:r>
            <w:r w:rsidRPr="00441C9D" w:rsidR="00441C9D">
              <w:rPr>
                <w:color w:val="000000"/>
              </w:rPr>
              <w:t xml:space="preserve">to confirm the rates charged by </w:t>
            </w:r>
            <w:r w:rsidRPr="003B65E2" w:rsidR="003B65E2">
              <w:rPr>
                <w:color w:val="000000"/>
              </w:rPr>
              <w:t>McCollum</w:t>
            </w:r>
            <w:r w:rsidRPr="00441C9D" w:rsidR="00441C9D">
              <w:rPr>
                <w:color w:val="000000"/>
              </w:rPr>
              <w:t xml:space="preserve">. </w:t>
            </w:r>
          </w:p>
          <w:p w:rsidR="006A600A" w:rsidP="00DF2E61" w:rsidRDefault="006A600A" w14:paraId="0CAEB53B" w14:textId="77777777">
            <w:pPr>
              <w:tabs>
                <w:tab w:val="left" w:pos="1440"/>
              </w:tabs>
              <w:rPr>
                <w:color w:val="000000"/>
              </w:rPr>
            </w:pPr>
          </w:p>
          <w:p w:rsidR="00A76802" w:rsidP="00DF2E61" w:rsidRDefault="00D56C10" w14:paraId="721A8A90" w14:textId="55AA98A4">
            <w:pPr>
              <w:tabs>
                <w:tab w:val="left" w:pos="1440"/>
              </w:tabs>
              <w:rPr>
                <w:color w:val="000000"/>
              </w:rPr>
            </w:pPr>
            <w:r w:rsidRPr="00D56C10">
              <w:rPr>
                <w:color w:val="000000"/>
              </w:rPr>
              <w:t xml:space="preserve">Wild Tree </w:t>
            </w:r>
            <w:r w:rsidRPr="00441C9D" w:rsidR="00441C9D">
              <w:rPr>
                <w:color w:val="000000"/>
              </w:rPr>
              <w:t xml:space="preserve">has confirmed that per the terms of their contract, </w:t>
            </w:r>
            <w:r w:rsidRPr="003B65E2" w:rsidR="003B65E2">
              <w:rPr>
                <w:color w:val="000000"/>
              </w:rPr>
              <w:t>McCollum</w:t>
            </w:r>
            <w:r w:rsidRPr="003B65E2" w:rsidDel="003B65E2" w:rsidR="003B65E2">
              <w:rPr>
                <w:color w:val="000000"/>
              </w:rPr>
              <w:t xml:space="preserve"> </w:t>
            </w:r>
            <w:r w:rsidRPr="00441C9D" w:rsidR="00441C9D">
              <w:rPr>
                <w:color w:val="000000"/>
              </w:rPr>
              <w:t xml:space="preserve">has been hired on a contingency rate basis, meaning the consultant has agreed to defer all, or part of its consulting fee contingent upon receipt of this </w:t>
            </w:r>
            <w:r w:rsidR="009D091E">
              <w:rPr>
                <w:color w:val="000000"/>
              </w:rPr>
              <w:t>i</w:t>
            </w:r>
            <w:r w:rsidRPr="00441C9D" w:rsidR="00441C9D">
              <w:rPr>
                <w:color w:val="000000"/>
              </w:rPr>
              <w:t xml:space="preserve">ntervenor </w:t>
            </w:r>
            <w:r w:rsidR="009D091E">
              <w:rPr>
                <w:color w:val="000000"/>
              </w:rPr>
              <w:t>c</w:t>
            </w:r>
            <w:r w:rsidRPr="00441C9D" w:rsidR="00441C9D">
              <w:rPr>
                <w:color w:val="000000"/>
              </w:rPr>
              <w:t xml:space="preserve">ompensation award. Given this contingency, we utilize the reasonable rates established by Resolution ALJ-393 based on </w:t>
            </w:r>
            <w:r w:rsidRPr="003B65E2" w:rsidR="003B65E2">
              <w:rPr>
                <w:color w:val="000000"/>
              </w:rPr>
              <w:t>McCollum</w:t>
            </w:r>
            <w:r w:rsidRPr="00441C9D" w:rsidR="00441C9D">
              <w:rPr>
                <w:color w:val="000000"/>
              </w:rPr>
              <w:t>’s experience</w:t>
            </w:r>
            <w:r w:rsidR="006D6CD0">
              <w:rPr>
                <w:color w:val="000000"/>
              </w:rPr>
              <w:t>.</w:t>
            </w:r>
          </w:p>
          <w:p w:rsidR="00B62101" w:rsidP="00DF2E61" w:rsidRDefault="00B62101" w14:paraId="34C79107" w14:textId="77777777">
            <w:pPr>
              <w:tabs>
                <w:tab w:val="left" w:pos="1440"/>
              </w:tabs>
              <w:rPr>
                <w:color w:val="000000"/>
              </w:rPr>
            </w:pPr>
          </w:p>
          <w:p w:rsidR="00BC52E7" w:rsidP="00DF2E61" w:rsidRDefault="00B62101" w14:paraId="52750769" w14:textId="30CE7BE8">
            <w:pPr>
              <w:tabs>
                <w:tab w:val="left" w:pos="1440"/>
              </w:tabs>
              <w:rPr>
                <w:color w:val="000000"/>
              </w:rPr>
            </w:pPr>
            <w:r w:rsidRPr="00B62101">
              <w:rPr>
                <w:color w:val="000000"/>
              </w:rPr>
              <w:t xml:space="preserve">Robin McCollum has primarily served as a wildland firefighter since January of 1974 and has led </w:t>
            </w:r>
            <w:r w:rsidR="00DB682B">
              <w:rPr>
                <w:color w:val="000000"/>
              </w:rPr>
              <w:t>two</w:t>
            </w:r>
            <w:r w:rsidRPr="00B62101">
              <w:rPr>
                <w:color w:val="000000"/>
              </w:rPr>
              <w:t xml:space="preserve"> 20-person fire crews. Along with 50 years of experience as a firefighter, McCollum has also simultaneously held positions at the Butte County Public Works as Tree Maintenance</w:t>
            </w:r>
            <w:r w:rsidR="00957040">
              <w:rPr>
                <w:color w:val="000000"/>
              </w:rPr>
              <w:t xml:space="preserve"> </w:t>
            </w:r>
            <w:r w:rsidRPr="00B62101">
              <w:rPr>
                <w:color w:val="000000"/>
              </w:rPr>
              <w:t xml:space="preserve">Supervisor/Superintendent of Flood Control and Drainage Districts from December of 1994 </w:t>
            </w:r>
            <w:r w:rsidR="00B7332F">
              <w:rPr>
                <w:color w:val="000000"/>
              </w:rPr>
              <w:t xml:space="preserve">to </w:t>
            </w:r>
            <w:r w:rsidRPr="00B62101">
              <w:rPr>
                <w:color w:val="000000"/>
              </w:rPr>
              <w:t xml:space="preserve">July 2004, Lead Bridge Maintenance Worker from August 1992 </w:t>
            </w:r>
            <w:r w:rsidR="00B7332F">
              <w:rPr>
                <w:color w:val="000000"/>
              </w:rPr>
              <w:t>to</w:t>
            </w:r>
            <w:r w:rsidRPr="00B62101">
              <w:rPr>
                <w:color w:val="000000"/>
              </w:rPr>
              <w:t xml:space="preserve"> December 1994, and a Tree Trimmer from February 1983 to August 1992.</w:t>
            </w:r>
            <w:r w:rsidR="007D637A">
              <w:rPr>
                <w:color w:val="000000"/>
              </w:rPr>
              <w:t xml:space="preserve"> </w:t>
            </w:r>
            <w:r w:rsidR="00A76802">
              <w:rPr>
                <w:color w:val="000000"/>
              </w:rPr>
              <w:t>Given the 2022</w:t>
            </w:r>
            <w:r w:rsidR="00705A04">
              <w:rPr>
                <w:color w:val="000000"/>
              </w:rPr>
              <w:t xml:space="preserve"> </w:t>
            </w:r>
            <w:r w:rsidRPr="00705A04" w:rsidR="00705A04">
              <w:rPr>
                <w:color w:val="000000"/>
              </w:rPr>
              <w:t>Expert – Not Otherwise Classified – Level V</w:t>
            </w:r>
            <w:r w:rsidR="0006469F">
              <w:rPr>
                <w:color w:val="000000"/>
              </w:rPr>
              <w:t xml:space="preserve"> rate range is </w:t>
            </w:r>
            <w:r w:rsidR="00E654FA">
              <w:rPr>
                <w:color w:val="000000"/>
              </w:rPr>
              <w:t>$228.34 to $365.72</w:t>
            </w:r>
            <w:r w:rsidR="00342E86">
              <w:rPr>
                <w:color w:val="000000"/>
              </w:rPr>
              <w:t>, we find the 2022 hourly rate of $225.00</w:t>
            </w:r>
            <w:r w:rsidR="00B673B6">
              <w:rPr>
                <w:color w:val="000000"/>
              </w:rPr>
              <w:t>, as requested by Wild Tree,</w:t>
            </w:r>
            <w:r w:rsidR="00342E86">
              <w:rPr>
                <w:color w:val="000000"/>
              </w:rPr>
              <w:t xml:space="preserve"> to be reasonable and we apply it here.</w:t>
            </w:r>
          </w:p>
          <w:p w:rsidR="00957040" w:rsidP="00DF2E61" w:rsidRDefault="00957040" w14:paraId="6D994989" w14:textId="77777777">
            <w:pPr>
              <w:tabs>
                <w:tab w:val="left" w:pos="1440"/>
              </w:tabs>
              <w:rPr>
                <w:color w:val="000000"/>
              </w:rPr>
            </w:pPr>
          </w:p>
          <w:p w:rsidR="00BC52E7" w:rsidP="00DF2E61" w:rsidRDefault="007F23B8" w14:paraId="7C6DBCF6" w14:textId="1979B81F">
            <w:pPr>
              <w:tabs>
                <w:tab w:val="left" w:pos="1440"/>
              </w:tabs>
              <w:rPr>
                <w:color w:val="000000"/>
              </w:rPr>
            </w:pPr>
            <w:r w:rsidRPr="007F23B8">
              <w:rPr>
                <w:color w:val="000000"/>
              </w:rPr>
              <w:t>The award made herein for the consultant’s contribution shall be passed through in full to the consultant. Additionally, the rates approved here are specific to work in this proceeding, as they are established in accordance with the Commission’s policy on consultant compensation, and the understanding that the consultant has not billed or collected full compensation for the work performed until final award is given.</w:t>
            </w:r>
          </w:p>
          <w:p w:rsidR="00833E7D" w:rsidP="00DF2E61" w:rsidRDefault="00833E7D" w14:paraId="528B07BF" w14:textId="77777777">
            <w:pPr>
              <w:tabs>
                <w:tab w:val="left" w:pos="1440"/>
              </w:tabs>
              <w:rPr>
                <w:color w:val="000000"/>
              </w:rPr>
            </w:pPr>
          </w:p>
          <w:p w:rsidRPr="00237F57" w:rsidR="00A8490C" w:rsidP="00DF2E61" w:rsidRDefault="00CD5342" w14:paraId="455E6A00" w14:textId="10A58612">
            <w:pPr>
              <w:tabs>
                <w:tab w:val="left" w:pos="1440"/>
              </w:tabs>
              <w:rPr>
                <w:color w:val="000000"/>
              </w:rPr>
            </w:pPr>
            <w:r w:rsidRPr="00CD5342">
              <w:rPr>
                <w:color w:val="000000"/>
              </w:rPr>
              <w:t xml:space="preserve">We reiterate that it is the responsibility of the intervenor to be forthcoming about engaging consultants, to adhere to the Commission’s policy on compensation for consultant fees, and to provide the appropriate documentation with the initial claim to ensure efficient </w:t>
            </w:r>
            <w:proofErr w:type="gramStart"/>
            <w:r w:rsidRPr="00CD5342">
              <w:rPr>
                <w:color w:val="000000"/>
              </w:rPr>
              <w:t>processing, and</w:t>
            </w:r>
            <w:proofErr w:type="gramEnd"/>
            <w:r w:rsidRPr="00CD5342">
              <w:rPr>
                <w:color w:val="000000"/>
              </w:rPr>
              <w:t xml:space="preserve"> thus avoid the need for the Commission to request supplemental documentation. In this instance, </w:t>
            </w:r>
            <w:r w:rsidR="006600B2">
              <w:rPr>
                <w:color w:val="000000"/>
              </w:rPr>
              <w:t>Wild Tree</w:t>
            </w:r>
            <w:r w:rsidRPr="00CD5342">
              <w:rPr>
                <w:color w:val="000000"/>
              </w:rPr>
              <w:t xml:space="preserve"> did not provide all the documentation pertaining to the contract terms between </w:t>
            </w:r>
            <w:r w:rsidR="006600B2">
              <w:rPr>
                <w:color w:val="000000"/>
              </w:rPr>
              <w:t>Wild Tree</w:t>
            </w:r>
            <w:r w:rsidRPr="00CD5342">
              <w:rPr>
                <w:color w:val="000000"/>
              </w:rPr>
              <w:t xml:space="preserve"> and </w:t>
            </w:r>
            <w:r w:rsidRPr="000B6A6E" w:rsidR="000B6A6E">
              <w:rPr>
                <w:color w:val="000000"/>
              </w:rPr>
              <w:t>McCollum</w:t>
            </w:r>
            <w:r w:rsidRPr="000B6A6E" w:rsidDel="000B6A6E" w:rsidR="000B6A6E">
              <w:rPr>
                <w:color w:val="000000"/>
              </w:rPr>
              <w:t xml:space="preserve"> </w:t>
            </w:r>
            <w:r w:rsidRPr="00CD5342">
              <w:rPr>
                <w:color w:val="000000"/>
              </w:rPr>
              <w:t xml:space="preserve">in the initial claim and waited until the Commission requested supplemental documentation which delays the processing of the </w:t>
            </w:r>
            <w:r w:rsidRPr="00CD5342" w:rsidR="001B586E">
              <w:rPr>
                <w:color w:val="000000"/>
              </w:rPr>
              <w:t>claim.</w:t>
            </w:r>
          </w:p>
        </w:tc>
      </w:tr>
      <w:tr w:rsidRPr="00237F57" w:rsidR="00324C17" w:rsidTr="00992640" w14:paraId="22636CC8" w14:textId="77777777">
        <w:tc>
          <w:tcPr>
            <w:tcW w:w="1616" w:type="dxa"/>
          </w:tcPr>
          <w:p w:rsidRPr="00063CB9" w:rsidR="00324C17" w:rsidP="00063CB9" w:rsidRDefault="00324C17" w14:paraId="7B0324DF" w14:textId="1DE3F713">
            <w:pPr>
              <w:tabs>
                <w:tab w:val="left" w:pos="1440"/>
              </w:tabs>
              <w:rPr>
                <w:color w:val="000000"/>
              </w:rPr>
            </w:pPr>
            <w:r w:rsidRPr="00063CB9">
              <w:rPr>
                <w:color w:val="000000"/>
              </w:rPr>
              <w:t>[3] Sommer</w:t>
            </w:r>
            <w:r w:rsidR="00CB4685">
              <w:rPr>
                <w:color w:val="000000"/>
              </w:rPr>
              <w:t>’s</w:t>
            </w:r>
            <w:r w:rsidRPr="00063CB9">
              <w:rPr>
                <w:color w:val="000000"/>
              </w:rPr>
              <w:t xml:space="preserve"> 2022 </w:t>
            </w:r>
            <w:r w:rsidR="00BC6D4F">
              <w:rPr>
                <w:color w:val="000000"/>
              </w:rPr>
              <w:t>Reductions</w:t>
            </w:r>
          </w:p>
        </w:tc>
        <w:tc>
          <w:tcPr>
            <w:tcW w:w="7744" w:type="dxa"/>
          </w:tcPr>
          <w:p w:rsidR="00EB3588" w:rsidP="00063CB9" w:rsidRDefault="00EB3588" w14:paraId="5DD4F2B1" w14:textId="500601B3">
            <w:pPr>
              <w:tabs>
                <w:tab w:val="left" w:pos="3191"/>
              </w:tabs>
              <w:rPr>
                <w:b/>
                <w:bCs/>
                <w:color w:val="000000"/>
              </w:rPr>
            </w:pPr>
            <w:r w:rsidRPr="00EB3588">
              <w:rPr>
                <w:b/>
                <w:bCs/>
                <w:color w:val="000000"/>
              </w:rPr>
              <w:t>Sommer</w:t>
            </w:r>
            <w:r w:rsidR="00960010">
              <w:rPr>
                <w:b/>
                <w:bCs/>
                <w:color w:val="000000"/>
              </w:rPr>
              <w:t>’s</w:t>
            </w:r>
            <w:r w:rsidRPr="00EB3588">
              <w:rPr>
                <w:b/>
                <w:bCs/>
                <w:color w:val="000000"/>
              </w:rPr>
              <w:t xml:space="preserve"> 2022 </w:t>
            </w:r>
            <w:r w:rsidR="00BC6D4F">
              <w:rPr>
                <w:b/>
                <w:bCs/>
                <w:color w:val="000000"/>
              </w:rPr>
              <w:t xml:space="preserve">Reductions </w:t>
            </w:r>
            <w:r>
              <w:rPr>
                <w:b/>
                <w:bCs/>
                <w:color w:val="000000"/>
              </w:rPr>
              <w:t>(1.</w:t>
            </w:r>
            <w:r w:rsidR="00475C35">
              <w:rPr>
                <w:b/>
                <w:bCs/>
                <w:color w:val="000000"/>
              </w:rPr>
              <w:t>12</w:t>
            </w:r>
            <w:r>
              <w:rPr>
                <w:b/>
                <w:bCs/>
                <w:color w:val="000000"/>
              </w:rPr>
              <w:t xml:space="preserve"> hours):</w:t>
            </w:r>
          </w:p>
          <w:p w:rsidRPr="00EB3588" w:rsidR="00571758" w:rsidP="00063CB9" w:rsidRDefault="00571758" w14:paraId="43B5D455" w14:textId="77777777">
            <w:pPr>
              <w:tabs>
                <w:tab w:val="left" w:pos="3191"/>
              </w:tabs>
              <w:rPr>
                <w:b/>
                <w:bCs/>
                <w:u w:val="single"/>
              </w:rPr>
            </w:pPr>
          </w:p>
          <w:p w:rsidRPr="00063CB9" w:rsidR="00A15070" w:rsidP="00063CB9" w:rsidRDefault="00A15070" w14:paraId="139DC323" w14:textId="71857BFD">
            <w:pPr>
              <w:tabs>
                <w:tab w:val="left" w:pos="3191"/>
              </w:tabs>
              <w:rPr>
                <w:u w:val="single"/>
              </w:rPr>
            </w:pPr>
            <w:r w:rsidRPr="00063CB9">
              <w:rPr>
                <w:u w:val="single"/>
              </w:rPr>
              <w:t>Administrative/Clerical (</w:t>
            </w:r>
            <w:r w:rsidR="00741196">
              <w:rPr>
                <w:u w:val="single"/>
              </w:rPr>
              <w:t>0.50</w:t>
            </w:r>
            <w:r w:rsidRPr="00063CB9" w:rsidR="00710E66">
              <w:rPr>
                <w:u w:val="single"/>
              </w:rPr>
              <w:t xml:space="preserve"> </w:t>
            </w:r>
            <w:r w:rsidRPr="00063CB9">
              <w:rPr>
                <w:u w:val="single"/>
              </w:rPr>
              <w:t>hours):</w:t>
            </w:r>
          </w:p>
          <w:p w:rsidRPr="00063CB9" w:rsidR="00063CB9" w:rsidP="00063CB9" w:rsidRDefault="00A15070" w14:paraId="0B4BBC53" w14:textId="117C066C">
            <w:pPr>
              <w:tabs>
                <w:tab w:val="left" w:pos="3191"/>
              </w:tabs>
            </w:pPr>
            <w:r w:rsidRPr="00063CB9">
              <w:t xml:space="preserve">The </w:t>
            </w:r>
            <w:r w:rsidR="00BC6D4F">
              <w:t>Commission</w:t>
            </w:r>
            <w:r w:rsidRPr="00063CB9" w:rsidR="00BC6D4F">
              <w:t xml:space="preserve"> </w:t>
            </w:r>
            <w:r w:rsidRPr="00063CB9">
              <w:t xml:space="preserve">does not compensate attorneys for the time spent on clerical and administrative tasks. See the CPUC Intervenor Compensation Program </w:t>
            </w:r>
            <w:r w:rsidRPr="00063CB9">
              <w:lastRenderedPageBreak/>
              <w:t xml:space="preserve">Guide </w:t>
            </w:r>
            <w:proofErr w:type="gramStart"/>
            <w:r w:rsidRPr="00063CB9">
              <w:t>at</w:t>
            </w:r>
            <w:proofErr w:type="gramEnd"/>
            <w:r w:rsidRPr="00063CB9">
              <w:t xml:space="preserve"> 12 and 22. </w:t>
            </w:r>
            <w:r w:rsidRPr="00435F50" w:rsidR="00435F50">
              <w:t xml:space="preserve">In line with this policy, we reduce </w:t>
            </w:r>
            <w:r w:rsidR="00435F50">
              <w:t>0.50</w:t>
            </w:r>
            <w:r w:rsidRPr="00435F50" w:rsidR="00435F50">
              <w:t xml:space="preserve"> hours for time associated with the following entr</w:t>
            </w:r>
            <w:r w:rsidR="00435F50">
              <w:t>y</w:t>
            </w:r>
            <w:r w:rsidRPr="00435F50" w:rsidR="00435F50">
              <w:t>:</w:t>
            </w:r>
          </w:p>
          <w:p w:rsidRPr="007A7FC9" w:rsidR="00777BCC" w:rsidP="000F2609" w:rsidRDefault="00777BCC" w14:paraId="3D59D968" w14:textId="52C2F7D6">
            <w:pPr>
              <w:pStyle w:val="ListParagraph"/>
              <w:numPr>
                <w:ilvl w:val="0"/>
                <w:numId w:val="11"/>
              </w:numPr>
              <w:tabs>
                <w:tab w:val="left" w:pos="1440"/>
              </w:tabs>
              <w:spacing w:before="240"/>
              <w:rPr>
                <w:rFonts w:ascii="Times New Roman" w:hAnsi="Times New Roman"/>
                <w:color w:val="000000"/>
                <w:sz w:val="24"/>
                <w:szCs w:val="24"/>
              </w:rPr>
            </w:pPr>
            <w:r w:rsidRPr="007A7FC9">
              <w:rPr>
                <w:rFonts w:ascii="Times New Roman" w:hAnsi="Times New Roman"/>
                <w:color w:val="000000"/>
                <w:sz w:val="24"/>
                <w:szCs w:val="24"/>
              </w:rPr>
              <w:t>8/17/2022 – “Preparing and serving exhibits”</w:t>
            </w:r>
          </w:p>
          <w:p w:rsidRPr="007A7FC9" w:rsidR="00063CB9" w:rsidP="00063CB9" w:rsidRDefault="00063CB9" w14:paraId="6B4A9AB9" w14:textId="77777777">
            <w:pPr>
              <w:pStyle w:val="ListParagraph"/>
              <w:tabs>
                <w:tab w:val="left" w:pos="1440"/>
              </w:tabs>
              <w:rPr>
                <w:rFonts w:ascii="Times New Roman" w:hAnsi="Times New Roman"/>
                <w:color w:val="000000"/>
                <w:sz w:val="24"/>
                <w:szCs w:val="24"/>
              </w:rPr>
            </w:pPr>
          </w:p>
          <w:p w:rsidRPr="007A7FC9" w:rsidR="00792264" w:rsidP="00063CB9" w:rsidRDefault="00792264" w14:paraId="6C16C507" w14:textId="39A90A66">
            <w:pPr>
              <w:tabs>
                <w:tab w:val="left" w:pos="1440"/>
              </w:tabs>
              <w:rPr>
                <w:color w:val="000000"/>
                <w:u w:val="single"/>
              </w:rPr>
            </w:pPr>
            <w:r w:rsidRPr="007A7FC9">
              <w:rPr>
                <w:color w:val="000000"/>
                <w:u w:val="single"/>
              </w:rPr>
              <w:t>Multiple Tasks Included in Single Time Entry (</w:t>
            </w:r>
            <w:r w:rsidR="00830C27">
              <w:rPr>
                <w:color w:val="000000"/>
                <w:u w:val="single"/>
              </w:rPr>
              <w:t>0.62</w:t>
            </w:r>
            <w:r w:rsidRPr="007A7FC9" w:rsidR="00537425">
              <w:rPr>
                <w:color w:val="000000"/>
                <w:u w:val="single"/>
              </w:rPr>
              <w:t xml:space="preserve"> </w:t>
            </w:r>
            <w:r w:rsidRPr="007A7FC9">
              <w:rPr>
                <w:color w:val="000000"/>
                <w:u w:val="single"/>
              </w:rPr>
              <w:t>hours):</w:t>
            </w:r>
          </w:p>
          <w:p w:rsidRPr="00063CB9" w:rsidR="00063CB9" w:rsidP="00063CB9" w:rsidRDefault="00401D1A" w14:paraId="3B761CC1" w14:textId="057C2B36">
            <w:pPr>
              <w:tabs>
                <w:tab w:val="left" w:pos="3191"/>
              </w:tabs>
              <w:rPr>
                <w:color w:val="000000"/>
              </w:rPr>
            </w:pPr>
            <w:r>
              <w:rPr>
                <w:color w:val="000000"/>
              </w:rPr>
              <w:t xml:space="preserve">Wild Tree </w:t>
            </w:r>
            <w:r w:rsidRPr="007A7FC9" w:rsidR="00792264">
              <w:rPr>
                <w:color w:val="000000"/>
              </w:rPr>
              <w:t>combined</w:t>
            </w:r>
            <w:r w:rsidRPr="00063CB9" w:rsidR="00792264">
              <w:rPr>
                <w:color w:val="000000"/>
              </w:rPr>
              <w:t xml:space="preserve"> multiple tasks in the same time entry. Pursuant to Rule 17.4, each time record shall identify the specific task performed. The hours below are reduced by 50% for failure to comply with program guidelines.</w:t>
            </w:r>
          </w:p>
          <w:p w:rsidRPr="007A7FC9" w:rsidR="00FC7CAD" w:rsidP="00593811" w:rsidRDefault="00537425" w14:paraId="42AA82A9" w14:textId="641F1CAD">
            <w:pPr>
              <w:pStyle w:val="ListParagraph"/>
              <w:numPr>
                <w:ilvl w:val="0"/>
                <w:numId w:val="12"/>
              </w:numPr>
              <w:tabs>
                <w:tab w:val="left" w:pos="1440"/>
              </w:tabs>
              <w:spacing w:before="240"/>
              <w:rPr>
                <w:rFonts w:ascii="Times New Roman" w:hAnsi="Times New Roman"/>
                <w:color w:val="000000"/>
                <w:sz w:val="24"/>
                <w:szCs w:val="24"/>
              </w:rPr>
            </w:pPr>
            <w:r w:rsidRPr="00485B6B">
              <w:rPr>
                <w:rFonts w:ascii="Times New Roman" w:hAnsi="Times New Roman"/>
                <w:color w:val="000000"/>
                <w:sz w:val="24"/>
                <w:szCs w:val="24"/>
              </w:rPr>
              <w:t>8/11/</w:t>
            </w:r>
            <w:r w:rsidR="00687F1F">
              <w:rPr>
                <w:rFonts w:ascii="Times New Roman" w:hAnsi="Times New Roman"/>
                <w:color w:val="000000"/>
                <w:sz w:val="24"/>
                <w:szCs w:val="24"/>
              </w:rPr>
              <w:t>20</w:t>
            </w:r>
            <w:r w:rsidRPr="00485B6B">
              <w:rPr>
                <w:rFonts w:ascii="Times New Roman" w:hAnsi="Times New Roman"/>
                <w:color w:val="000000"/>
                <w:sz w:val="24"/>
                <w:szCs w:val="24"/>
              </w:rPr>
              <w:t>22</w:t>
            </w:r>
            <w:r w:rsidRPr="00485B6B" w:rsidR="00F97BFF">
              <w:rPr>
                <w:rFonts w:ascii="Times New Roman" w:hAnsi="Times New Roman"/>
                <w:color w:val="000000"/>
                <w:sz w:val="24"/>
                <w:szCs w:val="24"/>
              </w:rPr>
              <w:t xml:space="preserve"> – “Preparing exhibits for stipulation; emails with PG&amp;E regarding cross waiver and stipulated exhibits”</w:t>
            </w:r>
          </w:p>
        </w:tc>
      </w:tr>
      <w:tr w:rsidRPr="00237F57" w:rsidR="00324C17" w:rsidTr="00992640" w14:paraId="05484EC8" w14:textId="77777777">
        <w:tc>
          <w:tcPr>
            <w:tcW w:w="1616" w:type="dxa"/>
          </w:tcPr>
          <w:p w:rsidRPr="00063CB9" w:rsidR="00324C17" w:rsidP="00063CB9" w:rsidRDefault="00324C17" w14:paraId="5B50F0E6" w14:textId="0792739D">
            <w:pPr>
              <w:tabs>
                <w:tab w:val="left" w:pos="1440"/>
              </w:tabs>
              <w:rPr>
                <w:color w:val="000000"/>
              </w:rPr>
            </w:pPr>
            <w:r w:rsidRPr="00063CB9">
              <w:rPr>
                <w:color w:val="000000"/>
              </w:rPr>
              <w:lastRenderedPageBreak/>
              <w:t>[4] McCollum</w:t>
            </w:r>
            <w:r w:rsidR="00CB4685">
              <w:rPr>
                <w:color w:val="000000"/>
              </w:rPr>
              <w:t>’s</w:t>
            </w:r>
            <w:r w:rsidRPr="00063CB9">
              <w:rPr>
                <w:color w:val="000000"/>
              </w:rPr>
              <w:t xml:space="preserve"> 2022 </w:t>
            </w:r>
            <w:r w:rsidR="00782DE5">
              <w:rPr>
                <w:color w:val="000000"/>
              </w:rPr>
              <w:t>Reductions</w:t>
            </w:r>
          </w:p>
        </w:tc>
        <w:tc>
          <w:tcPr>
            <w:tcW w:w="7744" w:type="dxa"/>
          </w:tcPr>
          <w:p w:rsidRPr="00EB3588" w:rsidR="006D1634" w:rsidP="006D1634" w:rsidRDefault="006D1634" w14:paraId="16626E10" w14:textId="34F419D5">
            <w:pPr>
              <w:tabs>
                <w:tab w:val="left" w:pos="3191"/>
              </w:tabs>
              <w:rPr>
                <w:b/>
                <w:bCs/>
                <w:u w:val="single"/>
              </w:rPr>
            </w:pPr>
            <w:r>
              <w:rPr>
                <w:b/>
                <w:bCs/>
                <w:color w:val="000000"/>
              </w:rPr>
              <w:t>McCollum’s</w:t>
            </w:r>
            <w:r w:rsidRPr="00EB3588">
              <w:rPr>
                <w:b/>
                <w:bCs/>
                <w:color w:val="000000"/>
              </w:rPr>
              <w:t xml:space="preserve"> 2022 </w:t>
            </w:r>
            <w:r w:rsidR="00782DE5">
              <w:rPr>
                <w:b/>
                <w:bCs/>
                <w:color w:val="000000"/>
              </w:rPr>
              <w:t xml:space="preserve">Reductions </w:t>
            </w:r>
            <w:r>
              <w:rPr>
                <w:b/>
                <w:bCs/>
                <w:color w:val="000000"/>
              </w:rPr>
              <w:t>(</w:t>
            </w:r>
            <w:r w:rsidR="00741967">
              <w:rPr>
                <w:b/>
                <w:bCs/>
                <w:color w:val="000000"/>
              </w:rPr>
              <w:t>0.50</w:t>
            </w:r>
            <w:r>
              <w:rPr>
                <w:b/>
                <w:bCs/>
                <w:color w:val="000000"/>
              </w:rPr>
              <w:t xml:space="preserve"> hours):</w:t>
            </w:r>
          </w:p>
          <w:p w:rsidR="006D1634" w:rsidP="00063CB9" w:rsidRDefault="006D1634" w14:paraId="44F4BAD9" w14:textId="77777777">
            <w:pPr>
              <w:tabs>
                <w:tab w:val="left" w:pos="1440"/>
              </w:tabs>
              <w:rPr>
                <w:color w:val="000000"/>
                <w:u w:val="single"/>
              </w:rPr>
            </w:pPr>
          </w:p>
          <w:p w:rsidRPr="00063CB9" w:rsidR="00792264" w:rsidP="00063CB9" w:rsidRDefault="00792264" w14:paraId="7CD69E6F" w14:textId="1FD4E227">
            <w:pPr>
              <w:tabs>
                <w:tab w:val="left" w:pos="1440"/>
              </w:tabs>
              <w:rPr>
                <w:color w:val="000000"/>
                <w:u w:val="single"/>
              </w:rPr>
            </w:pPr>
            <w:r w:rsidRPr="00063CB9">
              <w:rPr>
                <w:color w:val="000000"/>
                <w:u w:val="single"/>
              </w:rPr>
              <w:t xml:space="preserve">Multiple Tasks Included in Single Time </w:t>
            </w:r>
            <w:r w:rsidRPr="00BA279B">
              <w:rPr>
                <w:color w:val="000000"/>
                <w:u w:val="single"/>
              </w:rPr>
              <w:t>Entry (</w:t>
            </w:r>
            <w:r w:rsidRPr="00BA279B" w:rsidR="00063CB9">
              <w:rPr>
                <w:color w:val="000000"/>
                <w:u w:val="single"/>
              </w:rPr>
              <w:t>0.</w:t>
            </w:r>
            <w:r w:rsidRPr="00BA279B" w:rsidR="00CB6D0F">
              <w:rPr>
                <w:color w:val="000000"/>
                <w:u w:val="single"/>
              </w:rPr>
              <w:t>50</w:t>
            </w:r>
            <w:r w:rsidRPr="00BA279B" w:rsidR="00063CB9">
              <w:rPr>
                <w:color w:val="000000"/>
                <w:u w:val="single"/>
              </w:rPr>
              <w:t xml:space="preserve"> </w:t>
            </w:r>
            <w:r w:rsidRPr="00BA279B">
              <w:rPr>
                <w:color w:val="000000"/>
                <w:u w:val="single"/>
              </w:rPr>
              <w:t>hours</w:t>
            </w:r>
            <w:r w:rsidRPr="00063CB9">
              <w:rPr>
                <w:color w:val="000000"/>
                <w:u w:val="single"/>
              </w:rPr>
              <w:t>):</w:t>
            </w:r>
          </w:p>
          <w:p w:rsidRPr="00063CB9" w:rsidR="00063CB9" w:rsidP="00063CB9" w:rsidRDefault="00782DE5" w14:paraId="730F6ECB" w14:textId="10576C28">
            <w:pPr>
              <w:tabs>
                <w:tab w:val="left" w:pos="3191"/>
              </w:tabs>
              <w:rPr>
                <w:color w:val="000000"/>
              </w:rPr>
            </w:pPr>
            <w:r>
              <w:rPr>
                <w:color w:val="000000"/>
              </w:rPr>
              <w:t xml:space="preserve">Wild Tree </w:t>
            </w:r>
            <w:r w:rsidRPr="00063CB9" w:rsidR="00792264">
              <w:rPr>
                <w:color w:val="000000"/>
              </w:rPr>
              <w:t xml:space="preserve">combined multiple tasks in the same time entry. Pursuant to Rule 17.4, each time record shall identify the specific task performed. The </w:t>
            </w:r>
            <w:r w:rsidR="00A8179D">
              <w:rPr>
                <w:color w:val="000000"/>
              </w:rPr>
              <w:t>task</w:t>
            </w:r>
            <w:r w:rsidRPr="00063CB9" w:rsidR="00792264">
              <w:rPr>
                <w:color w:val="000000"/>
              </w:rPr>
              <w:t xml:space="preserve"> below </w:t>
            </w:r>
            <w:r w:rsidR="00A8179D">
              <w:rPr>
                <w:color w:val="000000"/>
              </w:rPr>
              <w:t>is</w:t>
            </w:r>
            <w:r w:rsidRPr="00063CB9" w:rsidR="00792264">
              <w:rPr>
                <w:color w:val="000000"/>
              </w:rPr>
              <w:t xml:space="preserve"> reduced by 50% for failure to comply with program guidelines.</w:t>
            </w:r>
          </w:p>
          <w:p w:rsidRPr="00063CB9" w:rsidR="00324C17" w:rsidP="00600B2E" w:rsidRDefault="00F97BFF" w14:paraId="4B3682E4" w14:textId="6AAF02B4">
            <w:pPr>
              <w:pStyle w:val="ListParagraph"/>
              <w:numPr>
                <w:ilvl w:val="0"/>
                <w:numId w:val="12"/>
              </w:numPr>
              <w:tabs>
                <w:tab w:val="left" w:pos="1440"/>
              </w:tabs>
              <w:spacing w:before="240"/>
              <w:rPr>
                <w:rFonts w:ascii="Times New Roman" w:hAnsi="Times New Roman"/>
                <w:color w:val="000000"/>
                <w:sz w:val="24"/>
                <w:szCs w:val="24"/>
              </w:rPr>
            </w:pPr>
            <w:r w:rsidRPr="00063CB9">
              <w:rPr>
                <w:rFonts w:ascii="Times New Roman" w:hAnsi="Times New Roman"/>
                <w:color w:val="000000"/>
                <w:sz w:val="24"/>
                <w:szCs w:val="24"/>
              </w:rPr>
              <w:t>6/29/22 – “</w:t>
            </w:r>
            <w:r w:rsidRPr="00063CB9" w:rsidR="00063CB9">
              <w:rPr>
                <w:rFonts w:ascii="Times New Roman" w:hAnsi="Times New Roman"/>
                <w:color w:val="000000"/>
                <w:sz w:val="24"/>
                <w:szCs w:val="24"/>
              </w:rPr>
              <w:t>Reviewing CUE testimony; emails with Attorney April Maurath Sommer regarding need for rebuttal testimony"</w:t>
            </w:r>
          </w:p>
        </w:tc>
      </w:tr>
      <w:tr w:rsidRPr="00237F57" w:rsidR="0042137E" w:rsidTr="00992640" w14:paraId="2BA166FF" w14:textId="77777777">
        <w:tc>
          <w:tcPr>
            <w:tcW w:w="1616" w:type="dxa"/>
          </w:tcPr>
          <w:p w:rsidRPr="00063CB9" w:rsidR="0042137E" w:rsidP="00063CB9" w:rsidRDefault="0042137E" w14:paraId="649BABC0" w14:textId="04DCFE58">
            <w:pPr>
              <w:tabs>
                <w:tab w:val="left" w:pos="1440"/>
              </w:tabs>
              <w:rPr>
                <w:color w:val="000000"/>
              </w:rPr>
            </w:pPr>
            <w:r>
              <w:rPr>
                <w:color w:val="000000"/>
              </w:rPr>
              <w:t xml:space="preserve">[5] </w:t>
            </w:r>
            <w:r w:rsidR="00782DE5">
              <w:rPr>
                <w:color w:val="000000"/>
              </w:rPr>
              <w:t xml:space="preserve">Reductions </w:t>
            </w:r>
            <w:r>
              <w:rPr>
                <w:color w:val="000000"/>
              </w:rPr>
              <w:t>for Duplication</w:t>
            </w:r>
            <w:r w:rsidR="00E710F3">
              <w:rPr>
                <w:color w:val="000000"/>
              </w:rPr>
              <w:t xml:space="preserve"> of Efforts</w:t>
            </w:r>
          </w:p>
        </w:tc>
        <w:tc>
          <w:tcPr>
            <w:tcW w:w="7744" w:type="dxa"/>
          </w:tcPr>
          <w:p w:rsidRPr="007D36E3" w:rsidR="00E710F3" w:rsidP="00B97917" w:rsidRDefault="00E710F3" w14:paraId="0EF6660E" w14:textId="5F6CF989">
            <w:pPr>
              <w:rPr>
                <w:b/>
                <w:bCs/>
              </w:rPr>
            </w:pPr>
            <w:r w:rsidRPr="007D36E3">
              <w:rPr>
                <w:b/>
                <w:bCs/>
              </w:rPr>
              <w:t>Duplication of Efforts</w:t>
            </w:r>
            <w:r w:rsidRPr="007D36E3" w:rsidR="00AA27A9">
              <w:rPr>
                <w:b/>
                <w:bCs/>
              </w:rPr>
              <w:t xml:space="preserve"> (Total</w:t>
            </w:r>
            <w:r w:rsidRPr="007D36E3" w:rsidR="007D36E3">
              <w:rPr>
                <w:b/>
                <w:bCs/>
              </w:rPr>
              <w:t>:</w:t>
            </w:r>
            <w:r w:rsidRPr="007D36E3" w:rsidR="00AA27A9">
              <w:rPr>
                <w:b/>
                <w:bCs/>
              </w:rPr>
              <w:t xml:space="preserve"> </w:t>
            </w:r>
            <w:r w:rsidRPr="007D36E3" w:rsidR="00582BAB">
              <w:rPr>
                <w:b/>
                <w:bCs/>
              </w:rPr>
              <w:t>13.74 Hours; Sommer: 10.</w:t>
            </w:r>
            <w:r w:rsidR="00D50963">
              <w:rPr>
                <w:b/>
                <w:bCs/>
              </w:rPr>
              <w:t>25</w:t>
            </w:r>
            <w:r w:rsidRPr="007D36E3" w:rsidR="007D36E3">
              <w:rPr>
                <w:b/>
                <w:bCs/>
              </w:rPr>
              <w:t>; McCollum: 3.65)</w:t>
            </w:r>
            <w:r w:rsidR="007D36E3">
              <w:rPr>
                <w:b/>
                <w:bCs/>
              </w:rPr>
              <w:t>:</w:t>
            </w:r>
          </w:p>
          <w:p w:rsidR="00E710F3" w:rsidP="00B97917" w:rsidRDefault="00E710F3" w14:paraId="658B8C9A" w14:textId="77777777"/>
          <w:p w:rsidR="00156453" w:rsidP="00712AAD" w:rsidRDefault="00116EB7" w14:paraId="7B220DF7" w14:textId="16288479">
            <w:r w:rsidRPr="00116EB7">
              <w:t xml:space="preserve">The Commission compensates intervenors for reasonable and efficient participation that contributes to the development of the record and aids in decision-making. </w:t>
            </w:r>
            <w:r w:rsidR="00596B9F">
              <w:t xml:space="preserve"> Statue s</w:t>
            </w:r>
            <w:r>
              <w:t>pecifically</w:t>
            </w:r>
            <w:r w:rsidR="00596B9F">
              <w:t xml:space="preserve"> states that</w:t>
            </w:r>
            <w:r w:rsidR="00242C44">
              <w:t xml:space="preserve"> the program </w:t>
            </w:r>
            <w:r>
              <w:t xml:space="preserve">should </w:t>
            </w:r>
            <w:r w:rsidR="00242C44">
              <w:t xml:space="preserve">be administered in a manner </w:t>
            </w:r>
            <w:r w:rsidR="00203B4D">
              <w:t>that avoids “unnecessary participation that duplicates the part</w:t>
            </w:r>
            <w:r w:rsidR="00255E81">
              <w:t>icipation of similar interests</w:t>
            </w:r>
            <w:r w:rsidR="00D55C70">
              <w:t>.</w:t>
            </w:r>
            <w:r w:rsidR="00255E81">
              <w:t>”</w:t>
            </w:r>
            <w:r w:rsidR="00D55C70">
              <w:t xml:space="preserve"> </w:t>
            </w:r>
            <w:r w:rsidRPr="00EB5FA7" w:rsidR="00EB5FA7">
              <w:t>(§ 1801.3(f))</w:t>
            </w:r>
            <w:r w:rsidR="009D091E">
              <w:t>.</w:t>
            </w:r>
            <w:r w:rsidR="000840A4">
              <w:t xml:space="preserve"> </w:t>
            </w:r>
            <w:r w:rsidRPr="00712AAD" w:rsidR="00712AAD">
              <w:t xml:space="preserve">At the same time, </w:t>
            </w:r>
            <w:r w:rsidR="00712AAD">
              <w:t>it</w:t>
            </w:r>
            <w:r w:rsidRPr="00712AAD" w:rsidR="00712AAD">
              <w:t xml:space="preserve"> recognize</w:t>
            </w:r>
            <w:r w:rsidR="00712AAD">
              <w:t xml:space="preserve">s that </w:t>
            </w:r>
            <w:r w:rsidR="000840A4">
              <w:t xml:space="preserve">participation </w:t>
            </w:r>
            <w:r w:rsidR="00712AAD">
              <w:t xml:space="preserve">by </w:t>
            </w:r>
            <w:r w:rsidR="000840A4">
              <w:t>a</w:t>
            </w:r>
            <w:r w:rsidR="00712AAD">
              <w:t>n intervenor</w:t>
            </w:r>
            <w:r w:rsidR="000840A4">
              <w:t xml:space="preserve"> </w:t>
            </w:r>
            <w:r w:rsidR="009B1AB2">
              <w:t>that “supplements</w:t>
            </w:r>
            <w:r w:rsidR="00637216">
              <w:t>, complements, or contributes to the presentation of another party</w:t>
            </w:r>
            <w:r w:rsidR="003E36FB">
              <w:t xml:space="preserve">” may </w:t>
            </w:r>
            <w:r w:rsidR="007B6D8E">
              <w:t xml:space="preserve">still </w:t>
            </w:r>
            <w:r w:rsidR="003E36FB">
              <w:t>be compensa</w:t>
            </w:r>
            <w:r w:rsidR="007B6D8E">
              <w:t>ble</w:t>
            </w:r>
            <w:r w:rsidR="003E36FB">
              <w:t xml:space="preserve">. </w:t>
            </w:r>
            <w:r w:rsidR="00A01B48">
              <w:t>T</w:t>
            </w:r>
            <w:r w:rsidR="00495C11">
              <w:t>herefore, t</w:t>
            </w:r>
            <w:r w:rsidR="00A01B48">
              <w:t xml:space="preserve">he governing statutes </w:t>
            </w:r>
            <w:proofErr w:type="gramStart"/>
            <w:r w:rsidR="00495C11">
              <w:t>acknowledges</w:t>
            </w:r>
            <w:proofErr w:type="gramEnd"/>
            <w:r w:rsidR="00495C11">
              <w:t xml:space="preserve"> </w:t>
            </w:r>
            <w:r w:rsidR="009C5FBD">
              <w:t xml:space="preserve">that some </w:t>
            </w:r>
            <w:r w:rsidRPr="00B71C69" w:rsidR="00B71C69">
              <w:t xml:space="preserve">duplicative </w:t>
            </w:r>
            <w:r w:rsidR="009C5FBD">
              <w:t>participation may still make a substantial contribution</w:t>
            </w:r>
            <w:r w:rsidR="004E2AFC">
              <w:t xml:space="preserve">, while other duplicative efforts </w:t>
            </w:r>
            <w:r w:rsidR="003B5BF5">
              <w:t xml:space="preserve">may be </w:t>
            </w:r>
            <w:r w:rsidR="00831C8A">
              <w:t>unnecessary</w:t>
            </w:r>
            <w:r w:rsidR="003B5BF5">
              <w:t xml:space="preserve"> and </w:t>
            </w:r>
            <w:r w:rsidR="00831C8A">
              <w:t>not compensable.</w:t>
            </w:r>
          </w:p>
          <w:p w:rsidR="00156453" w:rsidP="00B97917" w:rsidRDefault="00156453" w14:paraId="6D062FDD" w14:textId="77777777"/>
          <w:p w:rsidRPr="006F0F32" w:rsidR="00B97917" w:rsidP="004E2AFC" w:rsidRDefault="004E2AFC" w14:paraId="2658D690" w14:textId="420BE734">
            <w:r>
              <w:t>In this instance</w:t>
            </w:r>
            <w:r w:rsidRPr="00116EB7" w:rsidR="00116EB7">
              <w:t xml:space="preserve">, we find that </w:t>
            </w:r>
            <w:r>
              <w:t xml:space="preserve">Wild Tree’s </w:t>
            </w:r>
            <w:r w:rsidRPr="00116EB7" w:rsidR="00116EB7">
              <w:t xml:space="preserve">claimed hours reflect a significant duplication of effort. </w:t>
            </w:r>
            <w:r w:rsidR="00741967">
              <w:t>Several of</w:t>
            </w:r>
            <w:r w:rsidRPr="006F0F32" w:rsidR="006F0F32">
              <w:t xml:space="preserve"> </w:t>
            </w:r>
            <w:r w:rsidR="00741967">
              <w:t>Wild Tree</w:t>
            </w:r>
            <w:r w:rsidRPr="006F0F32" w:rsidR="00B97917">
              <w:t xml:space="preserve">’s views were not entirely unique and </w:t>
            </w:r>
            <w:r w:rsidR="00EC38CD">
              <w:t xml:space="preserve">therefore </w:t>
            </w:r>
            <w:r w:rsidRPr="006F0F32" w:rsidR="00B97917">
              <w:t>did not</w:t>
            </w:r>
            <w:r>
              <w:t xml:space="preserve"> significantly</w:t>
            </w:r>
            <w:r w:rsidRPr="006F0F32" w:rsidR="00B97917">
              <w:t xml:space="preserve"> contribute to or enrich the Commission’s deliberations. </w:t>
            </w:r>
            <w:r w:rsidR="00DB3AF8">
              <w:t>Many</w:t>
            </w:r>
            <w:r w:rsidRPr="006F0F32" w:rsidR="00B97917">
              <w:t xml:space="preserve"> of </w:t>
            </w:r>
            <w:r w:rsidRPr="006F0F32" w:rsidR="0087249C">
              <w:t>W</w:t>
            </w:r>
            <w:r w:rsidR="00741967">
              <w:t>ild Tree</w:t>
            </w:r>
            <w:r w:rsidRPr="006F0F32" w:rsidR="00B97917">
              <w:t xml:space="preserve">’s claimed substantial contributions </w:t>
            </w:r>
            <w:r w:rsidR="00847383">
              <w:t>echoed</w:t>
            </w:r>
            <w:r w:rsidRPr="006F0F32" w:rsidR="00B97917">
              <w:t xml:space="preserve"> positions raised by </w:t>
            </w:r>
            <w:r w:rsidR="002142E4">
              <w:t>other parties</w:t>
            </w:r>
            <w:r w:rsidRPr="006F0F32" w:rsidR="00B97917">
              <w:t xml:space="preserve"> that were equally substantial. In D.03-03-031, the Commission interpreted the duplication language contained in the first dependent clause to require “the compensation opponent to establish three elements – duplication, similar interests, and adequate representation.” (D.03-</w:t>
            </w:r>
            <w:r w:rsidRPr="006F0F32" w:rsidR="00B97917">
              <w:lastRenderedPageBreak/>
              <w:t>03-031</w:t>
            </w:r>
            <w:r w:rsidR="009D091E">
              <w:t xml:space="preserve"> at</w:t>
            </w:r>
            <w:r w:rsidRPr="006F0F32" w:rsidR="00B97917">
              <w:t xml:space="preserve"> 18.) </w:t>
            </w:r>
            <w:r w:rsidR="00340A7F">
              <w:t>T</w:t>
            </w:r>
            <w:r w:rsidRPr="006F0F32" w:rsidR="00B97917">
              <w:t>he Commission</w:t>
            </w:r>
            <w:r w:rsidR="00AE067F">
              <w:t xml:space="preserve"> retain</w:t>
            </w:r>
            <w:r w:rsidRPr="006F0F32" w:rsidR="00B97917">
              <w:t xml:space="preserve">s discretion to decide whether those interests are adequately represented </w:t>
            </w:r>
            <w:r w:rsidR="00FD56D3">
              <w:t>when deciding if</w:t>
            </w:r>
            <w:r w:rsidRPr="006F0F32" w:rsidR="00B97917">
              <w:t xml:space="preserve"> an intervenor has made a substantial contribution</w:t>
            </w:r>
            <w:r w:rsidR="00FD56D3">
              <w:t xml:space="preserve">, </w:t>
            </w:r>
            <w:r w:rsidRPr="006F0F32" w:rsidR="00B97917">
              <w:t>(D.04-07-039</w:t>
            </w:r>
            <w:r w:rsidR="009D091E">
              <w:t xml:space="preserve"> at </w:t>
            </w:r>
            <w:r w:rsidRPr="006F0F32" w:rsidR="00B97917">
              <w:t>8</w:t>
            </w:r>
            <w:r w:rsidR="0074153F">
              <w:t xml:space="preserve"> and</w:t>
            </w:r>
            <w:r w:rsidRPr="006F0F32" w:rsidR="00B97917">
              <w:t xml:space="preserve"> Pub. Util. Code §§1801.3(f), 1802(j), 1802.5)</w:t>
            </w:r>
            <w:r w:rsidR="009D091E">
              <w:t>.</w:t>
            </w:r>
            <w:r w:rsidRPr="006F0F32" w:rsidR="00B97917">
              <w:t xml:space="preserve"> When there is parallel participation between parties, “[p]</w:t>
            </w:r>
            <w:proofErr w:type="spellStart"/>
            <w:r w:rsidRPr="006F0F32" w:rsidR="00B97917">
              <w:t>articipation</w:t>
            </w:r>
            <w:proofErr w:type="spellEnd"/>
            <w:r w:rsidRPr="006F0F32" w:rsidR="00B97917">
              <w:t xml:space="preserve"> by a customer that materially supplements, complements, or contributes to the presentation of another party, including the commission staff, may be fully eligible for compensation if the participation makes a substantial contribution.” (Pub. Util. Code § 1802.5</w:t>
            </w:r>
            <w:r w:rsidR="0074153F">
              <w:t xml:space="preserve"> and</w:t>
            </w:r>
            <w:r w:rsidRPr="006F0F32" w:rsidR="00B97917">
              <w:t xml:space="preserve"> D.09-08-021</w:t>
            </w:r>
            <w:r w:rsidR="009D091E">
              <w:t xml:space="preserve"> at</w:t>
            </w:r>
            <w:r w:rsidRPr="006F0F32" w:rsidR="00B97917">
              <w:t xml:space="preserve"> 13)</w:t>
            </w:r>
            <w:r w:rsidR="009D091E">
              <w:t>.</w:t>
            </w:r>
          </w:p>
          <w:p w:rsidRPr="006F0F32" w:rsidR="00B97917" w:rsidP="00B97917" w:rsidRDefault="00B97917" w14:paraId="392C2C61" w14:textId="77777777"/>
          <w:p w:rsidR="005C43E8" w:rsidP="00B97917" w:rsidRDefault="00A057CE" w14:paraId="257FF1D5" w14:textId="6087961A">
            <w:r>
              <w:t>While t</w:t>
            </w:r>
            <w:r w:rsidRPr="006F0F32" w:rsidR="00B97917">
              <w:t>he Commission compensates efficient effort</w:t>
            </w:r>
            <w:r>
              <w:t>s</w:t>
            </w:r>
            <w:r w:rsidRPr="006F0F32" w:rsidR="00B97917">
              <w:t xml:space="preserve"> that contribute to the </w:t>
            </w:r>
            <w:proofErr w:type="gramStart"/>
            <w:r w:rsidRPr="006F0F32" w:rsidR="00B97917">
              <w:t>proceeding’s</w:t>
            </w:r>
            <w:proofErr w:type="gramEnd"/>
            <w:r w:rsidRPr="006F0F32" w:rsidR="00B97917">
              <w:t xml:space="preserve"> outcomes</w:t>
            </w:r>
            <w:r>
              <w:t>, it</w:t>
            </w:r>
            <w:r w:rsidRPr="006F0F32" w:rsidR="00B97917">
              <w:t xml:space="preserve"> disallows inefficient participation that </w:t>
            </w:r>
            <w:r>
              <w:t>does</w:t>
            </w:r>
            <w:r w:rsidRPr="006F0F32">
              <w:t xml:space="preserve"> </w:t>
            </w:r>
            <w:r w:rsidRPr="006F0F32" w:rsidR="00B97917">
              <w:t>not contribut</w:t>
            </w:r>
            <w:r>
              <w:t>e</w:t>
            </w:r>
            <w:r w:rsidRPr="006F0F32" w:rsidR="00B97917">
              <w:t xml:space="preserve"> to the underlying issues. In this </w:t>
            </w:r>
            <w:r w:rsidR="00683D38">
              <w:t>case</w:t>
            </w:r>
            <w:r w:rsidRPr="006F0F32" w:rsidR="00B97917">
              <w:t xml:space="preserve">, the </w:t>
            </w:r>
            <w:r w:rsidR="00885695">
              <w:t xml:space="preserve">MGRA </w:t>
            </w:r>
            <w:r w:rsidR="00985D47">
              <w:t xml:space="preserve">and TURN </w:t>
            </w:r>
            <w:r w:rsidR="00195406">
              <w:t>also focused on the same issues and</w:t>
            </w:r>
            <w:r w:rsidRPr="006F0F32" w:rsidR="00195406">
              <w:t xml:space="preserve"> </w:t>
            </w:r>
            <w:r w:rsidR="00F23496">
              <w:t>shared</w:t>
            </w:r>
            <w:r w:rsidRPr="006F0F32" w:rsidR="00B97917">
              <w:t xml:space="preserve"> the same concerns. Given the scope of the decision </w:t>
            </w:r>
            <w:r w:rsidR="005E53C2">
              <w:t>and the overlap</w:t>
            </w:r>
            <w:r w:rsidRPr="006F0F32" w:rsidR="00B97917">
              <w:t xml:space="preserve"> with </w:t>
            </w:r>
            <w:r w:rsidR="00985D47">
              <w:t>these intervenors</w:t>
            </w:r>
            <w:r w:rsidRPr="006F0F32" w:rsidR="00B97917">
              <w:t xml:space="preserve">, we find 75% of the </w:t>
            </w:r>
            <w:r w:rsidR="0027639B">
              <w:t xml:space="preserve">remaining </w:t>
            </w:r>
            <w:r w:rsidRPr="006F0F32" w:rsidR="00B97917">
              <w:t>hours reasonable</w:t>
            </w:r>
            <w:r w:rsidR="005E53C2">
              <w:t>. This adjustment</w:t>
            </w:r>
            <w:r w:rsidRPr="006F0F32" w:rsidR="00B97917">
              <w:t xml:space="preserve"> acknowledges the value of </w:t>
            </w:r>
            <w:r w:rsidRPr="006F0F32" w:rsidR="0087249C">
              <w:t>W</w:t>
            </w:r>
            <w:r w:rsidR="00EF65CF">
              <w:t>ild Tree</w:t>
            </w:r>
            <w:r w:rsidRPr="006F0F32" w:rsidR="00B97917">
              <w:t xml:space="preserve">’s contributions while aligning </w:t>
            </w:r>
            <w:r w:rsidR="005E53C2">
              <w:t>with</w:t>
            </w:r>
            <w:r w:rsidRPr="006F0F32" w:rsidR="005E53C2">
              <w:t xml:space="preserve"> </w:t>
            </w:r>
            <w:r w:rsidRPr="006F0F32" w:rsidR="00B97917">
              <w:t xml:space="preserve">similar arguments </w:t>
            </w:r>
            <w:r w:rsidR="005E53C2">
              <w:t>presented</w:t>
            </w:r>
            <w:r w:rsidRPr="006F0F32" w:rsidR="005E53C2">
              <w:t xml:space="preserve"> </w:t>
            </w:r>
            <w:r w:rsidRPr="006F0F32" w:rsidR="00B97917">
              <w:t xml:space="preserve">by </w:t>
            </w:r>
            <w:r w:rsidR="004563DA">
              <w:t>MGRA</w:t>
            </w:r>
            <w:r w:rsidR="00985D47">
              <w:t xml:space="preserve"> and TURN</w:t>
            </w:r>
            <w:r w:rsidRPr="006F0F32" w:rsidR="00B97917">
              <w:t xml:space="preserve"> in </w:t>
            </w:r>
            <w:r w:rsidRPr="00FB0A68" w:rsidR="00FB0A68">
              <w:t>D.23-11-069</w:t>
            </w:r>
            <w:r w:rsidRPr="006F0F32" w:rsidR="00B97917">
              <w:t xml:space="preserve">. </w:t>
            </w:r>
          </w:p>
          <w:p w:rsidR="005C43E8" w:rsidP="00B97917" w:rsidRDefault="005C43E8" w14:paraId="74F16AA4" w14:textId="77777777"/>
          <w:p w:rsidRPr="006F0F32" w:rsidR="00B97917" w:rsidP="00B97917" w:rsidRDefault="00B97917" w14:paraId="6EAF4573" w14:textId="3BB3FFF1">
            <w:r w:rsidRPr="006F0F32">
              <w:t>Pub</w:t>
            </w:r>
            <w:r w:rsidR="009D091E">
              <w:t>. Util. Code</w:t>
            </w:r>
            <w:r w:rsidRPr="006F0F32">
              <w:t xml:space="preserve"> § 1802(j) states a substantial contribution “has substantially assisted the commission in the making of its order or decision because the order or decision has adopted in whole or in part one or more factual contentions, legal contentions, or specific policy or procedural recommendations presented by the customer.” This decision finds that </w:t>
            </w:r>
            <w:r w:rsidR="005C43E8">
              <w:t>Wild Tree’s</w:t>
            </w:r>
            <w:r w:rsidRPr="006F0F32">
              <w:t xml:space="preserve"> contributions were not substantive in every </w:t>
            </w:r>
            <w:r w:rsidR="005C43E8">
              <w:t>instance</w:t>
            </w:r>
            <w:r w:rsidRPr="006F0F32">
              <w:t>.</w:t>
            </w:r>
          </w:p>
          <w:p w:rsidRPr="006F0F32" w:rsidR="00B97917" w:rsidP="00B97917" w:rsidRDefault="00B97917" w14:paraId="5508402A" w14:textId="77777777"/>
          <w:p w:rsidR="000F07FA" w:rsidP="00072169" w:rsidRDefault="008F1F3F" w14:paraId="509CF77F" w14:textId="5DFB3308">
            <w:r>
              <w:t>Time</w:t>
            </w:r>
            <w:r w:rsidRPr="006F0F32" w:rsidR="00B97917">
              <w:t xml:space="preserve"> dedicated by </w:t>
            </w:r>
            <w:r w:rsidRPr="006F0F32" w:rsidR="0087249C">
              <w:t>W</w:t>
            </w:r>
            <w:r w:rsidR="00EF65CF">
              <w:t>ild Tree</w:t>
            </w:r>
            <w:r w:rsidRPr="006F0F32" w:rsidR="00B97917">
              <w:t xml:space="preserve"> representatives was focused </w:t>
            </w:r>
            <w:r w:rsidRPr="006F0F32" w:rsidR="00614CA8">
              <w:t>on system hardening</w:t>
            </w:r>
            <w:r w:rsidRPr="006F0F32" w:rsidR="00B97917">
              <w:t xml:space="preserve">. </w:t>
            </w:r>
            <w:r w:rsidR="00B141BB">
              <w:t>Wild Tre</w:t>
            </w:r>
            <w:r w:rsidR="00936364">
              <w:t xml:space="preserve">e recommended </w:t>
            </w:r>
            <w:r w:rsidR="00072169">
              <w:t>shifting</w:t>
            </w:r>
            <w:r w:rsidR="00936364">
              <w:t xml:space="preserve"> costs to the deployment of covered conductors </w:t>
            </w:r>
            <w:r w:rsidR="00BC5B00">
              <w:t xml:space="preserve">to </w:t>
            </w:r>
            <w:r w:rsidR="002B05E9">
              <w:t xml:space="preserve">mitigate wildfire-related matters </w:t>
            </w:r>
            <w:r w:rsidR="00425142">
              <w:t xml:space="preserve">and </w:t>
            </w:r>
            <w:r w:rsidR="00B22E13">
              <w:t>argued</w:t>
            </w:r>
            <w:r w:rsidR="00425142">
              <w:t xml:space="preserve"> the feasibility and costs </w:t>
            </w:r>
            <w:r w:rsidR="00072169">
              <w:t xml:space="preserve">effectiveness of their recommendation. </w:t>
            </w:r>
            <w:r w:rsidRPr="006F0F32" w:rsidR="00B97917">
              <w:t>Th</w:t>
            </w:r>
            <w:r w:rsidR="00ED2D42">
              <w:t>is</w:t>
            </w:r>
            <w:r w:rsidR="002142E4">
              <w:t xml:space="preserve"> issue and</w:t>
            </w:r>
            <w:r w:rsidRPr="006F0F32" w:rsidR="00B97917">
              <w:t xml:space="preserve"> </w:t>
            </w:r>
            <w:r w:rsidR="00BC5B00">
              <w:t>recommendation</w:t>
            </w:r>
            <w:r w:rsidRPr="006F0F32" w:rsidR="00B97917">
              <w:t xml:space="preserve"> </w:t>
            </w:r>
            <w:proofErr w:type="gramStart"/>
            <w:r w:rsidRPr="006F0F32" w:rsidR="00B97917">
              <w:t>w</w:t>
            </w:r>
            <w:r w:rsidR="00ED2D42">
              <w:t>as</w:t>
            </w:r>
            <w:proofErr w:type="gramEnd"/>
            <w:r w:rsidRPr="006F0F32" w:rsidR="00B97917">
              <w:t xml:space="preserve"> also argued by </w:t>
            </w:r>
            <w:r w:rsidRPr="006F0F32" w:rsidR="00EF6F93">
              <w:t>MGRA</w:t>
            </w:r>
            <w:r w:rsidR="00ED2D42">
              <w:t xml:space="preserve"> and TURN</w:t>
            </w:r>
            <w:r w:rsidR="007C2BF0">
              <w:t xml:space="preserve">. The Commission encourages </w:t>
            </w:r>
            <w:r w:rsidR="00B22E13">
              <w:t>intervenors to collaborate and file joint</w:t>
            </w:r>
            <w:r w:rsidR="005E3B10">
              <w:t>ly</w:t>
            </w:r>
            <w:r w:rsidR="00B22E13">
              <w:t xml:space="preserve"> w</w:t>
            </w:r>
            <w:r w:rsidR="005977CA">
              <w:t xml:space="preserve">here applicable to avoid </w:t>
            </w:r>
            <w:r w:rsidR="0081541A">
              <w:t xml:space="preserve">redundancy </w:t>
            </w:r>
            <w:r w:rsidR="00EA13DB">
              <w:t>in the proceeding</w:t>
            </w:r>
            <w:r w:rsidR="005977CA">
              <w:t>.</w:t>
            </w:r>
          </w:p>
          <w:p w:rsidR="00072169" w:rsidP="00072169" w:rsidRDefault="00072169" w14:paraId="3EA53A7C" w14:textId="77777777"/>
          <w:p w:rsidR="00072169" w:rsidP="00072169" w:rsidRDefault="00122565" w14:paraId="7DE9BB9B" w14:textId="4317B7AB">
            <w:r>
              <w:t>Accordingly, t</w:t>
            </w:r>
            <w:r w:rsidR="001B0A37">
              <w:t xml:space="preserve">he following hours have been </w:t>
            </w:r>
            <w:r>
              <w:t xml:space="preserve">reduced </w:t>
            </w:r>
            <w:r w:rsidR="00F17C2A">
              <w:t xml:space="preserve">for duplication of </w:t>
            </w:r>
            <w:proofErr w:type="gramStart"/>
            <w:r w:rsidR="00F17C2A">
              <w:t>efforts</w:t>
            </w:r>
            <w:proofErr w:type="gramEnd"/>
            <w:r w:rsidR="00F17C2A">
              <w:t>:</w:t>
            </w:r>
          </w:p>
          <w:p w:rsidR="00597DF0" w:rsidP="00072169" w:rsidRDefault="00597DF0" w14:paraId="6F65EFE6" w14:textId="77777777"/>
          <w:p w:rsidR="00F17C2A" w:rsidP="00072169" w:rsidRDefault="00B87916" w14:paraId="4FA64483" w14:textId="5DC20815">
            <w:r>
              <w:t>Sommer 2022:</w:t>
            </w:r>
            <w:r w:rsidR="00597DF0">
              <w:t xml:space="preserve"> </w:t>
            </w:r>
            <w:r w:rsidR="001C368F">
              <w:t>10.</w:t>
            </w:r>
            <w:r w:rsidR="002E0A53">
              <w:t>25</w:t>
            </w:r>
            <w:r w:rsidR="001C368F">
              <w:t xml:space="preserve"> hours</w:t>
            </w:r>
          </w:p>
          <w:p w:rsidRPr="00F0322B" w:rsidR="0042137E" w:rsidP="002A0337" w:rsidRDefault="00B87916" w14:paraId="4318DB49" w14:textId="6026C6C9">
            <w:r>
              <w:t>McCollum 2022:</w:t>
            </w:r>
            <w:r w:rsidR="001C368F">
              <w:t xml:space="preserve"> 3.65 hours</w:t>
            </w:r>
          </w:p>
        </w:tc>
      </w:tr>
    </w:tbl>
    <w:p w:rsidRPr="00237F57" w:rsidR="00A92D0B" w:rsidP="00575494" w:rsidRDefault="00A92D0B" w14:paraId="18E9D359" w14:textId="7C83C5FE">
      <w:pPr>
        <w:keepNext/>
        <w:tabs>
          <w:tab w:val="left" w:pos="1260"/>
        </w:tabs>
        <w:spacing w:before="480"/>
        <w:jc w:val="center"/>
        <w:rPr>
          <w:b/>
          <w:color w:val="000000"/>
        </w:rPr>
      </w:pPr>
      <w:r w:rsidRPr="00237F57">
        <w:rPr>
          <w:b/>
          <w:color w:val="000000"/>
        </w:rPr>
        <w:lastRenderedPageBreak/>
        <w:t>PART IV</w:t>
      </w:r>
      <w:r w:rsidRPr="00237F57" w:rsidR="00813516">
        <w:rPr>
          <w:b/>
          <w:color w:val="000000"/>
        </w:rPr>
        <w:t>: OPPOSITIONS</w:t>
      </w:r>
      <w:r w:rsidRPr="00237F57">
        <w:rPr>
          <w:b/>
          <w:color w:val="000000"/>
        </w:rPr>
        <w:t xml:space="preserve"> AND COMMENTS</w:t>
      </w:r>
    </w:p>
    <w:p w:rsidRPr="00237F57" w:rsidR="00D1778A" w:rsidP="00575494" w:rsidRDefault="00A92D0B" w14:paraId="4E460EA0" w14:textId="77777777">
      <w:pPr>
        <w:keepNext/>
        <w:tabs>
          <w:tab w:val="left" w:pos="1260"/>
        </w:tabs>
        <w:ind w:left="1267" w:hanging="1267"/>
        <w:jc w:val="center"/>
        <w:rPr>
          <w:b/>
          <w:color w:val="000000"/>
        </w:rPr>
      </w:pPr>
      <w:r w:rsidRPr="00237F57">
        <w:rPr>
          <w:b/>
          <w:color w:val="000000"/>
        </w:rPr>
        <w:t>Within 30 days after service of this Claim, Commission Staff</w:t>
      </w:r>
    </w:p>
    <w:p w:rsidRPr="00237F57" w:rsidR="00A92D0B" w:rsidP="00575494" w:rsidRDefault="00F20061" w14:paraId="5D5DC317" w14:textId="6B3AEA94">
      <w:pPr>
        <w:keepNext/>
        <w:tabs>
          <w:tab w:val="left" w:pos="1260"/>
        </w:tabs>
        <w:spacing w:after="240"/>
        <w:ind w:left="1267" w:hanging="1267"/>
        <w:jc w:val="center"/>
        <w:rPr>
          <w:b/>
          <w:color w:val="000000"/>
        </w:rPr>
      </w:pPr>
      <w:r w:rsidRPr="00237F57">
        <w:rPr>
          <w:b/>
          <w:color w:val="000000"/>
        </w:rPr>
        <w:t xml:space="preserve"> </w:t>
      </w:r>
      <w:r w:rsidRPr="00237F57" w:rsidR="00A92D0B">
        <w:rPr>
          <w:b/>
          <w:color w:val="000000"/>
        </w:rPr>
        <w:t>or any other party may file a response to the Claim (</w:t>
      </w:r>
      <w:r w:rsidRPr="00237F57" w:rsidR="00A92D0B">
        <w:rPr>
          <w:b/>
          <w:i/>
          <w:color w:val="000000"/>
        </w:rPr>
        <w:t>see</w:t>
      </w:r>
      <w:r w:rsidRPr="00237F57"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237F57" w:rsidR="00A92D0B" w:rsidTr="005A3018" w14:paraId="46A51699" w14:textId="77777777">
        <w:tc>
          <w:tcPr>
            <w:tcW w:w="7336" w:type="dxa"/>
          </w:tcPr>
          <w:p w:rsidRPr="00237F57" w:rsidR="00A92D0B" w:rsidP="005A3018" w:rsidRDefault="00A92D0B" w14:paraId="607B1FB9" w14:textId="639D7800">
            <w:pPr>
              <w:ind w:left="360" w:hanging="360"/>
              <w:rPr>
                <w:color w:val="000000"/>
              </w:rPr>
            </w:pPr>
            <w:r w:rsidRPr="00237F57">
              <w:rPr>
                <w:b/>
                <w:color w:val="000000"/>
              </w:rPr>
              <w:t>A.</w:t>
            </w:r>
            <w:r w:rsidRPr="00237F57" w:rsidR="005A3018">
              <w:rPr>
                <w:b/>
                <w:color w:val="000000"/>
              </w:rPr>
              <w:tab/>
            </w:r>
            <w:r w:rsidRPr="00237F57">
              <w:rPr>
                <w:b/>
                <w:color w:val="000000"/>
              </w:rPr>
              <w:t>Opposition:  Did any party oppose the Claim?</w:t>
            </w:r>
          </w:p>
        </w:tc>
        <w:tc>
          <w:tcPr>
            <w:tcW w:w="2024" w:type="dxa"/>
          </w:tcPr>
          <w:p w:rsidRPr="00237F57" w:rsidR="00A92D0B" w:rsidP="00B154C0" w:rsidRDefault="00B154C0" w14:paraId="6E7CD931" w14:textId="1BBC3C7A">
            <w:pPr>
              <w:ind w:firstLine="720"/>
              <w:rPr>
                <w:color w:val="000000"/>
              </w:rPr>
            </w:pPr>
            <w:r>
              <w:rPr>
                <w:color w:val="000000"/>
              </w:rPr>
              <w:t>No</w:t>
            </w:r>
          </w:p>
        </w:tc>
      </w:tr>
    </w:tbl>
    <w:p w:rsidRPr="00237F57"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08"/>
        <w:gridCol w:w="2052"/>
      </w:tblGrid>
      <w:tr w:rsidRPr="00237F57" w:rsidR="00A92D0B" w:rsidTr="006706AC" w14:paraId="7A0D8740" w14:textId="77777777">
        <w:tc>
          <w:tcPr>
            <w:tcW w:w="7308" w:type="dxa"/>
          </w:tcPr>
          <w:p w:rsidRPr="00237F57" w:rsidR="00A92D0B" w:rsidP="005A3018" w:rsidRDefault="00A92D0B" w14:paraId="37D28D8D" w14:textId="153536A0">
            <w:pPr>
              <w:ind w:left="360" w:hanging="360"/>
              <w:rPr>
                <w:color w:val="000000"/>
              </w:rPr>
            </w:pPr>
            <w:r w:rsidRPr="00237F57">
              <w:rPr>
                <w:b/>
                <w:color w:val="000000"/>
              </w:rPr>
              <w:t>B.</w:t>
            </w:r>
            <w:r w:rsidRPr="00237F57" w:rsidR="005A3018">
              <w:rPr>
                <w:b/>
                <w:color w:val="000000"/>
              </w:rPr>
              <w:tab/>
            </w:r>
            <w:r w:rsidRPr="00237F57">
              <w:rPr>
                <w:b/>
                <w:color w:val="000000"/>
              </w:rPr>
              <w:t>Comment Period</w:t>
            </w:r>
            <w:r w:rsidRPr="00237F57" w:rsidR="00813516">
              <w:rPr>
                <w:b/>
                <w:color w:val="000000"/>
              </w:rPr>
              <w:t>: Was</w:t>
            </w:r>
            <w:r w:rsidRPr="00237F57">
              <w:rPr>
                <w:b/>
                <w:color w:val="000000"/>
              </w:rPr>
              <w:t xml:space="preserve"> the 30-day comment period waived (</w:t>
            </w:r>
            <w:r w:rsidRPr="00237F57">
              <w:rPr>
                <w:b/>
                <w:i/>
                <w:color w:val="000000"/>
              </w:rPr>
              <w:t>see</w:t>
            </w:r>
            <w:r w:rsidRPr="00237F57" w:rsidR="00A60203">
              <w:rPr>
                <w:b/>
                <w:color w:val="000000"/>
              </w:rPr>
              <w:t> </w:t>
            </w:r>
            <w:r w:rsidRPr="00237F57">
              <w:rPr>
                <w:b/>
                <w:color w:val="000000"/>
              </w:rPr>
              <w:t>Rule 14.6(</w:t>
            </w:r>
            <w:r w:rsidRPr="00237F57" w:rsidR="00963EEF">
              <w:rPr>
                <w:b/>
                <w:color w:val="000000"/>
              </w:rPr>
              <w:t>c</w:t>
            </w:r>
            <w:r w:rsidRPr="00237F57">
              <w:rPr>
                <w:b/>
                <w:color w:val="000000"/>
              </w:rPr>
              <w:t>)(6))?</w:t>
            </w:r>
          </w:p>
        </w:tc>
        <w:tc>
          <w:tcPr>
            <w:tcW w:w="2052" w:type="dxa"/>
          </w:tcPr>
          <w:p w:rsidRPr="00237F57" w:rsidR="00A92D0B" w:rsidP="004E746D" w:rsidRDefault="00784608" w14:paraId="238D2D3F" w14:textId="6E0EF008">
            <w:pPr>
              <w:keepNext/>
              <w:keepLines/>
              <w:spacing w:after="240"/>
              <w:jc w:val="center"/>
              <w:rPr>
                <w:color w:val="000000"/>
              </w:rPr>
            </w:pPr>
            <w:r>
              <w:rPr>
                <w:color w:val="000000"/>
              </w:rPr>
              <w:t>No</w:t>
            </w:r>
          </w:p>
        </w:tc>
      </w:tr>
    </w:tbl>
    <w:p w:rsidRPr="007F620E" w:rsidR="006706AC" w:rsidP="006706AC" w:rsidRDefault="006706AC" w14:paraId="02023A17" w14:textId="77777777">
      <w:pPr>
        <w:keepNext/>
        <w:keepLines/>
        <w:spacing w:after="240"/>
        <w:ind w:firstLine="907"/>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1"/>
        <w:gridCol w:w="6096"/>
        <w:gridCol w:w="2043"/>
      </w:tblGrid>
      <w:tr w:rsidRPr="007F620E" w:rsidR="006706AC" w:rsidTr="00F25475" w14:paraId="080AF4AA" w14:textId="77777777">
        <w:tc>
          <w:tcPr>
            <w:tcW w:w="1236" w:type="dxa"/>
            <w:shd w:val="pct12" w:color="auto" w:fill="auto"/>
          </w:tcPr>
          <w:p w:rsidRPr="007F620E" w:rsidR="006706AC" w:rsidP="00F25475" w:rsidRDefault="006706AC" w14:paraId="2A7B3283" w14:textId="77777777">
            <w:pPr>
              <w:keepNext/>
              <w:keepLines/>
              <w:spacing w:before="120"/>
              <w:jc w:val="center"/>
              <w:rPr>
                <w:b/>
                <w:color w:val="000000"/>
              </w:rPr>
            </w:pPr>
            <w:r w:rsidRPr="007F620E">
              <w:rPr>
                <w:b/>
                <w:color w:val="000000"/>
              </w:rPr>
              <w:t>Party</w:t>
            </w:r>
          </w:p>
        </w:tc>
        <w:tc>
          <w:tcPr>
            <w:tcW w:w="6252" w:type="dxa"/>
            <w:shd w:val="pct12" w:color="auto" w:fill="auto"/>
          </w:tcPr>
          <w:p w:rsidRPr="007F620E" w:rsidR="006706AC" w:rsidP="00F25475" w:rsidRDefault="006706AC" w14:paraId="534DA13C" w14:textId="77777777">
            <w:pPr>
              <w:keepNext/>
              <w:keepLines/>
              <w:spacing w:before="120"/>
              <w:jc w:val="center"/>
              <w:rPr>
                <w:color w:val="000000"/>
              </w:rPr>
            </w:pPr>
            <w:r w:rsidRPr="007F620E">
              <w:rPr>
                <w:b/>
                <w:color w:val="000000"/>
              </w:rPr>
              <w:t>Comment</w:t>
            </w:r>
          </w:p>
        </w:tc>
        <w:tc>
          <w:tcPr>
            <w:tcW w:w="2070" w:type="dxa"/>
            <w:shd w:val="pct12" w:color="auto" w:fill="auto"/>
          </w:tcPr>
          <w:p w:rsidRPr="007F620E" w:rsidR="006706AC" w:rsidP="00F25475" w:rsidRDefault="006706AC" w14:paraId="642F5CE0" w14:textId="77777777">
            <w:pPr>
              <w:keepNext/>
              <w:keepLines/>
              <w:spacing w:before="120"/>
              <w:jc w:val="center"/>
              <w:rPr>
                <w:color w:val="000000"/>
              </w:rPr>
            </w:pPr>
            <w:r w:rsidRPr="007F620E">
              <w:rPr>
                <w:b/>
                <w:color w:val="000000"/>
              </w:rPr>
              <w:t>CPUC Discussion</w:t>
            </w:r>
          </w:p>
        </w:tc>
      </w:tr>
      <w:tr w:rsidRPr="007F620E" w:rsidR="006706AC" w:rsidTr="00F25475" w14:paraId="650FC39D" w14:textId="77777777">
        <w:tc>
          <w:tcPr>
            <w:tcW w:w="1236" w:type="dxa"/>
          </w:tcPr>
          <w:p w:rsidRPr="007F620E" w:rsidR="006706AC" w:rsidP="00F25475" w:rsidRDefault="006706AC" w14:paraId="2758D7D4" w14:textId="77777777">
            <w:pPr>
              <w:keepNext/>
              <w:keepLines/>
              <w:spacing w:before="120"/>
              <w:rPr>
                <w:color w:val="000000"/>
              </w:rPr>
            </w:pPr>
          </w:p>
        </w:tc>
        <w:tc>
          <w:tcPr>
            <w:tcW w:w="6252" w:type="dxa"/>
          </w:tcPr>
          <w:p w:rsidRPr="007F620E" w:rsidR="006706AC" w:rsidP="00F25475" w:rsidRDefault="00E34CF1" w14:paraId="165CB117" w14:textId="7CF8206B">
            <w:pPr>
              <w:keepNext/>
              <w:keepLines/>
              <w:spacing w:before="120"/>
              <w:rPr>
                <w:color w:val="000000"/>
              </w:rPr>
            </w:pPr>
            <w:r>
              <w:rPr>
                <w:color w:val="000000"/>
              </w:rPr>
              <w:t>No comments/reply comments were received</w:t>
            </w:r>
          </w:p>
        </w:tc>
        <w:tc>
          <w:tcPr>
            <w:tcW w:w="2070" w:type="dxa"/>
          </w:tcPr>
          <w:p w:rsidRPr="007F620E" w:rsidR="006706AC" w:rsidP="00F25475" w:rsidRDefault="006706AC" w14:paraId="7D02875C" w14:textId="77777777">
            <w:pPr>
              <w:keepNext/>
              <w:keepLines/>
              <w:spacing w:before="120"/>
              <w:rPr>
                <w:color w:val="000000"/>
              </w:rPr>
            </w:pPr>
          </w:p>
        </w:tc>
      </w:tr>
      <w:tr w:rsidRPr="007F620E" w:rsidR="006706AC" w:rsidTr="00F25475" w14:paraId="042E4C91" w14:textId="77777777">
        <w:tc>
          <w:tcPr>
            <w:tcW w:w="1236" w:type="dxa"/>
          </w:tcPr>
          <w:p w:rsidRPr="007F620E" w:rsidR="006706AC" w:rsidP="00F25475" w:rsidRDefault="006706AC" w14:paraId="28D04D28" w14:textId="77777777">
            <w:pPr>
              <w:spacing w:before="120"/>
              <w:rPr>
                <w:color w:val="000000"/>
              </w:rPr>
            </w:pPr>
          </w:p>
        </w:tc>
        <w:tc>
          <w:tcPr>
            <w:tcW w:w="6252" w:type="dxa"/>
          </w:tcPr>
          <w:p w:rsidRPr="007F620E" w:rsidR="006706AC" w:rsidP="00F25475" w:rsidRDefault="006706AC" w14:paraId="5A2CB951" w14:textId="77777777">
            <w:pPr>
              <w:spacing w:before="120"/>
              <w:rPr>
                <w:color w:val="000000"/>
              </w:rPr>
            </w:pPr>
          </w:p>
        </w:tc>
        <w:tc>
          <w:tcPr>
            <w:tcW w:w="2070" w:type="dxa"/>
          </w:tcPr>
          <w:p w:rsidRPr="007F620E" w:rsidR="006706AC" w:rsidP="00F25475" w:rsidRDefault="006706AC" w14:paraId="00CE44B4" w14:textId="77777777">
            <w:pPr>
              <w:spacing w:before="120"/>
              <w:rPr>
                <w:color w:val="000000"/>
              </w:rPr>
            </w:pPr>
          </w:p>
        </w:tc>
      </w:tr>
    </w:tbl>
    <w:p w:rsidRPr="00237F57" w:rsidR="00A92D0B" w:rsidP="00177A9F" w:rsidRDefault="00A92D0B" w14:paraId="186E115A" w14:textId="342F39B4">
      <w:pPr>
        <w:keepNext/>
        <w:spacing w:before="240" w:after="240"/>
        <w:jc w:val="center"/>
        <w:rPr>
          <w:b/>
          <w:color w:val="000000"/>
          <w:u w:val="single"/>
        </w:rPr>
      </w:pPr>
      <w:r w:rsidRPr="00237F57">
        <w:rPr>
          <w:b/>
          <w:color w:val="000000"/>
          <w:u w:val="single"/>
        </w:rPr>
        <w:t>FINDINGS OF FACT</w:t>
      </w:r>
    </w:p>
    <w:p w:rsidRPr="00237F57" w:rsidR="00A92D0B" w:rsidRDefault="001C02A8" w14:paraId="7772A9DC" w14:textId="094681E0">
      <w:pPr>
        <w:numPr>
          <w:ilvl w:val="0"/>
          <w:numId w:val="3"/>
        </w:numPr>
        <w:tabs>
          <w:tab w:val="num" w:pos="540"/>
        </w:tabs>
        <w:ind w:left="540" w:hanging="540"/>
      </w:pPr>
      <w:r>
        <w:t>W</w:t>
      </w:r>
      <w:r w:rsidRPr="001C02A8">
        <w:t xml:space="preserve">ild </w:t>
      </w:r>
      <w:r>
        <w:t>T</w:t>
      </w:r>
      <w:r w:rsidRPr="001C02A8">
        <w:t xml:space="preserve">ree </w:t>
      </w:r>
      <w:r>
        <w:t>F</w:t>
      </w:r>
      <w:r w:rsidRPr="001C02A8">
        <w:t>oundation</w:t>
      </w:r>
      <w:r w:rsidRPr="00237F57">
        <w:t xml:space="preserve"> </w:t>
      </w:r>
      <w:r w:rsidRPr="00237F57" w:rsidR="00A92D0B">
        <w:t>has</w:t>
      </w:r>
      <w:r>
        <w:t xml:space="preserve"> </w:t>
      </w:r>
      <w:r w:rsidRPr="00237F57" w:rsidR="00A92D0B">
        <w:t>made a substantia</w:t>
      </w:r>
      <w:r w:rsidRPr="00237F57" w:rsidR="00DE3A5D">
        <w:t>l contribution to D.</w:t>
      </w:r>
      <w:r w:rsidRPr="00BA07E5" w:rsidR="00C41AAD">
        <w:t>2</w:t>
      </w:r>
      <w:r w:rsidRPr="00BA07E5" w:rsidR="00241113">
        <w:t>3</w:t>
      </w:r>
      <w:r w:rsidRPr="00BA07E5" w:rsidR="00C41AAD">
        <w:t>-11-0</w:t>
      </w:r>
      <w:r w:rsidRPr="00BA07E5" w:rsidR="00241113">
        <w:t>69</w:t>
      </w:r>
      <w:r w:rsidRPr="00BA07E5" w:rsidR="00A92D0B">
        <w:t>.</w:t>
      </w:r>
    </w:p>
    <w:p w:rsidRPr="00237F57" w:rsidR="00A92D0B" w:rsidRDefault="00A92D0B" w14:paraId="04EB50FD" w14:textId="3B99F7D8">
      <w:pPr>
        <w:numPr>
          <w:ilvl w:val="0"/>
          <w:numId w:val="3"/>
        </w:numPr>
        <w:tabs>
          <w:tab w:val="num" w:pos="540"/>
        </w:tabs>
        <w:spacing w:before="240"/>
      </w:pPr>
      <w:r w:rsidRPr="00237F57">
        <w:t>The requested hourly rates for</w:t>
      </w:r>
      <w:r w:rsidRPr="00237F57" w:rsidR="003B6A1B">
        <w:t xml:space="preserve"> </w:t>
      </w:r>
      <w:r w:rsidR="001C02A8">
        <w:t>W</w:t>
      </w:r>
      <w:r w:rsidRPr="001C02A8" w:rsidR="001C02A8">
        <w:t xml:space="preserve">ild </w:t>
      </w:r>
      <w:r w:rsidR="001C02A8">
        <w:t>T</w:t>
      </w:r>
      <w:r w:rsidRPr="001C02A8" w:rsidR="001C02A8">
        <w:t xml:space="preserve">ree </w:t>
      </w:r>
      <w:r w:rsidR="001C02A8">
        <w:t>F</w:t>
      </w:r>
      <w:r w:rsidRPr="001C02A8" w:rsidR="001C02A8">
        <w:t>oundation</w:t>
      </w:r>
      <w:r w:rsidRPr="00237F57" w:rsidR="005A63D4">
        <w:t xml:space="preserve">’s </w:t>
      </w:r>
      <w:r w:rsidRPr="00237F57">
        <w:t>representatives,</w:t>
      </w:r>
      <w:r w:rsidRPr="00237F57" w:rsidR="003B5EAC">
        <w:t xml:space="preserve"> </w:t>
      </w:r>
      <w:r w:rsidRPr="00237F57">
        <w:t>as adjusted herein, are comparable to market rates paid to experts and advocates having comparable training and experience and offering similar services.</w:t>
      </w:r>
    </w:p>
    <w:p w:rsidRPr="00237F57" w:rsidR="00A92D0B" w:rsidRDefault="00A92D0B" w14:paraId="528EBB52" w14:textId="1D3758A6">
      <w:pPr>
        <w:numPr>
          <w:ilvl w:val="0"/>
          <w:numId w:val="3"/>
        </w:numPr>
        <w:tabs>
          <w:tab w:val="num" w:pos="540"/>
        </w:tabs>
        <w:spacing w:before="240"/>
      </w:pPr>
      <w:r w:rsidRPr="00237F57">
        <w:t>The claimed costs and expenses,</w:t>
      </w:r>
      <w:r w:rsidRPr="00237F57" w:rsidR="003B5EAC">
        <w:t xml:space="preserve"> </w:t>
      </w:r>
      <w:r w:rsidRPr="00237F57">
        <w:t xml:space="preserve">as adjusted herein, are reasonable and commensurate with the work performed. </w:t>
      </w:r>
    </w:p>
    <w:p w:rsidRPr="00237F57" w:rsidR="00A92D0B" w:rsidRDefault="00A92D0B" w14:paraId="48B52895" w14:textId="7FEDE765">
      <w:pPr>
        <w:numPr>
          <w:ilvl w:val="0"/>
          <w:numId w:val="3"/>
        </w:numPr>
        <w:tabs>
          <w:tab w:val="num" w:pos="540"/>
        </w:tabs>
        <w:spacing w:before="240"/>
      </w:pPr>
      <w:r w:rsidRPr="00237F57">
        <w:t xml:space="preserve">The total reasonable </w:t>
      </w:r>
      <w:r w:rsidRPr="00237F57" w:rsidR="003C608A">
        <w:t xml:space="preserve">compensation </w:t>
      </w:r>
      <w:r w:rsidRPr="00237F57" w:rsidR="00DC6DC5">
        <w:t xml:space="preserve">is </w:t>
      </w:r>
      <w:r w:rsidR="00DC6DC5">
        <w:t>$</w:t>
      </w:r>
      <w:r w:rsidR="00D80E50">
        <w:t>19,659.15</w:t>
      </w:r>
      <w:r w:rsidR="009C75A0">
        <w:t>.</w:t>
      </w:r>
    </w:p>
    <w:p w:rsidRPr="00237F57" w:rsidR="00A92D0B" w:rsidP="00EA59B1" w:rsidRDefault="00A92D0B" w14:paraId="5C773C3F" w14:textId="77777777">
      <w:pPr>
        <w:keepNext/>
        <w:spacing w:before="240" w:after="240"/>
        <w:jc w:val="center"/>
        <w:rPr>
          <w:b/>
          <w:color w:val="000000"/>
          <w:u w:val="single"/>
        </w:rPr>
      </w:pPr>
      <w:r w:rsidRPr="00237F57">
        <w:rPr>
          <w:b/>
          <w:color w:val="000000"/>
          <w:u w:val="single"/>
        </w:rPr>
        <w:t>CONCLUSION OF LAW</w:t>
      </w:r>
    </w:p>
    <w:p w:rsidRPr="00237F57" w:rsidR="00A92D0B" w:rsidP="00575494" w:rsidRDefault="00A92D0B" w14:paraId="654F2C27" w14:textId="02BF0082">
      <w:pPr>
        <w:numPr>
          <w:ilvl w:val="0"/>
          <w:numId w:val="10"/>
        </w:numPr>
        <w:spacing w:before="240"/>
        <w:rPr>
          <w:color w:val="000000"/>
        </w:rPr>
      </w:pPr>
      <w:r w:rsidRPr="00237F57">
        <w:t>The</w:t>
      </w:r>
      <w:r w:rsidRPr="00237F57">
        <w:rPr>
          <w:color w:val="000000"/>
        </w:rPr>
        <w:t xml:space="preserve"> Claim, with any adjustment set forth above, satisfies</w:t>
      </w:r>
      <w:r w:rsidR="001C02A8">
        <w:rPr>
          <w:color w:val="000000"/>
        </w:rPr>
        <w:t xml:space="preserve"> </w:t>
      </w:r>
      <w:r w:rsidRPr="00237F57" w:rsidR="00DE3A5D">
        <w:rPr>
          <w:color w:val="000000"/>
        </w:rPr>
        <w:t>all requirements of Pub. Util.</w:t>
      </w:r>
      <w:r w:rsidRPr="00237F57">
        <w:rPr>
          <w:color w:val="000000"/>
        </w:rPr>
        <w:t xml:space="preserve"> Code §§ 1801-1812.</w:t>
      </w:r>
    </w:p>
    <w:p w:rsidRPr="00237F57" w:rsidR="00A92D0B" w:rsidP="00EA59B1" w:rsidRDefault="00A92D0B" w14:paraId="0E2503A5" w14:textId="77777777">
      <w:pPr>
        <w:keepNext/>
        <w:spacing w:before="240" w:after="240"/>
        <w:jc w:val="center"/>
        <w:rPr>
          <w:b/>
          <w:color w:val="000000"/>
          <w:u w:val="single"/>
        </w:rPr>
      </w:pPr>
      <w:r w:rsidRPr="00237F57">
        <w:rPr>
          <w:b/>
          <w:color w:val="000000"/>
          <w:u w:val="single"/>
        </w:rPr>
        <w:t>ORDER</w:t>
      </w:r>
    </w:p>
    <w:p w:rsidRPr="00237F57" w:rsidR="00A92D0B" w:rsidP="00CE057B" w:rsidRDefault="001C02A8" w14:paraId="33FB4E15" w14:textId="685DA95A">
      <w:pPr>
        <w:keepNext/>
        <w:numPr>
          <w:ilvl w:val="0"/>
          <w:numId w:val="4"/>
        </w:numPr>
        <w:tabs>
          <w:tab w:val="clear" w:pos="900"/>
          <w:tab w:val="num" w:pos="540"/>
        </w:tabs>
        <w:ind w:left="547" w:hanging="547"/>
        <w:rPr>
          <w:color w:val="000000"/>
        </w:rPr>
      </w:pPr>
      <w:r>
        <w:t>W</w:t>
      </w:r>
      <w:r w:rsidRPr="001C02A8">
        <w:t xml:space="preserve">ild </w:t>
      </w:r>
      <w:r>
        <w:t>T</w:t>
      </w:r>
      <w:r w:rsidRPr="001C02A8">
        <w:t xml:space="preserve">ree </w:t>
      </w:r>
      <w:r>
        <w:t>F</w:t>
      </w:r>
      <w:r w:rsidRPr="001C02A8">
        <w:t>oundation</w:t>
      </w:r>
      <w:r w:rsidRPr="00237F57">
        <w:t xml:space="preserve"> </w:t>
      </w:r>
      <w:r w:rsidRPr="00237F57" w:rsidR="00831652">
        <w:t>is</w:t>
      </w:r>
      <w:r w:rsidRPr="00237F57" w:rsidR="00FE3BAE">
        <w:t xml:space="preserve"> </w:t>
      </w:r>
      <w:r w:rsidRPr="00237F57" w:rsidR="00DC6DC5">
        <w:rPr>
          <w:color w:val="000000"/>
        </w:rPr>
        <w:t xml:space="preserve">awarded </w:t>
      </w:r>
      <w:r w:rsidR="00DC6DC5">
        <w:t>$</w:t>
      </w:r>
      <w:r w:rsidR="00D80E50">
        <w:t>19,659.15</w:t>
      </w:r>
      <w:r w:rsidR="009C75A0">
        <w:t>.</w:t>
      </w:r>
    </w:p>
    <w:p w:rsidRPr="00237F57" w:rsidR="00A92D0B" w:rsidRDefault="00A92D0B" w14:paraId="4AEF5671" w14:textId="03E7EE7E">
      <w:pPr>
        <w:numPr>
          <w:ilvl w:val="0"/>
          <w:numId w:val="4"/>
        </w:numPr>
        <w:tabs>
          <w:tab w:val="clear" w:pos="900"/>
          <w:tab w:val="num" w:pos="540"/>
        </w:tabs>
        <w:spacing w:before="240"/>
        <w:ind w:left="547" w:hanging="547"/>
      </w:pPr>
      <w:r w:rsidRPr="00237F57">
        <w:t xml:space="preserve">Within 30 days of the effective date of this decision, </w:t>
      </w:r>
      <w:r w:rsidRPr="00A0384B" w:rsidR="00A0384B">
        <w:t xml:space="preserve">Pacific Gas and Electric </w:t>
      </w:r>
      <w:r w:rsidR="005D440C">
        <w:t xml:space="preserve">Company </w:t>
      </w:r>
      <w:r w:rsidRPr="00237F57">
        <w:t xml:space="preserve">shall pay </w:t>
      </w:r>
      <w:r w:rsidR="00A0384B">
        <w:t>W</w:t>
      </w:r>
      <w:r w:rsidRPr="001C02A8" w:rsidR="00A0384B">
        <w:t xml:space="preserve">ild </w:t>
      </w:r>
      <w:r w:rsidR="00A0384B">
        <w:t>T</w:t>
      </w:r>
      <w:r w:rsidRPr="001C02A8" w:rsidR="00A0384B">
        <w:t xml:space="preserve">ree </w:t>
      </w:r>
      <w:r w:rsidR="00A0384B">
        <w:t>F</w:t>
      </w:r>
      <w:r w:rsidRPr="001C02A8" w:rsidR="00A0384B">
        <w:t>oundation</w:t>
      </w:r>
      <w:r w:rsidRPr="00237F57" w:rsidR="00A0384B">
        <w:t xml:space="preserve"> </w:t>
      </w:r>
      <w:r w:rsidRPr="00237F57">
        <w:t>the total award</w:t>
      </w:r>
      <w:r w:rsidR="00A0384B">
        <w:t>.</w:t>
      </w:r>
      <w:r w:rsidRPr="00237F57">
        <w:t xml:space="preserve"> Payment of the award shall include</w:t>
      </w:r>
      <w:r w:rsidRPr="00237F57" w:rsidR="004E3939">
        <w:t xml:space="preserve"> compound </w:t>
      </w:r>
      <w:r w:rsidRPr="00237F57">
        <w:t xml:space="preserve">interest at the rate earned on prime, three-month </w:t>
      </w:r>
      <w:r w:rsidRPr="00237F57" w:rsidR="00214B22">
        <w:t xml:space="preserve">non-financial </w:t>
      </w:r>
      <w:r w:rsidRPr="00237F57">
        <w:t>commercial paper as reported in Federal Reserve Statistical Release H.15, beginning</w:t>
      </w:r>
      <w:r w:rsidRPr="00237F57" w:rsidR="00357F1A">
        <w:t xml:space="preserve"> </w:t>
      </w:r>
      <w:r w:rsidR="00950FB5">
        <w:t>March 31, 2024</w:t>
      </w:r>
      <w:r w:rsidRPr="00237F57" w:rsidR="00357F1A">
        <w:t xml:space="preserve">, </w:t>
      </w:r>
      <w:r w:rsidRPr="00237F57">
        <w:t>the 75</w:t>
      </w:r>
      <w:r w:rsidRPr="00237F57">
        <w:rPr>
          <w:vertAlign w:val="superscript"/>
        </w:rPr>
        <w:t>th</w:t>
      </w:r>
      <w:r w:rsidRPr="00237F57">
        <w:t xml:space="preserve"> day after the filing of </w:t>
      </w:r>
      <w:r w:rsidR="00A0384B">
        <w:t>W</w:t>
      </w:r>
      <w:r w:rsidRPr="001C02A8" w:rsidR="00A0384B">
        <w:t xml:space="preserve">ild </w:t>
      </w:r>
      <w:r w:rsidR="00A0384B">
        <w:t>T</w:t>
      </w:r>
      <w:r w:rsidRPr="001C02A8" w:rsidR="00A0384B">
        <w:t xml:space="preserve">ree </w:t>
      </w:r>
      <w:r w:rsidR="00A0384B">
        <w:t>F</w:t>
      </w:r>
      <w:r w:rsidRPr="001C02A8" w:rsidR="00A0384B">
        <w:t>oundation</w:t>
      </w:r>
      <w:r w:rsidR="00A0384B">
        <w:t>’s</w:t>
      </w:r>
      <w:r w:rsidRPr="00237F57" w:rsidR="00A0384B">
        <w:t xml:space="preserve"> </w:t>
      </w:r>
      <w:r w:rsidRPr="00237F57">
        <w:t>request, and continuing until full payment is made.</w:t>
      </w:r>
    </w:p>
    <w:p w:rsidRPr="00237F57" w:rsidR="00A92D0B" w:rsidP="00DE3A5D" w:rsidRDefault="00A92D0B" w14:paraId="5AD40C95" w14:textId="4C496419">
      <w:pPr>
        <w:keepNext/>
        <w:keepLines/>
        <w:numPr>
          <w:ilvl w:val="0"/>
          <w:numId w:val="4"/>
        </w:numPr>
        <w:tabs>
          <w:tab w:val="clear" w:pos="900"/>
          <w:tab w:val="num" w:pos="540"/>
        </w:tabs>
        <w:spacing w:before="240"/>
        <w:ind w:left="547" w:hanging="547"/>
      </w:pPr>
      <w:r w:rsidRPr="00237F57">
        <w:lastRenderedPageBreak/>
        <w:t>The comment period for today’s decision is</w:t>
      </w:r>
      <w:r w:rsidR="00A0384B">
        <w:t xml:space="preserve"> </w:t>
      </w:r>
      <w:r w:rsidR="00684BDA">
        <w:t xml:space="preserve">not </w:t>
      </w:r>
      <w:r w:rsidRPr="00237F57">
        <w:t>waived.</w:t>
      </w:r>
    </w:p>
    <w:p w:rsidRPr="00237F57" w:rsidR="00A92D0B" w:rsidP="00467E65" w:rsidRDefault="00A92D0B" w14:paraId="13F3A0AD" w14:textId="77777777">
      <w:pPr>
        <w:keepNext/>
        <w:keepLines/>
        <w:spacing w:before="240"/>
        <w:ind w:left="547"/>
        <w:rPr>
          <w:color w:val="000000"/>
        </w:rPr>
      </w:pPr>
      <w:r w:rsidRPr="00237F57">
        <w:rPr>
          <w:color w:val="000000"/>
        </w:rPr>
        <w:t>This decision is effective today.</w:t>
      </w:r>
    </w:p>
    <w:p w:rsidR="00A92D0B" w:rsidP="00357623" w:rsidRDefault="00A92D0B" w14:paraId="0467B995" w14:textId="705F26C2">
      <w:pPr>
        <w:keepNext/>
        <w:keepLines/>
        <w:spacing w:before="240"/>
        <w:ind w:left="547"/>
        <w:rPr>
          <w:color w:val="000000"/>
        </w:rPr>
      </w:pPr>
      <w:r w:rsidRPr="00237F57">
        <w:rPr>
          <w:color w:val="000000"/>
        </w:rPr>
        <w:t>Dated</w:t>
      </w:r>
      <w:r w:rsidR="00F762EC">
        <w:rPr>
          <w:color w:val="000000"/>
        </w:rPr>
        <w:t xml:space="preserve"> January 15, 2026</w:t>
      </w:r>
      <w:r w:rsidRPr="00237F57">
        <w:rPr>
          <w:color w:val="000000"/>
        </w:rPr>
        <w:t>, at San Francisco, California.</w:t>
      </w:r>
    </w:p>
    <w:p w:rsidR="00EA59B1" w:rsidP="00156089" w:rsidRDefault="00EA59B1" w14:paraId="007CA7C5" w14:textId="77777777">
      <w:pPr>
        <w:ind w:left="547"/>
        <w:rPr>
          <w:color w:val="000000"/>
        </w:rPr>
      </w:pPr>
    </w:p>
    <w:p w:rsidR="00EA59B1" w:rsidP="00156089" w:rsidRDefault="00EA59B1" w14:paraId="411EFEFF" w14:textId="77777777">
      <w:pPr>
        <w:ind w:left="547"/>
        <w:rPr>
          <w:color w:val="000000"/>
        </w:rPr>
      </w:pPr>
    </w:p>
    <w:p w:rsidRPr="00F762EC" w:rsidR="00F762EC" w:rsidP="00F762EC" w:rsidRDefault="00F762EC" w14:paraId="36A557CE" w14:textId="77777777">
      <w:pPr>
        <w:autoSpaceDE w:val="0"/>
        <w:autoSpaceDN w:val="0"/>
        <w:adjustRightInd w:val="0"/>
        <w:ind w:left="5040"/>
        <w:jc w:val="both"/>
        <w:rPr>
          <w:szCs w:val="26"/>
        </w:rPr>
      </w:pPr>
      <w:bookmarkStart w:name="_Hlk17215919" w:id="1"/>
      <w:r w:rsidRPr="00F762EC">
        <w:rPr>
          <w:szCs w:val="26"/>
        </w:rPr>
        <w:t>ALICE REYNOLDS</w:t>
      </w:r>
    </w:p>
    <w:p w:rsidRPr="00F762EC" w:rsidR="00F762EC" w:rsidP="00F762EC" w:rsidRDefault="00F762EC" w14:paraId="002637CE" w14:textId="77777777">
      <w:pPr>
        <w:autoSpaceDE w:val="0"/>
        <w:autoSpaceDN w:val="0"/>
        <w:adjustRightInd w:val="0"/>
        <w:ind w:left="6210"/>
        <w:jc w:val="both"/>
        <w:rPr>
          <w:szCs w:val="26"/>
        </w:rPr>
      </w:pPr>
      <w:r w:rsidRPr="00F762EC">
        <w:rPr>
          <w:szCs w:val="26"/>
        </w:rPr>
        <w:t>President</w:t>
      </w:r>
    </w:p>
    <w:p w:rsidRPr="00F762EC" w:rsidR="00F762EC" w:rsidP="00F762EC" w:rsidRDefault="00F762EC" w14:paraId="553795A1" w14:textId="77777777">
      <w:pPr>
        <w:autoSpaceDE w:val="0"/>
        <w:autoSpaceDN w:val="0"/>
        <w:adjustRightInd w:val="0"/>
        <w:ind w:left="5040"/>
        <w:jc w:val="both"/>
        <w:rPr>
          <w:szCs w:val="26"/>
        </w:rPr>
      </w:pPr>
      <w:r w:rsidRPr="00F762EC">
        <w:rPr>
          <w:szCs w:val="26"/>
        </w:rPr>
        <w:t>DARCIE L. HOUCK</w:t>
      </w:r>
    </w:p>
    <w:p w:rsidRPr="00F762EC" w:rsidR="00F762EC" w:rsidP="00F762EC" w:rsidRDefault="00F762EC" w14:paraId="50741961" w14:textId="77777777">
      <w:pPr>
        <w:autoSpaceDE w:val="0"/>
        <w:autoSpaceDN w:val="0"/>
        <w:adjustRightInd w:val="0"/>
        <w:ind w:left="5040"/>
        <w:jc w:val="both"/>
        <w:rPr>
          <w:szCs w:val="26"/>
        </w:rPr>
      </w:pPr>
      <w:r w:rsidRPr="00F762EC">
        <w:rPr>
          <w:szCs w:val="26"/>
        </w:rPr>
        <w:t>JOHN REYNOLDS</w:t>
      </w:r>
    </w:p>
    <w:p w:rsidRPr="00F762EC" w:rsidR="00F762EC" w:rsidP="00F762EC" w:rsidRDefault="00F762EC" w14:paraId="10FE88F0" w14:textId="77777777">
      <w:pPr>
        <w:autoSpaceDE w:val="0"/>
        <w:autoSpaceDN w:val="0"/>
        <w:adjustRightInd w:val="0"/>
        <w:ind w:left="5040"/>
        <w:jc w:val="both"/>
        <w:rPr>
          <w:szCs w:val="26"/>
        </w:rPr>
      </w:pPr>
      <w:r w:rsidRPr="00F762EC">
        <w:rPr>
          <w:szCs w:val="26"/>
        </w:rPr>
        <w:t>KAREN DOUGLAS</w:t>
      </w:r>
    </w:p>
    <w:p w:rsidRPr="00F762EC" w:rsidR="00F762EC" w:rsidP="00F762EC" w:rsidRDefault="00F762EC" w14:paraId="0FD82BD8" w14:textId="77777777">
      <w:pPr>
        <w:autoSpaceDE w:val="0"/>
        <w:autoSpaceDN w:val="0"/>
        <w:adjustRightInd w:val="0"/>
        <w:ind w:left="5580"/>
        <w:jc w:val="both"/>
        <w:rPr>
          <w:szCs w:val="26"/>
        </w:rPr>
      </w:pPr>
      <w:r w:rsidRPr="00F762EC">
        <w:rPr>
          <w:szCs w:val="26"/>
        </w:rPr>
        <w:t>Commissioners</w:t>
      </w:r>
    </w:p>
    <w:bookmarkEnd w:id="1"/>
    <w:p w:rsidRPr="00F762EC" w:rsidR="00F762EC" w:rsidP="00F762EC" w:rsidRDefault="00F762EC" w14:paraId="7316A9F9" w14:textId="77777777">
      <w:pPr>
        <w:tabs>
          <w:tab w:val="left" w:pos="3510"/>
        </w:tabs>
        <w:ind w:left="4320"/>
        <w:rPr>
          <w:szCs w:val="26"/>
        </w:rPr>
      </w:pPr>
    </w:p>
    <w:p w:rsidR="00F762EC" w:rsidP="00F762EC" w:rsidRDefault="00F762EC" w14:paraId="7BF8A84A" w14:textId="77777777">
      <w:pPr>
        <w:ind w:left="547" w:right="540"/>
        <w:jc w:val="right"/>
      </w:pPr>
      <w:r w:rsidRPr="00F762EC">
        <w:t xml:space="preserve">Commissioner Matthew Baker recused </w:t>
      </w:r>
    </w:p>
    <w:p w:rsidR="00F762EC" w:rsidP="00F762EC" w:rsidRDefault="00F762EC" w14:paraId="458782E2" w14:textId="77777777">
      <w:pPr>
        <w:ind w:left="547" w:right="540"/>
        <w:jc w:val="right"/>
      </w:pPr>
      <w:r w:rsidRPr="00F762EC">
        <w:t>himself from this agenda item and was</w:t>
      </w:r>
    </w:p>
    <w:p w:rsidR="00F762EC" w:rsidP="00F762EC" w:rsidRDefault="00F762EC" w14:paraId="07FDBB65" w14:textId="64B709D9">
      <w:pPr>
        <w:ind w:left="547" w:right="1530"/>
        <w:jc w:val="right"/>
      </w:pPr>
      <w:r w:rsidRPr="00F762EC">
        <w:t>not part of the quorum in its</w:t>
      </w:r>
    </w:p>
    <w:p w:rsidRPr="00F762EC" w:rsidR="00156089" w:rsidP="00F762EC" w:rsidRDefault="00F762EC" w14:paraId="62036EB5" w14:textId="5D01A41F">
      <w:pPr>
        <w:ind w:left="547" w:right="2880"/>
        <w:jc w:val="right"/>
        <w:rPr>
          <w:color w:val="000000"/>
        </w:rPr>
      </w:pPr>
      <w:r w:rsidRPr="00F762EC">
        <w:t>consideration.</w:t>
      </w:r>
    </w:p>
    <w:p w:rsidR="00156089" w:rsidP="00F762EC" w:rsidRDefault="00156089" w14:paraId="7A9CBCD0" w14:textId="77777777">
      <w:pPr>
        <w:ind w:left="547" w:right="540"/>
        <w:rPr>
          <w:color w:val="000000"/>
        </w:rPr>
      </w:pPr>
    </w:p>
    <w:p w:rsidRPr="00237F57" w:rsidR="00156089" w:rsidP="00156089" w:rsidRDefault="00156089" w14:paraId="47CCB373" w14:textId="77777777">
      <w:pPr>
        <w:ind w:left="547"/>
        <w:rPr>
          <w:color w:val="000000"/>
        </w:rPr>
      </w:pPr>
    </w:p>
    <w:p w:rsidRPr="00237F57" w:rsidR="00A92D0B" w:rsidRDefault="00A92D0B" w14:paraId="1A474D77" w14:textId="77777777"/>
    <w:p w:rsidRPr="00237F57" w:rsidR="006B7228" w:rsidRDefault="006B7228" w14:paraId="37D74F32" w14:textId="77777777">
      <w:pPr>
        <w:sectPr w:rsidRPr="00237F57" w:rsidR="006B7228" w:rsidSect="00D62801">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237F57" w:rsidR="00FE3BAE" w:rsidP="00FE3BAE" w:rsidRDefault="00FE3BAE" w14:paraId="7A1C7043" w14:textId="77777777">
      <w:pPr>
        <w:pStyle w:val="standard"/>
        <w:ind w:firstLine="0"/>
        <w:jc w:val="center"/>
        <w:rPr>
          <w:rFonts w:ascii="Times New Roman" w:hAnsi="Times New Roman"/>
          <w:b/>
          <w:sz w:val="24"/>
          <w:szCs w:val="24"/>
        </w:rPr>
      </w:pPr>
      <w:r w:rsidRPr="00237F57">
        <w:rPr>
          <w:rFonts w:ascii="Times New Roman" w:hAnsi="Times New Roman"/>
          <w:b/>
          <w:sz w:val="24"/>
          <w:szCs w:val="24"/>
        </w:rPr>
        <w:lastRenderedPageBreak/>
        <w:t>APPENDIX</w:t>
      </w:r>
    </w:p>
    <w:p w:rsidRPr="00237F57" w:rsidR="00FE3BAE" w:rsidP="00F7579D" w:rsidRDefault="00FE3BAE" w14:paraId="300BB274" w14:textId="77777777">
      <w:pPr>
        <w:pStyle w:val="standard"/>
        <w:ind w:firstLine="0"/>
        <w:jc w:val="center"/>
        <w:rPr>
          <w:rFonts w:ascii="Times New Roman" w:hAnsi="Times New Roman"/>
          <w:b/>
          <w:bCs/>
          <w:sz w:val="24"/>
          <w:szCs w:val="24"/>
        </w:rPr>
      </w:pPr>
      <w:r w:rsidRPr="00237F57">
        <w:rPr>
          <w:rFonts w:ascii="Times New Roman" w:hAnsi="Times New Roman"/>
          <w:b/>
          <w:bCs/>
          <w:sz w:val="24"/>
          <w:szCs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237F57"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7F57" w:rsidR="00FE3BAE" w:rsidP="006938BB" w:rsidRDefault="00FE3BAE" w14:paraId="4BC9C636" w14:textId="77777777">
            <w:pPr>
              <w:rPr>
                <w:b/>
                <w:bCs/>
              </w:rPr>
            </w:pPr>
            <w:r w:rsidRPr="00237F57">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237F57" w:rsidR="00FE3BAE" w:rsidP="006938BB" w:rsidRDefault="00156089" w14:paraId="16C5D6B1" w14:textId="783D80D9">
            <w:r>
              <w:t>D2601016</w:t>
            </w:r>
          </w:p>
        </w:tc>
        <w:tc>
          <w:tcPr>
            <w:tcW w:w="2475" w:type="dxa"/>
            <w:tcBorders>
              <w:top w:val="single" w:color="auto" w:sz="4" w:space="0"/>
              <w:left w:val="single" w:color="auto" w:sz="4" w:space="0"/>
              <w:bottom w:val="single" w:color="auto" w:sz="4" w:space="0"/>
              <w:right w:val="single" w:color="auto" w:sz="4" w:space="0"/>
            </w:tcBorders>
            <w:hideMark/>
          </w:tcPr>
          <w:p w:rsidRPr="00237F57" w:rsidR="00FE3BAE" w:rsidP="006938BB" w:rsidRDefault="00FE3BAE" w14:paraId="3ECA0C4F" w14:textId="77777777">
            <w:pPr>
              <w:rPr>
                <w:b/>
                <w:bCs/>
              </w:rPr>
            </w:pPr>
            <w:r w:rsidRPr="00237F5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237F57" w:rsidR="00FE3BAE" w:rsidP="006938BB" w:rsidRDefault="00B71945" w14:paraId="6846FB87" w14:textId="0ED729AB">
            <w:pPr>
              <w:jc w:val="center"/>
            </w:pPr>
            <w:r>
              <w:t>No</w:t>
            </w:r>
          </w:p>
        </w:tc>
      </w:tr>
      <w:tr w:rsidRPr="00237F57" w:rsidR="00FE3BAE" w:rsidTr="00B71945"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7F57" w:rsidR="00FE3BAE" w:rsidP="006938BB" w:rsidRDefault="00FE3BAE" w14:paraId="6E65620B" w14:textId="77777777">
            <w:pPr>
              <w:rPr>
                <w:b/>
                <w:bCs/>
              </w:rPr>
            </w:pPr>
            <w:r w:rsidRPr="00237F57">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237F57" w:rsidR="00FE3BAE" w:rsidP="006938BB" w:rsidRDefault="00241113" w14:paraId="426F2C45" w14:textId="6A2E3EC9">
            <w:r>
              <w:t>D</w:t>
            </w:r>
            <w:r w:rsidRPr="003E6633" w:rsidR="003E6633">
              <w:rPr>
                <w:color w:val="000000"/>
              </w:rPr>
              <w:t>2311069</w:t>
            </w:r>
          </w:p>
        </w:tc>
      </w:tr>
      <w:tr w:rsidRPr="00237F57" w:rsidR="00FE3BAE" w:rsidTr="00B71945"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7F57" w:rsidR="00FE3BAE" w:rsidP="006938BB" w:rsidRDefault="00FE3BAE" w14:paraId="717974DE" w14:textId="77777777">
            <w:pPr>
              <w:rPr>
                <w:b/>
                <w:bCs/>
              </w:rPr>
            </w:pPr>
            <w:r w:rsidRPr="00237F57">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237F57" w:rsidR="00FE3BAE" w:rsidP="006938BB" w:rsidRDefault="00241113" w14:paraId="5B85688D" w14:textId="0BE9F67A">
            <w:r>
              <w:t>A2106021</w:t>
            </w:r>
          </w:p>
        </w:tc>
      </w:tr>
      <w:tr w:rsidRPr="00237F57"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7F57" w:rsidR="00FE3BAE" w:rsidP="006938BB" w:rsidRDefault="00FE3BAE" w14:paraId="738C0A58" w14:textId="77777777">
            <w:pPr>
              <w:rPr>
                <w:b/>
                <w:bCs/>
              </w:rPr>
            </w:pPr>
            <w:r w:rsidRPr="00237F57">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237F57" w:rsidR="00FE3BAE" w:rsidP="006938BB" w:rsidRDefault="004A2838" w14:paraId="5E75C0F0" w14:textId="12B35AC4">
            <w:r>
              <w:t>A</w:t>
            </w:r>
            <w:r w:rsidR="005D440C">
              <w:t>LJ</w:t>
            </w:r>
            <w:r w:rsidRPr="00237F57">
              <w:rPr>
                <w:rStyle w:val="displayonly"/>
              </w:rPr>
              <w:t xml:space="preserve"> Larsen</w:t>
            </w:r>
            <w:r>
              <w:rPr>
                <w:rStyle w:val="displayonly"/>
              </w:rPr>
              <w:t xml:space="preserve"> and </w:t>
            </w:r>
            <w:r w:rsidR="005D440C">
              <w:rPr>
                <w:rStyle w:val="displayonly"/>
              </w:rPr>
              <w:t>ALJ</w:t>
            </w:r>
            <w:r>
              <w:rPr>
                <w:rStyle w:val="displayonly"/>
              </w:rPr>
              <w:t xml:space="preserve"> Regnier</w:t>
            </w:r>
          </w:p>
        </w:tc>
      </w:tr>
      <w:tr w:rsidRPr="00237F57"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237F57" w:rsidR="00FE3BAE" w:rsidP="006938BB" w:rsidRDefault="00FE3BAE" w14:paraId="1414CA71" w14:textId="77777777">
            <w:pPr>
              <w:rPr>
                <w:b/>
                <w:bCs/>
              </w:rPr>
            </w:pPr>
            <w:r w:rsidRPr="00237F57">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237F57" w:rsidR="00FE3BAE" w:rsidP="006938BB" w:rsidRDefault="00A0384B" w14:paraId="7CA711B6" w14:textId="75290E27">
            <w:r w:rsidRPr="00A0384B">
              <w:t>Pacific Gas and Electric</w:t>
            </w:r>
            <w:r w:rsidR="00001A89">
              <w:t xml:space="preserve"> Company</w:t>
            </w:r>
          </w:p>
        </w:tc>
      </w:tr>
    </w:tbl>
    <w:p w:rsidRPr="00237F57" w:rsidR="00FE3BAE" w:rsidP="00C176EA" w:rsidRDefault="00FE3BAE" w14:paraId="7F0236A2" w14:textId="77777777">
      <w:pPr>
        <w:spacing w:before="240" w:after="240"/>
        <w:jc w:val="center"/>
        <w:rPr>
          <w:b/>
          <w:bCs/>
        </w:rPr>
      </w:pPr>
      <w:r w:rsidRPr="00237F57">
        <w:rPr>
          <w:b/>
          <w:bCs/>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237F57"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237F57" w:rsidR="00FE3BAE" w:rsidP="00CE057B" w:rsidRDefault="00FE3BAE" w14:paraId="2578F35B" w14:textId="77777777">
            <w:pPr>
              <w:jc w:val="center"/>
              <w:rPr>
                <w:b/>
                <w:bCs/>
              </w:rPr>
            </w:pPr>
            <w:r w:rsidRPr="00237F57">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Pr="00237F57" w:rsidR="00B803D5" w:rsidP="00CE057B" w:rsidRDefault="0081626F" w14:paraId="1A2BF295" w14:textId="77777777">
            <w:pPr>
              <w:jc w:val="center"/>
              <w:rPr>
                <w:b/>
                <w:bCs/>
              </w:rPr>
            </w:pPr>
            <w:r w:rsidRPr="00237F57">
              <w:rPr>
                <w:b/>
                <w:bCs/>
              </w:rPr>
              <w:t>Date</w:t>
            </w:r>
          </w:p>
          <w:p w:rsidRPr="00237F57" w:rsidR="00FE3BAE" w:rsidP="00CE057B" w:rsidRDefault="0081626F" w14:paraId="2C1C9DC3" w14:textId="2305FDF8">
            <w:pPr>
              <w:jc w:val="center"/>
              <w:rPr>
                <w:b/>
                <w:bCs/>
              </w:rPr>
            </w:pPr>
            <w:r w:rsidRPr="00237F57">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237F57" w:rsidR="00FE3BAE" w:rsidP="00CE057B" w:rsidRDefault="00FE3BAE" w14:paraId="60DD020D" w14:textId="77777777">
            <w:pPr>
              <w:jc w:val="center"/>
              <w:rPr>
                <w:b/>
                <w:bCs/>
              </w:rPr>
            </w:pPr>
            <w:r w:rsidRPr="00237F57">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237F57" w:rsidR="00FE3BAE" w:rsidP="00CE057B" w:rsidRDefault="00FE3BAE" w14:paraId="19A4A01D" w14:textId="77777777">
            <w:pPr>
              <w:jc w:val="center"/>
              <w:rPr>
                <w:b/>
                <w:bCs/>
              </w:rPr>
            </w:pPr>
            <w:r w:rsidRPr="00237F57">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237F57" w:rsidR="00FE3BAE" w:rsidP="00CE057B" w:rsidRDefault="00FE3BAE" w14:paraId="5B9F47E2" w14:textId="77777777">
            <w:pPr>
              <w:jc w:val="center"/>
              <w:rPr>
                <w:b/>
                <w:bCs/>
              </w:rPr>
            </w:pPr>
            <w:r w:rsidRPr="00237F57">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237F57" w:rsidR="00FE3BAE" w:rsidP="00CE057B" w:rsidRDefault="00FE3BAE" w14:paraId="089590A8" w14:textId="77777777">
            <w:pPr>
              <w:jc w:val="center"/>
              <w:rPr>
                <w:b/>
                <w:bCs/>
              </w:rPr>
            </w:pPr>
            <w:r w:rsidRPr="00237F57">
              <w:rPr>
                <w:b/>
                <w:bCs/>
              </w:rPr>
              <w:t>Reason Change/Disallowance</w:t>
            </w:r>
          </w:p>
        </w:tc>
      </w:tr>
      <w:tr w:rsidRPr="00237F57" w:rsidR="00FE3BAE" w:rsidTr="00B71945"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71945" w:rsidR="00FE3BAE" w:rsidP="006938BB" w:rsidRDefault="00B71945" w14:paraId="3008FB17" w14:textId="2B06D233">
            <w:pPr>
              <w:jc w:val="center"/>
            </w:pPr>
            <w:r>
              <w:t>W</w:t>
            </w:r>
            <w:r w:rsidRPr="00B71945">
              <w:t xml:space="preserve">ild </w:t>
            </w:r>
            <w:r>
              <w:t>T</w:t>
            </w:r>
            <w:r w:rsidRPr="00B71945">
              <w:t xml:space="preserve">ree </w:t>
            </w:r>
            <w:r>
              <w:t>F</w:t>
            </w:r>
            <w:r w:rsidRPr="00B71945">
              <w:t>oundation</w:t>
            </w:r>
          </w:p>
        </w:tc>
        <w:tc>
          <w:tcPr>
            <w:tcW w:w="1444" w:type="dxa"/>
            <w:tcBorders>
              <w:top w:val="single" w:color="auto" w:sz="4" w:space="0"/>
              <w:left w:val="single" w:color="auto" w:sz="4" w:space="0"/>
              <w:bottom w:val="single" w:color="auto" w:sz="4" w:space="0"/>
              <w:right w:val="single" w:color="auto" w:sz="4" w:space="0"/>
            </w:tcBorders>
            <w:hideMark/>
          </w:tcPr>
          <w:p w:rsidRPr="00B71945" w:rsidR="00FE3BAE" w:rsidP="006938BB" w:rsidRDefault="00241113" w14:paraId="63956769" w14:textId="38CC4E52">
            <w:pPr>
              <w:jc w:val="center"/>
            </w:pPr>
            <w:r w:rsidRPr="00B71945">
              <w:t>1/16/2024</w:t>
            </w:r>
          </w:p>
        </w:tc>
        <w:tc>
          <w:tcPr>
            <w:tcW w:w="1405" w:type="dxa"/>
            <w:tcBorders>
              <w:top w:val="single" w:color="auto" w:sz="4" w:space="0"/>
              <w:left w:val="single" w:color="auto" w:sz="4" w:space="0"/>
              <w:bottom w:val="single" w:color="auto" w:sz="4" w:space="0"/>
              <w:right w:val="single" w:color="auto" w:sz="4" w:space="0"/>
            </w:tcBorders>
            <w:hideMark/>
          </w:tcPr>
          <w:p w:rsidRPr="00B71945" w:rsidR="00FE3BAE" w:rsidP="006938BB" w:rsidRDefault="00241113" w14:paraId="75AD20FA" w14:textId="0C4AD4F2">
            <w:pPr>
              <w:jc w:val="center"/>
            </w:pPr>
            <w:r w:rsidRPr="00B71945">
              <w:t>$29,335.50</w:t>
            </w:r>
          </w:p>
        </w:tc>
        <w:tc>
          <w:tcPr>
            <w:tcW w:w="1571" w:type="dxa"/>
            <w:tcBorders>
              <w:top w:val="single" w:color="auto" w:sz="4" w:space="0"/>
              <w:left w:val="single" w:color="auto" w:sz="4" w:space="0"/>
              <w:bottom w:val="single" w:color="auto" w:sz="4" w:space="0"/>
              <w:right w:val="single" w:color="auto" w:sz="4" w:space="0"/>
            </w:tcBorders>
            <w:hideMark/>
          </w:tcPr>
          <w:p w:rsidRPr="00237F57" w:rsidR="00FE3BAE" w:rsidP="006938BB" w:rsidRDefault="00DC6DC5" w14:paraId="0DD6FE00" w14:textId="706527BA">
            <w:pPr>
              <w:jc w:val="center"/>
            </w:pPr>
            <w:r>
              <w:t>$</w:t>
            </w:r>
            <w:r w:rsidR="00D80E50">
              <w:t>19,659.15</w:t>
            </w:r>
          </w:p>
        </w:tc>
        <w:tc>
          <w:tcPr>
            <w:tcW w:w="1390" w:type="dxa"/>
            <w:tcBorders>
              <w:top w:val="single" w:color="auto" w:sz="4" w:space="0"/>
              <w:left w:val="single" w:color="auto" w:sz="4" w:space="0"/>
              <w:bottom w:val="single" w:color="auto" w:sz="4" w:space="0"/>
              <w:right w:val="single" w:color="auto" w:sz="4" w:space="0"/>
            </w:tcBorders>
            <w:hideMark/>
          </w:tcPr>
          <w:p w:rsidRPr="00237F57" w:rsidR="00FE3BAE" w:rsidP="006938BB" w:rsidRDefault="00FE3BAE" w14:paraId="0BDAFE20" w14:textId="77777777">
            <w:pPr>
              <w:jc w:val="center"/>
            </w:pPr>
            <w:r w:rsidRPr="00237F57">
              <w:t>N/A</w:t>
            </w:r>
          </w:p>
        </w:tc>
        <w:tc>
          <w:tcPr>
            <w:tcW w:w="2474" w:type="dxa"/>
            <w:tcBorders>
              <w:top w:val="single" w:color="auto" w:sz="4" w:space="0"/>
              <w:left w:val="single" w:color="auto" w:sz="4" w:space="0"/>
              <w:bottom w:val="single" w:color="auto" w:sz="4" w:space="0"/>
              <w:right w:val="single" w:color="auto" w:sz="4" w:space="0"/>
            </w:tcBorders>
            <w:hideMark/>
          </w:tcPr>
          <w:p w:rsidRPr="00237F57" w:rsidR="00FE3BAE" w:rsidP="006938BB" w:rsidRDefault="0073005B" w14:paraId="6B53C6F9" w14:textId="0AA7FB2F">
            <w:pPr>
              <w:jc w:val="center"/>
            </w:pPr>
            <w:r>
              <w:t>See Part III.D, CPUC Comments, Disallowances and Adjustments.</w:t>
            </w:r>
          </w:p>
        </w:tc>
      </w:tr>
    </w:tbl>
    <w:p w:rsidRPr="00237F57" w:rsidR="00FE3BAE" w:rsidP="00C176EA" w:rsidRDefault="0022302F" w14:paraId="2841210B" w14:textId="77777777">
      <w:pPr>
        <w:spacing w:before="240" w:after="240"/>
        <w:jc w:val="center"/>
        <w:rPr>
          <w:b/>
          <w:bCs/>
        </w:rPr>
      </w:pPr>
      <w:r w:rsidRPr="00237F57">
        <w:rPr>
          <w:b/>
          <w:bCs/>
        </w:rPr>
        <w:t>Hourly Fee</w:t>
      </w:r>
      <w:r w:rsidRPr="00237F57" w:rsidR="00FE3BAE">
        <w:rPr>
          <w:b/>
          <w:bCs/>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237F57" w:rsidR="00C02649" w:rsidTr="00826C01"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237F57" w:rsidR="003B6A1B" w:rsidP="00CE057B" w:rsidRDefault="003B6A1B" w14:paraId="61500303" w14:textId="77777777">
            <w:pPr>
              <w:jc w:val="center"/>
              <w:rPr>
                <w:b/>
                <w:bCs/>
              </w:rPr>
            </w:pPr>
            <w:r w:rsidRPr="00237F57">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237F57" w:rsidR="003B6A1B" w:rsidP="00CE057B" w:rsidRDefault="003B6A1B" w14:paraId="55908486" w14:textId="77777777">
            <w:pPr>
              <w:jc w:val="center"/>
              <w:rPr>
                <w:b/>
                <w:bCs/>
              </w:rPr>
            </w:pPr>
            <w:r w:rsidRPr="00237F57">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237F57" w:rsidR="003B6A1B" w:rsidP="00CE057B" w:rsidRDefault="00171EBF" w14:paraId="2438DAE1" w14:textId="77777777">
            <w:pPr>
              <w:ind w:left="12" w:firstLine="12"/>
              <w:jc w:val="center"/>
              <w:rPr>
                <w:b/>
                <w:bCs/>
              </w:rPr>
            </w:pPr>
            <w:r w:rsidRPr="00237F57">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237F57" w:rsidR="00B803D5" w:rsidP="00CE057B" w:rsidRDefault="003B6A1B" w14:paraId="30FCBD16" w14:textId="77777777">
            <w:pPr>
              <w:jc w:val="center"/>
              <w:rPr>
                <w:b/>
                <w:bCs/>
              </w:rPr>
            </w:pPr>
            <w:r w:rsidRPr="00237F57">
              <w:rPr>
                <w:b/>
                <w:bCs/>
              </w:rPr>
              <w:t>Hourly</w:t>
            </w:r>
          </w:p>
          <w:p w:rsidRPr="00237F57" w:rsidR="003B6A1B" w:rsidP="00CE057B" w:rsidRDefault="003B6A1B" w14:paraId="3431A72E" w14:textId="15E5EE89">
            <w:pPr>
              <w:jc w:val="center"/>
              <w:rPr>
                <w:b/>
                <w:bCs/>
              </w:rPr>
            </w:pPr>
            <w:r w:rsidRPr="00237F57">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237F57" w:rsidR="00B803D5" w:rsidP="00CE057B" w:rsidRDefault="003B6A1B" w14:paraId="27A4F1D1" w14:textId="77777777">
            <w:pPr>
              <w:jc w:val="center"/>
              <w:rPr>
                <w:b/>
                <w:bCs/>
              </w:rPr>
            </w:pPr>
            <w:r w:rsidRPr="00237F57">
              <w:rPr>
                <w:b/>
                <w:bCs/>
              </w:rPr>
              <w:t>Year Hourly</w:t>
            </w:r>
          </w:p>
          <w:p w:rsidRPr="00237F57" w:rsidR="003B6A1B" w:rsidP="00CE057B" w:rsidRDefault="003B6A1B" w14:paraId="6FE76773" w14:textId="7DDDAF05">
            <w:pPr>
              <w:jc w:val="center"/>
              <w:rPr>
                <w:b/>
                <w:bCs/>
              </w:rPr>
            </w:pPr>
            <w:r w:rsidRPr="00237F57">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237F57" w:rsidR="00B803D5" w:rsidP="00CE057B" w:rsidRDefault="003B6A1B" w14:paraId="08CD8CFB" w14:textId="50A63D11">
            <w:pPr>
              <w:jc w:val="center"/>
              <w:rPr>
                <w:b/>
                <w:bCs/>
              </w:rPr>
            </w:pPr>
            <w:r w:rsidRPr="00237F57">
              <w:rPr>
                <w:b/>
                <w:bCs/>
              </w:rPr>
              <w:t>Hourly</w:t>
            </w:r>
          </w:p>
          <w:p w:rsidRPr="00237F57" w:rsidR="003B6A1B" w:rsidP="00CE057B" w:rsidRDefault="003B6A1B" w14:paraId="1B789B85" w14:textId="3C9059B0">
            <w:pPr>
              <w:jc w:val="center"/>
              <w:rPr>
                <w:b/>
                <w:bCs/>
              </w:rPr>
            </w:pPr>
            <w:r w:rsidRPr="00237F57">
              <w:rPr>
                <w:b/>
                <w:bCs/>
              </w:rPr>
              <w:t>Fee Adopted</w:t>
            </w:r>
          </w:p>
        </w:tc>
      </w:tr>
      <w:tr w:rsidRPr="00237F57" w:rsidR="00826C01" w:rsidTr="00A14B49"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A14B49" w:rsidR="00826C01" w:rsidP="00826C01" w:rsidRDefault="00241113" w14:paraId="0F0C6D6C" w14:textId="53F1617C">
            <w:pPr>
              <w:jc w:val="center"/>
            </w:pPr>
            <w:r w:rsidRPr="00A14B49">
              <w:t>Robin</w:t>
            </w:r>
          </w:p>
        </w:tc>
        <w:tc>
          <w:tcPr>
            <w:tcW w:w="1725" w:type="dxa"/>
            <w:tcBorders>
              <w:top w:val="single" w:color="auto" w:sz="4" w:space="0"/>
              <w:left w:val="single" w:color="auto" w:sz="4" w:space="0"/>
              <w:bottom w:val="single" w:color="auto" w:sz="4" w:space="0"/>
              <w:right w:val="single" w:color="auto" w:sz="4" w:space="0"/>
            </w:tcBorders>
          </w:tcPr>
          <w:p w:rsidRPr="00A14B49" w:rsidR="00826C01" w:rsidP="00826C01" w:rsidRDefault="00241113" w14:paraId="6ACE7B68" w14:textId="015BA372">
            <w:pPr>
              <w:jc w:val="center"/>
              <w:rPr>
                <w:shd w:val="clear" w:color="auto" w:fill="CCFFCC"/>
              </w:rPr>
            </w:pPr>
            <w:r w:rsidRPr="00A14B49">
              <w:rPr>
                <w:color w:val="000000"/>
              </w:rPr>
              <w:t>McCollum</w:t>
            </w:r>
          </w:p>
        </w:tc>
        <w:tc>
          <w:tcPr>
            <w:tcW w:w="2088" w:type="dxa"/>
            <w:tcBorders>
              <w:top w:val="single" w:color="auto" w:sz="4" w:space="0"/>
              <w:left w:val="single" w:color="auto" w:sz="4" w:space="0"/>
              <w:bottom w:val="single" w:color="auto" w:sz="4" w:space="0"/>
              <w:right w:val="single" w:color="auto" w:sz="4" w:space="0"/>
            </w:tcBorders>
          </w:tcPr>
          <w:p w:rsidRPr="00A14B49" w:rsidR="00826C01" w:rsidP="00826C01" w:rsidRDefault="00241113" w14:paraId="0E61474F" w14:textId="2F526CF4">
            <w:pPr>
              <w:jc w:val="center"/>
              <w:rPr>
                <w:shd w:val="clear" w:color="auto" w:fill="CCFFCC"/>
              </w:rPr>
            </w:pPr>
            <w:r w:rsidRPr="00A14B49">
              <w:t>Expert</w:t>
            </w:r>
            <w:r w:rsidRPr="00A14B49" w:rsidR="00DA346E">
              <w:rPr>
                <w:vertAlign w:val="superscript"/>
              </w:rPr>
              <w:footnoteReference w:id="6"/>
            </w:r>
          </w:p>
        </w:tc>
        <w:tc>
          <w:tcPr>
            <w:tcW w:w="1748" w:type="dxa"/>
            <w:tcBorders>
              <w:top w:val="single" w:color="auto" w:sz="4" w:space="0"/>
              <w:left w:val="single" w:color="auto" w:sz="4" w:space="0"/>
              <w:bottom w:val="single" w:color="auto" w:sz="4" w:space="0"/>
              <w:right w:val="single" w:color="auto" w:sz="4" w:space="0"/>
            </w:tcBorders>
          </w:tcPr>
          <w:p w:rsidRPr="00237F57" w:rsidR="00826C01" w:rsidP="00826C01" w:rsidRDefault="00241113" w14:paraId="44F9655C" w14:textId="36D0844E">
            <w:pPr>
              <w:jc w:val="center"/>
            </w:pPr>
            <w:r>
              <w:rPr>
                <w:color w:val="000000"/>
              </w:rPr>
              <w:t>$225</w:t>
            </w:r>
          </w:p>
        </w:tc>
        <w:tc>
          <w:tcPr>
            <w:tcW w:w="1725" w:type="dxa"/>
            <w:tcBorders>
              <w:top w:val="single" w:color="auto" w:sz="4" w:space="0"/>
              <w:left w:val="single" w:color="auto" w:sz="4" w:space="0"/>
              <w:bottom w:val="single" w:color="auto" w:sz="4" w:space="0"/>
              <w:right w:val="single" w:color="auto" w:sz="4" w:space="0"/>
            </w:tcBorders>
          </w:tcPr>
          <w:p w:rsidRPr="00237F57" w:rsidR="00826C01" w:rsidP="00826C01" w:rsidRDefault="00241113" w14:paraId="2EB25516" w14:textId="46EF6475">
            <w:pPr>
              <w:jc w:val="center"/>
            </w:pPr>
            <w:r>
              <w:t>2022</w:t>
            </w:r>
          </w:p>
        </w:tc>
        <w:tc>
          <w:tcPr>
            <w:tcW w:w="1634" w:type="dxa"/>
            <w:tcBorders>
              <w:top w:val="single" w:color="auto" w:sz="4" w:space="0"/>
              <w:left w:val="single" w:color="auto" w:sz="4" w:space="0"/>
              <w:bottom w:val="single" w:color="auto" w:sz="4" w:space="0"/>
              <w:right w:val="single" w:color="auto" w:sz="4" w:space="0"/>
            </w:tcBorders>
          </w:tcPr>
          <w:p w:rsidRPr="00237F57" w:rsidR="00826C01" w:rsidP="00826C01" w:rsidRDefault="00A14B49" w14:paraId="0A76FE98" w14:textId="1FB7CEC3">
            <w:pPr>
              <w:jc w:val="center"/>
            </w:pPr>
            <w:r>
              <w:t>$2</w:t>
            </w:r>
            <w:r w:rsidR="00E00BBE">
              <w:t>25</w:t>
            </w:r>
            <w:r>
              <w:t>.00</w:t>
            </w:r>
          </w:p>
        </w:tc>
      </w:tr>
      <w:tr w:rsidRPr="00237F57" w:rsidR="00826C01" w:rsidTr="00A0384B"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A0384B" w:rsidR="00826C01" w:rsidP="00826C01" w:rsidRDefault="00826C01" w14:paraId="4CFDAB24" w14:textId="27E130FA">
            <w:pPr>
              <w:jc w:val="center"/>
            </w:pPr>
            <w:r w:rsidRPr="00A0384B">
              <w:t>April</w:t>
            </w:r>
          </w:p>
        </w:tc>
        <w:tc>
          <w:tcPr>
            <w:tcW w:w="1725" w:type="dxa"/>
            <w:tcBorders>
              <w:top w:val="single" w:color="auto" w:sz="4" w:space="0"/>
              <w:left w:val="single" w:color="auto" w:sz="4" w:space="0"/>
              <w:bottom w:val="single" w:color="auto" w:sz="4" w:space="0"/>
              <w:right w:val="single" w:color="auto" w:sz="4" w:space="0"/>
            </w:tcBorders>
          </w:tcPr>
          <w:p w:rsidRPr="00A0384B" w:rsidR="00826C01" w:rsidP="00826C01" w:rsidRDefault="00826C01" w14:paraId="3A9B4F75" w14:textId="0E3AB360">
            <w:pPr>
              <w:jc w:val="center"/>
            </w:pPr>
            <w:r w:rsidRPr="00A0384B">
              <w:t>Maurath Sommer</w:t>
            </w:r>
          </w:p>
        </w:tc>
        <w:tc>
          <w:tcPr>
            <w:tcW w:w="2088" w:type="dxa"/>
            <w:tcBorders>
              <w:top w:val="single" w:color="auto" w:sz="4" w:space="0"/>
              <w:left w:val="single" w:color="auto" w:sz="4" w:space="0"/>
              <w:bottom w:val="single" w:color="auto" w:sz="4" w:space="0"/>
              <w:right w:val="single" w:color="auto" w:sz="4" w:space="0"/>
            </w:tcBorders>
          </w:tcPr>
          <w:p w:rsidRPr="00237F57" w:rsidR="00826C01" w:rsidP="00826C01" w:rsidRDefault="00826C01" w14:paraId="73440B00" w14:textId="5EBAA3D0">
            <w:pPr>
              <w:jc w:val="center"/>
              <w:rPr>
                <w:shd w:val="clear" w:color="auto" w:fill="CCFFCC"/>
              </w:rPr>
            </w:pPr>
            <w:r w:rsidRPr="00A0384B">
              <w:t>Attorney</w:t>
            </w:r>
            <w:r w:rsidRPr="00A0384B" w:rsidR="00432908">
              <w:rPr>
                <w:rStyle w:val="FootnoteReference"/>
              </w:rPr>
              <w:footnoteReference w:id="7"/>
            </w:r>
          </w:p>
        </w:tc>
        <w:tc>
          <w:tcPr>
            <w:tcW w:w="1748" w:type="dxa"/>
            <w:tcBorders>
              <w:top w:val="single" w:color="auto" w:sz="4" w:space="0"/>
              <w:left w:val="single" w:color="auto" w:sz="4" w:space="0"/>
              <w:bottom w:val="single" w:color="auto" w:sz="4" w:space="0"/>
              <w:right w:val="single" w:color="auto" w:sz="4" w:space="0"/>
            </w:tcBorders>
          </w:tcPr>
          <w:p w:rsidRPr="00237F57" w:rsidR="00826C01" w:rsidP="00826C01" w:rsidRDefault="00826C01" w14:paraId="1466F47E" w14:textId="63A8CA4A">
            <w:pPr>
              <w:jc w:val="center"/>
            </w:pPr>
            <w:r w:rsidRPr="00237F57">
              <w:rPr>
                <w:color w:val="000000"/>
              </w:rPr>
              <w:t>$600</w:t>
            </w:r>
          </w:p>
        </w:tc>
        <w:tc>
          <w:tcPr>
            <w:tcW w:w="1725" w:type="dxa"/>
            <w:tcBorders>
              <w:top w:val="single" w:color="auto" w:sz="4" w:space="0"/>
              <w:left w:val="single" w:color="auto" w:sz="4" w:space="0"/>
              <w:bottom w:val="single" w:color="auto" w:sz="4" w:space="0"/>
              <w:right w:val="single" w:color="auto" w:sz="4" w:space="0"/>
            </w:tcBorders>
          </w:tcPr>
          <w:p w:rsidRPr="00237F57" w:rsidR="00826C01" w:rsidP="00826C01" w:rsidRDefault="00826C01" w14:paraId="4CBE320E" w14:textId="1BF3D51C">
            <w:pPr>
              <w:jc w:val="center"/>
            </w:pPr>
            <w:r w:rsidRPr="00237F57">
              <w:t>2022</w:t>
            </w:r>
          </w:p>
        </w:tc>
        <w:tc>
          <w:tcPr>
            <w:tcW w:w="1634" w:type="dxa"/>
            <w:tcBorders>
              <w:top w:val="single" w:color="auto" w:sz="4" w:space="0"/>
              <w:left w:val="single" w:color="auto" w:sz="4" w:space="0"/>
              <w:bottom w:val="single" w:color="auto" w:sz="4" w:space="0"/>
              <w:right w:val="single" w:color="auto" w:sz="4" w:space="0"/>
            </w:tcBorders>
          </w:tcPr>
          <w:p w:rsidRPr="00237F57" w:rsidR="00826C01" w:rsidP="00826C01" w:rsidRDefault="00CB12B8" w14:paraId="37932A57" w14:textId="1658B44F">
            <w:pPr>
              <w:jc w:val="center"/>
            </w:pPr>
            <w:r>
              <w:t>$540.00</w:t>
            </w:r>
          </w:p>
        </w:tc>
      </w:tr>
      <w:tr w:rsidRPr="00237F57" w:rsidR="004E5EEE" w:rsidTr="00A0384B" w14:paraId="56DC5E1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A0384B" w:rsidR="004E5EEE" w:rsidP="004E5EEE" w:rsidRDefault="004E5EEE" w14:paraId="73758C51" w14:textId="7B338E4F">
            <w:pPr>
              <w:jc w:val="center"/>
            </w:pPr>
            <w:r w:rsidRPr="0021276D">
              <w:rPr>
                <w:color w:val="000000"/>
              </w:rPr>
              <w:t>April</w:t>
            </w:r>
          </w:p>
        </w:tc>
        <w:tc>
          <w:tcPr>
            <w:tcW w:w="1725" w:type="dxa"/>
            <w:tcBorders>
              <w:top w:val="single" w:color="auto" w:sz="4" w:space="0"/>
              <w:left w:val="single" w:color="auto" w:sz="4" w:space="0"/>
              <w:bottom w:val="single" w:color="auto" w:sz="4" w:space="0"/>
              <w:right w:val="single" w:color="auto" w:sz="4" w:space="0"/>
            </w:tcBorders>
          </w:tcPr>
          <w:p w:rsidRPr="00A0384B" w:rsidR="004E5EEE" w:rsidP="004E5EEE" w:rsidRDefault="004E5EEE" w14:paraId="7F94F4D6" w14:textId="03E775F9">
            <w:pPr>
              <w:jc w:val="center"/>
            </w:pPr>
            <w:r w:rsidRPr="0021276D">
              <w:rPr>
                <w:color w:val="000000"/>
              </w:rPr>
              <w:t>Maurath Sommer</w:t>
            </w:r>
          </w:p>
        </w:tc>
        <w:tc>
          <w:tcPr>
            <w:tcW w:w="2088" w:type="dxa"/>
            <w:tcBorders>
              <w:top w:val="single" w:color="auto" w:sz="4" w:space="0"/>
              <w:left w:val="single" w:color="auto" w:sz="4" w:space="0"/>
              <w:bottom w:val="single" w:color="auto" w:sz="4" w:space="0"/>
              <w:right w:val="single" w:color="auto" w:sz="4" w:space="0"/>
            </w:tcBorders>
          </w:tcPr>
          <w:p w:rsidRPr="00A0384B" w:rsidR="004E5EEE" w:rsidP="004E5EEE" w:rsidRDefault="004E5EEE" w14:paraId="1081A7DC" w14:textId="02C009E3">
            <w:pPr>
              <w:jc w:val="center"/>
            </w:pPr>
            <w:r w:rsidRPr="0021276D">
              <w:rPr>
                <w:color w:val="000000"/>
              </w:rPr>
              <w:t>Legal Director</w:t>
            </w:r>
            <w:r>
              <w:rPr>
                <w:color w:val="000000"/>
              </w:rPr>
              <w:t xml:space="preserve"> III</w:t>
            </w:r>
            <w:r>
              <w:rPr>
                <w:rStyle w:val="FootnoteReference"/>
                <w:color w:val="000000"/>
              </w:rPr>
              <w:footnoteReference w:id="8"/>
            </w:r>
          </w:p>
        </w:tc>
        <w:tc>
          <w:tcPr>
            <w:tcW w:w="1748" w:type="dxa"/>
            <w:tcBorders>
              <w:top w:val="single" w:color="auto" w:sz="4" w:space="0"/>
              <w:left w:val="single" w:color="auto" w:sz="4" w:space="0"/>
              <w:bottom w:val="single" w:color="auto" w:sz="4" w:space="0"/>
              <w:right w:val="single" w:color="auto" w:sz="4" w:space="0"/>
            </w:tcBorders>
          </w:tcPr>
          <w:p w:rsidRPr="00237F57" w:rsidR="004E5EEE" w:rsidP="004E5EEE" w:rsidRDefault="004E5EEE" w14:paraId="59116EF9" w14:textId="0F526BA7">
            <w:pPr>
              <w:jc w:val="center"/>
              <w:rPr>
                <w:color w:val="000000"/>
              </w:rPr>
            </w:pPr>
            <w:r>
              <w:rPr>
                <w:color w:val="000000"/>
              </w:rPr>
              <w:t>$660</w:t>
            </w:r>
          </w:p>
        </w:tc>
        <w:tc>
          <w:tcPr>
            <w:tcW w:w="1725" w:type="dxa"/>
            <w:tcBorders>
              <w:top w:val="single" w:color="auto" w:sz="4" w:space="0"/>
              <w:left w:val="single" w:color="auto" w:sz="4" w:space="0"/>
              <w:bottom w:val="single" w:color="auto" w:sz="4" w:space="0"/>
              <w:right w:val="single" w:color="auto" w:sz="4" w:space="0"/>
            </w:tcBorders>
          </w:tcPr>
          <w:p w:rsidRPr="00237F57" w:rsidR="004E5EEE" w:rsidP="004E5EEE" w:rsidRDefault="004E5EEE" w14:paraId="0CDB2E50" w14:textId="67F8A1FC">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004E5EEE" w:rsidP="004E5EEE" w:rsidRDefault="004E5EEE" w14:paraId="4F8C5D19" w14:textId="5F62D0A0">
            <w:pPr>
              <w:jc w:val="center"/>
            </w:pPr>
            <w:r>
              <w:t>$</w:t>
            </w:r>
            <w:r w:rsidR="000F733E">
              <w:t>585</w:t>
            </w:r>
            <w:r>
              <w:t>.00</w:t>
            </w:r>
          </w:p>
        </w:tc>
      </w:tr>
    </w:tbl>
    <w:p w:rsidRPr="00237F57" w:rsidR="0022302F" w:rsidP="00FE3BAE" w:rsidRDefault="0022302F" w14:paraId="330D3693" w14:textId="77777777">
      <w:pPr>
        <w:spacing w:line="360" w:lineRule="auto"/>
        <w:rPr>
          <w:b/>
        </w:rPr>
      </w:pPr>
    </w:p>
    <w:p w:rsidRPr="00237F57" w:rsidR="0022302F" w:rsidP="00FE3BAE" w:rsidRDefault="0022302F" w14:paraId="1CF37A00" w14:textId="77777777">
      <w:pPr>
        <w:spacing w:line="360" w:lineRule="auto"/>
        <w:rPr>
          <w:b/>
        </w:rPr>
      </w:pPr>
    </w:p>
    <w:p w:rsidRPr="00237F57" w:rsidR="0022302F" w:rsidP="00FE3BAE" w:rsidRDefault="0022302F" w14:paraId="439C0840" w14:textId="77777777">
      <w:pPr>
        <w:spacing w:line="360" w:lineRule="auto"/>
        <w:rPr>
          <w:b/>
        </w:rPr>
      </w:pPr>
    </w:p>
    <w:p w:rsidRPr="00237F57" w:rsidR="00FE3BAE" w:rsidP="00FE3BAE" w:rsidRDefault="00FE3BAE" w14:paraId="53F54635" w14:textId="77777777">
      <w:pPr>
        <w:jc w:val="center"/>
      </w:pPr>
      <w:r w:rsidRPr="00237F57">
        <w:rPr>
          <w:b/>
        </w:rPr>
        <w:t>(END OF APPENDIX)</w:t>
      </w:r>
    </w:p>
    <w:sectPr w:rsidRPr="00237F57" w:rsidR="00FE3BAE" w:rsidSect="00D62801">
      <w:footerReference w:type="default" r:id="rId11"/>
      <w:footnotePr>
        <w:numRestart w:val="eachSect"/>
      </w:footnotePr>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DB26" w14:textId="77777777" w:rsidR="009408F7" w:rsidRDefault="009408F7" w:rsidP="00885956">
      <w:r>
        <w:separator/>
      </w:r>
    </w:p>
  </w:endnote>
  <w:endnote w:type="continuationSeparator" w:id="0">
    <w:p w14:paraId="73959501" w14:textId="77777777" w:rsidR="009408F7" w:rsidRDefault="009408F7"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279349"/>
      <w:docPartObj>
        <w:docPartGallery w:val="Page Numbers (Bottom of Page)"/>
        <w:docPartUnique/>
      </w:docPartObj>
    </w:sdtPr>
    <w:sdtEndPr>
      <w:rPr>
        <w:noProof/>
      </w:rPr>
    </w:sdtEndPr>
    <w:sdtContent>
      <w:p w14:paraId="37179B58" w14:textId="77777777" w:rsidR="00D6208C" w:rsidRDefault="00D6208C" w:rsidP="00880855">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419370"/>
      <w:docPartObj>
        <w:docPartGallery w:val="Page Numbers (Bottom of Page)"/>
        <w:docPartUnique/>
      </w:docPartObj>
    </w:sdtPr>
    <w:sdtEndPr>
      <w:rPr>
        <w:noProof/>
      </w:rPr>
    </w:sdtEndPr>
    <w:sdtContent>
      <w:p w14:paraId="095FCDFA" w14:textId="6B6DBCB1" w:rsidR="00D6208C" w:rsidRDefault="00156089" w:rsidP="001549F3">
        <w:pPr>
          <w:pStyle w:val="Footer"/>
        </w:pPr>
        <w:r w:rsidRPr="00156089">
          <w:rPr>
            <w:sz w:val="16"/>
            <w:szCs w:val="16"/>
          </w:rPr>
          <w:t>596104176</w:t>
        </w:r>
        <w:r w:rsidR="00D6208C">
          <w:tab/>
        </w:r>
        <w:r w:rsidR="00D6208C">
          <w:fldChar w:fldCharType="begin"/>
        </w:r>
        <w:r w:rsidR="00D6208C">
          <w:instrText xml:space="preserve"> PAGE   \* MERGEFORMAT </w:instrText>
        </w:r>
        <w:r w:rsidR="00D6208C">
          <w:fldChar w:fldCharType="separate"/>
        </w:r>
        <w:r w:rsidR="00D6208C">
          <w:rPr>
            <w:noProof/>
          </w:rPr>
          <w:t>- 1 -</w:t>
        </w:r>
        <w:r w:rsidR="00D6208C">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9D4708" w:rsidRDefault="009D4708"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00A5" w14:textId="77777777" w:rsidR="009408F7" w:rsidRDefault="009408F7" w:rsidP="00885956">
      <w:r>
        <w:separator/>
      </w:r>
    </w:p>
  </w:footnote>
  <w:footnote w:type="continuationSeparator" w:id="0">
    <w:p w14:paraId="12C7B0B3" w14:textId="77777777" w:rsidR="009408F7" w:rsidRDefault="009408F7" w:rsidP="00885956">
      <w:r>
        <w:continuationSeparator/>
      </w:r>
    </w:p>
  </w:footnote>
  <w:footnote w:id="1">
    <w:p w14:paraId="104D4D94" w14:textId="1DAEDEB6" w:rsidR="00BB4B6D" w:rsidRDefault="00BB4B6D">
      <w:pPr>
        <w:pStyle w:val="FootnoteText"/>
      </w:pPr>
      <w:r>
        <w:rPr>
          <w:rStyle w:val="FootnoteReference"/>
        </w:rPr>
        <w:footnoteRef/>
      </w:r>
      <w:r>
        <w:t xml:space="preserve"> Administrative Law Judge Justin </w:t>
      </w:r>
      <w:r w:rsidR="005107D6">
        <w:t xml:space="preserve">Regnier was </w:t>
      </w:r>
      <w:r w:rsidR="005D440C">
        <w:t>co-</w:t>
      </w:r>
      <w:r w:rsidR="005107D6">
        <w:t xml:space="preserve">assigned </w:t>
      </w:r>
      <w:r w:rsidR="0001756A">
        <w:t xml:space="preserve">to this proceeding </w:t>
      </w:r>
      <w:r w:rsidR="0091075A">
        <w:t>on January 23, 2024.</w:t>
      </w:r>
    </w:p>
  </w:footnote>
  <w:footnote w:id="2">
    <w:p w14:paraId="7CAF0DDD" w14:textId="77777777" w:rsidR="009D4708" w:rsidRDefault="009D4708">
      <w:pPr>
        <w:pStyle w:val="FootnoteText"/>
      </w:pPr>
      <w:r>
        <w:rPr>
          <w:rStyle w:val="FootnoteReference"/>
        </w:rPr>
        <w:footnoteRef/>
      </w:r>
      <w:r>
        <w:t xml:space="preserve"> </w:t>
      </w:r>
      <w:r w:rsidRPr="003B1D8F">
        <w:rPr>
          <w:sz w:val="20"/>
        </w:rPr>
        <w:t>All statutory references are to California Public Utilities Code unless indicated otherwise.</w:t>
      </w:r>
    </w:p>
  </w:footnote>
  <w:footnote w:id="3">
    <w:p w14:paraId="2A44723A" w14:textId="32B7EC19" w:rsidR="009D4708" w:rsidRPr="00DE3A5D" w:rsidRDefault="009D4708"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4">
    <w:p w14:paraId="30C48EBE" w14:textId="41376505" w:rsidR="009143B6" w:rsidRDefault="009143B6">
      <w:pPr>
        <w:pStyle w:val="FootnoteText"/>
      </w:pPr>
      <w:r>
        <w:rPr>
          <w:rStyle w:val="FootnoteReference"/>
        </w:rPr>
        <w:footnoteRef/>
      </w:r>
      <w:r>
        <w:t xml:space="preserve"> </w:t>
      </w:r>
      <w:r w:rsidRPr="009143B6">
        <w:t>Attachments not included in final Decision.</w:t>
      </w:r>
    </w:p>
  </w:footnote>
  <w:footnote w:id="5">
    <w:p w14:paraId="16D07AF7" w14:textId="7916E8DF" w:rsidR="00EF7327" w:rsidRDefault="00EF7327">
      <w:pPr>
        <w:pStyle w:val="FootnoteText"/>
      </w:pPr>
      <w:r>
        <w:rPr>
          <w:rStyle w:val="FootnoteReference"/>
        </w:rPr>
        <w:footnoteRef/>
      </w:r>
      <w:r>
        <w:t xml:space="preserve"> </w:t>
      </w:r>
      <w:r w:rsidR="00AE44C9">
        <w:t xml:space="preserve">Wild Tree’s reference to the rate range is inaccurate, as it </w:t>
      </w:r>
      <w:r w:rsidR="00405267">
        <w:t>cites</w:t>
      </w:r>
      <w:r w:rsidR="001634AC">
        <w:t xml:space="preserve"> the 2021 rate </w:t>
      </w:r>
      <w:r w:rsidR="00DC48EC">
        <w:t>instead of</w:t>
      </w:r>
      <w:r w:rsidR="001634AC">
        <w:t xml:space="preserve"> the </w:t>
      </w:r>
      <w:r w:rsidR="0020700D">
        <w:t>2022 rate range.</w:t>
      </w:r>
    </w:p>
  </w:footnote>
  <w:footnote w:id="6">
    <w:p w14:paraId="082A878A" w14:textId="42C1E33E" w:rsidR="00DA346E" w:rsidRDefault="00DA346E">
      <w:pPr>
        <w:pStyle w:val="FootnoteText"/>
      </w:pPr>
      <w:r>
        <w:rPr>
          <w:rStyle w:val="FootnoteReference"/>
        </w:rPr>
        <w:footnoteRef/>
      </w:r>
      <w:r>
        <w:t xml:space="preserve"> McCollum is classified as</w:t>
      </w:r>
      <w:r w:rsidR="00A0384B">
        <w:t xml:space="preserve"> </w:t>
      </w:r>
      <w:r w:rsidR="00EA76D0">
        <w:t xml:space="preserve">a </w:t>
      </w:r>
      <w:r w:rsidR="00A0384B">
        <w:t>consultant.</w:t>
      </w:r>
    </w:p>
  </w:footnote>
  <w:footnote w:id="7">
    <w:p w14:paraId="392B47DE" w14:textId="5F8D1740" w:rsidR="00432908" w:rsidRDefault="00432908">
      <w:pPr>
        <w:pStyle w:val="FootnoteText"/>
      </w:pPr>
      <w:r>
        <w:rPr>
          <w:rStyle w:val="FootnoteReference"/>
        </w:rPr>
        <w:footnoteRef/>
      </w:r>
      <w:r>
        <w:t xml:space="preserve"> </w:t>
      </w:r>
      <w:r w:rsidR="00DA346E">
        <w:t xml:space="preserve">Sommer is classified as </w:t>
      </w:r>
      <w:r w:rsidR="00EE1C1B">
        <w:t>Legal</w:t>
      </w:r>
      <w:r w:rsidR="00462563">
        <w:t xml:space="preserve"> –</w:t>
      </w:r>
      <w:r w:rsidR="00EE1C1B">
        <w:t xml:space="preserve"> </w:t>
      </w:r>
      <w:r w:rsidR="00462563">
        <w:t xml:space="preserve">Legal </w:t>
      </w:r>
      <w:r w:rsidR="00EE1C1B">
        <w:t xml:space="preserve">Director </w:t>
      </w:r>
      <w:r w:rsidR="00462563">
        <w:t xml:space="preserve">- </w:t>
      </w:r>
      <w:r w:rsidR="00EE1C1B">
        <w:t xml:space="preserve">Level II </w:t>
      </w:r>
      <w:r w:rsidR="0027766F">
        <w:t xml:space="preserve">in </w:t>
      </w:r>
      <w:r w:rsidR="00EA76D0">
        <w:t>2022</w:t>
      </w:r>
      <w:r w:rsidR="00EE1C1B">
        <w:t>.</w:t>
      </w:r>
    </w:p>
  </w:footnote>
  <w:footnote w:id="8">
    <w:p w14:paraId="1C47F36D" w14:textId="3282D0B2" w:rsidR="004E5EEE" w:rsidRPr="002120EF" w:rsidRDefault="004E5EEE">
      <w:pPr>
        <w:pStyle w:val="FootnoteText"/>
      </w:pPr>
      <w:r>
        <w:rPr>
          <w:rStyle w:val="FootnoteReference"/>
        </w:rPr>
        <w:footnoteRef/>
      </w:r>
      <w:r>
        <w:t xml:space="preserve"> </w:t>
      </w:r>
      <w:r w:rsidR="00D75800">
        <w:t xml:space="preserve">Sommer is classified as a </w:t>
      </w:r>
      <w:r w:rsidR="00D75800" w:rsidRPr="00D75800">
        <w:t>Legal Director III</w:t>
      </w:r>
      <w:r w:rsidR="00D75800">
        <w:t>.</w:t>
      </w:r>
      <w:r w:rsidR="00D75800" w:rsidRPr="00D75800">
        <w:t xml:space="preserve"> </w:t>
      </w:r>
      <w:r>
        <w:rPr>
          <w:i/>
          <w:iCs/>
        </w:rPr>
        <w:t>See</w:t>
      </w:r>
      <w:r>
        <w:t xml:space="preserve"> Part III.D[1] for further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08F2" w14:textId="75D01BEF" w:rsidR="007659A0" w:rsidRDefault="007659A0">
    <w:pPr>
      <w:pStyle w:val="Header"/>
      <w:rPr>
        <w:b/>
        <w:bCs/>
      </w:rPr>
    </w:pPr>
    <w:r>
      <w:t>A.21-06-</w:t>
    </w:r>
    <w:proofErr w:type="gramStart"/>
    <w:r>
      <w:t>021  ALJ</w:t>
    </w:r>
    <w:proofErr w:type="gramEnd"/>
    <w:r>
      <w:t>/JOR/avs</w:t>
    </w:r>
    <w:r>
      <w:tab/>
    </w:r>
    <w:r>
      <w:tab/>
    </w:r>
  </w:p>
  <w:p w14:paraId="694E2436" w14:textId="77777777" w:rsidR="00156089" w:rsidRDefault="00156089">
    <w:pPr>
      <w:pStyle w:val="Header"/>
    </w:pPr>
  </w:p>
  <w:p w14:paraId="5810400A" w14:textId="77777777" w:rsidR="007659A0" w:rsidRDefault="00765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F66DC"/>
    <w:multiLevelType w:val="hybridMultilevel"/>
    <w:tmpl w:val="A8C0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15:restartNumberingAfterBreak="0">
    <w:nsid w:val="657C1F5A"/>
    <w:multiLevelType w:val="hybridMultilevel"/>
    <w:tmpl w:val="D018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4431407">
    <w:abstractNumId w:val="10"/>
  </w:num>
  <w:num w:numId="2" w16cid:durableId="2023586571">
    <w:abstractNumId w:val="0"/>
  </w:num>
  <w:num w:numId="3" w16cid:durableId="2026249872">
    <w:abstractNumId w:val="11"/>
  </w:num>
  <w:num w:numId="4" w16cid:durableId="1447196629">
    <w:abstractNumId w:val="6"/>
  </w:num>
  <w:num w:numId="5" w16cid:durableId="1819148615">
    <w:abstractNumId w:val="4"/>
  </w:num>
  <w:num w:numId="6" w16cid:durableId="1657876046">
    <w:abstractNumId w:val="8"/>
  </w:num>
  <w:num w:numId="7" w16cid:durableId="897398408">
    <w:abstractNumId w:val="5"/>
  </w:num>
  <w:num w:numId="8" w16cid:durableId="433477484">
    <w:abstractNumId w:val="7"/>
  </w:num>
  <w:num w:numId="9" w16cid:durableId="1759473108">
    <w:abstractNumId w:val="1"/>
  </w:num>
  <w:num w:numId="10" w16cid:durableId="2088182300">
    <w:abstractNumId w:val="3"/>
  </w:num>
  <w:num w:numId="11" w16cid:durableId="1499493437">
    <w:abstractNumId w:val="2"/>
  </w:num>
  <w:num w:numId="12" w16cid:durableId="1191186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1A89"/>
    <w:rsid w:val="00003A49"/>
    <w:rsid w:val="00011EFC"/>
    <w:rsid w:val="00015664"/>
    <w:rsid w:val="00015BBD"/>
    <w:rsid w:val="0001756A"/>
    <w:rsid w:val="00020DFD"/>
    <w:rsid w:val="00026A15"/>
    <w:rsid w:val="000272C7"/>
    <w:rsid w:val="00034492"/>
    <w:rsid w:val="00036F54"/>
    <w:rsid w:val="0004591B"/>
    <w:rsid w:val="00045A2F"/>
    <w:rsid w:val="0005538D"/>
    <w:rsid w:val="00055843"/>
    <w:rsid w:val="000558FE"/>
    <w:rsid w:val="00061D82"/>
    <w:rsid w:val="00063CB9"/>
    <w:rsid w:val="0006469F"/>
    <w:rsid w:val="00064CF7"/>
    <w:rsid w:val="00065BAF"/>
    <w:rsid w:val="00067F04"/>
    <w:rsid w:val="000720A1"/>
    <w:rsid w:val="00072169"/>
    <w:rsid w:val="00072C81"/>
    <w:rsid w:val="00073262"/>
    <w:rsid w:val="00081703"/>
    <w:rsid w:val="000840A4"/>
    <w:rsid w:val="00085FD8"/>
    <w:rsid w:val="000971C0"/>
    <w:rsid w:val="000A2E8F"/>
    <w:rsid w:val="000A3E40"/>
    <w:rsid w:val="000A692E"/>
    <w:rsid w:val="000B0F83"/>
    <w:rsid w:val="000B64BB"/>
    <w:rsid w:val="000B6A6E"/>
    <w:rsid w:val="000C16F7"/>
    <w:rsid w:val="000C28F4"/>
    <w:rsid w:val="000C59EE"/>
    <w:rsid w:val="000D224D"/>
    <w:rsid w:val="000D4766"/>
    <w:rsid w:val="000D6CA0"/>
    <w:rsid w:val="000D6DF8"/>
    <w:rsid w:val="000E2A22"/>
    <w:rsid w:val="000E41D9"/>
    <w:rsid w:val="000E5206"/>
    <w:rsid w:val="000E6034"/>
    <w:rsid w:val="000E6ABD"/>
    <w:rsid w:val="000E6B5E"/>
    <w:rsid w:val="000E71A5"/>
    <w:rsid w:val="000F07FA"/>
    <w:rsid w:val="000F0F28"/>
    <w:rsid w:val="000F2609"/>
    <w:rsid w:val="000F595C"/>
    <w:rsid w:val="000F733E"/>
    <w:rsid w:val="000F7670"/>
    <w:rsid w:val="001000F0"/>
    <w:rsid w:val="0010354C"/>
    <w:rsid w:val="0010411E"/>
    <w:rsid w:val="0010480F"/>
    <w:rsid w:val="00105E39"/>
    <w:rsid w:val="001067B0"/>
    <w:rsid w:val="001075D8"/>
    <w:rsid w:val="00110D89"/>
    <w:rsid w:val="00110E79"/>
    <w:rsid w:val="001119EF"/>
    <w:rsid w:val="001139CE"/>
    <w:rsid w:val="001151B2"/>
    <w:rsid w:val="00116EB7"/>
    <w:rsid w:val="00120588"/>
    <w:rsid w:val="00122565"/>
    <w:rsid w:val="00123103"/>
    <w:rsid w:val="00125492"/>
    <w:rsid w:val="001346EB"/>
    <w:rsid w:val="00141A4E"/>
    <w:rsid w:val="00144251"/>
    <w:rsid w:val="0014426A"/>
    <w:rsid w:val="00146D73"/>
    <w:rsid w:val="00151AA8"/>
    <w:rsid w:val="00152F94"/>
    <w:rsid w:val="001549F3"/>
    <w:rsid w:val="00156089"/>
    <w:rsid w:val="00156453"/>
    <w:rsid w:val="00156F30"/>
    <w:rsid w:val="00160B80"/>
    <w:rsid w:val="00161A43"/>
    <w:rsid w:val="001634AC"/>
    <w:rsid w:val="00163BFD"/>
    <w:rsid w:val="001718C2"/>
    <w:rsid w:val="00171EBF"/>
    <w:rsid w:val="00175865"/>
    <w:rsid w:val="00175FED"/>
    <w:rsid w:val="00177A9F"/>
    <w:rsid w:val="00177C76"/>
    <w:rsid w:val="00180E8C"/>
    <w:rsid w:val="001820AA"/>
    <w:rsid w:val="00185B17"/>
    <w:rsid w:val="00190270"/>
    <w:rsid w:val="00190936"/>
    <w:rsid w:val="00191032"/>
    <w:rsid w:val="00192AC8"/>
    <w:rsid w:val="00193BC7"/>
    <w:rsid w:val="00195406"/>
    <w:rsid w:val="001962EB"/>
    <w:rsid w:val="001A3AF6"/>
    <w:rsid w:val="001A3CF3"/>
    <w:rsid w:val="001A6367"/>
    <w:rsid w:val="001A6CC3"/>
    <w:rsid w:val="001A7E5E"/>
    <w:rsid w:val="001B01CE"/>
    <w:rsid w:val="001B0A37"/>
    <w:rsid w:val="001B10BE"/>
    <w:rsid w:val="001B15F4"/>
    <w:rsid w:val="001B2144"/>
    <w:rsid w:val="001B3685"/>
    <w:rsid w:val="001B4565"/>
    <w:rsid w:val="001B5153"/>
    <w:rsid w:val="001B586E"/>
    <w:rsid w:val="001B7A5D"/>
    <w:rsid w:val="001C02A8"/>
    <w:rsid w:val="001C0DD1"/>
    <w:rsid w:val="001C21AE"/>
    <w:rsid w:val="001C368F"/>
    <w:rsid w:val="001C4735"/>
    <w:rsid w:val="001C502F"/>
    <w:rsid w:val="001D20D2"/>
    <w:rsid w:val="001D3ED2"/>
    <w:rsid w:val="001D4890"/>
    <w:rsid w:val="001D5DAB"/>
    <w:rsid w:val="001D5F03"/>
    <w:rsid w:val="001E2CE0"/>
    <w:rsid w:val="001E6F4C"/>
    <w:rsid w:val="001E7615"/>
    <w:rsid w:val="001E77CF"/>
    <w:rsid w:val="001E7EE2"/>
    <w:rsid w:val="001F238E"/>
    <w:rsid w:val="001F3573"/>
    <w:rsid w:val="001F723B"/>
    <w:rsid w:val="001F7569"/>
    <w:rsid w:val="00201CC6"/>
    <w:rsid w:val="00203B4D"/>
    <w:rsid w:val="00203ECA"/>
    <w:rsid w:val="00204E3A"/>
    <w:rsid w:val="0020700D"/>
    <w:rsid w:val="00212E10"/>
    <w:rsid w:val="002142E4"/>
    <w:rsid w:val="00214B22"/>
    <w:rsid w:val="00214D4C"/>
    <w:rsid w:val="00217224"/>
    <w:rsid w:val="00217BD2"/>
    <w:rsid w:val="00222219"/>
    <w:rsid w:val="0022302F"/>
    <w:rsid w:val="00230392"/>
    <w:rsid w:val="0023209D"/>
    <w:rsid w:val="00237F57"/>
    <w:rsid w:val="00241113"/>
    <w:rsid w:val="002415DC"/>
    <w:rsid w:val="00242C44"/>
    <w:rsid w:val="002460ED"/>
    <w:rsid w:val="002466F8"/>
    <w:rsid w:val="002468B9"/>
    <w:rsid w:val="00255E81"/>
    <w:rsid w:val="00256F00"/>
    <w:rsid w:val="0025776B"/>
    <w:rsid w:val="00260518"/>
    <w:rsid w:val="00264333"/>
    <w:rsid w:val="00265E1F"/>
    <w:rsid w:val="00270E2E"/>
    <w:rsid w:val="00273208"/>
    <w:rsid w:val="0027639B"/>
    <w:rsid w:val="0027766A"/>
    <w:rsid w:val="0027766F"/>
    <w:rsid w:val="00281089"/>
    <w:rsid w:val="002A0337"/>
    <w:rsid w:val="002A2F38"/>
    <w:rsid w:val="002A689D"/>
    <w:rsid w:val="002A6C07"/>
    <w:rsid w:val="002B05E9"/>
    <w:rsid w:val="002B1CF8"/>
    <w:rsid w:val="002B4638"/>
    <w:rsid w:val="002C179B"/>
    <w:rsid w:val="002C4E9B"/>
    <w:rsid w:val="002C676F"/>
    <w:rsid w:val="002C7232"/>
    <w:rsid w:val="002D21CA"/>
    <w:rsid w:val="002D2464"/>
    <w:rsid w:val="002D53AA"/>
    <w:rsid w:val="002D5893"/>
    <w:rsid w:val="002D7C3C"/>
    <w:rsid w:val="002E0A53"/>
    <w:rsid w:val="002E21E0"/>
    <w:rsid w:val="002E4C47"/>
    <w:rsid w:val="002E58AC"/>
    <w:rsid w:val="002E5F83"/>
    <w:rsid w:val="002E77D8"/>
    <w:rsid w:val="002F2D22"/>
    <w:rsid w:val="00303C2B"/>
    <w:rsid w:val="00305839"/>
    <w:rsid w:val="00307A9B"/>
    <w:rsid w:val="003100FE"/>
    <w:rsid w:val="0032312B"/>
    <w:rsid w:val="00324C17"/>
    <w:rsid w:val="00334B6C"/>
    <w:rsid w:val="00335CC9"/>
    <w:rsid w:val="003379D3"/>
    <w:rsid w:val="00340A7F"/>
    <w:rsid w:val="00341CC0"/>
    <w:rsid w:val="00342E86"/>
    <w:rsid w:val="003501DD"/>
    <w:rsid w:val="00356349"/>
    <w:rsid w:val="00356A92"/>
    <w:rsid w:val="00357623"/>
    <w:rsid w:val="00357F1A"/>
    <w:rsid w:val="00364EB8"/>
    <w:rsid w:val="0037023A"/>
    <w:rsid w:val="00374FD1"/>
    <w:rsid w:val="00377884"/>
    <w:rsid w:val="00380703"/>
    <w:rsid w:val="00394647"/>
    <w:rsid w:val="003B1782"/>
    <w:rsid w:val="003B1D8F"/>
    <w:rsid w:val="003B3540"/>
    <w:rsid w:val="003B5BF5"/>
    <w:rsid w:val="003B5EAC"/>
    <w:rsid w:val="003B65E2"/>
    <w:rsid w:val="003B6A1B"/>
    <w:rsid w:val="003C32DD"/>
    <w:rsid w:val="003C380F"/>
    <w:rsid w:val="003C608A"/>
    <w:rsid w:val="003D359B"/>
    <w:rsid w:val="003D4455"/>
    <w:rsid w:val="003E14E1"/>
    <w:rsid w:val="003E27AA"/>
    <w:rsid w:val="003E34FD"/>
    <w:rsid w:val="003E36FB"/>
    <w:rsid w:val="003E60F6"/>
    <w:rsid w:val="003E6633"/>
    <w:rsid w:val="003F1E8A"/>
    <w:rsid w:val="003F2D56"/>
    <w:rsid w:val="00401D1A"/>
    <w:rsid w:val="004021BA"/>
    <w:rsid w:val="00402816"/>
    <w:rsid w:val="00405267"/>
    <w:rsid w:val="004103F6"/>
    <w:rsid w:val="004118A6"/>
    <w:rsid w:val="00417EA3"/>
    <w:rsid w:val="00420ACB"/>
    <w:rsid w:val="0042137E"/>
    <w:rsid w:val="00424C26"/>
    <w:rsid w:val="00425142"/>
    <w:rsid w:val="00432908"/>
    <w:rsid w:val="00435C30"/>
    <w:rsid w:val="00435F50"/>
    <w:rsid w:val="00441C9D"/>
    <w:rsid w:val="00446525"/>
    <w:rsid w:val="004534E7"/>
    <w:rsid w:val="004563DA"/>
    <w:rsid w:val="00460E3E"/>
    <w:rsid w:val="0046232C"/>
    <w:rsid w:val="0046248A"/>
    <w:rsid w:val="00462563"/>
    <w:rsid w:val="004630A0"/>
    <w:rsid w:val="004663BE"/>
    <w:rsid w:val="00467E65"/>
    <w:rsid w:val="00472B1D"/>
    <w:rsid w:val="00475C35"/>
    <w:rsid w:val="00480BF6"/>
    <w:rsid w:val="00483334"/>
    <w:rsid w:val="004840D2"/>
    <w:rsid w:val="00484B39"/>
    <w:rsid w:val="00485B6B"/>
    <w:rsid w:val="00495C11"/>
    <w:rsid w:val="004A254C"/>
    <w:rsid w:val="004A2713"/>
    <w:rsid w:val="004A2838"/>
    <w:rsid w:val="004A3205"/>
    <w:rsid w:val="004A5DE8"/>
    <w:rsid w:val="004A6FD4"/>
    <w:rsid w:val="004B54E9"/>
    <w:rsid w:val="004C0961"/>
    <w:rsid w:val="004C1596"/>
    <w:rsid w:val="004C39A1"/>
    <w:rsid w:val="004C5F19"/>
    <w:rsid w:val="004C722C"/>
    <w:rsid w:val="004D35A0"/>
    <w:rsid w:val="004D3687"/>
    <w:rsid w:val="004D5DAD"/>
    <w:rsid w:val="004D6B6D"/>
    <w:rsid w:val="004D779D"/>
    <w:rsid w:val="004E0395"/>
    <w:rsid w:val="004E2AFC"/>
    <w:rsid w:val="004E3939"/>
    <w:rsid w:val="004E3D3C"/>
    <w:rsid w:val="004E3D93"/>
    <w:rsid w:val="004E5EEE"/>
    <w:rsid w:val="004E746D"/>
    <w:rsid w:val="004F3096"/>
    <w:rsid w:val="004F7937"/>
    <w:rsid w:val="005008BD"/>
    <w:rsid w:val="005011C3"/>
    <w:rsid w:val="00504293"/>
    <w:rsid w:val="00505E63"/>
    <w:rsid w:val="00506E23"/>
    <w:rsid w:val="005107D6"/>
    <w:rsid w:val="0051418E"/>
    <w:rsid w:val="00516CE7"/>
    <w:rsid w:val="005212C8"/>
    <w:rsid w:val="005215EF"/>
    <w:rsid w:val="00521B86"/>
    <w:rsid w:val="00521F23"/>
    <w:rsid w:val="00527FDB"/>
    <w:rsid w:val="00530E5C"/>
    <w:rsid w:val="00533373"/>
    <w:rsid w:val="005359D5"/>
    <w:rsid w:val="00537425"/>
    <w:rsid w:val="005428F4"/>
    <w:rsid w:val="005439B8"/>
    <w:rsid w:val="00545129"/>
    <w:rsid w:val="00547145"/>
    <w:rsid w:val="0055179D"/>
    <w:rsid w:val="00551967"/>
    <w:rsid w:val="005520D9"/>
    <w:rsid w:val="0055228B"/>
    <w:rsid w:val="00564CE1"/>
    <w:rsid w:val="00565DD4"/>
    <w:rsid w:val="00566982"/>
    <w:rsid w:val="0056775C"/>
    <w:rsid w:val="00567C23"/>
    <w:rsid w:val="00570432"/>
    <w:rsid w:val="0057088A"/>
    <w:rsid w:val="00571758"/>
    <w:rsid w:val="00575494"/>
    <w:rsid w:val="00575B5C"/>
    <w:rsid w:val="00582BAB"/>
    <w:rsid w:val="005912FA"/>
    <w:rsid w:val="0059289A"/>
    <w:rsid w:val="00592A37"/>
    <w:rsid w:val="005937F1"/>
    <w:rsid w:val="00593811"/>
    <w:rsid w:val="00595300"/>
    <w:rsid w:val="0059547A"/>
    <w:rsid w:val="00596B9F"/>
    <w:rsid w:val="005977CA"/>
    <w:rsid w:val="00597DF0"/>
    <w:rsid w:val="005A3018"/>
    <w:rsid w:val="005A50FA"/>
    <w:rsid w:val="005A53F1"/>
    <w:rsid w:val="005A54E4"/>
    <w:rsid w:val="005A63D4"/>
    <w:rsid w:val="005A65C2"/>
    <w:rsid w:val="005A6954"/>
    <w:rsid w:val="005B3BAB"/>
    <w:rsid w:val="005B5B44"/>
    <w:rsid w:val="005C245A"/>
    <w:rsid w:val="005C2F91"/>
    <w:rsid w:val="005C327F"/>
    <w:rsid w:val="005C43E8"/>
    <w:rsid w:val="005D138E"/>
    <w:rsid w:val="005D440C"/>
    <w:rsid w:val="005D7D32"/>
    <w:rsid w:val="005E26BE"/>
    <w:rsid w:val="005E3B10"/>
    <w:rsid w:val="005E53C2"/>
    <w:rsid w:val="005F1D71"/>
    <w:rsid w:val="005F2571"/>
    <w:rsid w:val="005F37F1"/>
    <w:rsid w:val="005F4D82"/>
    <w:rsid w:val="00600B2E"/>
    <w:rsid w:val="00602555"/>
    <w:rsid w:val="00605EC5"/>
    <w:rsid w:val="00613AD4"/>
    <w:rsid w:val="00614CA8"/>
    <w:rsid w:val="00615304"/>
    <w:rsid w:val="00621A7C"/>
    <w:rsid w:val="00625532"/>
    <w:rsid w:val="00626D97"/>
    <w:rsid w:val="00634DF7"/>
    <w:rsid w:val="00635FDC"/>
    <w:rsid w:val="00636C84"/>
    <w:rsid w:val="00637216"/>
    <w:rsid w:val="006475E5"/>
    <w:rsid w:val="0065087E"/>
    <w:rsid w:val="00650E5E"/>
    <w:rsid w:val="00652178"/>
    <w:rsid w:val="00652DEA"/>
    <w:rsid w:val="006539FC"/>
    <w:rsid w:val="0065713E"/>
    <w:rsid w:val="006600B2"/>
    <w:rsid w:val="00660D7E"/>
    <w:rsid w:val="00662818"/>
    <w:rsid w:val="006637D2"/>
    <w:rsid w:val="00664A51"/>
    <w:rsid w:val="00664AC9"/>
    <w:rsid w:val="006706AC"/>
    <w:rsid w:val="00671F4C"/>
    <w:rsid w:val="00673595"/>
    <w:rsid w:val="00673EB1"/>
    <w:rsid w:val="00675788"/>
    <w:rsid w:val="00682C2A"/>
    <w:rsid w:val="00683D38"/>
    <w:rsid w:val="00684BDA"/>
    <w:rsid w:val="006850B2"/>
    <w:rsid w:val="00687F1F"/>
    <w:rsid w:val="006903AD"/>
    <w:rsid w:val="00690F26"/>
    <w:rsid w:val="00691302"/>
    <w:rsid w:val="00691528"/>
    <w:rsid w:val="00692179"/>
    <w:rsid w:val="00692738"/>
    <w:rsid w:val="006938BB"/>
    <w:rsid w:val="0069473C"/>
    <w:rsid w:val="006961D4"/>
    <w:rsid w:val="00696767"/>
    <w:rsid w:val="00697469"/>
    <w:rsid w:val="006A600A"/>
    <w:rsid w:val="006A7272"/>
    <w:rsid w:val="006A7520"/>
    <w:rsid w:val="006B0BC7"/>
    <w:rsid w:val="006B42D0"/>
    <w:rsid w:val="006B5276"/>
    <w:rsid w:val="006B5FDE"/>
    <w:rsid w:val="006B7228"/>
    <w:rsid w:val="006B7375"/>
    <w:rsid w:val="006C2FC6"/>
    <w:rsid w:val="006C7AF1"/>
    <w:rsid w:val="006D1634"/>
    <w:rsid w:val="006D1BD9"/>
    <w:rsid w:val="006D1BE0"/>
    <w:rsid w:val="006D4141"/>
    <w:rsid w:val="006D4B0E"/>
    <w:rsid w:val="006D67C9"/>
    <w:rsid w:val="006D6CD0"/>
    <w:rsid w:val="006E6DE1"/>
    <w:rsid w:val="006E6E42"/>
    <w:rsid w:val="006E7213"/>
    <w:rsid w:val="006E7D0C"/>
    <w:rsid w:val="006F0F32"/>
    <w:rsid w:val="006F4E57"/>
    <w:rsid w:val="00703D5A"/>
    <w:rsid w:val="007055D1"/>
    <w:rsid w:val="007056FC"/>
    <w:rsid w:val="00705A04"/>
    <w:rsid w:val="0070689B"/>
    <w:rsid w:val="00710E66"/>
    <w:rsid w:val="00712AAD"/>
    <w:rsid w:val="007203DD"/>
    <w:rsid w:val="00720F71"/>
    <w:rsid w:val="0072398C"/>
    <w:rsid w:val="0073005B"/>
    <w:rsid w:val="007300B5"/>
    <w:rsid w:val="007313CB"/>
    <w:rsid w:val="00734865"/>
    <w:rsid w:val="00740447"/>
    <w:rsid w:val="00741196"/>
    <w:rsid w:val="0074153F"/>
    <w:rsid w:val="00741967"/>
    <w:rsid w:val="00741C8B"/>
    <w:rsid w:val="00742397"/>
    <w:rsid w:val="0074620B"/>
    <w:rsid w:val="00751D8E"/>
    <w:rsid w:val="00757B44"/>
    <w:rsid w:val="00763797"/>
    <w:rsid w:val="00763833"/>
    <w:rsid w:val="007659A0"/>
    <w:rsid w:val="00776A31"/>
    <w:rsid w:val="00777BCC"/>
    <w:rsid w:val="00777E94"/>
    <w:rsid w:val="00780C7B"/>
    <w:rsid w:val="007825E9"/>
    <w:rsid w:val="00782DE5"/>
    <w:rsid w:val="00784608"/>
    <w:rsid w:val="00786CAD"/>
    <w:rsid w:val="00792264"/>
    <w:rsid w:val="007A3FCC"/>
    <w:rsid w:val="007A7FC9"/>
    <w:rsid w:val="007B099C"/>
    <w:rsid w:val="007B562D"/>
    <w:rsid w:val="007B6D8E"/>
    <w:rsid w:val="007B7A20"/>
    <w:rsid w:val="007C1B69"/>
    <w:rsid w:val="007C2BF0"/>
    <w:rsid w:val="007C685C"/>
    <w:rsid w:val="007D36E3"/>
    <w:rsid w:val="007D637A"/>
    <w:rsid w:val="007E71C3"/>
    <w:rsid w:val="007F23B8"/>
    <w:rsid w:val="007F620E"/>
    <w:rsid w:val="007F6CF5"/>
    <w:rsid w:val="0080004D"/>
    <w:rsid w:val="00801D15"/>
    <w:rsid w:val="00802101"/>
    <w:rsid w:val="00802701"/>
    <w:rsid w:val="00807D75"/>
    <w:rsid w:val="00810D4D"/>
    <w:rsid w:val="00811DB1"/>
    <w:rsid w:val="00813516"/>
    <w:rsid w:val="0081541A"/>
    <w:rsid w:val="00815F1F"/>
    <w:rsid w:val="0081626F"/>
    <w:rsid w:val="00826C01"/>
    <w:rsid w:val="00830C27"/>
    <w:rsid w:val="00831652"/>
    <w:rsid w:val="00831C8A"/>
    <w:rsid w:val="008321E3"/>
    <w:rsid w:val="0083256F"/>
    <w:rsid w:val="00832A9C"/>
    <w:rsid w:val="0083350A"/>
    <w:rsid w:val="008339C4"/>
    <w:rsid w:val="00833E7D"/>
    <w:rsid w:val="0083442F"/>
    <w:rsid w:val="008449F6"/>
    <w:rsid w:val="00847383"/>
    <w:rsid w:val="00851C35"/>
    <w:rsid w:val="00855FD7"/>
    <w:rsid w:val="00871696"/>
    <w:rsid w:val="008717CB"/>
    <w:rsid w:val="0087249C"/>
    <w:rsid w:val="00874344"/>
    <w:rsid w:val="00874D5A"/>
    <w:rsid w:val="00880855"/>
    <w:rsid w:val="0088421D"/>
    <w:rsid w:val="008844B6"/>
    <w:rsid w:val="00885695"/>
    <w:rsid w:val="00885956"/>
    <w:rsid w:val="00886104"/>
    <w:rsid w:val="00886869"/>
    <w:rsid w:val="00890276"/>
    <w:rsid w:val="00892B61"/>
    <w:rsid w:val="0089437A"/>
    <w:rsid w:val="008A214C"/>
    <w:rsid w:val="008A5321"/>
    <w:rsid w:val="008A7B8E"/>
    <w:rsid w:val="008B67E2"/>
    <w:rsid w:val="008C09F7"/>
    <w:rsid w:val="008C1FE9"/>
    <w:rsid w:val="008C2208"/>
    <w:rsid w:val="008C60A8"/>
    <w:rsid w:val="008D026E"/>
    <w:rsid w:val="008D2FBA"/>
    <w:rsid w:val="008D6F69"/>
    <w:rsid w:val="008E182E"/>
    <w:rsid w:val="008E2AA3"/>
    <w:rsid w:val="008E2BD7"/>
    <w:rsid w:val="008E3450"/>
    <w:rsid w:val="008E4336"/>
    <w:rsid w:val="008E4D96"/>
    <w:rsid w:val="008E729D"/>
    <w:rsid w:val="008F01C9"/>
    <w:rsid w:val="008F1F3F"/>
    <w:rsid w:val="008F373B"/>
    <w:rsid w:val="009063E7"/>
    <w:rsid w:val="009074DD"/>
    <w:rsid w:val="0091075A"/>
    <w:rsid w:val="009143B6"/>
    <w:rsid w:val="009146F0"/>
    <w:rsid w:val="00915118"/>
    <w:rsid w:val="00915500"/>
    <w:rsid w:val="0091551E"/>
    <w:rsid w:val="00920BCE"/>
    <w:rsid w:val="00925FAB"/>
    <w:rsid w:val="0092610E"/>
    <w:rsid w:val="0092646B"/>
    <w:rsid w:val="00926EB7"/>
    <w:rsid w:val="009279BF"/>
    <w:rsid w:val="00927BD0"/>
    <w:rsid w:val="00930C99"/>
    <w:rsid w:val="00930F8D"/>
    <w:rsid w:val="00936364"/>
    <w:rsid w:val="009408F7"/>
    <w:rsid w:val="0094249B"/>
    <w:rsid w:val="00945F33"/>
    <w:rsid w:val="00947439"/>
    <w:rsid w:val="0095056F"/>
    <w:rsid w:val="00950FB5"/>
    <w:rsid w:val="0095111E"/>
    <w:rsid w:val="00955810"/>
    <w:rsid w:val="00957040"/>
    <w:rsid w:val="00960010"/>
    <w:rsid w:val="00961BAE"/>
    <w:rsid w:val="00963EEF"/>
    <w:rsid w:val="009669D2"/>
    <w:rsid w:val="00967930"/>
    <w:rsid w:val="00967DF0"/>
    <w:rsid w:val="009715D2"/>
    <w:rsid w:val="00974127"/>
    <w:rsid w:val="00985D47"/>
    <w:rsid w:val="00987C9C"/>
    <w:rsid w:val="009914AF"/>
    <w:rsid w:val="0099156C"/>
    <w:rsid w:val="00992640"/>
    <w:rsid w:val="009A3FC3"/>
    <w:rsid w:val="009A62F6"/>
    <w:rsid w:val="009A62FB"/>
    <w:rsid w:val="009A7E7C"/>
    <w:rsid w:val="009B1AB2"/>
    <w:rsid w:val="009B48AD"/>
    <w:rsid w:val="009B6902"/>
    <w:rsid w:val="009C3E8B"/>
    <w:rsid w:val="009C5FBD"/>
    <w:rsid w:val="009C61CB"/>
    <w:rsid w:val="009C7139"/>
    <w:rsid w:val="009C75A0"/>
    <w:rsid w:val="009D091E"/>
    <w:rsid w:val="009D2C8A"/>
    <w:rsid w:val="009D307A"/>
    <w:rsid w:val="009D4708"/>
    <w:rsid w:val="009D4F30"/>
    <w:rsid w:val="009D7F50"/>
    <w:rsid w:val="009E48E4"/>
    <w:rsid w:val="009F036D"/>
    <w:rsid w:val="009F2875"/>
    <w:rsid w:val="009F4377"/>
    <w:rsid w:val="009F53CC"/>
    <w:rsid w:val="009F5BD5"/>
    <w:rsid w:val="00A01251"/>
    <w:rsid w:val="00A01B48"/>
    <w:rsid w:val="00A0384B"/>
    <w:rsid w:val="00A057CE"/>
    <w:rsid w:val="00A07A96"/>
    <w:rsid w:val="00A10ED5"/>
    <w:rsid w:val="00A14B49"/>
    <w:rsid w:val="00A15070"/>
    <w:rsid w:val="00A160B7"/>
    <w:rsid w:val="00A1712C"/>
    <w:rsid w:val="00A23930"/>
    <w:rsid w:val="00A24E91"/>
    <w:rsid w:val="00A265D7"/>
    <w:rsid w:val="00A319DE"/>
    <w:rsid w:val="00A32A4F"/>
    <w:rsid w:val="00A32B95"/>
    <w:rsid w:val="00A33090"/>
    <w:rsid w:val="00A368CA"/>
    <w:rsid w:val="00A425BB"/>
    <w:rsid w:val="00A44AEB"/>
    <w:rsid w:val="00A45DFF"/>
    <w:rsid w:val="00A5229D"/>
    <w:rsid w:val="00A60203"/>
    <w:rsid w:val="00A6204E"/>
    <w:rsid w:val="00A62CF9"/>
    <w:rsid w:val="00A64485"/>
    <w:rsid w:val="00A67E89"/>
    <w:rsid w:val="00A75D2D"/>
    <w:rsid w:val="00A76802"/>
    <w:rsid w:val="00A76D10"/>
    <w:rsid w:val="00A76D96"/>
    <w:rsid w:val="00A809CB"/>
    <w:rsid w:val="00A8179D"/>
    <w:rsid w:val="00A8490C"/>
    <w:rsid w:val="00A86489"/>
    <w:rsid w:val="00A86988"/>
    <w:rsid w:val="00A910F1"/>
    <w:rsid w:val="00A92D0B"/>
    <w:rsid w:val="00A978DE"/>
    <w:rsid w:val="00AA04B6"/>
    <w:rsid w:val="00AA0FF1"/>
    <w:rsid w:val="00AA1740"/>
    <w:rsid w:val="00AA27A9"/>
    <w:rsid w:val="00AA282A"/>
    <w:rsid w:val="00AA3F00"/>
    <w:rsid w:val="00AA515E"/>
    <w:rsid w:val="00AA5475"/>
    <w:rsid w:val="00AB005D"/>
    <w:rsid w:val="00AB0161"/>
    <w:rsid w:val="00AB2F7F"/>
    <w:rsid w:val="00AB3510"/>
    <w:rsid w:val="00AB5973"/>
    <w:rsid w:val="00AB6114"/>
    <w:rsid w:val="00AC0C20"/>
    <w:rsid w:val="00AC4777"/>
    <w:rsid w:val="00AC5A4B"/>
    <w:rsid w:val="00AD28B9"/>
    <w:rsid w:val="00AD4594"/>
    <w:rsid w:val="00AD5797"/>
    <w:rsid w:val="00AD742A"/>
    <w:rsid w:val="00AE067F"/>
    <w:rsid w:val="00AE429F"/>
    <w:rsid w:val="00AE44C9"/>
    <w:rsid w:val="00AE6488"/>
    <w:rsid w:val="00AF31DA"/>
    <w:rsid w:val="00AF364C"/>
    <w:rsid w:val="00AF61A9"/>
    <w:rsid w:val="00B00BCD"/>
    <w:rsid w:val="00B01878"/>
    <w:rsid w:val="00B03003"/>
    <w:rsid w:val="00B059A4"/>
    <w:rsid w:val="00B141BB"/>
    <w:rsid w:val="00B154C0"/>
    <w:rsid w:val="00B1593B"/>
    <w:rsid w:val="00B17005"/>
    <w:rsid w:val="00B22E13"/>
    <w:rsid w:val="00B30F84"/>
    <w:rsid w:val="00B312DA"/>
    <w:rsid w:val="00B31565"/>
    <w:rsid w:val="00B33C08"/>
    <w:rsid w:val="00B3431E"/>
    <w:rsid w:val="00B446A7"/>
    <w:rsid w:val="00B476CE"/>
    <w:rsid w:val="00B51C2B"/>
    <w:rsid w:val="00B51DDE"/>
    <w:rsid w:val="00B51F03"/>
    <w:rsid w:val="00B54991"/>
    <w:rsid w:val="00B55CCD"/>
    <w:rsid w:val="00B55D78"/>
    <w:rsid w:val="00B613E0"/>
    <w:rsid w:val="00B61C45"/>
    <w:rsid w:val="00B62101"/>
    <w:rsid w:val="00B62AC0"/>
    <w:rsid w:val="00B668D3"/>
    <w:rsid w:val="00B66CF5"/>
    <w:rsid w:val="00B673B6"/>
    <w:rsid w:val="00B70551"/>
    <w:rsid w:val="00B707DA"/>
    <w:rsid w:val="00B71945"/>
    <w:rsid w:val="00B71C69"/>
    <w:rsid w:val="00B7332F"/>
    <w:rsid w:val="00B73F75"/>
    <w:rsid w:val="00B760F9"/>
    <w:rsid w:val="00B803D5"/>
    <w:rsid w:val="00B82B7A"/>
    <w:rsid w:val="00B84D29"/>
    <w:rsid w:val="00B87916"/>
    <w:rsid w:val="00B962FB"/>
    <w:rsid w:val="00B97917"/>
    <w:rsid w:val="00B97E69"/>
    <w:rsid w:val="00BA07E5"/>
    <w:rsid w:val="00BA279B"/>
    <w:rsid w:val="00BA548C"/>
    <w:rsid w:val="00BA5641"/>
    <w:rsid w:val="00BB49BB"/>
    <w:rsid w:val="00BB4B6D"/>
    <w:rsid w:val="00BC3738"/>
    <w:rsid w:val="00BC4726"/>
    <w:rsid w:val="00BC524D"/>
    <w:rsid w:val="00BC52E7"/>
    <w:rsid w:val="00BC5B00"/>
    <w:rsid w:val="00BC6D4F"/>
    <w:rsid w:val="00BD0130"/>
    <w:rsid w:val="00BD0D50"/>
    <w:rsid w:val="00BD6344"/>
    <w:rsid w:val="00BD66F2"/>
    <w:rsid w:val="00BE0DAA"/>
    <w:rsid w:val="00BE45D0"/>
    <w:rsid w:val="00BF1117"/>
    <w:rsid w:val="00BF2F45"/>
    <w:rsid w:val="00BF71FF"/>
    <w:rsid w:val="00C02649"/>
    <w:rsid w:val="00C0471D"/>
    <w:rsid w:val="00C10463"/>
    <w:rsid w:val="00C13A05"/>
    <w:rsid w:val="00C13B3F"/>
    <w:rsid w:val="00C16981"/>
    <w:rsid w:val="00C176EA"/>
    <w:rsid w:val="00C372E0"/>
    <w:rsid w:val="00C379D3"/>
    <w:rsid w:val="00C41AAD"/>
    <w:rsid w:val="00C47A2B"/>
    <w:rsid w:val="00C50B98"/>
    <w:rsid w:val="00C5162D"/>
    <w:rsid w:val="00C524B5"/>
    <w:rsid w:val="00C57E98"/>
    <w:rsid w:val="00C613EF"/>
    <w:rsid w:val="00C641CE"/>
    <w:rsid w:val="00C65894"/>
    <w:rsid w:val="00C65BC8"/>
    <w:rsid w:val="00C67805"/>
    <w:rsid w:val="00C742D7"/>
    <w:rsid w:val="00C765A2"/>
    <w:rsid w:val="00C80771"/>
    <w:rsid w:val="00C86198"/>
    <w:rsid w:val="00C96023"/>
    <w:rsid w:val="00CA4A24"/>
    <w:rsid w:val="00CB12B8"/>
    <w:rsid w:val="00CB4685"/>
    <w:rsid w:val="00CB6D0F"/>
    <w:rsid w:val="00CC10AF"/>
    <w:rsid w:val="00CC42CD"/>
    <w:rsid w:val="00CC4B40"/>
    <w:rsid w:val="00CD042A"/>
    <w:rsid w:val="00CD5342"/>
    <w:rsid w:val="00CD6886"/>
    <w:rsid w:val="00CD7D17"/>
    <w:rsid w:val="00CE057B"/>
    <w:rsid w:val="00CF1129"/>
    <w:rsid w:val="00D0089E"/>
    <w:rsid w:val="00D06480"/>
    <w:rsid w:val="00D075B1"/>
    <w:rsid w:val="00D0769F"/>
    <w:rsid w:val="00D10372"/>
    <w:rsid w:val="00D1089B"/>
    <w:rsid w:val="00D11854"/>
    <w:rsid w:val="00D13006"/>
    <w:rsid w:val="00D15718"/>
    <w:rsid w:val="00D1778A"/>
    <w:rsid w:val="00D212DA"/>
    <w:rsid w:val="00D21417"/>
    <w:rsid w:val="00D27D5F"/>
    <w:rsid w:val="00D30039"/>
    <w:rsid w:val="00D30C4F"/>
    <w:rsid w:val="00D340D8"/>
    <w:rsid w:val="00D36884"/>
    <w:rsid w:val="00D36927"/>
    <w:rsid w:val="00D40ABA"/>
    <w:rsid w:val="00D50963"/>
    <w:rsid w:val="00D52EF3"/>
    <w:rsid w:val="00D5467D"/>
    <w:rsid w:val="00D55C70"/>
    <w:rsid w:val="00D56BCA"/>
    <w:rsid w:val="00D56C10"/>
    <w:rsid w:val="00D6208C"/>
    <w:rsid w:val="00D62801"/>
    <w:rsid w:val="00D631BB"/>
    <w:rsid w:val="00D74F4E"/>
    <w:rsid w:val="00D75107"/>
    <w:rsid w:val="00D75800"/>
    <w:rsid w:val="00D804C7"/>
    <w:rsid w:val="00D80E50"/>
    <w:rsid w:val="00D82866"/>
    <w:rsid w:val="00D82CBF"/>
    <w:rsid w:val="00D84F94"/>
    <w:rsid w:val="00D855BD"/>
    <w:rsid w:val="00D859AF"/>
    <w:rsid w:val="00D866AF"/>
    <w:rsid w:val="00D8769E"/>
    <w:rsid w:val="00D91348"/>
    <w:rsid w:val="00DA2542"/>
    <w:rsid w:val="00DA2D1E"/>
    <w:rsid w:val="00DA346E"/>
    <w:rsid w:val="00DA3AEE"/>
    <w:rsid w:val="00DB164C"/>
    <w:rsid w:val="00DB210A"/>
    <w:rsid w:val="00DB3AF8"/>
    <w:rsid w:val="00DB682B"/>
    <w:rsid w:val="00DC0236"/>
    <w:rsid w:val="00DC37F1"/>
    <w:rsid w:val="00DC4181"/>
    <w:rsid w:val="00DC48EC"/>
    <w:rsid w:val="00DC64BB"/>
    <w:rsid w:val="00DC6DC5"/>
    <w:rsid w:val="00DC7CB9"/>
    <w:rsid w:val="00DD0B6A"/>
    <w:rsid w:val="00DD3DFD"/>
    <w:rsid w:val="00DD52BB"/>
    <w:rsid w:val="00DE3A5D"/>
    <w:rsid w:val="00DE5588"/>
    <w:rsid w:val="00DE703E"/>
    <w:rsid w:val="00DE7305"/>
    <w:rsid w:val="00DF0C7D"/>
    <w:rsid w:val="00DF2E61"/>
    <w:rsid w:val="00DF2F06"/>
    <w:rsid w:val="00E00485"/>
    <w:rsid w:val="00E00990"/>
    <w:rsid w:val="00E00BBE"/>
    <w:rsid w:val="00E00FCE"/>
    <w:rsid w:val="00E05F01"/>
    <w:rsid w:val="00E15DC3"/>
    <w:rsid w:val="00E17B34"/>
    <w:rsid w:val="00E17C22"/>
    <w:rsid w:val="00E21EA5"/>
    <w:rsid w:val="00E22351"/>
    <w:rsid w:val="00E24273"/>
    <w:rsid w:val="00E25078"/>
    <w:rsid w:val="00E30B19"/>
    <w:rsid w:val="00E34CF1"/>
    <w:rsid w:val="00E3786F"/>
    <w:rsid w:val="00E40140"/>
    <w:rsid w:val="00E47CE8"/>
    <w:rsid w:val="00E52992"/>
    <w:rsid w:val="00E60942"/>
    <w:rsid w:val="00E637C3"/>
    <w:rsid w:val="00E654FA"/>
    <w:rsid w:val="00E66FE7"/>
    <w:rsid w:val="00E67C75"/>
    <w:rsid w:val="00E70CD9"/>
    <w:rsid w:val="00E710F3"/>
    <w:rsid w:val="00E75E09"/>
    <w:rsid w:val="00E775D0"/>
    <w:rsid w:val="00E81881"/>
    <w:rsid w:val="00E81F25"/>
    <w:rsid w:val="00E92DB6"/>
    <w:rsid w:val="00E9366A"/>
    <w:rsid w:val="00E93962"/>
    <w:rsid w:val="00E959A0"/>
    <w:rsid w:val="00EA13DB"/>
    <w:rsid w:val="00EA4A12"/>
    <w:rsid w:val="00EA59B1"/>
    <w:rsid w:val="00EA76D0"/>
    <w:rsid w:val="00EA7CE3"/>
    <w:rsid w:val="00EB0DBA"/>
    <w:rsid w:val="00EB2319"/>
    <w:rsid w:val="00EB3588"/>
    <w:rsid w:val="00EB5FA7"/>
    <w:rsid w:val="00EB64CF"/>
    <w:rsid w:val="00EC0AAF"/>
    <w:rsid w:val="00EC1ABC"/>
    <w:rsid w:val="00EC38CD"/>
    <w:rsid w:val="00EC6387"/>
    <w:rsid w:val="00ED2D42"/>
    <w:rsid w:val="00ED6B6B"/>
    <w:rsid w:val="00EE1C1B"/>
    <w:rsid w:val="00EE3695"/>
    <w:rsid w:val="00EE6521"/>
    <w:rsid w:val="00EE736E"/>
    <w:rsid w:val="00EF65CF"/>
    <w:rsid w:val="00EF6F93"/>
    <w:rsid w:val="00EF7327"/>
    <w:rsid w:val="00F028C8"/>
    <w:rsid w:val="00F0322B"/>
    <w:rsid w:val="00F039B2"/>
    <w:rsid w:val="00F04904"/>
    <w:rsid w:val="00F124C9"/>
    <w:rsid w:val="00F17C2A"/>
    <w:rsid w:val="00F20061"/>
    <w:rsid w:val="00F23496"/>
    <w:rsid w:val="00F26371"/>
    <w:rsid w:val="00F2682B"/>
    <w:rsid w:val="00F30D25"/>
    <w:rsid w:val="00F30DA8"/>
    <w:rsid w:val="00F34C1F"/>
    <w:rsid w:val="00F3772B"/>
    <w:rsid w:val="00F41652"/>
    <w:rsid w:val="00F44C99"/>
    <w:rsid w:val="00F47E87"/>
    <w:rsid w:val="00F63C29"/>
    <w:rsid w:val="00F650AE"/>
    <w:rsid w:val="00F66445"/>
    <w:rsid w:val="00F704AF"/>
    <w:rsid w:val="00F74F64"/>
    <w:rsid w:val="00F7579D"/>
    <w:rsid w:val="00F762EC"/>
    <w:rsid w:val="00F80D41"/>
    <w:rsid w:val="00F80DDF"/>
    <w:rsid w:val="00F81778"/>
    <w:rsid w:val="00F862A9"/>
    <w:rsid w:val="00F862AB"/>
    <w:rsid w:val="00F91E4B"/>
    <w:rsid w:val="00F95280"/>
    <w:rsid w:val="00F97A6E"/>
    <w:rsid w:val="00F97BFF"/>
    <w:rsid w:val="00FA04A2"/>
    <w:rsid w:val="00FA4732"/>
    <w:rsid w:val="00FA5106"/>
    <w:rsid w:val="00FB0A68"/>
    <w:rsid w:val="00FB22F7"/>
    <w:rsid w:val="00FB5229"/>
    <w:rsid w:val="00FB69A1"/>
    <w:rsid w:val="00FB6BD7"/>
    <w:rsid w:val="00FB7207"/>
    <w:rsid w:val="00FC3AF0"/>
    <w:rsid w:val="00FC5894"/>
    <w:rsid w:val="00FC72B7"/>
    <w:rsid w:val="00FC7C7D"/>
    <w:rsid w:val="00FC7CAD"/>
    <w:rsid w:val="00FD1613"/>
    <w:rsid w:val="00FD255E"/>
    <w:rsid w:val="00FD4A3D"/>
    <w:rsid w:val="00FD56D3"/>
    <w:rsid w:val="00FD6493"/>
    <w:rsid w:val="00FD688E"/>
    <w:rsid w:val="00FE3BAE"/>
    <w:rsid w:val="00FE73C4"/>
    <w:rsid w:val="00FF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8A94825E-39EC-49DD-94A6-F5CBB42E6E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63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aliases w:val="Footnote Text Char2 Char,Footnote Text Char1 Char Char,Footnote Text Char Char Char Char,Footnote Text Char2 Char Char Char Char,Footnote Text Char1 Char1 Char1 Char Char Char,Footnote Text Char1 Char,Footnote Text Char Char Char,fn"/>
    <w:basedOn w:val="Normal"/>
    <w:link w:val="FootnoteTextChar"/>
    <w:uiPriority w:val="99"/>
    <w:qFormat/>
    <w:rsid w:val="00A86489"/>
    <w:pPr>
      <w:spacing w:after="120"/>
    </w:pPr>
    <w:rPr>
      <w:sz w:val="22"/>
      <w:szCs w:val="20"/>
    </w:r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 Char1"/>
    <w:basedOn w:val="DefaultParagraphFont"/>
    <w:link w:val="FootnoteText"/>
    <w:uiPriority w:val="99"/>
    <w:rsid w:val="00A86489"/>
    <w:rPr>
      <w:sz w:val="22"/>
    </w:rPr>
  </w:style>
  <w:style w:type="character" w:styleId="FootnoteReference">
    <w:name w:val="footnote reference"/>
    <w:aliases w:val="o,fr,o1,o2,o3,o4,o5,o6,o11,o21,o7,Style 3"/>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customStyle="1" w:styleId="displayonly">
    <w:name w:val="display_only"/>
    <w:basedOn w:val="DefaultParagraphFont"/>
    <w:rsid w:val="00C613EF"/>
  </w:style>
  <w:style w:type="paragraph" w:customStyle="1" w:styleId="Default">
    <w:name w:val="Default"/>
    <w:rsid w:val="001A7E5E"/>
    <w:pPr>
      <w:autoSpaceDE w:val="0"/>
      <w:autoSpaceDN w:val="0"/>
      <w:adjustRightInd w:val="0"/>
    </w:pPr>
    <w:rPr>
      <w:color w:val="000000"/>
      <w:sz w:val="24"/>
      <w:szCs w:val="24"/>
    </w:rPr>
  </w:style>
  <w:style w:type="paragraph" w:styleId="EndnoteText">
    <w:name w:val="endnote text"/>
    <w:basedOn w:val="Normal"/>
    <w:link w:val="EndnoteTextChar"/>
    <w:semiHidden/>
    <w:unhideWhenUsed/>
    <w:rsid w:val="00961BAE"/>
    <w:rPr>
      <w:sz w:val="20"/>
      <w:szCs w:val="20"/>
    </w:rPr>
  </w:style>
  <w:style w:type="character" w:customStyle="1" w:styleId="EndnoteTextChar">
    <w:name w:val="Endnote Text Char"/>
    <w:basedOn w:val="DefaultParagraphFont"/>
    <w:link w:val="EndnoteText"/>
    <w:semiHidden/>
    <w:rsid w:val="00961BAE"/>
  </w:style>
  <w:style w:type="character" w:styleId="EndnoteReference">
    <w:name w:val="endnote reference"/>
    <w:basedOn w:val="DefaultParagraphFont"/>
    <w:semiHidden/>
    <w:unhideWhenUsed/>
    <w:rsid w:val="00961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9125">
      <w:bodyDiv w:val="1"/>
      <w:marLeft w:val="0"/>
      <w:marRight w:val="0"/>
      <w:marTop w:val="0"/>
      <w:marBottom w:val="0"/>
      <w:divBdr>
        <w:top w:val="none" w:sz="0" w:space="0" w:color="auto"/>
        <w:left w:val="none" w:sz="0" w:space="0" w:color="auto"/>
        <w:bottom w:val="none" w:sz="0" w:space="0" w:color="auto"/>
        <w:right w:val="none" w:sz="0" w:space="0" w:color="auto"/>
      </w:divBdr>
    </w:div>
    <w:div w:id="1347248115">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D7B1-7EA8-4722-BDB7-CC09324E757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4844</ap:Words>
  <ap:Characters>27611</ap:Characters>
  <ap:Application>Microsoft Office Word</ap:Application>
  <ap:DocSecurity>0</ap:DocSecurity>
  <ap:Lines>230</ap:Lines>
  <ap:Paragraphs>64</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32391</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2026-01-21T12:08:51Z</dcterms:created>
  <dcterms:modified xsi:type="dcterms:W3CDTF">2026-01-21T12:08:51Z</dcterms:modified>
</cp:coreProperties>
</file>