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7DEE" w:rsidR="00287DEE" w:rsidP="00287DEE" w:rsidRDefault="00287DEE" w14:paraId="256C3ED9" w14:textId="77777777">
      <w:pPr>
        <w:spacing w:after="0" w:line="240" w:lineRule="auto"/>
        <w:jc w:val="center"/>
        <w:rPr>
          <w:rFonts w:ascii="Helvetica" w:hAnsi="Helvetica" w:eastAsia="Times New Roman" w:cs="Times New Roman"/>
          <w:b/>
          <w:kern w:val="0"/>
          <w:sz w:val="26"/>
          <w:szCs w:val="20"/>
          <w14:ligatures w14:val="none"/>
        </w:rPr>
      </w:pPr>
      <w:r w:rsidRPr="00287DEE">
        <w:rPr>
          <w:rFonts w:ascii="Helvetica" w:hAnsi="Helvetica" w:eastAsia="Times New Roman" w:cs="Times New Roman"/>
          <w:b/>
          <w:kern w:val="0"/>
          <w:sz w:val="26"/>
          <w:szCs w:val="20"/>
          <w14:ligatures w14:val="none"/>
        </w:rPr>
        <w:t>PUBLIC UTILITIES COMMISSION OF THE STATE OF CALIFORNIA</w:t>
      </w:r>
    </w:p>
    <w:p w:rsidR="00AB3F8C" w:rsidP="00287DEE" w:rsidRDefault="00AB3F8C" w14:paraId="0C5E64B4" w14:textId="77777777">
      <w:pPr>
        <w:tabs>
          <w:tab w:val="right" w:pos="8820"/>
        </w:tabs>
        <w:spacing w:after="0" w:line="240" w:lineRule="auto"/>
        <w:rPr>
          <w:rFonts w:ascii="Palatino Linotype" w:hAnsi="Palatino Linotype" w:eastAsia="Palatino Linotype" w:cs="Times New Roman"/>
          <w:b/>
          <w:kern w:val="0"/>
          <w14:ligatures w14:val="none"/>
        </w:rPr>
      </w:pPr>
    </w:p>
    <w:p w:rsidR="00AB3F8C" w:rsidP="00287DEE" w:rsidRDefault="00AB3F8C" w14:paraId="5C7228F1" w14:textId="77777777">
      <w:pPr>
        <w:tabs>
          <w:tab w:val="right" w:pos="8820"/>
        </w:tabs>
        <w:spacing w:after="0" w:line="240" w:lineRule="auto"/>
        <w:rPr>
          <w:rFonts w:ascii="Palatino Linotype" w:hAnsi="Palatino Linotype" w:eastAsia="Palatino Linotype" w:cs="Times New Roman"/>
          <w:b/>
          <w:kern w:val="0"/>
          <w14:ligatures w14:val="none"/>
        </w:rPr>
      </w:pPr>
    </w:p>
    <w:p w:rsidRPr="00287DEE" w:rsidR="00287DEE" w:rsidP="00287DEE" w:rsidRDefault="00287DEE" w14:paraId="3836225A" w14:textId="1C49F614">
      <w:pPr>
        <w:tabs>
          <w:tab w:val="right" w:pos="8820"/>
        </w:tabs>
        <w:spacing w:after="0" w:line="240" w:lineRule="auto"/>
        <w:rPr>
          <w:rFonts w:ascii="Palatino Linotype" w:hAnsi="Palatino Linotype" w:eastAsia="Palatino Linotype" w:cs="Times New Roman"/>
          <w:b/>
          <w:kern w:val="0"/>
          <w14:ligatures w14:val="none"/>
        </w:rPr>
      </w:pPr>
      <w:r w:rsidRPr="00287DEE">
        <w:rPr>
          <w:rFonts w:ascii="Palatino Linotype" w:hAnsi="Palatino Linotype" w:eastAsia="Palatino Linotype" w:cs="Times New Roman"/>
          <w:b/>
          <w:kern w:val="0"/>
          <w14:ligatures w14:val="none"/>
        </w:rPr>
        <w:t>ENERGY DIVISION</w:t>
      </w:r>
      <w:r w:rsidRPr="00287DEE">
        <w:rPr>
          <w:rFonts w:ascii="Palatino Linotype" w:hAnsi="Palatino Linotype" w:eastAsia="Times New Roman" w:cs="Times New Roman"/>
          <w:b/>
          <w:kern w:val="0"/>
          <w14:ligatures w14:val="none"/>
        </w:rPr>
        <w:tab/>
      </w:r>
      <w:r w:rsidRPr="00287DEE">
        <w:rPr>
          <w:rFonts w:ascii="Palatino Linotype" w:hAnsi="Palatino Linotype" w:eastAsia="Palatino Linotype" w:cs="Times New Roman"/>
          <w:b/>
          <w:kern w:val="0"/>
          <w14:ligatures w14:val="none"/>
        </w:rPr>
        <w:t>RESOLUTION E-5</w:t>
      </w:r>
      <w:r w:rsidR="00C327D1">
        <w:rPr>
          <w:rFonts w:ascii="Palatino Linotype" w:hAnsi="Palatino Linotype" w:eastAsia="Palatino Linotype" w:cs="Times New Roman"/>
          <w:b/>
          <w:kern w:val="0"/>
          <w14:ligatures w14:val="none"/>
        </w:rPr>
        <w:t>43</w:t>
      </w:r>
      <w:r w:rsidRPr="00287DEE">
        <w:rPr>
          <w:rFonts w:ascii="Palatino Linotype" w:hAnsi="Palatino Linotype" w:eastAsia="Palatino Linotype" w:cs="Times New Roman"/>
          <w:b/>
          <w:kern w:val="0"/>
          <w14:ligatures w14:val="none"/>
        </w:rPr>
        <w:t>7</w:t>
      </w:r>
    </w:p>
    <w:p w:rsidRPr="00873F94" w:rsidR="00287DEE" w:rsidP="00F85937" w:rsidRDefault="00287DEE" w14:paraId="0FD0AD04" w14:textId="77777777">
      <w:pPr>
        <w:tabs>
          <w:tab w:val="left" w:pos="6780"/>
          <w:tab w:val="right" w:pos="8820"/>
        </w:tabs>
        <w:spacing w:after="0" w:line="240" w:lineRule="auto"/>
        <w:rPr>
          <w:rFonts w:ascii="Palatino Linotype" w:hAnsi="Palatino Linotype" w:eastAsia="Times New Roman" w:cs="Times New Roman"/>
          <w:b/>
          <w:kern w:val="0"/>
          <w14:ligatures w14:val="none"/>
        </w:rPr>
      </w:pPr>
      <w:r w:rsidRPr="00287DEE">
        <w:rPr>
          <w:rFonts w:ascii="Palatino Linotype" w:hAnsi="Palatino Linotype" w:eastAsia="Times New Roman" w:cs="Times New Roman"/>
          <w:b/>
          <w:kern w:val="0"/>
          <w14:ligatures w14:val="none"/>
        </w:rPr>
        <w:tab/>
      </w:r>
      <w:r w:rsidR="00F85937">
        <w:rPr>
          <w:rFonts w:ascii="Palatino Linotype" w:hAnsi="Palatino Linotype" w:eastAsia="Times New Roman" w:cs="Times New Roman"/>
          <w:b/>
          <w:kern w:val="0"/>
          <w14:ligatures w14:val="none"/>
        </w:rPr>
        <w:t xml:space="preserve">    </w:t>
      </w:r>
      <w:r w:rsidRPr="00C327D1" w:rsidR="00C327D1">
        <w:rPr>
          <w:rFonts w:ascii="Palatino Linotype" w:hAnsi="Palatino Linotype" w:eastAsia="Palatino Linotype" w:cs="Times New Roman"/>
          <w:b/>
          <w:kern w:val="0"/>
          <w14:ligatures w14:val="none"/>
        </w:rPr>
        <w:t>January 15, 2026</w:t>
      </w:r>
    </w:p>
    <w:p w:rsidRPr="00287DEE" w:rsidR="00873F94" w:rsidP="00287DEE" w:rsidRDefault="00873F94" w14:paraId="538A2F85" w14:textId="77777777">
      <w:pPr>
        <w:tabs>
          <w:tab w:val="right" w:pos="8820"/>
        </w:tabs>
        <w:spacing w:after="0" w:line="240" w:lineRule="auto"/>
        <w:rPr>
          <w:rFonts w:ascii="Palatino Linotype" w:hAnsi="Palatino Linotype" w:eastAsia="Times New Roman" w:cs="Times New Roman"/>
          <w:b/>
          <w:kern w:val="0"/>
          <w14:ligatures w14:val="none"/>
        </w:rPr>
      </w:pPr>
    </w:p>
    <w:p w:rsidRPr="00873F94" w:rsidR="00142FF8" w:rsidP="00142FF8" w:rsidRDefault="00142FF8" w14:paraId="774DDC93"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873F94">
        <w:rPr>
          <w:rFonts w:ascii="Palatino Linotype" w:hAnsi="Palatino Linotype" w:eastAsia="Times New Roman" w:cs="Times New Roman"/>
          <w:b/>
          <w:kern w:val="0"/>
          <w14:ligatures w14:val="none"/>
        </w:rPr>
        <w:tab/>
      </w:r>
    </w:p>
    <w:p w:rsidRPr="00873F94" w:rsidR="00287DEE" w:rsidP="00287DEE" w:rsidRDefault="00287DEE" w14:paraId="0113FCC0" w14:textId="77777777">
      <w:pPr>
        <w:spacing w:after="0" w:line="240" w:lineRule="auto"/>
        <w:jc w:val="center"/>
        <w:rPr>
          <w:rFonts w:ascii="Helvetica" w:hAnsi="Helvetica" w:eastAsia="Times New Roman" w:cs="Helvetica"/>
          <w:b/>
          <w:bCs/>
          <w:spacing w:val="120"/>
          <w:kern w:val="0"/>
          <w:sz w:val="26"/>
          <w:szCs w:val="26"/>
          <w:u w:val="single"/>
          <w14:ligatures w14:val="none"/>
        </w:rPr>
      </w:pPr>
      <w:bookmarkStart w:name="_Ref404993683" w:id="0"/>
      <w:r w:rsidRPr="00873F94">
        <w:rPr>
          <w:rFonts w:ascii="Helvetica" w:hAnsi="Helvetica" w:eastAsia="Times New Roman" w:cs="Helvetica"/>
          <w:b/>
          <w:bCs/>
          <w:spacing w:val="120"/>
          <w:kern w:val="0"/>
          <w:sz w:val="26"/>
          <w:szCs w:val="26"/>
          <w:u w:val="single"/>
          <w14:ligatures w14:val="none"/>
        </w:rPr>
        <w:t>REDACTED</w:t>
      </w:r>
    </w:p>
    <w:p w:rsidRPr="00873F94" w:rsidR="00142FF8" w:rsidP="00287DEE" w:rsidRDefault="00287DEE" w14:paraId="76D40346" w14:textId="77777777">
      <w:pPr>
        <w:spacing w:after="0" w:line="240" w:lineRule="auto"/>
        <w:jc w:val="center"/>
        <w:rPr>
          <w:rFonts w:ascii="Helvetica" w:hAnsi="Helvetica" w:eastAsia="Times New Roman" w:cs="Helvetica"/>
          <w:b/>
          <w:bCs/>
          <w:spacing w:val="120"/>
          <w:kern w:val="0"/>
          <w:sz w:val="26"/>
          <w:szCs w:val="26"/>
          <w:u w:val="single"/>
          <w14:ligatures w14:val="none"/>
        </w:rPr>
      </w:pPr>
      <w:r w:rsidRPr="00873F94">
        <w:rPr>
          <w:rFonts w:ascii="Helvetica" w:hAnsi="Helvetica" w:eastAsia="Times New Roman" w:cs="Helvetica"/>
          <w:b/>
          <w:bCs/>
          <w:spacing w:val="120"/>
          <w:kern w:val="0"/>
          <w:sz w:val="26"/>
          <w:szCs w:val="26"/>
          <w:u w:val="single"/>
          <w14:ligatures w14:val="none"/>
        </w:rPr>
        <w:t>RESOLUTION</w:t>
      </w:r>
    </w:p>
    <w:p w:rsidRPr="00A95742" w:rsidR="00287DEE" w:rsidP="00287DEE" w:rsidRDefault="00287DEE" w14:paraId="3E8E971B" w14:textId="77777777">
      <w:pPr>
        <w:spacing w:after="0" w:line="240" w:lineRule="auto"/>
        <w:jc w:val="center"/>
        <w:rPr>
          <w:rFonts w:ascii="Palatino Linotype" w:hAnsi="Palatino Linotype" w:eastAsia="Palatino Linotype" w:cs="Times New Roman"/>
          <w:kern w:val="0"/>
          <w14:ligatures w14:val="none"/>
        </w:rPr>
      </w:pPr>
    </w:p>
    <w:p w:rsidRPr="00A95742" w:rsidR="00142FF8" w:rsidP="00142FF8" w:rsidRDefault="00142FF8" w14:paraId="7F47C3CB" w14:textId="77777777">
      <w:pPr>
        <w:spacing w:after="0" w:line="240" w:lineRule="auto"/>
        <w:ind w:left="720"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Resolution </w:t>
      </w:r>
      <w:r w:rsidRPr="4E5C73BA">
        <w:rPr>
          <w:rFonts w:ascii="Palatino Linotype" w:hAnsi="Palatino Linotype" w:eastAsia="Times New Roman" w:cs="Times New Roman"/>
          <w:kern w:val="0"/>
          <w14:ligatures w14:val="none"/>
        </w:rPr>
        <w:t>E-5437</w:t>
      </w:r>
      <w:r w:rsidRPr="00A95742">
        <w:rPr>
          <w:rFonts w:ascii="Palatino Linotype" w:hAnsi="Palatino Linotype" w:eastAsia="Times New Roman" w:cs="Times New Roman"/>
          <w:kern w:val="0"/>
          <w14:ligatures w14:val="none"/>
        </w:rPr>
        <w:t xml:space="preserve"> Pacific Gas and Electric Company’s Mid-Term Reliability Energy Storage Contract </w:t>
      </w:r>
    </w:p>
    <w:p w:rsidRPr="00A95742" w:rsidR="00142FF8" w:rsidP="00142FF8" w:rsidRDefault="00142FF8" w14:paraId="7F2F2C8B" w14:textId="77777777">
      <w:pPr>
        <w:spacing w:after="0" w:line="240" w:lineRule="auto"/>
        <w:ind w:right="720"/>
        <w:rPr>
          <w:rFonts w:ascii="Palatino Linotype" w:hAnsi="Palatino Linotype" w:eastAsia="Palatino Linotype" w:cs="Times New Roman"/>
          <w:kern w:val="0"/>
          <w14:ligatures w14:val="none"/>
        </w:rPr>
      </w:pPr>
    </w:p>
    <w:p w:rsidRPr="00A95742" w:rsidR="00142FF8" w:rsidP="00142FF8" w:rsidRDefault="00142FF8" w14:paraId="4FCCBC9E"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 xml:space="preserve">PROPOSED OUTCOME: </w:t>
      </w:r>
    </w:p>
    <w:p w:rsidRPr="00A95742" w:rsidR="00142FF8" w:rsidP="00142FF8" w:rsidRDefault="00142FF8" w14:paraId="7C6CD76E" w14:textId="77777777">
      <w:pPr>
        <w:numPr>
          <w:ilvl w:val="0"/>
          <w:numId w:val="5"/>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This resolution approves one Pacific Gas and Electric Company Mid-Term Reliability 8-hour energy storage contract for a total of 225 MW nameplate capacity, expected to come online May 20, 2028. </w:t>
      </w:r>
    </w:p>
    <w:p w:rsidRPr="00A95742" w:rsidR="00142FF8" w:rsidP="00142FF8" w:rsidRDefault="00142FF8" w14:paraId="76919596" w14:textId="77777777">
      <w:pPr>
        <w:spacing w:after="0" w:line="240" w:lineRule="auto"/>
        <w:ind w:right="720"/>
        <w:rPr>
          <w:rFonts w:ascii="Palatino Linotype" w:hAnsi="Palatino Linotype" w:eastAsia="Palatino Linotype" w:cs="Times New Roman"/>
          <w:kern w:val="0"/>
          <w14:ligatures w14:val="none"/>
        </w:rPr>
      </w:pPr>
    </w:p>
    <w:p w:rsidRPr="00A95742" w:rsidR="00142FF8" w:rsidP="00142FF8" w:rsidRDefault="00142FF8" w14:paraId="4A249ACC"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SAFETY CONSIDERATIONS:</w:t>
      </w:r>
    </w:p>
    <w:p w:rsidRPr="00A95742" w:rsidR="00142FF8" w:rsidP="00142FF8" w:rsidRDefault="00142FF8" w14:paraId="79534EF6"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The project will be owned, constructed, and operated by a third party. The seller of the project</w:t>
      </w:r>
      <w:r w:rsidR="00387C38">
        <w:rPr>
          <w:rFonts w:ascii="Palatino Linotype" w:hAnsi="Palatino Linotype" w:eastAsia="Times New Roman" w:cs="Times New Roman"/>
          <w:kern w:val="0"/>
          <w14:ligatures w14:val="none"/>
        </w:rPr>
        <w:t xml:space="preserve"> is</w:t>
      </w:r>
      <w:r w:rsidRPr="00A95742">
        <w:rPr>
          <w:rFonts w:ascii="Palatino Linotype" w:hAnsi="Palatino Linotype" w:eastAsia="Times New Roman" w:cs="Times New Roman"/>
          <w:kern w:val="0"/>
          <w14:ligatures w14:val="none"/>
        </w:rPr>
        <w:t xml:space="preserve"> responsible for the safe construction and operation of their facilit</w:t>
      </w:r>
      <w:r w:rsidR="00387C38">
        <w:rPr>
          <w:rFonts w:ascii="Palatino Linotype" w:hAnsi="Palatino Linotype" w:eastAsia="Times New Roman" w:cs="Times New Roman"/>
          <w:kern w:val="0"/>
          <w14:ligatures w14:val="none"/>
        </w:rPr>
        <w:t>y</w:t>
      </w:r>
      <w:r w:rsidRPr="00A95742">
        <w:rPr>
          <w:rFonts w:ascii="Palatino Linotype" w:hAnsi="Palatino Linotype" w:eastAsia="Times New Roman" w:cs="Times New Roman"/>
          <w:kern w:val="0"/>
          <w14:ligatures w14:val="none"/>
        </w:rPr>
        <w:t xml:space="preserve"> in compliance with standards for electrical practices and all applicable laws, including safety regulations. </w:t>
      </w:r>
    </w:p>
    <w:p w:rsidRPr="00A95742" w:rsidR="00142FF8" w:rsidP="00142FF8" w:rsidRDefault="00142FF8" w14:paraId="0C091ED1"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Seller is required to have a project safety plan that demonstrates responsible safety management during all lifecycle phases, referencing applicable safety-related codes and standards and its own safety programs and policies, and describing the project design and key safety-related systems, including potential hazards and risk mitigations/safeguards. The seller is required to demonstrate and enforce its contractors’ and subcontractors’ compliance with the safety requirements. </w:t>
      </w:r>
    </w:p>
    <w:p w:rsidRPr="00A95742" w:rsidR="00142FF8" w:rsidP="00142FF8" w:rsidRDefault="00142FF8" w14:paraId="54EFFDAF" w14:textId="77777777">
      <w:pPr>
        <w:spacing w:after="0" w:line="240" w:lineRule="auto"/>
        <w:ind w:left="1440" w:right="720"/>
        <w:rPr>
          <w:rFonts w:ascii="Palatino Linotype" w:hAnsi="Palatino Linotype" w:eastAsia="Palatino Linotype" w:cs="Times New Roman"/>
          <w:kern w:val="0"/>
          <w14:ligatures w14:val="none"/>
        </w:rPr>
      </w:pPr>
    </w:p>
    <w:p w:rsidRPr="00A95742" w:rsidR="00142FF8" w:rsidP="00142FF8" w:rsidRDefault="00142FF8" w14:paraId="15E4008A"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 xml:space="preserve">ESTIMATED COST:  </w:t>
      </w:r>
    </w:p>
    <w:p w:rsidRPr="00A95742" w:rsidR="00142FF8" w:rsidP="00142FF8" w:rsidRDefault="00142FF8" w14:paraId="66F55911" w14:textId="77777777">
      <w:pPr>
        <w:numPr>
          <w:ilvl w:val="0"/>
          <w:numId w:val="4"/>
        </w:numPr>
        <w:spacing w:after="0" w:line="240" w:lineRule="auto"/>
        <w:ind w:right="720"/>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 xml:space="preserve">This Resolution’s contract costs are confidential </w:t>
      </w:r>
      <w:proofErr w:type="gramStart"/>
      <w:r w:rsidRPr="00A95742">
        <w:rPr>
          <w:rFonts w:ascii="Palatino Linotype" w:hAnsi="Palatino Linotype" w:eastAsia="Times New Roman" w:cs="Times New Roman"/>
          <w:kern w:val="0"/>
          <w14:ligatures w14:val="none"/>
        </w:rPr>
        <w:t>at this time</w:t>
      </w:r>
      <w:proofErr w:type="gramEnd"/>
      <w:r w:rsidRPr="00A95742">
        <w:rPr>
          <w:rFonts w:ascii="Palatino Linotype" w:hAnsi="Palatino Linotype" w:eastAsia="Times New Roman" w:cs="Times New Roman"/>
          <w:kern w:val="0"/>
          <w14:ligatures w14:val="none"/>
        </w:rPr>
        <w:t>.</w:t>
      </w:r>
    </w:p>
    <w:p w:rsidRPr="00A95742" w:rsidR="00142FF8" w:rsidP="00142FF8" w:rsidRDefault="00142FF8" w14:paraId="6D66BE16" w14:textId="77777777">
      <w:pPr>
        <w:spacing w:after="0" w:line="240" w:lineRule="auto"/>
        <w:ind w:left="720" w:right="720"/>
        <w:rPr>
          <w:rFonts w:ascii="Palatino Linotype" w:hAnsi="Palatino Linotype" w:eastAsia="Palatino Linotype" w:cs="Times New Roman"/>
          <w:kern w:val="0"/>
          <w14:ligatures w14:val="none"/>
        </w:rPr>
      </w:pPr>
    </w:p>
    <w:p w:rsidRPr="00A95742" w:rsidR="00142FF8" w:rsidP="00142FF8" w:rsidRDefault="00142FF8" w14:paraId="199734D3" w14:textId="77777777">
      <w:pPr>
        <w:spacing w:after="0" w:line="240" w:lineRule="auto"/>
        <w:ind w:left="720" w:right="720"/>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 xml:space="preserve">By Advice Letter 7648-E, Filed on July 16, 2025. </w:t>
      </w:r>
    </w:p>
    <w:p w:rsidRPr="00A95742" w:rsidR="00142FF8" w:rsidP="00142FF8" w:rsidRDefault="00142FF8" w14:paraId="58D24C9B" w14:textId="77777777">
      <w:pPr>
        <w:spacing w:after="0" w:line="240" w:lineRule="auto"/>
        <w:jc w:val="center"/>
        <w:rPr>
          <w:rFonts w:ascii="Palatino Linotype" w:hAnsi="Palatino Linotype" w:eastAsia="Palatino Linotype" w:cs="Times New Roman"/>
          <w:kern w:val="0"/>
          <w14:ligatures w14:val="none"/>
        </w:rPr>
      </w:pPr>
      <w:r w:rsidRPr="00A95742">
        <w:rPr>
          <w:rFonts w:ascii="Palatino Linotype" w:hAnsi="Palatino Linotype" w:eastAsia="Palatino Linotype" w:cs="Times New Roman"/>
          <w:kern w:val="0"/>
          <w14:ligatures w14:val="none"/>
        </w:rPr>
        <w:t>__________________________________________________________</w:t>
      </w:r>
    </w:p>
    <w:p w:rsidRPr="00A95742" w:rsidR="00142FF8" w:rsidP="00142FF8" w:rsidRDefault="00142FF8" w14:paraId="16D1BADD" w14:textId="77777777">
      <w:pPr>
        <w:spacing w:after="0" w:line="240" w:lineRule="auto"/>
        <w:rPr>
          <w:rFonts w:ascii="Palatino Linotype" w:hAnsi="Palatino Linotype" w:eastAsia="Palatino Linotype" w:cs="Times New Roman"/>
          <w:b/>
          <w:kern w:val="0"/>
          <w14:ligatures w14:val="none"/>
        </w:rPr>
      </w:pPr>
    </w:p>
    <w:p w:rsidRPr="00A95742" w:rsidR="00142FF8" w:rsidP="00142FF8" w:rsidRDefault="00142FF8" w14:paraId="06FA80F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A95742">
        <w:rPr>
          <w:rFonts w:ascii="Palatino Linotype" w:hAnsi="Palatino Linotype" w:eastAsia="Palatino Linotype" w:cs="Times New Roman"/>
          <w:b/>
          <w:caps/>
          <w:kern w:val="28"/>
          <w:u w:val="single"/>
          <w14:ligatures w14:val="none"/>
        </w:rPr>
        <w:lastRenderedPageBreak/>
        <w:t>Summary</w:t>
      </w:r>
      <w:bookmarkEnd w:id="0"/>
    </w:p>
    <w:p w:rsidRPr="00A95742" w:rsidR="00142FF8" w:rsidP="00142FF8" w:rsidRDefault="00142FF8" w14:paraId="53330F13" w14:textId="77777777">
      <w:pPr>
        <w:spacing w:after="0" w:line="240" w:lineRule="auto"/>
        <w:rPr>
          <w:rFonts w:ascii="Palatino Linotype" w:hAnsi="Palatino Linotype" w:eastAsia="Times New Roman" w:cs="Times New Roman"/>
          <w:kern w:val="0"/>
          <w14:ligatures w14:val="none"/>
        </w:rPr>
      </w:pPr>
      <w:r w:rsidRPr="00A95742">
        <w:rPr>
          <w:rFonts w:ascii="Palatino Linotype" w:hAnsi="Palatino Linotype" w:eastAsia="Times New Roman" w:cs="Times New Roman"/>
          <w:kern w:val="0"/>
          <w14:ligatures w14:val="none"/>
        </w:rPr>
        <w:t>This Resolution approves one mid-term reliability (“MTR”) long term resource adequacy agreement with energy settlement (“LTRAA w/ ES”) storage contract (“MTR Contract”) between</w:t>
      </w:r>
      <w:r w:rsidRPr="6EE1D899">
        <w:rPr>
          <w:rFonts w:ascii="Palatino Linotype" w:hAnsi="Palatino Linotype" w:eastAsia="Times New Roman" w:cs="Times New Roman"/>
        </w:rPr>
        <w:t xml:space="preserve"> Pacific Gas and Electric Company (“PG&amp;E”)</w:t>
      </w:r>
      <w:r w:rsidRPr="00A95742">
        <w:rPr>
          <w:rFonts w:ascii="Palatino Linotype" w:hAnsi="Palatino Linotype" w:eastAsia="Times New Roman" w:cs="Times New Roman"/>
          <w:kern w:val="0"/>
          <w14:ligatures w14:val="none"/>
        </w:rPr>
        <w:t xml:space="preserve"> and the Balsam Project, LLC (Balsam Project</w:t>
      </w:r>
      <w:r w:rsidRPr="00A95742" w:rsidR="55F86732">
        <w:rPr>
          <w:rFonts w:ascii="Palatino Linotype" w:hAnsi="Palatino Linotype" w:eastAsia="Times New Roman" w:cs="Times New Roman"/>
          <w:kern w:val="0"/>
          <w14:ligatures w14:val="none"/>
        </w:rPr>
        <w:t xml:space="preserve"> contract</w:t>
      </w:r>
      <w:r w:rsidRPr="00A95742">
        <w:rPr>
          <w:rFonts w:ascii="Palatino Linotype" w:hAnsi="Palatino Linotype" w:eastAsia="Times New Roman" w:cs="Times New Roman"/>
          <w:kern w:val="0"/>
          <w14:ligatures w14:val="none"/>
        </w:rPr>
        <w:t xml:space="preserve">), for the Dirac Battery Energy Storage System (Dirac Project).  The Dirac Project will be developed </w:t>
      </w:r>
      <w:r w:rsidRPr="6EE1D899">
        <w:rPr>
          <w:rFonts w:ascii="Palatino Linotype" w:hAnsi="Palatino Linotype" w:eastAsia="Times New Roman" w:cs="Times New Roman"/>
        </w:rPr>
        <w:t xml:space="preserve">by </w:t>
      </w:r>
      <w:proofErr w:type="spellStart"/>
      <w:r w:rsidRPr="6EE1D899">
        <w:rPr>
          <w:rFonts w:ascii="Palatino Linotype" w:hAnsi="Palatino Linotype" w:eastAsia="Times New Roman" w:cs="Times New Roman"/>
        </w:rPr>
        <w:t>Aypa</w:t>
      </w:r>
      <w:proofErr w:type="spellEnd"/>
      <w:r w:rsidRPr="6EE1D899">
        <w:rPr>
          <w:rFonts w:ascii="Palatino Linotype" w:hAnsi="Palatino Linotype" w:eastAsia="Times New Roman" w:cs="Times New Roman"/>
        </w:rPr>
        <w:t xml:space="preserve"> Power Development (</w:t>
      </w:r>
      <w:proofErr w:type="spellStart"/>
      <w:r w:rsidRPr="6EE1D899">
        <w:rPr>
          <w:rFonts w:ascii="Palatino Linotype" w:hAnsi="Palatino Linotype" w:eastAsia="Times New Roman" w:cs="Times New Roman"/>
        </w:rPr>
        <w:t>Aypa</w:t>
      </w:r>
      <w:proofErr w:type="spellEnd"/>
      <w:r w:rsidRPr="6EE1D899">
        <w:rPr>
          <w:rFonts w:ascii="Palatino Linotype" w:hAnsi="Palatino Linotype" w:eastAsia="Times New Roman" w:cs="Times New Roman"/>
        </w:rPr>
        <w:t xml:space="preserve">) through their subsidiary, Balsam Project. The Balsam Project </w:t>
      </w:r>
      <w:r w:rsidRPr="00A95742">
        <w:rPr>
          <w:rFonts w:ascii="Palatino Linotype" w:hAnsi="Palatino Linotype" w:eastAsia="Times New Roman" w:cs="Times New Roman"/>
          <w:kern w:val="0"/>
          <w14:ligatures w14:val="none"/>
        </w:rPr>
        <w:t>contract is for a total of 225 megawatts (“MW”) of nameplate capacity and is expected to be commercially online by May 20, 2028, and deliver for a term of fifteen years beginning August 1, 2028. PG&amp;E procured this lithium-ion battery resource to satisfy a portion of its MTR requirements. The MTR Contract for which PG&amp;E seeks approval in Advice Letter (“AL”) 7648-E is summarized in the table below:</w:t>
      </w:r>
    </w:p>
    <w:p w:rsidRPr="00A95742" w:rsidR="00142FF8" w:rsidP="00142FF8" w:rsidRDefault="00142FF8" w14:paraId="68D62956" w14:textId="77777777">
      <w:pPr>
        <w:spacing w:after="0" w:line="240" w:lineRule="auto"/>
        <w:rPr>
          <w:rFonts w:ascii="Palatino Linotype" w:hAnsi="Palatino Linotype" w:eastAsia="Times New Roman" w:cs="Times New Roman"/>
          <w:kern w:val="0"/>
          <w14:ligatures w14:val="none"/>
        </w:rPr>
      </w:pPr>
    </w:p>
    <w:tbl>
      <w:tblPr>
        <w:tblW w:w="9417" w:type="dxa"/>
        <w:tblLook w:val="04A0" w:firstRow="1" w:lastRow="0" w:firstColumn="1" w:lastColumn="0" w:noHBand="0" w:noVBand="1"/>
      </w:tblPr>
      <w:tblGrid>
        <w:gridCol w:w="1572"/>
        <w:gridCol w:w="2541"/>
        <w:gridCol w:w="1435"/>
        <w:gridCol w:w="1002"/>
        <w:gridCol w:w="690"/>
        <w:gridCol w:w="983"/>
        <w:gridCol w:w="1301"/>
      </w:tblGrid>
      <w:tr w:rsidRPr="001006D4" w:rsidR="00142FF8" w:rsidTr="00651E53" w14:paraId="07702A20" w14:textId="77777777">
        <w:trPr>
          <w:trHeight w:val="355"/>
        </w:trPr>
        <w:tc>
          <w:tcPr>
            <w:tcW w:w="1572" w:type="dxa"/>
            <w:tcBorders>
              <w:top w:val="single" w:color="auto" w:sz="4" w:space="0"/>
              <w:left w:val="single" w:color="auto" w:sz="4" w:space="0"/>
              <w:bottom w:val="single" w:color="auto" w:sz="4" w:space="0"/>
              <w:right w:val="single" w:color="auto" w:sz="4" w:space="0"/>
            </w:tcBorders>
            <w:noWrap/>
            <w:vAlign w:val="bottom"/>
            <w:hideMark/>
          </w:tcPr>
          <w:p w:rsidRPr="001006D4" w:rsidR="00142FF8" w:rsidP="00651E53" w:rsidRDefault="00142FF8" w14:paraId="7AFCB57C"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Counterparty (Project Name) </w:t>
            </w:r>
          </w:p>
        </w:tc>
        <w:tc>
          <w:tcPr>
            <w:tcW w:w="2541"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4BCB4FCE"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Resource Type </w:t>
            </w:r>
          </w:p>
        </w:tc>
        <w:tc>
          <w:tcPr>
            <w:tcW w:w="1435"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51C1721E"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Contract Type </w:t>
            </w:r>
          </w:p>
        </w:tc>
        <w:tc>
          <w:tcPr>
            <w:tcW w:w="975"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0543D267"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Capacity </w:t>
            </w:r>
          </w:p>
        </w:tc>
        <w:tc>
          <w:tcPr>
            <w:tcW w:w="671"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15EB634E"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Term </w:t>
            </w:r>
          </w:p>
        </w:tc>
        <w:tc>
          <w:tcPr>
            <w:tcW w:w="957"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024D6F6C"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Initial Delivery Date</w:t>
            </w:r>
            <w:r w:rsidRPr="001006D4">
              <w:rPr>
                <w:rStyle w:val="FootnoteReference"/>
                <w:rFonts w:ascii="Palatino Linotype" w:hAnsi="Palatino Linotype" w:eastAsia="Times New Roman" w:cs="Times New Roman"/>
                <w:color w:val="000000"/>
                <w:kern w:val="0"/>
                <w:sz w:val="20"/>
                <w:szCs w:val="20"/>
                <w14:ligatures w14:val="none"/>
              </w:rPr>
              <w:footnoteReference w:id="2"/>
            </w:r>
            <w:r w:rsidRPr="001006D4">
              <w:rPr>
                <w:rFonts w:ascii="Palatino Linotype" w:hAnsi="Palatino Linotype" w:eastAsia="Times New Roman" w:cs="Times New Roman"/>
                <w:color w:val="000000"/>
                <w:kern w:val="0"/>
                <w:sz w:val="20"/>
                <w:szCs w:val="20"/>
                <w14:ligatures w14:val="none"/>
              </w:rPr>
              <w:t xml:space="preserve"> </w:t>
            </w:r>
          </w:p>
        </w:tc>
        <w:tc>
          <w:tcPr>
            <w:tcW w:w="1266" w:type="dxa"/>
            <w:tcBorders>
              <w:top w:val="single" w:color="auto" w:sz="4" w:space="0"/>
              <w:left w:val="nil"/>
              <w:bottom w:val="single" w:color="auto" w:sz="4" w:space="0"/>
              <w:right w:val="single" w:color="auto" w:sz="4" w:space="0"/>
            </w:tcBorders>
            <w:noWrap/>
            <w:vAlign w:val="bottom"/>
            <w:hideMark/>
          </w:tcPr>
          <w:p w:rsidRPr="001006D4" w:rsidR="00142FF8" w:rsidP="00651E53" w:rsidRDefault="00142FF8" w14:paraId="6FB82BAB"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Commercial Operation Date</w:t>
            </w:r>
          </w:p>
        </w:tc>
      </w:tr>
      <w:tr w:rsidRPr="001006D4" w:rsidR="00142FF8" w:rsidTr="00651E53" w14:paraId="494A77B4" w14:textId="77777777">
        <w:trPr>
          <w:trHeight w:val="355"/>
        </w:trPr>
        <w:tc>
          <w:tcPr>
            <w:tcW w:w="1572" w:type="dxa"/>
            <w:tcBorders>
              <w:top w:val="nil"/>
              <w:left w:val="single" w:color="auto" w:sz="4" w:space="0"/>
              <w:bottom w:val="single" w:color="auto" w:sz="4" w:space="0"/>
              <w:right w:val="single" w:color="auto" w:sz="4" w:space="0"/>
            </w:tcBorders>
            <w:noWrap/>
            <w:vAlign w:val="bottom"/>
            <w:hideMark/>
          </w:tcPr>
          <w:p w:rsidR="00142FF8" w:rsidP="00651E53" w:rsidRDefault="00142FF8" w14:paraId="750CC080"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Balsam Project contract (Dirac Project)</w:t>
            </w:r>
          </w:p>
          <w:p w:rsidRPr="001006D4" w:rsidR="00142FF8" w:rsidP="00651E53" w:rsidRDefault="00142FF8" w14:paraId="0541D528" w14:textId="77777777">
            <w:pPr>
              <w:spacing w:after="0" w:line="240" w:lineRule="auto"/>
              <w:rPr>
                <w:rFonts w:ascii="Palatino Linotype" w:hAnsi="Palatino Linotype" w:eastAsia="Times New Roman" w:cs="Times New Roman"/>
                <w:color w:val="000000"/>
                <w:kern w:val="0"/>
                <w:sz w:val="20"/>
                <w:szCs w:val="20"/>
                <w14:ligatures w14:val="none"/>
              </w:rPr>
            </w:pPr>
          </w:p>
        </w:tc>
        <w:tc>
          <w:tcPr>
            <w:tcW w:w="2541" w:type="dxa"/>
            <w:tcBorders>
              <w:top w:val="nil"/>
              <w:left w:val="nil"/>
              <w:bottom w:val="single" w:color="auto" w:sz="4" w:space="0"/>
              <w:right w:val="single" w:color="auto" w:sz="4" w:space="0"/>
            </w:tcBorders>
            <w:noWrap/>
            <w:vAlign w:val="bottom"/>
            <w:hideMark/>
          </w:tcPr>
          <w:p w:rsidRPr="001006D4" w:rsidR="00142FF8" w:rsidP="00651E53" w:rsidRDefault="00142FF8" w14:paraId="499B0D50"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8-hour duration, Lithium-ion battery energy </w:t>
            </w:r>
            <w:r>
              <w:rPr>
                <w:rFonts w:ascii="Palatino Linotype" w:hAnsi="Palatino Linotype" w:eastAsia="Times New Roman" w:cs="Times New Roman"/>
                <w:color w:val="000000"/>
                <w:kern w:val="0"/>
                <w:sz w:val="20"/>
                <w:szCs w:val="20"/>
                <w14:ligatures w14:val="none"/>
              </w:rPr>
              <w:t>s</w:t>
            </w:r>
            <w:r w:rsidRPr="001006D4">
              <w:rPr>
                <w:rFonts w:ascii="Palatino Linotype" w:hAnsi="Palatino Linotype" w:eastAsia="Times New Roman" w:cs="Times New Roman"/>
                <w:color w:val="000000"/>
                <w:kern w:val="0"/>
                <w:sz w:val="20"/>
                <w:szCs w:val="20"/>
                <w14:ligatures w14:val="none"/>
              </w:rPr>
              <w:t xml:space="preserve">torage </w:t>
            </w:r>
          </w:p>
        </w:tc>
        <w:tc>
          <w:tcPr>
            <w:tcW w:w="1435" w:type="dxa"/>
            <w:tcBorders>
              <w:top w:val="nil"/>
              <w:left w:val="nil"/>
              <w:bottom w:val="single" w:color="auto" w:sz="4" w:space="0"/>
              <w:right w:val="single" w:color="auto" w:sz="4" w:space="0"/>
            </w:tcBorders>
            <w:noWrap/>
            <w:vAlign w:val="bottom"/>
            <w:hideMark/>
          </w:tcPr>
          <w:p w:rsidRPr="001006D4" w:rsidR="00142FF8" w:rsidP="00651E53" w:rsidRDefault="00142FF8" w14:paraId="5C5A8F3A"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LTRAA w/ ES </w:t>
            </w:r>
          </w:p>
        </w:tc>
        <w:tc>
          <w:tcPr>
            <w:tcW w:w="975" w:type="dxa"/>
            <w:tcBorders>
              <w:top w:val="nil"/>
              <w:left w:val="nil"/>
              <w:bottom w:val="single" w:color="auto" w:sz="4" w:space="0"/>
              <w:right w:val="single" w:color="auto" w:sz="4" w:space="0"/>
            </w:tcBorders>
            <w:noWrap/>
            <w:vAlign w:val="bottom"/>
            <w:hideMark/>
          </w:tcPr>
          <w:p w:rsidRPr="001006D4" w:rsidR="00142FF8" w:rsidP="00651E53" w:rsidRDefault="00142FF8" w14:paraId="193583C2"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225 MW </w:t>
            </w:r>
          </w:p>
        </w:tc>
        <w:tc>
          <w:tcPr>
            <w:tcW w:w="671" w:type="dxa"/>
            <w:tcBorders>
              <w:top w:val="nil"/>
              <w:left w:val="nil"/>
              <w:bottom w:val="single" w:color="auto" w:sz="4" w:space="0"/>
              <w:right w:val="single" w:color="auto" w:sz="4" w:space="0"/>
            </w:tcBorders>
            <w:noWrap/>
            <w:vAlign w:val="bottom"/>
            <w:hideMark/>
          </w:tcPr>
          <w:p w:rsidRPr="001006D4" w:rsidR="00142FF8" w:rsidP="00651E53" w:rsidRDefault="00142FF8" w14:paraId="350C5B3B" w14:textId="77777777">
            <w:pPr>
              <w:spacing w:after="0" w:line="240" w:lineRule="auto"/>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 xml:space="preserve">15 years </w:t>
            </w:r>
          </w:p>
        </w:tc>
        <w:tc>
          <w:tcPr>
            <w:tcW w:w="957" w:type="dxa"/>
            <w:tcBorders>
              <w:top w:val="nil"/>
              <w:left w:val="nil"/>
              <w:bottom w:val="single" w:color="auto" w:sz="4" w:space="0"/>
              <w:right w:val="single" w:color="auto" w:sz="4" w:space="0"/>
            </w:tcBorders>
            <w:noWrap/>
            <w:vAlign w:val="bottom"/>
            <w:hideMark/>
          </w:tcPr>
          <w:p w:rsidRPr="001006D4" w:rsidR="00142FF8" w:rsidP="00651E53" w:rsidRDefault="00142FF8" w14:paraId="3614B14A"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8/1/2028</w:t>
            </w:r>
          </w:p>
        </w:tc>
        <w:tc>
          <w:tcPr>
            <w:tcW w:w="1266" w:type="dxa"/>
            <w:tcBorders>
              <w:top w:val="nil"/>
              <w:left w:val="nil"/>
              <w:bottom w:val="single" w:color="auto" w:sz="4" w:space="0"/>
              <w:right w:val="single" w:color="auto" w:sz="4" w:space="0"/>
            </w:tcBorders>
            <w:noWrap/>
            <w:vAlign w:val="bottom"/>
            <w:hideMark/>
          </w:tcPr>
          <w:p w:rsidRPr="001006D4" w:rsidR="00142FF8" w:rsidP="00651E53" w:rsidRDefault="00142FF8" w14:paraId="52E228F7"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1006D4">
              <w:rPr>
                <w:rFonts w:ascii="Palatino Linotype" w:hAnsi="Palatino Linotype" w:eastAsia="Times New Roman" w:cs="Times New Roman"/>
                <w:color w:val="000000"/>
                <w:kern w:val="0"/>
                <w:sz w:val="20"/>
                <w:szCs w:val="20"/>
                <w14:ligatures w14:val="none"/>
              </w:rPr>
              <w:t>5/20/2028</w:t>
            </w:r>
          </w:p>
        </w:tc>
      </w:tr>
    </w:tbl>
    <w:p w:rsidRPr="00A95742" w:rsidR="00142FF8" w:rsidP="00142FF8" w:rsidRDefault="00142FF8" w14:paraId="48DF046A"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2EB9300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Background</w:t>
      </w:r>
    </w:p>
    <w:p w:rsidRPr="00873F94" w:rsidR="00142FF8" w:rsidP="00142FF8" w:rsidRDefault="00142FF8" w14:paraId="11751886" w14:textId="77777777">
      <w:pPr>
        <w:spacing w:after="0" w:line="240" w:lineRule="auto"/>
        <w:rPr>
          <w:rFonts w:ascii="Palatino Linotype" w:hAnsi="Palatino Linotype" w:eastAsia="Times New Roman" w:cs="Times New Roman"/>
          <w:b/>
          <w:bCs/>
          <w:kern w:val="0"/>
          <w14:ligatures w14:val="none"/>
        </w:rPr>
      </w:pPr>
      <w:r w:rsidRPr="00873F94">
        <w:rPr>
          <w:rFonts w:ascii="Palatino Linotype" w:hAnsi="Palatino Linotype" w:eastAsia="Times New Roman" w:cs="Times New Roman"/>
          <w:b/>
          <w:bCs/>
          <w:kern w:val="0"/>
          <w14:ligatures w14:val="none"/>
        </w:rPr>
        <w:t>Overview of MTR Requirements</w:t>
      </w:r>
    </w:p>
    <w:p w:rsidRPr="00873F94" w:rsidR="00142FF8" w:rsidP="00142FF8" w:rsidRDefault="00142FF8" w14:paraId="543A9030" w14:textId="5440BF50">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On June 24, 2021, the California Public Utilities Commission (“the Commission”) adopted Decision (“D.”) 21-06-035, which requires load-serving entities (“LSEs”) to procure their allocated share of 11,500 MW of Net Qualifying Capacity (“NQC”) by specified online dates</w:t>
      </w:r>
      <w:r w:rsidRPr="00873F94">
        <w:rPr>
          <w:rStyle w:val="FootnoteReference"/>
          <w:rFonts w:ascii="Palatino Linotype" w:hAnsi="Palatino Linotype" w:eastAsia="Times New Roman" w:cs="Times New Roman"/>
          <w:kern w:val="0"/>
          <w14:ligatures w14:val="none"/>
        </w:rPr>
        <w:footnoteReference w:id="3"/>
      </w:r>
      <w:r w:rsidRPr="00873F94">
        <w:rPr>
          <w:rFonts w:ascii="Palatino Linotype" w:hAnsi="Palatino Linotype" w:eastAsia="Times New Roman" w:cs="Times New Roman"/>
          <w:kern w:val="0"/>
          <w14:ligatures w14:val="none"/>
        </w:rPr>
        <w:t xml:space="preserve">. D.21-06-035 specified the following MTR capacity requirements: 2,000 MW NQC online by August 1, 2023; an additional 6,000 MW online by </w:t>
      </w:r>
      <w:r w:rsidR="00A935A0">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June 1, 2024; an additional 1,500 MW online by June 1, 2025; and an additional </w:t>
      </w:r>
      <w:r w:rsidR="00A935A0">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2,000 MW from Long Lead Time (LLT) resources online by June 1, 2026. D.21-06-035 required at least 2,500 MW NQC of the cumulative capacity procured by 2025 to be from zero-emitting (ZE) resources intended to replace the capacity originally planned for retirement at Diablo Canyon Power Plant (Diablo Canyon).</w:t>
      </w:r>
      <w:r w:rsidRPr="00873F94">
        <w:rPr>
          <w:rStyle w:val="FootnoteReference"/>
          <w:rFonts w:ascii="Palatino Linotype" w:hAnsi="Palatino Linotype" w:eastAsia="Times New Roman" w:cs="Times New Roman"/>
          <w:kern w:val="0"/>
          <w14:ligatures w14:val="none"/>
        </w:rPr>
        <w:footnoteReference w:id="4"/>
      </w:r>
      <w:r w:rsidRPr="00873F94">
        <w:rPr>
          <w:rFonts w:ascii="Palatino Linotype" w:hAnsi="Palatino Linotype" w:eastAsia="Times New Roman" w:cs="Times New Roman"/>
          <w:kern w:val="0"/>
          <w14:ligatures w14:val="none"/>
        </w:rPr>
        <w:t xml:space="preserve"> D.21-06-035 further </w:t>
      </w:r>
      <w:r w:rsidRPr="00873F94">
        <w:rPr>
          <w:rFonts w:ascii="Palatino Linotype" w:hAnsi="Palatino Linotype" w:eastAsia="Times New Roman" w:cs="Times New Roman"/>
          <w:kern w:val="0"/>
          <w14:ligatures w14:val="none"/>
        </w:rPr>
        <w:lastRenderedPageBreak/>
        <w:t xml:space="preserve">required 2,000 MW NQC of LLT resources procured by 2026 to be half from </w:t>
      </w:r>
      <w:r w:rsidR="009212B1">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long-duration energy storage and half from firm, ZE generation resources.</w:t>
      </w:r>
      <w:r w:rsidRPr="00873F94">
        <w:rPr>
          <w:rStyle w:val="FootnoteReference"/>
          <w:rFonts w:ascii="Palatino Linotype" w:hAnsi="Palatino Linotype" w:eastAsia="Times New Roman" w:cs="Times New Roman"/>
          <w:kern w:val="0"/>
          <w14:ligatures w14:val="none"/>
        </w:rPr>
        <w:footnoteReference w:id="5"/>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65BA7486"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3D1538E2"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Table 6 of D.21-06-035 assigned PG&amp;E 2,302 MW NQC for its bundled service customer portion: 400 MW online by August 1, 2023; 1,201 MW online by June 1, 2024; 300 MW online by June 1, 2025; and 400 MW of LLT resources online by 2026.</w:t>
      </w:r>
    </w:p>
    <w:p w:rsidRPr="00873F94" w:rsidR="00142FF8" w:rsidP="00142FF8" w:rsidRDefault="00142FF8" w14:paraId="723407C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511B1052"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D.21-06-035 also requires that all contracts with resources (including imports), used to satisfy the MTR requirements, have a minimum duration of 10 years, and provides that the Investor-Owned Utilities (IOUs) are authorized to seek cost</w:t>
      </w:r>
      <w:r w:rsidRPr="00873F94">
        <w:rPr>
          <w:rFonts w:ascii="Palatino Linotype" w:hAnsi="Palatino Linotype"/>
        </w:rPr>
        <w:t xml:space="preserve"> </w:t>
      </w:r>
      <w:r w:rsidRPr="00873F94">
        <w:rPr>
          <w:rFonts w:ascii="Palatino Linotype" w:hAnsi="Palatino Linotype" w:eastAsia="Times New Roman" w:cs="Times New Roman"/>
          <w:kern w:val="0"/>
          <w14:ligatures w14:val="none"/>
        </w:rPr>
        <w:t>recovery for MTR procurement capacity (excluding pumped storage or utility-owned resources) through Tier 3 ALs.</w:t>
      </w:r>
      <w:r w:rsidRPr="00873F94">
        <w:rPr>
          <w:rStyle w:val="FootnoteReference"/>
          <w:rFonts w:ascii="Palatino Linotype" w:hAnsi="Palatino Linotype" w:eastAsia="Times New Roman" w:cs="Times New Roman"/>
          <w:kern w:val="0"/>
          <w14:ligatures w14:val="none"/>
        </w:rPr>
        <w:footnoteReference w:id="6"/>
      </w:r>
    </w:p>
    <w:p w:rsidRPr="00873F94" w:rsidR="00142FF8" w:rsidP="00142FF8" w:rsidRDefault="00142FF8" w14:paraId="164DE818"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45CD8D14"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On February 23, 2023, the Commission adopted D.23-02-040, requiring supplemental MTR procurement of 4,000 MW of NQC: an incremental 2,000 MW online by </w:t>
      </w:r>
      <w:r w:rsidR="00A0324F">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June 1, 2026, and an additional 2,000 MW online by June 1, 2027.</w:t>
      </w:r>
      <w:r w:rsidRPr="00873F94">
        <w:rPr>
          <w:rStyle w:val="FootnoteReference"/>
          <w:rFonts w:ascii="Palatino Linotype" w:hAnsi="Palatino Linotype" w:eastAsia="Times New Roman" w:cs="Times New Roman"/>
          <w:kern w:val="0"/>
          <w14:ligatures w14:val="none"/>
        </w:rPr>
        <w:footnoteReference w:id="7"/>
      </w:r>
      <w:r w:rsidRPr="00873F94">
        <w:rPr>
          <w:rFonts w:ascii="Palatino Linotype" w:hAnsi="Palatino Linotype" w:eastAsia="Times New Roman" w:cs="Times New Roman"/>
          <w:kern w:val="0"/>
          <w14:ligatures w14:val="none"/>
        </w:rPr>
        <w:t xml:space="preserve"> PG&amp;E’s share of this procurement for bundled customers is 388 MW for 2026 and 388 MW for 2027. The Commission also extended the online date for LLT resource procurement from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June 1, 2026, to June 1, 2028, and introduced a bridging option for LSEs to comply with non-ZE and non-LLT procurement through firm imports.</w:t>
      </w:r>
      <w:r w:rsidRPr="00873F94">
        <w:rPr>
          <w:rStyle w:val="FootnoteReference"/>
          <w:rFonts w:ascii="Palatino Linotype" w:hAnsi="Palatino Linotype" w:eastAsia="Times New Roman" w:cs="Times New Roman"/>
          <w:kern w:val="0"/>
          <w14:ligatures w14:val="none"/>
        </w:rPr>
        <w:footnoteReference w:id="8"/>
      </w:r>
    </w:p>
    <w:p w:rsidRPr="00873F94" w:rsidR="00142FF8" w:rsidP="00142FF8" w:rsidRDefault="00142FF8" w14:paraId="79AA001E" w14:textId="77777777">
      <w:pPr>
        <w:spacing w:after="0" w:line="240" w:lineRule="auto"/>
        <w:rPr>
          <w:rFonts w:ascii="Palatino Linotype" w:hAnsi="Palatino Linotype" w:eastAsia="Times New Roman" w:cs="Times New Roman"/>
          <w:kern w:val="0"/>
          <w14:ligatures w14:val="none"/>
        </w:rPr>
      </w:pPr>
    </w:p>
    <w:p w:rsidR="00142FF8" w:rsidP="00142FF8" w:rsidRDefault="00142FF8" w14:paraId="09D38686"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Table 1 below reflects the total ordered MTR procurement requirement and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PG&amp;E’s bundled share of that procurement requirement per D.21-06-035 and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D.23-02-040. The table accounts for the extension of LLT procurement timelines granted </w:t>
      </w:r>
      <w:proofErr w:type="gramStart"/>
      <w:r w:rsidRPr="00873F94">
        <w:rPr>
          <w:rFonts w:ascii="Palatino Linotype" w:hAnsi="Palatino Linotype" w:eastAsia="Times New Roman" w:cs="Times New Roman"/>
          <w:kern w:val="0"/>
          <w14:ligatures w14:val="none"/>
        </w:rPr>
        <w:t>in</w:t>
      </w:r>
      <w:proofErr w:type="gramEnd"/>
      <w:r w:rsidRPr="00873F94">
        <w:rPr>
          <w:rFonts w:ascii="Palatino Linotype" w:hAnsi="Palatino Linotype" w:eastAsia="Times New Roman" w:cs="Times New Roman"/>
          <w:kern w:val="0"/>
          <w14:ligatures w14:val="none"/>
        </w:rPr>
        <w:t xml:space="preserve"> D.23-02-040.</w:t>
      </w:r>
    </w:p>
    <w:p w:rsidR="00873F94" w:rsidP="00142FF8" w:rsidRDefault="00873F94" w14:paraId="12DC6D78" w14:textId="77777777">
      <w:pPr>
        <w:spacing w:after="0" w:line="240" w:lineRule="auto"/>
        <w:rPr>
          <w:rFonts w:ascii="Palatino Linotype" w:hAnsi="Palatino Linotype" w:eastAsia="Times New Roman" w:cs="Times New Roman"/>
          <w:kern w:val="0"/>
          <w14:ligatures w14:val="none"/>
        </w:rPr>
      </w:pPr>
    </w:p>
    <w:tbl>
      <w:tblPr>
        <w:tblW w:w="9312" w:type="dxa"/>
        <w:tblLook w:val="04A0" w:firstRow="1" w:lastRow="0" w:firstColumn="1" w:lastColumn="0" w:noHBand="0" w:noVBand="1"/>
      </w:tblPr>
      <w:tblGrid>
        <w:gridCol w:w="1169"/>
        <w:gridCol w:w="947"/>
        <w:gridCol w:w="947"/>
        <w:gridCol w:w="947"/>
        <w:gridCol w:w="947"/>
        <w:gridCol w:w="947"/>
        <w:gridCol w:w="947"/>
        <w:gridCol w:w="766"/>
        <w:gridCol w:w="1695"/>
      </w:tblGrid>
      <w:tr w:rsidRPr="00873F94" w:rsidR="00142FF8" w:rsidTr="00651E53" w14:paraId="6018DEF6" w14:textId="77777777">
        <w:trPr>
          <w:trHeight w:val="348"/>
        </w:trPr>
        <w:tc>
          <w:tcPr>
            <w:tcW w:w="9312" w:type="dxa"/>
            <w:gridSpan w:val="9"/>
            <w:tcBorders>
              <w:top w:val="single" w:color="auto" w:sz="4" w:space="0"/>
              <w:left w:val="single" w:color="auto" w:sz="4" w:space="0"/>
              <w:bottom w:val="single" w:color="auto" w:sz="4" w:space="0"/>
              <w:right w:val="single" w:color="000000" w:sz="4" w:space="0"/>
            </w:tcBorders>
            <w:vAlign w:val="center"/>
            <w:hideMark/>
          </w:tcPr>
          <w:p w:rsidRPr="00873F94" w:rsidR="00142FF8" w:rsidP="00651E53" w:rsidRDefault="00142FF8" w14:paraId="2D603D35" w14:textId="77777777">
            <w:pPr>
              <w:spacing w:after="0" w:line="240" w:lineRule="auto"/>
              <w:jc w:val="center"/>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Table 1: Total and PG&amp;E Bundled Annual MTR Procurement Requirements (MW NQC)</w:t>
            </w:r>
          </w:p>
        </w:tc>
      </w:tr>
      <w:tr w:rsidRPr="00873F94" w:rsidR="00142FF8" w:rsidTr="00873F94" w14:paraId="5E4224F2" w14:textId="77777777">
        <w:trPr>
          <w:trHeight w:val="622"/>
        </w:trPr>
        <w:tc>
          <w:tcPr>
            <w:tcW w:w="1169" w:type="dxa"/>
            <w:tcBorders>
              <w:top w:val="nil"/>
              <w:left w:val="single" w:color="auto" w:sz="4" w:space="0"/>
              <w:bottom w:val="single" w:color="auto" w:sz="4" w:space="0"/>
              <w:right w:val="single" w:color="auto" w:sz="4" w:space="0"/>
            </w:tcBorders>
            <w:vAlign w:val="center"/>
            <w:hideMark/>
          </w:tcPr>
          <w:p w:rsidRPr="00873F94" w:rsidR="00142FF8" w:rsidP="00651E53" w:rsidRDefault="00142FF8" w14:paraId="352E72DD"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MW September NQC</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51F9468D"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8/1/2023</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631466E3"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6/1/2024</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20BC003D"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6/1/2025</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6761DB9B"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6/1/2026</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3032B309" w14:textId="77777777">
            <w:pPr>
              <w:spacing w:after="0" w:line="240" w:lineRule="auto"/>
              <w:jc w:val="right"/>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6/1/2027</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240B1F10"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LLT</w:t>
            </w:r>
            <w:r w:rsidRPr="00873F94">
              <w:rPr>
                <w:rFonts w:ascii="Palatino Linotype" w:hAnsi="Palatino Linotype" w:eastAsia="Times New Roman" w:cs="Times New Roman"/>
                <w:color w:val="000000"/>
                <w:kern w:val="0"/>
                <w:sz w:val="20"/>
                <w:szCs w:val="20"/>
                <w:u w:val="single"/>
                <w14:ligatures w14:val="none"/>
              </w:rPr>
              <w:br/>
              <w:t>6/1/2028</w:t>
            </w:r>
          </w:p>
        </w:tc>
        <w:tc>
          <w:tcPr>
            <w:tcW w:w="766" w:type="dxa"/>
            <w:tcBorders>
              <w:top w:val="nil"/>
              <w:left w:val="nil"/>
              <w:bottom w:val="single" w:color="auto" w:sz="4" w:space="0"/>
              <w:right w:val="single" w:color="auto" w:sz="4" w:space="0"/>
            </w:tcBorders>
            <w:vAlign w:val="center"/>
            <w:hideMark/>
          </w:tcPr>
          <w:p w:rsidRPr="00873F94" w:rsidR="00142FF8" w:rsidP="00651E53" w:rsidRDefault="00142FF8" w14:paraId="59B36487"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Total</w:t>
            </w:r>
          </w:p>
        </w:tc>
        <w:tc>
          <w:tcPr>
            <w:tcW w:w="1695" w:type="dxa"/>
            <w:tcBorders>
              <w:top w:val="nil"/>
              <w:left w:val="nil"/>
              <w:bottom w:val="single" w:color="auto" w:sz="4" w:space="0"/>
              <w:right w:val="single" w:color="auto" w:sz="4" w:space="0"/>
            </w:tcBorders>
            <w:vAlign w:val="center"/>
            <w:hideMark/>
          </w:tcPr>
          <w:p w:rsidRPr="00873F94" w:rsidR="00142FF8" w:rsidP="00651E53" w:rsidRDefault="00142FF8" w14:paraId="52248654" w14:textId="77777777">
            <w:pPr>
              <w:spacing w:after="0" w:line="240" w:lineRule="auto"/>
              <w:rPr>
                <w:rFonts w:ascii="Palatino Linotype" w:hAnsi="Palatino Linotype" w:eastAsia="Times New Roman" w:cs="Times New Roman"/>
                <w:color w:val="000000"/>
                <w:kern w:val="0"/>
                <w:sz w:val="20"/>
                <w:szCs w:val="20"/>
                <w:u w:val="single"/>
                <w14:ligatures w14:val="none"/>
              </w:rPr>
            </w:pPr>
            <w:r w:rsidRPr="00873F94">
              <w:rPr>
                <w:rFonts w:ascii="Palatino Linotype" w:hAnsi="Palatino Linotype" w:eastAsia="Times New Roman" w:cs="Times New Roman"/>
                <w:color w:val="000000"/>
                <w:kern w:val="0"/>
                <w:sz w:val="20"/>
                <w:szCs w:val="20"/>
                <w:u w:val="single"/>
                <w14:ligatures w14:val="none"/>
              </w:rPr>
              <w:t xml:space="preserve">Minimum ZE capacity </w:t>
            </w:r>
            <w:r w:rsidRPr="00873F94">
              <w:rPr>
                <w:rFonts w:ascii="Palatino Linotype" w:hAnsi="Palatino Linotype" w:eastAsia="Times New Roman" w:cs="Times New Roman"/>
                <w:color w:val="000000"/>
                <w:kern w:val="0"/>
                <w:sz w:val="20"/>
                <w:szCs w:val="20"/>
                <w:u w:val="single"/>
                <w14:ligatures w14:val="none"/>
              </w:rPr>
              <w:br/>
              <w:t>by 2025</w:t>
            </w:r>
          </w:p>
        </w:tc>
      </w:tr>
      <w:tr w:rsidRPr="00873F94" w:rsidR="00142FF8" w:rsidTr="00873F94" w14:paraId="62826670" w14:textId="77777777">
        <w:trPr>
          <w:trHeight w:val="348"/>
        </w:trPr>
        <w:tc>
          <w:tcPr>
            <w:tcW w:w="1169" w:type="dxa"/>
            <w:tcBorders>
              <w:top w:val="nil"/>
              <w:left w:val="single" w:color="auto" w:sz="4" w:space="0"/>
              <w:bottom w:val="single" w:color="auto" w:sz="4" w:space="0"/>
              <w:right w:val="single" w:color="auto" w:sz="4" w:space="0"/>
            </w:tcBorders>
            <w:vAlign w:val="center"/>
            <w:hideMark/>
          </w:tcPr>
          <w:p w:rsidRPr="00873F94" w:rsidR="00142FF8" w:rsidP="00651E53" w:rsidRDefault="00142FF8" w14:paraId="2A904F5A" w14:textId="77777777">
            <w:pPr>
              <w:spacing w:after="0" w:line="240" w:lineRule="auto"/>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All LSEs</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7D40F7B3"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406B7D39"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6,000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76AFBC76"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1,500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4EDDE304"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315AFCE0"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947" w:type="dxa"/>
            <w:tcBorders>
              <w:top w:val="nil"/>
              <w:left w:val="nil"/>
              <w:bottom w:val="single" w:color="auto" w:sz="4" w:space="0"/>
              <w:right w:val="single" w:color="auto" w:sz="4" w:space="0"/>
            </w:tcBorders>
            <w:vAlign w:val="center"/>
            <w:hideMark/>
          </w:tcPr>
          <w:p w:rsidRPr="00873F94" w:rsidR="00142FF8" w:rsidP="00651E53" w:rsidRDefault="00142FF8" w14:paraId="0AA3F0D9"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2,000</w:t>
            </w:r>
          </w:p>
        </w:tc>
        <w:tc>
          <w:tcPr>
            <w:tcW w:w="766" w:type="dxa"/>
            <w:tcBorders>
              <w:top w:val="nil"/>
              <w:left w:val="nil"/>
              <w:bottom w:val="single" w:color="auto" w:sz="4" w:space="0"/>
              <w:right w:val="single" w:color="auto" w:sz="4" w:space="0"/>
            </w:tcBorders>
            <w:vAlign w:val="center"/>
            <w:hideMark/>
          </w:tcPr>
          <w:p w:rsidRPr="00873F94" w:rsidR="00142FF8" w:rsidP="00651E53" w:rsidRDefault="00142FF8" w14:paraId="4E5B75A5"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15,500</w:t>
            </w:r>
          </w:p>
        </w:tc>
        <w:tc>
          <w:tcPr>
            <w:tcW w:w="1695" w:type="dxa"/>
            <w:tcBorders>
              <w:top w:val="nil"/>
              <w:left w:val="nil"/>
              <w:bottom w:val="single" w:color="auto" w:sz="4" w:space="0"/>
              <w:right w:val="single" w:color="auto" w:sz="4" w:space="0"/>
            </w:tcBorders>
            <w:vAlign w:val="center"/>
            <w:hideMark/>
          </w:tcPr>
          <w:p w:rsidRPr="00873F94" w:rsidR="00142FF8" w:rsidP="00651E53" w:rsidRDefault="00142FF8" w14:paraId="25BD195A"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2,500</w:t>
            </w:r>
          </w:p>
        </w:tc>
      </w:tr>
      <w:tr w:rsidRPr="00873F94" w:rsidR="00142FF8" w:rsidTr="00873F94" w14:paraId="72351CE3" w14:textId="77777777">
        <w:trPr>
          <w:trHeight w:val="310"/>
        </w:trPr>
        <w:tc>
          <w:tcPr>
            <w:tcW w:w="1169" w:type="dxa"/>
            <w:tcBorders>
              <w:top w:val="nil"/>
              <w:left w:val="single" w:color="auto" w:sz="4" w:space="0"/>
              <w:bottom w:val="single" w:color="auto" w:sz="4" w:space="0"/>
              <w:right w:val="single" w:color="auto" w:sz="4" w:space="0"/>
            </w:tcBorders>
            <w:vAlign w:val="center"/>
            <w:hideMark/>
          </w:tcPr>
          <w:p w:rsidRPr="00873F94" w:rsidR="00142FF8" w:rsidP="00651E53" w:rsidRDefault="00142FF8" w14:paraId="3FA0C13C" w14:textId="77777777">
            <w:pPr>
              <w:spacing w:after="0" w:line="240" w:lineRule="auto"/>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PG&amp;E's Share</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1521FFE1"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400</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54620F7D"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1,201</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50F90374"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300</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7C065932"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388</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1A98CE20"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388</w:t>
            </w:r>
          </w:p>
        </w:tc>
        <w:tc>
          <w:tcPr>
            <w:tcW w:w="947" w:type="dxa"/>
            <w:tcBorders>
              <w:top w:val="nil"/>
              <w:left w:val="nil"/>
              <w:bottom w:val="single" w:color="auto" w:sz="4" w:space="0"/>
              <w:right w:val="single" w:color="auto" w:sz="4" w:space="0"/>
            </w:tcBorders>
            <w:noWrap/>
            <w:vAlign w:val="bottom"/>
            <w:hideMark/>
          </w:tcPr>
          <w:p w:rsidRPr="00873F94" w:rsidR="00142FF8" w:rsidP="00651E53" w:rsidRDefault="00142FF8" w14:paraId="732857F2"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400</w:t>
            </w:r>
          </w:p>
        </w:tc>
        <w:tc>
          <w:tcPr>
            <w:tcW w:w="766" w:type="dxa"/>
            <w:tcBorders>
              <w:top w:val="nil"/>
              <w:left w:val="nil"/>
              <w:bottom w:val="single" w:color="auto" w:sz="4" w:space="0"/>
              <w:right w:val="single" w:color="auto" w:sz="4" w:space="0"/>
            </w:tcBorders>
            <w:noWrap/>
            <w:vAlign w:val="bottom"/>
            <w:hideMark/>
          </w:tcPr>
          <w:p w:rsidRPr="00873F94" w:rsidR="00142FF8" w:rsidP="00651E53" w:rsidRDefault="00142FF8" w14:paraId="6DC2D333"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3,079</w:t>
            </w:r>
          </w:p>
        </w:tc>
        <w:tc>
          <w:tcPr>
            <w:tcW w:w="1695" w:type="dxa"/>
            <w:tcBorders>
              <w:top w:val="nil"/>
              <w:left w:val="nil"/>
              <w:bottom w:val="single" w:color="auto" w:sz="4" w:space="0"/>
              <w:right w:val="single" w:color="auto" w:sz="4" w:space="0"/>
            </w:tcBorders>
            <w:noWrap/>
            <w:vAlign w:val="bottom"/>
            <w:hideMark/>
          </w:tcPr>
          <w:p w:rsidRPr="00873F94" w:rsidR="00142FF8" w:rsidP="00651E53" w:rsidRDefault="00142FF8" w14:paraId="662D4822" w14:textId="77777777">
            <w:pPr>
              <w:spacing w:after="0" w:line="240" w:lineRule="auto"/>
              <w:jc w:val="right"/>
              <w:rPr>
                <w:rFonts w:ascii="Palatino Linotype" w:hAnsi="Palatino Linotype" w:eastAsia="Times New Roman" w:cs="Times New Roman"/>
                <w:color w:val="000000"/>
                <w:kern w:val="0"/>
                <w:sz w:val="20"/>
                <w:szCs w:val="20"/>
                <w14:ligatures w14:val="none"/>
              </w:rPr>
            </w:pPr>
            <w:r w:rsidRPr="00873F94">
              <w:rPr>
                <w:rFonts w:ascii="Palatino Linotype" w:hAnsi="Palatino Linotype" w:eastAsia="Times New Roman" w:cs="Times New Roman"/>
                <w:color w:val="000000"/>
                <w:kern w:val="0"/>
                <w:sz w:val="20"/>
                <w:szCs w:val="20"/>
                <w14:ligatures w14:val="none"/>
              </w:rPr>
              <w:t>500</w:t>
            </w:r>
          </w:p>
        </w:tc>
      </w:tr>
    </w:tbl>
    <w:p w:rsidRPr="00873F94" w:rsidR="00142FF8" w:rsidP="00142FF8" w:rsidRDefault="00142FF8" w14:paraId="7AA216D0"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lastRenderedPageBreak/>
        <w:t>On February 15, 2024, the CPUC adopted D.24-02-047, allowing for an extension of the D.23-02-040 2028 deadline to procure LLT resources, when certain conditions are met by an LSE.</w:t>
      </w:r>
      <w:r w:rsidRPr="00873F94">
        <w:rPr>
          <w:rStyle w:val="FootnoteReference"/>
          <w:rFonts w:ascii="Palatino Linotype" w:hAnsi="Palatino Linotype" w:eastAsia="Times New Roman" w:cs="Times New Roman"/>
          <w:kern w:val="0"/>
          <w14:ligatures w14:val="none"/>
        </w:rPr>
        <w:footnoteReference w:id="9"/>
      </w:r>
      <w:r w:rsidRPr="00873F94">
        <w:rPr>
          <w:rFonts w:ascii="Palatino Linotype" w:hAnsi="Palatino Linotype" w:eastAsia="Times New Roman" w:cs="Times New Roman"/>
          <w:kern w:val="0"/>
          <w14:ligatures w14:val="none"/>
        </w:rPr>
        <w:t xml:space="preserve"> Under this decision, LSEs that require an extension past June 1, 2028, LLT deadline must procure generic capacity to cover the shortfall and still bring online LLT resources by no later than June 1, 2031.</w:t>
      </w:r>
    </w:p>
    <w:p w:rsidRPr="00873F94" w:rsidR="00142FF8" w:rsidP="00142FF8" w:rsidRDefault="00142FF8" w14:paraId="37522E90"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66D10DAC"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D.25-06-005 was adopted on June 12, 2025, by the Commission, which</w:t>
      </w:r>
      <w:r w:rsidRPr="00873F94">
        <w:rPr>
          <w:rFonts w:ascii="Palatino Linotype" w:hAnsi="Palatino Linotype"/>
        </w:rPr>
        <w:t xml:space="preserve"> </w:t>
      </w:r>
      <w:r w:rsidRPr="00873F94">
        <w:rPr>
          <w:rFonts w:ascii="Palatino Linotype" w:hAnsi="Palatino Linotype" w:eastAsia="Times New Roman" w:cs="Times New Roman"/>
          <w:kern w:val="0"/>
          <w14:ligatures w14:val="none"/>
        </w:rPr>
        <w:t>granted, with modifications, the LDES Council’s Petition for Modification (PFM) of D.21-06-035. This decision reclarified qualifying LDES resources shall be defined as “able to deliver at maximum capacity (i.e., the highest power output that can be dispatched continuously at the full installed or guaranteed capacity in the contract), for a least eight hours.”</w:t>
      </w:r>
      <w:r w:rsidRPr="00873F94">
        <w:rPr>
          <w:rStyle w:val="FootnoteReference"/>
          <w:rFonts w:ascii="Palatino Linotype" w:hAnsi="Palatino Linotype" w:eastAsia="Times New Roman" w:cs="Times New Roman"/>
          <w:kern w:val="0"/>
          <w14:ligatures w14:val="none"/>
        </w:rPr>
        <w:footnoteReference w:id="10"/>
      </w:r>
      <w:r w:rsidRPr="00873F94">
        <w:rPr>
          <w:rFonts w:ascii="Palatino Linotype" w:hAnsi="Palatino Linotype" w:eastAsia="Times New Roman" w:cs="Times New Roman"/>
          <w:kern w:val="0"/>
          <w14:ligatures w14:val="none"/>
        </w:rPr>
        <w:t xml:space="preserve"> Specifically, the decision aimed to prevent the use of short-duration resources </w:t>
      </w:r>
      <w:r w:rsidR="00765C63">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 xml:space="preserve">(e.g., four-hour lithium-ion batteries) from counting towards MTR LDES compliance by requiring resources to be capable of dispatching full power output for eight continuous hours at maximum capacity.  </w:t>
      </w:r>
    </w:p>
    <w:p w:rsidRPr="00873F94" w:rsidR="00142FF8" w:rsidP="00142FF8" w:rsidRDefault="00142FF8" w14:paraId="7D0664A2"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794FA34B"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b/>
          <w:bCs/>
          <w:kern w:val="0"/>
          <w14:ligatures w14:val="none"/>
        </w:rPr>
        <w:t xml:space="preserve">Solicitation of the MTR Contracts </w:t>
      </w:r>
    </w:p>
    <w:p w:rsidRPr="00873F94" w:rsidR="00142FF8" w:rsidP="00142FF8" w:rsidRDefault="00142FF8" w14:paraId="7F386B9A"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PG&amp;E issued MTR Request for Offers (RFO) Phase 1 on June 18, 2021, to procure resources for incremental NQC with an expected online date of August 1, 2023, and June 1, 2024, under which PG&amp;E executed contracts for 1,598.7 MW of nameplate capacity. The Commission approved these contracts on April 21, 2022, in Resolution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E-5202.</w:t>
      </w:r>
      <w:r w:rsidRPr="00873F94">
        <w:rPr>
          <w:rStyle w:val="FootnoteReference"/>
          <w:rFonts w:ascii="Palatino Linotype" w:hAnsi="Palatino Linotype" w:eastAsia="Times New Roman" w:cs="Times New Roman"/>
          <w:kern w:val="0"/>
          <w14:ligatures w14:val="none"/>
        </w:rPr>
        <w:footnoteReference w:id="11"/>
      </w:r>
    </w:p>
    <w:p w:rsidRPr="00873F94" w:rsidR="00142FF8" w:rsidP="00142FF8" w:rsidRDefault="00142FF8" w14:paraId="328500C9"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337BF304"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PG&amp;E further issued Phase 2 MTR RFO on April 15, 2022, under which PG&amp;E executed contracts for more than 300 MW of nameplate capacity. The Commission approved these contracts in Resolutions E-5262, E-5263, and E-5297.</w:t>
      </w:r>
      <w:r w:rsidRPr="00873F94">
        <w:rPr>
          <w:rStyle w:val="FootnoteReference"/>
          <w:rFonts w:ascii="Palatino Linotype" w:hAnsi="Palatino Linotype" w:eastAsia="Times New Roman" w:cs="Times New Roman"/>
          <w:kern w:val="0"/>
          <w14:ligatures w14:val="none"/>
        </w:rPr>
        <w:footnoteReference w:id="12"/>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3526ABAF"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27951A23"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On February 7, 2023, PG&amp;E issued its MTR RFO Phase 3 to solicit offers to fulfill its MTR procurement requirements. Prior to this submittal, PG&amp;E submitted ten agreements from the MTR RFO Phase 3 in advice letters 7177-E, 7299-E, 7356-E, 7420-E, and 7602-E.</w:t>
      </w:r>
      <w:r w:rsidRPr="00873F94">
        <w:rPr>
          <w:rStyle w:val="FootnoteReference"/>
          <w:rFonts w:ascii="Palatino Linotype" w:hAnsi="Palatino Linotype" w:eastAsia="Times New Roman" w:cs="Times New Roman"/>
          <w:kern w:val="0"/>
          <w14:ligatures w14:val="none"/>
        </w:rPr>
        <w:footnoteReference w:id="13"/>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1E188815"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2E295F87" w14:textId="77777777">
      <w:pPr>
        <w:spacing w:after="0" w:line="240" w:lineRule="auto"/>
        <w:rPr>
          <w:rFonts w:ascii="Palatino Linotype" w:hAnsi="Palatino Linotype"/>
        </w:rPr>
      </w:pPr>
      <w:r w:rsidRPr="00873F94">
        <w:rPr>
          <w:rFonts w:ascii="Palatino Linotype" w:hAnsi="Palatino Linotype" w:eastAsia="Times New Roman" w:cs="Times New Roman"/>
          <w:kern w:val="0"/>
          <w14:ligatures w14:val="none"/>
        </w:rPr>
        <w:t xml:space="preserve">PG&amp;E’s MTR LLT RFO issued on October 15, 2024, sought offers specifically for firm ZE and LDES contracts with a minimum 10-year term; desired size of at least 10 MW; and </w:t>
      </w:r>
      <w:r w:rsidRPr="00873F94">
        <w:rPr>
          <w:rFonts w:ascii="Palatino Linotype" w:hAnsi="Palatino Linotype" w:eastAsia="Times New Roman" w:cs="Times New Roman"/>
          <w:kern w:val="0"/>
          <w14:ligatures w14:val="none"/>
        </w:rPr>
        <w:lastRenderedPageBreak/>
        <w:t xml:space="preserve">an Initial Delivery Date (IDD) by June 1, 2031, with preference for delivery by </w:t>
      </w:r>
      <w:r w:rsidR="00F743E5">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June 1, 2028. Participants were required to demonstrate site control and evidence that the project was on track to receive Full Capacity Deliverability Status (FCDS) and that the project was incremental to the 2019-2020 IRP RESOLVE/SERVM baseline used in need determination.</w:t>
      </w:r>
      <w:r w:rsidRPr="00873F94">
        <w:rPr>
          <w:rStyle w:val="FootnoteReference"/>
          <w:rFonts w:ascii="Palatino Linotype" w:hAnsi="Palatino Linotype" w:eastAsia="Times New Roman" w:cs="Times New Roman"/>
          <w:kern w:val="0"/>
          <w14:ligatures w14:val="none"/>
        </w:rPr>
        <w:footnoteReference w:id="14"/>
      </w:r>
      <w:r w:rsidRPr="00873F94">
        <w:rPr>
          <w:rFonts w:ascii="Palatino Linotype" w:hAnsi="Palatino Linotype"/>
        </w:rPr>
        <w:t xml:space="preserve">  </w:t>
      </w:r>
      <w:r w:rsidRPr="00873F94">
        <w:rPr>
          <w:rFonts w:ascii="Palatino Linotype" w:hAnsi="Palatino Linotype" w:eastAsia="Times New Roman" w:cs="Times New Roman"/>
          <w:kern w:val="0"/>
          <w14:ligatures w14:val="none"/>
        </w:rPr>
        <w:t>The Balsam Project contract (225 MW) was a result of this MTR LLT RFO.</w:t>
      </w:r>
    </w:p>
    <w:p w:rsidRPr="00873F94" w:rsidR="00142FF8" w:rsidP="00142FF8" w:rsidRDefault="00142FF8" w14:paraId="044285FA" w14:textId="77777777">
      <w:pPr>
        <w:spacing w:after="0" w:line="240" w:lineRule="auto"/>
        <w:rPr>
          <w:rFonts w:ascii="Palatino Linotype" w:hAnsi="Palatino Linotype"/>
        </w:rPr>
      </w:pPr>
    </w:p>
    <w:p w:rsidRPr="00873F94" w:rsidR="00142FF8" w:rsidP="00142FF8" w:rsidRDefault="00142FF8" w14:paraId="071A89B0" w14:textId="77777777">
      <w:pPr>
        <w:keepNext/>
        <w:spacing w:before="120" w:after="240" w:line="240" w:lineRule="auto"/>
        <w:outlineLvl w:val="0"/>
        <w:rPr>
          <w:rFonts w:ascii="Palatino Linotype" w:hAnsi="Palatino Linotype" w:eastAsia="Palatino Linotype" w:cs="Times New Roman"/>
          <w:b/>
          <w:bCs/>
          <w:caps/>
          <w:kern w:val="0"/>
          <w:u w:val="single"/>
          <w14:ligatures w14:val="none"/>
        </w:rPr>
      </w:pPr>
      <w:r w:rsidRPr="00873F94">
        <w:rPr>
          <w:rFonts w:ascii="Palatino Linotype" w:hAnsi="Palatino Linotype" w:eastAsia="Palatino Linotype" w:cs="Times New Roman"/>
          <w:b/>
          <w:bCs/>
          <w:caps/>
          <w:kern w:val="28"/>
          <w:u w:val="single"/>
          <w14:ligatures w14:val="none"/>
        </w:rPr>
        <w:t>Notice</w:t>
      </w:r>
    </w:p>
    <w:p w:rsidRPr="00873F94" w:rsidR="00142FF8" w:rsidP="00142FF8" w:rsidRDefault="00142FF8" w14:paraId="2020CB74"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Notice of AL 7648-E was made by publication in the Commission’s Daily Calendar.  PG&amp;E states that a copy of the Advice Letter was mailed and distributed in accordance with Section 4 of General Order 96-B. </w:t>
      </w:r>
    </w:p>
    <w:p w:rsidRPr="00873F94" w:rsidR="00142FF8" w:rsidP="00142FF8" w:rsidRDefault="00142FF8" w14:paraId="2529E28E"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52E52B0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Protests</w:t>
      </w:r>
    </w:p>
    <w:p w:rsidRPr="00873F94" w:rsidR="00142FF8" w:rsidP="00142FF8" w:rsidRDefault="00142FF8" w14:paraId="3CB01298"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AL 7648-E was not protested.  </w:t>
      </w:r>
    </w:p>
    <w:p w:rsidRPr="00873F94" w:rsidR="00142FF8" w:rsidP="00142FF8" w:rsidRDefault="00142FF8" w14:paraId="49C61866"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4FA2F053"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Discussion</w:t>
      </w:r>
    </w:p>
    <w:p w:rsidRPr="00873F94" w:rsidR="00142FF8" w:rsidP="00142FF8" w:rsidRDefault="00142FF8" w14:paraId="38EA6FE0"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Commission has reviewed AL 7648-E and finds</w:t>
      </w:r>
      <w:r w:rsidRPr="00873F94">
        <w:rPr>
          <w:rFonts w:ascii="Palatino Linotype" w:hAnsi="Palatino Linotype"/>
        </w:rPr>
        <w:t xml:space="preserve"> </w:t>
      </w:r>
      <w:r w:rsidRPr="00873F94">
        <w:rPr>
          <w:rFonts w:ascii="Palatino Linotype" w:hAnsi="Palatino Linotype" w:eastAsia="Palatino Linotype" w:cs="Times New Roman"/>
          <w:kern w:val="0"/>
          <w14:ligatures w14:val="none"/>
        </w:rPr>
        <w:t>that PG&amp;E’s request for approval and cost recovery of the MTR Contract and the form and substance of the MTR Contract to be reasonable.</w:t>
      </w:r>
    </w:p>
    <w:p w:rsidRPr="00873F94" w:rsidR="00142FF8" w:rsidP="00142FF8" w:rsidRDefault="00142FF8" w14:paraId="14D2C868" w14:textId="77777777">
      <w:pPr>
        <w:spacing w:after="0" w:line="240" w:lineRule="auto"/>
        <w:rPr>
          <w:rFonts w:ascii="Palatino Linotype" w:hAnsi="Palatino Linotype" w:eastAsia="Palatino Linotype" w:cs="Times New Roman"/>
          <w:kern w:val="0"/>
          <w:highlight w:val="yellow"/>
          <w14:ligatures w14:val="none"/>
        </w:rPr>
      </w:pPr>
    </w:p>
    <w:p w:rsidRPr="00873F94" w:rsidR="00142FF8" w:rsidP="00142FF8" w:rsidRDefault="00142FF8" w14:paraId="755F0410" w14:textId="77777777">
      <w:pPr>
        <w:spacing w:after="0" w:line="240" w:lineRule="auto"/>
        <w:rPr>
          <w:rFonts w:ascii="Palatino Linotype" w:hAnsi="Palatino Linotype" w:eastAsia="Palatino Linotype" w:cs="Times New Roman"/>
          <w:b/>
          <w:bCs/>
          <w:kern w:val="0"/>
          <w14:ligatures w14:val="none"/>
        </w:rPr>
      </w:pPr>
      <w:r w:rsidRPr="00873F94">
        <w:rPr>
          <w:rFonts w:ascii="Palatino Linotype" w:hAnsi="Palatino Linotype" w:eastAsia="Palatino Linotype" w:cs="Times New Roman"/>
          <w:b/>
          <w:bCs/>
          <w:kern w:val="0"/>
          <w14:ligatures w14:val="none"/>
        </w:rPr>
        <w:t>Procurement Methodology, Evaluation, and Cost Reasonableness</w:t>
      </w:r>
      <w:r w:rsidRPr="00873F94">
        <w:rPr>
          <w:rFonts w:ascii="Palatino Linotype" w:hAnsi="Palatino Linotype" w:eastAsia="Times New Roman" w:cs="Times New Roman"/>
          <w:kern w:val="0"/>
          <w14:ligatures w14:val="none"/>
        </w:rPr>
        <w:t xml:space="preserve"> </w:t>
      </w:r>
    </w:p>
    <w:p w:rsidRPr="00873F94" w:rsidR="00142FF8" w:rsidP="00142FF8" w:rsidRDefault="00142FF8" w14:paraId="592BC230"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 xml:space="preserve">To evaluate the MTR LLT RFO offers, PG&amp;E used the Least Cost Best Fit (LCBF) methodology where both quantitative and qualitative criteria were evaluated to achieve a shortlist of resources that could provide incremental NQC MW consistent with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D.21-06-035 and D.23-02-040. Quantitative evaluation criteria consisted of the net market value (“NMV”) based on benefits (energy, ancillary services, capacity, renewable energy credit value) and costs (fixed, variable, metered contract, and transmission network upgrade costs). Qualitative evaluation criteria consisted of financing, environmental characteristics, development plan, safety, prior experience, impact on disadvantaged communities, location, agreement or term sheet modification, supply chain responsibility status, technology diversity, and diversity of</w:t>
      </w:r>
      <w:r w:rsidR="005E23C8">
        <w:rPr>
          <w:rFonts w:ascii="Palatino Linotype" w:hAnsi="Palatino Linotype" w:eastAsia="Times New Roman" w:cs="Times New Roman"/>
          <w:kern w:val="0"/>
          <w14:ligatures w14:val="none"/>
        </w:rPr>
        <w:t xml:space="preserve"> </w:t>
      </w:r>
      <w:r w:rsidRPr="00873F94">
        <w:rPr>
          <w:rFonts w:ascii="Palatino Linotype" w:hAnsi="Palatino Linotype" w:eastAsia="Times New Roman" w:cs="Times New Roman"/>
          <w:kern w:val="0"/>
          <w14:ligatures w14:val="none"/>
        </w:rPr>
        <w:t>counterparties.</w:t>
      </w:r>
      <w:r w:rsidRPr="00873F94">
        <w:rPr>
          <w:rStyle w:val="FootnoteReference"/>
          <w:rFonts w:ascii="Palatino Linotype" w:hAnsi="Palatino Linotype" w:eastAsia="Times New Roman" w:cs="Times New Roman"/>
          <w:kern w:val="0"/>
          <w14:ligatures w14:val="none"/>
        </w:rPr>
        <w:footnoteReference w:id="15"/>
      </w:r>
    </w:p>
    <w:p w:rsidRPr="00873F94" w:rsidR="00142FF8" w:rsidP="00142FF8" w:rsidRDefault="00142FF8" w14:paraId="7EC58652" w14:textId="77777777">
      <w:pPr>
        <w:spacing w:after="0" w:line="240" w:lineRule="auto"/>
        <w:rPr>
          <w:rFonts w:ascii="Palatino Linotype" w:hAnsi="Palatino Linotype" w:eastAsia="Times New Roman" w:cs="Times New Roman"/>
          <w:kern w:val="0"/>
          <w:highlight w:val="yellow"/>
          <w14:ligatures w14:val="none"/>
        </w:rPr>
      </w:pPr>
    </w:p>
    <w:p w:rsidRPr="00873F94" w:rsidR="00142FF8" w:rsidP="00142FF8" w:rsidRDefault="00142FF8" w14:paraId="7ABF04A7"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lastRenderedPageBreak/>
        <w:t>PG&amp;E initiated negotiations with each participant with a shortlisted offer and presented a solicitation overview, offer summary, and shortlist materials to the Procurement</w:t>
      </w:r>
    </w:p>
    <w:p w:rsidRPr="00873F94" w:rsidR="00142FF8" w:rsidP="00142FF8" w:rsidRDefault="00142FF8" w14:paraId="0D226718"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cs="Times New Roman"/>
          <w:kern w:val="0"/>
          <w14:ligatures w14:val="none"/>
        </w:rPr>
        <w:t>Review Group (“PRG”). The PRG was notified of PG&amp;E’s intent to execute the Balsam Project contract, on May 1, 2025. Further, PG&amp;E retained the Merrimack Energy Group, Inc. (Merrimack) as the Independent Evaluator (IE) in its MTR solicitation efforts pursuant to D.04-12-048, OP 28 and D.06-05-039, OP 8.</w:t>
      </w:r>
      <w:r w:rsidRPr="00873F94">
        <w:rPr>
          <w:rStyle w:val="FootnoteReference"/>
          <w:rFonts w:ascii="Palatino Linotype" w:hAnsi="Palatino Linotype" w:eastAsia="Times New Roman" w:cs="Times New Roman"/>
          <w:kern w:val="0"/>
          <w14:ligatures w14:val="none"/>
        </w:rPr>
        <w:footnoteReference w:id="16"/>
      </w:r>
      <w:r w:rsidRPr="00873F94">
        <w:rPr>
          <w:rFonts w:ascii="Palatino Linotype" w:hAnsi="Palatino Linotype" w:eastAsia="Times New Roman" w:cs="Times New Roman"/>
          <w:kern w:val="0"/>
          <w14:ligatures w14:val="none"/>
        </w:rPr>
        <w:t xml:space="preserve">  In the IE Report, attached to AL 7648-E, Merrimack provided an evaluation of PG&amp;E’s outreach efforts, LCBF methodology design, shortlist, and project negotiations. In the IE Report, </w:t>
      </w:r>
      <w:r w:rsidR="006A6279">
        <w:rPr>
          <w:rFonts w:ascii="Palatino Linotype" w:hAnsi="Palatino Linotype" w:eastAsia="Times New Roman" w:cs="Times New Roman"/>
          <w:kern w:val="0"/>
          <w14:ligatures w14:val="none"/>
        </w:rPr>
        <w:br/>
      </w:r>
      <w:r w:rsidRPr="00873F94">
        <w:rPr>
          <w:rFonts w:ascii="Palatino Linotype" w:hAnsi="Palatino Linotype" w:eastAsia="Times New Roman" w:cs="Times New Roman"/>
          <w:kern w:val="0"/>
          <w14:ligatures w14:val="none"/>
        </w:rPr>
        <w:t>Merrimack’s professional opinion about these components of the MTR LLT RFO concurred with PG&amp;E’s. Merrimack describes PG&amp;E’s methodology, evaluation, and cost of the projects as consistent, and fair.</w:t>
      </w:r>
      <w:r w:rsidRPr="00873F94">
        <w:rPr>
          <w:rStyle w:val="FootnoteReference"/>
          <w:rFonts w:ascii="Palatino Linotype" w:hAnsi="Palatino Linotype" w:eastAsia="Times New Roman" w:cs="Times New Roman"/>
          <w:kern w:val="0"/>
          <w14:ligatures w14:val="none"/>
        </w:rPr>
        <w:footnoteReference w:id="17"/>
      </w:r>
    </w:p>
    <w:p w:rsidRPr="00873F94" w:rsidR="00142FF8" w:rsidP="00142FF8" w:rsidRDefault="00142FF8" w14:paraId="7BD9B0E6" w14:textId="77777777">
      <w:pPr>
        <w:spacing w:after="0" w:line="240" w:lineRule="auto"/>
        <w:rPr>
          <w:rFonts w:ascii="Palatino Linotype" w:hAnsi="Palatino Linotype" w:eastAsia="Times New Roman" w:cs="Times New Roman"/>
          <w:kern w:val="0"/>
          <w14:ligatures w14:val="none"/>
        </w:rPr>
      </w:pPr>
    </w:p>
    <w:p w:rsidRPr="00873F94" w:rsidR="00142FF8" w:rsidP="00142FF8" w:rsidRDefault="00142FF8" w14:paraId="696455B2" w14:textId="77777777">
      <w:pPr>
        <w:spacing w:after="0" w:line="240" w:lineRule="auto"/>
        <w:rPr>
          <w:rFonts w:ascii="Palatino Linotype" w:hAnsi="Palatino Linotype" w:eastAsia="Times New Roman" w:cs="Times New Roman"/>
          <w:kern w:val="0"/>
          <w14:ligatures w14:val="none"/>
        </w:rPr>
      </w:pPr>
      <w:r w:rsidRPr="00873F94">
        <w:rPr>
          <w:rFonts w:ascii="Palatino Linotype" w:hAnsi="Palatino Linotype" w:eastAsia="Times New Roman"/>
        </w:rPr>
        <w:t xml:space="preserve">The Commission has reviewed PG&amp;E’s bid evaluation analysis and the IE Report. We agree with the IE findings that PG&amp;E procured the best option for addressing its MTR LLT needs. We find that PG&amp;E has conducted </w:t>
      </w:r>
      <w:proofErr w:type="gramStart"/>
      <w:r w:rsidRPr="00873F94">
        <w:rPr>
          <w:rFonts w:ascii="Palatino Linotype" w:hAnsi="Palatino Linotype" w:eastAsia="Times New Roman"/>
        </w:rPr>
        <w:t>a robust</w:t>
      </w:r>
      <w:proofErr w:type="gramEnd"/>
      <w:r w:rsidRPr="00873F94">
        <w:rPr>
          <w:rFonts w:ascii="Palatino Linotype" w:hAnsi="Palatino Linotype" w:eastAsia="Times New Roman"/>
        </w:rPr>
        <w:t xml:space="preserve"> and competitive solicitation with reasonable bid evaluation methodology and appropriately consulted the PRG and the IE throughout the MTR LLT RFO process. The Commission finds the costs to be reasonable based on the competitive solicitation and bid evaluation methodology. </w:t>
      </w:r>
      <w:r w:rsidRPr="00873F94">
        <w:rPr>
          <w:rFonts w:ascii="Palatino Linotype" w:hAnsi="Palatino Linotype" w:eastAsia="Times New Roman" w:cs="Times New Roman"/>
          <w:kern w:val="0"/>
          <w14:ligatures w14:val="none"/>
        </w:rPr>
        <w:t>For an in-depth solicitation and cost reasonableness review, see Confidential Appendix A.</w:t>
      </w:r>
    </w:p>
    <w:p w:rsidRPr="00873F94" w:rsidR="00142FF8" w:rsidP="00142FF8" w:rsidRDefault="00142FF8" w14:paraId="49388E77" w14:textId="77777777">
      <w:pPr>
        <w:pStyle w:val="10sp0"/>
        <w:spacing w:after="0"/>
        <w:rPr>
          <w:rFonts w:ascii="Palatino Linotype" w:hAnsi="Palatino Linotype"/>
          <w:b/>
          <w:bCs/>
          <w:szCs w:val="24"/>
        </w:rPr>
      </w:pPr>
    </w:p>
    <w:p w:rsidRPr="00873F94" w:rsidR="00142FF8" w:rsidP="00142FF8" w:rsidRDefault="00142FF8" w14:paraId="19BE4E4A" w14:textId="77777777">
      <w:pPr>
        <w:pStyle w:val="10sp0"/>
        <w:spacing w:after="0"/>
        <w:rPr>
          <w:rFonts w:ascii="Palatino Linotype" w:hAnsi="Palatino Linotype"/>
          <w:b/>
          <w:bCs/>
          <w:szCs w:val="24"/>
        </w:rPr>
      </w:pPr>
      <w:r w:rsidRPr="00873F94">
        <w:rPr>
          <w:rFonts w:ascii="Palatino Linotype" w:hAnsi="Palatino Linotype"/>
          <w:b/>
          <w:bCs/>
          <w:szCs w:val="24"/>
        </w:rPr>
        <w:t>Consistency with D.21-06-035 and D.23-02-040 and D.25-06-005</w:t>
      </w:r>
    </w:p>
    <w:p w:rsidRPr="00873F94" w:rsidR="00142FF8" w:rsidP="00142FF8" w:rsidRDefault="00142FF8" w14:paraId="34CE254E" w14:textId="77777777">
      <w:pPr>
        <w:pStyle w:val="10sp0"/>
        <w:spacing w:after="0"/>
        <w:rPr>
          <w:rFonts w:ascii="Palatino Linotype" w:hAnsi="Palatino Linotype" w:eastAsia="Palatino Linotype" w:cs="Palatino Linotype"/>
          <w:szCs w:val="24"/>
        </w:rPr>
      </w:pPr>
      <w:r w:rsidRPr="00873F94">
        <w:rPr>
          <w:rFonts w:ascii="Palatino Linotype" w:hAnsi="Palatino Linotype"/>
          <w:szCs w:val="24"/>
        </w:rPr>
        <w:t xml:space="preserve">We find that PG&amp;E AL 7648-E filing is consistent with the Commission’s MTR, </w:t>
      </w:r>
      <w:r w:rsidR="006A6279">
        <w:rPr>
          <w:rFonts w:ascii="Palatino Linotype" w:hAnsi="Palatino Linotype"/>
          <w:szCs w:val="24"/>
        </w:rPr>
        <w:br/>
      </w:r>
      <w:r w:rsidRPr="00873F94">
        <w:rPr>
          <w:rFonts w:ascii="Palatino Linotype" w:hAnsi="Palatino Linotype" w:eastAsia="Palatino Linotype" w:cs="Palatino Linotype"/>
          <w:szCs w:val="24"/>
        </w:rPr>
        <w:t>D.21-06-035. As directed PG&amp;E filed a Tier 3 AL seeking approval and cost recovery for the MTR Contract described herein.</w:t>
      </w:r>
    </w:p>
    <w:p w:rsidRPr="00873F94" w:rsidR="00142FF8" w:rsidP="00142FF8" w:rsidRDefault="00142FF8" w14:paraId="6379F28E" w14:textId="77777777">
      <w:pPr>
        <w:pStyle w:val="10sp0"/>
        <w:spacing w:after="0"/>
        <w:rPr>
          <w:rFonts w:ascii="Palatino Linotype" w:hAnsi="Palatino Linotype" w:eastAsia="Palatino Linotype" w:cs="Palatino Linotype"/>
          <w:szCs w:val="24"/>
        </w:rPr>
      </w:pPr>
    </w:p>
    <w:p w:rsidRPr="00873F94" w:rsidR="00142FF8" w:rsidP="00873F94" w:rsidRDefault="00142FF8" w14:paraId="585B2DE4" w14:textId="77777777">
      <w:pPr>
        <w:rPr>
          <w:rFonts w:ascii="Palatino Linotype" w:hAnsi="Palatino Linotype" w:eastAsia="Palatino Linotype" w:cs="Palatino Linotype"/>
        </w:rPr>
      </w:pPr>
      <w:r w:rsidRPr="00873F94">
        <w:rPr>
          <w:rFonts w:ascii="Palatino Linotype" w:hAnsi="Palatino Linotype" w:eastAsia="Palatino Linotype" w:cs="Palatino Linotype"/>
        </w:rPr>
        <w:t xml:space="preserve">The MTR Contract also appears to meet the long duration energy storage capacity requirements of D.21-06-035, D.23-02-040 and D.25-06-005, which dictate that all resources used for compliance with the decisions must be associated with a new resource, or an expansion of an existing resource, and that they are under a long-term contract of at least ten years and able to deliver at maximum capacity for a duration of at least eight hours.  </w:t>
      </w:r>
    </w:p>
    <w:p w:rsidRPr="00873F94" w:rsidR="00142FF8" w:rsidP="00873F94" w:rsidRDefault="00142FF8" w14:paraId="3CFC6AC8" w14:textId="77777777">
      <w:pPr>
        <w:pStyle w:val="10sp0"/>
        <w:spacing w:after="0"/>
        <w:rPr>
          <w:rFonts w:ascii="Palatino Linotype" w:hAnsi="Palatino Linotype"/>
          <w:szCs w:val="24"/>
        </w:rPr>
      </w:pPr>
      <w:r w:rsidRPr="00873F94">
        <w:rPr>
          <w:rFonts w:ascii="Palatino Linotype" w:hAnsi="Palatino Linotype"/>
          <w:szCs w:val="24"/>
        </w:rPr>
        <w:t>The MTR Contract is for a storage-only resource that is expected to help PG&amp;E meet</w:t>
      </w:r>
      <w:r w:rsidR="00873F94">
        <w:rPr>
          <w:rFonts w:ascii="Palatino Linotype" w:hAnsi="Palatino Linotype"/>
          <w:szCs w:val="24"/>
        </w:rPr>
        <w:t xml:space="preserve"> </w:t>
      </w:r>
      <w:r w:rsidRPr="00873F94">
        <w:rPr>
          <w:rFonts w:ascii="Palatino Linotype" w:hAnsi="Palatino Linotype"/>
          <w:szCs w:val="24"/>
        </w:rPr>
        <w:t xml:space="preserve">its LLT LDES MTR requirement. PG&amp;E AL 7648-E provided operational characteristics </w:t>
      </w:r>
      <w:r w:rsidRPr="00873F94">
        <w:rPr>
          <w:rFonts w:ascii="Palatino Linotype" w:hAnsi="Palatino Linotype"/>
          <w:szCs w:val="24"/>
        </w:rPr>
        <w:lastRenderedPageBreak/>
        <w:t>including but not limited to facility description, interconnection capacity, and discharge and charge rates per D.25-06-005.</w:t>
      </w:r>
      <w:r w:rsidRPr="00873F94">
        <w:rPr>
          <w:rStyle w:val="FootnoteReference"/>
          <w:rFonts w:ascii="Palatino Linotype" w:hAnsi="Palatino Linotype"/>
          <w:szCs w:val="24"/>
        </w:rPr>
        <w:footnoteReference w:id="18"/>
      </w:r>
      <w:r w:rsidRPr="00873F94">
        <w:rPr>
          <w:rFonts w:ascii="Palatino Linotype" w:hAnsi="Palatino Linotype"/>
          <w:szCs w:val="24"/>
        </w:rPr>
        <w:t xml:space="preserve"> </w:t>
      </w:r>
    </w:p>
    <w:p w:rsidRPr="00873F94" w:rsidR="00142FF8" w:rsidP="00142FF8" w:rsidRDefault="00142FF8" w14:paraId="3A994429" w14:textId="77777777">
      <w:pPr>
        <w:pStyle w:val="10sp0"/>
        <w:spacing w:after="0"/>
        <w:rPr>
          <w:rFonts w:ascii="Palatino Linotype" w:hAnsi="Palatino Linotype"/>
          <w:szCs w:val="24"/>
        </w:rPr>
      </w:pPr>
    </w:p>
    <w:p w:rsidRPr="00873F94" w:rsidR="00142FF8" w:rsidP="00142FF8" w:rsidRDefault="387F686E" w14:paraId="24D8BA01" w14:textId="77777777">
      <w:pPr>
        <w:pStyle w:val="10sp0"/>
        <w:spacing w:after="0"/>
        <w:rPr>
          <w:rFonts w:ascii="Palatino Linotype" w:hAnsi="Palatino Linotype"/>
          <w:szCs w:val="24"/>
        </w:rPr>
      </w:pPr>
      <w:r w:rsidRPr="00873F94">
        <w:rPr>
          <w:rFonts w:ascii="Palatino Linotype" w:hAnsi="Palatino Linotype"/>
          <w:szCs w:val="24"/>
        </w:rPr>
        <w:t>The Commission</w:t>
      </w:r>
      <w:r w:rsidRPr="00873F94" w:rsidR="00142FF8">
        <w:rPr>
          <w:rFonts w:ascii="Palatino Linotype" w:hAnsi="Palatino Linotype"/>
          <w:szCs w:val="24"/>
        </w:rPr>
        <w:t xml:space="preserve"> note final verification of specific resource eligibility for specific procurement categories is done via the IRP compliance process.</w:t>
      </w:r>
    </w:p>
    <w:p w:rsidRPr="00873F94" w:rsidR="00142FF8" w:rsidP="00142FF8" w:rsidRDefault="00142FF8" w14:paraId="29647B6D" w14:textId="77777777">
      <w:pPr>
        <w:pStyle w:val="10sp0"/>
        <w:spacing w:after="0"/>
        <w:rPr>
          <w:rFonts w:ascii="Palatino Linotype" w:hAnsi="Palatino Linotype"/>
          <w:szCs w:val="24"/>
        </w:rPr>
      </w:pPr>
    </w:p>
    <w:p w:rsidRPr="00873F94" w:rsidR="00142FF8" w:rsidP="00142FF8" w:rsidRDefault="00142FF8" w14:paraId="0EDFCDE1" w14:textId="77777777">
      <w:pPr>
        <w:pStyle w:val="10sp0"/>
        <w:spacing w:after="0"/>
        <w:rPr>
          <w:rFonts w:ascii="Palatino Linotype" w:hAnsi="Palatino Linotype"/>
          <w:b/>
          <w:bCs/>
          <w:szCs w:val="24"/>
        </w:rPr>
      </w:pPr>
      <w:r w:rsidRPr="00873F94">
        <w:rPr>
          <w:rFonts w:ascii="Palatino Linotype" w:hAnsi="Palatino Linotype"/>
          <w:b/>
          <w:bCs/>
          <w:szCs w:val="24"/>
        </w:rPr>
        <w:t>Cost Recovery</w:t>
      </w:r>
    </w:p>
    <w:p w:rsidRPr="00873F94" w:rsidR="00142FF8" w:rsidP="00142FF8" w:rsidRDefault="00142FF8" w14:paraId="3AE9FCF1" w14:textId="77777777">
      <w:pPr>
        <w:pStyle w:val="10sp0"/>
        <w:spacing w:after="0"/>
        <w:rPr>
          <w:rFonts w:ascii="Palatino Linotype" w:hAnsi="Palatino Linotype"/>
          <w:szCs w:val="24"/>
        </w:rPr>
      </w:pPr>
      <w:r w:rsidRPr="00873F94">
        <w:rPr>
          <w:rFonts w:ascii="Palatino Linotype" w:hAnsi="Palatino Linotype"/>
          <w:szCs w:val="24"/>
        </w:rPr>
        <w:t>PG&amp;E proposes to allocate the costs associated with the Balsam Project contract to applicable customers using the Portfolio Allocation Balancing Account (PABA).</w:t>
      </w:r>
      <w:r w:rsidRPr="00873F94">
        <w:rPr>
          <w:rStyle w:val="FootnoteReference"/>
          <w:rFonts w:ascii="Palatino Linotype" w:hAnsi="Palatino Linotype"/>
          <w:szCs w:val="24"/>
        </w:rPr>
        <w:footnoteReference w:id="19"/>
      </w:r>
    </w:p>
    <w:p w:rsidRPr="00873F94" w:rsidR="00142FF8" w:rsidP="00142FF8" w:rsidRDefault="00142FF8" w14:paraId="3D9978FA" w14:textId="77777777">
      <w:pPr>
        <w:pStyle w:val="10sp0"/>
        <w:spacing w:after="0"/>
        <w:rPr>
          <w:rFonts w:ascii="Palatino Linotype" w:hAnsi="Palatino Linotype"/>
          <w:szCs w:val="24"/>
        </w:rPr>
      </w:pPr>
    </w:p>
    <w:p w:rsidRPr="00873F94" w:rsidR="00142FF8" w:rsidP="00142FF8" w:rsidRDefault="00142FF8" w14:paraId="43C2D6FA" w14:textId="77777777">
      <w:pPr>
        <w:pStyle w:val="10sp0"/>
        <w:spacing w:after="0"/>
        <w:rPr>
          <w:rFonts w:ascii="Palatino Linotype" w:hAnsi="Palatino Linotype"/>
          <w:szCs w:val="24"/>
        </w:rPr>
      </w:pPr>
      <w:r w:rsidRPr="00873F94">
        <w:rPr>
          <w:rFonts w:ascii="Palatino Linotype" w:hAnsi="Palatino Linotype"/>
          <w:szCs w:val="24"/>
        </w:rPr>
        <w:t>We find the herein MTR Contract is entered into to meet the procurement requirements of D.21-06-035 and D.23-02-040, and the cost associated with the MTR Contract are Power Charge Indifference Adjustment (PCIA) eligible with an assigned vintage of 2021 for purposes of D.21-06-035 procurement requirements  for the duration of the term.</w:t>
      </w:r>
      <w:r w:rsidRPr="00873F94">
        <w:rPr>
          <w:rStyle w:val="FootnoteReference"/>
          <w:rFonts w:ascii="Palatino Linotype" w:hAnsi="Palatino Linotype"/>
          <w:szCs w:val="24"/>
        </w:rPr>
        <w:footnoteReference w:id="20"/>
      </w:r>
      <w:r w:rsidRPr="00873F94">
        <w:rPr>
          <w:rFonts w:ascii="Palatino Linotype" w:hAnsi="Palatino Linotype"/>
          <w:szCs w:val="24"/>
        </w:rPr>
        <w:t xml:space="preserve"> </w:t>
      </w:r>
      <w:r w:rsidRPr="00873F94" w:rsidR="4D441DA8">
        <w:rPr>
          <w:rFonts w:ascii="Palatino Linotype" w:hAnsi="Palatino Linotype"/>
          <w:szCs w:val="24"/>
        </w:rPr>
        <w:t>The Commission</w:t>
      </w:r>
      <w:r w:rsidRPr="00873F94">
        <w:rPr>
          <w:rFonts w:ascii="Palatino Linotype" w:hAnsi="Palatino Linotype"/>
          <w:szCs w:val="24"/>
        </w:rPr>
        <w:t xml:space="preserve"> thus find PG&amp;E’s proposed cost recovery of the MTR contract to be consistent with OP 12 of D.21-06-035. Thus, any payments to be made by PG&amp;E pursuant to the Balsam Project contract are recoverable by PG&amp;E through the PABA, subject to PG&amp;E's prudent administration of the MTR Contract.</w:t>
      </w:r>
    </w:p>
    <w:p w:rsidRPr="00873F94" w:rsidR="00142FF8" w:rsidP="00142FF8" w:rsidRDefault="00142FF8" w14:paraId="24BE0B97" w14:textId="77777777">
      <w:pPr>
        <w:pStyle w:val="10sp0"/>
        <w:spacing w:after="0"/>
        <w:rPr>
          <w:rFonts w:ascii="Palatino Linotype" w:hAnsi="Palatino Linotype"/>
          <w:b/>
          <w:bCs/>
          <w:szCs w:val="24"/>
        </w:rPr>
      </w:pPr>
    </w:p>
    <w:p w:rsidRPr="00873F94" w:rsidR="00142FF8" w:rsidP="00142FF8" w:rsidRDefault="00142FF8" w14:paraId="29CF605F" w14:textId="77777777">
      <w:pPr>
        <w:pStyle w:val="10sp0"/>
        <w:spacing w:after="0"/>
        <w:rPr>
          <w:rFonts w:ascii="Palatino Linotype" w:hAnsi="Palatino Linotype"/>
          <w:b/>
          <w:bCs/>
          <w:szCs w:val="24"/>
        </w:rPr>
      </w:pPr>
      <w:r w:rsidRPr="00873F94">
        <w:rPr>
          <w:rFonts w:ascii="Palatino Linotype" w:hAnsi="Palatino Linotype"/>
          <w:b/>
          <w:bCs/>
          <w:szCs w:val="24"/>
        </w:rPr>
        <w:t>Safety</w:t>
      </w:r>
    </w:p>
    <w:p w:rsidRPr="00873F94" w:rsidR="00142FF8" w:rsidP="00142FF8" w:rsidRDefault="00142FF8" w14:paraId="13B0DF0D" w14:textId="77777777">
      <w:pPr>
        <w:pStyle w:val="10sp0"/>
        <w:spacing w:after="0"/>
        <w:rPr>
          <w:rFonts w:ascii="Palatino Linotype" w:hAnsi="Palatino Linotype"/>
          <w:szCs w:val="24"/>
        </w:rPr>
      </w:pPr>
      <w:r w:rsidRPr="00873F94">
        <w:rPr>
          <w:rFonts w:ascii="Palatino Linotype" w:hAnsi="Palatino Linotype"/>
          <w:szCs w:val="24"/>
        </w:rPr>
        <w:t xml:space="preserve">PG&amp;E states that as a condition of remaining on its RFO shortlist for negotiations, PG&amp;E required all shortlisted participants to provide information about their technology as well as the safety history of the participant and/or contractors, if known. </w:t>
      </w:r>
    </w:p>
    <w:p w:rsidRPr="00873F94" w:rsidR="00142FF8" w:rsidP="00142FF8" w:rsidRDefault="00142FF8" w14:paraId="0369B497" w14:textId="77777777">
      <w:pPr>
        <w:pStyle w:val="10sp0"/>
        <w:spacing w:after="0"/>
        <w:rPr>
          <w:rFonts w:ascii="Palatino Linotype" w:hAnsi="Palatino Linotype"/>
          <w:szCs w:val="24"/>
        </w:rPr>
      </w:pPr>
    </w:p>
    <w:p w:rsidRPr="00873F94" w:rsidR="00142FF8" w:rsidP="00142FF8" w:rsidRDefault="00142FF8" w14:paraId="0941C78C" w14:textId="77777777">
      <w:pPr>
        <w:pStyle w:val="10sp0"/>
        <w:spacing w:after="0"/>
        <w:rPr>
          <w:rFonts w:ascii="Palatino Linotype" w:hAnsi="Palatino Linotype"/>
          <w:szCs w:val="24"/>
        </w:rPr>
      </w:pPr>
      <w:r w:rsidRPr="00873F94">
        <w:rPr>
          <w:rFonts w:ascii="Palatino Linotype" w:hAnsi="Palatino Linotype"/>
          <w:szCs w:val="24"/>
        </w:rPr>
        <w:t>PG&amp;E also required enhanced safety provisions within the MTR Contract requiring sellers to practice “responsible safety management enforced by contractual terms and conditions” based on standards for Prudent Electrical Practices and all applicable laws and regulations. Under these provisions, the seller is required to have a project safety plan that references the following: safety-related codes and standards, current safety programs and policies, potential hazards and risk mitigation safeguards. The contract terms also provide PG&amp;E with the ability to enforce safety requirements throughout project development, or the ability to terminate in the case of non-compliance.</w:t>
      </w:r>
    </w:p>
    <w:p w:rsidRPr="00873F94" w:rsidR="00142FF8" w:rsidP="00142FF8" w:rsidRDefault="00142FF8" w14:paraId="3B90EC4C" w14:textId="77777777">
      <w:pPr>
        <w:pStyle w:val="10sp0"/>
        <w:spacing w:after="0"/>
        <w:rPr>
          <w:rFonts w:ascii="Palatino Linotype" w:hAnsi="Palatino Linotype"/>
          <w:szCs w:val="24"/>
        </w:rPr>
      </w:pPr>
    </w:p>
    <w:p w:rsidRPr="00873F94" w:rsidR="00142FF8" w:rsidP="00142FF8" w:rsidRDefault="00142FF8" w14:paraId="41C6006B" w14:textId="77777777">
      <w:pPr>
        <w:pStyle w:val="10sp0"/>
        <w:spacing w:after="0"/>
        <w:rPr>
          <w:rFonts w:ascii="Palatino Linotype" w:hAnsi="Palatino Linotype"/>
          <w:szCs w:val="24"/>
        </w:rPr>
      </w:pPr>
      <w:r w:rsidRPr="00873F94">
        <w:rPr>
          <w:rFonts w:ascii="Palatino Linotype" w:hAnsi="Palatino Linotype"/>
          <w:szCs w:val="24"/>
        </w:rPr>
        <w:t xml:space="preserve">In addition to the safety considerations above, Resolution ESRB-13, approved on </w:t>
      </w:r>
      <w:r w:rsidR="00855C66">
        <w:rPr>
          <w:rFonts w:ascii="Palatino Linotype" w:hAnsi="Palatino Linotype"/>
          <w:szCs w:val="24"/>
        </w:rPr>
        <w:br/>
      </w:r>
      <w:r w:rsidRPr="00873F94">
        <w:rPr>
          <w:rFonts w:ascii="Palatino Linotype" w:hAnsi="Palatino Linotype"/>
          <w:szCs w:val="24"/>
        </w:rPr>
        <w:t xml:space="preserve">March 13, 2025, modified General Order 167-C in response to Senate Bill (SB) 1383 </w:t>
      </w:r>
      <w:r w:rsidRPr="00873F94">
        <w:rPr>
          <w:rFonts w:ascii="Palatino Linotype" w:hAnsi="Palatino Linotype"/>
          <w:szCs w:val="24"/>
        </w:rPr>
        <w:lastRenderedPageBreak/>
        <w:t>(Hueso, 2022). Resolution ESRB-13 modified GO 167-C to establish standards for the maintenance and operation of Energy Storage Systems (ESS); apply SB 38 (Laird, 2023) requirements for Emergency Response and Emergency Action Plans to ESS Owners; establish Logbook Standards for ESSs and other actions. These standards aim to improve the safety and reliability of electric generation and energy storage facilities located in California.</w:t>
      </w:r>
    </w:p>
    <w:p w:rsidRPr="00873F94" w:rsidR="00142FF8" w:rsidP="00142FF8" w:rsidRDefault="00142FF8" w14:paraId="640AD66C" w14:textId="77777777">
      <w:pPr>
        <w:pStyle w:val="10sp0"/>
        <w:spacing w:after="0"/>
        <w:rPr>
          <w:rFonts w:ascii="Palatino Linotype" w:hAnsi="Palatino Linotype"/>
          <w:b/>
          <w:bCs/>
          <w:szCs w:val="24"/>
        </w:rPr>
      </w:pPr>
    </w:p>
    <w:p w:rsidRPr="00873F94" w:rsidR="00142FF8" w:rsidP="00142FF8" w:rsidRDefault="00142FF8" w14:paraId="0ED0C700" w14:textId="77777777">
      <w:pPr>
        <w:pStyle w:val="10sp0"/>
        <w:spacing w:after="0"/>
        <w:rPr>
          <w:rFonts w:ascii="Palatino Linotype" w:hAnsi="Palatino Linotype"/>
          <w:b/>
          <w:bCs/>
          <w:szCs w:val="24"/>
        </w:rPr>
      </w:pPr>
      <w:r w:rsidRPr="00873F94">
        <w:rPr>
          <w:rFonts w:ascii="Palatino Linotype" w:hAnsi="Palatino Linotype"/>
          <w:b/>
          <w:bCs/>
          <w:szCs w:val="24"/>
        </w:rPr>
        <w:t>Disadvantaged Community Designations</w:t>
      </w:r>
    </w:p>
    <w:p w:rsidRPr="00873F94" w:rsidR="00142FF8" w:rsidP="00142FF8" w:rsidRDefault="00142FF8" w14:paraId="7A6F15B3"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Senate Bill (SB) 350 (de León, 2015) describes disadvantaged community (DAC) goals that are cross-cutting and therefore will be integrated into all policy areas. Thus, in evaluating PG&amp;E’s MTR Contracts, the Commission analyzes the impacts of procurement activities on such communities. </w:t>
      </w:r>
    </w:p>
    <w:p w:rsidRPr="00873F94" w:rsidR="00142FF8" w:rsidP="00142FF8" w:rsidRDefault="00142FF8" w14:paraId="12A077E7"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3124A6C5"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California Environmental Protection Agency (CalEPA) is responsible for identifying DACs for purposes of Cap-and-Trade program funding. CalEPA has defined DACs as: </w:t>
      </w:r>
    </w:p>
    <w:p w:rsidRPr="00873F94" w:rsidR="00142FF8" w:rsidP="00142FF8" w:rsidRDefault="00142FF8" w14:paraId="661EA2D7" w14:textId="77777777">
      <w:pPr>
        <w:pStyle w:val="ListParagraph"/>
        <w:numPr>
          <w:ilvl w:val="0"/>
          <w:numId w:val="4"/>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Census tracts </w:t>
      </w:r>
      <w:proofErr w:type="gramStart"/>
      <w:r w:rsidRPr="00873F94">
        <w:rPr>
          <w:rFonts w:ascii="Palatino Linotype" w:hAnsi="Palatino Linotype" w:eastAsia="Palatino Linotype" w:cs="Times New Roman"/>
          <w:kern w:val="0"/>
          <w14:ligatures w14:val="none"/>
        </w:rPr>
        <w:t>receiving</w:t>
      </w:r>
      <w:proofErr w:type="gramEnd"/>
      <w:r w:rsidRPr="00873F94">
        <w:rPr>
          <w:rFonts w:ascii="Palatino Linotype" w:hAnsi="Palatino Linotype" w:eastAsia="Palatino Linotype" w:cs="Times New Roman"/>
          <w:kern w:val="0"/>
          <w14:ligatures w14:val="none"/>
        </w:rPr>
        <w:t xml:space="preserve"> the highest 25% of overall scores in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4.0.</w:t>
      </w:r>
    </w:p>
    <w:p w:rsidRPr="00873F94" w:rsidR="00142FF8" w:rsidP="00142FF8" w:rsidRDefault="00142FF8" w14:paraId="4059F2B0" w14:textId="77777777">
      <w:pPr>
        <w:pStyle w:val="ListParagraph"/>
        <w:numPr>
          <w:ilvl w:val="0"/>
          <w:numId w:val="4"/>
        </w:numPr>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Census tracts lacking overall scores in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4.0 due to data gaps but receiving the highest 5% of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4.0 cumulative pollution burden score; and</w:t>
      </w:r>
    </w:p>
    <w:p w:rsidRPr="00873F94" w:rsidR="00142FF8" w:rsidP="00142FF8" w:rsidRDefault="00142FF8" w14:paraId="55C028F2" w14:textId="77777777">
      <w:pPr>
        <w:pStyle w:val="ListParagraph"/>
        <w:numPr>
          <w:ilvl w:val="0"/>
          <w:numId w:val="4"/>
        </w:numPr>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Census tracts identified under the 2017 DAC designation (i.e., tracts qualifying as DAC under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3.0) areas under the control of federally recognized Tribes.</w:t>
      </w:r>
    </w:p>
    <w:p w:rsidRPr="00873F94" w:rsidR="00142FF8" w:rsidP="00142FF8" w:rsidRDefault="00142FF8" w14:paraId="47EFB20B"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w:t>
      </w:r>
      <w:proofErr w:type="spellStart"/>
      <w:r w:rsidRPr="00873F94">
        <w:rPr>
          <w:rFonts w:ascii="Palatino Linotype" w:hAnsi="Palatino Linotype" w:eastAsia="Palatino Linotype" w:cs="Times New Roman"/>
          <w:kern w:val="0"/>
          <w14:ligatures w14:val="none"/>
        </w:rPr>
        <w:t>CalEnviroScreen</w:t>
      </w:r>
      <w:proofErr w:type="spellEnd"/>
      <w:r w:rsidRPr="00873F94">
        <w:rPr>
          <w:rFonts w:ascii="Palatino Linotype" w:hAnsi="Palatino Linotype" w:eastAsia="Palatino Linotype" w:cs="Times New Roman"/>
          <w:kern w:val="0"/>
          <w14:ligatures w14:val="none"/>
        </w:rPr>
        <w:t xml:space="preserve"> tool combines twenty indicators in “population” and “pollution burden” categories.</w:t>
      </w:r>
      <w:r w:rsidRPr="00873F94">
        <w:rPr>
          <w:rStyle w:val="FootnoteReference"/>
          <w:rFonts w:ascii="Palatino Linotype" w:hAnsi="Palatino Linotype" w:eastAsia="Palatino Linotype" w:cs="Times New Roman"/>
          <w:kern w:val="0"/>
          <w14:ligatures w14:val="none"/>
        </w:rPr>
        <w:footnoteReference w:id="21"/>
      </w:r>
      <w:r w:rsidRPr="00873F94">
        <w:rPr>
          <w:rFonts w:ascii="Palatino Linotype" w:hAnsi="Palatino Linotype" w:eastAsia="Palatino Linotype" w:cs="Times New Roman"/>
          <w:kern w:val="0"/>
          <w14:ligatures w14:val="none"/>
        </w:rPr>
        <w:t xml:space="preserve"> SB 350 directs the Commission to also use CalEPA’s tool to identify disadvantaged communities.</w:t>
      </w:r>
    </w:p>
    <w:p w:rsidRPr="00873F94" w:rsidR="00142FF8" w:rsidP="00142FF8" w:rsidRDefault="00142FF8" w14:paraId="518E1993"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5378047A"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PG&amp;E notes that consistent with Public Utilities Code Section 454.52(a)(1)(I)’s requirement to minimize localized air pollutants and other GHG emissions, with early priority on DACs, it expressed a preference in its MTR RFO for resources located in DACs. </w:t>
      </w:r>
    </w:p>
    <w:p w:rsidRPr="00873F94" w:rsidR="00142FF8" w:rsidP="00142FF8" w:rsidRDefault="00142FF8" w14:paraId="3E50A1A0"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3C90F361" w14:paraId="365540C8"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Commission</w:t>
      </w:r>
      <w:r w:rsidRPr="00873F94" w:rsidR="00142FF8">
        <w:rPr>
          <w:rFonts w:ascii="Palatino Linotype" w:hAnsi="Palatino Linotype" w:eastAsia="Palatino Linotype" w:cs="Times New Roman"/>
          <w:kern w:val="0"/>
          <w14:ligatures w14:val="none"/>
        </w:rPr>
        <w:t xml:space="preserve"> note the Dirac Project, contracted under the Balsam Project </w:t>
      </w:r>
      <w:r w:rsidRPr="00873F94" w:rsidR="2A68EE81">
        <w:rPr>
          <w:rFonts w:ascii="Palatino Linotype" w:hAnsi="Palatino Linotype" w:eastAsia="Palatino Linotype" w:cs="Times New Roman"/>
          <w:kern w:val="0"/>
          <w14:ligatures w14:val="none"/>
        </w:rPr>
        <w:t>contract</w:t>
      </w:r>
      <w:r w:rsidRPr="00873F94" w:rsidR="00142FF8">
        <w:rPr>
          <w:rFonts w:ascii="Palatino Linotype" w:hAnsi="Palatino Linotype" w:eastAsia="Palatino Linotype" w:cs="Times New Roman"/>
          <w:kern w:val="0"/>
          <w14:ligatures w14:val="none"/>
        </w:rPr>
        <w:t xml:space="preserve">, located in Chino, </w:t>
      </w:r>
      <w:proofErr w:type="gramStart"/>
      <w:r w:rsidRPr="00873F94" w:rsidR="00142FF8">
        <w:rPr>
          <w:rFonts w:ascii="Palatino Linotype" w:hAnsi="Palatino Linotype" w:eastAsia="Palatino Linotype" w:cs="Times New Roman"/>
          <w:kern w:val="0"/>
          <w14:ligatures w14:val="none"/>
        </w:rPr>
        <w:t>CA</w:t>
      </w:r>
      <w:proofErr w:type="gramEnd"/>
      <w:r w:rsidRPr="00873F94" w:rsidR="00142FF8">
        <w:rPr>
          <w:rFonts w:ascii="Palatino Linotype" w:hAnsi="Palatino Linotype" w:eastAsia="Palatino Linotype" w:cs="Times New Roman"/>
          <w:kern w:val="0"/>
          <w14:ligatures w14:val="none"/>
        </w:rPr>
        <w:t xml:space="preserve"> does not fall under </w:t>
      </w:r>
      <w:proofErr w:type="gramStart"/>
      <w:r w:rsidRPr="00873F94" w:rsidR="00142FF8">
        <w:rPr>
          <w:rFonts w:ascii="Palatino Linotype" w:hAnsi="Palatino Linotype" w:eastAsia="Palatino Linotype" w:cs="Times New Roman"/>
          <w:kern w:val="0"/>
          <w14:ligatures w14:val="none"/>
        </w:rPr>
        <w:t>a DAC</w:t>
      </w:r>
      <w:proofErr w:type="gramEnd"/>
      <w:r w:rsidRPr="00873F94" w:rsidR="00142FF8">
        <w:rPr>
          <w:rFonts w:ascii="Palatino Linotype" w:hAnsi="Palatino Linotype" w:eastAsia="Palatino Linotype" w:cs="Times New Roman"/>
          <w:kern w:val="0"/>
          <w14:ligatures w14:val="none"/>
        </w:rPr>
        <w:t xml:space="preserve">. The project location is recognized in the </w:t>
      </w:r>
      <w:proofErr w:type="spellStart"/>
      <w:r w:rsidRPr="00873F94" w:rsidR="00142FF8">
        <w:rPr>
          <w:rFonts w:ascii="Palatino Linotype" w:hAnsi="Palatino Linotype" w:eastAsia="Palatino Linotype" w:cs="Times New Roman"/>
          <w:kern w:val="0"/>
          <w14:ligatures w14:val="none"/>
        </w:rPr>
        <w:t>CalEnviroScreen</w:t>
      </w:r>
      <w:proofErr w:type="spellEnd"/>
      <w:r w:rsidRPr="00873F94" w:rsidR="00142FF8">
        <w:rPr>
          <w:rFonts w:ascii="Palatino Linotype" w:hAnsi="Palatino Linotype" w:eastAsia="Palatino Linotype" w:cs="Times New Roman"/>
          <w:kern w:val="0"/>
          <w14:ligatures w14:val="none"/>
        </w:rPr>
        <w:t xml:space="preserve"> 4.0 tool as being fairly burdened by environmental and </w:t>
      </w:r>
      <w:r w:rsidRPr="00873F94" w:rsidR="00142FF8">
        <w:rPr>
          <w:rFonts w:ascii="Palatino Linotype" w:hAnsi="Palatino Linotype" w:eastAsia="Palatino Linotype" w:cs="Times New Roman"/>
          <w:kern w:val="0"/>
          <w14:ligatures w14:val="none"/>
        </w:rPr>
        <w:lastRenderedPageBreak/>
        <w:t>socioeconomic factors due to exposures from particulate matter 2.5 and drinking water contaminants, as well as affects from hazardous waste.</w:t>
      </w:r>
      <w:r w:rsidRPr="00873F94" w:rsidR="00142FF8">
        <w:rPr>
          <w:rStyle w:val="FootnoteReference"/>
          <w:rFonts w:ascii="Palatino Linotype" w:hAnsi="Palatino Linotype" w:eastAsia="Palatino Linotype" w:cs="Times New Roman"/>
          <w:kern w:val="0"/>
          <w14:ligatures w14:val="none"/>
        </w:rPr>
        <w:footnoteReference w:id="22"/>
      </w:r>
    </w:p>
    <w:p w:rsidRPr="00873F94" w:rsidR="00142FF8" w:rsidP="00142FF8" w:rsidRDefault="00142FF8" w14:paraId="7FA30155"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2B77216D" w14:textId="77777777">
      <w:pPr>
        <w:spacing w:after="0" w:line="240" w:lineRule="auto"/>
        <w:rPr>
          <w:rFonts w:ascii="Palatino Linotype" w:hAnsi="Palatino Linotype" w:eastAsia="Palatino Linotype" w:cs="Times New Roman"/>
          <w:b/>
          <w:bCs/>
          <w:kern w:val="0"/>
          <w14:ligatures w14:val="none"/>
        </w:rPr>
      </w:pPr>
      <w:r w:rsidRPr="00873F94">
        <w:rPr>
          <w:rFonts w:ascii="Palatino Linotype" w:hAnsi="Palatino Linotype" w:eastAsia="Palatino Linotype" w:cs="Times New Roman"/>
          <w:b/>
          <w:bCs/>
          <w:kern w:val="0"/>
          <w14:ligatures w14:val="none"/>
        </w:rPr>
        <w:t>Confidential Information</w:t>
      </w:r>
    </w:p>
    <w:p w:rsidRPr="00873F94" w:rsidR="00142FF8" w:rsidP="00142FF8" w:rsidRDefault="00142FF8" w14:paraId="144A1CB4"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solicitations. D.08-04-023, Appendix C, established a Model Protective Order for those reviewing confidential information. </w:t>
      </w:r>
    </w:p>
    <w:p w:rsidRPr="00873F94" w:rsidR="00142FF8" w:rsidP="00142FF8" w:rsidRDefault="00142FF8" w14:paraId="7A3BF184" w14:textId="77777777">
      <w:pPr>
        <w:spacing w:after="0" w:line="240" w:lineRule="auto"/>
        <w:rPr>
          <w:rFonts w:ascii="Palatino Linotype" w:hAnsi="Palatino Linotype" w:eastAsia="Palatino Linotype" w:cs="Times New Roman"/>
          <w:kern w:val="0"/>
          <w14:ligatures w14:val="none"/>
        </w:rPr>
      </w:pPr>
    </w:p>
    <w:p w:rsidR="00142FF8" w:rsidP="00142FF8" w:rsidRDefault="00142FF8" w14:paraId="68AD43C5"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confidential appendix marked "REDACTED" in the public copy of this resolution, as well as the confidential portions of the advice letter, should remain confidential at this time.</w:t>
      </w:r>
    </w:p>
    <w:p w:rsidRPr="00873F94" w:rsidR="003F35E8" w:rsidP="00142FF8" w:rsidRDefault="003F35E8" w14:paraId="5A0DCF48"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5ED5DA8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Comments</w:t>
      </w:r>
    </w:p>
    <w:p w:rsidRPr="00873F94" w:rsidR="00142FF8" w:rsidP="00142FF8" w:rsidRDefault="00142FF8" w14:paraId="4D2CE03B"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873F94" w:rsidR="00142FF8" w:rsidP="00142FF8" w:rsidRDefault="00142FF8" w14:paraId="4DA30EF3"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0381601D" w14:textId="77777777">
      <w:p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comments </w:t>
      </w:r>
      <w:r w:rsidRPr="00873F94" w:rsidR="4676501C">
        <w:rPr>
          <w:rFonts w:ascii="Palatino Linotype" w:hAnsi="Palatino Linotype" w:eastAsia="Palatino Linotype" w:cs="Times New Roman"/>
          <w:kern w:val="0"/>
          <w14:ligatures w14:val="none"/>
        </w:rPr>
        <w:t xml:space="preserve">on December </w:t>
      </w:r>
      <w:r w:rsidRPr="00873F94" w:rsidR="5CDF6DAB">
        <w:rPr>
          <w:rFonts w:ascii="Palatino Linotype" w:hAnsi="Palatino Linotype" w:eastAsia="Palatino Linotype" w:cs="Times New Roman"/>
          <w:kern w:val="0"/>
          <w14:ligatures w14:val="none"/>
        </w:rPr>
        <w:t>4</w:t>
      </w:r>
      <w:r w:rsidRPr="00873F94" w:rsidR="4676501C">
        <w:rPr>
          <w:rFonts w:ascii="Palatino Linotype" w:hAnsi="Palatino Linotype" w:eastAsia="Palatino Linotype" w:cs="Times New Roman"/>
          <w:kern w:val="0"/>
          <w14:ligatures w14:val="none"/>
        </w:rPr>
        <w:t xml:space="preserve">, </w:t>
      </w:r>
      <w:proofErr w:type="gramStart"/>
      <w:r w:rsidRPr="00873F94" w:rsidR="4676501C">
        <w:rPr>
          <w:rFonts w:ascii="Palatino Linotype" w:hAnsi="Palatino Linotype" w:eastAsia="Palatino Linotype" w:cs="Times New Roman"/>
          <w:kern w:val="0"/>
          <w14:ligatures w14:val="none"/>
        </w:rPr>
        <w:t>2025</w:t>
      </w:r>
      <w:proofErr w:type="gramEnd"/>
      <w:r w:rsidRPr="00873F94" w:rsidR="4676501C">
        <w:rPr>
          <w:rFonts w:ascii="Palatino Linotype" w:hAnsi="Palatino Linotype" w:eastAsia="Palatino Linotype" w:cs="Times New Roman"/>
          <w:kern w:val="0"/>
          <w14:ligatures w14:val="none"/>
        </w:rPr>
        <w:t xml:space="preserve"> </w:t>
      </w:r>
      <w:r w:rsidRPr="00873F94">
        <w:rPr>
          <w:rFonts w:ascii="Palatino Linotype" w:hAnsi="Palatino Linotype" w:eastAsia="Palatino Linotype" w:cs="Times New Roman"/>
          <w:kern w:val="0"/>
          <w14:ligatures w14:val="none"/>
        </w:rPr>
        <w:t xml:space="preserve">and </w:t>
      </w:r>
      <w:r w:rsidRPr="00873F94" w:rsidR="7958F224">
        <w:rPr>
          <w:rFonts w:ascii="Palatino Linotype" w:hAnsi="Palatino Linotype" w:eastAsia="Palatino Linotype" w:cs="Times New Roman"/>
          <w:kern w:val="0"/>
          <w14:ligatures w14:val="none"/>
        </w:rPr>
        <w:t xml:space="preserve">has been placed on the CPUC’s agenda for January 15, 2025. </w:t>
      </w:r>
    </w:p>
    <w:p w:rsidR="797AE2E8" w:rsidP="797AE2E8" w:rsidRDefault="797AE2E8" w14:paraId="1550F83A" w14:textId="77777777">
      <w:pPr>
        <w:spacing w:after="0" w:line="240" w:lineRule="auto"/>
        <w:rPr>
          <w:rFonts w:ascii="Palatino Linotype" w:hAnsi="Palatino Linotype" w:eastAsia="Palatino Linotype" w:cs="Times New Roman"/>
        </w:rPr>
      </w:pPr>
    </w:p>
    <w:p w:rsidR="7958F224" w:rsidP="797AE2E8" w:rsidRDefault="7958F224" w14:paraId="5E4F8BAE" w14:textId="77777777">
      <w:pPr>
        <w:spacing w:after="0" w:line="240" w:lineRule="auto"/>
        <w:rPr>
          <w:rFonts w:ascii="Palatino Linotype" w:hAnsi="Palatino Linotype" w:eastAsia="Palatino Linotype" w:cs="Times New Roman"/>
        </w:rPr>
      </w:pPr>
      <w:r w:rsidRPr="797AE2E8">
        <w:rPr>
          <w:rFonts w:ascii="Palatino Linotype" w:hAnsi="Palatino Linotype" w:eastAsia="Palatino Linotype" w:cs="Times New Roman"/>
        </w:rPr>
        <w:t>This resolution received no comments.</w:t>
      </w:r>
    </w:p>
    <w:p w:rsidRPr="00873F94" w:rsidR="00142FF8" w:rsidP="00142FF8" w:rsidRDefault="00142FF8" w14:paraId="2CAE7E69"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3D3440B6"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t>Findings and Conclusions</w:t>
      </w:r>
    </w:p>
    <w:p w:rsidRPr="00873F94" w:rsidR="00142FF8" w:rsidP="00142FF8" w:rsidRDefault="00142FF8" w14:paraId="18A3534C"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D.21-06-035 directed LSEs to procure 11,500 MW of incremental September NQC under the Commission’s Integrated Resource Planning purview over the course </w:t>
      </w:r>
      <w:r w:rsidRPr="00873F94">
        <w:rPr>
          <w:rFonts w:ascii="Palatino Linotype" w:hAnsi="Palatino Linotype" w:eastAsia="Palatino Linotype" w:cs="Times New Roman"/>
          <w:kern w:val="0"/>
          <w14:ligatures w14:val="none"/>
        </w:rPr>
        <w:lastRenderedPageBreak/>
        <w:t xml:space="preserve">of four years, with 2,000 MW to be online by August 1, 2023; an additional </w:t>
      </w:r>
      <w:r w:rsidR="00C72310">
        <w:rPr>
          <w:rFonts w:ascii="Palatino Linotype" w:hAnsi="Palatino Linotype" w:eastAsia="Palatino Linotype" w:cs="Times New Roman"/>
          <w:kern w:val="0"/>
          <w14:ligatures w14:val="none"/>
        </w:rPr>
        <w:br/>
      </w:r>
      <w:r w:rsidRPr="00873F94">
        <w:rPr>
          <w:rFonts w:ascii="Palatino Linotype" w:hAnsi="Palatino Linotype" w:eastAsia="Palatino Linotype" w:cs="Times New Roman"/>
          <w:kern w:val="0"/>
          <w14:ligatures w14:val="none"/>
        </w:rPr>
        <w:t xml:space="preserve">6,000 MW online by June 1, 2024; an additional 1,500 MW online by June 1, 2025; and an additional 2,000 MW online by June 1, 2026. </w:t>
      </w:r>
    </w:p>
    <w:p w:rsidRPr="00873F94" w:rsidR="00142FF8" w:rsidP="00142FF8" w:rsidRDefault="00142FF8" w14:paraId="4CBF4188"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D.21-06-035 ordered the three large IOUs to file Tier 3 ALs to request cost recovery for any procurement conducted because of that decision, except if the procurement is associated with a pumped storage resource or a utility-owned resource, for which full applications are required.</w:t>
      </w:r>
    </w:p>
    <w:p w:rsidRPr="00873F94" w:rsidR="00142FF8" w:rsidP="00142FF8" w:rsidRDefault="00142FF8" w14:paraId="6041DDB7" w14:textId="77777777">
      <w:pPr>
        <w:pStyle w:val="Default"/>
        <w:numPr>
          <w:ilvl w:val="0"/>
          <w:numId w:val="1"/>
        </w:numPr>
      </w:pPr>
      <w:r w:rsidRPr="00873F94">
        <w:t xml:space="preserve">D.23-02-040 directed LSEs to procure an additional combined total of 4,000 MW of September NQC from non-emitting, storage, and/or renewable resources in 2026 and 2027, with resources required to be online by June 1 of each year. </w:t>
      </w:r>
    </w:p>
    <w:p w:rsidRPr="00873F94" w:rsidR="00142FF8" w:rsidP="00142FF8" w:rsidRDefault="00142FF8" w14:paraId="59E3911E" w14:textId="77777777">
      <w:pPr>
        <w:pStyle w:val="Default"/>
        <w:numPr>
          <w:ilvl w:val="0"/>
          <w:numId w:val="1"/>
        </w:numPr>
      </w:pPr>
      <w:r w:rsidRPr="00873F94">
        <w:t>D.21-06-035 originally directed LSEs to procure 2,000 MW of LLT resources (which include long duration storage resources) by June 1,2026. D.23-02-040 extended the LLT resource online deadline to June 1, 2028.</w:t>
      </w:r>
    </w:p>
    <w:p w:rsidRPr="00873F94" w:rsidR="00142FF8" w:rsidP="00142FF8" w:rsidRDefault="00142FF8" w14:paraId="0A430B5C"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 xml:space="preserve">PG&amp;E’s share of the MTR procurement requirements under D.21-06-035 and D.23-02-040 is 400 MW online by August 1, 2023; 1,201 MW online by </w:t>
      </w:r>
      <w:r w:rsidR="00C72310">
        <w:rPr>
          <w:rFonts w:ascii="Palatino Linotype" w:hAnsi="Palatino Linotype" w:eastAsia="Palatino Linotype" w:cs="Times New Roman"/>
          <w:kern w:val="0"/>
          <w14:ligatures w14:val="none"/>
        </w:rPr>
        <w:br/>
      </w:r>
      <w:r w:rsidRPr="00873F94">
        <w:rPr>
          <w:rFonts w:ascii="Palatino Linotype" w:hAnsi="Palatino Linotype" w:eastAsia="Palatino Linotype" w:cs="Times New Roman"/>
          <w:kern w:val="0"/>
          <w14:ligatures w14:val="none"/>
        </w:rPr>
        <w:t xml:space="preserve">June 1, 2024; 300 MW online by June 1, 2025; 388 MW online by June 1, 2026; </w:t>
      </w:r>
      <w:r w:rsidR="003D0183">
        <w:rPr>
          <w:rFonts w:ascii="Palatino Linotype" w:hAnsi="Palatino Linotype" w:eastAsia="Palatino Linotype" w:cs="Times New Roman"/>
          <w:kern w:val="0"/>
          <w14:ligatures w14:val="none"/>
        </w:rPr>
        <w:br/>
      </w:r>
      <w:r w:rsidRPr="00873F94">
        <w:rPr>
          <w:rFonts w:ascii="Palatino Linotype" w:hAnsi="Palatino Linotype" w:eastAsia="Palatino Linotype" w:cs="Times New Roman"/>
          <w:kern w:val="0"/>
          <w14:ligatures w14:val="none"/>
        </w:rPr>
        <w:t xml:space="preserve">388 MW online by June 1, 2027; and 400 MW of long lead time resources by </w:t>
      </w:r>
      <w:r w:rsidR="00C72310">
        <w:rPr>
          <w:rFonts w:ascii="Palatino Linotype" w:hAnsi="Palatino Linotype" w:eastAsia="Palatino Linotype" w:cs="Times New Roman"/>
          <w:kern w:val="0"/>
          <w14:ligatures w14:val="none"/>
        </w:rPr>
        <w:br/>
      </w:r>
      <w:r w:rsidRPr="00873F94">
        <w:rPr>
          <w:rFonts w:ascii="Palatino Linotype" w:hAnsi="Palatino Linotype" w:eastAsia="Palatino Linotype" w:cs="Times New Roman"/>
          <w:kern w:val="0"/>
          <w14:ligatures w14:val="none"/>
        </w:rPr>
        <w:t>June 1, 2028.</w:t>
      </w:r>
    </w:p>
    <w:p w:rsidRPr="00873F94" w:rsidR="00142FF8" w:rsidP="00142FF8" w:rsidRDefault="00142FF8" w14:paraId="49178BA2"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On July 16, 2025, PG&amp;E filed AL 7648-E seeking approval of one MTR Contract intended to partially meet PG&amp;E’s portion of the MTR requirements established by D.21-06-035 and D.23-02-040.</w:t>
      </w:r>
    </w:p>
    <w:p w:rsidRPr="00873F94" w:rsidR="00142FF8" w:rsidP="00142FF8" w:rsidRDefault="00142FF8" w14:paraId="27549D12"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Balsam Project contract, which is for 225 MW of nameplate capacity, 8-hour energy storage duration, a 15-year term, expected to come online May 20, 2028, and start delivery August 1, 2028, is intended to help PG&amp;E meet its LLT resource MTR requirement.</w:t>
      </w:r>
    </w:p>
    <w:p w:rsidRPr="00873F94" w:rsidR="00142FF8" w:rsidP="00142FF8" w:rsidRDefault="00142FF8" w14:paraId="741A7F7F"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PG&amp;E’s methodology used to evaluate the bids in the competitive solicitation that resulted in the MTR Contract presented in PG&amp;E AL 7648-E is reasonable.</w:t>
      </w:r>
    </w:p>
    <w:p w:rsidRPr="00873F94" w:rsidR="00142FF8" w:rsidP="00142FF8" w:rsidRDefault="00142FF8" w14:paraId="379A21AD" w14:textId="77777777">
      <w:pPr>
        <w:numPr>
          <w:ilvl w:val="0"/>
          <w:numId w:val="1"/>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The MTR Contract presented in PG&amp;E AL 7648-E is reasonable based on a robust competitive solicitation and bid evaluation methodology.</w:t>
      </w:r>
    </w:p>
    <w:p w:rsidRPr="00873F94" w:rsidR="00142FF8" w:rsidP="00142FF8" w:rsidRDefault="00142FF8" w14:paraId="2F0AAB1D" w14:textId="77777777">
      <w:pPr>
        <w:pStyle w:val="Default"/>
        <w:numPr>
          <w:ilvl w:val="0"/>
          <w:numId w:val="1"/>
        </w:numPr>
      </w:pPr>
      <w:r w:rsidRPr="00873F94">
        <w:t>PG&amp;E’s request in AL 7648-E to allocate the benefits and costs of the MTR Contract to applicable customers via the PCIA 2021 vintage balancing account is reasonable.</w:t>
      </w:r>
    </w:p>
    <w:p w:rsidRPr="00873F94" w:rsidR="00142FF8" w:rsidP="00142FF8" w:rsidRDefault="00142FF8" w14:paraId="47533307" w14:textId="77777777">
      <w:pPr>
        <w:pStyle w:val="Default"/>
        <w:numPr>
          <w:ilvl w:val="0"/>
          <w:numId w:val="1"/>
        </w:numPr>
      </w:pPr>
      <w:r w:rsidRPr="00873F94">
        <w:t>The confidential appendix marked "REDACTED" in the public copy of this Resolution, as well as the confidential portions of Advice Letter 7648-E, should remain confidential at this time.</w:t>
      </w:r>
    </w:p>
    <w:p w:rsidRPr="00873F94" w:rsidR="00142FF8" w:rsidP="00142FF8" w:rsidRDefault="00142FF8" w14:paraId="5DD975EC" w14:textId="77777777">
      <w:pPr>
        <w:spacing w:after="0" w:line="240" w:lineRule="auto"/>
        <w:rPr>
          <w:rFonts w:ascii="Palatino Linotype" w:hAnsi="Palatino Linotype" w:eastAsia="Palatino Linotype" w:cs="Times New Roman"/>
          <w:kern w:val="0"/>
          <w14:ligatures w14:val="none"/>
        </w:rPr>
      </w:pPr>
    </w:p>
    <w:p w:rsidRPr="00873F94" w:rsidR="00142FF8" w:rsidP="00142FF8" w:rsidRDefault="00142FF8" w14:paraId="7A8DCB87"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873F94">
        <w:rPr>
          <w:rFonts w:ascii="Palatino Linotype" w:hAnsi="Palatino Linotype" w:eastAsia="Palatino Linotype" w:cs="Times New Roman"/>
          <w:b/>
          <w:caps/>
          <w:kern w:val="28"/>
          <w:u w:val="single"/>
          <w14:ligatures w14:val="none"/>
        </w:rPr>
        <w:lastRenderedPageBreak/>
        <w:t>THEREFORE, it is ordered that:</w:t>
      </w:r>
    </w:p>
    <w:p w:rsidRPr="00873F94" w:rsidR="00142FF8" w:rsidP="00142FF8" w:rsidRDefault="00142FF8" w14:paraId="2CC5F05B" w14:textId="77777777">
      <w:pPr>
        <w:numPr>
          <w:ilvl w:val="0"/>
          <w:numId w:val="3"/>
        </w:numPr>
        <w:spacing w:after="0" w:line="240" w:lineRule="auto"/>
        <w:rPr>
          <w:rFonts w:ascii="Palatino Linotype" w:hAnsi="Palatino Linotype" w:eastAsia="Palatino Linotype" w:cs="Times New Roman"/>
          <w:snapToGrid w:val="0"/>
          <w:kern w:val="0"/>
          <w14:ligatures w14:val="none"/>
        </w:rPr>
      </w:pPr>
      <w:r w:rsidRPr="00873F94">
        <w:rPr>
          <w:rFonts w:ascii="Palatino Linotype" w:hAnsi="Palatino Linotype" w:eastAsia="Palatino Linotype" w:cs="Times New Roman"/>
          <w:snapToGrid w:val="0"/>
          <w:kern w:val="0"/>
          <w14:ligatures w14:val="none"/>
        </w:rPr>
        <w:t>Pacific Gas &amp; Electric Company's request in PG&amp;E AL 7648-E for approval of the MTR Contract and related costs for a total of 225 MW nameplate capacity, expected to come online May 20, 2028, is approved.</w:t>
      </w:r>
    </w:p>
    <w:p w:rsidRPr="00873F94" w:rsidR="00142FF8" w:rsidP="00142FF8" w:rsidRDefault="00142FF8" w14:paraId="40A2A5B4" w14:textId="77777777">
      <w:pPr>
        <w:numPr>
          <w:ilvl w:val="0"/>
          <w:numId w:val="3"/>
        </w:numPr>
        <w:spacing w:after="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snapToGrid w:val="0"/>
          <w:kern w:val="0"/>
          <w14:ligatures w14:val="none"/>
        </w:rPr>
        <w:t>Pacific Gas &amp; Electric Company's request in PG&amp;E AL 7648-E, to allocate the benefits and costs of the</w:t>
      </w:r>
      <w:r w:rsidRPr="00873F94">
        <w:rPr>
          <w:rFonts w:ascii="Palatino Linotype" w:hAnsi="Palatino Linotype" w:eastAsia="Palatino Linotype" w:cs="Times New Roman"/>
          <w:kern w:val="0"/>
          <w14:ligatures w14:val="none"/>
        </w:rPr>
        <w:t xml:space="preserve"> </w:t>
      </w:r>
      <w:r w:rsidRPr="00873F94">
        <w:rPr>
          <w:rFonts w:ascii="Palatino Linotype" w:hAnsi="Palatino Linotype" w:eastAsia="Palatino Linotype" w:cs="Times New Roman"/>
          <w:snapToGrid w:val="0"/>
          <w:kern w:val="0"/>
          <w14:ligatures w14:val="none"/>
        </w:rPr>
        <w:t xml:space="preserve">MTR Contract to all applicable customers via the 2021 vintage </w:t>
      </w:r>
      <w:r w:rsidR="006A6279">
        <w:rPr>
          <w:rFonts w:ascii="Palatino Linotype" w:hAnsi="Palatino Linotype" w:eastAsia="Palatino Linotype" w:cs="Times New Roman"/>
          <w:snapToGrid w:val="0"/>
          <w:kern w:val="0"/>
          <w14:ligatures w14:val="none"/>
        </w:rPr>
        <w:br/>
      </w:r>
      <w:r w:rsidRPr="00873F94">
        <w:rPr>
          <w:rFonts w:ascii="Palatino Linotype" w:hAnsi="Palatino Linotype" w:eastAsia="Palatino Linotype" w:cs="Times New Roman"/>
          <w:snapToGrid w:val="0"/>
          <w:kern w:val="0"/>
          <w14:ligatures w14:val="none"/>
        </w:rPr>
        <w:t>sub-account of PG&amp;E’s Portfolio Allocation Balancing Account, including incremental administrative costs, is approved.</w:t>
      </w:r>
    </w:p>
    <w:p w:rsidRPr="00873F94" w:rsidR="00142FF8" w:rsidP="00142FF8" w:rsidRDefault="00142FF8" w14:paraId="3ABBD1A4"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73F94" w:rsidR="00142FF8" w:rsidP="00806B9D" w:rsidRDefault="00142FF8" w14:paraId="526665F5" w14:textId="77777777">
      <w:pPr>
        <w:keepNext/>
        <w:tabs>
          <w:tab w:val="left" w:pos="720"/>
          <w:tab w:val="left" w:pos="1296"/>
          <w:tab w:val="left" w:pos="2016"/>
          <w:tab w:val="left" w:pos="2736"/>
          <w:tab w:val="left" w:pos="3456"/>
          <w:tab w:val="left" w:pos="4176"/>
          <w:tab w:val="left" w:pos="5760"/>
        </w:tabs>
        <w:spacing w:before="240" w:after="120" w:line="240" w:lineRule="auto"/>
        <w:rPr>
          <w:rFonts w:ascii="Palatino Linotype" w:hAnsi="Palatino Linotype" w:eastAsia="Palatino Linotype" w:cs="Times New Roman"/>
          <w:kern w:val="0"/>
          <w14:ligatures w14:val="none"/>
        </w:rPr>
      </w:pPr>
      <w:r w:rsidRPr="00873F94">
        <w:rPr>
          <w:rFonts w:ascii="Palatino Linotype" w:hAnsi="Palatino Linotype" w:eastAsia="Palatino Linotype" w:cs="Times New Roman"/>
          <w:kern w:val="0"/>
          <w14:ligatures w14:val="none"/>
        </w:rPr>
        <w:t>This Resolution is effective today.</w:t>
      </w:r>
    </w:p>
    <w:p w:rsidRPr="00873F94" w:rsidR="00142FF8" w:rsidP="00142FF8" w:rsidRDefault="00142FF8" w14:paraId="3D6238A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73F94" w:rsidR="00142FF8" w:rsidP="00142FF8" w:rsidRDefault="00142FF8" w14:paraId="7C233D0B" w14:textId="77777777">
      <w:pPr>
        <w:pStyle w:val="10sp0"/>
        <w:spacing w:after="480"/>
        <w:rPr>
          <w:rFonts w:ascii="Palatino Linotype" w:hAnsi="Palatino Linotype"/>
          <w:szCs w:val="24"/>
        </w:rPr>
      </w:pPr>
      <w:r w:rsidRPr="00873F94">
        <w:rPr>
          <w:rFonts w:ascii="Palatino Linotype" w:hAnsi="Palatino Linotype"/>
          <w:szCs w:val="24"/>
        </w:rPr>
        <w:t>The foregoing resolution was duly introduced, passed and adopted at a conference of the Public Utilities Commission of the State of California held on</w:t>
      </w:r>
      <w:r w:rsidRPr="00873F94" w:rsidR="00287DEE">
        <w:rPr>
          <w:rFonts w:ascii="Palatino Linotype" w:hAnsi="Palatino Linotype"/>
          <w:szCs w:val="24"/>
        </w:rPr>
        <w:t xml:space="preserve"> January 15, 2026</w:t>
      </w:r>
      <w:r w:rsidRPr="00873F94">
        <w:rPr>
          <w:rFonts w:ascii="Palatino Linotype" w:hAnsi="Palatino Linotype"/>
          <w:szCs w:val="24"/>
        </w:rPr>
        <w:t>; the following Commissioners voting favorably thereon:</w:t>
      </w:r>
    </w:p>
    <w:p w:rsidRPr="00CC0DE5" w:rsidR="00AB3F8C" w:rsidP="00AB3F8C" w:rsidRDefault="00AB3F8C" w14:paraId="0D311D9A" w14:textId="77777777">
      <w:pPr>
        <w:pStyle w:val="10sp0"/>
        <w:spacing w:after="0"/>
        <w:ind w:left="5040"/>
        <w:rPr>
          <w:rFonts w:ascii="Palatino Linotype" w:hAnsi="Palatino Linotype" w:eastAsia="Palatino Linotype"/>
          <w:u w:val="single"/>
        </w:rPr>
      </w:pPr>
      <w:r w:rsidRPr="00CC0DE5">
        <w:rPr>
          <w:rFonts w:ascii="Palatino Linotype" w:hAnsi="Palatino Linotype" w:eastAsia="Palatino Linotype"/>
          <w:u w:val="single"/>
        </w:rPr>
        <w:t>/s/ RACHEL PETERSON</w:t>
      </w:r>
    </w:p>
    <w:p w:rsidRPr="00CC0DE5" w:rsidR="00AB3F8C" w:rsidP="00AB3F8C" w:rsidRDefault="00AB3F8C" w14:paraId="304965A1" w14:textId="77777777">
      <w:pPr>
        <w:pStyle w:val="10sp0"/>
        <w:spacing w:after="0"/>
        <w:ind w:left="5040"/>
        <w:rPr>
          <w:rFonts w:ascii="Palatino Linotype" w:hAnsi="Palatino Linotype" w:eastAsia="Palatino Linotype"/>
        </w:rPr>
      </w:pPr>
      <w:r w:rsidRPr="00CC0DE5">
        <w:rPr>
          <w:rFonts w:ascii="Palatino Linotype" w:hAnsi="Palatino Linotype" w:eastAsia="Palatino Linotype"/>
        </w:rPr>
        <w:t xml:space="preserve"> </w:t>
      </w:r>
      <w:r>
        <w:rPr>
          <w:rFonts w:ascii="Palatino Linotype" w:hAnsi="Palatino Linotype" w:eastAsia="Palatino Linotype"/>
        </w:rPr>
        <w:t xml:space="preserve">     </w:t>
      </w:r>
      <w:r w:rsidRPr="00CC0DE5">
        <w:rPr>
          <w:rFonts w:ascii="Palatino Linotype" w:hAnsi="Palatino Linotype" w:eastAsia="Palatino Linotype"/>
        </w:rPr>
        <w:t xml:space="preserve">   Rachel Peterson</w:t>
      </w:r>
    </w:p>
    <w:p w:rsidRPr="00CC0DE5" w:rsidR="00AB3F8C" w:rsidP="00AB3F8C" w:rsidRDefault="00AB3F8C" w14:paraId="0ACC8C50" w14:textId="77777777">
      <w:pPr>
        <w:pStyle w:val="10sp0"/>
        <w:spacing w:after="0"/>
        <w:ind w:left="5040"/>
        <w:rPr>
          <w:rFonts w:ascii="Palatino Linotype" w:hAnsi="Palatino Linotype" w:eastAsia="Palatino Linotype"/>
        </w:rPr>
      </w:pPr>
      <w:r>
        <w:rPr>
          <w:rFonts w:ascii="Palatino Linotype" w:hAnsi="Palatino Linotype" w:eastAsia="Palatino Linotype"/>
        </w:rPr>
        <w:t xml:space="preserve">   </w:t>
      </w:r>
      <w:r w:rsidRPr="00CC0DE5">
        <w:rPr>
          <w:rFonts w:ascii="Palatino Linotype" w:hAnsi="Palatino Linotype" w:eastAsia="Palatino Linotype"/>
        </w:rPr>
        <w:t xml:space="preserve">  Executive Director</w:t>
      </w:r>
    </w:p>
    <w:p w:rsidRPr="00CC0DE5" w:rsidR="00AB3F8C" w:rsidP="00AB3F8C" w:rsidRDefault="00AB3F8C" w14:paraId="642F7CBA" w14:textId="77777777">
      <w:pPr>
        <w:pStyle w:val="10sp0"/>
        <w:spacing w:after="0"/>
        <w:ind w:left="5040"/>
        <w:rPr>
          <w:rFonts w:ascii="Palatino Linotype" w:hAnsi="Palatino Linotype" w:eastAsia="Palatino Linotype"/>
        </w:rPr>
      </w:pPr>
    </w:p>
    <w:p w:rsidRPr="00CC0DE5" w:rsidR="00AB3F8C" w:rsidP="00AB3F8C" w:rsidRDefault="00AB3F8C" w14:paraId="0CD0D719" w14:textId="77777777">
      <w:pPr>
        <w:pStyle w:val="10sp0"/>
        <w:spacing w:after="0"/>
        <w:ind w:left="5040"/>
        <w:rPr>
          <w:rFonts w:ascii="Palatino Linotype" w:hAnsi="Palatino Linotype" w:eastAsia="Palatino Linotype"/>
        </w:rPr>
      </w:pPr>
    </w:p>
    <w:p w:rsidRPr="0026243C" w:rsidR="00AB3F8C" w:rsidP="00AB3F8C" w:rsidRDefault="00AB3F8C" w14:paraId="42D8804C"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ALICE REYNOLDS</w:t>
      </w:r>
    </w:p>
    <w:p w:rsidRPr="0026243C" w:rsidR="00AB3F8C" w:rsidP="00AB3F8C" w:rsidRDefault="00AB3F8C" w14:paraId="06BEAF84"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w:t>
      </w:r>
      <w:r>
        <w:rPr>
          <w:rFonts w:ascii="Palatino Linotype" w:hAnsi="Palatino Linotype" w:eastAsia="Palatino Linotype"/>
        </w:rPr>
        <w:t xml:space="preserve">  </w:t>
      </w:r>
      <w:r w:rsidRPr="0026243C">
        <w:rPr>
          <w:rFonts w:ascii="Palatino Linotype" w:hAnsi="Palatino Linotype" w:eastAsia="Palatino Linotype"/>
        </w:rPr>
        <w:t xml:space="preserve">      President</w:t>
      </w:r>
    </w:p>
    <w:p w:rsidRPr="0026243C" w:rsidR="00AB3F8C" w:rsidP="00AB3F8C" w:rsidRDefault="00AB3F8C" w14:paraId="5C600E81" w14:textId="77777777">
      <w:pPr>
        <w:pStyle w:val="10sp0"/>
        <w:spacing w:after="0"/>
        <w:ind w:left="5130"/>
        <w:rPr>
          <w:rFonts w:ascii="Palatino Linotype" w:hAnsi="Palatino Linotype" w:eastAsia="Palatino Linotype"/>
        </w:rPr>
      </w:pPr>
    </w:p>
    <w:p w:rsidRPr="0026243C" w:rsidR="00AB3F8C" w:rsidP="00AB3F8C" w:rsidRDefault="00AB3F8C" w14:paraId="6C194380"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DARCIE L. HOUCK</w:t>
      </w:r>
    </w:p>
    <w:p w:rsidRPr="0026243C" w:rsidR="00AB3F8C" w:rsidP="00AB3F8C" w:rsidRDefault="00AB3F8C" w14:paraId="203F8122"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JOHN REYNOLDS</w:t>
      </w:r>
    </w:p>
    <w:p w:rsidR="00AB3F8C" w:rsidP="00AB3F8C" w:rsidRDefault="00AB3F8C" w14:paraId="3F49C41A"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KAREN DOUGLAS</w:t>
      </w:r>
    </w:p>
    <w:p w:rsidRPr="0026243C" w:rsidR="00AB3F8C" w:rsidP="00AB3F8C" w:rsidRDefault="00AB3F8C" w14:paraId="0BF4EF9E"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M</w:t>
      </w:r>
      <w:r>
        <w:rPr>
          <w:rFonts w:ascii="Palatino Linotype" w:hAnsi="Palatino Linotype" w:eastAsia="Palatino Linotype"/>
        </w:rPr>
        <w:t>ATHEW BAKER</w:t>
      </w:r>
    </w:p>
    <w:p w:rsidRPr="0026243C" w:rsidR="00AB3F8C" w:rsidP="00AB3F8C" w:rsidRDefault="00AB3F8C" w14:paraId="4E992F87" w14:textId="77777777">
      <w:pPr>
        <w:pStyle w:val="10sp0"/>
        <w:spacing w:after="0"/>
        <w:ind w:left="5130"/>
        <w:rPr>
          <w:rFonts w:ascii="Palatino Linotype" w:hAnsi="Palatino Linotype" w:eastAsia="Palatino Linotype"/>
        </w:rPr>
      </w:pPr>
      <w:r w:rsidRPr="0026243C">
        <w:rPr>
          <w:rFonts w:ascii="Palatino Linotype" w:hAnsi="Palatino Linotype" w:eastAsia="Palatino Linotype"/>
        </w:rPr>
        <w:t xml:space="preserve">   Commissioners</w:t>
      </w:r>
    </w:p>
    <w:p w:rsidRPr="0026243C" w:rsidR="00AB3F8C" w:rsidP="00AB3F8C" w:rsidRDefault="00AB3F8C" w14:paraId="65C1318C" w14:textId="77777777">
      <w:pPr>
        <w:pStyle w:val="10sp0"/>
        <w:spacing w:after="0"/>
        <w:ind w:left="5130"/>
        <w:rPr>
          <w:rFonts w:ascii="Palatino Linotype" w:hAnsi="Palatino Linotype" w:eastAsia="Palatino Linotype"/>
        </w:rPr>
      </w:pPr>
    </w:p>
    <w:p w:rsidR="00AB3F8C" w:rsidP="00AB3F8C" w:rsidRDefault="00AB3F8C" w14:paraId="3F96AA17" w14:textId="77777777">
      <w:pPr>
        <w:pStyle w:val="10sp0"/>
        <w:spacing w:after="0"/>
        <w:jc w:val="center"/>
        <w:rPr>
          <w:rFonts w:ascii="Palatino Linotype" w:hAnsi="Palatino Linotype" w:eastAsia="Palatino Linotype"/>
          <w:szCs w:val="24"/>
        </w:rPr>
      </w:pPr>
    </w:p>
    <w:p w:rsidR="00AB3F8C" w:rsidP="00AB3F8C" w:rsidRDefault="00AB3F8C" w14:paraId="12081338" w14:textId="77777777">
      <w:pPr>
        <w:pStyle w:val="10sp0"/>
        <w:spacing w:after="0"/>
        <w:jc w:val="center"/>
        <w:rPr>
          <w:rFonts w:ascii="Palatino Linotype" w:hAnsi="Palatino Linotype" w:eastAsia="Palatino Linotype"/>
          <w:szCs w:val="24"/>
        </w:rPr>
      </w:pPr>
    </w:p>
    <w:p w:rsidR="00AB3F8C" w:rsidP="00AB3F8C" w:rsidRDefault="00AB3F8C" w14:paraId="5AD5FD2B" w14:textId="77777777">
      <w:pPr>
        <w:pStyle w:val="10sp0"/>
        <w:spacing w:after="480"/>
        <w:rPr>
          <w:rFonts w:ascii="Palatino Linotype" w:hAnsi="Palatino Linotype" w:eastAsia="Palatino Linotype"/>
        </w:rPr>
      </w:pPr>
      <w:r w:rsidRPr="008F34BE">
        <w:rPr>
          <w:rFonts w:ascii="Palatino Linotype" w:hAnsi="Palatino Linotype" w:eastAsia="Palatino Linotype"/>
          <w:szCs w:val="24"/>
        </w:rPr>
        <w:t xml:space="preserve">Dated </w:t>
      </w:r>
      <w:r w:rsidRPr="008F34BE">
        <w:rPr>
          <w:rFonts w:ascii="Palatino Linotype" w:hAnsi="Palatino Linotype" w:eastAsia="Palatino Linotype"/>
        </w:rPr>
        <w:t>January 15, 2026</w:t>
      </w:r>
      <w:r w:rsidRPr="008F34BE">
        <w:rPr>
          <w:rFonts w:ascii="Palatino Linotype" w:hAnsi="Palatino Linotype" w:eastAsia="Palatino Linotype"/>
          <w:szCs w:val="24"/>
        </w:rPr>
        <w:t xml:space="preserve">, at </w:t>
      </w:r>
      <w:r>
        <w:rPr>
          <w:rFonts w:ascii="Palatino Linotype" w:hAnsi="Palatino Linotype" w:eastAsia="Palatino Linotype"/>
        </w:rPr>
        <w:t>San Francisco</w:t>
      </w:r>
      <w:r w:rsidRPr="008F34BE">
        <w:rPr>
          <w:rFonts w:ascii="Palatino Linotype" w:hAnsi="Palatino Linotype" w:eastAsia="Palatino Linotype"/>
          <w:szCs w:val="24"/>
        </w:rPr>
        <w:t xml:space="preserve">, California </w:t>
      </w:r>
    </w:p>
    <w:p w:rsidRPr="00873F94" w:rsidR="00142FF8" w:rsidP="00142FF8" w:rsidRDefault="00142FF8" w14:paraId="2709ADCA" w14:textId="77777777">
      <w:pPr>
        <w:keepNext/>
        <w:spacing w:after="0" w:line="240" w:lineRule="auto"/>
        <w:rPr>
          <w:rFonts w:ascii="Palatino Linotype" w:hAnsi="Palatino Linotype"/>
        </w:rPr>
      </w:pPr>
    </w:p>
    <w:p w:rsidR="00994C59" w:rsidP="00142FF8" w:rsidRDefault="00994C59" w14:paraId="395CE544" w14:textId="77777777">
      <w:pPr>
        <w:keepNext/>
        <w:spacing w:after="0" w:line="240" w:lineRule="auto"/>
        <w:rPr>
          <w:rFonts w:ascii="Palatino Linotype" w:hAnsi="Palatino Linotype"/>
        </w:rPr>
        <w:sectPr w:rsidR="00994C59"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142FF8" w:rsidP="00142FF8" w:rsidRDefault="00142FF8" w14:paraId="3BD43519" w14:textId="77777777">
      <w:pPr>
        <w:keepNext/>
        <w:spacing w:after="0" w:line="240" w:lineRule="auto"/>
        <w:rPr>
          <w:rFonts w:ascii="Palatino Linotype" w:hAnsi="Palatino Linotype"/>
        </w:rPr>
      </w:pPr>
    </w:p>
    <w:p w:rsidR="009251BA" w:rsidP="00142FF8" w:rsidRDefault="009251BA" w14:paraId="5705E04A" w14:textId="77777777">
      <w:pPr>
        <w:keepNext/>
        <w:spacing w:after="0" w:line="240" w:lineRule="auto"/>
        <w:rPr>
          <w:rFonts w:ascii="Palatino Linotype" w:hAnsi="Palatino Linotype"/>
        </w:rPr>
      </w:pPr>
    </w:p>
    <w:p w:rsidR="009251BA" w:rsidP="00142FF8" w:rsidRDefault="009251BA" w14:paraId="177A596B" w14:textId="77777777">
      <w:pPr>
        <w:keepNext/>
        <w:spacing w:after="0" w:line="240" w:lineRule="auto"/>
        <w:rPr>
          <w:rFonts w:ascii="Palatino Linotype" w:hAnsi="Palatino Linotype"/>
        </w:rPr>
      </w:pPr>
    </w:p>
    <w:p w:rsidR="009251BA" w:rsidP="00142FF8" w:rsidRDefault="009251BA" w14:paraId="4BC50BE0" w14:textId="77777777">
      <w:pPr>
        <w:keepNext/>
        <w:spacing w:after="0" w:line="240" w:lineRule="auto"/>
        <w:rPr>
          <w:rFonts w:ascii="Palatino Linotype" w:hAnsi="Palatino Linotype"/>
        </w:rPr>
      </w:pPr>
    </w:p>
    <w:p w:rsidR="009251BA" w:rsidP="00142FF8" w:rsidRDefault="009251BA" w14:paraId="61657E71" w14:textId="77777777">
      <w:pPr>
        <w:keepNext/>
        <w:spacing w:after="0" w:line="240" w:lineRule="auto"/>
        <w:rPr>
          <w:rFonts w:ascii="Palatino Linotype" w:hAnsi="Palatino Linotype"/>
        </w:rPr>
      </w:pPr>
    </w:p>
    <w:p w:rsidR="009251BA" w:rsidP="00142FF8" w:rsidRDefault="009251BA" w14:paraId="0DB0AEBD" w14:textId="77777777">
      <w:pPr>
        <w:keepNext/>
        <w:spacing w:after="0" w:line="240" w:lineRule="auto"/>
        <w:rPr>
          <w:rFonts w:ascii="Palatino Linotype" w:hAnsi="Palatino Linotype"/>
        </w:rPr>
      </w:pPr>
    </w:p>
    <w:p w:rsidR="009251BA" w:rsidP="00142FF8" w:rsidRDefault="009251BA" w14:paraId="4E2C3B89" w14:textId="77777777">
      <w:pPr>
        <w:keepNext/>
        <w:spacing w:after="0" w:line="240" w:lineRule="auto"/>
        <w:rPr>
          <w:rFonts w:ascii="Palatino Linotype" w:hAnsi="Palatino Linotype"/>
        </w:rPr>
      </w:pPr>
    </w:p>
    <w:p w:rsidR="009251BA" w:rsidP="00142FF8" w:rsidRDefault="009251BA" w14:paraId="11F4DD6D" w14:textId="77777777">
      <w:pPr>
        <w:keepNext/>
        <w:spacing w:after="0" w:line="240" w:lineRule="auto"/>
        <w:rPr>
          <w:rFonts w:ascii="Palatino Linotype" w:hAnsi="Palatino Linotype"/>
        </w:rPr>
      </w:pPr>
    </w:p>
    <w:p w:rsidR="009251BA" w:rsidP="00142FF8" w:rsidRDefault="009251BA" w14:paraId="79DF4C3A" w14:textId="77777777">
      <w:pPr>
        <w:keepNext/>
        <w:spacing w:after="0" w:line="240" w:lineRule="auto"/>
        <w:rPr>
          <w:rFonts w:ascii="Palatino Linotype" w:hAnsi="Palatino Linotype"/>
        </w:rPr>
      </w:pPr>
    </w:p>
    <w:p w:rsidR="00701C64" w:rsidP="00701C64" w:rsidRDefault="00701C64" w14:paraId="067C3EAA" w14:textId="77777777">
      <w:pPr>
        <w:pStyle w:val="Default"/>
        <w:jc w:val="center"/>
        <w:rPr>
          <w:b/>
          <w:bCs/>
          <w:sz w:val="36"/>
          <w:szCs w:val="36"/>
        </w:rPr>
      </w:pPr>
      <w:r>
        <w:rPr>
          <w:b/>
          <w:bCs/>
          <w:sz w:val="36"/>
          <w:szCs w:val="36"/>
        </w:rPr>
        <w:t>Confidential Appendix A</w:t>
      </w:r>
    </w:p>
    <w:p w:rsidR="00701C64" w:rsidP="00701C64" w:rsidRDefault="00701C64" w14:paraId="677CC151" w14:textId="77777777">
      <w:pPr>
        <w:pStyle w:val="Default"/>
        <w:jc w:val="center"/>
        <w:rPr>
          <w:sz w:val="36"/>
          <w:szCs w:val="36"/>
        </w:rPr>
      </w:pPr>
    </w:p>
    <w:p w:rsidR="00B16185" w:rsidP="00B16185" w:rsidRDefault="00B16185" w14:paraId="38113E28" w14:textId="77777777">
      <w:pPr>
        <w:spacing w:after="0" w:line="240" w:lineRule="auto"/>
        <w:jc w:val="center"/>
        <w:rPr>
          <w:rFonts w:ascii="Palatino Linotype" w:hAnsi="Palatino Linotype" w:eastAsia="Times New Roman" w:cs="Times New Roman"/>
          <w:kern w:val="0"/>
          <w:sz w:val="23"/>
          <w:szCs w:val="23"/>
          <w14:ligatures w14:val="none"/>
        </w:rPr>
      </w:pPr>
      <w:r>
        <w:rPr>
          <w:rFonts w:ascii="Palatino Linotype" w:hAnsi="Palatino Linotype" w:eastAsia="Times New Roman" w:cs="Times New Roman"/>
          <w:kern w:val="0"/>
          <w:sz w:val="23"/>
          <w:szCs w:val="23"/>
          <w14:ligatures w14:val="none"/>
        </w:rPr>
        <w:t>Summary of Amended Contract Terms and Responses to Select Data Requests</w:t>
      </w:r>
    </w:p>
    <w:p w:rsidR="00701C64" w:rsidP="00701C64" w:rsidRDefault="00701C64" w14:paraId="088A566E" w14:textId="77777777">
      <w:pPr>
        <w:keepNext/>
        <w:spacing w:after="0" w:line="240" w:lineRule="auto"/>
        <w:jc w:val="center"/>
        <w:rPr>
          <w:sz w:val="28"/>
          <w:szCs w:val="28"/>
        </w:rPr>
      </w:pPr>
    </w:p>
    <w:p w:rsidR="00701C64" w:rsidP="00701C64" w:rsidRDefault="00701C64" w14:paraId="3E2281E4" w14:textId="77777777">
      <w:pPr>
        <w:keepNext/>
        <w:spacing w:after="0" w:line="240" w:lineRule="auto"/>
        <w:jc w:val="center"/>
        <w:rPr>
          <w:sz w:val="28"/>
          <w:szCs w:val="28"/>
        </w:rPr>
      </w:pPr>
    </w:p>
    <w:p w:rsidR="00701C64" w:rsidP="00701C64" w:rsidRDefault="00701C64" w14:paraId="4CDDF00E" w14:textId="77777777">
      <w:pPr>
        <w:keepNext/>
        <w:spacing w:after="0" w:line="240" w:lineRule="auto"/>
        <w:jc w:val="center"/>
        <w:rPr>
          <w:sz w:val="28"/>
          <w:szCs w:val="28"/>
        </w:rPr>
      </w:pPr>
    </w:p>
    <w:p w:rsidRPr="00701C64" w:rsidR="009251BA" w:rsidP="00701C64" w:rsidRDefault="00701C64" w14:paraId="794F15F6" w14:textId="77777777">
      <w:pPr>
        <w:keepNext/>
        <w:spacing w:after="0" w:line="240" w:lineRule="auto"/>
        <w:jc w:val="center"/>
        <w:rPr>
          <w:rFonts w:ascii="Palatino Linotype" w:hAnsi="Palatino Linotype"/>
        </w:rPr>
      </w:pPr>
      <w:r w:rsidRPr="00701C64">
        <w:rPr>
          <w:rFonts w:ascii="Palatino Linotype" w:hAnsi="Palatino Linotype"/>
          <w:sz w:val="28"/>
          <w:szCs w:val="28"/>
        </w:rPr>
        <w:t>REDACTED</w:t>
      </w:r>
    </w:p>
    <w:p w:rsidR="009168B4" w:rsidRDefault="009168B4" w14:paraId="6A0A6624" w14:textId="77777777"/>
    <w:sectPr w:rsidR="009168B4" w:rsidSect="00473E2A">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DB8C" w14:textId="77777777" w:rsidR="00612C2C" w:rsidRDefault="00612C2C" w:rsidP="00A76F4A">
      <w:pPr>
        <w:spacing w:after="0" w:line="240" w:lineRule="auto"/>
      </w:pPr>
      <w:r>
        <w:separator/>
      </w:r>
    </w:p>
  </w:endnote>
  <w:endnote w:type="continuationSeparator" w:id="0">
    <w:p w14:paraId="7E61ED99" w14:textId="77777777" w:rsidR="00612C2C" w:rsidRDefault="00612C2C" w:rsidP="00A76F4A">
      <w:pPr>
        <w:spacing w:after="0" w:line="240" w:lineRule="auto"/>
      </w:pPr>
      <w:r>
        <w:continuationSeparator/>
      </w:r>
    </w:p>
  </w:endnote>
  <w:endnote w:type="continuationNotice" w:id="1">
    <w:p w14:paraId="27DD2C59" w14:textId="77777777" w:rsidR="00612C2C" w:rsidRDefault="00612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5C179C37" w14:textId="77777777"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3F066952" w14:textId="277251E4" w:rsidR="004A7A4C" w:rsidRPr="004A7A4C" w:rsidRDefault="009212B1" w:rsidP="001F368C">
        <w:pPr>
          <w:pStyle w:val="Footer"/>
          <w:tabs>
            <w:tab w:val="left" w:pos="1836"/>
          </w:tabs>
          <w:rPr>
            <w:rFonts w:ascii="Palatino Linotype" w:hAnsi="Palatino Linotype"/>
          </w:rPr>
        </w:pPr>
        <w:r w:rsidRPr="009212B1">
          <w:rPr>
            <w:rFonts w:ascii="Tahoma" w:hAnsi="Tahoma" w:cs="Tahoma"/>
            <w:sz w:val="18"/>
            <w:szCs w:val="18"/>
          </w:rPr>
          <w:t xml:space="preserve">596113464  </w:t>
        </w:r>
        <w:r>
          <w:rPr>
            <w:rFonts w:ascii="Tahoma" w:hAnsi="Tahoma" w:cs="Tahoma"/>
            <w:sz w:val="18"/>
            <w:szCs w:val="18"/>
          </w:rPr>
          <w:t xml:space="preserve"> </w:t>
        </w:r>
        <w:r w:rsidR="00FB7C7C">
          <w:rPr>
            <w:rFonts w:ascii="Palatino Linotype" w:hAnsi="Palatino Linotype"/>
          </w:rPr>
          <w:tab/>
        </w:r>
        <w:r w:rsidR="001F368C">
          <w:rPr>
            <w:rFonts w:ascii="Palatino Linotype" w:hAnsi="Palatino Linotype"/>
          </w:rPr>
          <w:t xml:space="preserve"> </w:t>
        </w:r>
        <w:r w:rsidR="001F368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321319623"/>
      <w:docPartObj>
        <w:docPartGallery w:val="Page Numbers (Bottom of Page)"/>
        <w:docPartUnique/>
      </w:docPartObj>
    </w:sdtPr>
    <w:sdtEndPr>
      <w:rPr>
        <w:noProof/>
      </w:rPr>
    </w:sdtEndPr>
    <w:sdtContent>
      <w:p w14:paraId="746CF14F" w14:textId="77777777" w:rsidR="000C4942" w:rsidRPr="004A7A4C" w:rsidRDefault="000C4942" w:rsidP="001F368C">
        <w:pPr>
          <w:pStyle w:val="Footer"/>
          <w:tabs>
            <w:tab w:val="left" w:pos="1836"/>
          </w:tabs>
          <w:rPr>
            <w:rFonts w:ascii="Palatino Linotype" w:hAnsi="Palatino Linotype"/>
          </w:rPr>
        </w:pPr>
        <w:r>
          <w:rPr>
            <w:rFonts w:ascii="Palatino Linotype" w:hAnsi="Palatino Linotype"/>
          </w:rPr>
          <w:tab/>
          <w:t xml:space="preserve"> </w:t>
        </w:r>
        <w:r>
          <w:rPr>
            <w:rFonts w:ascii="Palatino Linotype" w:hAnsi="Palatino Linotype"/>
          </w:rPr>
          <w:tab/>
        </w:r>
        <w:r w:rsidR="00473E2A">
          <w:rPr>
            <w:rFonts w:ascii="Palatino Linotype" w:hAnsi="Palatino Linotype"/>
          </w:rPr>
          <w:t>A-</w:t>
        </w:r>
        <w:r w:rsidRPr="004A7A4C">
          <w:rPr>
            <w:rFonts w:ascii="Palatino Linotype" w:hAnsi="Palatino Linotype"/>
          </w:rPr>
          <w:fldChar w:fldCharType="begin"/>
        </w:r>
        <w:r w:rsidRPr="004A7A4C">
          <w:rPr>
            <w:rFonts w:ascii="Palatino Linotype" w:hAnsi="Palatino Linotype"/>
          </w:rPr>
          <w:instrText xml:space="preserve"> PAGE   \* MERGEFORMAT </w:instrText>
        </w:r>
        <w:r w:rsidRPr="004A7A4C">
          <w:rPr>
            <w:rFonts w:ascii="Palatino Linotype" w:hAnsi="Palatino Linotype"/>
          </w:rPr>
          <w:fldChar w:fldCharType="separate"/>
        </w:r>
        <w:r w:rsidRPr="004A7A4C">
          <w:rPr>
            <w:rFonts w:ascii="Palatino Linotype" w:hAnsi="Palatino Linotype"/>
            <w:noProof/>
          </w:rPr>
          <w:t>2</w:t>
        </w:r>
        <w:r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0AD6" w14:textId="77777777" w:rsidR="00612C2C" w:rsidRDefault="00612C2C" w:rsidP="00A76F4A">
      <w:pPr>
        <w:spacing w:after="0" w:line="240" w:lineRule="auto"/>
      </w:pPr>
      <w:r>
        <w:separator/>
      </w:r>
    </w:p>
  </w:footnote>
  <w:footnote w:type="continuationSeparator" w:id="0">
    <w:p w14:paraId="72E7A449" w14:textId="77777777" w:rsidR="00612C2C" w:rsidRDefault="00612C2C" w:rsidP="00A76F4A">
      <w:pPr>
        <w:spacing w:after="0" w:line="240" w:lineRule="auto"/>
      </w:pPr>
      <w:r>
        <w:continuationSeparator/>
      </w:r>
    </w:p>
  </w:footnote>
  <w:footnote w:type="continuationNotice" w:id="1">
    <w:p w14:paraId="183DA13B" w14:textId="77777777" w:rsidR="00612C2C" w:rsidRDefault="00612C2C">
      <w:pPr>
        <w:spacing w:after="0" w:line="240" w:lineRule="auto"/>
      </w:pPr>
    </w:p>
  </w:footnote>
  <w:footnote w:id="2">
    <w:p w14:paraId="30361FF6"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IDD is a contractually defined term. Per the Agreement, facilities are required to be commercially operational prior to the IDD. </w:t>
      </w:r>
    </w:p>
  </w:footnote>
  <w:footnote w:id="3">
    <w:p w14:paraId="2774F8B6"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 21-06-035, at 67, “Compliance would be measured based on September NQC calculations using marginal Effective Load Carrying Capability (ELCCs) calculated by the Commission for each resource type for each future online year”.</w:t>
      </w:r>
    </w:p>
  </w:footnote>
  <w:footnote w:id="4">
    <w:p w14:paraId="4D761783"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 21-06-035, OP 1 and 6.</w:t>
      </w:r>
    </w:p>
  </w:footnote>
  <w:footnote w:id="5">
    <w:p w14:paraId="4670DBAC"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 21-06-035, OP 2.</w:t>
      </w:r>
    </w:p>
  </w:footnote>
  <w:footnote w:id="6">
    <w:p w14:paraId="72A84294"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D.21-06-035, OP 9; D.21-06-035, OP 13.</w:t>
      </w:r>
    </w:p>
  </w:footnote>
  <w:footnote w:id="7">
    <w:p w14:paraId="3C0F1397"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D.23-02-040, OP 2.</w:t>
      </w:r>
    </w:p>
  </w:footnote>
  <w:footnote w:id="8">
    <w:p w14:paraId="296F4A05"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D.23-02-040 at 87; and D.23-02-040, OP 8 (“[A] load serving entity may contract for imported energy as a bridge until the online date of a new compliance resource, from any resource and with any counterparty, for a period of not more than three years.”)</w:t>
      </w:r>
    </w:p>
  </w:footnote>
  <w:footnote w:id="9">
    <w:p w14:paraId="2D776434"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D.24-02-047, OP 16 and OP 17.</w:t>
      </w:r>
    </w:p>
  </w:footnote>
  <w:footnote w:id="10">
    <w:p w14:paraId="584BF62E"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D.25-06-005, OP 2.</w:t>
      </w:r>
    </w:p>
  </w:footnote>
  <w:footnote w:id="11">
    <w:p w14:paraId="75303400"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2.</w:t>
      </w:r>
    </w:p>
  </w:footnote>
  <w:footnote w:id="12">
    <w:p w14:paraId="5547D66A"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2.</w:t>
      </w:r>
    </w:p>
  </w:footnote>
  <w:footnote w:id="13">
    <w:p w14:paraId="3FF9886F"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3.</w:t>
      </w:r>
    </w:p>
  </w:footnote>
  <w:footnote w:id="14">
    <w:p w14:paraId="62F3E1B0"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at 3.</w:t>
      </w:r>
    </w:p>
  </w:footnote>
  <w:footnote w:id="15">
    <w:p w14:paraId="41261533"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7648-E, Appendix B2.</w:t>
      </w:r>
    </w:p>
  </w:footnote>
  <w:footnote w:id="16">
    <w:p w14:paraId="6D080D75" w14:textId="77777777" w:rsidR="00142FF8" w:rsidRPr="00A06EA0" w:rsidRDefault="00142FF8" w:rsidP="00142FF8">
      <w:pPr>
        <w:pStyle w:val="FootnoteText"/>
        <w:rPr>
          <w:rFonts w:ascii="Palatino Linotype" w:hAnsi="Palatino Linotype" w:cs="Times New Roman"/>
        </w:rPr>
      </w:pPr>
      <w:r w:rsidRPr="00A06EA0">
        <w:rPr>
          <w:rStyle w:val="FootnoteReference"/>
          <w:rFonts w:ascii="Palatino Linotype" w:hAnsi="Palatino Linotype" w:cs="Times New Roman"/>
        </w:rPr>
        <w:footnoteRef/>
      </w:r>
      <w:r w:rsidRPr="00A06EA0">
        <w:rPr>
          <w:rFonts w:ascii="Palatino Linotype" w:hAnsi="Palatino Linotype" w:cs="Times New Roman"/>
        </w:rPr>
        <w:t xml:space="preserve"> PG&amp;E AL 7420-E at 7.</w:t>
      </w:r>
    </w:p>
  </w:footnote>
  <w:footnote w:id="17">
    <w:p w14:paraId="68F929BA" w14:textId="77777777" w:rsidR="00142FF8" w:rsidRPr="009B45B4" w:rsidRDefault="00142FF8" w:rsidP="00142FF8">
      <w:pPr>
        <w:pStyle w:val="FootnoteText"/>
        <w:rPr>
          <w:rFonts w:ascii="Palatino Linotype" w:hAnsi="Palatino Linotype"/>
        </w:rPr>
      </w:pPr>
      <w:r w:rsidRPr="009B45B4">
        <w:rPr>
          <w:rStyle w:val="FootnoteReference"/>
          <w:rFonts w:ascii="Palatino Linotype" w:hAnsi="Palatino Linotype"/>
        </w:rPr>
        <w:footnoteRef/>
      </w:r>
      <w:r w:rsidRPr="009B45B4">
        <w:rPr>
          <w:rFonts w:ascii="Palatino Linotype" w:hAnsi="Palatino Linotype"/>
        </w:rPr>
        <w:t xml:space="preserve"> </w:t>
      </w:r>
      <w:r w:rsidRPr="00A06EA0">
        <w:rPr>
          <w:rFonts w:ascii="Palatino Linotype" w:hAnsi="Palatino Linotype" w:cs="Times New Roman"/>
        </w:rPr>
        <w:t>PG&amp;E AL 7648-E Appendix B1 at 56-57</w:t>
      </w:r>
    </w:p>
  </w:footnote>
  <w:footnote w:id="18">
    <w:p w14:paraId="39C2B7E3"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cs="Times New Roman"/>
        </w:rPr>
        <w:t xml:space="preserve"> D.25-06-005, OP 5.</w:t>
      </w:r>
    </w:p>
  </w:footnote>
  <w:footnote w:id="19">
    <w:p w14:paraId="7E1547D8"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Includes bundled service customers and departing load customers with 2021 and/or 2023 vintage cost responsibility.</w:t>
      </w:r>
    </w:p>
  </w:footnote>
  <w:footnote w:id="20">
    <w:p w14:paraId="11721525"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Such costs include, but are not limited to, Independent Evaluator costs.</w:t>
      </w:r>
    </w:p>
  </w:footnote>
  <w:footnote w:id="21">
    <w:p w14:paraId="60A1E0AA"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w:t>
      </w:r>
      <w:hyperlink r:id="rId1" w:history="1">
        <w:r w:rsidR="0089650D" w:rsidRPr="00FD50E5">
          <w:rPr>
            <w:rStyle w:val="Hyperlink"/>
            <w:rFonts w:ascii="Palatino Linotype" w:hAnsi="Palatino Linotype"/>
          </w:rPr>
          <w:t>https://oehha.ca.gov/sites/default/files/media/downloads/calenviroscreen/document/ces3newinces3.pdf</w:t>
        </w:r>
      </w:hyperlink>
      <w:r w:rsidR="0089650D">
        <w:rPr>
          <w:rFonts w:ascii="Palatino Linotype" w:hAnsi="Palatino Linotype"/>
        </w:rPr>
        <w:t xml:space="preserve"> </w:t>
      </w:r>
    </w:p>
  </w:footnote>
  <w:footnote w:id="22">
    <w:p w14:paraId="3D34CAC0" w14:textId="77777777" w:rsidR="00142FF8" w:rsidRPr="00A06EA0" w:rsidRDefault="00142FF8" w:rsidP="00142FF8">
      <w:pPr>
        <w:pStyle w:val="FootnoteText"/>
        <w:rPr>
          <w:rFonts w:ascii="Palatino Linotype" w:hAnsi="Palatino Linotype"/>
        </w:rPr>
      </w:pPr>
      <w:r w:rsidRPr="00A06EA0">
        <w:rPr>
          <w:rStyle w:val="FootnoteReference"/>
          <w:rFonts w:ascii="Palatino Linotype" w:hAnsi="Palatino Linotype"/>
        </w:rPr>
        <w:footnoteRef/>
      </w:r>
      <w:r w:rsidRPr="00A06EA0">
        <w:rPr>
          <w:rFonts w:ascii="Palatino Linotype" w:hAnsi="Palatino Linotype"/>
        </w:rPr>
        <w:t xml:space="preserve"> Chino, California is in the overall </w:t>
      </w:r>
      <w:proofErr w:type="spellStart"/>
      <w:r w:rsidRPr="00A06EA0">
        <w:rPr>
          <w:rFonts w:ascii="Palatino Linotype" w:hAnsi="Palatino Linotype"/>
        </w:rPr>
        <w:t>CalEnviroScreen</w:t>
      </w:r>
      <w:proofErr w:type="spellEnd"/>
      <w:r w:rsidRPr="00A06EA0">
        <w:rPr>
          <w:rFonts w:ascii="Palatino Linotype" w:hAnsi="Palatino Linotype"/>
        </w:rPr>
        <w:t xml:space="preserve"> 4.0 percentile of 59 out of 100 (a mid-range score) retrieved by the tool on October 2, 2025, from: </w:t>
      </w:r>
      <w:hyperlink r:id="rId2" w:history="1">
        <w:r w:rsidR="00910CCA" w:rsidRPr="00FD50E5">
          <w:rPr>
            <w:rStyle w:val="Hyperlink"/>
            <w:rFonts w:ascii="Palatino Linotype" w:hAnsi="Palatino Linotype"/>
          </w:rPr>
          <w:t>https://experience.arcgis.com/experience/11d2f52282a54ceebcac7428e6184203/page/CalEnviroScreen-4_0</w:t>
        </w:r>
      </w:hyperlink>
      <w:r w:rsidR="00910CCA">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AF76" w14:textId="2F6E478E" w:rsidR="00A76F4A" w:rsidRDefault="56DF6A51" w:rsidP="006935F8">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sidR="00873F94">
      <w:rPr>
        <w:rFonts w:ascii="Palatino Linotype" w:hAnsi="Palatino Linotype"/>
      </w:rPr>
      <w:t>E-5437</w:t>
    </w:r>
    <w:r w:rsidR="008213BB">
      <w:tab/>
    </w:r>
    <w:r w:rsidR="008213BB">
      <w:tab/>
    </w:r>
    <w:r w:rsidR="00287DEE">
      <w:rPr>
        <w:rFonts w:ascii="Palatino Linotype" w:hAnsi="Palatino Linotype"/>
      </w:rPr>
      <w:t>Jan</w:t>
    </w:r>
    <w:r w:rsidR="00873F94">
      <w:rPr>
        <w:rFonts w:ascii="Palatino Linotype" w:hAnsi="Palatino Linotype"/>
      </w:rPr>
      <w:t>uary 15, 2026</w:t>
    </w:r>
  </w:p>
  <w:p w14:paraId="23B3FD70" w14:textId="77777777" w:rsidR="00873F94" w:rsidRDefault="00873F94" w:rsidP="00873F94">
    <w:pPr>
      <w:pStyle w:val="Header"/>
      <w:rPr>
        <w:rFonts w:ascii="Palatino Linotype" w:hAnsi="Palatino Linotype"/>
        <w:szCs w:val="18"/>
      </w:rPr>
    </w:pPr>
    <w:r>
      <w:rPr>
        <w:rFonts w:ascii="Palatino Linotype" w:hAnsi="Palatino Linotype"/>
        <w:szCs w:val="18"/>
      </w:rPr>
      <w:t xml:space="preserve">PG&amp;E </w:t>
    </w:r>
    <w:r w:rsidR="003D0183">
      <w:rPr>
        <w:rFonts w:ascii="Palatino Linotype" w:hAnsi="Palatino Linotype"/>
        <w:szCs w:val="18"/>
      </w:rPr>
      <w:t xml:space="preserve">AL </w:t>
    </w:r>
    <w:r>
      <w:rPr>
        <w:rFonts w:ascii="Palatino Linotype" w:hAnsi="Palatino Linotype"/>
        <w:szCs w:val="18"/>
      </w:rPr>
      <w:t>7648-E/GG6</w:t>
    </w:r>
  </w:p>
  <w:p w14:paraId="4B0E74AC" w14:textId="77777777" w:rsidR="00873F94" w:rsidRDefault="00873F94" w:rsidP="00873F94">
    <w:pPr>
      <w:pStyle w:val="Header"/>
      <w:rPr>
        <w:rFonts w:ascii="Palatino Linotype" w:hAnsi="Palatino Linotype"/>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4F02" w14:textId="56D29ACF" w:rsidR="00AB3F8C" w:rsidRPr="00AB3F8C" w:rsidRDefault="00AB3F8C" w:rsidP="00AB3F8C">
    <w:pPr>
      <w:pStyle w:val="Header"/>
      <w:rPr>
        <w:rFonts w:ascii="Palatino Linotype" w:hAnsi="Palatino Linotype"/>
      </w:rPr>
    </w:pPr>
    <w:r w:rsidRPr="00AB3F8C">
      <w:rPr>
        <w:rFonts w:ascii="Palatino Linotype" w:hAnsi="Palatino Linotype"/>
      </w:rPr>
      <w:tab/>
    </w:r>
    <w:r w:rsidRPr="00AB3F8C">
      <w:rPr>
        <w:rFonts w:ascii="Palatino Linotype" w:hAnsi="Palatino Linotype"/>
      </w:rPr>
      <w:tab/>
      <w:t xml:space="preserve">Date of Issuance: January </w:t>
    </w:r>
    <w:r>
      <w:rPr>
        <w:rFonts w:ascii="Palatino Linotype" w:hAnsi="Palatino Linotype"/>
      </w:rPr>
      <w:t>21</w:t>
    </w:r>
    <w:r w:rsidRPr="00AB3F8C">
      <w:rPr>
        <w:rFonts w:ascii="Palatino Linotype" w:hAnsi="Palatino Linotype"/>
      </w:rPr>
      <w:t>, 2026</w:t>
    </w:r>
  </w:p>
  <w:p w14:paraId="3816F15F" w14:textId="0D128007" w:rsidR="00473E2A" w:rsidRPr="00AB3F8C" w:rsidRDefault="00473E2A" w:rsidP="00AB3F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A3FD" w14:textId="77777777" w:rsidR="00161E0F" w:rsidRDefault="00161E0F" w:rsidP="00161E0F">
    <w:pPr>
      <w:pStyle w:val="Header"/>
      <w:tabs>
        <w:tab w:val="clear" w:pos="9360"/>
        <w:tab w:val="right" w:pos="9000"/>
      </w:tabs>
      <w:rPr>
        <w:rFonts w:ascii="Palatino Linotype" w:hAnsi="Palatino Linotype"/>
      </w:rPr>
    </w:pPr>
    <w:r w:rsidRPr="56DF6A51">
      <w:rPr>
        <w:rFonts w:ascii="Palatino Linotype" w:hAnsi="Palatino Linotype"/>
      </w:rPr>
      <w:t xml:space="preserve">ED/Resolution </w:t>
    </w:r>
    <w:r>
      <w:rPr>
        <w:rFonts w:ascii="Palatino Linotype" w:hAnsi="Palatino Linotype"/>
      </w:rPr>
      <w:t>E-5437</w:t>
    </w:r>
    <w:r>
      <w:tab/>
    </w:r>
    <w:r>
      <w:tab/>
    </w:r>
    <w:r>
      <w:rPr>
        <w:rFonts w:ascii="Palatino Linotype" w:hAnsi="Palatino Linotype"/>
      </w:rPr>
      <w:t>January 15, 2026</w:t>
    </w:r>
  </w:p>
  <w:p w14:paraId="713F00BE" w14:textId="77777777" w:rsidR="00161E0F" w:rsidRDefault="00161E0F" w:rsidP="00161E0F">
    <w:pPr>
      <w:pStyle w:val="Header"/>
      <w:rPr>
        <w:rFonts w:ascii="Palatino Linotype" w:hAnsi="Palatino Linotype"/>
        <w:szCs w:val="18"/>
      </w:rPr>
    </w:pPr>
    <w:r>
      <w:rPr>
        <w:rFonts w:ascii="Palatino Linotype" w:hAnsi="Palatino Linotype"/>
        <w:szCs w:val="18"/>
      </w:rPr>
      <w:t>PG&amp;E</w:t>
    </w:r>
    <w:r w:rsidR="003D0183">
      <w:rPr>
        <w:rFonts w:ascii="Palatino Linotype" w:hAnsi="Palatino Linotype"/>
        <w:szCs w:val="18"/>
      </w:rPr>
      <w:t xml:space="preserve"> AL</w:t>
    </w:r>
    <w:r>
      <w:rPr>
        <w:rFonts w:ascii="Palatino Linotype" w:hAnsi="Palatino Linotype"/>
        <w:szCs w:val="18"/>
      </w:rPr>
      <w:t xml:space="preserve"> 7648-E/GG6</w:t>
    </w:r>
  </w:p>
  <w:p w14:paraId="190C5F14" w14:textId="77777777" w:rsidR="000C4942" w:rsidRDefault="000C4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2EE"/>
    <w:multiLevelType w:val="multilevel"/>
    <w:tmpl w:val="3118D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3B40DB8"/>
    <w:multiLevelType w:val="multilevel"/>
    <w:tmpl w:val="044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2175E"/>
    <w:multiLevelType w:val="multilevel"/>
    <w:tmpl w:val="5C7C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F74BE"/>
    <w:multiLevelType w:val="multilevel"/>
    <w:tmpl w:val="D1A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62BF9"/>
    <w:multiLevelType w:val="multilevel"/>
    <w:tmpl w:val="50D2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8414F"/>
    <w:multiLevelType w:val="hybridMultilevel"/>
    <w:tmpl w:val="1A045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C40A28"/>
    <w:multiLevelType w:val="multilevel"/>
    <w:tmpl w:val="B146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051822"/>
    <w:multiLevelType w:val="hybridMultilevel"/>
    <w:tmpl w:val="2624A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B1ED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103746"/>
    <w:multiLevelType w:val="multilevel"/>
    <w:tmpl w:val="8F8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C5434"/>
    <w:multiLevelType w:val="hybridMultilevel"/>
    <w:tmpl w:val="3316546A"/>
    <w:lvl w:ilvl="0" w:tplc="B60A1E24">
      <w:start w:val="1"/>
      <w:numFmt w:val="decimal"/>
      <w:lvlText w:val="%1."/>
      <w:lvlJc w:val="left"/>
      <w:pPr>
        <w:ind w:left="720" w:hanging="360"/>
      </w:pPr>
    </w:lvl>
    <w:lvl w:ilvl="1" w:tplc="B6D21B28">
      <w:start w:val="1"/>
      <w:numFmt w:val="lowerLetter"/>
      <w:lvlText w:val="%2."/>
      <w:lvlJc w:val="left"/>
      <w:pPr>
        <w:ind w:left="1440" w:hanging="360"/>
      </w:pPr>
    </w:lvl>
    <w:lvl w:ilvl="2" w:tplc="3FA2887A">
      <w:start w:val="1"/>
      <w:numFmt w:val="lowerRoman"/>
      <w:lvlText w:val="%3."/>
      <w:lvlJc w:val="right"/>
      <w:pPr>
        <w:ind w:left="2160" w:hanging="180"/>
      </w:pPr>
    </w:lvl>
    <w:lvl w:ilvl="3" w:tplc="544A164E">
      <w:start w:val="1"/>
      <w:numFmt w:val="decimal"/>
      <w:lvlText w:val="%4."/>
      <w:lvlJc w:val="left"/>
      <w:pPr>
        <w:ind w:left="2880" w:hanging="360"/>
      </w:pPr>
    </w:lvl>
    <w:lvl w:ilvl="4" w:tplc="0B48111A">
      <w:start w:val="1"/>
      <w:numFmt w:val="lowerLetter"/>
      <w:lvlText w:val="%5."/>
      <w:lvlJc w:val="left"/>
      <w:pPr>
        <w:ind w:left="3600" w:hanging="360"/>
      </w:pPr>
    </w:lvl>
    <w:lvl w:ilvl="5" w:tplc="6A20B836">
      <w:start w:val="1"/>
      <w:numFmt w:val="lowerRoman"/>
      <w:lvlText w:val="%6."/>
      <w:lvlJc w:val="right"/>
      <w:pPr>
        <w:ind w:left="4320" w:hanging="180"/>
      </w:pPr>
    </w:lvl>
    <w:lvl w:ilvl="6" w:tplc="5DAABB6C">
      <w:start w:val="1"/>
      <w:numFmt w:val="decimal"/>
      <w:lvlText w:val="%7."/>
      <w:lvlJc w:val="left"/>
      <w:pPr>
        <w:ind w:left="5040" w:hanging="360"/>
      </w:pPr>
    </w:lvl>
    <w:lvl w:ilvl="7" w:tplc="D1FC7134">
      <w:start w:val="1"/>
      <w:numFmt w:val="lowerLetter"/>
      <w:lvlText w:val="%8."/>
      <w:lvlJc w:val="left"/>
      <w:pPr>
        <w:ind w:left="5760" w:hanging="360"/>
      </w:pPr>
    </w:lvl>
    <w:lvl w:ilvl="8" w:tplc="7C541A1E">
      <w:start w:val="1"/>
      <w:numFmt w:val="lowerRoman"/>
      <w:lvlText w:val="%9."/>
      <w:lvlJc w:val="right"/>
      <w:pPr>
        <w:ind w:left="6480" w:hanging="180"/>
      </w:pPr>
    </w:lvl>
  </w:abstractNum>
  <w:abstractNum w:abstractNumId="1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16" w15:restartNumberingAfterBreak="0">
    <w:nsid w:val="7BF65990"/>
    <w:multiLevelType w:val="multilevel"/>
    <w:tmpl w:val="599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593420">
    <w:abstractNumId w:val="14"/>
  </w:num>
  <w:num w:numId="2" w16cid:durableId="944842790">
    <w:abstractNumId w:val="9"/>
  </w:num>
  <w:num w:numId="3" w16cid:durableId="1991593136">
    <w:abstractNumId w:val="1"/>
  </w:num>
  <w:num w:numId="4" w16cid:durableId="1754620235">
    <w:abstractNumId w:val="6"/>
  </w:num>
  <w:num w:numId="5" w16cid:durableId="969365539">
    <w:abstractNumId w:val="11"/>
  </w:num>
  <w:num w:numId="6" w16cid:durableId="468133998">
    <w:abstractNumId w:val="10"/>
  </w:num>
  <w:num w:numId="7" w16cid:durableId="426273653">
    <w:abstractNumId w:val="15"/>
  </w:num>
  <w:num w:numId="8" w16cid:durableId="762385750">
    <w:abstractNumId w:val="2"/>
  </w:num>
  <w:num w:numId="9" w16cid:durableId="503134550">
    <w:abstractNumId w:val="12"/>
  </w:num>
  <w:num w:numId="10" w16cid:durableId="1142503199">
    <w:abstractNumId w:val="8"/>
  </w:num>
  <w:num w:numId="11" w16cid:durableId="1627390404">
    <w:abstractNumId w:val="4"/>
  </w:num>
  <w:num w:numId="12" w16cid:durableId="1241795786">
    <w:abstractNumId w:val="16"/>
  </w:num>
  <w:num w:numId="13" w16cid:durableId="1372417688">
    <w:abstractNumId w:val="3"/>
  </w:num>
  <w:num w:numId="14" w16cid:durableId="698817545">
    <w:abstractNumId w:val="0"/>
  </w:num>
  <w:num w:numId="15" w16cid:durableId="200633904">
    <w:abstractNumId w:val="7"/>
  </w:num>
  <w:num w:numId="16" w16cid:durableId="1391734604">
    <w:abstractNumId w:val="13"/>
  </w:num>
  <w:num w:numId="17" w16cid:durableId="2022587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6AF"/>
    <w:rsid w:val="000042C5"/>
    <w:rsid w:val="00006AAB"/>
    <w:rsid w:val="000075AC"/>
    <w:rsid w:val="00012CD0"/>
    <w:rsid w:val="00013237"/>
    <w:rsid w:val="00016F9A"/>
    <w:rsid w:val="000178D7"/>
    <w:rsid w:val="00024D96"/>
    <w:rsid w:val="00026A37"/>
    <w:rsid w:val="00030D28"/>
    <w:rsid w:val="00051AAB"/>
    <w:rsid w:val="00054D11"/>
    <w:rsid w:val="0005730F"/>
    <w:rsid w:val="0006136C"/>
    <w:rsid w:val="000631DC"/>
    <w:rsid w:val="00074413"/>
    <w:rsid w:val="00081208"/>
    <w:rsid w:val="000843FE"/>
    <w:rsid w:val="00085988"/>
    <w:rsid w:val="00086809"/>
    <w:rsid w:val="000918F4"/>
    <w:rsid w:val="000937D0"/>
    <w:rsid w:val="000A2B8A"/>
    <w:rsid w:val="000B666A"/>
    <w:rsid w:val="000C4942"/>
    <w:rsid w:val="000D64A2"/>
    <w:rsid w:val="000E1ABD"/>
    <w:rsid w:val="000F6433"/>
    <w:rsid w:val="00100106"/>
    <w:rsid w:val="001006D4"/>
    <w:rsid w:val="00101FA3"/>
    <w:rsid w:val="00115484"/>
    <w:rsid w:val="00115C0A"/>
    <w:rsid w:val="00121BF3"/>
    <w:rsid w:val="00122CD5"/>
    <w:rsid w:val="001313EF"/>
    <w:rsid w:val="001317EC"/>
    <w:rsid w:val="00132D6F"/>
    <w:rsid w:val="0013408E"/>
    <w:rsid w:val="0014177F"/>
    <w:rsid w:val="00142FF8"/>
    <w:rsid w:val="001455EB"/>
    <w:rsid w:val="0015154C"/>
    <w:rsid w:val="001553FE"/>
    <w:rsid w:val="0015551E"/>
    <w:rsid w:val="001612D7"/>
    <w:rsid w:val="00161BA9"/>
    <w:rsid w:val="00161E0F"/>
    <w:rsid w:val="00164043"/>
    <w:rsid w:val="00164FED"/>
    <w:rsid w:val="001665FE"/>
    <w:rsid w:val="0017583D"/>
    <w:rsid w:val="00176FAC"/>
    <w:rsid w:val="00190C7E"/>
    <w:rsid w:val="001A1021"/>
    <w:rsid w:val="001A2FE9"/>
    <w:rsid w:val="001C1530"/>
    <w:rsid w:val="001C4439"/>
    <w:rsid w:val="001C44B1"/>
    <w:rsid w:val="001C5D12"/>
    <w:rsid w:val="001D120A"/>
    <w:rsid w:val="001F1735"/>
    <w:rsid w:val="001F368C"/>
    <w:rsid w:val="0020224C"/>
    <w:rsid w:val="00202314"/>
    <w:rsid w:val="00204B1B"/>
    <w:rsid w:val="002121EC"/>
    <w:rsid w:val="002149C8"/>
    <w:rsid w:val="00234B3A"/>
    <w:rsid w:val="00237644"/>
    <w:rsid w:val="002418F5"/>
    <w:rsid w:val="00245EC4"/>
    <w:rsid w:val="002514A5"/>
    <w:rsid w:val="00253185"/>
    <w:rsid w:val="002531AF"/>
    <w:rsid w:val="0025553C"/>
    <w:rsid w:val="00255DAF"/>
    <w:rsid w:val="0025711F"/>
    <w:rsid w:val="00262F05"/>
    <w:rsid w:val="0027538D"/>
    <w:rsid w:val="00275579"/>
    <w:rsid w:val="00277AEC"/>
    <w:rsid w:val="00280D84"/>
    <w:rsid w:val="00287DEE"/>
    <w:rsid w:val="0029795D"/>
    <w:rsid w:val="002B56D6"/>
    <w:rsid w:val="002C4599"/>
    <w:rsid w:val="002C7BBD"/>
    <w:rsid w:val="002E76F6"/>
    <w:rsid w:val="002F6C46"/>
    <w:rsid w:val="003077F5"/>
    <w:rsid w:val="0036239D"/>
    <w:rsid w:val="00365CBB"/>
    <w:rsid w:val="00371E70"/>
    <w:rsid w:val="00373CC1"/>
    <w:rsid w:val="00387C38"/>
    <w:rsid w:val="0039167F"/>
    <w:rsid w:val="0039271C"/>
    <w:rsid w:val="003959FB"/>
    <w:rsid w:val="003A1B34"/>
    <w:rsid w:val="003A5D48"/>
    <w:rsid w:val="003B58C7"/>
    <w:rsid w:val="003B7A34"/>
    <w:rsid w:val="003C0991"/>
    <w:rsid w:val="003C26E1"/>
    <w:rsid w:val="003D0183"/>
    <w:rsid w:val="003D082A"/>
    <w:rsid w:val="003D4ACA"/>
    <w:rsid w:val="003F35E8"/>
    <w:rsid w:val="003F4C25"/>
    <w:rsid w:val="003F7C7F"/>
    <w:rsid w:val="00413569"/>
    <w:rsid w:val="00423D54"/>
    <w:rsid w:val="004255F8"/>
    <w:rsid w:val="00426114"/>
    <w:rsid w:val="00427B41"/>
    <w:rsid w:val="004303ED"/>
    <w:rsid w:val="00437D17"/>
    <w:rsid w:val="00441080"/>
    <w:rsid w:val="00442D1B"/>
    <w:rsid w:val="00450321"/>
    <w:rsid w:val="00453C5D"/>
    <w:rsid w:val="00473945"/>
    <w:rsid w:val="00473E2A"/>
    <w:rsid w:val="00482E90"/>
    <w:rsid w:val="00484313"/>
    <w:rsid w:val="00485D46"/>
    <w:rsid w:val="00490192"/>
    <w:rsid w:val="0049191F"/>
    <w:rsid w:val="004942B9"/>
    <w:rsid w:val="00495D1F"/>
    <w:rsid w:val="0049799A"/>
    <w:rsid w:val="004A3DAE"/>
    <w:rsid w:val="004A3F32"/>
    <w:rsid w:val="004A7A4C"/>
    <w:rsid w:val="004B1C7A"/>
    <w:rsid w:val="004B233B"/>
    <w:rsid w:val="004C08A2"/>
    <w:rsid w:val="004C22DF"/>
    <w:rsid w:val="004D3835"/>
    <w:rsid w:val="004E0AE5"/>
    <w:rsid w:val="004E4B7C"/>
    <w:rsid w:val="004E6D46"/>
    <w:rsid w:val="004E772D"/>
    <w:rsid w:val="00503FF0"/>
    <w:rsid w:val="0050403B"/>
    <w:rsid w:val="005063D0"/>
    <w:rsid w:val="005104DB"/>
    <w:rsid w:val="00533A0B"/>
    <w:rsid w:val="00534D7F"/>
    <w:rsid w:val="005368C6"/>
    <w:rsid w:val="00542429"/>
    <w:rsid w:val="00543214"/>
    <w:rsid w:val="005447C6"/>
    <w:rsid w:val="0055371C"/>
    <w:rsid w:val="005579B9"/>
    <w:rsid w:val="0056248F"/>
    <w:rsid w:val="00563AC0"/>
    <w:rsid w:val="00563DF6"/>
    <w:rsid w:val="00565F65"/>
    <w:rsid w:val="00572841"/>
    <w:rsid w:val="005734B7"/>
    <w:rsid w:val="00590267"/>
    <w:rsid w:val="005A2945"/>
    <w:rsid w:val="005A4D1B"/>
    <w:rsid w:val="005A69B9"/>
    <w:rsid w:val="005B244E"/>
    <w:rsid w:val="005B6CB4"/>
    <w:rsid w:val="005D1F44"/>
    <w:rsid w:val="005E23C8"/>
    <w:rsid w:val="005E3A89"/>
    <w:rsid w:val="005E4C01"/>
    <w:rsid w:val="005E51BF"/>
    <w:rsid w:val="005F5D35"/>
    <w:rsid w:val="005F6D3A"/>
    <w:rsid w:val="005F77F7"/>
    <w:rsid w:val="00600793"/>
    <w:rsid w:val="00612C2C"/>
    <w:rsid w:val="00613633"/>
    <w:rsid w:val="00621F77"/>
    <w:rsid w:val="00622119"/>
    <w:rsid w:val="006253B1"/>
    <w:rsid w:val="00626F9D"/>
    <w:rsid w:val="006336D5"/>
    <w:rsid w:val="0063488B"/>
    <w:rsid w:val="00634D61"/>
    <w:rsid w:val="0064197B"/>
    <w:rsid w:val="00647083"/>
    <w:rsid w:val="006527B9"/>
    <w:rsid w:val="0065543C"/>
    <w:rsid w:val="00666267"/>
    <w:rsid w:val="006758F4"/>
    <w:rsid w:val="006935F8"/>
    <w:rsid w:val="00696DCC"/>
    <w:rsid w:val="006A6279"/>
    <w:rsid w:val="006B2C33"/>
    <w:rsid w:val="006B58EF"/>
    <w:rsid w:val="006B5FA9"/>
    <w:rsid w:val="006C4D8F"/>
    <w:rsid w:val="00701C64"/>
    <w:rsid w:val="007034FE"/>
    <w:rsid w:val="007213F2"/>
    <w:rsid w:val="00723DAF"/>
    <w:rsid w:val="0073089A"/>
    <w:rsid w:val="007312B0"/>
    <w:rsid w:val="00732750"/>
    <w:rsid w:val="00733A18"/>
    <w:rsid w:val="00733A97"/>
    <w:rsid w:val="00741F67"/>
    <w:rsid w:val="00744E0E"/>
    <w:rsid w:val="00747B14"/>
    <w:rsid w:val="00750E92"/>
    <w:rsid w:val="00750E9A"/>
    <w:rsid w:val="00760854"/>
    <w:rsid w:val="00762ACE"/>
    <w:rsid w:val="00762F5A"/>
    <w:rsid w:val="00765C63"/>
    <w:rsid w:val="007708B1"/>
    <w:rsid w:val="00771C9F"/>
    <w:rsid w:val="007778B7"/>
    <w:rsid w:val="00783EF8"/>
    <w:rsid w:val="007912ED"/>
    <w:rsid w:val="00791CDC"/>
    <w:rsid w:val="0079321A"/>
    <w:rsid w:val="00795A49"/>
    <w:rsid w:val="00795E4D"/>
    <w:rsid w:val="007A0E82"/>
    <w:rsid w:val="007A3F30"/>
    <w:rsid w:val="007A4380"/>
    <w:rsid w:val="007B0145"/>
    <w:rsid w:val="007B357C"/>
    <w:rsid w:val="007B5E74"/>
    <w:rsid w:val="007C2875"/>
    <w:rsid w:val="007C5043"/>
    <w:rsid w:val="007C61BB"/>
    <w:rsid w:val="007D312B"/>
    <w:rsid w:val="007E0CBB"/>
    <w:rsid w:val="007E5CA9"/>
    <w:rsid w:val="007F5212"/>
    <w:rsid w:val="00802705"/>
    <w:rsid w:val="00802F5A"/>
    <w:rsid w:val="00804030"/>
    <w:rsid w:val="008048A9"/>
    <w:rsid w:val="00804BFD"/>
    <w:rsid w:val="00806B9D"/>
    <w:rsid w:val="00806C47"/>
    <w:rsid w:val="0080748F"/>
    <w:rsid w:val="00812E4B"/>
    <w:rsid w:val="00816B62"/>
    <w:rsid w:val="008213BB"/>
    <w:rsid w:val="008218ED"/>
    <w:rsid w:val="00821FCB"/>
    <w:rsid w:val="00822976"/>
    <w:rsid w:val="008254AD"/>
    <w:rsid w:val="00833289"/>
    <w:rsid w:val="00834367"/>
    <w:rsid w:val="00844120"/>
    <w:rsid w:val="00844F1B"/>
    <w:rsid w:val="00847D3D"/>
    <w:rsid w:val="00855C66"/>
    <w:rsid w:val="00862143"/>
    <w:rsid w:val="0086453F"/>
    <w:rsid w:val="0086660A"/>
    <w:rsid w:val="00866DCC"/>
    <w:rsid w:val="00873F94"/>
    <w:rsid w:val="00881E76"/>
    <w:rsid w:val="00887F2A"/>
    <w:rsid w:val="0089650D"/>
    <w:rsid w:val="008A4F71"/>
    <w:rsid w:val="008A5B77"/>
    <w:rsid w:val="008A5CF8"/>
    <w:rsid w:val="008A6F80"/>
    <w:rsid w:val="008B42A5"/>
    <w:rsid w:val="008C0978"/>
    <w:rsid w:val="008D0BCB"/>
    <w:rsid w:val="008D33C5"/>
    <w:rsid w:val="008F22F5"/>
    <w:rsid w:val="00903098"/>
    <w:rsid w:val="00910CCA"/>
    <w:rsid w:val="00915EA0"/>
    <w:rsid w:val="009168B4"/>
    <w:rsid w:val="009212B1"/>
    <w:rsid w:val="009251BA"/>
    <w:rsid w:val="00941BD6"/>
    <w:rsid w:val="00942396"/>
    <w:rsid w:val="00956716"/>
    <w:rsid w:val="0095680B"/>
    <w:rsid w:val="00962E1E"/>
    <w:rsid w:val="00964B6A"/>
    <w:rsid w:val="00970971"/>
    <w:rsid w:val="0097720F"/>
    <w:rsid w:val="0098263B"/>
    <w:rsid w:val="00994C59"/>
    <w:rsid w:val="009A33BE"/>
    <w:rsid w:val="009A7440"/>
    <w:rsid w:val="009B67F2"/>
    <w:rsid w:val="009B6E62"/>
    <w:rsid w:val="009B701A"/>
    <w:rsid w:val="009C12E3"/>
    <w:rsid w:val="009C3C8F"/>
    <w:rsid w:val="009D468D"/>
    <w:rsid w:val="009D4EB6"/>
    <w:rsid w:val="009D51FF"/>
    <w:rsid w:val="009D5AEF"/>
    <w:rsid w:val="009E3622"/>
    <w:rsid w:val="009E3EFB"/>
    <w:rsid w:val="009E565D"/>
    <w:rsid w:val="009F738A"/>
    <w:rsid w:val="009F799E"/>
    <w:rsid w:val="00A00054"/>
    <w:rsid w:val="00A0324F"/>
    <w:rsid w:val="00A04B72"/>
    <w:rsid w:val="00A10D1B"/>
    <w:rsid w:val="00A15FF6"/>
    <w:rsid w:val="00A1667B"/>
    <w:rsid w:val="00A234FD"/>
    <w:rsid w:val="00A40158"/>
    <w:rsid w:val="00A429A5"/>
    <w:rsid w:val="00A44C91"/>
    <w:rsid w:val="00A568F7"/>
    <w:rsid w:val="00A61926"/>
    <w:rsid w:val="00A625B1"/>
    <w:rsid w:val="00A66D78"/>
    <w:rsid w:val="00A76F4A"/>
    <w:rsid w:val="00A92BEB"/>
    <w:rsid w:val="00A935A0"/>
    <w:rsid w:val="00A95742"/>
    <w:rsid w:val="00AA27E4"/>
    <w:rsid w:val="00AB3F8C"/>
    <w:rsid w:val="00AB4A90"/>
    <w:rsid w:val="00AC0804"/>
    <w:rsid w:val="00AC697A"/>
    <w:rsid w:val="00AD261A"/>
    <w:rsid w:val="00AD2AF1"/>
    <w:rsid w:val="00AD2F85"/>
    <w:rsid w:val="00AE3C12"/>
    <w:rsid w:val="00AF17EA"/>
    <w:rsid w:val="00AF219C"/>
    <w:rsid w:val="00B02715"/>
    <w:rsid w:val="00B05190"/>
    <w:rsid w:val="00B0652C"/>
    <w:rsid w:val="00B074E7"/>
    <w:rsid w:val="00B105FB"/>
    <w:rsid w:val="00B13FD4"/>
    <w:rsid w:val="00B16185"/>
    <w:rsid w:val="00B2289F"/>
    <w:rsid w:val="00B26D32"/>
    <w:rsid w:val="00B36650"/>
    <w:rsid w:val="00B375B3"/>
    <w:rsid w:val="00B53356"/>
    <w:rsid w:val="00B544F0"/>
    <w:rsid w:val="00B56AAC"/>
    <w:rsid w:val="00B62750"/>
    <w:rsid w:val="00B7462C"/>
    <w:rsid w:val="00B80BB7"/>
    <w:rsid w:val="00B81E06"/>
    <w:rsid w:val="00B97216"/>
    <w:rsid w:val="00BA2133"/>
    <w:rsid w:val="00BA4BE4"/>
    <w:rsid w:val="00BB4D62"/>
    <w:rsid w:val="00BB7F93"/>
    <w:rsid w:val="00BC73D2"/>
    <w:rsid w:val="00BD4411"/>
    <w:rsid w:val="00BE6831"/>
    <w:rsid w:val="00BF0CA1"/>
    <w:rsid w:val="00BF1805"/>
    <w:rsid w:val="00BF256D"/>
    <w:rsid w:val="00C046CB"/>
    <w:rsid w:val="00C10303"/>
    <w:rsid w:val="00C13984"/>
    <w:rsid w:val="00C14006"/>
    <w:rsid w:val="00C23E09"/>
    <w:rsid w:val="00C251AC"/>
    <w:rsid w:val="00C2629C"/>
    <w:rsid w:val="00C30584"/>
    <w:rsid w:val="00C327D1"/>
    <w:rsid w:val="00C36E43"/>
    <w:rsid w:val="00C41356"/>
    <w:rsid w:val="00C57473"/>
    <w:rsid w:val="00C57717"/>
    <w:rsid w:val="00C57C2F"/>
    <w:rsid w:val="00C61DB4"/>
    <w:rsid w:val="00C630B5"/>
    <w:rsid w:val="00C66A08"/>
    <w:rsid w:val="00C66B53"/>
    <w:rsid w:val="00C67AE6"/>
    <w:rsid w:val="00C72310"/>
    <w:rsid w:val="00C739C9"/>
    <w:rsid w:val="00C74FBE"/>
    <w:rsid w:val="00C81680"/>
    <w:rsid w:val="00C90D33"/>
    <w:rsid w:val="00C92BF6"/>
    <w:rsid w:val="00C94A23"/>
    <w:rsid w:val="00CA2212"/>
    <w:rsid w:val="00CA28B4"/>
    <w:rsid w:val="00CA35C4"/>
    <w:rsid w:val="00CA3D13"/>
    <w:rsid w:val="00CC1BE2"/>
    <w:rsid w:val="00CC2591"/>
    <w:rsid w:val="00CF010F"/>
    <w:rsid w:val="00CF1CAB"/>
    <w:rsid w:val="00CF3F80"/>
    <w:rsid w:val="00CF7277"/>
    <w:rsid w:val="00D0106C"/>
    <w:rsid w:val="00D158D9"/>
    <w:rsid w:val="00D218F1"/>
    <w:rsid w:val="00D3196F"/>
    <w:rsid w:val="00D333BC"/>
    <w:rsid w:val="00D41100"/>
    <w:rsid w:val="00D414D5"/>
    <w:rsid w:val="00D4212D"/>
    <w:rsid w:val="00D457EF"/>
    <w:rsid w:val="00D52C8D"/>
    <w:rsid w:val="00D65D4B"/>
    <w:rsid w:val="00D6790C"/>
    <w:rsid w:val="00D72FBE"/>
    <w:rsid w:val="00D73EE9"/>
    <w:rsid w:val="00D86CA2"/>
    <w:rsid w:val="00DB30BF"/>
    <w:rsid w:val="00DB30F6"/>
    <w:rsid w:val="00DB3400"/>
    <w:rsid w:val="00DC3C46"/>
    <w:rsid w:val="00DC5BD8"/>
    <w:rsid w:val="00DD1548"/>
    <w:rsid w:val="00DD6069"/>
    <w:rsid w:val="00DE20B8"/>
    <w:rsid w:val="00DF4509"/>
    <w:rsid w:val="00E06064"/>
    <w:rsid w:val="00E10F9A"/>
    <w:rsid w:val="00E13C38"/>
    <w:rsid w:val="00E21BD0"/>
    <w:rsid w:val="00E2351B"/>
    <w:rsid w:val="00E25C9E"/>
    <w:rsid w:val="00E30605"/>
    <w:rsid w:val="00E31125"/>
    <w:rsid w:val="00E4007F"/>
    <w:rsid w:val="00E43E8E"/>
    <w:rsid w:val="00E53B80"/>
    <w:rsid w:val="00E53F1E"/>
    <w:rsid w:val="00E57A8D"/>
    <w:rsid w:val="00E710E1"/>
    <w:rsid w:val="00E7308A"/>
    <w:rsid w:val="00E829D1"/>
    <w:rsid w:val="00E8371A"/>
    <w:rsid w:val="00E851DF"/>
    <w:rsid w:val="00E8776E"/>
    <w:rsid w:val="00E90EAE"/>
    <w:rsid w:val="00E9601D"/>
    <w:rsid w:val="00EA056E"/>
    <w:rsid w:val="00EB176F"/>
    <w:rsid w:val="00EB3E2F"/>
    <w:rsid w:val="00EB479A"/>
    <w:rsid w:val="00EB508D"/>
    <w:rsid w:val="00EC3B5C"/>
    <w:rsid w:val="00ED1B70"/>
    <w:rsid w:val="00ED76B0"/>
    <w:rsid w:val="00EE70DC"/>
    <w:rsid w:val="00F26C6A"/>
    <w:rsid w:val="00F31236"/>
    <w:rsid w:val="00F333EF"/>
    <w:rsid w:val="00F43FCB"/>
    <w:rsid w:val="00F46C6D"/>
    <w:rsid w:val="00F51BB7"/>
    <w:rsid w:val="00F605EC"/>
    <w:rsid w:val="00F6647D"/>
    <w:rsid w:val="00F73FC2"/>
    <w:rsid w:val="00F743E5"/>
    <w:rsid w:val="00F832CF"/>
    <w:rsid w:val="00F85937"/>
    <w:rsid w:val="00F974EA"/>
    <w:rsid w:val="00F976A4"/>
    <w:rsid w:val="00FA41A8"/>
    <w:rsid w:val="00FA5EEA"/>
    <w:rsid w:val="00FB139F"/>
    <w:rsid w:val="00FB7C7C"/>
    <w:rsid w:val="00FD3DB4"/>
    <w:rsid w:val="00FE5765"/>
    <w:rsid w:val="00FE6B48"/>
    <w:rsid w:val="00FF2246"/>
    <w:rsid w:val="00FF5227"/>
    <w:rsid w:val="01279BDB"/>
    <w:rsid w:val="02EB2A25"/>
    <w:rsid w:val="035AE606"/>
    <w:rsid w:val="037F2CA9"/>
    <w:rsid w:val="048B71DF"/>
    <w:rsid w:val="063BABEC"/>
    <w:rsid w:val="0654BEA5"/>
    <w:rsid w:val="0690D0D6"/>
    <w:rsid w:val="08E8601A"/>
    <w:rsid w:val="0ADC97D6"/>
    <w:rsid w:val="0B456962"/>
    <w:rsid w:val="0B5C9652"/>
    <w:rsid w:val="0C5DD0E2"/>
    <w:rsid w:val="0D613BC1"/>
    <w:rsid w:val="0DCA67F7"/>
    <w:rsid w:val="0DCB6524"/>
    <w:rsid w:val="0E56F158"/>
    <w:rsid w:val="0E65422D"/>
    <w:rsid w:val="11DAA191"/>
    <w:rsid w:val="12F5BDAB"/>
    <w:rsid w:val="13E1D60B"/>
    <w:rsid w:val="146FFEFC"/>
    <w:rsid w:val="14EDDBB6"/>
    <w:rsid w:val="178B6284"/>
    <w:rsid w:val="1953FEF5"/>
    <w:rsid w:val="1C3FAA86"/>
    <w:rsid w:val="1C7ACE45"/>
    <w:rsid w:val="1CD3D81D"/>
    <w:rsid w:val="1CEC3753"/>
    <w:rsid w:val="1CFE5390"/>
    <w:rsid w:val="1EB8E5F3"/>
    <w:rsid w:val="1FAF8AC2"/>
    <w:rsid w:val="20BDE782"/>
    <w:rsid w:val="21248D50"/>
    <w:rsid w:val="21545F31"/>
    <w:rsid w:val="250BD359"/>
    <w:rsid w:val="251370F6"/>
    <w:rsid w:val="25D341B9"/>
    <w:rsid w:val="277A5E44"/>
    <w:rsid w:val="27B7F491"/>
    <w:rsid w:val="27CB0898"/>
    <w:rsid w:val="293111B1"/>
    <w:rsid w:val="2A556DFE"/>
    <w:rsid w:val="2A68EE81"/>
    <w:rsid w:val="2B12CE56"/>
    <w:rsid w:val="2C58A223"/>
    <w:rsid w:val="2CD3DA44"/>
    <w:rsid w:val="2CFAAB7E"/>
    <w:rsid w:val="2D524F31"/>
    <w:rsid w:val="2F4647A2"/>
    <w:rsid w:val="30CB6F88"/>
    <w:rsid w:val="30EF6999"/>
    <w:rsid w:val="33D97A59"/>
    <w:rsid w:val="33F44B57"/>
    <w:rsid w:val="34F67098"/>
    <w:rsid w:val="3622D5B6"/>
    <w:rsid w:val="36BEA957"/>
    <w:rsid w:val="3724A282"/>
    <w:rsid w:val="37A97F7B"/>
    <w:rsid w:val="387F686E"/>
    <w:rsid w:val="3B9423E3"/>
    <w:rsid w:val="3BC79146"/>
    <w:rsid w:val="3C76F89E"/>
    <w:rsid w:val="3C90F361"/>
    <w:rsid w:val="3DE17B3E"/>
    <w:rsid w:val="3E284A50"/>
    <w:rsid w:val="4039AB6F"/>
    <w:rsid w:val="411BB0C2"/>
    <w:rsid w:val="41CBDBA0"/>
    <w:rsid w:val="42BFBE4A"/>
    <w:rsid w:val="44D600D3"/>
    <w:rsid w:val="45164B27"/>
    <w:rsid w:val="453E50F0"/>
    <w:rsid w:val="4676501C"/>
    <w:rsid w:val="47110790"/>
    <w:rsid w:val="47539348"/>
    <w:rsid w:val="48FC075A"/>
    <w:rsid w:val="499EFA89"/>
    <w:rsid w:val="4AC1046E"/>
    <w:rsid w:val="4B8EF7B2"/>
    <w:rsid w:val="4D441DA8"/>
    <w:rsid w:val="4DF54EB2"/>
    <w:rsid w:val="5320153C"/>
    <w:rsid w:val="532A924F"/>
    <w:rsid w:val="542AC687"/>
    <w:rsid w:val="55F86732"/>
    <w:rsid w:val="56DF6A51"/>
    <w:rsid w:val="56E65DA8"/>
    <w:rsid w:val="57FB0A36"/>
    <w:rsid w:val="598E9CCF"/>
    <w:rsid w:val="59C5D4E5"/>
    <w:rsid w:val="5ABA8F23"/>
    <w:rsid w:val="5AD5F889"/>
    <w:rsid w:val="5B08C130"/>
    <w:rsid w:val="5B2CDEEE"/>
    <w:rsid w:val="5C09DFBF"/>
    <w:rsid w:val="5CCBEB08"/>
    <w:rsid w:val="5CDF6DAB"/>
    <w:rsid w:val="5D05A5C1"/>
    <w:rsid w:val="5DC55FB7"/>
    <w:rsid w:val="5FAE77F4"/>
    <w:rsid w:val="60C54FDA"/>
    <w:rsid w:val="60D000F6"/>
    <w:rsid w:val="6124C322"/>
    <w:rsid w:val="61A5E4B5"/>
    <w:rsid w:val="66287CC5"/>
    <w:rsid w:val="679586D2"/>
    <w:rsid w:val="679AFBFB"/>
    <w:rsid w:val="6933225D"/>
    <w:rsid w:val="6A849901"/>
    <w:rsid w:val="6A87CF2B"/>
    <w:rsid w:val="6B87AD7A"/>
    <w:rsid w:val="6C0ADE60"/>
    <w:rsid w:val="6E5385EA"/>
    <w:rsid w:val="70BBF1C4"/>
    <w:rsid w:val="71682810"/>
    <w:rsid w:val="71A67216"/>
    <w:rsid w:val="74AB46F3"/>
    <w:rsid w:val="7787D236"/>
    <w:rsid w:val="78AB7900"/>
    <w:rsid w:val="7958F224"/>
    <w:rsid w:val="797AE2E8"/>
    <w:rsid w:val="7A870FDA"/>
    <w:rsid w:val="7BAD27A2"/>
    <w:rsid w:val="7BD773D9"/>
    <w:rsid w:val="7D21034A"/>
    <w:rsid w:val="7F0E6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143E"/>
  <w15:chartTrackingRefBased/>
  <w15:docId w15:val="{E335D21A-9002-4287-AE54-F74DA9AD812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F8"/>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D0106C"/>
    <w:rPr>
      <w:color w:val="96607D" w:themeColor="followedHyperlink"/>
      <w:u w:val="single"/>
    </w:rPr>
  </w:style>
  <w:style w:type="paragraph" w:styleId="FootnoteText">
    <w:name w:val="footnote text"/>
    <w:basedOn w:val="Normal"/>
    <w:link w:val="FootnoteTextChar"/>
    <w:uiPriority w:val="99"/>
    <w:unhideWhenUsed/>
    <w:rsid w:val="00AD2F85"/>
    <w:pPr>
      <w:spacing w:after="0" w:line="240" w:lineRule="auto"/>
    </w:pPr>
    <w:rPr>
      <w:sz w:val="20"/>
      <w:szCs w:val="20"/>
    </w:rPr>
  </w:style>
  <w:style w:type="character" w:customStyle="1" w:styleId="FootnoteTextChar">
    <w:name w:val="Footnote Text Char"/>
    <w:basedOn w:val="DefaultParagraphFont"/>
    <w:link w:val="FootnoteText"/>
    <w:uiPriority w:val="99"/>
    <w:rsid w:val="00AD2F85"/>
    <w:rPr>
      <w:sz w:val="20"/>
      <w:szCs w:val="20"/>
    </w:rPr>
  </w:style>
  <w:style w:type="character" w:styleId="FootnoteReference">
    <w:name w:val="footnote reference"/>
    <w:basedOn w:val="DefaultParagraphFont"/>
    <w:uiPriority w:val="99"/>
    <w:semiHidden/>
    <w:unhideWhenUsed/>
    <w:rsid w:val="00AD2F85"/>
    <w:rPr>
      <w:vertAlign w:val="superscript"/>
    </w:rPr>
  </w:style>
  <w:style w:type="paragraph" w:styleId="EndnoteText">
    <w:name w:val="endnote text"/>
    <w:basedOn w:val="Normal"/>
    <w:link w:val="EndnoteTextChar"/>
    <w:uiPriority w:val="99"/>
    <w:semiHidden/>
    <w:unhideWhenUsed/>
    <w:rsid w:val="001D12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120A"/>
    <w:rPr>
      <w:sz w:val="20"/>
      <w:szCs w:val="20"/>
    </w:rPr>
  </w:style>
  <w:style w:type="character" w:styleId="EndnoteReference">
    <w:name w:val="endnote reference"/>
    <w:basedOn w:val="DefaultParagraphFont"/>
    <w:uiPriority w:val="99"/>
    <w:semiHidden/>
    <w:unhideWhenUsed/>
    <w:rsid w:val="001D120A"/>
    <w:rPr>
      <w:vertAlign w:val="superscript"/>
    </w:rPr>
  </w:style>
  <w:style w:type="paragraph" w:customStyle="1" w:styleId="Default">
    <w:name w:val="Default"/>
    <w:rsid w:val="004A3DAE"/>
    <w:pPr>
      <w:autoSpaceDE w:val="0"/>
      <w:autoSpaceDN w:val="0"/>
      <w:adjustRightInd w:val="0"/>
      <w:spacing w:after="0" w:line="240" w:lineRule="auto"/>
    </w:pPr>
    <w:rPr>
      <w:rFonts w:ascii="Palatino Linotype" w:hAnsi="Palatino Linotype" w:cs="Palatino Linotype"/>
      <w:color w:val="000000"/>
      <w:kern w:val="0"/>
    </w:rPr>
  </w:style>
  <w:style w:type="character" w:styleId="UnresolvedMention">
    <w:name w:val="Unresolved Mention"/>
    <w:basedOn w:val="DefaultParagraphFont"/>
    <w:uiPriority w:val="99"/>
    <w:semiHidden/>
    <w:unhideWhenUsed/>
    <w:rsid w:val="0025711F"/>
    <w:rPr>
      <w:color w:val="605E5C"/>
      <w:shd w:val="clear" w:color="auto" w:fill="E1DFDD"/>
    </w:rPr>
  </w:style>
  <w:style w:type="character" w:styleId="Mention">
    <w:name w:val="Mention"/>
    <w:basedOn w:val="DefaultParagraphFont"/>
    <w:uiPriority w:val="99"/>
    <w:unhideWhenUsed/>
    <w:rsid w:val="00C10303"/>
    <w:rPr>
      <w:color w:val="2B579A"/>
      <w:shd w:val="clear" w:color="auto" w:fill="E1DFDD"/>
    </w:rPr>
  </w:style>
  <w:style w:type="paragraph" w:customStyle="1" w:styleId="Res-Caption">
    <w:name w:val="Res-Caption"/>
    <w:basedOn w:val="Normal"/>
    <w:rsid w:val="00873F94"/>
    <w:pPr>
      <w:spacing w:after="0" w:line="240" w:lineRule="auto"/>
      <w:ind w:left="720" w:right="720"/>
    </w:pPr>
    <w:rPr>
      <w:rFonts w:ascii="Palatino" w:eastAsia="Times New Roman" w:hAnsi="Palatino"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xperience.arcgis.com/experience/11d2f52282a54ceebcac7428e6184203/page/CalEnviroScreen-4_0" TargetMode="External"/><Relationship Id="rId1" Type="http://schemas.openxmlformats.org/officeDocument/2006/relationships/hyperlink" Target="https://oehha.ca.gov/sites/default/files/media/downloads/calenviroscreen/document/ces3newinces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ece089bf5f89f9d767aed784c0253a38">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6f8960b293b3cf49c0b1fdf2cc63b89e"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Props1.xml><?xml version="1.0" encoding="utf-8"?>
<ds:datastoreItem xmlns:ds="http://schemas.openxmlformats.org/officeDocument/2006/customXml" ds:itemID="{84A30671-DE32-46A6-8BC5-6D7BB161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F16A3829-4F10-4884-87DD-36120EBA5576}">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263dcc5b-2454-4d67-bfd0-48987ca6b20e"/>
    <ds:schemaRef ds:uri="64776ad0-39d4-4130-bf63-b73fdd226409"/>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3127</ap:Words>
  <ap:Characters>17829</ap:Characters>
  <ap:Application>Microsoft Office Word</ap:Application>
  <ap:DocSecurity>0</ap:DocSecurity>
  <ap:Lines>148</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20915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2026-01-21T14:14:32Z</dcterms:created>
  <dcterms:modified xsi:type="dcterms:W3CDTF">2026-01-21T14:14:32Z</dcterms:modified>
</cp:coreProperties>
</file>