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9B4381" w:rsidRDefault="001F6BD4" w14:paraId="5052567D" w14:textId="6025BAC7">
      <w:pPr>
        <w:tabs>
          <w:tab w:val="left" w:pos="1542"/>
          <w:tab w:val="center" w:pos="4680"/>
          <w:tab w:val="right" w:pos="9360"/>
        </w:tabs>
        <w:spacing w:line="240" w:lineRule="auto"/>
        <w:ind w:firstLine="0"/>
      </w:pPr>
      <w:r>
        <w:t>ALJ/GK1/</w:t>
      </w:r>
      <w:proofErr w:type="spellStart"/>
      <w:r w:rsidR="00997C30">
        <w:t>mva</w:t>
      </w:r>
      <w:proofErr w:type="spellEnd"/>
      <w:r w:rsidR="00997C30">
        <w:t>/</w:t>
      </w:r>
      <w:proofErr w:type="spellStart"/>
      <w:r w:rsidR="00997C30">
        <w:t>asf</w:t>
      </w:r>
      <w:proofErr w:type="spellEnd"/>
      <w:r w:rsidR="009B4381">
        <w:tab/>
      </w:r>
      <w:r w:rsidR="00DA7B5D">
        <w:rPr>
          <w:rFonts w:ascii="Arial" w:hAnsi="Arial" w:cs="Arial"/>
          <w:b/>
          <w:sz w:val="32"/>
          <w:szCs w:val="32"/>
        </w:rPr>
        <w:t>PROPOSED DECISION</w:t>
      </w:r>
      <w:r w:rsidR="00DA7B5D">
        <w:tab/>
      </w:r>
      <w:r w:rsidRPr="00EE4315" w:rsidR="00276303">
        <w:rPr>
          <w:b/>
        </w:rPr>
        <w:t>Agenda ID #</w:t>
      </w:r>
      <w:r w:rsidR="00997C30">
        <w:rPr>
          <w:b/>
        </w:rPr>
        <w:t>23991</w:t>
      </w:r>
    </w:p>
    <w:p w:rsidRPr="0028017B" w:rsidR="00DA7B5D" w:rsidP="0028017B" w:rsidRDefault="0028017B" w14:paraId="2D4F07B4" w14:textId="1BE0471E">
      <w:pPr>
        <w:spacing w:line="240" w:lineRule="auto"/>
        <w:ind w:firstLine="0"/>
        <w:jc w:val="right"/>
        <w:rPr>
          <w:b/>
          <w:bCs/>
        </w:rPr>
      </w:pPr>
      <w:r w:rsidRPr="0028017B">
        <w:rPr>
          <w:b/>
          <w:bCs/>
        </w:rPr>
        <w:t>Quasi-Legislative</w:t>
      </w:r>
    </w:p>
    <w:p w:rsidR="001F6BD4" w:rsidP="001F6BD4" w:rsidRDefault="001F6BD4" w14:paraId="4A133514" w14:textId="2ADCBF64">
      <w:pPr>
        <w:spacing w:line="240" w:lineRule="auto"/>
        <w:ind w:firstLine="0"/>
      </w:pPr>
    </w:p>
    <w:p w:rsidR="00DA7B5D" w:rsidP="001F6BD4" w:rsidRDefault="00DA7B5D" w14:paraId="4BE74E1F" w14:textId="446FABAD">
      <w:pPr>
        <w:spacing w:line="240" w:lineRule="auto"/>
        <w:ind w:left="1080" w:hanging="1080"/>
      </w:pPr>
      <w:r>
        <w:t xml:space="preserve">Decision </w:t>
      </w:r>
      <w:r w:rsidR="008D16B7">
        <w:t>____</w:t>
      </w:r>
      <w:r w:rsidR="0028017B">
        <w:t>______</w:t>
      </w:r>
      <w:r w:rsidR="008D16B7">
        <w:t>______</w:t>
      </w:r>
    </w:p>
    <w:p w:rsidR="001F6BD4" w:rsidP="001F6BD4" w:rsidRDefault="001F6BD4" w14:paraId="36E462FA" w14:textId="274183AF">
      <w:pPr>
        <w:spacing w:line="240" w:lineRule="auto"/>
        <w:ind w:left="1080" w:hanging="1080"/>
      </w:pPr>
    </w:p>
    <w:p w:rsidRPr="00EE3060" w:rsidR="001F6BD4" w:rsidP="001F6BD4" w:rsidRDefault="001F6BD4" w14:paraId="1765A4F2" w14:textId="77777777">
      <w:pPr>
        <w:spacing w:line="240" w:lineRule="auto"/>
        <w:ind w:left="1080" w:hanging="1080"/>
      </w:pPr>
    </w:p>
    <w:p w:rsidR="00F5750E" w:rsidP="00F5750E" w:rsidRDefault="00F5750E" w14:paraId="0D796B6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F5750E" w:rsidP="00F5750E" w:rsidRDefault="00F5750E" w14:paraId="0618EEFC" w14:textId="77777777">
      <w:pPr>
        <w:spacing w:line="240" w:lineRule="auto"/>
        <w:ind w:firstLine="0"/>
        <w:rPr>
          <w:rFonts w:ascii="Arial" w:hAnsi="Arial" w:cs="Arial"/>
          <w:sz w:val="24"/>
          <w:szCs w:val="24"/>
        </w:rPr>
      </w:pPr>
    </w:p>
    <w:tbl>
      <w:tblPr>
        <w:tblStyle w:val="TableGrid"/>
        <w:tblW w:w="0" w:type="auto"/>
        <w:jc w:val="center"/>
        <w:tblLook w:val="04A0" w:firstRow="1" w:lastRow="0" w:firstColumn="1" w:lastColumn="0" w:noHBand="0" w:noVBand="1"/>
      </w:tblPr>
      <w:tblGrid>
        <w:gridCol w:w="4590"/>
        <w:gridCol w:w="4760"/>
      </w:tblGrid>
      <w:tr w:rsidRPr="00767D57" w:rsidR="00F5750E" w:rsidTr="00A32F09" w14:paraId="4D2FB51F" w14:textId="77777777">
        <w:trPr>
          <w:jc w:val="center"/>
        </w:trPr>
        <w:tc>
          <w:tcPr>
            <w:tcW w:w="4590" w:type="dxa"/>
            <w:tcBorders>
              <w:top w:val="nil"/>
              <w:left w:val="nil"/>
              <w:bottom w:val="single" w:color="auto" w:sz="4" w:space="0"/>
              <w:right w:val="single" w:color="auto" w:sz="4" w:space="0"/>
            </w:tcBorders>
          </w:tcPr>
          <w:p w:rsidR="00F5750E" w:rsidP="006C5E60" w:rsidRDefault="006C5E60" w14:paraId="4DF15C41" w14:textId="2C29268D">
            <w:pPr>
              <w:spacing w:line="240" w:lineRule="auto"/>
              <w:ind w:right="144" w:firstLine="0"/>
            </w:pPr>
            <w:r w:rsidRPr="00C427DA">
              <w:t>Order Instituting Rulemaking to review the existing guiding framework set forth in Decision</w:t>
            </w:r>
            <w:r w:rsidR="00A32F09">
              <w:t> </w:t>
            </w:r>
            <w:r w:rsidRPr="00C427DA">
              <w:t>99</w:t>
            </w:r>
            <w:r w:rsidR="00A32F09">
              <w:noBreakHyphen/>
            </w:r>
            <w:r w:rsidRPr="00C427DA">
              <w:t>10-064 (consistent with Public Water System Investment and Consolidation Act of 1997) regarding acquisitions involving water utilities under the Commission’s jurisdiction.</w:t>
            </w:r>
          </w:p>
          <w:p w:rsidRPr="00767D57" w:rsidR="0028017B" w:rsidP="006C5E60" w:rsidRDefault="0028017B" w14:paraId="0594FA5D" w14:textId="0046A815">
            <w:pPr>
              <w:spacing w:line="240" w:lineRule="auto"/>
              <w:ind w:right="144" w:firstLine="0"/>
              <w:rPr>
                <w:rFonts w:cs="Arial"/>
                <w:szCs w:val="26"/>
              </w:rPr>
            </w:pPr>
          </w:p>
        </w:tc>
        <w:tc>
          <w:tcPr>
            <w:tcW w:w="4760" w:type="dxa"/>
            <w:tcBorders>
              <w:top w:val="nil"/>
              <w:left w:val="single" w:color="auto" w:sz="4" w:space="0"/>
              <w:bottom w:val="nil"/>
              <w:right w:val="nil"/>
            </w:tcBorders>
            <w:vAlign w:val="center"/>
          </w:tcPr>
          <w:p w:rsidRPr="00767D57" w:rsidR="00F5750E" w:rsidP="001F6BD4" w:rsidRDefault="006C5E60" w14:paraId="3F5579D5" w14:textId="1EBA3863">
            <w:pPr>
              <w:ind w:firstLine="0"/>
              <w:jc w:val="center"/>
              <w:rPr>
                <w:szCs w:val="26"/>
              </w:rPr>
            </w:pPr>
            <w:r w:rsidRPr="00C427DA">
              <w:rPr>
                <w:rFonts w:eastAsia="Times New Roman" w:cs="Times New Roman"/>
                <w:szCs w:val="20"/>
              </w:rPr>
              <w:t>Rulemaking 22-04-003</w:t>
            </w:r>
          </w:p>
        </w:tc>
      </w:tr>
    </w:tbl>
    <w:p w:rsidR="00F5750E" w:rsidP="001F6BD4" w:rsidRDefault="00F5750E" w14:paraId="3A4450CF" w14:textId="77777777">
      <w:pPr>
        <w:spacing w:line="240" w:lineRule="auto"/>
        <w:ind w:firstLine="0"/>
        <w:rPr>
          <w:rFonts w:ascii="Arial" w:hAnsi="Arial" w:cs="Arial"/>
          <w:sz w:val="24"/>
          <w:szCs w:val="24"/>
        </w:rPr>
      </w:pPr>
    </w:p>
    <w:p w:rsidR="00F5750E" w:rsidP="001F6BD4" w:rsidRDefault="00F5750E" w14:paraId="69DCFA46" w14:textId="77777777">
      <w:pPr>
        <w:spacing w:line="240" w:lineRule="auto"/>
        <w:ind w:firstLine="0"/>
        <w:rPr>
          <w:rFonts w:ascii="Arial" w:hAnsi="Arial" w:cs="Arial"/>
          <w:sz w:val="24"/>
          <w:szCs w:val="24"/>
        </w:rPr>
      </w:pPr>
    </w:p>
    <w:p w:rsidR="00F5750E" w:rsidP="001F6BD4" w:rsidRDefault="00F5750E" w14:paraId="5D7A50E8" w14:textId="0614558D">
      <w:pPr>
        <w:pStyle w:val="Dummy"/>
        <w:spacing w:after="0"/>
        <w:jc w:val="center"/>
      </w:pPr>
      <w:bookmarkStart w:name="_Toc12866682" w:id="0"/>
      <w:r w:rsidRPr="00A12852">
        <w:t xml:space="preserve">ORDER EXTENDING STATUTORY </w:t>
      </w:r>
      <w:bookmarkEnd w:id="0"/>
      <w:r>
        <w:t>DEADLINE</w:t>
      </w:r>
    </w:p>
    <w:p w:rsidRPr="001F6BD4" w:rsidR="001F6BD4" w:rsidP="001F6BD4" w:rsidRDefault="001F6BD4" w14:paraId="6BD24881" w14:textId="77777777">
      <w:pPr>
        <w:spacing w:line="240" w:lineRule="auto"/>
        <w:ind w:firstLine="0"/>
        <w:rPr>
          <w:rFonts w:cs="Arial"/>
          <w:szCs w:val="26"/>
        </w:rPr>
      </w:pPr>
    </w:p>
    <w:p w:rsidR="00F5750E" w:rsidP="00F5750E" w:rsidRDefault="00F5750E" w14:paraId="387EA953" w14:textId="77777777">
      <w:pPr>
        <w:pStyle w:val="Dummy"/>
      </w:pPr>
      <w:bookmarkStart w:name="_Toc8123714" w:id="1"/>
      <w:bookmarkStart w:name="_Toc12866683" w:id="2"/>
      <w:r>
        <w:t>Summary</w:t>
      </w:r>
      <w:bookmarkEnd w:id="1"/>
      <w:bookmarkEnd w:id="2"/>
    </w:p>
    <w:p w:rsidRPr="00A12852" w:rsidR="00F5750E" w:rsidP="00F5750E" w:rsidRDefault="00F5750E" w14:paraId="6E32B535" w14:textId="3B5DCE6E">
      <w:pPr>
        <w:pStyle w:val="Standard"/>
      </w:pPr>
      <w:bookmarkStart w:name="_Toc8123715" w:id="3"/>
      <w:bookmarkStart w:name="_Toc12866684" w:id="4"/>
      <w:r w:rsidRPr="00A12852">
        <w:t xml:space="preserve">This decision extends the statutory deadline of this proceeding to </w:t>
      </w:r>
      <w:r w:rsidR="00CA7BF9">
        <w:t>July</w:t>
      </w:r>
      <w:r w:rsidR="004746FC">
        <w:t xml:space="preserve"> 31, 2026</w:t>
      </w:r>
      <w:r w:rsidRPr="00A12852">
        <w:t>.</w:t>
      </w:r>
    </w:p>
    <w:p w:rsidR="0025776E" w:rsidP="0025776E" w:rsidRDefault="00F5750E" w14:paraId="11D42421" w14:textId="52F8453F">
      <w:pPr>
        <w:pStyle w:val="Heading1"/>
        <w:numPr>
          <w:ilvl w:val="0"/>
          <w:numId w:val="1"/>
        </w:numPr>
      </w:pPr>
      <w:r w:rsidRPr="00121089">
        <w:t>Background</w:t>
      </w:r>
      <w:bookmarkEnd w:id="3"/>
      <w:bookmarkEnd w:id="4"/>
    </w:p>
    <w:p w:rsidR="0025776E" w:rsidP="0025776E" w:rsidRDefault="0025776E" w14:paraId="551FE23B" w14:textId="4A7B8F06">
      <w:pPr>
        <w:pStyle w:val="Standard"/>
      </w:pPr>
      <w:r w:rsidRPr="0001254D">
        <w:rPr>
          <w:szCs w:val="26"/>
        </w:rPr>
        <w:t>Public Utilities Code (Pub. Util.</w:t>
      </w:r>
      <w:r>
        <w:rPr>
          <w:szCs w:val="26"/>
        </w:rPr>
        <w:t xml:space="preserve"> </w:t>
      </w:r>
      <w:r w:rsidRPr="0001254D">
        <w:rPr>
          <w:szCs w:val="26"/>
        </w:rPr>
        <w:t>Code</w:t>
      </w:r>
      <w:r>
        <w:rPr>
          <w:szCs w:val="26"/>
        </w:rPr>
        <w:t>)</w:t>
      </w:r>
      <w:r w:rsidRPr="0001254D">
        <w:rPr>
          <w:szCs w:val="26"/>
        </w:rPr>
        <w:t xml:space="preserve"> Section 1701.5(a) provides that the Commission shall resolve the issues raised in the scoping memo</w:t>
      </w:r>
      <w:r w:rsidR="0073002B">
        <w:rPr>
          <w:szCs w:val="26"/>
        </w:rPr>
        <w:t xml:space="preserve"> and ruling</w:t>
      </w:r>
      <w:r w:rsidRPr="0001254D">
        <w:rPr>
          <w:szCs w:val="26"/>
        </w:rPr>
        <w:t xml:space="preserve"> of a </w:t>
      </w:r>
      <w:r>
        <w:rPr>
          <w:szCs w:val="26"/>
        </w:rPr>
        <w:t>quasi-legislative</w:t>
      </w:r>
      <w:r w:rsidRPr="0001254D">
        <w:rPr>
          <w:szCs w:val="26"/>
        </w:rPr>
        <w:t xml:space="preserve"> proceeding within 18 months of the date the proceeding is initiated, unless the Commission makes a written determination that the deadline cannot be met and issues an order extending that deadline.</w:t>
      </w:r>
      <w:r>
        <w:rPr>
          <w:szCs w:val="26"/>
        </w:rPr>
        <w:t xml:space="preserve"> </w:t>
      </w:r>
      <w:r>
        <w:t>The current statutory deadline for completion of this proceeding is March 3</w:t>
      </w:r>
      <w:r w:rsidRPr="007F34A2">
        <w:t>1, 2026.</w:t>
      </w:r>
    </w:p>
    <w:p w:rsidR="0025776E" w:rsidP="00CA7BF9" w:rsidRDefault="0025776E" w14:paraId="09607973" w14:textId="77777777">
      <w:pPr>
        <w:pStyle w:val="Standard"/>
      </w:pPr>
    </w:p>
    <w:p w:rsidRPr="00CA7BF9" w:rsidR="00CA7BF9" w:rsidP="00CA7BF9" w:rsidRDefault="00CA7BF9" w14:paraId="78DA099D" w14:textId="4890F73A">
      <w:pPr>
        <w:pStyle w:val="Standard"/>
      </w:pPr>
      <w:r w:rsidRPr="00CA7BF9">
        <w:lastRenderedPageBreak/>
        <w:t xml:space="preserve">On April 18, 2022, the Commission approved this Order Instituting Rulemaking (OIR) to improve the current acquisition process and develop a framework which will better guide the Commission in reviewing water utility acquisitions for regulated water utilities. Attached to the OIR was a White Paper drafted by staff of the Commission’s Water Division. Respondents and other interested parties were provided with the opportunity to file opening and reply comments on the OIR and White Paper. A prehearing conference was conducted remotely on August 5, 2022. On October 21, 2022, the assigned Commissioner’s Scoping Memo and Ruling was issued. </w:t>
      </w:r>
    </w:p>
    <w:p w:rsidRPr="00CA7BF9" w:rsidR="00CA7BF9" w:rsidP="00CA7BF9" w:rsidRDefault="00CA7BF9" w14:paraId="5FAFD53A" w14:textId="77777777">
      <w:pPr>
        <w:pStyle w:val="Standard"/>
      </w:pPr>
      <w:r w:rsidRPr="00CA7BF9">
        <w:t>The first of four Workshops was conducted on November 29, 2022.</w:t>
      </w:r>
      <w:r w:rsidRPr="00CA7BF9">
        <w:rPr>
          <w:vertAlign w:val="superscript"/>
        </w:rPr>
        <w:footnoteReference w:id="2"/>
      </w:r>
      <w:r w:rsidRPr="00CA7BF9">
        <w:t xml:space="preserve"> The Workshop Report for Workshop 1 was issued on February 10, 2023. The second Workshop was held on March 9, 2023, and the Workshop Report for Workshop 2 was issued on June 26, 2023.</w:t>
      </w:r>
      <w:r w:rsidRPr="00CA7BF9">
        <w:rPr>
          <w:vertAlign w:val="superscript"/>
        </w:rPr>
        <w:footnoteReference w:id="3"/>
      </w:r>
      <w:r w:rsidRPr="00CA7BF9">
        <w:t xml:space="preserve"> The third Workshop was held on June 13, 2023, and the Workshop report for Workshop 3 was issued on September 18, 2023.</w:t>
      </w:r>
      <w:r w:rsidRPr="00CA7BF9">
        <w:rPr>
          <w:vertAlign w:val="superscript"/>
        </w:rPr>
        <w:footnoteReference w:id="4"/>
      </w:r>
      <w:r w:rsidRPr="00CA7BF9">
        <w:t xml:space="preserve"> The fourth and final Workshop was held on December 5, 2023, and the Workshop report for Workshop 4 was issued on March 8, 2024.</w:t>
      </w:r>
      <w:r w:rsidRPr="00CA7BF9">
        <w:rPr>
          <w:vertAlign w:val="superscript"/>
        </w:rPr>
        <w:footnoteReference w:id="5"/>
      </w:r>
      <w:r w:rsidRPr="00CA7BF9">
        <w:t xml:space="preserve"> Parties were provided with the opportunity to make opening and reply comments on all Workshop Reports.</w:t>
      </w:r>
    </w:p>
    <w:p w:rsidR="00CA7BF9" w:rsidP="00D278A7" w:rsidRDefault="00CA7BF9" w14:paraId="381491FA" w14:textId="58CD8F3C">
      <w:pPr>
        <w:pStyle w:val="Standard"/>
      </w:pPr>
      <w:r w:rsidRPr="00CA7BF9">
        <w:t>On March 7, 2024, Decision (D.)</w:t>
      </w:r>
      <w:r w:rsidR="00EB4AF0">
        <w:t xml:space="preserve"> </w:t>
      </w:r>
      <w:r w:rsidRPr="00CA7BF9">
        <w:t xml:space="preserve">24-03-019 was issued extending the statutory deadline in this matter to December 31, 2024. On June 3, 2024, this matter was reassigned from Commissioner Genevieve Shiroma to Commissioner John Reynolds. On December 19, 2024, D.24-12-048 was issued extending the statutory deadline in this matter to September 30, 2025. On January 9, 2025, the </w:t>
      </w:r>
      <w:r w:rsidRPr="00CA7BF9">
        <w:lastRenderedPageBreak/>
        <w:t xml:space="preserve">Water Division’s Staff Proposal was issued for comment. Parties were presented with the opportunity to file opening and reply comments on the Staff Proposal. </w:t>
      </w:r>
      <w:proofErr w:type="gramStart"/>
      <w:r w:rsidRPr="00CA7BF9">
        <w:t>On September</w:t>
      </w:r>
      <w:proofErr w:type="gramEnd"/>
      <w:r w:rsidRPr="00CA7BF9">
        <w:t xml:space="preserve"> 18, 2025, D.25-09-019 was issued extending the statutory deadline in this matter until March 31, 2026. </w:t>
      </w:r>
    </w:p>
    <w:p w:rsidR="00D36656" w:rsidP="001A6F44" w:rsidRDefault="001A6F44" w14:paraId="2B995C67" w14:textId="61B1BE32">
      <w:pPr>
        <w:pStyle w:val="Heading1"/>
        <w:numPr>
          <w:ilvl w:val="0"/>
          <w:numId w:val="1"/>
        </w:numPr>
      </w:pPr>
      <w:r>
        <w:t>Discussion</w:t>
      </w:r>
    </w:p>
    <w:p w:rsidR="00E21148" w:rsidP="0032159B" w:rsidRDefault="00B766DB" w14:paraId="1EF5A3D6" w14:textId="3E19A1A8">
      <w:pPr>
        <w:pStyle w:val="Standard"/>
      </w:pPr>
      <w:r>
        <w:t xml:space="preserve">Currently the deadline for completing this matter is </w:t>
      </w:r>
      <w:r w:rsidR="00D278A7">
        <w:t>March 31, 2026</w:t>
      </w:r>
      <w:r>
        <w:t>.</w:t>
      </w:r>
      <w:r w:rsidR="00E21148">
        <w:t xml:space="preserve"> As noted above, this is a complex matter with over 100 parties. There have been four workshops conducted in this matter and the Commission </w:t>
      </w:r>
      <w:r w:rsidR="00E824BF">
        <w:t>received numerous comments on the Staff Proposal.</w:t>
      </w:r>
    </w:p>
    <w:p w:rsidR="00B766DB" w:rsidP="00337EA7" w:rsidRDefault="00337EA7" w14:paraId="4E1E28C5" w14:textId="6ACCBBF4">
      <w:pPr>
        <w:pStyle w:val="Standard"/>
      </w:pPr>
      <w:r w:rsidRPr="00337EA7">
        <w:t xml:space="preserve">The Commission is evaluating the multiple and complex competing issues raised in this proceeding and expects to </w:t>
      </w:r>
      <w:proofErr w:type="gramStart"/>
      <w:r w:rsidRPr="00337EA7">
        <w:t>have</w:t>
      </w:r>
      <w:proofErr w:type="gramEnd"/>
      <w:r w:rsidRPr="00337EA7">
        <w:t xml:space="preserve"> a resolution shortly. However, it is unlike</w:t>
      </w:r>
      <w:r>
        <w:t>ly</w:t>
      </w:r>
      <w:r w:rsidRPr="00337EA7">
        <w:t xml:space="preserve"> that a final decision will be issued by </w:t>
      </w:r>
      <w:r w:rsidR="00D278A7">
        <w:t>March 31, 2026</w:t>
      </w:r>
      <w:r w:rsidRPr="00337EA7">
        <w:t>, which is the current statutory deadline for this matter.</w:t>
      </w:r>
      <w:r>
        <w:t xml:space="preserve"> </w:t>
      </w:r>
      <w:r w:rsidR="00E21148">
        <w:t xml:space="preserve">Accordingly, it is appropriate to extend the statutory deadline in this matter to </w:t>
      </w:r>
      <w:r w:rsidR="00D278A7">
        <w:t>July</w:t>
      </w:r>
      <w:r w:rsidR="00144EE6">
        <w:t xml:space="preserve"> 31, 2026</w:t>
      </w:r>
      <w:r w:rsidR="00E21148">
        <w:t>.</w:t>
      </w:r>
    </w:p>
    <w:p w:rsidR="00F5750E" w:rsidP="00F5750E" w:rsidRDefault="00F5750E" w14:paraId="725AEC79" w14:textId="77777777">
      <w:pPr>
        <w:pStyle w:val="Heading1"/>
        <w:numPr>
          <w:ilvl w:val="0"/>
          <w:numId w:val="1"/>
        </w:numPr>
      </w:pPr>
      <w:bookmarkStart w:name="_Toc8123723" w:id="5"/>
      <w:bookmarkStart w:name="_Toc12866693" w:id="6"/>
      <w:r>
        <w:t xml:space="preserve">Waiver </w:t>
      </w:r>
      <w:bookmarkEnd w:id="5"/>
      <w:bookmarkEnd w:id="6"/>
      <w:r>
        <w:t>of Comment Period</w:t>
      </w:r>
    </w:p>
    <w:p w:rsidR="00F5750E" w:rsidP="00F5750E" w:rsidRDefault="00F5750E" w14:paraId="252EC19D" w14:textId="69FCA9F4">
      <w:pPr>
        <w:pStyle w:val="Standard"/>
      </w:pPr>
      <w:r w:rsidRPr="00A12852">
        <w:t>Under Rule 14.6(c)(4) of the Commission’s Rules of Practice and Procedure, the Commission may reduce or waive the period for public review and comment of proposed decisions extending the deadline for resolving</w:t>
      </w:r>
      <w:r>
        <w:t xml:space="preserve"> a proceeding</w:t>
      </w:r>
      <w:r w:rsidRPr="00A12852">
        <w:t xml:space="preserve">. Accordingly, the otherwise applicable period for public review and comment on an extension order issued pursuant to </w:t>
      </w:r>
      <w:r>
        <w:t xml:space="preserve">Pub. Util. Code </w:t>
      </w:r>
      <w:r w:rsidRPr="00A12852">
        <w:t>§ 1701.</w:t>
      </w:r>
      <w:r w:rsidR="00E21148">
        <w:t>5(a)</w:t>
      </w:r>
      <w:r w:rsidRPr="00A12852">
        <w:t xml:space="preserve"> is being waived.</w:t>
      </w:r>
    </w:p>
    <w:p w:rsidR="00F5750E" w:rsidP="00F5750E" w:rsidRDefault="00F5750E" w14:paraId="0DC66DFE" w14:textId="77777777">
      <w:pPr>
        <w:pStyle w:val="Heading1"/>
        <w:numPr>
          <w:ilvl w:val="0"/>
          <w:numId w:val="1"/>
        </w:numPr>
      </w:pPr>
      <w:bookmarkStart w:name="_Toc8123724" w:id="7"/>
      <w:bookmarkStart w:name="_Toc12866694" w:id="8"/>
      <w:r>
        <w:t>Assignment of Proceeding</w:t>
      </w:r>
      <w:bookmarkEnd w:id="7"/>
      <w:bookmarkEnd w:id="8"/>
    </w:p>
    <w:p w:rsidR="00F5750E" w:rsidP="00F5750E" w:rsidRDefault="00B21BC8" w14:paraId="10766778" w14:textId="560F0919">
      <w:pPr>
        <w:pStyle w:val="Standard"/>
      </w:pPr>
      <w:r>
        <w:t>John Reynolds</w:t>
      </w:r>
      <w:r w:rsidRPr="00A12852" w:rsidR="00F5750E">
        <w:t xml:space="preserve"> is the assigned Commissioner and Gerald F. Kelly is the assigned </w:t>
      </w:r>
      <w:r w:rsidR="00F5750E">
        <w:t>A</w:t>
      </w:r>
      <w:r w:rsidR="00625C3C">
        <w:t>dministrative Law Judge</w:t>
      </w:r>
      <w:r w:rsidRPr="00A12852" w:rsidR="00F5750E">
        <w:t xml:space="preserve"> in this proceeding.</w:t>
      </w:r>
    </w:p>
    <w:p w:rsidR="00F5750E" w:rsidP="00F5750E" w:rsidRDefault="00F5750E" w14:paraId="296C10EE" w14:textId="77777777">
      <w:pPr>
        <w:pStyle w:val="Dummy"/>
      </w:pPr>
      <w:bookmarkStart w:name="_Toc8123725" w:id="9"/>
      <w:bookmarkStart w:name="_Toc12866695" w:id="10"/>
      <w:r>
        <w:lastRenderedPageBreak/>
        <w:t>Findings of Fact</w:t>
      </w:r>
      <w:bookmarkEnd w:id="9"/>
      <w:bookmarkEnd w:id="10"/>
    </w:p>
    <w:p w:rsidR="00F5750E" w:rsidP="009E1DDA" w:rsidRDefault="00F5750E" w14:paraId="6AD3D858" w14:textId="512BC814">
      <w:pPr>
        <w:pStyle w:val="FoF"/>
        <w:keepNext/>
        <w:keepLines/>
      </w:pPr>
      <w:r w:rsidRPr="00A12852">
        <w:t xml:space="preserve">The </w:t>
      </w:r>
      <w:r w:rsidR="00920DDF">
        <w:t xml:space="preserve">current </w:t>
      </w:r>
      <w:r w:rsidRPr="00A12852">
        <w:t>statutory deadline for resolving this proceeding is</w:t>
      </w:r>
      <w:r w:rsidR="00981131">
        <w:t xml:space="preserve"> </w:t>
      </w:r>
      <w:r w:rsidR="00D278A7">
        <w:t>March 31, 2026</w:t>
      </w:r>
      <w:r w:rsidRPr="00A12852">
        <w:t>.</w:t>
      </w:r>
    </w:p>
    <w:p w:rsidR="0025776E" w:rsidP="009E1DDA" w:rsidRDefault="0025776E" w14:paraId="2A84929C" w14:textId="6441632A">
      <w:pPr>
        <w:pStyle w:val="FoF"/>
        <w:keepNext/>
        <w:keepLines/>
      </w:pPr>
      <w:r>
        <w:t>This proceeding cannot be completed by March 31, 2026.</w:t>
      </w:r>
    </w:p>
    <w:p w:rsidR="00F5750E" w:rsidP="00F5750E" w:rsidRDefault="00F5750E" w14:paraId="5C1F9536" w14:textId="150C01B2">
      <w:pPr>
        <w:pStyle w:val="FoF"/>
      </w:pPr>
      <w:r w:rsidRPr="001B75EA">
        <w:t>A</w:t>
      </w:r>
      <w:r w:rsidR="00981131">
        <w:t xml:space="preserve">n </w:t>
      </w:r>
      <w:r w:rsidRPr="001B75EA">
        <w:t xml:space="preserve">extension of the statutory deadline </w:t>
      </w:r>
      <w:r w:rsidR="00981131">
        <w:t xml:space="preserve">until </w:t>
      </w:r>
      <w:r w:rsidR="00D278A7">
        <w:t>July</w:t>
      </w:r>
      <w:r w:rsidR="00920DDF">
        <w:t xml:space="preserve"> 31, 2026</w:t>
      </w:r>
      <w:r w:rsidR="005B6F7C">
        <w:t>,</w:t>
      </w:r>
      <w:r w:rsidR="00981131">
        <w:t xml:space="preserve"> is </w:t>
      </w:r>
      <w:r w:rsidRPr="001B75EA">
        <w:t xml:space="preserve">necessary to provide </w:t>
      </w:r>
      <w:r>
        <w:t>adequate time for</w:t>
      </w:r>
      <w:r w:rsidR="00594BDF">
        <w:t xml:space="preserve"> the Commission to adequately address the complex issues presented in this matter prior to issuing a proposed decision. </w:t>
      </w:r>
    </w:p>
    <w:p w:rsidR="00F5750E" w:rsidP="00F5750E" w:rsidRDefault="00F5750E" w14:paraId="42AC3287" w14:textId="77777777">
      <w:pPr>
        <w:pStyle w:val="Dummy"/>
      </w:pPr>
      <w:bookmarkStart w:name="_Toc8123726" w:id="11"/>
      <w:bookmarkStart w:name="_Toc12866696" w:id="12"/>
      <w:r>
        <w:t>Conclusion of Law</w:t>
      </w:r>
      <w:bookmarkEnd w:id="11"/>
      <w:bookmarkEnd w:id="12"/>
    </w:p>
    <w:p w:rsidRPr="00A12852" w:rsidR="00F5750E" w:rsidP="00E354F0" w:rsidRDefault="00F5750E" w14:paraId="631B2CD3" w14:textId="3CDEDEB7">
      <w:pPr>
        <w:pStyle w:val="CoL"/>
      </w:pPr>
      <w:r w:rsidRPr="00A12852">
        <w:t>Pursuant to the Commission’s authority under Pub. Util. Code § 1701</w:t>
      </w:r>
      <w:r w:rsidR="00594BDF">
        <w:t>.5(a)</w:t>
      </w:r>
      <w:r w:rsidRPr="00A12852">
        <w:t xml:space="preserve"> the statutory deadline should be extended </w:t>
      </w:r>
      <w:r w:rsidR="00981131">
        <w:t>until</w:t>
      </w:r>
      <w:r w:rsidR="00AF08FE">
        <w:t xml:space="preserve"> </w:t>
      </w:r>
      <w:r w:rsidR="00D278A7">
        <w:t>July</w:t>
      </w:r>
      <w:r w:rsidR="00144EE6">
        <w:t xml:space="preserve"> 31, 2026</w:t>
      </w:r>
      <w:r w:rsidRPr="00A12852">
        <w:t>.</w:t>
      </w:r>
    </w:p>
    <w:p w:rsidR="00F5750E" w:rsidP="00E354F0" w:rsidRDefault="00F5750E" w14:paraId="249374F1" w14:textId="77777777">
      <w:pPr>
        <w:pStyle w:val="Mainex"/>
        <w:spacing w:before="240"/>
      </w:pPr>
      <w:bookmarkStart w:name="_Toc12866697" w:id="13"/>
      <w:r>
        <w:t>ORDER</w:t>
      </w:r>
      <w:bookmarkEnd w:id="13"/>
    </w:p>
    <w:p w:rsidR="00F5750E" w:rsidP="00767D57" w:rsidRDefault="00F5750E" w14:paraId="47FA16AB" w14:textId="1C7BB6BC">
      <w:pPr>
        <w:pStyle w:val="ALJBodyText"/>
        <w:keepNext/>
        <w:keepLines/>
      </w:pPr>
      <w:r w:rsidRPr="00BB0243">
        <w:rPr>
          <w:b/>
        </w:rPr>
        <w:t>IT IS ORDERED</w:t>
      </w:r>
      <w:r>
        <w:t xml:space="preserve"> that the statutory deadline in this proceeding is extended until </w:t>
      </w:r>
      <w:r w:rsidR="00D278A7">
        <w:t>July</w:t>
      </w:r>
      <w:r w:rsidR="00144EE6">
        <w:t xml:space="preserve"> 31, 2026</w:t>
      </w:r>
      <w:r>
        <w:t>.</w:t>
      </w:r>
    </w:p>
    <w:p w:rsidR="00F5750E" w:rsidP="00767D57" w:rsidRDefault="00F5750E" w14:paraId="60448525" w14:textId="77777777">
      <w:pPr>
        <w:keepNext/>
        <w:keepLines/>
      </w:pPr>
      <w:r>
        <w:t>This order is effective today.</w:t>
      </w:r>
    </w:p>
    <w:p w:rsidR="00F5750E" w:rsidP="00767D57" w:rsidRDefault="00F5750E" w14:paraId="3FB4D347" w14:textId="51E9FA3A">
      <w:pPr>
        <w:keepNext/>
        <w:keepLines/>
      </w:pPr>
      <w:r>
        <w:t>Dated</w:t>
      </w:r>
      <w:r w:rsidR="00997C30">
        <w:t xml:space="preserve"> </w:t>
      </w:r>
      <w:r>
        <w:t>_______ 202</w:t>
      </w:r>
      <w:r w:rsidR="00D278A7">
        <w:t>6</w:t>
      </w:r>
      <w:r>
        <w:t>,</w:t>
      </w:r>
      <w:r w:rsidR="00997C30">
        <w:t xml:space="preserve"> Santa Maria</w:t>
      </w:r>
      <w:r>
        <w:t>, California.</w:t>
      </w:r>
    </w:p>
    <w:p w:rsidRPr="00354AFA" w:rsidR="00F5750E" w:rsidP="00767D57" w:rsidRDefault="00F5750E" w14:paraId="171A27C8" w14:textId="77777777">
      <w:pPr>
        <w:keepNext/>
        <w:keepLines/>
        <w:autoSpaceDE w:val="0"/>
        <w:autoSpaceDN w:val="0"/>
        <w:adjustRightInd w:val="0"/>
        <w:jc w:val="both"/>
        <w:rPr>
          <w:rFonts w:eastAsia="Times New Roman" w:cs="Palatino"/>
          <w:szCs w:val="26"/>
        </w:rPr>
      </w:pPr>
      <w:bookmarkStart w:name="_Hlk17215919" w:id="14"/>
    </w:p>
    <w:bookmarkEnd w:id="14"/>
    <w:p w:rsidR="00F5750E" w:rsidP="00767D57" w:rsidRDefault="00F5750E" w14:paraId="6174E717" w14:textId="77777777">
      <w:pPr>
        <w:keepNext/>
        <w:keepLines/>
        <w:jc w:val="both"/>
      </w:pPr>
    </w:p>
    <w:p w:rsidR="00DA7B5D" w:rsidP="00767D57" w:rsidRDefault="00DA7B5D" w14:paraId="03ACE1EB" w14:textId="77777777">
      <w:pPr>
        <w:keepNext/>
        <w:keepLines/>
        <w:spacing w:line="240" w:lineRule="auto"/>
        <w:jc w:val="both"/>
        <w:rPr>
          <w:u w:val="single"/>
        </w:rPr>
      </w:pPr>
    </w:p>
    <w:sectPr w:rsidR="00DA7B5D" w:rsidSect="00997C30">
      <w:headerReference w:type="default" r:id="rId8"/>
      <w:footerReference w:type="default" r:id="rId9"/>
      <w:headerReference w:type="first" r:id="rId10"/>
      <w:footerReference w:type="first" r:id="rId11"/>
      <w:pgSz w:w="12240" w:h="15840" w:code="1"/>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3862" w14:textId="77777777" w:rsidR="005A6929" w:rsidRDefault="005A6929" w:rsidP="0098138E">
      <w:pPr>
        <w:spacing w:line="240" w:lineRule="auto"/>
      </w:pPr>
      <w:r>
        <w:separator/>
      </w:r>
    </w:p>
  </w:endnote>
  <w:endnote w:type="continuationSeparator" w:id="0">
    <w:p w14:paraId="6984352F" w14:textId="77777777" w:rsidR="005A6929" w:rsidRDefault="005A692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AB82" w14:textId="3C08391D" w:rsidR="009B4381" w:rsidRDefault="009B4381" w:rsidP="001F6BD4">
    <w:pPr>
      <w:tabs>
        <w:tab w:val="center" w:pos="4680"/>
      </w:tabs>
      <w:spacing w:line="240" w:lineRule="auto"/>
      <w:ind w:firstLine="0"/>
    </w:pPr>
    <w:r>
      <w:tab/>
    </w:r>
    <w:r>
      <w:fldChar w:fldCharType="begin"/>
    </w:r>
    <w:r>
      <w:instrText xml:space="preserve"> PAGE  \* ArabicDash  \* MERGEFORMAT </w:instrText>
    </w:r>
    <w:r>
      <w:fldChar w:fldCharType="separate"/>
    </w:r>
    <w:r>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3C7E" w14:textId="42318D95" w:rsidR="00997C30" w:rsidRDefault="008441DA" w:rsidP="00997C30">
    <w:pPr>
      <w:pStyle w:val="Footer"/>
      <w:ind w:firstLine="0"/>
    </w:pPr>
    <w:r w:rsidRPr="008441DA">
      <w:rPr>
        <w:sz w:val="16"/>
        <w:szCs w:val="16"/>
      </w:rPr>
      <w:t>596390341</w:t>
    </w:r>
    <w:r w:rsidR="00997C30">
      <w:tab/>
    </w:r>
    <w:sdt>
      <w:sdtPr>
        <w:id w:val="-1696997769"/>
        <w:docPartObj>
          <w:docPartGallery w:val="Page Numbers (Bottom of Page)"/>
          <w:docPartUnique/>
        </w:docPartObj>
      </w:sdtPr>
      <w:sdtEndPr>
        <w:rPr>
          <w:noProof/>
        </w:rPr>
      </w:sdtEndPr>
      <w:sdtContent>
        <w:r w:rsidR="00997C30">
          <w:fldChar w:fldCharType="begin"/>
        </w:r>
        <w:r w:rsidR="00997C30">
          <w:instrText xml:space="preserve"> PAGE   \* MERGEFORMAT </w:instrText>
        </w:r>
        <w:r w:rsidR="00997C30">
          <w:fldChar w:fldCharType="separate"/>
        </w:r>
        <w:r w:rsidR="00997C30">
          <w:rPr>
            <w:noProof/>
          </w:rPr>
          <w:t>2</w:t>
        </w:r>
        <w:r w:rsidR="00997C30">
          <w:rPr>
            <w:noProof/>
          </w:rPr>
          <w:fldChar w:fldCharType="end"/>
        </w:r>
      </w:sdtContent>
    </w:sdt>
  </w:p>
  <w:p w14:paraId="0824D0BE" w14:textId="77777777" w:rsidR="00997C30" w:rsidRDefault="0099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B3A6" w14:textId="77777777" w:rsidR="005A6929" w:rsidRDefault="005A6929" w:rsidP="00DF58E7">
      <w:pPr>
        <w:spacing w:line="240" w:lineRule="auto"/>
        <w:ind w:firstLine="0"/>
      </w:pPr>
      <w:r>
        <w:separator/>
      </w:r>
    </w:p>
  </w:footnote>
  <w:footnote w:type="continuationSeparator" w:id="0">
    <w:p w14:paraId="17E239CD" w14:textId="77777777" w:rsidR="005A6929" w:rsidRDefault="005A6929" w:rsidP="00DF58E7">
      <w:pPr>
        <w:spacing w:line="240" w:lineRule="auto"/>
        <w:ind w:firstLine="0"/>
      </w:pPr>
      <w:r>
        <w:continuationSeparator/>
      </w:r>
    </w:p>
  </w:footnote>
  <w:footnote w:type="continuationNotice" w:id="1">
    <w:p w14:paraId="39530784" w14:textId="77777777" w:rsidR="005A6929" w:rsidRPr="00DF58E7" w:rsidRDefault="005A692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042C7486" w14:textId="77777777" w:rsidR="00CA7BF9" w:rsidRDefault="00CA7BF9" w:rsidP="00CA7BF9">
      <w:pPr>
        <w:pStyle w:val="FootnoteText"/>
      </w:pPr>
      <w:r>
        <w:rPr>
          <w:rStyle w:val="FootnoteReference"/>
        </w:rPr>
        <w:footnoteRef/>
      </w:r>
      <w:r>
        <w:t xml:space="preserve"> The topic for Workshop 1 was </w:t>
      </w:r>
      <w:r>
        <w:rPr>
          <w:i/>
          <w:iCs/>
        </w:rPr>
        <w:t>Options for Inadequately Operated and Maintained Systems.</w:t>
      </w:r>
      <w:r>
        <w:t xml:space="preserve"> </w:t>
      </w:r>
    </w:p>
  </w:footnote>
  <w:footnote w:id="3">
    <w:p w14:paraId="387EE32A" w14:textId="77777777" w:rsidR="00CA7BF9" w:rsidRDefault="00CA7BF9" w:rsidP="00CA7BF9">
      <w:pPr>
        <w:pStyle w:val="FootnoteText"/>
      </w:pPr>
      <w:r>
        <w:rPr>
          <w:rStyle w:val="FootnoteReference"/>
        </w:rPr>
        <w:footnoteRef/>
      </w:r>
      <w:r>
        <w:t xml:space="preserve"> The topic for Workshop 2 was </w:t>
      </w:r>
      <w:r>
        <w:rPr>
          <w:i/>
          <w:iCs/>
        </w:rPr>
        <w:t>Price and Valuation</w:t>
      </w:r>
      <w:r>
        <w:t xml:space="preserve">. </w:t>
      </w:r>
    </w:p>
  </w:footnote>
  <w:footnote w:id="4">
    <w:p w14:paraId="76DD9BB8" w14:textId="77777777" w:rsidR="00CA7BF9" w:rsidRDefault="00CA7BF9" w:rsidP="00CA7BF9">
      <w:pPr>
        <w:pStyle w:val="FootnoteText"/>
      </w:pPr>
      <w:r>
        <w:rPr>
          <w:rStyle w:val="FootnoteReference"/>
        </w:rPr>
        <w:footnoteRef/>
      </w:r>
      <w:r>
        <w:t xml:space="preserve"> The topic for Workshop 3 was </w:t>
      </w:r>
      <w:r>
        <w:rPr>
          <w:i/>
          <w:iCs/>
        </w:rPr>
        <w:t>Ratepayer Impacts.</w:t>
      </w:r>
    </w:p>
  </w:footnote>
  <w:footnote w:id="5">
    <w:p w14:paraId="2EABDD67" w14:textId="77777777" w:rsidR="00CA7BF9" w:rsidRDefault="00CA7BF9" w:rsidP="00CA7BF9">
      <w:pPr>
        <w:pStyle w:val="FootnoteText"/>
        <w:rPr>
          <w:i/>
          <w:iCs/>
        </w:rPr>
      </w:pPr>
      <w:r>
        <w:rPr>
          <w:rStyle w:val="FootnoteReference"/>
        </w:rPr>
        <w:footnoteRef/>
      </w:r>
      <w:r>
        <w:t xml:space="preserve"> The topic for Workshop 4 was </w:t>
      </w:r>
      <w:r>
        <w:rPr>
          <w:i/>
          <w:iCs/>
        </w:rPr>
        <w:t>Wrap-up.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4102" w14:textId="709561C8" w:rsidR="009B4381" w:rsidRDefault="009B4381" w:rsidP="009B4381">
    <w:pPr>
      <w:pStyle w:val="Header"/>
      <w:ind w:firstLine="0"/>
      <w:rPr>
        <w:b/>
        <w:bCs/>
      </w:rPr>
    </w:pPr>
    <w:r>
      <w:t>R.22-04-</w:t>
    </w:r>
    <w:proofErr w:type="gramStart"/>
    <w:r>
      <w:t>003  ALJ</w:t>
    </w:r>
    <w:proofErr w:type="gramEnd"/>
    <w:r>
      <w:t>/GK1/</w:t>
    </w:r>
    <w:proofErr w:type="spellStart"/>
    <w:r w:rsidR="00997C30">
      <w:t>mva</w:t>
    </w:r>
    <w:proofErr w:type="spellEnd"/>
    <w:r w:rsidR="00997C30">
      <w:t>/</w:t>
    </w:r>
    <w:proofErr w:type="spellStart"/>
    <w:r w:rsidR="00997C30">
      <w:t>asf</w:t>
    </w:r>
    <w:proofErr w:type="spellEnd"/>
    <w:r>
      <w:tab/>
    </w:r>
    <w:r>
      <w:tab/>
    </w:r>
    <w:r w:rsidRPr="009B4381">
      <w:rPr>
        <w:b/>
        <w:bCs/>
      </w:rPr>
      <w:t>PROPOSED DECISION</w:t>
    </w:r>
  </w:p>
  <w:p w14:paraId="643C103F" w14:textId="6C99C35C" w:rsidR="00360C67" w:rsidRDefault="00360C67" w:rsidP="009B4381">
    <w:pPr>
      <w:pStyle w:val="Header"/>
      <w:ind w:firstLine="0"/>
      <w:rPr>
        <w:i/>
        <w:color w:val="FF0000"/>
      </w:rPr>
    </w:pPr>
  </w:p>
  <w:p w14:paraId="08566B0F" w14:textId="77777777" w:rsidR="00997C30" w:rsidRPr="00360C67" w:rsidRDefault="00997C30" w:rsidP="009B4381">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093D" w14:textId="5444A397" w:rsidR="00997C30" w:rsidRDefault="00997C30" w:rsidP="00997C30">
    <w:pPr>
      <w:pStyle w:val="Header"/>
      <w:ind w:firstLine="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D70038F"/>
    <w:multiLevelType w:val="multilevel"/>
    <w:tmpl w:val="ECB8CCE8"/>
    <w:numStyleLink w:val="Headings"/>
  </w:abstractNum>
  <w:abstractNum w:abstractNumId="4" w15:restartNumberingAfterBreak="0">
    <w:nsid w:val="1E2242C9"/>
    <w:multiLevelType w:val="multilevel"/>
    <w:tmpl w:val="ECB8CCE8"/>
    <w:numStyleLink w:val="Headings"/>
  </w:abstractNum>
  <w:abstractNum w:abstractNumId="5" w15:restartNumberingAfterBreak="0">
    <w:nsid w:val="28BF71AC"/>
    <w:multiLevelType w:val="multilevel"/>
    <w:tmpl w:val="ECB8CCE8"/>
    <w:numStyleLink w:val="Headings"/>
  </w:abstractNum>
  <w:abstractNum w:abstractNumId="6"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59D042D7"/>
    <w:multiLevelType w:val="multilevel"/>
    <w:tmpl w:val="18F4A5AC"/>
    <w:numStyleLink w:val="FoFCoLOP"/>
  </w:abstractNum>
  <w:abstractNum w:abstractNumId="8"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89A0AFE"/>
    <w:multiLevelType w:val="multilevel"/>
    <w:tmpl w:val="18F4A5AC"/>
    <w:numStyleLink w:val="FoFCoLOP"/>
  </w:abstractNum>
  <w:num w:numId="1" w16cid:durableId="606350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618015">
    <w:abstractNumId w:val="1"/>
  </w:num>
  <w:num w:numId="3" w16cid:durableId="2127963456">
    <w:abstractNumId w:val="7"/>
  </w:num>
  <w:num w:numId="4" w16cid:durableId="968172142">
    <w:abstractNumId w:val="2"/>
    <w:lvlOverride w:ilvl="0">
      <w:lvl w:ilvl="0">
        <w:start w:val="1"/>
        <w:numFmt w:val="decimal"/>
        <w:pStyle w:val="CoL"/>
        <w:lvlText w:val="%1."/>
        <w:lvlJc w:val="right"/>
        <w:pPr>
          <w:ind w:left="0" w:firstLine="540"/>
        </w:pPr>
        <w:rPr>
          <w:rFonts w:hint="default"/>
        </w:rPr>
      </w:lvl>
    </w:lvlOverride>
  </w:num>
  <w:num w:numId="5" w16cid:durableId="1494906131">
    <w:abstractNumId w:val="10"/>
  </w:num>
  <w:num w:numId="6" w16cid:durableId="208415446">
    <w:abstractNumId w:val="6"/>
  </w:num>
  <w:num w:numId="7" w16cid:durableId="1596280688">
    <w:abstractNumId w:val="4"/>
  </w:num>
  <w:num w:numId="8" w16cid:durableId="1020277077">
    <w:abstractNumId w:val="9"/>
  </w:num>
  <w:num w:numId="9" w16cid:durableId="797188455">
    <w:abstractNumId w:val="0"/>
  </w:num>
  <w:num w:numId="10" w16cid:durableId="2091612125">
    <w:abstractNumId w:val="6"/>
  </w:num>
  <w:num w:numId="11" w16cid:durableId="1924221765">
    <w:abstractNumId w:val="3"/>
  </w:num>
  <w:num w:numId="12" w16cid:durableId="107520477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0E"/>
    <w:rsid w:val="00000F6A"/>
    <w:rsid w:val="00004026"/>
    <w:rsid w:val="000066B0"/>
    <w:rsid w:val="0007115A"/>
    <w:rsid w:val="000973C8"/>
    <w:rsid w:val="000A2AA9"/>
    <w:rsid w:val="000A56F2"/>
    <w:rsid w:val="000A6E05"/>
    <w:rsid w:val="000B12FA"/>
    <w:rsid w:val="000B4304"/>
    <w:rsid w:val="000C08BF"/>
    <w:rsid w:val="000C3B9A"/>
    <w:rsid w:val="000D25A8"/>
    <w:rsid w:val="000E2D01"/>
    <w:rsid w:val="000E4C53"/>
    <w:rsid w:val="00106F63"/>
    <w:rsid w:val="00111B12"/>
    <w:rsid w:val="00121089"/>
    <w:rsid w:val="00144EE6"/>
    <w:rsid w:val="001A6F44"/>
    <w:rsid w:val="001C363F"/>
    <w:rsid w:val="001E2A62"/>
    <w:rsid w:val="001F2819"/>
    <w:rsid w:val="001F6BD4"/>
    <w:rsid w:val="002043EC"/>
    <w:rsid w:val="0023204E"/>
    <w:rsid w:val="002342F2"/>
    <w:rsid w:val="00243DC0"/>
    <w:rsid w:val="00247477"/>
    <w:rsid w:val="0025776E"/>
    <w:rsid w:val="00265535"/>
    <w:rsid w:val="00270440"/>
    <w:rsid w:val="00276303"/>
    <w:rsid w:val="0028017B"/>
    <w:rsid w:val="00293DEE"/>
    <w:rsid w:val="002A0B5D"/>
    <w:rsid w:val="002B52C7"/>
    <w:rsid w:val="002C7FE9"/>
    <w:rsid w:val="002D4EFD"/>
    <w:rsid w:val="002F4583"/>
    <w:rsid w:val="00310440"/>
    <w:rsid w:val="00316071"/>
    <w:rsid w:val="0032159B"/>
    <w:rsid w:val="00337EA7"/>
    <w:rsid w:val="00343E5C"/>
    <w:rsid w:val="0036017B"/>
    <w:rsid w:val="00360C67"/>
    <w:rsid w:val="00362755"/>
    <w:rsid w:val="00367320"/>
    <w:rsid w:val="00373B93"/>
    <w:rsid w:val="00381504"/>
    <w:rsid w:val="003834C9"/>
    <w:rsid w:val="00384C18"/>
    <w:rsid w:val="003A38F0"/>
    <w:rsid w:val="003C78EB"/>
    <w:rsid w:val="003D0DD9"/>
    <w:rsid w:val="003E74DE"/>
    <w:rsid w:val="003F4329"/>
    <w:rsid w:val="00412534"/>
    <w:rsid w:val="00412C83"/>
    <w:rsid w:val="00426014"/>
    <w:rsid w:val="00452BE5"/>
    <w:rsid w:val="00460B7D"/>
    <w:rsid w:val="0046200C"/>
    <w:rsid w:val="00467986"/>
    <w:rsid w:val="004746FC"/>
    <w:rsid w:val="00474760"/>
    <w:rsid w:val="00480CB0"/>
    <w:rsid w:val="004957B6"/>
    <w:rsid w:val="004A129B"/>
    <w:rsid w:val="004B34EA"/>
    <w:rsid w:val="004B5494"/>
    <w:rsid w:val="004C6D9F"/>
    <w:rsid w:val="004C7D3A"/>
    <w:rsid w:val="004D566C"/>
    <w:rsid w:val="005018A8"/>
    <w:rsid w:val="00505A39"/>
    <w:rsid w:val="005240BF"/>
    <w:rsid w:val="0055166E"/>
    <w:rsid w:val="00585390"/>
    <w:rsid w:val="00591B23"/>
    <w:rsid w:val="005939A5"/>
    <w:rsid w:val="00594BDF"/>
    <w:rsid w:val="005A148C"/>
    <w:rsid w:val="005A6476"/>
    <w:rsid w:val="005A6929"/>
    <w:rsid w:val="005B1B15"/>
    <w:rsid w:val="005B6F7C"/>
    <w:rsid w:val="005C42F8"/>
    <w:rsid w:val="005E5425"/>
    <w:rsid w:val="00600288"/>
    <w:rsid w:val="0061118B"/>
    <w:rsid w:val="00620485"/>
    <w:rsid w:val="00625C3C"/>
    <w:rsid w:val="0062713D"/>
    <w:rsid w:val="00632207"/>
    <w:rsid w:val="0063491C"/>
    <w:rsid w:val="0064070B"/>
    <w:rsid w:val="00660FFD"/>
    <w:rsid w:val="00661376"/>
    <w:rsid w:val="006C5E60"/>
    <w:rsid w:val="006E5E28"/>
    <w:rsid w:val="006E6574"/>
    <w:rsid w:val="006F25BE"/>
    <w:rsid w:val="006F6525"/>
    <w:rsid w:val="00714CF2"/>
    <w:rsid w:val="007156B9"/>
    <w:rsid w:val="00720817"/>
    <w:rsid w:val="00722850"/>
    <w:rsid w:val="0073002B"/>
    <w:rsid w:val="0073353F"/>
    <w:rsid w:val="00737EF3"/>
    <w:rsid w:val="00742E45"/>
    <w:rsid w:val="007447AF"/>
    <w:rsid w:val="00750816"/>
    <w:rsid w:val="00754392"/>
    <w:rsid w:val="00756036"/>
    <w:rsid w:val="0076011D"/>
    <w:rsid w:val="007657C1"/>
    <w:rsid w:val="00767D57"/>
    <w:rsid w:val="00772EBC"/>
    <w:rsid w:val="00787774"/>
    <w:rsid w:val="007A406D"/>
    <w:rsid w:val="007A5BFC"/>
    <w:rsid w:val="007A62B0"/>
    <w:rsid w:val="007C5A0C"/>
    <w:rsid w:val="007E0FEE"/>
    <w:rsid w:val="007F2017"/>
    <w:rsid w:val="00824DD5"/>
    <w:rsid w:val="00826AEF"/>
    <w:rsid w:val="008339BB"/>
    <w:rsid w:val="008441DA"/>
    <w:rsid w:val="0086419A"/>
    <w:rsid w:val="00865311"/>
    <w:rsid w:val="00866D19"/>
    <w:rsid w:val="0087023B"/>
    <w:rsid w:val="008832F0"/>
    <w:rsid w:val="00883E61"/>
    <w:rsid w:val="008A179F"/>
    <w:rsid w:val="008B0864"/>
    <w:rsid w:val="008C271F"/>
    <w:rsid w:val="008C2D2D"/>
    <w:rsid w:val="008C7413"/>
    <w:rsid w:val="008D16B7"/>
    <w:rsid w:val="008D7658"/>
    <w:rsid w:val="008E6AE6"/>
    <w:rsid w:val="008E7689"/>
    <w:rsid w:val="008F010F"/>
    <w:rsid w:val="008F0116"/>
    <w:rsid w:val="008F0B32"/>
    <w:rsid w:val="008F143D"/>
    <w:rsid w:val="00917EE3"/>
    <w:rsid w:val="00920DDF"/>
    <w:rsid w:val="009236FC"/>
    <w:rsid w:val="00930099"/>
    <w:rsid w:val="00930285"/>
    <w:rsid w:val="00932865"/>
    <w:rsid w:val="00947BC6"/>
    <w:rsid w:val="00981131"/>
    <w:rsid w:val="0098138E"/>
    <w:rsid w:val="0098655A"/>
    <w:rsid w:val="00994678"/>
    <w:rsid w:val="00996B76"/>
    <w:rsid w:val="00997C30"/>
    <w:rsid w:val="009A003A"/>
    <w:rsid w:val="009B02FC"/>
    <w:rsid w:val="009B4381"/>
    <w:rsid w:val="009B6C3E"/>
    <w:rsid w:val="009E121B"/>
    <w:rsid w:val="009E1DDA"/>
    <w:rsid w:val="009E7C7F"/>
    <w:rsid w:val="00A026D7"/>
    <w:rsid w:val="00A15E76"/>
    <w:rsid w:val="00A17CE0"/>
    <w:rsid w:val="00A32F09"/>
    <w:rsid w:val="00A34726"/>
    <w:rsid w:val="00A42306"/>
    <w:rsid w:val="00A55ACD"/>
    <w:rsid w:val="00A7544F"/>
    <w:rsid w:val="00AB2572"/>
    <w:rsid w:val="00AC1289"/>
    <w:rsid w:val="00AD07C9"/>
    <w:rsid w:val="00AE262C"/>
    <w:rsid w:val="00AF08FE"/>
    <w:rsid w:val="00B01F7E"/>
    <w:rsid w:val="00B21BC8"/>
    <w:rsid w:val="00B302A4"/>
    <w:rsid w:val="00B3087D"/>
    <w:rsid w:val="00B30CB3"/>
    <w:rsid w:val="00B34794"/>
    <w:rsid w:val="00B60421"/>
    <w:rsid w:val="00B61272"/>
    <w:rsid w:val="00B766DB"/>
    <w:rsid w:val="00B84A84"/>
    <w:rsid w:val="00BB0243"/>
    <w:rsid w:val="00BC6094"/>
    <w:rsid w:val="00BE4DBF"/>
    <w:rsid w:val="00C10B5F"/>
    <w:rsid w:val="00C13F23"/>
    <w:rsid w:val="00C20388"/>
    <w:rsid w:val="00C236AC"/>
    <w:rsid w:val="00C56C00"/>
    <w:rsid w:val="00C65D03"/>
    <w:rsid w:val="00C71C28"/>
    <w:rsid w:val="00C913A1"/>
    <w:rsid w:val="00CA2D2D"/>
    <w:rsid w:val="00CA7BF9"/>
    <w:rsid w:val="00CC6A99"/>
    <w:rsid w:val="00D00AA3"/>
    <w:rsid w:val="00D07F73"/>
    <w:rsid w:val="00D2041C"/>
    <w:rsid w:val="00D21676"/>
    <w:rsid w:val="00D25ADE"/>
    <w:rsid w:val="00D2685B"/>
    <w:rsid w:val="00D278A7"/>
    <w:rsid w:val="00D36656"/>
    <w:rsid w:val="00D43297"/>
    <w:rsid w:val="00D44DB6"/>
    <w:rsid w:val="00D50119"/>
    <w:rsid w:val="00D6096F"/>
    <w:rsid w:val="00D82A43"/>
    <w:rsid w:val="00DA7B5D"/>
    <w:rsid w:val="00DD0BBF"/>
    <w:rsid w:val="00DF58E7"/>
    <w:rsid w:val="00E0114D"/>
    <w:rsid w:val="00E11876"/>
    <w:rsid w:val="00E21148"/>
    <w:rsid w:val="00E23CBB"/>
    <w:rsid w:val="00E266F5"/>
    <w:rsid w:val="00E354F0"/>
    <w:rsid w:val="00E37B59"/>
    <w:rsid w:val="00E426C8"/>
    <w:rsid w:val="00E614A3"/>
    <w:rsid w:val="00E7521A"/>
    <w:rsid w:val="00E824BF"/>
    <w:rsid w:val="00EA36C6"/>
    <w:rsid w:val="00EA3815"/>
    <w:rsid w:val="00EB2DA1"/>
    <w:rsid w:val="00EB4AF0"/>
    <w:rsid w:val="00ED04F6"/>
    <w:rsid w:val="00ED5725"/>
    <w:rsid w:val="00ED5DE5"/>
    <w:rsid w:val="00ED7031"/>
    <w:rsid w:val="00EE3060"/>
    <w:rsid w:val="00EE4315"/>
    <w:rsid w:val="00F15C29"/>
    <w:rsid w:val="00F26ED3"/>
    <w:rsid w:val="00F5750E"/>
    <w:rsid w:val="00F60EF7"/>
    <w:rsid w:val="00F62B7A"/>
    <w:rsid w:val="00F6397D"/>
    <w:rsid w:val="00F7293E"/>
    <w:rsid w:val="00F76650"/>
    <w:rsid w:val="00F85A08"/>
    <w:rsid w:val="00F9187B"/>
    <w:rsid w:val="00F92385"/>
    <w:rsid w:val="00FA1B4F"/>
    <w:rsid w:val="00FB0934"/>
    <w:rsid w:val="00FC47F9"/>
    <w:rsid w:val="00FE3502"/>
    <w:rsid w:val="00FE5580"/>
    <w:rsid w:val="00FF00F1"/>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B9B2"/>
  <w15:chartTrackingRefBased/>
  <w15:docId w15:val="{CF20FE8B-A125-4323-B519-B9EA0E2F145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10"/>
      </w:numPr>
      <w:outlineLvl w:val="1"/>
    </w:pPr>
  </w:style>
  <w:style w:type="paragraph" w:styleId="Heading3">
    <w:name w:val="heading 3"/>
    <w:basedOn w:val="Dummy"/>
    <w:next w:val="Standard"/>
    <w:link w:val="Heading3Char"/>
    <w:uiPriority w:val="4"/>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0"/>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o + Times New Roman,Style 58,Style 17,Style 13,Appel note de bas de p,Style 12,(NECG) Footnote Reference,Style 124,Style 20,fr1,fr2,fr3,FR,Footnote Reference/,Style 6"/>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standard0">
    <w:name w:val="standard"/>
    <w:basedOn w:val="Normal"/>
    <w:link w:val="standardChar"/>
    <w:rsid w:val="00DD0BBF"/>
    <w:rPr>
      <w:rFonts w:eastAsia="Times New Roman" w:cs="Times New Roman"/>
      <w:szCs w:val="20"/>
    </w:rPr>
  </w:style>
  <w:style w:type="character" w:customStyle="1" w:styleId="standardChar">
    <w:name w:val="standard Char"/>
    <w:link w:val="standard0"/>
    <w:rsid w:val="00DD0BBF"/>
    <w:rPr>
      <w:rFonts w:ascii="Book Antiqua" w:eastAsia="Times New Roman" w:hAnsi="Book Antiqua" w:cs="Times New Roman"/>
      <w:sz w:val="26"/>
      <w:szCs w:val="20"/>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uiPriority w:val="99"/>
    <w:rsid w:val="00DD0BBF"/>
    <w:rPr>
      <w:rFonts w:ascii="Book Antiqua" w:hAnsi="Book Antiqua"/>
      <w:sz w:val="24"/>
      <w:lang w:val="en-US" w:eastAsia="en-US" w:bidi="ar-SA"/>
    </w:rPr>
  </w:style>
  <w:style w:type="paragraph" w:styleId="Revision">
    <w:name w:val="Revision"/>
    <w:hidden/>
    <w:uiPriority w:val="99"/>
    <w:semiHidden/>
    <w:rsid w:val="00787774"/>
    <w:pPr>
      <w:spacing w:after="0" w:line="240" w:lineRule="auto"/>
    </w:pPr>
    <w:rPr>
      <w:rFonts w:ascii="Book Antiqua" w:hAnsi="Book Antiqua"/>
      <w:sz w:val="26"/>
    </w:rPr>
  </w:style>
  <w:style w:type="paragraph" w:customStyle="1" w:styleId="ListNum">
    <w:name w:val="List Num"/>
    <w:basedOn w:val="ListAlpha"/>
    <w:next w:val="Standard"/>
    <w:uiPriority w:val="4"/>
    <w:rsid w:val="00E0114D"/>
    <w:pPr>
      <w:numPr>
        <w:ilvl w:val="0"/>
        <w:numId w:val="0"/>
      </w:numPr>
      <w:ind w:left="720"/>
    </w:pPr>
  </w:style>
  <w:style w:type="paragraph" w:customStyle="1" w:styleId="ALJBodyText">
    <w:name w:val="ALJ Body Text"/>
    <w:basedOn w:val="Normal"/>
    <w:link w:val="ALJBodyTextChar"/>
    <w:qFormat/>
    <w:rsid w:val="00E354F0"/>
    <w:rPr>
      <w:rFonts w:cs="Times New Roman"/>
      <w:szCs w:val="20"/>
    </w:rPr>
  </w:style>
  <w:style w:type="character" w:customStyle="1" w:styleId="ALJBodyTextChar">
    <w:name w:val="ALJ Body Text Char"/>
    <w:basedOn w:val="DefaultParagraphFont"/>
    <w:link w:val="ALJBodyText"/>
    <w:rsid w:val="00E354F0"/>
    <w:rPr>
      <w:rFonts w:ascii="Book Antiqua" w:hAnsi="Book Antiqua" w:cs="Times New Roman"/>
      <w:sz w:val="26"/>
      <w:szCs w:val="20"/>
    </w:rPr>
  </w:style>
  <w:style w:type="paragraph" w:styleId="ListParagraph">
    <w:name w:val="List Paragraph"/>
    <w:basedOn w:val="Normal"/>
    <w:uiPriority w:val="34"/>
    <w:rsid w:val="006C5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1566">
      <w:bodyDiv w:val="1"/>
      <w:marLeft w:val="0"/>
      <w:marRight w:val="0"/>
      <w:marTop w:val="0"/>
      <w:marBottom w:val="0"/>
      <w:divBdr>
        <w:top w:val="none" w:sz="0" w:space="0" w:color="auto"/>
        <w:left w:val="none" w:sz="0" w:space="0" w:color="auto"/>
        <w:bottom w:val="none" w:sz="0" w:space="0" w:color="auto"/>
        <w:right w:val="none" w:sz="0" w:space="0" w:color="auto"/>
      </w:divBdr>
    </w:div>
    <w:div w:id="446505433">
      <w:bodyDiv w:val="1"/>
      <w:marLeft w:val="0"/>
      <w:marRight w:val="0"/>
      <w:marTop w:val="0"/>
      <w:marBottom w:val="0"/>
      <w:divBdr>
        <w:top w:val="none" w:sz="0" w:space="0" w:color="auto"/>
        <w:left w:val="none" w:sz="0" w:space="0" w:color="auto"/>
        <w:bottom w:val="none" w:sz="0" w:space="0" w:color="auto"/>
        <w:right w:val="none" w:sz="0" w:space="0" w:color="auto"/>
      </w:divBdr>
    </w:div>
    <w:div w:id="1401176004">
      <w:bodyDiv w:val="1"/>
      <w:marLeft w:val="0"/>
      <w:marRight w:val="0"/>
      <w:marTop w:val="0"/>
      <w:marBottom w:val="0"/>
      <w:divBdr>
        <w:top w:val="none" w:sz="0" w:space="0" w:color="auto"/>
        <w:left w:val="none" w:sz="0" w:space="0" w:color="auto"/>
        <w:bottom w:val="none" w:sz="0" w:space="0" w:color="auto"/>
        <w:right w:val="none" w:sz="0" w:space="0" w:color="auto"/>
      </w:divBdr>
    </w:div>
    <w:div w:id="17282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723</ap:Words>
  <ap:Characters>4127</ap:Characters>
  <ap:Application>Microsoft Office Word</ap:Application>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R2204003 Kelly OESD 09-18 Agenda (NON)</vt:lpstr>
    </vt:vector>
  </ap:TitlesOfParts>
  <ap:Company/>
  <ap:LinksUpToDate>false</ap:LinksUpToDate>
  <ap:CharactersWithSpaces>4841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2026-02-04T14:49:07Z</dcterms:created>
  <dcterms:modified xsi:type="dcterms:W3CDTF">2026-02-04T14:49:07Z</dcterms:modified>
</cp:coreProperties>
</file>