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65FB" w:rsidR="00B60421" w:rsidP="007E0FEE" w:rsidRDefault="00D800B8" w14:paraId="4F7A6423" w14:textId="5D1E0B82">
      <w:pPr>
        <w:tabs>
          <w:tab w:val="center" w:pos="4680"/>
          <w:tab w:val="right" w:pos="9360"/>
        </w:tabs>
        <w:spacing w:line="240" w:lineRule="auto"/>
        <w:ind w:firstLine="0"/>
      </w:pPr>
      <w:r>
        <w:t>ALJ/</w:t>
      </w:r>
      <w:r w:rsidR="004465FB">
        <w:t>BG5/nd3</w:t>
      </w:r>
      <w:r w:rsidRPr="004465FB" w:rsidR="007E0FEE">
        <w:tab/>
      </w:r>
      <w:r w:rsidRPr="004465FB" w:rsidR="00DA7B5D">
        <w:rPr>
          <w:rFonts w:cs="Arial"/>
          <w:b/>
          <w:szCs w:val="32"/>
        </w:rPr>
        <w:t>PROPOSED DECISION</w:t>
      </w:r>
      <w:r w:rsidRPr="004465FB" w:rsidR="00DA7B5D">
        <w:tab/>
      </w:r>
      <w:r w:rsidRPr="004465FB" w:rsidR="00DA7B5D">
        <w:rPr>
          <w:b/>
        </w:rPr>
        <w:t>Agenda ID #</w:t>
      </w:r>
      <w:r w:rsidRPr="00C51452" w:rsidR="00C51452">
        <w:rPr>
          <w:b/>
        </w:rPr>
        <w:t>23950</w:t>
      </w:r>
      <w:r w:rsidR="00350269">
        <w:rPr>
          <w:b/>
        </w:rPr>
        <w:t xml:space="preserve"> </w:t>
      </w:r>
      <w:r w:rsidRPr="00350269" w:rsidR="00350269">
        <w:rPr>
          <w:b/>
        </w:rPr>
        <w:t>(Rev.1)</w:t>
      </w:r>
    </w:p>
    <w:p w:rsidR="00DA7B5D" w:rsidP="00632207" w:rsidRDefault="004465FB" w14:paraId="256061C4" w14:textId="0A7F02D8">
      <w:pPr>
        <w:spacing w:line="240" w:lineRule="auto"/>
        <w:jc w:val="right"/>
        <w:rPr>
          <w:b/>
        </w:rPr>
      </w:pPr>
      <w:r>
        <w:rPr>
          <w:b/>
        </w:rPr>
        <w:t>Ratesetting</w:t>
      </w:r>
    </w:p>
    <w:p w:rsidRPr="001C76E0" w:rsidR="009165B2" w:rsidP="00632207" w:rsidRDefault="009165B2" w14:paraId="5629C11F" w14:textId="0A10C7F5">
      <w:pPr>
        <w:spacing w:line="240" w:lineRule="auto"/>
        <w:jc w:val="right"/>
        <w:rPr>
          <w:b/>
        </w:rPr>
      </w:pPr>
      <w:r>
        <w:rPr>
          <w:b/>
        </w:rPr>
        <w:t>2/5/2026  Item #</w:t>
      </w:r>
      <w:r w:rsidRPr="00176008" w:rsidR="00176008">
        <w:rPr>
          <w:b/>
        </w:rPr>
        <w:t>7</w:t>
      </w:r>
    </w:p>
    <w:p w:rsidR="00DA7B5D" w:rsidP="004465FB" w:rsidRDefault="00DA7B5D" w14:paraId="7D9367E1" w14:textId="0342A1B6">
      <w:pPr>
        <w:spacing w:line="240" w:lineRule="auto"/>
        <w:ind w:firstLine="0"/>
      </w:pPr>
    </w:p>
    <w:p w:rsidRPr="001C76E0" w:rsidR="004465FB" w:rsidP="004465FB" w:rsidRDefault="004465FB" w14:paraId="192EE32A" w14:textId="77777777">
      <w:pPr>
        <w:spacing w:line="240" w:lineRule="auto"/>
        <w:ind w:firstLine="0"/>
      </w:pPr>
    </w:p>
    <w:p w:rsidRPr="001C76E0" w:rsidR="00DA7B5D" w:rsidP="004465FB" w:rsidRDefault="00DA7B5D" w14:paraId="1B050E1D" w14:textId="206A7E69">
      <w:pPr>
        <w:spacing w:line="240" w:lineRule="auto"/>
        <w:ind w:firstLine="0"/>
      </w:pPr>
      <w:r w:rsidRPr="001C76E0">
        <w:t xml:space="preserve">Decision </w:t>
      </w:r>
      <w:r w:rsidRPr="008C033E" w:rsidR="006D6D05">
        <w:rPr>
          <w:b/>
          <w:bCs/>
          <w:u w:val="single"/>
        </w:rPr>
        <w:t xml:space="preserve">PROPOSED DECISION OF ALJ </w:t>
      </w:r>
      <w:r w:rsidRPr="006D6D05" w:rsidR="006D6D05">
        <w:rPr>
          <w:b/>
          <w:bCs/>
          <w:u w:val="single"/>
        </w:rPr>
        <w:t>GERSTLE</w:t>
      </w:r>
      <w:r w:rsidRPr="008C033E" w:rsidR="006D6D05">
        <w:rPr>
          <w:b/>
          <w:bCs/>
        </w:rPr>
        <w:t xml:space="preserve"> (Mailed </w:t>
      </w:r>
      <w:r w:rsidR="00C51452">
        <w:rPr>
          <w:b/>
          <w:bCs/>
        </w:rPr>
        <w:t>12/31</w:t>
      </w:r>
      <w:r w:rsidRPr="008C033E" w:rsidR="006D6D05">
        <w:rPr>
          <w:b/>
          <w:bCs/>
        </w:rPr>
        <w:t>/</w:t>
      </w:r>
      <w:r w:rsidR="0015533E">
        <w:rPr>
          <w:b/>
          <w:bCs/>
        </w:rPr>
        <w:t>202</w:t>
      </w:r>
      <w:r w:rsidR="00D52C8C">
        <w:rPr>
          <w:b/>
          <w:bCs/>
        </w:rPr>
        <w:t>5</w:t>
      </w:r>
      <w:r w:rsidRPr="008C033E" w:rsidR="006D6D05">
        <w:rPr>
          <w:b/>
          <w:bCs/>
        </w:rPr>
        <w:t>)</w:t>
      </w:r>
    </w:p>
    <w:p w:rsidR="00DA7B5D" w:rsidP="004465FB" w:rsidRDefault="00DA7B5D" w14:paraId="2BFB2D40" w14:textId="77777777">
      <w:pPr>
        <w:spacing w:line="240" w:lineRule="auto"/>
        <w:ind w:firstLine="0"/>
        <w:rPr>
          <w:u w:val="single"/>
        </w:rPr>
      </w:pPr>
    </w:p>
    <w:p w:rsidRPr="001C76E0" w:rsidR="004465FB" w:rsidP="004465FB" w:rsidRDefault="004465FB" w14:paraId="06B9B5FA" w14:textId="77777777">
      <w:pPr>
        <w:spacing w:line="240" w:lineRule="auto"/>
        <w:ind w:firstLine="0"/>
        <w:rPr>
          <w:u w:val="single"/>
        </w:rPr>
      </w:pPr>
    </w:p>
    <w:p w:rsidRPr="001C76E0" w:rsidR="00DA7B5D" w:rsidP="00BB0243" w:rsidRDefault="00DA7B5D" w14:paraId="5E03CB5C" w14:textId="77777777">
      <w:pPr>
        <w:spacing w:line="240" w:lineRule="auto"/>
        <w:ind w:firstLine="0"/>
        <w:jc w:val="center"/>
        <w:rPr>
          <w:rFonts w:ascii="Arial" w:hAnsi="Arial" w:cs="Arial"/>
          <w:sz w:val="24"/>
          <w:szCs w:val="24"/>
        </w:rPr>
      </w:pPr>
      <w:r w:rsidRPr="001C76E0">
        <w:rPr>
          <w:rFonts w:ascii="Arial" w:hAnsi="Arial" w:cs="Arial"/>
          <w:b/>
          <w:sz w:val="24"/>
          <w:szCs w:val="24"/>
        </w:rPr>
        <w:t>BEFORE THE PUBLIC UTILITIES COMMISSION OF THE STATE OF CALIFORNIA</w:t>
      </w:r>
    </w:p>
    <w:p w:rsidRPr="001C76E0" w:rsidR="00DA7B5D" w:rsidP="008F0116" w:rsidRDefault="00DA7B5D" w14:paraId="529D83D4"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Pr="001C76E0" w:rsidR="00DA7B5D" w:rsidTr="00CF405F" w14:paraId="4EC9D9D3" w14:textId="77777777">
        <w:tc>
          <w:tcPr>
            <w:tcW w:w="5040" w:type="dxa"/>
            <w:tcBorders>
              <w:top w:val="nil"/>
              <w:left w:val="nil"/>
              <w:bottom w:val="single" w:color="auto" w:sz="4" w:space="0"/>
              <w:right w:val="single" w:color="auto" w:sz="4" w:space="0"/>
            </w:tcBorders>
          </w:tcPr>
          <w:p w:rsidR="00DA7B5D" w:rsidP="00C10B5F" w:rsidRDefault="00CE0663" w14:paraId="3D1CD491" w14:textId="786A1738">
            <w:pPr>
              <w:spacing w:line="240" w:lineRule="auto"/>
              <w:ind w:firstLine="0"/>
              <w:rPr>
                <w:rFonts w:cs="Arial"/>
                <w:szCs w:val="26"/>
              </w:rPr>
            </w:pPr>
            <w:r w:rsidRPr="00CE0663">
              <w:rPr>
                <w:rFonts w:cs="Arial"/>
                <w:szCs w:val="26"/>
              </w:rPr>
              <w:t>Application of Southern California Gas Company (U904G) to Recover Costs Recorded in the Distribution Integrity Management Program Balancing Account from January</w:t>
            </w:r>
            <w:r w:rsidR="00CF405F">
              <w:rPr>
                <w:rFonts w:cs="Arial"/>
                <w:szCs w:val="26"/>
              </w:rPr>
              <w:t> </w:t>
            </w:r>
            <w:r w:rsidRPr="00CE0663">
              <w:rPr>
                <w:rFonts w:cs="Arial"/>
                <w:szCs w:val="26"/>
              </w:rPr>
              <w:t>1, 2019 to December</w:t>
            </w:r>
            <w:r w:rsidR="00CF405F">
              <w:rPr>
                <w:rFonts w:cs="Arial"/>
                <w:szCs w:val="26"/>
              </w:rPr>
              <w:t> </w:t>
            </w:r>
            <w:r w:rsidRPr="00CE0663">
              <w:rPr>
                <w:rFonts w:cs="Arial"/>
                <w:szCs w:val="26"/>
              </w:rPr>
              <w:t>31, 2023.</w:t>
            </w:r>
          </w:p>
          <w:p w:rsidRPr="001C76E0" w:rsidR="00CE0663" w:rsidP="00C10B5F" w:rsidRDefault="00CE0663" w14:paraId="7FD73C12" w14:textId="048199E1">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1C76E0" w:rsidR="00DA7B5D" w:rsidP="00412C83" w:rsidRDefault="0028620B" w14:paraId="7F28797E" w14:textId="48B450E0">
            <w:pPr>
              <w:spacing w:line="240" w:lineRule="auto"/>
              <w:ind w:firstLine="0"/>
              <w:jc w:val="center"/>
              <w:rPr>
                <w:rFonts w:cs="Arial"/>
                <w:szCs w:val="26"/>
              </w:rPr>
            </w:pPr>
            <w:r w:rsidRPr="001C76E0">
              <w:rPr>
                <w:rFonts w:cs="Arial"/>
                <w:szCs w:val="26"/>
              </w:rPr>
              <w:t>Application 25</w:t>
            </w:r>
            <w:r w:rsidR="0004127A">
              <w:rPr>
                <w:rFonts w:cs="Arial"/>
                <w:szCs w:val="26"/>
              </w:rPr>
              <w:noBreakHyphen/>
            </w:r>
            <w:r w:rsidRPr="001C76E0">
              <w:rPr>
                <w:rFonts w:cs="Arial"/>
                <w:szCs w:val="26"/>
              </w:rPr>
              <w:t>08</w:t>
            </w:r>
            <w:r w:rsidR="0004127A">
              <w:rPr>
                <w:rFonts w:cs="Arial"/>
                <w:szCs w:val="26"/>
              </w:rPr>
              <w:noBreakHyphen/>
            </w:r>
            <w:r w:rsidRPr="001C76E0">
              <w:rPr>
                <w:rFonts w:cs="Arial"/>
                <w:szCs w:val="26"/>
              </w:rPr>
              <w:t>008</w:t>
            </w:r>
          </w:p>
        </w:tc>
      </w:tr>
    </w:tbl>
    <w:p w:rsidRPr="001C76E0" w:rsidR="00DA7B5D" w:rsidP="008F0116" w:rsidRDefault="00DA7B5D" w14:paraId="30B641A7" w14:textId="77777777">
      <w:pPr>
        <w:spacing w:line="240" w:lineRule="auto"/>
        <w:ind w:firstLine="0"/>
        <w:rPr>
          <w:rFonts w:ascii="Arial" w:hAnsi="Arial" w:cs="Arial"/>
          <w:sz w:val="24"/>
          <w:szCs w:val="24"/>
        </w:rPr>
      </w:pPr>
    </w:p>
    <w:p w:rsidRPr="001C76E0" w:rsidR="00DA7B5D" w:rsidP="008F0116" w:rsidRDefault="00DA7B5D" w14:paraId="5B0180E1" w14:textId="77777777">
      <w:pPr>
        <w:spacing w:line="240" w:lineRule="auto"/>
        <w:ind w:firstLine="0"/>
        <w:rPr>
          <w:rFonts w:ascii="Arial" w:hAnsi="Arial" w:cs="Arial"/>
          <w:sz w:val="24"/>
          <w:szCs w:val="24"/>
        </w:rPr>
      </w:pPr>
    </w:p>
    <w:p w:rsidR="0098655A" w:rsidP="00A22702" w:rsidRDefault="00E0199E" w14:paraId="44CD07EE" w14:textId="2196F3C3">
      <w:pPr>
        <w:pStyle w:val="Main"/>
      </w:pPr>
      <w:bookmarkStart w:name="Title" w:id="0"/>
      <w:r w:rsidRPr="00E0199E">
        <w:t>DECISION GRANTING INTERIM RATE RECOVERY</w:t>
      </w:r>
      <w:r w:rsidR="00FF08CC">
        <w:br/>
      </w:r>
      <w:r w:rsidRPr="00E0199E">
        <w:t>FOR</w:t>
      </w:r>
      <w:r w:rsidR="00FF08CC">
        <w:t xml:space="preserve"> </w:t>
      </w:r>
      <w:r w:rsidRPr="00E0199E">
        <w:t>SOUTHERN CALIFORNIA GA</w:t>
      </w:r>
      <w:r w:rsidR="006636DD">
        <w:t>S</w:t>
      </w:r>
      <w:r w:rsidR="001D4C65">
        <w:t xml:space="preserve"> COMPANY’S</w:t>
      </w:r>
      <w:r w:rsidR="00FF08CC">
        <w:br/>
      </w:r>
      <w:r w:rsidRPr="00E0199E">
        <w:t>DISTRIBUTION INTEGRITY MANAGEMENT PROGRAM</w:t>
      </w:r>
      <w:bookmarkEnd w:id="0"/>
    </w:p>
    <w:p w:rsidRPr="00A22702" w:rsidR="00A22702" w:rsidP="00A22702" w:rsidRDefault="00A22702" w14:paraId="58B5A383" w14:textId="77777777">
      <w:pPr>
        <w:pStyle w:val="Main"/>
      </w:pPr>
    </w:p>
    <w:p w:rsidRPr="00E6705F" w:rsidR="005A148C" w:rsidP="00E6705F" w:rsidRDefault="005A148C" w14:paraId="08B609D5" w14:textId="77777777">
      <w:pPr>
        <w:pStyle w:val="Dummy"/>
      </w:pPr>
      <w:bookmarkStart w:name="_Toc8123714" w:id="1"/>
      <w:bookmarkStart w:name="_Toc217461710" w:id="2"/>
      <w:r w:rsidRPr="001C76E0">
        <w:t>Summary</w:t>
      </w:r>
      <w:bookmarkEnd w:id="1"/>
      <w:bookmarkEnd w:id="2"/>
    </w:p>
    <w:p w:rsidR="00EA0147" w:rsidP="007C340D" w:rsidRDefault="007C340D" w14:paraId="15FDFF55" w14:textId="55EFB15A">
      <w:pPr>
        <w:pStyle w:val="Standard"/>
      </w:pPr>
      <w:r w:rsidRPr="001C76E0">
        <w:t xml:space="preserve">This decision grants, in part, the request of </w:t>
      </w:r>
      <w:r w:rsidRPr="001C76E0" w:rsidR="00F15FDA">
        <w:t xml:space="preserve">Southern California Gas Company </w:t>
      </w:r>
      <w:r w:rsidRPr="001C76E0">
        <w:t xml:space="preserve">(SoCalGas) for interim </w:t>
      </w:r>
      <w:r w:rsidRPr="001C76E0" w:rsidR="00293479">
        <w:t>rate recovery</w:t>
      </w:r>
      <w:r w:rsidRPr="001C76E0">
        <w:t xml:space="preserve">, pending a final decision on </w:t>
      </w:r>
      <w:r w:rsidRPr="001C76E0" w:rsidR="004D19D5">
        <w:t xml:space="preserve">whether a </w:t>
      </w:r>
      <w:r w:rsidRPr="001C76E0">
        <w:t>permanent cost increase</w:t>
      </w:r>
      <w:r w:rsidRPr="001C76E0" w:rsidR="004D19D5">
        <w:t xml:space="preserve"> </w:t>
      </w:r>
      <w:r w:rsidRPr="001C76E0">
        <w:t xml:space="preserve">is reasonable based on the evidence. </w:t>
      </w:r>
      <w:r w:rsidRPr="001C76E0" w:rsidR="00D92458">
        <w:t xml:space="preserve">SoCalGas </w:t>
      </w:r>
      <w:r w:rsidRPr="001C76E0">
        <w:t xml:space="preserve">is authorized </w:t>
      </w:r>
      <w:r w:rsidRPr="001C76E0" w:rsidR="007E2055">
        <w:t xml:space="preserve">an </w:t>
      </w:r>
      <w:r w:rsidRPr="001C76E0" w:rsidR="00EE12F8">
        <w:t>interim</w:t>
      </w:r>
      <w:r w:rsidRPr="001C76E0" w:rsidR="007E2055">
        <w:t xml:space="preserve"> revenue requirement of </w:t>
      </w:r>
      <w:r w:rsidRPr="001C76E0">
        <w:t>$</w:t>
      </w:r>
      <w:r w:rsidRPr="001C76E0" w:rsidR="003E6716">
        <w:t>35.5</w:t>
      </w:r>
      <w:r w:rsidR="008C449B">
        <w:t> million</w:t>
      </w:r>
      <w:r w:rsidRPr="001C76E0">
        <w:t xml:space="preserve"> (</w:t>
      </w:r>
      <w:r w:rsidRPr="001C76E0" w:rsidR="009C50EF">
        <w:t>60</w:t>
      </w:r>
      <w:r w:rsidR="008C449B">
        <w:t> percent</w:t>
      </w:r>
      <w:r w:rsidR="00A522BF">
        <w:t xml:space="preserve"> </w:t>
      </w:r>
      <w:r w:rsidRPr="001C76E0">
        <w:t xml:space="preserve">of </w:t>
      </w:r>
      <w:r w:rsidRPr="001C76E0" w:rsidR="00D92458">
        <w:t>SoCalGa</w:t>
      </w:r>
      <w:r w:rsidR="006636DD">
        <w:t xml:space="preserve">s’ </w:t>
      </w:r>
      <w:r w:rsidRPr="001C76E0">
        <w:t>total request of $</w:t>
      </w:r>
      <w:r w:rsidRPr="001C76E0" w:rsidR="009C50EF">
        <w:t>59.1</w:t>
      </w:r>
      <w:r w:rsidR="008C449B">
        <w:t> million</w:t>
      </w:r>
      <w:r w:rsidRPr="001C76E0">
        <w:t>) according to the process set forth herein.</w:t>
      </w:r>
      <w:r w:rsidRPr="001C76E0" w:rsidR="005D1480">
        <w:t xml:space="preserve"> Interim rate authority is granted for 12 months.</w:t>
      </w:r>
      <w:r w:rsidRPr="001C76E0">
        <w:t xml:space="preserve"> </w:t>
      </w:r>
      <w:r w:rsidRPr="001C76E0" w:rsidR="00D92458">
        <w:t xml:space="preserve">SoCalGas </w:t>
      </w:r>
      <w:r w:rsidRPr="001C76E0">
        <w:t xml:space="preserve">is required to refund, with interest, any excess amount it collects in comparison to the </w:t>
      </w:r>
      <w:r w:rsidR="00CF280F">
        <w:t xml:space="preserve">California Public Utilities </w:t>
      </w:r>
      <w:r w:rsidRPr="001C76E0">
        <w:t>Commission</w:t>
      </w:r>
      <w:r w:rsidR="00EA0147">
        <w:t>’</w:t>
      </w:r>
      <w:r w:rsidRPr="001C76E0">
        <w:t>s final determination on the amount reasonably incurred.</w:t>
      </w:r>
    </w:p>
    <w:p w:rsidRPr="001C76E0" w:rsidR="001E3E50" w:rsidP="007C340D" w:rsidRDefault="001E3E50" w14:paraId="4D2F94F3" w14:textId="083EDEEF">
      <w:pPr>
        <w:pStyle w:val="Standard"/>
      </w:pPr>
      <w:r w:rsidRPr="001C76E0">
        <w:lastRenderedPageBreak/>
        <w:t>I</w:t>
      </w:r>
      <w:r w:rsidRPr="001C76E0" w:rsidR="007C340D">
        <w:t xml:space="preserve">nterim rate </w:t>
      </w:r>
      <w:r w:rsidRPr="001C76E0" w:rsidR="00BB3695">
        <w:t xml:space="preserve">recovery is warranted </w:t>
      </w:r>
      <w:r w:rsidR="00910CCB">
        <w:t xml:space="preserve">in this specific </w:t>
      </w:r>
      <w:r w:rsidR="00201E8A">
        <w:t>instance</w:t>
      </w:r>
      <w:r w:rsidRPr="001C76E0" w:rsidR="00910CCB">
        <w:t xml:space="preserve"> </w:t>
      </w:r>
      <w:r w:rsidRPr="001C76E0" w:rsidR="00BB3695">
        <w:t>because it will produce direct</w:t>
      </w:r>
      <w:r w:rsidRPr="001C76E0" w:rsidR="004663F9">
        <w:t xml:space="preserve"> interest savings </w:t>
      </w:r>
      <w:r w:rsidRPr="001C76E0" w:rsidR="00766E96">
        <w:t>for</w:t>
      </w:r>
      <w:r w:rsidRPr="001C76E0" w:rsidR="004663F9">
        <w:t xml:space="preserve"> ratepayers</w:t>
      </w:r>
      <w:r w:rsidR="00EA5854">
        <w:t>,</w:t>
      </w:r>
      <w:r w:rsidRPr="001C76E0" w:rsidR="004663F9">
        <w:t xml:space="preserve"> promote intergenerational equity</w:t>
      </w:r>
      <w:r w:rsidR="00EA5854">
        <w:t>,</w:t>
      </w:r>
      <w:r w:rsidRPr="001C76E0" w:rsidR="004663F9">
        <w:t xml:space="preserve"> and </w:t>
      </w:r>
      <w:r w:rsidRPr="001C76E0" w:rsidR="004238FF">
        <w:t xml:space="preserve">preserve the financial integrity </w:t>
      </w:r>
      <w:r w:rsidRPr="001C76E0" w:rsidR="00790A64">
        <w:t xml:space="preserve">of SoCalGas </w:t>
      </w:r>
      <w:r w:rsidRPr="001C76E0" w:rsidR="004A3E91">
        <w:t>which will indirectly benefit</w:t>
      </w:r>
      <w:r w:rsidRPr="001C76E0" w:rsidR="004A3252">
        <w:t xml:space="preserve"> ratepayers</w:t>
      </w:r>
      <w:r w:rsidRPr="001C76E0" w:rsidR="00790A64">
        <w:t>.</w:t>
      </w:r>
    </w:p>
    <w:p w:rsidRPr="001C76E0" w:rsidR="0073353F" w:rsidP="007C340D" w:rsidRDefault="007C340D" w14:paraId="0563D14E" w14:textId="5C7B9330">
      <w:pPr>
        <w:pStyle w:val="Standard"/>
      </w:pPr>
      <w:r w:rsidRPr="001C76E0">
        <w:t>This proceeding remains open.</w:t>
      </w:r>
    </w:p>
    <w:p w:rsidR="005A148C" w:rsidP="00BE70F4" w:rsidRDefault="002C7FE9" w14:paraId="61615D9F" w14:textId="77777777">
      <w:pPr>
        <w:pStyle w:val="Heading1"/>
      </w:pPr>
      <w:bookmarkStart w:name="_Toc8123715" w:id="3"/>
      <w:bookmarkStart w:name="_Toc217461711" w:id="4"/>
      <w:r w:rsidRPr="001C76E0">
        <w:t>Background</w:t>
      </w:r>
      <w:bookmarkEnd w:id="3"/>
      <w:bookmarkEnd w:id="4"/>
    </w:p>
    <w:p w:rsidRPr="001C76E0" w:rsidR="003B0A04" w:rsidP="007E2055" w:rsidRDefault="003B0A04" w14:paraId="6D0F2990" w14:textId="10B868C7">
      <w:pPr>
        <w:pStyle w:val="Standard"/>
      </w:pPr>
      <w:r w:rsidRPr="001C76E0">
        <w:t xml:space="preserve">On </w:t>
      </w:r>
      <w:r w:rsidR="00EA0147">
        <w:t>August </w:t>
      </w:r>
      <w:r w:rsidRPr="001C76E0">
        <w:t>15, 2025, Southern California Gas Company (SoCalGas) filed Application (A.)</w:t>
      </w:r>
      <w:r w:rsidR="00EA0147">
        <w:t> </w:t>
      </w:r>
      <w:r w:rsidRPr="001C76E0">
        <w:t>25</w:t>
      </w:r>
      <w:r w:rsidR="0004127A">
        <w:noBreakHyphen/>
      </w:r>
      <w:r w:rsidRPr="001C76E0">
        <w:t>08</w:t>
      </w:r>
      <w:r w:rsidR="0004127A">
        <w:noBreakHyphen/>
      </w:r>
      <w:r w:rsidRPr="001C76E0">
        <w:t xml:space="preserve">008 to recover </w:t>
      </w:r>
      <w:r w:rsidRPr="001C76E0" w:rsidR="004801E1">
        <w:t>$</w:t>
      </w:r>
      <w:r w:rsidRPr="001C76E0" w:rsidR="00CC361A">
        <w:t>59.1</w:t>
      </w:r>
      <w:r w:rsidR="008C449B">
        <w:t> million</w:t>
      </w:r>
      <w:r w:rsidRPr="001C76E0" w:rsidR="004801E1">
        <w:t xml:space="preserve"> </w:t>
      </w:r>
      <w:r w:rsidRPr="001C76E0" w:rsidR="00652FDD">
        <w:t xml:space="preserve">in </w:t>
      </w:r>
      <w:r w:rsidRPr="001C76E0">
        <w:t xml:space="preserve">costs recorded </w:t>
      </w:r>
      <w:r w:rsidRPr="001C76E0" w:rsidR="00B0703A">
        <w:t>to</w:t>
      </w:r>
      <w:r w:rsidRPr="001C76E0">
        <w:t xml:space="preserve"> the Distribution Integrity Management Program Balancing Account (DIMPBA) from </w:t>
      </w:r>
      <w:r w:rsidR="00EA0147">
        <w:t>January </w:t>
      </w:r>
      <w:r w:rsidRPr="001C76E0">
        <w:t xml:space="preserve">1, 2019, to </w:t>
      </w:r>
      <w:r w:rsidR="00EA0147">
        <w:t>December </w:t>
      </w:r>
      <w:r w:rsidRPr="001C76E0">
        <w:t xml:space="preserve">31, 2023. </w:t>
      </w:r>
      <w:r w:rsidRPr="001C76E0" w:rsidR="003522B9">
        <w:t>Concurrently with A.25</w:t>
      </w:r>
      <w:r w:rsidR="0004127A">
        <w:noBreakHyphen/>
      </w:r>
      <w:r w:rsidRPr="001C76E0" w:rsidR="003522B9">
        <w:t>08</w:t>
      </w:r>
      <w:r w:rsidR="0004127A">
        <w:noBreakHyphen/>
      </w:r>
      <w:r w:rsidRPr="001C76E0" w:rsidR="003522B9">
        <w:t xml:space="preserve">008, SoCalGas filed a Motion for Interim Rate Recovery (Motion), seeking authorization </w:t>
      </w:r>
      <w:r w:rsidRPr="001C76E0" w:rsidR="007E2055">
        <w:t>for an interim revenue requirement of</w:t>
      </w:r>
      <w:r w:rsidRPr="001C76E0" w:rsidR="003522B9">
        <w:t xml:space="preserve"> </w:t>
      </w:r>
      <w:r w:rsidRPr="001C76E0" w:rsidR="00073D00">
        <w:t>$</w:t>
      </w:r>
      <w:r w:rsidRPr="001C76E0" w:rsidR="00E9219A">
        <w:t>50</w:t>
      </w:r>
      <w:r w:rsidRPr="001C76E0" w:rsidR="00073D00">
        <w:t>.</w:t>
      </w:r>
      <w:r w:rsidRPr="001C76E0" w:rsidR="00E9219A">
        <w:t>2</w:t>
      </w:r>
      <w:r w:rsidR="008C449B">
        <w:t> million</w:t>
      </w:r>
      <w:r w:rsidRPr="001C76E0" w:rsidR="00073D00">
        <w:t xml:space="preserve"> (</w:t>
      </w:r>
      <w:r w:rsidRPr="001C76E0" w:rsidR="00E9219A">
        <w:t>85</w:t>
      </w:r>
      <w:r w:rsidR="008C449B">
        <w:t> percent</w:t>
      </w:r>
      <w:r w:rsidRPr="001C76E0" w:rsidR="00073D00">
        <w:t xml:space="preserve"> of SoCalGa</w:t>
      </w:r>
      <w:r w:rsidR="006636DD">
        <w:t xml:space="preserve">s’ </w:t>
      </w:r>
      <w:r w:rsidRPr="001C76E0" w:rsidR="00073D00">
        <w:t>total request of $59.1</w:t>
      </w:r>
      <w:r w:rsidR="008C449B">
        <w:t> million</w:t>
      </w:r>
      <w:r w:rsidRPr="001C76E0" w:rsidR="00073D00">
        <w:t>)</w:t>
      </w:r>
      <w:r w:rsidRPr="001C76E0" w:rsidR="00BB1A90">
        <w:t>.</w:t>
      </w:r>
    </w:p>
    <w:p w:rsidRPr="001C76E0" w:rsidR="00C728B5" w:rsidP="00C728B5" w:rsidRDefault="00C728B5" w14:paraId="5DF32931" w14:textId="62E73D6E">
      <w:pPr>
        <w:pStyle w:val="xstandard"/>
        <w:rPr>
          <w:rFonts w:cstheme="minorBidi"/>
          <w:szCs w:val="22"/>
        </w:rPr>
      </w:pPr>
      <w:r w:rsidRPr="001C76E0">
        <w:rPr>
          <w:rFonts w:cstheme="minorBidi"/>
          <w:szCs w:val="22"/>
        </w:rPr>
        <w:t xml:space="preserve">On </w:t>
      </w:r>
      <w:r w:rsidR="00EA0147">
        <w:rPr>
          <w:rFonts w:cstheme="minorBidi"/>
          <w:szCs w:val="22"/>
        </w:rPr>
        <w:t>October </w:t>
      </w:r>
      <w:r w:rsidRPr="001C76E0">
        <w:rPr>
          <w:rFonts w:cstheme="minorBidi"/>
          <w:szCs w:val="22"/>
        </w:rPr>
        <w:t>6, 2025, the Public Advocates Office at the California Public Utilities Commission (</w:t>
      </w:r>
      <w:r w:rsidR="00E6705F">
        <w:rPr>
          <w:rFonts w:cstheme="minorBidi"/>
          <w:szCs w:val="22"/>
        </w:rPr>
        <w:t>Cal Adv</w:t>
      </w:r>
      <w:r w:rsidRPr="001C76E0">
        <w:rPr>
          <w:rFonts w:cstheme="minorBidi"/>
          <w:szCs w:val="22"/>
        </w:rPr>
        <w:t>ocates) filed a response to SoCalGas</w:t>
      </w:r>
      <w:r w:rsidR="00EA0147">
        <w:rPr>
          <w:rFonts w:cstheme="minorBidi"/>
          <w:szCs w:val="22"/>
        </w:rPr>
        <w:t>’</w:t>
      </w:r>
      <w:r w:rsidRPr="001C76E0">
        <w:rPr>
          <w:rFonts w:cstheme="minorBidi"/>
          <w:szCs w:val="22"/>
        </w:rPr>
        <w:t xml:space="preserve"> Motion.  On </w:t>
      </w:r>
      <w:r w:rsidR="00EA0147">
        <w:rPr>
          <w:rFonts w:cstheme="minorBidi"/>
          <w:szCs w:val="22"/>
        </w:rPr>
        <w:t>October </w:t>
      </w:r>
      <w:r w:rsidRPr="001C76E0">
        <w:rPr>
          <w:rFonts w:cstheme="minorBidi"/>
          <w:szCs w:val="22"/>
        </w:rPr>
        <w:t xml:space="preserve">16, 2025, SoCalGas filed a reply to </w:t>
      </w:r>
      <w:r w:rsidR="00E6705F">
        <w:rPr>
          <w:rFonts w:cstheme="minorBidi"/>
          <w:szCs w:val="22"/>
        </w:rPr>
        <w:t>Cal Adv</w:t>
      </w:r>
      <w:r w:rsidRPr="001C76E0">
        <w:rPr>
          <w:rFonts w:cstheme="minorBidi"/>
          <w:szCs w:val="22"/>
        </w:rPr>
        <w:t>ocates</w:t>
      </w:r>
      <w:r w:rsidR="00EA0147">
        <w:rPr>
          <w:rFonts w:cstheme="minorBidi"/>
          <w:szCs w:val="22"/>
        </w:rPr>
        <w:t>’</w:t>
      </w:r>
      <w:r w:rsidRPr="001C76E0">
        <w:rPr>
          <w:rFonts w:cstheme="minorBidi"/>
          <w:szCs w:val="22"/>
        </w:rPr>
        <w:t xml:space="preserve"> response to its Motion.</w:t>
      </w:r>
    </w:p>
    <w:p w:rsidR="00EA0147" w:rsidP="006E6574" w:rsidRDefault="004D26E8" w14:paraId="4803D510" w14:textId="5A33364A">
      <w:pPr>
        <w:pStyle w:val="Standard"/>
      </w:pPr>
      <w:r w:rsidRPr="001C76E0">
        <w:t xml:space="preserve">A prehearing conference was held on </w:t>
      </w:r>
      <w:r w:rsidR="00EA0147">
        <w:t>October </w:t>
      </w:r>
      <w:r w:rsidRPr="001C76E0" w:rsidR="00762790">
        <w:t>22</w:t>
      </w:r>
      <w:r w:rsidRPr="001C76E0">
        <w:t>, 202</w:t>
      </w:r>
      <w:r w:rsidRPr="001C76E0" w:rsidR="00762790">
        <w:t>5</w:t>
      </w:r>
      <w:r w:rsidRPr="001C76E0">
        <w:t>, to address the issues of law and fact, determine the need for hearing, set the schedule for resolving the matter, and address other matters as necessary</w:t>
      </w:r>
      <w:r w:rsidRPr="001C76E0" w:rsidR="00CC3D5B">
        <w:t xml:space="preserve"> in A.25</w:t>
      </w:r>
      <w:r w:rsidR="0004127A">
        <w:noBreakHyphen/>
      </w:r>
      <w:r w:rsidRPr="001C76E0" w:rsidR="00CC3D5B">
        <w:t>08</w:t>
      </w:r>
      <w:r w:rsidR="0004127A">
        <w:noBreakHyphen/>
      </w:r>
      <w:r w:rsidRPr="001C76E0" w:rsidR="00CC3D5B">
        <w:t>008</w:t>
      </w:r>
      <w:r w:rsidRPr="001C76E0">
        <w:t>.</w:t>
      </w:r>
    </w:p>
    <w:p w:rsidR="00EA0147" w:rsidP="006E6574" w:rsidRDefault="004D26E8" w14:paraId="7C8C6100" w14:textId="549E3F0F">
      <w:pPr>
        <w:pStyle w:val="Standard"/>
      </w:pPr>
      <w:r w:rsidRPr="001C76E0">
        <w:t xml:space="preserve">On </w:t>
      </w:r>
      <w:r w:rsidR="00EA0147">
        <w:t>November </w:t>
      </w:r>
      <w:r w:rsidRPr="001C76E0" w:rsidR="00360C54">
        <w:t>20</w:t>
      </w:r>
      <w:r w:rsidRPr="001C76E0">
        <w:t>, 202</w:t>
      </w:r>
      <w:r w:rsidRPr="001C76E0" w:rsidR="00640191">
        <w:t>5</w:t>
      </w:r>
      <w:r w:rsidRPr="001C76E0">
        <w:t xml:space="preserve">, the assigned Commissioner issued the Scoping Memo and Ruling (Scoping Memo). The procedural schedule established in the Scoping Memo anticipates a decision resolving </w:t>
      </w:r>
      <w:r w:rsidRPr="001C76E0" w:rsidR="00593C83">
        <w:t>the request to recover $59.1</w:t>
      </w:r>
      <w:r w:rsidR="008C449B">
        <w:t> million</w:t>
      </w:r>
      <w:r w:rsidRPr="001C76E0" w:rsidR="00593C83">
        <w:t xml:space="preserve"> </w:t>
      </w:r>
      <w:r w:rsidRPr="001C76E0" w:rsidR="0003293C">
        <w:t xml:space="preserve">of DIMPBA costs </w:t>
      </w:r>
      <w:r w:rsidRPr="001C76E0">
        <w:t xml:space="preserve">in </w:t>
      </w:r>
      <w:r w:rsidRPr="001C76E0" w:rsidR="00A735E7">
        <w:t>A.25</w:t>
      </w:r>
      <w:r w:rsidR="0004127A">
        <w:noBreakHyphen/>
      </w:r>
      <w:r w:rsidRPr="001C76E0" w:rsidR="00A735E7">
        <w:t>08</w:t>
      </w:r>
      <w:r w:rsidR="0004127A">
        <w:noBreakHyphen/>
      </w:r>
      <w:r w:rsidRPr="001C76E0" w:rsidR="00A735E7">
        <w:t xml:space="preserve">008 </w:t>
      </w:r>
      <w:r w:rsidRPr="001C76E0">
        <w:t>by winter 202</w:t>
      </w:r>
      <w:r w:rsidRPr="001C76E0" w:rsidR="00A70C91">
        <w:t>6</w:t>
      </w:r>
      <w:r w:rsidRPr="001C76E0">
        <w:t>.</w:t>
      </w:r>
    </w:p>
    <w:p w:rsidRPr="001C76E0" w:rsidR="005A148C" w:rsidP="00EB60B3" w:rsidRDefault="005939A5" w14:paraId="4F1E02AA" w14:textId="56119BA1">
      <w:pPr>
        <w:pStyle w:val="Heading1"/>
      </w:pPr>
      <w:bookmarkStart w:name="_Toc8123719" w:id="5"/>
      <w:bookmarkStart w:name="_Toc217461712" w:id="6"/>
      <w:r w:rsidRPr="001C76E0">
        <w:lastRenderedPageBreak/>
        <w:t xml:space="preserve">Issues Before the </w:t>
      </w:r>
      <w:bookmarkEnd w:id="5"/>
      <w:r w:rsidRPr="001C76E0" w:rsidR="008A08BF">
        <w:t>Commission</w:t>
      </w:r>
      <w:bookmarkEnd w:id="6"/>
    </w:p>
    <w:p w:rsidRPr="001C76E0" w:rsidR="005939A5" w:rsidP="00D6160F" w:rsidRDefault="00E81F48" w14:paraId="4D59214D" w14:textId="72519CF5">
      <w:pPr>
        <w:pStyle w:val="Standard"/>
      </w:pPr>
      <w:r w:rsidRPr="001C76E0">
        <w:t xml:space="preserve">The issue before the </w:t>
      </w:r>
      <w:r w:rsidR="00CF280F">
        <w:t xml:space="preserve">California Public Utilities </w:t>
      </w:r>
      <w:r w:rsidRPr="001C76E0" w:rsidR="00CF280F">
        <w:t xml:space="preserve">Commission </w:t>
      </w:r>
      <w:r w:rsidR="00CF280F">
        <w:t>(</w:t>
      </w:r>
      <w:r w:rsidRPr="001C76E0">
        <w:t>Commission</w:t>
      </w:r>
      <w:r w:rsidR="00CF280F">
        <w:t>)</w:t>
      </w:r>
      <w:r w:rsidRPr="001C76E0">
        <w:t xml:space="preserve"> is whether SoCalGas has sufficiently proven </w:t>
      </w:r>
      <w:r w:rsidRPr="001C76E0" w:rsidR="003B168F">
        <w:t>that an</w:t>
      </w:r>
      <w:r w:rsidRPr="001C76E0">
        <w:t xml:space="preserve"> interim </w:t>
      </w:r>
      <w:r w:rsidRPr="001C76E0" w:rsidR="003B168F">
        <w:t xml:space="preserve">revenue requirement </w:t>
      </w:r>
      <w:r w:rsidRPr="001C76E0" w:rsidR="007F51E0">
        <w:t>of $50.2</w:t>
      </w:r>
      <w:r w:rsidR="008C449B">
        <w:t> million</w:t>
      </w:r>
      <w:r w:rsidRPr="001C76E0" w:rsidR="007F51E0">
        <w:t xml:space="preserve"> (85</w:t>
      </w:r>
      <w:r w:rsidR="008C449B">
        <w:t> percent</w:t>
      </w:r>
      <w:r w:rsidRPr="001C76E0" w:rsidR="007F51E0">
        <w:t xml:space="preserve"> of SoCalGa</w:t>
      </w:r>
      <w:r w:rsidR="006636DD">
        <w:t xml:space="preserve">s’ </w:t>
      </w:r>
      <w:r w:rsidRPr="001C76E0" w:rsidR="007F51E0">
        <w:t>total request of $59.1</w:t>
      </w:r>
      <w:r w:rsidR="008C449B">
        <w:t> million</w:t>
      </w:r>
      <w:r w:rsidRPr="001C76E0" w:rsidR="007F51E0">
        <w:t>)</w:t>
      </w:r>
      <w:r w:rsidRPr="001C76E0">
        <w:t xml:space="preserve">, subject to refund, </w:t>
      </w:r>
      <w:r w:rsidRPr="001C76E0" w:rsidR="00571ADD">
        <w:t>for</w:t>
      </w:r>
      <w:r w:rsidRPr="001C76E0" w:rsidR="00D6160F">
        <w:t xml:space="preserve"> a 12</w:t>
      </w:r>
      <w:r w:rsidR="0004127A">
        <w:noBreakHyphen/>
      </w:r>
      <w:r w:rsidRPr="001C76E0" w:rsidR="00D6160F">
        <w:t xml:space="preserve">month period or until a decision on the application is </w:t>
      </w:r>
      <w:r w:rsidRPr="001C76E0" w:rsidR="00FA2765">
        <w:t>reached</w:t>
      </w:r>
      <w:r w:rsidRPr="001C76E0" w:rsidR="00544CCF">
        <w:t>,</w:t>
      </w:r>
      <w:r w:rsidRPr="001C76E0" w:rsidR="00544CCF">
        <w:rPr>
          <w:rStyle w:val="FootnoteReference"/>
        </w:rPr>
        <w:footnoteReference w:id="2"/>
      </w:r>
      <w:r w:rsidRPr="001C76E0" w:rsidR="00D6160F">
        <w:t xml:space="preserve"> </w:t>
      </w:r>
      <w:r w:rsidR="005E2B6D">
        <w:t xml:space="preserve">is warranted </w:t>
      </w:r>
      <w:r w:rsidRPr="001C76E0">
        <w:t xml:space="preserve">on the basis that </w:t>
      </w:r>
      <w:r w:rsidR="00EA0147">
        <w:t>“‘</w:t>
      </w:r>
      <w:r w:rsidRPr="001C76E0">
        <w:t>fairness to both the utility and the public require</w:t>
      </w:r>
      <w:r w:rsidR="002550AB">
        <w:t>[s]</w:t>
      </w:r>
      <w:r w:rsidRPr="001C76E0">
        <w:t xml:space="preserve"> immediate action.</w:t>
      </w:r>
      <w:r w:rsidR="00EA0147">
        <w:t>’”</w:t>
      </w:r>
      <w:r w:rsidRPr="001C76E0" w:rsidR="00544CCF">
        <w:rPr>
          <w:rStyle w:val="FootnoteReference"/>
        </w:rPr>
        <w:footnoteReference w:id="3"/>
      </w:r>
    </w:p>
    <w:p w:rsidRPr="001C76E0" w:rsidR="00E81F48" w:rsidP="00EB60B3" w:rsidRDefault="00BA5F3F" w14:paraId="4CB2F737" w14:textId="71FB08A5">
      <w:pPr>
        <w:pStyle w:val="Heading1"/>
      </w:pPr>
      <w:bookmarkStart w:name="_Toc217461713" w:id="7"/>
      <w:bookmarkStart w:name="_Toc8123720" w:id="8"/>
      <w:r w:rsidRPr="001C76E0">
        <w:t>Standard of Review</w:t>
      </w:r>
      <w:bookmarkEnd w:id="7"/>
    </w:p>
    <w:p w:rsidRPr="001C76E0" w:rsidR="003B4025" w:rsidP="00BA5F3F" w:rsidRDefault="003B4025" w14:paraId="48185C2F" w14:textId="5DD657AA">
      <w:pPr>
        <w:pStyle w:val="Standard"/>
      </w:pPr>
      <w:r w:rsidRPr="001C76E0">
        <w:rPr>
          <w:szCs w:val="26"/>
        </w:rPr>
        <w:t>The Commission is charged with the responsibility of ensuring that all rates demanded or received by a public utility are just and reasonable.</w:t>
      </w:r>
      <w:r w:rsidRPr="001C76E0">
        <w:rPr>
          <w:rStyle w:val="FootnoteReference"/>
          <w:szCs w:val="26"/>
        </w:rPr>
        <w:footnoteReference w:id="4"/>
      </w:r>
      <w:r w:rsidRPr="001C76E0">
        <w:rPr>
          <w:szCs w:val="26"/>
        </w:rPr>
        <w:t xml:space="preserve"> </w:t>
      </w:r>
      <w:r w:rsidRPr="001C76E0" w:rsidR="00BA5F3F">
        <w:t>This proceeding is a ratesetting proceeding.</w:t>
      </w:r>
      <w:r w:rsidRPr="001C76E0" w:rsidR="00BA5F3F">
        <w:rPr>
          <w:rStyle w:val="FootnoteReference"/>
        </w:rPr>
        <w:footnoteReference w:id="5"/>
      </w:r>
      <w:r w:rsidRPr="001C76E0" w:rsidR="00BA5F3F">
        <w:t xml:space="preserve"> </w:t>
      </w:r>
      <w:r w:rsidRPr="001C76E0">
        <w:rPr>
          <w:szCs w:val="26"/>
        </w:rPr>
        <w:t>In rate</w:t>
      </w:r>
      <w:r w:rsidR="00C428A1">
        <w:rPr>
          <w:szCs w:val="26"/>
        </w:rPr>
        <w:t>setting</w:t>
      </w:r>
      <w:r w:rsidRPr="001C76E0">
        <w:rPr>
          <w:szCs w:val="26"/>
        </w:rPr>
        <w:t xml:space="preserve"> applications, the burden of proof is on the applicant utility.</w:t>
      </w:r>
      <w:r w:rsidRPr="001C76E0">
        <w:rPr>
          <w:rStyle w:val="FootnoteReference"/>
          <w:szCs w:val="26"/>
        </w:rPr>
        <w:footnoteReference w:id="6"/>
      </w:r>
    </w:p>
    <w:p w:rsidRPr="009D34F8" w:rsidR="00EA0147" w:rsidP="001A2703" w:rsidRDefault="001A2703" w14:paraId="3BA4B7A7" w14:textId="2AD7413D">
      <w:pPr>
        <w:pStyle w:val="Standard"/>
      </w:pPr>
      <w:r w:rsidRPr="001C76E0">
        <w:t>The California Supreme Court reiterated the Commission</w:t>
      </w:r>
      <w:r w:rsidR="00EA0147">
        <w:t>’</w:t>
      </w:r>
      <w:r w:rsidRPr="001C76E0">
        <w:t xml:space="preserve">s power to grant rate increases </w:t>
      </w:r>
      <w:r w:rsidRPr="001C76E0" w:rsidR="00A70424">
        <w:t>before</w:t>
      </w:r>
      <w:r w:rsidRPr="001C76E0">
        <w:t xml:space="preserve"> a final Commission determination </w:t>
      </w:r>
      <w:r w:rsidRPr="001C76E0" w:rsidR="00A70424">
        <w:t xml:space="preserve">of </w:t>
      </w:r>
      <w:r w:rsidRPr="001C76E0">
        <w:t xml:space="preserve">whether the costs were just and reasonable in </w:t>
      </w:r>
      <w:r w:rsidRPr="001C76E0">
        <w:rPr>
          <w:i/>
          <w:iCs/>
        </w:rPr>
        <w:t>Toward Utility Rate Normalization</w:t>
      </w:r>
      <w:r w:rsidR="00EA0147">
        <w:rPr>
          <w:i/>
          <w:iCs/>
        </w:rPr>
        <w:t xml:space="preserve"> v. </w:t>
      </w:r>
      <w:r w:rsidRPr="001C76E0">
        <w:rPr>
          <w:i/>
          <w:iCs/>
        </w:rPr>
        <w:t>Public Utilities Commission (TURN</w:t>
      </w:r>
      <w:r w:rsidR="00EA0147">
        <w:rPr>
          <w:i/>
          <w:iCs/>
        </w:rPr>
        <w:t xml:space="preserve"> v. </w:t>
      </w:r>
      <w:r w:rsidRPr="001C76E0">
        <w:rPr>
          <w:i/>
          <w:iCs/>
        </w:rPr>
        <w:t>PUC)</w:t>
      </w:r>
      <w:r w:rsidRPr="001C76E0">
        <w:t>.</w:t>
      </w:r>
      <w:r w:rsidRPr="001C76E0">
        <w:rPr>
          <w:vertAlign w:val="superscript"/>
        </w:rPr>
        <w:footnoteReference w:id="7"/>
      </w:r>
      <w:r w:rsidRPr="001C76E0">
        <w:t xml:space="preserve"> In </w:t>
      </w:r>
      <w:r w:rsidRPr="001C76E0">
        <w:rPr>
          <w:i/>
          <w:iCs/>
        </w:rPr>
        <w:t>TURN</w:t>
      </w:r>
      <w:r w:rsidR="00EA0147">
        <w:rPr>
          <w:i/>
          <w:iCs/>
        </w:rPr>
        <w:t xml:space="preserve"> v. </w:t>
      </w:r>
      <w:r w:rsidRPr="001C76E0">
        <w:rPr>
          <w:i/>
          <w:iCs/>
        </w:rPr>
        <w:t>PUC</w:t>
      </w:r>
      <w:r w:rsidRPr="001C76E0">
        <w:t xml:space="preserve">, the Court </w:t>
      </w:r>
      <w:r w:rsidR="00384662">
        <w:t>found</w:t>
      </w:r>
      <w:r w:rsidRPr="001C76E0" w:rsidR="00384662">
        <w:t xml:space="preserve"> </w:t>
      </w:r>
      <w:r w:rsidRPr="001C76E0">
        <w:t xml:space="preserve">the Commission </w:t>
      </w:r>
      <w:r w:rsidR="00384662">
        <w:t xml:space="preserve">may </w:t>
      </w:r>
      <w:r w:rsidRPr="001C76E0">
        <w:t>grant of interim relief</w:t>
      </w:r>
      <w:r w:rsidR="00384662">
        <w:t>,</w:t>
      </w:r>
      <w:r w:rsidRPr="001C76E0">
        <w:t xml:space="preserve"> consistent with</w:t>
      </w:r>
      <w:r w:rsidRPr="001C76E0" w:rsidR="00A8593A">
        <w:t xml:space="preserve"> </w:t>
      </w:r>
      <w:r w:rsidR="001A7420">
        <w:t>Pub. Util.</w:t>
      </w:r>
      <w:r w:rsidRPr="001C76E0">
        <w:t xml:space="preserve"> Code Section 451, </w:t>
      </w:r>
      <w:r w:rsidR="00EA0147">
        <w:t>“</w:t>
      </w:r>
      <w:r w:rsidRPr="001C76E0">
        <w:t xml:space="preserve">if the </w:t>
      </w:r>
      <w:r w:rsidRPr="001C76E0">
        <w:lastRenderedPageBreak/>
        <w:t>facts warrant such summary relief,</w:t>
      </w:r>
      <w:r w:rsidR="00EA0147">
        <w:t>”</w:t>
      </w:r>
      <w:r w:rsidRPr="001C76E0">
        <w:rPr>
          <w:vertAlign w:val="superscript"/>
        </w:rPr>
        <w:footnoteReference w:id="8"/>
      </w:r>
      <w:r w:rsidRPr="001C76E0">
        <w:t xml:space="preserve"> and described such facts as a situation </w:t>
      </w:r>
      <w:r w:rsidR="00EA0147">
        <w:t>“</w:t>
      </w:r>
      <w:r w:rsidRPr="001C76E0">
        <w:t>in which fairness to both the utility and the public required immediate action.</w:t>
      </w:r>
      <w:r w:rsidR="00EA0147">
        <w:t>”</w:t>
      </w:r>
      <w:r w:rsidRPr="001C76E0">
        <w:rPr>
          <w:vertAlign w:val="superscript"/>
        </w:rPr>
        <w:footnoteReference w:id="9"/>
      </w:r>
    </w:p>
    <w:p w:rsidRPr="001C76E0" w:rsidR="00A30958" w:rsidP="00A30958" w:rsidRDefault="007022D2" w14:paraId="18610144" w14:textId="6CA19A01">
      <w:pPr>
        <w:pStyle w:val="Standard"/>
      </w:pPr>
      <w:r>
        <w:t>T</w:t>
      </w:r>
      <w:r w:rsidR="00F96579">
        <w:t xml:space="preserve">he </w:t>
      </w:r>
      <w:r>
        <w:t>Commission can grant interim rate relief at its</w:t>
      </w:r>
      <w:r w:rsidR="00F96579">
        <w:t xml:space="preserve"> discretion.</w:t>
      </w:r>
      <w:r w:rsidR="00F96579">
        <w:rPr>
          <w:rStyle w:val="FootnoteReference"/>
        </w:rPr>
        <w:footnoteReference w:id="10"/>
      </w:r>
      <w:r w:rsidR="00F96579">
        <w:t xml:space="preserve"> </w:t>
      </w:r>
      <w:r w:rsidRPr="001C76E0" w:rsidR="001A2703">
        <w:t>In determining whether to grant a motion for interim rate relief, the Commission has applied as relevant factors</w:t>
      </w:r>
      <w:r w:rsidR="00EA0147">
        <w:t xml:space="preserve">: </w:t>
      </w:r>
      <w:r w:rsidRPr="001C76E0" w:rsidR="001A2703">
        <w:t>fairness to both the utility and public;</w:t>
      </w:r>
      <w:r w:rsidRPr="001C76E0" w:rsidR="001A2703">
        <w:rPr>
          <w:vertAlign w:val="superscript"/>
        </w:rPr>
        <w:footnoteReference w:id="11"/>
      </w:r>
      <w:r w:rsidRPr="001C76E0" w:rsidR="001A2703">
        <w:t xml:space="preserve"> the public interest;</w:t>
      </w:r>
      <w:r w:rsidRPr="001C76E0" w:rsidR="001A2703">
        <w:rPr>
          <w:vertAlign w:val="superscript"/>
        </w:rPr>
        <w:footnoteReference w:id="12"/>
      </w:r>
      <w:r w:rsidRPr="0006713E" w:rsidR="001A2703">
        <w:t xml:space="preserve"> </w:t>
      </w:r>
      <w:r w:rsidRPr="001C76E0" w:rsidR="001A2703">
        <w:t>reducing the potential for rate shock;</w:t>
      </w:r>
      <w:r w:rsidRPr="001C76E0" w:rsidR="001A2703">
        <w:rPr>
          <w:vertAlign w:val="superscript"/>
        </w:rPr>
        <w:footnoteReference w:id="13"/>
      </w:r>
      <w:r w:rsidRPr="0006713E" w:rsidR="0006713E">
        <w:t xml:space="preserve"> </w:t>
      </w:r>
      <w:r w:rsidRPr="001C76E0" w:rsidR="001A2703">
        <w:t>intergenerational equity;</w:t>
      </w:r>
      <w:r w:rsidRPr="001C76E0" w:rsidR="001A2703">
        <w:rPr>
          <w:rStyle w:val="FootnoteReference"/>
        </w:rPr>
        <w:footnoteReference w:id="14"/>
      </w:r>
      <w:r w:rsidRPr="0006713E" w:rsidR="001A2703">
        <w:t xml:space="preserve"> </w:t>
      </w:r>
      <w:r w:rsidRPr="001C76E0" w:rsidR="001A2703">
        <w:t>preserving the financial integrity of a utility</w:t>
      </w:r>
      <w:r w:rsidR="0003414A">
        <w:t>;</w:t>
      </w:r>
      <w:r w:rsidRPr="001C76E0" w:rsidR="001A2703">
        <w:rPr>
          <w:rStyle w:val="FootnoteReference"/>
        </w:rPr>
        <w:footnoteReference w:id="15"/>
      </w:r>
      <w:r w:rsidRPr="0006713E" w:rsidR="0006713E">
        <w:t xml:space="preserve"> </w:t>
      </w:r>
      <w:r w:rsidRPr="001C76E0" w:rsidR="001A2703">
        <w:t>minimizing costs incurred by ratepayers</w:t>
      </w:r>
      <w:r w:rsidR="0003414A">
        <w:t>;</w:t>
      </w:r>
      <w:r w:rsidRPr="001C76E0" w:rsidR="001A2703">
        <w:rPr>
          <w:rStyle w:val="FootnoteReference"/>
        </w:rPr>
        <w:footnoteReference w:id="16"/>
      </w:r>
      <w:r w:rsidRPr="001C76E0" w:rsidR="001A2703">
        <w:t xml:space="preserve"> and ensuring rate stability.</w:t>
      </w:r>
      <w:r w:rsidRPr="001C76E0" w:rsidR="001A2703">
        <w:rPr>
          <w:vertAlign w:val="superscript"/>
        </w:rPr>
        <w:footnoteReference w:id="17"/>
      </w:r>
      <w:r w:rsidRPr="001C76E0" w:rsidR="00A30958">
        <w:t xml:space="preserve"> Moreover, the Commission recently confirmed that not all the above factors must be established but </w:t>
      </w:r>
      <w:r w:rsidR="00EA0147">
        <w:t>“</w:t>
      </w:r>
      <w:r w:rsidRPr="001C76E0" w:rsidR="00A30958">
        <w:t>[a]</w:t>
      </w:r>
      <w:proofErr w:type="spellStart"/>
      <w:r w:rsidRPr="001C76E0" w:rsidR="00A30958">
        <w:t>ny</w:t>
      </w:r>
      <w:proofErr w:type="spellEnd"/>
      <w:r w:rsidRPr="001C76E0" w:rsidR="00A30958">
        <w:t xml:space="preserve"> one of those factors may be sufficient for the Commission to grant relief.</w:t>
      </w:r>
      <w:r w:rsidR="00EA0147">
        <w:t>”</w:t>
      </w:r>
      <w:r w:rsidRPr="001C76E0" w:rsidR="00A30958">
        <w:rPr>
          <w:rStyle w:val="FootnoteReference"/>
        </w:rPr>
        <w:footnoteReference w:id="18"/>
      </w:r>
    </w:p>
    <w:p w:rsidRPr="001C76E0" w:rsidR="00A30958" w:rsidP="00A30958" w:rsidRDefault="00A30958" w14:paraId="5C7A4EAA" w14:textId="2AE1E098">
      <w:pPr>
        <w:pStyle w:val="Standard"/>
      </w:pPr>
      <w:r w:rsidRPr="001C76E0">
        <w:t>In the past several years, the Commission has authorized interim rate recovery more frequently, primarily in proceedings involving energy utilities seeking expeditious recovery of costs related to wildfire mitigation and catastrophic events recorded in memorandum and balancing accounts.</w:t>
      </w:r>
      <w:r w:rsidRPr="001C76E0">
        <w:rPr>
          <w:rStyle w:val="FootnoteReference"/>
        </w:rPr>
        <w:footnoteReference w:id="19"/>
      </w:r>
      <w:r w:rsidR="00686D27">
        <w:t xml:space="preserve"> </w:t>
      </w:r>
      <w:r w:rsidR="00F96579">
        <w:lastRenderedPageBreak/>
        <w:t>However</w:t>
      </w:r>
      <w:r w:rsidR="003C4494">
        <w:t>,</w:t>
      </w:r>
      <w:r w:rsidR="0059644F">
        <w:t xml:space="preserve"> </w:t>
      </w:r>
      <w:r w:rsidR="00513362">
        <w:t>in D.22</w:t>
      </w:r>
      <w:r w:rsidR="0004127A">
        <w:noBreakHyphen/>
      </w:r>
      <w:r w:rsidR="00513362">
        <w:t>05</w:t>
      </w:r>
      <w:r w:rsidR="0004127A">
        <w:noBreakHyphen/>
      </w:r>
      <w:r w:rsidR="00513362">
        <w:t>001</w:t>
      </w:r>
      <w:r w:rsidR="007022D2">
        <w:t>,</w:t>
      </w:r>
      <w:r w:rsidR="00513362">
        <w:t xml:space="preserve"> the</w:t>
      </w:r>
      <w:r w:rsidR="00F96579">
        <w:t xml:space="preserve"> Commission recently rejected an interim rate relief request from </w:t>
      </w:r>
      <w:r w:rsidR="00C10718">
        <w:t>San </w:t>
      </w:r>
      <w:r w:rsidR="003C4494">
        <w:t>Diego Gas and Electric Company</w:t>
      </w:r>
      <w:r w:rsidR="0059644F">
        <w:t xml:space="preserve"> </w:t>
      </w:r>
      <w:r w:rsidR="003C4494">
        <w:t>(SDG&amp;E),</w:t>
      </w:r>
      <w:r w:rsidR="0059644F">
        <w:t xml:space="preserve"> </w:t>
      </w:r>
      <w:r w:rsidR="00F96579">
        <w:t>where it found SDG&amp;E’s arguments about its financial health, rate smoothing, and intergenerational equity were not compelling</w:t>
      </w:r>
      <w:r w:rsidR="003C4494">
        <w:t>.</w:t>
      </w:r>
      <w:r w:rsidR="00F96579">
        <w:rPr>
          <w:rStyle w:val="FootnoteReference"/>
        </w:rPr>
        <w:footnoteReference w:id="20"/>
      </w:r>
    </w:p>
    <w:p w:rsidRPr="001C76E0" w:rsidR="00E81F48" w:rsidP="00EB60B3" w:rsidRDefault="0016460F" w14:paraId="5D4DB776" w14:textId="5709A2BB">
      <w:pPr>
        <w:pStyle w:val="Heading1"/>
      </w:pPr>
      <w:bookmarkStart w:name="_Toc217461714" w:id="9"/>
      <w:r w:rsidRPr="001C76E0">
        <w:t>Party Pleadings</w:t>
      </w:r>
      <w:bookmarkEnd w:id="9"/>
    </w:p>
    <w:p w:rsidRPr="001C76E0" w:rsidR="00D7489C" w:rsidP="00EB60B3" w:rsidRDefault="003C32B0" w14:paraId="3D7D328E" w14:textId="7565381B">
      <w:pPr>
        <w:pStyle w:val="Heading2"/>
      </w:pPr>
      <w:bookmarkStart w:name="_Toc217461715" w:id="10"/>
      <w:r w:rsidRPr="003C32B0">
        <w:t>Southern California Gas Company</w:t>
      </w:r>
      <w:r w:rsidRPr="001C76E0" w:rsidR="00A70356">
        <w:t xml:space="preserve"> Motion</w:t>
      </w:r>
      <w:bookmarkEnd w:id="10"/>
    </w:p>
    <w:p w:rsidR="00126558" w:rsidP="00E912B0" w:rsidRDefault="006827EF" w14:paraId="65D7EA24" w14:textId="6EE2224B">
      <w:pPr>
        <w:pStyle w:val="Standard"/>
      </w:pPr>
      <w:r w:rsidRPr="001C76E0">
        <w:t>SoCalGas</w:t>
      </w:r>
      <w:r w:rsidRPr="001C76E0" w:rsidR="00486F2D">
        <w:t xml:space="preserve"> </w:t>
      </w:r>
      <w:r w:rsidRPr="001C76E0" w:rsidR="006F41B7">
        <w:t>argues</w:t>
      </w:r>
      <w:r w:rsidRPr="001C76E0" w:rsidR="00486F2D">
        <w:t xml:space="preserve"> it is in the interest of both the company and its customers to grant interim relief as proposed. </w:t>
      </w:r>
      <w:r w:rsidRPr="001C76E0" w:rsidR="00E750BC">
        <w:t xml:space="preserve">SoCalGas proposes to recover </w:t>
      </w:r>
      <w:r w:rsidRPr="001C76E0" w:rsidR="00634F5C">
        <w:t>an</w:t>
      </w:r>
      <w:r w:rsidRPr="001C76E0" w:rsidR="00E750BC">
        <w:t xml:space="preserve"> interim revenue requirement of </w:t>
      </w:r>
      <w:r w:rsidRPr="001C76E0" w:rsidR="00D724CF">
        <w:t>$50.2</w:t>
      </w:r>
      <w:r w:rsidR="008C449B">
        <w:t> million</w:t>
      </w:r>
      <w:r w:rsidRPr="001C76E0" w:rsidR="00D724CF">
        <w:t xml:space="preserve"> (85</w:t>
      </w:r>
      <w:r w:rsidR="008C449B">
        <w:t> percent</w:t>
      </w:r>
      <w:r w:rsidRPr="001C76E0" w:rsidR="00D724CF">
        <w:t xml:space="preserve"> of SoCalGa</w:t>
      </w:r>
      <w:r w:rsidR="006636DD">
        <w:t xml:space="preserve">s’ </w:t>
      </w:r>
      <w:r w:rsidRPr="001C76E0" w:rsidR="00D724CF">
        <w:t>total request of $59.1</w:t>
      </w:r>
      <w:r w:rsidR="008C449B">
        <w:t> million</w:t>
      </w:r>
      <w:r w:rsidRPr="001C76E0" w:rsidR="00D724CF">
        <w:t>)</w:t>
      </w:r>
      <w:r w:rsidRPr="001C76E0" w:rsidR="00E750BC">
        <w:t xml:space="preserve"> over </w:t>
      </w:r>
      <w:r w:rsidRPr="001C76E0" w:rsidR="00356FC7">
        <w:t>one or two</w:t>
      </w:r>
      <w:r w:rsidRPr="001C76E0" w:rsidR="00E750BC">
        <w:t xml:space="preserve"> 12</w:t>
      </w:r>
      <w:r w:rsidR="0004127A">
        <w:noBreakHyphen/>
      </w:r>
      <w:r w:rsidRPr="001C76E0" w:rsidR="00E750BC">
        <w:t xml:space="preserve">month </w:t>
      </w:r>
      <w:r w:rsidRPr="001C76E0" w:rsidR="00D1726D">
        <w:t>periods</w:t>
      </w:r>
      <w:r w:rsidRPr="001C76E0" w:rsidR="009A3471">
        <w:t xml:space="preserve">, depending on how long a resolution of </w:t>
      </w:r>
      <w:r w:rsidRPr="001C76E0" w:rsidR="00B14E4B">
        <w:t>the</w:t>
      </w:r>
      <w:r w:rsidRPr="001C76E0" w:rsidR="009A3471">
        <w:t xml:space="preserve"> application take</w:t>
      </w:r>
      <w:r w:rsidRPr="001C76E0" w:rsidR="00B14E4B">
        <w:t>s</w:t>
      </w:r>
      <w:r w:rsidRPr="001C76E0" w:rsidR="00E750BC">
        <w:t>.</w:t>
      </w:r>
      <w:r w:rsidRPr="001C76E0" w:rsidR="00555C13">
        <w:rPr>
          <w:rStyle w:val="FootnoteReference"/>
        </w:rPr>
        <w:footnoteReference w:id="21"/>
      </w:r>
      <w:r w:rsidRPr="001C76E0" w:rsidR="00E750BC">
        <w:t xml:space="preserve"> </w:t>
      </w:r>
      <w:r w:rsidRPr="001C76E0" w:rsidR="003E26A9">
        <w:t xml:space="preserve">The </w:t>
      </w:r>
      <w:r w:rsidRPr="001C76E0" w:rsidR="00800F9F">
        <w:t xml:space="preserve">total requested </w:t>
      </w:r>
      <w:r w:rsidRPr="001C76E0" w:rsidR="003E26A9">
        <w:t>$59.1</w:t>
      </w:r>
      <w:r w:rsidR="008C449B">
        <w:t> million</w:t>
      </w:r>
      <w:r w:rsidRPr="001C76E0" w:rsidR="003E26A9">
        <w:t xml:space="preserve"> </w:t>
      </w:r>
      <w:r w:rsidRPr="001C76E0" w:rsidR="003A487C">
        <w:t xml:space="preserve">revenue requirement </w:t>
      </w:r>
      <w:r w:rsidRPr="001C76E0" w:rsidR="00CE790F">
        <w:t xml:space="preserve">in the application </w:t>
      </w:r>
      <w:r w:rsidRPr="001C76E0" w:rsidR="003A487C">
        <w:t xml:space="preserve">includes interest expenses through </w:t>
      </w:r>
      <w:r w:rsidR="00EA0147">
        <w:t>June </w:t>
      </w:r>
      <w:r w:rsidRPr="001C76E0" w:rsidR="003A487C">
        <w:t>3</w:t>
      </w:r>
      <w:r w:rsidRPr="001C76E0" w:rsidR="001724DC">
        <w:t>0</w:t>
      </w:r>
      <w:r w:rsidRPr="001C76E0" w:rsidR="003A487C">
        <w:t>, 202</w:t>
      </w:r>
      <w:r w:rsidRPr="001C76E0" w:rsidR="001724DC">
        <w:t>5</w:t>
      </w:r>
      <w:r w:rsidRPr="001C76E0" w:rsidR="00E51645">
        <w:t>.</w:t>
      </w:r>
      <w:r w:rsidRPr="001C76E0" w:rsidR="00067468">
        <w:rPr>
          <w:rStyle w:val="FootnoteReference"/>
        </w:rPr>
        <w:footnoteReference w:id="22"/>
      </w:r>
      <w:r w:rsidRPr="001C76E0" w:rsidR="003A487C">
        <w:t xml:space="preserve"> </w:t>
      </w:r>
      <w:r w:rsidRPr="001C76E0" w:rsidR="00CC1BEF">
        <w:t xml:space="preserve">If the Motion is approved, </w:t>
      </w:r>
      <w:r w:rsidRPr="001C76E0" w:rsidR="00E750BC">
        <w:t>SoCalGas</w:t>
      </w:r>
      <w:r w:rsidRPr="001C76E0" w:rsidR="009A3471">
        <w:t xml:space="preserve"> </w:t>
      </w:r>
      <w:r w:rsidRPr="001C76E0" w:rsidR="00E00926">
        <w:t xml:space="preserve">would </w:t>
      </w:r>
      <w:r w:rsidRPr="001C76E0" w:rsidR="00E750BC">
        <w:t xml:space="preserve">file a </w:t>
      </w:r>
      <w:r w:rsidR="000F12C5">
        <w:t>Tier 1</w:t>
      </w:r>
      <w:r w:rsidRPr="001C76E0" w:rsidR="00E750BC">
        <w:t xml:space="preserve"> </w:t>
      </w:r>
      <w:r w:rsidRPr="001C76E0" w:rsidR="00911348">
        <w:t>a</w:t>
      </w:r>
      <w:r w:rsidRPr="001C76E0" w:rsidR="00E750BC">
        <w:t xml:space="preserve">dvice </w:t>
      </w:r>
      <w:r w:rsidRPr="001C76E0" w:rsidR="00911348">
        <w:t>l</w:t>
      </w:r>
      <w:r w:rsidRPr="001C76E0" w:rsidR="00E750BC">
        <w:t>etter to incorporate the interim revenue requirement into gas transportation rates</w:t>
      </w:r>
      <w:r w:rsidRPr="001C76E0" w:rsidR="00E00926">
        <w:t>. The</w:t>
      </w:r>
      <w:r w:rsidRPr="001C76E0" w:rsidR="00E750BC">
        <w:t xml:space="preserve"> </w:t>
      </w:r>
      <w:r w:rsidRPr="001C76E0" w:rsidR="00911348">
        <w:t>advice letter would be</w:t>
      </w:r>
      <w:r w:rsidRPr="001C76E0" w:rsidR="00711334">
        <w:t xml:space="preserve"> filed </w:t>
      </w:r>
      <w:r w:rsidRPr="001C76E0" w:rsidR="00E750BC">
        <w:t>on</w:t>
      </w:r>
      <w:r w:rsidRPr="001C76E0" w:rsidR="00FC2416">
        <w:t xml:space="preserve"> the</w:t>
      </w:r>
      <w:r w:rsidRPr="001C76E0" w:rsidR="00F155E1">
        <w:t xml:space="preserve"> later of </w:t>
      </w:r>
      <w:r w:rsidR="00EA0147">
        <w:t>January </w:t>
      </w:r>
      <w:r w:rsidRPr="001C76E0" w:rsidR="00C025AB">
        <w:t>1, 2026, or the</w:t>
      </w:r>
      <w:r w:rsidRPr="001C76E0" w:rsidR="00E750BC">
        <w:t xml:space="preserve"> first day of the month following a Commission decision on this </w:t>
      </w:r>
      <w:r w:rsidR="00CD7A4F">
        <w:t>M</w:t>
      </w:r>
      <w:r w:rsidRPr="001C76E0" w:rsidR="00E750BC">
        <w:t>otion.</w:t>
      </w:r>
      <w:r w:rsidRPr="001C76E0" w:rsidR="00555C13">
        <w:rPr>
          <w:rStyle w:val="FootnoteReference"/>
        </w:rPr>
        <w:footnoteReference w:id="23"/>
      </w:r>
      <w:r w:rsidRPr="001C76E0" w:rsidR="00E750BC">
        <w:t xml:space="preserve"> </w:t>
      </w:r>
      <w:r w:rsidRPr="001C76E0" w:rsidR="00711334">
        <w:t xml:space="preserve">The interim revenue requirement would be </w:t>
      </w:r>
      <w:r w:rsidRPr="001C76E0" w:rsidR="00572BFD">
        <w:t xml:space="preserve">amortized in gas transportation rates </w:t>
      </w:r>
      <w:r w:rsidRPr="001C76E0" w:rsidR="00E912B0">
        <w:t>consistent with the</w:t>
      </w:r>
      <w:r w:rsidRPr="001C76E0" w:rsidR="00572BFD">
        <w:t xml:space="preserve"> Equal Percent of Authorized Margin (EPAM) cost allocation </w:t>
      </w:r>
      <w:r w:rsidRPr="001C76E0" w:rsidR="00E912B0">
        <w:t>adopted in</w:t>
      </w:r>
      <w:r w:rsidRPr="001C76E0" w:rsidR="00572BFD">
        <w:t xml:space="preserve"> D.24</w:t>
      </w:r>
      <w:r w:rsidR="0004127A">
        <w:noBreakHyphen/>
      </w:r>
      <w:r w:rsidRPr="001C76E0" w:rsidR="00572BFD">
        <w:t>07</w:t>
      </w:r>
      <w:r w:rsidR="0004127A">
        <w:noBreakHyphen/>
      </w:r>
      <w:r w:rsidRPr="001C76E0" w:rsidR="00572BFD">
        <w:t>009</w:t>
      </w:r>
      <w:r w:rsidRPr="001C76E0" w:rsidR="00E10D3B">
        <w:t xml:space="preserve">, as shown in </w:t>
      </w:r>
      <w:r w:rsidR="00CD0314">
        <w:t>Table 1</w:t>
      </w:r>
      <w:r w:rsidRPr="001C76E0" w:rsidR="00E10D3B">
        <w:t xml:space="preserve"> below</w:t>
      </w:r>
      <w:r w:rsidRPr="001C76E0" w:rsidR="00E912B0">
        <w:t>.</w:t>
      </w:r>
      <w:r w:rsidRPr="001C76E0" w:rsidR="00555C13">
        <w:rPr>
          <w:rStyle w:val="FootnoteReference"/>
        </w:rPr>
        <w:footnoteReference w:id="24"/>
      </w:r>
    </w:p>
    <w:p w:rsidRPr="001C76E0" w:rsidR="008B689A" w:rsidP="008B689A" w:rsidRDefault="008B689A" w14:paraId="029E9468" w14:textId="3BBC2D90">
      <w:pPr>
        <w:pStyle w:val="TableTitleBody"/>
      </w:pPr>
      <w:r w:rsidRPr="008B689A">
        <w:rPr>
          <w:rFonts w:eastAsia="Times New Roman" w:cs="Times New Roman"/>
          <w:color w:val="000000"/>
        </w:rPr>
        <w:t>Table 1</w:t>
      </w:r>
      <w:r w:rsidR="001201A3">
        <w:rPr>
          <w:rFonts w:eastAsia="Times New Roman" w:cs="Times New Roman"/>
          <w:color w:val="000000"/>
        </w:rPr>
        <w:br/>
      </w:r>
      <w:r w:rsidRPr="008B689A">
        <w:rPr>
          <w:rFonts w:eastAsia="Times New Roman" w:cs="Times New Roman"/>
          <w:color w:val="000000"/>
        </w:rPr>
        <w:t>Southern California Gas Company</w:t>
      </w:r>
      <w:r w:rsidRPr="00CD0314">
        <w:rPr>
          <w:rFonts w:eastAsia="Times New Roman" w:cs="Times New Roman"/>
          <w:b w:val="0"/>
          <w:bCs w:val="0"/>
          <w:color w:val="000000"/>
        </w:rPr>
        <w:t>’</w:t>
      </w:r>
      <w:r w:rsidRPr="00CD0314">
        <w:rPr>
          <w:rFonts w:eastAsia="Times New Roman" w:cs="Times New Roman"/>
          <w:color w:val="000000"/>
        </w:rPr>
        <w:t>s Illustrative</w:t>
      </w:r>
      <w:r w:rsidR="00AB002C">
        <w:rPr>
          <w:rFonts w:eastAsia="Times New Roman" w:cs="Times New Roman"/>
          <w:color w:val="000000"/>
        </w:rPr>
        <w:br/>
      </w:r>
      <w:r w:rsidRPr="00CD0314">
        <w:rPr>
          <w:rFonts w:eastAsia="Times New Roman" w:cs="Times New Roman"/>
          <w:color w:val="000000"/>
        </w:rPr>
        <w:lastRenderedPageBreak/>
        <w:t>Transportation Rates</w:t>
      </w:r>
      <w:r w:rsidR="00BD44E6">
        <w:rPr>
          <w:rFonts w:eastAsia="Times New Roman" w:cs="Times New Roman"/>
          <w:color w:val="000000"/>
        </w:rPr>
        <w:t xml:space="preserve"> — </w:t>
      </w:r>
      <w:r w:rsidRPr="00CD0314">
        <w:rPr>
          <w:rFonts w:eastAsia="Times New Roman" w:cs="Times New Roman"/>
          <w:color w:val="000000"/>
        </w:rPr>
        <w:t>Interim Rate Recovery</w:t>
      </w:r>
      <w:r w:rsidR="00AB002C">
        <w:rPr>
          <w:rFonts w:eastAsia="Times New Roman" w:cs="Times New Roman"/>
          <w:color w:val="000000"/>
        </w:rPr>
        <w:t xml:space="preserve"> </w:t>
      </w:r>
      <w:r w:rsidRPr="00CD0314">
        <w:rPr>
          <w:rFonts w:eastAsia="Times New Roman" w:cs="Times New Roman"/>
          <w:color w:val="000000"/>
        </w:rPr>
        <w:t>Beginning January 2026</w:t>
      </w:r>
      <w:r w:rsidR="00AB002C">
        <w:rPr>
          <w:rFonts w:eastAsia="Times New Roman" w:cs="Times New Roman"/>
          <w:b w:val="0"/>
          <w:bCs w:val="0"/>
          <w:color w:val="000000"/>
        </w:rPr>
        <w:br/>
        <w:t>(</w:t>
      </w:r>
      <w:r w:rsidRPr="00CD0314">
        <w:rPr>
          <w:rFonts w:eastAsia="Times New Roman" w:cs="Times New Roman"/>
          <w:color w:val="000000"/>
        </w:rPr>
        <w:t>$/</w:t>
      </w:r>
      <w:proofErr w:type="spellStart"/>
      <w:r w:rsidRPr="00CD0314">
        <w:rPr>
          <w:rFonts w:eastAsia="Times New Roman" w:cs="Times New Roman"/>
          <w:color w:val="000000"/>
        </w:rPr>
        <w:t>therm</w:t>
      </w:r>
      <w:proofErr w:type="spellEnd"/>
      <w:r w:rsidRPr="00CD0314">
        <w:rPr>
          <w:rFonts w:eastAsia="Times New Roman" w:cs="Times New Roman"/>
          <w:color w:val="000000"/>
        </w:rPr>
        <w:t xml:space="preserve"> except as noted</w:t>
      </w:r>
      <w:r w:rsidR="00AB002C">
        <w:rPr>
          <w:rFonts w:eastAsia="Times New Roman" w:cs="Times New Roman"/>
          <w:color w:val="000000"/>
        </w:rPr>
        <w:t>)</w:t>
      </w:r>
    </w:p>
    <w:tbl>
      <w:tblPr>
        <w:tblW w:w="9360" w:type="dxa"/>
        <w:tblLayout w:type="fixed"/>
        <w:tblCellMar>
          <w:top w:w="58" w:type="dxa"/>
          <w:bottom w:w="58" w:type="dxa"/>
        </w:tblCellMar>
        <w:tblLook w:val="04A0" w:firstRow="1" w:lastRow="0" w:firstColumn="1" w:lastColumn="0" w:noHBand="0" w:noVBand="1"/>
      </w:tblPr>
      <w:tblGrid>
        <w:gridCol w:w="4585"/>
        <w:gridCol w:w="900"/>
        <w:gridCol w:w="990"/>
        <w:gridCol w:w="900"/>
        <w:gridCol w:w="990"/>
        <w:gridCol w:w="995"/>
      </w:tblGrid>
      <w:tr w:rsidRPr="006D531D" w:rsidR="001F0E1F" w:rsidTr="006D4FEF" w14:paraId="354799C0" w14:textId="77777777">
        <w:trPr>
          <w:cantSplit/>
          <w:tblHeader/>
        </w:trPr>
        <w:tc>
          <w:tcPr>
            <w:tcW w:w="4585" w:type="dxa"/>
            <w:tcBorders>
              <w:top w:val="single" w:color="auto" w:sz="4" w:space="0"/>
              <w:left w:val="single" w:color="auto" w:sz="4" w:space="0"/>
              <w:bottom w:val="single" w:color="000000" w:sz="4" w:space="0"/>
              <w:right w:val="single" w:color="000000" w:sz="4" w:space="0"/>
            </w:tcBorders>
            <w:vAlign w:val="bottom"/>
            <w:hideMark/>
          </w:tcPr>
          <w:p w:rsidRPr="006D531D" w:rsidR="001F0E1F" w:rsidP="00FD118D" w:rsidRDefault="00044822" w14:paraId="6AC540E2" w14:textId="47397519">
            <w:pPr>
              <w:keepNext/>
              <w:spacing w:line="240" w:lineRule="auto"/>
              <w:ind w:firstLine="0"/>
              <w:rPr>
                <w:rFonts w:eastAsia="Times New Roman" w:cs="Times New Roman"/>
                <w:b/>
                <w:bCs/>
                <w:color w:val="000000"/>
                <w:sz w:val="24"/>
              </w:rPr>
            </w:pPr>
            <w:r w:rsidRPr="006D531D">
              <w:rPr>
                <w:rFonts w:eastAsia="Times New Roman" w:cs="Times New Roman"/>
                <w:b/>
                <w:bCs/>
                <w:color w:val="000000"/>
                <w:sz w:val="24"/>
              </w:rPr>
              <w:t>Transportation</w:t>
            </w:r>
          </w:p>
        </w:tc>
        <w:tc>
          <w:tcPr>
            <w:tcW w:w="900" w:type="dxa"/>
            <w:tcBorders>
              <w:top w:val="single" w:color="auto" w:sz="4" w:space="0"/>
              <w:left w:val="nil"/>
              <w:bottom w:val="single" w:color="000000" w:sz="4" w:space="0"/>
              <w:right w:val="nil"/>
            </w:tcBorders>
            <w:vAlign w:val="bottom"/>
            <w:hideMark/>
          </w:tcPr>
          <w:p w:rsidRPr="006D531D" w:rsidR="001F0E1F" w:rsidP="00E3073C" w:rsidRDefault="00324831" w14:paraId="2C571EAE" w14:textId="68B89587">
            <w:pPr>
              <w:keepNext/>
              <w:spacing w:line="240" w:lineRule="auto"/>
              <w:ind w:firstLine="0"/>
              <w:jc w:val="right"/>
              <w:rPr>
                <w:rFonts w:eastAsia="Times New Roman" w:cs="Times New Roman"/>
                <w:b/>
                <w:bCs/>
                <w:color w:val="000000"/>
                <w:sz w:val="24"/>
              </w:rPr>
            </w:pPr>
            <w:r w:rsidRPr="006D531D">
              <w:rPr>
                <w:rFonts w:eastAsia="Times New Roman" w:cs="Times New Roman"/>
                <w:b/>
                <w:bCs/>
                <w:color w:val="000000"/>
                <w:sz w:val="24"/>
              </w:rPr>
              <w:t>Jul</w:t>
            </w:r>
            <w:r w:rsidR="0004127A">
              <w:rPr>
                <w:rFonts w:eastAsia="Times New Roman" w:cs="Times New Roman"/>
                <w:b/>
                <w:bCs/>
                <w:color w:val="000000"/>
                <w:sz w:val="24"/>
              </w:rPr>
              <w:noBreakHyphen/>
            </w:r>
            <w:r w:rsidRPr="006D531D">
              <w:rPr>
                <w:rFonts w:eastAsia="Times New Roman" w:cs="Times New Roman"/>
                <w:b/>
                <w:bCs/>
                <w:color w:val="000000"/>
                <w:sz w:val="24"/>
              </w:rPr>
              <w:t>25</w:t>
            </w:r>
          </w:p>
        </w:tc>
        <w:tc>
          <w:tcPr>
            <w:tcW w:w="990" w:type="dxa"/>
            <w:tcBorders>
              <w:top w:val="single" w:color="auto" w:sz="4" w:space="0"/>
              <w:left w:val="nil"/>
              <w:bottom w:val="single" w:color="000000" w:sz="4" w:space="0"/>
              <w:right w:val="nil"/>
            </w:tcBorders>
            <w:hideMark/>
          </w:tcPr>
          <w:p w:rsidRPr="006D531D" w:rsidR="001F0E1F" w:rsidP="00324831" w:rsidRDefault="001F0E1F" w14:paraId="2540C75D" w14:textId="0C494C0C">
            <w:pPr>
              <w:keepNext/>
              <w:spacing w:line="240" w:lineRule="auto"/>
              <w:ind w:firstLine="0"/>
              <w:jc w:val="right"/>
              <w:rPr>
                <w:rFonts w:eastAsia="Times New Roman" w:cs="Times New Roman"/>
                <w:b/>
                <w:bCs/>
                <w:color w:val="000000"/>
                <w:sz w:val="24"/>
              </w:rPr>
            </w:pPr>
            <w:r w:rsidRPr="006D531D">
              <w:rPr>
                <w:rFonts w:eastAsia="Times New Roman" w:cs="Times New Roman"/>
                <w:b/>
                <w:bCs/>
                <w:color w:val="000000"/>
                <w:sz w:val="24"/>
              </w:rPr>
              <w:t>Oct</w:t>
            </w:r>
            <w:r w:rsidR="0004127A">
              <w:rPr>
                <w:rFonts w:eastAsia="Times New Roman" w:cs="Times New Roman"/>
                <w:b/>
                <w:bCs/>
                <w:color w:val="000000"/>
                <w:sz w:val="24"/>
              </w:rPr>
              <w:noBreakHyphen/>
            </w:r>
            <w:r w:rsidR="00605BD3">
              <w:rPr>
                <w:rFonts w:eastAsia="Times New Roman" w:cs="Times New Roman"/>
                <w:b/>
                <w:bCs/>
                <w:color w:val="000000"/>
                <w:sz w:val="24"/>
              </w:rPr>
              <w:t>25</w:t>
            </w:r>
          </w:p>
        </w:tc>
        <w:tc>
          <w:tcPr>
            <w:tcW w:w="900" w:type="dxa"/>
            <w:tcBorders>
              <w:top w:val="single" w:color="auto" w:sz="4" w:space="0"/>
              <w:left w:val="nil"/>
              <w:bottom w:val="single" w:color="000000" w:sz="4" w:space="0"/>
              <w:right w:val="nil"/>
            </w:tcBorders>
            <w:hideMark/>
          </w:tcPr>
          <w:p w:rsidRPr="006D531D" w:rsidR="001F0E1F" w:rsidP="00324831" w:rsidRDefault="001F0E1F" w14:paraId="412CFF92" w14:textId="0FB6D29A">
            <w:pPr>
              <w:keepNext/>
              <w:spacing w:line="240" w:lineRule="auto"/>
              <w:ind w:firstLine="0"/>
              <w:jc w:val="right"/>
              <w:rPr>
                <w:rFonts w:eastAsia="Times New Roman" w:cs="Times New Roman"/>
                <w:b/>
                <w:bCs/>
                <w:color w:val="000000"/>
                <w:sz w:val="24"/>
              </w:rPr>
            </w:pPr>
            <w:r w:rsidRPr="006D531D">
              <w:rPr>
                <w:rFonts w:eastAsia="Times New Roman" w:cs="Times New Roman"/>
                <w:b/>
                <w:bCs/>
                <w:color w:val="000000"/>
                <w:sz w:val="24"/>
              </w:rPr>
              <w:t>Jan</w:t>
            </w:r>
            <w:r w:rsidR="0004127A">
              <w:rPr>
                <w:rFonts w:eastAsia="Times New Roman" w:cs="Times New Roman"/>
                <w:b/>
                <w:bCs/>
                <w:color w:val="000000"/>
                <w:sz w:val="24"/>
              </w:rPr>
              <w:noBreakHyphen/>
            </w:r>
            <w:r w:rsidRPr="006D531D">
              <w:rPr>
                <w:rFonts w:eastAsia="Times New Roman" w:cs="Times New Roman"/>
                <w:b/>
                <w:bCs/>
                <w:color w:val="000000"/>
                <w:sz w:val="24"/>
              </w:rPr>
              <w:t>26</w:t>
            </w:r>
          </w:p>
        </w:tc>
        <w:tc>
          <w:tcPr>
            <w:tcW w:w="990" w:type="dxa"/>
            <w:tcBorders>
              <w:top w:val="single" w:color="auto" w:sz="4" w:space="0"/>
              <w:left w:val="nil"/>
              <w:bottom w:val="single" w:color="000000" w:sz="4" w:space="0"/>
              <w:right w:val="nil"/>
            </w:tcBorders>
            <w:hideMark/>
          </w:tcPr>
          <w:p w:rsidRPr="006D531D" w:rsidR="001F0E1F" w:rsidP="00324831" w:rsidRDefault="001F0E1F" w14:paraId="76555422" w14:textId="477708A9">
            <w:pPr>
              <w:keepNext/>
              <w:spacing w:line="240" w:lineRule="auto"/>
              <w:ind w:firstLine="0"/>
              <w:jc w:val="right"/>
              <w:rPr>
                <w:rFonts w:eastAsia="Times New Roman" w:cs="Times New Roman"/>
                <w:b/>
                <w:bCs/>
                <w:color w:val="000000"/>
                <w:sz w:val="24"/>
              </w:rPr>
            </w:pPr>
            <w:r w:rsidRPr="006D531D">
              <w:rPr>
                <w:rFonts w:eastAsia="Times New Roman" w:cs="Times New Roman"/>
                <w:b/>
                <w:bCs/>
                <w:color w:val="000000"/>
                <w:sz w:val="24"/>
              </w:rPr>
              <w:t>Sep</w:t>
            </w:r>
            <w:r w:rsidR="0004127A">
              <w:rPr>
                <w:rFonts w:eastAsia="Times New Roman" w:cs="Times New Roman"/>
                <w:b/>
                <w:bCs/>
                <w:color w:val="000000"/>
                <w:sz w:val="24"/>
              </w:rPr>
              <w:noBreakHyphen/>
            </w:r>
            <w:r w:rsidR="00605BD3">
              <w:rPr>
                <w:rFonts w:eastAsia="Times New Roman" w:cs="Times New Roman"/>
                <w:b/>
                <w:bCs/>
                <w:color w:val="000000"/>
                <w:sz w:val="24"/>
              </w:rPr>
              <w:t>26</w:t>
            </w:r>
          </w:p>
        </w:tc>
        <w:tc>
          <w:tcPr>
            <w:tcW w:w="995" w:type="dxa"/>
            <w:tcBorders>
              <w:top w:val="single" w:color="auto" w:sz="4" w:space="0"/>
              <w:left w:val="nil"/>
              <w:bottom w:val="single" w:color="000000" w:sz="4" w:space="0"/>
              <w:right w:val="single" w:color="auto" w:sz="4" w:space="0"/>
            </w:tcBorders>
            <w:hideMark/>
          </w:tcPr>
          <w:p w:rsidRPr="006D531D" w:rsidR="001F0E1F" w:rsidP="00324831" w:rsidRDefault="001F0E1F" w14:paraId="4289A339" w14:textId="184FECDA">
            <w:pPr>
              <w:keepNext/>
              <w:spacing w:line="240" w:lineRule="auto"/>
              <w:ind w:firstLine="0"/>
              <w:jc w:val="right"/>
              <w:rPr>
                <w:rFonts w:eastAsia="Times New Roman" w:cs="Times New Roman"/>
                <w:b/>
                <w:bCs/>
                <w:color w:val="000000"/>
                <w:sz w:val="24"/>
              </w:rPr>
            </w:pPr>
            <w:r w:rsidRPr="006D531D">
              <w:rPr>
                <w:rFonts w:eastAsia="Times New Roman" w:cs="Times New Roman"/>
                <w:b/>
                <w:bCs/>
                <w:color w:val="000000"/>
                <w:sz w:val="24"/>
              </w:rPr>
              <w:t>Oct</w:t>
            </w:r>
            <w:r w:rsidR="0004127A">
              <w:rPr>
                <w:rFonts w:eastAsia="Times New Roman" w:cs="Times New Roman"/>
                <w:b/>
                <w:bCs/>
                <w:color w:val="000000"/>
                <w:sz w:val="24"/>
              </w:rPr>
              <w:noBreakHyphen/>
            </w:r>
            <w:r w:rsidR="00605BD3">
              <w:rPr>
                <w:rFonts w:eastAsia="Times New Roman" w:cs="Times New Roman"/>
                <w:b/>
                <w:bCs/>
                <w:color w:val="000000"/>
                <w:sz w:val="24"/>
              </w:rPr>
              <w:t>26</w:t>
            </w:r>
          </w:p>
        </w:tc>
      </w:tr>
      <w:tr w:rsidRPr="006D531D" w:rsidR="00126558" w:rsidTr="006D4FEF" w14:paraId="7A57EDBC" w14:textId="77777777">
        <w:trPr>
          <w:cantSplit/>
          <w:tblHeader/>
        </w:trPr>
        <w:tc>
          <w:tcPr>
            <w:tcW w:w="4585" w:type="dxa"/>
            <w:tcBorders>
              <w:top w:val="nil"/>
              <w:left w:val="single" w:color="auto" w:sz="4" w:space="0"/>
              <w:bottom w:val="nil"/>
              <w:right w:val="single" w:color="000000" w:sz="4" w:space="0"/>
            </w:tcBorders>
            <w:hideMark/>
          </w:tcPr>
          <w:p w:rsidRPr="006D531D" w:rsidR="00126558" w:rsidP="006D531D" w:rsidRDefault="00126558" w14:paraId="16E21EA3" w14:textId="0D9C8A4E">
            <w:pPr>
              <w:keepNext/>
              <w:spacing w:after="240" w:line="240" w:lineRule="auto"/>
              <w:ind w:firstLine="0"/>
              <w:rPr>
                <w:rFonts w:eastAsia="Times New Roman" w:cs="Times New Roman"/>
                <w:b/>
                <w:bCs/>
                <w:color w:val="000000"/>
                <w:sz w:val="24"/>
                <w:u w:val="single"/>
              </w:rPr>
            </w:pPr>
            <w:r w:rsidRPr="006D531D">
              <w:rPr>
                <w:rFonts w:eastAsia="Times New Roman" w:cs="Times New Roman"/>
                <w:b/>
                <w:bCs/>
                <w:color w:val="000000"/>
                <w:sz w:val="24"/>
                <w:u w:val="single"/>
              </w:rPr>
              <w:t>SoCalGas</w:t>
            </w:r>
            <w:r w:rsidRPr="006D531D" w:rsidR="009A614B">
              <w:rPr>
                <w:rFonts w:eastAsia="Times New Roman" w:cs="Times New Roman"/>
                <w:b/>
                <w:bCs/>
                <w:color w:val="000000"/>
                <w:sz w:val="24"/>
                <w:u w:val="single"/>
              </w:rPr>
              <w:t xml:space="preserve"> </w:t>
            </w:r>
            <w:r w:rsidRPr="006D531D">
              <w:rPr>
                <w:rFonts w:eastAsia="Times New Roman" w:cs="Times New Roman"/>
                <w:b/>
                <w:bCs/>
                <w:color w:val="000000"/>
                <w:sz w:val="24"/>
                <w:u w:val="single"/>
              </w:rPr>
              <w:t>Summary</w:t>
            </w:r>
          </w:p>
        </w:tc>
        <w:tc>
          <w:tcPr>
            <w:tcW w:w="900" w:type="dxa"/>
            <w:tcBorders>
              <w:top w:val="nil"/>
              <w:left w:val="nil"/>
              <w:bottom w:val="nil"/>
              <w:right w:val="nil"/>
            </w:tcBorders>
            <w:hideMark/>
          </w:tcPr>
          <w:p w:rsidRPr="006D531D" w:rsidR="00126558" w:rsidP="00FD118D" w:rsidRDefault="00126558" w14:paraId="7BBE1C6B" w14:textId="4972818A">
            <w:pPr>
              <w:keepNext/>
              <w:spacing w:line="240" w:lineRule="auto"/>
              <w:ind w:firstLine="0"/>
              <w:rPr>
                <w:rFonts w:eastAsia="Times New Roman" w:cs="Times New Roman"/>
                <w:sz w:val="24"/>
                <w:szCs w:val="20"/>
              </w:rPr>
            </w:pPr>
          </w:p>
        </w:tc>
        <w:tc>
          <w:tcPr>
            <w:tcW w:w="990" w:type="dxa"/>
            <w:tcBorders>
              <w:top w:val="nil"/>
              <w:left w:val="nil"/>
              <w:bottom w:val="nil"/>
              <w:right w:val="nil"/>
            </w:tcBorders>
            <w:hideMark/>
          </w:tcPr>
          <w:p w:rsidRPr="006D531D" w:rsidR="00126558" w:rsidP="00FD118D" w:rsidRDefault="00126558" w14:paraId="47552078" w14:textId="48E0759B">
            <w:pPr>
              <w:keepNext/>
              <w:spacing w:line="240" w:lineRule="auto"/>
              <w:ind w:firstLine="0"/>
              <w:rPr>
                <w:rFonts w:eastAsia="Times New Roman" w:cs="Times New Roman"/>
                <w:sz w:val="24"/>
                <w:szCs w:val="20"/>
              </w:rPr>
            </w:pPr>
          </w:p>
        </w:tc>
        <w:tc>
          <w:tcPr>
            <w:tcW w:w="900" w:type="dxa"/>
            <w:tcBorders>
              <w:top w:val="nil"/>
              <w:left w:val="nil"/>
              <w:bottom w:val="nil"/>
              <w:right w:val="nil"/>
            </w:tcBorders>
            <w:hideMark/>
          </w:tcPr>
          <w:p w:rsidRPr="006D531D" w:rsidR="00126558" w:rsidP="00FD118D" w:rsidRDefault="00126558" w14:paraId="27CB6F24" w14:textId="660C996B">
            <w:pPr>
              <w:keepNext/>
              <w:spacing w:line="240" w:lineRule="auto"/>
              <w:ind w:firstLine="0"/>
              <w:rPr>
                <w:rFonts w:eastAsia="Times New Roman" w:cs="Times New Roman"/>
                <w:sz w:val="24"/>
                <w:szCs w:val="20"/>
              </w:rPr>
            </w:pPr>
          </w:p>
        </w:tc>
        <w:tc>
          <w:tcPr>
            <w:tcW w:w="990" w:type="dxa"/>
            <w:tcBorders>
              <w:top w:val="nil"/>
              <w:left w:val="nil"/>
              <w:bottom w:val="nil"/>
              <w:right w:val="nil"/>
            </w:tcBorders>
            <w:hideMark/>
          </w:tcPr>
          <w:p w:rsidRPr="006D531D" w:rsidR="00126558" w:rsidP="00FD118D" w:rsidRDefault="00126558" w14:paraId="42737FDC" w14:textId="0C667D1C">
            <w:pPr>
              <w:keepNext/>
              <w:spacing w:line="240" w:lineRule="auto"/>
              <w:ind w:firstLine="0"/>
              <w:rPr>
                <w:rFonts w:eastAsia="Times New Roman" w:cs="Times New Roman"/>
                <w:sz w:val="24"/>
                <w:szCs w:val="20"/>
              </w:rPr>
            </w:pPr>
          </w:p>
        </w:tc>
        <w:tc>
          <w:tcPr>
            <w:tcW w:w="995" w:type="dxa"/>
            <w:tcBorders>
              <w:top w:val="nil"/>
              <w:left w:val="nil"/>
              <w:bottom w:val="nil"/>
              <w:right w:val="single" w:color="auto" w:sz="4" w:space="0"/>
            </w:tcBorders>
            <w:hideMark/>
          </w:tcPr>
          <w:p w:rsidRPr="006D531D" w:rsidR="00126558" w:rsidP="00FD118D" w:rsidRDefault="00126558" w14:paraId="63FCF535" w14:textId="52DA497A">
            <w:pPr>
              <w:keepNext/>
              <w:spacing w:line="240" w:lineRule="auto"/>
              <w:ind w:firstLine="0"/>
              <w:rPr>
                <w:rFonts w:eastAsia="Times New Roman" w:cs="Times New Roman"/>
                <w:sz w:val="24"/>
                <w:szCs w:val="20"/>
              </w:rPr>
            </w:pPr>
          </w:p>
        </w:tc>
      </w:tr>
      <w:tr w:rsidRPr="006D531D" w:rsidR="00126558" w:rsidTr="006D4FEF" w14:paraId="3C4A4AA5" w14:textId="77777777">
        <w:trPr>
          <w:cantSplit/>
        </w:trPr>
        <w:tc>
          <w:tcPr>
            <w:tcW w:w="4585" w:type="dxa"/>
            <w:tcBorders>
              <w:top w:val="nil"/>
              <w:left w:val="single" w:color="auto" w:sz="4" w:space="0"/>
              <w:bottom w:val="nil"/>
              <w:right w:val="single" w:color="000000" w:sz="4" w:space="0"/>
            </w:tcBorders>
            <w:hideMark/>
          </w:tcPr>
          <w:p w:rsidRPr="001348D3" w:rsidR="00126558" w:rsidP="00FD118D" w:rsidRDefault="00126558" w14:paraId="1A482C53" w14:textId="77777777">
            <w:pPr>
              <w:keepNext/>
              <w:spacing w:line="240" w:lineRule="auto"/>
              <w:ind w:firstLine="0"/>
              <w:rPr>
                <w:rFonts w:eastAsia="Times New Roman" w:cs="Times New Roman"/>
                <w:color w:val="000000"/>
                <w:sz w:val="24"/>
              </w:rPr>
            </w:pPr>
            <w:r w:rsidRPr="001348D3">
              <w:rPr>
                <w:rFonts w:eastAsia="Times New Roman" w:cs="Times New Roman"/>
                <w:color w:val="000000"/>
                <w:sz w:val="24"/>
              </w:rPr>
              <w:t>Residential</w:t>
            </w:r>
          </w:p>
        </w:tc>
        <w:tc>
          <w:tcPr>
            <w:tcW w:w="900" w:type="dxa"/>
            <w:tcBorders>
              <w:top w:val="nil"/>
              <w:left w:val="nil"/>
              <w:bottom w:val="nil"/>
              <w:right w:val="nil"/>
            </w:tcBorders>
            <w:noWrap/>
            <w:hideMark/>
          </w:tcPr>
          <w:p w:rsidRPr="006D531D" w:rsidR="00126558" w:rsidP="00FD118D" w:rsidRDefault="00126558" w14:paraId="5DD93CB3" w14:textId="77777777">
            <w:pPr>
              <w:keepNext/>
              <w:spacing w:line="240" w:lineRule="auto"/>
              <w:ind w:firstLine="0"/>
              <w:jc w:val="right"/>
              <w:rPr>
                <w:rFonts w:eastAsia="Times New Roman" w:cs="Arial"/>
                <w:color w:val="000000"/>
                <w:sz w:val="24"/>
              </w:rPr>
            </w:pPr>
            <w:r w:rsidRPr="006D531D">
              <w:rPr>
                <w:rFonts w:eastAsia="Times New Roman" w:cs="Arial"/>
                <w:color w:val="000000"/>
                <w:sz w:val="24"/>
              </w:rPr>
              <w:t>$1.46</w:t>
            </w:r>
          </w:p>
        </w:tc>
        <w:tc>
          <w:tcPr>
            <w:tcW w:w="990" w:type="dxa"/>
            <w:tcBorders>
              <w:top w:val="nil"/>
              <w:left w:val="nil"/>
              <w:bottom w:val="nil"/>
              <w:right w:val="nil"/>
            </w:tcBorders>
            <w:noWrap/>
            <w:hideMark/>
          </w:tcPr>
          <w:p w:rsidRPr="006D531D" w:rsidR="00126558" w:rsidP="00FD118D" w:rsidRDefault="00126558" w14:paraId="71FA82FB" w14:textId="77777777">
            <w:pPr>
              <w:keepNext/>
              <w:spacing w:line="240" w:lineRule="auto"/>
              <w:ind w:firstLine="0"/>
              <w:jc w:val="right"/>
              <w:rPr>
                <w:rFonts w:eastAsia="Times New Roman" w:cs="Arial"/>
                <w:color w:val="000000"/>
                <w:sz w:val="24"/>
              </w:rPr>
            </w:pPr>
            <w:r w:rsidRPr="006D531D">
              <w:rPr>
                <w:rFonts w:eastAsia="Times New Roman" w:cs="Arial"/>
                <w:color w:val="000000"/>
                <w:sz w:val="24"/>
              </w:rPr>
              <w:t>$1.50</w:t>
            </w:r>
          </w:p>
        </w:tc>
        <w:tc>
          <w:tcPr>
            <w:tcW w:w="900" w:type="dxa"/>
            <w:tcBorders>
              <w:top w:val="nil"/>
              <w:left w:val="nil"/>
              <w:bottom w:val="nil"/>
              <w:right w:val="nil"/>
            </w:tcBorders>
            <w:noWrap/>
            <w:hideMark/>
          </w:tcPr>
          <w:p w:rsidRPr="006D531D" w:rsidR="00126558" w:rsidP="00FD118D" w:rsidRDefault="00126558" w14:paraId="327FBCDD" w14:textId="77777777">
            <w:pPr>
              <w:keepNext/>
              <w:spacing w:line="240" w:lineRule="auto"/>
              <w:ind w:firstLine="0"/>
              <w:jc w:val="right"/>
              <w:rPr>
                <w:rFonts w:eastAsia="Times New Roman" w:cs="Arial"/>
                <w:color w:val="000000"/>
                <w:sz w:val="24"/>
              </w:rPr>
            </w:pPr>
            <w:r w:rsidRPr="006D531D">
              <w:rPr>
                <w:rFonts w:eastAsia="Times New Roman" w:cs="Arial"/>
                <w:color w:val="000000"/>
                <w:sz w:val="24"/>
              </w:rPr>
              <w:t>$1.52</w:t>
            </w:r>
          </w:p>
        </w:tc>
        <w:tc>
          <w:tcPr>
            <w:tcW w:w="990" w:type="dxa"/>
            <w:tcBorders>
              <w:top w:val="nil"/>
              <w:left w:val="nil"/>
              <w:bottom w:val="nil"/>
              <w:right w:val="nil"/>
            </w:tcBorders>
            <w:noWrap/>
            <w:hideMark/>
          </w:tcPr>
          <w:p w:rsidRPr="006D531D" w:rsidR="00126558" w:rsidP="00FD118D" w:rsidRDefault="00126558" w14:paraId="697D307E" w14:textId="77777777">
            <w:pPr>
              <w:keepNext/>
              <w:spacing w:line="240" w:lineRule="auto"/>
              <w:ind w:firstLine="0"/>
              <w:jc w:val="right"/>
              <w:rPr>
                <w:rFonts w:eastAsia="Times New Roman" w:cs="Arial"/>
                <w:color w:val="000000"/>
                <w:sz w:val="24"/>
              </w:rPr>
            </w:pPr>
            <w:r w:rsidRPr="006D531D">
              <w:rPr>
                <w:rFonts w:eastAsia="Times New Roman" w:cs="Arial"/>
                <w:color w:val="000000"/>
                <w:sz w:val="24"/>
              </w:rPr>
              <w:t>$1.51</w:t>
            </w:r>
          </w:p>
        </w:tc>
        <w:tc>
          <w:tcPr>
            <w:tcW w:w="995" w:type="dxa"/>
            <w:tcBorders>
              <w:top w:val="nil"/>
              <w:left w:val="nil"/>
              <w:bottom w:val="nil"/>
              <w:right w:val="single" w:color="auto" w:sz="4" w:space="0"/>
            </w:tcBorders>
            <w:noWrap/>
            <w:hideMark/>
          </w:tcPr>
          <w:p w:rsidRPr="006D531D" w:rsidR="00126558" w:rsidP="00FD118D" w:rsidRDefault="00126558" w14:paraId="02BA332F" w14:textId="77777777">
            <w:pPr>
              <w:keepNext/>
              <w:spacing w:line="240" w:lineRule="auto"/>
              <w:ind w:firstLine="0"/>
              <w:jc w:val="right"/>
              <w:rPr>
                <w:rFonts w:eastAsia="Times New Roman" w:cs="Arial"/>
                <w:color w:val="000000"/>
                <w:sz w:val="24"/>
              </w:rPr>
            </w:pPr>
            <w:r w:rsidRPr="006D531D">
              <w:rPr>
                <w:rFonts w:eastAsia="Times New Roman" w:cs="Arial"/>
                <w:color w:val="000000"/>
                <w:sz w:val="24"/>
              </w:rPr>
              <w:t>$1.47</w:t>
            </w:r>
          </w:p>
        </w:tc>
      </w:tr>
      <w:tr w:rsidRPr="006D531D" w:rsidR="00126558" w:rsidTr="006D4FEF" w14:paraId="591CA00A" w14:textId="77777777">
        <w:trPr>
          <w:cantSplit/>
        </w:trPr>
        <w:tc>
          <w:tcPr>
            <w:tcW w:w="4585" w:type="dxa"/>
            <w:tcBorders>
              <w:top w:val="nil"/>
              <w:left w:val="single" w:color="auto" w:sz="4" w:space="0"/>
              <w:bottom w:val="nil"/>
              <w:right w:val="single" w:color="000000" w:sz="4" w:space="0"/>
            </w:tcBorders>
            <w:hideMark/>
          </w:tcPr>
          <w:p w:rsidRPr="001348D3" w:rsidR="00126558" w:rsidP="00CD0314" w:rsidRDefault="00126558" w14:paraId="091E7B1B" w14:textId="5BFADA4F">
            <w:pPr>
              <w:spacing w:line="240" w:lineRule="auto"/>
              <w:ind w:firstLine="0"/>
              <w:rPr>
                <w:rFonts w:eastAsia="Times New Roman" w:cs="Times New Roman"/>
                <w:color w:val="000000"/>
                <w:sz w:val="24"/>
              </w:rPr>
            </w:pPr>
            <w:r w:rsidRPr="001348D3">
              <w:rPr>
                <w:rFonts w:eastAsia="Times New Roman" w:cs="Times New Roman"/>
                <w:color w:val="000000"/>
                <w:sz w:val="24"/>
              </w:rPr>
              <w:t xml:space="preserve">Core </w:t>
            </w:r>
            <w:r w:rsidRPr="00037BF2" w:rsidR="001348D3">
              <w:t>Commercial</w:t>
            </w:r>
            <w:r w:rsidR="001348D3">
              <w:t> </w:t>
            </w:r>
            <w:r w:rsidRPr="00037BF2" w:rsidR="001348D3">
              <w:t>&amp; Industrial</w:t>
            </w:r>
            <w:r w:rsidR="001348D3">
              <w:t xml:space="preserve"> (</w:t>
            </w:r>
            <w:r w:rsidRPr="001348D3" w:rsidR="00037BF2">
              <w:rPr>
                <w:rFonts w:eastAsia="Times New Roman" w:cs="Times New Roman"/>
                <w:color w:val="000000"/>
                <w:sz w:val="24"/>
              </w:rPr>
              <w:t>C&amp;I</w:t>
            </w:r>
            <w:r w:rsidR="001348D3">
              <w:rPr>
                <w:rFonts w:eastAsia="Times New Roman" w:cs="Times New Roman"/>
                <w:color w:val="000000"/>
                <w:sz w:val="24"/>
              </w:rPr>
              <w:t>)</w:t>
            </w:r>
          </w:p>
        </w:tc>
        <w:tc>
          <w:tcPr>
            <w:tcW w:w="900" w:type="dxa"/>
            <w:tcBorders>
              <w:top w:val="nil"/>
              <w:left w:val="nil"/>
              <w:bottom w:val="nil"/>
              <w:right w:val="nil"/>
            </w:tcBorders>
            <w:noWrap/>
            <w:hideMark/>
          </w:tcPr>
          <w:p w:rsidRPr="006D531D" w:rsidR="00126558" w:rsidP="00CD0314" w:rsidRDefault="00126558" w14:paraId="71657925" w14:textId="77777777">
            <w:pPr>
              <w:spacing w:line="240" w:lineRule="auto"/>
              <w:ind w:firstLine="0"/>
              <w:jc w:val="right"/>
              <w:rPr>
                <w:rFonts w:eastAsia="Times New Roman" w:cs="Arial"/>
                <w:color w:val="000000"/>
                <w:sz w:val="24"/>
              </w:rPr>
            </w:pPr>
            <w:r w:rsidRPr="006D531D">
              <w:rPr>
                <w:rFonts w:eastAsia="Times New Roman" w:cs="Arial"/>
                <w:color w:val="000000"/>
                <w:sz w:val="24"/>
              </w:rPr>
              <w:t>$0.96</w:t>
            </w:r>
          </w:p>
        </w:tc>
        <w:tc>
          <w:tcPr>
            <w:tcW w:w="990" w:type="dxa"/>
            <w:tcBorders>
              <w:top w:val="nil"/>
              <w:left w:val="nil"/>
              <w:bottom w:val="nil"/>
              <w:right w:val="nil"/>
            </w:tcBorders>
            <w:noWrap/>
            <w:hideMark/>
          </w:tcPr>
          <w:p w:rsidRPr="006D531D" w:rsidR="00126558" w:rsidP="00CD0314" w:rsidRDefault="00126558" w14:paraId="5CE58570" w14:textId="77777777">
            <w:pPr>
              <w:spacing w:line="240" w:lineRule="auto"/>
              <w:ind w:firstLine="0"/>
              <w:jc w:val="right"/>
              <w:rPr>
                <w:rFonts w:eastAsia="Times New Roman" w:cs="Arial"/>
                <w:color w:val="000000"/>
                <w:sz w:val="24"/>
              </w:rPr>
            </w:pPr>
            <w:r w:rsidRPr="006D531D">
              <w:rPr>
                <w:rFonts w:eastAsia="Times New Roman" w:cs="Arial"/>
                <w:color w:val="000000"/>
                <w:sz w:val="24"/>
              </w:rPr>
              <w:t>$0.98</w:t>
            </w:r>
          </w:p>
        </w:tc>
        <w:tc>
          <w:tcPr>
            <w:tcW w:w="900" w:type="dxa"/>
            <w:tcBorders>
              <w:top w:val="nil"/>
              <w:left w:val="nil"/>
              <w:bottom w:val="nil"/>
              <w:right w:val="nil"/>
            </w:tcBorders>
            <w:noWrap/>
            <w:hideMark/>
          </w:tcPr>
          <w:p w:rsidRPr="006D531D" w:rsidR="00126558" w:rsidP="00CD0314" w:rsidRDefault="00126558" w14:paraId="6C3D0369" w14:textId="77777777">
            <w:pPr>
              <w:spacing w:line="240" w:lineRule="auto"/>
              <w:ind w:firstLine="0"/>
              <w:jc w:val="right"/>
              <w:rPr>
                <w:rFonts w:eastAsia="Times New Roman" w:cs="Arial"/>
                <w:color w:val="000000"/>
                <w:sz w:val="24"/>
              </w:rPr>
            </w:pPr>
            <w:r w:rsidRPr="006D531D">
              <w:rPr>
                <w:rFonts w:eastAsia="Times New Roman" w:cs="Arial"/>
                <w:color w:val="000000"/>
                <w:sz w:val="24"/>
              </w:rPr>
              <w:t>$0.99</w:t>
            </w:r>
          </w:p>
        </w:tc>
        <w:tc>
          <w:tcPr>
            <w:tcW w:w="990" w:type="dxa"/>
            <w:tcBorders>
              <w:top w:val="nil"/>
              <w:left w:val="nil"/>
              <w:bottom w:val="nil"/>
              <w:right w:val="nil"/>
            </w:tcBorders>
            <w:noWrap/>
            <w:hideMark/>
          </w:tcPr>
          <w:p w:rsidRPr="006D531D" w:rsidR="00126558" w:rsidP="00CD0314" w:rsidRDefault="00126558" w14:paraId="7BB8B84B" w14:textId="77777777">
            <w:pPr>
              <w:spacing w:line="240" w:lineRule="auto"/>
              <w:ind w:firstLine="0"/>
              <w:jc w:val="right"/>
              <w:rPr>
                <w:rFonts w:eastAsia="Times New Roman" w:cs="Arial"/>
                <w:color w:val="000000"/>
                <w:sz w:val="24"/>
              </w:rPr>
            </w:pPr>
            <w:r w:rsidRPr="006D531D">
              <w:rPr>
                <w:rFonts w:eastAsia="Times New Roman" w:cs="Arial"/>
                <w:color w:val="000000"/>
                <w:sz w:val="24"/>
              </w:rPr>
              <w:t>$0.99</w:t>
            </w:r>
          </w:p>
        </w:tc>
        <w:tc>
          <w:tcPr>
            <w:tcW w:w="995" w:type="dxa"/>
            <w:tcBorders>
              <w:top w:val="nil"/>
              <w:left w:val="nil"/>
              <w:bottom w:val="nil"/>
              <w:right w:val="single" w:color="auto" w:sz="4" w:space="0"/>
            </w:tcBorders>
            <w:noWrap/>
            <w:hideMark/>
          </w:tcPr>
          <w:p w:rsidRPr="006D531D" w:rsidR="00126558" w:rsidP="00CD0314" w:rsidRDefault="00126558" w14:paraId="78831DD6" w14:textId="77777777">
            <w:pPr>
              <w:spacing w:line="240" w:lineRule="auto"/>
              <w:ind w:firstLine="0"/>
              <w:jc w:val="right"/>
              <w:rPr>
                <w:rFonts w:eastAsia="Times New Roman" w:cs="Arial"/>
                <w:color w:val="000000"/>
                <w:sz w:val="24"/>
              </w:rPr>
            </w:pPr>
            <w:r w:rsidRPr="006D531D">
              <w:rPr>
                <w:rFonts w:eastAsia="Times New Roman" w:cs="Arial"/>
                <w:color w:val="000000"/>
                <w:sz w:val="24"/>
              </w:rPr>
              <w:t>$0.97</w:t>
            </w:r>
          </w:p>
        </w:tc>
      </w:tr>
      <w:tr w:rsidRPr="006D531D" w:rsidR="00126558" w:rsidTr="006D4FEF" w14:paraId="2358402F" w14:textId="77777777">
        <w:trPr>
          <w:cantSplit/>
        </w:trPr>
        <w:tc>
          <w:tcPr>
            <w:tcW w:w="4585" w:type="dxa"/>
            <w:tcBorders>
              <w:top w:val="nil"/>
              <w:left w:val="single" w:color="auto" w:sz="4" w:space="0"/>
              <w:bottom w:val="nil"/>
              <w:right w:val="single" w:color="000000" w:sz="4" w:space="0"/>
            </w:tcBorders>
            <w:hideMark/>
          </w:tcPr>
          <w:p w:rsidRPr="001348D3" w:rsidR="00126558" w:rsidP="00CD0314" w:rsidRDefault="00126558" w14:paraId="3A347EDE" w14:textId="2100156A">
            <w:pPr>
              <w:spacing w:line="240" w:lineRule="auto"/>
              <w:ind w:firstLine="0"/>
              <w:rPr>
                <w:rFonts w:eastAsia="Times New Roman" w:cs="Times New Roman"/>
                <w:color w:val="000000"/>
                <w:sz w:val="24"/>
              </w:rPr>
            </w:pPr>
            <w:r w:rsidRPr="001348D3">
              <w:rPr>
                <w:rFonts w:eastAsia="Times New Roman" w:cs="Times New Roman"/>
                <w:color w:val="000000"/>
                <w:sz w:val="24"/>
              </w:rPr>
              <w:t>Non</w:t>
            </w:r>
            <w:r w:rsidRPr="00964247" w:rsidR="001348D3">
              <w:rPr>
                <w:rFonts w:eastAsia="Times New Roman" w:cs="Times New Roman"/>
                <w:color w:val="000000"/>
                <w:sz w:val="24"/>
              </w:rPr>
              <w:t>core</w:t>
            </w:r>
            <w:r w:rsidR="001348D3">
              <w:rPr>
                <w:rFonts w:eastAsia="Times New Roman" w:cs="Times New Roman"/>
                <w:color w:val="000000"/>
                <w:sz w:val="24"/>
              </w:rPr>
              <w:t xml:space="preserve"> </w:t>
            </w:r>
            <w:r w:rsidRPr="001348D3">
              <w:rPr>
                <w:rFonts w:eastAsia="Times New Roman" w:cs="Times New Roman"/>
                <w:color w:val="000000"/>
                <w:sz w:val="24"/>
              </w:rPr>
              <w:t>C&amp;I</w:t>
            </w:r>
            <w:r w:rsidRPr="001348D3" w:rsidR="00BD44E6">
              <w:rPr>
                <w:rFonts w:eastAsia="Times New Roman" w:cs="Times New Roman"/>
                <w:color w:val="000000"/>
                <w:sz w:val="24"/>
              </w:rPr>
              <w:t xml:space="preserve"> — </w:t>
            </w:r>
            <w:r w:rsidRPr="001348D3">
              <w:rPr>
                <w:rFonts w:eastAsia="Times New Roman" w:cs="Times New Roman"/>
                <w:color w:val="000000"/>
                <w:sz w:val="24"/>
              </w:rPr>
              <w:t>Distribution</w:t>
            </w:r>
          </w:p>
        </w:tc>
        <w:tc>
          <w:tcPr>
            <w:tcW w:w="900" w:type="dxa"/>
            <w:tcBorders>
              <w:top w:val="nil"/>
              <w:left w:val="nil"/>
              <w:bottom w:val="nil"/>
              <w:right w:val="nil"/>
            </w:tcBorders>
            <w:noWrap/>
            <w:hideMark/>
          </w:tcPr>
          <w:p w:rsidRPr="006D531D" w:rsidR="00126558" w:rsidP="00CD0314" w:rsidRDefault="00126558" w14:paraId="0AF3DF52" w14:textId="77777777">
            <w:pPr>
              <w:spacing w:line="240" w:lineRule="auto"/>
              <w:ind w:firstLine="0"/>
              <w:jc w:val="right"/>
              <w:rPr>
                <w:rFonts w:eastAsia="Times New Roman" w:cs="Arial"/>
                <w:color w:val="000000"/>
                <w:sz w:val="24"/>
              </w:rPr>
            </w:pPr>
            <w:r w:rsidRPr="006D531D">
              <w:rPr>
                <w:rFonts w:eastAsia="Times New Roman" w:cs="Arial"/>
                <w:color w:val="000000"/>
                <w:sz w:val="24"/>
              </w:rPr>
              <w:t>$0.28</w:t>
            </w:r>
          </w:p>
        </w:tc>
        <w:tc>
          <w:tcPr>
            <w:tcW w:w="990" w:type="dxa"/>
            <w:tcBorders>
              <w:top w:val="nil"/>
              <w:left w:val="nil"/>
              <w:bottom w:val="nil"/>
              <w:right w:val="nil"/>
            </w:tcBorders>
            <w:noWrap/>
            <w:hideMark/>
          </w:tcPr>
          <w:p w:rsidRPr="006D531D" w:rsidR="00126558" w:rsidP="00CD0314" w:rsidRDefault="00126558" w14:paraId="48CB0A01" w14:textId="77777777">
            <w:pPr>
              <w:spacing w:line="240" w:lineRule="auto"/>
              <w:ind w:firstLine="0"/>
              <w:jc w:val="right"/>
              <w:rPr>
                <w:rFonts w:eastAsia="Times New Roman" w:cs="Arial"/>
                <w:color w:val="000000"/>
                <w:sz w:val="24"/>
              </w:rPr>
            </w:pPr>
            <w:r w:rsidRPr="006D531D">
              <w:rPr>
                <w:rFonts w:eastAsia="Times New Roman" w:cs="Arial"/>
                <w:color w:val="000000"/>
                <w:sz w:val="24"/>
              </w:rPr>
              <w:t>$0.28</w:t>
            </w:r>
          </w:p>
        </w:tc>
        <w:tc>
          <w:tcPr>
            <w:tcW w:w="900" w:type="dxa"/>
            <w:tcBorders>
              <w:top w:val="nil"/>
              <w:left w:val="nil"/>
              <w:bottom w:val="nil"/>
              <w:right w:val="nil"/>
            </w:tcBorders>
            <w:noWrap/>
            <w:hideMark/>
          </w:tcPr>
          <w:p w:rsidRPr="006D531D" w:rsidR="00126558" w:rsidP="00CD0314" w:rsidRDefault="00126558" w14:paraId="304BB190" w14:textId="77777777">
            <w:pPr>
              <w:spacing w:line="240" w:lineRule="auto"/>
              <w:ind w:firstLine="0"/>
              <w:jc w:val="right"/>
              <w:rPr>
                <w:rFonts w:eastAsia="Times New Roman" w:cs="Arial"/>
                <w:color w:val="000000"/>
                <w:sz w:val="24"/>
              </w:rPr>
            </w:pPr>
            <w:r w:rsidRPr="006D531D">
              <w:rPr>
                <w:rFonts w:eastAsia="Times New Roman" w:cs="Arial"/>
                <w:color w:val="000000"/>
                <w:sz w:val="24"/>
              </w:rPr>
              <w:t>$0.28</w:t>
            </w:r>
          </w:p>
        </w:tc>
        <w:tc>
          <w:tcPr>
            <w:tcW w:w="990" w:type="dxa"/>
            <w:tcBorders>
              <w:top w:val="nil"/>
              <w:left w:val="nil"/>
              <w:bottom w:val="nil"/>
              <w:right w:val="nil"/>
            </w:tcBorders>
            <w:noWrap/>
            <w:hideMark/>
          </w:tcPr>
          <w:p w:rsidRPr="006D531D" w:rsidR="00126558" w:rsidP="00CD0314" w:rsidRDefault="00126558" w14:paraId="62E7BC0D" w14:textId="77777777">
            <w:pPr>
              <w:spacing w:line="240" w:lineRule="auto"/>
              <w:ind w:firstLine="0"/>
              <w:jc w:val="right"/>
              <w:rPr>
                <w:rFonts w:eastAsia="Times New Roman" w:cs="Arial"/>
                <w:color w:val="000000"/>
                <w:sz w:val="24"/>
              </w:rPr>
            </w:pPr>
            <w:r w:rsidRPr="006D531D">
              <w:rPr>
                <w:rFonts w:eastAsia="Times New Roman" w:cs="Arial"/>
                <w:color w:val="000000"/>
                <w:sz w:val="24"/>
              </w:rPr>
              <w:t>$0.28</w:t>
            </w:r>
          </w:p>
        </w:tc>
        <w:tc>
          <w:tcPr>
            <w:tcW w:w="995" w:type="dxa"/>
            <w:tcBorders>
              <w:top w:val="nil"/>
              <w:left w:val="nil"/>
              <w:bottom w:val="nil"/>
              <w:right w:val="single" w:color="auto" w:sz="4" w:space="0"/>
            </w:tcBorders>
            <w:noWrap/>
            <w:hideMark/>
          </w:tcPr>
          <w:p w:rsidRPr="006D531D" w:rsidR="00126558" w:rsidP="00CD0314" w:rsidRDefault="00126558" w14:paraId="6F261749" w14:textId="77777777">
            <w:pPr>
              <w:spacing w:line="240" w:lineRule="auto"/>
              <w:ind w:firstLine="0"/>
              <w:jc w:val="right"/>
              <w:rPr>
                <w:rFonts w:eastAsia="Times New Roman" w:cs="Arial"/>
                <w:color w:val="000000"/>
                <w:sz w:val="24"/>
              </w:rPr>
            </w:pPr>
            <w:r w:rsidRPr="006D531D">
              <w:rPr>
                <w:rFonts w:eastAsia="Times New Roman" w:cs="Arial"/>
                <w:color w:val="000000"/>
                <w:sz w:val="24"/>
              </w:rPr>
              <w:t>$0.28</w:t>
            </w:r>
          </w:p>
        </w:tc>
      </w:tr>
      <w:tr w:rsidRPr="006D531D" w:rsidR="00126558" w:rsidTr="006D4FEF" w14:paraId="50B33494" w14:textId="77777777">
        <w:trPr>
          <w:cantSplit/>
        </w:trPr>
        <w:tc>
          <w:tcPr>
            <w:tcW w:w="4585" w:type="dxa"/>
            <w:tcBorders>
              <w:top w:val="nil"/>
              <w:left w:val="single" w:color="auto" w:sz="4" w:space="0"/>
              <w:bottom w:val="nil"/>
              <w:right w:val="single" w:color="000000" w:sz="4" w:space="0"/>
            </w:tcBorders>
            <w:hideMark/>
          </w:tcPr>
          <w:p w:rsidRPr="001348D3" w:rsidR="00126558" w:rsidP="00CD0314" w:rsidRDefault="00126558" w14:paraId="0BA31DE0" w14:textId="6B757C62">
            <w:pPr>
              <w:spacing w:line="240" w:lineRule="auto"/>
              <w:ind w:firstLine="0"/>
              <w:rPr>
                <w:rFonts w:eastAsia="Times New Roman" w:cs="Times New Roman"/>
                <w:color w:val="000000"/>
                <w:sz w:val="24"/>
              </w:rPr>
            </w:pPr>
            <w:r w:rsidRPr="001348D3">
              <w:rPr>
                <w:rFonts w:eastAsia="Times New Roman" w:cs="Times New Roman"/>
                <w:color w:val="000000"/>
                <w:sz w:val="24"/>
              </w:rPr>
              <w:t>Electric Generation</w:t>
            </w:r>
            <w:r w:rsidRPr="001348D3" w:rsidR="00BD44E6">
              <w:rPr>
                <w:rFonts w:eastAsia="Times New Roman" w:cs="Times New Roman"/>
                <w:color w:val="000000"/>
                <w:sz w:val="24"/>
              </w:rPr>
              <w:t xml:space="preserve"> — </w:t>
            </w:r>
            <w:r w:rsidRPr="001348D3">
              <w:rPr>
                <w:rFonts w:eastAsia="Times New Roman" w:cs="Times New Roman"/>
                <w:color w:val="000000"/>
                <w:sz w:val="24"/>
              </w:rPr>
              <w:t>Distribution</w:t>
            </w:r>
          </w:p>
        </w:tc>
        <w:tc>
          <w:tcPr>
            <w:tcW w:w="900" w:type="dxa"/>
            <w:tcBorders>
              <w:top w:val="nil"/>
              <w:left w:val="nil"/>
              <w:bottom w:val="nil"/>
              <w:right w:val="nil"/>
            </w:tcBorders>
            <w:noWrap/>
            <w:hideMark/>
          </w:tcPr>
          <w:p w:rsidRPr="006D531D" w:rsidR="00126558" w:rsidP="00CD0314" w:rsidRDefault="00126558" w14:paraId="0BBDC2D7" w14:textId="77777777">
            <w:pPr>
              <w:spacing w:line="240" w:lineRule="auto"/>
              <w:ind w:firstLine="0"/>
              <w:jc w:val="right"/>
              <w:rPr>
                <w:rFonts w:eastAsia="Times New Roman" w:cs="Arial"/>
                <w:color w:val="000000"/>
                <w:sz w:val="24"/>
              </w:rPr>
            </w:pPr>
            <w:r w:rsidRPr="006D531D">
              <w:rPr>
                <w:rFonts w:eastAsia="Times New Roman" w:cs="Arial"/>
                <w:color w:val="000000"/>
                <w:sz w:val="24"/>
              </w:rPr>
              <w:t>$0.26</w:t>
            </w:r>
          </w:p>
        </w:tc>
        <w:tc>
          <w:tcPr>
            <w:tcW w:w="990" w:type="dxa"/>
            <w:tcBorders>
              <w:top w:val="nil"/>
              <w:left w:val="nil"/>
              <w:bottom w:val="nil"/>
              <w:right w:val="nil"/>
            </w:tcBorders>
            <w:noWrap/>
            <w:hideMark/>
          </w:tcPr>
          <w:p w:rsidRPr="006D531D" w:rsidR="00126558" w:rsidP="00CD0314" w:rsidRDefault="00126558" w14:paraId="09E868E2" w14:textId="77777777">
            <w:pPr>
              <w:spacing w:line="240" w:lineRule="auto"/>
              <w:ind w:firstLine="0"/>
              <w:jc w:val="right"/>
              <w:rPr>
                <w:rFonts w:eastAsia="Times New Roman" w:cs="Arial"/>
                <w:color w:val="000000"/>
                <w:sz w:val="24"/>
              </w:rPr>
            </w:pPr>
            <w:r w:rsidRPr="006D531D">
              <w:rPr>
                <w:rFonts w:eastAsia="Times New Roman" w:cs="Arial"/>
                <w:color w:val="000000"/>
                <w:sz w:val="24"/>
              </w:rPr>
              <w:t>$0.27</w:t>
            </w:r>
          </w:p>
        </w:tc>
        <w:tc>
          <w:tcPr>
            <w:tcW w:w="900" w:type="dxa"/>
            <w:tcBorders>
              <w:top w:val="nil"/>
              <w:left w:val="nil"/>
              <w:bottom w:val="nil"/>
              <w:right w:val="nil"/>
            </w:tcBorders>
            <w:noWrap/>
            <w:hideMark/>
          </w:tcPr>
          <w:p w:rsidRPr="006D531D" w:rsidR="00126558" w:rsidP="00CD0314" w:rsidRDefault="00126558" w14:paraId="340C511D" w14:textId="77777777">
            <w:pPr>
              <w:spacing w:line="240" w:lineRule="auto"/>
              <w:ind w:firstLine="0"/>
              <w:jc w:val="right"/>
              <w:rPr>
                <w:rFonts w:eastAsia="Times New Roman" w:cs="Arial"/>
                <w:color w:val="000000"/>
                <w:sz w:val="24"/>
              </w:rPr>
            </w:pPr>
            <w:r w:rsidRPr="006D531D">
              <w:rPr>
                <w:rFonts w:eastAsia="Times New Roman" w:cs="Arial"/>
                <w:color w:val="000000"/>
                <w:sz w:val="24"/>
              </w:rPr>
              <w:t>$0.27</w:t>
            </w:r>
          </w:p>
        </w:tc>
        <w:tc>
          <w:tcPr>
            <w:tcW w:w="990" w:type="dxa"/>
            <w:tcBorders>
              <w:top w:val="nil"/>
              <w:left w:val="nil"/>
              <w:bottom w:val="nil"/>
              <w:right w:val="nil"/>
            </w:tcBorders>
            <w:noWrap/>
            <w:hideMark/>
          </w:tcPr>
          <w:p w:rsidRPr="006D531D" w:rsidR="00126558" w:rsidP="00CD0314" w:rsidRDefault="00126558" w14:paraId="5790830D" w14:textId="77777777">
            <w:pPr>
              <w:spacing w:line="240" w:lineRule="auto"/>
              <w:ind w:firstLine="0"/>
              <w:jc w:val="right"/>
              <w:rPr>
                <w:rFonts w:eastAsia="Times New Roman" w:cs="Arial"/>
                <w:color w:val="000000"/>
                <w:sz w:val="24"/>
              </w:rPr>
            </w:pPr>
            <w:r w:rsidRPr="006D531D">
              <w:rPr>
                <w:rFonts w:eastAsia="Times New Roman" w:cs="Arial"/>
                <w:color w:val="000000"/>
                <w:sz w:val="24"/>
              </w:rPr>
              <w:t>$0.27</w:t>
            </w:r>
          </w:p>
        </w:tc>
        <w:tc>
          <w:tcPr>
            <w:tcW w:w="995" w:type="dxa"/>
            <w:tcBorders>
              <w:top w:val="nil"/>
              <w:left w:val="nil"/>
              <w:bottom w:val="nil"/>
              <w:right w:val="single" w:color="auto" w:sz="4" w:space="0"/>
            </w:tcBorders>
            <w:noWrap/>
            <w:hideMark/>
          </w:tcPr>
          <w:p w:rsidRPr="006D531D" w:rsidR="00126558" w:rsidP="00CD0314" w:rsidRDefault="00126558" w14:paraId="5E00686E" w14:textId="77777777">
            <w:pPr>
              <w:spacing w:line="240" w:lineRule="auto"/>
              <w:ind w:firstLine="0"/>
              <w:jc w:val="right"/>
              <w:rPr>
                <w:rFonts w:eastAsia="Times New Roman" w:cs="Arial"/>
                <w:color w:val="000000"/>
                <w:sz w:val="24"/>
              </w:rPr>
            </w:pPr>
            <w:r w:rsidRPr="006D531D">
              <w:rPr>
                <w:rFonts w:eastAsia="Times New Roman" w:cs="Arial"/>
                <w:color w:val="000000"/>
                <w:sz w:val="24"/>
              </w:rPr>
              <w:t>$0.26</w:t>
            </w:r>
          </w:p>
        </w:tc>
      </w:tr>
      <w:tr w:rsidRPr="006D531D" w:rsidR="00126558" w:rsidTr="006D4FEF" w14:paraId="0B37A4BD" w14:textId="77777777">
        <w:trPr>
          <w:cantSplit/>
        </w:trPr>
        <w:tc>
          <w:tcPr>
            <w:tcW w:w="4585" w:type="dxa"/>
            <w:tcBorders>
              <w:top w:val="nil"/>
              <w:left w:val="single" w:color="auto" w:sz="4" w:space="0"/>
              <w:bottom w:val="single" w:color="000000" w:sz="4" w:space="0"/>
              <w:right w:val="single" w:color="000000" w:sz="4" w:space="0"/>
            </w:tcBorders>
            <w:hideMark/>
          </w:tcPr>
          <w:p w:rsidRPr="001348D3" w:rsidR="00126558" w:rsidP="00CD0314" w:rsidRDefault="00126558" w14:paraId="05F4EBD5" w14:textId="1980F971">
            <w:pPr>
              <w:spacing w:line="240" w:lineRule="auto"/>
              <w:ind w:firstLine="0"/>
              <w:rPr>
                <w:rFonts w:eastAsia="Times New Roman" w:cs="Times New Roman"/>
                <w:color w:val="000000"/>
                <w:sz w:val="24"/>
              </w:rPr>
            </w:pPr>
            <w:r w:rsidRPr="001348D3">
              <w:rPr>
                <w:rFonts w:eastAsia="Times New Roman" w:cs="Times New Roman"/>
                <w:color w:val="000000"/>
                <w:sz w:val="24"/>
              </w:rPr>
              <w:t>Electric Transmission Level Service</w:t>
            </w:r>
          </w:p>
        </w:tc>
        <w:tc>
          <w:tcPr>
            <w:tcW w:w="900" w:type="dxa"/>
            <w:tcBorders>
              <w:top w:val="nil"/>
              <w:left w:val="nil"/>
              <w:bottom w:val="single" w:color="000000" w:sz="4" w:space="0"/>
              <w:right w:val="nil"/>
            </w:tcBorders>
            <w:noWrap/>
            <w:hideMark/>
          </w:tcPr>
          <w:p w:rsidRPr="006D531D" w:rsidR="00126558" w:rsidP="00CD0314" w:rsidRDefault="00126558" w14:paraId="20080A98" w14:textId="77777777">
            <w:pPr>
              <w:spacing w:line="240" w:lineRule="auto"/>
              <w:ind w:firstLine="0"/>
              <w:jc w:val="right"/>
              <w:rPr>
                <w:rFonts w:eastAsia="Times New Roman" w:cs="Arial"/>
                <w:color w:val="000000"/>
                <w:sz w:val="24"/>
              </w:rPr>
            </w:pPr>
            <w:r w:rsidRPr="006D531D">
              <w:rPr>
                <w:rFonts w:eastAsia="Times New Roman" w:cs="Arial"/>
                <w:color w:val="000000"/>
                <w:sz w:val="24"/>
              </w:rPr>
              <w:t>$0.25</w:t>
            </w:r>
          </w:p>
        </w:tc>
        <w:tc>
          <w:tcPr>
            <w:tcW w:w="990" w:type="dxa"/>
            <w:tcBorders>
              <w:top w:val="nil"/>
              <w:left w:val="nil"/>
              <w:bottom w:val="single" w:color="000000" w:sz="4" w:space="0"/>
              <w:right w:val="nil"/>
            </w:tcBorders>
            <w:noWrap/>
            <w:hideMark/>
          </w:tcPr>
          <w:p w:rsidRPr="006D531D" w:rsidR="00126558" w:rsidP="00CD0314" w:rsidRDefault="00126558" w14:paraId="6F8B363E" w14:textId="77777777">
            <w:pPr>
              <w:spacing w:line="240" w:lineRule="auto"/>
              <w:ind w:firstLine="0"/>
              <w:jc w:val="right"/>
              <w:rPr>
                <w:rFonts w:eastAsia="Times New Roman" w:cs="Arial"/>
                <w:color w:val="000000"/>
                <w:sz w:val="24"/>
              </w:rPr>
            </w:pPr>
            <w:r w:rsidRPr="006D531D">
              <w:rPr>
                <w:rFonts w:eastAsia="Times New Roman" w:cs="Arial"/>
                <w:color w:val="000000"/>
                <w:sz w:val="24"/>
              </w:rPr>
              <w:t>$0.25</w:t>
            </w:r>
          </w:p>
        </w:tc>
        <w:tc>
          <w:tcPr>
            <w:tcW w:w="900" w:type="dxa"/>
            <w:tcBorders>
              <w:top w:val="nil"/>
              <w:left w:val="nil"/>
              <w:bottom w:val="single" w:color="000000" w:sz="4" w:space="0"/>
              <w:right w:val="nil"/>
            </w:tcBorders>
            <w:noWrap/>
            <w:hideMark/>
          </w:tcPr>
          <w:p w:rsidRPr="006D531D" w:rsidR="00126558" w:rsidP="00CD0314" w:rsidRDefault="00126558" w14:paraId="4AACDE3C" w14:textId="77777777">
            <w:pPr>
              <w:spacing w:line="240" w:lineRule="auto"/>
              <w:ind w:firstLine="0"/>
              <w:jc w:val="right"/>
              <w:rPr>
                <w:rFonts w:eastAsia="Times New Roman" w:cs="Arial"/>
                <w:color w:val="000000"/>
                <w:sz w:val="24"/>
              </w:rPr>
            </w:pPr>
            <w:r w:rsidRPr="006D531D">
              <w:rPr>
                <w:rFonts w:eastAsia="Times New Roman" w:cs="Arial"/>
                <w:color w:val="000000"/>
                <w:sz w:val="24"/>
              </w:rPr>
              <w:t>$0.25</w:t>
            </w:r>
          </w:p>
        </w:tc>
        <w:tc>
          <w:tcPr>
            <w:tcW w:w="990" w:type="dxa"/>
            <w:tcBorders>
              <w:top w:val="nil"/>
              <w:left w:val="nil"/>
              <w:bottom w:val="single" w:color="000000" w:sz="4" w:space="0"/>
              <w:right w:val="nil"/>
            </w:tcBorders>
            <w:noWrap/>
            <w:hideMark/>
          </w:tcPr>
          <w:p w:rsidRPr="006D531D" w:rsidR="00126558" w:rsidP="00CD0314" w:rsidRDefault="00126558" w14:paraId="64D68B6C" w14:textId="77777777">
            <w:pPr>
              <w:spacing w:line="240" w:lineRule="auto"/>
              <w:ind w:firstLine="0"/>
              <w:jc w:val="right"/>
              <w:rPr>
                <w:rFonts w:eastAsia="Times New Roman" w:cs="Arial"/>
                <w:color w:val="000000"/>
                <w:sz w:val="24"/>
              </w:rPr>
            </w:pPr>
            <w:r w:rsidRPr="006D531D">
              <w:rPr>
                <w:rFonts w:eastAsia="Times New Roman" w:cs="Arial"/>
                <w:color w:val="000000"/>
                <w:sz w:val="24"/>
              </w:rPr>
              <w:t>$0.25</w:t>
            </w:r>
          </w:p>
        </w:tc>
        <w:tc>
          <w:tcPr>
            <w:tcW w:w="995" w:type="dxa"/>
            <w:tcBorders>
              <w:top w:val="nil"/>
              <w:left w:val="nil"/>
              <w:bottom w:val="single" w:color="000000" w:sz="4" w:space="0"/>
              <w:right w:val="single" w:color="auto" w:sz="4" w:space="0"/>
            </w:tcBorders>
            <w:noWrap/>
            <w:hideMark/>
          </w:tcPr>
          <w:p w:rsidRPr="006D531D" w:rsidR="00126558" w:rsidP="00CD0314" w:rsidRDefault="00126558" w14:paraId="15AF9018" w14:textId="77777777">
            <w:pPr>
              <w:spacing w:line="240" w:lineRule="auto"/>
              <w:ind w:firstLine="0"/>
              <w:jc w:val="right"/>
              <w:rPr>
                <w:rFonts w:eastAsia="Times New Roman" w:cs="Arial"/>
                <w:color w:val="000000"/>
                <w:sz w:val="24"/>
              </w:rPr>
            </w:pPr>
            <w:r w:rsidRPr="006D531D">
              <w:rPr>
                <w:rFonts w:eastAsia="Times New Roman" w:cs="Arial"/>
                <w:color w:val="000000"/>
                <w:sz w:val="24"/>
              </w:rPr>
              <w:t>$0.25</w:t>
            </w:r>
          </w:p>
        </w:tc>
      </w:tr>
      <w:tr w:rsidRPr="006D531D" w:rsidR="00126558" w:rsidTr="006D4FEF" w14:paraId="7D5223FA" w14:textId="77777777">
        <w:trPr>
          <w:cantSplit/>
        </w:trPr>
        <w:tc>
          <w:tcPr>
            <w:tcW w:w="4585" w:type="dxa"/>
            <w:tcBorders>
              <w:top w:val="nil"/>
              <w:left w:val="single" w:color="auto" w:sz="4" w:space="0"/>
              <w:bottom w:val="single" w:color="auto" w:sz="4" w:space="0"/>
              <w:right w:val="single" w:color="000000" w:sz="4" w:space="0"/>
            </w:tcBorders>
            <w:hideMark/>
          </w:tcPr>
          <w:p w:rsidRPr="006D531D" w:rsidR="00126558" w:rsidP="006D4FEF" w:rsidRDefault="00126558" w14:paraId="70B7AD17" w14:textId="62754B73">
            <w:pPr>
              <w:spacing w:line="240" w:lineRule="auto"/>
              <w:ind w:firstLine="0"/>
              <w:rPr>
                <w:rFonts w:eastAsia="Times New Roman" w:cs="Times New Roman"/>
                <w:i/>
                <w:iCs/>
                <w:color w:val="000000"/>
                <w:sz w:val="24"/>
              </w:rPr>
            </w:pPr>
            <w:r w:rsidRPr="006D531D">
              <w:rPr>
                <w:rFonts w:eastAsia="Times New Roman" w:cs="Times New Roman"/>
                <w:i/>
                <w:iCs/>
                <w:color w:val="000000"/>
                <w:sz w:val="24"/>
              </w:rPr>
              <w:t>Residential Non</w:t>
            </w:r>
            <w:r w:rsidR="0004127A">
              <w:rPr>
                <w:rFonts w:eastAsia="Times New Roman" w:cs="Times New Roman"/>
                <w:i/>
                <w:iCs/>
                <w:color w:val="000000"/>
                <w:sz w:val="24"/>
              </w:rPr>
              <w:noBreakHyphen/>
            </w:r>
            <w:r w:rsidRPr="006D531D">
              <w:rPr>
                <w:rFonts w:eastAsia="Times New Roman" w:cs="Times New Roman"/>
                <w:i/>
                <w:iCs/>
                <w:color w:val="000000"/>
                <w:sz w:val="24"/>
              </w:rPr>
              <w:t>CARE</w:t>
            </w:r>
            <w:r w:rsidRPr="006D531D" w:rsidR="00037BF2">
              <w:rPr>
                <w:rStyle w:val="FootnoteReference"/>
                <w:rFonts w:eastAsia="Times New Roman" w:cs="Times New Roman"/>
                <w:i/>
                <w:iCs/>
                <w:color w:val="000000"/>
                <w:sz w:val="24"/>
              </w:rPr>
              <w:footnoteReference w:id="25"/>
            </w:r>
            <w:r w:rsidRPr="006D531D">
              <w:rPr>
                <w:rFonts w:eastAsia="Times New Roman" w:cs="Times New Roman"/>
                <w:i/>
                <w:iCs/>
                <w:color w:val="000000"/>
                <w:sz w:val="24"/>
              </w:rPr>
              <w:t xml:space="preserve"> class average bill</w:t>
            </w:r>
            <w:r w:rsidRPr="006D531D" w:rsidR="00BD44E6">
              <w:rPr>
                <w:rFonts w:eastAsia="Times New Roman" w:cs="Times New Roman"/>
                <w:i/>
                <w:iCs/>
                <w:color w:val="000000"/>
                <w:sz w:val="24"/>
              </w:rPr>
              <w:t> —</w:t>
            </w:r>
            <w:r w:rsidR="006D4FEF">
              <w:rPr>
                <w:rFonts w:eastAsia="Times New Roman" w:cs="Times New Roman"/>
                <w:i/>
                <w:iCs/>
                <w:color w:val="000000"/>
                <w:sz w:val="24"/>
              </w:rPr>
              <w:t xml:space="preserve"> </w:t>
            </w:r>
            <w:r w:rsidRPr="006D531D">
              <w:rPr>
                <w:rFonts w:eastAsia="Times New Roman" w:cs="Times New Roman"/>
                <w:i/>
                <w:iCs/>
                <w:color w:val="000000"/>
                <w:sz w:val="24"/>
                <w:szCs w:val="20"/>
              </w:rPr>
              <w:t>36</w:t>
            </w:r>
            <w:r w:rsidRPr="006D531D" w:rsidR="001A7895">
              <w:rPr>
                <w:rFonts w:eastAsia="Times New Roman" w:cs="Times New Roman"/>
                <w:i/>
                <w:iCs/>
                <w:color w:val="000000"/>
                <w:sz w:val="24"/>
                <w:szCs w:val="20"/>
              </w:rPr>
              <w:t> </w:t>
            </w:r>
            <w:proofErr w:type="spellStart"/>
            <w:r w:rsidRPr="006D531D">
              <w:rPr>
                <w:rFonts w:eastAsia="Times New Roman" w:cs="Times New Roman"/>
                <w:i/>
                <w:iCs/>
                <w:color w:val="000000"/>
                <w:sz w:val="24"/>
                <w:szCs w:val="20"/>
              </w:rPr>
              <w:t>therms</w:t>
            </w:r>
            <w:proofErr w:type="spellEnd"/>
            <w:r w:rsidRPr="006D531D">
              <w:rPr>
                <w:rFonts w:eastAsia="Times New Roman" w:cs="Times New Roman"/>
                <w:i/>
                <w:iCs/>
                <w:color w:val="000000"/>
                <w:sz w:val="24"/>
                <w:szCs w:val="20"/>
              </w:rPr>
              <w:t>/month ($/month)</w:t>
            </w:r>
          </w:p>
        </w:tc>
        <w:tc>
          <w:tcPr>
            <w:tcW w:w="900" w:type="dxa"/>
            <w:tcBorders>
              <w:top w:val="nil"/>
              <w:left w:val="nil"/>
              <w:bottom w:val="single" w:color="auto" w:sz="4" w:space="0"/>
              <w:right w:val="nil"/>
            </w:tcBorders>
            <w:noWrap/>
            <w:hideMark/>
          </w:tcPr>
          <w:p w:rsidRPr="006D531D" w:rsidR="00126558" w:rsidP="00CD0314" w:rsidRDefault="00126558" w14:paraId="517841AB" w14:textId="77777777">
            <w:pPr>
              <w:spacing w:line="240" w:lineRule="auto"/>
              <w:ind w:firstLine="0"/>
              <w:jc w:val="right"/>
              <w:rPr>
                <w:rFonts w:eastAsia="Times New Roman" w:cs="Arial"/>
                <w:color w:val="000000"/>
                <w:sz w:val="24"/>
              </w:rPr>
            </w:pPr>
            <w:r w:rsidRPr="006D531D">
              <w:rPr>
                <w:rFonts w:eastAsia="Times New Roman" w:cs="Arial"/>
                <w:color w:val="000000"/>
                <w:sz w:val="24"/>
              </w:rPr>
              <w:t>$73.39</w:t>
            </w:r>
          </w:p>
        </w:tc>
        <w:tc>
          <w:tcPr>
            <w:tcW w:w="990" w:type="dxa"/>
            <w:tcBorders>
              <w:top w:val="nil"/>
              <w:left w:val="nil"/>
              <w:bottom w:val="single" w:color="auto" w:sz="4" w:space="0"/>
              <w:right w:val="nil"/>
            </w:tcBorders>
            <w:noWrap/>
            <w:hideMark/>
          </w:tcPr>
          <w:p w:rsidRPr="006D531D" w:rsidR="00126558" w:rsidP="00CD0314" w:rsidRDefault="00126558" w14:paraId="0D7C0FC5" w14:textId="77777777">
            <w:pPr>
              <w:spacing w:line="240" w:lineRule="auto"/>
              <w:ind w:firstLine="0"/>
              <w:jc w:val="right"/>
              <w:rPr>
                <w:rFonts w:eastAsia="Times New Roman" w:cs="Arial"/>
                <w:color w:val="000000"/>
                <w:sz w:val="24"/>
              </w:rPr>
            </w:pPr>
            <w:r w:rsidRPr="006D531D">
              <w:rPr>
                <w:rFonts w:eastAsia="Times New Roman" w:cs="Arial"/>
                <w:color w:val="000000"/>
                <w:sz w:val="24"/>
              </w:rPr>
              <w:t>$74.70</w:t>
            </w:r>
          </w:p>
        </w:tc>
        <w:tc>
          <w:tcPr>
            <w:tcW w:w="900" w:type="dxa"/>
            <w:tcBorders>
              <w:top w:val="nil"/>
              <w:left w:val="nil"/>
              <w:bottom w:val="single" w:color="auto" w:sz="4" w:space="0"/>
              <w:right w:val="nil"/>
            </w:tcBorders>
            <w:noWrap/>
            <w:hideMark/>
          </w:tcPr>
          <w:p w:rsidRPr="006D531D" w:rsidR="00126558" w:rsidP="00CD0314" w:rsidRDefault="00126558" w14:paraId="6B75B974" w14:textId="77777777">
            <w:pPr>
              <w:spacing w:line="240" w:lineRule="auto"/>
              <w:ind w:firstLine="0"/>
              <w:jc w:val="right"/>
              <w:rPr>
                <w:rFonts w:eastAsia="Times New Roman" w:cs="Arial"/>
                <w:color w:val="000000"/>
                <w:sz w:val="24"/>
              </w:rPr>
            </w:pPr>
            <w:r w:rsidRPr="006D531D">
              <w:rPr>
                <w:rFonts w:eastAsia="Times New Roman" w:cs="Arial"/>
                <w:color w:val="000000"/>
                <w:sz w:val="24"/>
              </w:rPr>
              <w:t>$75.32</w:t>
            </w:r>
          </w:p>
        </w:tc>
        <w:tc>
          <w:tcPr>
            <w:tcW w:w="990" w:type="dxa"/>
            <w:tcBorders>
              <w:top w:val="nil"/>
              <w:left w:val="nil"/>
              <w:bottom w:val="single" w:color="auto" w:sz="4" w:space="0"/>
              <w:right w:val="nil"/>
            </w:tcBorders>
            <w:noWrap/>
            <w:hideMark/>
          </w:tcPr>
          <w:p w:rsidRPr="006D531D" w:rsidR="00126558" w:rsidP="00CD0314" w:rsidRDefault="00126558" w14:paraId="1E587C85" w14:textId="77777777">
            <w:pPr>
              <w:spacing w:line="240" w:lineRule="auto"/>
              <w:ind w:firstLine="0"/>
              <w:jc w:val="right"/>
              <w:rPr>
                <w:rFonts w:eastAsia="Times New Roman" w:cs="Arial"/>
                <w:color w:val="000000"/>
                <w:sz w:val="24"/>
              </w:rPr>
            </w:pPr>
            <w:r w:rsidRPr="006D531D">
              <w:rPr>
                <w:rFonts w:eastAsia="Times New Roman" w:cs="Arial"/>
                <w:color w:val="000000"/>
                <w:sz w:val="24"/>
              </w:rPr>
              <w:t>$75.09</w:t>
            </w:r>
          </w:p>
        </w:tc>
        <w:tc>
          <w:tcPr>
            <w:tcW w:w="995" w:type="dxa"/>
            <w:tcBorders>
              <w:top w:val="nil"/>
              <w:left w:val="nil"/>
              <w:bottom w:val="single" w:color="auto" w:sz="4" w:space="0"/>
              <w:right w:val="single" w:color="auto" w:sz="4" w:space="0"/>
            </w:tcBorders>
            <w:noWrap/>
            <w:hideMark/>
          </w:tcPr>
          <w:p w:rsidRPr="006D531D" w:rsidR="00126558" w:rsidP="00CD0314" w:rsidRDefault="00126558" w14:paraId="43ADCB04" w14:textId="77777777">
            <w:pPr>
              <w:spacing w:line="240" w:lineRule="auto"/>
              <w:ind w:firstLine="0"/>
              <w:jc w:val="right"/>
              <w:rPr>
                <w:rFonts w:eastAsia="Times New Roman" w:cs="Arial"/>
                <w:color w:val="000000"/>
                <w:sz w:val="24"/>
              </w:rPr>
            </w:pPr>
            <w:r w:rsidRPr="006D531D">
              <w:rPr>
                <w:rFonts w:eastAsia="Times New Roman" w:cs="Arial"/>
                <w:color w:val="000000"/>
                <w:sz w:val="24"/>
              </w:rPr>
              <w:t>$73.78</w:t>
            </w:r>
          </w:p>
        </w:tc>
      </w:tr>
    </w:tbl>
    <w:p w:rsidR="009A7E03" w:rsidP="00037BF2" w:rsidRDefault="00082E65" w14:paraId="6C82D779" w14:textId="4802FEEF">
      <w:pPr>
        <w:pStyle w:val="StandardTableSub"/>
      </w:pPr>
      <w:r w:rsidRPr="001C76E0">
        <w:t xml:space="preserve">In support of its request for interim rate recovery of </w:t>
      </w:r>
      <w:r w:rsidRPr="001C76E0" w:rsidR="009E0B62">
        <w:t>85</w:t>
      </w:r>
      <w:r w:rsidR="008C449B">
        <w:t> percent</w:t>
      </w:r>
      <w:r w:rsidRPr="001C76E0">
        <w:t xml:space="preserve">, </w:t>
      </w:r>
      <w:r w:rsidRPr="001C76E0" w:rsidR="009E0B62">
        <w:t xml:space="preserve">SoCalGas </w:t>
      </w:r>
      <w:r w:rsidRPr="001C76E0">
        <w:t>cites direct financial benefits to ratepayers in accrued interest savings of approximately $</w:t>
      </w:r>
      <w:r w:rsidRPr="001C76E0" w:rsidR="0033158F">
        <w:t>1.3</w:t>
      </w:r>
      <w:r w:rsidR="008C449B">
        <w:t> million</w:t>
      </w:r>
      <w:r w:rsidRPr="001C76E0" w:rsidR="004C1AA5">
        <w:t xml:space="preserve"> over a 12</w:t>
      </w:r>
      <w:r w:rsidR="0004127A">
        <w:noBreakHyphen/>
      </w:r>
      <w:r w:rsidRPr="001C76E0" w:rsidR="004C1AA5">
        <w:t>month period</w:t>
      </w:r>
      <w:r w:rsidRPr="001C76E0">
        <w:t>.</w:t>
      </w:r>
      <w:r w:rsidR="009D34F8">
        <w:t xml:space="preserve"> </w:t>
      </w:r>
      <w:r w:rsidRPr="001C76E0" w:rsidR="00901641">
        <w:t>A</w:t>
      </w:r>
      <w:r w:rsidRPr="001C76E0" w:rsidR="004F0545">
        <w:t xml:space="preserve">n analysis </w:t>
      </w:r>
      <w:r w:rsidRPr="001C76E0" w:rsidR="00901641">
        <w:t xml:space="preserve">of the </w:t>
      </w:r>
      <w:r w:rsidRPr="001C76E0" w:rsidR="004F0545">
        <w:t xml:space="preserve">interest rate savings </w:t>
      </w:r>
      <w:r w:rsidR="009A4112">
        <w:t>is</w:t>
      </w:r>
      <w:r w:rsidRPr="001C76E0" w:rsidR="006B1222">
        <w:t xml:space="preserve"> provided in </w:t>
      </w:r>
      <w:r w:rsidR="00CD0314">
        <w:t>Table 2</w:t>
      </w:r>
      <w:r w:rsidRPr="001C76E0" w:rsidR="006B1222">
        <w:t>, as shown below:</w:t>
      </w:r>
      <w:r w:rsidRPr="001C76E0" w:rsidR="007D31BD">
        <w:rPr>
          <w:rStyle w:val="FootnoteReference"/>
        </w:rPr>
        <w:footnoteReference w:id="26"/>
      </w:r>
    </w:p>
    <w:p w:rsidRPr="001C76E0" w:rsidR="008B689A" w:rsidP="00C443C8" w:rsidRDefault="008B689A" w14:paraId="027E5412" w14:textId="4B9CFF3E">
      <w:pPr>
        <w:pStyle w:val="TableTitleBody"/>
      </w:pPr>
      <w:r w:rsidRPr="00A52A8E">
        <w:t>Table 2</w:t>
      </w:r>
      <w:r w:rsidR="001201A3">
        <w:br/>
      </w:r>
      <w:r w:rsidRPr="008B689A">
        <w:t xml:space="preserve">Southern California Gas </w:t>
      </w:r>
      <w:r w:rsidRPr="00C443C8">
        <w:t>Company’s</w:t>
      </w:r>
      <w:r w:rsidRPr="001C76E0">
        <w:t xml:space="preserve"> Estimated Interest Cost</w:t>
      </w:r>
      <w:r w:rsidR="00A52A8E">
        <w:t xml:space="preserve"> </w:t>
      </w:r>
      <w:r w:rsidRPr="001C76E0">
        <w:t>With and</w:t>
      </w:r>
      <w:r w:rsidR="00A52A8E">
        <w:br/>
      </w:r>
      <w:r w:rsidRPr="001C76E0">
        <w:t>Without Interim Recovery (Final Decision on Application by August 2026)</w:t>
      </w:r>
      <w:r w:rsidR="00C443C8">
        <w:br/>
      </w:r>
      <w:r w:rsidR="00A52A8E">
        <w:t>(</w:t>
      </w:r>
      <w:r w:rsidRPr="001C76E0">
        <w:t>$ in millions</w:t>
      </w:r>
      <w:r w:rsidR="00A52A8E">
        <w:t>)</w:t>
      </w:r>
    </w:p>
    <w:tbl>
      <w:tblPr>
        <w:tblW w:w="9355" w:type="dxa"/>
        <w:tblLayout w:type="fixed"/>
        <w:tblCellMar>
          <w:top w:w="58" w:type="dxa"/>
          <w:bottom w:w="58" w:type="dxa"/>
        </w:tblCellMar>
        <w:tblLook w:val="04A0" w:firstRow="1" w:lastRow="0" w:firstColumn="1" w:lastColumn="0" w:noHBand="0" w:noVBand="1"/>
      </w:tblPr>
      <w:tblGrid>
        <w:gridCol w:w="3019"/>
        <w:gridCol w:w="1584"/>
        <w:gridCol w:w="1584"/>
        <w:gridCol w:w="1584"/>
        <w:gridCol w:w="1584"/>
      </w:tblGrid>
      <w:tr w:rsidRPr="008F5734" w:rsidR="008F5734" w:rsidTr="008F5734" w14:paraId="0C88A485" w14:textId="77777777">
        <w:trPr>
          <w:tblHeader/>
        </w:trPr>
        <w:tc>
          <w:tcPr>
            <w:tcW w:w="3019" w:type="dxa"/>
            <w:tcBorders>
              <w:top w:val="single" w:color="auto" w:sz="4" w:space="0"/>
              <w:left w:val="single" w:color="auto" w:sz="4" w:space="0"/>
              <w:bottom w:val="nil"/>
              <w:right w:val="nil"/>
            </w:tcBorders>
            <w:vAlign w:val="bottom"/>
            <w:hideMark/>
          </w:tcPr>
          <w:p w:rsidRPr="008F5734" w:rsidR="00B8213A" w:rsidP="008F5734" w:rsidRDefault="00B8213A" w14:paraId="0971E920" w14:textId="3BB9C929">
            <w:pPr>
              <w:keepNext/>
              <w:spacing w:line="240" w:lineRule="auto"/>
              <w:ind w:firstLine="0"/>
              <w:rPr>
                <w:rFonts w:eastAsia="Times New Roman" w:cs="Times New Roman"/>
                <w:szCs w:val="20"/>
              </w:rPr>
            </w:pPr>
          </w:p>
        </w:tc>
        <w:tc>
          <w:tcPr>
            <w:tcW w:w="1584" w:type="dxa"/>
            <w:tcBorders>
              <w:top w:val="single" w:color="auto" w:sz="4" w:space="0"/>
              <w:left w:val="nil"/>
              <w:bottom w:val="nil"/>
              <w:right w:val="nil"/>
            </w:tcBorders>
            <w:noWrap/>
            <w:hideMark/>
          </w:tcPr>
          <w:p w:rsidRPr="008F5734" w:rsidR="00B8213A" w:rsidP="008F5734" w:rsidRDefault="00B8213A" w14:paraId="7209346F" w14:textId="77777777">
            <w:pPr>
              <w:keepNext/>
              <w:spacing w:line="240" w:lineRule="auto"/>
              <w:ind w:firstLine="522" w:firstLineChars="200"/>
              <w:rPr>
                <w:rFonts w:eastAsia="Times New Roman" w:cs="Arial"/>
                <w:b/>
                <w:bCs/>
                <w:szCs w:val="24"/>
              </w:rPr>
            </w:pPr>
            <w:r w:rsidRPr="008F5734">
              <w:rPr>
                <w:rFonts w:eastAsia="Times New Roman" w:cs="Arial"/>
                <w:b/>
                <w:bCs/>
                <w:szCs w:val="24"/>
              </w:rPr>
              <w:t>2025</w:t>
            </w:r>
          </w:p>
        </w:tc>
        <w:tc>
          <w:tcPr>
            <w:tcW w:w="1584" w:type="dxa"/>
            <w:tcBorders>
              <w:top w:val="single" w:color="auto" w:sz="4" w:space="0"/>
              <w:left w:val="nil"/>
              <w:bottom w:val="nil"/>
              <w:right w:val="nil"/>
            </w:tcBorders>
            <w:noWrap/>
            <w:hideMark/>
          </w:tcPr>
          <w:p w:rsidRPr="008F5734" w:rsidR="00B8213A" w:rsidP="008F5734" w:rsidRDefault="00B8213A" w14:paraId="662D6EEC" w14:textId="77777777">
            <w:pPr>
              <w:keepNext/>
              <w:spacing w:line="240" w:lineRule="auto"/>
              <w:ind w:firstLine="0"/>
              <w:jc w:val="center"/>
              <w:rPr>
                <w:rFonts w:eastAsia="Times New Roman" w:cs="Arial"/>
                <w:b/>
                <w:bCs/>
                <w:szCs w:val="24"/>
              </w:rPr>
            </w:pPr>
            <w:r w:rsidRPr="008F5734">
              <w:rPr>
                <w:rFonts w:eastAsia="Times New Roman" w:cs="Arial"/>
                <w:b/>
                <w:bCs/>
                <w:szCs w:val="24"/>
              </w:rPr>
              <w:t>2026</w:t>
            </w:r>
          </w:p>
        </w:tc>
        <w:tc>
          <w:tcPr>
            <w:tcW w:w="1584" w:type="dxa"/>
            <w:tcBorders>
              <w:top w:val="single" w:color="auto" w:sz="4" w:space="0"/>
              <w:left w:val="nil"/>
              <w:bottom w:val="nil"/>
              <w:right w:val="nil"/>
            </w:tcBorders>
            <w:noWrap/>
            <w:hideMark/>
          </w:tcPr>
          <w:p w:rsidRPr="008F5734" w:rsidR="00B8213A" w:rsidP="008F5734" w:rsidRDefault="00B8213A" w14:paraId="78054373" w14:textId="77777777">
            <w:pPr>
              <w:keepNext/>
              <w:spacing w:line="240" w:lineRule="auto"/>
              <w:ind w:firstLine="0"/>
              <w:jc w:val="center"/>
              <w:rPr>
                <w:rFonts w:eastAsia="Times New Roman" w:cs="Arial"/>
                <w:b/>
                <w:bCs/>
                <w:szCs w:val="24"/>
              </w:rPr>
            </w:pPr>
            <w:r w:rsidRPr="008F5734">
              <w:rPr>
                <w:rFonts w:eastAsia="Times New Roman" w:cs="Arial"/>
                <w:b/>
                <w:bCs/>
                <w:szCs w:val="24"/>
              </w:rPr>
              <w:t>2027</w:t>
            </w:r>
          </w:p>
        </w:tc>
        <w:tc>
          <w:tcPr>
            <w:tcW w:w="1584" w:type="dxa"/>
            <w:tcBorders>
              <w:top w:val="single" w:color="auto" w:sz="4" w:space="0"/>
              <w:left w:val="nil"/>
              <w:bottom w:val="nil"/>
              <w:right w:val="single" w:color="auto" w:sz="4" w:space="0"/>
            </w:tcBorders>
            <w:hideMark/>
          </w:tcPr>
          <w:p w:rsidRPr="008F5734" w:rsidR="00B8213A" w:rsidP="008F5734" w:rsidRDefault="00B8213A" w14:paraId="7CF98C4F" w14:textId="77777777">
            <w:pPr>
              <w:keepNext/>
              <w:spacing w:line="240" w:lineRule="auto"/>
              <w:ind w:firstLine="0"/>
              <w:jc w:val="center"/>
              <w:rPr>
                <w:rFonts w:eastAsia="Times New Roman" w:cs="Times New Roman"/>
                <w:b/>
                <w:bCs/>
                <w:szCs w:val="24"/>
              </w:rPr>
            </w:pPr>
            <w:r w:rsidRPr="008F5734">
              <w:rPr>
                <w:rFonts w:eastAsia="Times New Roman" w:cs="Times New Roman"/>
                <w:b/>
                <w:bCs/>
                <w:szCs w:val="24"/>
              </w:rPr>
              <w:t>Total</w:t>
            </w:r>
          </w:p>
        </w:tc>
      </w:tr>
      <w:tr w:rsidRPr="008F5734" w:rsidR="008F5734" w:rsidTr="008F5734" w14:paraId="7BF9F675" w14:textId="77777777">
        <w:tc>
          <w:tcPr>
            <w:tcW w:w="3019" w:type="dxa"/>
            <w:tcBorders>
              <w:top w:val="nil"/>
              <w:left w:val="single" w:color="auto" w:sz="4" w:space="0"/>
              <w:bottom w:val="nil"/>
              <w:right w:val="nil"/>
            </w:tcBorders>
            <w:hideMark/>
          </w:tcPr>
          <w:p w:rsidRPr="008F5734" w:rsidR="00B8213A" w:rsidP="008F5734" w:rsidRDefault="00B8213A" w14:paraId="711C327E" w14:textId="77777777">
            <w:pPr>
              <w:keepNext/>
              <w:spacing w:line="240" w:lineRule="auto"/>
              <w:ind w:firstLine="0"/>
              <w:rPr>
                <w:rFonts w:eastAsia="Times New Roman" w:cs="Times New Roman"/>
                <w:b/>
                <w:bCs/>
                <w:szCs w:val="24"/>
              </w:rPr>
            </w:pPr>
            <w:r w:rsidRPr="008F5734">
              <w:rPr>
                <w:rFonts w:eastAsia="Times New Roman" w:cs="Times New Roman"/>
                <w:b/>
                <w:bCs/>
                <w:szCs w:val="24"/>
              </w:rPr>
              <w:t>No Interim Recovery</w:t>
            </w:r>
          </w:p>
        </w:tc>
        <w:tc>
          <w:tcPr>
            <w:tcW w:w="1584" w:type="dxa"/>
            <w:tcBorders>
              <w:top w:val="nil"/>
              <w:left w:val="nil"/>
              <w:bottom w:val="nil"/>
              <w:right w:val="nil"/>
            </w:tcBorders>
            <w:noWrap/>
            <w:hideMark/>
          </w:tcPr>
          <w:p w:rsidRPr="008F5734" w:rsidR="00B8213A" w:rsidP="008F5734" w:rsidRDefault="00B8213A" w14:paraId="61CA041B" w14:textId="77777777">
            <w:pPr>
              <w:keepNext/>
              <w:spacing w:line="240" w:lineRule="auto"/>
              <w:ind w:firstLine="520" w:firstLineChars="200"/>
              <w:rPr>
                <w:rFonts w:eastAsia="Times New Roman" w:cs="Arial"/>
                <w:szCs w:val="24"/>
              </w:rPr>
            </w:pPr>
            <w:r w:rsidRPr="008F5734">
              <w:rPr>
                <w:rFonts w:eastAsia="Times New Roman" w:cs="Arial"/>
                <w:szCs w:val="24"/>
              </w:rPr>
              <w:t>$7.10</w:t>
            </w:r>
          </w:p>
        </w:tc>
        <w:tc>
          <w:tcPr>
            <w:tcW w:w="1584" w:type="dxa"/>
            <w:tcBorders>
              <w:top w:val="nil"/>
              <w:left w:val="nil"/>
              <w:bottom w:val="nil"/>
              <w:right w:val="nil"/>
            </w:tcBorders>
            <w:noWrap/>
            <w:hideMark/>
          </w:tcPr>
          <w:p w:rsidRPr="008F5734" w:rsidR="00B8213A" w:rsidP="008F5734" w:rsidRDefault="00B8213A" w14:paraId="1E0C7539" w14:textId="77777777">
            <w:pPr>
              <w:keepNext/>
              <w:spacing w:line="240" w:lineRule="auto"/>
              <w:ind w:firstLine="0"/>
              <w:jc w:val="center"/>
              <w:rPr>
                <w:rFonts w:eastAsia="Times New Roman" w:cs="Arial"/>
                <w:szCs w:val="24"/>
              </w:rPr>
            </w:pPr>
            <w:r w:rsidRPr="008F5734">
              <w:rPr>
                <w:rFonts w:eastAsia="Times New Roman" w:cs="Arial"/>
                <w:szCs w:val="24"/>
              </w:rPr>
              <w:t>$4.00</w:t>
            </w:r>
          </w:p>
        </w:tc>
        <w:tc>
          <w:tcPr>
            <w:tcW w:w="1584" w:type="dxa"/>
            <w:tcBorders>
              <w:top w:val="nil"/>
              <w:left w:val="nil"/>
              <w:bottom w:val="nil"/>
              <w:right w:val="nil"/>
            </w:tcBorders>
            <w:noWrap/>
            <w:hideMark/>
          </w:tcPr>
          <w:p w:rsidRPr="008F5734" w:rsidR="00B8213A" w:rsidP="008F5734" w:rsidRDefault="00B8213A" w14:paraId="5EF9D762" w14:textId="77777777">
            <w:pPr>
              <w:keepNext/>
              <w:spacing w:line="240" w:lineRule="auto"/>
              <w:ind w:firstLine="0"/>
              <w:jc w:val="center"/>
              <w:rPr>
                <w:rFonts w:eastAsia="Times New Roman" w:cs="Arial"/>
                <w:szCs w:val="24"/>
              </w:rPr>
            </w:pPr>
            <w:r w:rsidRPr="008F5734">
              <w:rPr>
                <w:rFonts w:eastAsia="Times New Roman" w:cs="Arial"/>
                <w:szCs w:val="24"/>
              </w:rPr>
              <w:t>$0.70</w:t>
            </w:r>
          </w:p>
        </w:tc>
        <w:tc>
          <w:tcPr>
            <w:tcW w:w="1584" w:type="dxa"/>
            <w:tcBorders>
              <w:top w:val="nil"/>
              <w:left w:val="nil"/>
              <w:bottom w:val="nil"/>
              <w:right w:val="single" w:color="auto" w:sz="4" w:space="0"/>
            </w:tcBorders>
            <w:noWrap/>
            <w:hideMark/>
          </w:tcPr>
          <w:p w:rsidRPr="008F5734" w:rsidR="00B8213A" w:rsidP="008F5734" w:rsidRDefault="00B8213A" w14:paraId="31C8B5FA" w14:textId="77777777">
            <w:pPr>
              <w:keepNext/>
              <w:spacing w:line="240" w:lineRule="auto"/>
              <w:ind w:firstLine="0"/>
              <w:jc w:val="center"/>
              <w:rPr>
                <w:rFonts w:eastAsia="Times New Roman" w:cs="Arial"/>
                <w:szCs w:val="24"/>
              </w:rPr>
            </w:pPr>
            <w:r w:rsidRPr="008F5734">
              <w:rPr>
                <w:rFonts w:eastAsia="Times New Roman" w:cs="Arial"/>
                <w:szCs w:val="24"/>
              </w:rPr>
              <w:t>$11.70</w:t>
            </w:r>
          </w:p>
        </w:tc>
      </w:tr>
      <w:tr w:rsidRPr="008F5734" w:rsidR="008F5734" w:rsidTr="008F5734" w14:paraId="4E9C50EC" w14:textId="77777777">
        <w:tc>
          <w:tcPr>
            <w:tcW w:w="3019" w:type="dxa"/>
            <w:tcBorders>
              <w:top w:val="nil"/>
              <w:left w:val="single" w:color="auto" w:sz="4" w:space="0"/>
              <w:bottom w:val="single" w:color="000000" w:sz="4" w:space="0"/>
              <w:right w:val="nil"/>
            </w:tcBorders>
            <w:hideMark/>
          </w:tcPr>
          <w:p w:rsidRPr="008F5734" w:rsidR="00B8213A" w:rsidP="008F5734" w:rsidRDefault="00B8213A" w14:paraId="3F70E103" w14:textId="77777777">
            <w:pPr>
              <w:keepNext/>
              <w:spacing w:line="240" w:lineRule="auto"/>
              <w:ind w:firstLine="0"/>
              <w:rPr>
                <w:rFonts w:eastAsia="Times New Roman" w:cs="Times New Roman"/>
                <w:b/>
                <w:bCs/>
                <w:szCs w:val="24"/>
              </w:rPr>
            </w:pPr>
            <w:r w:rsidRPr="008F5734">
              <w:rPr>
                <w:rFonts w:eastAsia="Times New Roman" w:cs="Times New Roman"/>
                <w:b/>
                <w:bCs/>
                <w:szCs w:val="24"/>
              </w:rPr>
              <w:t>Interim Recovery</w:t>
            </w:r>
          </w:p>
        </w:tc>
        <w:tc>
          <w:tcPr>
            <w:tcW w:w="1584" w:type="dxa"/>
            <w:tcBorders>
              <w:top w:val="nil"/>
              <w:left w:val="nil"/>
              <w:bottom w:val="single" w:color="000000" w:sz="4" w:space="0"/>
              <w:right w:val="nil"/>
            </w:tcBorders>
            <w:noWrap/>
            <w:hideMark/>
          </w:tcPr>
          <w:p w:rsidRPr="008F5734" w:rsidR="00B8213A" w:rsidP="008F5734" w:rsidRDefault="00B8213A" w14:paraId="68750954" w14:textId="77777777">
            <w:pPr>
              <w:keepNext/>
              <w:spacing w:line="240" w:lineRule="auto"/>
              <w:ind w:firstLine="520" w:firstLineChars="200"/>
              <w:rPr>
                <w:rFonts w:eastAsia="Times New Roman" w:cs="Arial"/>
                <w:szCs w:val="24"/>
              </w:rPr>
            </w:pPr>
            <w:r w:rsidRPr="008F5734">
              <w:rPr>
                <w:rFonts w:eastAsia="Times New Roman" w:cs="Arial"/>
                <w:szCs w:val="24"/>
              </w:rPr>
              <w:t>$7.10</w:t>
            </w:r>
          </w:p>
        </w:tc>
        <w:tc>
          <w:tcPr>
            <w:tcW w:w="1584" w:type="dxa"/>
            <w:tcBorders>
              <w:top w:val="nil"/>
              <w:left w:val="nil"/>
              <w:bottom w:val="single" w:color="000000" w:sz="4" w:space="0"/>
              <w:right w:val="nil"/>
            </w:tcBorders>
            <w:noWrap/>
            <w:hideMark/>
          </w:tcPr>
          <w:p w:rsidRPr="008F5734" w:rsidR="00B8213A" w:rsidP="008F5734" w:rsidRDefault="00B8213A" w14:paraId="6CF3C22A" w14:textId="77777777">
            <w:pPr>
              <w:keepNext/>
              <w:spacing w:line="240" w:lineRule="auto"/>
              <w:ind w:firstLine="0"/>
              <w:jc w:val="center"/>
              <w:rPr>
                <w:rFonts w:eastAsia="Times New Roman" w:cs="Arial"/>
                <w:szCs w:val="24"/>
              </w:rPr>
            </w:pPr>
            <w:r w:rsidRPr="008F5734">
              <w:rPr>
                <w:rFonts w:eastAsia="Times New Roman" w:cs="Arial"/>
                <w:szCs w:val="24"/>
              </w:rPr>
              <w:t>$3.10</w:t>
            </w:r>
          </w:p>
        </w:tc>
        <w:tc>
          <w:tcPr>
            <w:tcW w:w="1584" w:type="dxa"/>
            <w:tcBorders>
              <w:top w:val="nil"/>
              <w:left w:val="nil"/>
              <w:bottom w:val="single" w:color="000000" w:sz="4" w:space="0"/>
              <w:right w:val="nil"/>
            </w:tcBorders>
            <w:noWrap/>
            <w:hideMark/>
          </w:tcPr>
          <w:p w:rsidRPr="008F5734" w:rsidR="00B8213A" w:rsidP="008F5734" w:rsidRDefault="00B8213A" w14:paraId="5E6CBF9D" w14:textId="77777777">
            <w:pPr>
              <w:keepNext/>
              <w:spacing w:line="240" w:lineRule="auto"/>
              <w:ind w:firstLine="0"/>
              <w:jc w:val="center"/>
              <w:rPr>
                <w:rFonts w:eastAsia="Times New Roman" w:cs="Arial"/>
                <w:szCs w:val="24"/>
              </w:rPr>
            </w:pPr>
            <w:r w:rsidRPr="008F5734">
              <w:rPr>
                <w:rFonts w:eastAsia="Times New Roman" w:cs="Arial"/>
                <w:szCs w:val="24"/>
              </w:rPr>
              <w:t>$0.30</w:t>
            </w:r>
          </w:p>
        </w:tc>
        <w:tc>
          <w:tcPr>
            <w:tcW w:w="1584" w:type="dxa"/>
            <w:tcBorders>
              <w:top w:val="nil"/>
              <w:left w:val="nil"/>
              <w:bottom w:val="single" w:color="000000" w:sz="4" w:space="0"/>
              <w:right w:val="single" w:color="auto" w:sz="4" w:space="0"/>
            </w:tcBorders>
            <w:noWrap/>
            <w:hideMark/>
          </w:tcPr>
          <w:p w:rsidRPr="008F5734" w:rsidR="00B8213A" w:rsidP="008F5734" w:rsidRDefault="00B8213A" w14:paraId="0CFFDBB4" w14:textId="77777777">
            <w:pPr>
              <w:keepNext/>
              <w:spacing w:line="240" w:lineRule="auto"/>
              <w:ind w:firstLine="0"/>
              <w:jc w:val="center"/>
              <w:rPr>
                <w:rFonts w:eastAsia="Times New Roman" w:cs="Arial"/>
                <w:szCs w:val="24"/>
              </w:rPr>
            </w:pPr>
            <w:r w:rsidRPr="008F5734">
              <w:rPr>
                <w:rFonts w:eastAsia="Times New Roman" w:cs="Arial"/>
                <w:szCs w:val="24"/>
              </w:rPr>
              <w:t>$10.40</w:t>
            </w:r>
          </w:p>
        </w:tc>
      </w:tr>
      <w:tr w:rsidRPr="008F5734" w:rsidR="008F5734" w:rsidTr="008F5734" w14:paraId="541C9638" w14:textId="77777777">
        <w:tc>
          <w:tcPr>
            <w:tcW w:w="3019" w:type="dxa"/>
            <w:tcBorders>
              <w:top w:val="nil"/>
              <w:left w:val="single" w:color="auto" w:sz="4" w:space="0"/>
              <w:bottom w:val="single" w:color="auto" w:sz="4" w:space="0"/>
              <w:right w:val="nil"/>
            </w:tcBorders>
            <w:hideMark/>
          </w:tcPr>
          <w:p w:rsidRPr="008F5734" w:rsidR="00B8213A" w:rsidP="00B8213A" w:rsidRDefault="00B8213A" w14:paraId="5DD940FA" w14:textId="77777777">
            <w:pPr>
              <w:spacing w:line="240" w:lineRule="auto"/>
              <w:ind w:firstLine="0"/>
              <w:rPr>
                <w:rFonts w:eastAsia="Times New Roman" w:cs="Times New Roman"/>
                <w:b/>
                <w:bCs/>
                <w:szCs w:val="24"/>
              </w:rPr>
            </w:pPr>
            <w:r w:rsidRPr="008F5734">
              <w:rPr>
                <w:rFonts w:eastAsia="Times New Roman" w:cs="Times New Roman"/>
                <w:b/>
                <w:bCs/>
                <w:szCs w:val="24"/>
              </w:rPr>
              <w:t>Avoided Interest Cost</w:t>
            </w:r>
          </w:p>
        </w:tc>
        <w:tc>
          <w:tcPr>
            <w:tcW w:w="1584" w:type="dxa"/>
            <w:tcBorders>
              <w:top w:val="nil"/>
              <w:left w:val="nil"/>
              <w:bottom w:val="single" w:color="auto" w:sz="4" w:space="0"/>
              <w:right w:val="nil"/>
            </w:tcBorders>
            <w:noWrap/>
            <w:hideMark/>
          </w:tcPr>
          <w:p w:rsidRPr="008F5734" w:rsidR="00B8213A" w:rsidP="00B8213A" w:rsidRDefault="00B8213A" w14:paraId="729EAF74" w14:textId="77777777">
            <w:pPr>
              <w:spacing w:line="240" w:lineRule="auto"/>
              <w:ind w:firstLine="522" w:firstLineChars="200"/>
              <w:rPr>
                <w:rFonts w:eastAsia="Times New Roman" w:cs="Arial"/>
                <w:b/>
                <w:bCs/>
                <w:szCs w:val="24"/>
              </w:rPr>
            </w:pPr>
            <w:r w:rsidRPr="008F5734">
              <w:rPr>
                <w:rFonts w:eastAsia="Times New Roman" w:cs="Arial"/>
                <w:b/>
                <w:bCs/>
                <w:szCs w:val="24"/>
              </w:rPr>
              <w:t>$0.00</w:t>
            </w:r>
          </w:p>
        </w:tc>
        <w:tc>
          <w:tcPr>
            <w:tcW w:w="1584" w:type="dxa"/>
            <w:tcBorders>
              <w:top w:val="nil"/>
              <w:left w:val="nil"/>
              <w:bottom w:val="single" w:color="auto" w:sz="4" w:space="0"/>
              <w:right w:val="nil"/>
            </w:tcBorders>
            <w:noWrap/>
            <w:hideMark/>
          </w:tcPr>
          <w:p w:rsidRPr="008F5734" w:rsidR="00B8213A" w:rsidP="00B8213A" w:rsidRDefault="00B8213A" w14:paraId="4CBDDFEA" w14:textId="77777777">
            <w:pPr>
              <w:spacing w:line="240" w:lineRule="auto"/>
              <w:ind w:firstLine="0"/>
              <w:jc w:val="center"/>
              <w:rPr>
                <w:rFonts w:eastAsia="Times New Roman" w:cs="Arial"/>
                <w:b/>
                <w:bCs/>
                <w:szCs w:val="24"/>
              </w:rPr>
            </w:pPr>
            <w:r w:rsidRPr="008F5734">
              <w:rPr>
                <w:rFonts w:eastAsia="Times New Roman" w:cs="Arial"/>
                <w:b/>
                <w:bCs/>
                <w:szCs w:val="24"/>
              </w:rPr>
              <w:t>($0.90)</w:t>
            </w:r>
          </w:p>
        </w:tc>
        <w:tc>
          <w:tcPr>
            <w:tcW w:w="1584" w:type="dxa"/>
            <w:tcBorders>
              <w:top w:val="nil"/>
              <w:left w:val="nil"/>
              <w:bottom w:val="single" w:color="auto" w:sz="4" w:space="0"/>
              <w:right w:val="nil"/>
            </w:tcBorders>
            <w:noWrap/>
            <w:hideMark/>
          </w:tcPr>
          <w:p w:rsidRPr="008F5734" w:rsidR="00B8213A" w:rsidP="00B8213A" w:rsidRDefault="00B8213A" w14:paraId="2B43E7B4" w14:textId="77777777">
            <w:pPr>
              <w:spacing w:line="240" w:lineRule="auto"/>
              <w:ind w:firstLine="0"/>
              <w:jc w:val="center"/>
              <w:rPr>
                <w:rFonts w:eastAsia="Times New Roman" w:cs="Arial"/>
                <w:b/>
                <w:bCs/>
                <w:szCs w:val="24"/>
              </w:rPr>
            </w:pPr>
            <w:r w:rsidRPr="008F5734">
              <w:rPr>
                <w:rFonts w:eastAsia="Times New Roman" w:cs="Arial"/>
                <w:b/>
                <w:bCs/>
                <w:szCs w:val="24"/>
              </w:rPr>
              <w:t>($0.40)</w:t>
            </w:r>
          </w:p>
        </w:tc>
        <w:tc>
          <w:tcPr>
            <w:tcW w:w="1584" w:type="dxa"/>
            <w:tcBorders>
              <w:top w:val="nil"/>
              <w:left w:val="nil"/>
              <w:bottom w:val="single" w:color="auto" w:sz="4" w:space="0"/>
              <w:right w:val="single" w:color="auto" w:sz="4" w:space="0"/>
            </w:tcBorders>
            <w:noWrap/>
            <w:hideMark/>
          </w:tcPr>
          <w:p w:rsidRPr="008F5734" w:rsidR="00B8213A" w:rsidP="00B8213A" w:rsidRDefault="00B8213A" w14:paraId="671CBA1B" w14:textId="77777777">
            <w:pPr>
              <w:spacing w:line="240" w:lineRule="auto"/>
              <w:ind w:firstLine="0"/>
              <w:jc w:val="center"/>
              <w:rPr>
                <w:rFonts w:eastAsia="Times New Roman" w:cs="Arial"/>
                <w:b/>
                <w:bCs/>
                <w:szCs w:val="24"/>
              </w:rPr>
            </w:pPr>
            <w:r w:rsidRPr="008F5734">
              <w:rPr>
                <w:rFonts w:eastAsia="Times New Roman" w:cs="Arial"/>
                <w:b/>
                <w:bCs/>
                <w:szCs w:val="24"/>
              </w:rPr>
              <w:t>($1.30)</w:t>
            </w:r>
          </w:p>
        </w:tc>
      </w:tr>
    </w:tbl>
    <w:p w:rsidRPr="001C76E0" w:rsidR="00E91AF2" w:rsidP="008F5734" w:rsidRDefault="00931387" w14:paraId="524421B0" w14:textId="15D40A56">
      <w:pPr>
        <w:pStyle w:val="StandardTableSub"/>
      </w:pPr>
      <w:r w:rsidRPr="001C76E0">
        <w:t xml:space="preserve">SoCalGas </w:t>
      </w:r>
      <w:r w:rsidRPr="001C76E0" w:rsidR="00082E65">
        <w:t xml:space="preserve">also </w:t>
      </w:r>
      <w:r w:rsidRPr="001C76E0" w:rsidR="002218EE">
        <w:t>cites</w:t>
      </w:r>
      <w:r w:rsidRPr="001C76E0" w:rsidR="00382DC6">
        <w:t xml:space="preserve"> </w:t>
      </w:r>
      <w:r w:rsidRPr="001C76E0" w:rsidR="00082E65">
        <w:t xml:space="preserve">indirect financial benefits for both ratepayers and </w:t>
      </w:r>
      <w:r w:rsidRPr="001C76E0" w:rsidR="00095CAC">
        <w:t>SoCalGas</w:t>
      </w:r>
      <w:r w:rsidRPr="001C76E0" w:rsidR="00082E65">
        <w:t xml:space="preserve">. Ratepayers and the utility, according to </w:t>
      </w:r>
      <w:r w:rsidRPr="001C76E0" w:rsidR="00382DC6">
        <w:t>SoCalGas</w:t>
      </w:r>
      <w:r w:rsidRPr="001C76E0" w:rsidR="00082E65">
        <w:t xml:space="preserve">, will indirectly benefit because interim rates will </w:t>
      </w:r>
      <w:r w:rsidRPr="001C76E0" w:rsidR="009C4174">
        <w:t xml:space="preserve">support </w:t>
      </w:r>
      <w:r w:rsidR="00CD7A4F">
        <w:t>SoCalGas’</w:t>
      </w:r>
      <w:r w:rsidRPr="001C76E0" w:rsidR="00CD7A4F">
        <w:t xml:space="preserve"> </w:t>
      </w:r>
      <w:r w:rsidRPr="001C76E0" w:rsidR="009C4174">
        <w:t xml:space="preserve">credit metrics and </w:t>
      </w:r>
      <w:r w:rsidRPr="001C76E0" w:rsidR="00082E65">
        <w:t xml:space="preserve">promote </w:t>
      </w:r>
      <w:r w:rsidRPr="001C76E0" w:rsidR="009C4174">
        <w:lastRenderedPageBreak/>
        <w:t xml:space="preserve">a </w:t>
      </w:r>
      <w:r w:rsidRPr="001C76E0" w:rsidR="00082E65">
        <w:t xml:space="preserve">positive perception </w:t>
      </w:r>
      <w:r w:rsidRPr="001C76E0" w:rsidR="00662B6E">
        <w:t>of</w:t>
      </w:r>
      <w:r w:rsidRPr="001C76E0" w:rsidR="00082E65">
        <w:t xml:space="preserve"> regulatory risks</w:t>
      </w:r>
      <w:r w:rsidRPr="001C76E0" w:rsidR="001F552E">
        <w:t xml:space="preserve"> by rating agencies</w:t>
      </w:r>
      <w:r w:rsidRPr="001C76E0" w:rsidR="00A721CE">
        <w:t>.</w:t>
      </w:r>
      <w:r w:rsidRPr="001C76E0" w:rsidR="00F776CD">
        <w:rPr>
          <w:rStyle w:val="FootnoteReference"/>
        </w:rPr>
        <w:footnoteReference w:id="27"/>
      </w:r>
      <w:r w:rsidRPr="001C76E0" w:rsidR="00082E65">
        <w:t xml:space="preserve"> </w:t>
      </w:r>
      <w:r w:rsidRPr="001C76E0" w:rsidR="00DD3F66">
        <w:t xml:space="preserve">SoCalGas </w:t>
      </w:r>
      <w:r w:rsidRPr="001C76E0" w:rsidR="00082E65">
        <w:t>also states that relief is particularly appropriate now</w:t>
      </w:r>
      <w:r w:rsidRPr="001C76E0" w:rsidR="00662B6E">
        <w:t>,</w:t>
      </w:r>
      <w:r w:rsidRPr="001C76E0" w:rsidR="00082E65">
        <w:t xml:space="preserve"> based on </w:t>
      </w:r>
      <w:r w:rsidRPr="001C76E0" w:rsidR="00042EDE">
        <w:t xml:space="preserve">a </w:t>
      </w:r>
      <w:r w:rsidRPr="001C76E0" w:rsidR="008077DA">
        <w:t xml:space="preserve">January </w:t>
      </w:r>
      <w:r w:rsidRPr="001C76E0" w:rsidR="00684A93">
        <w:t>2025</w:t>
      </w:r>
      <w:r w:rsidRPr="001C76E0" w:rsidR="00042EDE">
        <w:t xml:space="preserve"> credit rating </w:t>
      </w:r>
      <w:r w:rsidRPr="001C76E0" w:rsidR="008077DA">
        <w:t>downgrade</w:t>
      </w:r>
      <w:r w:rsidRPr="001C76E0" w:rsidR="00042EDE">
        <w:t xml:space="preserve"> by </w:t>
      </w:r>
      <w:r w:rsidRPr="001C76E0" w:rsidR="008077DA">
        <w:t>Standard and Poor</w:t>
      </w:r>
      <w:r w:rsidR="00EA0147">
        <w:t>’</w:t>
      </w:r>
      <w:r w:rsidRPr="001C76E0" w:rsidR="008077DA">
        <w:t xml:space="preserve">s Global Ratings </w:t>
      </w:r>
      <w:r w:rsidRPr="001C76E0" w:rsidR="00A245C9">
        <w:t xml:space="preserve">and </w:t>
      </w:r>
      <w:r w:rsidR="002A3E50">
        <w:t>the issuance of a</w:t>
      </w:r>
      <w:r w:rsidR="00E37625">
        <w:t xml:space="preserve"> </w:t>
      </w:r>
      <w:r w:rsidRPr="001C76E0" w:rsidR="00E37625">
        <w:t xml:space="preserve">March 2025 ratings action </w:t>
      </w:r>
      <w:r w:rsidR="00E37625">
        <w:t xml:space="preserve">from </w:t>
      </w:r>
      <w:r w:rsidRPr="001C76E0" w:rsidR="00A245C9">
        <w:t>Moody</w:t>
      </w:r>
      <w:r w:rsidR="00EA0147">
        <w:t>’</w:t>
      </w:r>
      <w:r w:rsidRPr="001C76E0" w:rsidR="001F552E">
        <w:t>s</w:t>
      </w:r>
      <w:r w:rsidRPr="001C76E0" w:rsidR="00F67C62">
        <w:t xml:space="preserve"> </w:t>
      </w:r>
      <w:r w:rsidRPr="001C76E0" w:rsidR="001F552E">
        <w:t>which stated</w:t>
      </w:r>
      <w:r w:rsidRPr="001C76E0" w:rsidR="003C4663">
        <w:t xml:space="preserve"> </w:t>
      </w:r>
      <w:r w:rsidRPr="001C76E0" w:rsidR="00EA1F5D">
        <w:t xml:space="preserve">SoCalGas </w:t>
      </w:r>
      <w:r w:rsidRPr="001C76E0" w:rsidR="00F67C62">
        <w:t>was</w:t>
      </w:r>
      <w:r w:rsidRPr="001C76E0" w:rsidR="00EA1F5D">
        <w:t xml:space="preserve"> </w:t>
      </w:r>
      <w:r w:rsidR="00EA0147">
        <w:t>“</w:t>
      </w:r>
      <w:r w:rsidRPr="001C76E0" w:rsidR="00EA1F5D">
        <w:t>weakly</w:t>
      </w:r>
      <w:r w:rsidR="00EA0147">
        <w:t>”</w:t>
      </w:r>
      <w:r w:rsidRPr="001C76E0" w:rsidR="00EA1F5D">
        <w:t xml:space="preserve"> at its current rating</w:t>
      </w:r>
      <w:r w:rsidRPr="001C76E0" w:rsidR="00082E65">
        <w:t>.</w:t>
      </w:r>
      <w:r w:rsidRPr="001C76E0" w:rsidR="00766B75">
        <w:t xml:space="preserve"> </w:t>
      </w:r>
      <w:r w:rsidRPr="001C76E0" w:rsidR="00211D3F">
        <w:t xml:space="preserve">SoCalGas argues </w:t>
      </w:r>
      <w:r w:rsidRPr="001C76E0" w:rsidR="00741228">
        <w:t>ratepayers benefit when their utility has a strong credit rating</w:t>
      </w:r>
      <w:r w:rsidR="00B17D12">
        <w:t>,</w:t>
      </w:r>
      <w:r w:rsidRPr="001C76E0" w:rsidR="00741228">
        <w:t xml:space="preserve"> as </w:t>
      </w:r>
      <w:r w:rsidRPr="001C76E0" w:rsidR="00CB02FE">
        <w:t>this should</w:t>
      </w:r>
      <w:r w:rsidRPr="001C76E0" w:rsidR="00741228">
        <w:t xml:space="preserve"> result </w:t>
      </w:r>
      <w:r w:rsidRPr="001C76E0" w:rsidR="00CB02FE">
        <w:t>in</w:t>
      </w:r>
      <w:r w:rsidRPr="001C76E0" w:rsidR="00741228">
        <w:t xml:space="preserve"> lower </w:t>
      </w:r>
      <w:r w:rsidRPr="001C76E0" w:rsidR="00CB02FE">
        <w:t xml:space="preserve">capital </w:t>
      </w:r>
      <w:r w:rsidRPr="001C76E0" w:rsidR="00741228">
        <w:t>costs.</w:t>
      </w:r>
      <w:r w:rsidRPr="001C76E0" w:rsidR="0068637E">
        <w:rPr>
          <w:rStyle w:val="FootnoteReference"/>
        </w:rPr>
        <w:footnoteReference w:id="28"/>
      </w:r>
    </w:p>
    <w:p w:rsidR="00EA0147" w:rsidP="009965DF" w:rsidRDefault="009A7E03" w14:paraId="0C35E292" w14:textId="745A592C">
      <w:pPr>
        <w:pStyle w:val="Standard"/>
      </w:pPr>
      <w:r w:rsidRPr="001C76E0">
        <w:t>SoCalGas</w:t>
      </w:r>
      <w:r w:rsidRPr="001C76E0" w:rsidR="00EE6825">
        <w:t xml:space="preserve"> also</w:t>
      </w:r>
      <w:r w:rsidRPr="001C76E0">
        <w:t xml:space="preserve"> </w:t>
      </w:r>
      <w:r w:rsidRPr="001C76E0" w:rsidR="007B27FB">
        <w:t>states</w:t>
      </w:r>
      <w:r w:rsidRPr="001C76E0">
        <w:t xml:space="preserve"> </w:t>
      </w:r>
      <w:r w:rsidRPr="001C76E0" w:rsidR="008E3A17">
        <w:t xml:space="preserve">that </w:t>
      </w:r>
      <w:r w:rsidRPr="001C76E0" w:rsidR="007B27FB">
        <w:t xml:space="preserve">interim rate recovery will promote </w:t>
      </w:r>
      <w:r w:rsidRPr="001C76E0" w:rsidR="00EE6825">
        <w:t xml:space="preserve">intergenerational </w:t>
      </w:r>
      <w:r w:rsidRPr="001C76E0" w:rsidR="00FE1D5F">
        <w:t>equity.</w:t>
      </w:r>
      <w:r w:rsidRPr="001C76E0" w:rsidR="00ED405A">
        <w:t xml:space="preserve"> SoCalGas notes the DIMPBA under</w:t>
      </w:r>
      <w:r w:rsidR="0004127A">
        <w:noBreakHyphen/>
      </w:r>
      <w:r w:rsidRPr="001C76E0" w:rsidR="00ED405A">
        <w:t>collections</w:t>
      </w:r>
      <w:r w:rsidRPr="001C76E0" w:rsidR="00A57331">
        <w:t xml:space="preserve"> </w:t>
      </w:r>
      <w:r w:rsidRPr="001C76E0" w:rsidR="00051169">
        <w:t xml:space="preserve">at issue </w:t>
      </w:r>
      <w:r w:rsidRPr="001C76E0" w:rsidR="00B97FCF">
        <w:t xml:space="preserve">are </w:t>
      </w:r>
      <w:r w:rsidRPr="001C76E0" w:rsidR="00ED405A">
        <w:t>composed of O</w:t>
      </w:r>
      <w:r w:rsidR="00FB5D75">
        <w:t>perations </w:t>
      </w:r>
      <w:r w:rsidRPr="001C76E0" w:rsidR="00ED405A">
        <w:t>&amp;</w:t>
      </w:r>
      <w:r w:rsidR="00FB5D75">
        <w:t xml:space="preserve"> </w:t>
      </w:r>
      <w:r w:rsidRPr="001C76E0" w:rsidR="00ED405A">
        <w:t>M</w:t>
      </w:r>
      <w:r w:rsidR="00FB5D75">
        <w:t>aintenance</w:t>
      </w:r>
      <w:r w:rsidRPr="001C76E0" w:rsidR="00ED405A">
        <w:t xml:space="preserve"> and capital expenditures from 2023</w:t>
      </w:r>
      <w:r w:rsidRPr="001C76E0" w:rsidR="00051169">
        <w:t>; therefore</w:t>
      </w:r>
      <w:r w:rsidRPr="001C76E0" w:rsidR="00134A52">
        <w:t>,</w:t>
      </w:r>
      <w:r w:rsidRPr="001C76E0" w:rsidR="00AB69AB">
        <w:t xml:space="preserve"> </w:t>
      </w:r>
      <w:r w:rsidRPr="001C76E0" w:rsidR="00DC3693">
        <w:t xml:space="preserve">it argues </w:t>
      </w:r>
      <w:r w:rsidRPr="001C76E0" w:rsidR="00175048">
        <w:t xml:space="preserve">that </w:t>
      </w:r>
      <w:r w:rsidRPr="001C76E0" w:rsidR="00051169">
        <w:t>aligning</w:t>
      </w:r>
      <w:r w:rsidRPr="001C76E0" w:rsidR="00AB69AB">
        <w:t xml:space="preserve"> the cost</w:t>
      </w:r>
      <w:r w:rsidRPr="001C76E0" w:rsidR="00B97FCF">
        <w:t>s</w:t>
      </w:r>
      <w:r w:rsidRPr="001C76E0" w:rsidR="00AB69AB">
        <w:t xml:space="preserve"> closer </w:t>
      </w:r>
      <w:r w:rsidRPr="001C76E0" w:rsidR="008D5AD6">
        <w:t>in time to</w:t>
      </w:r>
      <w:r w:rsidRPr="001C76E0" w:rsidR="00AB69AB">
        <w:t xml:space="preserve"> the benefit </w:t>
      </w:r>
      <w:r w:rsidRPr="001C76E0" w:rsidR="00051169">
        <w:t xml:space="preserve">via </w:t>
      </w:r>
      <w:r w:rsidRPr="001C76E0" w:rsidR="00134A52">
        <w:t>interim rate recovery</w:t>
      </w:r>
      <w:r w:rsidRPr="001C76E0" w:rsidR="00AB69AB">
        <w:t xml:space="preserve"> </w:t>
      </w:r>
      <w:r w:rsidRPr="001C76E0" w:rsidR="00134A52">
        <w:t>improves</w:t>
      </w:r>
      <w:r w:rsidRPr="001C76E0" w:rsidR="00AB69AB">
        <w:t xml:space="preserve"> intergenerational equity.</w:t>
      </w:r>
      <w:r w:rsidRPr="001C76E0" w:rsidR="00EE6825">
        <w:rPr>
          <w:rStyle w:val="FootnoteReference"/>
        </w:rPr>
        <w:footnoteReference w:id="29"/>
      </w:r>
    </w:p>
    <w:p w:rsidRPr="001C76E0" w:rsidR="00E4431F" w:rsidP="009965DF" w:rsidRDefault="00AE4FDD" w14:paraId="31932E2D" w14:textId="4DA6B05C">
      <w:pPr>
        <w:pStyle w:val="Standard"/>
      </w:pPr>
      <w:r w:rsidRPr="001C76E0">
        <w:t>SoCalGas</w:t>
      </w:r>
      <w:r w:rsidR="00FB59DE">
        <w:t xml:space="preserve"> </w:t>
      </w:r>
      <w:r w:rsidR="00E83E6B">
        <w:t>further</w:t>
      </w:r>
      <w:r w:rsidRPr="001C76E0">
        <w:t xml:space="preserve"> notes the costs at issue are similar to those granted in </w:t>
      </w:r>
      <w:r w:rsidR="00BA1683">
        <w:t>Resolution </w:t>
      </w:r>
      <w:r w:rsidRPr="001C76E0" w:rsidR="00B71817">
        <w:t>G</w:t>
      </w:r>
      <w:r w:rsidR="0004127A">
        <w:noBreakHyphen/>
      </w:r>
      <w:r w:rsidRPr="001C76E0" w:rsidR="00B71817">
        <w:t xml:space="preserve">3610 and that there is limited </w:t>
      </w:r>
      <w:r w:rsidRPr="001C76E0" w:rsidR="00296417">
        <w:t xml:space="preserve">ratepayer </w:t>
      </w:r>
      <w:r w:rsidRPr="001C76E0" w:rsidR="00B71817">
        <w:t>risk because the interim r</w:t>
      </w:r>
      <w:r w:rsidRPr="001C76E0" w:rsidR="00296417">
        <w:t>ate recovery would be subject to refund with interest.</w:t>
      </w:r>
      <w:r w:rsidRPr="001C76E0" w:rsidR="00066929">
        <w:rPr>
          <w:rStyle w:val="FootnoteReference"/>
        </w:rPr>
        <w:footnoteReference w:id="30"/>
      </w:r>
    </w:p>
    <w:p w:rsidRPr="001C76E0" w:rsidR="009965DF" w:rsidP="00EB60B3" w:rsidRDefault="00E6705F" w14:paraId="0245363B" w14:textId="0F1E2CFB">
      <w:pPr>
        <w:pStyle w:val="Heading2"/>
      </w:pPr>
      <w:bookmarkStart w:name="_Toc217461716" w:id="11"/>
      <w:r>
        <w:t>Cal Adv</w:t>
      </w:r>
      <w:r w:rsidRPr="001C76E0" w:rsidR="009965DF">
        <w:t>ocates</w:t>
      </w:r>
      <w:r w:rsidRPr="001C76E0" w:rsidR="008E41F7">
        <w:t xml:space="preserve"> </w:t>
      </w:r>
      <w:r w:rsidRPr="001C76E0" w:rsidR="00A70356">
        <w:t>Response</w:t>
      </w:r>
      <w:bookmarkEnd w:id="11"/>
    </w:p>
    <w:p w:rsidRPr="001C76E0" w:rsidR="00C97AE4" w:rsidP="0000695A" w:rsidRDefault="00E6705F" w14:paraId="17BE0898" w14:textId="7911F0BE">
      <w:pPr>
        <w:pStyle w:val="Standard"/>
      </w:pPr>
      <w:r>
        <w:t>Cal Adv</w:t>
      </w:r>
      <w:r w:rsidRPr="001C76E0" w:rsidR="0000695A">
        <w:t xml:space="preserve">ocates opposes </w:t>
      </w:r>
      <w:r w:rsidRPr="001C76E0" w:rsidR="003935B5">
        <w:t>the</w:t>
      </w:r>
      <w:r w:rsidRPr="001C76E0" w:rsidR="000650D1">
        <w:t xml:space="preserve"> </w:t>
      </w:r>
      <w:r w:rsidRPr="001C76E0" w:rsidR="003935B5">
        <w:t>M</w:t>
      </w:r>
      <w:r w:rsidRPr="001C76E0" w:rsidR="000650D1">
        <w:t>otion</w:t>
      </w:r>
      <w:r w:rsidRPr="001C76E0" w:rsidR="0000695A">
        <w:t xml:space="preserve">. </w:t>
      </w:r>
      <w:r>
        <w:t>Cal Adv</w:t>
      </w:r>
      <w:r w:rsidRPr="001C76E0" w:rsidR="00C97AE4">
        <w:t xml:space="preserve">ocates </w:t>
      </w:r>
      <w:r w:rsidRPr="001C76E0" w:rsidR="00B01493">
        <w:t xml:space="preserve">argues </w:t>
      </w:r>
      <w:r w:rsidRPr="001C76E0" w:rsidR="00E61FFA">
        <w:t xml:space="preserve">that </w:t>
      </w:r>
      <w:r w:rsidRPr="001C76E0" w:rsidR="00B01493">
        <w:t>granting</w:t>
      </w:r>
      <w:r w:rsidRPr="001C76E0" w:rsidR="00C97AE4">
        <w:t xml:space="preserve"> the </w:t>
      </w:r>
      <w:r w:rsidRPr="001C76E0" w:rsidR="00B01493">
        <w:t>Motion</w:t>
      </w:r>
      <w:r w:rsidRPr="001C76E0" w:rsidR="006E0F51">
        <w:t xml:space="preserve"> </w:t>
      </w:r>
      <w:r w:rsidRPr="001C76E0" w:rsidR="0060020D">
        <w:t xml:space="preserve">would </w:t>
      </w:r>
      <w:r w:rsidRPr="001C76E0" w:rsidR="006E0F51">
        <w:t xml:space="preserve">circumvent </w:t>
      </w:r>
      <w:r w:rsidRPr="001C76E0" w:rsidR="0060020D">
        <w:t>the cost recovery</w:t>
      </w:r>
      <w:r w:rsidRPr="001C76E0" w:rsidR="00416874">
        <w:t xml:space="preserve"> </w:t>
      </w:r>
      <w:r w:rsidRPr="001C76E0" w:rsidR="00066929">
        <w:t>process</w:t>
      </w:r>
      <w:r w:rsidRPr="001C76E0" w:rsidR="00844E01">
        <w:t xml:space="preserve"> established by </w:t>
      </w:r>
      <w:r w:rsidRPr="001C76E0" w:rsidR="00496E12">
        <w:t>D.19</w:t>
      </w:r>
      <w:r w:rsidR="0004127A">
        <w:noBreakHyphen/>
      </w:r>
      <w:r w:rsidRPr="001C76E0" w:rsidR="00496E12">
        <w:t>09</w:t>
      </w:r>
      <w:r w:rsidR="0004127A">
        <w:noBreakHyphen/>
      </w:r>
      <w:r w:rsidRPr="001C76E0" w:rsidR="00496E12">
        <w:t>051 and D.24</w:t>
      </w:r>
      <w:r w:rsidR="0004127A">
        <w:noBreakHyphen/>
      </w:r>
      <w:r w:rsidRPr="001C76E0" w:rsidR="00496E12">
        <w:t>12</w:t>
      </w:r>
      <w:r w:rsidR="0004127A">
        <w:noBreakHyphen/>
      </w:r>
      <w:r w:rsidRPr="001C76E0" w:rsidR="00496E12">
        <w:t>0</w:t>
      </w:r>
      <w:r w:rsidR="00431CF7">
        <w:t>74</w:t>
      </w:r>
      <w:r w:rsidRPr="001C76E0" w:rsidR="00B6486A">
        <w:t xml:space="preserve">; therefore, </w:t>
      </w:r>
      <w:r w:rsidRPr="001C76E0" w:rsidR="00E61FFA">
        <w:t xml:space="preserve">the interim </w:t>
      </w:r>
      <w:r w:rsidRPr="001C76E0" w:rsidR="00995238">
        <w:t>rate</w:t>
      </w:r>
      <w:r w:rsidRPr="001C76E0" w:rsidR="00416874">
        <w:t xml:space="preserve"> recovery </w:t>
      </w:r>
      <w:r w:rsidRPr="001C76E0" w:rsidR="00E61FFA">
        <w:t xml:space="preserve">sought by the </w:t>
      </w:r>
      <w:r w:rsidRPr="001C76E0" w:rsidR="00995238">
        <w:t>M</w:t>
      </w:r>
      <w:r w:rsidRPr="001C76E0" w:rsidR="00E61FFA">
        <w:t xml:space="preserve">otion </w:t>
      </w:r>
      <w:r w:rsidRPr="001C76E0" w:rsidR="00416874">
        <w:t xml:space="preserve">is </w:t>
      </w:r>
      <w:r w:rsidRPr="001C76E0" w:rsidR="0060020D">
        <w:t>unreasonable</w:t>
      </w:r>
      <w:r w:rsidRPr="001C76E0" w:rsidR="009561BE">
        <w:t>.</w:t>
      </w:r>
      <w:r w:rsidRPr="001C76E0" w:rsidR="00C623A3">
        <w:rPr>
          <w:rStyle w:val="FootnoteReference"/>
        </w:rPr>
        <w:footnoteReference w:id="31"/>
      </w:r>
    </w:p>
    <w:p w:rsidRPr="001C76E0" w:rsidR="00C86371" w:rsidP="00C86371" w:rsidRDefault="00E6705F" w14:paraId="1897A982" w14:textId="4DEE2A15">
      <w:pPr>
        <w:pStyle w:val="Standard"/>
      </w:pPr>
      <w:r>
        <w:lastRenderedPageBreak/>
        <w:t>Cal Adv</w:t>
      </w:r>
      <w:r w:rsidRPr="001C76E0" w:rsidR="00C86371">
        <w:t xml:space="preserve">ocates </w:t>
      </w:r>
      <w:r w:rsidR="00AD38CF">
        <w:t>also</w:t>
      </w:r>
      <w:r w:rsidRPr="001C76E0" w:rsidR="00AD38CF">
        <w:t xml:space="preserve"> </w:t>
      </w:r>
      <w:r w:rsidRPr="001C76E0" w:rsidR="00C86371">
        <w:t xml:space="preserve">argues SoCalGas has not provided facts to support the elements the Commission may consider when granting interim </w:t>
      </w:r>
      <w:r w:rsidRPr="001C76E0" w:rsidR="00293479">
        <w:t>rate recovery</w:t>
      </w:r>
      <w:r w:rsidRPr="001C76E0" w:rsidR="00C86371">
        <w:t>.</w:t>
      </w:r>
      <w:r w:rsidRPr="001C76E0" w:rsidR="00C86371">
        <w:rPr>
          <w:rStyle w:val="FootnoteReference"/>
        </w:rPr>
        <w:footnoteReference w:id="32"/>
      </w:r>
      <w:r w:rsidRPr="001C76E0" w:rsidR="00C86371">
        <w:t xml:space="preserve"> </w:t>
      </w:r>
      <w:r>
        <w:t>Cal Adv</w:t>
      </w:r>
      <w:r w:rsidRPr="001C76E0" w:rsidR="00C86371">
        <w:t xml:space="preserve">ocates </w:t>
      </w:r>
      <w:r w:rsidR="003F4746">
        <w:t>states</w:t>
      </w:r>
      <w:r w:rsidRPr="001C76E0" w:rsidR="00C86371">
        <w:t xml:space="preserve"> SoCalGas did not identify an emergency situation or fairness issue that requires immediate action in the form of interim rate recovery.</w:t>
      </w:r>
      <w:r w:rsidRPr="001C76E0" w:rsidR="00C86371">
        <w:rPr>
          <w:rStyle w:val="FootnoteReference"/>
        </w:rPr>
        <w:footnoteReference w:id="33"/>
      </w:r>
    </w:p>
    <w:p w:rsidRPr="001C76E0" w:rsidR="00A70356" w:rsidP="00A70356" w:rsidRDefault="00022AAD" w14:paraId="28F0569A" w14:textId="787A5756">
      <w:pPr>
        <w:pStyle w:val="Standard"/>
      </w:pPr>
      <w:r>
        <w:t>Further</w:t>
      </w:r>
      <w:r w:rsidRPr="001C76E0" w:rsidR="00285801">
        <w:t>,</w:t>
      </w:r>
      <w:r w:rsidRPr="001C76E0" w:rsidR="00C86371">
        <w:t xml:space="preserve"> </w:t>
      </w:r>
      <w:r w:rsidR="00E6705F">
        <w:t>Cal Adv</w:t>
      </w:r>
      <w:r w:rsidRPr="001C76E0" w:rsidR="00A70356">
        <w:t>ocates notes that in D.22</w:t>
      </w:r>
      <w:r w:rsidR="0004127A">
        <w:noBreakHyphen/>
      </w:r>
      <w:r w:rsidRPr="001C76E0" w:rsidR="00A70356">
        <w:t>05</w:t>
      </w:r>
      <w:r w:rsidR="0004127A">
        <w:noBreakHyphen/>
      </w:r>
      <w:r w:rsidRPr="001C76E0" w:rsidR="00A70356">
        <w:t>001</w:t>
      </w:r>
      <w:r w:rsidRPr="001C76E0" w:rsidR="008E4486">
        <w:t>,</w:t>
      </w:r>
      <w:r w:rsidRPr="001C76E0" w:rsidR="00A70356">
        <w:t xml:space="preserve"> the Commission denied SDG&amp;E</w:t>
      </w:r>
      <w:r w:rsidR="00C10718">
        <w:t>’s</w:t>
      </w:r>
      <w:r w:rsidRPr="001C76E0" w:rsidR="00A70356">
        <w:t xml:space="preserve"> request for interim rate recovery. </w:t>
      </w:r>
      <w:r w:rsidR="00E6705F">
        <w:t>Cal Adv</w:t>
      </w:r>
      <w:r w:rsidRPr="001C76E0" w:rsidR="00A70356">
        <w:t xml:space="preserve">ocates states the Commission denied the request because </w:t>
      </w:r>
      <w:r w:rsidRPr="001C76E0" w:rsidR="00593484">
        <w:t xml:space="preserve">of </w:t>
      </w:r>
      <w:r w:rsidRPr="001C76E0" w:rsidR="00A70356">
        <w:t>SDG&amp;E</w:t>
      </w:r>
      <w:r w:rsidR="00EA0147">
        <w:t>’</w:t>
      </w:r>
      <w:r w:rsidRPr="001C76E0" w:rsidR="00A70356">
        <w:t xml:space="preserve">s </w:t>
      </w:r>
      <w:r w:rsidRPr="001C76E0" w:rsidR="00FD7362">
        <w:t>stable</w:t>
      </w:r>
      <w:r w:rsidRPr="001C76E0" w:rsidR="006B0EDB">
        <w:t xml:space="preserve"> </w:t>
      </w:r>
      <w:r w:rsidRPr="001C76E0" w:rsidR="00A70356">
        <w:t xml:space="preserve">financial condition and ordered SDG&amp;E to make its reasonableness request in the next </w:t>
      </w:r>
      <w:r w:rsidRPr="001C76E0" w:rsidR="001B7536">
        <w:t>General Rate Case (</w:t>
      </w:r>
      <w:r w:rsidRPr="001C76E0" w:rsidR="00A70356">
        <w:t>GRC</w:t>
      </w:r>
      <w:r w:rsidRPr="001C76E0" w:rsidR="001B7536">
        <w:t>)</w:t>
      </w:r>
      <w:r w:rsidRPr="001C76E0" w:rsidR="00A70356">
        <w:t xml:space="preserve"> or via a separate application.</w:t>
      </w:r>
      <w:r w:rsidRPr="001C76E0" w:rsidR="00CF5D27">
        <w:rPr>
          <w:rStyle w:val="FootnoteReference"/>
        </w:rPr>
        <w:footnoteReference w:id="34"/>
      </w:r>
      <w:r w:rsidRPr="001C76E0" w:rsidR="00D673DA">
        <w:t xml:space="preserve"> </w:t>
      </w:r>
      <w:r w:rsidR="00E6705F">
        <w:t>Cal Adv</w:t>
      </w:r>
      <w:r w:rsidRPr="001C76E0" w:rsidR="00D673DA">
        <w:t>ocates</w:t>
      </w:r>
      <w:r w:rsidRPr="001C76E0" w:rsidR="00B3165F">
        <w:t xml:space="preserve"> notes that D.19</w:t>
      </w:r>
      <w:r w:rsidR="0004127A">
        <w:noBreakHyphen/>
      </w:r>
      <w:r w:rsidRPr="001C76E0" w:rsidR="00B3165F">
        <w:t>09</w:t>
      </w:r>
      <w:r w:rsidR="0004127A">
        <w:noBreakHyphen/>
      </w:r>
      <w:r w:rsidRPr="001C76E0" w:rsidR="00B3165F">
        <w:t>051</w:t>
      </w:r>
      <w:r w:rsidRPr="001C76E0" w:rsidR="007B2516">
        <w:t xml:space="preserve"> and D.24</w:t>
      </w:r>
      <w:r w:rsidR="0004127A">
        <w:noBreakHyphen/>
      </w:r>
      <w:r w:rsidRPr="001C76E0" w:rsidR="007B2516">
        <w:t>12</w:t>
      </w:r>
      <w:r w:rsidR="0004127A">
        <w:noBreakHyphen/>
      </w:r>
      <w:r w:rsidRPr="001C76E0" w:rsidR="007B2516">
        <w:t>0</w:t>
      </w:r>
      <w:r w:rsidR="00431CF7">
        <w:t>74</w:t>
      </w:r>
      <w:r w:rsidRPr="001C76E0" w:rsidR="00B3165F">
        <w:t xml:space="preserve"> address</w:t>
      </w:r>
      <w:r w:rsidRPr="001C76E0" w:rsidR="00C41177">
        <w:t>ed</w:t>
      </w:r>
      <w:r w:rsidRPr="001C76E0" w:rsidR="00B3165F">
        <w:t xml:space="preserve"> certain forms of interim </w:t>
      </w:r>
      <w:r w:rsidRPr="001C76E0" w:rsidR="00293479">
        <w:t>rate recovery</w:t>
      </w:r>
      <w:r w:rsidRPr="001C76E0" w:rsidR="00C41177">
        <w:t xml:space="preserve">; however, </w:t>
      </w:r>
      <w:r w:rsidRPr="001C76E0" w:rsidR="0069283D">
        <w:t xml:space="preserve">SoCalGas did not seek interim </w:t>
      </w:r>
      <w:r w:rsidRPr="001C76E0" w:rsidR="00293479">
        <w:t>rate recovery</w:t>
      </w:r>
      <w:r w:rsidRPr="001C76E0" w:rsidR="0069283D">
        <w:t xml:space="preserve"> of </w:t>
      </w:r>
      <w:r w:rsidRPr="001C76E0" w:rsidR="00CD7A4F">
        <w:t xml:space="preserve">Distribution Integrity Management Program </w:t>
      </w:r>
      <w:r w:rsidR="00CD7A4F">
        <w:t>(</w:t>
      </w:r>
      <w:r w:rsidRPr="001C76E0" w:rsidR="00B3165F">
        <w:t>DIMP</w:t>
      </w:r>
      <w:r w:rsidR="00CD7A4F">
        <w:t>)</w:t>
      </w:r>
      <w:r w:rsidRPr="001C76E0" w:rsidR="00B3165F">
        <w:t xml:space="preserve"> costs at issue</w:t>
      </w:r>
      <w:r w:rsidRPr="001C76E0" w:rsidR="0069283D">
        <w:t xml:space="preserve"> </w:t>
      </w:r>
      <w:r w:rsidRPr="001C76E0" w:rsidR="0016460F">
        <w:t xml:space="preserve">in the </w:t>
      </w:r>
      <w:r w:rsidRPr="001C76E0" w:rsidR="00C931BF">
        <w:t>M</w:t>
      </w:r>
      <w:r w:rsidRPr="001C76E0" w:rsidR="0016460F">
        <w:t xml:space="preserve">otion </w:t>
      </w:r>
      <w:r w:rsidRPr="001C76E0" w:rsidR="00C931BF">
        <w:t xml:space="preserve">during the </w:t>
      </w:r>
      <w:r w:rsidRPr="001C76E0" w:rsidR="009E410F">
        <w:t>D.24</w:t>
      </w:r>
      <w:r w:rsidR="0004127A">
        <w:noBreakHyphen/>
      </w:r>
      <w:r w:rsidRPr="001C76E0" w:rsidR="009E410F">
        <w:t>12</w:t>
      </w:r>
      <w:r w:rsidR="0004127A">
        <w:noBreakHyphen/>
      </w:r>
      <w:r w:rsidRPr="001C76E0" w:rsidR="009E410F">
        <w:t>074</w:t>
      </w:r>
      <w:r w:rsidRPr="001C76E0" w:rsidR="00C931BF">
        <w:t xml:space="preserve"> GRC cycle</w:t>
      </w:r>
      <w:r w:rsidRPr="001C76E0" w:rsidR="0016460F">
        <w:t>.</w:t>
      </w:r>
      <w:r w:rsidRPr="001C76E0" w:rsidR="00CF5D27">
        <w:rPr>
          <w:rStyle w:val="FootnoteReference"/>
        </w:rPr>
        <w:footnoteReference w:id="35"/>
      </w:r>
      <w:r w:rsidRPr="001C76E0" w:rsidR="0016460F">
        <w:t xml:space="preserve"> </w:t>
      </w:r>
      <w:r w:rsidRPr="001C76E0" w:rsidR="00C931BF">
        <w:t>For all the above reasons</w:t>
      </w:r>
      <w:r w:rsidRPr="001C76E0" w:rsidR="0016460F">
        <w:t xml:space="preserve">, </w:t>
      </w:r>
      <w:r w:rsidR="00E6705F">
        <w:t>Cal Adv</w:t>
      </w:r>
      <w:r w:rsidRPr="001C76E0" w:rsidR="0016460F">
        <w:t xml:space="preserve">ocates </w:t>
      </w:r>
      <w:r w:rsidRPr="001C76E0" w:rsidR="00C931BF">
        <w:t>argues</w:t>
      </w:r>
      <w:r w:rsidRPr="001C76E0" w:rsidR="0016460F">
        <w:t xml:space="preserve"> the Motion should be denied.</w:t>
      </w:r>
    </w:p>
    <w:p w:rsidRPr="001C76E0" w:rsidR="00D7489C" w:rsidP="00EB60B3" w:rsidRDefault="008B689A" w14:paraId="00029DAB" w14:textId="37611CD8">
      <w:pPr>
        <w:pStyle w:val="Heading2"/>
      </w:pPr>
      <w:bookmarkStart w:name="_Toc217461717" w:id="12"/>
      <w:r w:rsidRPr="008B689A">
        <w:rPr>
          <w:bCs/>
        </w:rPr>
        <w:t>Southern California Gas Company</w:t>
      </w:r>
      <w:r w:rsidRPr="001C76E0" w:rsidR="0091767E">
        <w:t xml:space="preserve"> Reply</w:t>
      </w:r>
      <w:bookmarkEnd w:id="12"/>
    </w:p>
    <w:p w:rsidRPr="001C76E0" w:rsidR="009651CC" w:rsidP="00ED63CF" w:rsidRDefault="00E237AC" w14:paraId="1F07F53D" w14:textId="47E05197">
      <w:pPr>
        <w:pStyle w:val="Standard"/>
      </w:pPr>
      <w:r w:rsidRPr="001C76E0">
        <w:t>SoCalGas refute</w:t>
      </w:r>
      <w:r w:rsidRPr="001C76E0" w:rsidR="00BF29CD">
        <w:t>s</w:t>
      </w:r>
      <w:r w:rsidRPr="001C76E0">
        <w:t xml:space="preserve"> </w:t>
      </w:r>
      <w:r w:rsidRPr="001C76E0" w:rsidR="00BF29CD">
        <w:t xml:space="preserve">the positions taken by </w:t>
      </w:r>
      <w:r w:rsidR="00E6705F">
        <w:t>Cal Adv</w:t>
      </w:r>
      <w:r w:rsidRPr="001C76E0">
        <w:t>ocates</w:t>
      </w:r>
      <w:r w:rsidRPr="001C76E0" w:rsidR="00BF29CD">
        <w:t xml:space="preserve"> in its</w:t>
      </w:r>
      <w:r w:rsidRPr="001C76E0">
        <w:t xml:space="preserve"> </w:t>
      </w:r>
      <w:r w:rsidRPr="001C76E0" w:rsidR="00BF29CD">
        <w:t>response</w:t>
      </w:r>
      <w:r w:rsidRPr="001C76E0">
        <w:t xml:space="preserve"> </w:t>
      </w:r>
      <w:r w:rsidRPr="001C76E0" w:rsidR="00BF29CD">
        <w:t>to SoCalGa</w:t>
      </w:r>
      <w:r w:rsidR="006636DD">
        <w:t xml:space="preserve">s’ </w:t>
      </w:r>
      <w:r w:rsidRPr="001C76E0" w:rsidR="00BF29CD">
        <w:t>Motion</w:t>
      </w:r>
      <w:r w:rsidRPr="001C76E0" w:rsidR="009651CC">
        <w:t>.</w:t>
      </w:r>
      <w:r w:rsidRPr="001C76E0" w:rsidR="00C931BF">
        <w:t xml:space="preserve"> </w:t>
      </w:r>
      <w:r w:rsidRPr="001C76E0" w:rsidR="009651CC">
        <w:t xml:space="preserve">First, SoCalGas states </w:t>
      </w:r>
      <w:r w:rsidRPr="001C76E0" w:rsidR="00BF29CD">
        <w:t xml:space="preserve">that it </w:t>
      </w:r>
      <w:r w:rsidRPr="001C76E0" w:rsidR="009651CC">
        <w:t xml:space="preserve">does not refute the general ratemaking principle that </w:t>
      </w:r>
      <w:r w:rsidRPr="001C76E0" w:rsidR="00154FC9">
        <w:t>costs should not be</w:t>
      </w:r>
      <w:r w:rsidRPr="001C76E0" w:rsidR="00A70E22">
        <w:t xml:space="preserve"> authorized for recovery </w:t>
      </w:r>
      <w:r w:rsidRPr="001C76E0" w:rsidR="00330ED4">
        <w:t>until</w:t>
      </w:r>
      <w:r w:rsidRPr="001C76E0" w:rsidR="00A70E22">
        <w:t xml:space="preserve"> </w:t>
      </w:r>
      <w:r w:rsidRPr="001C76E0" w:rsidR="003B7B3D">
        <w:t xml:space="preserve">they </w:t>
      </w:r>
      <w:r w:rsidRPr="001C76E0" w:rsidR="00A70E22">
        <w:t xml:space="preserve">are found </w:t>
      </w:r>
      <w:r w:rsidRPr="001C76E0" w:rsidR="00330ED4">
        <w:t>reasonable</w:t>
      </w:r>
      <w:r w:rsidRPr="001C76E0" w:rsidR="00A70E22">
        <w:t>. However, SoCalGas argues</w:t>
      </w:r>
      <w:r w:rsidRPr="001C76E0" w:rsidR="005A320E">
        <w:t xml:space="preserve"> Commission </w:t>
      </w:r>
      <w:r w:rsidRPr="001C76E0" w:rsidR="007279F0">
        <w:t>precedent</w:t>
      </w:r>
      <w:r w:rsidRPr="001C76E0" w:rsidR="00307F64">
        <w:t xml:space="preserve"> </w:t>
      </w:r>
      <w:r w:rsidRPr="001C76E0" w:rsidR="002F4BEE">
        <w:t xml:space="preserve">supports the exception to the general rule for </w:t>
      </w:r>
      <w:r w:rsidRPr="001C76E0" w:rsidR="005A320E">
        <w:t xml:space="preserve">interim </w:t>
      </w:r>
      <w:r w:rsidRPr="001C76E0" w:rsidR="00293479">
        <w:t>rate recovery</w:t>
      </w:r>
      <w:r w:rsidRPr="001C76E0" w:rsidR="002F4BEE">
        <w:t>.</w:t>
      </w:r>
      <w:r w:rsidRPr="001C76E0" w:rsidR="002F4BEE">
        <w:rPr>
          <w:rStyle w:val="FootnoteReference"/>
        </w:rPr>
        <w:footnoteReference w:id="36"/>
      </w:r>
    </w:p>
    <w:p w:rsidRPr="001C76E0" w:rsidR="00FA1F69" w:rsidP="00ED63CF" w:rsidRDefault="00FA1F69" w14:paraId="650E8356" w14:textId="16EBE7AE">
      <w:pPr>
        <w:pStyle w:val="Standard"/>
      </w:pPr>
      <w:r w:rsidRPr="001C76E0">
        <w:lastRenderedPageBreak/>
        <w:t xml:space="preserve">Second, </w:t>
      </w:r>
      <w:r w:rsidRPr="001C76E0" w:rsidR="002147DD">
        <w:t xml:space="preserve">SoCalGas </w:t>
      </w:r>
      <w:r w:rsidRPr="001C76E0" w:rsidR="007831B4">
        <w:t>refutes</w:t>
      </w:r>
      <w:r w:rsidRPr="001C76E0" w:rsidR="00043BA0">
        <w:t xml:space="preserve"> </w:t>
      </w:r>
      <w:r w:rsidRPr="001C76E0" w:rsidR="00DA5959">
        <w:t>the</w:t>
      </w:r>
      <w:r w:rsidRPr="001C76E0" w:rsidR="002147DD">
        <w:t xml:space="preserve"> </w:t>
      </w:r>
      <w:r w:rsidRPr="001C76E0" w:rsidR="005136E1">
        <w:t xml:space="preserve">statement that </w:t>
      </w:r>
      <w:bookmarkStart w:name="_Hlk213679062" w:id="13"/>
      <w:r w:rsidRPr="001C76E0" w:rsidR="0059333D">
        <w:t>D</w:t>
      </w:r>
      <w:r w:rsidRPr="001C76E0" w:rsidR="005477D2">
        <w:t>.24</w:t>
      </w:r>
      <w:r w:rsidR="0004127A">
        <w:noBreakHyphen/>
      </w:r>
      <w:r w:rsidRPr="001C76E0" w:rsidR="005477D2">
        <w:t>12</w:t>
      </w:r>
      <w:r w:rsidR="0004127A">
        <w:noBreakHyphen/>
      </w:r>
      <w:r w:rsidRPr="001C76E0" w:rsidR="005477D2">
        <w:t xml:space="preserve">074 </w:t>
      </w:r>
      <w:bookmarkEnd w:id="13"/>
      <w:r w:rsidRPr="001C76E0" w:rsidR="005477D2">
        <w:t>forbid any DIMP recovery outside a reasonableness review</w:t>
      </w:r>
      <w:r w:rsidRPr="001C76E0" w:rsidR="00CE5A5C">
        <w:t>.</w:t>
      </w:r>
      <w:r w:rsidRPr="001C76E0" w:rsidR="004B481B">
        <w:t xml:space="preserve"> Instead,</w:t>
      </w:r>
      <w:r w:rsidRPr="001C76E0" w:rsidR="00CE5A5C">
        <w:t xml:space="preserve"> SoCalGas argues </w:t>
      </w:r>
      <w:r w:rsidRPr="001C76E0" w:rsidR="004B481B">
        <w:t xml:space="preserve">that </w:t>
      </w:r>
      <w:r w:rsidRPr="001C76E0" w:rsidR="00CE5A5C">
        <w:t>D.24</w:t>
      </w:r>
      <w:r w:rsidR="0004127A">
        <w:noBreakHyphen/>
      </w:r>
      <w:r w:rsidRPr="001C76E0" w:rsidR="00CE5A5C">
        <w:t>12</w:t>
      </w:r>
      <w:r w:rsidR="0004127A">
        <w:noBreakHyphen/>
      </w:r>
      <w:r w:rsidRPr="001C76E0" w:rsidR="00CE5A5C">
        <w:t xml:space="preserve">074 </w:t>
      </w:r>
      <w:r w:rsidRPr="001C76E0" w:rsidR="00D4064F">
        <w:t>only reiterated the</w:t>
      </w:r>
      <w:r w:rsidRPr="001C76E0" w:rsidR="004B481B">
        <w:t xml:space="preserve"> </w:t>
      </w:r>
      <w:r w:rsidRPr="001C76E0" w:rsidR="00585CAA">
        <w:t xml:space="preserve">general ratemaking rule that cost recovery is subject to </w:t>
      </w:r>
      <w:r w:rsidRPr="001C76E0" w:rsidR="00D4064F">
        <w:t xml:space="preserve">a </w:t>
      </w:r>
      <w:r w:rsidRPr="001C76E0" w:rsidR="00585CAA">
        <w:t>reasonableness review</w:t>
      </w:r>
      <w:r w:rsidRPr="001C76E0" w:rsidR="007831B4">
        <w:t>.</w:t>
      </w:r>
      <w:r w:rsidRPr="001C76E0" w:rsidR="001A1677">
        <w:rPr>
          <w:rStyle w:val="FootnoteReference"/>
        </w:rPr>
        <w:footnoteReference w:id="37"/>
      </w:r>
    </w:p>
    <w:p w:rsidRPr="001C76E0" w:rsidR="00FA792F" w:rsidP="00ED63CF" w:rsidRDefault="007831B4" w14:paraId="26C4DDA1" w14:textId="36161DB3">
      <w:pPr>
        <w:pStyle w:val="Standard"/>
      </w:pPr>
      <w:r w:rsidRPr="001C76E0">
        <w:t xml:space="preserve">Third, SoCalGas refutes </w:t>
      </w:r>
      <w:r w:rsidRPr="001C76E0" w:rsidR="00DA5959">
        <w:t>the</w:t>
      </w:r>
      <w:r w:rsidRPr="001C76E0">
        <w:t xml:space="preserve"> </w:t>
      </w:r>
      <w:r w:rsidRPr="001C76E0" w:rsidR="002A7938">
        <w:t xml:space="preserve">argument that </w:t>
      </w:r>
      <w:r w:rsidRPr="001C76E0" w:rsidR="005E6269">
        <w:t xml:space="preserve">no </w:t>
      </w:r>
      <w:r w:rsidRPr="001C76E0" w:rsidR="00094E78">
        <w:t>support</w:t>
      </w:r>
      <w:r w:rsidRPr="001C76E0" w:rsidR="00CB7759">
        <w:t xml:space="preserve"> was</w:t>
      </w:r>
      <w:r w:rsidRPr="001C76E0" w:rsidR="005E6269">
        <w:t xml:space="preserve"> </w:t>
      </w:r>
      <w:r w:rsidRPr="001C76E0" w:rsidR="00094E78">
        <w:t xml:space="preserve">provided </w:t>
      </w:r>
      <w:r w:rsidRPr="001C76E0" w:rsidR="005E6269">
        <w:t xml:space="preserve">for </w:t>
      </w:r>
      <w:r w:rsidRPr="001C76E0" w:rsidR="00094E78">
        <w:t xml:space="preserve">its </w:t>
      </w:r>
      <w:r w:rsidRPr="001C76E0" w:rsidR="005E6269">
        <w:t>Motion. SoCalGas notes tha</w:t>
      </w:r>
      <w:r w:rsidRPr="001C76E0" w:rsidR="00076E07">
        <w:t xml:space="preserve">t </w:t>
      </w:r>
      <w:r w:rsidR="00E6705F">
        <w:t>Cal Adv</w:t>
      </w:r>
      <w:r w:rsidRPr="001C76E0" w:rsidR="00076E07">
        <w:t>ocates did not refute SoCalGas</w:t>
      </w:r>
      <w:r w:rsidR="00EA0147">
        <w:t>’</w:t>
      </w:r>
      <w:r w:rsidRPr="001C76E0" w:rsidR="00076E07">
        <w:t xml:space="preserve"> evidence re</w:t>
      </w:r>
      <w:r w:rsidRPr="001C76E0" w:rsidR="00ED270B">
        <w:t>lated to benefits to ratepayers</w:t>
      </w:r>
      <w:r w:rsidRPr="001C76E0" w:rsidR="005D2E13">
        <w:t xml:space="preserve"> through lower interest costs</w:t>
      </w:r>
      <w:r w:rsidRPr="001C76E0" w:rsidR="00ED270B">
        <w:t>,</w:t>
      </w:r>
      <w:r w:rsidRPr="001C76E0" w:rsidR="005D2E13">
        <w:t xml:space="preserve"> intergenerational equity, and support for SoCalGa</w:t>
      </w:r>
      <w:r w:rsidR="006636DD">
        <w:t xml:space="preserve">s’ </w:t>
      </w:r>
      <w:r w:rsidRPr="001C76E0" w:rsidR="005D2E13">
        <w:t>financial health.</w:t>
      </w:r>
      <w:r w:rsidRPr="001C76E0" w:rsidR="00DE4206">
        <w:rPr>
          <w:rStyle w:val="FootnoteReference"/>
        </w:rPr>
        <w:footnoteReference w:id="38"/>
      </w:r>
    </w:p>
    <w:p w:rsidRPr="001C76E0" w:rsidR="007831B4" w:rsidP="00ED63CF" w:rsidRDefault="00FA792F" w14:paraId="50852032" w14:textId="6F742AAF">
      <w:pPr>
        <w:pStyle w:val="Standard"/>
      </w:pPr>
      <w:r w:rsidRPr="001C76E0">
        <w:t>Fourth, SoCalGas refutes arguments pertaining to D.22</w:t>
      </w:r>
      <w:r w:rsidR="0004127A">
        <w:noBreakHyphen/>
      </w:r>
      <w:r w:rsidRPr="001C76E0">
        <w:t>05</w:t>
      </w:r>
      <w:r w:rsidR="0004127A">
        <w:noBreakHyphen/>
      </w:r>
      <w:r w:rsidRPr="001C76E0">
        <w:t xml:space="preserve">001. SoCalGas states the facts </w:t>
      </w:r>
      <w:r w:rsidRPr="001C76E0" w:rsidR="00932FFB">
        <w:t xml:space="preserve">here are different and that the Commission ultimately provided interim rate recovery </w:t>
      </w:r>
      <w:r w:rsidR="00534F9A">
        <w:t xml:space="preserve">there </w:t>
      </w:r>
      <w:r w:rsidRPr="001C76E0" w:rsidR="00932FFB">
        <w:t>via D.24</w:t>
      </w:r>
      <w:r w:rsidR="0004127A">
        <w:noBreakHyphen/>
      </w:r>
      <w:r w:rsidRPr="001C76E0" w:rsidR="00932FFB">
        <w:t>02</w:t>
      </w:r>
      <w:r w:rsidR="0004127A">
        <w:noBreakHyphen/>
      </w:r>
      <w:r w:rsidRPr="001C76E0" w:rsidR="00932FFB">
        <w:t>010.</w:t>
      </w:r>
      <w:r w:rsidRPr="001C76E0" w:rsidR="00DE4206">
        <w:rPr>
          <w:rStyle w:val="FootnoteReference"/>
        </w:rPr>
        <w:footnoteReference w:id="39"/>
      </w:r>
    </w:p>
    <w:p w:rsidRPr="001C76E0" w:rsidR="00932FFB" w:rsidP="00ED63CF" w:rsidRDefault="00932FFB" w14:paraId="6EDBA121" w14:textId="286D6FF7">
      <w:pPr>
        <w:pStyle w:val="Standard"/>
      </w:pPr>
      <w:r w:rsidRPr="001C76E0">
        <w:t xml:space="preserve">Lastly, </w:t>
      </w:r>
      <w:r w:rsidRPr="001C76E0" w:rsidR="0022272A">
        <w:t xml:space="preserve">SoCalGas refutes </w:t>
      </w:r>
      <w:r w:rsidRPr="001C76E0" w:rsidR="00B426FC">
        <w:t>the</w:t>
      </w:r>
      <w:r w:rsidRPr="001C76E0" w:rsidR="0022272A">
        <w:t xml:space="preserve"> argument that </w:t>
      </w:r>
      <w:r w:rsidRPr="001C76E0" w:rsidR="004B0DE1">
        <w:t xml:space="preserve">it should have </w:t>
      </w:r>
      <w:r w:rsidRPr="001C76E0" w:rsidR="00610056">
        <w:t>sought</w:t>
      </w:r>
      <w:r w:rsidRPr="001C76E0" w:rsidR="004B0DE1">
        <w:t xml:space="preserve"> </w:t>
      </w:r>
      <w:r w:rsidRPr="001C76E0" w:rsidR="008E7C5F">
        <w:t xml:space="preserve">interim </w:t>
      </w:r>
      <w:r w:rsidRPr="001C76E0" w:rsidR="00293479">
        <w:t>rate recovery</w:t>
      </w:r>
      <w:r w:rsidRPr="001C76E0" w:rsidR="008E7C5F">
        <w:t xml:space="preserve"> in A.22</w:t>
      </w:r>
      <w:r w:rsidR="0004127A">
        <w:noBreakHyphen/>
      </w:r>
      <w:r w:rsidRPr="001C76E0" w:rsidR="008E7C5F">
        <w:t>05</w:t>
      </w:r>
      <w:r w:rsidR="0004127A">
        <w:noBreakHyphen/>
      </w:r>
      <w:r w:rsidRPr="001C76E0" w:rsidR="008E7C5F">
        <w:t>015</w:t>
      </w:r>
      <w:r w:rsidRPr="001C76E0" w:rsidR="0087106E">
        <w:t xml:space="preserve">, </w:t>
      </w:r>
      <w:r w:rsidRPr="001C76E0" w:rsidR="005E18DB">
        <w:t>SoCalGa</w:t>
      </w:r>
      <w:r w:rsidR="006636DD">
        <w:t xml:space="preserve">s’ </w:t>
      </w:r>
      <w:r w:rsidRPr="001C76E0" w:rsidR="0087106E">
        <w:t xml:space="preserve">2024 </w:t>
      </w:r>
      <w:r w:rsidRPr="001C76E0" w:rsidR="001D5654">
        <w:t xml:space="preserve">Test Year (TY) </w:t>
      </w:r>
      <w:r w:rsidRPr="001C76E0" w:rsidR="00161AB7">
        <w:t>GRC</w:t>
      </w:r>
      <w:r w:rsidRPr="001C76E0" w:rsidR="0087106E">
        <w:t xml:space="preserve">. SoCalGas notes that </w:t>
      </w:r>
      <w:r w:rsidRPr="001C76E0" w:rsidR="00161AB7">
        <w:t xml:space="preserve">it did not seek interim rate recovery in its </w:t>
      </w:r>
      <w:r w:rsidR="002C1BBD">
        <w:t>TY 2024</w:t>
      </w:r>
      <w:r w:rsidR="00D26019">
        <w:t xml:space="preserve"> </w:t>
      </w:r>
      <w:r w:rsidRPr="001C76E0" w:rsidR="00161AB7">
        <w:t>GRC</w:t>
      </w:r>
      <w:r w:rsidR="007E64B1">
        <w:t>,</w:t>
      </w:r>
      <w:r w:rsidRPr="001C76E0" w:rsidR="00DE6E92">
        <w:t xml:space="preserve"> and that the costs at issue in this application were not </w:t>
      </w:r>
      <w:r w:rsidRPr="001C76E0" w:rsidR="007F4A7A">
        <w:t>ripe for consideration when it filed A.22</w:t>
      </w:r>
      <w:r w:rsidR="0004127A">
        <w:noBreakHyphen/>
      </w:r>
      <w:r w:rsidRPr="001C76E0" w:rsidR="007F4A7A">
        <w:t>05</w:t>
      </w:r>
      <w:r w:rsidR="0004127A">
        <w:noBreakHyphen/>
      </w:r>
      <w:r w:rsidRPr="001C76E0" w:rsidR="007F4A7A">
        <w:t>015.</w:t>
      </w:r>
      <w:r w:rsidRPr="001C76E0" w:rsidR="00B426FC">
        <w:rPr>
          <w:rStyle w:val="FootnoteReference"/>
        </w:rPr>
        <w:footnoteReference w:id="40"/>
      </w:r>
    </w:p>
    <w:p w:rsidRPr="001C76E0" w:rsidR="005939A5" w:rsidP="00EB60B3" w:rsidRDefault="005939A5" w14:paraId="6F5F763D" w14:textId="339D374C">
      <w:pPr>
        <w:pStyle w:val="Heading1"/>
      </w:pPr>
      <w:bookmarkStart w:name="_Toc217461718" w:id="14"/>
      <w:r w:rsidRPr="001C76E0">
        <w:t>Discussion and Analysis</w:t>
      </w:r>
      <w:bookmarkEnd w:id="8"/>
      <w:bookmarkEnd w:id="14"/>
    </w:p>
    <w:p w:rsidR="00EA0147" w:rsidP="00B64989" w:rsidRDefault="00B64989" w14:paraId="2AB3D96E" w14:textId="3A9CE56A">
      <w:pPr>
        <w:pStyle w:val="Standard"/>
      </w:pPr>
      <w:r w:rsidRPr="001C76E0">
        <w:t>The Commission partially grants SoCalGas</w:t>
      </w:r>
      <w:r w:rsidR="00C41304">
        <w:t>’</w:t>
      </w:r>
      <w:r w:rsidRPr="001C76E0">
        <w:t xml:space="preserve"> request, by authorizing SoCalGas </w:t>
      </w:r>
      <w:r w:rsidRPr="001C76E0" w:rsidR="006E4F27">
        <w:t xml:space="preserve">to collect </w:t>
      </w:r>
      <w:r w:rsidRPr="001C76E0" w:rsidR="006260C5">
        <w:t>an interim revenue requirement</w:t>
      </w:r>
      <w:r w:rsidRPr="001C76E0" w:rsidR="006E4F27">
        <w:t xml:space="preserve"> of $35.5</w:t>
      </w:r>
      <w:r w:rsidR="008C449B">
        <w:t> million</w:t>
      </w:r>
      <w:r w:rsidRPr="001C76E0" w:rsidR="006E4F27">
        <w:t xml:space="preserve"> (60</w:t>
      </w:r>
      <w:r w:rsidR="008C449B">
        <w:t> percent</w:t>
      </w:r>
      <w:r w:rsidRPr="001C76E0" w:rsidR="006E4F27">
        <w:t xml:space="preserve"> of SoCalGa</w:t>
      </w:r>
      <w:r w:rsidR="006636DD">
        <w:t xml:space="preserve">s’ </w:t>
      </w:r>
      <w:r w:rsidRPr="001C76E0" w:rsidR="006E4F27">
        <w:t>total request of $59.1</w:t>
      </w:r>
      <w:r w:rsidR="008C449B">
        <w:t> million</w:t>
      </w:r>
      <w:r w:rsidRPr="001C76E0" w:rsidR="006E4F27">
        <w:t xml:space="preserve">) in interim rates </w:t>
      </w:r>
      <w:r w:rsidRPr="001C76E0">
        <w:t>over a 12</w:t>
      </w:r>
      <w:r w:rsidR="0004127A">
        <w:noBreakHyphen/>
      </w:r>
      <w:r w:rsidRPr="001C76E0">
        <w:t>month collection period</w:t>
      </w:r>
      <w:r w:rsidRPr="001C76E0" w:rsidR="006E4F27">
        <w:t>,</w:t>
      </w:r>
      <w:r w:rsidRPr="001C76E0">
        <w:t xml:space="preserve"> to be implemented as soon as practicable</w:t>
      </w:r>
      <w:r w:rsidRPr="001C76E0" w:rsidR="00E57CCC">
        <w:t xml:space="preserve">. </w:t>
      </w:r>
      <w:r w:rsidRPr="001C76E0" w:rsidR="00376155">
        <w:t xml:space="preserve">The total requested </w:t>
      </w:r>
      <w:r w:rsidRPr="001C76E0" w:rsidR="00376155">
        <w:lastRenderedPageBreak/>
        <w:t>$59.1</w:t>
      </w:r>
      <w:r w:rsidR="008C449B">
        <w:t> million</w:t>
      </w:r>
      <w:r w:rsidRPr="001C76E0" w:rsidR="00376155">
        <w:t xml:space="preserve"> revenue requirement in the application includes interest expenses through </w:t>
      </w:r>
      <w:r w:rsidR="00EA0147">
        <w:t>June </w:t>
      </w:r>
      <w:r w:rsidRPr="001C76E0" w:rsidR="00376155">
        <w:t>30, 2025.</w:t>
      </w:r>
      <w:r w:rsidRPr="001C76E0" w:rsidR="00376155">
        <w:rPr>
          <w:rStyle w:val="FootnoteReference"/>
        </w:rPr>
        <w:footnoteReference w:id="41"/>
      </w:r>
      <w:r w:rsidRPr="001C76E0" w:rsidR="00376155">
        <w:t xml:space="preserve"> </w:t>
      </w:r>
      <w:r w:rsidRPr="001C76E0" w:rsidR="00E57CCC">
        <w:t>This authorization is</w:t>
      </w:r>
      <w:r w:rsidRPr="001C76E0">
        <w:t xml:space="preserve"> based on the finding that fairness to both the utility and the public requires immediate action. </w:t>
      </w:r>
      <w:r w:rsidRPr="001C76E0" w:rsidR="004047E3">
        <w:t xml:space="preserve">The authorized amount is subject to refund with interest, </w:t>
      </w:r>
      <w:r w:rsidRPr="001C76E0" w:rsidR="006260C5">
        <w:t xml:space="preserve">if the underlying DIMP costs are later </w:t>
      </w:r>
      <w:r w:rsidRPr="001C76E0" w:rsidR="004047E3">
        <w:t xml:space="preserve">found unreasonable. </w:t>
      </w:r>
      <w:r w:rsidRPr="001C76E0">
        <w:t>This decision denies SoCalGa</w:t>
      </w:r>
      <w:r w:rsidR="006636DD">
        <w:t xml:space="preserve">s’ </w:t>
      </w:r>
      <w:r w:rsidRPr="001C76E0">
        <w:t>request to recover up to 85</w:t>
      </w:r>
      <w:r w:rsidR="008C449B">
        <w:t> percent</w:t>
      </w:r>
      <w:r w:rsidRPr="001C76E0">
        <w:t xml:space="preserve"> of the total</w:t>
      </w:r>
      <w:r w:rsidRPr="001C76E0" w:rsidR="00BF79E6">
        <w:t xml:space="preserve"> r</w:t>
      </w:r>
      <w:r w:rsidRPr="001C76E0" w:rsidR="008405E1">
        <w:t>equested</w:t>
      </w:r>
      <w:r w:rsidRPr="001C76E0">
        <w:t xml:space="preserve"> on an interim basis and to collect such amounts beyond a 12</w:t>
      </w:r>
      <w:r w:rsidR="0004127A">
        <w:noBreakHyphen/>
      </w:r>
      <w:r w:rsidRPr="001C76E0">
        <w:t>month period.</w:t>
      </w:r>
    </w:p>
    <w:p w:rsidRPr="001C76E0" w:rsidR="00EA36C6" w:rsidP="00EB60B3" w:rsidRDefault="00E81F48" w14:paraId="300B6CEB" w14:textId="4C5AB0E3">
      <w:pPr>
        <w:pStyle w:val="Heading2"/>
      </w:pPr>
      <w:bookmarkStart w:name="_Toc217461719" w:id="15"/>
      <w:r w:rsidRPr="001C76E0">
        <w:t xml:space="preserve">Interim </w:t>
      </w:r>
      <w:r w:rsidRPr="001C76E0" w:rsidR="00293479">
        <w:t xml:space="preserve">Rate </w:t>
      </w:r>
      <w:r w:rsidRPr="001C76E0" w:rsidR="00256F9A">
        <w:t xml:space="preserve">Recovery </w:t>
      </w:r>
      <w:r w:rsidRPr="001C76E0" w:rsidR="009B5774">
        <w:t xml:space="preserve">Is </w:t>
      </w:r>
      <w:r w:rsidRPr="001C76E0">
        <w:t>Warranted</w:t>
      </w:r>
      <w:bookmarkEnd w:id="15"/>
    </w:p>
    <w:p w:rsidRPr="001C76E0" w:rsidR="0035394D" w:rsidP="00E81F48" w:rsidRDefault="0035394D" w14:paraId="7C3D9492" w14:textId="72F0F272">
      <w:pPr>
        <w:pStyle w:val="Standard"/>
      </w:pPr>
      <w:r w:rsidRPr="001C76E0">
        <w:t xml:space="preserve">The Commission </w:t>
      </w:r>
      <w:r w:rsidRPr="001C76E0" w:rsidR="00F80D71">
        <w:t xml:space="preserve">finds </w:t>
      </w:r>
      <w:r w:rsidRPr="001C76E0" w:rsidR="00293479">
        <w:t>i</w:t>
      </w:r>
      <w:r w:rsidRPr="001C76E0" w:rsidR="00F80D71">
        <w:t xml:space="preserve">nterim </w:t>
      </w:r>
      <w:r w:rsidRPr="001C76E0" w:rsidR="007662B5">
        <w:t>r</w:t>
      </w:r>
      <w:r w:rsidRPr="001C76E0" w:rsidR="00293479">
        <w:t>ate recovery</w:t>
      </w:r>
      <w:r w:rsidRPr="001C76E0" w:rsidR="00F80D71">
        <w:t xml:space="preserve"> is warranted</w:t>
      </w:r>
      <w:r w:rsidRPr="001C76E0" w:rsidR="004047E3">
        <w:t>.</w:t>
      </w:r>
      <w:r w:rsidRPr="001C76E0" w:rsidR="00F80D71">
        <w:t xml:space="preserve"> </w:t>
      </w:r>
      <w:r w:rsidRPr="001C76E0" w:rsidR="004047E3">
        <w:t xml:space="preserve">This finding is based on the demonstrated benefit to </w:t>
      </w:r>
      <w:r w:rsidRPr="001C76E0" w:rsidR="005960D5">
        <w:t xml:space="preserve">ratepayers and </w:t>
      </w:r>
      <w:r w:rsidR="00041547">
        <w:t xml:space="preserve">to </w:t>
      </w:r>
      <w:r w:rsidRPr="001C76E0" w:rsidR="005960D5">
        <w:t>SoCalGas.</w:t>
      </w:r>
    </w:p>
    <w:p w:rsidR="00EA0147" w:rsidP="00E81F48" w:rsidRDefault="00E6705F" w14:paraId="7FF3A4A8" w14:textId="21F3037A">
      <w:pPr>
        <w:pStyle w:val="Standard"/>
      </w:pPr>
      <w:r>
        <w:t>Cal Adv</w:t>
      </w:r>
      <w:r w:rsidRPr="001C76E0" w:rsidR="00E81F48">
        <w:t xml:space="preserve">ocates </w:t>
      </w:r>
      <w:r w:rsidRPr="001C76E0" w:rsidR="00914545">
        <w:t>oppos</w:t>
      </w:r>
      <w:r w:rsidRPr="001C76E0" w:rsidR="005960D5">
        <w:t>ed</w:t>
      </w:r>
      <w:r w:rsidRPr="001C76E0" w:rsidR="00914545">
        <w:t xml:space="preserve"> the Motion </w:t>
      </w:r>
      <w:r w:rsidRPr="001C76E0" w:rsidR="00F25CAC">
        <w:t xml:space="preserve">on </w:t>
      </w:r>
      <w:r w:rsidRPr="001C76E0" w:rsidR="006260C5">
        <w:t>several</w:t>
      </w:r>
      <w:r w:rsidRPr="001C76E0" w:rsidR="00F25CAC">
        <w:t xml:space="preserve"> </w:t>
      </w:r>
      <w:r w:rsidRPr="001C76E0" w:rsidR="004C0DFD">
        <w:t>grounds</w:t>
      </w:r>
      <w:r w:rsidRPr="001C76E0" w:rsidR="00CD1C11">
        <w:t xml:space="preserve">. </w:t>
      </w:r>
      <w:r>
        <w:t>Cal Adv</w:t>
      </w:r>
      <w:r w:rsidRPr="001C76E0" w:rsidR="004C0DFD">
        <w:t xml:space="preserve">ocates argued </w:t>
      </w:r>
      <w:r w:rsidRPr="001C76E0" w:rsidR="00EA78A4">
        <w:t>D.24</w:t>
      </w:r>
      <w:r w:rsidR="0004127A">
        <w:noBreakHyphen/>
      </w:r>
      <w:r w:rsidRPr="001C76E0" w:rsidR="00EA78A4">
        <w:t>12</w:t>
      </w:r>
      <w:r w:rsidR="0004127A">
        <w:noBreakHyphen/>
      </w:r>
      <w:r w:rsidRPr="001C76E0" w:rsidR="00EA78A4">
        <w:t>074</w:t>
      </w:r>
      <w:r w:rsidRPr="001C76E0" w:rsidR="00432F7A">
        <w:t xml:space="preserve"> </w:t>
      </w:r>
      <w:r w:rsidRPr="001C76E0" w:rsidR="00170198">
        <w:t>bar</w:t>
      </w:r>
      <w:r w:rsidRPr="001C76E0" w:rsidR="005F0168">
        <w:t>s</w:t>
      </w:r>
      <w:r w:rsidRPr="001C76E0" w:rsidR="00170198">
        <w:t xml:space="preserve"> </w:t>
      </w:r>
      <w:r w:rsidRPr="001C76E0" w:rsidR="00366FBC">
        <w:t xml:space="preserve">SoCalGas from requesting interim </w:t>
      </w:r>
      <w:r w:rsidRPr="001C76E0" w:rsidR="00293479">
        <w:t>rate recovery</w:t>
      </w:r>
      <w:r w:rsidRPr="001C76E0" w:rsidR="00366FBC">
        <w:t xml:space="preserve"> for DIMPBA costs </w:t>
      </w:r>
      <w:r w:rsidRPr="001C76E0" w:rsidR="00907BD5">
        <w:t>at issue</w:t>
      </w:r>
      <w:r w:rsidRPr="001C76E0" w:rsidR="00E003DB">
        <w:t xml:space="preserve">. </w:t>
      </w:r>
      <w:r w:rsidRPr="001C76E0" w:rsidR="00BB5F2C">
        <w:t xml:space="preserve">However, </w:t>
      </w:r>
      <w:r w:rsidRPr="001C76E0" w:rsidR="00EA78A4">
        <w:t>D.24</w:t>
      </w:r>
      <w:r w:rsidR="0004127A">
        <w:noBreakHyphen/>
      </w:r>
      <w:r w:rsidRPr="001C76E0" w:rsidR="00EA78A4">
        <w:t>12</w:t>
      </w:r>
      <w:r w:rsidR="0004127A">
        <w:noBreakHyphen/>
      </w:r>
      <w:r w:rsidRPr="001C76E0" w:rsidR="00EA78A4">
        <w:t xml:space="preserve">074 </w:t>
      </w:r>
      <w:r w:rsidRPr="001C76E0" w:rsidR="00C04F48">
        <w:t>merely state</w:t>
      </w:r>
      <w:r w:rsidRPr="001C76E0" w:rsidR="005953D5">
        <w:t>s</w:t>
      </w:r>
      <w:r w:rsidRPr="001C76E0" w:rsidR="00C04F48">
        <w:t xml:space="preserve"> </w:t>
      </w:r>
      <w:r w:rsidR="00C41304">
        <w:t xml:space="preserve">that </w:t>
      </w:r>
      <w:r w:rsidR="00EA0147">
        <w:t>“</w:t>
      </w:r>
      <w:r w:rsidRPr="001C76E0" w:rsidR="002133DB">
        <w:t>[e]</w:t>
      </w:r>
      <w:proofErr w:type="spellStart"/>
      <w:r w:rsidRPr="001C76E0" w:rsidR="00E97879">
        <w:t>xcess</w:t>
      </w:r>
      <w:proofErr w:type="spellEnd"/>
      <w:r w:rsidRPr="001C76E0" w:rsidR="00E97879">
        <w:t xml:space="preserve"> costs and </w:t>
      </w:r>
      <w:proofErr w:type="spellStart"/>
      <w:r w:rsidRPr="001C76E0" w:rsidR="00E97879">
        <w:t>undercollections</w:t>
      </w:r>
      <w:proofErr w:type="spellEnd"/>
      <w:r w:rsidRPr="001C76E0" w:rsidR="00E97879">
        <w:t xml:space="preserve"> may be recorded in a memorandum account subject to reasonableness review.</w:t>
      </w:r>
      <w:r w:rsidR="00EA0147">
        <w:t>”</w:t>
      </w:r>
      <w:r w:rsidRPr="001C76E0" w:rsidR="00806FEB">
        <w:rPr>
          <w:rStyle w:val="FootnoteReference"/>
        </w:rPr>
        <w:footnoteReference w:id="42"/>
      </w:r>
      <w:r w:rsidRPr="001C76E0" w:rsidR="004239AE">
        <w:t xml:space="preserve"> </w:t>
      </w:r>
      <w:r w:rsidRPr="001C76E0" w:rsidR="00546946">
        <w:t>The plain language</w:t>
      </w:r>
      <w:r w:rsidRPr="001C76E0" w:rsidR="004842BE">
        <w:t xml:space="preserve"> of</w:t>
      </w:r>
      <w:r w:rsidRPr="001C76E0" w:rsidR="004239AE">
        <w:t xml:space="preserve"> </w:t>
      </w:r>
      <w:r w:rsidRPr="001C76E0" w:rsidR="00546946">
        <w:t>D.24</w:t>
      </w:r>
      <w:r w:rsidR="0004127A">
        <w:noBreakHyphen/>
      </w:r>
      <w:r w:rsidRPr="001C76E0" w:rsidR="00546946">
        <w:t>12</w:t>
      </w:r>
      <w:r w:rsidR="0004127A">
        <w:noBreakHyphen/>
      </w:r>
      <w:r w:rsidRPr="001C76E0" w:rsidR="00546946">
        <w:t xml:space="preserve">074 </w:t>
      </w:r>
      <w:r w:rsidRPr="001C76E0" w:rsidR="004842BE">
        <w:t xml:space="preserve">does </w:t>
      </w:r>
      <w:r w:rsidRPr="001C76E0" w:rsidR="004239AE">
        <w:t xml:space="preserve">not </w:t>
      </w:r>
      <w:r w:rsidRPr="001C76E0" w:rsidR="004842BE">
        <w:t xml:space="preserve">support </w:t>
      </w:r>
      <w:r w:rsidRPr="001C76E0" w:rsidR="00CE234C">
        <w:t xml:space="preserve">applying </w:t>
      </w:r>
      <w:r w:rsidRPr="001C76E0" w:rsidR="004842BE">
        <w:t xml:space="preserve">the guidance </w:t>
      </w:r>
      <w:r w:rsidRPr="001C76E0" w:rsidR="00CE234C">
        <w:t xml:space="preserve">retroactively to </w:t>
      </w:r>
      <w:r w:rsidRPr="001C76E0" w:rsidR="00907BD5">
        <w:t xml:space="preserve">the DIMPBA costs at issue in </w:t>
      </w:r>
      <w:r w:rsidRPr="001C76E0" w:rsidR="00F40605">
        <w:t>th</w:t>
      </w:r>
      <w:r w:rsidRPr="001C76E0" w:rsidR="00170198">
        <w:t>e</w:t>
      </w:r>
      <w:r w:rsidRPr="001C76E0" w:rsidR="00806FEB">
        <w:t xml:space="preserve"> Motion, </w:t>
      </w:r>
      <w:r w:rsidRPr="001C76E0" w:rsidR="00CE234C">
        <w:t xml:space="preserve">nor </w:t>
      </w:r>
      <w:r w:rsidRPr="001C76E0" w:rsidR="0049674D">
        <w:t xml:space="preserve">does it </w:t>
      </w:r>
      <w:r w:rsidRPr="001C76E0" w:rsidR="00CE234C">
        <w:t xml:space="preserve">overturn </w:t>
      </w:r>
      <w:r w:rsidRPr="001C76E0" w:rsidR="00806FEB">
        <w:t>C</w:t>
      </w:r>
      <w:r w:rsidRPr="001C76E0" w:rsidR="00CE234C">
        <w:t xml:space="preserve">ommission </w:t>
      </w:r>
      <w:r w:rsidRPr="001C76E0" w:rsidR="007662B5">
        <w:t xml:space="preserve">and court </w:t>
      </w:r>
      <w:r w:rsidRPr="001C76E0" w:rsidR="00CE234C">
        <w:t xml:space="preserve">precedent </w:t>
      </w:r>
      <w:r w:rsidR="0031243C">
        <w:t>allowing</w:t>
      </w:r>
      <w:r w:rsidRPr="001C76E0" w:rsidR="0031243C">
        <w:t xml:space="preserve"> </w:t>
      </w:r>
      <w:r w:rsidRPr="001C76E0" w:rsidR="00CE234C">
        <w:t xml:space="preserve">interim </w:t>
      </w:r>
      <w:r w:rsidRPr="001C76E0" w:rsidR="00293479">
        <w:t>rate recovery</w:t>
      </w:r>
      <w:r w:rsidRPr="001C76E0" w:rsidR="00CE234C">
        <w:t>.</w:t>
      </w:r>
      <w:r w:rsidRPr="001C76E0" w:rsidR="00E032A0">
        <w:t xml:space="preserve"> </w:t>
      </w:r>
      <w:r w:rsidRPr="001C76E0" w:rsidR="00546946">
        <w:t>Instead</w:t>
      </w:r>
      <w:r w:rsidRPr="001C76E0" w:rsidR="00170198">
        <w:t>,</w:t>
      </w:r>
      <w:r w:rsidRPr="001C76E0" w:rsidR="00546946">
        <w:t xml:space="preserve"> the plain language</w:t>
      </w:r>
      <w:r w:rsidRPr="001C76E0" w:rsidR="006D572E">
        <w:t xml:space="preserve"> </w:t>
      </w:r>
      <w:r w:rsidR="00C41304">
        <w:t xml:space="preserve">of </w:t>
      </w:r>
      <w:r w:rsidRPr="001C76E0" w:rsidR="006D572E">
        <w:t>D.24</w:t>
      </w:r>
      <w:r w:rsidR="0004127A">
        <w:noBreakHyphen/>
      </w:r>
      <w:r w:rsidRPr="001C76E0" w:rsidR="006D572E">
        <w:t>12</w:t>
      </w:r>
      <w:r w:rsidR="0004127A">
        <w:noBreakHyphen/>
      </w:r>
      <w:r w:rsidRPr="001C76E0" w:rsidR="006D572E">
        <w:t xml:space="preserve">074 appears to apply prospectively to costs authorized in the </w:t>
      </w:r>
      <w:r w:rsidR="002C1BBD">
        <w:t>TY 2024</w:t>
      </w:r>
      <w:r w:rsidRPr="001C76E0" w:rsidR="006D572E">
        <w:t xml:space="preserve"> GRC.</w:t>
      </w:r>
    </w:p>
    <w:p w:rsidR="00EA0147" w:rsidP="00840690" w:rsidRDefault="004B59AC" w14:paraId="549D50FF" w14:textId="75E17344">
      <w:pPr>
        <w:pStyle w:val="Standard"/>
      </w:pPr>
      <w:r w:rsidRPr="001C76E0">
        <w:t>Also</w:t>
      </w:r>
      <w:r w:rsidRPr="001C76E0" w:rsidR="00BE5C39">
        <w:t xml:space="preserve">, </w:t>
      </w:r>
      <w:r w:rsidR="00E6705F">
        <w:t>Cal Adv</w:t>
      </w:r>
      <w:r w:rsidRPr="001C76E0" w:rsidR="00BE5C39">
        <w:t>ocates argue</w:t>
      </w:r>
      <w:r w:rsidRPr="001C76E0" w:rsidR="004C1E18">
        <w:t>s</w:t>
      </w:r>
      <w:r w:rsidRPr="001C76E0" w:rsidR="00BE5C39">
        <w:t xml:space="preserve"> that SoCalGas did not support </w:t>
      </w:r>
      <w:r w:rsidRPr="001C76E0" w:rsidR="00DC732F">
        <w:t>its request</w:t>
      </w:r>
      <w:r w:rsidRPr="001C76E0" w:rsidR="00E06952">
        <w:t>; however,</w:t>
      </w:r>
      <w:r w:rsidRPr="001C76E0" w:rsidR="00DC732F">
        <w:t xml:space="preserve"> </w:t>
      </w:r>
      <w:r w:rsidR="00E6705F">
        <w:t>Cal Adv</w:t>
      </w:r>
      <w:r w:rsidRPr="001C76E0" w:rsidR="00957159">
        <w:t xml:space="preserve">ocates </w:t>
      </w:r>
      <w:r w:rsidRPr="001C76E0" w:rsidR="00DC732F">
        <w:t>failed to refute the facts presented</w:t>
      </w:r>
      <w:r w:rsidRPr="001C76E0" w:rsidR="00FE1705">
        <w:t xml:space="preserve"> by SoCalGas in </w:t>
      </w:r>
      <w:r w:rsidRPr="001C76E0" w:rsidR="00A0084D">
        <w:t>its</w:t>
      </w:r>
      <w:r w:rsidRPr="001C76E0" w:rsidR="00FE1705">
        <w:t xml:space="preserve"> </w:t>
      </w:r>
      <w:r w:rsidRPr="001C76E0" w:rsidR="00957159">
        <w:t>Motion</w:t>
      </w:r>
      <w:r w:rsidRPr="001C76E0" w:rsidR="00FE1705">
        <w:t>.</w:t>
      </w:r>
      <w:r w:rsidRPr="001C76E0" w:rsidR="00582372">
        <w:t xml:space="preserve"> </w:t>
      </w:r>
      <w:r w:rsidRPr="001C76E0" w:rsidR="0021209A">
        <w:t xml:space="preserve">As such, </w:t>
      </w:r>
      <w:r w:rsidRPr="001C76E0" w:rsidR="00582372">
        <w:t>SoCalGa</w:t>
      </w:r>
      <w:r w:rsidR="006636DD">
        <w:t xml:space="preserve">s’ </w:t>
      </w:r>
      <w:r w:rsidRPr="001C76E0" w:rsidR="0021209A">
        <w:t>position that the Motion would save $1.3</w:t>
      </w:r>
      <w:r w:rsidR="008C449B">
        <w:t> million</w:t>
      </w:r>
      <w:r w:rsidRPr="001C76E0" w:rsidR="0021209A">
        <w:t xml:space="preserve"> in interest expense, </w:t>
      </w:r>
      <w:r w:rsidRPr="001C76E0" w:rsidR="00442845">
        <w:t xml:space="preserve">indirectly reduce rates by </w:t>
      </w:r>
      <w:r w:rsidRPr="001C76E0" w:rsidR="00BA3299">
        <w:t>improving</w:t>
      </w:r>
      <w:r w:rsidRPr="001C76E0" w:rsidR="00442845">
        <w:t xml:space="preserve"> the utility</w:t>
      </w:r>
      <w:r w:rsidR="00EA0147">
        <w:t>’</w:t>
      </w:r>
      <w:r w:rsidRPr="001C76E0" w:rsidR="00442845">
        <w:t xml:space="preserve">s credit metrics, </w:t>
      </w:r>
      <w:r w:rsidRPr="001C76E0" w:rsidR="00442845">
        <w:lastRenderedPageBreak/>
        <w:t>and promote intergenerational equity were all unopposed</w:t>
      </w:r>
      <w:r w:rsidRPr="001C76E0" w:rsidR="00C73DB1">
        <w:t>. Moreover,</w:t>
      </w:r>
      <w:r w:rsidRPr="001C76E0" w:rsidR="00442845">
        <w:t xml:space="preserve"> </w:t>
      </w:r>
      <w:r w:rsidRPr="001C76E0" w:rsidR="00947691">
        <w:t xml:space="preserve">these </w:t>
      </w:r>
      <w:r w:rsidRPr="001C76E0" w:rsidR="00A0084D">
        <w:t>elements</w:t>
      </w:r>
      <w:r w:rsidRPr="001C76E0" w:rsidR="00947691">
        <w:t xml:space="preserve"> are</w:t>
      </w:r>
      <w:r w:rsidRPr="001C76E0" w:rsidR="009B0FCE">
        <w:t xml:space="preserve"> explicitly noted in </w:t>
      </w:r>
      <w:r w:rsidRPr="001C76E0" w:rsidR="00E740D4">
        <w:t xml:space="preserve">past </w:t>
      </w:r>
      <w:r w:rsidRPr="001C76E0" w:rsidR="008F1919">
        <w:t xml:space="preserve">Commission </w:t>
      </w:r>
      <w:r w:rsidRPr="001C76E0" w:rsidR="00AB6063">
        <w:t>guidance</w:t>
      </w:r>
      <w:r w:rsidRPr="001C76E0" w:rsidR="000337F2">
        <w:t xml:space="preserve"> </w:t>
      </w:r>
      <w:r w:rsidRPr="001C76E0" w:rsidR="005F0168">
        <w:t xml:space="preserve">on </w:t>
      </w:r>
      <w:r w:rsidRPr="001C76E0" w:rsidR="000337F2">
        <w:t xml:space="preserve">interim rate recovery </w:t>
      </w:r>
      <w:r w:rsidRPr="001C76E0" w:rsidR="005F0168">
        <w:t>requests</w:t>
      </w:r>
      <w:r w:rsidRPr="001C76E0" w:rsidR="00E740D4">
        <w:t>, as</w:t>
      </w:r>
      <w:r w:rsidRPr="001C76E0" w:rsidR="00A0084D">
        <w:t xml:space="preserve"> </w:t>
      </w:r>
      <w:r w:rsidRPr="001C76E0" w:rsidR="008F1919">
        <w:t xml:space="preserve">discussed in </w:t>
      </w:r>
      <w:r w:rsidR="007D0C28">
        <w:t>Section </w:t>
      </w:r>
      <w:r w:rsidRPr="001C76E0" w:rsidR="005163B5">
        <w:t>3</w:t>
      </w:r>
      <w:r w:rsidRPr="001C76E0" w:rsidR="008F1919">
        <w:t xml:space="preserve"> of this decision.</w:t>
      </w:r>
    </w:p>
    <w:p w:rsidR="00EA0147" w:rsidP="007409E2" w:rsidRDefault="00BB2E22" w14:paraId="532CEAAD" w14:textId="41F44075">
      <w:pPr>
        <w:pStyle w:val="Standard"/>
      </w:pPr>
      <w:r w:rsidRPr="001C76E0">
        <w:t>Further</w:t>
      </w:r>
      <w:r w:rsidRPr="001C76E0" w:rsidR="006260C5">
        <w:t xml:space="preserve">, </w:t>
      </w:r>
      <w:r w:rsidR="00E6705F">
        <w:t>Cal Adv</w:t>
      </w:r>
      <w:r w:rsidRPr="001C76E0" w:rsidR="00443DD5">
        <w:t xml:space="preserve">ocates argues </w:t>
      </w:r>
      <w:r w:rsidRPr="001C76E0" w:rsidR="009E2834">
        <w:t>we should reject the Motion because a</w:t>
      </w:r>
      <w:r w:rsidRPr="001C76E0" w:rsidR="00B84DE3">
        <w:t>n inter</w:t>
      </w:r>
      <w:r w:rsidR="006D4147">
        <w:t>i</w:t>
      </w:r>
      <w:r w:rsidR="00093A38">
        <w:t>m</w:t>
      </w:r>
      <w:r w:rsidRPr="001C76E0" w:rsidR="00B84DE3">
        <w:t xml:space="preserve"> rate recovery</w:t>
      </w:r>
      <w:r w:rsidRPr="001C76E0" w:rsidR="009E2834">
        <w:t xml:space="preserve"> </w:t>
      </w:r>
      <w:r w:rsidRPr="001C76E0" w:rsidR="006523EC">
        <w:t xml:space="preserve">motion </w:t>
      </w:r>
      <w:r w:rsidRPr="001C76E0" w:rsidR="009E2834">
        <w:t>was rejected in D.22</w:t>
      </w:r>
      <w:r w:rsidR="0004127A">
        <w:noBreakHyphen/>
      </w:r>
      <w:r w:rsidRPr="001C76E0" w:rsidR="009E2834">
        <w:t>05</w:t>
      </w:r>
      <w:r w:rsidR="0004127A">
        <w:noBreakHyphen/>
      </w:r>
      <w:r w:rsidRPr="001C76E0" w:rsidR="009E2834">
        <w:t>001</w:t>
      </w:r>
      <w:r w:rsidRPr="001C76E0" w:rsidR="00EA216F">
        <w:t>.</w:t>
      </w:r>
      <w:r w:rsidRPr="001C76E0" w:rsidR="00E818B1">
        <w:t xml:space="preserve"> </w:t>
      </w:r>
      <w:r w:rsidRPr="001C76E0" w:rsidR="005003C1">
        <w:t>Here</w:t>
      </w:r>
      <w:r w:rsidRPr="001C76E0" w:rsidR="00ED5F3A">
        <w:t>, the C</w:t>
      </w:r>
      <w:r w:rsidRPr="001C76E0" w:rsidR="00826386">
        <w:t xml:space="preserve">ommission </w:t>
      </w:r>
      <w:r w:rsidRPr="001C76E0" w:rsidR="00276EB7">
        <w:t>consider</w:t>
      </w:r>
      <w:r w:rsidRPr="001C76E0" w:rsidR="00B30801">
        <w:t>ed</w:t>
      </w:r>
      <w:r w:rsidRPr="001C76E0" w:rsidR="00276EB7">
        <w:t xml:space="preserve"> the </w:t>
      </w:r>
      <w:r w:rsidRPr="001C76E0" w:rsidR="00826386">
        <w:t>unique facts applicable to the Motion</w:t>
      </w:r>
      <w:r w:rsidRPr="001C76E0" w:rsidR="002B12D3">
        <w:t xml:space="preserve">. Unlike </w:t>
      </w:r>
      <w:r w:rsidRPr="001C76E0" w:rsidR="00BA5F71">
        <w:t>the utility in</w:t>
      </w:r>
      <w:r w:rsidRPr="001C76E0" w:rsidR="002B12D3">
        <w:t xml:space="preserve"> D.22</w:t>
      </w:r>
      <w:r w:rsidR="0004127A">
        <w:noBreakHyphen/>
      </w:r>
      <w:r w:rsidRPr="001C76E0" w:rsidR="002B12D3">
        <w:t>05</w:t>
      </w:r>
      <w:r w:rsidR="0004127A">
        <w:noBreakHyphen/>
      </w:r>
      <w:r w:rsidRPr="001C76E0" w:rsidR="002B12D3">
        <w:t>001</w:t>
      </w:r>
      <w:r w:rsidRPr="001C76E0" w:rsidR="00D068F2">
        <w:t xml:space="preserve">, </w:t>
      </w:r>
      <w:r w:rsidRPr="001C76E0" w:rsidR="00F96D79">
        <w:t>SoCalGas</w:t>
      </w:r>
      <w:r w:rsidRPr="001C76E0" w:rsidR="002B12D3">
        <w:t xml:space="preserve"> recently had a </w:t>
      </w:r>
      <w:r w:rsidRPr="001C76E0" w:rsidR="00D068F2">
        <w:t>credit downgrade</w:t>
      </w:r>
      <w:r w:rsidRPr="001C76E0" w:rsidR="00BA5F71">
        <w:t>.</w:t>
      </w:r>
      <w:r w:rsidRPr="001C76E0" w:rsidR="00D068F2">
        <w:t xml:space="preserve"> </w:t>
      </w:r>
      <w:r w:rsidRPr="001C76E0" w:rsidR="00BA5F71">
        <w:t>Also</w:t>
      </w:r>
      <w:r w:rsidRPr="001C76E0" w:rsidR="006853FF">
        <w:t>,</w:t>
      </w:r>
      <w:r w:rsidRPr="001C76E0" w:rsidR="00BA5F71">
        <w:t xml:space="preserve"> </w:t>
      </w:r>
      <w:r w:rsidRPr="001C76E0" w:rsidR="00D068F2">
        <w:t>the costs at issue</w:t>
      </w:r>
      <w:r w:rsidRPr="001C76E0" w:rsidR="006853FF">
        <w:t xml:space="preserve"> here</w:t>
      </w:r>
      <w:r w:rsidRPr="001C76E0" w:rsidR="00D068F2">
        <w:t xml:space="preserve"> were not ripe at the time </w:t>
      </w:r>
      <w:r w:rsidRPr="001C76E0" w:rsidR="00103CDC">
        <w:t xml:space="preserve">SoCalGas </w:t>
      </w:r>
      <w:r w:rsidRPr="001C76E0" w:rsidR="00F96D79">
        <w:t>filed</w:t>
      </w:r>
      <w:r w:rsidRPr="001C76E0" w:rsidR="009144F9">
        <w:t xml:space="preserve"> its most recent GRC</w:t>
      </w:r>
      <w:r w:rsidRPr="001C76E0" w:rsidR="00103CDC">
        <w:t>, A.22</w:t>
      </w:r>
      <w:r w:rsidR="0004127A">
        <w:noBreakHyphen/>
      </w:r>
      <w:r w:rsidRPr="001C76E0" w:rsidR="00103CDC">
        <w:t>05</w:t>
      </w:r>
      <w:r w:rsidR="0004127A">
        <w:noBreakHyphen/>
      </w:r>
      <w:r w:rsidRPr="001C76E0" w:rsidR="00103CDC">
        <w:t>015</w:t>
      </w:r>
      <w:r w:rsidRPr="001C76E0" w:rsidR="00826386">
        <w:t>.</w:t>
      </w:r>
    </w:p>
    <w:p w:rsidRPr="001C76E0" w:rsidR="00C22D5A" w:rsidP="007409E2" w:rsidRDefault="006971D3" w14:paraId="68F8D05E" w14:textId="59C49CE2">
      <w:pPr>
        <w:pStyle w:val="Standard"/>
      </w:pPr>
      <w:r w:rsidRPr="001C76E0">
        <w:t>T</w:t>
      </w:r>
      <w:r w:rsidRPr="001C76E0" w:rsidR="00C22D5A">
        <w:t xml:space="preserve">he Commission applies the guidance provided above in </w:t>
      </w:r>
      <w:r w:rsidR="007D0C28">
        <w:t>Section </w:t>
      </w:r>
      <w:r w:rsidRPr="001C76E0" w:rsidR="00C22D5A">
        <w:t>3 of this decision</w:t>
      </w:r>
      <w:r w:rsidRPr="001C76E0" w:rsidR="00D200A2">
        <w:t xml:space="preserve"> </w:t>
      </w:r>
      <w:r w:rsidRPr="001C76E0" w:rsidR="00C22D5A">
        <w:t xml:space="preserve">to aid its determination on the Motion. </w:t>
      </w:r>
      <w:r w:rsidRPr="001C76E0" w:rsidR="00CD2584">
        <w:t>Importantly, w</w:t>
      </w:r>
      <w:r w:rsidRPr="001C76E0" w:rsidR="00145521">
        <w:t xml:space="preserve">e note that </w:t>
      </w:r>
      <w:r w:rsidRPr="001C76E0" w:rsidR="00157B8A">
        <w:t>the</w:t>
      </w:r>
      <w:r w:rsidRPr="001C76E0" w:rsidR="00145521">
        <w:t xml:space="preserve"> California Supreme Court</w:t>
      </w:r>
      <w:r w:rsidRPr="001C76E0" w:rsidR="00977677">
        <w:t>,</w:t>
      </w:r>
      <w:r w:rsidRPr="001C76E0" w:rsidR="00145521">
        <w:t xml:space="preserve"> </w:t>
      </w:r>
      <w:r w:rsidRPr="001C76E0" w:rsidR="00157B8A">
        <w:t xml:space="preserve">in </w:t>
      </w:r>
      <w:r w:rsidRPr="001C76E0" w:rsidR="00157B8A">
        <w:rPr>
          <w:i/>
          <w:iCs/>
        </w:rPr>
        <w:t>TURN</w:t>
      </w:r>
      <w:r w:rsidR="00EA0147">
        <w:rPr>
          <w:i/>
          <w:iCs/>
        </w:rPr>
        <w:t xml:space="preserve"> v. </w:t>
      </w:r>
      <w:r w:rsidRPr="001C76E0" w:rsidR="00157B8A">
        <w:rPr>
          <w:i/>
          <w:iCs/>
        </w:rPr>
        <w:t>PUC</w:t>
      </w:r>
      <w:r w:rsidRPr="001C76E0" w:rsidR="00977677">
        <w:t>,</w:t>
      </w:r>
      <w:r w:rsidRPr="001C76E0" w:rsidR="00157B8A">
        <w:rPr>
          <w:i/>
          <w:iCs/>
        </w:rPr>
        <w:t xml:space="preserve"> </w:t>
      </w:r>
      <w:r w:rsidRPr="001C76E0" w:rsidR="001209E9">
        <w:t>affirmed</w:t>
      </w:r>
      <w:r w:rsidRPr="001C76E0" w:rsidR="00145521">
        <w:t xml:space="preserve"> the Commission </w:t>
      </w:r>
      <w:r w:rsidRPr="001C76E0" w:rsidR="00157B8A">
        <w:t xml:space="preserve">may, </w:t>
      </w:r>
      <w:r w:rsidRPr="001C76E0" w:rsidR="001209E9">
        <w:t xml:space="preserve">in </w:t>
      </w:r>
      <w:r w:rsidRPr="001C76E0" w:rsidR="00157B8A">
        <w:t xml:space="preserve">certain circumstances, </w:t>
      </w:r>
      <w:r w:rsidRPr="001C76E0" w:rsidR="00145521">
        <w:t>grant rate increases before a final Commission determination of whether the costs were just and reasonable.</w:t>
      </w:r>
      <w:r w:rsidRPr="001C76E0" w:rsidR="00B2660C">
        <w:rPr>
          <w:rStyle w:val="FootnoteReference"/>
        </w:rPr>
        <w:footnoteReference w:id="43"/>
      </w:r>
    </w:p>
    <w:p w:rsidRPr="001C76E0" w:rsidR="00094373" w:rsidP="007409E2" w:rsidRDefault="00E6705F" w14:paraId="2818E89F" w14:textId="24DFB837">
      <w:pPr>
        <w:pStyle w:val="Standard"/>
      </w:pPr>
      <w:r>
        <w:t>Cal Adv</w:t>
      </w:r>
      <w:r w:rsidRPr="001C76E0" w:rsidR="00F12AB5">
        <w:t>ocates did not contest SoCalGa</w:t>
      </w:r>
      <w:r w:rsidR="006636DD">
        <w:t xml:space="preserve">s’ </w:t>
      </w:r>
      <w:r w:rsidRPr="001C76E0" w:rsidR="00F12AB5">
        <w:t xml:space="preserve">factual basis for this Motion. </w:t>
      </w:r>
      <w:r w:rsidRPr="001C76E0" w:rsidR="000D5E77">
        <w:t xml:space="preserve">SoCalGas has shown </w:t>
      </w:r>
      <w:r w:rsidRPr="001C76E0" w:rsidR="00B30801">
        <w:t xml:space="preserve">that </w:t>
      </w:r>
      <w:r w:rsidRPr="001C76E0" w:rsidR="009C7FA5">
        <w:t xml:space="preserve">granting the </w:t>
      </w:r>
      <w:r w:rsidRPr="001C76E0" w:rsidR="002D51F6">
        <w:t>M</w:t>
      </w:r>
      <w:r w:rsidRPr="001C76E0" w:rsidR="009C7FA5">
        <w:t xml:space="preserve">otion promotes fairness for the public. </w:t>
      </w:r>
      <w:r w:rsidRPr="001C76E0" w:rsidR="00B30801">
        <w:t xml:space="preserve">First, </w:t>
      </w:r>
      <w:r w:rsidRPr="001C76E0" w:rsidR="003A7835">
        <w:t>the</w:t>
      </w:r>
      <w:r w:rsidRPr="001C76E0" w:rsidR="00E81F48">
        <w:t xml:space="preserve"> Commission </w:t>
      </w:r>
      <w:r w:rsidRPr="001C76E0" w:rsidR="00120F41">
        <w:t xml:space="preserve">finds </w:t>
      </w:r>
      <w:r w:rsidRPr="001C76E0" w:rsidR="00F04998">
        <w:t>interim rate recovery</w:t>
      </w:r>
      <w:r w:rsidRPr="001C76E0" w:rsidR="00F3589F">
        <w:t xml:space="preserve"> provides</w:t>
      </w:r>
      <w:r w:rsidRPr="001C76E0" w:rsidR="00B34639">
        <w:t xml:space="preserve"> </w:t>
      </w:r>
      <w:r w:rsidRPr="001C76E0" w:rsidR="00534A6A">
        <w:t>direct</w:t>
      </w:r>
      <w:r w:rsidRPr="001C76E0" w:rsidR="00741F6D">
        <w:t xml:space="preserve"> financial</w:t>
      </w:r>
      <w:r w:rsidRPr="001C76E0" w:rsidR="00B34639">
        <w:t xml:space="preserve"> benefi</w:t>
      </w:r>
      <w:r w:rsidRPr="001C76E0" w:rsidR="00741F6D">
        <w:t>t</w:t>
      </w:r>
      <w:r w:rsidRPr="001C76E0" w:rsidR="00B34639">
        <w:t xml:space="preserve"> </w:t>
      </w:r>
      <w:r w:rsidRPr="001C76E0" w:rsidR="00F3589F">
        <w:t>to</w:t>
      </w:r>
      <w:r w:rsidRPr="001C76E0" w:rsidR="00B34639">
        <w:t xml:space="preserve"> ratepayers </w:t>
      </w:r>
      <w:r w:rsidRPr="001C76E0" w:rsidR="00741F6D">
        <w:t xml:space="preserve">by </w:t>
      </w:r>
      <w:r w:rsidRPr="001C76E0" w:rsidR="00F3589F">
        <w:t xml:space="preserve">creating a </w:t>
      </w:r>
      <w:r w:rsidRPr="001C76E0" w:rsidR="00741F6D">
        <w:t xml:space="preserve">saving </w:t>
      </w:r>
      <w:r w:rsidRPr="001C76E0" w:rsidR="0090368A">
        <w:t>on interest expenses,</w:t>
      </w:r>
      <w:r w:rsidRPr="001C76E0" w:rsidR="00E81F48">
        <w:t xml:space="preserve"> </w:t>
      </w:r>
      <w:r w:rsidRPr="001C76E0" w:rsidR="00850D0D">
        <w:t xml:space="preserve">which is important </w:t>
      </w:r>
      <w:r w:rsidRPr="001C76E0" w:rsidR="00E81F48">
        <w:t xml:space="preserve">in </w:t>
      </w:r>
      <w:r w:rsidRPr="001C76E0" w:rsidR="0090368A">
        <w:t xml:space="preserve">light of </w:t>
      </w:r>
      <w:r w:rsidRPr="001C76E0" w:rsidR="00424409">
        <w:t>affordability concerns</w:t>
      </w:r>
      <w:r w:rsidRPr="001C76E0" w:rsidR="00E81F48">
        <w:t>.</w:t>
      </w:r>
      <w:r w:rsidRPr="001C76E0" w:rsidR="00094373">
        <w:t xml:space="preserve"> </w:t>
      </w:r>
      <w:r w:rsidRPr="001C76E0" w:rsidR="00D244BA">
        <w:t>As discussed</w:t>
      </w:r>
      <w:r w:rsidRPr="001C76E0" w:rsidR="00527277">
        <w:t xml:space="preserve"> </w:t>
      </w:r>
      <w:r w:rsidRPr="001C76E0" w:rsidR="00893E73">
        <w:t xml:space="preserve">below, </w:t>
      </w:r>
      <w:r w:rsidRPr="001C76E0" w:rsidR="00244B93">
        <w:t xml:space="preserve">in </w:t>
      </w:r>
      <w:r w:rsidR="007D0C28">
        <w:t>Section </w:t>
      </w:r>
      <w:r w:rsidRPr="001C76E0" w:rsidR="00120F41">
        <w:t>5.2</w:t>
      </w:r>
      <w:r w:rsidRPr="001C76E0" w:rsidR="00244B93">
        <w:t xml:space="preserve"> </w:t>
      </w:r>
      <w:r w:rsidRPr="001C76E0" w:rsidR="004C43EF">
        <w:t>of this decision</w:t>
      </w:r>
      <w:r w:rsidRPr="001C76E0" w:rsidR="0013669A">
        <w:t>,</w:t>
      </w:r>
      <w:r w:rsidRPr="001C76E0" w:rsidR="004C43EF">
        <w:t xml:space="preserve"> we reduce </w:t>
      </w:r>
      <w:r w:rsidRPr="001C76E0" w:rsidR="009D6603">
        <w:t>SoCalGas</w:t>
      </w:r>
      <w:r w:rsidR="00EA0147">
        <w:t>’</w:t>
      </w:r>
      <w:r w:rsidRPr="001C76E0" w:rsidR="009D6603">
        <w:t xml:space="preserve"> request from 85</w:t>
      </w:r>
      <w:r w:rsidR="008C449B">
        <w:t> percent</w:t>
      </w:r>
      <w:r w:rsidRPr="001C76E0" w:rsidR="009D6603">
        <w:t xml:space="preserve"> to 60</w:t>
      </w:r>
      <w:r w:rsidR="008C449B">
        <w:t> percent</w:t>
      </w:r>
      <w:r w:rsidRPr="001C76E0" w:rsidR="001E5812">
        <w:t xml:space="preserve">, </w:t>
      </w:r>
      <w:r w:rsidRPr="001C76E0" w:rsidR="0061358F">
        <w:t xml:space="preserve">which will result in </w:t>
      </w:r>
      <w:r w:rsidRPr="001C76E0" w:rsidR="006275B3">
        <w:t>interest</w:t>
      </w:r>
      <w:r w:rsidRPr="001C76E0" w:rsidR="001E5812">
        <w:t xml:space="preserve"> savings </w:t>
      </w:r>
      <w:r w:rsidRPr="001C76E0" w:rsidR="0061358F">
        <w:t xml:space="preserve">of </w:t>
      </w:r>
      <w:r w:rsidRPr="001C76E0" w:rsidR="001F1B6B">
        <w:t>approximately</w:t>
      </w:r>
      <w:r w:rsidRPr="001C76E0" w:rsidR="00252008">
        <w:t xml:space="preserve"> $918</w:t>
      </w:r>
      <w:r w:rsidR="008C449B">
        <w:t> thousand</w:t>
      </w:r>
      <w:r w:rsidRPr="001C76E0" w:rsidR="001E1BCA">
        <w:t>.</w:t>
      </w:r>
      <w:r w:rsidRPr="001C76E0" w:rsidR="00CB3460">
        <w:rPr>
          <w:rStyle w:val="FootnoteReference"/>
        </w:rPr>
        <w:footnoteReference w:id="44"/>
      </w:r>
      <w:r w:rsidRPr="001C76E0" w:rsidR="001F1B6B">
        <w:t xml:space="preserve"> </w:t>
      </w:r>
      <w:r w:rsidRPr="001C76E0" w:rsidR="00B30801">
        <w:t>Second</w:t>
      </w:r>
      <w:r w:rsidRPr="001C76E0" w:rsidR="005A28A7">
        <w:t xml:space="preserve">, we find </w:t>
      </w:r>
      <w:r w:rsidRPr="001C76E0" w:rsidR="000E6B07">
        <w:t>interim rate recovery promotes intergenerational equity by bring</w:t>
      </w:r>
      <w:r w:rsidR="007D2A26">
        <w:t>ing</w:t>
      </w:r>
      <w:r w:rsidRPr="001C76E0" w:rsidR="000E6B07">
        <w:t xml:space="preserve"> the time when the DIMP costs were incurred closer to when they are being paid for by </w:t>
      </w:r>
      <w:r w:rsidRPr="001C76E0" w:rsidR="000E6B07">
        <w:lastRenderedPageBreak/>
        <w:t>ratepayers</w:t>
      </w:r>
      <w:r w:rsidRPr="001C76E0" w:rsidR="00045A09">
        <w:t xml:space="preserve">. </w:t>
      </w:r>
      <w:r w:rsidRPr="001C76E0" w:rsidR="00B30801">
        <w:t>Third</w:t>
      </w:r>
      <w:r w:rsidRPr="001C76E0" w:rsidR="00362E37">
        <w:t>,</w:t>
      </w:r>
      <w:r w:rsidRPr="001C76E0" w:rsidR="004533E8">
        <w:t xml:space="preserve"> </w:t>
      </w:r>
      <w:r w:rsidRPr="001C76E0" w:rsidR="005A28A7">
        <w:t xml:space="preserve">we find </w:t>
      </w:r>
      <w:r w:rsidRPr="001C76E0" w:rsidR="00C61105">
        <w:t xml:space="preserve">interim rate recovery </w:t>
      </w:r>
      <w:r w:rsidRPr="001C76E0" w:rsidR="00C859AD">
        <w:t>indirectly benefit</w:t>
      </w:r>
      <w:r w:rsidRPr="001C76E0" w:rsidR="00C61105">
        <w:t>s</w:t>
      </w:r>
      <w:r w:rsidRPr="001C76E0" w:rsidR="00C859AD">
        <w:t xml:space="preserve"> </w:t>
      </w:r>
      <w:r w:rsidRPr="001C76E0" w:rsidR="00C61105">
        <w:t>ratepayers</w:t>
      </w:r>
      <w:r w:rsidRPr="001C76E0" w:rsidR="00CF59A6">
        <w:t>, because all else being equal,</w:t>
      </w:r>
      <w:r w:rsidRPr="001C76E0" w:rsidR="006B65F0">
        <w:t xml:space="preserve"> </w:t>
      </w:r>
      <w:r w:rsidRPr="001C76E0" w:rsidR="00CF59A6">
        <w:t>it improves SoCalGas</w:t>
      </w:r>
      <w:r w:rsidR="00EA0147">
        <w:t>’</w:t>
      </w:r>
      <w:r w:rsidRPr="001C76E0" w:rsidR="006B65F0">
        <w:t xml:space="preserve"> credit </w:t>
      </w:r>
      <w:r w:rsidRPr="001C76E0" w:rsidR="002B059C">
        <w:t>metrics,</w:t>
      </w:r>
      <w:r w:rsidRPr="001C76E0" w:rsidR="00CF59A6">
        <w:t xml:space="preserve"> which </w:t>
      </w:r>
      <w:r w:rsidRPr="001C76E0" w:rsidR="002B059C">
        <w:t xml:space="preserve">places </w:t>
      </w:r>
      <w:r w:rsidRPr="001C76E0" w:rsidR="00CF59A6">
        <w:t xml:space="preserve">downward pressure on </w:t>
      </w:r>
      <w:r w:rsidRPr="001C76E0" w:rsidR="002B059C">
        <w:t>capital costs</w:t>
      </w:r>
      <w:r w:rsidRPr="001C76E0" w:rsidR="006B65F0">
        <w:t xml:space="preserve">. </w:t>
      </w:r>
      <w:r w:rsidRPr="001C76E0" w:rsidR="00B30801">
        <w:t>Fourth</w:t>
      </w:r>
      <w:r w:rsidRPr="001C76E0" w:rsidR="006B65F0">
        <w:t xml:space="preserve">, </w:t>
      </w:r>
      <w:r w:rsidRPr="001C76E0" w:rsidR="005A28A7">
        <w:t xml:space="preserve">we find </w:t>
      </w:r>
      <w:r w:rsidRPr="001C76E0" w:rsidR="006B65F0">
        <w:t xml:space="preserve">ratepayers are protected in the event </w:t>
      </w:r>
      <w:r w:rsidRPr="001C76E0" w:rsidR="008E2D0F">
        <w:t xml:space="preserve">underlying DIMP </w:t>
      </w:r>
      <w:r w:rsidRPr="001C76E0" w:rsidR="006B65F0">
        <w:t>costs are found unreasonable via a refund, which would include interest.</w:t>
      </w:r>
    </w:p>
    <w:p w:rsidR="00EA0147" w:rsidP="00E81F48" w:rsidRDefault="000D5E77" w14:paraId="45C3C3D3" w14:textId="04597A13">
      <w:pPr>
        <w:pStyle w:val="Standard"/>
      </w:pPr>
      <w:r w:rsidRPr="001C76E0">
        <w:t xml:space="preserve">SoCalGas </w:t>
      </w:r>
      <w:r w:rsidRPr="001C76E0" w:rsidR="006F0F1B">
        <w:t>has shown</w:t>
      </w:r>
      <w:r w:rsidRPr="001C76E0" w:rsidR="0052369B">
        <w:t xml:space="preserve"> </w:t>
      </w:r>
      <w:r w:rsidRPr="001C76E0" w:rsidR="00B30801">
        <w:t xml:space="preserve">that </w:t>
      </w:r>
      <w:r w:rsidRPr="001C76E0" w:rsidR="0052369B">
        <w:t>granting the Motion promotes fairness for the utility</w:t>
      </w:r>
      <w:r w:rsidRPr="001C76E0" w:rsidR="00E81F48">
        <w:t xml:space="preserve">. The Commission agrees with SoCalGas that interim </w:t>
      </w:r>
      <w:r w:rsidRPr="001C76E0" w:rsidR="00293479">
        <w:t>rate recovery</w:t>
      </w:r>
      <w:r w:rsidRPr="001C76E0" w:rsidR="00E81F48">
        <w:t xml:space="preserve"> </w:t>
      </w:r>
      <w:r w:rsidRPr="001C76E0" w:rsidR="00D110D1">
        <w:t xml:space="preserve">will </w:t>
      </w:r>
      <w:r w:rsidRPr="001C76E0" w:rsidR="00FF2F72">
        <w:t xml:space="preserve">preserve the financial integrity of </w:t>
      </w:r>
      <w:r w:rsidRPr="001C76E0" w:rsidR="00064A33">
        <w:t>the</w:t>
      </w:r>
      <w:r w:rsidRPr="001C76E0" w:rsidR="00FF2F72">
        <w:t xml:space="preserve"> utility by </w:t>
      </w:r>
      <w:r w:rsidRPr="001C76E0" w:rsidR="00D110D1">
        <w:t>support</w:t>
      </w:r>
      <w:r w:rsidRPr="001C76E0" w:rsidR="00FF2F72">
        <w:t>ing</w:t>
      </w:r>
      <w:r w:rsidRPr="001C76E0" w:rsidR="00D110D1">
        <w:t xml:space="preserve"> its credit metrics and promot</w:t>
      </w:r>
      <w:r w:rsidR="00A656A1">
        <w:t>e</w:t>
      </w:r>
      <w:r w:rsidRPr="001C76E0" w:rsidR="00D110D1">
        <w:t xml:space="preserve"> a positive perception </w:t>
      </w:r>
      <w:r w:rsidRPr="001C76E0" w:rsidR="00905458">
        <w:t>of</w:t>
      </w:r>
      <w:r w:rsidRPr="001C76E0" w:rsidR="00D110D1">
        <w:t xml:space="preserve"> regulatory risk</w:t>
      </w:r>
      <w:r w:rsidRPr="001C76E0" w:rsidR="00A64DB6">
        <w:t xml:space="preserve"> by rating agencies</w:t>
      </w:r>
      <w:r w:rsidRPr="001C76E0" w:rsidR="007C3512">
        <w:t>.</w:t>
      </w:r>
    </w:p>
    <w:p w:rsidRPr="001C76E0" w:rsidR="00CF1DB3" w:rsidP="00A547D7" w:rsidRDefault="00B2329B" w14:paraId="50F3F59B" w14:textId="7F996C2E">
      <w:pPr>
        <w:pStyle w:val="Standard"/>
      </w:pPr>
      <w:r w:rsidRPr="001C76E0">
        <w:t>SoCalGas has shown that the</w:t>
      </w:r>
      <w:r w:rsidRPr="001C76E0" w:rsidR="00E81F48">
        <w:t xml:space="preserve"> requested relief is appropriate and requires </w:t>
      </w:r>
      <w:r w:rsidR="00EA0147">
        <w:t>“</w:t>
      </w:r>
      <w:r w:rsidRPr="001C76E0" w:rsidR="00E81F48">
        <w:t>immediate</w:t>
      </w:r>
      <w:r w:rsidR="00EA0147">
        <w:t>”</w:t>
      </w:r>
      <w:r w:rsidRPr="001C76E0" w:rsidR="00E81F48">
        <w:t xml:space="preserve"> action by the Commission</w:t>
      </w:r>
      <w:r w:rsidRPr="001C76E0" w:rsidR="00103C0D">
        <w:t>.</w:t>
      </w:r>
      <w:r w:rsidRPr="001C76E0" w:rsidR="00E81F48">
        <w:t xml:space="preserve"> For example, </w:t>
      </w:r>
      <w:r w:rsidRPr="001C76E0" w:rsidR="00884E06">
        <w:t xml:space="preserve">a delay in granting </w:t>
      </w:r>
      <w:r w:rsidRPr="001C76E0" w:rsidR="00963D53">
        <w:t>the</w:t>
      </w:r>
      <w:r w:rsidRPr="001C76E0" w:rsidR="00884E06">
        <w:t xml:space="preserve"> </w:t>
      </w:r>
      <w:r w:rsidRPr="001C76E0" w:rsidR="00963D53">
        <w:t>M</w:t>
      </w:r>
      <w:r w:rsidRPr="001C76E0" w:rsidR="00884E06">
        <w:t>otion would</w:t>
      </w:r>
      <w:r w:rsidRPr="001C76E0" w:rsidR="00FC0E1A">
        <w:t xml:space="preserve"> reduce</w:t>
      </w:r>
      <w:r w:rsidRPr="001C76E0" w:rsidR="003A01B7">
        <w:t xml:space="preserve"> </w:t>
      </w:r>
      <w:r w:rsidRPr="001C76E0" w:rsidR="00DF6808">
        <w:t xml:space="preserve">the potential </w:t>
      </w:r>
      <w:r w:rsidRPr="001C76E0" w:rsidR="003A01B7">
        <w:t>interest savings to ratepayers</w:t>
      </w:r>
      <w:r w:rsidRPr="001C76E0" w:rsidR="00FC0E1A">
        <w:t xml:space="preserve">. Additionally, </w:t>
      </w:r>
      <w:r w:rsidRPr="001C76E0" w:rsidR="00471DAF">
        <w:t>a delay in granting this motion would</w:t>
      </w:r>
      <w:r w:rsidRPr="001C76E0" w:rsidR="00E06CC5">
        <w:t xml:space="preserve"> reduce the period of time</w:t>
      </w:r>
      <w:r w:rsidRPr="001C76E0" w:rsidR="00387A3E">
        <w:t xml:space="preserve"> </w:t>
      </w:r>
      <w:r w:rsidRPr="001C76E0" w:rsidR="005C1318">
        <w:t>SoCalGa</w:t>
      </w:r>
      <w:r w:rsidR="006636DD">
        <w:t xml:space="preserve">s’ </w:t>
      </w:r>
      <w:r w:rsidRPr="001C76E0" w:rsidR="005C1318">
        <w:t>credit metrics could</w:t>
      </w:r>
      <w:r w:rsidRPr="001C76E0" w:rsidR="00E06CC5">
        <w:t xml:space="preserve"> benefit from the interim</w:t>
      </w:r>
      <w:r w:rsidRPr="001C76E0" w:rsidR="005C1318">
        <w:t xml:space="preserve"> </w:t>
      </w:r>
      <w:r w:rsidRPr="001C76E0" w:rsidR="00A17F25">
        <w:t xml:space="preserve">relief, and all else being equal, could </w:t>
      </w:r>
      <w:r w:rsidRPr="001C76E0" w:rsidR="005C1318">
        <w:t>contribute to higher capital costs.</w:t>
      </w:r>
      <w:r w:rsidRPr="001C76E0" w:rsidR="000C6A71">
        <w:t xml:space="preserve"> </w:t>
      </w:r>
      <w:r w:rsidRPr="001C76E0" w:rsidR="00A547D7">
        <w:t xml:space="preserve">As such, the Commission finds that authorizing interim </w:t>
      </w:r>
      <w:r w:rsidRPr="001C76E0" w:rsidR="00293479">
        <w:t>rate recovery</w:t>
      </w:r>
      <w:r w:rsidRPr="001C76E0" w:rsidR="00A547D7">
        <w:t xml:space="preserve"> promotes fairness </w:t>
      </w:r>
      <w:r w:rsidRPr="001C76E0" w:rsidR="00CF1DB3">
        <w:t>to both the utility and the public</w:t>
      </w:r>
      <w:r w:rsidRPr="001C76E0" w:rsidR="00667016">
        <w:t>,</w:t>
      </w:r>
      <w:r w:rsidRPr="001C76E0" w:rsidR="00CF1DB3">
        <w:t xml:space="preserve"> </w:t>
      </w:r>
      <w:r w:rsidRPr="001C76E0" w:rsidR="00A576AC">
        <w:t xml:space="preserve">and that </w:t>
      </w:r>
      <w:r w:rsidRPr="001C76E0" w:rsidR="00CF1DB3">
        <w:t>immediate action</w:t>
      </w:r>
      <w:r w:rsidRPr="001C76E0" w:rsidR="00A576AC">
        <w:t xml:space="preserve"> is required</w:t>
      </w:r>
      <w:r w:rsidRPr="001C76E0" w:rsidR="00E659BA">
        <w:t>.</w:t>
      </w:r>
    </w:p>
    <w:p w:rsidRPr="001C76E0" w:rsidR="00F125D4" w:rsidP="00A547D7" w:rsidRDefault="00007C75" w14:paraId="47B09EC1" w14:textId="24DEE405">
      <w:pPr>
        <w:pStyle w:val="Standard"/>
      </w:pPr>
      <w:r w:rsidRPr="001C76E0">
        <w:t xml:space="preserve">The Commission also finds that </w:t>
      </w:r>
      <w:r w:rsidRPr="001C76E0" w:rsidR="006D4B54">
        <w:t>a</w:t>
      </w:r>
      <w:r w:rsidRPr="001C76E0">
        <w:t xml:space="preserve"> 12</w:t>
      </w:r>
      <w:r w:rsidR="0004127A">
        <w:noBreakHyphen/>
      </w:r>
      <w:r w:rsidRPr="001C76E0">
        <w:t xml:space="preserve">month </w:t>
      </w:r>
      <w:r w:rsidRPr="001C76E0" w:rsidR="006D4B54">
        <w:t xml:space="preserve">interim rate recovery </w:t>
      </w:r>
      <w:r w:rsidRPr="001C76E0">
        <w:t xml:space="preserve">authorization is </w:t>
      </w:r>
      <w:r w:rsidRPr="001C76E0" w:rsidR="00544CFE">
        <w:t>reasonable</w:t>
      </w:r>
      <w:r w:rsidRPr="001C76E0">
        <w:t xml:space="preserve">. Based on the schedule announced in the </w:t>
      </w:r>
      <w:r w:rsidRPr="001C76E0" w:rsidR="00796F9E">
        <w:t>S</w:t>
      </w:r>
      <w:r w:rsidRPr="001C76E0" w:rsidR="004C4175">
        <w:t xml:space="preserve">coping </w:t>
      </w:r>
      <w:r w:rsidRPr="001C76E0" w:rsidR="00796F9E">
        <w:t>M</w:t>
      </w:r>
      <w:r w:rsidRPr="001C76E0" w:rsidR="004C4175">
        <w:t xml:space="preserve">emo, it is anticipated that the Commission will </w:t>
      </w:r>
      <w:r w:rsidRPr="001C76E0" w:rsidR="00DF7FBD">
        <w:t>decide</w:t>
      </w:r>
      <w:r w:rsidRPr="001C76E0" w:rsidR="004C4175">
        <w:t xml:space="preserve"> on the merits of </w:t>
      </w:r>
      <w:r w:rsidRPr="001C76E0" w:rsidR="00DE420A">
        <w:t>SoCalGa</w:t>
      </w:r>
      <w:r w:rsidR="006636DD">
        <w:t xml:space="preserve">s’ </w:t>
      </w:r>
      <w:r w:rsidRPr="001C76E0" w:rsidR="004C4175">
        <w:t>application before</w:t>
      </w:r>
      <w:r w:rsidRPr="001C76E0" w:rsidR="00370CD1">
        <w:t xml:space="preserve"> </w:t>
      </w:r>
      <w:r w:rsidRPr="001C76E0" w:rsidR="00983486">
        <w:t>a possible</w:t>
      </w:r>
      <w:r w:rsidRPr="001C76E0" w:rsidR="004832FD">
        <w:t xml:space="preserve"> </w:t>
      </w:r>
      <w:r w:rsidRPr="001C76E0" w:rsidR="00DE420A">
        <w:t xml:space="preserve">second </w:t>
      </w:r>
      <w:r w:rsidRPr="001C76E0" w:rsidR="00370CD1">
        <w:t>12</w:t>
      </w:r>
      <w:r w:rsidR="0004127A">
        <w:noBreakHyphen/>
      </w:r>
      <w:r w:rsidRPr="001C76E0" w:rsidR="00370CD1">
        <w:t>month</w:t>
      </w:r>
      <w:r w:rsidRPr="001C76E0" w:rsidR="004832FD">
        <w:t xml:space="preserve"> authorization</w:t>
      </w:r>
      <w:r w:rsidRPr="001C76E0" w:rsidR="00370CD1">
        <w:t xml:space="preserve"> </w:t>
      </w:r>
      <w:r w:rsidRPr="001C76E0" w:rsidR="0090298E">
        <w:t>would be</w:t>
      </w:r>
      <w:r w:rsidRPr="001C76E0" w:rsidR="00DE420A">
        <w:t xml:space="preserve"> needed</w:t>
      </w:r>
      <w:r w:rsidRPr="001C76E0" w:rsidR="00370CD1">
        <w:t>.</w:t>
      </w:r>
    </w:p>
    <w:p w:rsidRPr="001C76E0" w:rsidR="00E81F48" w:rsidP="00EB60B3" w:rsidRDefault="00E81F48" w14:paraId="6B470004" w14:textId="0E84F32C">
      <w:pPr>
        <w:pStyle w:val="Heading2"/>
      </w:pPr>
      <w:bookmarkStart w:name="_Toc217461720" w:id="16"/>
      <w:r w:rsidRPr="001C76E0">
        <w:lastRenderedPageBreak/>
        <w:t xml:space="preserve">Sixty Percent of </w:t>
      </w:r>
      <w:r w:rsidRPr="008B689A" w:rsidR="008B689A">
        <w:rPr>
          <w:bCs/>
        </w:rPr>
        <w:t>Southern California</w:t>
      </w:r>
      <w:r w:rsidR="00C812B6">
        <w:rPr>
          <w:bCs/>
        </w:rPr>
        <w:br/>
      </w:r>
      <w:r w:rsidRPr="008B689A" w:rsidR="008B689A">
        <w:rPr>
          <w:bCs/>
        </w:rPr>
        <w:t>Gas Company</w:t>
      </w:r>
      <w:r w:rsidR="00EA0147">
        <w:t>’</w:t>
      </w:r>
      <w:r w:rsidR="008B689A">
        <w:t>s</w:t>
      </w:r>
      <w:r w:rsidRPr="001C76E0">
        <w:t xml:space="preserve"> Revenue Request</w:t>
      </w:r>
      <w:r w:rsidR="00C812B6">
        <w:br/>
      </w:r>
      <w:r w:rsidRPr="001C76E0">
        <w:t>Is the Appropriate Amount of</w:t>
      </w:r>
      <w:r w:rsidR="00C812B6">
        <w:br/>
      </w:r>
      <w:r w:rsidRPr="001C76E0">
        <w:t>Interim Cost Recovery</w:t>
      </w:r>
      <w:bookmarkEnd w:id="16"/>
    </w:p>
    <w:p w:rsidR="00EA0147" w:rsidP="00E81F48" w:rsidRDefault="00E81F48" w14:paraId="617FC6E3" w14:textId="222EF717">
      <w:pPr>
        <w:pStyle w:val="Standard"/>
      </w:pPr>
      <w:r w:rsidRPr="001C76E0">
        <w:t xml:space="preserve">After careful consideration of the factors set forth above, we determine that </w:t>
      </w:r>
      <w:r w:rsidRPr="001C76E0" w:rsidR="00A11C94">
        <w:t>an</w:t>
      </w:r>
      <w:r w:rsidRPr="001C76E0">
        <w:t xml:space="preserve"> </w:t>
      </w:r>
      <w:r w:rsidRPr="001C76E0" w:rsidR="00A11C94">
        <w:t>interim revenue requirement of $35.5</w:t>
      </w:r>
      <w:r w:rsidR="008C449B">
        <w:t> million</w:t>
      </w:r>
      <w:r w:rsidRPr="001C76E0" w:rsidR="00A11C94">
        <w:t xml:space="preserve"> (60</w:t>
      </w:r>
      <w:r w:rsidR="008C449B">
        <w:t> percent</w:t>
      </w:r>
      <w:r w:rsidRPr="001C76E0" w:rsidR="00A11C94">
        <w:t xml:space="preserve"> of SoCalGa</w:t>
      </w:r>
      <w:r w:rsidR="006636DD">
        <w:t xml:space="preserve">s’ </w:t>
      </w:r>
      <w:r w:rsidRPr="001C76E0" w:rsidR="00A11C94">
        <w:t>total request of $59.1</w:t>
      </w:r>
      <w:r w:rsidR="008C449B">
        <w:t> million</w:t>
      </w:r>
      <w:r w:rsidRPr="001C76E0" w:rsidR="00A11C94">
        <w:t xml:space="preserve">) </w:t>
      </w:r>
      <w:r w:rsidR="00F355BD">
        <w:t>rather than SoCalGas’ requested interim revenue requirement of $50.2</w:t>
      </w:r>
      <w:r w:rsidR="00D94941">
        <w:t> </w:t>
      </w:r>
      <w:r w:rsidR="00F355BD">
        <w:t>million (85</w:t>
      </w:r>
      <w:r w:rsidR="00D94941">
        <w:t> </w:t>
      </w:r>
      <w:r w:rsidR="00F355BD">
        <w:t>percent of SoCalGas’ total request of $59.1</w:t>
      </w:r>
      <w:r w:rsidR="00D94941">
        <w:t> </w:t>
      </w:r>
      <w:r w:rsidR="00F355BD">
        <w:t xml:space="preserve">million) </w:t>
      </w:r>
      <w:r w:rsidRPr="001C76E0" w:rsidR="00B2236E">
        <w:t>is reasonable as it</w:t>
      </w:r>
      <w:r w:rsidRPr="001C76E0">
        <w:t xml:space="preserve"> strikes the correct balance between </w:t>
      </w:r>
      <w:r w:rsidRPr="001C76E0" w:rsidR="00587096">
        <w:t>ratepayer</w:t>
      </w:r>
      <w:r w:rsidRPr="001C76E0">
        <w:t xml:space="preserve">, utility, and </w:t>
      </w:r>
      <w:r w:rsidRPr="001C76E0" w:rsidR="00587096">
        <w:t xml:space="preserve">public </w:t>
      </w:r>
      <w:r w:rsidRPr="001C76E0">
        <w:t>interests</w:t>
      </w:r>
      <w:r w:rsidRPr="001C76E0" w:rsidR="00B2236E">
        <w:t>.</w:t>
      </w:r>
    </w:p>
    <w:p w:rsidR="00EA0147" w:rsidP="00E81F48" w:rsidRDefault="00443292" w14:paraId="110BC18B" w14:textId="33EDAC42">
      <w:pPr>
        <w:pStyle w:val="Standard"/>
      </w:pPr>
      <w:r w:rsidRPr="001C76E0">
        <w:t xml:space="preserve">In </w:t>
      </w:r>
      <w:r w:rsidRPr="001C76E0" w:rsidR="0028719B">
        <w:t>D.24</w:t>
      </w:r>
      <w:r w:rsidR="0004127A">
        <w:noBreakHyphen/>
      </w:r>
      <w:r w:rsidRPr="001C76E0" w:rsidR="0028719B">
        <w:t>09</w:t>
      </w:r>
      <w:r w:rsidR="0004127A">
        <w:noBreakHyphen/>
      </w:r>
      <w:r w:rsidRPr="001C76E0" w:rsidR="0028719B">
        <w:t xml:space="preserve">003 </w:t>
      </w:r>
      <w:r w:rsidRPr="001C76E0" w:rsidR="00DC6CCA">
        <w:t>and D.24</w:t>
      </w:r>
      <w:r w:rsidR="0004127A">
        <w:noBreakHyphen/>
      </w:r>
      <w:r w:rsidRPr="001C76E0" w:rsidR="00DC6CCA">
        <w:t>03</w:t>
      </w:r>
      <w:r w:rsidR="0004127A">
        <w:noBreakHyphen/>
      </w:r>
      <w:r w:rsidRPr="001C76E0" w:rsidR="00DC6CCA">
        <w:t>006</w:t>
      </w:r>
      <w:r w:rsidRPr="001C76E0" w:rsidR="00FF04A8">
        <w:t>,</w:t>
      </w:r>
      <w:r w:rsidRPr="001C76E0" w:rsidR="00DC6CCA">
        <w:t xml:space="preserve"> </w:t>
      </w:r>
      <w:r w:rsidRPr="001C76E0" w:rsidR="0028719B">
        <w:t>the Commission authorized 55</w:t>
      </w:r>
      <w:r w:rsidR="008C449B">
        <w:t> percent</w:t>
      </w:r>
      <w:r w:rsidRPr="001C76E0" w:rsidR="0028719B">
        <w:t xml:space="preserve"> </w:t>
      </w:r>
      <w:r w:rsidRPr="001C76E0" w:rsidR="00DC6CCA">
        <w:t>and 75</w:t>
      </w:r>
      <w:r w:rsidR="008C449B">
        <w:t> percent</w:t>
      </w:r>
      <w:r w:rsidRPr="001C76E0" w:rsidR="00DC6CCA">
        <w:t xml:space="preserve"> </w:t>
      </w:r>
      <w:r w:rsidRPr="001C76E0" w:rsidR="00C9129B">
        <w:t>of the total requested revenue requirement</w:t>
      </w:r>
      <w:r w:rsidRPr="001C76E0" w:rsidR="00DC6CCA">
        <w:t>, respectively</w:t>
      </w:r>
      <w:r w:rsidRPr="001C76E0" w:rsidR="00FF04A8">
        <w:t>,</w:t>
      </w:r>
      <w:r w:rsidRPr="001C76E0" w:rsidR="00157E79">
        <w:t xml:space="preserve"> compared to 85</w:t>
      </w:r>
      <w:r w:rsidR="008C449B">
        <w:t> percent</w:t>
      </w:r>
      <w:r w:rsidRPr="001C76E0" w:rsidR="00157E79">
        <w:t xml:space="preserve"> </w:t>
      </w:r>
      <w:r w:rsidRPr="001C76E0" w:rsidR="00DC6CCA">
        <w:t xml:space="preserve">sought </w:t>
      </w:r>
      <w:r w:rsidR="00CD2397">
        <w:t xml:space="preserve">by the utility </w:t>
      </w:r>
      <w:r w:rsidRPr="001C76E0" w:rsidR="00DC6CCA">
        <w:t xml:space="preserve">in both </w:t>
      </w:r>
      <w:r w:rsidRPr="001C76E0" w:rsidR="001F1402">
        <w:t xml:space="preserve">proceedings. </w:t>
      </w:r>
      <w:r w:rsidRPr="001C76E0" w:rsidR="00AF484C">
        <w:t>D.24</w:t>
      </w:r>
      <w:r w:rsidR="0004127A">
        <w:noBreakHyphen/>
      </w:r>
      <w:r w:rsidRPr="001C76E0" w:rsidR="00AF484C">
        <w:t>03</w:t>
      </w:r>
      <w:r w:rsidR="0004127A">
        <w:noBreakHyphen/>
      </w:r>
      <w:r w:rsidRPr="001C76E0" w:rsidR="00AF484C">
        <w:t xml:space="preserve">006 </w:t>
      </w:r>
      <w:r w:rsidRPr="001C76E0" w:rsidR="00C35C99">
        <w:t>explain</w:t>
      </w:r>
      <w:r w:rsidRPr="001C76E0" w:rsidR="00784DF9">
        <w:t>ed</w:t>
      </w:r>
      <w:r w:rsidRPr="001C76E0" w:rsidR="00C35C99">
        <w:t xml:space="preserve"> </w:t>
      </w:r>
      <w:r w:rsidRPr="001C76E0" w:rsidR="00784DF9">
        <w:t xml:space="preserve">that </w:t>
      </w:r>
      <w:r w:rsidRPr="001C76E0" w:rsidR="00C35C99">
        <w:t xml:space="preserve">the reduced award </w:t>
      </w:r>
      <w:r w:rsidRPr="001C76E0" w:rsidR="00282157">
        <w:t xml:space="preserve">was </w:t>
      </w:r>
      <w:r w:rsidRPr="001C76E0" w:rsidR="00C35C99">
        <w:t>based on</w:t>
      </w:r>
      <w:r w:rsidRPr="001C76E0" w:rsidR="00282157">
        <w:t xml:space="preserve"> </w:t>
      </w:r>
      <w:r w:rsidRPr="001C76E0" w:rsidR="00EF70E0">
        <w:t xml:space="preserve">a </w:t>
      </w:r>
      <w:r w:rsidRPr="001C76E0" w:rsidR="00282157">
        <w:t>desire to</w:t>
      </w:r>
      <w:r w:rsidRPr="001C76E0" w:rsidR="00C35C99">
        <w:t xml:space="preserve"> </w:t>
      </w:r>
      <w:r w:rsidRPr="001C76E0" w:rsidR="000429DF">
        <w:t xml:space="preserve">smooth </w:t>
      </w:r>
      <w:r w:rsidRPr="001C76E0" w:rsidR="00FF04A8">
        <w:t xml:space="preserve">the </w:t>
      </w:r>
      <w:r w:rsidRPr="001C76E0" w:rsidR="000429DF">
        <w:t xml:space="preserve">rate </w:t>
      </w:r>
      <w:r w:rsidRPr="001C76E0" w:rsidR="00FF04A8">
        <w:t>in light of the</w:t>
      </w:r>
      <w:r w:rsidRPr="001C76E0" w:rsidR="00EF70E0">
        <w:t xml:space="preserve"> cumulative impact of </w:t>
      </w:r>
      <w:r w:rsidRPr="001C76E0" w:rsidR="00C35C99">
        <w:t xml:space="preserve">recent rate increases </w:t>
      </w:r>
      <w:r w:rsidRPr="001C76E0" w:rsidR="00EF70E0">
        <w:t>and low</w:t>
      </w:r>
      <w:r w:rsidR="0004127A">
        <w:noBreakHyphen/>
      </w:r>
      <w:r w:rsidRPr="001C76E0" w:rsidR="00EF70E0">
        <w:t>income</w:t>
      </w:r>
      <w:r w:rsidRPr="001C76E0" w:rsidR="008B5F6D">
        <w:t xml:space="preserve"> </w:t>
      </w:r>
      <w:r w:rsidRPr="001C76E0" w:rsidR="00EF70E0">
        <w:t>customers</w:t>
      </w:r>
      <w:r w:rsidRPr="001C76E0" w:rsidR="008B5F6D">
        <w:t xml:space="preserve"> in mind</w:t>
      </w:r>
      <w:r w:rsidRPr="001C76E0" w:rsidR="000429DF">
        <w:t xml:space="preserve">. </w:t>
      </w:r>
      <w:r w:rsidRPr="001C76E0" w:rsidR="00B60B57">
        <w:t>Similar to the facts in D.24</w:t>
      </w:r>
      <w:r w:rsidR="0004127A">
        <w:noBreakHyphen/>
      </w:r>
      <w:r w:rsidRPr="001C76E0" w:rsidR="00B60B57">
        <w:t>03</w:t>
      </w:r>
      <w:r w:rsidR="0004127A">
        <w:noBreakHyphen/>
      </w:r>
      <w:r w:rsidRPr="001C76E0" w:rsidR="00B60B57">
        <w:t>006</w:t>
      </w:r>
      <w:r w:rsidRPr="001C76E0" w:rsidR="000429DF">
        <w:t xml:space="preserve">, SoCalGas had </w:t>
      </w:r>
      <w:r w:rsidRPr="001C76E0" w:rsidR="00030DB5">
        <w:t xml:space="preserve">recent rate increases </w:t>
      </w:r>
      <w:r w:rsidRPr="001C76E0" w:rsidR="00B60B57">
        <w:t>via</w:t>
      </w:r>
      <w:r w:rsidRPr="001C76E0" w:rsidR="00030DB5">
        <w:t xml:space="preserve"> its </w:t>
      </w:r>
      <w:r w:rsidR="002C1BBD">
        <w:t>TY 2024</w:t>
      </w:r>
      <w:r w:rsidRPr="001C76E0" w:rsidR="00376A7E">
        <w:t xml:space="preserve"> GRC</w:t>
      </w:r>
      <w:r w:rsidRPr="001C76E0" w:rsidR="005D6D2F">
        <w:t>.</w:t>
      </w:r>
      <w:r w:rsidRPr="001C76E0" w:rsidR="00694DEC">
        <w:rPr>
          <w:rStyle w:val="FootnoteReference"/>
        </w:rPr>
        <w:footnoteReference w:id="45"/>
      </w:r>
      <w:r w:rsidRPr="001C76E0" w:rsidR="005D6D2F">
        <w:t xml:space="preserve"> </w:t>
      </w:r>
      <w:r w:rsidRPr="001C76E0" w:rsidR="00694DEC">
        <w:t xml:space="preserve">Moreover, </w:t>
      </w:r>
      <w:r w:rsidRPr="001C76E0" w:rsidR="00665597">
        <w:t xml:space="preserve">the </w:t>
      </w:r>
      <w:r w:rsidR="002C1BBD">
        <w:t>TY 2024</w:t>
      </w:r>
      <w:r w:rsidRPr="001C76E0" w:rsidR="00665597">
        <w:t xml:space="preserve"> GRC decision</w:t>
      </w:r>
      <w:r w:rsidRPr="001C76E0" w:rsidR="00694DEC">
        <w:t xml:space="preserve"> looked at the</w:t>
      </w:r>
      <w:r w:rsidRPr="001C76E0" w:rsidR="00665597">
        <w:t xml:space="preserve"> affordability</w:t>
      </w:r>
      <w:r w:rsidRPr="001C76E0" w:rsidR="00694DEC">
        <w:t xml:space="preserve"> </w:t>
      </w:r>
      <w:r w:rsidRPr="001C76E0" w:rsidR="00665597">
        <w:t>of rates</w:t>
      </w:r>
      <w:r w:rsidRPr="001C76E0" w:rsidR="00A14B7A">
        <w:t xml:space="preserve"> </w:t>
      </w:r>
      <w:r w:rsidRPr="001C76E0" w:rsidR="004E0D32">
        <w:t>for SoCalGa</w:t>
      </w:r>
      <w:r w:rsidR="006636DD">
        <w:t xml:space="preserve">s’ </w:t>
      </w:r>
      <w:r w:rsidRPr="001C76E0" w:rsidR="0041311F">
        <w:t>most</w:t>
      </w:r>
      <w:r w:rsidRPr="001C76E0" w:rsidR="00A14B7A">
        <w:t xml:space="preserve"> </w:t>
      </w:r>
      <w:r w:rsidRPr="001C76E0" w:rsidR="00C161D9">
        <w:t>disadvantaged customers</w:t>
      </w:r>
      <w:r w:rsidRPr="001C76E0" w:rsidR="00487E0D">
        <w:t xml:space="preserve">. </w:t>
      </w:r>
      <w:r w:rsidRPr="001C76E0" w:rsidR="00321C6E">
        <w:t xml:space="preserve">The </w:t>
      </w:r>
      <w:r w:rsidR="002C1BBD">
        <w:t>TY 2024</w:t>
      </w:r>
      <w:r w:rsidRPr="001C76E0" w:rsidR="00321C6E">
        <w:t xml:space="preserve"> GRC decision </w:t>
      </w:r>
      <w:r w:rsidRPr="001C76E0" w:rsidR="006E3B3B">
        <w:t>found</w:t>
      </w:r>
      <w:r w:rsidRPr="001C76E0" w:rsidR="0041311F">
        <w:t xml:space="preserve"> </w:t>
      </w:r>
      <w:r w:rsidRPr="001C76E0" w:rsidR="004E0D32">
        <w:t>that</w:t>
      </w:r>
      <w:r w:rsidRPr="001C76E0" w:rsidR="00397591">
        <w:t xml:space="preserve"> rate increases </w:t>
      </w:r>
      <w:r w:rsidRPr="001C76E0" w:rsidR="00AF71A5">
        <w:t xml:space="preserve">burden </w:t>
      </w:r>
      <w:r w:rsidRPr="001C76E0" w:rsidR="00174968">
        <w:t xml:space="preserve">the most disadvantaged </w:t>
      </w:r>
      <w:r w:rsidRPr="001C76E0" w:rsidR="00AF71A5">
        <w:t xml:space="preserve">customers and </w:t>
      </w:r>
      <w:r w:rsidRPr="001C76E0" w:rsidR="00530AA0">
        <w:t xml:space="preserve">necessitate </w:t>
      </w:r>
      <w:r w:rsidRPr="001C76E0" w:rsidR="00B23C00">
        <w:t>those ratepayers to</w:t>
      </w:r>
      <w:r w:rsidRPr="001C76E0" w:rsidR="0065009D">
        <w:t xml:space="preserve"> work</w:t>
      </w:r>
      <w:r w:rsidRPr="001C76E0" w:rsidR="00B23C00">
        <w:t xml:space="preserve"> additional time</w:t>
      </w:r>
      <w:r w:rsidRPr="001C76E0" w:rsidR="0065009D">
        <w:t xml:space="preserve"> to </w:t>
      </w:r>
      <w:r w:rsidRPr="001C76E0" w:rsidR="00720326">
        <w:t>pay for</w:t>
      </w:r>
      <w:r w:rsidRPr="001C76E0" w:rsidR="00E92F46">
        <w:t xml:space="preserve"> rate increases</w:t>
      </w:r>
      <w:r w:rsidRPr="001C76E0" w:rsidR="00030DB5">
        <w:t>.</w:t>
      </w:r>
      <w:r w:rsidRPr="001C76E0" w:rsidR="00C161D9">
        <w:rPr>
          <w:rStyle w:val="FootnoteReference"/>
        </w:rPr>
        <w:footnoteReference w:id="46"/>
      </w:r>
    </w:p>
    <w:p w:rsidRPr="001C76E0" w:rsidR="00AF484C" w:rsidP="00E81F48" w:rsidRDefault="00CA2EAA" w14:paraId="1958DAEA" w14:textId="256C4109">
      <w:pPr>
        <w:pStyle w:val="Standard"/>
      </w:pPr>
      <w:r>
        <w:t>A 60</w:t>
      </w:r>
      <w:r w:rsidR="009D639D">
        <w:t> </w:t>
      </w:r>
      <w:r>
        <w:t>percent authorization will reduce the immediate rate increase from the interim revenue requirement versus authorizing the 85</w:t>
      </w:r>
      <w:r w:rsidR="009D639D">
        <w:t> </w:t>
      </w:r>
      <w:r>
        <w:t>percent request</w:t>
      </w:r>
      <w:r w:rsidR="009D639D">
        <w:t> </w:t>
      </w:r>
      <w:r>
        <w:t>—</w:t>
      </w:r>
      <w:r w:rsidR="009D639D">
        <w:t xml:space="preserve"> </w:t>
      </w:r>
      <w:r>
        <w:t xml:space="preserve">helping </w:t>
      </w:r>
      <w:r w:rsidR="00201E8A">
        <w:t xml:space="preserve">to </w:t>
      </w:r>
      <w:r>
        <w:t xml:space="preserve">smooth rates, especially for the most disadvantaged customers. </w:t>
      </w:r>
      <w:r w:rsidRPr="001C76E0" w:rsidR="00030DB5">
        <w:t xml:space="preserve">In order to </w:t>
      </w:r>
      <w:r w:rsidRPr="001C76E0" w:rsidR="00CF6712">
        <w:t>realize interest expense savings</w:t>
      </w:r>
      <w:r w:rsidR="00312C25">
        <w:t xml:space="preserve">, </w:t>
      </w:r>
      <w:r w:rsidRPr="00312C25" w:rsidR="00312C25">
        <w:t xml:space="preserve">preserve the financial integrity of </w:t>
      </w:r>
      <w:r w:rsidRPr="00312C25" w:rsidR="00312C25">
        <w:lastRenderedPageBreak/>
        <w:t>SoCalGas</w:t>
      </w:r>
      <w:r w:rsidR="00312C25">
        <w:t>,</w:t>
      </w:r>
      <w:r w:rsidRPr="00312C25" w:rsidR="00312C25">
        <w:t xml:space="preserve"> </w:t>
      </w:r>
      <w:r>
        <w:t xml:space="preserve">and </w:t>
      </w:r>
      <w:r w:rsidRPr="001C76E0" w:rsidR="00720326">
        <w:t>smooth</w:t>
      </w:r>
      <w:r w:rsidRPr="001C76E0" w:rsidR="00F22A37">
        <w:t xml:space="preserve"> the</w:t>
      </w:r>
      <w:r>
        <w:t xml:space="preserve"> immediate</w:t>
      </w:r>
      <w:r w:rsidRPr="001C76E0" w:rsidR="006C2961">
        <w:t xml:space="preserve"> rate increase</w:t>
      </w:r>
      <w:r>
        <w:t>,</w:t>
      </w:r>
      <w:r w:rsidRPr="001C76E0" w:rsidR="00F22A37">
        <w:t xml:space="preserve"> </w:t>
      </w:r>
      <w:r w:rsidRPr="001C76E0" w:rsidR="00CF6712">
        <w:t xml:space="preserve">we </w:t>
      </w:r>
      <w:r w:rsidRPr="001C76E0" w:rsidR="006C2961">
        <w:t xml:space="preserve">choose </w:t>
      </w:r>
      <w:r w:rsidRPr="001C76E0" w:rsidR="001429DB">
        <w:t>60</w:t>
      </w:r>
      <w:r w:rsidR="008C449B">
        <w:t> percent</w:t>
      </w:r>
      <w:r w:rsidRPr="001C76E0" w:rsidR="00C9129B">
        <w:t xml:space="preserve"> </w:t>
      </w:r>
      <w:r w:rsidRPr="001C76E0" w:rsidR="00EC10E1">
        <w:t xml:space="preserve">of the total requested </w:t>
      </w:r>
      <w:r w:rsidRPr="001C76E0" w:rsidR="00C9129B">
        <w:t>revenue requirement</w:t>
      </w:r>
      <w:r w:rsidRPr="001C76E0" w:rsidR="001429DB">
        <w:t xml:space="preserve"> </w:t>
      </w:r>
      <w:r w:rsidRPr="001C76E0" w:rsidR="00EC10E1">
        <w:t xml:space="preserve">for interim recovery </w:t>
      </w:r>
      <w:r w:rsidRPr="001C76E0" w:rsidR="0023534A">
        <w:t xml:space="preserve">to balance </w:t>
      </w:r>
      <w:r w:rsidRPr="001C76E0" w:rsidR="00203DDD">
        <w:t>the benefits to</w:t>
      </w:r>
      <w:r w:rsidRPr="001C76E0" w:rsidR="0023534A">
        <w:t xml:space="preserve"> SoCalGas and its ratepayers</w:t>
      </w:r>
      <w:r w:rsidRPr="001C76E0" w:rsidR="00203DDD">
        <w:t>.</w:t>
      </w:r>
    </w:p>
    <w:p w:rsidRPr="001C76E0" w:rsidR="002D1681" w:rsidP="00EB60B3" w:rsidRDefault="001A6709" w14:paraId="3C73D69E" w14:textId="2B9D6BB1">
      <w:pPr>
        <w:pStyle w:val="Heading2"/>
      </w:pPr>
      <w:bookmarkStart w:name="_Toc217461721" w:id="17"/>
      <w:r w:rsidRPr="001C76E0">
        <w:t xml:space="preserve">Conditions </w:t>
      </w:r>
      <w:r w:rsidRPr="001C76E0" w:rsidR="00D47256">
        <w:t>on Interim Rate Recovery</w:t>
      </w:r>
      <w:r w:rsidR="00C6041A">
        <w:br/>
      </w:r>
      <w:r w:rsidRPr="001C76E0">
        <w:t xml:space="preserve">and </w:t>
      </w:r>
      <w:r w:rsidRPr="001C76E0" w:rsidR="00241F09">
        <w:t xml:space="preserve">Implementation </w:t>
      </w:r>
      <w:r w:rsidRPr="001C76E0" w:rsidR="00D47256">
        <w:t>Details</w:t>
      </w:r>
      <w:bookmarkEnd w:id="17"/>
    </w:p>
    <w:p w:rsidRPr="001C76E0" w:rsidR="00495563" w:rsidP="00495563" w:rsidRDefault="00495563" w14:paraId="73472BD0" w14:textId="488A42D0">
      <w:pPr>
        <w:pStyle w:val="Standard"/>
      </w:pPr>
      <w:bookmarkStart w:name="_Toc8123721" w:id="18"/>
      <w:r w:rsidRPr="001C76E0">
        <w:t>The Commission</w:t>
      </w:r>
      <w:r w:rsidR="00EA0147">
        <w:t>’</w:t>
      </w:r>
      <w:r w:rsidRPr="001C76E0">
        <w:t xml:space="preserve">s grant of </w:t>
      </w:r>
      <w:r w:rsidRPr="001C76E0" w:rsidR="003853CB">
        <w:t xml:space="preserve">an </w:t>
      </w:r>
      <w:r w:rsidRPr="001C76E0">
        <w:t xml:space="preserve">interim </w:t>
      </w:r>
      <w:r w:rsidRPr="001C76E0" w:rsidR="00406F83">
        <w:t>revenue requirement</w:t>
      </w:r>
      <w:r w:rsidRPr="001C76E0" w:rsidR="000C11C0">
        <w:t xml:space="preserve"> of $35.5</w:t>
      </w:r>
      <w:r w:rsidR="008C449B">
        <w:t> million</w:t>
      </w:r>
      <w:r w:rsidRPr="001C76E0" w:rsidR="000C11C0">
        <w:t xml:space="preserve"> (60</w:t>
      </w:r>
      <w:r w:rsidR="008C449B">
        <w:t> percent</w:t>
      </w:r>
      <w:r w:rsidRPr="001C76E0" w:rsidR="000C11C0">
        <w:t xml:space="preserve"> of SoCalGa</w:t>
      </w:r>
      <w:r w:rsidR="006636DD">
        <w:t xml:space="preserve">s’ </w:t>
      </w:r>
      <w:r w:rsidRPr="001C76E0" w:rsidR="000C11C0">
        <w:t>total request of $59.1</w:t>
      </w:r>
      <w:r w:rsidR="008C449B">
        <w:t> million</w:t>
      </w:r>
      <w:r w:rsidRPr="001C76E0" w:rsidR="000C11C0">
        <w:t xml:space="preserve">) </w:t>
      </w:r>
      <w:r w:rsidRPr="001C76E0">
        <w:t xml:space="preserve">does not prejudge whether the relevant costs recorded in the DIMPBA are just and reasonable under </w:t>
      </w:r>
      <w:r w:rsidR="001A7420">
        <w:t>Pub. Util.</w:t>
      </w:r>
      <w:r w:rsidRPr="001C76E0">
        <w:t xml:space="preserve"> Code </w:t>
      </w:r>
      <w:r w:rsidR="007D0C28">
        <w:t>Section </w:t>
      </w:r>
      <w:r w:rsidRPr="001C76E0">
        <w:t xml:space="preserve">451 and related authorities. Additionally, the </w:t>
      </w:r>
      <w:r w:rsidRPr="001C76E0" w:rsidR="00F025C6">
        <w:t xml:space="preserve">interim </w:t>
      </w:r>
      <w:r w:rsidRPr="001C76E0" w:rsidR="00293479">
        <w:t>rate recovery</w:t>
      </w:r>
      <w:r w:rsidRPr="001C76E0">
        <w:t xml:space="preserve"> granted to SoCalGas here is subject to refund with interest, meaning should the Commission later find a lesser amount </w:t>
      </w:r>
      <w:r w:rsidR="00EA0147">
        <w:t>“</w:t>
      </w:r>
      <w:r w:rsidRPr="001C76E0">
        <w:t>just and reasonable</w:t>
      </w:r>
      <w:r w:rsidR="00EA0147">
        <w:t>”</w:t>
      </w:r>
      <w:r w:rsidRPr="001C76E0">
        <w:t xml:space="preserve"> under </w:t>
      </w:r>
      <w:r w:rsidR="001A7420">
        <w:t>Pub. Util.</w:t>
      </w:r>
      <w:r w:rsidRPr="001C76E0" w:rsidR="00F31C87">
        <w:t xml:space="preserve"> Code </w:t>
      </w:r>
      <w:r w:rsidR="007D0C28">
        <w:t>Section </w:t>
      </w:r>
      <w:r w:rsidRPr="001C76E0">
        <w:t>451 and related authorities, SoCalGas must return the difference to ratepayers with interest at the earliest opportunity.</w:t>
      </w:r>
    </w:p>
    <w:p w:rsidRPr="001C76E0" w:rsidR="007B3FF1" w:rsidP="007B3FF1" w:rsidRDefault="00495563" w14:paraId="67ED39CE" w14:textId="7B0CC157">
      <w:pPr>
        <w:pStyle w:val="Standard"/>
      </w:pPr>
      <w:r w:rsidRPr="001C76E0">
        <w:t>For these reasons, the Commission finds that authorizing SoCalGas to collect as soon as practicable</w:t>
      </w:r>
      <w:r w:rsidRPr="001C76E0" w:rsidR="00F936FB">
        <w:t xml:space="preserve"> a maximum of $35.5</w:t>
      </w:r>
      <w:r w:rsidR="008C449B">
        <w:t> million</w:t>
      </w:r>
      <w:r w:rsidRPr="001C76E0" w:rsidR="00F936FB">
        <w:t xml:space="preserve"> (60</w:t>
      </w:r>
      <w:r w:rsidR="008C449B">
        <w:t> percent</w:t>
      </w:r>
      <w:r w:rsidRPr="001C76E0" w:rsidR="00F936FB">
        <w:t xml:space="preserve"> of SoCalGa</w:t>
      </w:r>
      <w:r w:rsidR="006636DD">
        <w:t xml:space="preserve">s’ </w:t>
      </w:r>
      <w:r w:rsidRPr="001C76E0" w:rsidR="00F936FB">
        <w:t>total request of $59.1</w:t>
      </w:r>
      <w:r w:rsidR="008C449B">
        <w:t> million</w:t>
      </w:r>
      <w:r w:rsidRPr="001C76E0" w:rsidR="00F936FB">
        <w:t xml:space="preserve">) </w:t>
      </w:r>
      <w:r w:rsidRPr="001C76E0">
        <w:t>in interim rates, subject to refund, is reasonable</w:t>
      </w:r>
      <w:r w:rsidR="00605BD3">
        <w:t>,</w:t>
      </w:r>
      <w:r w:rsidRPr="001C76E0">
        <w:t xml:space="preserve"> because SoCalGas has established that </w:t>
      </w:r>
      <w:r w:rsidR="00EA0147">
        <w:t>“</w:t>
      </w:r>
      <w:r w:rsidRPr="001C76E0">
        <w:t>fairness to both the utility and the public require this immediate action.</w:t>
      </w:r>
      <w:r w:rsidR="00EA0147">
        <w:t>”</w:t>
      </w:r>
      <w:r w:rsidRPr="001C76E0" w:rsidR="00767C5C">
        <w:rPr>
          <w:rStyle w:val="FootnoteReference"/>
        </w:rPr>
        <w:footnoteReference w:id="47"/>
      </w:r>
      <w:r w:rsidRPr="001C76E0">
        <w:t xml:space="preserve"> The Commission authorizes SoCalGas to file a </w:t>
      </w:r>
      <w:r w:rsidR="000F12C5">
        <w:t>Tier 1</w:t>
      </w:r>
      <w:r w:rsidRPr="001C76E0">
        <w:t xml:space="preserve"> </w:t>
      </w:r>
      <w:r w:rsidR="00871A1A">
        <w:t>advice letter</w:t>
      </w:r>
      <w:r w:rsidRPr="001C76E0">
        <w:t xml:space="preserve"> implementing an interim </w:t>
      </w:r>
      <w:r w:rsidRPr="001C76E0" w:rsidR="003853CB">
        <w:t>revenue requirement</w:t>
      </w:r>
      <w:r w:rsidRPr="001C76E0" w:rsidR="00F3654A">
        <w:t xml:space="preserve"> of $35.5</w:t>
      </w:r>
      <w:r w:rsidR="008C449B">
        <w:t> million</w:t>
      </w:r>
      <w:r w:rsidRPr="001C76E0" w:rsidR="00F3654A">
        <w:t xml:space="preserve"> (60</w:t>
      </w:r>
      <w:r w:rsidR="008C449B">
        <w:t> percent</w:t>
      </w:r>
      <w:r w:rsidRPr="001C76E0" w:rsidR="00F3654A">
        <w:t xml:space="preserve"> of SoCalGa</w:t>
      </w:r>
      <w:r w:rsidR="006636DD">
        <w:t xml:space="preserve">s’ </w:t>
      </w:r>
      <w:r w:rsidRPr="001C76E0" w:rsidR="00F3654A">
        <w:t>total request of $59.1</w:t>
      </w:r>
      <w:r w:rsidR="008C449B">
        <w:t> million</w:t>
      </w:r>
      <w:r w:rsidRPr="001C76E0" w:rsidR="00F3654A">
        <w:t xml:space="preserve">) </w:t>
      </w:r>
      <w:r w:rsidRPr="001C76E0">
        <w:t>as soon as practicable.</w:t>
      </w:r>
      <w:r w:rsidRPr="001C76E0" w:rsidR="007B3FF1">
        <w:t xml:space="preserve"> Interim rate authority is granted for 12 months</w:t>
      </w:r>
      <w:r w:rsidRPr="001C76E0" w:rsidR="003D4915">
        <w:t>.</w:t>
      </w:r>
    </w:p>
    <w:p w:rsidRPr="001C76E0" w:rsidR="00A301A4" w:rsidP="00186C88" w:rsidRDefault="00A301A4" w14:paraId="4D4DD4CD" w14:textId="50539253">
      <w:pPr>
        <w:pStyle w:val="Standard"/>
      </w:pPr>
      <w:r w:rsidRPr="001C76E0">
        <w:lastRenderedPageBreak/>
        <w:t xml:space="preserve">Lastly, </w:t>
      </w:r>
      <w:r w:rsidRPr="001C76E0" w:rsidR="001A6709">
        <w:t>SoCalGas</w:t>
      </w:r>
      <w:r w:rsidRPr="001C76E0">
        <w:t xml:space="preserve"> request</w:t>
      </w:r>
      <w:r w:rsidRPr="001C76E0" w:rsidR="00BF25D5">
        <w:t>ed</w:t>
      </w:r>
      <w:r w:rsidRPr="001C76E0">
        <w:t xml:space="preserve"> to</w:t>
      </w:r>
      <w:r w:rsidRPr="001C76E0" w:rsidR="003C51EB">
        <w:t xml:space="preserve"> </w:t>
      </w:r>
      <w:r w:rsidRPr="001C76E0" w:rsidR="00D665C0">
        <w:t xml:space="preserve">use </w:t>
      </w:r>
      <w:r w:rsidRPr="001C76E0" w:rsidR="003C51EB">
        <w:t>EPAM for cost allocation</w:t>
      </w:r>
      <w:r w:rsidRPr="001C76E0" w:rsidR="00EB14E7">
        <w:t>.</w:t>
      </w:r>
      <w:r w:rsidRPr="001C76E0" w:rsidR="00D665C0">
        <w:t xml:space="preserve"> </w:t>
      </w:r>
      <w:r w:rsidRPr="001C76E0" w:rsidR="00186C88">
        <w:t>D.24</w:t>
      </w:r>
      <w:r w:rsidR="0004127A">
        <w:noBreakHyphen/>
      </w:r>
      <w:r w:rsidRPr="001C76E0" w:rsidR="00186C88">
        <w:t>07</w:t>
      </w:r>
      <w:r w:rsidR="0004127A">
        <w:noBreakHyphen/>
      </w:r>
      <w:r w:rsidRPr="001C76E0" w:rsidR="00186C88">
        <w:t xml:space="preserve">009 adopted </w:t>
      </w:r>
      <w:r w:rsidRPr="001C76E0" w:rsidR="00DC791D">
        <w:t xml:space="preserve">an </w:t>
      </w:r>
      <w:r w:rsidRPr="001C76E0" w:rsidR="00186C88">
        <w:t>all</w:t>
      </w:r>
      <w:r w:rsidR="0004127A">
        <w:noBreakHyphen/>
      </w:r>
      <w:r w:rsidRPr="001C76E0" w:rsidR="00186C88">
        <w:t xml:space="preserve">party settlement </w:t>
      </w:r>
      <w:r w:rsidRPr="001C76E0" w:rsidR="00CD0257">
        <w:t>that</w:t>
      </w:r>
      <w:r w:rsidRPr="001C76E0" w:rsidR="00186C88">
        <w:t xml:space="preserve"> agreed to the use of EPAM</w:t>
      </w:r>
      <w:r w:rsidRPr="001C76E0" w:rsidR="006D1F01">
        <w:t>.</w:t>
      </w:r>
      <w:r w:rsidRPr="001C76E0" w:rsidR="00EF589E">
        <w:rPr>
          <w:rStyle w:val="FootnoteReference"/>
        </w:rPr>
        <w:footnoteReference w:id="48"/>
      </w:r>
      <w:r w:rsidRPr="001C76E0" w:rsidR="006D1F01">
        <w:t xml:space="preserve"> </w:t>
      </w:r>
      <w:r w:rsidRPr="001C76E0" w:rsidR="000A1614">
        <w:t>SoCalGa</w:t>
      </w:r>
      <w:r w:rsidR="006636DD">
        <w:t xml:space="preserve">s’ </w:t>
      </w:r>
      <w:r w:rsidRPr="001C76E0" w:rsidR="00186C88">
        <w:t xml:space="preserve">request to use EPAM </w:t>
      </w:r>
      <w:r w:rsidRPr="001C76E0" w:rsidR="005E5424">
        <w:t xml:space="preserve">for interim rate recovery was </w:t>
      </w:r>
      <w:r w:rsidRPr="001C76E0" w:rsidR="00186C88">
        <w:t xml:space="preserve">unopposed. </w:t>
      </w:r>
      <w:r w:rsidRPr="001C76E0" w:rsidR="00DB394A">
        <w:t>We find SoCalGa</w:t>
      </w:r>
      <w:r w:rsidR="006636DD">
        <w:t xml:space="preserve">s’ </w:t>
      </w:r>
      <w:r w:rsidRPr="001C76E0" w:rsidR="00DB394A">
        <w:t xml:space="preserve">request to use </w:t>
      </w:r>
      <w:r w:rsidRPr="001C76E0" w:rsidR="00BD5F26">
        <w:t xml:space="preserve">the </w:t>
      </w:r>
      <w:r w:rsidRPr="001C76E0" w:rsidR="00DB394A">
        <w:t>EPAM</w:t>
      </w:r>
      <w:r w:rsidRPr="001C76E0" w:rsidR="00A64A34">
        <w:t xml:space="preserve"> cost allocation </w:t>
      </w:r>
      <w:r w:rsidRPr="001C76E0" w:rsidR="003D3DBE">
        <w:t xml:space="preserve">methodology </w:t>
      </w:r>
      <w:r w:rsidRPr="001C76E0" w:rsidR="00FB15C0">
        <w:t xml:space="preserve">for </w:t>
      </w:r>
      <w:r w:rsidRPr="001C76E0" w:rsidR="000E5330">
        <w:t>recovering</w:t>
      </w:r>
      <w:r w:rsidRPr="001C76E0" w:rsidR="00925F7E">
        <w:t xml:space="preserve"> </w:t>
      </w:r>
      <w:r w:rsidRPr="001C76E0" w:rsidR="00FB15C0">
        <w:t xml:space="preserve">the interim revenue requirement </w:t>
      </w:r>
      <w:r w:rsidRPr="001C76E0" w:rsidR="00A64A34">
        <w:t>is reasonable.</w:t>
      </w:r>
    </w:p>
    <w:p w:rsidRPr="001C76E0" w:rsidR="00603238" w:rsidP="00EB60B3" w:rsidRDefault="00603238" w14:paraId="4F94E781" w14:textId="793A5ABA">
      <w:pPr>
        <w:pStyle w:val="Heading1"/>
      </w:pPr>
      <w:bookmarkStart w:name="_Toc217461722" w:id="19"/>
      <w:r w:rsidRPr="001C76E0">
        <w:t>Summary of Public Comment</w:t>
      </w:r>
      <w:bookmarkEnd w:id="19"/>
    </w:p>
    <w:p w:rsidRPr="001C76E0" w:rsidR="00603238" w:rsidP="00284D8D" w:rsidRDefault="001A7420" w14:paraId="005A5D7B" w14:textId="20C35236">
      <w:pPr>
        <w:rPr>
          <w:rFonts w:ascii="Calibri" w:hAnsi="Calibri"/>
          <w:sz w:val="22"/>
        </w:rPr>
      </w:pPr>
      <w:r>
        <w:t>Rule </w:t>
      </w:r>
      <w:r w:rsidRPr="001C76E0" w:rsidR="00603238">
        <w:t xml:space="preserve">1.18 </w:t>
      </w:r>
      <w:r>
        <w:t>of the Commission</w:t>
      </w:r>
      <w:r w:rsidR="00EA0147">
        <w:t>’</w:t>
      </w:r>
      <w:r>
        <w:t xml:space="preserve">s Rules of Practice and Procedure (Rules) </w:t>
      </w:r>
      <w:r w:rsidRPr="001C76E0" w:rsidR="00603238">
        <w:t xml:space="preserve">allows any member of the public to submit written comment in any Commission proceeding using the </w:t>
      </w:r>
      <w:r w:rsidR="00EA0147">
        <w:t>“</w:t>
      </w:r>
      <w:r w:rsidRPr="001C76E0" w:rsidR="00603238">
        <w:t>Public Comment</w:t>
      </w:r>
      <w:r w:rsidR="00EA0147">
        <w:t>”</w:t>
      </w:r>
      <w:r w:rsidRPr="001C76E0" w:rsidR="00603238">
        <w:t xml:space="preserve"> tab of the online Docket Card for that proceeding on the Commission</w:t>
      </w:r>
      <w:r w:rsidR="00EA0147">
        <w:t>’</w:t>
      </w:r>
      <w:r w:rsidRPr="001C76E0" w:rsidR="00603238">
        <w:t>s website.</w:t>
      </w:r>
      <w:r w:rsidR="00095219">
        <w:t xml:space="preserve"> </w:t>
      </w:r>
      <w:r>
        <w:t>Rule </w:t>
      </w:r>
      <w:r w:rsidRPr="001C76E0" w:rsidR="00603238">
        <w:t>1.18(b) requires that relevant written comment submitted in a proceeding be summarized in the final decision issued in that proceeding.</w:t>
      </w:r>
    </w:p>
    <w:p w:rsidRPr="001C76E0" w:rsidR="003C5387" w:rsidP="00603238" w:rsidRDefault="00072882" w14:paraId="4325A21B" w14:textId="687493DD">
      <w:pPr>
        <w:pStyle w:val="Standard"/>
      </w:pPr>
      <w:r>
        <w:t>Although this is not the final decision in this proceeding, we note that t</w:t>
      </w:r>
      <w:r w:rsidRPr="001C76E0" w:rsidR="007726F0">
        <w:t xml:space="preserve">here </w:t>
      </w:r>
      <w:r w:rsidRPr="001C76E0" w:rsidR="007539D6">
        <w:t>were</w:t>
      </w:r>
      <w:r w:rsidRPr="001C76E0" w:rsidR="007726F0">
        <w:t xml:space="preserve"> many public comments submitted online in this proceeding. </w:t>
      </w:r>
      <w:r w:rsidRPr="001C76E0" w:rsidR="003C5387">
        <w:t xml:space="preserve">All </w:t>
      </w:r>
      <w:r w:rsidRPr="001C76E0" w:rsidR="007539D6">
        <w:t>comments</w:t>
      </w:r>
      <w:r w:rsidRPr="001C76E0" w:rsidR="003C5387">
        <w:t xml:space="preserve"> oppose</w:t>
      </w:r>
      <w:r w:rsidRPr="001C76E0" w:rsidR="007539D6">
        <w:t>d</w:t>
      </w:r>
      <w:r w:rsidRPr="001C76E0" w:rsidR="003C5387">
        <w:t xml:space="preserve"> SoCalGa</w:t>
      </w:r>
      <w:r w:rsidR="006636DD">
        <w:t xml:space="preserve">s’ </w:t>
      </w:r>
      <w:r w:rsidRPr="001C76E0" w:rsidR="00107EF1">
        <w:t xml:space="preserve">application to recover </w:t>
      </w:r>
      <w:r w:rsidRPr="001C76E0" w:rsidR="004F3E5D">
        <w:t>DIMPBA under</w:t>
      </w:r>
      <w:r w:rsidR="0004127A">
        <w:noBreakHyphen/>
      </w:r>
      <w:r w:rsidRPr="001C76E0" w:rsidR="004F3E5D">
        <w:t xml:space="preserve">collections. </w:t>
      </w:r>
      <w:r w:rsidRPr="001C76E0" w:rsidR="00F872CD">
        <w:t xml:space="preserve">The comments highlight affordability concerns in light of numerous SoCalGas rate increases. </w:t>
      </w:r>
      <w:r w:rsidRPr="001C76E0" w:rsidR="00115720">
        <w:t xml:space="preserve">One </w:t>
      </w:r>
      <w:r w:rsidRPr="001C76E0" w:rsidR="00A05292">
        <w:t>commentator</w:t>
      </w:r>
      <w:r w:rsidRPr="001C76E0" w:rsidR="00115720">
        <w:t xml:space="preserve"> described the challenge of living on a fixed income and </w:t>
      </w:r>
      <w:r w:rsidRPr="001C76E0" w:rsidR="001E0881">
        <w:t>having to decide between paying for</w:t>
      </w:r>
      <w:r w:rsidRPr="001C76E0" w:rsidR="00115720">
        <w:t xml:space="preserve"> </w:t>
      </w:r>
      <w:r w:rsidRPr="001C76E0" w:rsidR="00A05292">
        <w:t xml:space="preserve">food and </w:t>
      </w:r>
      <w:r w:rsidRPr="001C76E0" w:rsidR="006B2555">
        <w:t>utilit</w:t>
      </w:r>
      <w:r w:rsidRPr="001C76E0" w:rsidR="006F4946">
        <w:t>y service</w:t>
      </w:r>
      <w:r w:rsidRPr="001C76E0" w:rsidR="00A05292">
        <w:t xml:space="preserve">. </w:t>
      </w:r>
      <w:r w:rsidRPr="001C76E0" w:rsidR="006B2555">
        <w:t>Other commentators discussed</w:t>
      </w:r>
      <w:r w:rsidRPr="001C76E0" w:rsidR="00D246E5">
        <w:t xml:space="preserve"> the earnings and profitability of SoCalGas</w:t>
      </w:r>
      <w:r w:rsidR="0031681A">
        <w:t>,</w:t>
      </w:r>
      <w:r w:rsidRPr="001C76E0" w:rsidR="00D246E5">
        <w:t xml:space="preserve"> and it</w:t>
      </w:r>
      <w:r w:rsidRPr="001C76E0" w:rsidR="00332B1A">
        <w:t>s parent company</w:t>
      </w:r>
      <w:r w:rsidR="00F4477B">
        <w:t>,</w:t>
      </w:r>
      <w:r w:rsidRPr="001C76E0" w:rsidR="00332B1A">
        <w:t xml:space="preserve"> </w:t>
      </w:r>
      <w:r w:rsidRPr="001C76E0" w:rsidR="00362F11">
        <w:t>and argue</w:t>
      </w:r>
      <w:r w:rsidRPr="001C76E0" w:rsidR="002C7250">
        <w:t>d</w:t>
      </w:r>
      <w:r w:rsidR="00117D94">
        <w:t xml:space="preserve"> in light of this</w:t>
      </w:r>
      <w:r w:rsidRPr="001C76E0" w:rsidR="00362F11">
        <w:t xml:space="preserve"> </w:t>
      </w:r>
      <w:r w:rsidRPr="001C76E0" w:rsidR="007539D6">
        <w:t>the requested</w:t>
      </w:r>
      <w:r w:rsidRPr="001C76E0" w:rsidR="00362F11">
        <w:t xml:space="preserve"> rate increase should not be allowed.</w:t>
      </w:r>
      <w:r w:rsidRPr="001C76E0" w:rsidR="008612BA">
        <w:t xml:space="preserve"> There were no online comments directly </w:t>
      </w:r>
      <w:r w:rsidRPr="001C76E0" w:rsidR="00961883">
        <w:t>addressing</w:t>
      </w:r>
      <w:r w:rsidRPr="001C76E0" w:rsidR="008612BA">
        <w:t xml:space="preserve"> the </w:t>
      </w:r>
      <w:r w:rsidR="00637CDF">
        <w:t>Motion</w:t>
      </w:r>
      <w:r w:rsidRPr="001C76E0" w:rsidR="008612BA">
        <w:t>.</w:t>
      </w:r>
    </w:p>
    <w:p w:rsidRPr="001C76E0" w:rsidR="005939A5" w:rsidP="00EB60B3" w:rsidRDefault="005939A5" w14:paraId="7346E89A" w14:textId="20A2BC90">
      <w:pPr>
        <w:pStyle w:val="Heading1"/>
      </w:pPr>
      <w:bookmarkStart w:name="_Toc8123723" w:id="20"/>
      <w:bookmarkStart w:name="_Toc217461723" w:id="21"/>
      <w:bookmarkEnd w:id="18"/>
      <w:r w:rsidRPr="001C76E0">
        <w:lastRenderedPageBreak/>
        <w:t>Comments on Proposed Decision</w:t>
      </w:r>
      <w:bookmarkEnd w:id="20"/>
      <w:bookmarkEnd w:id="21"/>
    </w:p>
    <w:p w:rsidR="005939A5" w:rsidP="00BA4631" w:rsidRDefault="005C58FA" w14:paraId="45B27435" w14:textId="782EEB78">
      <w:pPr>
        <w:pStyle w:val="Standard"/>
      </w:pPr>
      <w:r w:rsidRPr="001C76E0">
        <w:t>The proposed decision of ALJ</w:t>
      </w:r>
      <w:r w:rsidR="00177C75">
        <w:t> </w:t>
      </w:r>
      <w:r w:rsidRPr="001C76E0" w:rsidR="00BA4631">
        <w:t>Brandon Gerstle</w:t>
      </w:r>
      <w:r w:rsidRPr="001C76E0">
        <w:t xml:space="preserve"> in this matter was mailed to the parties in accordance with </w:t>
      </w:r>
      <w:r w:rsidR="001A7420">
        <w:t>Pub. Util.</w:t>
      </w:r>
      <w:r w:rsidRPr="001C76E0" w:rsidR="00F31C87">
        <w:t xml:space="preserve"> Code </w:t>
      </w:r>
      <w:r w:rsidR="007D0C28">
        <w:t>Section </w:t>
      </w:r>
      <w:r w:rsidRPr="001C76E0">
        <w:t xml:space="preserve">311 and comments were allowed under </w:t>
      </w:r>
      <w:r w:rsidR="001A7420">
        <w:t>Rule </w:t>
      </w:r>
      <w:r w:rsidRPr="001C76E0">
        <w:t>14.3.</w:t>
      </w:r>
      <w:r w:rsidR="009D34F8">
        <w:t xml:space="preserve"> </w:t>
      </w:r>
      <w:r w:rsidRPr="001C76E0">
        <w:t xml:space="preserve">Comments were filed on </w:t>
      </w:r>
      <w:r w:rsidR="00AD0F0F">
        <w:t>January</w:t>
      </w:r>
      <w:r w:rsidR="008E57D6">
        <w:t> </w:t>
      </w:r>
      <w:r w:rsidR="00AD0F0F">
        <w:t>20, 2026</w:t>
      </w:r>
      <w:r w:rsidR="008E57D6">
        <w:t>,</w:t>
      </w:r>
      <w:r w:rsidR="00FA3C2A">
        <w:t xml:space="preserve"> by SoCalGas</w:t>
      </w:r>
      <w:r w:rsidRPr="001C76E0">
        <w:t xml:space="preserve">, and </w:t>
      </w:r>
      <w:r w:rsidR="00AD0F0F">
        <w:t xml:space="preserve">no </w:t>
      </w:r>
      <w:r w:rsidRPr="001C76E0">
        <w:t xml:space="preserve">reply comments were filed on </w:t>
      </w:r>
      <w:r w:rsidR="00AD0F0F">
        <w:t>January</w:t>
      </w:r>
      <w:r w:rsidR="008E57D6">
        <w:t> </w:t>
      </w:r>
      <w:r w:rsidR="00AD0F0F">
        <w:t>26, 2026</w:t>
      </w:r>
      <w:r w:rsidRPr="001C76E0">
        <w:t>.</w:t>
      </w:r>
    </w:p>
    <w:p w:rsidRPr="001C76E0" w:rsidR="00AD0F0F" w:rsidP="00AD0F0F" w:rsidRDefault="00AD0F0F" w14:paraId="5B4E639D" w14:textId="31A802AB">
      <w:pPr>
        <w:pStyle w:val="Standard"/>
      </w:pPr>
      <w:r>
        <w:t xml:space="preserve">SoCalGas generally agrees with the </w:t>
      </w:r>
      <w:r w:rsidR="003F4A28">
        <w:t xml:space="preserve">proposed </w:t>
      </w:r>
      <w:r>
        <w:t>decision and encourages the Commission to approve it as soon as possible. SoCalGas notes that reducing the interim rate recovery request from 85</w:t>
      </w:r>
      <w:r w:rsidR="00303AD4">
        <w:t> percent</w:t>
      </w:r>
      <w:r>
        <w:t xml:space="preserve"> to 60</w:t>
      </w:r>
      <w:r w:rsidR="00303AD4">
        <w:t> percent</w:t>
      </w:r>
      <w:r>
        <w:t xml:space="preserve"> will reduce the amount of interest rate savings for ratepayers. However, SoCalGas recognizes the balance the Commission seeks to strike by smoothing rate impacts among other factors.</w:t>
      </w:r>
    </w:p>
    <w:p w:rsidRPr="001C76E0" w:rsidR="005939A5" w:rsidP="00EB60B3" w:rsidRDefault="005939A5" w14:paraId="6A20F084" w14:textId="77777777">
      <w:pPr>
        <w:pStyle w:val="Heading1"/>
      </w:pPr>
      <w:bookmarkStart w:name="_Toc8123724" w:id="22"/>
      <w:bookmarkStart w:name="_Toc217461724" w:id="23"/>
      <w:r w:rsidRPr="001C76E0">
        <w:t>Assignment of Proceeding</w:t>
      </w:r>
      <w:bookmarkEnd w:id="22"/>
      <w:bookmarkEnd w:id="23"/>
    </w:p>
    <w:p w:rsidRPr="001C76E0" w:rsidR="005939A5" w:rsidP="006E6574" w:rsidRDefault="00BA4631" w14:paraId="0CB7F1F1" w14:textId="0035A103">
      <w:pPr>
        <w:pStyle w:val="Standard"/>
      </w:pPr>
      <w:r w:rsidRPr="001C76E0">
        <w:t>Karen Douglas</w:t>
      </w:r>
      <w:r w:rsidRPr="001C76E0" w:rsidR="005939A5">
        <w:t xml:space="preserve"> is the assigned Commissioner and </w:t>
      </w:r>
      <w:r w:rsidRPr="001C76E0">
        <w:t>Brandon Gerstle</w:t>
      </w:r>
      <w:r w:rsidRPr="001C76E0" w:rsidR="005939A5">
        <w:t xml:space="preserve"> is the assigned </w:t>
      </w:r>
      <w:r w:rsidR="003E1C5B">
        <w:t xml:space="preserve">ALJ </w:t>
      </w:r>
      <w:r w:rsidRPr="001C76E0" w:rsidR="005939A5">
        <w:t>in this proceeding.</w:t>
      </w:r>
    </w:p>
    <w:p w:rsidRPr="001C76E0" w:rsidR="005939A5" w:rsidP="00E6705F" w:rsidRDefault="005939A5" w14:paraId="07C952F1" w14:textId="77777777">
      <w:pPr>
        <w:pStyle w:val="Dummy"/>
      </w:pPr>
      <w:bookmarkStart w:name="_Toc8123725" w:id="24"/>
      <w:bookmarkStart w:name="_Toc217461725" w:id="25"/>
      <w:r w:rsidRPr="001C76E0">
        <w:t>Findings of Fact</w:t>
      </w:r>
      <w:bookmarkEnd w:id="24"/>
      <w:bookmarkEnd w:id="25"/>
    </w:p>
    <w:p w:rsidRPr="001C76E0" w:rsidR="00AA059B" w:rsidP="00AA059B" w:rsidRDefault="00E6705F" w14:paraId="1D60B21F" w14:textId="2878B163">
      <w:pPr>
        <w:pStyle w:val="FoF"/>
      </w:pPr>
      <w:r>
        <w:t>Cal Adv</w:t>
      </w:r>
      <w:r w:rsidRPr="001C76E0" w:rsidR="00AA059B">
        <w:t>ocates did not contest SoCalGa</w:t>
      </w:r>
      <w:r w:rsidR="006636DD">
        <w:t xml:space="preserve">s’ </w:t>
      </w:r>
      <w:r w:rsidRPr="001C76E0" w:rsidR="00AA059B">
        <w:t xml:space="preserve">factual basis for </w:t>
      </w:r>
      <w:r w:rsidRPr="001C76E0" w:rsidR="00102E9E">
        <w:t>the</w:t>
      </w:r>
      <w:r w:rsidRPr="001C76E0" w:rsidR="00AA059B">
        <w:t xml:space="preserve"> Motion.</w:t>
      </w:r>
    </w:p>
    <w:p w:rsidRPr="001C76E0" w:rsidR="00E7692B" w:rsidP="00AA059B" w:rsidRDefault="00376155" w14:paraId="5DAAAD4C" w14:textId="586A0430">
      <w:pPr>
        <w:pStyle w:val="FoF"/>
      </w:pPr>
      <w:r w:rsidRPr="001C76E0">
        <w:t>The total requested $59.1</w:t>
      </w:r>
      <w:r w:rsidR="008C449B">
        <w:t> million</w:t>
      </w:r>
      <w:r w:rsidRPr="001C76E0">
        <w:t xml:space="preserve"> revenue requirement in the application includes interest expenses through </w:t>
      </w:r>
      <w:r w:rsidR="00EA0147">
        <w:t>June </w:t>
      </w:r>
      <w:r w:rsidRPr="001C76E0">
        <w:t>30, 2025</w:t>
      </w:r>
      <w:r w:rsidRPr="001C76E0" w:rsidR="00E7692B">
        <w:t>.</w:t>
      </w:r>
    </w:p>
    <w:p w:rsidRPr="001C76E0" w:rsidR="00AA059B" w:rsidP="00AA059B" w:rsidRDefault="00D00BEC" w14:paraId="219E0DFB" w14:textId="73B7538E">
      <w:pPr>
        <w:pStyle w:val="FoF"/>
      </w:pPr>
      <w:r w:rsidRPr="001C76E0">
        <w:t>I</w:t>
      </w:r>
      <w:r w:rsidRPr="001C76E0" w:rsidR="00AA059B">
        <w:t>nterim rate recovery provides direct financial benefit to ratepayers by creating a saving on interest expenses of approximately $918</w:t>
      </w:r>
      <w:r w:rsidR="008C449B">
        <w:t> thousand</w:t>
      </w:r>
      <w:r w:rsidRPr="001C76E0" w:rsidR="00AA059B">
        <w:t>.</w:t>
      </w:r>
    </w:p>
    <w:p w:rsidR="00EA0147" w:rsidP="00AA059B" w:rsidRDefault="00D159D1" w14:paraId="7F21B620" w14:textId="5B0D6678">
      <w:pPr>
        <w:pStyle w:val="FoF"/>
      </w:pPr>
      <w:r w:rsidRPr="001C76E0">
        <w:t>Interim</w:t>
      </w:r>
      <w:r w:rsidRPr="001C76E0" w:rsidR="00AA059B">
        <w:t xml:space="preserve"> rate recovery promotes intergenerational equity</w:t>
      </w:r>
      <w:r w:rsidRPr="001C76E0" w:rsidR="00272EE0">
        <w:t>,</w:t>
      </w:r>
      <w:r w:rsidRPr="001C76E0" w:rsidR="00AA059B">
        <w:t xml:space="preserve"> bring</w:t>
      </w:r>
      <w:r w:rsidRPr="001C76E0" w:rsidR="00272EE0">
        <w:t>ing</w:t>
      </w:r>
      <w:r w:rsidRPr="001C76E0" w:rsidR="00AA059B">
        <w:t xml:space="preserve"> the time when the DIMP costs were incurred closer to when they are being paid for by ratepayers.</w:t>
      </w:r>
    </w:p>
    <w:p w:rsidRPr="001C76E0" w:rsidR="00AA059B" w:rsidP="00AA059B" w:rsidRDefault="00272EE0" w14:paraId="3C2F47DE" w14:textId="2C20FB69">
      <w:pPr>
        <w:pStyle w:val="FoF"/>
      </w:pPr>
      <w:r w:rsidRPr="001C76E0">
        <w:t>Interim</w:t>
      </w:r>
      <w:r w:rsidRPr="001C76E0" w:rsidR="00AA059B">
        <w:t xml:space="preserve"> rate recovery indirectly benefits ratepayers, because all else being equal, it improves SoCalGas</w:t>
      </w:r>
      <w:r w:rsidR="00EA0147">
        <w:t>’</w:t>
      </w:r>
      <w:r w:rsidRPr="001C76E0" w:rsidR="00AA059B">
        <w:t xml:space="preserve"> credit metrics, which places downward pressure on capital costs</w:t>
      </w:r>
      <w:r w:rsidRPr="001C76E0">
        <w:t>.</w:t>
      </w:r>
    </w:p>
    <w:p w:rsidR="00EA0147" w:rsidP="00AA059B" w:rsidRDefault="00272EE0" w14:paraId="1389FC8B" w14:textId="77777777">
      <w:pPr>
        <w:pStyle w:val="FoF"/>
      </w:pPr>
      <w:r w:rsidRPr="001C76E0">
        <w:lastRenderedPageBreak/>
        <w:t>Ratepayers</w:t>
      </w:r>
      <w:r w:rsidRPr="001C76E0" w:rsidR="00AA059B">
        <w:t xml:space="preserve"> are protected in the event underlying DIMP costs are found unreasonable via a refund, which would include interest.</w:t>
      </w:r>
    </w:p>
    <w:p w:rsidRPr="001C76E0" w:rsidR="00AA059B" w:rsidP="00AA059B" w:rsidRDefault="00EA2F18" w14:paraId="75CCC758" w14:textId="0859C19E">
      <w:pPr>
        <w:pStyle w:val="FoF"/>
      </w:pPr>
      <w:r w:rsidRPr="001C76E0">
        <w:t>Interim</w:t>
      </w:r>
      <w:r w:rsidRPr="001C76E0" w:rsidR="00AA059B">
        <w:t xml:space="preserve"> rate recovery will preserve </w:t>
      </w:r>
      <w:r w:rsidR="003A5F66">
        <w:t>SoCalGas’</w:t>
      </w:r>
      <w:r w:rsidRPr="001C76E0" w:rsidR="00AA059B">
        <w:t xml:space="preserve"> financial integrity by supporting its credit metrics and promoting a positive perception of regulatory risk by rating agencies</w:t>
      </w:r>
      <w:r w:rsidRPr="001C76E0">
        <w:t>.</w:t>
      </w:r>
    </w:p>
    <w:p w:rsidR="00EA0147" w:rsidP="00AA059B" w:rsidRDefault="00AA059B" w14:paraId="29BBF56B" w14:textId="77777777">
      <w:pPr>
        <w:pStyle w:val="FoF"/>
      </w:pPr>
      <w:r w:rsidRPr="001C76E0">
        <w:t>A delay in granting the Motion would reduce the potential interest savings to ratepayers.</w:t>
      </w:r>
    </w:p>
    <w:p w:rsidRPr="001C76E0" w:rsidR="00AA059B" w:rsidP="00AA059B" w:rsidRDefault="00AA059B" w14:paraId="7CD753D0" w14:textId="2714E3B0">
      <w:pPr>
        <w:pStyle w:val="FoF"/>
      </w:pPr>
      <w:r w:rsidRPr="001C76E0">
        <w:t>A delay in granting th</w:t>
      </w:r>
      <w:r w:rsidR="003A5F66">
        <w:t>e</w:t>
      </w:r>
      <w:r w:rsidRPr="001C76E0">
        <w:t xml:space="preserve"> </w:t>
      </w:r>
      <w:r w:rsidR="003A5F66">
        <w:t>M</w:t>
      </w:r>
      <w:r w:rsidRPr="001C76E0">
        <w:t>otion would reduce the period of time SoCalGa</w:t>
      </w:r>
      <w:r w:rsidR="006636DD">
        <w:t xml:space="preserve">s’ </w:t>
      </w:r>
      <w:r w:rsidRPr="001C76E0">
        <w:t>credit metrics could benefit from the interim relief, and all else being equal, could contribute to higher capital costs</w:t>
      </w:r>
      <w:r w:rsidRPr="001C76E0" w:rsidR="00377E7C">
        <w:t>.</w:t>
      </w:r>
    </w:p>
    <w:p w:rsidRPr="001C76E0" w:rsidR="00AA059B" w:rsidP="00AA059B" w:rsidRDefault="00AF1F4F" w14:paraId="6BB75622" w14:textId="783D7359">
      <w:pPr>
        <w:pStyle w:val="FoF"/>
      </w:pPr>
      <w:r w:rsidRPr="001C76E0">
        <w:t>T</w:t>
      </w:r>
      <w:r w:rsidRPr="001C76E0" w:rsidR="00AA059B">
        <w:t xml:space="preserve">he Commission will </w:t>
      </w:r>
      <w:r w:rsidRPr="001C76E0">
        <w:t xml:space="preserve">likely </w:t>
      </w:r>
      <w:r w:rsidRPr="001C76E0" w:rsidR="00AA059B">
        <w:t>make a determination on the merits of SoCalGa</w:t>
      </w:r>
      <w:r w:rsidR="006636DD">
        <w:t xml:space="preserve">s’ </w:t>
      </w:r>
      <w:r w:rsidRPr="001C76E0" w:rsidR="00AA059B">
        <w:t>application before a possible second 12</w:t>
      </w:r>
      <w:r w:rsidR="0004127A">
        <w:noBreakHyphen/>
      </w:r>
      <w:r w:rsidRPr="001C76E0" w:rsidR="00AA059B">
        <w:t>month authorization would be needed.</w:t>
      </w:r>
    </w:p>
    <w:p w:rsidRPr="001C76E0" w:rsidR="00AA059B" w:rsidP="00AA059B" w:rsidRDefault="00AA059B" w14:paraId="7370550D" w14:textId="22FB58A7">
      <w:pPr>
        <w:pStyle w:val="FoF"/>
      </w:pPr>
      <w:r w:rsidRPr="001C76E0">
        <w:t>SoCalGas recent</w:t>
      </w:r>
      <w:r w:rsidRPr="001C76E0" w:rsidR="00AF1F4F">
        <w:t>ly had</w:t>
      </w:r>
      <w:r w:rsidRPr="001C76E0">
        <w:t xml:space="preserve"> rate increases via its </w:t>
      </w:r>
      <w:r w:rsidR="002C1BBD">
        <w:t>TY 2024</w:t>
      </w:r>
      <w:r w:rsidRPr="001C76E0">
        <w:t xml:space="preserve"> GRC.</w:t>
      </w:r>
    </w:p>
    <w:p w:rsidR="00EA0147" w:rsidP="00FB0074" w:rsidRDefault="00FD3E13" w14:paraId="0D036434" w14:textId="6B7694BB">
      <w:pPr>
        <w:pStyle w:val="FoF"/>
      </w:pPr>
      <w:r w:rsidRPr="001C76E0">
        <w:t>R</w:t>
      </w:r>
      <w:r w:rsidRPr="001C76E0" w:rsidR="00AA059B">
        <w:t xml:space="preserve">ate increases burden </w:t>
      </w:r>
      <w:r w:rsidRPr="001C76E0" w:rsidR="00C136A1">
        <w:t>SoCalGa</w:t>
      </w:r>
      <w:r w:rsidR="00C136A1">
        <w:t xml:space="preserve">s’ </w:t>
      </w:r>
      <w:r w:rsidRPr="001C76E0" w:rsidR="00AA059B">
        <w:t>most disadvantaged customers and necessitate those ratepayers to work additional time to pay for rate increases.</w:t>
      </w:r>
    </w:p>
    <w:p w:rsidRPr="001C76E0" w:rsidR="008E6AE6" w:rsidP="00FB0074" w:rsidRDefault="00AA059B" w14:paraId="3A382BBA" w14:textId="00102537">
      <w:pPr>
        <w:pStyle w:val="FoF"/>
      </w:pPr>
      <w:r w:rsidRPr="001C76E0">
        <w:t>SoCalGa</w:t>
      </w:r>
      <w:r w:rsidR="006636DD">
        <w:t xml:space="preserve">s’ </w:t>
      </w:r>
      <w:r w:rsidRPr="001C76E0">
        <w:t>proposal to use EPAM for cost allocation</w:t>
      </w:r>
      <w:r w:rsidRPr="001C76E0" w:rsidR="00904606">
        <w:t xml:space="preserve"> methodology</w:t>
      </w:r>
      <w:r w:rsidRPr="001C76E0">
        <w:t xml:space="preserve"> </w:t>
      </w:r>
      <w:r w:rsidRPr="001C76E0" w:rsidR="00CE6E79">
        <w:t>was unopposed</w:t>
      </w:r>
      <w:r w:rsidRPr="001C76E0">
        <w:t>.</w:t>
      </w:r>
    </w:p>
    <w:p w:rsidRPr="001C76E0" w:rsidR="005939A5" w:rsidP="00A22702" w:rsidRDefault="005939A5" w14:paraId="17F260CE" w14:textId="7C2E06D3">
      <w:pPr>
        <w:pStyle w:val="Dummy"/>
      </w:pPr>
      <w:bookmarkStart w:name="_Toc8123726" w:id="26"/>
      <w:bookmarkStart w:name="_Toc217461726" w:id="27"/>
      <w:r w:rsidRPr="001C76E0">
        <w:t>Conclusions of Law</w:t>
      </w:r>
      <w:bookmarkEnd w:id="26"/>
      <w:bookmarkEnd w:id="27"/>
    </w:p>
    <w:p w:rsidRPr="001C76E0" w:rsidR="002042E2" w:rsidP="002042E2" w:rsidRDefault="002042E2" w14:paraId="49A1183E" w14:textId="60D80A2A">
      <w:pPr>
        <w:pStyle w:val="CoL"/>
      </w:pPr>
      <w:r w:rsidRPr="001C76E0">
        <w:t>D.24</w:t>
      </w:r>
      <w:r w:rsidR="0004127A">
        <w:noBreakHyphen/>
      </w:r>
      <w:r w:rsidRPr="001C76E0">
        <w:t>12</w:t>
      </w:r>
      <w:r w:rsidR="0004127A">
        <w:noBreakHyphen/>
      </w:r>
      <w:r w:rsidRPr="001C76E0">
        <w:t>074 does not retroactively apply to the DIMPBA costs at issue in the Motion</w:t>
      </w:r>
      <w:r w:rsidR="00095219">
        <w:t>.</w:t>
      </w:r>
    </w:p>
    <w:p w:rsidRPr="001C76E0" w:rsidR="002042E2" w:rsidP="002042E2" w:rsidRDefault="002042E2" w14:paraId="442BE79A" w14:textId="23A99474">
      <w:pPr>
        <w:pStyle w:val="CoL"/>
      </w:pPr>
      <w:r w:rsidRPr="001C76E0">
        <w:t>The facts in D.22</w:t>
      </w:r>
      <w:r w:rsidR="0004127A">
        <w:noBreakHyphen/>
      </w:r>
      <w:r w:rsidRPr="001C76E0">
        <w:t>05</w:t>
      </w:r>
      <w:r w:rsidR="0004127A">
        <w:noBreakHyphen/>
      </w:r>
      <w:r w:rsidRPr="001C76E0">
        <w:t>001 are dissimilar to those present in the Motion.</w:t>
      </w:r>
    </w:p>
    <w:p w:rsidRPr="001C76E0" w:rsidR="00D30787" w:rsidP="002042E2" w:rsidRDefault="00D30787" w14:paraId="25DBA603" w14:textId="246E96D4">
      <w:pPr>
        <w:pStyle w:val="CoL"/>
      </w:pPr>
      <w:r w:rsidRPr="001C76E0">
        <w:t xml:space="preserve">The California Supreme Court, in </w:t>
      </w:r>
      <w:r w:rsidRPr="001C76E0">
        <w:rPr>
          <w:i/>
          <w:iCs/>
        </w:rPr>
        <w:t>TURN</w:t>
      </w:r>
      <w:r w:rsidR="00EA0147">
        <w:rPr>
          <w:i/>
          <w:iCs/>
        </w:rPr>
        <w:t xml:space="preserve"> v. </w:t>
      </w:r>
      <w:r w:rsidRPr="001C76E0">
        <w:rPr>
          <w:i/>
          <w:iCs/>
        </w:rPr>
        <w:t>PUC</w:t>
      </w:r>
      <w:r w:rsidRPr="001C76E0">
        <w:t>,</w:t>
      </w:r>
      <w:r w:rsidRPr="001C76E0">
        <w:rPr>
          <w:i/>
          <w:iCs/>
        </w:rPr>
        <w:t xml:space="preserve"> </w:t>
      </w:r>
      <w:r w:rsidRPr="001C76E0">
        <w:t>affirmed the Commission may, in certain circumstances, grant rate increases before a final Commission determination of whether the costs were just and reasonable</w:t>
      </w:r>
      <w:r w:rsidR="00095219">
        <w:t>.</w:t>
      </w:r>
    </w:p>
    <w:p w:rsidRPr="001C76E0" w:rsidR="002042E2" w:rsidP="002042E2" w:rsidRDefault="002042E2" w14:paraId="6360DA0E" w14:textId="6F0ECD02">
      <w:pPr>
        <w:pStyle w:val="CoL"/>
      </w:pPr>
      <w:r w:rsidRPr="001C76E0">
        <w:lastRenderedPageBreak/>
        <w:t>SoCalGas has shown that granting the Motion promotes fairness for the public.</w:t>
      </w:r>
    </w:p>
    <w:p w:rsidRPr="001C76E0" w:rsidR="002042E2" w:rsidP="002042E2" w:rsidRDefault="002042E2" w14:paraId="159A467F" w14:textId="77777777">
      <w:pPr>
        <w:pStyle w:val="CoL"/>
      </w:pPr>
      <w:r w:rsidRPr="001C76E0">
        <w:t>SoCalGas has shown that granting the Motion promotes fairness for the utility.</w:t>
      </w:r>
    </w:p>
    <w:p w:rsidRPr="001C76E0" w:rsidR="002042E2" w:rsidP="002042E2" w:rsidRDefault="002042E2" w14:paraId="5A8F2FD5" w14:textId="13075600">
      <w:pPr>
        <w:pStyle w:val="CoL"/>
      </w:pPr>
      <w:r w:rsidRPr="001C76E0">
        <w:t xml:space="preserve">SoCalGas has shown the requested relief is appropriate and requires </w:t>
      </w:r>
      <w:r w:rsidR="00EA0147">
        <w:t>“</w:t>
      </w:r>
      <w:r w:rsidRPr="001C76E0">
        <w:t>immediate</w:t>
      </w:r>
      <w:r w:rsidR="00EA0147">
        <w:t>”</w:t>
      </w:r>
      <w:r w:rsidRPr="001C76E0">
        <w:t xml:space="preserve"> action by the Commission</w:t>
      </w:r>
      <w:r w:rsidRPr="001C76E0" w:rsidR="00E95D3C">
        <w:t>.</w:t>
      </w:r>
    </w:p>
    <w:p w:rsidRPr="001C76E0" w:rsidR="002042E2" w:rsidP="002042E2" w:rsidRDefault="00A1612D" w14:paraId="422AD2F9" w14:textId="0F593D5E">
      <w:pPr>
        <w:pStyle w:val="CoL"/>
      </w:pPr>
      <w:r w:rsidRPr="001C76E0">
        <w:t>A</w:t>
      </w:r>
      <w:r w:rsidRPr="001C76E0" w:rsidR="002042E2">
        <w:t xml:space="preserve"> 12</w:t>
      </w:r>
      <w:r w:rsidR="0004127A">
        <w:noBreakHyphen/>
      </w:r>
      <w:r w:rsidRPr="001C76E0" w:rsidR="002042E2">
        <w:t>month interim rate recovery authorization is reasonable</w:t>
      </w:r>
      <w:r w:rsidRPr="001C76E0" w:rsidR="00E95D3C">
        <w:t>.</w:t>
      </w:r>
    </w:p>
    <w:p w:rsidRPr="001C76E0" w:rsidR="002042E2" w:rsidP="002042E2" w:rsidRDefault="00A1612D" w14:paraId="7FEC7711" w14:textId="1D5358A6">
      <w:pPr>
        <w:pStyle w:val="CoL"/>
      </w:pPr>
      <w:r w:rsidRPr="001C76E0">
        <w:t>A</w:t>
      </w:r>
      <w:r w:rsidRPr="001C76E0" w:rsidR="002042E2">
        <w:t>n interim revenue requirement of $35.5</w:t>
      </w:r>
      <w:r w:rsidR="008C449B">
        <w:t> million</w:t>
      </w:r>
      <w:r w:rsidRPr="001C76E0" w:rsidR="002042E2">
        <w:t xml:space="preserve"> (60</w:t>
      </w:r>
      <w:r w:rsidR="008C449B">
        <w:t> percent</w:t>
      </w:r>
      <w:r w:rsidRPr="001C76E0" w:rsidR="002042E2">
        <w:t xml:space="preserve"> of SoCalGa</w:t>
      </w:r>
      <w:r w:rsidR="006636DD">
        <w:t xml:space="preserve">s’ </w:t>
      </w:r>
      <w:r w:rsidRPr="001C76E0" w:rsidR="002042E2">
        <w:t>total request of $59.1</w:t>
      </w:r>
      <w:r w:rsidR="008C449B">
        <w:t> million</w:t>
      </w:r>
      <w:r w:rsidRPr="001C76E0" w:rsidR="002042E2">
        <w:t>) is reasonable as it strikes the correct balance between ratepayer, utility, and public interests</w:t>
      </w:r>
      <w:r w:rsidRPr="001C76E0" w:rsidR="00EF110D">
        <w:t>.</w:t>
      </w:r>
    </w:p>
    <w:p w:rsidRPr="001C76E0" w:rsidR="002042E2" w:rsidP="002042E2" w:rsidRDefault="002042E2" w14:paraId="2DA0B47F" w14:textId="5C4B4CCA">
      <w:pPr>
        <w:pStyle w:val="CoL"/>
      </w:pPr>
      <w:r w:rsidRPr="001C76E0">
        <w:t xml:space="preserve">Interim rate recovery granted to SoCalGas is subject to refund with interest, meaning </w:t>
      </w:r>
      <w:r w:rsidRPr="001C76E0" w:rsidR="002A2D58">
        <w:t xml:space="preserve">that </w:t>
      </w:r>
      <w:r w:rsidRPr="001C76E0">
        <w:t xml:space="preserve">should the Commission later find a lesser amount </w:t>
      </w:r>
      <w:r w:rsidR="00EA0147">
        <w:t>“</w:t>
      </w:r>
      <w:r w:rsidRPr="001C76E0">
        <w:t>just and reasonable</w:t>
      </w:r>
      <w:r w:rsidR="00EA0147">
        <w:t>”</w:t>
      </w:r>
      <w:r w:rsidRPr="001C76E0">
        <w:t xml:space="preserve"> under </w:t>
      </w:r>
      <w:r w:rsidR="001A7420">
        <w:t>Pub. Util.</w:t>
      </w:r>
      <w:r w:rsidRPr="001C76E0" w:rsidR="00F31C87">
        <w:t xml:space="preserve"> Code </w:t>
      </w:r>
      <w:r w:rsidR="007D0C28">
        <w:t>Section </w:t>
      </w:r>
      <w:r w:rsidRPr="001C76E0">
        <w:t>451 and related authorities, SoCalGas must return the difference to ratepayers with interest at the earliest opportunity.</w:t>
      </w:r>
    </w:p>
    <w:p w:rsidRPr="001C76E0" w:rsidR="008F143D" w:rsidP="002042E2" w:rsidRDefault="002042E2" w14:paraId="5EE9145C" w14:textId="2844E193">
      <w:pPr>
        <w:pStyle w:val="CoL"/>
      </w:pPr>
      <w:r w:rsidRPr="001C76E0">
        <w:t>It is reasonable for SoCalGas to use the EPAM cost allocation</w:t>
      </w:r>
      <w:r w:rsidRPr="001C76E0" w:rsidR="00CE5FE8">
        <w:t xml:space="preserve"> methodology</w:t>
      </w:r>
      <w:r w:rsidRPr="001C76E0" w:rsidR="001517E5">
        <w:t xml:space="preserve"> as it is consistent with D.24</w:t>
      </w:r>
      <w:r w:rsidR="0004127A">
        <w:noBreakHyphen/>
      </w:r>
      <w:r w:rsidRPr="001C76E0" w:rsidR="001517E5">
        <w:t>07</w:t>
      </w:r>
      <w:r w:rsidR="0004127A">
        <w:noBreakHyphen/>
      </w:r>
      <w:r w:rsidRPr="001C76E0" w:rsidR="001517E5">
        <w:t>009</w:t>
      </w:r>
      <w:r w:rsidRPr="001C76E0">
        <w:t>.</w:t>
      </w:r>
    </w:p>
    <w:p w:rsidRPr="001C76E0" w:rsidR="00BB0243" w:rsidP="000A6E05" w:rsidRDefault="005939A5" w14:paraId="2EBEF4C0" w14:textId="702322C3">
      <w:pPr>
        <w:pStyle w:val="Mainex"/>
      </w:pPr>
      <w:bookmarkStart w:name="_Toc217461727" w:id="28"/>
      <w:r w:rsidRPr="001C76E0">
        <w:t>O</w:t>
      </w:r>
      <w:r w:rsidRPr="001C76E0" w:rsidR="00722850">
        <w:t>RDER</w:t>
      </w:r>
      <w:bookmarkEnd w:id="28"/>
    </w:p>
    <w:p w:rsidRPr="001C76E0" w:rsidR="00BB0243" w:rsidP="000A6E05" w:rsidRDefault="00BB0243" w14:paraId="6EC02FBB" w14:textId="77777777">
      <w:pPr>
        <w:keepNext/>
      </w:pPr>
      <w:r w:rsidRPr="001C76E0">
        <w:rPr>
          <w:b/>
        </w:rPr>
        <w:t>IT IS ORDERED</w:t>
      </w:r>
      <w:r w:rsidRPr="001C76E0">
        <w:t xml:space="preserve"> that:</w:t>
      </w:r>
    </w:p>
    <w:p w:rsidRPr="001C76E0" w:rsidR="00C74317" w:rsidP="00C74317" w:rsidRDefault="00C74317" w14:paraId="392A0FC2" w14:textId="79CCD40A">
      <w:pPr>
        <w:pStyle w:val="OP"/>
      </w:pPr>
      <w:r w:rsidRPr="001C76E0">
        <w:t>Southern California Gas Company</w:t>
      </w:r>
      <w:r w:rsidR="00EA0147">
        <w:t>’</w:t>
      </w:r>
      <w:r w:rsidRPr="001C76E0">
        <w:t xml:space="preserve">s (SoCalGas) </w:t>
      </w:r>
      <w:r w:rsidR="00EA0147">
        <w:t>August </w:t>
      </w:r>
      <w:r w:rsidRPr="001C76E0">
        <w:t>15, 2025</w:t>
      </w:r>
      <w:r w:rsidR="00BF35E4">
        <w:t>,</w:t>
      </w:r>
      <w:r w:rsidRPr="001C76E0">
        <w:t xml:space="preserve"> Motion for Interim Rate Recovery is granted in part</w:t>
      </w:r>
      <w:r w:rsidR="001348D3">
        <w:t>,</w:t>
      </w:r>
      <w:r w:rsidRPr="001C76E0">
        <w:t xml:space="preserve"> and SoCalGas is hereby authorized to file a </w:t>
      </w:r>
      <w:r w:rsidR="000F12C5">
        <w:t>Tier 1</w:t>
      </w:r>
      <w:r w:rsidRPr="001C76E0">
        <w:t xml:space="preserve"> </w:t>
      </w:r>
      <w:r w:rsidR="00871A1A">
        <w:t>advice letter</w:t>
      </w:r>
      <w:r w:rsidRPr="001C76E0">
        <w:t xml:space="preserve"> to collect on an interim basis a revenue requirement of $35.5</w:t>
      </w:r>
      <w:r w:rsidR="008C449B">
        <w:t> million</w:t>
      </w:r>
      <w:r w:rsidRPr="001C76E0">
        <w:t xml:space="preserve"> as soon </w:t>
      </w:r>
      <w:r w:rsidRPr="001C76E0" w:rsidR="00E95D3C">
        <w:t xml:space="preserve">as </w:t>
      </w:r>
      <w:r w:rsidRPr="001C76E0">
        <w:t>practicable over a 12</w:t>
      </w:r>
      <w:r w:rsidR="0004127A">
        <w:noBreakHyphen/>
      </w:r>
      <w:r w:rsidRPr="001C76E0">
        <w:t>month collection period. The approved interim revenue requirement shall</w:t>
      </w:r>
      <w:r w:rsidRPr="001C76E0" w:rsidR="00AC00A5">
        <w:t xml:space="preserve"> be recovered</w:t>
      </w:r>
      <w:r w:rsidRPr="001C76E0">
        <w:t xml:space="preserve"> us</w:t>
      </w:r>
      <w:r w:rsidRPr="001C76E0" w:rsidR="00AC00A5">
        <w:t xml:space="preserve">ing </w:t>
      </w:r>
      <w:r w:rsidRPr="001C76E0" w:rsidR="00CE5FE8">
        <w:t>the</w:t>
      </w:r>
      <w:r w:rsidRPr="001C76E0">
        <w:t xml:space="preserve"> Equal Percent of Authorized Margin cost allocation</w:t>
      </w:r>
      <w:r w:rsidRPr="001C76E0" w:rsidR="00CE5FE8">
        <w:t xml:space="preserve"> methodology</w:t>
      </w:r>
      <w:r w:rsidRPr="001C76E0">
        <w:t>.</w:t>
      </w:r>
    </w:p>
    <w:p w:rsidR="00EA0147" w:rsidP="00C74317" w:rsidRDefault="00C74317" w14:paraId="52C67A69" w14:textId="1B8D86E8">
      <w:pPr>
        <w:pStyle w:val="OP"/>
      </w:pPr>
      <w:r w:rsidRPr="001C76E0">
        <w:lastRenderedPageBreak/>
        <w:t xml:space="preserve">To the extent that the </w:t>
      </w:r>
      <w:r w:rsidR="00641276">
        <w:t xml:space="preserve">California Public Utilities </w:t>
      </w:r>
      <w:r w:rsidRPr="001C76E0">
        <w:t>Commission</w:t>
      </w:r>
      <w:r w:rsidR="00EA0147">
        <w:t>’</w:t>
      </w:r>
      <w:r w:rsidRPr="001C76E0">
        <w:t>s final decision in this proceeding approves a lower revenue requirement than $35.5</w:t>
      </w:r>
      <w:r w:rsidR="008C449B">
        <w:t> million</w:t>
      </w:r>
      <w:r w:rsidRPr="001C76E0">
        <w:t xml:space="preserve"> (plus interest</w:t>
      </w:r>
      <w:r w:rsidRPr="001C76E0" w:rsidR="00EB02AA">
        <w:t xml:space="preserve"> expense</w:t>
      </w:r>
      <w:r w:rsidRPr="001C76E0" w:rsidR="00A46694">
        <w:t xml:space="preserve"> </w:t>
      </w:r>
      <w:r w:rsidRPr="001C76E0" w:rsidR="00D115E8">
        <w:t xml:space="preserve">accrued </w:t>
      </w:r>
      <w:r w:rsidRPr="001C76E0" w:rsidR="00A46694">
        <w:t xml:space="preserve">after </w:t>
      </w:r>
      <w:r w:rsidR="00EA0147">
        <w:t>June </w:t>
      </w:r>
      <w:r w:rsidRPr="001C76E0" w:rsidR="00A46694">
        <w:t>3</w:t>
      </w:r>
      <w:r w:rsidRPr="001C76E0" w:rsidR="00BF0AF1">
        <w:t>0</w:t>
      </w:r>
      <w:r w:rsidRPr="001C76E0" w:rsidR="00A46694">
        <w:t>, 202</w:t>
      </w:r>
      <w:r w:rsidRPr="001C76E0" w:rsidR="00BF0AF1">
        <w:t>5</w:t>
      </w:r>
      <w:r w:rsidRPr="001C76E0">
        <w:t>), the amount authorized through interim rates, Southern California Gas Company shall return the difference to ratepayers with interest, calculated at the three</w:t>
      </w:r>
      <w:r w:rsidR="0004127A">
        <w:noBreakHyphen/>
      </w:r>
      <w:r w:rsidRPr="001C76E0">
        <w:t>month commercial paper rate at the earliest opportunity.</w:t>
      </w:r>
    </w:p>
    <w:p w:rsidRPr="001C76E0" w:rsidR="00F6397D" w:rsidP="001A7420" w:rsidRDefault="00C74317" w14:paraId="76757C7B" w14:textId="1EA5EA7A">
      <w:pPr>
        <w:pStyle w:val="OP"/>
        <w:keepNext/>
        <w:ind w:firstLine="547"/>
      </w:pPr>
      <w:r w:rsidRPr="001C76E0">
        <w:t>Application 25</w:t>
      </w:r>
      <w:r w:rsidR="0004127A">
        <w:noBreakHyphen/>
      </w:r>
      <w:r w:rsidRPr="001C76E0">
        <w:t>08</w:t>
      </w:r>
      <w:r w:rsidR="0004127A">
        <w:noBreakHyphen/>
      </w:r>
      <w:r w:rsidRPr="001C76E0">
        <w:t>008 remains open</w:t>
      </w:r>
      <w:r w:rsidR="009437EC">
        <w:t>.</w:t>
      </w:r>
    </w:p>
    <w:p w:rsidRPr="001C76E0" w:rsidR="008F0116" w:rsidP="00AF4816" w:rsidRDefault="008F0116" w14:paraId="14355FB1" w14:textId="77777777">
      <w:pPr>
        <w:pStyle w:val="Standard"/>
        <w:keepNext/>
      </w:pPr>
      <w:r w:rsidRPr="001C76E0">
        <w:t>This order is effective today.</w:t>
      </w:r>
    </w:p>
    <w:p w:rsidR="00714CF2" w:rsidP="00AF4816" w:rsidRDefault="008F0116" w14:paraId="5EA4B715" w14:textId="52017A61">
      <w:pPr>
        <w:pStyle w:val="Standard"/>
        <w:keepNext/>
      </w:pPr>
      <w:r w:rsidRPr="001C76E0">
        <w:t xml:space="preserve">Dated </w:t>
      </w:r>
      <w:r w:rsidR="004729E0">
        <w:t>__________</w:t>
      </w:r>
      <w:r w:rsidR="00AF4816">
        <w:t>__________</w:t>
      </w:r>
      <w:r w:rsidRPr="001C76E0">
        <w:t xml:space="preserve">, at </w:t>
      </w:r>
      <w:r w:rsidR="001A7420">
        <w:t>Sacramento</w:t>
      </w:r>
      <w:r w:rsidRPr="001C76E0">
        <w:t>, California</w:t>
      </w:r>
      <w:r w:rsidR="00AF4816">
        <w:t>.</w:t>
      </w:r>
    </w:p>
    <w:p w:rsidR="00AF4816" w:rsidP="00AF4816" w:rsidRDefault="00AF4816" w14:paraId="2A65E603" w14:textId="77777777">
      <w:pPr>
        <w:pStyle w:val="Standard"/>
        <w:keepNext/>
      </w:pPr>
    </w:p>
    <w:p w:rsidR="00AF4816" w:rsidP="00AF4816" w:rsidRDefault="00AF4816" w14:paraId="0517456A" w14:textId="77777777">
      <w:pPr>
        <w:pStyle w:val="Standard"/>
        <w:keepNext/>
      </w:pPr>
    </w:p>
    <w:p w:rsidRPr="00714CF2" w:rsidR="00AF4816" w:rsidP="00AF4816" w:rsidRDefault="00AF4816" w14:paraId="5CC60DC0" w14:textId="77777777">
      <w:pPr>
        <w:pStyle w:val="Standard"/>
        <w:keepNext/>
      </w:pPr>
    </w:p>
    <w:sectPr w:rsidRPr="00714CF2" w:rsidR="00AF4816" w:rsidSect="006826D5">
      <w:headerReference w:type="default" r:id="rId12"/>
      <w:footerReference w:type="default" r:id="rId13"/>
      <w:footerReference w:type="first" r:id="rId14"/>
      <w:pgSz w:w="12240" w:h="15840"/>
      <w:pgMar w:top="1728" w:right="1440" w:bottom="1440" w:left="1440" w:header="720" w:footer="720" w:gutter="0"/>
      <w:pgNumType w:start="1"/>
      <w:cols w:space="720"/>
      <w:titlePg/>
      <w:docGrid w:linePitch="360"/>
    </w:sectPr>
    <w:p>
      <w:r>
        <w:t xml:space="preserve"/>
      </w:r>
    </w:p>
    <w:p>
      <w:r>
        <w:t xml:space="preserve">Attachment 1: </w:t>
      </w:r>
    </w:p>
    <w:p>
      <w:hyperlink w:history="true" r:id="R719472c7c6334c03">
        <w:r w:rsidRPr="00CB1292">
          <w:rPr>
            <w:rStyle w:val="Hyperlink"/>
            <w:color w:val="2E74B5" w:themeColor="accent1" w:themeShade="BF"/>
            <w:u w:val="single"/>
          </w:rPr>
          <w:t>A2508008 Gerstle PD (Redline Version).pdf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E6FF" w14:textId="77777777" w:rsidR="00E20FF9" w:rsidRDefault="00E20FF9" w:rsidP="0098138E">
      <w:pPr>
        <w:spacing w:line="240" w:lineRule="auto"/>
      </w:pPr>
      <w:r>
        <w:separator/>
      </w:r>
    </w:p>
  </w:endnote>
  <w:endnote w:type="continuationSeparator" w:id="0">
    <w:p w14:paraId="33B8EFE6" w14:textId="77777777" w:rsidR="00E20FF9" w:rsidRDefault="00E20FF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9107" w14:textId="70DBB565" w:rsidR="00E23CBB" w:rsidRDefault="0004127A" w:rsidP="006826D5">
    <w:pPr>
      <w:tabs>
        <w:tab w:val="center" w:pos="4680"/>
      </w:tabs>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4DEB" w14:textId="57043D33" w:rsidR="006826D5" w:rsidRDefault="00377CE6" w:rsidP="006826D5">
    <w:pPr>
      <w:tabs>
        <w:tab w:val="center" w:pos="4680"/>
      </w:tabs>
      <w:spacing w:line="240" w:lineRule="auto"/>
      <w:ind w:firstLine="0"/>
    </w:pPr>
    <w:r w:rsidRPr="00377CE6">
      <w:rPr>
        <w:sz w:val="16"/>
      </w:rPr>
      <w:t>597021734</w:t>
    </w:r>
    <w:r w:rsidR="006826D5">
      <w:tab/>
    </w:r>
    <w:r w:rsidR="0004127A">
      <w:noBreakHyphen/>
    </w:r>
    <w:sdt>
      <w:sdtPr>
        <w:id w:val="-2141026109"/>
        <w:docPartObj>
          <w:docPartGallery w:val="Page Numbers (Bottom of Page)"/>
          <w:docPartUnique/>
        </w:docPartObj>
      </w:sdtPr>
      <w:sdtEndPr>
        <w:rPr>
          <w:noProof/>
        </w:rPr>
      </w:sdtEndPr>
      <w:sdtContent>
        <w:r w:rsidR="006826D5">
          <w:t xml:space="preserve"> </w:t>
        </w:r>
        <w:r w:rsidR="006826D5">
          <w:fldChar w:fldCharType="begin"/>
        </w:r>
        <w:r w:rsidR="006826D5">
          <w:instrText xml:space="preserve"> PAGE   \* MERGEFORMAT </w:instrText>
        </w:r>
        <w:r w:rsidR="006826D5">
          <w:fldChar w:fldCharType="separate"/>
        </w:r>
        <w:r w:rsidR="006826D5">
          <w:t>1</w:t>
        </w:r>
        <w:r w:rsidR="006826D5">
          <w:rPr>
            <w:noProof/>
          </w:rPr>
          <w:fldChar w:fldCharType="end"/>
        </w:r>
        <w:r w:rsidR="006826D5">
          <w:rPr>
            <w:noProof/>
          </w:rPr>
          <w:t xml:space="preserve"> </w:t>
        </w:r>
        <w:r w:rsidR="0004127A">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7683" w14:textId="77777777" w:rsidR="00E20FF9" w:rsidRDefault="00E20FF9" w:rsidP="00DF58E7">
      <w:pPr>
        <w:spacing w:line="240" w:lineRule="auto"/>
        <w:ind w:firstLine="0"/>
      </w:pPr>
      <w:r>
        <w:separator/>
      </w:r>
    </w:p>
  </w:footnote>
  <w:footnote w:type="continuationSeparator" w:id="0">
    <w:p w14:paraId="25A89961" w14:textId="77777777" w:rsidR="00E20FF9" w:rsidRDefault="00E20FF9" w:rsidP="00DF58E7">
      <w:pPr>
        <w:spacing w:line="240" w:lineRule="auto"/>
        <w:ind w:firstLine="0"/>
      </w:pPr>
      <w:r>
        <w:continuationSeparator/>
      </w:r>
    </w:p>
  </w:footnote>
  <w:footnote w:type="continuationNotice" w:id="1">
    <w:p w14:paraId="346EDB6F" w14:textId="77777777" w:rsidR="00E20FF9" w:rsidRPr="00DF58E7" w:rsidRDefault="00E20FF9" w:rsidP="00DF58E7">
      <w:pPr>
        <w:spacing w:line="240" w:lineRule="auto"/>
        <w:ind w:firstLine="0"/>
        <w:jc w:val="right"/>
        <w:rPr>
          <w:i/>
          <w:sz w:val="22"/>
        </w:rPr>
      </w:pPr>
      <w:r w:rsidRPr="00DF58E7">
        <w:rPr>
          <w:i/>
          <w:sz w:val="22"/>
        </w:rPr>
        <w:t>Footnote continued on next page.</w:t>
      </w:r>
    </w:p>
  </w:footnote>
  <w:footnote w:id="2">
    <w:p w14:paraId="1B16697F" w14:textId="073D7769" w:rsidR="00544CCF" w:rsidRPr="00EA0147" w:rsidRDefault="00544CCF" w:rsidP="00EA0147">
      <w:pPr>
        <w:pStyle w:val="FootnoteText"/>
        <w:rPr>
          <w:highlight w:val="yellow"/>
        </w:rPr>
      </w:pPr>
      <w:r w:rsidRPr="0065150D">
        <w:rPr>
          <w:rStyle w:val="FootnoteReference"/>
        </w:rPr>
        <w:footnoteRef/>
      </w:r>
      <w:r w:rsidRPr="0065150D">
        <w:t xml:space="preserve"> </w:t>
      </w:r>
      <w:r w:rsidR="00EB60B3" w:rsidRPr="0065150D">
        <w:t xml:space="preserve">Motion at </w:t>
      </w:r>
      <w:r w:rsidR="00437D59" w:rsidRPr="0065150D">
        <w:t>7</w:t>
      </w:r>
      <w:r w:rsidR="0004127A">
        <w:noBreakHyphen/>
      </w:r>
      <w:r w:rsidR="001F3E86" w:rsidRPr="0065150D">
        <w:t>8</w:t>
      </w:r>
      <w:r w:rsidR="00EB60B3" w:rsidRPr="0065150D">
        <w:t>.</w:t>
      </w:r>
    </w:p>
  </w:footnote>
  <w:footnote w:id="3">
    <w:p w14:paraId="1AFD3F6C" w14:textId="640C5DCB" w:rsidR="00544CCF" w:rsidRDefault="00544CCF">
      <w:pPr>
        <w:pStyle w:val="FootnoteText"/>
      </w:pPr>
      <w:r w:rsidRPr="00406398">
        <w:rPr>
          <w:rStyle w:val="FootnoteReference"/>
        </w:rPr>
        <w:footnoteRef/>
      </w:r>
      <w:r w:rsidRPr="00406398">
        <w:t xml:space="preserve"> </w:t>
      </w:r>
      <w:r w:rsidR="00BC2F17">
        <w:t>Decision (</w:t>
      </w:r>
      <w:r w:rsidR="003A6114" w:rsidRPr="00406398">
        <w:t>D.</w:t>
      </w:r>
      <w:r w:rsidR="00BC2F17">
        <w:t xml:space="preserve">) </w:t>
      </w:r>
      <w:r w:rsidR="003A6114" w:rsidRPr="00406398">
        <w:t>23</w:t>
      </w:r>
      <w:r w:rsidR="0004127A">
        <w:noBreakHyphen/>
      </w:r>
      <w:r w:rsidR="003A6114" w:rsidRPr="00406398">
        <w:t>06</w:t>
      </w:r>
      <w:r w:rsidR="0004127A">
        <w:noBreakHyphen/>
      </w:r>
      <w:r w:rsidR="003A6114" w:rsidRPr="00406398">
        <w:t xml:space="preserve">004 at 10 </w:t>
      </w:r>
      <w:r w:rsidR="0098421F" w:rsidRPr="00406398">
        <w:t>(</w:t>
      </w:r>
      <w:r w:rsidR="0086784A">
        <w:t>q</w:t>
      </w:r>
      <w:r w:rsidR="00BD7840" w:rsidRPr="00A81129">
        <w:t>uoting</w:t>
      </w:r>
      <w:r w:rsidR="003A6114" w:rsidRPr="00406398">
        <w:t xml:space="preserve"> </w:t>
      </w:r>
      <w:r w:rsidR="00633EC3" w:rsidRPr="007C31E3">
        <w:rPr>
          <w:i/>
          <w:iCs/>
        </w:rPr>
        <w:t>Toward Utility Rate Normalization</w:t>
      </w:r>
      <w:r w:rsidR="00EA0147">
        <w:rPr>
          <w:i/>
          <w:iCs/>
        </w:rPr>
        <w:t xml:space="preserve"> v. </w:t>
      </w:r>
      <w:r w:rsidR="00633EC3" w:rsidRPr="007C31E3">
        <w:rPr>
          <w:i/>
          <w:iCs/>
        </w:rPr>
        <w:t xml:space="preserve">Public Utilities Commission </w:t>
      </w:r>
      <w:r w:rsidR="00633EC3" w:rsidRPr="00D54EA5">
        <w:t>(</w:t>
      </w:r>
      <w:r w:rsidR="00633EC3" w:rsidRPr="007C31E3">
        <w:rPr>
          <w:i/>
          <w:iCs/>
        </w:rPr>
        <w:t>TURN</w:t>
      </w:r>
      <w:r w:rsidR="00EA0147">
        <w:rPr>
          <w:i/>
          <w:iCs/>
        </w:rPr>
        <w:t xml:space="preserve"> v. </w:t>
      </w:r>
      <w:r w:rsidR="00633EC3" w:rsidRPr="007C31E3">
        <w:rPr>
          <w:i/>
          <w:iCs/>
        </w:rPr>
        <w:t>PUC</w:t>
      </w:r>
      <w:r w:rsidR="00633EC3" w:rsidRPr="00D54EA5">
        <w:t>)</w:t>
      </w:r>
      <w:r w:rsidR="002C318A" w:rsidRPr="0086784A">
        <w:t xml:space="preserve"> (1988)</w:t>
      </w:r>
      <w:r w:rsidR="00633EC3" w:rsidRPr="0086784A">
        <w:t xml:space="preserve"> </w:t>
      </w:r>
      <w:r w:rsidR="00326DAB">
        <w:t>44 Cal.</w:t>
      </w:r>
      <w:r w:rsidR="00633EC3" w:rsidRPr="0086784A">
        <w:t>3d 870</w:t>
      </w:r>
      <w:r w:rsidR="003F31B5" w:rsidRPr="0086784A">
        <w:t>, 879</w:t>
      </w:r>
      <w:r w:rsidR="0098421F" w:rsidRPr="0086784A">
        <w:t>)</w:t>
      </w:r>
      <w:r w:rsidR="000840CB" w:rsidRPr="00406398">
        <w:t>.</w:t>
      </w:r>
    </w:p>
  </w:footnote>
  <w:footnote w:id="4">
    <w:p w14:paraId="69955ACD" w14:textId="4462786A" w:rsidR="003B4025" w:rsidRPr="00406398" w:rsidRDefault="003B4025" w:rsidP="003B4025">
      <w:pPr>
        <w:pStyle w:val="FootnoteText"/>
      </w:pPr>
      <w:r w:rsidRPr="00406398">
        <w:rPr>
          <w:rStyle w:val="FootnoteReference"/>
        </w:rPr>
        <w:footnoteRef/>
      </w:r>
      <w:r w:rsidRPr="00406398">
        <w:t xml:space="preserve"> </w:t>
      </w:r>
      <w:r w:rsidR="008838FD" w:rsidRPr="004378C7">
        <w:rPr>
          <w:i/>
          <w:iCs/>
        </w:rPr>
        <w:t>See</w:t>
      </w:r>
      <w:r w:rsidR="008838FD" w:rsidRPr="00406398">
        <w:t xml:space="preserve"> </w:t>
      </w:r>
      <w:r w:rsidR="008838FD" w:rsidRPr="00A81129">
        <w:rPr>
          <w:i/>
          <w:iCs/>
        </w:rPr>
        <w:t>TURN</w:t>
      </w:r>
      <w:r w:rsidR="00EA0147">
        <w:rPr>
          <w:i/>
          <w:iCs/>
        </w:rPr>
        <w:t xml:space="preserve"> v. </w:t>
      </w:r>
      <w:r w:rsidR="008838FD" w:rsidRPr="00A81129">
        <w:rPr>
          <w:i/>
          <w:iCs/>
        </w:rPr>
        <w:t>PUC</w:t>
      </w:r>
      <w:r w:rsidR="002C318A">
        <w:t xml:space="preserve"> </w:t>
      </w:r>
      <w:r w:rsidR="002C318A" w:rsidRPr="00406398">
        <w:t>(1988)</w:t>
      </w:r>
      <w:r w:rsidR="008838FD" w:rsidRPr="00406398">
        <w:t xml:space="preserve"> </w:t>
      </w:r>
      <w:r w:rsidR="00326DAB">
        <w:t>44 Cal.</w:t>
      </w:r>
      <w:r w:rsidR="008838FD" w:rsidRPr="00406398">
        <w:t>3d 870</w:t>
      </w:r>
      <w:r w:rsidR="0003414A">
        <w:t xml:space="preserve"> at</w:t>
      </w:r>
      <w:r w:rsidR="00A35C05" w:rsidRPr="00406398">
        <w:t xml:space="preserve"> 875 (</w:t>
      </w:r>
      <w:r w:rsidR="007D0C28">
        <w:t>c</w:t>
      </w:r>
      <w:r w:rsidR="00236833" w:rsidRPr="00A81129">
        <w:t>iting</w:t>
      </w:r>
      <w:r w:rsidR="00236833" w:rsidRPr="00406398">
        <w:t xml:space="preserve"> </w:t>
      </w:r>
      <w:r w:rsidR="00064CE9">
        <w:t>Public Utilities Code (</w:t>
      </w:r>
      <w:r w:rsidR="001A7420">
        <w:t>Pub. Util.</w:t>
      </w:r>
      <w:r w:rsidRPr="00406398">
        <w:t xml:space="preserve"> Code</w:t>
      </w:r>
      <w:r w:rsidR="00064CE9">
        <w:t>)</w:t>
      </w:r>
      <w:r w:rsidRPr="00406398">
        <w:t xml:space="preserve"> Section</w:t>
      </w:r>
      <w:r w:rsidR="00064CE9">
        <w:t>s</w:t>
      </w:r>
      <w:r w:rsidRPr="00406398">
        <w:t> 451</w:t>
      </w:r>
      <w:r w:rsidR="00064CE9">
        <w:t>,</w:t>
      </w:r>
      <w:r w:rsidRPr="00406398">
        <w:t xml:space="preserve"> </w:t>
      </w:r>
      <w:r w:rsidR="00A35C05" w:rsidRPr="00406398">
        <w:t>454</w:t>
      </w:r>
      <w:r w:rsidR="00AE1A9F" w:rsidRPr="00406398">
        <w:t>(a)</w:t>
      </w:r>
      <w:r w:rsidR="00064CE9">
        <w:t>,</w:t>
      </w:r>
      <w:r w:rsidR="00AE1A9F" w:rsidRPr="00406398">
        <w:t xml:space="preserve"> 463(a)</w:t>
      </w:r>
      <w:r w:rsidR="00236833" w:rsidRPr="00406398">
        <w:t>).</w:t>
      </w:r>
    </w:p>
  </w:footnote>
  <w:footnote w:id="5">
    <w:p w14:paraId="293B4405" w14:textId="5EE18CDB" w:rsidR="00BA5F3F" w:rsidRPr="00406398" w:rsidRDefault="00BA5F3F" w:rsidP="00BA5F3F">
      <w:pPr>
        <w:pStyle w:val="FootnoteText"/>
      </w:pPr>
      <w:r w:rsidRPr="00406398">
        <w:rPr>
          <w:rStyle w:val="FootnoteReference"/>
        </w:rPr>
        <w:footnoteRef/>
      </w:r>
      <w:r w:rsidRPr="00406398">
        <w:t xml:space="preserve"> Scoping Memo at 5.</w:t>
      </w:r>
    </w:p>
  </w:footnote>
  <w:footnote w:id="6">
    <w:p w14:paraId="21C9619C" w14:textId="2F1887A6" w:rsidR="003B4025" w:rsidRPr="00AA3858" w:rsidRDefault="003B4025" w:rsidP="003B4025">
      <w:pPr>
        <w:pStyle w:val="FootnoteText"/>
        <w:rPr>
          <w:highlight w:val="yellow"/>
        </w:rPr>
      </w:pPr>
      <w:r w:rsidRPr="00406398">
        <w:rPr>
          <w:rStyle w:val="FootnoteReference"/>
        </w:rPr>
        <w:footnoteRef/>
      </w:r>
      <w:r w:rsidRPr="00406398">
        <w:t xml:space="preserve"> </w:t>
      </w:r>
      <w:r w:rsidR="00406398" w:rsidRPr="00406398">
        <w:rPr>
          <w:i/>
          <w:iCs/>
        </w:rPr>
        <w:t>See</w:t>
      </w:r>
      <w:r w:rsidR="00EA0147">
        <w:rPr>
          <w:i/>
          <w:iCs/>
        </w:rPr>
        <w:t>,</w:t>
      </w:r>
      <w:r w:rsidR="00406398" w:rsidRPr="00406398">
        <w:rPr>
          <w:i/>
          <w:iCs/>
        </w:rPr>
        <w:t xml:space="preserve"> e.g.</w:t>
      </w:r>
      <w:r w:rsidR="00EA0147">
        <w:rPr>
          <w:i/>
          <w:iCs/>
        </w:rPr>
        <w:t>,</w:t>
      </w:r>
      <w:r w:rsidR="00406398">
        <w:t xml:space="preserve"> </w:t>
      </w:r>
      <w:r w:rsidRPr="00406398">
        <w:t>D.00</w:t>
      </w:r>
      <w:r w:rsidR="0004127A">
        <w:noBreakHyphen/>
      </w:r>
      <w:r w:rsidRPr="00406398">
        <w:t>02</w:t>
      </w:r>
      <w:r w:rsidR="0004127A">
        <w:noBreakHyphen/>
      </w:r>
      <w:r w:rsidRPr="00406398">
        <w:t>046</w:t>
      </w:r>
      <w:r w:rsidR="002A54F9">
        <w:t xml:space="preserve"> (</w:t>
      </w:r>
      <w:r w:rsidRPr="00406398">
        <w:t>2000 Cal. PUC LEXIS 239</w:t>
      </w:r>
      <w:r w:rsidR="00CE263A">
        <w:t xml:space="preserve"> at</w:t>
      </w:r>
      <w:r w:rsidR="00960A93" w:rsidRPr="00406398">
        <w:t xml:space="preserve"> 45</w:t>
      </w:r>
      <w:r w:rsidR="0004127A">
        <w:noBreakHyphen/>
      </w:r>
      <w:r w:rsidR="00960A93" w:rsidRPr="00406398">
        <w:t>60</w:t>
      </w:r>
      <w:r w:rsidR="002A54F9">
        <w:t>)</w:t>
      </w:r>
      <w:r w:rsidR="00D46E5D" w:rsidRPr="00406398">
        <w:t>.</w:t>
      </w:r>
    </w:p>
  </w:footnote>
  <w:footnote w:id="7">
    <w:p w14:paraId="2C00C567" w14:textId="298D659E" w:rsidR="001A2703" w:rsidRPr="00B61ED9" w:rsidRDefault="001A2703" w:rsidP="001A2703">
      <w:pPr>
        <w:pStyle w:val="FootnoteText"/>
      </w:pPr>
      <w:r w:rsidRPr="00B61ED9">
        <w:rPr>
          <w:rStyle w:val="FootnoteReference"/>
        </w:rPr>
        <w:footnoteRef/>
      </w:r>
      <w:r w:rsidRPr="00B61ED9">
        <w:t xml:space="preserve"> </w:t>
      </w:r>
      <w:r w:rsidRPr="00B61ED9">
        <w:rPr>
          <w:i/>
          <w:iCs/>
        </w:rPr>
        <w:t>TURN</w:t>
      </w:r>
      <w:r w:rsidR="00EA0147">
        <w:rPr>
          <w:i/>
          <w:iCs/>
        </w:rPr>
        <w:t xml:space="preserve"> v. </w:t>
      </w:r>
      <w:r w:rsidRPr="00B61ED9">
        <w:rPr>
          <w:i/>
          <w:iCs/>
        </w:rPr>
        <w:t>PUC</w:t>
      </w:r>
      <w:r w:rsidRPr="00B61ED9">
        <w:t xml:space="preserve"> (1988) </w:t>
      </w:r>
      <w:r w:rsidR="00326DAB">
        <w:t>44 Cal.</w:t>
      </w:r>
      <w:r w:rsidRPr="00B61ED9">
        <w:t>3d 870 at 878 (</w:t>
      </w:r>
      <w:r w:rsidR="00EA0147">
        <w:t>“</w:t>
      </w:r>
      <w:r w:rsidRPr="00B61ED9">
        <w:t>The commission</w:t>
      </w:r>
      <w:r w:rsidR="00EA0147">
        <w:t>’</w:t>
      </w:r>
      <w:r w:rsidRPr="00B61ED9">
        <w:t xml:space="preserve">s power to grant interim rate increases was recognized by this court in </w:t>
      </w:r>
      <w:r w:rsidRPr="00B61ED9">
        <w:rPr>
          <w:i/>
        </w:rPr>
        <w:t xml:space="preserve">City of </w:t>
      </w:r>
      <w:r w:rsidR="00262941">
        <w:rPr>
          <w:i/>
        </w:rPr>
        <w:t>Los </w:t>
      </w:r>
      <w:r w:rsidRPr="00B61ED9">
        <w:rPr>
          <w:i/>
        </w:rPr>
        <w:t>Angeles</w:t>
      </w:r>
      <w:r w:rsidR="00EA0147">
        <w:rPr>
          <w:i/>
        </w:rPr>
        <w:t xml:space="preserve"> v. </w:t>
      </w:r>
      <w:r w:rsidRPr="00B61ED9">
        <w:rPr>
          <w:i/>
        </w:rPr>
        <w:t>Public Utilities Commission</w:t>
      </w:r>
      <w:r w:rsidRPr="00B61ED9">
        <w:t xml:space="preserve"> (1972) </w:t>
      </w:r>
      <w:r w:rsidR="008E7EAE">
        <w:t>7 Cal.</w:t>
      </w:r>
      <w:r w:rsidRPr="00B61ED9">
        <w:t>3d 331.</w:t>
      </w:r>
      <w:r w:rsidR="00EA0147">
        <w:t>”</w:t>
      </w:r>
      <w:r w:rsidRPr="00B61ED9">
        <w:t>).</w:t>
      </w:r>
    </w:p>
  </w:footnote>
  <w:footnote w:id="8">
    <w:p w14:paraId="34A1C4D4" w14:textId="56231EEA" w:rsidR="001A2703" w:rsidRPr="00B61ED9" w:rsidRDefault="001A2703" w:rsidP="001A2703">
      <w:pPr>
        <w:pStyle w:val="FootnoteText"/>
      </w:pPr>
      <w:r w:rsidRPr="00B61ED9">
        <w:rPr>
          <w:rStyle w:val="FootnoteReference"/>
        </w:rPr>
        <w:footnoteRef/>
      </w:r>
      <w:r w:rsidRPr="00B61ED9">
        <w:t xml:space="preserve"> </w:t>
      </w:r>
      <w:r w:rsidR="008417D2" w:rsidRPr="00EC35B8">
        <w:rPr>
          <w:i/>
          <w:iCs/>
        </w:rPr>
        <w:t>TURN</w:t>
      </w:r>
      <w:r w:rsidR="00EA0147">
        <w:rPr>
          <w:i/>
          <w:iCs/>
        </w:rPr>
        <w:t xml:space="preserve"> v. </w:t>
      </w:r>
      <w:r w:rsidR="008417D2" w:rsidRPr="00EC35B8">
        <w:rPr>
          <w:i/>
          <w:iCs/>
        </w:rPr>
        <w:t>PUC</w:t>
      </w:r>
      <w:r w:rsidR="008417D2" w:rsidRPr="00B61ED9">
        <w:t xml:space="preserve"> (1988) </w:t>
      </w:r>
      <w:r w:rsidR="00326DAB">
        <w:t>44 Cal.</w:t>
      </w:r>
      <w:r w:rsidR="008417D2" w:rsidRPr="00B61ED9">
        <w:t>3d 870 at 878.</w:t>
      </w:r>
    </w:p>
  </w:footnote>
  <w:footnote w:id="9">
    <w:p w14:paraId="3D08CCA3" w14:textId="0B3D4D29" w:rsidR="001A2703" w:rsidRPr="00B61ED9" w:rsidRDefault="001A2703" w:rsidP="001A2703">
      <w:pPr>
        <w:pStyle w:val="FootnoteText"/>
      </w:pPr>
      <w:r w:rsidRPr="00B61ED9">
        <w:rPr>
          <w:rStyle w:val="FootnoteReference"/>
        </w:rPr>
        <w:footnoteRef/>
      </w:r>
      <w:r w:rsidRPr="00B61ED9">
        <w:t xml:space="preserve"> </w:t>
      </w:r>
      <w:r w:rsidR="008417D2" w:rsidRPr="00EC35B8">
        <w:rPr>
          <w:i/>
          <w:iCs/>
        </w:rPr>
        <w:t>TURN</w:t>
      </w:r>
      <w:r w:rsidR="00EA0147">
        <w:rPr>
          <w:i/>
          <w:iCs/>
        </w:rPr>
        <w:t xml:space="preserve"> v. </w:t>
      </w:r>
      <w:r w:rsidR="008417D2" w:rsidRPr="00EC35B8">
        <w:rPr>
          <w:i/>
          <w:iCs/>
        </w:rPr>
        <w:t>PUC</w:t>
      </w:r>
      <w:r w:rsidR="008417D2" w:rsidRPr="003D1203">
        <w:t xml:space="preserve"> (1988)</w:t>
      </w:r>
      <w:r w:rsidR="008417D2" w:rsidRPr="00B61ED9">
        <w:rPr>
          <w:i/>
          <w:iCs/>
        </w:rPr>
        <w:t xml:space="preserve"> </w:t>
      </w:r>
      <w:r w:rsidR="00326DAB">
        <w:t>44 Cal.</w:t>
      </w:r>
      <w:r w:rsidR="008417D2" w:rsidRPr="00B61ED9">
        <w:t>3d 870 at 87</w:t>
      </w:r>
      <w:r w:rsidR="00AA4AB0">
        <w:t>9</w:t>
      </w:r>
      <w:r w:rsidR="008417D2" w:rsidRPr="00B61ED9">
        <w:rPr>
          <w:i/>
          <w:iCs/>
        </w:rPr>
        <w:t>.</w:t>
      </w:r>
    </w:p>
  </w:footnote>
  <w:footnote w:id="10">
    <w:p w14:paraId="777BD21C" w14:textId="5C8739B2" w:rsidR="00F96579" w:rsidRDefault="00F96579" w:rsidP="00F96579">
      <w:pPr>
        <w:pStyle w:val="FootnoteText"/>
      </w:pPr>
      <w:r>
        <w:rPr>
          <w:rStyle w:val="FootnoteReference"/>
        </w:rPr>
        <w:footnoteRef/>
      </w:r>
      <w:r>
        <w:t xml:space="preserve"> </w:t>
      </w:r>
      <w:r w:rsidRPr="000C4D72">
        <w:rPr>
          <w:i/>
          <w:iCs/>
        </w:rPr>
        <w:t>See</w:t>
      </w:r>
      <w:r>
        <w:t xml:space="preserve"> </w:t>
      </w:r>
      <w:r w:rsidRPr="00EC35B8">
        <w:rPr>
          <w:i/>
          <w:iCs/>
        </w:rPr>
        <w:t>TURN</w:t>
      </w:r>
      <w:r>
        <w:rPr>
          <w:i/>
          <w:iCs/>
        </w:rPr>
        <w:t xml:space="preserve"> v. </w:t>
      </w:r>
      <w:r w:rsidRPr="00EC35B8">
        <w:rPr>
          <w:i/>
          <w:iCs/>
        </w:rPr>
        <w:t>PUC</w:t>
      </w:r>
      <w:r w:rsidRPr="00B61ED9">
        <w:t xml:space="preserve"> (1988) </w:t>
      </w:r>
      <w:r>
        <w:t>44 Cal.</w:t>
      </w:r>
      <w:r w:rsidRPr="00B61ED9">
        <w:t xml:space="preserve">3d 870 at </w:t>
      </w:r>
      <w:r>
        <w:t xml:space="preserve">872, </w:t>
      </w:r>
      <w:r w:rsidRPr="00B61ED9">
        <w:t>878</w:t>
      </w:r>
      <w:r w:rsidR="0004127A">
        <w:noBreakHyphen/>
      </w:r>
      <w:r>
        <w:t>880</w:t>
      </w:r>
      <w:r w:rsidRPr="00B61ED9">
        <w:t>.</w:t>
      </w:r>
    </w:p>
  </w:footnote>
  <w:footnote w:id="11">
    <w:p w14:paraId="159F57F8" w14:textId="439DBD0D" w:rsidR="001A2703" w:rsidRPr="00AA3858" w:rsidRDefault="001A2703" w:rsidP="001A2703">
      <w:pPr>
        <w:pStyle w:val="FootnoteText"/>
        <w:rPr>
          <w:highlight w:val="yellow"/>
        </w:rPr>
      </w:pPr>
      <w:r w:rsidRPr="00B61ED9">
        <w:rPr>
          <w:rStyle w:val="FootnoteReference"/>
        </w:rPr>
        <w:footnoteRef/>
      </w:r>
      <w:r w:rsidRPr="00B61ED9">
        <w:t xml:space="preserve"> </w:t>
      </w:r>
      <w:r w:rsidRPr="00B61ED9">
        <w:rPr>
          <w:rFonts w:eastAsia="MS ??"/>
        </w:rPr>
        <w:t>D.02</w:t>
      </w:r>
      <w:r w:rsidR="0004127A">
        <w:rPr>
          <w:rFonts w:eastAsia="MS ??"/>
        </w:rPr>
        <w:noBreakHyphen/>
      </w:r>
      <w:r w:rsidRPr="00B61ED9">
        <w:rPr>
          <w:rFonts w:eastAsia="MS ??"/>
        </w:rPr>
        <w:t>07</w:t>
      </w:r>
      <w:r w:rsidR="0004127A">
        <w:rPr>
          <w:rFonts w:eastAsia="MS ??"/>
        </w:rPr>
        <w:noBreakHyphen/>
      </w:r>
      <w:r w:rsidRPr="00B61ED9">
        <w:rPr>
          <w:rFonts w:eastAsia="MS ??"/>
        </w:rPr>
        <w:t>031 at 13</w:t>
      </w:r>
      <w:r w:rsidR="0004127A">
        <w:rPr>
          <w:rFonts w:eastAsia="MS ??"/>
        </w:rPr>
        <w:noBreakHyphen/>
      </w:r>
      <w:r w:rsidRPr="00B61ED9">
        <w:rPr>
          <w:rFonts w:eastAsia="MS ??"/>
        </w:rPr>
        <w:t>14; D.20</w:t>
      </w:r>
      <w:r w:rsidR="0004127A">
        <w:rPr>
          <w:rFonts w:eastAsia="MS ??"/>
        </w:rPr>
        <w:noBreakHyphen/>
      </w:r>
      <w:r w:rsidRPr="00B61ED9">
        <w:rPr>
          <w:rFonts w:eastAsia="MS ??"/>
        </w:rPr>
        <w:t>10</w:t>
      </w:r>
      <w:r w:rsidR="0004127A">
        <w:rPr>
          <w:rFonts w:eastAsia="MS ??"/>
        </w:rPr>
        <w:noBreakHyphen/>
      </w:r>
      <w:r w:rsidRPr="00B61ED9">
        <w:rPr>
          <w:rFonts w:eastAsia="MS ??"/>
        </w:rPr>
        <w:t>0</w:t>
      </w:r>
      <w:r w:rsidR="006256AE">
        <w:rPr>
          <w:rFonts w:eastAsia="MS ??"/>
        </w:rPr>
        <w:t>2</w:t>
      </w:r>
      <w:r w:rsidRPr="00B61ED9">
        <w:rPr>
          <w:rFonts w:eastAsia="MS ??"/>
        </w:rPr>
        <w:t xml:space="preserve">6 at </w:t>
      </w:r>
      <w:r w:rsidR="007D5B55">
        <w:rPr>
          <w:rFonts w:eastAsia="MS ??"/>
        </w:rPr>
        <w:t>26</w:t>
      </w:r>
      <w:r w:rsidR="0004127A">
        <w:rPr>
          <w:rFonts w:eastAsia="MS ??"/>
        </w:rPr>
        <w:noBreakHyphen/>
      </w:r>
      <w:r w:rsidR="007D5B55">
        <w:rPr>
          <w:rFonts w:eastAsia="MS ??"/>
        </w:rPr>
        <w:t>27</w:t>
      </w:r>
      <w:r w:rsidRPr="00B61ED9">
        <w:rPr>
          <w:rFonts w:eastAsia="MS ??"/>
        </w:rPr>
        <w:t>.</w:t>
      </w:r>
    </w:p>
  </w:footnote>
  <w:footnote w:id="12">
    <w:p w14:paraId="1CFE74E7" w14:textId="6BF139EF" w:rsidR="001A2703" w:rsidRPr="006C2042" w:rsidRDefault="001A2703" w:rsidP="001A2703">
      <w:pPr>
        <w:pStyle w:val="FootnoteText"/>
      </w:pPr>
      <w:r w:rsidRPr="006C2042">
        <w:rPr>
          <w:rStyle w:val="FootnoteReference"/>
        </w:rPr>
        <w:footnoteRef/>
      </w:r>
      <w:r w:rsidRPr="006C2042">
        <w:t xml:space="preserve"> </w:t>
      </w:r>
      <w:r w:rsidRPr="006C2042">
        <w:rPr>
          <w:szCs w:val="22"/>
        </w:rPr>
        <w:t>ALJs</w:t>
      </w:r>
      <w:r w:rsidR="00EA0147">
        <w:rPr>
          <w:szCs w:val="22"/>
        </w:rPr>
        <w:t>’</w:t>
      </w:r>
      <w:r w:rsidRPr="006C2042">
        <w:rPr>
          <w:szCs w:val="22"/>
        </w:rPr>
        <w:t xml:space="preserve"> Ruling Denying Southern California Edison Company</w:t>
      </w:r>
      <w:r w:rsidR="00EA0147">
        <w:rPr>
          <w:szCs w:val="22"/>
        </w:rPr>
        <w:t>’</w:t>
      </w:r>
      <w:r w:rsidRPr="006C2042">
        <w:rPr>
          <w:szCs w:val="22"/>
        </w:rPr>
        <w:t>s Motion for Interim Rate Recovery</w:t>
      </w:r>
      <w:r w:rsidRPr="006C2042">
        <w:rPr>
          <w:i/>
          <w:iCs/>
          <w:szCs w:val="22"/>
        </w:rPr>
        <w:t xml:space="preserve"> </w:t>
      </w:r>
      <w:r w:rsidRPr="006C2042">
        <w:rPr>
          <w:szCs w:val="22"/>
        </w:rPr>
        <w:t xml:space="preserve">issued </w:t>
      </w:r>
      <w:r w:rsidR="00EA0147">
        <w:rPr>
          <w:szCs w:val="22"/>
        </w:rPr>
        <w:t>May </w:t>
      </w:r>
      <w:r w:rsidRPr="006C2042">
        <w:rPr>
          <w:szCs w:val="22"/>
        </w:rPr>
        <w:t xml:space="preserve">22, 2020, in </w:t>
      </w:r>
      <w:r w:rsidRPr="006C2042">
        <w:t>A.19</w:t>
      </w:r>
      <w:r w:rsidR="0004127A">
        <w:noBreakHyphen/>
      </w:r>
      <w:r w:rsidRPr="006C2042">
        <w:t>08</w:t>
      </w:r>
      <w:r w:rsidR="0004127A">
        <w:noBreakHyphen/>
      </w:r>
      <w:r w:rsidRPr="006C2042">
        <w:t xml:space="preserve">013 at </w:t>
      </w:r>
      <w:r w:rsidR="00833A70" w:rsidRPr="006C2042">
        <w:t xml:space="preserve">1, </w:t>
      </w:r>
      <w:r w:rsidRPr="006C2042">
        <w:t>9</w:t>
      </w:r>
      <w:r w:rsidR="0004127A">
        <w:noBreakHyphen/>
      </w:r>
      <w:r w:rsidR="00833A70" w:rsidRPr="006C2042">
        <w:t>10</w:t>
      </w:r>
      <w:r w:rsidRPr="006C2042">
        <w:t>.</w:t>
      </w:r>
    </w:p>
  </w:footnote>
  <w:footnote w:id="13">
    <w:p w14:paraId="68D7710C" w14:textId="24534892" w:rsidR="001A2703" w:rsidRDefault="001A2703" w:rsidP="001A2703">
      <w:pPr>
        <w:pStyle w:val="FootnoteText"/>
      </w:pPr>
      <w:r w:rsidRPr="00E441A0">
        <w:rPr>
          <w:rStyle w:val="FootnoteReference"/>
        </w:rPr>
        <w:footnoteRef/>
      </w:r>
      <w:r w:rsidRPr="00E441A0">
        <w:t xml:space="preserve"> </w:t>
      </w:r>
      <w:r w:rsidRPr="00E441A0">
        <w:rPr>
          <w:rFonts w:eastAsia="MS ??"/>
        </w:rPr>
        <w:t>D.16</w:t>
      </w:r>
      <w:r w:rsidR="0004127A">
        <w:rPr>
          <w:rFonts w:eastAsia="MS ??"/>
        </w:rPr>
        <w:noBreakHyphen/>
      </w:r>
      <w:r w:rsidRPr="00E441A0">
        <w:rPr>
          <w:rFonts w:eastAsia="MS ??"/>
        </w:rPr>
        <w:t>08</w:t>
      </w:r>
      <w:r w:rsidR="0004127A">
        <w:rPr>
          <w:rFonts w:eastAsia="MS ??"/>
        </w:rPr>
        <w:noBreakHyphen/>
      </w:r>
      <w:r w:rsidRPr="00E441A0">
        <w:rPr>
          <w:rFonts w:eastAsia="MS ??"/>
        </w:rPr>
        <w:t>003 at 9.</w:t>
      </w:r>
    </w:p>
  </w:footnote>
  <w:footnote w:id="14">
    <w:p w14:paraId="2C18BCDE" w14:textId="6F12965C" w:rsidR="001A2703" w:rsidRDefault="001A2703" w:rsidP="001A2703">
      <w:pPr>
        <w:pStyle w:val="FootnoteText"/>
      </w:pPr>
      <w:r>
        <w:rPr>
          <w:rStyle w:val="FootnoteReference"/>
        </w:rPr>
        <w:footnoteRef/>
      </w:r>
      <w:r>
        <w:t xml:space="preserve"> D.23</w:t>
      </w:r>
      <w:r w:rsidR="0004127A">
        <w:noBreakHyphen/>
      </w:r>
      <w:r>
        <w:t>06</w:t>
      </w:r>
      <w:r w:rsidR="0004127A">
        <w:noBreakHyphen/>
      </w:r>
      <w:r>
        <w:t>004 at 10.</w:t>
      </w:r>
    </w:p>
  </w:footnote>
  <w:footnote w:id="15">
    <w:p w14:paraId="4C124C84" w14:textId="68CB1853" w:rsidR="001A2703" w:rsidRDefault="001A2703" w:rsidP="001A2703">
      <w:pPr>
        <w:pStyle w:val="FootnoteText"/>
      </w:pPr>
      <w:r>
        <w:rPr>
          <w:rStyle w:val="FootnoteReference"/>
        </w:rPr>
        <w:footnoteRef/>
      </w:r>
      <w:r>
        <w:t xml:space="preserve"> D.22</w:t>
      </w:r>
      <w:r w:rsidR="0004127A">
        <w:noBreakHyphen/>
      </w:r>
      <w:r>
        <w:t>05</w:t>
      </w:r>
      <w:r w:rsidR="0004127A">
        <w:noBreakHyphen/>
      </w:r>
      <w:r>
        <w:t>001 at 16</w:t>
      </w:r>
      <w:r w:rsidR="0091595A">
        <w:t>.</w:t>
      </w:r>
    </w:p>
  </w:footnote>
  <w:footnote w:id="16">
    <w:p w14:paraId="750E42CF" w14:textId="1CDEB590" w:rsidR="001A2703" w:rsidRDefault="001A2703" w:rsidP="001A2703">
      <w:pPr>
        <w:pStyle w:val="FootnoteText"/>
      </w:pPr>
      <w:r>
        <w:rPr>
          <w:rStyle w:val="FootnoteReference"/>
        </w:rPr>
        <w:footnoteRef/>
      </w:r>
      <w:r>
        <w:t xml:space="preserve"> </w:t>
      </w:r>
      <w:r w:rsidR="00787792">
        <w:rPr>
          <w:rFonts w:eastAsia="MS ??"/>
        </w:rPr>
        <w:t>D.20</w:t>
      </w:r>
      <w:r w:rsidR="0004127A">
        <w:rPr>
          <w:rFonts w:eastAsia="MS ??"/>
        </w:rPr>
        <w:noBreakHyphen/>
      </w:r>
      <w:r w:rsidR="00787792">
        <w:rPr>
          <w:rFonts w:eastAsia="MS ??"/>
        </w:rPr>
        <w:t>10</w:t>
      </w:r>
      <w:r w:rsidR="0004127A">
        <w:rPr>
          <w:rFonts w:eastAsia="MS ??"/>
        </w:rPr>
        <w:noBreakHyphen/>
      </w:r>
      <w:r w:rsidR="00787792">
        <w:rPr>
          <w:rFonts w:eastAsia="MS ??"/>
        </w:rPr>
        <w:t>0</w:t>
      </w:r>
      <w:r w:rsidR="00A25C99">
        <w:rPr>
          <w:rFonts w:eastAsia="MS ??"/>
        </w:rPr>
        <w:t>2</w:t>
      </w:r>
      <w:r w:rsidR="00787792">
        <w:rPr>
          <w:rFonts w:eastAsia="MS ??"/>
        </w:rPr>
        <w:t>6 at 2</w:t>
      </w:r>
      <w:r w:rsidR="00A25C99">
        <w:rPr>
          <w:rFonts w:eastAsia="MS ??"/>
        </w:rPr>
        <w:t>4, 26</w:t>
      </w:r>
      <w:r w:rsidR="0004127A">
        <w:rPr>
          <w:rFonts w:eastAsia="MS ??"/>
        </w:rPr>
        <w:noBreakHyphen/>
      </w:r>
      <w:r w:rsidR="007A5C23">
        <w:rPr>
          <w:rFonts w:eastAsia="MS ??"/>
        </w:rPr>
        <w:t>2</w:t>
      </w:r>
      <w:r w:rsidR="00A25C99">
        <w:rPr>
          <w:rFonts w:eastAsia="MS ??"/>
        </w:rPr>
        <w:t>7</w:t>
      </w:r>
      <w:r w:rsidR="001A7910">
        <w:rPr>
          <w:rFonts w:eastAsia="MS ??"/>
        </w:rPr>
        <w:t xml:space="preserve">; </w:t>
      </w:r>
      <w:r w:rsidR="00A25C99" w:rsidRPr="00534EBF">
        <w:rPr>
          <w:rFonts w:eastAsia="MS ??"/>
        </w:rPr>
        <w:t>D.88</w:t>
      </w:r>
      <w:r w:rsidR="0004127A">
        <w:rPr>
          <w:rFonts w:eastAsia="MS ??"/>
        </w:rPr>
        <w:noBreakHyphen/>
      </w:r>
      <w:r w:rsidR="00A25C99" w:rsidRPr="00534EBF">
        <w:rPr>
          <w:rFonts w:eastAsia="MS ??"/>
        </w:rPr>
        <w:t>05</w:t>
      </w:r>
      <w:r w:rsidR="0004127A">
        <w:rPr>
          <w:rFonts w:eastAsia="MS ??"/>
        </w:rPr>
        <w:noBreakHyphen/>
      </w:r>
      <w:r w:rsidR="00A25C99" w:rsidRPr="00534EBF">
        <w:rPr>
          <w:rFonts w:eastAsia="MS ??"/>
        </w:rPr>
        <w:t>074</w:t>
      </w:r>
      <w:r w:rsidR="00A25C99">
        <w:rPr>
          <w:rFonts w:eastAsia="MS ??"/>
        </w:rPr>
        <w:t xml:space="preserve"> </w:t>
      </w:r>
      <w:r w:rsidR="00A25C99" w:rsidRPr="00534EBF">
        <w:rPr>
          <w:rFonts w:eastAsia="MS ??"/>
        </w:rPr>
        <w:t>at 1</w:t>
      </w:r>
      <w:r w:rsidR="001A7910">
        <w:rPr>
          <w:rFonts w:eastAsia="MS ??"/>
        </w:rPr>
        <w:t>9</w:t>
      </w:r>
      <w:r w:rsidR="00457688">
        <w:rPr>
          <w:rFonts w:eastAsia="MS ??"/>
        </w:rPr>
        <w:t xml:space="preserve"> </w:t>
      </w:r>
      <w:r w:rsidR="002A54F9">
        <w:rPr>
          <w:rFonts w:eastAsia="MS ??"/>
        </w:rPr>
        <w:t>(</w:t>
      </w:r>
      <w:r w:rsidR="00457688">
        <w:rPr>
          <w:rFonts w:eastAsia="MS ??"/>
        </w:rPr>
        <w:t>1</w:t>
      </w:r>
      <w:r w:rsidR="00457688" w:rsidRPr="00457688">
        <w:rPr>
          <w:rFonts w:eastAsia="MS ??"/>
        </w:rPr>
        <w:t>988 Cal. PUC LEXIS 503</w:t>
      </w:r>
      <w:r w:rsidR="002A54F9">
        <w:rPr>
          <w:rFonts w:eastAsia="MS ??"/>
        </w:rPr>
        <w:t xml:space="preserve"> at</w:t>
      </w:r>
      <w:r w:rsidR="00457688" w:rsidRPr="00457688">
        <w:rPr>
          <w:rFonts w:eastAsia="MS ??"/>
        </w:rPr>
        <w:t xml:space="preserve"> </w:t>
      </w:r>
      <w:r w:rsidR="00457688">
        <w:rPr>
          <w:rFonts w:eastAsia="MS ??"/>
        </w:rPr>
        <w:t>29</w:t>
      </w:r>
      <w:r w:rsidR="0004127A">
        <w:rPr>
          <w:rFonts w:eastAsia="MS ??"/>
        </w:rPr>
        <w:noBreakHyphen/>
      </w:r>
      <w:r w:rsidR="00457688" w:rsidRPr="00457688">
        <w:rPr>
          <w:rFonts w:eastAsia="MS ??"/>
        </w:rPr>
        <w:t>30</w:t>
      </w:r>
      <w:r w:rsidR="002A54F9">
        <w:rPr>
          <w:rFonts w:eastAsia="MS ??"/>
        </w:rPr>
        <w:t>)</w:t>
      </w:r>
      <w:r w:rsidR="007A5C23">
        <w:rPr>
          <w:rFonts w:eastAsia="MS ??"/>
        </w:rPr>
        <w:t>.</w:t>
      </w:r>
    </w:p>
  </w:footnote>
  <w:footnote w:id="17">
    <w:p w14:paraId="3F25FDC1" w14:textId="35B4CCBB" w:rsidR="001A2703" w:rsidRDefault="001A2703" w:rsidP="001A2703">
      <w:pPr>
        <w:pStyle w:val="FootnoteText"/>
      </w:pPr>
      <w:r>
        <w:rPr>
          <w:rStyle w:val="FootnoteReference"/>
        </w:rPr>
        <w:footnoteRef/>
      </w:r>
      <w:r>
        <w:t xml:space="preserve"> </w:t>
      </w:r>
      <w:r w:rsidR="007A5C23">
        <w:rPr>
          <w:rFonts w:eastAsia="MS ??"/>
        </w:rPr>
        <w:t>D.20</w:t>
      </w:r>
      <w:r w:rsidR="0004127A">
        <w:rPr>
          <w:rFonts w:eastAsia="MS ??"/>
        </w:rPr>
        <w:noBreakHyphen/>
      </w:r>
      <w:r w:rsidR="007A5C23">
        <w:rPr>
          <w:rFonts w:eastAsia="MS ??"/>
        </w:rPr>
        <w:t>10</w:t>
      </w:r>
      <w:r w:rsidR="0004127A">
        <w:rPr>
          <w:rFonts w:eastAsia="MS ??"/>
        </w:rPr>
        <w:noBreakHyphen/>
      </w:r>
      <w:r w:rsidR="007A5C23">
        <w:rPr>
          <w:rFonts w:eastAsia="MS ??"/>
        </w:rPr>
        <w:t>026 at 24, 26</w:t>
      </w:r>
      <w:r w:rsidR="0004127A">
        <w:rPr>
          <w:rFonts w:eastAsia="MS ??"/>
        </w:rPr>
        <w:noBreakHyphen/>
      </w:r>
      <w:r w:rsidR="007A5C23">
        <w:rPr>
          <w:rFonts w:eastAsia="MS ??"/>
        </w:rPr>
        <w:t>27</w:t>
      </w:r>
      <w:r w:rsidR="001A7910">
        <w:rPr>
          <w:rFonts w:eastAsia="MS ??"/>
        </w:rPr>
        <w:t>;</w:t>
      </w:r>
      <w:r w:rsidR="007A5C23">
        <w:rPr>
          <w:rFonts w:eastAsia="MS ??"/>
        </w:rPr>
        <w:t xml:space="preserve"> </w:t>
      </w:r>
      <w:r w:rsidR="007A5C23" w:rsidRPr="00534EBF">
        <w:rPr>
          <w:rFonts w:eastAsia="MS ??"/>
        </w:rPr>
        <w:t>D.88</w:t>
      </w:r>
      <w:r w:rsidR="0004127A">
        <w:rPr>
          <w:rFonts w:eastAsia="MS ??"/>
        </w:rPr>
        <w:noBreakHyphen/>
      </w:r>
      <w:r w:rsidR="007A5C23" w:rsidRPr="00534EBF">
        <w:rPr>
          <w:rFonts w:eastAsia="MS ??"/>
        </w:rPr>
        <w:t>05</w:t>
      </w:r>
      <w:r w:rsidR="0004127A">
        <w:rPr>
          <w:rFonts w:eastAsia="MS ??"/>
        </w:rPr>
        <w:noBreakHyphen/>
      </w:r>
      <w:r w:rsidR="007A5C23" w:rsidRPr="00534EBF">
        <w:rPr>
          <w:rFonts w:eastAsia="MS ??"/>
        </w:rPr>
        <w:t>074</w:t>
      </w:r>
      <w:r w:rsidR="007A5C23">
        <w:rPr>
          <w:rFonts w:eastAsia="MS ??"/>
        </w:rPr>
        <w:t xml:space="preserve"> </w:t>
      </w:r>
      <w:r w:rsidR="007A5C23" w:rsidRPr="00534EBF">
        <w:rPr>
          <w:rFonts w:eastAsia="MS ??"/>
        </w:rPr>
        <w:t>at 1</w:t>
      </w:r>
      <w:r w:rsidR="001A7910">
        <w:rPr>
          <w:rFonts w:eastAsia="MS ??"/>
        </w:rPr>
        <w:t>9</w:t>
      </w:r>
      <w:r w:rsidR="002A54F9">
        <w:rPr>
          <w:rFonts w:eastAsia="MS ??"/>
        </w:rPr>
        <w:t xml:space="preserve"> (</w:t>
      </w:r>
      <w:r w:rsidR="00457688">
        <w:rPr>
          <w:rFonts w:eastAsia="MS ??"/>
        </w:rPr>
        <w:t>1</w:t>
      </w:r>
      <w:r w:rsidR="00457688" w:rsidRPr="00457688">
        <w:rPr>
          <w:rFonts w:eastAsia="MS ??"/>
        </w:rPr>
        <w:t>988 Cal. PUC LEXIS 503</w:t>
      </w:r>
      <w:r w:rsidR="002A54F9">
        <w:rPr>
          <w:rFonts w:eastAsia="MS ??"/>
        </w:rPr>
        <w:t xml:space="preserve"> at</w:t>
      </w:r>
      <w:r w:rsidR="00457688" w:rsidRPr="00457688">
        <w:rPr>
          <w:rFonts w:eastAsia="MS ??"/>
        </w:rPr>
        <w:t xml:space="preserve"> </w:t>
      </w:r>
      <w:r w:rsidR="00457688">
        <w:rPr>
          <w:rFonts w:eastAsia="MS ??"/>
        </w:rPr>
        <w:t>29</w:t>
      </w:r>
      <w:r w:rsidR="0004127A">
        <w:rPr>
          <w:rFonts w:eastAsia="MS ??"/>
        </w:rPr>
        <w:noBreakHyphen/>
      </w:r>
      <w:r w:rsidR="00457688" w:rsidRPr="00457688">
        <w:rPr>
          <w:rFonts w:eastAsia="MS ??"/>
        </w:rPr>
        <w:t>30</w:t>
      </w:r>
      <w:r w:rsidR="002A54F9">
        <w:rPr>
          <w:rFonts w:eastAsia="MS ??"/>
        </w:rPr>
        <w:t>)</w:t>
      </w:r>
      <w:r w:rsidR="007A5C23">
        <w:rPr>
          <w:rFonts w:eastAsia="MS ??"/>
        </w:rPr>
        <w:t>.</w:t>
      </w:r>
    </w:p>
  </w:footnote>
  <w:footnote w:id="18">
    <w:p w14:paraId="44C5244F" w14:textId="662BB43B" w:rsidR="00A30958" w:rsidRDefault="00A30958" w:rsidP="00A30958">
      <w:pPr>
        <w:pStyle w:val="FootnoteText"/>
      </w:pPr>
      <w:r>
        <w:rPr>
          <w:rStyle w:val="FootnoteReference"/>
        </w:rPr>
        <w:footnoteRef/>
      </w:r>
      <w:r>
        <w:t xml:space="preserve"> </w:t>
      </w:r>
      <w:r w:rsidRPr="003919DE">
        <w:t>D.20</w:t>
      </w:r>
      <w:r w:rsidR="0004127A">
        <w:noBreakHyphen/>
      </w:r>
      <w:r w:rsidRPr="003919DE">
        <w:t>10</w:t>
      </w:r>
      <w:r w:rsidR="0004127A">
        <w:noBreakHyphen/>
      </w:r>
      <w:r w:rsidRPr="003919DE">
        <w:t>026</w:t>
      </w:r>
      <w:r w:rsidR="00DB102A">
        <w:t xml:space="preserve"> at </w:t>
      </w:r>
      <w:r w:rsidRPr="003919DE">
        <w:t>23</w:t>
      </w:r>
      <w:r w:rsidR="00F40A46">
        <w:t xml:space="preserve"> </w:t>
      </w:r>
      <w:r w:rsidR="00E904DE">
        <w:t>(</w:t>
      </w:r>
      <w:r w:rsidR="0003414A">
        <w:t>c</w:t>
      </w:r>
      <w:r w:rsidRPr="00EC35B8">
        <w:t>iting</w:t>
      </w:r>
      <w:r w:rsidRPr="003919DE">
        <w:t xml:space="preserve"> D.02</w:t>
      </w:r>
      <w:r w:rsidR="0004127A">
        <w:noBreakHyphen/>
      </w:r>
      <w:r w:rsidRPr="003919DE">
        <w:t>07</w:t>
      </w:r>
      <w:r w:rsidR="0004127A">
        <w:noBreakHyphen/>
      </w:r>
      <w:r w:rsidRPr="003919DE">
        <w:t>031</w:t>
      </w:r>
      <w:r w:rsidR="00E904DE">
        <w:t xml:space="preserve"> </w:t>
      </w:r>
      <w:r w:rsidRPr="003919DE">
        <w:t>at 12</w:t>
      </w:r>
      <w:r w:rsidR="0004127A">
        <w:noBreakHyphen/>
      </w:r>
      <w:r w:rsidRPr="003919DE">
        <w:t>13</w:t>
      </w:r>
      <w:r w:rsidR="00E904DE">
        <w:t>)</w:t>
      </w:r>
      <w:r>
        <w:t>.</w:t>
      </w:r>
    </w:p>
  </w:footnote>
  <w:footnote w:id="19">
    <w:p w14:paraId="5A0ED5FF" w14:textId="234FA1F7" w:rsidR="00A30958" w:rsidRDefault="00A30958" w:rsidP="00A30958">
      <w:pPr>
        <w:pStyle w:val="FootnoteText"/>
      </w:pPr>
      <w:r>
        <w:rPr>
          <w:rStyle w:val="FootnoteReference"/>
        </w:rPr>
        <w:footnoteRef/>
      </w:r>
      <w:r>
        <w:t xml:space="preserve"> </w:t>
      </w:r>
      <w:r w:rsidR="00687BAB" w:rsidRPr="00687BAB">
        <w:rPr>
          <w:i/>
          <w:iCs/>
        </w:rPr>
        <w:t>See</w:t>
      </w:r>
      <w:r w:rsidR="00687BAB">
        <w:t xml:space="preserve"> </w:t>
      </w:r>
      <w:r w:rsidRPr="003919DE">
        <w:t>D.24</w:t>
      </w:r>
      <w:r w:rsidR="0004127A">
        <w:noBreakHyphen/>
      </w:r>
      <w:r w:rsidRPr="003919DE">
        <w:t>0</w:t>
      </w:r>
      <w:r>
        <w:t>9</w:t>
      </w:r>
      <w:r w:rsidR="0004127A">
        <w:noBreakHyphen/>
      </w:r>
      <w:r w:rsidRPr="003919DE">
        <w:t>00</w:t>
      </w:r>
      <w:r>
        <w:t>3;</w:t>
      </w:r>
      <w:r w:rsidRPr="003919DE">
        <w:t xml:space="preserve"> D.24</w:t>
      </w:r>
      <w:r w:rsidR="0004127A">
        <w:noBreakHyphen/>
      </w:r>
      <w:r w:rsidRPr="003919DE">
        <w:t>02</w:t>
      </w:r>
      <w:r w:rsidR="0004127A">
        <w:noBreakHyphen/>
      </w:r>
      <w:r w:rsidRPr="003919DE">
        <w:t>010; D.24</w:t>
      </w:r>
      <w:r w:rsidR="0004127A">
        <w:noBreakHyphen/>
      </w:r>
      <w:r w:rsidRPr="003919DE">
        <w:t>03</w:t>
      </w:r>
      <w:r w:rsidR="0004127A">
        <w:noBreakHyphen/>
      </w:r>
      <w:r w:rsidRPr="003919DE">
        <w:t>006</w:t>
      </w:r>
      <w:r>
        <w:t>;</w:t>
      </w:r>
      <w:r w:rsidRPr="003919DE">
        <w:t xml:space="preserve"> D.23</w:t>
      </w:r>
      <w:r w:rsidR="0004127A">
        <w:noBreakHyphen/>
      </w:r>
      <w:r w:rsidRPr="003919DE">
        <w:t>06</w:t>
      </w:r>
      <w:r w:rsidR="0004127A">
        <w:noBreakHyphen/>
      </w:r>
      <w:r w:rsidRPr="003919DE">
        <w:t>004; D.20</w:t>
      </w:r>
      <w:r w:rsidR="0004127A">
        <w:noBreakHyphen/>
      </w:r>
      <w:r w:rsidRPr="003919DE">
        <w:t>10</w:t>
      </w:r>
      <w:r w:rsidR="0004127A">
        <w:noBreakHyphen/>
      </w:r>
      <w:r w:rsidRPr="003919DE">
        <w:t>026</w:t>
      </w:r>
      <w:r>
        <w:t>;</w:t>
      </w:r>
      <w:r w:rsidRPr="003919DE">
        <w:t xml:space="preserve"> D.19</w:t>
      </w:r>
      <w:r w:rsidR="0004127A">
        <w:noBreakHyphen/>
      </w:r>
      <w:r w:rsidRPr="003919DE">
        <w:t>04</w:t>
      </w:r>
      <w:r w:rsidR="0004127A">
        <w:noBreakHyphen/>
      </w:r>
      <w:r w:rsidRPr="003919DE">
        <w:t>039; D.16</w:t>
      </w:r>
      <w:r w:rsidR="0004127A">
        <w:noBreakHyphen/>
      </w:r>
      <w:r w:rsidRPr="003919DE">
        <w:t>08</w:t>
      </w:r>
      <w:r w:rsidR="0004127A">
        <w:noBreakHyphen/>
      </w:r>
      <w:r w:rsidRPr="003919DE">
        <w:t>003; D.02</w:t>
      </w:r>
      <w:r w:rsidR="0004127A">
        <w:noBreakHyphen/>
      </w:r>
      <w:r w:rsidRPr="003919DE">
        <w:t>07</w:t>
      </w:r>
      <w:r w:rsidR="0004127A">
        <w:noBreakHyphen/>
      </w:r>
      <w:r w:rsidRPr="003919DE">
        <w:t>031; D.88</w:t>
      </w:r>
      <w:r w:rsidR="0004127A">
        <w:noBreakHyphen/>
      </w:r>
      <w:r w:rsidRPr="003919DE">
        <w:t>05</w:t>
      </w:r>
      <w:r w:rsidR="0004127A">
        <w:noBreakHyphen/>
      </w:r>
      <w:r w:rsidRPr="003919DE">
        <w:t>074.</w:t>
      </w:r>
    </w:p>
  </w:footnote>
  <w:footnote w:id="20">
    <w:p w14:paraId="5CDFA1BB" w14:textId="6D645BC6" w:rsidR="00F96579" w:rsidRDefault="00F96579">
      <w:pPr>
        <w:pStyle w:val="FootnoteText"/>
      </w:pPr>
      <w:r>
        <w:rPr>
          <w:rStyle w:val="FootnoteReference"/>
        </w:rPr>
        <w:footnoteRef/>
      </w:r>
      <w:r>
        <w:t xml:space="preserve"> </w:t>
      </w:r>
      <w:r w:rsidRPr="003919DE">
        <w:t>D.22</w:t>
      </w:r>
      <w:r w:rsidR="0004127A">
        <w:noBreakHyphen/>
      </w:r>
      <w:r w:rsidRPr="003919DE">
        <w:t>05</w:t>
      </w:r>
      <w:r w:rsidR="0004127A">
        <w:noBreakHyphen/>
      </w:r>
      <w:r w:rsidRPr="003919DE">
        <w:t>001</w:t>
      </w:r>
      <w:r>
        <w:t xml:space="preserve"> at 16</w:t>
      </w:r>
      <w:r w:rsidR="0004127A">
        <w:noBreakHyphen/>
      </w:r>
      <w:r>
        <w:t>18</w:t>
      </w:r>
      <w:r w:rsidRPr="003919DE">
        <w:t>.</w:t>
      </w:r>
    </w:p>
  </w:footnote>
  <w:footnote w:id="21">
    <w:p w14:paraId="272EE63B" w14:textId="778017AC" w:rsidR="00555C13" w:rsidRDefault="00555C13">
      <w:pPr>
        <w:pStyle w:val="FootnoteText"/>
      </w:pPr>
      <w:r>
        <w:rPr>
          <w:rStyle w:val="FootnoteReference"/>
        </w:rPr>
        <w:footnoteRef/>
      </w:r>
      <w:r>
        <w:t xml:space="preserve"> </w:t>
      </w:r>
      <w:r w:rsidR="001F3E86">
        <w:t>Motion at 7.</w:t>
      </w:r>
    </w:p>
  </w:footnote>
  <w:footnote w:id="22">
    <w:p w14:paraId="083FBD8F" w14:textId="0B56F241" w:rsidR="00067468" w:rsidRDefault="00067468">
      <w:pPr>
        <w:pStyle w:val="FootnoteText"/>
      </w:pPr>
      <w:r>
        <w:rPr>
          <w:rStyle w:val="FootnoteReference"/>
        </w:rPr>
        <w:footnoteRef/>
      </w:r>
      <w:r>
        <w:t xml:space="preserve"> </w:t>
      </w:r>
      <w:r w:rsidR="001724DC" w:rsidRPr="00812BE7">
        <w:t>A.25</w:t>
      </w:r>
      <w:r w:rsidR="0004127A">
        <w:noBreakHyphen/>
      </w:r>
      <w:r w:rsidR="001724DC" w:rsidRPr="00812BE7">
        <w:t>0</w:t>
      </w:r>
      <w:r w:rsidR="001724DC">
        <w:t>8</w:t>
      </w:r>
      <w:r w:rsidR="0004127A">
        <w:noBreakHyphen/>
      </w:r>
      <w:r w:rsidR="001724DC" w:rsidRPr="00812BE7">
        <w:t>0</w:t>
      </w:r>
      <w:r w:rsidR="001724DC">
        <w:t>08</w:t>
      </w:r>
      <w:r w:rsidR="001724DC" w:rsidRPr="00812BE7">
        <w:t xml:space="preserve"> </w:t>
      </w:r>
      <w:r w:rsidR="001724DC">
        <w:t xml:space="preserve">at </w:t>
      </w:r>
      <w:r w:rsidR="00B62B8E">
        <w:t xml:space="preserve">1; </w:t>
      </w:r>
      <w:r w:rsidR="00877BCE" w:rsidRPr="00877BCE">
        <w:rPr>
          <w:i/>
          <w:iCs/>
        </w:rPr>
        <w:t>see also</w:t>
      </w:r>
      <w:r w:rsidR="00877BCE">
        <w:t xml:space="preserve"> </w:t>
      </w:r>
      <w:r w:rsidR="002916E2" w:rsidRPr="00812BE7">
        <w:t>A.25</w:t>
      </w:r>
      <w:r w:rsidR="0004127A">
        <w:noBreakHyphen/>
      </w:r>
      <w:r w:rsidR="002916E2" w:rsidRPr="00812BE7">
        <w:t>0</w:t>
      </w:r>
      <w:r w:rsidR="002916E2">
        <w:t>8</w:t>
      </w:r>
      <w:r w:rsidR="0004127A">
        <w:noBreakHyphen/>
      </w:r>
      <w:r w:rsidR="002916E2" w:rsidRPr="00812BE7">
        <w:t>0</w:t>
      </w:r>
      <w:r w:rsidR="002916E2">
        <w:t xml:space="preserve">08, Prepared Direct </w:t>
      </w:r>
      <w:r w:rsidR="00877BCE">
        <w:t>Testimony</w:t>
      </w:r>
      <w:r w:rsidR="002916E2">
        <w:t xml:space="preserve">, </w:t>
      </w:r>
      <w:r w:rsidR="000F12C5">
        <w:t>Chapter </w:t>
      </w:r>
      <w:r w:rsidR="002916E2">
        <w:t>III</w:t>
      </w:r>
      <w:r w:rsidR="00877BCE">
        <w:t xml:space="preserve"> at RMY 3</w:t>
      </w:r>
      <w:r w:rsidR="0004127A">
        <w:noBreakHyphen/>
      </w:r>
      <w:r w:rsidR="00877BCE">
        <w:t>4</w:t>
      </w:r>
      <w:r w:rsidR="00E8294C">
        <w:t>.</w:t>
      </w:r>
    </w:p>
  </w:footnote>
  <w:footnote w:id="23">
    <w:p w14:paraId="7C74E3D6" w14:textId="29561CDF" w:rsidR="00555C13" w:rsidRDefault="00555C13">
      <w:pPr>
        <w:pStyle w:val="FootnoteText"/>
      </w:pPr>
      <w:r>
        <w:rPr>
          <w:rStyle w:val="FootnoteReference"/>
        </w:rPr>
        <w:footnoteRef/>
      </w:r>
      <w:r>
        <w:t xml:space="preserve"> </w:t>
      </w:r>
      <w:r w:rsidR="004A3ED0">
        <w:t>Motion at 7.</w:t>
      </w:r>
    </w:p>
  </w:footnote>
  <w:footnote w:id="24">
    <w:p w14:paraId="33AE6BE1" w14:textId="6C9DB684" w:rsidR="00555C13" w:rsidRDefault="00555C13">
      <w:pPr>
        <w:pStyle w:val="FootnoteText"/>
      </w:pPr>
      <w:r>
        <w:rPr>
          <w:rStyle w:val="FootnoteReference"/>
        </w:rPr>
        <w:footnoteRef/>
      </w:r>
      <w:r>
        <w:t xml:space="preserve"> </w:t>
      </w:r>
      <w:r w:rsidR="004A3ED0">
        <w:t>Motion at 7</w:t>
      </w:r>
      <w:r w:rsidR="0004127A">
        <w:noBreakHyphen/>
      </w:r>
      <w:r w:rsidR="004A3ED0">
        <w:t>8.</w:t>
      </w:r>
    </w:p>
  </w:footnote>
  <w:footnote w:id="25">
    <w:p w14:paraId="38931EAD" w14:textId="17AC9DB8" w:rsidR="00037BF2" w:rsidRDefault="00037BF2">
      <w:pPr>
        <w:pStyle w:val="FootnoteText"/>
      </w:pPr>
      <w:r>
        <w:rPr>
          <w:rStyle w:val="FootnoteReference"/>
        </w:rPr>
        <w:footnoteRef/>
      </w:r>
      <w:r>
        <w:t xml:space="preserve"> </w:t>
      </w:r>
      <w:r w:rsidRPr="00037BF2">
        <w:t>California Alternate Rates for Energy program</w:t>
      </w:r>
      <w:r>
        <w:t>.</w:t>
      </w:r>
    </w:p>
  </w:footnote>
  <w:footnote w:id="26">
    <w:p w14:paraId="34516AB9" w14:textId="543985B9" w:rsidR="007D31BD" w:rsidRDefault="007D31BD">
      <w:pPr>
        <w:pStyle w:val="FootnoteText"/>
      </w:pPr>
      <w:r>
        <w:rPr>
          <w:rStyle w:val="FootnoteReference"/>
        </w:rPr>
        <w:footnoteRef/>
      </w:r>
      <w:r>
        <w:t xml:space="preserve"> </w:t>
      </w:r>
      <w:r w:rsidR="00902FE8">
        <w:t>Motion at 10</w:t>
      </w:r>
      <w:r w:rsidR="0004127A">
        <w:noBreakHyphen/>
      </w:r>
      <w:r w:rsidR="00902FE8">
        <w:t>12.</w:t>
      </w:r>
    </w:p>
  </w:footnote>
  <w:footnote w:id="27">
    <w:p w14:paraId="130E8985" w14:textId="54B5D27A" w:rsidR="00F776CD" w:rsidRDefault="00F776CD">
      <w:pPr>
        <w:pStyle w:val="FootnoteText"/>
      </w:pPr>
      <w:r>
        <w:rPr>
          <w:rStyle w:val="FootnoteReference"/>
        </w:rPr>
        <w:footnoteRef/>
      </w:r>
      <w:r>
        <w:t xml:space="preserve"> </w:t>
      </w:r>
      <w:r w:rsidR="00AD0F3B">
        <w:t>Motion at 12</w:t>
      </w:r>
      <w:r w:rsidR="0004127A">
        <w:noBreakHyphen/>
      </w:r>
      <w:r w:rsidR="00AD0F3B">
        <w:t>1</w:t>
      </w:r>
      <w:r w:rsidR="00981A21">
        <w:t>4</w:t>
      </w:r>
      <w:r w:rsidR="00750927">
        <w:t>.</w:t>
      </w:r>
    </w:p>
  </w:footnote>
  <w:footnote w:id="28">
    <w:p w14:paraId="1126140E" w14:textId="7FF2814E" w:rsidR="0068637E" w:rsidRDefault="0068637E">
      <w:pPr>
        <w:pStyle w:val="FootnoteText"/>
      </w:pPr>
      <w:r>
        <w:rPr>
          <w:rStyle w:val="FootnoteReference"/>
        </w:rPr>
        <w:footnoteRef/>
      </w:r>
      <w:r>
        <w:t xml:space="preserve"> </w:t>
      </w:r>
      <w:r w:rsidR="00750927">
        <w:t xml:space="preserve">Motion at </w:t>
      </w:r>
      <w:r w:rsidR="00A8656E">
        <w:t>12</w:t>
      </w:r>
      <w:r w:rsidR="0004127A">
        <w:noBreakHyphen/>
      </w:r>
      <w:r w:rsidR="00750927">
        <w:t>1</w:t>
      </w:r>
      <w:r w:rsidR="00981A21">
        <w:t>3</w:t>
      </w:r>
      <w:r w:rsidR="00750927">
        <w:t>.</w:t>
      </w:r>
    </w:p>
  </w:footnote>
  <w:footnote w:id="29">
    <w:p w14:paraId="3BF3EF8D" w14:textId="1FB789E8" w:rsidR="00EE6825" w:rsidRDefault="00EE6825">
      <w:pPr>
        <w:pStyle w:val="FootnoteText"/>
      </w:pPr>
      <w:r>
        <w:rPr>
          <w:rStyle w:val="FootnoteReference"/>
        </w:rPr>
        <w:footnoteRef/>
      </w:r>
      <w:r>
        <w:t xml:space="preserve"> </w:t>
      </w:r>
      <w:r w:rsidRPr="00FD7362">
        <w:t>Motion at 12 (</w:t>
      </w:r>
      <w:r w:rsidR="00586579">
        <w:t>q</w:t>
      </w:r>
      <w:r w:rsidR="00C724A6" w:rsidRPr="00EC35B8">
        <w:t>uoting</w:t>
      </w:r>
      <w:r w:rsidRPr="00FD7362">
        <w:t xml:space="preserve"> </w:t>
      </w:r>
      <w:r w:rsidR="00C724A6" w:rsidRPr="00FD7362">
        <w:t>D.20</w:t>
      </w:r>
      <w:r w:rsidR="0004127A">
        <w:noBreakHyphen/>
      </w:r>
      <w:r w:rsidR="00C724A6" w:rsidRPr="00FD7362">
        <w:t>10</w:t>
      </w:r>
      <w:r w:rsidR="0004127A">
        <w:noBreakHyphen/>
      </w:r>
      <w:r w:rsidR="00C724A6" w:rsidRPr="00FD7362">
        <w:t>02</w:t>
      </w:r>
      <w:r w:rsidR="00FD7362" w:rsidRPr="00FD7362">
        <w:t>6</w:t>
      </w:r>
      <w:r w:rsidR="007E6CA8" w:rsidRPr="00FD7362">
        <w:t xml:space="preserve"> at 26</w:t>
      </w:r>
      <w:r w:rsidR="00C724A6" w:rsidRPr="00FD7362">
        <w:t xml:space="preserve"> </w:t>
      </w:r>
      <w:r w:rsidR="00431CF7">
        <w:t xml:space="preserve">that </w:t>
      </w:r>
      <w:r w:rsidR="00EA0147">
        <w:t>“</w:t>
      </w:r>
      <w:r w:rsidR="007E6CA8" w:rsidRPr="00FD7362">
        <w:t>the bulk of the costs at issue were incurred in 2018 and 2019 and some of the proceedings to consider them will take another 12</w:t>
      </w:r>
      <w:r w:rsidR="0004127A">
        <w:noBreakHyphen/>
      </w:r>
      <w:r w:rsidR="007E6CA8" w:rsidRPr="00FD7362">
        <w:t>18 months to resolve, there is a level of interim relief that will improve intergenerational equity.</w:t>
      </w:r>
      <w:r w:rsidR="00EA0147">
        <w:t>”</w:t>
      </w:r>
      <w:r w:rsidR="007E6CA8" w:rsidRPr="00FD7362">
        <w:t>)</w:t>
      </w:r>
      <w:r w:rsidR="006636DD">
        <w:t>.</w:t>
      </w:r>
    </w:p>
  </w:footnote>
  <w:footnote w:id="30">
    <w:p w14:paraId="5758536F" w14:textId="283A2EA8" w:rsidR="00066929" w:rsidRDefault="00066929">
      <w:pPr>
        <w:pStyle w:val="FootnoteText"/>
      </w:pPr>
      <w:r>
        <w:rPr>
          <w:rStyle w:val="FootnoteReference"/>
        </w:rPr>
        <w:footnoteRef/>
      </w:r>
      <w:r>
        <w:t xml:space="preserve"> </w:t>
      </w:r>
      <w:r w:rsidR="00B73179">
        <w:t>Motion at 16</w:t>
      </w:r>
      <w:r w:rsidR="0004127A">
        <w:noBreakHyphen/>
      </w:r>
      <w:r w:rsidR="00B73179">
        <w:t>17.</w:t>
      </w:r>
    </w:p>
  </w:footnote>
  <w:footnote w:id="31">
    <w:p w14:paraId="32DFDBED" w14:textId="1FD198AA" w:rsidR="00C623A3" w:rsidRDefault="00C623A3">
      <w:pPr>
        <w:pStyle w:val="FootnoteText"/>
      </w:pPr>
      <w:r>
        <w:rPr>
          <w:rStyle w:val="FootnoteReference"/>
        </w:rPr>
        <w:footnoteRef/>
      </w:r>
      <w:r>
        <w:t xml:space="preserve"> </w:t>
      </w:r>
      <w:r w:rsidR="00E6705F">
        <w:t>Cal Adv</w:t>
      </w:r>
      <w:r w:rsidR="00BB7115">
        <w:t>ocates Response to Motion at 3.</w:t>
      </w:r>
    </w:p>
  </w:footnote>
  <w:footnote w:id="32">
    <w:p w14:paraId="0D4E97E7" w14:textId="73BB1FE7" w:rsidR="00C86371" w:rsidRDefault="00C86371" w:rsidP="00C86371">
      <w:pPr>
        <w:pStyle w:val="FootnoteText"/>
      </w:pPr>
      <w:r>
        <w:rPr>
          <w:rStyle w:val="FootnoteReference"/>
        </w:rPr>
        <w:footnoteRef/>
      </w:r>
      <w:r>
        <w:t xml:space="preserve"> </w:t>
      </w:r>
      <w:r w:rsidR="00E6705F">
        <w:t>Cal Adv</w:t>
      </w:r>
      <w:r w:rsidR="00BB7115">
        <w:t>ocates Response to Motion at 3</w:t>
      </w:r>
      <w:r w:rsidR="0004127A">
        <w:noBreakHyphen/>
      </w:r>
      <w:r w:rsidR="00652EC7">
        <w:t>5</w:t>
      </w:r>
      <w:r w:rsidR="00BB7115">
        <w:t>.</w:t>
      </w:r>
    </w:p>
  </w:footnote>
  <w:footnote w:id="33">
    <w:p w14:paraId="1B262AD3" w14:textId="12A3E52F" w:rsidR="00C86371" w:rsidRDefault="00C86371" w:rsidP="00C86371">
      <w:pPr>
        <w:pStyle w:val="FootnoteText"/>
      </w:pPr>
      <w:r>
        <w:rPr>
          <w:rStyle w:val="FootnoteReference"/>
        </w:rPr>
        <w:footnoteRef/>
      </w:r>
      <w:r>
        <w:t xml:space="preserve"> </w:t>
      </w:r>
      <w:r w:rsidR="00E6705F">
        <w:t>Cal Adv</w:t>
      </w:r>
      <w:r w:rsidR="00652EC7">
        <w:t>ocates Response to Motion at 5.</w:t>
      </w:r>
    </w:p>
  </w:footnote>
  <w:footnote w:id="34">
    <w:p w14:paraId="17F278E9" w14:textId="30CE5D87" w:rsidR="00CF5D27" w:rsidRDefault="00CF5D27">
      <w:pPr>
        <w:pStyle w:val="FootnoteText"/>
      </w:pPr>
      <w:r>
        <w:rPr>
          <w:rStyle w:val="FootnoteReference"/>
        </w:rPr>
        <w:footnoteRef/>
      </w:r>
      <w:r>
        <w:t xml:space="preserve"> </w:t>
      </w:r>
      <w:r w:rsidR="00E6705F">
        <w:t>Cal Adv</w:t>
      </w:r>
      <w:r w:rsidR="00ED3910">
        <w:t>ocates Response to Motion at 4</w:t>
      </w:r>
      <w:r w:rsidR="0004127A">
        <w:noBreakHyphen/>
      </w:r>
      <w:r w:rsidR="00ED3910">
        <w:t>5.</w:t>
      </w:r>
    </w:p>
  </w:footnote>
  <w:footnote w:id="35">
    <w:p w14:paraId="0836636D" w14:textId="11BF557D" w:rsidR="00CF5D27" w:rsidRDefault="00CF5D27">
      <w:pPr>
        <w:pStyle w:val="FootnoteText"/>
      </w:pPr>
      <w:r>
        <w:rPr>
          <w:rStyle w:val="FootnoteReference"/>
        </w:rPr>
        <w:footnoteRef/>
      </w:r>
      <w:r>
        <w:t xml:space="preserve"> </w:t>
      </w:r>
      <w:r w:rsidR="00E6705F">
        <w:t>Cal Adv</w:t>
      </w:r>
      <w:r w:rsidR="00ED3910">
        <w:t>ocates Response to Motion at 5.</w:t>
      </w:r>
    </w:p>
  </w:footnote>
  <w:footnote w:id="36">
    <w:p w14:paraId="62CDF3F0" w14:textId="1CAA4A30" w:rsidR="002F4BEE" w:rsidRDefault="002F4BEE">
      <w:pPr>
        <w:pStyle w:val="FootnoteText"/>
      </w:pPr>
      <w:r w:rsidRPr="00845316">
        <w:rPr>
          <w:rStyle w:val="FootnoteReference"/>
        </w:rPr>
        <w:footnoteRef/>
      </w:r>
      <w:r w:rsidRPr="00845316">
        <w:t xml:space="preserve"> SoCalGas Reply at </w:t>
      </w:r>
      <w:r w:rsidR="007D6989" w:rsidRPr="00845316">
        <w:t>1</w:t>
      </w:r>
      <w:r w:rsidR="0004127A">
        <w:noBreakHyphen/>
      </w:r>
      <w:r w:rsidR="007D6989" w:rsidRPr="00845316">
        <w:t>2 (</w:t>
      </w:r>
      <w:r w:rsidR="008C4A62">
        <w:rPr>
          <w:i/>
          <w:iCs/>
        </w:rPr>
        <w:t>c</w:t>
      </w:r>
      <w:r w:rsidR="007D6989" w:rsidRPr="00845316">
        <w:rPr>
          <w:i/>
          <w:iCs/>
        </w:rPr>
        <w:t>iting</w:t>
      </w:r>
      <w:r w:rsidR="007D6989" w:rsidRPr="00845316">
        <w:t xml:space="preserve"> D.23</w:t>
      </w:r>
      <w:r w:rsidR="0004127A">
        <w:noBreakHyphen/>
      </w:r>
      <w:r w:rsidR="007D6989" w:rsidRPr="00845316">
        <w:t>06</w:t>
      </w:r>
      <w:r w:rsidR="0004127A">
        <w:noBreakHyphen/>
      </w:r>
      <w:r w:rsidR="007D6989" w:rsidRPr="00845316">
        <w:t>004 at 23, C</w:t>
      </w:r>
      <w:r w:rsidR="008C4A62">
        <w:t xml:space="preserve">onclusion of </w:t>
      </w:r>
      <w:r w:rsidR="007D6989" w:rsidRPr="00845316">
        <w:t>L</w:t>
      </w:r>
      <w:r w:rsidR="008C4A62">
        <w:t>aw </w:t>
      </w:r>
      <w:r w:rsidR="007D6989" w:rsidRPr="00845316">
        <w:t>5)</w:t>
      </w:r>
      <w:r w:rsidR="007925B6">
        <w:t>.</w:t>
      </w:r>
    </w:p>
  </w:footnote>
  <w:footnote w:id="37">
    <w:p w14:paraId="24AB02FE" w14:textId="313403B9" w:rsidR="001A1677" w:rsidRDefault="001A1677">
      <w:pPr>
        <w:pStyle w:val="FootnoteText"/>
      </w:pPr>
      <w:r>
        <w:rPr>
          <w:rStyle w:val="FootnoteReference"/>
        </w:rPr>
        <w:footnoteRef/>
      </w:r>
      <w:r>
        <w:t xml:space="preserve"> </w:t>
      </w:r>
      <w:r w:rsidR="00E81B35">
        <w:t>SoCalGas Reply at 2</w:t>
      </w:r>
      <w:r w:rsidR="00EA0147">
        <w:t>.</w:t>
      </w:r>
    </w:p>
  </w:footnote>
  <w:footnote w:id="38">
    <w:p w14:paraId="010E7D89" w14:textId="54EB5870" w:rsidR="00DE4206" w:rsidRDefault="00DE4206">
      <w:pPr>
        <w:pStyle w:val="FootnoteText"/>
      </w:pPr>
      <w:r>
        <w:rPr>
          <w:rStyle w:val="FootnoteReference"/>
        </w:rPr>
        <w:footnoteRef/>
      </w:r>
      <w:r>
        <w:t xml:space="preserve"> </w:t>
      </w:r>
      <w:r w:rsidR="00D2101D">
        <w:t xml:space="preserve">SoCalGas Reply at </w:t>
      </w:r>
      <w:r w:rsidR="006C50DE">
        <w:t>2</w:t>
      </w:r>
      <w:r w:rsidR="0004127A">
        <w:noBreakHyphen/>
      </w:r>
      <w:r w:rsidR="006C50DE">
        <w:t>3</w:t>
      </w:r>
      <w:r w:rsidR="00D2101D">
        <w:t>.</w:t>
      </w:r>
    </w:p>
  </w:footnote>
  <w:footnote w:id="39">
    <w:p w14:paraId="2391B113" w14:textId="3F6FB0CA" w:rsidR="00DE4206" w:rsidRDefault="00DE4206">
      <w:pPr>
        <w:pStyle w:val="FootnoteText"/>
      </w:pPr>
      <w:r>
        <w:rPr>
          <w:rStyle w:val="FootnoteReference"/>
        </w:rPr>
        <w:footnoteRef/>
      </w:r>
      <w:r>
        <w:t xml:space="preserve"> </w:t>
      </w:r>
      <w:r w:rsidR="00D2101D">
        <w:t xml:space="preserve">SoCalGas Reply at </w:t>
      </w:r>
      <w:r w:rsidR="00190D41">
        <w:t>3.</w:t>
      </w:r>
    </w:p>
  </w:footnote>
  <w:footnote w:id="40">
    <w:p w14:paraId="15C58701" w14:textId="2AD047E8" w:rsidR="00B426FC" w:rsidRDefault="00B426FC">
      <w:pPr>
        <w:pStyle w:val="FootnoteText"/>
      </w:pPr>
      <w:r>
        <w:rPr>
          <w:rStyle w:val="FootnoteReference"/>
        </w:rPr>
        <w:footnoteRef/>
      </w:r>
      <w:r>
        <w:t xml:space="preserve"> </w:t>
      </w:r>
      <w:r w:rsidR="006C50DE">
        <w:t>SoCalGas Reply at 3 (</w:t>
      </w:r>
      <w:r w:rsidR="00EA0147">
        <w:t>“</w:t>
      </w:r>
      <w:r w:rsidR="006C50DE" w:rsidRPr="006C50DE">
        <w:t xml:space="preserve">SoCalGas filed its TY 2024 GRC Application on </w:t>
      </w:r>
      <w:r w:rsidR="00EA0147">
        <w:t>May </w:t>
      </w:r>
      <w:r w:rsidR="006C50DE" w:rsidRPr="006C50DE">
        <w:t xml:space="preserve">16, 2022. The DIMPBA costs at issue in the Application and Motion were incurred between </w:t>
      </w:r>
      <w:r w:rsidR="00EA0147">
        <w:t>October </w:t>
      </w:r>
      <w:r w:rsidR="006C50DE" w:rsidRPr="006C50DE">
        <w:t xml:space="preserve">1, 2022, through </w:t>
      </w:r>
      <w:r w:rsidR="00EA0147">
        <w:t>December </w:t>
      </w:r>
      <w:r w:rsidR="006C50DE" w:rsidRPr="006C50DE">
        <w:t>31, 2023, months after SoCalGas</w:t>
      </w:r>
      <w:r w:rsidR="00EA0147">
        <w:t>’</w:t>
      </w:r>
      <w:r w:rsidR="006C50DE" w:rsidRPr="006C50DE">
        <w:t>s GRC filing.</w:t>
      </w:r>
      <w:r w:rsidR="00EA0147">
        <w:t>”</w:t>
      </w:r>
      <w:r w:rsidR="006C50DE">
        <w:t>)</w:t>
      </w:r>
      <w:r w:rsidR="0065150D">
        <w:t>.</w:t>
      </w:r>
    </w:p>
  </w:footnote>
  <w:footnote w:id="41">
    <w:p w14:paraId="7AB56F03" w14:textId="7275BC61" w:rsidR="00376155" w:rsidRDefault="00376155" w:rsidP="00376155">
      <w:pPr>
        <w:pStyle w:val="FootnoteText"/>
      </w:pPr>
      <w:r>
        <w:rPr>
          <w:rStyle w:val="FootnoteReference"/>
        </w:rPr>
        <w:footnoteRef/>
      </w:r>
      <w:r>
        <w:t xml:space="preserve"> </w:t>
      </w:r>
      <w:r w:rsidRPr="00812BE7">
        <w:t>A.25</w:t>
      </w:r>
      <w:r w:rsidR="0004127A">
        <w:noBreakHyphen/>
      </w:r>
      <w:r w:rsidRPr="00812BE7">
        <w:t>0</w:t>
      </w:r>
      <w:r>
        <w:t>8</w:t>
      </w:r>
      <w:r w:rsidR="0004127A">
        <w:noBreakHyphen/>
      </w:r>
      <w:r w:rsidRPr="00812BE7">
        <w:t>0</w:t>
      </w:r>
      <w:r>
        <w:t>08</w:t>
      </w:r>
      <w:r w:rsidRPr="00812BE7">
        <w:t xml:space="preserve"> </w:t>
      </w:r>
      <w:r>
        <w:t xml:space="preserve">at 1; </w:t>
      </w:r>
      <w:r w:rsidRPr="00877BCE">
        <w:rPr>
          <w:i/>
          <w:iCs/>
        </w:rPr>
        <w:t>see also</w:t>
      </w:r>
      <w:r>
        <w:t xml:space="preserve"> </w:t>
      </w:r>
      <w:r w:rsidRPr="00812BE7">
        <w:t>A.25</w:t>
      </w:r>
      <w:r w:rsidR="0004127A">
        <w:noBreakHyphen/>
      </w:r>
      <w:r w:rsidRPr="00812BE7">
        <w:t>0</w:t>
      </w:r>
      <w:r>
        <w:t>8</w:t>
      </w:r>
      <w:r w:rsidR="0004127A">
        <w:noBreakHyphen/>
      </w:r>
      <w:r w:rsidRPr="00812BE7">
        <w:t>0</w:t>
      </w:r>
      <w:r>
        <w:t xml:space="preserve">08, Prepared Direct Testimony, </w:t>
      </w:r>
      <w:r w:rsidR="000F12C5">
        <w:t>Chapter </w:t>
      </w:r>
      <w:r>
        <w:t>III at RMY 3</w:t>
      </w:r>
      <w:r w:rsidR="0004127A">
        <w:noBreakHyphen/>
      </w:r>
      <w:r>
        <w:t>4.</w:t>
      </w:r>
    </w:p>
  </w:footnote>
  <w:footnote w:id="42">
    <w:p w14:paraId="1447E7CE" w14:textId="7018EAD2" w:rsidR="00806FEB" w:rsidRDefault="00806FEB">
      <w:pPr>
        <w:pStyle w:val="FootnoteText"/>
      </w:pPr>
      <w:r>
        <w:rPr>
          <w:rStyle w:val="FootnoteReference"/>
        </w:rPr>
        <w:footnoteRef/>
      </w:r>
      <w:r>
        <w:t xml:space="preserve"> </w:t>
      </w:r>
      <w:r w:rsidR="00EF6AC2" w:rsidRPr="00EF6AC2">
        <w:t>D.24</w:t>
      </w:r>
      <w:r w:rsidR="0004127A">
        <w:noBreakHyphen/>
      </w:r>
      <w:r w:rsidR="00EF6AC2" w:rsidRPr="00EF6AC2">
        <w:t>12</w:t>
      </w:r>
      <w:r w:rsidR="0004127A">
        <w:noBreakHyphen/>
      </w:r>
      <w:r w:rsidR="00EF6AC2" w:rsidRPr="00EF6AC2">
        <w:t xml:space="preserve">074 </w:t>
      </w:r>
      <w:r w:rsidR="00DB0FF2">
        <w:t>at 259</w:t>
      </w:r>
      <w:r w:rsidR="0004127A">
        <w:noBreakHyphen/>
      </w:r>
      <w:r w:rsidR="00DB0FF2">
        <w:t>260.</w:t>
      </w:r>
    </w:p>
  </w:footnote>
  <w:footnote w:id="43">
    <w:p w14:paraId="7B68A428" w14:textId="5C5A1691" w:rsidR="00B2660C" w:rsidRDefault="00B2660C">
      <w:pPr>
        <w:pStyle w:val="FootnoteText"/>
      </w:pPr>
      <w:r>
        <w:rPr>
          <w:rStyle w:val="FootnoteReference"/>
        </w:rPr>
        <w:footnoteRef/>
      </w:r>
      <w:r>
        <w:t xml:space="preserve"> </w:t>
      </w:r>
      <w:r w:rsidRPr="00B61ED9">
        <w:rPr>
          <w:i/>
          <w:iCs/>
        </w:rPr>
        <w:t>TURN</w:t>
      </w:r>
      <w:r w:rsidR="00EA0147">
        <w:rPr>
          <w:i/>
          <w:iCs/>
        </w:rPr>
        <w:t xml:space="preserve"> v. </w:t>
      </w:r>
      <w:r w:rsidRPr="00B61ED9">
        <w:rPr>
          <w:i/>
          <w:iCs/>
        </w:rPr>
        <w:t>PUC</w:t>
      </w:r>
      <w:r w:rsidRPr="00B61ED9">
        <w:t xml:space="preserve"> (1988) </w:t>
      </w:r>
      <w:r w:rsidR="00326DAB">
        <w:t>44 Cal.</w:t>
      </w:r>
      <w:r w:rsidRPr="00B61ED9">
        <w:t>3d 870 at 878 (</w:t>
      </w:r>
      <w:r w:rsidR="00262941">
        <w:t>c</w:t>
      </w:r>
      <w:r>
        <w:t xml:space="preserve">iting </w:t>
      </w:r>
      <w:r w:rsidRPr="00B61ED9">
        <w:rPr>
          <w:i/>
        </w:rPr>
        <w:t xml:space="preserve">City of </w:t>
      </w:r>
      <w:r w:rsidR="00262941">
        <w:rPr>
          <w:i/>
        </w:rPr>
        <w:t>Los </w:t>
      </w:r>
      <w:r w:rsidRPr="00B61ED9">
        <w:rPr>
          <w:i/>
        </w:rPr>
        <w:t>Angeles</w:t>
      </w:r>
      <w:r w:rsidR="00EA0147">
        <w:rPr>
          <w:i/>
        </w:rPr>
        <w:t xml:space="preserve"> v. </w:t>
      </w:r>
      <w:r w:rsidRPr="00B61ED9">
        <w:rPr>
          <w:i/>
        </w:rPr>
        <w:t>Public Utilities Commission</w:t>
      </w:r>
      <w:r w:rsidRPr="00B61ED9">
        <w:t xml:space="preserve"> (1972) </w:t>
      </w:r>
      <w:r w:rsidR="008E7EAE">
        <w:t>7 Cal.</w:t>
      </w:r>
      <w:r w:rsidRPr="00B61ED9">
        <w:t>3d 331).</w:t>
      </w:r>
    </w:p>
  </w:footnote>
  <w:footnote w:id="44">
    <w:p w14:paraId="1FE04D69" w14:textId="08E01C24" w:rsidR="00866957" w:rsidRDefault="00CB3460" w:rsidP="008C449B">
      <w:pPr>
        <w:pStyle w:val="FootnoteText"/>
        <w:spacing w:after="0"/>
      </w:pPr>
      <w:r>
        <w:rPr>
          <w:rStyle w:val="FootnoteReference"/>
        </w:rPr>
        <w:footnoteRef/>
      </w:r>
      <w:r>
        <w:t xml:space="preserve"> </w:t>
      </w:r>
      <w:r w:rsidR="002A0E89" w:rsidRPr="008C449B">
        <w:t>Calculation</w:t>
      </w:r>
      <w:r w:rsidR="002A0E89">
        <w:t xml:space="preserve"> Step 1</w:t>
      </w:r>
      <w:r w:rsidR="00EA0147">
        <w:t xml:space="preserve">:  </w:t>
      </w:r>
      <w:r w:rsidR="002A0E89">
        <w:t xml:space="preserve">(85% </w:t>
      </w:r>
      <w:r w:rsidR="002A0E89" w:rsidRPr="001D356D">
        <w:rPr>
          <w:i/>
          <w:iCs/>
        </w:rPr>
        <w:t>minus</w:t>
      </w:r>
      <w:r w:rsidR="002A0E89">
        <w:t xml:space="preserve"> 60%) </w:t>
      </w:r>
      <w:r w:rsidR="002A0E89" w:rsidRPr="001D356D">
        <w:rPr>
          <w:i/>
          <w:iCs/>
        </w:rPr>
        <w:t>divided</w:t>
      </w:r>
      <w:r w:rsidR="002A0E89">
        <w:t xml:space="preserve"> by 85% </w:t>
      </w:r>
      <w:r w:rsidR="002A0E89" w:rsidRPr="001D356D">
        <w:rPr>
          <w:i/>
          <w:iCs/>
        </w:rPr>
        <w:t>equals</w:t>
      </w:r>
      <w:r w:rsidR="002A0E89">
        <w:t xml:space="preserve"> 29.41%</w:t>
      </w:r>
      <w:r w:rsidR="00327B57">
        <w:t>.</w:t>
      </w:r>
    </w:p>
    <w:p w14:paraId="021EFC31" w14:textId="715F87D3" w:rsidR="00CB3460" w:rsidRDefault="00866957" w:rsidP="008C449B">
      <w:pPr>
        <w:pStyle w:val="FootnoteText"/>
      </w:pPr>
      <w:r>
        <w:t>Calculation Step 2</w:t>
      </w:r>
      <w:r w:rsidR="00EA0147">
        <w:t xml:space="preserve">:  </w:t>
      </w:r>
      <w:r w:rsidR="00CB3460">
        <w:t>$1.3</w:t>
      </w:r>
      <w:r w:rsidR="008C449B">
        <w:t> million</w:t>
      </w:r>
      <w:r w:rsidR="00CB3460">
        <w:t xml:space="preserve"> </w:t>
      </w:r>
      <w:r w:rsidR="00CB3460" w:rsidRPr="001D356D">
        <w:rPr>
          <w:i/>
          <w:iCs/>
        </w:rPr>
        <w:t>times</w:t>
      </w:r>
      <w:r w:rsidR="00CB3460">
        <w:t xml:space="preserve"> </w:t>
      </w:r>
      <w:r w:rsidR="00A021A5">
        <w:t xml:space="preserve">(1 </w:t>
      </w:r>
      <w:r w:rsidR="00A021A5" w:rsidRPr="00A021A5">
        <w:rPr>
          <w:i/>
          <w:iCs/>
        </w:rPr>
        <w:t>minus</w:t>
      </w:r>
      <w:r w:rsidR="00A021A5">
        <w:t xml:space="preserve"> </w:t>
      </w:r>
      <w:r w:rsidR="00CA02AB">
        <w:t>29.41%</w:t>
      </w:r>
      <w:r w:rsidR="00A021A5">
        <w:t>)</w:t>
      </w:r>
      <w:r w:rsidR="00CA02AB">
        <w:t xml:space="preserve"> </w:t>
      </w:r>
      <w:r w:rsidR="00CA02AB" w:rsidRPr="001D356D">
        <w:rPr>
          <w:i/>
          <w:iCs/>
        </w:rPr>
        <w:t>equals</w:t>
      </w:r>
      <w:r w:rsidR="00CA02AB">
        <w:t xml:space="preserve"> $918</w:t>
      </w:r>
      <w:r w:rsidR="008C449B">
        <w:t> thousand</w:t>
      </w:r>
      <w:r w:rsidR="00CA02AB">
        <w:t>.</w:t>
      </w:r>
    </w:p>
  </w:footnote>
  <w:footnote w:id="45">
    <w:p w14:paraId="48408442" w14:textId="1FADF563" w:rsidR="00694DEC" w:rsidRDefault="00694DEC">
      <w:pPr>
        <w:pStyle w:val="FootnoteText"/>
      </w:pPr>
      <w:r>
        <w:rPr>
          <w:rStyle w:val="FootnoteReference"/>
        </w:rPr>
        <w:footnoteRef/>
      </w:r>
      <w:r>
        <w:t xml:space="preserve"> </w:t>
      </w:r>
      <w:r w:rsidR="00E92F46">
        <w:t>D.24</w:t>
      </w:r>
      <w:r w:rsidR="0004127A">
        <w:noBreakHyphen/>
      </w:r>
      <w:r w:rsidR="00E92F46">
        <w:t>12</w:t>
      </w:r>
      <w:r w:rsidR="0004127A">
        <w:noBreakHyphen/>
      </w:r>
      <w:r w:rsidR="00E92F46">
        <w:t>074 at 1</w:t>
      </w:r>
      <w:r w:rsidR="0004127A">
        <w:noBreakHyphen/>
      </w:r>
      <w:r w:rsidR="00E92F46">
        <w:t>2.</w:t>
      </w:r>
    </w:p>
  </w:footnote>
  <w:footnote w:id="46">
    <w:p w14:paraId="345306CE" w14:textId="40A61132" w:rsidR="00C161D9" w:rsidRDefault="00C161D9">
      <w:pPr>
        <w:pStyle w:val="FootnoteText"/>
      </w:pPr>
      <w:r>
        <w:rPr>
          <w:rStyle w:val="FootnoteReference"/>
        </w:rPr>
        <w:footnoteRef/>
      </w:r>
      <w:r>
        <w:t xml:space="preserve"> D.24</w:t>
      </w:r>
      <w:r w:rsidR="0004127A">
        <w:noBreakHyphen/>
      </w:r>
      <w:r>
        <w:t>12</w:t>
      </w:r>
      <w:r w:rsidR="0004127A">
        <w:noBreakHyphen/>
      </w:r>
      <w:r w:rsidR="005856B3">
        <w:t xml:space="preserve">074 at </w:t>
      </w:r>
      <w:r>
        <w:t>36</w:t>
      </w:r>
      <w:r w:rsidR="0004127A">
        <w:noBreakHyphen/>
      </w:r>
      <w:r w:rsidR="001F1591">
        <w:t>39</w:t>
      </w:r>
      <w:r w:rsidR="001E670C">
        <w:t>.</w:t>
      </w:r>
    </w:p>
  </w:footnote>
  <w:footnote w:id="47">
    <w:p w14:paraId="32E76FBA" w14:textId="67C6E38F" w:rsidR="00767C5C" w:rsidRDefault="00767C5C">
      <w:pPr>
        <w:pStyle w:val="FootnoteText"/>
      </w:pPr>
      <w:r>
        <w:rPr>
          <w:rStyle w:val="FootnoteReference"/>
        </w:rPr>
        <w:footnoteRef/>
      </w:r>
      <w:r>
        <w:t xml:space="preserve"> </w:t>
      </w:r>
      <w:r w:rsidR="00CE603C" w:rsidRPr="00B61ED9">
        <w:rPr>
          <w:i/>
          <w:iCs/>
        </w:rPr>
        <w:t>TURN</w:t>
      </w:r>
      <w:r w:rsidR="00EA0147">
        <w:rPr>
          <w:i/>
          <w:iCs/>
        </w:rPr>
        <w:t xml:space="preserve"> v. </w:t>
      </w:r>
      <w:r w:rsidR="00CE603C" w:rsidRPr="00B61ED9">
        <w:rPr>
          <w:i/>
          <w:iCs/>
        </w:rPr>
        <w:t>PUC</w:t>
      </w:r>
      <w:r w:rsidR="00CE603C" w:rsidRPr="00B61ED9">
        <w:t xml:space="preserve"> (1988) </w:t>
      </w:r>
      <w:r w:rsidR="00326DAB">
        <w:t>44 Cal.</w:t>
      </w:r>
      <w:r w:rsidR="00CE603C" w:rsidRPr="00B61ED9">
        <w:t>3d 870 at 878</w:t>
      </w:r>
      <w:r w:rsidR="00CE603C">
        <w:t>.</w:t>
      </w:r>
    </w:p>
  </w:footnote>
  <w:footnote w:id="48">
    <w:p w14:paraId="30FF2F82" w14:textId="5AE0F59E" w:rsidR="00EF589E" w:rsidRDefault="00EF589E">
      <w:pPr>
        <w:pStyle w:val="FootnoteText"/>
      </w:pPr>
      <w:r>
        <w:rPr>
          <w:rStyle w:val="FootnoteReference"/>
        </w:rPr>
        <w:footnoteRef/>
      </w:r>
      <w:r>
        <w:t xml:space="preserve"> </w:t>
      </w:r>
      <w:r w:rsidR="009C58E9">
        <w:t>D.24</w:t>
      </w:r>
      <w:r w:rsidR="0004127A">
        <w:noBreakHyphen/>
      </w:r>
      <w:r w:rsidR="009C58E9">
        <w:t>07</w:t>
      </w:r>
      <w:r w:rsidR="0004127A">
        <w:noBreakHyphen/>
      </w:r>
      <w:r w:rsidR="009C58E9">
        <w:t xml:space="preserve">009 at </w:t>
      </w:r>
      <w:r w:rsidR="00A97DC2">
        <w:t xml:space="preserve">Ordering </w:t>
      </w:r>
      <w:r w:rsidR="00F35B34">
        <w:t>Paragraph </w:t>
      </w:r>
      <w:r w:rsidR="00A97DC2">
        <w:t>2</w:t>
      </w:r>
      <w:r w:rsidR="00BF25D5">
        <w:t>;</w:t>
      </w:r>
      <w:r w:rsidR="00A97DC2">
        <w:t xml:space="preserve"> </w:t>
      </w:r>
      <w:r w:rsidR="00210B05">
        <w:t>D.24</w:t>
      </w:r>
      <w:r w:rsidR="0004127A">
        <w:noBreakHyphen/>
      </w:r>
      <w:r w:rsidR="00210B05">
        <w:t>07</w:t>
      </w:r>
      <w:r w:rsidR="0004127A">
        <w:noBreakHyphen/>
      </w:r>
      <w:r w:rsidR="00210B05">
        <w:t>009</w:t>
      </w:r>
      <w:r w:rsidR="00BF25D5">
        <w:t xml:space="preserve">, </w:t>
      </w:r>
      <w:r w:rsidR="00F35B34">
        <w:t>Attachment </w:t>
      </w:r>
      <w:r w:rsidR="003E55FD">
        <w:t>A at 3</w:t>
      </w:r>
      <w:r w:rsidR="009C58E9">
        <w:t>.</w:t>
      </w:r>
      <w:r w:rsidR="003E55FD">
        <w:t xml:space="preserve"> </w:t>
      </w:r>
      <w:r w:rsidR="003E55FD" w:rsidRPr="003E55FD">
        <w:rPr>
          <w:i/>
          <w:iCs/>
        </w:rPr>
        <w:t>See also</w:t>
      </w:r>
      <w:r w:rsidR="003E55FD">
        <w:t xml:space="preserve"> </w:t>
      </w:r>
      <w:r w:rsidR="00BA1683">
        <w:t>Resolution </w:t>
      </w:r>
      <w:r w:rsidR="00FB7514">
        <w:t>G</w:t>
      </w:r>
      <w:r w:rsidR="0004127A">
        <w:noBreakHyphen/>
      </w:r>
      <w:r w:rsidR="00FB7514">
        <w:t>3499</w:t>
      </w:r>
      <w:r w:rsidR="0049761C">
        <w:t xml:space="preserve"> at 12</w:t>
      </w:r>
      <w:r w:rsidR="0004127A">
        <w:noBreakHyphen/>
      </w:r>
      <w:r w:rsidR="00C54CC5">
        <w:t>13</w:t>
      </w:r>
      <w:r w:rsidR="0049761C">
        <w:t xml:space="preserve"> (</w:t>
      </w:r>
      <w:r w:rsidR="00BA1683">
        <w:t>d</w:t>
      </w:r>
      <w:r w:rsidR="0049761C">
        <w:t xml:space="preserve">iscussing when </w:t>
      </w:r>
      <w:r w:rsidR="00923AE3">
        <w:t>functionalized</w:t>
      </w:r>
      <w:r w:rsidR="00A146E5">
        <w:t xml:space="preserve"> cost</w:t>
      </w:r>
      <w:r w:rsidR="00923AE3">
        <w:t xml:space="preserve"> allocation is appropriate and </w:t>
      </w:r>
      <w:r w:rsidR="00335984">
        <w:t>EPAM is not</w:t>
      </w:r>
      <w:r w:rsidR="0049761C">
        <w:t>)</w:t>
      </w:r>
      <w:r w:rsidR="00BF25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D78F" w14:textId="7C1A5412" w:rsidR="005447AD" w:rsidRDefault="005447AD" w:rsidP="005447AD">
    <w:pPr>
      <w:pStyle w:val="Header"/>
      <w:tabs>
        <w:tab w:val="clear" w:pos="4680"/>
      </w:tabs>
      <w:ind w:firstLine="0"/>
    </w:pPr>
    <w:r w:rsidRPr="005447AD">
      <w:t>A</w:t>
    </w:r>
    <w:r>
      <w:t>.</w:t>
    </w:r>
    <w:r w:rsidRPr="005447AD">
      <w:t>25</w:t>
    </w:r>
    <w:r>
      <w:t>-</w:t>
    </w:r>
    <w:r w:rsidRPr="005447AD">
      <w:t>08</w:t>
    </w:r>
    <w:r>
      <w:t>-</w:t>
    </w:r>
    <w:r w:rsidRPr="005447AD">
      <w:t>008</w:t>
    </w:r>
    <w:r>
      <w:t xml:space="preserve">  ALJ/BG5/nd3</w:t>
    </w:r>
    <w:r w:rsidRPr="004465FB">
      <w:tab/>
    </w:r>
    <w:r w:rsidRPr="005447AD">
      <w:rPr>
        <w:rFonts w:cs="Arial"/>
        <w:bCs/>
        <w:szCs w:val="32"/>
      </w:rPr>
      <w:t>PROPOSED DECISION</w:t>
    </w:r>
    <w:r w:rsidR="00350269">
      <w:rPr>
        <w:rFonts w:cs="Arial"/>
        <w:bCs/>
        <w:szCs w:val="32"/>
      </w:rPr>
      <w:t xml:space="preserve"> </w:t>
    </w:r>
    <w:r w:rsidR="00350269" w:rsidRPr="00350269">
      <w:rPr>
        <w:rFonts w:cs="Arial"/>
        <w:bCs/>
        <w:szCs w:val="32"/>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977CB3"/>
    <w:multiLevelType w:val="hybridMultilevel"/>
    <w:tmpl w:val="40F45C36"/>
    <w:lvl w:ilvl="0" w:tplc="08D40538">
      <w:start w:val="1"/>
      <w:numFmt w:val="decimal"/>
      <w:lvlText w:val="%1."/>
      <w:lvlJc w:val="left"/>
      <w:pPr>
        <w:ind w:left="1020" w:hanging="360"/>
      </w:pPr>
    </w:lvl>
    <w:lvl w:ilvl="1" w:tplc="6EAC57E6">
      <w:start w:val="1"/>
      <w:numFmt w:val="decimal"/>
      <w:lvlText w:val="%2."/>
      <w:lvlJc w:val="left"/>
      <w:pPr>
        <w:ind w:left="1020" w:hanging="360"/>
      </w:pPr>
    </w:lvl>
    <w:lvl w:ilvl="2" w:tplc="8B9A14F4">
      <w:start w:val="1"/>
      <w:numFmt w:val="decimal"/>
      <w:lvlText w:val="%3."/>
      <w:lvlJc w:val="left"/>
      <w:pPr>
        <w:ind w:left="1020" w:hanging="360"/>
      </w:pPr>
    </w:lvl>
    <w:lvl w:ilvl="3" w:tplc="38E079F6">
      <w:start w:val="1"/>
      <w:numFmt w:val="decimal"/>
      <w:lvlText w:val="%4."/>
      <w:lvlJc w:val="left"/>
      <w:pPr>
        <w:ind w:left="1020" w:hanging="360"/>
      </w:pPr>
    </w:lvl>
    <w:lvl w:ilvl="4" w:tplc="5AF0FE58">
      <w:start w:val="1"/>
      <w:numFmt w:val="decimal"/>
      <w:lvlText w:val="%5."/>
      <w:lvlJc w:val="left"/>
      <w:pPr>
        <w:ind w:left="1020" w:hanging="360"/>
      </w:pPr>
    </w:lvl>
    <w:lvl w:ilvl="5" w:tplc="2390CBB4">
      <w:start w:val="1"/>
      <w:numFmt w:val="decimal"/>
      <w:lvlText w:val="%6."/>
      <w:lvlJc w:val="left"/>
      <w:pPr>
        <w:ind w:left="1020" w:hanging="360"/>
      </w:pPr>
    </w:lvl>
    <w:lvl w:ilvl="6" w:tplc="2F346D90">
      <w:start w:val="1"/>
      <w:numFmt w:val="decimal"/>
      <w:lvlText w:val="%7."/>
      <w:lvlJc w:val="left"/>
      <w:pPr>
        <w:ind w:left="1020" w:hanging="360"/>
      </w:pPr>
    </w:lvl>
    <w:lvl w:ilvl="7" w:tplc="C76C02F2">
      <w:start w:val="1"/>
      <w:numFmt w:val="decimal"/>
      <w:lvlText w:val="%8."/>
      <w:lvlJc w:val="left"/>
      <w:pPr>
        <w:ind w:left="1020" w:hanging="360"/>
      </w:pPr>
    </w:lvl>
    <w:lvl w:ilvl="8" w:tplc="408EF006">
      <w:start w:val="1"/>
      <w:numFmt w:val="decimal"/>
      <w:lvlText w:val="%9."/>
      <w:lvlJc w:val="left"/>
      <w:pPr>
        <w:ind w:left="1020" w:hanging="36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1D209BA0"/>
    <w:numStyleLink w:val="Headings"/>
  </w:abstractNum>
  <w:abstractNum w:abstractNumId="6" w15:restartNumberingAfterBreak="0">
    <w:nsid w:val="1E2242C9"/>
    <w:multiLevelType w:val="multilevel"/>
    <w:tmpl w:val="1D209BA0"/>
    <w:numStyleLink w:val="Headings"/>
  </w:abstractNum>
  <w:abstractNum w:abstractNumId="7" w15:restartNumberingAfterBreak="0">
    <w:nsid w:val="21FB58FE"/>
    <w:multiLevelType w:val="multilevel"/>
    <w:tmpl w:val="1D209BA0"/>
    <w:numStyleLink w:val="Headings"/>
  </w:abstractNum>
  <w:abstractNum w:abstractNumId="8" w15:restartNumberingAfterBreak="0">
    <w:nsid w:val="243663A0"/>
    <w:multiLevelType w:val="multilevel"/>
    <w:tmpl w:val="1D209BA0"/>
    <w:numStyleLink w:val="Headings"/>
  </w:abstractNum>
  <w:abstractNum w:abstractNumId="9" w15:restartNumberingAfterBreak="0">
    <w:nsid w:val="2B8124D7"/>
    <w:multiLevelType w:val="multilevel"/>
    <w:tmpl w:val="1D209BA0"/>
    <w:numStyleLink w:val="Headings"/>
  </w:abstractNum>
  <w:abstractNum w:abstractNumId="10" w15:restartNumberingAfterBreak="0">
    <w:nsid w:val="331F6D42"/>
    <w:multiLevelType w:val="multilevel"/>
    <w:tmpl w:val="1D209BA0"/>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34220D0"/>
    <w:multiLevelType w:val="hybridMultilevel"/>
    <w:tmpl w:val="2A3225F2"/>
    <w:lvl w:ilvl="0" w:tplc="3D2C44F8">
      <w:start w:val="1"/>
      <w:numFmt w:val="decimal"/>
      <w:lvlText w:val="%1."/>
      <w:lvlJc w:val="left"/>
      <w:pPr>
        <w:ind w:left="1020" w:hanging="360"/>
      </w:pPr>
    </w:lvl>
    <w:lvl w:ilvl="1" w:tplc="5AB2FAC2">
      <w:start w:val="1"/>
      <w:numFmt w:val="decimal"/>
      <w:lvlText w:val="%2."/>
      <w:lvlJc w:val="left"/>
      <w:pPr>
        <w:ind w:left="1020" w:hanging="360"/>
      </w:pPr>
    </w:lvl>
    <w:lvl w:ilvl="2" w:tplc="7F346F32">
      <w:start w:val="1"/>
      <w:numFmt w:val="decimal"/>
      <w:lvlText w:val="%3."/>
      <w:lvlJc w:val="left"/>
      <w:pPr>
        <w:ind w:left="1020" w:hanging="360"/>
      </w:pPr>
    </w:lvl>
    <w:lvl w:ilvl="3" w:tplc="65643518">
      <w:start w:val="1"/>
      <w:numFmt w:val="decimal"/>
      <w:lvlText w:val="%4."/>
      <w:lvlJc w:val="left"/>
      <w:pPr>
        <w:ind w:left="1020" w:hanging="360"/>
      </w:pPr>
    </w:lvl>
    <w:lvl w:ilvl="4" w:tplc="3E8E28B4">
      <w:start w:val="1"/>
      <w:numFmt w:val="decimal"/>
      <w:lvlText w:val="%5."/>
      <w:lvlJc w:val="left"/>
      <w:pPr>
        <w:ind w:left="1020" w:hanging="360"/>
      </w:pPr>
    </w:lvl>
    <w:lvl w:ilvl="5" w:tplc="CAC2F0A8">
      <w:start w:val="1"/>
      <w:numFmt w:val="decimal"/>
      <w:lvlText w:val="%6."/>
      <w:lvlJc w:val="left"/>
      <w:pPr>
        <w:ind w:left="1020" w:hanging="360"/>
      </w:pPr>
    </w:lvl>
    <w:lvl w:ilvl="6" w:tplc="2196D270">
      <w:start w:val="1"/>
      <w:numFmt w:val="decimal"/>
      <w:lvlText w:val="%7."/>
      <w:lvlJc w:val="left"/>
      <w:pPr>
        <w:ind w:left="1020" w:hanging="360"/>
      </w:pPr>
    </w:lvl>
    <w:lvl w:ilvl="7" w:tplc="8ACA03D6">
      <w:start w:val="1"/>
      <w:numFmt w:val="decimal"/>
      <w:lvlText w:val="%8."/>
      <w:lvlJc w:val="left"/>
      <w:pPr>
        <w:ind w:left="1020" w:hanging="360"/>
      </w:pPr>
    </w:lvl>
    <w:lvl w:ilvl="8" w:tplc="969C5580">
      <w:start w:val="1"/>
      <w:numFmt w:val="decimal"/>
      <w:lvlText w:val="%9."/>
      <w:lvlJc w:val="left"/>
      <w:pPr>
        <w:ind w:left="1020" w:hanging="360"/>
      </w:pPr>
    </w:lvl>
  </w:abstractNum>
  <w:abstractNum w:abstractNumId="12"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9D042D7"/>
    <w:multiLevelType w:val="multilevel"/>
    <w:tmpl w:val="18F4A5AC"/>
    <w:numStyleLink w:val="FoFCoLOP"/>
  </w:abstractNum>
  <w:abstractNum w:abstractNumId="14" w15:restartNumberingAfterBreak="0">
    <w:nsid w:val="5A9E2171"/>
    <w:multiLevelType w:val="multilevel"/>
    <w:tmpl w:val="7BEEDE08"/>
    <w:lvl w:ilvl="0">
      <w:start w:val="1"/>
      <w:numFmt w:val="decimal"/>
      <w:pStyle w:val="Heading1"/>
      <w:lvlText w:val="%1."/>
      <w:lvlJc w:val="left"/>
      <w:pPr>
        <w:ind w:left="387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61A25780"/>
    <w:multiLevelType w:val="multilevel"/>
    <w:tmpl w:val="1D209BA0"/>
    <w:numStyleLink w:val="Headings"/>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9A0AFE"/>
    <w:multiLevelType w:val="multilevel"/>
    <w:tmpl w:val="18F4A5AC"/>
    <w:numStyleLink w:val="FoFCoLOP"/>
  </w:abstractNum>
  <w:num w:numId="1" w16cid:durableId="1354526949">
    <w:abstractNumId w:val="14"/>
  </w:num>
  <w:num w:numId="2" w16cid:durableId="140774137">
    <w:abstractNumId w:val="2"/>
  </w:num>
  <w:num w:numId="3" w16cid:durableId="1898543446">
    <w:abstractNumId w:val="13"/>
  </w:num>
  <w:num w:numId="4" w16cid:durableId="701521005">
    <w:abstractNumId w:val="3"/>
  </w:num>
  <w:num w:numId="5" w16cid:durableId="2017029027">
    <w:abstractNumId w:val="17"/>
  </w:num>
  <w:num w:numId="6" w16cid:durableId="973756952">
    <w:abstractNumId w:val="10"/>
  </w:num>
  <w:num w:numId="7" w16cid:durableId="827667741">
    <w:abstractNumId w:val="6"/>
  </w:num>
  <w:num w:numId="8" w16cid:durableId="1760327020">
    <w:abstractNumId w:val="16"/>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5"/>
  </w:num>
  <w:num w:numId="16" w16cid:durableId="548107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5"/>
  </w:num>
  <w:num w:numId="18" w16cid:durableId="1891382665">
    <w:abstractNumId w:val="12"/>
  </w:num>
  <w:num w:numId="19" w16cid:durableId="826628408">
    <w:abstractNumId w:val="11"/>
  </w:num>
  <w:num w:numId="20" w16cid:durableId="185160424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48"/>
    <w:rsid w:val="00000F6A"/>
    <w:rsid w:val="00003416"/>
    <w:rsid w:val="00006241"/>
    <w:rsid w:val="0000695A"/>
    <w:rsid w:val="00007C75"/>
    <w:rsid w:val="0001584E"/>
    <w:rsid w:val="00015958"/>
    <w:rsid w:val="000167D6"/>
    <w:rsid w:val="0002106E"/>
    <w:rsid w:val="000222B3"/>
    <w:rsid w:val="00022AAD"/>
    <w:rsid w:val="00024AEF"/>
    <w:rsid w:val="00030DB5"/>
    <w:rsid w:val="0003115A"/>
    <w:rsid w:val="00031C9B"/>
    <w:rsid w:val="0003293C"/>
    <w:rsid w:val="000337F2"/>
    <w:rsid w:val="0003414A"/>
    <w:rsid w:val="00037BF2"/>
    <w:rsid w:val="0004127A"/>
    <w:rsid w:val="00041547"/>
    <w:rsid w:val="000417C2"/>
    <w:rsid w:val="00042454"/>
    <w:rsid w:val="000429DF"/>
    <w:rsid w:val="00042EDE"/>
    <w:rsid w:val="00043BA0"/>
    <w:rsid w:val="00044822"/>
    <w:rsid w:val="00045A09"/>
    <w:rsid w:val="00051169"/>
    <w:rsid w:val="00054452"/>
    <w:rsid w:val="000618CA"/>
    <w:rsid w:val="000618F6"/>
    <w:rsid w:val="00064A33"/>
    <w:rsid w:val="00064CE9"/>
    <w:rsid w:val="000650D1"/>
    <w:rsid w:val="00066435"/>
    <w:rsid w:val="00066929"/>
    <w:rsid w:val="0006713E"/>
    <w:rsid w:val="00067196"/>
    <w:rsid w:val="00067468"/>
    <w:rsid w:val="0007115A"/>
    <w:rsid w:val="00072882"/>
    <w:rsid w:val="00073D00"/>
    <w:rsid w:val="000749AA"/>
    <w:rsid w:val="00075ABA"/>
    <w:rsid w:val="00075EB1"/>
    <w:rsid w:val="00076E07"/>
    <w:rsid w:val="00082E65"/>
    <w:rsid w:val="0008354E"/>
    <w:rsid w:val="000840CB"/>
    <w:rsid w:val="00087FDA"/>
    <w:rsid w:val="00090B12"/>
    <w:rsid w:val="00093A38"/>
    <w:rsid w:val="00094373"/>
    <w:rsid w:val="00094E78"/>
    <w:rsid w:val="00095162"/>
    <w:rsid w:val="00095219"/>
    <w:rsid w:val="00095CAC"/>
    <w:rsid w:val="000973C8"/>
    <w:rsid w:val="000A0C28"/>
    <w:rsid w:val="000A1614"/>
    <w:rsid w:val="000A2AA9"/>
    <w:rsid w:val="000A56F2"/>
    <w:rsid w:val="000A6E05"/>
    <w:rsid w:val="000A6F44"/>
    <w:rsid w:val="000A71A4"/>
    <w:rsid w:val="000A71CB"/>
    <w:rsid w:val="000B12FA"/>
    <w:rsid w:val="000B1436"/>
    <w:rsid w:val="000B2BB7"/>
    <w:rsid w:val="000B44EB"/>
    <w:rsid w:val="000B6753"/>
    <w:rsid w:val="000C08BF"/>
    <w:rsid w:val="000C11C0"/>
    <w:rsid w:val="000C2299"/>
    <w:rsid w:val="000C2E8C"/>
    <w:rsid w:val="000C3B9A"/>
    <w:rsid w:val="000C4D72"/>
    <w:rsid w:val="000C6A71"/>
    <w:rsid w:val="000C7531"/>
    <w:rsid w:val="000D0BB6"/>
    <w:rsid w:val="000D25A8"/>
    <w:rsid w:val="000D2FC6"/>
    <w:rsid w:val="000D30DB"/>
    <w:rsid w:val="000D5E77"/>
    <w:rsid w:val="000D6D6C"/>
    <w:rsid w:val="000E1A96"/>
    <w:rsid w:val="000E270A"/>
    <w:rsid w:val="000E281D"/>
    <w:rsid w:val="000E4C53"/>
    <w:rsid w:val="000E5330"/>
    <w:rsid w:val="000E6B07"/>
    <w:rsid w:val="000F12C5"/>
    <w:rsid w:val="000F1ECB"/>
    <w:rsid w:val="000F1FA7"/>
    <w:rsid w:val="000F48C6"/>
    <w:rsid w:val="000F60A6"/>
    <w:rsid w:val="000F644A"/>
    <w:rsid w:val="00100361"/>
    <w:rsid w:val="00102CB5"/>
    <w:rsid w:val="00102E9E"/>
    <w:rsid w:val="00103C0D"/>
    <w:rsid w:val="00103CDC"/>
    <w:rsid w:val="00104C97"/>
    <w:rsid w:val="00107165"/>
    <w:rsid w:val="00107EF1"/>
    <w:rsid w:val="00110895"/>
    <w:rsid w:val="0011470F"/>
    <w:rsid w:val="00115720"/>
    <w:rsid w:val="001159C6"/>
    <w:rsid w:val="00117D94"/>
    <w:rsid w:val="001201A3"/>
    <w:rsid w:val="001209E9"/>
    <w:rsid w:val="00120F41"/>
    <w:rsid w:val="00121089"/>
    <w:rsid w:val="001227B0"/>
    <w:rsid w:val="001244D7"/>
    <w:rsid w:val="00126558"/>
    <w:rsid w:val="00126A5E"/>
    <w:rsid w:val="0013318A"/>
    <w:rsid w:val="001348D3"/>
    <w:rsid w:val="00134A52"/>
    <w:rsid w:val="0013669A"/>
    <w:rsid w:val="001429DB"/>
    <w:rsid w:val="00145521"/>
    <w:rsid w:val="001517E5"/>
    <w:rsid w:val="001518CA"/>
    <w:rsid w:val="00151DB8"/>
    <w:rsid w:val="00154E4A"/>
    <w:rsid w:val="00154FC9"/>
    <w:rsid w:val="0015533E"/>
    <w:rsid w:val="00155539"/>
    <w:rsid w:val="00157B8A"/>
    <w:rsid w:val="00157E79"/>
    <w:rsid w:val="00161AB7"/>
    <w:rsid w:val="0016460F"/>
    <w:rsid w:val="0017016F"/>
    <w:rsid w:val="00170198"/>
    <w:rsid w:val="001724DC"/>
    <w:rsid w:val="00174968"/>
    <w:rsid w:val="00175048"/>
    <w:rsid w:val="00176008"/>
    <w:rsid w:val="00177A33"/>
    <w:rsid w:val="00177C75"/>
    <w:rsid w:val="001835BC"/>
    <w:rsid w:val="00184A8F"/>
    <w:rsid w:val="00184F06"/>
    <w:rsid w:val="00186C88"/>
    <w:rsid w:val="00190472"/>
    <w:rsid w:val="00190D41"/>
    <w:rsid w:val="00192652"/>
    <w:rsid w:val="001A1677"/>
    <w:rsid w:val="001A2703"/>
    <w:rsid w:val="001A46F2"/>
    <w:rsid w:val="001A52BE"/>
    <w:rsid w:val="001A6342"/>
    <w:rsid w:val="001A6709"/>
    <w:rsid w:val="001A6868"/>
    <w:rsid w:val="001A7420"/>
    <w:rsid w:val="001A7895"/>
    <w:rsid w:val="001A7910"/>
    <w:rsid w:val="001B1A01"/>
    <w:rsid w:val="001B7536"/>
    <w:rsid w:val="001C0E85"/>
    <w:rsid w:val="001C363F"/>
    <w:rsid w:val="001C4EEA"/>
    <w:rsid w:val="001C76E0"/>
    <w:rsid w:val="001D356D"/>
    <w:rsid w:val="001D4C65"/>
    <w:rsid w:val="001D5654"/>
    <w:rsid w:val="001E0881"/>
    <w:rsid w:val="001E1BCA"/>
    <w:rsid w:val="001E1F33"/>
    <w:rsid w:val="001E2A62"/>
    <w:rsid w:val="001E2D18"/>
    <w:rsid w:val="001E3E50"/>
    <w:rsid w:val="001E42F6"/>
    <w:rsid w:val="001E5812"/>
    <w:rsid w:val="001E670C"/>
    <w:rsid w:val="001E6A44"/>
    <w:rsid w:val="001F0E1F"/>
    <w:rsid w:val="001F1402"/>
    <w:rsid w:val="001F1591"/>
    <w:rsid w:val="001F1B6B"/>
    <w:rsid w:val="001F2374"/>
    <w:rsid w:val="001F2819"/>
    <w:rsid w:val="001F3E86"/>
    <w:rsid w:val="001F43CA"/>
    <w:rsid w:val="001F552E"/>
    <w:rsid w:val="001F7123"/>
    <w:rsid w:val="00201E8A"/>
    <w:rsid w:val="00203DDD"/>
    <w:rsid w:val="002042E2"/>
    <w:rsid w:val="002043EC"/>
    <w:rsid w:val="00210B05"/>
    <w:rsid w:val="002119FE"/>
    <w:rsid w:val="00211D3F"/>
    <w:rsid w:val="0021209A"/>
    <w:rsid w:val="002133DB"/>
    <w:rsid w:val="002147DD"/>
    <w:rsid w:val="002218EE"/>
    <w:rsid w:val="002226B5"/>
    <w:rsid w:val="0022272A"/>
    <w:rsid w:val="00224A55"/>
    <w:rsid w:val="00225EA8"/>
    <w:rsid w:val="00226EB6"/>
    <w:rsid w:val="0023534A"/>
    <w:rsid w:val="002361E7"/>
    <w:rsid w:val="00236833"/>
    <w:rsid w:val="0024006A"/>
    <w:rsid w:val="00241F09"/>
    <w:rsid w:val="002435A2"/>
    <w:rsid w:val="00243DC0"/>
    <w:rsid w:val="00244B93"/>
    <w:rsid w:val="0024526E"/>
    <w:rsid w:val="00247477"/>
    <w:rsid w:val="00250E57"/>
    <w:rsid w:val="00251856"/>
    <w:rsid w:val="00252008"/>
    <w:rsid w:val="002550AB"/>
    <w:rsid w:val="00255EF1"/>
    <w:rsid w:val="00256F9A"/>
    <w:rsid w:val="0025727E"/>
    <w:rsid w:val="002619BA"/>
    <w:rsid w:val="00262941"/>
    <w:rsid w:val="002636F6"/>
    <w:rsid w:val="00270440"/>
    <w:rsid w:val="00272EE0"/>
    <w:rsid w:val="0027348D"/>
    <w:rsid w:val="00274458"/>
    <w:rsid w:val="00276EB7"/>
    <w:rsid w:val="002803B9"/>
    <w:rsid w:val="00281EF4"/>
    <w:rsid w:val="00282157"/>
    <w:rsid w:val="00284D8D"/>
    <w:rsid w:val="00285801"/>
    <w:rsid w:val="0028620B"/>
    <w:rsid w:val="0028669E"/>
    <w:rsid w:val="0028719B"/>
    <w:rsid w:val="00287BC5"/>
    <w:rsid w:val="0029020A"/>
    <w:rsid w:val="002916E2"/>
    <w:rsid w:val="00293479"/>
    <w:rsid w:val="00293DEE"/>
    <w:rsid w:val="00296417"/>
    <w:rsid w:val="002A0B5D"/>
    <w:rsid w:val="002A0E89"/>
    <w:rsid w:val="002A1D5B"/>
    <w:rsid w:val="002A2D58"/>
    <w:rsid w:val="002A3E50"/>
    <w:rsid w:val="002A54F9"/>
    <w:rsid w:val="002A710D"/>
    <w:rsid w:val="002A7938"/>
    <w:rsid w:val="002B00F7"/>
    <w:rsid w:val="002B059C"/>
    <w:rsid w:val="002B12D3"/>
    <w:rsid w:val="002B41AF"/>
    <w:rsid w:val="002B6730"/>
    <w:rsid w:val="002C1BBD"/>
    <w:rsid w:val="002C239B"/>
    <w:rsid w:val="002C318A"/>
    <w:rsid w:val="002C7250"/>
    <w:rsid w:val="002C7B05"/>
    <w:rsid w:val="002C7D5B"/>
    <w:rsid w:val="002C7FE9"/>
    <w:rsid w:val="002D0A06"/>
    <w:rsid w:val="002D0DC5"/>
    <w:rsid w:val="002D1681"/>
    <w:rsid w:val="002D4EFD"/>
    <w:rsid w:val="002D4F0B"/>
    <w:rsid w:val="002D51F6"/>
    <w:rsid w:val="002D5363"/>
    <w:rsid w:val="002E005F"/>
    <w:rsid w:val="002E14BF"/>
    <w:rsid w:val="002E2991"/>
    <w:rsid w:val="002F0436"/>
    <w:rsid w:val="002F3A22"/>
    <w:rsid w:val="002F4BEE"/>
    <w:rsid w:val="00303AD4"/>
    <w:rsid w:val="00305C6E"/>
    <w:rsid w:val="00307F64"/>
    <w:rsid w:val="003106D6"/>
    <w:rsid w:val="0031243C"/>
    <w:rsid w:val="00312C25"/>
    <w:rsid w:val="00315A97"/>
    <w:rsid w:val="00316071"/>
    <w:rsid w:val="0031681A"/>
    <w:rsid w:val="00321C6E"/>
    <w:rsid w:val="00324831"/>
    <w:rsid w:val="00326DAB"/>
    <w:rsid w:val="00327B57"/>
    <w:rsid w:val="00330ED4"/>
    <w:rsid w:val="0033158F"/>
    <w:rsid w:val="00332B1A"/>
    <w:rsid w:val="003341AF"/>
    <w:rsid w:val="00335984"/>
    <w:rsid w:val="00340540"/>
    <w:rsid w:val="003413A6"/>
    <w:rsid w:val="00343E5C"/>
    <w:rsid w:val="00344874"/>
    <w:rsid w:val="00344FB8"/>
    <w:rsid w:val="00350266"/>
    <w:rsid w:val="00350269"/>
    <w:rsid w:val="00350B30"/>
    <w:rsid w:val="0035141B"/>
    <w:rsid w:val="003522B9"/>
    <w:rsid w:val="00352BE9"/>
    <w:rsid w:val="0035358B"/>
    <w:rsid w:val="0035394D"/>
    <w:rsid w:val="00356FC7"/>
    <w:rsid w:val="0036017B"/>
    <w:rsid w:val="00360C54"/>
    <w:rsid w:val="00362755"/>
    <w:rsid w:val="00362E37"/>
    <w:rsid w:val="00362F11"/>
    <w:rsid w:val="00363189"/>
    <w:rsid w:val="00363AE4"/>
    <w:rsid w:val="00366E6F"/>
    <w:rsid w:val="00366FBC"/>
    <w:rsid w:val="00367FC3"/>
    <w:rsid w:val="00370C52"/>
    <w:rsid w:val="00370CD1"/>
    <w:rsid w:val="00372DDC"/>
    <w:rsid w:val="00373B93"/>
    <w:rsid w:val="003746B3"/>
    <w:rsid w:val="00375D54"/>
    <w:rsid w:val="00376155"/>
    <w:rsid w:val="00376165"/>
    <w:rsid w:val="00376A7E"/>
    <w:rsid w:val="00377CE6"/>
    <w:rsid w:val="00377E7C"/>
    <w:rsid w:val="00380CD1"/>
    <w:rsid w:val="00382DC6"/>
    <w:rsid w:val="00384662"/>
    <w:rsid w:val="003853CB"/>
    <w:rsid w:val="003870FB"/>
    <w:rsid w:val="0038739C"/>
    <w:rsid w:val="00387A3E"/>
    <w:rsid w:val="003919DE"/>
    <w:rsid w:val="003935B5"/>
    <w:rsid w:val="0039474E"/>
    <w:rsid w:val="00394A63"/>
    <w:rsid w:val="00396DD1"/>
    <w:rsid w:val="00397591"/>
    <w:rsid w:val="003A01B7"/>
    <w:rsid w:val="003A02CA"/>
    <w:rsid w:val="003A1602"/>
    <w:rsid w:val="003A2072"/>
    <w:rsid w:val="003A2AE1"/>
    <w:rsid w:val="003A2E1F"/>
    <w:rsid w:val="003A38F0"/>
    <w:rsid w:val="003A487C"/>
    <w:rsid w:val="003A5F66"/>
    <w:rsid w:val="003A6114"/>
    <w:rsid w:val="003A6FC6"/>
    <w:rsid w:val="003A7835"/>
    <w:rsid w:val="003B0A04"/>
    <w:rsid w:val="003B168F"/>
    <w:rsid w:val="003B4025"/>
    <w:rsid w:val="003B4B0D"/>
    <w:rsid w:val="003B79C1"/>
    <w:rsid w:val="003B7B3D"/>
    <w:rsid w:val="003C15EA"/>
    <w:rsid w:val="003C1983"/>
    <w:rsid w:val="003C32B0"/>
    <w:rsid w:val="003C4494"/>
    <w:rsid w:val="003C4663"/>
    <w:rsid w:val="003C51EB"/>
    <w:rsid w:val="003C5387"/>
    <w:rsid w:val="003D1203"/>
    <w:rsid w:val="003D3DBE"/>
    <w:rsid w:val="003D4157"/>
    <w:rsid w:val="003D4915"/>
    <w:rsid w:val="003D63CA"/>
    <w:rsid w:val="003E1C5B"/>
    <w:rsid w:val="003E26A9"/>
    <w:rsid w:val="003E4AFD"/>
    <w:rsid w:val="003E55FD"/>
    <w:rsid w:val="003E6716"/>
    <w:rsid w:val="003F069A"/>
    <w:rsid w:val="003F2C77"/>
    <w:rsid w:val="003F31B5"/>
    <w:rsid w:val="003F4329"/>
    <w:rsid w:val="003F4746"/>
    <w:rsid w:val="003F4A28"/>
    <w:rsid w:val="003F62A5"/>
    <w:rsid w:val="00401392"/>
    <w:rsid w:val="004017B2"/>
    <w:rsid w:val="00403C5F"/>
    <w:rsid w:val="004047E3"/>
    <w:rsid w:val="00406398"/>
    <w:rsid w:val="00406822"/>
    <w:rsid w:val="00406F83"/>
    <w:rsid w:val="00411B6C"/>
    <w:rsid w:val="00412534"/>
    <w:rsid w:val="00412C83"/>
    <w:rsid w:val="0041311F"/>
    <w:rsid w:val="00416874"/>
    <w:rsid w:val="00417A7B"/>
    <w:rsid w:val="004238FF"/>
    <w:rsid w:val="004239AE"/>
    <w:rsid w:val="00424409"/>
    <w:rsid w:val="00426014"/>
    <w:rsid w:val="00431468"/>
    <w:rsid w:val="00431CF7"/>
    <w:rsid w:val="00432C1D"/>
    <w:rsid w:val="00432F7A"/>
    <w:rsid w:val="00432FB5"/>
    <w:rsid w:val="004350D1"/>
    <w:rsid w:val="004369AA"/>
    <w:rsid w:val="0043755A"/>
    <w:rsid w:val="004378C7"/>
    <w:rsid w:val="00437D59"/>
    <w:rsid w:val="00440712"/>
    <w:rsid w:val="00441252"/>
    <w:rsid w:val="00442845"/>
    <w:rsid w:val="00443292"/>
    <w:rsid w:val="00443DD5"/>
    <w:rsid w:val="0044617E"/>
    <w:rsid w:val="004465FB"/>
    <w:rsid w:val="00447106"/>
    <w:rsid w:val="00447759"/>
    <w:rsid w:val="00450725"/>
    <w:rsid w:val="00452E4C"/>
    <w:rsid w:val="004533E8"/>
    <w:rsid w:val="00457688"/>
    <w:rsid w:val="00460491"/>
    <w:rsid w:val="0046078B"/>
    <w:rsid w:val="00460B7D"/>
    <w:rsid w:val="00464033"/>
    <w:rsid w:val="004663F9"/>
    <w:rsid w:val="00471169"/>
    <w:rsid w:val="00471DAF"/>
    <w:rsid w:val="004729E0"/>
    <w:rsid w:val="00476DC3"/>
    <w:rsid w:val="004801E1"/>
    <w:rsid w:val="00480CB0"/>
    <w:rsid w:val="004815F6"/>
    <w:rsid w:val="004832FD"/>
    <w:rsid w:val="0048332E"/>
    <w:rsid w:val="00483603"/>
    <w:rsid w:val="004842BE"/>
    <w:rsid w:val="00486F2D"/>
    <w:rsid w:val="00487E0D"/>
    <w:rsid w:val="0049085B"/>
    <w:rsid w:val="004917F2"/>
    <w:rsid w:val="00495165"/>
    <w:rsid w:val="00495563"/>
    <w:rsid w:val="0049674D"/>
    <w:rsid w:val="00496E12"/>
    <w:rsid w:val="0049761C"/>
    <w:rsid w:val="00497B79"/>
    <w:rsid w:val="004A0453"/>
    <w:rsid w:val="004A1EAD"/>
    <w:rsid w:val="004A3252"/>
    <w:rsid w:val="004A3E91"/>
    <w:rsid w:val="004A3ED0"/>
    <w:rsid w:val="004A4457"/>
    <w:rsid w:val="004A47BE"/>
    <w:rsid w:val="004A719F"/>
    <w:rsid w:val="004A77B7"/>
    <w:rsid w:val="004B0DE1"/>
    <w:rsid w:val="004B34EA"/>
    <w:rsid w:val="004B481B"/>
    <w:rsid w:val="004B5494"/>
    <w:rsid w:val="004B59AC"/>
    <w:rsid w:val="004B5C60"/>
    <w:rsid w:val="004B5DC4"/>
    <w:rsid w:val="004B6E9A"/>
    <w:rsid w:val="004C0DFD"/>
    <w:rsid w:val="004C1AA5"/>
    <w:rsid w:val="004C1E18"/>
    <w:rsid w:val="004C4175"/>
    <w:rsid w:val="004C43EF"/>
    <w:rsid w:val="004C7A2B"/>
    <w:rsid w:val="004C7BBB"/>
    <w:rsid w:val="004C7D3A"/>
    <w:rsid w:val="004D19D5"/>
    <w:rsid w:val="004D26E8"/>
    <w:rsid w:val="004D3114"/>
    <w:rsid w:val="004E0D32"/>
    <w:rsid w:val="004E4607"/>
    <w:rsid w:val="004E65F7"/>
    <w:rsid w:val="004F0545"/>
    <w:rsid w:val="004F22C7"/>
    <w:rsid w:val="004F2D11"/>
    <w:rsid w:val="004F3E5D"/>
    <w:rsid w:val="005003C1"/>
    <w:rsid w:val="005018A8"/>
    <w:rsid w:val="00505A39"/>
    <w:rsid w:val="00513362"/>
    <w:rsid w:val="005136E1"/>
    <w:rsid w:val="005163B5"/>
    <w:rsid w:val="00516643"/>
    <w:rsid w:val="0052369B"/>
    <w:rsid w:val="005240BF"/>
    <w:rsid w:val="00527277"/>
    <w:rsid w:val="00530AA0"/>
    <w:rsid w:val="005312EF"/>
    <w:rsid w:val="00534601"/>
    <w:rsid w:val="00534A6A"/>
    <w:rsid w:val="00534F9A"/>
    <w:rsid w:val="00537749"/>
    <w:rsid w:val="005447AD"/>
    <w:rsid w:val="00544CCF"/>
    <w:rsid w:val="00544CFE"/>
    <w:rsid w:val="00546946"/>
    <w:rsid w:val="005473B8"/>
    <w:rsid w:val="005477D2"/>
    <w:rsid w:val="005530A6"/>
    <w:rsid w:val="00553274"/>
    <w:rsid w:val="00554D1F"/>
    <w:rsid w:val="00555C13"/>
    <w:rsid w:val="005566BC"/>
    <w:rsid w:val="00556FF8"/>
    <w:rsid w:val="005628BA"/>
    <w:rsid w:val="00563E89"/>
    <w:rsid w:val="00571ADD"/>
    <w:rsid w:val="00572BFD"/>
    <w:rsid w:val="00580C9B"/>
    <w:rsid w:val="0058130F"/>
    <w:rsid w:val="00582372"/>
    <w:rsid w:val="0058342C"/>
    <w:rsid w:val="00585390"/>
    <w:rsid w:val="005856B3"/>
    <w:rsid w:val="00585CAA"/>
    <w:rsid w:val="00586579"/>
    <w:rsid w:val="00587096"/>
    <w:rsid w:val="00590D46"/>
    <w:rsid w:val="00591F9E"/>
    <w:rsid w:val="0059333D"/>
    <w:rsid w:val="00593484"/>
    <w:rsid w:val="005939A5"/>
    <w:rsid w:val="00593C83"/>
    <w:rsid w:val="005953D5"/>
    <w:rsid w:val="005960D5"/>
    <w:rsid w:val="0059644F"/>
    <w:rsid w:val="00597ED7"/>
    <w:rsid w:val="005A148C"/>
    <w:rsid w:val="005A28A7"/>
    <w:rsid w:val="005A320E"/>
    <w:rsid w:val="005A3F89"/>
    <w:rsid w:val="005A6EEA"/>
    <w:rsid w:val="005B5A5C"/>
    <w:rsid w:val="005B7CB9"/>
    <w:rsid w:val="005C0DB5"/>
    <w:rsid w:val="005C1318"/>
    <w:rsid w:val="005C1DC3"/>
    <w:rsid w:val="005C31C5"/>
    <w:rsid w:val="005C345B"/>
    <w:rsid w:val="005C4C52"/>
    <w:rsid w:val="005C58FA"/>
    <w:rsid w:val="005D0C07"/>
    <w:rsid w:val="005D1062"/>
    <w:rsid w:val="005D1480"/>
    <w:rsid w:val="005D2E13"/>
    <w:rsid w:val="005D41AE"/>
    <w:rsid w:val="005D6D2F"/>
    <w:rsid w:val="005E0409"/>
    <w:rsid w:val="005E18DB"/>
    <w:rsid w:val="005E2B6D"/>
    <w:rsid w:val="005E5424"/>
    <w:rsid w:val="005E6269"/>
    <w:rsid w:val="005E6D76"/>
    <w:rsid w:val="005F0168"/>
    <w:rsid w:val="005F2EB0"/>
    <w:rsid w:val="00600205"/>
    <w:rsid w:val="0060020D"/>
    <w:rsid w:val="00603238"/>
    <w:rsid w:val="00605BD3"/>
    <w:rsid w:val="006069A2"/>
    <w:rsid w:val="00610056"/>
    <w:rsid w:val="0061358F"/>
    <w:rsid w:val="0061761F"/>
    <w:rsid w:val="006256AE"/>
    <w:rsid w:val="006260C5"/>
    <w:rsid w:val="006275B3"/>
    <w:rsid w:val="00632207"/>
    <w:rsid w:val="00632BC2"/>
    <w:rsid w:val="00633EC3"/>
    <w:rsid w:val="0063491C"/>
    <w:rsid w:val="00634F5C"/>
    <w:rsid w:val="006362D8"/>
    <w:rsid w:val="00637CDF"/>
    <w:rsid w:val="00640191"/>
    <w:rsid w:val="00641276"/>
    <w:rsid w:val="00641A5C"/>
    <w:rsid w:val="0065009D"/>
    <w:rsid w:val="00650A8F"/>
    <w:rsid w:val="0065150D"/>
    <w:rsid w:val="006523EC"/>
    <w:rsid w:val="00652EC7"/>
    <w:rsid w:val="00652FDD"/>
    <w:rsid w:val="0065563A"/>
    <w:rsid w:val="006562C7"/>
    <w:rsid w:val="00661AFE"/>
    <w:rsid w:val="00661FA1"/>
    <w:rsid w:val="00662B6E"/>
    <w:rsid w:val="006636DD"/>
    <w:rsid w:val="00663D49"/>
    <w:rsid w:val="00665597"/>
    <w:rsid w:val="00667016"/>
    <w:rsid w:val="00672424"/>
    <w:rsid w:val="006739CD"/>
    <w:rsid w:val="006767EB"/>
    <w:rsid w:val="00676A49"/>
    <w:rsid w:val="00676DDB"/>
    <w:rsid w:val="00676DE5"/>
    <w:rsid w:val="00677481"/>
    <w:rsid w:val="00680F19"/>
    <w:rsid w:val="00681049"/>
    <w:rsid w:val="00681B64"/>
    <w:rsid w:val="006820E9"/>
    <w:rsid w:val="006826D5"/>
    <w:rsid w:val="006827EF"/>
    <w:rsid w:val="00683B2C"/>
    <w:rsid w:val="00684A93"/>
    <w:rsid w:val="006853FF"/>
    <w:rsid w:val="0068637E"/>
    <w:rsid w:val="00686884"/>
    <w:rsid w:val="00686D27"/>
    <w:rsid w:val="00687BAB"/>
    <w:rsid w:val="0069283D"/>
    <w:rsid w:val="00693503"/>
    <w:rsid w:val="00694476"/>
    <w:rsid w:val="00694DEC"/>
    <w:rsid w:val="006971D3"/>
    <w:rsid w:val="00697BEE"/>
    <w:rsid w:val="006A448A"/>
    <w:rsid w:val="006B0EDB"/>
    <w:rsid w:val="006B1222"/>
    <w:rsid w:val="006B2555"/>
    <w:rsid w:val="006B65F0"/>
    <w:rsid w:val="006B7D08"/>
    <w:rsid w:val="006C1F10"/>
    <w:rsid w:val="006C2042"/>
    <w:rsid w:val="006C2961"/>
    <w:rsid w:val="006C3642"/>
    <w:rsid w:val="006C3D6E"/>
    <w:rsid w:val="006C50DE"/>
    <w:rsid w:val="006C615C"/>
    <w:rsid w:val="006C65DD"/>
    <w:rsid w:val="006D1F01"/>
    <w:rsid w:val="006D3343"/>
    <w:rsid w:val="006D4147"/>
    <w:rsid w:val="006D4B54"/>
    <w:rsid w:val="006D4FEF"/>
    <w:rsid w:val="006D531D"/>
    <w:rsid w:val="006D572E"/>
    <w:rsid w:val="006D6D05"/>
    <w:rsid w:val="006E030D"/>
    <w:rsid w:val="006E0E22"/>
    <w:rsid w:val="006E0F51"/>
    <w:rsid w:val="006E2FC2"/>
    <w:rsid w:val="006E3B3B"/>
    <w:rsid w:val="006E4244"/>
    <w:rsid w:val="006E45A0"/>
    <w:rsid w:val="006E4F27"/>
    <w:rsid w:val="006E5D68"/>
    <w:rsid w:val="006E5E28"/>
    <w:rsid w:val="006E6574"/>
    <w:rsid w:val="006E7501"/>
    <w:rsid w:val="006E7763"/>
    <w:rsid w:val="006F0F1B"/>
    <w:rsid w:val="006F41B7"/>
    <w:rsid w:val="006F4946"/>
    <w:rsid w:val="006F64EA"/>
    <w:rsid w:val="006F71AE"/>
    <w:rsid w:val="00701767"/>
    <w:rsid w:val="007022D2"/>
    <w:rsid w:val="00704942"/>
    <w:rsid w:val="00711275"/>
    <w:rsid w:val="00711334"/>
    <w:rsid w:val="00713653"/>
    <w:rsid w:val="00714CF2"/>
    <w:rsid w:val="00714F91"/>
    <w:rsid w:val="007156B9"/>
    <w:rsid w:val="00720326"/>
    <w:rsid w:val="00720817"/>
    <w:rsid w:val="00721ED6"/>
    <w:rsid w:val="00722850"/>
    <w:rsid w:val="007230DA"/>
    <w:rsid w:val="0072662E"/>
    <w:rsid w:val="007279F0"/>
    <w:rsid w:val="0073353F"/>
    <w:rsid w:val="00734EAE"/>
    <w:rsid w:val="00735A91"/>
    <w:rsid w:val="00736CAB"/>
    <w:rsid w:val="007409E2"/>
    <w:rsid w:val="00740BFD"/>
    <w:rsid w:val="00741228"/>
    <w:rsid w:val="007417AD"/>
    <w:rsid w:val="00741F6D"/>
    <w:rsid w:val="00742E45"/>
    <w:rsid w:val="007447AF"/>
    <w:rsid w:val="00744A8E"/>
    <w:rsid w:val="0075011B"/>
    <w:rsid w:val="00750816"/>
    <w:rsid w:val="00750927"/>
    <w:rsid w:val="007519B7"/>
    <w:rsid w:val="007539D6"/>
    <w:rsid w:val="0075439E"/>
    <w:rsid w:val="00762790"/>
    <w:rsid w:val="00764B10"/>
    <w:rsid w:val="007657C1"/>
    <w:rsid w:val="007662B5"/>
    <w:rsid w:val="00766B75"/>
    <w:rsid w:val="00766E96"/>
    <w:rsid w:val="00767B41"/>
    <w:rsid w:val="00767C5C"/>
    <w:rsid w:val="00770847"/>
    <w:rsid w:val="00771468"/>
    <w:rsid w:val="007726F0"/>
    <w:rsid w:val="0077755F"/>
    <w:rsid w:val="00780167"/>
    <w:rsid w:val="007831B4"/>
    <w:rsid w:val="007832D5"/>
    <w:rsid w:val="00784DF9"/>
    <w:rsid w:val="00786498"/>
    <w:rsid w:val="00786E13"/>
    <w:rsid w:val="00787792"/>
    <w:rsid w:val="00790A64"/>
    <w:rsid w:val="00792038"/>
    <w:rsid w:val="007925B6"/>
    <w:rsid w:val="00796F9E"/>
    <w:rsid w:val="007A406D"/>
    <w:rsid w:val="007A532C"/>
    <w:rsid w:val="007A571E"/>
    <w:rsid w:val="007A5C23"/>
    <w:rsid w:val="007A62B0"/>
    <w:rsid w:val="007B22C7"/>
    <w:rsid w:val="007B2516"/>
    <w:rsid w:val="007B27FB"/>
    <w:rsid w:val="007B29F0"/>
    <w:rsid w:val="007B3FF1"/>
    <w:rsid w:val="007C31E3"/>
    <w:rsid w:val="007C340D"/>
    <w:rsid w:val="007C3512"/>
    <w:rsid w:val="007C4857"/>
    <w:rsid w:val="007C5A0C"/>
    <w:rsid w:val="007D0C28"/>
    <w:rsid w:val="007D0CAB"/>
    <w:rsid w:val="007D12F7"/>
    <w:rsid w:val="007D2A26"/>
    <w:rsid w:val="007D31BD"/>
    <w:rsid w:val="007D5B55"/>
    <w:rsid w:val="007D6989"/>
    <w:rsid w:val="007D7A86"/>
    <w:rsid w:val="007D7C64"/>
    <w:rsid w:val="007E0FEE"/>
    <w:rsid w:val="007E2055"/>
    <w:rsid w:val="007E2ED6"/>
    <w:rsid w:val="007E3663"/>
    <w:rsid w:val="007E64B1"/>
    <w:rsid w:val="007E6CA8"/>
    <w:rsid w:val="007F2017"/>
    <w:rsid w:val="007F4A7A"/>
    <w:rsid w:val="007F51E0"/>
    <w:rsid w:val="00800F9F"/>
    <w:rsid w:val="0080390E"/>
    <w:rsid w:val="00804091"/>
    <w:rsid w:val="00806FEB"/>
    <w:rsid w:val="008077DA"/>
    <w:rsid w:val="00811352"/>
    <w:rsid w:val="00812528"/>
    <w:rsid w:val="0081364A"/>
    <w:rsid w:val="008159CF"/>
    <w:rsid w:val="00816E05"/>
    <w:rsid w:val="00825362"/>
    <w:rsid w:val="00826386"/>
    <w:rsid w:val="0083005F"/>
    <w:rsid w:val="008339BB"/>
    <w:rsid w:val="00833A70"/>
    <w:rsid w:val="008343E3"/>
    <w:rsid w:val="008351E0"/>
    <w:rsid w:val="008405E1"/>
    <w:rsid w:val="00840690"/>
    <w:rsid w:val="00840A63"/>
    <w:rsid w:val="008417D2"/>
    <w:rsid w:val="0084390A"/>
    <w:rsid w:val="00844E01"/>
    <w:rsid w:val="00845316"/>
    <w:rsid w:val="00850D0D"/>
    <w:rsid w:val="008571C6"/>
    <w:rsid w:val="008605A9"/>
    <w:rsid w:val="008606DD"/>
    <w:rsid w:val="008612BA"/>
    <w:rsid w:val="008634F7"/>
    <w:rsid w:val="0086419A"/>
    <w:rsid w:val="00866957"/>
    <w:rsid w:val="0086784A"/>
    <w:rsid w:val="00867E0E"/>
    <w:rsid w:val="0087023B"/>
    <w:rsid w:val="0087106E"/>
    <w:rsid w:val="00871A1A"/>
    <w:rsid w:val="00875C77"/>
    <w:rsid w:val="00875E39"/>
    <w:rsid w:val="00877BCE"/>
    <w:rsid w:val="00883312"/>
    <w:rsid w:val="008838FD"/>
    <w:rsid w:val="00884E06"/>
    <w:rsid w:val="008854E9"/>
    <w:rsid w:val="008921BA"/>
    <w:rsid w:val="00893D98"/>
    <w:rsid w:val="00893E73"/>
    <w:rsid w:val="00896641"/>
    <w:rsid w:val="008A08BF"/>
    <w:rsid w:val="008A179F"/>
    <w:rsid w:val="008B0864"/>
    <w:rsid w:val="008B175A"/>
    <w:rsid w:val="008B5F6D"/>
    <w:rsid w:val="008B6753"/>
    <w:rsid w:val="008B689A"/>
    <w:rsid w:val="008C0F3B"/>
    <w:rsid w:val="008C265B"/>
    <w:rsid w:val="008C2CEB"/>
    <w:rsid w:val="008C3CB7"/>
    <w:rsid w:val="008C449B"/>
    <w:rsid w:val="008C4A62"/>
    <w:rsid w:val="008C5AE9"/>
    <w:rsid w:val="008C5D3A"/>
    <w:rsid w:val="008C6735"/>
    <w:rsid w:val="008C7413"/>
    <w:rsid w:val="008D16B7"/>
    <w:rsid w:val="008D216B"/>
    <w:rsid w:val="008D2D76"/>
    <w:rsid w:val="008D40F7"/>
    <w:rsid w:val="008D5AD6"/>
    <w:rsid w:val="008D7687"/>
    <w:rsid w:val="008E2775"/>
    <w:rsid w:val="008E2D0F"/>
    <w:rsid w:val="008E3A17"/>
    <w:rsid w:val="008E41F7"/>
    <w:rsid w:val="008E4486"/>
    <w:rsid w:val="008E4CDF"/>
    <w:rsid w:val="008E57D6"/>
    <w:rsid w:val="008E6AE6"/>
    <w:rsid w:val="008E7C5F"/>
    <w:rsid w:val="008E7EAE"/>
    <w:rsid w:val="008F0116"/>
    <w:rsid w:val="008F143D"/>
    <w:rsid w:val="008F1919"/>
    <w:rsid w:val="008F4A7D"/>
    <w:rsid w:val="008F5734"/>
    <w:rsid w:val="00901641"/>
    <w:rsid w:val="0090180C"/>
    <w:rsid w:val="0090298E"/>
    <w:rsid w:val="00902FE8"/>
    <w:rsid w:val="0090368A"/>
    <w:rsid w:val="00904606"/>
    <w:rsid w:val="00905458"/>
    <w:rsid w:val="00907BD5"/>
    <w:rsid w:val="00910CCB"/>
    <w:rsid w:val="00911348"/>
    <w:rsid w:val="009144F9"/>
    <w:rsid w:val="00914545"/>
    <w:rsid w:val="00914FB7"/>
    <w:rsid w:val="0091595A"/>
    <w:rsid w:val="009165B2"/>
    <w:rsid w:val="0091767E"/>
    <w:rsid w:val="00923AE3"/>
    <w:rsid w:val="00925F7E"/>
    <w:rsid w:val="00926C3B"/>
    <w:rsid w:val="00931387"/>
    <w:rsid w:val="00932168"/>
    <w:rsid w:val="00932865"/>
    <w:rsid w:val="00932FFB"/>
    <w:rsid w:val="00936136"/>
    <w:rsid w:val="00937C4A"/>
    <w:rsid w:val="009437EC"/>
    <w:rsid w:val="00946819"/>
    <w:rsid w:val="00947691"/>
    <w:rsid w:val="009536F8"/>
    <w:rsid w:val="00955905"/>
    <w:rsid w:val="009561BE"/>
    <w:rsid w:val="00957159"/>
    <w:rsid w:val="00960A93"/>
    <w:rsid w:val="00961883"/>
    <w:rsid w:val="00961CFE"/>
    <w:rsid w:val="00963458"/>
    <w:rsid w:val="00963D53"/>
    <w:rsid w:val="009651CC"/>
    <w:rsid w:val="00965AE5"/>
    <w:rsid w:val="009661CF"/>
    <w:rsid w:val="009748B5"/>
    <w:rsid w:val="00976E40"/>
    <w:rsid w:val="00977677"/>
    <w:rsid w:val="00980A60"/>
    <w:rsid w:val="0098138E"/>
    <w:rsid w:val="00981A21"/>
    <w:rsid w:val="00983486"/>
    <w:rsid w:val="0098421F"/>
    <w:rsid w:val="0098655A"/>
    <w:rsid w:val="0099493A"/>
    <w:rsid w:val="00995238"/>
    <w:rsid w:val="009965DF"/>
    <w:rsid w:val="009A0E3B"/>
    <w:rsid w:val="009A3471"/>
    <w:rsid w:val="009A4112"/>
    <w:rsid w:val="009A515A"/>
    <w:rsid w:val="009A614B"/>
    <w:rsid w:val="009A65F9"/>
    <w:rsid w:val="009A6E36"/>
    <w:rsid w:val="009A7D50"/>
    <w:rsid w:val="009A7E03"/>
    <w:rsid w:val="009B0FCE"/>
    <w:rsid w:val="009B3699"/>
    <w:rsid w:val="009B5774"/>
    <w:rsid w:val="009C4174"/>
    <w:rsid w:val="009C50EF"/>
    <w:rsid w:val="009C58E9"/>
    <w:rsid w:val="009C6483"/>
    <w:rsid w:val="009C7EA6"/>
    <w:rsid w:val="009C7FA5"/>
    <w:rsid w:val="009D1A75"/>
    <w:rsid w:val="009D34F8"/>
    <w:rsid w:val="009D3EA2"/>
    <w:rsid w:val="009D5ECB"/>
    <w:rsid w:val="009D639D"/>
    <w:rsid w:val="009D6603"/>
    <w:rsid w:val="009E0B62"/>
    <w:rsid w:val="009E2834"/>
    <w:rsid w:val="009E34EB"/>
    <w:rsid w:val="009E36D1"/>
    <w:rsid w:val="009E389B"/>
    <w:rsid w:val="009E410F"/>
    <w:rsid w:val="009E6052"/>
    <w:rsid w:val="009E7C7F"/>
    <w:rsid w:val="00A0084D"/>
    <w:rsid w:val="00A021A5"/>
    <w:rsid w:val="00A05292"/>
    <w:rsid w:val="00A065D8"/>
    <w:rsid w:val="00A06F63"/>
    <w:rsid w:val="00A11C94"/>
    <w:rsid w:val="00A11D9A"/>
    <w:rsid w:val="00A146E5"/>
    <w:rsid w:val="00A14B7A"/>
    <w:rsid w:val="00A14D25"/>
    <w:rsid w:val="00A1612D"/>
    <w:rsid w:val="00A17CE0"/>
    <w:rsid w:val="00A17F25"/>
    <w:rsid w:val="00A22702"/>
    <w:rsid w:val="00A2346B"/>
    <w:rsid w:val="00A23670"/>
    <w:rsid w:val="00A23D48"/>
    <w:rsid w:val="00A245C9"/>
    <w:rsid w:val="00A25B4E"/>
    <w:rsid w:val="00A25C99"/>
    <w:rsid w:val="00A262BA"/>
    <w:rsid w:val="00A274E5"/>
    <w:rsid w:val="00A301A4"/>
    <w:rsid w:val="00A30958"/>
    <w:rsid w:val="00A35C05"/>
    <w:rsid w:val="00A3657F"/>
    <w:rsid w:val="00A41AE0"/>
    <w:rsid w:val="00A42306"/>
    <w:rsid w:val="00A43904"/>
    <w:rsid w:val="00A44E8D"/>
    <w:rsid w:val="00A4535A"/>
    <w:rsid w:val="00A46694"/>
    <w:rsid w:val="00A46742"/>
    <w:rsid w:val="00A46EA8"/>
    <w:rsid w:val="00A522BF"/>
    <w:rsid w:val="00A52A8E"/>
    <w:rsid w:val="00A547D7"/>
    <w:rsid w:val="00A54CE9"/>
    <w:rsid w:val="00A55ACD"/>
    <w:rsid w:val="00A57331"/>
    <w:rsid w:val="00A576AC"/>
    <w:rsid w:val="00A64A34"/>
    <w:rsid w:val="00A64DB6"/>
    <w:rsid w:val="00A656A1"/>
    <w:rsid w:val="00A6693A"/>
    <w:rsid w:val="00A70356"/>
    <w:rsid w:val="00A70424"/>
    <w:rsid w:val="00A70C91"/>
    <w:rsid w:val="00A70E22"/>
    <w:rsid w:val="00A714E8"/>
    <w:rsid w:val="00A721CE"/>
    <w:rsid w:val="00A731FD"/>
    <w:rsid w:val="00A7321B"/>
    <w:rsid w:val="00A735E7"/>
    <w:rsid w:val="00A75EF8"/>
    <w:rsid w:val="00A81129"/>
    <w:rsid w:val="00A83AFC"/>
    <w:rsid w:val="00A8593A"/>
    <w:rsid w:val="00A85D27"/>
    <w:rsid w:val="00A8656E"/>
    <w:rsid w:val="00A954DD"/>
    <w:rsid w:val="00A97DC2"/>
    <w:rsid w:val="00AA059B"/>
    <w:rsid w:val="00AA1710"/>
    <w:rsid w:val="00AA3858"/>
    <w:rsid w:val="00AA395E"/>
    <w:rsid w:val="00AA4AB0"/>
    <w:rsid w:val="00AB002C"/>
    <w:rsid w:val="00AB6063"/>
    <w:rsid w:val="00AB69AB"/>
    <w:rsid w:val="00AB7875"/>
    <w:rsid w:val="00AC00A5"/>
    <w:rsid w:val="00AC0DC9"/>
    <w:rsid w:val="00AC2ED0"/>
    <w:rsid w:val="00AC54F0"/>
    <w:rsid w:val="00AC68EE"/>
    <w:rsid w:val="00AD0E3F"/>
    <w:rsid w:val="00AD0F0F"/>
    <w:rsid w:val="00AD0F3B"/>
    <w:rsid w:val="00AD38CF"/>
    <w:rsid w:val="00AD6BAA"/>
    <w:rsid w:val="00AE032B"/>
    <w:rsid w:val="00AE1A9F"/>
    <w:rsid w:val="00AE3BEB"/>
    <w:rsid w:val="00AE4175"/>
    <w:rsid w:val="00AE461E"/>
    <w:rsid w:val="00AE4FDD"/>
    <w:rsid w:val="00AE5E2D"/>
    <w:rsid w:val="00AF1E64"/>
    <w:rsid w:val="00AF1F4F"/>
    <w:rsid w:val="00AF4816"/>
    <w:rsid w:val="00AF484C"/>
    <w:rsid w:val="00AF5F6C"/>
    <w:rsid w:val="00AF71A5"/>
    <w:rsid w:val="00B01493"/>
    <w:rsid w:val="00B01F7E"/>
    <w:rsid w:val="00B033E9"/>
    <w:rsid w:val="00B05FCE"/>
    <w:rsid w:val="00B0703A"/>
    <w:rsid w:val="00B12C95"/>
    <w:rsid w:val="00B14E4B"/>
    <w:rsid w:val="00B1542C"/>
    <w:rsid w:val="00B16C2A"/>
    <w:rsid w:val="00B17D12"/>
    <w:rsid w:val="00B22026"/>
    <w:rsid w:val="00B2236E"/>
    <w:rsid w:val="00B2265B"/>
    <w:rsid w:val="00B22EDA"/>
    <w:rsid w:val="00B2329B"/>
    <w:rsid w:val="00B23C00"/>
    <w:rsid w:val="00B2599C"/>
    <w:rsid w:val="00B2660C"/>
    <w:rsid w:val="00B30801"/>
    <w:rsid w:val="00B3087D"/>
    <w:rsid w:val="00B3165F"/>
    <w:rsid w:val="00B34639"/>
    <w:rsid w:val="00B34794"/>
    <w:rsid w:val="00B413FB"/>
    <w:rsid w:val="00B41655"/>
    <w:rsid w:val="00B41BFE"/>
    <w:rsid w:val="00B426FC"/>
    <w:rsid w:val="00B5176D"/>
    <w:rsid w:val="00B56668"/>
    <w:rsid w:val="00B6032B"/>
    <w:rsid w:val="00B60421"/>
    <w:rsid w:val="00B60489"/>
    <w:rsid w:val="00B60B57"/>
    <w:rsid w:val="00B61ED9"/>
    <w:rsid w:val="00B62B8E"/>
    <w:rsid w:val="00B63B02"/>
    <w:rsid w:val="00B63F73"/>
    <w:rsid w:val="00B6486A"/>
    <w:rsid w:val="00B64989"/>
    <w:rsid w:val="00B64C71"/>
    <w:rsid w:val="00B71817"/>
    <w:rsid w:val="00B71E11"/>
    <w:rsid w:val="00B73179"/>
    <w:rsid w:val="00B73BC7"/>
    <w:rsid w:val="00B75B0C"/>
    <w:rsid w:val="00B81EB4"/>
    <w:rsid w:val="00B81EB6"/>
    <w:rsid w:val="00B8213A"/>
    <w:rsid w:val="00B82DD1"/>
    <w:rsid w:val="00B841ED"/>
    <w:rsid w:val="00B84DE3"/>
    <w:rsid w:val="00B86A4C"/>
    <w:rsid w:val="00B92FF4"/>
    <w:rsid w:val="00B93842"/>
    <w:rsid w:val="00B93919"/>
    <w:rsid w:val="00B944C0"/>
    <w:rsid w:val="00B9453D"/>
    <w:rsid w:val="00B97FCF"/>
    <w:rsid w:val="00BA1683"/>
    <w:rsid w:val="00BA26BF"/>
    <w:rsid w:val="00BA3299"/>
    <w:rsid w:val="00BA4631"/>
    <w:rsid w:val="00BA5F3F"/>
    <w:rsid w:val="00BA5F71"/>
    <w:rsid w:val="00BA60A9"/>
    <w:rsid w:val="00BA7AE9"/>
    <w:rsid w:val="00BB0243"/>
    <w:rsid w:val="00BB1A90"/>
    <w:rsid w:val="00BB2E22"/>
    <w:rsid w:val="00BB3695"/>
    <w:rsid w:val="00BB5F2C"/>
    <w:rsid w:val="00BB6EC9"/>
    <w:rsid w:val="00BB7115"/>
    <w:rsid w:val="00BC05D4"/>
    <w:rsid w:val="00BC0A1D"/>
    <w:rsid w:val="00BC2F17"/>
    <w:rsid w:val="00BC7F81"/>
    <w:rsid w:val="00BD0C0B"/>
    <w:rsid w:val="00BD20AE"/>
    <w:rsid w:val="00BD44E6"/>
    <w:rsid w:val="00BD5F26"/>
    <w:rsid w:val="00BD60A7"/>
    <w:rsid w:val="00BD6D81"/>
    <w:rsid w:val="00BD7840"/>
    <w:rsid w:val="00BE5C39"/>
    <w:rsid w:val="00BE70F4"/>
    <w:rsid w:val="00BF0AF1"/>
    <w:rsid w:val="00BF0F15"/>
    <w:rsid w:val="00BF25D5"/>
    <w:rsid w:val="00BF29CD"/>
    <w:rsid w:val="00BF35E4"/>
    <w:rsid w:val="00BF3A8C"/>
    <w:rsid w:val="00BF56B7"/>
    <w:rsid w:val="00BF73CD"/>
    <w:rsid w:val="00BF79E6"/>
    <w:rsid w:val="00BF7ABB"/>
    <w:rsid w:val="00C00CC8"/>
    <w:rsid w:val="00C025AB"/>
    <w:rsid w:val="00C032A1"/>
    <w:rsid w:val="00C04D34"/>
    <w:rsid w:val="00C04F48"/>
    <w:rsid w:val="00C10718"/>
    <w:rsid w:val="00C10B5F"/>
    <w:rsid w:val="00C136A1"/>
    <w:rsid w:val="00C15C3C"/>
    <w:rsid w:val="00C161D9"/>
    <w:rsid w:val="00C16D13"/>
    <w:rsid w:val="00C22D5A"/>
    <w:rsid w:val="00C31070"/>
    <w:rsid w:val="00C33505"/>
    <w:rsid w:val="00C35C99"/>
    <w:rsid w:val="00C37767"/>
    <w:rsid w:val="00C37F6D"/>
    <w:rsid w:val="00C41177"/>
    <w:rsid w:val="00C41304"/>
    <w:rsid w:val="00C415FB"/>
    <w:rsid w:val="00C428A1"/>
    <w:rsid w:val="00C43378"/>
    <w:rsid w:val="00C443C8"/>
    <w:rsid w:val="00C45DA0"/>
    <w:rsid w:val="00C51452"/>
    <w:rsid w:val="00C51A22"/>
    <w:rsid w:val="00C54CC5"/>
    <w:rsid w:val="00C5785F"/>
    <w:rsid w:val="00C602D6"/>
    <w:rsid w:val="00C6041A"/>
    <w:rsid w:val="00C61105"/>
    <w:rsid w:val="00C623A3"/>
    <w:rsid w:val="00C63221"/>
    <w:rsid w:val="00C724A6"/>
    <w:rsid w:val="00C728B5"/>
    <w:rsid w:val="00C73DB1"/>
    <w:rsid w:val="00C74317"/>
    <w:rsid w:val="00C74A50"/>
    <w:rsid w:val="00C74FB7"/>
    <w:rsid w:val="00C812B6"/>
    <w:rsid w:val="00C847BA"/>
    <w:rsid w:val="00C859AD"/>
    <w:rsid w:val="00C86371"/>
    <w:rsid w:val="00C863B2"/>
    <w:rsid w:val="00C86836"/>
    <w:rsid w:val="00C878D5"/>
    <w:rsid w:val="00C87C98"/>
    <w:rsid w:val="00C9033B"/>
    <w:rsid w:val="00C9129B"/>
    <w:rsid w:val="00C913A1"/>
    <w:rsid w:val="00C931BF"/>
    <w:rsid w:val="00C95F0A"/>
    <w:rsid w:val="00C966DC"/>
    <w:rsid w:val="00C97AE4"/>
    <w:rsid w:val="00CA02AB"/>
    <w:rsid w:val="00CA2EAA"/>
    <w:rsid w:val="00CA4B88"/>
    <w:rsid w:val="00CB010E"/>
    <w:rsid w:val="00CB02FE"/>
    <w:rsid w:val="00CB1D84"/>
    <w:rsid w:val="00CB1FE1"/>
    <w:rsid w:val="00CB2EB0"/>
    <w:rsid w:val="00CB3460"/>
    <w:rsid w:val="00CB6F7E"/>
    <w:rsid w:val="00CB7759"/>
    <w:rsid w:val="00CC1BEF"/>
    <w:rsid w:val="00CC361A"/>
    <w:rsid w:val="00CC3D5B"/>
    <w:rsid w:val="00CC44AF"/>
    <w:rsid w:val="00CC6A99"/>
    <w:rsid w:val="00CC7C19"/>
    <w:rsid w:val="00CD0257"/>
    <w:rsid w:val="00CD0314"/>
    <w:rsid w:val="00CD1C11"/>
    <w:rsid w:val="00CD2397"/>
    <w:rsid w:val="00CD2584"/>
    <w:rsid w:val="00CD32FF"/>
    <w:rsid w:val="00CD34CA"/>
    <w:rsid w:val="00CD6D9A"/>
    <w:rsid w:val="00CD78B8"/>
    <w:rsid w:val="00CD7A4F"/>
    <w:rsid w:val="00CE0663"/>
    <w:rsid w:val="00CE1229"/>
    <w:rsid w:val="00CE22BC"/>
    <w:rsid w:val="00CE234C"/>
    <w:rsid w:val="00CE263A"/>
    <w:rsid w:val="00CE57A7"/>
    <w:rsid w:val="00CE5A5C"/>
    <w:rsid w:val="00CE5FE8"/>
    <w:rsid w:val="00CE603C"/>
    <w:rsid w:val="00CE6E79"/>
    <w:rsid w:val="00CE790F"/>
    <w:rsid w:val="00CE7D58"/>
    <w:rsid w:val="00CF1D9F"/>
    <w:rsid w:val="00CF1DB3"/>
    <w:rsid w:val="00CF280F"/>
    <w:rsid w:val="00CF3B4B"/>
    <w:rsid w:val="00CF405F"/>
    <w:rsid w:val="00CF59A6"/>
    <w:rsid w:val="00CF5A50"/>
    <w:rsid w:val="00CF5D27"/>
    <w:rsid w:val="00CF6712"/>
    <w:rsid w:val="00D00AA3"/>
    <w:rsid w:val="00D00BEC"/>
    <w:rsid w:val="00D01155"/>
    <w:rsid w:val="00D033A6"/>
    <w:rsid w:val="00D0504E"/>
    <w:rsid w:val="00D0530D"/>
    <w:rsid w:val="00D068F2"/>
    <w:rsid w:val="00D07067"/>
    <w:rsid w:val="00D07F73"/>
    <w:rsid w:val="00D110D1"/>
    <w:rsid w:val="00D115E8"/>
    <w:rsid w:val="00D12B8C"/>
    <w:rsid w:val="00D13669"/>
    <w:rsid w:val="00D14844"/>
    <w:rsid w:val="00D14BB4"/>
    <w:rsid w:val="00D159D1"/>
    <w:rsid w:val="00D1726D"/>
    <w:rsid w:val="00D200A2"/>
    <w:rsid w:val="00D2041C"/>
    <w:rsid w:val="00D2101D"/>
    <w:rsid w:val="00D244BA"/>
    <w:rsid w:val="00D246E5"/>
    <w:rsid w:val="00D25ADE"/>
    <w:rsid w:val="00D26019"/>
    <w:rsid w:val="00D30787"/>
    <w:rsid w:val="00D3246E"/>
    <w:rsid w:val="00D4064F"/>
    <w:rsid w:val="00D415DD"/>
    <w:rsid w:val="00D43297"/>
    <w:rsid w:val="00D447FA"/>
    <w:rsid w:val="00D44DB6"/>
    <w:rsid w:val="00D46E5D"/>
    <w:rsid w:val="00D47256"/>
    <w:rsid w:val="00D50119"/>
    <w:rsid w:val="00D52C8C"/>
    <w:rsid w:val="00D54EA5"/>
    <w:rsid w:val="00D56DAD"/>
    <w:rsid w:val="00D6160F"/>
    <w:rsid w:val="00D65F01"/>
    <w:rsid w:val="00D665C0"/>
    <w:rsid w:val="00D673DA"/>
    <w:rsid w:val="00D724CF"/>
    <w:rsid w:val="00D7489C"/>
    <w:rsid w:val="00D756AB"/>
    <w:rsid w:val="00D800B8"/>
    <w:rsid w:val="00D82951"/>
    <w:rsid w:val="00D82A43"/>
    <w:rsid w:val="00D916E3"/>
    <w:rsid w:val="00D92458"/>
    <w:rsid w:val="00D94941"/>
    <w:rsid w:val="00DA3206"/>
    <w:rsid w:val="00DA5959"/>
    <w:rsid w:val="00DA7B5D"/>
    <w:rsid w:val="00DB0ED5"/>
    <w:rsid w:val="00DB0FF2"/>
    <w:rsid w:val="00DB102A"/>
    <w:rsid w:val="00DB394A"/>
    <w:rsid w:val="00DC0BA1"/>
    <w:rsid w:val="00DC3693"/>
    <w:rsid w:val="00DC4721"/>
    <w:rsid w:val="00DC6CCA"/>
    <w:rsid w:val="00DC732F"/>
    <w:rsid w:val="00DC791D"/>
    <w:rsid w:val="00DD1699"/>
    <w:rsid w:val="00DD3F66"/>
    <w:rsid w:val="00DD56B7"/>
    <w:rsid w:val="00DE3956"/>
    <w:rsid w:val="00DE4206"/>
    <w:rsid w:val="00DE420A"/>
    <w:rsid w:val="00DE4454"/>
    <w:rsid w:val="00DE6E92"/>
    <w:rsid w:val="00DF58E7"/>
    <w:rsid w:val="00DF5DA1"/>
    <w:rsid w:val="00DF6808"/>
    <w:rsid w:val="00DF7FBD"/>
    <w:rsid w:val="00E003DB"/>
    <w:rsid w:val="00E00926"/>
    <w:rsid w:val="00E0199E"/>
    <w:rsid w:val="00E028EB"/>
    <w:rsid w:val="00E032A0"/>
    <w:rsid w:val="00E06952"/>
    <w:rsid w:val="00E06CC5"/>
    <w:rsid w:val="00E07F45"/>
    <w:rsid w:val="00E105A6"/>
    <w:rsid w:val="00E10B79"/>
    <w:rsid w:val="00E10D3B"/>
    <w:rsid w:val="00E11674"/>
    <w:rsid w:val="00E11876"/>
    <w:rsid w:val="00E1224B"/>
    <w:rsid w:val="00E13B24"/>
    <w:rsid w:val="00E15106"/>
    <w:rsid w:val="00E20FF9"/>
    <w:rsid w:val="00E237AC"/>
    <w:rsid w:val="00E23CBB"/>
    <w:rsid w:val="00E23F02"/>
    <w:rsid w:val="00E306A0"/>
    <w:rsid w:val="00E3073C"/>
    <w:rsid w:val="00E32CD3"/>
    <w:rsid w:val="00E33BC3"/>
    <w:rsid w:val="00E37625"/>
    <w:rsid w:val="00E37B59"/>
    <w:rsid w:val="00E40F68"/>
    <w:rsid w:val="00E441A0"/>
    <w:rsid w:val="00E4431F"/>
    <w:rsid w:val="00E47FF5"/>
    <w:rsid w:val="00E50508"/>
    <w:rsid w:val="00E51645"/>
    <w:rsid w:val="00E53438"/>
    <w:rsid w:val="00E57B3A"/>
    <w:rsid w:val="00E57CCC"/>
    <w:rsid w:val="00E61026"/>
    <w:rsid w:val="00E61FFA"/>
    <w:rsid w:val="00E659BA"/>
    <w:rsid w:val="00E6705F"/>
    <w:rsid w:val="00E725FC"/>
    <w:rsid w:val="00E740D4"/>
    <w:rsid w:val="00E750BC"/>
    <w:rsid w:val="00E768EB"/>
    <w:rsid w:val="00E7692B"/>
    <w:rsid w:val="00E818B1"/>
    <w:rsid w:val="00E81B35"/>
    <w:rsid w:val="00E81F48"/>
    <w:rsid w:val="00E8294C"/>
    <w:rsid w:val="00E83E6B"/>
    <w:rsid w:val="00E904DE"/>
    <w:rsid w:val="00E90A05"/>
    <w:rsid w:val="00E912B0"/>
    <w:rsid w:val="00E914D3"/>
    <w:rsid w:val="00E91AF2"/>
    <w:rsid w:val="00E9219A"/>
    <w:rsid w:val="00E92F46"/>
    <w:rsid w:val="00E95D3C"/>
    <w:rsid w:val="00E97879"/>
    <w:rsid w:val="00EA0147"/>
    <w:rsid w:val="00EA0A0F"/>
    <w:rsid w:val="00EA1F5D"/>
    <w:rsid w:val="00EA216F"/>
    <w:rsid w:val="00EA2F18"/>
    <w:rsid w:val="00EA36C6"/>
    <w:rsid w:val="00EA3FC3"/>
    <w:rsid w:val="00EA5854"/>
    <w:rsid w:val="00EA78A4"/>
    <w:rsid w:val="00EB02AA"/>
    <w:rsid w:val="00EB0ACB"/>
    <w:rsid w:val="00EB14E7"/>
    <w:rsid w:val="00EB598C"/>
    <w:rsid w:val="00EB60B3"/>
    <w:rsid w:val="00EC10E1"/>
    <w:rsid w:val="00EC30F9"/>
    <w:rsid w:val="00EC35B8"/>
    <w:rsid w:val="00EC37CA"/>
    <w:rsid w:val="00EC6FBF"/>
    <w:rsid w:val="00EC782E"/>
    <w:rsid w:val="00ED2013"/>
    <w:rsid w:val="00ED270B"/>
    <w:rsid w:val="00ED28B3"/>
    <w:rsid w:val="00ED3910"/>
    <w:rsid w:val="00ED405A"/>
    <w:rsid w:val="00ED5725"/>
    <w:rsid w:val="00ED5F3A"/>
    <w:rsid w:val="00ED63CF"/>
    <w:rsid w:val="00ED6CD4"/>
    <w:rsid w:val="00ED7031"/>
    <w:rsid w:val="00ED7D7F"/>
    <w:rsid w:val="00EE0773"/>
    <w:rsid w:val="00EE0EFB"/>
    <w:rsid w:val="00EE12F8"/>
    <w:rsid w:val="00EE3060"/>
    <w:rsid w:val="00EE4315"/>
    <w:rsid w:val="00EE6825"/>
    <w:rsid w:val="00EF110D"/>
    <w:rsid w:val="00EF25AF"/>
    <w:rsid w:val="00EF2C0F"/>
    <w:rsid w:val="00EF589E"/>
    <w:rsid w:val="00EF6925"/>
    <w:rsid w:val="00EF6AC2"/>
    <w:rsid w:val="00EF70E0"/>
    <w:rsid w:val="00F025C6"/>
    <w:rsid w:val="00F04998"/>
    <w:rsid w:val="00F12118"/>
    <w:rsid w:val="00F125D4"/>
    <w:rsid w:val="00F12AB5"/>
    <w:rsid w:val="00F155E1"/>
    <w:rsid w:val="00F15FDA"/>
    <w:rsid w:val="00F16BBD"/>
    <w:rsid w:val="00F20349"/>
    <w:rsid w:val="00F22A37"/>
    <w:rsid w:val="00F25269"/>
    <w:rsid w:val="00F259C4"/>
    <w:rsid w:val="00F25CAC"/>
    <w:rsid w:val="00F26ED3"/>
    <w:rsid w:val="00F31C87"/>
    <w:rsid w:val="00F33833"/>
    <w:rsid w:val="00F355BD"/>
    <w:rsid w:val="00F3589F"/>
    <w:rsid w:val="00F35B34"/>
    <w:rsid w:val="00F3654A"/>
    <w:rsid w:val="00F40605"/>
    <w:rsid w:val="00F40A46"/>
    <w:rsid w:val="00F43840"/>
    <w:rsid w:val="00F4477B"/>
    <w:rsid w:val="00F56B63"/>
    <w:rsid w:val="00F61DF3"/>
    <w:rsid w:val="00F62B7A"/>
    <w:rsid w:val="00F6397D"/>
    <w:rsid w:val="00F63BDA"/>
    <w:rsid w:val="00F67C62"/>
    <w:rsid w:val="00F7293E"/>
    <w:rsid w:val="00F7337D"/>
    <w:rsid w:val="00F753A2"/>
    <w:rsid w:val="00F76650"/>
    <w:rsid w:val="00F76FB1"/>
    <w:rsid w:val="00F776CD"/>
    <w:rsid w:val="00F80D71"/>
    <w:rsid w:val="00F872CD"/>
    <w:rsid w:val="00F9187B"/>
    <w:rsid w:val="00F92385"/>
    <w:rsid w:val="00F936FB"/>
    <w:rsid w:val="00F93A64"/>
    <w:rsid w:val="00F94565"/>
    <w:rsid w:val="00F96579"/>
    <w:rsid w:val="00F96D79"/>
    <w:rsid w:val="00FA1B4F"/>
    <w:rsid w:val="00FA1F69"/>
    <w:rsid w:val="00FA2765"/>
    <w:rsid w:val="00FA3C2A"/>
    <w:rsid w:val="00FA3F40"/>
    <w:rsid w:val="00FA4F5E"/>
    <w:rsid w:val="00FA792F"/>
    <w:rsid w:val="00FA7962"/>
    <w:rsid w:val="00FB15C0"/>
    <w:rsid w:val="00FB2021"/>
    <w:rsid w:val="00FB59DE"/>
    <w:rsid w:val="00FB5D75"/>
    <w:rsid w:val="00FB6AC4"/>
    <w:rsid w:val="00FB7514"/>
    <w:rsid w:val="00FC08DF"/>
    <w:rsid w:val="00FC0E1A"/>
    <w:rsid w:val="00FC2339"/>
    <w:rsid w:val="00FC2416"/>
    <w:rsid w:val="00FC3610"/>
    <w:rsid w:val="00FC47F9"/>
    <w:rsid w:val="00FC4C0D"/>
    <w:rsid w:val="00FC4C89"/>
    <w:rsid w:val="00FD118D"/>
    <w:rsid w:val="00FD3E13"/>
    <w:rsid w:val="00FD7362"/>
    <w:rsid w:val="00FE03FD"/>
    <w:rsid w:val="00FE0486"/>
    <w:rsid w:val="00FE1705"/>
    <w:rsid w:val="00FE1D5F"/>
    <w:rsid w:val="00FE2351"/>
    <w:rsid w:val="00FE27A7"/>
    <w:rsid w:val="00FE337D"/>
    <w:rsid w:val="00FE5580"/>
    <w:rsid w:val="00FE7286"/>
    <w:rsid w:val="00FF04A8"/>
    <w:rsid w:val="00FF08CC"/>
    <w:rsid w:val="00FF0F71"/>
    <w:rsid w:val="00FF110C"/>
    <w:rsid w:val="00FF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409CD"/>
  <w15:chartTrackingRefBased/>
  <w15:docId w15:val="{4C8F8FF6-E7B2-43BE-8682-511BB73B5B6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left="720"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A22702"/>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A22702"/>
    <w:pPr>
      <w:keepNext/>
      <w:spacing w:before="180" w:line="360" w:lineRule="auto"/>
      <w:outlineLvl w:val="0"/>
    </w:pPr>
    <w:rPr>
      <w:spacing w:val="120"/>
    </w:rPr>
  </w:style>
  <w:style w:type="paragraph" w:styleId="TOC2">
    <w:name w:val="toc 2"/>
    <w:basedOn w:val="Normal"/>
    <w:next w:val="Normal"/>
    <w:uiPriority w:val="39"/>
    <w:unhideWhenUsed/>
    <w:rsid w:val="00C43378"/>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C43378"/>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NormalWeb">
    <w:name w:val="Normal (Web)"/>
    <w:basedOn w:val="Normal"/>
    <w:uiPriority w:val="99"/>
    <w:semiHidden/>
    <w:unhideWhenUsed/>
    <w:rsid w:val="00E81F48"/>
    <w:rPr>
      <w:rFonts w:ascii="Times New Roman" w:hAnsi="Times New Roman" w:cs="Times New Roman"/>
      <w:sz w:val="24"/>
      <w:szCs w:val="24"/>
    </w:rPr>
  </w:style>
  <w:style w:type="paragraph" w:styleId="ListParagraph">
    <w:name w:val="List Paragraph"/>
    <w:basedOn w:val="Normal"/>
    <w:uiPriority w:val="34"/>
    <w:rsid w:val="007C340D"/>
    <w:pPr>
      <w:ind w:left="720"/>
      <w:contextualSpacing/>
    </w:pPr>
  </w:style>
  <w:style w:type="paragraph" w:customStyle="1" w:styleId="xstandard">
    <w:name w:val="x_standard"/>
    <w:basedOn w:val="Normal"/>
    <w:rsid w:val="003B0A04"/>
    <w:rPr>
      <w:rFonts w:cs="Calibri"/>
      <w:szCs w:val="26"/>
    </w:rPr>
  </w:style>
  <w:style w:type="character" w:styleId="CommentReference">
    <w:name w:val="annotation reference"/>
    <w:basedOn w:val="DefaultParagraphFont"/>
    <w:uiPriority w:val="99"/>
    <w:semiHidden/>
    <w:unhideWhenUsed/>
    <w:rsid w:val="00F43840"/>
    <w:rPr>
      <w:sz w:val="16"/>
      <w:szCs w:val="16"/>
    </w:rPr>
  </w:style>
  <w:style w:type="paragraph" w:styleId="CommentText">
    <w:name w:val="annotation text"/>
    <w:basedOn w:val="Normal"/>
    <w:link w:val="CommentTextChar"/>
    <w:uiPriority w:val="99"/>
    <w:unhideWhenUsed/>
    <w:rsid w:val="00F43840"/>
    <w:pPr>
      <w:spacing w:line="240" w:lineRule="auto"/>
    </w:pPr>
    <w:rPr>
      <w:sz w:val="20"/>
      <w:szCs w:val="20"/>
    </w:rPr>
  </w:style>
  <w:style w:type="character" w:customStyle="1" w:styleId="CommentTextChar">
    <w:name w:val="Comment Text Char"/>
    <w:basedOn w:val="DefaultParagraphFont"/>
    <w:link w:val="CommentText"/>
    <w:uiPriority w:val="99"/>
    <w:rsid w:val="00F43840"/>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F43840"/>
    <w:rPr>
      <w:b/>
      <w:bCs/>
    </w:rPr>
  </w:style>
  <w:style w:type="character" w:customStyle="1" w:styleId="CommentSubjectChar">
    <w:name w:val="Comment Subject Char"/>
    <w:basedOn w:val="CommentTextChar"/>
    <w:link w:val="CommentSubject"/>
    <w:uiPriority w:val="99"/>
    <w:semiHidden/>
    <w:rsid w:val="00F43840"/>
    <w:rPr>
      <w:rFonts w:ascii="Book Antiqua" w:hAnsi="Book Antiqua"/>
      <w:b/>
      <w:bCs/>
      <w:sz w:val="20"/>
      <w:szCs w:val="20"/>
    </w:rPr>
  </w:style>
  <w:style w:type="paragraph" w:customStyle="1" w:styleId="TableTitleBodyT09">
    <w:name w:val="TableTitleBodyT09"/>
    <w:basedOn w:val="Normal"/>
    <w:rsid w:val="008B689A"/>
    <w:pPr>
      <w:keepNext/>
      <w:tabs>
        <w:tab w:val="left" w:pos="1296"/>
      </w:tabs>
      <w:spacing w:after="120" w:line="240" w:lineRule="auto"/>
      <w:ind w:firstLine="0"/>
      <w:jc w:val="center"/>
    </w:pPr>
  </w:style>
  <w:style w:type="paragraph" w:customStyle="1" w:styleId="TableTitleBody">
    <w:name w:val="TableTitleBody"/>
    <w:basedOn w:val="TableTitleBodyT09"/>
    <w:qFormat/>
    <w:rsid w:val="00C443C8"/>
    <w:pPr>
      <w:tabs>
        <w:tab w:val="clear" w:pos="1296"/>
      </w:tabs>
    </w:pPr>
    <w:rPr>
      <w:b/>
      <w:bCs/>
    </w:rPr>
  </w:style>
  <w:style w:type="paragraph" w:customStyle="1" w:styleId="StandardTableSub">
    <w:name w:val="StandardTableSub"/>
    <w:basedOn w:val="Standard"/>
    <w:rsid w:val="00037BF2"/>
    <w:pPr>
      <w:spacing w:before="180"/>
    </w:pPr>
  </w:style>
  <w:style w:type="paragraph" w:customStyle="1" w:styleId="TableTitleTOC">
    <w:name w:val="TableTitleTOC"/>
    <w:basedOn w:val="Normal"/>
    <w:qFormat/>
    <w:rsid w:val="00661FA1"/>
    <w:pPr>
      <w:spacing w:after="120" w:line="240" w:lineRule="auto"/>
      <w:ind w:left="1008" w:right="576" w:hanging="1008"/>
    </w:pPr>
    <w:rPr>
      <w:rFonts w:cs="Times New Roman"/>
      <w:bCs/>
      <w:szCs w:val="20"/>
    </w:rPr>
  </w:style>
  <w:style w:type="paragraph" w:styleId="BodyText">
    <w:name w:val="Body Text"/>
    <w:basedOn w:val="Normal"/>
    <w:link w:val="BodyTextChar"/>
    <w:unhideWhenUsed/>
    <w:rsid w:val="004917F2"/>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917F2"/>
    <w:rPr>
      <w:rFonts w:ascii="Times New Roman" w:eastAsia="Times New Roman" w:hAnsi="Times New Roman" w:cs="Times New Roman"/>
      <w:sz w:val="24"/>
      <w:szCs w:val="20"/>
    </w:rPr>
  </w:style>
  <w:style w:type="paragraph" w:customStyle="1" w:styleId="Note1">
    <w:name w:val="Note1"/>
    <w:basedOn w:val="Normal"/>
    <w:qFormat/>
    <w:rsid w:val="004917F2"/>
    <w:pPr>
      <w:spacing w:line="240" w:lineRule="auto"/>
      <w:ind w:left="533" w:hanging="533"/>
    </w:pPr>
    <w:rPr>
      <w:rFonts w:ascii="Times New Roman" w:hAnsi="Times New Roman"/>
      <w:iCs/>
      <w:sz w:val="20"/>
    </w:rPr>
  </w:style>
  <w:style w:type="paragraph" w:styleId="Revision">
    <w:name w:val="Revision"/>
    <w:hidden/>
    <w:uiPriority w:val="99"/>
    <w:semiHidden/>
    <w:rsid w:val="001348D3"/>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1357">
      <w:bodyDiv w:val="1"/>
      <w:marLeft w:val="0"/>
      <w:marRight w:val="0"/>
      <w:marTop w:val="0"/>
      <w:marBottom w:val="0"/>
      <w:divBdr>
        <w:top w:val="none" w:sz="0" w:space="0" w:color="auto"/>
        <w:left w:val="none" w:sz="0" w:space="0" w:color="auto"/>
        <w:bottom w:val="none" w:sz="0" w:space="0" w:color="auto"/>
        <w:right w:val="none" w:sz="0" w:space="0" w:color="auto"/>
      </w:divBdr>
    </w:div>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186018753">
      <w:bodyDiv w:val="1"/>
      <w:marLeft w:val="0"/>
      <w:marRight w:val="0"/>
      <w:marTop w:val="0"/>
      <w:marBottom w:val="0"/>
      <w:divBdr>
        <w:top w:val="none" w:sz="0" w:space="0" w:color="auto"/>
        <w:left w:val="none" w:sz="0" w:space="0" w:color="auto"/>
        <w:bottom w:val="none" w:sz="0" w:space="0" w:color="auto"/>
        <w:right w:val="none" w:sz="0" w:space="0" w:color="auto"/>
      </w:divBdr>
    </w:div>
    <w:div w:id="191693519">
      <w:bodyDiv w:val="1"/>
      <w:marLeft w:val="0"/>
      <w:marRight w:val="0"/>
      <w:marTop w:val="0"/>
      <w:marBottom w:val="0"/>
      <w:divBdr>
        <w:top w:val="none" w:sz="0" w:space="0" w:color="auto"/>
        <w:left w:val="none" w:sz="0" w:space="0" w:color="auto"/>
        <w:bottom w:val="none" w:sz="0" w:space="0" w:color="auto"/>
        <w:right w:val="none" w:sz="0" w:space="0" w:color="auto"/>
      </w:divBdr>
    </w:div>
    <w:div w:id="198474612">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566034840">
      <w:bodyDiv w:val="1"/>
      <w:marLeft w:val="0"/>
      <w:marRight w:val="0"/>
      <w:marTop w:val="0"/>
      <w:marBottom w:val="0"/>
      <w:divBdr>
        <w:top w:val="none" w:sz="0" w:space="0" w:color="auto"/>
        <w:left w:val="none" w:sz="0" w:space="0" w:color="auto"/>
        <w:bottom w:val="none" w:sz="0" w:space="0" w:color="auto"/>
        <w:right w:val="none" w:sz="0" w:space="0" w:color="auto"/>
      </w:divBdr>
    </w:div>
    <w:div w:id="768357728">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877859603">
      <w:bodyDiv w:val="1"/>
      <w:marLeft w:val="0"/>
      <w:marRight w:val="0"/>
      <w:marTop w:val="0"/>
      <w:marBottom w:val="0"/>
      <w:divBdr>
        <w:top w:val="none" w:sz="0" w:space="0" w:color="auto"/>
        <w:left w:val="none" w:sz="0" w:space="0" w:color="auto"/>
        <w:bottom w:val="none" w:sz="0" w:space="0" w:color="auto"/>
        <w:right w:val="none" w:sz="0" w:space="0" w:color="auto"/>
      </w:divBdr>
    </w:div>
    <w:div w:id="920724872">
      <w:bodyDiv w:val="1"/>
      <w:marLeft w:val="0"/>
      <w:marRight w:val="0"/>
      <w:marTop w:val="0"/>
      <w:marBottom w:val="0"/>
      <w:divBdr>
        <w:top w:val="none" w:sz="0" w:space="0" w:color="auto"/>
        <w:left w:val="none" w:sz="0" w:space="0" w:color="auto"/>
        <w:bottom w:val="none" w:sz="0" w:space="0" w:color="auto"/>
        <w:right w:val="none" w:sz="0" w:space="0" w:color="auto"/>
      </w:divBdr>
    </w:div>
    <w:div w:id="936325350">
      <w:bodyDiv w:val="1"/>
      <w:marLeft w:val="0"/>
      <w:marRight w:val="0"/>
      <w:marTop w:val="0"/>
      <w:marBottom w:val="0"/>
      <w:divBdr>
        <w:top w:val="none" w:sz="0" w:space="0" w:color="auto"/>
        <w:left w:val="none" w:sz="0" w:space="0" w:color="auto"/>
        <w:bottom w:val="none" w:sz="0" w:space="0" w:color="auto"/>
        <w:right w:val="none" w:sz="0" w:space="0" w:color="auto"/>
      </w:divBdr>
    </w:div>
    <w:div w:id="1034768589">
      <w:bodyDiv w:val="1"/>
      <w:marLeft w:val="0"/>
      <w:marRight w:val="0"/>
      <w:marTop w:val="0"/>
      <w:marBottom w:val="0"/>
      <w:divBdr>
        <w:top w:val="none" w:sz="0" w:space="0" w:color="auto"/>
        <w:left w:val="none" w:sz="0" w:space="0" w:color="auto"/>
        <w:bottom w:val="none" w:sz="0" w:space="0" w:color="auto"/>
        <w:right w:val="none" w:sz="0" w:space="0" w:color="auto"/>
      </w:divBdr>
    </w:div>
    <w:div w:id="1052656788">
      <w:bodyDiv w:val="1"/>
      <w:marLeft w:val="0"/>
      <w:marRight w:val="0"/>
      <w:marTop w:val="0"/>
      <w:marBottom w:val="0"/>
      <w:divBdr>
        <w:top w:val="none" w:sz="0" w:space="0" w:color="auto"/>
        <w:left w:val="none" w:sz="0" w:space="0" w:color="auto"/>
        <w:bottom w:val="none" w:sz="0" w:space="0" w:color="auto"/>
        <w:right w:val="none" w:sz="0" w:space="0" w:color="auto"/>
      </w:divBdr>
    </w:div>
    <w:div w:id="1086539740">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30318158">
      <w:bodyDiv w:val="1"/>
      <w:marLeft w:val="0"/>
      <w:marRight w:val="0"/>
      <w:marTop w:val="0"/>
      <w:marBottom w:val="0"/>
      <w:divBdr>
        <w:top w:val="none" w:sz="0" w:space="0" w:color="auto"/>
        <w:left w:val="none" w:sz="0" w:space="0" w:color="auto"/>
        <w:bottom w:val="none" w:sz="0" w:space="0" w:color="auto"/>
        <w:right w:val="none" w:sz="0" w:space="0" w:color="auto"/>
      </w:divBdr>
    </w:div>
    <w:div w:id="1136490695">
      <w:bodyDiv w:val="1"/>
      <w:marLeft w:val="0"/>
      <w:marRight w:val="0"/>
      <w:marTop w:val="0"/>
      <w:marBottom w:val="0"/>
      <w:divBdr>
        <w:top w:val="none" w:sz="0" w:space="0" w:color="auto"/>
        <w:left w:val="none" w:sz="0" w:space="0" w:color="auto"/>
        <w:bottom w:val="none" w:sz="0" w:space="0" w:color="auto"/>
        <w:right w:val="none" w:sz="0" w:space="0" w:color="auto"/>
      </w:divBdr>
    </w:div>
    <w:div w:id="1382441161">
      <w:bodyDiv w:val="1"/>
      <w:marLeft w:val="0"/>
      <w:marRight w:val="0"/>
      <w:marTop w:val="0"/>
      <w:marBottom w:val="0"/>
      <w:divBdr>
        <w:top w:val="none" w:sz="0" w:space="0" w:color="auto"/>
        <w:left w:val="none" w:sz="0" w:space="0" w:color="auto"/>
        <w:bottom w:val="none" w:sz="0" w:space="0" w:color="auto"/>
        <w:right w:val="none" w:sz="0" w:space="0" w:color="auto"/>
      </w:divBdr>
    </w:div>
    <w:div w:id="1427993979">
      <w:bodyDiv w:val="1"/>
      <w:marLeft w:val="0"/>
      <w:marRight w:val="0"/>
      <w:marTop w:val="0"/>
      <w:marBottom w:val="0"/>
      <w:divBdr>
        <w:top w:val="none" w:sz="0" w:space="0" w:color="auto"/>
        <w:left w:val="none" w:sz="0" w:space="0" w:color="auto"/>
        <w:bottom w:val="none" w:sz="0" w:space="0" w:color="auto"/>
        <w:right w:val="none" w:sz="0" w:space="0" w:color="auto"/>
      </w:divBdr>
    </w:div>
    <w:div w:id="1467776561">
      <w:bodyDiv w:val="1"/>
      <w:marLeft w:val="0"/>
      <w:marRight w:val="0"/>
      <w:marTop w:val="0"/>
      <w:marBottom w:val="0"/>
      <w:divBdr>
        <w:top w:val="none" w:sz="0" w:space="0" w:color="auto"/>
        <w:left w:val="none" w:sz="0" w:space="0" w:color="auto"/>
        <w:bottom w:val="none" w:sz="0" w:space="0" w:color="auto"/>
        <w:right w:val="none" w:sz="0" w:space="0" w:color="auto"/>
      </w:divBdr>
    </w:div>
    <w:div w:id="1477454151">
      <w:bodyDiv w:val="1"/>
      <w:marLeft w:val="0"/>
      <w:marRight w:val="0"/>
      <w:marTop w:val="0"/>
      <w:marBottom w:val="0"/>
      <w:divBdr>
        <w:top w:val="none" w:sz="0" w:space="0" w:color="auto"/>
        <w:left w:val="none" w:sz="0" w:space="0" w:color="auto"/>
        <w:bottom w:val="none" w:sz="0" w:space="0" w:color="auto"/>
        <w:right w:val="none" w:sz="0" w:space="0" w:color="auto"/>
      </w:divBdr>
    </w:div>
    <w:div w:id="1535997242">
      <w:bodyDiv w:val="1"/>
      <w:marLeft w:val="0"/>
      <w:marRight w:val="0"/>
      <w:marTop w:val="0"/>
      <w:marBottom w:val="0"/>
      <w:divBdr>
        <w:top w:val="none" w:sz="0" w:space="0" w:color="auto"/>
        <w:left w:val="none" w:sz="0" w:space="0" w:color="auto"/>
        <w:bottom w:val="none" w:sz="0" w:space="0" w:color="auto"/>
        <w:right w:val="none" w:sz="0" w:space="0" w:color="auto"/>
      </w:divBdr>
    </w:div>
    <w:div w:id="1770202443">
      <w:bodyDiv w:val="1"/>
      <w:marLeft w:val="0"/>
      <w:marRight w:val="0"/>
      <w:marTop w:val="0"/>
      <w:marBottom w:val="0"/>
      <w:divBdr>
        <w:top w:val="none" w:sz="0" w:space="0" w:color="auto"/>
        <w:left w:val="none" w:sz="0" w:space="0" w:color="auto"/>
        <w:bottom w:val="none" w:sz="0" w:space="0" w:color="auto"/>
        <w:right w:val="none" w:sz="0" w:space="0" w:color="auto"/>
      </w:divBdr>
    </w:div>
    <w:div w:id="1862624762">
      <w:bodyDiv w:val="1"/>
      <w:marLeft w:val="0"/>
      <w:marRight w:val="0"/>
      <w:marTop w:val="0"/>
      <w:marBottom w:val="0"/>
      <w:divBdr>
        <w:top w:val="none" w:sz="0" w:space="0" w:color="auto"/>
        <w:left w:val="none" w:sz="0" w:space="0" w:color="auto"/>
        <w:bottom w:val="none" w:sz="0" w:space="0" w:color="auto"/>
        <w:right w:val="none" w:sz="0" w:space="0" w:color="auto"/>
      </w:divBdr>
    </w:div>
    <w:div w:id="1998652859">
      <w:bodyDiv w:val="1"/>
      <w:marLeft w:val="0"/>
      <w:marRight w:val="0"/>
      <w:marTop w:val="0"/>
      <w:marBottom w:val="0"/>
      <w:divBdr>
        <w:top w:val="none" w:sz="0" w:space="0" w:color="auto"/>
        <w:left w:val="none" w:sz="0" w:space="0" w:color="auto"/>
        <w:bottom w:val="none" w:sz="0" w:space="0" w:color="auto"/>
        <w:right w:val="none" w:sz="0" w:space="0" w:color="auto"/>
      </w:divBdr>
    </w:div>
    <w:div w:id="2017657439">
      <w:bodyDiv w:val="1"/>
      <w:marLeft w:val="0"/>
      <w:marRight w:val="0"/>
      <w:marTop w:val="0"/>
      <w:marBottom w:val="0"/>
      <w:divBdr>
        <w:top w:val="none" w:sz="0" w:space="0" w:color="auto"/>
        <w:left w:val="none" w:sz="0" w:space="0" w:color="auto"/>
        <w:bottom w:val="none" w:sz="0" w:space="0" w:color="auto"/>
        <w:right w:val="none" w:sz="0" w:space="0" w:color="auto"/>
      </w:divBdr>
    </w:div>
    <w:div w:id="20718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yperlink" Target="https://docs.cpuc.ca.gov/PublishedDocs/Published/G000/M597/K166/597166965.pdf" TargetMode="External" Id="R719472c7c6334c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5.xml><?xml version="1.0" encoding="utf-8"?>
<ds:datastoreItem xmlns:ds="http://schemas.openxmlformats.org/officeDocument/2006/customXml" ds:itemID="{6AC2F1C1-10B1-4F17-A7CF-5E57CC9B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3879</ap:Words>
  <ap:Characters>22115</ap:Characters>
  <ap:Application>Microsoft Office Word</ap:Application>
  <ap:DocSecurity>0</ap:DocSecurity>
  <ap:Lines>184</ap:Lines>
  <ap:Paragraphs>51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25943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2026-01-29T12:41:18Z</dcterms:created>
  <dcterms:modified xsi:type="dcterms:W3CDTF">2026-01-29T12:41:18Z</dcterms:modified>
</cp:coreProperties>
</file>