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5A19" w:rsidR="006142BC" w:rsidP="00755CBB" w:rsidRDefault="00F81352" w14:paraId="696A2E65" w14:textId="663BC8A5">
      <w:pPr>
        <w:tabs>
          <w:tab w:val="center" w:pos="4680"/>
          <w:tab w:val="right" w:pos="9360"/>
        </w:tabs>
        <w:suppressAutoHyphens/>
        <w:rPr>
          <w:b/>
          <w:bCs/>
          <w:color w:val="000000"/>
        </w:rPr>
      </w:pPr>
      <w:r>
        <w:rPr>
          <w:color w:val="000000"/>
        </w:rPr>
        <w:t>ALJ/NIL/nd3</w:t>
      </w:r>
      <w:r>
        <w:rPr>
          <w:color w:val="000000"/>
        </w:rPr>
        <w:tab/>
      </w:r>
      <w:r w:rsidRPr="00FB5A19">
        <w:rPr>
          <w:b/>
          <w:bCs/>
          <w:color w:val="000000"/>
        </w:rPr>
        <w:t>PROPOSED DECISION</w:t>
      </w:r>
      <w:r w:rsidRPr="00FB5A19">
        <w:rPr>
          <w:b/>
          <w:bCs/>
          <w:color w:val="000000"/>
        </w:rPr>
        <w:tab/>
        <w:t>Agenda ID #</w:t>
      </w:r>
      <w:r w:rsidRPr="00C17D0F" w:rsidR="00C17D0F">
        <w:rPr>
          <w:b/>
          <w:bCs/>
          <w:color w:val="000000"/>
        </w:rPr>
        <w:t>23933</w:t>
      </w:r>
      <w:r w:rsidR="00A323F1">
        <w:rPr>
          <w:b/>
          <w:bCs/>
          <w:color w:val="000000"/>
        </w:rPr>
        <w:t xml:space="preserve"> </w:t>
      </w:r>
      <w:r w:rsidRPr="00A323F1" w:rsidR="00A323F1">
        <w:rPr>
          <w:b/>
          <w:bCs/>
          <w:color w:val="000000"/>
        </w:rPr>
        <w:t>(Rev.1)</w:t>
      </w:r>
    </w:p>
    <w:p w:rsidR="00F81352" w:rsidP="00755CBB" w:rsidRDefault="00F81352" w14:paraId="2D9B1A2E" w14:textId="659D3DFD">
      <w:pPr>
        <w:suppressAutoHyphens/>
        <w:jc w:val="right"/>
        <w:rPr>
          <w:b/>
          <w:bCs/>
          <w:color w:val="000000"/>
        </w:rPr>
      </w:pPr>
      <w:r w:rsidRPr="00FB5A19">
        <w:rPr>
          <w:b/>
          <w:bCs/>
          <w:color w:val="000000"/>
        </w:rPr>
        <w:t>Ratesetting</w:t>
      </w:r>
    </w:p>
    <w:p w:rsidRPr="00FB5A19" w:rsidR="00A601D3" w:rsidP="00755CBB" w:rsidRDefault="00A601D3" w14:paraId="01CD50DD" w14:textId="7201BA10">
      <w:pPr>
        <w:suppressAutoHyphens/>
        <w:jc w:val="right"/>
        <w:rPr>
          <w:b/>
          <w:bCs/>
          <w:color w:val="000000"/>
        </w:rPr>
      </w:pPr>
      <w:r>
        <w:rPr>
          <w:b/>
          <w:bCs/>
          <w:color w:val="000000"/>
        </w:rPr>
        <w:t>2/5/2026  Item #</w:t>
      </w:r>
      <w:r w:rsidRPr="00A601D3">
        <w:rPr>
          <w:b/>
          <w:bCs/>
          <w:color w:val="000000"/>
        </w:rPr>
        <w:t>29</w:t>
      </w:r>
    </w:p>
    <w:p w:rsidR="00F81352" w:rsidP="00755CBB" w:rsidRDefault="00F81352" w14:paraId="58C1977A" w14:textId="77777777">
      <w:pPr>
        <w:suppressAutoHyphens/>
        <w:rPr>
          <w:color w:val="000000"/>
        </w:rPr>
      </w:pPr>
    </w:p>
    <w:p w:rsidR="00F81352" w:rsidP="00755CBB" w:rsidRDefault="00F81352" w14:paraId="7B1E7345" w14:textId="77777777">
      <w:pPr>
        <w:suppressAutoHyphens/>
        <w:rPr>
          <w:color w:val="000000"/>
        </w:rPr>
      </w:pPr>
    </w:p>
    <w:p w:rsidRPr="005577F7" w:rsidR="00A92D0B" w:rsidP="00755CBB" w:rsidRDefault="00A92D0B" w14:paraId="5BDA9FD4" w14:textId="23EEE6ED">
      <w:pPr>
        <w:suppressAutoHyphens/>
        <w:rPr>
          <w:color w:val="000000"/>
        </w:rPr>
      </w:pPr>
      <w:r w:rsidRPr="005577F7">
        <w:rPr>
          <w:color w:val="000000"/>
        </w:rPr>
        <w:t xml:space="preserve">Decision </w:t>
      </w:r>
      <w:r w:rsidRPr="0021709B" w:rsidR="00655301">
        <w:rPr>
          <w:b/>
          <w:bCs/>
          <w:u w:val="single"/>
        </w:rPr>
        <w:t xml:space="preserve">PROPOSED DECISION OF ALJ </w:t>
      </w:r>
      <w:r w:rsidRPr="00655301" w:rsidR="00655301">
        <w:rPr>
          <w:b/>
          <w:bCs/>
          <w:u w:val="single"/>
        </w:rPr>
        <w:t>ATAMTURK</w:t>
      </w:r>
      <w:r w:rsidRPr="0021709B" w:rsidR="00655301">
        <w:rPr>
          <w:b/>
          <w:bCs/>
        </w:rPr>
        <w:t xml:space="preserve"> (Mailed </w:t>
      </w:r>
      <w:r w:rsidR="00C17D0F">
        <w:rPr>
          <w:b/>
          <w:bCs/>
        </w:rPr>
        <w:t>12/19</w:t>
      </w:r>
      <w:r w:rsidRPr="0021709B" w:rsidR="00655301">
        <w:rPr>
          <w:b/>
          <w:bCs/>
        </w:rPr>
        <w:t>/2025)</w:t>
      </w:r>
    </w:p>
    <w:p w:rsidRPr="005577F7" w:rsidR="00A92D0B" w:rsidP="00755CBB" w:rsidRDefault="00A92D0B" w14:paraId="6D327C87" w14:textId="77777777">
      <w:pPr>
        <w:pStyle w:val="titlebar"/>
        <w:rPr>
          <w:rFonts w:ascii="Times New Roman" w:hAnsi="Times New Roman"/>
          <w:color w:val="000000"/>
          <w:sz w:val="24"/>
          <w:szCs w:val="24"/>
        </w:rPr>
      </w:pPr>
    </w:p>
    <w:p w:rsidRPr="005577F7" w:rsidR="00A92D0B" w:rsidP="00755CBB" w:rsidRDefault="00A92D0B" w14:paraId="44E03231" w14:textId="77777777">
      <w:pPr>
        <w:pStyle w:val="titlebar"/>
        <w:rPr>
          <w:rFonts w:ascii="Times New Roman" w:hAnsi="Times New Roman"/>
          <w:color w:val="000000"/>
          <w:sz w:val="24"/>
          <w:szCs w:val="24"/>
        </w:rPr>
      </w:pPr>
    </w:p>
    <w:p w:rsidRPr="001F1023" w:rsidR="00A92D0B" w:rsidP="00755CBB" w:rsidRDefault="00A92D0B" w14:paraId="67F2520C" w14:textId="77777777">
      <w:pPr>
        <w:pStyle w:val="titlebar"/>
        <w:rPr>
          <w:rFonts w:ascii="Arial" w:hAnsi="Arial"/>
          <w:sz w:val="24"/>
          <w:szCs w:val="24"/>
        </w:rPr>
      </w:pPr>
      <w:r w:rsidRPr="001F1023">
        <w:rPr>
          <w:rFonts w:ascii="Arial" w:hAnsi="Arial"/>
          <w:sz w:val="24"/>
          <w:szCs w:val="24"/>
        </w:rPr>
        <w:t>BEFORE THE PUBLIC UTILITIES COMMISSION OF THE STATE OF CALIFORNIA</w:t>
      </w:r>
    </w:p>
    <w:p w:rsidRPr="005577F7" w:rsidR="00A92D0B" w:rsidP="00755CBB" w:rsidRDefault="00A92D0B" w14:paraId="564284CD" w14:textId="77777777">
      <w:pPr>
        <w:suppressAutoHyphens/>
        <w:rPr>
          <w:color w:val="000000"/>
        </w:rPr>
      </w:pPr>
    </w:p>
    <w:tbl>
      <w:tblPr>
        <w:tblW w:w="9360" w:type="dxa"/>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4770"/>
        <w:gridCol w:w="4590"/>
      </w:tblGrid>
      <w:tr w:rsidRPr="0041256F" w:rsidR="00A92D0B" w:rsidTr="00F81352" w14:paraId="3942D7B4" w14:textId="77777777">
        <w:tc>
          <w:tcPr>
            <w:tcW w:w="4770" w:type="dxa"/>
          </w:tcPr>
          <w:p w:rsidR="00A92D0B" w:rsidP="00755CBB" w:rsidRDefault="00CE4D93" w14:paraId="0B0F3738" w14:textId="75204853">
            <w:r w:rsidRPr="00CE4D93">
              <w:t>Application of Pacific Gas and Electric Company to Recover in Customer Rates the Costs to Support Extended Operation of Diablo Canyon Power Plant from September</w:t>
            </w:r>
            <w:r w:rsidR="00691DF9">
              <w:t> </w:t>
            </w:r>
            <w:r w:rsidRPr="00CE4D93">
              <w:t>1, 2023 through December</w:t>
            </w:r>
            <w:r w:rsidR="00691DF9">
              <w:t> </w:t>
            </w:r>
            <w:r w:rsidRPr="00CE4D93">
              <w:t>31, 2025 and for Approval of Planned Expenditure of 2025 Volumetric Performance Fees (U39E)</w:t>
            </w:r>
            <w:r>
              <w:t>.</w:t>
            </w:r>
          </w:p>
          <w:p w:rsidRPr="0041256F" w:rsidR="00CE4D93" w:rsidP="00755CBB" w:rsidRDefault="00CE4D93" w14:paraId="47850BD9" w14:textId="1E745FC9">
            <w:pPr>
              <w:rPr>
                <w:color w:val="000000"/>
              </w:rPr>
            </w:pPr>
          </w:p>
        </w:tc>
        <w:tc>
          <w:tcPr>
            <w:tcW w:w="4590" w:type="dxa"/>
            <w:tcBorders>
              <w:top w:val="nil"/>
              <w:bottom w:val="nil"/>
            </w:tcBorders>
            <w:vAlign w:val="center"/>
          </w:tcPr>
          <w:p w:rsidRPr="0041256F" w:rsidR="00A92D0B" w:rsidP="00755CBB" w:rsidRDefault="000C20B5" w14:paraId="7EC7277D" w14:textId="174A0A90">
            <w:pPr>
              <w:jc w:val="center"/>
              <w:rPr>
                <w:color w:val="000000"/>
              </w:rPr>
            </w:pPr>
            <w:r w:rsidRPr="0041256F">
              <w:t>Application 24</w:t>
            </w:r>
            <w:r w:rsidR="008263FE">
              <w:t>-</w:t>
            </w:r>
            <w:r w:rsidRPr="0041256F">
              <w:t>03</w:t>
            </w:r>
            <w:r w:rsidR="008263FE">
              <w:t>-</w:t>
            </w:r>
            <w:r w:rsidRPr="0041256F">
              <w:t>018</w:t>
            </w:r>
          </w:p>
        </w:tc>
      </w:tr>
    </w:tbl>
    <w:p w:rsidR="00FC72B7" w:rsidP="00755CBB" w:rsidRDefault="00FC72B7" w14:paraId="5459E071" w14:textId="77777777">
      <w:pPr>
        <w:jc w:val="center"/>
        <w:rPr>
          <w:b/>
          <w:color w:val="000000"/>
        </w:rPr>
      </w:pPr>
    </w:p>
    <w:p w:rsidRPr="005577F7" w:rsidR="001E5C9C" w:rsidP="00755CBB" w:rsidRDefault="001E5C9C" w14:paraId="7F15B3F6" w14:textId="77777777">
      <w:pPr>
        <w:jc w:val="center"/>
        <w:rPr>
          <w:b/>
          <w:color w:val="000000"/>
        </w:rPr>
      </w:pPr>
    </w:p>
    <w:p w:rsidRPr="005577F7" w:rsidR="00A92D0B" w:rsidP="00755CBB" w:rsidRDefault="00ED722A" w14:paraId="17BB0C52" w14:textId="62F0D0B9">
      <w:pPr>
        <w:jc w:val="center"/>
        <w:rPr>
          <w:b/>
          <w:shd w:val="clear" w:color="auto" w:fill="CCFFCC"/>
        </w:rPr>
      </w:pPr>
      <w:r>
        <w:rPr>
          <w:b/>
        </w:rPr>
        <w:t>DECISION GRANTING COMPENSATION TO</w:t>
      </w:r>
      <w:r w:rsidR="001E5C9C">
        <w:rPr>
          <w:b/>
        </w:rPr>
        <w:br/>
      </w:r>
      <w:r w:rsidRPr="00ED722A" w:rsidR="000C20B5">
        <w:rPr>
          <w:b/>
          <w:bCs/>
        </w:rPr>
        <w:t>ALLIANCE FOR NUCLEAR RESPONSIBILITY</w:t>
      </w:r>
      <w:bookmarkStart w:name="_Hlk188448773" w:id="0"/>
      <w:r w:rsidR="001E5C9C">
        <w:rPr>
          <w:b/>
          <w:bCs/>
        </w:rPr>
        <w:br/>
      </w:r>
      <w:r w:rsidR="002A57EA">
        <w:rPr>
          <w:b/>
          <w:bCs/>
        </w:rPr>
        <w:t>FOR SUBSTANTIAL CONTRIBUTION TO DECISION</w:t>
      </w:r>
      <w:r w:rsidR="001E5C9C">
        <w:rPr>
          <w:b/>
          <w:bCs/>
        </w:rPr>
        <w:t> </w:t>
      </w:r>
      <w:r w:rsidR="002A57EA">
        <w:rPr>
          <w:b/>
          <w:bCs/>
        </w:rPr>
        <w:t>24</w:t>
      </w:r>
      <w:r w:rsidR="004152B8">
        <w:rPr>
          <w:b/>
          <w:bCs/>
        </w:rPr>
        <w:noBreakHyphen/>
      </w:r>
      <w:r w:rsidR="002A57EA">
        <w:rPr>
          <w:b/>
          <w:bCs/>
        </w:rPr>
        <w:t>12</w:t>
      </w:r>
      <w:r w:rsidR="004152B8">
        <w:rPr>
          <w:b/>
          <w:bCs/>
        </w:rPr>
        <w:noBreakHyphen/>
      </w:r>
      <w:r w:rsidR="002A57EA">
        <w:rPr>
          <w:b/>
          <w:bCs/>
        </w:rPr>
        <w:t>033</w:t>
      </w:r>
    </w:p>
    <w:bookmarkEnd w:id="0"/>
    <w:p w:rsidRPr="005577F7" w:rsidR="00374FD1" w:rsidP="00755CBB" w:rsidRDefault="00374FD1" w14:paraId="7DD45571" w14:textId="77777777">
      <w:pPr>
        <w:jc w:val="center"/>
        <w:rPr>
          <w:b/>
          <w:shd w:val="clear" w:color="auto" w:fill="CCFFCC"/>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4585"/>
        <w:gridCol w:w="4775"/>
      </w:tblGrid>
      <w:tr w:rsidRPr="005577F7" w:rsidR="00A92D0B" w:rsidTr="00E755C1" w14:paraId="0FE98F62" w14:textId="77777777">
        <w:tc>
          <w:tcPr>
            <w:tcW w:w="4585" w:type="dxa"/>
          </w:tcPr>
          <w:p w:rsidRPr="005577F7" w:rsidR="00A92D0B" w:rsidP="00755CBB" w:rsidRDefault="005A63D4" w14:paraId="11570D4A" w14:textId="6815E659">
            <w:pPr>
              <w:tabs>
                <w:tab w:val="left" w:pos="1620"/>
                <w:tab w:val="right" w:pos="4500"/>
              </w:tabs>
              <w:rPr>
                <w:bCs/>
                <w:color w:val="000000"/>
              </w:rPr>
            </w:pPr>
            <w:r w:rsidRPr="005577F7">
              <w:rPr>
                <w:b/>
                <w:color w:val="000000"/>
              </w:rPr>
              <w:t>Intervenor</w:t>
            </w:r>
            <w:r w:rsidRPr="005577F7" w:rsidR="00F63C29">
              <w:rPr>
                <w:b/>
                <w:color w:val="000000"/>
              </w:rPr>
              <w:t>:</w:t>
            </w:r>
            <w:r w:rsidRPr="005577F7" w:rsidR="00691528">
              <w:rPr>
                <w:b/>
                <w:color w:val="000000"/>
              </w:rPr>
              <w:t xml:space="preserve"> </w:t>
            </w:r>
            <w:r w:rsidR="00226A7C">
              <w:rPr>
                <w:b/>
                <w:color w:val="000000"/>
              </w:rPr>
              <w:t xml:space="preserve"> </w:t>
            </w:r>
            <w:r w:rsidRPr="00226A7C" w:rsidR="005577F7">
              <w:t>Alliance for Nuclear Responsibility</w:t>
            </w:r>
          </w:p>
        </w:tc>
        <w:tc>
          <w:tcPr>
            <w:tcW w:w="4775" w:type="dxa"/>
          </w:tcPr>
          <w:p w:rsidRPr="009C3DCE" w:rsidR="00A92D0B" w:rsidP="00755CBB" w:rsidRDefault="00A92D0B" w14:paraId="53A584EE" w14:textId="398EBCBF">
            <w:pPr>
              <w:tabs>
                <w:tab w:val="left" w:pos="1872"/>
                <w:tab w:val="right" w:pos="3672"/>
              </w:tabs>
              <w:rPr>
                <w:b/>
                <w:color w:val="000000"/>
              </w:rPr>
            </w:pPr>
            <w:r w:rsidRPr="009C3DCE">
              <w:rPr>
                <w:b/>
                <w:color w:val="000000"/>
              </w:rPr>
              <w:t>For contribution to D</w:t>
            </w:r>
            <w:r w:rsidRPr="009C3DCE" w:rsidR="00DE3A5D">
              <w:rPr>
                <w:b/>
                <w:color w:val="000000"/>
              </w:rPr>
              <w:t>ecision (D.)</w:t>
            </w:r>
            <w:r w:rsidR="009C3DCE">
              <w:rPr>
                <w:b/>
                <w:color w:val="000000"/>
              </w:rPr>
              <w:t> </w:t>
            </w:r>
            <w:r w:rsidRPr="009C3DCE" w:rsidR="000C20B5">
              <w:rPr>
                <w:b/>
                <w:color w:val="000000"/>
              </w:rPr>
              <w:t>24</w:t>
            </w:r>
            <w:r w:rsidR="004152B8">
              <w:rPr>
                <w:b/>
                <w:color w:val="000000"/>
              </w:rPr>
              <w:noBreakHyphen/>
            </w:r>
            <w:r w:rsidRPr="009C3DCE" w:rsidR="000C20B5">
              <w:rPr>
                <w:b/>
                <w:color w:val="000000"/>
              </w:rPr>
              <w:t>12</w:t>
            </w:r>
            <w:r w:rsidR="004152B8">
              <w:rPr>
                <w:b/>
                <w:color w:val="000000"/>
              </w:rPr>
              <w:noBreakHyphen/>
            </w:r>
            <w:r w:rsidRPr="009C3DCE" w:rsidR="000C20B5">
              <w:rPr>
                <w:b/>
                <w:color w:val="000000"/>
              </w:rPr>
              <w:t>033</w:t>
            </w:r>
            <w:r w:rsidRPr="009C3DCE" w:rsidR="00DE3A5D">
              <w:rPr>
                <w:b/>
                <w:color w:val="000000"/>
              </w:rPr>
              <w:t xml:space="preserve"> </w:t>
            </w:r>
          </w:p>
        </w:tc>
      </w:tr>
      <w:tr w:rsidRPr="005577F7" w:rsidR="00A92D0B" w:rsidTr="00E755C1" w14:paraId="47003B8E" w14:textId="77777777">
        <w:tc>
          <w:tcPr>
            <w:tcW w:w="4585" w:type="dxa"/>
          </w:tcPr>
          <w:p w:rsidRPr="005577F7" w:rsidR="00A92D0B" w:rsidP="00755CBB" w:rsidRDefault="00A92D0B" w14:paraId="0E2E4BD1" w14:textId="1DE24147">
            <w:pPr>
              <w:tabs>
                <w:tab w:val="left" w:pos="1620"/>
                <w:tab w:val="right" w:pos="4500"/>
              </w:tabs>
              <w:rPr>
                <w:b/>
                <w:color w:val="000000"/>
                <w:u w:val="single"/>
              </w:rPr>
            </w:pPr>
            <w:r w:rsidRPr="005577F7">
              <w:rPr>
                <w:b/>
                <w:color w:val="000000"/>
              </w:rPr>
              <w:t>Claimed:</w:t>
            </w:r>
            <w:r w:rsidRPr="005577F7" w:rsidR="00F63C29">
              <w:rPr>
                <w:b/>
                <w:color w:val="000000"/>
              </w:rPr>
              <w:t xml:space="preserve"> </w:t>
            </w:r>
            <w:r w:rsidRPr="005577F7" w:rsidR="002D21CA">
              <w:rPr>
                <w:b/>
                <w:color w:val="000000"/>
              </w:rPr>
              <w:t xml:space="preserve"> </w:t>
            </w:r>
            <w:r w:rsidRPr="00226A7C" w:rsidR="00D60785">
              <w:rPr>
                <w:bCs/>
                <w:color w:val="000000"/>
              </w:rPr>
              <w:t>$381,664.52</w:t>
            </w:r>
          </w:p>
        </w:tc>
        <w:tc>
          <w:tcPr>
            <w:tcW w:w="4775" w:type="dxa"/>
            <w:tcBorders>
              <w:bottom w:val="single" w:color="auto" w:sz="4" w:space="0"/>
            </w:tcBorders>
          </w:tcPr>
          <w:p w:rsidRPr="005577F7" w:rsidR="00A92D0B" w:rsidP="00755CBB" w:rsidRDefault="00A92D0B" w14:paraId="211F40A8" w14:textId="021654B0">
            <w:pPr>
              <w:tabs>
                <w:tab w:val="left" w:pos="1872"/>
                <w:tab w:val="right" w:pos="3672"/>
              </w:tabs>
              <w:rPr>
                <w:b/>
                <w:color w:val="000000"/>
                <w:u w:val="single"/>
              </w:rPr>
            </w:pPr>
            <w:r w:rsidRPr="005577F7">
              <w:rPr>
                <w:b/>
                <w:color w:val="000000"/>
              </w:rPr>
              <w:t>Awarded:</w:t>
            </w:r>
            <w:r w:rsidRPr="005577F7" w:rsidR="00FC72B7">
              <w:rPr>
                <w:b/>
                <w:color w:val="000000"/>
              </w:rPr>
              <w:t xml:space="preserve">  </w:t>
            </w:r>
            <w:r w:rsidRPr="00156C9E" w:rsidR="00156C9E">
              <w:t>$</w:t>
            </w:r>
            <w:r w:rsidR="00BD5FCA">
              <w:t>84,091.50</w:t>
            </w:r>
          </w:p>
        </w:tc>
      </w:tr>
      <w:tr w:rsidRPr="005577F7" w:rsidR="00A92D0B" w:rsidTr="00E755C1" w14:paraId="5C56877D" w14:textId="77777777">
        <w:tc>
          <w:tcPr>
            <w:tcW w:w="4585" w:type="dxa"/>
          </w:tcPr>
          <w:p w:rsidRPr="005577F7" w:rsidR="00A92D0B" w:rsidP="00755CBB" w:rsidRDefault="00A92D0B" w14:paraId="6EF99E36" w14:textId="72B38655">
            <w:pPr>
              <w:tabs>
                <w:tab w:val="left" w:pos="3060"/>
                <w:tab w:val="right" w:pos="4500"/>
              </w:tabs>
              <w:rPr>
                <w:color w:val="000000"/>
                <w:u w:val="single"/>
              </w:rPr>
            </w:pPr>
            <w:r w:rsidRPr="005577F7">
              <w:rPr>
                <w:b/>
                <w:color w:val="000000"/>
              </w:rPr>
              <w:t>Assigned Commissioner:</w:t>
            </w:r>
            <w:r w:rsidRPr="005577F7" w:rsidR="000C20B5">
              <w:rPr>
                <w:b/>
                <w:color w:val="000000"/>
              </w:rPr>
              <w:t xml:space="preserve"> </w:t>
            </w:r>
            <w:r w:rsidRPr="005577F7" w:rsidR="000C20B5">
              <w:rPr>
                <w:bCs/>
                <w:color w:val="000000"/>
              </w:rPr>
              <w:t>Karen Douglas</w:t>
            </w:r>
            <w:r w:rsidRPr="005577F7">
              <w:rPr>
                <w:b/>
                <w:color w:val="000000"/>
              </w:rPr>
              <w:t xml:space="preserve"> </w:t>
            </w:r>
          </w:p>
        </w:tc>
        <w:tc>
          <w:tcPr>
            <w:tcW w:w="4775" w:type="dxa"/>
          </w:tcPr>
          <w:p w:rsidRPr="005577F7" w:rsidR="00A92D0B" w:rsidP="00755CBB" w:rsidRDefault="00A92D0B" w14:paraId="79375F78" w14:textId="3C0B19B4">
            <w:pPr>
              <w:tabs>
                <w:tab w:val="left" w:pos="1872"/>
                <w:tab w:val="right" w:pos="3672"/>
              </w:tabs>
              <w:rPr>
                <w:color w:val="000000"/>
                <w:u w:val="single"/>
              </w:rPr>
            </w:pPr>
            <w:r w:rsidRPr="005577F7">
              <w:rPr>
                <w:b/>
                <w:color w:val="000000"/>
              </w:rPr>
              <w:t>Assigned ALJ:</w:t>
            </w:r>
            <w:r w:rsidRPr="005577F7" w:rsidR="00F63C29">
              <w:rPr>
                <w:b/>
                <w:color w:val="000000"/>
              </w:rPr>
              <w:t xml:space="preserve"> </w:t>
            </w:r>
            <w:r w:rsidRPr="005577F7" w:rsidR="000C20B5">
              <w:rPr>
                <w:bCs/>
                <w:color w:val="000000"/>
              </w:rPr>
              <w:t>Nilgun Atamturk</w:t>
            </w:r>
          </w:p>
        </w:tc>
      </w:tr>
    </w:tbl>
    <w:p w:rsidRPr="005577F7" w:rsidR="00A92D0B" w:rsidP="00755CBB" w:rsidRDefault="00A92D0B" w14:paraId="31F24E14" w14:textId="16592EAA">
      <w:pPr>
        <w:keepNext/>
        <w:spacing w:before="480" w:after="240"/>
        <w:jc w:val="center"/>
        <w:rPr>
          <w:i/>
          <w:color w:val="000000"/>
          <w:u w:val="single"/>
        </w:rPr>
      </w:pPr>
      <w:r w:rsidRPr="005577F7">
        <w:rPr>
          <w:b/>
          <w:color w:val="000000"/>
        </w:rPr>
        <w:t>PART I:</w:t>
      </w:r>
      <w:r w:rsidRPr="005577F7" w:rsidR="008E182E">
        <w:rPr>
          <w:b/>
          <w:color w:val="000000"/>
        </w:rPr>
        <w:t xml:space="preserve">  </w:t>
      </w:r>
      <w:r w:rsidRPr="005577F7">
        <w:rPr>
          <w:b/>
          <w:color w:val="000000"/>
        </w:rPr>
        <w:t>PROCEDURAL ISSUES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3685"/>
        <w:gridCol w:w="5675"/>
      </w:tblGrid>
      <w:tr w:rsidRPr="005577F7" w:rsidR="00A92D0B" w:rsidTr="00E755C1" w14:paraId="3C5C25ED" w14:textId="77777777">
        <w:tc>
          <w:tcPr>
            <w:tcW w:w="3685" w:type="dxa"/>
          </w:tcPr>
          <w:p w:rsidRPr="005577F7" w:rsidR="00A92D0B" w:rsidP="00755CBB" w:rsidRDefault="00A92D0B" w14:paraId="1576A0A6" w14:textId="77777777">
            <w:pPr>
              <w:rPr>
                <w:b/>
                <w:color w:val="000000"/>
              </w:rPr>
            </w:pPr>
            <w:r w:rsidRPr="005577F7">
              <w:rPr>
                <w:b/>
                <w:color w:val="000000"/>
              </w:rPr>
              <w:t xml:space="preserve">A.  Brief </w:t>
            </w:r>
            <w:r w:rsidRPr="005577F7" w:rsidR="00A319DE">
              <w:rPr>
                <w:b/>
                <w:color w:val="000000"/>
              </w:rPr>
              <w:t>d</w:t>
            </w:r>
            <w:r w:rsidRPr="005577F7">
              <w:rPr>
                <w:b/>
                <w:color w:val="000000"/>
              </w:rPr>
              <w:t xml:space="preserve">escription of Decision: </w:t>
            </w:r>
          </w:p>
        </w:tc>
        <w:tc>
          <w:tcPr>
            <w:tcW w:w="5675" w:type="dxa"/>
          </w:tcPr>
          <w:p w:rsidRPr="005577F7" w:rsidR="00C02649" w:rsidP="00755CBB" w:rsidRDefault="002722D8" w14:paraId="67B8ECAA" w14:textId="629B2FB6">
            <w:pPr>
              <w:rPr>
                <w:color w:val="000000"/>
              </w:rPr>
            </w:pPr>
            <w:r w:rsidRPr="00770E10">
              <w:rPr>
                <w:color w:val="000000"/>
              </w:rPr>
              <w:t>D.24</w:t>
            </w:r>
            <w:r w:rsidR="004152B8">
              <w:rPr>
                <w:color w:val="000000"/>
              </w:rPr>
              <w:noBreakHyphen/>
            </w:r>
            <w:r w:rsidRPr="00770E10">
              <w:rPr>
                <w:color w:val="000000"/>
              </w:rPr>
              <w:t>12</w:t>
            </w:r>
            <w:r w:rsidR="004152B8">
              <w:rPr>
                <w:color w:val="000000"/>
              </w:rPr>
              <w:noBreakHyphen/>
            </w:r>
            <w:r w:rsidRPr="00770E10">
              <w:rPr>
                <w:color w:val="000000"/>
              </w:rPr>
              <w:t>033 approved, after certain reductions and other modifications, PG&amp;E</w:t>
            </w:r>
            <w:r w:rsidR="004E6CFF">
              <w:rPr>
                <w:color w:val="000000"/>
              </w:rPr>
              <w:t>’</w:t>
            </w:r>
            <w:r w:rsidRPr="00770E10">
              <w:rPr>
                <w:color w:val="000000"/>
              </w:rPr>
              <w:t>s application for the 2023</w:t>
            </w:r>
            <w:r w:rsidR="00BA598C">
              <w:rPr>
                <w:color w:val="000000"/>
              </w:rPr>
              <w:t xml:space="preserve"> – </w:t>
            </w:r>
            <w:r w:rsidRPr="00770E10">
              <w:rPr>
                <w:color w:val="000000"/>
              </w:rPr>
              <w:t>2025 revenue requirement for Diablo Canyon</w:t>
            </w:r>
            <w:r w:rsidR="004E6CFF">
              <w:rPr>
                <w:color w:val="000000"/>
              </w:rPr>
              <w:t>’</w:t>
            </w:r>
            <w:r w:rsidRPr="00770E10">
              <w:rPr>
                <w:color w:val="000000"/>
              </w:rPr>
              <w:t>s extended operation and PG&amp;E</w:t>
            </w:r>
            <w:r w:rsidR="004E6CFF">
              <w:rPr>
                <w:color w:val="000000"/>
              </w:rPr>
              <w:t>’</w:t>
            </w:r>
            <w:r w:rsidRPr="00770E10">
              <w:rPr>
                <w:color w:val="000000"/>
              </w:rPr>
              <w:t>s planned expenditure of 2025 Volumetric Performance Fees.</w:t>
            </w:r>
          </w:p>
        </w:tc>
      </w:tr>
    </w:tbl>
    <w:p w:rsidRPr="005577F7" w:rsidR="00A92D0B" w:rsidP="00755CBB" w:rsidRDefault="005A63D4" w14:paraId="2FBF046C" w14:textId="62BB479A">
      <w:pPr>
        <w:keepNext/>
        <w:numPr>
          <w:ilvl w:val="0"/>
          <w:numId w:val="5"/>
        </w:numPr>
        <w:spacing w:before="240" w:after="240"/>
        <w:rPr>
          <w:b/>
          <w:color w:val="000000"/>
        </w:rPr>
      </w:pPr>
      <w:r w:rsidRPr="005577F7">
        <w:rPr>
          <w:b/>
          <w:color w:val="000000"/>
        </w:rPr>
        <w:lastRenderedPageBreak/>
        <w:t xml:space="preserve">Intervenor </w:t>
      </w:r>
      <w:r w:rsidRPr="005577F7" w:rsidR="00A92D0B">
        <w:rPr>
          <w:b/>
          <w:color w:val="000000"/>
        </w:rPr>
        <w:t xml:space="preserve">must satisfy intervenor compensation </w:t>
      </w:r>
      <w:r w:rsidRPr="005577F7" w:rsidR="00DE3A5D">
        <w:rPr>
          <w:b/>
          <w:color w:val="000000"/>
        </w:rPr>
        <w:t xml:space="preserve">requirements set forth in </w:t>
      </w:r>
      <w:r w:rsidR="004152B8">
        <w:rPr>
          <w:b/>
          <w:color w:val="000000"/>
        </w:rPr>
        <w:t>Pub. Util.</w:t>
      </w:r>
      <w:r w:rsidRPr="005577F7" w:rsidR="00A92D0B">
        <w:rPr>
          <w:b/>
          <w:color w:val="000000"/>
        </w:rPr>
        <w:t xml:space="preserve"> Code </w:t>
      </w:r>
      <w:r w:rsidR="004152B8">
        <w:rPr>
          <w:b/>
          <w:color w:val="000000"/>
        </w:rPr>
        <w:t>§§ </w:t>
      </w:r>
      <w:r w:rsidRPr="005577F7" w:rsidR="00A92D0B">
        <w:rPr>
          <w:b/>
          <w:color w:val="000000"/>
        </w:rPr>
        <w:t>1801</w:t>
      </w:r>
      <w:r w:rsidR="004152B8">
        <w:rPr>
          <w:b/>
          <w:color w:val="000000"/>
        </w:rPr>
        <w:noBreakHyphen/>
      </w:r>
      <w:r w:rsidRPr="005577F7" w:rsidR="00A92D0B">
        <w:rPr>
          <w:b/>
          <w:color w:val="000000"/>
        </w:rPr>
        <w:t>1812</w:t>
      </w:r>
      <w:r w:rsidRPr="005577F7" w:rsidR="003B6A1B">
        <w:rPr>
          <w:rStyle w:val="FootnoteReference"/>
          <w:b/>
          <w:color w:val="000000"/>
        </w:rPr>
        <w:footnoteReference w:id="1"/>
      </w:r>
      <w:r w:rsidRPr="005577F7" w:rsidR="00A92D0B">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4817"/>
        <w:gridCol w:w="2267"/>
        <w:gridCol w:w="2276"/>
      </w:tblGrid>
      <w:tr w:rsidRPr="005577F7" w:rsidR="00A92D0B" w:rsidTr="00631507" w14:paraId="640CF70A" w14:textId="77777777">
        <w:trPr>
          <w:tblHeader/>
        </w:trPr>
        <w:tc>
          <w:tcPr>
            <w:tcW w:w="4817" w:type="dxa"/>
            <w:tcBorders>
              <w:bottom w:val="single" w:color="auto" w:sz="4" w:space="0"/>
            </w:tcBorders>
            <w:shd w:val="clear" w:color="auto" w:fill="D9D9D9" w:themeFill="background1" w:themeFillShade="D9"/>
            <w:vAlign w:val="bottom"/>
          </w:tcPr>
          <w:p w:rsidRPr="005577F7" w:rsidR="00A92D0B" w:rsidP="00631507" w:rsidRDefault="00A92D0B" w14:paraId="409E4D92" w14:textId="77777777">
            <w:pPr>
              <w:keepNext/>
              <w:tabs>
                <w:tab w:val="left" w:pos="360"/>
              </w:tabs>
              <w:jc w:val="center"/>
              <w:rPr>
                <w:color w:val="000000"/>
              </w:rPr>
            </w:pPr>
          </w:p>
        </w:tc>
        <w:tc>
          <w:tcPr>
            <w:tcW w:w="2267" w:type="dxa"/>
            <w:tcBorders>
              <w:bottom w:val="single" w:color="auto" w:sz="4" w:space="0"/>
            </w:tcBorders>
            <w:shd w:val="clear" w:color="auto" w:fill="D9D9D9" w:themeFill="background1" w:themeFillShade="D9"/>
            <w:vAlign w:val="bottom"/>
          </w:tcPr>
          <w:p w:rsidRPr="005577F7" w:rsidR="00A92D0B" w:rsidP="00631507" w:rsidRDefault="005A63D4" w14:paraId="1412A3C6" w14:textId="77777777">
            <w:pPr>
              <w:keepNext/>
              <w:tabs>
                <w:tab w:val="left" w:pos="360"/>
              </w:tabs>
              <w:jc w:val="center"/>
              <w:rPr>
                <w:b/>
                <w:color w:val="000000"/>
              </w:rPr>
            </w:pPr>
            <w:r w:rsidRPr="005577F7">
              <w:rPr>
                <w:b/>
                <w:color w:val="000000"/>
              </w:rPr>
              <w:t>Intervenor</w:t>
            </w:r>
          </w:p>
        </w:tc>
        <w:tc>
          <w:tcPr>
            <w:tcW w:w="2276" w:type="dxa"/>
            <w:tcBorders>
              <w:bottom w:val="single" w:color="auto" w:sz="4" w:space="0"/>
            </w:tcBorders>
            <w:shd w:val="clear" w:color="auto" w:fill="D9D9D9" w:themeFill="background1" w:themeFillShade="D9"/>
            <w:vAlign w:val="bottom"/>
          </w:tcPr>
          <w:p w:rsidRPr="005577F7" w:rsidR="00A92D0B" w:rsidP="00631507" w:rsidRDefault="00A92D0B" w14:paraId="2A218C38" w14:textId="386C9A6A">
            <w:pPr>
              <w:keepNext/>
              <w:tabs>
                <w:tab w:val="left" w:pos="360"/>
              </w:tabs>
              <w:jc w:val="center"/>
              <w:rPr>
                <w:b/>
                <w:color w:val="000000"/>
              </w:rPr>
            </w:pPr>
            <w:r w:rsidRPr="005577F7">
              <w:rPr>
                <w:b/>
                <w:color w:val="000000"/>
              </w:rPr>
              <w:t xml:space="preserve">CPUC </w:t>
            </w:r>
            <w:r w:rsidRPr="005577F7" w:rsidR="0081626F">
              <w:rPr>
                <w:b/>
                <w:color w:val="000000"/>
              </w:rPr>
              <w:t>Verification</w:t>
            </w:r>
          </w:p>
        </w:tc>
      </w:tr>
      <w:tr w:rsidRPr="005577F7" w:rsidR="00A92D0B" w:rsidTr="00E755C1"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577F7" w:rsidR="00A92D0B" w:rsidP="00755CBB" w:rsidRDefault="00A92D0B" w14:paraId="606E2B66" w14:textId="588066ED">
            <w:pPr>
              <w:keepNext/>
              <w:tabs>
                <w:tab w:val="left" w:pos="360"/>
              </w:tabs>
              <w:jc w:val="center"/>
              <w:rPr>
                <w:b/>
              </w:rPr>
            </w:pPr>
            <w:r w:rsidRPr="005577F7">
              <w:rPr>
                <w:b/>
              </w:rPr>
              <w:t>Timely filing of notice of intent to claim compensation (NOI) (</w:t>
            </w:r>
            <w:r w:rsidR="004152B8">
              <w:rPr>
                <w:b/>
              </w:rPr>
              <w:t>§ </w:t>
            </w:r>
            <w:r w:rsidRPr="005577F7">
              <w:rPr>
                <w:b/>
              </w:rPr>
              <w:t>1804(a)):</w:t>
            </w:r>
          </w:p>
        </w:tc>
      </w:tr>
      <w:tr w:rsidRPr="005577F7" w:rsidR="00A92D0B" w:rsidTr="00E755C1" w14:paraId="160E284A" w14:textId="77777777">
        <w:tc>
          <w:tcPr>
            <w:tcW w:w="4817" w:type="dxa"/>
            <w:tcBorders>
              <w:top w:val="single" w:color="auto" w:sz="4" w:space="0"/>
            </w:tcBorders>
          </w:tcPr>
          <w:p w:rsidRPr="005577F7" w:rsidR="00A92D0B" w:rsidP="00755CBB" w:rsidRDefault="00A92D0B" w14:paraId="44D1876C" w14:textId="478A95F3">
            <w:pPr>
              <w:keepNext/>
              <w:tabs>
                <w:tab w:val="left" w:pos="360"/>
              </w:tabs>
              <w:ind w:left="360" w:hanging="360"/>
              <w:rPr>
                <w:color w:val="000000"/>
              </w:rPr>
            </w:pPr>
            <w:r w:rsidRPr="005577F7">
              <w:rPr>
                <w:color w:val="000000"/>
              </w:rPr>
              <w:t>1.</w:t>
            </w:r>
            <w:r w:rsidRPr="005577F7" w:rsidR="001E7EE2">
              <w:rPr>
                <w:color w:val="000000"/>
              </w:rPr>
              <w:tab/>
            </w:r>
            <w:r w:rsidRPr="005577F7">
              <w:rPr>
                <w:color w:val="000000"/>
              </w:rPr>
              <w:t>Date of Prehearing Conference:</w:t>
            </w:r>
          </w:p>
        </w:tc>
        <w:tc>
          <w:tcPr>
            <w:tcW w:w="2267" w:type="dxa"/>
            <w:tcBorders>
              <w:top w:val="single" w:color="auto" w:sz="4" w:space="0"/>
            </w:tcBorders>
          </w:tcPr>
          <w:p w:rsidRPr="00461F4C" w:rsidR="00A92D0B" w:rsidP="00755CBB" w:rsidRDefault="002722D8" w14:paraId="35450816" w14:textId="14FF1910">
            <w:pPr>
              <w:keepNext/>
              <w:tabs>
                <w:tab w:val="left" w:pos="360"/>
              </w:tabs>
              <w:ind w:left="360" w:hanging="360"/>
            </w:pPr>
            <w:r w:rsidRPr="00461F4C">
              <w:t>May 31, 2024</w:t>
            </w:r>
          </w:p>
        </w:tc>
        <w:tc>
          <w:tcPr>
            <w:tcW w:w="2276" w:type="dxa"/>
            <w:tcBorders>
              <w:top w:val="single" w:color="auto" w:sz="4" w:space="0"/>
            </w:tcBorders>
          </w:tcPr>
          <w:p w:rsidRPr="005577F7" w:rsidR="00A92D0B" w:rsidP="00755CBB" w:rsidRDefault="0071476D" w14:paraId="34540344" w14:textId="7B40869C">
            <w:pPr>
              <w:keepNext/>
              <w:tabs>
                <w:tab w:val="left" w:pos="360"/>
              </w:tabs>
              <w:jc w:val="both"/>
              <w:rPr>
                <w:color w:val="000000"/>
              </w:rPr>
            </w:pPr>
            <w:r>
              <w:rPr>
                <w:color w:val="000000"/>
              </w:rPr>
              <w:t>Verified</w:t>
            </w:r>
          </w:p>
        </w:tc>
      </w:tr>
      <w:tr w:rsidRPr="005577F7" w:rsidR="00A92D0B" w:rsidTr="00E755C1" w14:paraId="24C85564" w14:textId="77777777">
        <w:tc>
          <w:tcPr>
            <w:tcW w:w="4817" w:type="dxa"/>
          </w:tcPr>
          <w:p w:rsidRPr="005577F7" w:rsidR="00A92D0B" w:rsidP="00755CBB" w:rsidRDefault="00A92D0B" w14:paraId="382C5788" w14:textId="49F0E39E">
            <w:pPr>
              <w:tabs>
                <w:tab w:val="left" w:pos="360"/>
              </w:tabs>
              <w:ind w:left="360" w:hanging="360"/>
              <w:rPr>
                <w:color w:val="000000"/>
              </w:rPr>
            </w:pPr>
            <w:r w:rsidRPr="005577F7">
              <w:rPr>
                <w:color w:val="000000"/>
              </w:rPr>
              <w:t>2.</w:t>
            </w:r>
            <w:r w:rsidRPr="005577F7" w:rsidR="001E7EE2">
              <w:rPr>
                <w:color w:val="000000"/>
              </w:rPr>
              <w:tab/>
            </w:r>
            <w:r w:rsidRPr="005577F7">
              <w:rPr>
                <w:color w:val="000000"/>
              </w:rPr>
              <w:t xml:space="preserve">Other </w:t>
            </w:r>
            <w:r w:rsidRPr="005577F7" w:rsidR="00A319DE">
              <w:rPr>
                <w:color w:val="000000"/>
              </w:rPr>
              <w:t>s</w:t>
            </w:r>
            <w:r w:rsidRPr="005577F7">
              <w:rPr>
                <w:color w:val="000000"/>
              </w:rPr>
              <w:t xml:space="preserve">pecified </w:t>
            </w:r>
            <w:r w:rsidRPr="005577F7" w:rsidR="00A319DE">
              <w:rPr>
                <w:color w:val="000000"/>
              </w:rPr>
              <w:t>d</w:t>
            </w:r>
            <w:r w:rsidRPr="005577F7">
              <w:rPr>
                <w:color w:val="000000"/>
              </w:rPr>
              <w:t>ate for NOI:</w:t>
            </w:r>
          </w:p>
        </w:tc>
        <w:tc>
          <w:tcPr>
            <w:tcW w:w="2267" w:type="dxa"/>
          </w:tcPr>
          <w:p w:rsidRPr="00461F4C" w:rsidR="00A92D0B" w:rsidP="00755CBB" w:rsidRDefault="00A92D0B" w14:paraId="1826BC2C" w14:textId="77777777">
            <w:pPr>
              <w:keepNext/>
              <w:tabs>
                <w:tab w:val="left" w:pos="360"/>
              </w:tabs>
              <w:ind w:left="360" w:hanging="360"/>
            </w:pPr>
          </w:p>
        </w:tc>
        <w:tc>
          <w:tcPr>
            <w:tcW w:w="2276" w:type="dxa"/>
          </w:tcPr>
          <w:p w:rsidRPr="005577F7" w:rsidR="00A92D0B" w:rsidP="00755CBB" w:rsidRDefault="00A92D0B" w14:paraId="210DAD91" w14:textId="77777777">
            <w:pPr>
              <w:tabs>
                <w:tab w:val="left" w:pos="360"/>
              </w:tabs>
              <w:jc w:val="both"/>
              <w:rPr>
                <w:color w:val="000000"/>
              </w:rPr>
            </w:pPr>
          </w:p>
        </w:tc>
      </w:tr>
      <w:tr w:rsidRPr="005577F7" w:rsidR="00A92D0B" w:rsidTr="00E755C1" w14:paraId="4836EEA6" w14:textId="77777777">
        <w:tc>
          <w:tcPr>
            <w:tcW w:w="4817" w:type="dxa"/>
          </w:tcPr>
          <w:p w:rsidRPr="005577F7" w:rsidR="00A92D0B" w:rsidP="00755CBB" w:rsidRDefault="00A92D0B" w14:paraId="34809C45" w14:textId="2501A8A3">
            <w:pPr>
              <w:tabs>
                <w:tab w:val="left" w:pos="360"/>
              </w:tabs>
              <w:ind w:left="360" w:hanging="360"/>
              <w:rPr>
                <w:color w:val="000000"/>
              </w:rPr>
            </w:pPr>
            <w:r w:rsidRPr="005577F7">
              <w:rPr>
                <w:color w:val="000000"/>
              </w:rPr>
              <w:t>3.</w:t>
            </w:r>
            <w:r w:rsidRPr="005577F7" w:rsidR="001E7EE2">
              <w:rPr>
                <w:color w:val="000000"/>
              </w:rPr>
              <w:tab/>
            </w:r>
            <w:r w:rsidRPr="005577F7">
              <w:rPr>
                <w:color w:val="000000"/>
              </w:rPr>
              <w:t xml:space="preserve">Date NOI </w:t>
            </w:r>
            <w:r w:rsidRPr="005577F7" w:rsidR="00A319DE">
              <w:rPr>
                <w:color w:val="000000"/>
              </w:rPr>
              <w:t>f</w:t>
            </w:r>
            <w:r w:rsidRPr="005577F7">
              <w:rPr>
                <w:color w:val="000000"/>
              </w:rPr>
              <w:t>iled:</w:t>
            </w:r>
          </w:p>
        </w:tc>
        <w:tc>
          <w:tcPr>
            <w:tcW w:w="2267" w:type="dxa"/>
            <w:tcBorders>
              <w:bottom w:val="single" w:color="auto" w:sz="4" w:space="0"/>
            </w:tcBorders>
          </w:tcPr>
          <w:p w:rsidRPr="00461F4C" w:rsidR="00A92D0B" w:rsidP="00755CBB" w:rsidRDefault="00472908" w14:paraId="44F7CCB9" w14:textId="576A2933">
            <w:pPr>
              <w:keepNext/>
              <w:tabs>
                <w:tab w:val="left" w:pos="360"/>
              </w:tabs>
              <w:ind w:left="360" w:hanging="360"/>
            </w:pPr>
            <w:r w:rsidRPr="00461F4C">
              <w:t>June 26, 2024</w:t>
            </w:r>
          </w:p>
        </w:tc>
        <w:tc>
          <w:tcPr>
            <w:tcW w:w="2276" w:type="dxa"/>
            <w:tcBorders>
              <w:bottom w:val="single" w:color="auto" w:sz="4" w:space="0"/>
            </w:tcBorders>
          </w:tcPr>
          <w:p w:rsidRPr="005577F7" w:rsidR="00A92D0B" w:rsidP="00755CBB" w:rsidRDefault="00461F4C" w14:paraId="71759DE3" w14:textId="3851AE62">
            <w:pPr>
              <w:tabs>
                <w:tab w:val="left" w:pos="360"/>
              </w:tabs>
              <w:jc w:val="both"/>
              <w:rPr>
                <w:color w:val="000000"/>
              </w:rPr>
            </w:pPr>
            <w:r>
              <w:rPr>
                <w:color w:val="000000"/>
              </w:rPr>
              <w:t>Verified</w:t>
            </w:r>
          </w:p>
        </w:tc>
      </w:tr>
      <w:tr w:rsidRPr="005577F7" w:rsidR="00A92D0B" w:rsidTr="00E755C1" w14:paraId="22BBCDE3" w14:textId="77777777">
        <w:tc>
          <w:tcPr>
            <w:tcW w:w="7084" w:type="dxa"/>
            <w:gridSpan w:val="2"/>
            <w:tcBorders>
              <w:bottom w:val="single" w:color="auto" w:sz="4" w:space="0"/>
            </w:tcBorders>
          </w:tcPr>
          <w:p w:rsidRPr="005577F7" w:rsidR="00A92D0B" w:rsidP="00755CBB" w:rsidRDefault="00A92D0B" w14:paraId="7E6E2068" w14:textId="1D4DD6B8">
            <w:pPr>
              <w:tabs>
                <w:tab w:val="left" w:pos="360"/>
              </w:tabs>
              <w:ind w:left="360" w:hanging="360"/>
              <w:rPr>
                <w:color w:val="000000"/>
              </w:rPr>
            </w:pPr>
            <w:r w:rsidRPr="005577F7">
              <w:rPr>
                <w:color w:val="000000"/>
              </w:rPr>
              <w:t>4.</w:t>
            </w:r>
            <w:r w:rsidRPr="005577F7" w:rsidR="001E7EE2">
              <w:rPr>
                <w:color w:val="000000"/>
              </w:rPr>
              <w:tab/>
            </w:r>
            <w:r w:rsidRPr="005577F7">
              <w:rPr>
                <w:color w:val="000000"/>
              </w:rPr>
              <w:t>Was the NOI timely filed?</w:t>
            </w:r>
          </w:p>
        </w:tc>
        <w:tc>
          <w:tcPr>
            <w:tcW w:w="2276" w:type="dxa"/>
            <w:tcBorders>
              <w:bottom w:val="single" w:color="auto" w:sz="4" w:space="0"/>
            </w:tcBorders>
          </w:tcPr>
          <w:p w:rsidRPr="005577F7" w:rsidR="00A92D0B" w:rsidP="00755CBB" w:rsidRDefault="00461F4C" w14:paraId="61DE2845" w14:textId="4A584E55">
            <w:pPr>
              <w:tabs>
                <w:tab w:val="left" w:pos="360"/>
              </w:tabs>
              <w:rPr>
                <w:color w:val="000000"/>
              </w:rPr>
            </w:pPr>
            <w:r>
              <w:rPr>
                <w:color w:val="000000"/>
              </w:rPr>
              <w:t>Yes</w:t>
            </w:r>
          </w:p>
        </w:tc>
      </w:tr>
      <w:tr w:rsidRPr="005577F7" w:rsidR="00A92D0B" w:rsidTr="00631507"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577F7" w:rsidR="00F028C8" w:rsidP="00755CBB" w:rsidRDefault="00A92D0B" w14:paraId="003AB151" w14:textId="0CB15C39">
            <w:pPr>
              <w:keepNext/>
              <w:tabs>
                <w:tab w:val="left" w:pos="360"/>
              </w:tabs>
              <w:jc w:val="center"/>
              <w:rPr>
                <w:b/>
                <w:color w:val="000000"/>
              </w:rPr>
            </w:pPr>
            <w:r w:rsidRPr="005577F7">
              <w:rPr>
                <w:b/>
                <w:color w:val="000000"/>
              </w:rPr>
              <w:t xml:space="preserve">Showing of </w:t>
            </w:r>
            <w:r w:rsidRPr="005577F7" w:rsidR="00F63C29">
              <w:rPr>
                <w:b/>
                <w:color w:val="000000"/>
              </w:rPr>
              <w:t xml:space="preserve">eligible </w:t>
            </w:r>
            <w:r w:rsidRPr="005577F7">
              <w:rPr>
                <w:b/>
                <w:color w:val="000000"/>
              </w:rPr>
              <w:t xml:space="preserve">customer </w:t>
            </w:r>
            <w:r w:rsidRPr="005577F7" w:rsidR="00F63C29">
              <w:rPr>
                <w:b/>
                <w:color w:val="000000"/>
              </w:rPr>
              <w:t>status (</w:t>
            </w:r>
            <w:r w:rsidR="004152B8">
              <w:rPr>
                <w:b/>
                <w:color w:val="000000"/>
              </w:rPr>
              <w:t>§ </w:t>
            </w:r>
            <w:r w:rsidRPr="005577F7" w:rsidR="00F63C29">
              <w:rPr>
                <w:b/>
                <w:color w:val="000000"/>
              </w:rPr>
              <w:t>1802(b)</w:t>
            </w:r>
            <w:r w:rsidRPr="005577F7" w:rsidR="00F028C8">
              <w:rPr>
                <w:b/>
                <w:color w:val="000000"/>
              </w:rPr>
              <w:t>)</w:t>
            </w:r>
          </w:p>
          <w:p w:rsidRPr="005577F7" w:rsidR="00A92D0B" w:rsidP="00755CBB" w:rsidRDefault="00F63C29" w14:paraId="19D649BF" w14:textId="2ABB57E5">
            <w:pPr>
              <w:keepNext/>
              <w:tabs>
                <w:tab w:val="left" w:pos="360"/>
              </w:tabs>
              <w:jc w:val="center"/>
              <w:rPr>
                <w:b/>
                <w:color w:val="000000"/>
              </w:rPr>
            </w:pPr>
            <w:r w:rsidRPr="005577F7">
              <w:rPr>
                <w:b/>
                <w:color w:val="000000"/>
              </w:rPr>
              <w:t xml:space="preserve"> or eligible local government entity </w:t>
            </w:r>
            <w:r w:rsidRPr="005577F7" w:rsidR="00ED6B6B">
              <w:rPr>
                <w:b/>
                <w:color w:val="000000"/>
              </w:rPr>
              <w:t>status</w:t>
            </w:r>
            <w:r w:rsidRPr="005577F7" w:rsidR="00F028C8">
              <w:rPr>
                <w:b/>
                <w:color w:val="000000"/>
              </w:rPr>
              <w:t xml:space="preserve"> </w:t>
            </w:r>
            <w:r w:rsidRPr="005577F7">
              <w:rPr>
                <w:b/>
                <w:color w:val="000000"/>
              </w:rPr>
              <w:t>(</w:t>
            </w:r>
            <w:r w:rsidR="004152B8">
              <w:rPr>
                <w:b/>
                <w:color w:val="000000"/>
              </w:rPr>
              <w:t>§§ </w:t>
            </w:r>
            <w:r w:rsidRPr="005577F7">
              <w:rPr>
                <w:b/>
                <w:color w:val="000000"/>
              </w:rPr>
              <w:t>1802(d), 1802.4)</w:t>
            </w:r>
            <w:r w:rsidRPr="005577F7" w:rsidR="00A92D0B">
              <w:rPr>
                <w:b/>
                <w:color w:val="000000"/>
              </w:rPr>
              <w:t>:</w:t>
            </w:r>
          </w:p>
        </w:tc>
      </w:tr>
      <w:tr w:rsidRPr="005577F7" w:rsidR="00A92D0B" w:rsidTr="00E755C1" w14:paraId="259EC227" w14:textId="77777777">
        <w:tc>
          <w:tcPr>
            <w:tcW w:w="4817" w:type="dxa"/>
            <w:tcBorders>
              <w:top w:val="single" w:color="auto" w:sz="4" w:space="0"/>
            </w:tcBorders>
          </w:tcPr>
          <w:p w:rsidRPr="005577F7" w:rsidR="00A92D0B" w:rsidP="00755CBB" w:rsidRDefault="00A92D0B" w14:paraId="0EFCD0E9" w14:textId="1A5E3FBE">
            <w:pPr>
              <w:keepNext/>
              <w:ind w:left="360" w:hanging="360"/>
              <w:rPr>
                <w:color w:val="000000"/>
              </w:rPr>
            </w:pPr>
            <w:r w:rsidRPr="005577F7">
              <w:rPr>
                <w:color w:val="000000"/>
              </w:rPr>
              <w:t>5.</w:t>
            </w:r>
            <w:r w:rsidRPr="005577F7" w:rsidR="001E7EE2">
              <w:rPr>
                <w:color w:val="000000"/>
              </w:rPr>
              <w:tab/>
            </w:r>
            <w:r w:rsidRPr="005577F7">
              <w:rPr>
                <w:color w:val="000000"/>
              </w:rPr>
              <w:t xml:space="preserve">Based on ALJ ruling issued in proceeding </w:t>
            </w:r>
            <w:r w:rsidRPr="005577F7" w:rsidR="00E3786F">
              <w:rPr>
                <w:color w:val="000000"/>
              </w:rPr>
              <w:t xml:space="preserve">  </w:t>
            </w:r>
            <w:r w:rsidRPr="005577F7">
              <w:rPr>
                <w:color w:val="000000"/>
              </w:rPr>
              <w:t>number:</w:t>
            </w:r>
          </w:p>
        </w:tc>
        <w:tc>
          <w:tcPr>
            <w:tcW w:w="2267" w:type="dxa"/>
            <w:tcBorders>
              <w:top w:val="single" w:color="auto" w:sz="4" w:space="0"/>
            </w:tcBorders>
          </w:tcPr>
          <w:p w:rsidRPr="00CB72C5" w:rsidR="00A92D0B" w:rsidP="00755CBB" w:rsidRDefault="00472908" w14:paraId="13E72B6D" w14:textId="465DF094">
            <w:pPr>
              <w:keepNext/>
              <w:tabs>
                <w:tab w:val="left" w:pos="360"/>
              </w:tabs>
              <w:ind w:left="360" w:hanging="360"/>
            </w:pPr>
            <w:r w:rsidRPr="00CB72C5">
              <w:t>R.23</w:t>
            </w:r>
            <w:r w:rsidR="004152B8">
              <w:noBreakHyphen/>
            </w:r>
            <w:r w:rsidRPr="00CB72C5">
              <w:t>01</w:t>
            </w:r>
            <w:r w:rsidR="004152B8">
              <w:noBreakHyphen/>
            </w:r>
            <w:r w:rsidRPr="00CB72C5">
              <w:t>007</w:t>
            </w:r>
          </w:p>
        </w:tc>
        <w:tc>
          <w:tcPr>
            <w:tcW w:w="2276" w:type="dxa"/>
            <w:tcBorders>
              <w:top w:val="single" w:color="auto" w:sz="4" w:space="0"/>
            </w:tcBorders>
          </w:tcPr>
          <w:p w:rsidRPr="005577F7" w:rsidR="00A92D0B" w:rsidP="00755CBB" w:rsidRDefault="00CB72C5" w14:paraId="2679B197" w14:textId="296B30C9">
            <w:pPr>
              <w:keepNext/>
              <w:tabs>
                <w:tab w:val="left" w:pos="360"/>
              </w:tabs>
              <w:rPr>
                <w:color w:val="000000"/>
              </w:rPr>
            </w:pPr>
            <w:r>
              <w:rPr>
                <w:color w:val="000000"/>
              </w:rPr>
              <w:t>Verified</w:t>
            </w:r>
          </w:p>
        </w:tc>
      </w:tr>
      <w:tr w:rsidRPr="005577F7" w:rsidR="00A92D0B" w:rsidTr="00E755C1" w14:paraId="4E0FB3B6" w14:textId="77777777">
        <w:tc>
          <w:tcPr>
            <w:tcW w:w="4817" w:type="dxa"/>
          </w:tcPr>
          <w:p w:rsidRPr="005577F7" w:rsidR="00A92D0B" w:rsidP="00755CBB" w:rsidRDefault="00A92D0B" w14:paraId="568B12E8" w14:textId="6121FC05">
            <w:pPr>
              <w:tabs>
                <w:tab w:val="left" w:pos="360"/>
              </w:tabs>
              <w:ind w:left="360" w:hanging="360"/>
              <w:rPr>
                <w:color w:val="000000"/>
              </w:rPr>
            </w:pPr>
            <w:r w:rsidRPr="005577F7">
              <w:rPr>
                <w:color w:val="000000"/>
              </w:rPr>
              <w:t>6.</w:t>
            </w:r>
            <w:r w:rsidRPr="005577F7" w:rsidR="001E7EE2">
              <w:rPr>
                <w:color w:val="000000"/>
              </w:rPr>
              <w:tab/>
            </w:r>
            <w:r w:rsidRPr="005577F7">
              <w:rPr>
                <w:color w:val="000000"/>
              </w:rPr>
              <w:t>Date of ALJ ruling:</w:t>
            </w:r>
          </w:p>
        </w:tc>
        <w:tc>
          <w:tcPr>
            <w:tcW w:w="2267" w:type="dxa"/>
          </w:tcPr>
          <w:p w:rsidRPr="00CB72C5" w:rsidR="00A92D0B" w:rsidP="00755CBB" w:rsidRDefault="00472908" w14:paraId="306125B9" w14:textId="4D6B2105">
            <w:pPr>
              <w:tabs>
                <w:tab w:val="left" w:pos="360"/>
              </w:tabs>
              <w:ind w:left="360" w:hanging="360"/>
            </w:pPr>
            <w:r w:rsidRPr="00CB72C5">
              <w:t>June 14, 2023</w:t>
            </w:r>
          </w:p>
        </w:tc>
        <w:tc>
          <w:tcPr>
            <w:tcW w:w="2276" w:type="dxa"/>
          </w:tcPr>
          <w:p w:rsidRPr="005577F7" w:rsidR="00A92D0B" w:rsidP="00755CBB" w:rsidRDefault="00CB72C5" w14:paraId="19F10313" w14:textId="0A9E9726">
            <w:pPr>
              <w:tabs>
                <w:tab w:val="left" w:pos="360"/>
              </w:tabs>
              <w:rPr>
                <w:color w:val="000000"/>
              </w:rPr>
            </w:pPr>
            <w:r>
              <w:rPr>
                <w:color w:val="000000"/>
              </w:rPr>
              <w:t>Verified</w:t>
            </w:r>
          </w:p>
        </w:tc>
      </w:tr>
      <w:tr w:rsidRPr="005577F7" w:rsidR="00A92D0B" w:rsidTr="00E755C1" w14:paraId="7F6C1E54" w14:textId="77777777">
        <w:tc>
          <w:tcPr>
            <w:tcW w:w="4817" w:type="dxa"/>
          </w:tcPr>
          <w:p w:rsidRPr="005577F7" w:rsidR="00A92D0B" w:rsidP="00755CBB" w:rsidRDefault="00A92D0B" w14:paraId="4B6E35B7" w14:textId="56E59D65">
            <w:pPr>
              <w:tabs>
                <w:tab w:val="left" w:pos="360"/>
              </w:tabs>
              <w:ind w:left="360" w:hanging="360"/>
              <w:rPr>
                <w:color w:val="000000"/>
              </w:rPr>
            </w:pPr>
            <w:r w:rsidRPr="005577F7">
              <w:rPr>
                <w:color w:val="000000"/>
              </w:rPr>
              <w:t>7.</w:t>
            </w:r>
            <w:r w:rsidRPr="005577F7" w:rsidR="001E7EE2">
              <w:rPr>
                <w:color w:val="000000"/>
              </w:rPr>
              <w:tab/>
            </w:r>
            <w:r w:rsidRPr="005577F7">
              <w:rPr>
                <w:color w:val="000000"/>
              </w:rPr>
              <w:t>Based on another CPUC determination (specify):</w:t>
            </w:r>
          </w:p>
        </w:tc>
        <w:tc>
          <w:tcPr>
            <w:tcW w:w="2267" w:type="dxa"/>
            <w:tcBorders>
              <w:bottom w:val="single" w:color="auto" w:sz="4" w:space="0"/>
            </w:tcBorders>
          </w:tcPr>
          <w:p w:rsidRPr="00CB72C5" w:rsidR="00A92D0B" w:rsidP="00755CBB" w:rsidRDefault="00A92D0B" w14:paraId="5E0F9D32" w14:textId="77777777">
            <w:pPr>
              <w:tabs>
                <w:tab w:val="left" w:pos="360"/>
              </w:tabs>
              <w:ind w:left="360" w:hanging="360"/>
            </w:pPr>
          </w:p>
        </w:tc>
        <w:tc>
          <w:tcPr>
            <w:tcW w:w="2276" w:type="dxa"/>
            <w:tcBorders>
              <w:bottom w:val="single" w:color="auto" w:sz="4" w:space="0"/>
            </w:tcBorders>
          </w:tcPr>
          <w:p w:rsidRPr="005577F7" w:rsidR="00A92D0B" w:rsidP="00755CBB" w:rsidRDefault="00A92D0B" w14:paraId="180E80B3" w14:textId="77777777">
            <w:pPr>
              <w:tabs>
                <w:tab w:val="left" w:pos="360"/>
              </w:tabs>
              <w:rPr>
                <w:color w:val="000000"/>
              </w:rPr>
            </w:pPr>
          </w:p>
        </w:tc>
      </w:tr>
      <w:tr w:rsidRPr="005577F7" w:rsidR="00A92D0B" w:rsidTr="00E755C1" w14:paraId="397CC4AD" w14:textId="77777777">
        <w:tc>
          <w:tcPr>
            <w:tcW w:w="7084" w:type="dxa"/>
            <w:gridSpan w:val="2"/>
            <w:tcBorders>
              <w:bottom w:val="single" w:color="auto" w:sz="4" w:space="0"/>
            </w:tcBorders>
          </w:tcPr>
          <w:p w:rsidRPr="005577F7" w:rsidR="00A92D0B" w:rsidP="00755CBB" w:rsidRDefault="00A92D0B" w14:paraId="71D46B68" w14:textId="56857D2E">
            <w:pPr>
              <w:tabs>
                <w:tab w:val="left" w:pos="360"/>
              </w:tabs>
              <w:ind w:left="360" w:hanging="360"/>
              <w:rPr>
                <w:color w:val="000000"/>
              </w:rPr>
            </w:pPr>
            <w:r w:rsidRPr="005577F7">
              <w:rPr>
                <w:color w:val="000000"/>
              </w:rPr>
              <w:t>8.</w:t>
            </w:r>
            <w:r w:rsidRPr="005577F7" w:rsidR="001E7EE2">
              <w:rPr>
                <w:color w:val="000000"/>
              </w:rPr>
              <w:tab/>
            </w:r>
            <w:r w:rsidRPr="005577F7">
              <w:rPr>
                <w:color w:val="000000"/>
              </w:rPr>
              <w:t xml:space="preserve">Has the </w:t>
            </w:r>
            <w:r w:rsidRPr="005577F7" w:rsidR="005A63D4">
              <w:rPr>
                <w:color w:val="000000"/>
              </w:rPr>
              <w:t xml:space="preserve">Intervenor </w:t>
            </w:r>
            <w:r w:rsidRPr="005577F7">
              <w:rPr>
                <w:color w:val="000000"/>
              </w:rPr>
              <w:t xml:space="preserve">demonstrated </w:t>
            </w:r>
            <w:r w:rsidRPr="005577F7">
              <w:t>customer</w:t>
            </w:r>
            <w:r w:rsidRPr="005577F7">
              <w:rPr>
                <w:color w:val="000000"/>
              </w:rPr>
              <w:t xml:space="preserve"> </w:t>
            </w:r>
            <w:r w:rsidRPr="005577F7" w:rsidR="00ED6B6B">
              <w:rPr>
                <w:color w:val="000000"/>
              </w:rPr>
              <w:t>status or eligible government entity status</w:t>
            </w:r>
            <w:r w:rsidRPr="005577F7">
              <w:rPr>
                <w:color w:val="000000"/>
              </w:rPr>
              <w:t>?</w:t>
            </w:r>
          </w:p>
        </w:tc>
        <w:tc>
          <w:tcPr>
            <w:tcW w:w="2276" w:type="dxa"/>
            <w:tcBorders>
              <w:bottom w:val="single" w:color="auto" w:sz="4" w:space="0"/>
            </w:tcBorders>
          </w:tcPr>
          <w:p w:rsidRPr="005577F7" w:rsidR="00A92D0B" w:rsidP="00755CBB" w:rsidRDefault="00CB72C5" w14:paraId="7D296E63" w14:textId="7DA269E7">
            <w:pPr>
              <w:tabs>
                <w:tab w:val="left" w:pos="360"/>
              </w:tabs>
              <w:rPr>
                <w:color w:val="000000"/>
              </w:rPr>
            </w:pPr>
            <w:r>
              <w:rPr>
                <w:color w:val="000000"/>
              </w:rPr>
              <w:t>Yes</w:t>
            </w:r>
          </w:p>
        </w:tc>
      </w:tr>
      <w:tr w:rsidRPr="005577F7" w:rsidR="00A92D0B" w:rsidTr="00631507"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577F7" w:rsidR="00A92D0B" w:rsidP="00755CBB" w:rsidRDefault="00A92D0B" w14:paraId="0291EC4E" w14:textId="21DBBB18">
            <w:pPr>
              <w:keepNext/>
              <w:tabs>
                <w:tab w:val="left" w:pos="360"/>
              </w:tabs>
              <w:jc w:val="center"/>
              <w:rPr>
                <w:color w:val="000000"/>
              </w:rPr>
            </w:pPr>
            <w:r w:rsidRPr="005577F7">
              <w:rPr>
                <w:b/>
                <w:color w:val="000000"/>
              </w:rPr>
              <w:t xml:space="preserve">Showing of </w:t>
            </w:r>
            <w:r w:rsidR="004E6CFF">
              <w:rPr>
                <w:b/>
                <w:color w:val="000000"/>
              </w:rPr>
              <w:t>“</w:t>
            </w:r>
            <w:r w:rsidRPr="005577F7">
              <w:rPr>
                <w:b/>
                <w:color w:val="000000"/>
              </w:rPr>
              <w:t>significant</w:t>
            </w:r>
            <w:r w:rsidRPr="005577F7" w:rsidR="00F63C29">
              <w:rPr>
                <w:b/>
                <w:color w:val="000000"/>
              </w:rPr>
              <w:t xml:space="preserve"> financial hardship</w:t>
            </w:r>
            <w:r w:rsidR="004E6CFF">
              <w:rPr>
                <w:b/>
                <w:color w:val="000000"/>
              </w:rPr>
              <w:t>”</w:t>
            </w:r>
            <w:r w:rsidRPr="005577F7" w:rsidR="00F63C29">
              <w:rPr>
                <w:b/>
                <w:color w:val="000000"/>
              </w:rPr>
              <w:t xml:space="preserve"> (</w:t>
            </w:r>
            <w:r w:rsidR="004152B8">
              <w:rPr>
                <w:b/>
                <w:color w:val="000000"/>
              </w:rPr>
              <w:t>§ </w:t>
            </w:r>
            <w:r w:rsidRPr="005577F7" w:rsidR="00F63C29">
              <w:rPr>
                <w:b/>
                <w:color w:val="000000"/>
              </w:rPr>
              <w:t>1802(</w:t>
            </w:r>
            <w:r w:rsidRPr="005577F7" w:rsidR="00175865">
              <w:rPr>
                <w:b/>
                <w:color w:val="000000"/>
              </w:rPr>
              <w:t>h</w:t>
            </w:r>
            <w:r w:rsidRPr="005577F7" w:rsidR="00F63C29">
              <w:rPr>
                <w:b/>
                <w:color w:val="000000"/>
              </w:rPr>
              <w:t xml:space="preserve">) or </w:t>
            </w:r>
            <w:r w:rsidR="004152B8">
              <w:rPr>
                <w:b/>
                <w:color w:val="000000"/>
              </w:rPr>
              <w:t>§ </w:t>
            </w:r>
            <w:r w:rsidRPr="005577F7" w:rsidR="00F63C29">
              <w:rPr>
                <w:b/>
                <w:color w:val="000000"/>
              </w:rPr>
              <w:t>1803.1(b))</w:t>
            </w:r>
            <w:r w:rsidRPr="005577F7" w:rsidR="00C02649">
              <w:rPr>
                <w:b/>
                <w:color w:val="000000"/>
              </w:rPr>
              <w:t>:</w:t>
            </w:r>
          </w:p>
        </w:tc>
      </w:tr>
      <w:tr w:rsidRPr="005577F7" w:rsidR="00A92D0B" w:rsidTr="00E755C1" w14:paraId="77F91856" w14:textId="77777777">
        <w:tc>
          <w:tcPr>
            <w:tcW w:w="4817" w:type="dxa"/>
            <w:tcBorders>
              <w:top w:val="single" w:color="auto" w:sz="4" w:space="0"/>
            </w:tcBorders>
          </w:tcPr>
          <w:p w:rsidRPr="005577F7" w:rsidR="00A92D0B" w:rsidP="00755CBB" w:rsidRDefault="00A92D0B" w14:paraId="6506E60E" w14:textId="7F0FF6A0">
            <w:pPr>
              <w:tabs>
                <w:tab w:val="left" w:pos="315"/>
              </w:tabs>
              <w:ind w:left="360" w:hanging="360"/>
              <w:rPr>
                <w:color w:val="000000"/>
              </w:rPr>
            </w:pPr>
            <w:r w:rsidRPr="005577F7">
              <w:rPr>
                <w:color w:val="000000"/>
              </w:rPr>
              <w:t>9.</w:t>
            </w:r>
            <w:r w:rsidRPr="005577F7" w:rsidR="001E7EE2">
              <w:rPr>
                <w:color w:val="000000"/>
              </w:rPr>
              <w:tab/>
            </w:r>
            <w:r w:rsidRPr="005577F7">
              <w:rPr>
                <w:color w:val="000000"/>
              </w:rPr>
              <w:t>Based on ALJ ruling issued in proceeding number:</w:t>
            </w:r>
          </w:p>
        </w:tc>
        <w:tc>
          <w:tcPr>
            <w:tcW w:w="2267" w:type="dxa"/>
            <w:tcBorders>
              <w:top w:val="single" w:color="auto" w:sz="4" w:space="0"/>
            </w:tcBorders>
          </w:tcPr>
          <w:p w:rsidRPr="009812EA" w:rsidR="00A92D0B" w:rsidP="00755CBB" w:rsidRDefault="0094039F" w14:paraId="54B4911C" w14:textId="58BAC790">
            <w:pPr>
              <w:tabs>
                <w:tab w:val="left" w:pos="360"/>
              </w:tabs>
              <w:ind w:left="360" w:hanging="360"/>
            </w:pPr>
            <w:r w:rsidRPr="009812EA">
              <w:t>R.23</w:t>
            </w:r>
            <w:r w:rsidR="004152B8">
              <w:noBreakHyphen/>
            </w:r>
            <w:r w:rsidRPr="009812EA">
              <w:t>01</w:t>
            </w:r>
            <w:r w:rsidR="004152B8">
              <w:noBreakHyphen/>
            </w:r>
            <w:r w:rsidRPr="009812EA">
              <w:t>007</w:t>
            </w:r>
          </w:p>
        </w:tc>
        <w:tc>
          <w:tcPr>
            <w:tcW w:w="2276" w:type="dxa"/>
            <w:tcBorders>
              <w:top w:val="single" w:color="auto" w:sz="4" w:space="0"/>
            </w:tcBorders>
          </w:tcPr>
          <w:p w:rsidRPr="005577F7" w:rsidR="00A92D0B" w:rsidP="00755CBB" w:rsidRDefault="00B7221C" w14:paraId="2E2FB9D6" w14:textId="1EC4BF66">
            <w:pPr>
              <w:tabs>
                <w:tab w:val="left" w:pos="360"/>
              </w:tabs>
              <w:rPr>
                <w:color w:val="000000"/>
              </w:rPr>
            </w:pPr>
            <w:r>
              <w:rPr>
                <w:color w:val="000000"/>
              </w:rPr>
              <w:t>Verified</w:t>
            </w:r>
          </w:p>
        </w:tc>
      </w:tr>
      <w:tr w:rsidRPr="005577F7" w:rsidR="00A92D0B" w:rsidTr="00E755C1" w14:paraId="4AD750C1" w14:textId="77777777">
        <w:tc>
          <w:tcPr>
            <w:tcW w:w="4817" w:type="dxa"/>
          </w:tcPr>
          <w:p w:rsidRPr="005577F7" w:rsidR="00A92D0B" w:rsidP="00755CBB" w:rsidRDefault="00A92D0B" w14:paraId="2A279407" w14:textId="1E831EEE">
            <w:pPr>
              <w:ind w:left="360" w:hanging="360"/>
              <w:rPr>
                <w:color w:val="000000"/>
              </w:rPr>
            </w:pPr>
            <w:r w:rsidRPr="005577F7">
              <w:rPr>
                <w:color w:val="000000"/>
              </w:rPr>
              <w:t>10.</w:t>
            </w:r>
            <w:r w:rsidRPr="005577F7" w:rsidR="001E7EE2">
              <w:rPr>
                <w:color w:val="000000"/>
              </w:rPr>
              <w:tab/>
            </w:r>
            <w:r w:rsidRPr="005577F7">
              <w:rPr>
                <w:color w:val="000000"/>
              </w:rPr>
              <w:t>Date of ALJ ruling:</w:t>
            </w:r>
          </w:p>
        </w:tc>
        <w:tc>
          <w:tcPr>
            <w:tcW w:w="2267" w:type="dxa"/>
          </w:tcPr>
          <w:p w:rsidRPr="009812EA" w:rsidR="00A92D0B" w:rsidP="00755CBB" w:rsidRDefault="0094039F" w14:paraId="4B66A2E4" w14:textId="39C245A9">
            <w:pPr>
              <w:tabs>
                <w:tab w:val="left" w:pos="360"/>
              </w:tabs>
              <w:ind w:left="360" w:hanging="360"/>
            </w:pPr>
            <w:r w:rsidRPr="009812EA">
              <w:t>June 14, 2023</w:t>
            </w:r>
          </w:p>
        </w:tc>
        <w:tc>
          <w:tcPr>
            <w:tcW w:w="2276" w:type="dxa"/>
          </w:tcPr>
          <w:p w:rsidRPr="005577F7" w:rsidR="00A92D0B" w:rsidP="00755CBB" w:rsidRDefault="00653F80" w14:paraId="3B83D035" w14:textId="5FD47B40">
            <w:pPr>
              <w:tabs>
                <w:tab w:val="left" w:pos="360"/>
              </w:tabs>
              <w:rPr>
                <w:color w:val="000000"/>
              </w:rPr>
            </w:pPr>
            <w:r>
              <w:rPr>
                <w:color w:val="000000"/>
              </w:rPr>
              <w:t>July 3, 2025</w:t>
            </w:r>
          </w:p>
        </w:tc>
      </w:tr>
      <w:tr w:rsidRPr="005577F7" w:rsidR="00357F1A" w:rsidTr="00E755C1" w14:paraId="7C183C5E" w14:textId="77777777">
        <w:tc>
          <w:tcPr>
            <w:tcW w:w="4817" w:type="dxa"/>
          </w:tcPr>
          <w:p w:rsidRPr="005577F7" w:rsidR="00357F1A" w:rsidP="00755CBB" w:rsidRDefault="00357F1A" w14:paraId="4141CB3D" w14:textId="2DCA8797">
            <w:pPr>
              <w:ind w:left="360" w:hanging="360"/>
              <w:rPr>
                <w:color w:val="000000"/>
              </w:rPr>
            </w:pPr>
            <w:r w:rsidRPr="005577F7">
              <w:rPr>
                <w:color w:val="000000"/>
              </w:rPr>
              <w:t>11.</w:t>
            </w:r>
            <w:r w:rsidRPr="005577F7" w:rsidR="001E7EE2">
              <w:rPr>
                <w:color w:val="000000"/>
              </w:rPr>
              <w:tab/>
            </w:r>
            <w:r w:rsidRPr="005577F7">
              <w:rPr>
                <w:color w:val="000000"/>
              </w:rPr>
              <w:t>Based on another CPUC determination (specify):</w:t>
            </w:r>
          </w:p>
        </w:tc>
        <w:tc>
          <w:tcPr>
            <w:tcW w:w="2267" w:type="dxa"/>
          </w:tcPr>
          <w:p w:rsidRPr="009812EA" w:rsidR="00357F1A" w:rsidP="00755CBB" w:rsidRDefault="00357F1A" w14:paraId="141EB5CF" w14:textId="77777777">
            <w:pPr>
              <w:tabs>
                <w:tab w:val="left" w:pos="360"/>
              </w:tabs>
              <w:ind w:left="360" w:hanging="360"/>
            </w:pPr>
          </w:p>
        </w:tc>
        <w:tc>
          <w:tcPr>
            <w:tcW w:w="2276" w:type="dxa"/>
          </w:tcPr>
          <w:p w:rsidRPr="005577F7" w:rsidR="00357F1A" w:rsidP="00755CBB" w:rsidRDefault="00653F80" w14:paraId="79318715" w14:textId="34F3170A">
            <w:pPr>
              <w:tabs>
                <w:tab w:val="left" w:pos="360"/>
              </w:tabs>
              <w:rPr>
                <w:color w:val="000000"/>
              </w:rPr>
            </w:pPr>
            <w:r>
              <w:rPr>
                <w:color w:val="000000"/>
              </w:rPr>
              <w:t>D.25</w:t>
            </w:r>
            <w:r w:rsidR="004152B8">
              <w:rPr>
                <w:color w:val="000000"/>
              </w:rPr>
              <w:noBreakHyphen/>
            </w:r>
            <w:r>
              <w:rPr>
                <w:color w:val="000000"/>
              </w:rPr>
              <w:t>06</w:t>
            </w:r>
            <w:r w:rsidR="004152B8">
              <w:rPr>
                <w:color w:val="000000"/>
              </w:rPr>
              <w:noBreakHyphen/>
            </w:r>
            <w:r>
              <w:rPr>
                <w:color w:val="000000"/>
              </w:rPr>
              <w:t>062</w:t>
            </w:r>
          </w:p>
        </w:tc>
      </w:tr>
      <w:tr w:rsidRPr="005577F7" w:rsidR="00A92D0B" w:rsidTr="00E755C1" w14:paraId="4E8D20BF" w14:textId="77777777">
        <w:tc>
          <w:tcPr>
            <w:tcW w:w="7084" w:type="dxa"/>
            <w:gridSpan w:val="2"/>
            <w:tcBorders>
              <w:bottom w:val="single" w:color="auto" w:sz="4" w:space="0"/>
            </w:tcBorders>
          </w:tcPr>
          <w:p w:rsidRPr="005577F7" w:rsidR="00A92D0B" w:rsidP="00755CBB" w:rsidRDefault="00180E8C" w14:paraId="48D0D936" w14:textId="6A3DF8B8">
            <w:pPr>
              <w:tabs>
                <w:tab w:val="left" w:pos="360"/>
              </w:tabs>
              <w:ind w:left="360" w:hanging="360"/>
              <w:rPr>
                <w:color w:val="000000"/>
              </w:rPr>
            </w:pPr>
            <w:r w:rsidRPr="005577F7">
              <w:rPr>
                <w:color w:val="000000"/>
              </w:rPr>
              <w:t>12</w:t>
            </w:r>
            <w:r w:rsidRPr="005577F7" w:rsidR="00A92D0B">
              <w:rPr>
                <w:color w:val="000000"/>
              </w:rPr>
              <w:t>.</w:t>
            </w:r>
            <w:r w:rsidRPr="005577F7" w:rsidR="001E7EE2">
              <w:rPr>
                <w:color w:val="000000"/>
              </w:rPr>
              <w:tab/>
            </w:r>
            <w:r w:rsidRPr="005577F7" w:rsidR="00A92D0B">
              <w:rPr>
                <w:color w:val="000000"/>
              </w:rPr>
              <w:t>Has the</w:t>
            </w:r>
            <w:r w:rsidRPr="005577F7" w:rsidR="00A319DE">
              <w:rPr>
                <w:color w:val="000000"/>
              </w:rPr>
              <w:t xml:space="preserve"> </w:t>
            </w:r>
            <w:r w:rsidRPr="005577F7" w:rsidR="005A63D4">
              <w:rPr>
                <w:color w:val="000000"/>
              </w:rPr>
              <w:t>Intervenor</w:t>
            </w:r>
            <w:r w:rsidRPr="005577F7" w:rsidR="00A92D0B">
              <w:rPr>
                <w:color w:val="000000"/>
              </w:rPr>
              <w:t xml:space="preserve"> demonstrated significant financial hardship?</w:t>
            </w:r>
          </w:p>
        </w:tc>
        <w:tc>
          <w:tcPr>
            <w:tcW w:w="2276" w:type="dxa"/>
            <w:tcBorders>
              <w:bottom w:val="single" w:color="auto" w:sz="4" w:space="0"/>
            </w:tcBorders>
          </w:tcPr>
          <w:p w:rsidRPr="005577F7" w:rsidR="00A92D0B" w:rsidP="00755CBB" w:rsidRDefault="00B7221C" w14:paraId="0F29B839" w14:textId="763FAFBE">
            <w:pPr>
              <w:tabs>
                <w:tab w:val="left" w:pos="360"/>
              </w:tabs>
              <w:rPr>
                <w:color w:val="000000"/>
              </w:rPr>
            </w:pPr>
            <w:r>
              <w:rPr>
                <w:color w:val="000000"/>
              </w:rPr>
              <w:t>Yes</w:t>
            </w:r>
          </w:p>
        </w:tc>
      </w:tr>
      <w:tr w:rsidRPr="005577F7" w:rsidR="00A92D0B" w:rsidTr="00631507"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577F7" w:rsidR="00A92D0B" w:rsidP="00755CBB" w:rsidRDefault="00A92D0B" w14:paraId="172E2884" w14:textId="409CA7C6">
            <w:pPr>
              <w:keepNext/>
              <w:tabs>
                <w:tab w:val="left" w:pos="360"/>
              </w:tabs>
              <w:jc w:val="center"/>
              <w:rPr>
                <w:color w:val="000000"/>
              </w:rPr>
            </w:pPr>
            <w:r w:rsidRPr="005577F7">
              <w:rPr>
                <w:b/>
                <w:color w:val="000000"/>
              </w:rPr>
              <w:t>Timely request for compensation (</w:t>
            </w:r>
            <w:r w:rsidR="004152B8">
              <w:rPr>
                <w:b/>
                <w:color w:val="000000"/>
              </w:rPr>
              <w:t>§ </w:t>
            </w:r>
            <w:r w:rsidRPr="005577F7">
              <w:rPr>
                <w:b/>
                <w:color w:val="000000"/>
              </w:rPr>
              <w:t>1804(c)):</w:t>
            </w:r>
          </w:p>
        </w:tc>
      </w:tr>
      <w:tr w:rsidRPr="005577F7" w:rsidR="00A92D0B" w:rsidTr="00E755C1" w14:paraId="3E7938B0" w14:textId="77777777">
        <w:tc>
          <w:tcPr>
            <w:tcW w:w="4817" w:type="dxa"/>
            <w:tcBorders>
              <w:top w:val="single" w:color="auto" w:sz="4" w:space="0"/>
            </w:tcBorders>
          </w:tcPr>
          <w:p w:rsidRPr="005577F7" w:rsidR="00A92D0B" w:rsidP="00755CBB" w:rsidRDefault="00A92D0B" w14:paraId="66088F1B" w14:textId="2DB4A731">
            <w:pPr>
              <w:keepNext/>
              <w:tabs>
                <w:tab w:val="left" w:pos="612"/>
              </w:tabs>
              <w:ind w:left="360" w:hanging="360"/>
              <w:rPr>
                <w:color w:val="000000"/>
              </w:rPr>
            </w:pPr>
            <w:r w:rsidRPr="005577F7">
              <w:rPr>
                <w:color w:val="000000"/>
              </w:rPr>
              <w:t>13.</w:t>
            </w:r>
            <w:r w:rsidRPr="005577F7" w:rsidR="001E7EE2">
              <w:rPr>
                <w:color w:val="000000"/>
              </w:rPr>
              <w:tab/>
            </w:r>
            <w:r w:rsidRPr="005577F7">
              <w:rPr>
                <w:color w:val="000000"/>
              </w:rPr>
              <w:t>Identify Final Decision:</w:t>
            </w:r>
          </w:p>
        </w:tc>
        <w:tc>
          <w:tcPr>
            <w:tcW w:w="2267" w:type="dxa"/>
            <w:tcBorders>
              <w:top w:val="single" w:color="auto" w:sz="4" w:space="0"/>
            </w:tcBorders>
          </w:tcPr>
          <w:p w:rsidRPr="00682E2C" w:rsidR="00A92D0B" w:rsidP="00755CBB" w:rsidRDefault="0094039F" w14:paraId="7166F318" w14:textId="505D1031">
            <w:pPr>
              <w:tabs>
                <w:tab w:val="left" w:pos="360"/>
              </w:tabs>
              <w:rPr>
                <w:color w:val="000000"/>
              </w:rPr>
            </w:pPr>
            <w:r w:rsidRPr="00682E2C">
              <w:rPr>
                <w:color w:val="000000"/>
              </w:rPr>
              <w:t>D.24</w:t>
            </w:r>
            <w:r w:rsidR="004152B8">
              <w:rPr>
                <w:color w:val="000000"/>
              </w:rPr>
              <w:noBreakHyphen/>
            </w:r>
            <w:r w:rsidRPr="00682E2C">
              <w:rPr>
                <w:color w:val="000000"/>
              </w:rPr>
              <w:t>12</w:t>
            </w:r>
            <w:r w:rsidR="004152B8">
              <w:rPr>
                <w:color w:val="000000"/>
              </w:rPr>
              <w:noBreakHyphen/>
            </w:r>
            <w:r w:rsidRPr="00682E2C">
              <w:rPr>
                <w:color w:val="000000"/>
              </w:rPr>
              <w:t>033</w:t>
            </w:r>
          </w:p>
        </w:tc>
        <w:tc>
          <w:tcPr>
            <w:tcW w:w="2276" w:type="dxa"/>
            <w:tcBorders>
              <w:top w:val="single" w:color="auto" w:sz="4" w:space="0"/>
            </w:tcBorders>
          </w:tcPr>
          <w:p w:rsidRPr="005577F7" w:rsidR="00A92D0B" w:rsidP="00755CBB" w:rsidRDefault="00682E2C" w14:paraId="1588DC54" w14:textId="5A1234DA">
            <w:pPr>
              <w:tabs>
                <w:tab w:val="left" w:pos="360"/>
              </w:tabs>
              <w:rPr>
                <w:color w:val="000000"/>
              </w:rPr>
            </w:pPr>
            <w:r>
              <w:rPr>
                <w:color w:val="000000"/>
              </w:rPr>
              <w:t>Verified</w:t>
            </w:r>
          </w:p>
        </w:tc>
      </w:tr>
      <w:tr w:rsidRPr="005577F7" w:rsidR="00A92D0B" w:rsidTr="00E755C1" w14:paraId="6360DE59" w14:textId="77777777">
        <w:tc>
          <w:tcPr>
            <w:tcW w:w="4817" w:type="dxa"/>
          </w:tcPr>
          <w:p w:rsidRPr="005577F7" w:rsidR="00A92D0B" w:rsidP="00755CBB" w:rsidRDefault="00A92D0B" w14:paraId="4B809E4A" w14:textId="4BEED0BB">
            <w:pPr>
              <w:tabs>
                <w:tab w:val="left" w:pos="612"/>
              </w:tabs>
              <w:ind w:left="360" w:hanging="360"/>
              <w:rPr>
                <w:color w:val="000000"/>
              </w:rPr>
            </w:pPr>
            <w:r w:rsidRPr="005577F7">
              <w:rPr>
                <w:color w:val="000000"/>
              </w:rPr>
              <w:t>14.</w:t>
            </w:r>
            <w:r w:rsidRPr="005577F7" w:rsidR="001E7EE2">
              <w:rPr>
                <w:color w:val="000000"/>
              </w:rPr>
              <w:tab/>
            </w:r>
            <w:r w:rsidRPr="005577F7">
              <w:rPr>
                <w:color w:val="000000"/>
              </w:rPr>
              <w:t xml:space="preserve">Date of </w:t>
            </w:r>
            <w:r w:rsidRPr="005577F7" w:rsidR="00A319DE">
              <w:rPr>
                <w:color w:val="000000"/>
              </w:rPr>
              <w:t>i</w:t>
            </w:r>
            <w:r w:rsidRPr="005577F7">
              <w:rPr>
                <w:color w:val="000000"/>
              </w:rPr>
              <w:t xml:space="preserve">ssuance of Final Order or Decision:    </w:t>
            </w:r>
          </w:p>
        </w:tc>
        <w:tc>
          <w:tcPr>
            <w:tcW w:w="2267" w:type="dxa"/>
          </w:tcPr>
          <w:p w:rsidRPr="00682E2C" w:rsidR="00A92D0B" w:rsidP="00755CBB" w:rsidRDefault="0094039F" w14:paraId="20455B5F" w14:textId="1C6ADA0F">
            <w:pPr>
              <w:tabs>
                <w:tab w:val="left" w:pos="360"/>
              </w:tabs>
              <w:rPr>
                <w:color w:val="000000"/>
              </w:rPr>
            </w:pPr>
            <w:r w:rsidRPr="00682E2C">
              <w:rPr>
                <w:color w:val="000000"/>
              </w:rPr>
              <w:t>December 20, 2024</w:t>
            </w:r>
          </w:p>
        </w:tc>
        <w:tc>
          <w:tcPr>
            <w:tcW w:w="2276" w:type="dxa"/>
          </w:tcPr>
          <w:p w:rsidRPr="005577F7" w:rsidR="00682E2C" w:rsidP="00755CBB" w:rsidRDefault="00682E2C" w14:paraId="1FCF00DD" w14:textId="7DBF2178">
            <w:pPr>
              <w:tabs>
                <w:tab w:val="left" w:pos="360"/>
              </w:tabs>
              <w:rPr>
                <w:color w:val="000000"/>
              </w:rPr>
            </w:pPr>
            <w:r>
              <w:rPr>
                <w:color w:val="000000"/>
              </w:rPr>
              <w:t>Verified</w:t>
            </w:r>
          </w:p>
        </w:tc>
      </w:tr>
      <w:tr w:rsidRPr="005577F7" w:rsidR="00A92D0B" w:rsidTr="00E755C1" w14:paraId="723259E3" w14:textId="77777777">
        <w:tc>
          <w:tcPr>
            <w:tcW w:w="4817" w:type="dxa"/>
          </w:tcPr>
          <w:p w:rsidRPr="005577F7" w:rsidR="00A92D0B" w:rsidP="00755CBB" w:rsidRDefault="00A92D0B" w14:paraId="163EE1CA" w14:textId="2B64EB9E">
            <w:pPr>
              <w:tabs>
                <w:tab w:val="left" w:pos="612"/>
              </w:tabs>
              <w:ind w:left="360" w:hanging="360"/>
              <w:rPr>
                <w:color w:val="000000"/>
              </w:rPr>
            </w:pPr>
            <w:r w:rsidRPr="005577F7">
              <w:rPr>
                <w:color w:val="000000"/>
              </w:rPr>
              <w:t>15.</w:t>
            </w:r>
            <w:r w:rsidRPr="005577F7" w:rsidR="001E7EE2">
              <w:rPr>
                <w:color w:val="000000"/>
              </w:rPr>
              <w:tab/>
            </w:r>
            <w:r w:rsidRPr="005577F7">
              <w:rPr>
                <w:color w:val="000000"/>
              </w:rPr>
              <w:t>File date of compensation request:</w:t>
            </w:r>
          </w:p>
        </w:tc>
        <w:tc>
          <w:tcPr>
            <w:tcW w:w="2267" w:type="dxa"/>
          </w:tcPr>
          <w:p w:rsidRPr="00682E2C" w:rsidR="00A92D0B" w:rsidP="00755CBB" w:rsidRDefault="0094039F" w14:paraId="0568B39D" w14:textId="0BAA1CC9">
            <w:pPr>
              <w:tabs>
                <w:tab w:val="left" w:pos="360"/>
              </w:tabs>
              <w:rPr>
                <w:color w:val="000000"/>
              </w:rPr>
            </w:pPr>
            <w:r w:rsidRPr="00682E2C">
              <w:rPr>
                <w:color w:val="000000"/>
              </w:rPr>
              <w:t>February 1</w:t>
            </w:r>
            <w:r w:rsidRPr="00682E2C" w:rsidR="00D60785">
              <w:rPr>
                <w:color w:val="000000"/>
              </w:rPr>
              <w:t>4</w:t>
            </w:r>
            <w:r w:rsidRPr="00682E2C">
              <w:rPr>
                <w:color w:val="000000"/>
              </w:rPr>
              <w:t>, 2025</w:t>
            </w:r>
          </w:p>
        </w:tc>
        <w:tc>
          <w:tcPr>
            <w:tcW w:w="2276" w:type="dxa"/>
          </w:tcPr>
          <w:p w:rsidRPr="005577F7" w:rsidR="00A92D0B" w:rsidP="00755CBB" w:rsidRDefault="00B00254" w14:paraId="1CBF4E7A" w14:textId="272F23A9">
            <w:pPr>
              <w:tabs>
                <w:tab w:val="left" w:pos="360"/>
              </w:tabs>
              <w:rPr>
                <w:color w:val="000000"/>
              </w:rPr>
            </w:pPr>
            <w:r>
              <w:rPr>
                <w:color w:val="000000"/>
              </w:rPr>
              <w:t>Verified</w:t>
            </w:r>
          </w:p>
        </w:tc>
      </w:tr>
      <w:tr w:rsidRPr="005577F7" w:rsidR="00A92D0B" w:rsidTr="00E755C1" w14:paraId="406BCA3A" w14:textId="77777777">
        <w:tc>
          <w:tcPr>
            <w:tcW w:w="7084" w:type="dxa"/>
            <w:gridSpan w:val="2"/>
          </w:tcPr>
          <w:p w:rsidRPr="005577F7" w:rsidR="00A92D0B" w:rsidP="00755CBB" w:rsidRDefault="00A92D0B" w14:paraId="10AF42D1" w14:textId="67695104">
            <w:pPr>
              <w:tabs>
                <w:tab w:val="left" w:pos="360"/>
              </w:tabs>
              <w:ind w:left="360" w:hanging="360"/>
              <w:rPr>
                <w:color w:val="000000"/>
              </w:rPr>
            </w:pPr>
            <w:r w:rsidRPr="005577F7">
              <w:rPr>
                <w:color w:val="000000"/>
              </w:rPr>
              <w:t>16</w:t>
            </w:r>
            <w:r w:rsidRPr="005577F7" w:rsidR="001E7EE2">
              <w:rPr>
                <w:color w:val="000000"/>
              </w:rPr>
              <w:t>.</w:t>
            </w:r>
            <w:r w:rsidRPr="005577F7" w:rsidR="001E7EE2">
              <w:rPr>
                <w:color w:val="000000"/>
              </w:rPr>
              <w:tab/>
            </w:r>
            <w:r w:rsidRPr="005577F7">
              <w:rPr>
                <w:color w:val="000000"/>
              </w:rPr>
              <w:t>Was the request for compensation timely?</w:t>
            </w:r>
          </w:p>
        </w:tc>
        <w:tc>
          <w:tcPr>
            <w:tcW w:w="2276" w:type="dxa"/>
          </w:tcPr>
          <w:p w:rsidRPr="005577F7" w:rsidR="00A92D0B" w:rsidP="00755CBB" w:rsidRDefault="00B00254" w14:paraId="2EA30E63" w14:textId="248D7838">
            <w:pPr>
              <w:tabs>
                <w:tab w:val="left" w:pos="360"/>
              </w:tabs>
              <w:rPr>
                <w:color w:val="000000"/>
              </w:rPr>
            </w:pPr>
            <w:r>
              <w:rPr>
                <w:color w:val="000000"/>
              </w:rPr>
              <w:t>Yes</w:t>
            </w:r>
          </w:p>
        </w:tc>
      </w:tr>
    </w:tbl>
    <w:p w:rsidRPr="005577F7" w:rsidR="00A92D0B" w:rsidP="00755CBB" w:rsidRDefault="00A92D0B" w14:paraId="0068592B" w14:textId="16A3EB8D">
      <w:pPr>
        <w:keepNext/>
        <w:numPr>
          <w:ilvl w:val="0"/>
          <w:numId w:val="5"/>
        </w:numPr>
        <w:spacing w:before="240" w:after="240"/>
        <w:rPr>
          <w:b/>
          <w:color w:val="000000"/>
        </w:rPr>
      </w:pPr>
      <w:r w:rsidRPr="005577F7">
        <w:rPr>
          <w:b/>
          <w:color w:val="000000"/>
        </w:rPr>
        <w:lastRenderedPageBreak/>
        <w:t>Additional Comments on Part I</w:t>
      </w:r>
      <w:r w:rsidRPr="005577F7" w:rsidR="00C02649">
        <w:rPr>
          <w:b/>
          <w:color w:val="000000"/>
        </w:rPr>
        <w:t>:</w:t>
      </w:r>
      <w:r w:rsidRPr="005577F7">
        <w:rPr>
          <w:b/>
          <w:color w:val="000000"/>
        </w:rPr>
        <w:t xml:space="preserve">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535"/>
        <w:gridCol w:w="6750"/>
        <w:gridCol w:w="2075"/>
      </w:tblGrid>
      <w:tr w:rsidRPr="005577F7" w:rsidR="003C608A" w:rsidTr="00CB767F" w14:paraId="046F77BA" w14:textId="77777777">
        <w:trPr>
          <w:tblHeader/>
        </w:trPr>
        <w:tc>
          <w:tcPr>
            <w:tcW w:w="535" w:type="dxa"/>
            <w:tcBorders>
              <w:bottom w:val="single" w:color="auto" w:sz="4" w:space="0"/>
            </w:tcBorders>
            <w:shd w:val="clear" w:color="auto" w:fill="D9D9D9" w:themeFill="background1" w:themeFillShade="D9"/>
            <w:vAlign w:val="bottom"/>
          </w:tcPr>
          <w:p w:rsidRPr="005577F7" w:rsidR="003C608A" w:rsidP="00631507" w:rsidRDefault="003C608A" w14:paraId="0CB867A6" w14:textId="77777777">
            <w:pPr>
              <w:keepNext/>
              <w:tabs>
                <w:tab w:val="left" w:pos="360"/>
              </w:tabs>
              <w:jc w:val="center"/>
              <w:rPr>
                <w:b/>
                <w:color w:val="000000"/>
              </w:rPr>
            </w:pPr>
            <w:r w:rsidRPr="005577F7">
              <w:rPr>
                <w:b/>
                <w:color w:val="000000"/>
              </w:rPr>
              <w:t>#</w:t>
            </w:r>
          </w:p>
        </w:tc>
        <w:tc>
          <w:tcPr>
            <w:tcW w:w="6750" w:type="dxa"/>
            <w:tcBorders>
              <w:bottom w:val="single" w:color="auto" w:sz="4" w:space="0"/>
            </w:tcBorders>
            <w:shd w:val="clear" w:color="auto" w:fill="D9D9D9" w:themeFill="background1" w:themeFillShade="D9"/>
            <w:vAlign w:val="bottom"/>
          </w:tcPr>
          <w:p w:rsidRPr="005577F7" w:rsidR="003C608A" w:rsidP="00631507" w:rsidRDefault="003C608A" w14:paraId="196D09DF" w14:textId="7BAA7585">
            <w:pPr>
              <w:keepNext/>
              <w:tabs>
                <w:tab w:val="left" w:pos="360"/>
              </w:tabs>
              <w:jc w:val="center"/>
              <w:rPr>
                <w:b/>
                <w:color w:val="000000"/>
              </w:rPr>
            </w:pPr>
            <w:r w:rsidRPr="005577F7">
              <w:rPr>
                <w:b/>
                <w:color w:val="000000"/>
              </w:rPr>
              <w:t>Intervenor</w:t>
            </w:r>
            <w:r w:rsidR="004E6CFF">
              <w:rPr>
                <w:b/>
                <w:color w:val="000000"/>
              </w:rPr>
              <w:t>’</w:t>
            </w:r>
            <w:r w:rsidRPr="005577F7">
              <w:rPr>
                <w:b/>
                <w:color w:val="000000"/>
              </w:rPr>
              <w:t>s Comment(s)</w:t>
            </w:r>
          </w:p>
        </w:tc>
        <w:tc>
          <w:tcPr>
            <w:tcW w:w="2075" w:type="dxa"/>
            <w:shd w:val="clear" w:color="auto" w:fill="D9D9D9" w:themeFill="background1" w:themeFillShade="D9"/>
            <w:vAlign w:val="bottom"/>
          </w:tcPr>
          <w:p w:rsidRPr="005577F7" w:rsidR="003C608A" w:rsidP="00631507" w:rsidRDefault="003C608A" w14:paraId="07207D31" w14:textId="77777777">
            <w:pPr>
              <w:keepNext/>
              <w:tabs>
                <w:tab w:val="left" w:pos="360"/>
              </w:tabs>
              <w:jc w:val="center"/>
              <w:rPr>
                <w:b/>
                <w:color w:val="000000"/>
              </w:rPr>
            </w:pPr>
            <w:r w:rsidRPr="005577F7">
              <w:rPr>
                <w:b/>
                <w:color w:val="000000"/>
              </w:rPr>
              <w:t>CPUC Discussion</w:t>
            </w:r>
          </w:p>
        </w:tc>
      </w:tr>
      <w:tr w:rsidRPr="005577F7" w:rsidR="003C608A" w:rsidTr="00CB767F" w14:paraId="1C6180A4" w14:textId="77777777">
        <w:tc>
          <w:tcPr>
            <w:tcW w:w="535" w:type="dxa"/>
          </w:tcPr>
          <w:p w:rsidRPr="00A52FC1" w:rsidR="003C608A" w:rsidP="00755CBB" w:rsidRDefault="0094039F" w14:paraId="4350D384" w14:textId="25D04FBA">
            <w:pPr>
              <w:tabs>
                <w:tab w:val="left" w:pos="360"/>
              </w:tabs>
            </w:pPr>
            <w:r w:rsidRPr="00A52FC1">
              <w:t>1</w:t>
            </w:r>
          </w:p>
        </w:tc>
        <w:tc>
          <w:tcPr>
            <w:tcW w:w="6750" w:type="dxa"/>
          </w:tcPr>
          <w:p w:rsidRPr="00A52FC1" w:rsidR="003C608A" w:rsidP="00755CBB" w:rsidRDefault="0094039F" w14:paraId="0ECF4A98" w14:textId="11E7BE01">
            <w:pPr>
              <w:tabs>
                <w:tab w:val="left" w:pos="360"/>
              </w:tabs>
            </w:pPr>
            <w:r w:rsidRPr="00A52FC1">
              <w:t xml:space="preserve">The boxes for </w:t>
            </w:r>
            <w:r w:rsidR="00F87F1A">
              <w:t>Section </w:t>
            </w:r>
            <w:r w:rsidRPr="00A52FC1">
              <w:t>B of A4NR</w:t>
            </w:r>
            <w:r w:rsidR="004E6CFF">
              <w:t>’</w:t>
            </w:r>
            <w:r w:rsidRPr="00A52FC1">
              <w:t xml:space="preserve">s June 26, 2024 NOI appear to have been left blank.  For Question B.1., the </w:t>
            </w:r>
            <w:r w:rsidRPr="00A52FC1" w:rsidR="00E83C55">
              <w:t xml:space="preserve">answer is </w:t>
            </w:r>
            <w:r w:rsidR="004E6CFF">
              <w:t>“</w:t>
            </w:r>
            <w:r w:rsidRPr="00A52FC1" w:rsidR="00E83C55">
              <w:t>Yes.</w:t>
            </w:r>
            <w:r w:rsidR="004E6CFF">
              <w:t>”</w:t>
            </w:r>
            <w:r w:rsidRPr="00A52FC1" w:rsidR="00E83C55">
              <w:t xml:space="preserve"> For Question B.2., the answer is </w:t>
            </w:r>
            <w:r w:rsidR="004E6CFF">
              <w:t>“</w:t>
            </w:r>
            <w:r w:rsidRPr="00A52FC1" w:rsidR="00E83C55">
              <w:t>No.</w:t>
            </w:r>
            <w:r w:rsidR="004E6CFF">
              <w:t>”</w:t>
            </w:r>
          </w:p>
        </w:tc>
        <w:tc>
          <w:tcPr>
            <w:tcW w:w="2075" w:type="dxa"/>
          </w:tcPr>
          <w:p w:rsidRPr="005577F7" w:rsidR="003C608A" w:rsidP="00755CBB" w:rsidRDefault="007B0A41" w14:paraId="416D6250" w14:textId="28B2276A">
            <w:pPr>
              <w:tabs>
                <w:tab w:val="left" w:pos="360"/>
              </w:tabs>
              <w:rPr>
                <w:color w:val="000000"/>
              </w:rPr>
            </w:pPr>
            <w:r>
              <w:rPr>
                <w:color w:val="000000"/>
              </w:rPr>
              <w:t>Noted</w:t>
            </w:r>
          </w:p>
        </w:tc>
      </w:tr>
    </w:tbl>
    <w:p w:rsidRPr="005577F7" w:rsidR="00A92D0B" w:rsidP="00755CBB" w:rsidRDefault="00A92D0B" w14:paraId="45219348" w14:textId="709FBB51">
      <w:pPr>
        <w:keepNext/>
        <w:spacing w:before="480" w:after="240"/>
        <w:jc w:val="center"/>
        <w:rPr>
          <w:color w:val="000000"/>
        </w:rPr>
      </w:pPr>
      <w:r w:rsidRPr="005577F7">
        <w:rPr>
          <w:b/>
          <w:color w:val="000000"/>
        </w:rPr>
        <w:t>PART II:</w:t>
      </w:r>
      <w:r w:rsidRPr="005577F7" w:rsidR="00D1778A">
        <w:rPr>
          <w:b/>
          <w:color w:val="000000"/>
        </w:rPr>
        <w:t xml:space="preserve">  </w:t>
      </w:r>
      <w:r w:rsidRPr="005577F7">
        <w:rPr>
          <w:b/>
          <w:color w:val="000000"/>
        </w:rPr>
        <w:t>SUBSTANTIAL CONTRIBUTION</w:t>
      </w:r>
    </w:p>
    <w:p w:rsidRPr="005577F7" w:rsidR="00A92D0B" w:rsidP="00755CBB" w:rsidRDefault="00D075B1" w14:paraId="337CC332" w14:textId="7DDE1616">
      <w:pPr>
        <w:keepNext/>
        <w:numPr>
          <w:ilvl w:val="0"/>
          <w:numId w:val="8"/>
        </w:numPr>
        <w:spacing w:before="240" w:after="240"/>
        <w:rPr>
          <w:b/>
          <w:color w:val="000000"/>
        </w:rPr>
      </w:pPr>
      <w:r w:rsidRPr="005577F7">
        <w:rPr>
          <w:b/>
          <w:color w:val="000000"/>
        </w:rPr>
        <w:t xml:space="preserve">Did the </w:t>
      </w:r>
      <w:r w:rsidRPr="005577F7" w:rsidR="005A63D4">
        <w:rPr>
          <w:b/>
          <w:color w:val="000000"/>
        </w:rPr>
        <w:t>Intervenor</w:t>
      </w:r>
      <w:r w:rsidRPr="005577F7">
        <w:rPr>
          <w:b/>
          <w:color w:val="000000"/>
        </w:rPr>
        <w:t xml:space="preserve"> substantially contribute to the final decision</w:t>
      </w:r>
      <w:r w:rsidRPr="005577F7" w:rsidR="00A92D0B">
        <w:rPr>
          <w:b/>
          <w:color w:val="000000"/>
        </w:rPr>
        <w:t xml:space="preserve"> (</w:t>
      </w:r>
      <w:r w:rsidRPr="005577F7" w:rsidR="00A92D0B">
        <w:rPr>
          <w:b/>
          <w:i/>
          <w:color w:val="000000"/>
        </w:rPr>
        <w:t>see</w:t>
      </w:r>
      <w:r w:rsidRPr="005577F7" w:rsidR="00A92D0B">
        <w:rPr>
          <w:b/>
          <w:color w:val="000000"/>
        </w:rPr>
        <w:t xml:space="preserve"> </w:t>
      </w:r>
      <w:r w:rsidR="004152B8">
        <w:rPr>
          <w:b/>
          <w:color w:val="000000"/>
        </w:rPr>
        <w:t>§ </w:t>
      </w:r>
      <w:r w:rsidRPr="005577F7" w:rsidR="00A92D0B">
        <w:rPr>
          <w:b/>
          <w:color w:val="000000"/>
        </w:rPr>
        <w:t>1802(</w:t>
      </w:r>
      <w:r w:rsidRPr="005577F7" w:rsidR="00ED6B6B">
        <w:rPr>
          <w:b/>
          <w:color w:val="000000"/>
        </w:rPr>
        <w:t>j</w:t>
      </w:r>
      <w:r w:rsidRPr="005577F7" w:rsidR="00A92D0B">
        <w:rPr>
          <w:b/>
          <w:color w:val="000000"/>
        </w:rPr>
        <w:t xml:space="preserve">), </w:t>
      </w:r>
      <w:r w:rsidRPr="005577F7" w:rsidR="001E77CF">
        <w:rPr>
          <w:b/>
          <w:color w:val="000000"/>
        </w:rPr>
        <w:br/>
      </w:r>
      <w:r w:rsidR="004152B8">
        <w:rPr>
          <w:b/>
          <w:color w:val="000000"/>
        </w:rPr>
        <w:t>§ </w:t>
      </w:r>
      <w:r w:rsidRPr="005577F7" w:rsidR="00A92D0B">
        <w:rPr>
          <w:b/>
          <w:color w:val="000000"/>
        </w:rPr>
        <w:t>1803(a)</w:t>
      </w:r>
      <w:r w:rsidRPr="005577F7" w:rsidR="00F30DA8">
        <w:rPr>
          <w:b/>
          <w:color w:val="000000"/>
        </w:rPr>
        <w:t>,</w:t>
      </w:r>
      <w:r w:rsidRPr="005577F7" w:rsidR="00A92D0B">
        <w:rPr>
          <w:b/>
          <w:color w:val="000000"/>
        </w:rPr>
        <w:t xml:space="preserve"> </w:t>
      </w:r>
      <w:r w:rsidRPr="005577F7" w:rsidR="00ED6B6B">
        <w:rPr>
          <w:b/>
          <w:color w:val="000000"/>
        </w:rPr>
        <w:t xml:space="preserve">1803.1(a) </w:t>
      </w:r>
      <w:r w:rsidRPr="005577F7" w:rsidR="00F30DA8">
        <w:rPr>
          <w:b/>
          <w:color w:val="000000"/>
        </w:rPr>
        <w:t>and</w:t>
      </w:r>
      <w:r w:rsidRPr="005577F7" w:rsidR="00A92D0B">
        <w:rPr>
          <w:b/>
          <w:color w:val="000000"/>
        </w:rPr>
        <w:t xml:space="preserve"> D.98</w:t>
      </w:r>
      <w:r w:rsidR="004152B8">
        <w:rPr>
          <w:b/>
          <w:color w:val="000000"/>
        </w:rPr>
        <w:noBreakHyphen/>
      </w:r>
      <w:r w:rsidRPr="005577F7" w:rsidR="00A92D0B">
        <w:rPr>
          <w:b/>
          <w:color w:val="000000"/>
        </w:rPr>
        <w:t>04</w:t>
      </w:r>
      <w:r w:rsidR="004152B8">
        <w:rPr>
          <w:b/>
          <w:color w:val="000000"/>
        </w:rPr>
        <w:noBreakHyphen/>
      </w:r>
      <w:r w:rsidRPr="005577F7" w:rsidR="00A92D0B">
        <w:rPr>
          <w:b/>
          <w:color w:val="000000"/>
        </w:rPr>
        <w:t>059)</w:t>
      </w:r>
      <w:r w:rsidRPr="005577F7" w:rsidR="00C02649">
        <w:rPr>
          <w:b/>
          <w:color w:val="000000"/>
        </w:rPr>
        <w:t>:</w:t>
      </w:r>
      <w:r w:rsidRPr="005577F7" w:rsidR="00A92D0B">
        <w:rPr>
          <w:b/>
          <w:color w:val="000000"/>
        </w:rPr>
        <w:t xml:space="preserve">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2785"/>
        <w:gridCol w:w="3870"/>
        <w:gridCol w:w="2705"/>
      </w:tblGrid>
      <w:tr w:rsidRPr="005577F7" w:rsidR="00A92D0B" w:rsidTr="00AD458C" w14:paraId="67755362" w14:textId="77777777">
        <w:trPr>
          <w:tblHeader/>
        </w:trPr>
        <w:tc>
          <w:tcPr>
            <w:tcW w:w="2785" w:type="dxa"/>
            <w:tcBorders>
              <w:bottom w:val="single" w:color="auto" w:sz="4" w:space="0"/>
            </w:tcBorders>
            <w:shd w:val="clear" w:color="auto" w:fill="D9D9D9" w:themeFill="background1" w:themeFillShade="D9"/>
            <w:vAlign w:val="bottom"/>
          </w:tcPr>
          <w:p w:rsidR="00BA598C" w:rsidP="00631507" w:rsidRDefault="00D075B1" w14:paraId="4E53BD9B" w14:textId="3E53B7C5">
            <w:pPr>
              <w:keepNext/>
              <w:jc w:val="center"/>
              <w:rPr>
                <w:b/>
                <w:color w:val="000000"/>
              </w:rPr>
            </w:pPr>
            <w:r w:rsidRPr="005577F7">
              <w:rPr>
                <w:b/>
                <w:color w:val="000000"/>
              </w:rPr>
              <w:t>Intervenor</w:t>
            </w:r>
            <w:r w:rsidR="004E6CFF">
              <w:rPr>
                <w:b/>
                <w:color w:val="000000"/>
              </w:rPr>
              <w:t>’</w:t>
            </w:r>
            <w:r w:rsidRPr="005577F7">
              <w:rPr>
                <w:b/>
                <w:color w:val="000000"/>
              </w:rPr>
              <w:t xml:space="preserve">s </w:t>
            </w:r>
          </w:p>
          <w:p w:rsidRPr="005577F7" w:rsidR="00A92D0B" w:rsidP="00631507" w:rsidRDefault="00D075B1" w14:paraId="7CE2E5BB" w14:textId="60483CDC">
            <w:pPr>
              <w:keepNext/>
              <w:jc w:val="center"/>
              <w:rPr>
                <w:b/>
                <w:color w:val="000000"/>
              </w:rPr>
            </w:pPr>
            <w:r w:rsidRPr="005577F7">
              <w:rPr>
                <w:b/>
                <w:color w:val="000000"/>
              </w:rPr>
              <w:t>Claimed Contribution(s)</w:t>
            </w:r>
          </w:p>
        </w:tc>
        <w:tc>
          <w:tcPr>
            <w:tcW w:w="3870" w:type="dxa"/>
            <w:tcBorders>
              <w:bottom w:val="single" w:color="auto" w:sz="4" w:space="0"/>
            </w:tcBorders>
            <w:shd w:val="clear" w:color="auto" w:fill="D9D9D9" w:themeFill="background1" w:themeFillShade="D9"/>
            <w:vAlign w:val="bottom"/>
          </w:tcPr>
          <w:p w:rsidR="00BA598C" w:rsidP="00631507" w:rsidRDefault="00A92D0B" w14:paraId="27572D83" w14:textId="0B200892">
            <w:pPr>
              <w:keepNext/>
              <w:jc w:val="center"/>
              <w:rPr>
                <w:b/>
                <w:color w:val="000000"/>
              </w:rPr>
            </w:pPr>
            <w:r w:rsidRPr="005577F7">
              <w:rPr>
                <w:b/>
                <w:color w:val="000000"/>
              </w:rPr>
              <w:t xml:space="preserve">Specific References to </w:t>
            </w:r>
            <w:r w:rsidRPr="005577F7" w:rsidR="00D075B1">
              <w:rPr>
                <w:b/>
                <w:color w:val="000000"/>
              </w:rPr>
              <w:t>Intervenor</w:t>
            </w:r>
            <w:r w:rsidR="004E6CFF">
              <w:rPr>
                <w:b/>
                <w:color w:val="000000"/>
              </w:rPr>
              <w:t>’</w:t>
            </w:r>
            <w:r w:rsidRPr="005577F7" w:rsidR="00D075B1">
              <w:rPr>
                <w:b/>
                <w:color w:val="000000"/>
              </w:rPr>
              <w:t xml:space="preserve">s </w:t>
            </w:r>
          </w:p>
          <w:p w:rsidRPr="005577F7" w:rsidR="00A92D0B" w:rsidP="00631507" w:rsidRDefault="00D075B1" w14:paraId="2794272E" w14:textId="7D9DBC8B">
            <w:pPr>
              <w:keepNext/>
              <w:jc w:val="center"/>
              <w:rPr>
                <w:b/>
                <w:color w:val="000000"/>
              </w:rPr>
            </w:pPr>
            <w:r w:rsidRPr="005577F7">
              <w:rPr>
                <w:b/>
                <w:color w:val="000000"/>
              </w:rPr>
              <w:t>Claimed Contribution(s)</w:t>
            </w:r>
          </w:p>
        </w:tc>
        <w:tc>
          <w:tcPr>
            <w:tcW w:w="2705" w:type="dxa"/>
            <w:shd w:val="clear" w:color="auto" w:fill="D9D9D9" w:themeFill="background1" w:themeFillShade="D9"/>
            <w:vAlign w:val="bottom"/>
          </w:tcPr>
          <w:p w:rsidRPr="005577F7" w:rsidR="00A92D0B" w:rsidP="00631507" w:rsidRDefault="00D075B1" w14:paraId="79AFC714" w14:textId="77777777">
            <w:pPr>
              <w:keepNext/>
              <w:jc w:val="center"/>
              <w:rPr>
                <w:b/>
                <w:color w:val="000000"/>
              </w:rPr>
            </w:pPr>
            <w:r w:rsidRPr="005577F7">
              <w:rPr>
                <w:b/>
                <w:color w:val="000000"/>
              </w:rPr>
              <w:t>CPUC Discussion</w:t>
            </w:r>
          </w:p>
        </w:tc>
      </w:tr>
      <w:tr w:rsidRPr="00D23F6B" w:rsidR="00A92D0B" w:rsidTr="00AD458C" w14:paraId="2E691FFC" w14:textId="77777777">
        <w:tc>
          <w:tcPr>
            <w:tcW w:w="2785" w:type="dxa"/>
          </w:tcPr>
          <w:p w:rsidRPr="00CB2ADC" w:rsidR="00E25078" w:rsidP="009E0C2A" w:rsidRDefault="00A92D0B" w14:paraId="1B0CC007" w14:textId="4373BEEF">
            <w:pPr>
              <w:spacing w:after="240"/>
            </w:pPr>
            <w:r w:rsidRPr="00CB2ADC">
              <w:t>1.</w:t>
            </w:r>
            <w:r w:rsidRPr="00CB2ADC" w:rsidR="00E25078">
              <w:t xml:space="preserve"> </w:t>
            </w:r>
            <w:r w:rsidRPr="00CB2ADC" w:rsidR="00E83C55">
              <w:t>A4NR challenged PG&amp;E</w:t>
            </w:r>
            <w:r w:rsidR="004E6CFF">
              <w:t>’</w:t>
            </w:r>
            <w:r w:rsidRPr="00CB2ADC" w:rsidR="00E83C55">
              <w:t>s failure to comply with D.22</w:t>
            </w:r>
            <w:r w:rsidR="004152B8">
              <w:noBreakHyphen/>
            </w:r>
            <w:r w:rsidRPr="00CB2ADC" w:rsidR="00E83C55">
              <w:t>12</w:t>
            </w:r>
            <w:r w:rsidR="004152B8">
              <w:noBreakHyphen/>
            </w:r>
            <w:r w:rsidRPr="00CB2ADC" w:rsidR="00E83C55">
              <w:t>005</w:t>
            </w:r>
            <w:r w:rsidR="004E6CFF">
              <w:t>’</w:t>
            </w:r>
            <w:r w:rsidRPr="00CB2ADC" w:rsidR="00E83C55">
              <w:t xml:space="preserve">s direction to </w:t>
            </w:r>
            <w:r w:rsidRPr="00CB2ADC" w:rsidR="006757EF">
              <w:t xml:space="preserve">use government funding for certain transition costs </w:t>
            </w:r>
            <w:r w:rsidR="004E6CFF">
              <w:t>“</w:t>
            </w:r>
            <w:r w:rsidRPr="00CB2ADC" w:rsidR="006757EF">
              <w:t>to the greatest extent possible</w:t>
            </w:r>
            <w:r w:rsidR="004E6CFF">
              <w:t>”</w:t>
            </w:r>
            <w:r w:rsidRPr="00CB2ADC" w:rsidR="006757EF">
              <w:t xml:space="preserve"> or explain why it had not done so. (Protest,</w:t>
            </w:r>
            <w:r w:rsidR="00BA598C">
              <w:t xml:space="preserve"> pp. </w:t>
            </w:r>
            <w:r w:rsidRPr="00CB2ADC" w:rsidR="006757EF">
              <w:t>5</w:t>
            </w:r>
            <w:r w:rsidR="00BA598C">
              <w:t xml:space="preserve"> – </w:t>
            </w:r>
            <w:r w:rsidRPr="00CB2ADC" w:rsidR="006757EF">
              <w:t>6; Opening Brief,</w:t>
            </w:r>
            <w:r w:rsidR="00BA598C">
              <w:t xml:space="preserve"> pp. </w:t>
            </w:r>
            <w:r w:rsidRPr="00CB2ADC" w:rsidR="003A044D">
              <w:t>10</w:t>
            </w:r>
            <w:r w:rsidR="00BA598C">
              <w:t xml:space="preserve"> – </w:t>
            </w:r>
            <w:r w:rsidRPr="00CB2ADC" w:rsidR="003A044D">
              <w:t>12, 20; Reply Brief,</w:t>
            </w:r>
            <w:r w:rsidR="00BA598C">
              <w:t xml:space="preserve"> p. </w:t>
            </w:r>
            <w:r w:rsidRPr="00CB2ADC" w:rsidR="003A044D">
              <w:t>5; Opening Comments on PD,</w:t>
            </w:r>
            <w:r w:rsidR="00BA598C">
              <w:t xml:space="preserve"> pp. </w:t>
            </w:r>
            <w:r w:rsidRPr="00CB2ADC" w:rsidR="003A044D">
              <w:t>4</w:t>
            </w:r>
            <w:r w:rsidR="00BA598C">
              <w:t xml:space="preserve"> – </w:t>
            </w:r>
            <w:r w:rsidRPr="00CB2ADC" w:rsidR="003A044D">
              <w:t>5,</w:t>
            </w:r>
            <w:r w:rsidRPr="00CB2ADC" w:rsidR="00EF44DD">
              <w:t xml:space="preserve"> 11</w:t>
            </w:r>
            <w:r w:rsidRPr="00CB2ADC" w:rsidR="00865C2A">
              <w:t>).</w:t>
            </w:r>
            <w:r w:rsidRPr="00CB2ADC" w:rsidR="00EF44DD">
              <w:t xml:space="preserve"> </w:t>
            </w:r>
            <w:r w:rsidRPr="00CB2ADC" w:rsidR="006757EF">
              <w:t xml:space="preserve"> </w:t>
            </w:r>
          </w:p>
        </w:tc>
        <w:tc>
          <w:tcPr>
            <w:tcW w:w="3870" w:type="dxa"/>
          </w:tcPr>
          <w:p w:rsidRPr="00D23F6B" w:rsidR="00A92D0B" w:rsidP="009E0C2A" w:rsidRDefault="00865C2A" w14:paraId="532F95D2" w14:textId="62CE3D8E">
            <w:pPr>
              <w:spacing w:after="240"/>
              <w:rPr>
                <w:color w:val="000000"/>
              </w:rPr>
            </w:pPr>
            <w:r w:rsidRPr="00D23F6B">
              <w:rPr>
                <w:color w:val="000000"/>
              </w:rPr>
              <w:t>D.2</w:t>
            </w:r>
            <w:r w:rsidRPr="00D23F6B" w:rsidR="00CA6E5C">
              <w:rPr>
                <w:color w:val="000000"/>
              </w:rPr>
              <w:t>4</w:t>
            </w:r>
            <w:r w:rsidR="004152B8">
              <w:rPr>
                <w:color w:val="000000"/>
              </w:rPr>
              <w:noBreakHyphen/>
            </w:r>
            <w:r w:rsidRPr="00D23F6B">
              <w:rPr>
                <w:color w:val="000000"/>
              </w:rPr>
              <w:t>12</w:t>
            </w:r>
            <w:r w:rsidR="004152B8">
              <w:rPr>
                <w:color w:val="000000"/>
              </w:rPr>
              <w:noBreakHyphen/>
            </w:r>
            <w:r w:rsidRPr="00D23F6B">
              <w:rPr>
                <w:color w:val="000000"/>
              </w:rPr>
              <w:t>033 (at</w:t>
            </w:r>
            <w:r w:rsidR="00BA598C">
              <w:rPr>
                <w:color w:val="000000"/>
              </w:rPr>
              <w:t xml:space="preserve"> pp. </w:t>
            </w:r>
            <w:r w:rsidRPr="00D23F6B">
              <w:rPr>
                <w:color w:val="000000"/>
              </w:rPr>
              <w:t>15</w:t>
            </w:r>
            <w:r w:rsidR="00BA598C">
              <w:rPr>
                <w:color w:val="000000"/>
              </w:rPr>
              <w:t xml:space="preserve"> – </w:t>
            </w:r>
            <w:r w:rsidRPr="00D23F6B">
              <w:rPr>
                <w:color w:val="000000"/>
              </w:rPr>
              <w:t>16) acknowledges A4NR</w:t>
            </w:r>
            <w:r w:rsidR="004E6CFF">
              <w:rPr>
                <w:color w:val="000000"/>
              </w:rPr>
              <w:t>’</w:t>
            </w:r>
            <w:r w:rsidRPr="00D23F6B">
              <w:rPr>
                <w:color w:val="000000"/>
              </w:rPr>
              <w:t>s position and, c</w:t>
            </w:r>
            <w:r w:rsidRPr="00D23F6B" w:rsidR="00EF44DD">
              <w:rPr>
                <w:color w:val="000000"/>
              </w:rPr>
              <w:t>iting the D.22</w:t>
            </w:r>
            <w:r w:rsidR="004152B8">
              <w:rPr>
                <w:color w:val="000000"/>
              </w:rPr>
              <w:noBreakHyphen/>
            </w:r>
            <w:r w:rsidRPr="00D23F6B" w:rsidR="00EF44DD">
              <w:rPr>
                <w:color w:val="000000"/>
              </w:rPr>
              <w:t>12</w:t>
            </w:r>
            <w:r w:rsidR="004152B8">
              <w:rPr>
                <w:color w:val="000000"/>
              </w:rPr>
              <w:noBreakHyphen/>
            </w:r>
            <w:r w:rsidRPr="00D23F6B" w:rsidR="00EF44DD">
              <w:rPr>
                <w:color w:val="000000"/>
              </w:rPr>
              <w:t>005 language</w:t>
            </w:r>
            <w:r w:rsidRPr="00D23F6B">
              <w:rPr>
                <w:color w:val="000000"/>
              </w:rPr>
              <w:t xml:space="preserve"> </w:t>
            </w:r>
            <w:r w:rsidRPr="00D23F6B" w:rsidR="00EF44DD">
              <w:rPr>
                <w:color w:val="000000"/>
              </w:rPr>
              <w:t>states (at</w:t>
            </w:r>
            <w:r w:rsidR="00BA598C">
              <w:rPr>
                <w:color w:val="000000"/>
              </w:rPr>
              <w:t xml:space="preserve"> p. </w:t>
            </w:r>
            <w:r w:rsidRPr="00D23F6B" w:rsidR="00EF44DD">
              <w:rPr>
                <w:color w:val="000000"/>
              </w:rPr>
              <w:t>18</w:t>
            </w:r>
            <w:r w:rsidRPr="00D23F6B" w:rsidR="00BD5F87">
              <w:rPr>
                <w:color w:val="000000"/>
              </w:rPr>
              <w:t xml:space="preserve"> and in Finding of </w:t>
            </w:r>
            <w:r w:rsidR="0003168B">
              <w:rPr>
                <w:color w:val="000000"/>
              </w:rPr>
              <w:t>Fact </w:t>
            </w:r>
            <w:r w:rsidRPr="00D23F6B" w:rsidR="00BD5F87">
              <w:rPr>
                <w:color w:val="000000"/>
              </w:rPr>
              <w:t>8</w:t>
            </w:r>
            <w:r w:rsidRPr="00D23F6B" w:rsidR="00EF44DD">
              <w:rPr>
                <w:color w:val="000000"/>
              </w:rPr>
              <w:t>)</w:t>
            </w:r>
            <w:r w:rsidRPr="00D23F6B">
              <w:rPr>
                <w:color w:val="000000"/>
              </w:rPr>
              <w:t xml:space="preserve"> that</w:t>
            </w:r>
            <w:r w:rsidRPr="00D23F6B" w:rsidR="00EF44DD">
              <w:rPr>
                <w:color w:val="000000"/>
              </w:rPr>
              <w:t xml:space="preserve"> </w:t>
            </w:r>
            <w:r w:rsidR="004E6CFF">
              <w:rPr>
                <w:color w:val="000000"/>
              </w:rPr>
              <w:t>“</w:t>
            </w:r>
            <w:r w:rsidRPr="00D23F6B" w:rsidR="00EF44DD">
              <w:rPr>
                <w:color w:val="000000"/>
              </w:rPr>
              <w:t>PG&amp;E failed to provide in its application a detailed explanation why PG&amp;E did not seek government funding, or was otherwise unable to anticipate the need for the investments and activities at the time government funding was being requested.</w:t>
            </w:r>
            <w:r w:rsidR="004E6CFF">
              <w:rPr>
                <w:color w:val="000000"/>
              </w:rPr>
              <w:t>”</w:t>
            </w:r>
            <w:r w:rsidRPr="00D23F6B" w:rsidR="00EF44DD">
              <w:rPr>
                <w:color w:val="000000"/>
              </w:rPr>
              <w:t xml:space="preserve"> </w:t>
            </w:r>
            <w:r w:rsidRPr="00D23F6B" w:rsidR="00BD5F87">
              <w:rPr>
                <w:color w:val="000000"/>
              </w:rPr>
              <w:t>D</w:t>
            </w:r>
            <w:r w:rsidRPr="00D23F6B">
              <w:rPr>
                <w:color w:val="000000"/>
              </w:rPr>
              <w:t>.</w:t>
            </w:r>
            <w:r w:rsidRPr="00D23F6B" w:rsidR="00BD5F87">
              <w:rPr>
                <w:color w:val="000000"/>
              </w:rPr>
              <w:t>24</w:t>
            </w:r>
            <w:r w:rsidR="004152B8">
              <w:rPr>
                <w:color w:val="000000"/>
              </w:rPr>
              <w:noBreakHyphen/>
            </w:r>
            <w:r w:rsidRPr="00D23F6B" w:rsidR="00BD5F87">
              <w:rPr>
                <w:color w:val="000000"/>
              </w:rPr>
              <w:t>12</w:t>
            </w:r>
            <w:r w:rsidR="004152B8">
              <w:rPr>
                <w:color w:val="000000"/>
              </w:rPr>
              <w:noBreakHyphen/>
            </w:r>
            <w:r w:rsidRPr="00D23F6B" w:rsidR="00BD5F87">
              <w:rPr>
                <w:color w:val="000000"/>
              </w:rPr>
              <w:t>033 directs PG&amp;E (at</w:t>
            </w:r>
            <w:r w:rsidR="00BA598C">
              <w:rPr>
                <w:color w:val="000000"/>
              </w:rPr>
              <w:t xml:space="preserve"> pp. </w:t>
            </w:r>
            <w:r w:rsidRPr="00D23F6B" w:rsidR="00BD5F87">
              <w:rPr>
                <w:color w:val="000000"/>
              </w:rPr>
              <w:t xml:space="preserve">23, 70), in its next application, to </w:t>
            </w:r>
            <w:r w:rsidR="004E6CFF">
              <w:rPr>
                <w:color w:val="000000"/>
              </w:rPr>
              <w:t>“</w:t>
            </w:r>
            <w:r w:rsidRPr="00D23F6B" w:rsidR="00BD5F87">
              <w:rPr>
                <w:color w:val="000000"/>
              </w:rPr>
              <w:t>provide a detailed account of why it did not seek government funding for the costs being requested</w:t>
            </w:r>
            <w:r w:rsidRPr="00D23F6B" w:rsidR="006F6F0E">
              <w:rPr>
                <w:color w:val="000000"/>
              </w:rPr>
              <w:t xml:space="preserve"> </w:t>
            </w:r>
            <w:r w:rsidRPr="00D23F6B" w:rsidR="00BD5F87">
              <w:rPr>
                <w:color w:val="000000"/>
              </w:rPr>
              <w:t>to be recovered from ratepayers, or was otherwise unable to anticipate the need for the investments and activities at the time government funding was being requested.</w:t>
            </w:r>
            <w:r w:rsidR="004E6CFF">
              <w:rPr>
                <w:color w:val="000000"/>
              </w:rPr>
              <w:t>”</w:t>
            </w:r>
          </w:p>
        </w:tc>
        <w:tc>
          <w:tcPr>
            <w:tcW w:w="2705" w:type="dxa"/>
          </w:tcPr>
          <w:p w:rsidRPr="00D23F6B" w:rsidR="00A92D0B" w:rsidP="009E0C2A" w:rsidRDefault="00C36CD0" w14:paraId="63938BDA" w14:textId="7A48EB77">
            <w:pPr>
              <w:spacing w:after="240"/>
              <w:rPr>
                <w:color w:val="000000"/>
              </w:rPr>
            </w:pPr>
            <w:r w:rsidRPr="00D23F6B">
              <w:rPr>
                <w:color w:val="000000"/>
              </w:rPr>
              <w:t>Noted, however</w:t>
            </w:r>
            <w:r w:rsidRPr="00D23F6B" w:rsidR="00DC6EAB">
              <w:rPr>
                <w:color w:val="000000"/>
              </w:rPr>
              <w:t xml:space="preserve">, </w:t>
            </w:r>
            <w:r w:rsidR="00F1600D">
              <w:rPr>
                <w:color w:val="000000"/>
              </w:rPr>
              <w:t xml:space="preserve">the Commission </w:t>
            </w:r>
            <w:r w:rsidRPr="00D23F6B" w:rsidR="003A0909">
              <w:rPr>
                <w:color w:val="000000"/>
              </w:rPr>
              <w:t>acknowledge</w:t>
            </w:r>
            <w:r w:rsidRPr="00D23F6B" w:rsidR="00AE5EE6">
              <w:rPr>
                <w:color w:val="000000"/>
              </w:rPr>
              <w:t>d</w:t>
            </w:r>
            <w:r w:rsidRPr="00D23F6B" w:rsidR="003A0909">
              <w:rPr>
                <w:color w:val="000000"/>
              </w:rPr>
              <w:t xml:space="preserve"> that A4NR </w:t>
            </w:r>
            <w:r w:rsidRPr="00D23F6B" w:rsidR="00B807BD">
              <w:rPr>
                <w:color w:val="000000"/>
              </w:rPr>
              <w:t xml:space="preserve">was one of </w:t>
            </w:r>
            <w:r w:rsidR="00217EA1">
              <w:rPr>
                <w:color w:val="000000"/>
              </w:rPr>
              <w:t>s</w:t>
            </w:r>
            <w:r w:rsidRPr="00D23F6B" w:rsidR="00B807BD">
              <w:rPr>
                <w:color w:val="000000"/>
              </w:rPr>
              <w:t>everal parties</w:t>
            </w:r>
            <w:r w:rsidRPr="00D23F6B" w:rsidR="00917BBB">
              <w:rPr>
                <w:color w:val="000000"/>
              </w:rPr>
              <w:t xml:space="preserve"> to argue</w:t>
            </w:r>
            <w:r w:rsidRPr="00D23F6B" w:rsidR="00E67678">
              <w:rPr>
                <w:color w:val="000000"/>
              </w:rPr>
              <w:t xml:space="preserve"> </w:t>
            </w:r>
            <w:r w:rsidRPr="00D23F6B" w:rsidR="00A062C9">
              <w:rPr>
                <w:color w:val="000000"/>
              </w:rPr>
              <w:t>that PG&amp;E</w:t>
            </w:r>
            <w:r w:rsidR="00D80088">
              <w:rPr>
                <w:color w:val="000000"/>
              </w:rPr>
              <w:t>’s</w:t>
            </w:r>
            <w:r w:rsidRPr="00D23F6B" w:rsidR="00A062C9">
              <w:rPr>
                <w:color w:val="000000"/>
              </w:rPr>
              <w:t xml:space="preserve"> </w:t>
            </w:r>
            <w:r w:rsidR="00D17799">
              <w:rPr>
                <w:color w:val="000000"/>
              </w:rPr>
              <w:t>operations and maintenance (</w:t>
            </w:r>
            <w:r w:rsidRPr="00D23F6B" w:rsidR="00917BBB">
              <w:rPr>
                <w:color w:val="000000"/>
              </w:rPr>
              <w:t>O&amp;M</w:t>
            </w:r>
            <w:r w:rsidR="00D17799">
              <w:rPr>
                <w:color w:val="000000"/>
              </w:rPr>
              <w:t>)</w:t>
            </w:r>
            <w:r w:rsidRPr="00D23F6B" w:rsidR="00917BBB">
              <w:rPr>
                <w:color w:val="000000"/>
              </w:rPr>
              <w:t xml:space="preserve"> cost components </w:t>
            </w:r>
            <w:r w:rsidR="004E6CFF">
              <w:rPr>
                <w:color w:val="000000"/>
              </w:rPr>
              <w:t>“</w:t>
            </w:r>
            <w:r w:rsidRPr="00D23F6B" w:rsidR="00786536">
              <w:rPr>
                <w:color w:val="000000"/>
              </w:rPr>
              <w:t>should not be recovered from ratepayers and should instead be covered by government funding.</w:t>
            </w:r>
            <w:r w:rsidR="004E6CFF">
              <w:rPr>
                <w:color w:val="000000"/>
              </w:rPr>
              <w:t>”</w:t>
            </w:r>
            <w:r w:rsidR="00217EA1">
              <w:rPr>
                <w:rStyle w:val="FootnoteReference"/>
                <w:color w:val="000000"/>
              </w:rPr>
              <w:footnoteReference w:id="2"/>
            </w:r>
            <w:r w:rsidRPr="002A7329" w:rsidR="002A7329">
              <w:rPr>
                <w:color w:val="000000"/>
              </w:rPr>
              <w:t xml:space="preserve"> </w:t>
            </w:r>
            <w:r w:rsidR="00286C7F">
              <w:rPr>
                <w:color w:val="000000"/>
              </w:rPr>
              <w:t>The Commission</w:t>
            </w:r>
            <w:r w:rsidRPr="00D23F6B" w:rsidR="00407DB3">
              <w:rPr>
                <w:color w:val="000000"/>
              </w:rPr>
              <w:t xml:space="preserve"> </w:t>
            </w:r>
            <w:r w:rsidRPr="00D23F6B" w:rsidR="005B7890">
              <w:rPr>
                <w:color w:val="000000"/>
              </w:rPr>
              <w:t xml:space="preserve">then </w:t>
            </w:r>
            <w:r w:rsidRPr="00D23F6B" w:rsidR="00EF41CF">
              <w:rPr>
                <w:color w:val="000000"/>
              </w:rPr>
              <w:t>highlighted</w:t>
            </w:r>
            <w:r w:rsidRPr="00D23F6B" w:rsidR="00407DB3">
              <w:rPr>
                <w:color w:val="000000"/>
              </w:rPr>
              <w:t xml:space="preserve"> A4NR</w:t>
            </w:r>
            <w:r w:rsidR="004E6CFF">
              <w:rPr>
                <w:color w:val="000000"/>
              </w:rPr>
              <w:t>’</w:t>
            </w:r>
            <w:r w:rsidRPr="00D23F6B" w:rsidR="00407DB3">
              <w:rPr>
                <w:color w:val="000000"/>
              </w:rPr>
              <w:t xml:space="preserve">s position that </w:t>
            </w:r>
            <w:r w:rsidRPr="00D23F6B" w:rsidR="00D07D63">
              <w:rPr>
                <w:color w:val="000000"/>
              </w:rPr>
              <w:t>PG&amp;E should have sought government funding for</w:t>
            </w:r>
            <w:r w:rsidRPr="00D23F6B" w:rsidR="00407DB3">
              <w:rPr>
                <w:color w:val="000000"/>
              </w:rPr>
              <w:t xml:space="preserve"> </w:t>
            </w:r>
            <w:r w:rsidR="00A468F8">
              <w:rPr>
                <w:color w:val="000000"/>
              </w:rPr>
              <w:t xml:space="preserve">the </w:t>
            </w:r>
            <w:r w:rsidRPr="00D23F6B" w:rsidR="00407DB3">
              <w:rPr>
                <w:color w:val="000000"/>
              </w:rPr>
              <w:t>O&amp;M Project Expense</w:t>
            </w:r>
            <w:r w:rsidRPr="00D23F6B" w:rsidR="00986441">
              <w:rPr>
                <w:color w:val="000000"/>
              </w:rPr>
              <w:t xml:space="preserve"> because it </w:t>
            </w:r>
            <w:r w:rsidRPr="00D23F6B" w:rsidR="00F41AB3">
              <w:rPr>
                <w:color w:val="000000"/>
              </w:rPr>
              <w:t>was in preparation for extended operation</w:t>
            </w:r>
            <w:r w:rsidR="00A468F8">
              <w:rPr>
                <w:color w:val="000000"/>
              </w:rPr>
              <w:t>s</w:t>
            </w:r>
            <w:r w:rsidRPr="00D23F6B" w:rsidR="00F41AB3">
              <w:rPr>
                <w:color w:val="000000"/>
              </w:rPr>
              <w:t>.</w:t>
            </w:r>
            <w:r w:rsidR="00217EA1">
              <w:rPr>
                <w:rStyle w:val="FootnoteReference"/>
                <w:color w:val="000000"/>
              </w:rPr>
              <w:footnoteReference w:id="3"/>
            </w:r>
            <w:r w:rsidRPr="00D23F6B" w:rsidR="00F41AB3">
              <w:rPr>
                <w:color w:val="000000"/>
              </w:rPr>
              <w:t xml:space="preserve"> The Commission </w:t>
            </w:r>
            <w:r w:rsidRPr="00D23F6B" w:rsidR="002B23F2">
              <w:rPr>
                <w:color w:val="000000"/>
              </w:rPr>
              <w:t xml:space="preserve">disagreed </w:t>
            </w:r>
            <w:r w:rsidRPr="00D23F6B" w:rsidR="00525483">
              <w:rPr>
                <w:color w:val="000000"/>
              </w:rPr>
              <w:t xml:space="preserve">with A4NR </w:t>
            </w:r>
            <w:r w:rsidRPr="00D23F6B" w:rsidR="002B23F2">
              <w:rPr>
                <w:color w:val="000000"/>
              </w:rPr>
              <w:t xml:space="preserve">and </w:t>
            </w:r>
            <w:r w:rsidRPr="00D23F6B" w:rsidR="00F41AB3">
              <w:rPr>
                <w:color w:val="000000"/>
              </w:rPr>
              <w:t xml:space="preserve">found </w:t>
            </w:r>
            <w:r w:rsidR="004E6CFF">
              <w:rPr>
                <w:color w:val="000000"/>
              </w:rPr>
              <w:t>“</w:t>
            </w:r>
            <w:r w:rsidRPr="00D23F6B" w:rsidR="0070474F">
              <w:rPr>
                <w:color w:val="000000"/>
              </w:rPr>
              <w:t>that A4NR</w:t>
            </w:r>
            <w:r w:rsidR="004E6CFF">
              <w:rPr>
                <w:color w:val="000000"/>
              </w:rPr>
              <w:t>’</w:t>
            </w:r>
            <w:r w:rsidRPr="00D23F6B" w:rsidR="0070474F">
              <w:rPr>
                <w:color w:val="000000"/>
              </w:rPr>
              <w:t xml:space="preserve">s interpretation of </w:t>
            </w:r>
            <w:r w:rsidR="004E6CFF">
              <w:rPr>
                <w:color w:val="000000"/>
              </w:rPr>
              <w:lastRenderedPageBreak/>
              <w:t>‘</w:t>
            </w:r>
            <w:r w:rsidRPr="00D23F6B" w:rsidR="0070474F">
              <w:rPr>
                <w:color w:val="000000"/>
              </w:rPr>
              <w:t>preparation</w:t>
            </w:r>
            <w:r w:rsidR="004E6CFF">
              <w:rPr>
                <w:color w:val="000000"/>
              </w:rPr>
              <w:t>’</w:t>
            </w:r>
            <w:r w:rsidRPr="00D23F6B" w:rsidR="0070474F">
              <w:rPr>
                <w:color w:val="000000"/>
              </w:rPr>
              <w:t xml:space="preserve"> is overly broad resulting in precluding almost all costs as preparatory</w:t>
            </w:r>
            <w:r w:rsidRPr="00D23F6B" w:rsidR="00BD6527">
              <w:rPr>
                <w:color w:val="000000"/>
              </w:rPr>
              <w:t>,</w:t>
            </w:r>
            <w:r w:rsidR="004E6CFF">
              <w:rPr>
                <w:color w:val="000000"/>
              </w:rPr>
              <w:t>”</w:t>
            </w:r>
            <w:r w:rsidR="004C4BF3">
              <w:rPr>
                <w:rStyle w:val="FootnoteReference"/>
                <w:color w:val="000000"/>
              </w:rPr>
              <w:footnoteReference w:id="4"/>
            </w:r>
            <w:r w:rsidR="0094248D">
              <w:rPr>
                <w:color w:val="000000"/>
              </w:rPr>
              <w:t xml:space="preserve"> </w:t>
            </w:r>
            <w:r w:rsidRPr="00D23F6B" w:rsidR="00BD6527">
              <w:rPr>
                <w:color w:val="000000"/>
              </w:rPr>
              <w:t xml:space="preserve">and </w:t>
            </w:r>
            <w:r w:rsidR="004E6CFF">
              <w:rPr>
                <w:color w:val="000000"/>
              </w:rPr>
              <w:t>“</w:t>
            </w:r>
            <w:r w:rsidRPr="00D23F6B" w:rsidR="00ED09B1">
              <w:rPr>
                <w:color w:val="000000"/>
              </w:rPr>
              <w:t>that PG&amp;E</w:t>
            </w:r>
            <w:r w:rsidR="004E6CFF">
              <w:rPr>
                <w:color w:val="000000"/>
              </w:rPr>
              <w:t>’</w:t>
            </w:r>
            <w:r w:rsidRPr="00D23F6B" w:rsidR="00ED09B1">
              <w:rPr>
                <w:color w:val="000000"/>
              </w:rPr>
              <w:t>s forecasted O&amp;M costs comply with the applicable statute and Commission orders, are reasonable, and should be approved.</w:t>
            </w:r>
            <w:r w:rsidR="004E6CFF">
              <w:rPr>
                <w:color w:val="000000"/>
              </w:rPr>
              <w:t>”</w:t>
            </w:r>
            <w:r w:rsidR="004C4BF3">
              <w:rPr>
                <w:rStyle w:val="FootnoteReference"/>
                <w:color w:val="000000"/>
              </w:rPr>
              <w:footnoteReference w:id="5"/>
            </w:r>
          </w:p>
        </w:tc>
      </w:tr>
      <w:tr w:rsidRPr="00D23F6B" w:rsidR="00A92D0B" w:rsidTr="00AD458C" w14:paraId="4AAA05AE" w14:textId="77777777">
        <w:tc>
          <w:tcPr>
            <w:tcW w:w="2785" w:type="dxa"/>
          </w:tcPr>
          <w:p w:rsidRPr="00CB2ADC" w:rsidR="00E25078" w:rsidP="009E0C2A" w:rsidRDefault="00A92D0B" w14:paraId="11FCCEB5" w14:textId="3F7586FA">
            <w:pPr>
              <w:spacing w:after="240"/>
            </w:pPr>
            <w:r w:rsidRPr="00CB2ADC">
              <w:lastRenderedPageBreak/>
              <w:t>2.</w:t>
            </w:r>
            <w:r w:rsidRPr="00CB2ADC" w:rsidR="00E25078">
              <w:t xml:space="preserve"> </w:t>
            </w:r>
            <w:r w:rsidRPr="00CB2ADC" w:rsidR="00865C2A">
              <w:t>A4NR</w:t>
            </w:r>
            <w:r w:rsidRPr="00CB2ADC" w:rsidR="004B48E6">
              <w:t xml:space="preserve"> objected to PG&amp;E</w:t>
            </w:r>
            <w:r w:rsidR="004E6CFF">
              <w:t>’</w:t>
            </w:r>
            <w:r w:rsidRPr="00CB2ADC" w:rsidR="004B48E6">
              <w:t xml:space="preserve">s VPF spending plan for featuring projects that </w:t>
            </w:r>
            <w:r w:rsidRPr="00CB2ADC" w:rsidR="004D6F86">
              <w:t xml:space="preserve">duplicate what </w:t>
            </w:r>
            <w:r w:rsidRPr="00CB2ADC" w:rsidR="004B48E6">
              <w:t xml:space="preserve">a public utility is already required to fund under </w:t>
            </w:r>
            <w:r w:rsidR="00F87F1A">
              <w:t>Section </w:t>
            </w:r>
            <w:r w:rsidRPr="00CB2ADC" w:rsidR="004B48E6">
              <w:t xml:space="preserve">451, and specifically </w:t>
            </w:r>
            <w:r w:rsidRPr="00CB2ADC" w:rsidR="00865C2A">
              <w:t>criticized PG&amp;E</w:t>
            </w:r>
            <w:r w:rsidR="004E6CFF">
              <w:t>’</w:t>
            </w:r>
            <w:r w:rsidRPr="00CB2ADC" w:rsidR="00865C2A">
              <w:t>s initial inclusion of five gas</w:t>
            </w:r>
            <w:r w:rsidR="004152B8">
              <w:noBreakHyphen/>
            </w:r>
            <w:r w:rsidRPr="00CB2ADC" w:rsidR="00865C2A">
              <w:t>related projects in its VPF spending plan</w:t>
            </w:r>
            <w:r w:rsidRPr="00CB2ADC" w:rsidR="00457DDD">
              <w:t xml:space="preserve"> </w:t>
            </w:r>
            <w:r w:rsidRPr="00CB2ADC" w:rsidR="00537F31">
              <w:t xml:space="preserve">as inconsistent with the </w:t>
            </w:r>
            <w:r w:rsidR="004E6CFF">
              <w:t>“</w:t>
            </w:r>
            <w:r w:rsidRPr="00CB2ADC" w:rsidR="00537F31">
              <w:t>public purpose priorities</w:t>
            </w:r>
            <w:r w:rsidR="004E6CFF">
              <w:t>”</w:t>
            </w:r>
            <w:r w:rsidRPr="00CB2ADC" w:rsidR="00537F31">
              <w:t xml:space="preserve"> requirement of the statute </w:t>
            </w:r>
            <w:r w:rsidRPr="00CB2ADC" w:rsidR="00457DDD">
              <w:t>(Protest,</w:t>
            </w:r>
            <w:r w:rsidR="00BA598C">
              <w:t xml:space="preserve"> pp. </w:t>
            </w:r>
            <w:r w:rsidRPr="00CB2ADC" w:rsidR="004B48E6">
              <w:t>6</w:t>
            </w:r>
            <w:r w:rsidR="00BA598C">
              <w:t xml:space="preserve"> – </w:t>
            </w:r>
            <w:r w:rsidRPr="00CB2ADC" w:rsidR="00457DDD">
              <w:t>7</w:t>
            </w:r>
            <w:r w:rsidRPr="00CB2ADC" w:rsidR="00537F31">
              <w:t>).</w:t>
            </w:r>
          </w:p>
        </w:tc>
        <w:tc>
          <w:tcPr>
            <w:tcW w:w="3870" w:type="dxa"/>
          </w:tcPr>
          <w:p w:rsidRPr="00D23F6B" w:rsidR="00A92D0B" w:rsidP="009E0C2A" w:rsidRDefault="00537F31" w14:paraId="2A92A629" w14:textId="02351254">
            <w:pPr>
              <w:spacing w:after="240"/>
              <w:rPr>
                <w:color w:val="000000"/>
              </w:rPr>
            </w:pPr>
            <w:r w:rsidRPr="00D23F6B">
              <w:rPr>
                <w:color w:val="000000"/>
              </w:rPr>
              <w:t xml:space="preserve">Revising its proposal </w:t>
            </w:r>
            <w:r w:rsidRPr="00D23F6B" w:rsidR="00CA6E5C">
              <w:rPr>
                <w:color w:val="000000"/>
              </w:rPr>
              <w:t xml:space="preserve">in response to intervenor objections, </w:t>
            </w:r>
            <w:r w:rsidRPr="00D23F6B" w:rsidR="00457DDD">
              <w:rPr>
                <w:color w:val="000000"/>
              </w:rPr>
              <w:t xml:space="preserve">PG&amp;E removed </w:t>
            </w:r>
            <w:r w:rsidRPr="00D23F6B">
              <w:rPr>
                <w:color w:val="000000"/>
              </w:rPr>
              <w:t xml:space="preserve">any expenditures </w:t>
            </w:r>
            <w:r w:rsidRPr="00D23F6B" w:rsidR="00457DDD">
              <w:rPr>
                <w:color w:val="000000"/>
              </w:rPr>
              <w:t xml:space="preserve">from its </w:t>
            </w:r>
            <w:r w:rsidRPr="00D23F6B">
              <w:rPr>
                <w:color w:val="000000"/>
              </w:rPr>
              <w:t xml:space="preserve">VPF spending plan </w:t>
            </w:r>
            <w:r w:rsidR="004E6CFF">
              <w:rPr>
                <w:color w:val="000000"/>
              </w:rPr>
              <w:t>“</w:t>
            </w:r>
            <w:r w:rsidRPr="00D23F6B">
              <w:rPr>
                <w:color w:val="000000"/>
              </w:rPr>
              <w:t>that strictly benefit the gas line of business</w:t>
            </w:r>
            <w:r w:rsidR="004E6CFF">
              <w:rPr>
                <w:color w:val="000000"/>
              </w:rPr>
              <w:t>”</w:t>
            </w:r>
            <w:r w:rsidRPr="00CB2ADC">
              <w:rPr>
                <w:color w:val="000000"/>
              </w:rPr>
              <w:t xml:space="preserve"> (PG&amp;E Rebuttal Testimony,</w:t>
            </w:r>
            <w:r w:rsidR="00BA598C">
              <w:rPr>
                <w:color w:val="000000"/>
              </w:rPr>
              <w:t xml:space="preserve"> p. </w:t>
            </w:r>
            <w:r w:rsidRPr="00CB2ADC">
              <w:rPr>
                <w:color w:val="000000"/>
              </w:rPr>
              <w:t>8</w:t>
            </w:r>
            <w:r w:rsidR="004152B8">
              <w:rPr>
                <w:color w:val="000000"/>
              </w:rPr>
              <w:noBreakHyphen/>
            </w:r>
            <w:r w:rsidRPr="00CB2ADC">
              <w:rPr>
                <w:color w:val="000000"/>
              </w:rPr>
              <w:t xml:space="preserve">14, </w:t>
            </w:r>
            <w:r w:rsidR="0005608B">
              <w:rPr>
                <w:color w:val="000000"/>
              </w:rPr>
              <w:t>line </w:t>
            </w:r>
            <w:r w:rsidRPr="00CB2ADC">
              <w:rPr>
                <w:color w:val="000000"/>
              </w:rPr>
              <w:t>8), thereby removing the need for the Commission</w:t>
            </w:r>
            <w:r w:rsidRPr="00D23F6B">
              <w:rPr>
                <w:color w:val="000000"/>
              </w:rPr>
              <w:t xml:space="preserve"> to address th</w:t>
            </w:r>
            <w:r w:rsidRPr="00D23F6B" w:rsidR="00CA6E5C">
              <w:rPr>
                <w:color w:val="000000"/>
              </w:rPr>
              <w:t>is</w:t>
            </w:r>
            <w:r w:rsidRPr="00D23F6B">
              <w:rPr>
                <w:color w:val="000000"/>
              </w:rPr>
              <w:t xml:space="preserve"> issue.</w:t>
            </w:r>
            <w:r w:rsidRPr="00D23F6B" w:rsidR="004B48E6">
              <w:rPr>
                <w:color w:val="000000"/>
              </w:rPr>
              <w:t xml:space="preserve">  D.24</w:t>
            </w:r>
            <w:r w:rsidR="004152B8">
              <w:rPr>
                <w:color w:val="000000"/>
              </w:rPr>
              <w:noBreakHyphen/>
            </w:r>
            <w:r w:rsidRPr="00D23F6B" w:rsidR="004B48E6">
              <w:rPr>
                <w:color w:val="000000"/>
              </w:rPr>
              <w:t>12</w:t>
            </w:r>
            <w:r w:rsidR="004152B8">
              <w:rPr>
                <w:color w:val="000000"/>
              </w:rPr>
              <w:noBreakHyphen/>
            </w:r>
            <w:r w:rsidRPr="00D23F6B" w:rsidR="004B48E6">
              <w:rPr>
                <w:color w:val="000000"/>
              </w:rPr>
              <w:t xml:space="preserve">033 requires </w:t>
            </w:r>
            <w:r w:rsidRPr="00D23F6B" w:rsidR="00611F01">
              <w:rPr>
                <w:color w:val="000000"/>
              </w:rPr>
              <w:t>(in Ordering P</w:t>
            </w:r>
            <w:r w:rsidR="00CC480C">
              <w:rPr>
                <w:color w:val="000000"/>
              </w:rPr>
              <w:t>aragraphs </w:t>
            </w:r>
            <w:r w:rsidRPr="00D23F6B" w:rsidR="00611F01">
              <w:rPr>
                <w:color w:val="000000"/>
              </w:rPr>
              <w:t xml:space="preserve">5 and 6) </w:t>
            </w:r>
            <w:r w:rsidRPr="00D23F6B" w:rsidR="004B48E6">
              <w:rPr>
                <w:color w:val="000000"/>
              </w:rPr>
              <w:t xml:space="preserve">PG&amp;E to file a </w:t>
            </w:r>
            <w:r w:rsidR="00FA6D00">
              <w:rPr>
                <w:color w:val="000000"/>
              </w:rPr>
              <w:t>Tier </w:t>
            </w:r>
            <w:r w:rsidRPr="00D23F6B" w:rsidR="004B48E6">
              <w:rPr>
                <w:color w:val="000000"/>
              </w:rPr>
              <w:t>1 Advice Letter, a CFO attestation, and a third</w:t>
            </w:r>
            <w:r w:rsidR="004152B8">
              <w:rPr>
                <w:color w:val="000000"/>
              </w:rPr>
              <w:noBreakHyphen/>
            </w:r>
            <w:r w:rsidRPr="00D23F6B" w:rsidR="004B48E6">
              <w:rPr>
                <w:color w:val="000000"/>
              </w:rPr>
              <w:t>party independent audit to ensure th</w:t>
            </w:r>
            <w:r w:rsidRPr="00D23F6B" w:rsidR="00A11811">
              <w:rPr>
                <w:color w:val="000000"/>
              </w:rPr>
              <w:t>at</w:t>
            </w:r>
            <w:r w:rsidRPr="00D23F6B" w:rsidR="004B48E6">
              <w:rPr>
                <w:color w:val="000000"/>
              </w:rPr>
              <w:t xml:space="preserve"> VPF expenditures </w:t>
            </w:r>
            <w:r w:rsidRPr="00D23F6B" w:rsidR="00611F01">
              <w:rPr>
                <w:color w:val="000000"/>
              </w:rPr>
              <w:t xml:space="preserve">are incremental to existing authorizations, do not represent double recovery, and comply with </w:t>
            </w:r>
            <w:r w:rsidR="00F87F1A">
              <w:rPr>
                <w:color w:val="000000"/>
              </w:rPr>
              <w:t>Section </w:t>
            </w:r>
            <w:r w:rsidRPr="00D23F6B" w:rsidR="00611F01">
              <w:rPr>
                <w:color w:val="000000"/>
              </w:rPr>
              <w:t>712.8(s).</w:t>
            </w:r>
          </w:p>
        </w:tc>
        <w:tc>
          <w:tcPr>
            <w:tcW w:w="2705" w:type="dxa"/>
          </w:tcPr>
          <w:p w:rsidRPr="00D23F6B" w:rsidR="00A92D0B" w:rsidP="00584205" w:rsidRDefault="003B085F" w14:paraId="56FD3368" w14:textId="3EAFC2A8">
            <w:pPr>
              <w:rPr>
                <w:color w:val="000000"/>
              </w:rPr>
            </w:pPr>
            <w:r w:rsidRPr="00D23F6B">
              <w:rPr>
                <w:color w:val="000000"/>
              </w:rPr>
              <w:t>PG&amp;E</w:t>
            </w:r>
            <w:r w:rsidR="004E6CFF">
              <w:rPr>
                <w:color w:val="000000"/>
              </w:rPr>
              <w:t>’</w:t>
            </w:r>
            <w:r w:rsidRPr="00D23F6B">
              <w:rPr>
                <w:color w:val="000000"/>
              </w:rPr>
              <w:t xml:space="preserve">s </w:t>
            </w:r>
            <w:r w:rsidRPr="00D23F6B" w:rsidR="00AD42E1">
              <w:rPr>
                <w:color w:val="000000"/>
              </w:rPr>
              <w:t>R</w:t>
            </w:r>
            <w:r w:rsidRPr="00D23F6B">
              <w:rPr>
                <w:color w:val="000000"/>
              </w:rPr>
              <w:t xml:space="preserve">ebuttal </w:t>
            </w:r>
            <w:r w:rsidRPr="00D23F6B" w:rsidR="00D51527">
              <w:rPr>
                <w:color w:val="000000"/>
              </w:rPr>
              <w:t>T</w:t>
            </w:r>
            <w:r w:rsidRPr="00D23F6B">
              <w:rPr>
                <w:color w:val="000000"/>
              </w:rPr>
              <w:t>estimony states tha</w:t>
            </w:r>
            <w:r w:rsidRPr="00D23F6B" w:rsidR="009340A5">
              <w:rPr>
                <w:color w:val="000000"/>
              </w:rPr>
              <w:t xml:space="preserve">t it removed expenditures </w:t>
            </w:r>
            <w:r w:rsidR="004E6CFF">
              <w:rPr>
                <w:color w:val="000000"/>
              </w:rPr>
              <w:t>“</w:t>
            </w:r>
            <w:r w:rsidRPr="00D23F6B" w:rsidR="009340A5">
              <w:rPr>
                <w:color w:val="000000"/>
              </w:rPr>
              <w:t>that strictly benefit the gas line of business</w:t>
            </w:r>
            <w:r w:rsidR="004E6CFF">
              <w:rPr>
                <w:color w:val="000000"/>
              </w:rPr>
              <w:t>”</w:t>
            </w:r>
            <w:r w:rsidRPr="00D23F6B" w:rsidR="009340A5">
              <w:rPr>
                <w:color w:val="000000"/>
              </w:rPr>
              <w:t xml:space="preserve"> </w:t>
            </w:r>
            <w:r w:rsidRPr="00D23F6B" w:rsidR="00293C92">
              <w:rPr>
                <w:color w:val="000000"/>
              </w:rPr>
              <w:t xml:space="preserve">in response to </w:t>
            </w:r>
            <w:r w:rsidRPr="00F658E5" w:rsidR="00F658E5">
              <w:rPr>
                <w:color w:val="000000"/>
              </w:rPr>
              <w:t>California Community Choice Association</w:t>
            </w:r>
            <w:r w:rsidR="004E6CFF">
              <w:rPr>
                <w:color w:val="000000"/>
              </w:rPr>
              <w:t>’</w:t>
            </w:r>
            <w:r w:rsidR="00F658E5">
              <w:rPr>
                <w:color w:val="000000"/>
              </w:rPr>
              <w:t>s (</w:t>
            </w:r>
            <w:proofErr w:type="spellStart"/>
            <w:r w:rsidRPr="00D23F6B" w:rsidR="00293C92">
              <w:rPr>
                <w:color w:val="000000"/>
              </w:rPr>
              <w:t>CalCCA</w:t>
            </w:r>
            <w:proofErr w:type="spellEnd"/>
            <w:r w:rsidR="00F658E5">
              <w:rPr>
                <w:color w:val="000000"/>
              </w:rPr>
              <w:t>)</w:t>
            </w:r>
            <w:r w:rsidRPr="00D23F6B" w:rsidR="00293C92">
              <w:rPr>
                <w:color w:val="000000"/>
              </w:rPr>
              <w:t xml:space="preserve"> </w:t>
            </w:r>
            <w:r w:rsidRPr="00D23F6B" w:rsidR="00185A45">
              <w:rPr>
                <w:color w:val="000000"/>
              </w:rPr>
              <w:t>recommendation and</w:t>
            </w:r>
            <w:r w:rsidRPr="00D23F6B" w:rsidR="000F58D9">
              <w:rPr>
                <w:color w:val="000000"/>
              </w:rPr>
              <w:t xml:space="preserve"> does </w:t>
            </w:r>
            <w:r w:rsidRPr="00D23F6B" w:rsidR="001B2716">
              <w:rPr>
                <w:color w:val="000000"/>
              </w:rPr>
              <w:t xml:space="preserve">not </w:t>
            </w:r>
            <w:r w:rsidRPr="00D23F6B" w:rsidR="000F58D9">
              <w:rPr>
                <w:color w:val="000000"/>
              </w:rPr>
              <w:t xml:space="preserve">mention </w:t>
            </w:r>
            <w:r w:rsidRPr="00D23F6B" w:rsidR="001B2716">
              <w:rPr>
                <w:color w:val="000000"/>
              </w:rPr>
              <w:t>A4NR.</w:t>
            </w:r>
            <w:r w:rsidR="004815BB">
              <w:rPr>
                <w:rStyle w:val="FootnoteReference"/>
                <w:color w:val="000000"/>
              </w:rPr>
              <w:footnoteReference w:id="6"/>
            </w:r>
            <w:r w:rsidRPr="00D23F6B" w:rsidR="00AD42E1">
              <w:rPr>
                <w:color w:val="000000"/>
              </w:rPr>
              <w:t xml:space="preserve"> </w:t>
            </w:r>
            <w:r w:rsidRPr="00D23F6B" w:rsidR="00D57BB5">
              <w:rPr>
                <w:color w:val="000000"/>
              </w:rPr>
              <w:t>Also, nowhere in A4NR</w:t>
            </w:r>
            <w:r w:rsidR="004E6CFF">
              <w:rPr>
                <w:color w:val="000000"/>
              </w:rPr>
              <w:t>’</w:t>
            </w:r>
            <w:r w:rsidRPr="00D23F6B" w:rsidR="00D57BB5">
              <w:rPr>
                <w:color w:val="000000"/>
              </w:rPr>
              <w:t xml:space="preserve">s </w:t>
            </w:r>
            <w:r w:rsidRPr="00D23F6B" w:rsidR="00514972">
              <w:rPr>
                <w:color w:val="000000"/>
              </w:rPr>
              <w:t xml:space="preserve">Protest does it recommend the Commission </w:t>
            </w:r>
            <w:r w:rsidRPr="00D23F6B" w:rsidR="00092B7A">
              <w:rPr>
                <w:color w:val="000000"/>
              </w:rPr>
              <w:t xml:space="preserve">subject </w:t>
            </w:r>
            <w:r w:rsidRPr="00D23F6B" w:rsidR="006B01A4">
              <w:rPr>
                <w:color w:val="000000"/>
              </w:rPr>
              <w:t xml:space="preserve">PG&amp;E </w:t>
            </w:r>
            <w:r w:rsidRPr="00D23F6B" w:rsidR="00092B7A">
              <w:rPr>
                <w:color w:val="000000"/>
              </w:rPr>
              <w:t xml:space="preserve">to additional oversight regarding </w:t>
            </w:r>
            <w:r w:rsidR="00703D05">
              <w:rPr>
                <w:color w:val="000000"/>
              </w:rPr>
              <w:t>Volumetric Performance Fees (</w:t>
            </w:r>
            <w:r w:rsidRPr="00D23F6B" w:rsidR="00BF1662">
              <w:rPr>
                <w:color w:val="000000"/>
              </w:rPr>
              <w:t>VPF</w:t>
            </w:r>
            <w:r w:rsidR="00703D05">
              <w:rPr>
                <w:color w:val="000000"/>
              </w:rPr>
              <w:t>)</w:t>
            </w:r>
            <w:r w:rsidRPr="00D23F6B" w:rsidR="00BF1662">
              <w:rPr>
                <w:color w:val="000000"/>
              </w:rPr>
              <w:t xml:space="preserve"> expenditures.</w:t>
            </w:r>
            <w:r w:rsidR="00E74680">
              <w:rPr>
                <w:color w:val="000000"/>
              </w:rPr>
              <w:t xml:space="preserve"> </w:t>
            </w:r>
            <w:r w:rsidRPr="00C01431" w:rsidR="00E74680">
              <w:t>Accordingly</w:t>
            </w:r>
            <w:r w:rsidR="00E74680">
              <w:rPr>
                <w:color w:val="000000"/>
              </w:rPr>
              <w:t>, w</w:t>
            </w:r>
            <w:r w:rsidR="00DC1346">
              <w:rPr>
                <w:color w:val="000000"/>
              </w:rPr>
              <w:t xml:space="preserve">e find that A4NR </w:t>
            </w:r>
            <w:r w:rsidR="009208A4">
              <w:rPr>
                <w:color w:val="000000"/>
              </w:rPr>
              <w:t xml:space="preserve">made </w:t>
            </w:r>
            <w:r w:rsidR="003C5A53">
              <w:rPr>
                <w:color w:val="000000"/>
              </w:rPr>
              <w:t>minimal</w:t>
            </w:r>
            <w:r w:rsidR="00DC1346">
              <w:rPr>
                <w:color w:val="000000"/>
              </w:rPr>
              <w:t xml:space="preserve"> </w:t>
            </w:r>
            <w:r w:rsidR="003C5A53">
              <w:rPr>
                <w:color w:val="000000"/>
              </w:rPr>
              <w:t>impact</w:t>
            </w:r>
            <w:r w:rsidR="00DC1346">
              <w:rPr>
                <w:color w:val="000000"/>
              </w:rPr>
              <w:t xml:space="preserve"> to the decision</w:t>
            </w:r>
            <w:r w:rsidR="004152B8">
              <w:rPr>
                <w:color w:val="000000"/>
              </w:rPr>
              <w:noBreakHyphen/>
            </w:r>
            <w:r w:rsidR="00DC1346">
              <w:rPr>
                <w:color w:val="000000"/>
              </w:rPr>
              <w:t>making process on this claimed contribution.</w:t>
            </w:r>
          </w:p>
        </w:tc>
      </w:tr>
      <w:tr w:rsidRPr="00DA752A" w:rsidR="00762B5C" w:rsidTr="00AD458C" w14:paraId="02269DC1" w14:textId="77777777">
        <w:tc>
          <w:tcPr>
            <w:tcW w:w="2785" w:type="dxa"/>
          </w:tcPr>
          <w:p w:rsidRPr="00DA752A" w:rsidR="00762B5C" w:rsidP="009E0C2A" w:rsidRDefault="00762B5C" w14:paraId="795A8BE0" w14:textId="2C379C5C">
            <w:pPr>
              <w:spacing w:after="240"/>
              <w:rPr>
                <w:color w:val="000000"/>
              </w:rPr>
            </w:pPr>
            <w:r w:rsidRPr="00DA752A">
              <w:rPr>
                <w:color w:val="000000"/>
              </w:rPr>
              <w:lastRenderedPageBreak/>
              <w:t>3. A4NR objected to PG&amp;E</w:t>
            </w:r>
            <w:r w:rsidR="004E6CFF">
              <w:rPr>
                <w:color w:val="000000"/>
              </w:rPr>
              <w:t>’</w:t>
            </w:r>
            <w:r w:rsidRPr="00DA752A">
              <w:rPr>
                <w:color w:val="000000"/>
              </w:rPr>
              <w:t xml:space="preserve">s proposed use of a </w:t>
            </w:r>
            <w:r w:rsidR="00FA6D00">
              <w:rPr>
                <w:color w:val="000000"/>
              </w:rPr>
              <w:t>Tier </w:t>
            </w:r>
            <w:r w:rsidRPr="00DA752A">
              <w:rPr>
                <w:color w:val="000000"/>
              </w:rPr>
              <w:t>3 Advice Letter, rather than</w:t>
            </w:r>
            <w:r w:rsidRPr="00DA752A" w:rsidR="006B1ABB">
              <w:rPr>
                <w:color w:val="000000"/>
              </w:rPr>
              <w:t xml:space="preserve"> a</w:t>
            </w:r>
            <w:r w:rsidRPr="00DA752A">
              <w:rPr>
                <w:color w:val="000000"/>
              </w:rPr>
              <w:t xml:space="preserve"> </w:t>
            </w:r>
            <w:r w:rsidRPr="00DA752A" w:rsidR="006B1ABB">
              <w:rPr>
                <w:color w:val="000000"/>
              </w:rPr>
              <w:t xml:space="preserve">formal </w:t>
            </w:r>
            <w:r w:rsidRPr="00DA752A">
              <w:rPr>
                <w:color w:val="000000"/>
              </w:rPr>
              <w:t xml:space="preserve">Application, for review of future VPF spending plans because </w:t>
            </w:r>
            <w:r w:rsidR="004E6CFF">
              <w:rPr>
                <w:color w:val="000000"/>
              </w:rPr>
              <w:t>“</w:t>
            </w:r>
            <w:r w:rsidRPr="00DA752A">
              <w:rPr>
                <w:color w:val="000000"/>
              </w:rPr>
              <w:t>PG&amp;E</w:t>
            </w:r>
            <w:r w:rsidR="004E6CFF">
              <w:rPr>
                <w:color w:val="000000"/>
              </w:rPr>
              <w:t>’</w:t>
            </w:r>
            <w:r w:rsidRPr="00DA752A">
              <w:rPr>
                <w:color w:val="000000"/>
              </w:rPr>
              <w:t>s oscillating process for planning VPF expenditures lacks sufficient maturity to inspire confidence</w:t>
            </w:r>
            <w:r w:rsidR="004E6CFF">
              <w:rPr>
                <w:color w:val="000000"/>
              </w:rPr>
              <w:t>”</w:t>
            </w:r>
            <w:r w:rsidRPr="00DA752A">
              <w:rPr>
                <w:color w:val="000000"/>
              </w:rPr>
              <w:t xml:space="preserve"> (Opening Brief,</w:t>
            </w:r>
            <w:r w:rsidR="00BA598C">
              <w:rPr>
                <w:color w:val="000000"/>
              </w:rPr>
              <w:t xml:space="preserve"> pp. </w:t>
            </w:r>
            <w:r w:rsidRPr="00DA752A">
              <w:rPr>
                <w:color w:val="000000"/>
              </w:rPr>
              <w:t>28</w:t>
            </w:r>
            <w:r w:rsidR="00BA598C">
              <w:rPr>
                <w:color w:val="000000"/>
              </w:rPr>
              <w:t xml:space="preserve"> – </w:t>
            </w:r>
            <w:r w:rsidRPr="00DA752A">
              <w:rPr>
                <w:color w:val="000000"/>
              </w:rPr>
              <w:t>29; Reply Brief,</w:t>
            </w:r>
            <w:r w:rsidR="00BA598C">
              <w:rPr>
                <w:color w:val="000000"/>
              </w:rPr>
              <w:t xml:space="preserve"> pp. </w:t>
            </w:r>
            <w:r w:rsidRPr="00DA752A">
              <w:rPr>
                <w:color w:val="000000"/>
              </w:rPr>
              <w:t>19</w:t>
            </w:r>
            <w:r w:rsidR="00BA598C">
              <w:rPr>
                <w:color w:val="000000"/>
              </w:rPr>
              <w:t xml:space="preserve"> – </w:t>
            </w:r>
            <w:r w:rsidRPr="00DA752A">
              <w:rPr>
                <w:color w:val="000000"/>
              </w:rPr>
              <w:t>20</w:t>
            </w:r>
            <w:r w:rsidRPr="00DA752A" w:rsidR="006B1ABB">
              <w:rPr>
                <w:color w:val="000000"/>
              </w:rPr>
              <w:t>).</w:t>
            </w:r>
          </w:p>
        </w:tc>
        <w:tc>
          <w:tcPr>
            <w:tcW w:w="3870" w:type="dxa"/>
          </w:tcPr>
          <w:p w:rsidRPr="00DA752A" w:rsidR="006B1ABB" w:rsidP="00755CBB" w:rsidRDefault="006B1ABB" w14:paraId="46BB5315" w14:textId="085C6361">
            <w:pPr>
              <w:rPr>
                <w:color w:val="000000"/>
              </w:rPr>
            </w:pPr>
            <w:r w:rsidRPr="00DA752A">
              <w:rPr>
                <w:color w:val="000000"/>
              </w:rPr>
              <w:t>D.24</w:t>
            </w:r>
            <w:r w:rsidR="004152B8">
              <w:rPr>
                <w:color w:val="000000"/>
              </w:rPr>
              <w:noBreakHyphen/>
            </w:r>
            <w:r w:rsidRPr="00DA752A">
              <w:rPr>
                <w:color w:val="000000"/>
              </w:rPr>
              <w:t>12</w:t>
            </w:r>
            <w:r w:rsidR="004152B8">
              <w:rPr>
                <w:color w:val="000000"/>
              </w:rPr>
              <w:noBreakHyphen/>
            </w:r>
            <w:r w:rsidRPr="00DA752A">
              <w:rPr>
                <w:color w:val="000000"/>
              </w:rPr>
              <w:t>033 (at</w:t>
            </w:r>
            <w:r w:rsidR="00BA598C">
              <w:rPr>
                <w:color w:val="000000"/>
              </w:rPr>
              <w:t xml:space="preserve"> p. </w:t>
            </w:r>
            <w:r w:rsidRPr="00DA752A">
              <w:rPr>
                <w:color w:val="000000"/>
              </w:rPr>
              <w:t>68) acknowledges A4NR</w:t>
            </w:r>
            <w:r w:rsidR="004E6CFF">
              <w:rPr>
                <w:color w:val="000000"/>
              </w:rPr>
              <w:t>’</w:t>
            </w:r>
            <w:r w:rsidRPr="00DA752A">
              <w:rPr>
                <w:color w:val="000000"/>
              </w:rPr>
              <w:t>s position and denies PG&amp;E</w:t>
            </w:r>
            <w:r w:rsidR="004E6CFF">
              <w:rPr>
                <w:color w:val="000000"/>
              </w:rPr>
              <w:t>’</w:t>
            </w:r>
            <w:r w:rsidRPr="00DA752A">
              <w:rPr>
                <w:color w:val="000000"/>
              </w:rPr>
              <w:t xml:space="preserve">s request without prejudice, noting that </w:t>
            </w:r>
            <w:r w:rsidR="004E6CFF">
              <w:rPr>
                <w:color w:val="000000"/>
              </w:rPr>
              <w:t>“</w:t>
            </w:r>
            <w:r w:rsidRPr="00DA752A">
              <w:rPr>
                <w:color w:val="000000"/>
              </w:rPr>
              <w:t>The VPF program is a new program. Until we gain a reasonable amount of experience with the program, it is appropriate to consider the</w:t>
            </w:r>
          </w:p>
          <w:p w:rsidRPr="00DA752A" w:rsidR="00762B5C" w:rsidP="009E0C2A" w:rsidRDefault="006B1ABB" w14:paraId="21B4FA1A" w14:textId="5D69320C">
            <w:pPr>
              <w:spacing w:after="240"/>
              <w:rPr>
                <w:color w:val="000000"/>
              </w:rPr>
            </w:pPr>
            <w:r w:rsidRPr="00DA752A">
              <w:rPr>
                <w:color w:val="000000"/>
              </w:rPr>
              <w:t>program annually through an application process.</w:t>
            </w:r>
            <w:r w:rsidR="004E6CFF">
              <w:rPr>
                <w:color w:val="000000"/>
              </w:rPr>
              <w:t>”</w:t>
            </w:r>
          </w:p>
        </w:tc>
        <w:tc>
          <w:tcPr>
            <w:tcW w:w="2705" w:type="dxa"/>
          </w:tcPr>
          <w:p w:rsidRPr="00DA752A" w:rsidR="00762B5C" w:rsidP="00C01431" w:rsidRDefault="00494731" w14:paraId="36EB7650" w14:textId="3665B853">
            <w:pPr>
              <w:spacing w:after="240"/>
              <w:rPr>
                <w:color w:val="000000"/>
              </w:rPr>
            </w:pPr>
            <w:r w:rsidRPr="00DA752A">
              <w:rPr>
                <w:color w:val="000000"/>
              </w:rPr>
              <w:t>Verified</w:t>
            </w:r>
          </w:p>
        </w:tc>
      </w:tr>
      <w:tr w:rsidRPr="00754247" w:rsidR="00691528" w:rsidTr="00AD458C" w14:paraId="36FF786B" w14:textId="77777777">
        <w:tc>
          <w:tcPr>
            <w:tcW w:w="2785" w:type="dxa"/>
          </w:tcPr>
          <w:p w:rsidRPr="00754247" w:rsidR="00E25078" w:rsidP="009E0C2A" w:rsidRDefault="006B1ABB" w14:paraId="77A8C970" w14:textId="56E81703">
            <w:pPr>
              <w:spacing w:after="240"/>
              <w:rPr>
                <w:color w:val="000000"/>
              </w:rPr>
            </w:pPr>
            <w:r w:rsidRPr="00754247">
              <w:rPr>
                <w:color w:val="000000"/>
              </w:rPr>
              <w:t>4</w:t>
            </w:r>
            <w:r w:rsidRPr="00754247" w:rsidR="00691528">
              <w:rPr>
                <w:color w:val="000000"/>
              </w:rPr>
              <w:t>.</w:t>
            </w:r>
            <w:r w:rsidRPr="00754247" w:rsidR="00E25078">
              <w:rPr>
                <w:color w:val="000000"/>
              </w:rPr>
              <w:t xml:space="preserve"> </w:t>
            </w:r>
            <w:r w:rsidRPr="00754247" w:rsidR="000E7C21">
              <w:rPr>
                <w:color w:val="000000"/>
              </w:rPr>
              <w:t xml:space="preserve">Noting </w:t>
            </w:r>
            <w:r w:rsidRPr="00754247" w:rsidR="00712689">
              <w:rPr>
                <w:color w:val="000000"/>
              </w:rPr>
              <w:t>the absence of</w:t>
            </w:r>
            <w:r w:rsidRPr="00754247" w:rsidR="000E7C21">
              <w:rPr>
                <w:color w:val="000000"/>
              </w:rPr>
              <w:t xml:space="preserve"> a required specific</w:t>
            </w:r>
            <w:r w:rsidRPr="00754247" w:rsidR="00712689">
              <w:rPr>
                <w:color w:val="000000"/>
              </w:rPr>
              <w:t xml:space="preserve"> authorization in </w:t>
            </w:r>
            <w:r w:rsidR="00814219">
              <w:rPr>
                <w:color w:val="000000"/>
              </w:rPr>
              <w:t>SB </w:t>
            </w:r>
            <w:r w:rsidRPr="00754247" w:rsidR="00712689">
              <w:rPr>
                <w:color w:val="000000"/>
              </w:rPr>
              <w:t xml:space="preserve">846, </w:t>
            </w:r>
            <w:r w:rsidRPr="00754247" w:rsidR="00CA6E5C">
              <w:rPr>
                <w:color w:val="000000"/>
              </w:rPr>
              <w:t>A4NR contested PG&amp;E</w:t>
            </w:r>
            <w:r w:rsidR="004E6CFF">
              <w:rPr>
                <w:color w:val="000000"/>
              </w:rPr>
              <w:t>’</w:t>
            </w:r>
            <w:r w:rsidRPr="00754247" w:rsidR="00CA6E5C">
              <w:rPr>
                <w:color w:val="000000"/>
              </w:rPr>
              <w:t xml:space="preserve">s request for a federal and state income tax </w:t>
            </w:r>
            <w:r w:rsidRPr="009E0C2A" w:rsidR="00CA6E5C">
              <w:t>gross</w:t>
            </w:r>
            <w:r w:rsidR="004152B8">
              <w:rPr>
                <w:color w:val="000000"/>
              </w:rPr>
              <w:noBreakHyphen/>
            </w:r>
            <w:r w:rsidRPr="00754247" w:rsidR="00CA6E5C">
              <w:rPr>
                <w:color w:val="000000"/>
              </w:rPr>
              <w:t xml:space="preserve">up of its fixed management fees </w:t>
            </w:r>
            <w:r w:rsidRPr="00754247" w:rsidR="000E7C21">
              <w:rPr>
                <w:color w:val="000000"/>
              </w:rPr>
              <w:t>and explained that PG&amp;E</w:t>
            </w:r>
            <w:r w:rsidR="004E6CFF">
              <w:rPr>
                <w:color w:val="000000"/>
              </w:rPr>
              <w:t>’</w:t>
            </w:r>
            <w:r w:rsidRPr="00754247" w:rsidR="000E7C21">
              <w:rPr>
                <w:color w:val="000000"/>
              </w:rPr>
              <w:t xml:space="preserve">s </w:t>
            </w:r>
            <w:r w:rsidR="004E6CFF">
              <w:rPr>
                <w:color w:val="000000"/>
              </w:rPr>
              <w:t>“</w:t>
            </w:r>
            <w:r w:rsidRPr="00754247" w:rsidR="000E7C21">
              <w:rPr>
                <w:color w:val="000000"/>
              </w:rPr>
              <w:t>in lieu of a rate</w:t>
            </w:r>
            <w:r w:rsidR="004152B8">
              <w:rPr>
                <w:color w:val="000000"/>
              </w:rPr>
              <w:noBreakHyphen/>
            </w:r>
            <w:r w:rsidRPr="00754247" w:rsidR="000E7C21">
              <w:rPr>
                <w:color w:val="000000"/>
              </w:rPr>
              <w:t>based return on investment</w:t>
            </w:r>
            <w:r w:rsidR="004E6CFF">
              <w:rPr>
                <w:color w:val="000000"/>
              </w:rPr>
              <w:t>”</w:t>
            </w:r>
            <w:r w:rsidRPr="00754247" w:rsidR="000E7C21">
              <w:rPr>
                <w:color w:val="000000"/>
              </w:rPr>
              <w:t xml:space="preserve"> argument was misplaced because PG&amp;E</w:t>
            </w:r>
            <w:r w:rsidR="004E6CFF">
              <w:rPr>
                <w:color w:val="000000"/>
              </w:rPr>
              <w:t>’</w:t>
            </w:r>
            <w:r w:rsidRPr="00754247" w:rsidR="000E7C21">
              <w:rPr>
                <w:color w:val="000000"/>
              </w:rPr>
              <w:t xml:space="preserve">s shareholders are making no capital investment </w:t>
            </w:r>
            <w:r w:rsidRPr="00754247" w:rsidR="00CA6E5C">
              <w:rPr>
                <w:color w:val="000000"/>
              </w:rPr>
              <w:t>(Reply Brief,</w:t>
            </w:r>
            <w:r w:rsidR="00BA598C">
              <w:rPr>
                <w:color w:val="000000"/>
              </w:rPr>
              <w:t xml:space="preserve"> pp. </w:t>
            </w:r>
            <w:r w:rsidRPr="00754247" w:rsidR="00CA6E5C">
              <w:rPr>
                <w:color w:val="000000"/>
              </w:rPr>
              <w:t>12</w:t>
            </w:r>
            <w:r w:rsidR="00BA598C">
              <w:rPr>
                <w:color w:val="000000"/>
              </w:rPr>
              <w:t xml:space="preserve"> – </w:t>
            </w:r>
            <w:r w:rsidRPr="00754247" w:rsidR="00CA6E5C">
              <w:rPr>
                <w:color w:val="000000"/>
              </w:rPr>
              <w:t>13).</w:t>
            </w:r>
          </w:p>
        </w:tc>
        <w:tc>
          <w:tcPr>
            <w:tcW w:w="3870" w:type="dxa"/>
          </w:tcPr>
          <w:p w:rsidRPr="00754247" w:rsidR="00691528" w:rsidP="009E0C2A" w:rsidRDefault="00CA6E5C" w14:paraId="2144B6BD" w14:textId="0D0813A8">
            <w:pPr>
              <w:spacing w:after="240"/>
              <w:rPr>
                <w:color w:val="000000"/>
              </w:rPr>
            </w:pPr>
            <w:r w:rsidRPr="00754247">
              <w:rPr>
                <w:color w:val="000000"/>
              </w:rPr>
              <w:t>D.24</w:t>
            </w:r>
            <w:r w:rsidR="004152B8">
              <w:rPr>
                <w:color w:val="000000"/>
              </w:rPr>
              <w:noBreakHyphen/>
            </w:r>
            <w:r w:rsidRPr="00754247">
              <w:rPr>
                <w:color w:val="000000"/>
              </w:rPr>
              <w:t>12</w:t>
            </w:r>
            <w:r w:rsidR="004152B8">
              <w:rPr>
                <w:color w:val="000000"/>
              </w:rPr>
              <w:noBreakHyphen/>
            </w:r>
            <w:r w:rsidRPr="00754247">
              <w:rPr>
                <w:color w:val="000000"/>
              </w:rPr>
              <w:t>033 (at</w:t>
            </w:r>
            <w:r w:rsidR="00BA598C">
              <w:rPr>
                <w:color w:val="000000"/>
              </w:rPr>
              <w:t xml:space="preserve"> p. </w:t>
            </w:r>
            <w:r w:rsidRPr="00754247">
              <w:rPr>
                <w:color w:val="000000"/>
              </w:rPr>
              <w:t>40) acknowledges A4NR</w:t>
            </w:r>
            <w:r w:rsidR="004E6CFF">
              <w:rPr>
                <w:color w:val="000000"/>
              </w:rPr>
              <w:t>’</w:t>
            </w:r>
            <w:r w:rsidRPr="00754247">
              <w:rPr>
                <w:color w:val="000000"/>
              </w:rPr>
              <w:t xml:space="preserve">s </w:t>
            </w:r>
            <w:r w:rsidRPr="00754247" w:rsidR="000E7C21">
              <w:rPr>
                <w:color w:val="000000"/>
              </w:rPr>
              <w:t>op</w:t>
            </w:r>
            <w:r w:rsidRPr="00754247" w:rsidR="00712689">
              <w:rPr>
                <w:color w:val="000000"/>
              </w:rPr>
              <w:t xml:space="preserve">position </w:t>
            </w:r>
            <w:r w:rsidRPr="00754247" w:rsidR="000E7C21">
              <w:rPr>
                <w:color w:val="000000"/>
              </w:rPr>
              <w:t>to PG&amp;E</w:t>
            </w:r>
            <w:r w:rsidR="004E6CFF">
              <w:rPr>
                <w:color w:val="000000"/>
              </w:rPr>
              <w:t>’</w:t>
            </w:r>
            <w:r w:rsidRPr="00754247" w:rsidR="000E7C21">
              <w:rPr>
                <w:color w:val="000000"/>
              </w:rPr>
              <w:t xml:space="preserve">s request </w:t>
            </w:r>
            <w:r w:rsidRPr="00754247" w:rsidR="00712689">
              <w:rPr>
                <w:color w:val="000000"/>
              </w:rPr>
              <w:t>and states (at</w:t>
            </w:r>
            <w:r w:rsidR="00BA598C">
              <w:rPr>
                <w:color w:val="000000"/>
              </w:rPr>
              <w:t xml:space="preserve"> p. </w:t>
            </w:r>
            <w:r w:rsidRPr="00754247" w:rsidR="00712689">
              <w:rPr>
                <w:color w:val="000000"/>
              </w:rPr>
              <w:t xml:space="preserve">43) that PG&amp;E </w:t>
            </w:r>
            <w:r w:rsidR="004E6CFF">
              <w:rPr>
                <w:color w:val="000000"/>
              </w:rPr>
              <w:t>“</w:t>
            </w:r>
            <w:r w:rsidRPr="00754247" w:rsidR="00712689">
              <w:rPr>
                <w:color w:val="000000"/>
              </w:rPr>
              <w:t>is not authorized to recover any tax gross</w:t>
            </w:r>
            <w:r w:rsidR="004152B8">
              <w:rPr>
                <w:color w:val="000000"/>
              </w:rPr>
              <w:noBreakHyphen/>
            </w:r>
            <w:r w:rsidRPr="00754247" w:rsidR="00712689">
              <w:rPr>
                <w:color w:val="000000"/>
              </w:rPr>
              <w:t>up on the fixed management fee.</w:t>
            </w:r>
            <w:r w:rsidR="004E6CFF">
              <w:rPr>
                <w:color w:val="000000"/>
              </w:rPr>
              <w:t>”</w:t>
            </w:r>
            <w:r w:rsidRPr="00754247" w:rsidR="000E7C21">
              <w:rPr>
                <w:color w:val="000000"/>
              </w:rPr>
              <w:t xml:space="preserve">  D.24</w:t>
            </w:r>
            <w:r w:rsidR="004152B8">
              <w:rPr>
                <w:color w:val="000000"/>
              </w:rPr>
              <w:noBreakHyphen/>
            </w:r>
            <w:r w:rsidRPr="00754247" w:rsidR="000E7C21">
              <w:rPr>
                <w:color w:val="000000"/>
              </w:rPr>
              <w:t>12</w:t>
            </w:r>
            <w:r w:rsidR="004152B8">
              <w:rPr>
                <w:color w:val="000000"/>
              </w:rPr>
              <w:noBreakHyphen/>
            </w:r>
            <w:r w:rsidRPr="00754247" w:rsidR="000E7C21">
              <w:rPr>
                <w:color w:val="000000"/>
              </w:rPr>
              <w:t>033 reasons (at</w:t>
            </w:r>
            <w:r w:rsidR="00BA598C">
              <w:rPr>
                <w:color w:val="000000"/>
              </w:rPr>
              <w:t xml:space="preserve"> p. </w:t>
            </w:r>
            <w:r w:rsidRPr="00754247" w:rsidR="000E7C21">
              <w:rPr>
                <w:color w:val="000000"/>
              </w:rPr>
              <w:t xml:space="preserve">42) that </w:t>
            </w:r>
            <w:r w:rsidR="004E6CFF">
              <w:rPr>
                <w:color w:val="000000"/>
              </w:rPr>
              <w:t>“</w:t>
            </w:r>
            <w:r w:rsidRPr="00754247" w:rsidR="000E7C21">
              <w:rPr>
                <w:color w:val="000000"/>
              </w:rPr>
              <w:t>the management fee is not the same as an authorized return on rate base. The Commission has no reason to think the management fee is akin to an income generating investment</w:t>
            </w:r>
            <w:r w:rsidRPr="00754247" w:rsidR="004440B6">
              <w:rPr>
                <w:color w:val="000000"/>
              </w:rPr>
              <w:t xml:space="preserve"> </w:t>
            </w:r>
            <w:r w:rsidRPr="00754247" w:rsidR="000E7C21">
              <w:rPr>
                <w:color w:val="000000"/>
              </w:rPr>
              <w:t>in capital expenditures.</w:t>
            </w:r>
            <w:r w:rsidR="004E6CFF">
              <w:rPr>
                <w:color w:val="000000"/>
              </w:rPr>
              <w:t>”</w:t>
            </w:r>
          </w:p>
        </w:tc>
        <w:tc>
          <w:tcPr>
            <w:tcW w:w="2705" w:type="dxa"/>
          </w:tcPr>
          <w:p w:rsidRPr="00754247" w:rsidR="00691528" w:rsidP="00C01431" w:rsidRDefault="00E5123E" w14:paraId="64233D9C" w14:textId="7BEB425E">
            <w:pPr>
              <w:spacing w:after="240"/>
              <w:rPr>
                <w:color w:val="000000"/>
              </w:rPr>
            </w:pPr>
            <w:r>
              <w:rPr>
                <w:color w:val="000000"/>
              </w:rPr>
              <w:t xml:space="preserve">The Commission </w:t>
            </w:r>
            <w:r w:rsidRPr="00754247" w:rsidR="00AF27F7">
              <w:rPr>
                <w:color w:val="000000"/>
              </w:rPr>
              <w:t>acknowledges that A4NR</w:t>
            </w:r>
            <w:r w:rsidRPr="00754247" w:rsidR="00D51EAD">
              <w:rPr>
                <w:color w:val="000000"/>
              </w:rPr>
              <w:t xml:space="preserve"> made the same argument as</w:t>
            </w:r>
            <w:r w:rsidR="00705D98">
              <w:rPr>
                <w:color w:val="000000"/>
              </w:rPr>
              <w:t xml:space="preserve"> </w:t>
            </w:r>
            <w:r w:rsidRPr="00705D98" w:rsidR="00705D98">
              <w:rPr>
                <w:color w:val="000000"/>
              </w:rPr>
              <w:t>Energy Producers and Users Coalition</w:t>
            </w:r>
            <w:r w:rsidRPr="00754247" w:rsidR="00D51EAD">
              <w:rPr>
                <w:color w:val="000000"/>
              </w:rPr>
              <w:t xml:space="preserve"> </w:t>
            </w:r>
            <w:r w:rsidR="00705D98">
              <w:rPr>
                <w:color w:val="000000"/>
              </w:rPr>
              <w:t>(</w:t>
            </w:r>
            <w:r w:rsidRPr="00754247" w:rsidR="004371DB">
              <w:rPr>
                <w:color w:val="000000"/>
              </w:rPr>
              <w:t>EPUC</w:t>
            </w:r>
            <w:r w:rsidR="00705D98">
              <w:rPr>
                <w:color w:val="000000"/>
              </w:rPr>
              <w:t>)</w:t>
            </w:r>
            <w:r w:rsidRPr="00754247" w:rsidR="004371DB">
              <w:rPr>
                <w:color w:val="000000"/>
              </w:rPr>
              <w:t xml:space="preserve">, </w:t>
            </w:r>
            <w:r w:rsidRPr="003E678F" w:rsidR="003E678F">
              <w:rPr>
                <w:color w:val="000000"/>
              </w:rPr>
              <w:t>Small Business Utility Advocates</w:t>
            </w:r>
            <w:r w:rsidR="003E678F">
              <w:rPr>
                <w:color w:val="000000"/>
              </w:rPr>
              <w:t xml:space="preserve"> (</w:t>
            </w:r>
            <w:r w:rsidRPr="00754247" w:rsidR="004371DB">
              <w:rPr>
                <w:color w:val="000000"/>
              </w:rPr>
              <w:t>SBUA,</w:t>
            </w:r>
            <w:r w:rsidR="003E678F">
              <w:rPr>
                <w:color w:val="000000"/>
              </w:rPr>
              <w:t>)</w:t>
            </w:r>
            <w:r w:rsidRPr="00754247" w:rsidR="004371DB">
              <w:rPr>
                <w:color w:val="000000"/>
              </w:rPr>
              <w:t xml:space="preserve"> and </w:t>
            </w:r>
            <w:r w:rsidRPr="003E678F" w:rsidR="003E678F">
              <w:rPr>
                <w:color w:val="000000"/>
              </w:rPr>
              <w:t>The Utility Reform Network</w:t>
            </w:r>
            <w:r w:rsidR="003E678F">
              <w:rPr>
                <w:color w:val="000000"/>
              </w:rPr>
              <w:t xml:space="preserve"> (</w:t>
            </w:r>
            <w:r w:rsidRPr="00754247" w:rsidR="004371DB">
              <w:rPr>
                <w:color w:val="000000"/>
              </w:rPr>
              <w:t>TURN</w:t>
            </w:r>
            <w:r w:rsidR="003E678F">
              <w:rPr>
                <w:color w:val="000000"/>
              </w:rPr>
              <w:t>)</w:t>
            </w:r>
            <w:r w:rsidRPr="00754247" w:rsidR="00D51EAD">
              <w:rPr>
                <w:color w:val="000000"/>
              </w:rPr>
              <w:t xml:space="preserve"> in opposition to </w:t>
            </w:r>
            <w:r w:rsidR="004E6CFF">
              <w:rPr>
                <w:color w:val="000000"/>
              </w:rPr>
              <w:t>“</w:t>
            </w:r>
            <w:r w:rsidRPr="00754247" w:rsidR="004371DB">
              <w:rPr>
                <w:color w:val="000000"/>
              </w:rPr>
              <w:t>authorizing PG&amp;E to include federal and state income taxes and the related tax gross up</w:t>
            </w:r>
            <w:r w:rsidR="004815BB">
              <w:rPr>
                <w:color w:val="000000"/>
              </w:rPr>
              <w:t>.</w:t>
            </w:r>
            <w:r w:rsidR="004E6CFF">
              <w:rPr>
                <w:color w:val="000000"/>
              </w:rPr>
              <w:t>”</w:t>
            </w:r>
            <w:r w:rsidR="004815BB">
              <w:rPr>
                <w:rStyle w:val="FootnoteReference"/>
                <w:color w:val="000000"/>
              </w:rPr>
              <w:footnoteReference w:id="7"/>
            </w:r>
            <w:r w:rsidRPr="00754247" w:rsidR="004371DB">
              <w:rPr>
                <w:color w:val="000000"/>
              </w:rPr>
              <w:t xml:space="preserve"> The </w:t>
            </w:r>
            <w:r w:rsidRPr="00754247" w:rsidR="00141634">
              <w:rPr>
                <w:color w:val="000000"/>
              </w:rPr>
              <w:t>Commission does not mention A4NR again regarding this issue and mostly relies on TURN</w:t>
            </w:r>
            <w:r w:rsidR="004815BB">
              <w:rPr>
                <w:color w:val="000000"/>
              </w:rPr>
              <w:t>’s comments</w:t>
            </w:r>
            <w:r w:rsidRPr="00754247" w:rsidR="00E95E1D">
              <w:rPr>
                <w:color w:val="000000"/>
              </w:rPr>
              <w:t xml:space="preserve"> that </w:t>
            </w:r>
            <w:r w:rsidR="004E6CFF">
              <w:rPr>
                <w:color w:val="000000"/>
              </w:rPr>
              <w:t>“</w:t>
            </w:r>
            <w:r w:rsidRPr="00754247" w:rsidR="006D2E3B">
              <w:rPr>
                <w:color w:val="000000"/>
              </w:rPr>
              <w:t>PG&amp;E is not authorized to recover any tax gross</w:t>
            </w:r>
            <w:r w:rsidR="004152B8">
              <w:rPr>
                <w:color w:val="000000"/>
              </w:rPr>
              <w:noBreakHyphen/>
            </w:r>
            <w:r w:rsidRPr="00754247" w:rsidR="006D2E3B">
              <w:rPr>
                <w:color w:val="000000"/>
              </w:rPr>
              <w:t>up on the fixed management fee.</w:t>
            </w:r>
            <w:r w:rsidR="004E6CFF">
              <w:rPr>
                <w:color w:val="000000"/>
              </w:rPr>
              <w:t>”</w:t>
            </w:r>
            <w:r w:rsidR="004815BB">
              <w:rPr>
                <w:rStyle w:val="FootnoteReference"/>
                <w:color w:val="000000"/>
              </w:rPr>
              <w:footnoteReference w:id="8"/>
            </w:r>
            <w:r w:rsidRPr="00754247" w:rsidR="006D2E3B">
              <w:rPr>
                <w:color w:val="000000"/>
              </w:rPr>
              <w:t xml:space="preserve"> </w:t>
            </w:r>
            <w:r w:rsidRPr="00754247" w:rsidR="00257FAD">
              <w:rPr>
                <w:color w:val="000000"/>
              </w:rPr>
              <w:lastRenderedPageBreak/>
              <w:t xml:space="preserve">A4NR also acknowledges its agreement with TURN in their reply brief on this </w:t>
            </w:r>
            <w:r w:rsidR="00A81235">
              <w:rPr>
                <w:color w:val="000000"/>
              </w:rPr>
              <w:t>issue</w:t>
            </w:r>
            <w:r w:rsidRPr="00754247" w:rsidR="00257FAD">
              <w:rPr>
                <w:color w:val="000000"/>
              </w:rPr>
              <w:t>.</w:t>
            </w:r>
            <w:r w:rsidR="00520BA8">
              <w:rPr>
                <w:rStyle w:val="FootnoteReference"/>
                <w:color w:val="000000"/>
              </w:rPr>
              <w:footnoteReference w:id="9"/>
            </w:r>
            <w:r w:rsidRPr="00754247" w:rsidR="00754247">
              <w:rPr>
                <w:color w:val="000000"/>
              </w:rPr>
              <w:t xml:space="preserve"> </w:t>
            </w:r>
            <w:r w:rsidRPr="00754247" w:rsidR="00257FAD">
              <w:rPr>
                <w:color w:val="000000"/>
              </w:rPr>
              <w:t xml:space="preserve">We find that </w:t>
            </w:r>
            <w:r w:rsidRPr="00754247" w:rsidR="00E44984">
              <w:rPr>
                <w:color w:val="000000"/>
              </w:rPr>
              <w:t>A4NR</w:t>
            </w:r>
            <w:r w:rsidR="001A4D0B">
              <w:rPr>
                <w:color w:val="000000"/>
              </w:rPr>
              <w:t xml:space="preserve"> </w:t>
            </w:r>
            <w:r w:rsidRPr="00754247" w:rsidR="00E44984">
              <w:rPr>
                <w:color w:val="000000"/>
              </w:rPr>
              <w:t>did not</w:t>
            </w:r>
            <w:r w:rsidRPr="00754247" w:rsidR="001C3789">
              <w:rPr>
                <w:color w:val="000000"/>
              </w:rPr>
              <w:t xml:space="preserve"> provide a unique perspective </w:t>
            </w:r>
            <w:r w:rsidR="007B13E8">
              <w:rPr>
                <w:color w:val="000000"/>
              </w:rPr>
              <w:t>on this issue</w:t>
            </w:r>
            <w:r w:rsidRPr="00754247" w:rsidR="001C3789">
              <w:rPr>
                <w:color w:val="000000"/>
              </w:rPr>
              <w:t>.</w:t>
            </w:r>
          </w:p>
        </w:tc>
      </w:tr>
      <w:tr w:rsidRPr="00D00458" w:rsidR="004440B6" w:rsidTr="00AD458C" w14:paraId="577F6ECF" w14:textId="77777777">
        <w:tc>
          <w:tcPr>
            <w:tcW w:w="2785" w:type="dxa"/>
          </w:tcPr>
          <w:p w:rsidRPr="00D00458" w:rsidR="004440B6" w:rsidP="009E0C2A" w:rsidRDefault="006B1ABB" w14:paraId="14A0C69C" w14:textId="5242BFDA">
            <w:pPr>
              <w:spacing w:after="240"/>
              <w:rPr>
                <w:color w:val="000000"/>
              </w:rPr>
            </w:pPr>
            <w:r w:rsidRPr="00D00458">
              <w:rPr>
                <w:color w:val="000000"/>
              </w:rPr>
              <w:lastRenderedPageBreak/>
              <w:t>5</w:t>
            </w:r>
            <w:r w:rsidRPr="00D00458" w:rsidR="004440B6">
              <w:rPr>
                <w:color w:val="000000"/>
              </w:rPr>
              <w:t xml:space="preserve">.  A4NR objected to </w:t>
            </w:r>
            <w:r w:rsidRPr="00D00458" w:rsidR="005A0E30">
              <w:rPr>
                <w:color w:val="000000"/>
              </w:rPr>
              <w:t>PG&amp;E</w:t>
            </w:r>
            <w:r w:rsidR="004E6CFF">
              <w:rPr>
                <w:color w:val="000000"/>
              </w:rPr>
              <w:t>’</w:t>
            </w:r>
            <w:r w:rsidRPr="00D00458" w:rsidR="005A0E30">
              <w:rPr>
                <w:color w:val="000000"/>
              </w:rPr>
              <w:t>s</w:t>
            </w:r>
            <w:r w:rsidRPr="00D00458" w:rsidR="004440B6">
              <w:rPr>
                <w:color w:val="000000"/>
              </w:rPr>
              <w:t xml:space="preserve"> dysfunctional</w:t>
            </w:r>
            <w:r w:rsidRPr="00D00458" w:rsidR="005A0E30">
              <w:rPr>
                <w:color w:val="000000"/>
              </w:rPr>
              <w:t xml:space="preserve"> proposed</w:t>
            </w:r>
            <w:r w:rsidRPr="00D00458" w:rsidR="004440B6">
              <w:rPr>
                <w:color w:val="000000"/>
              </w:rPr>
              <w:t xml:space="preserve"> schedule for the proceeding, </w:t>
            </w:r>
            <w:r w:rsidRPr="00D00458" w:rsidR="005A0E30">
              <w:rPr>
                <w:color w:val="000000"/>
              </w:rPr>
              <w:t xml:space="preserve">refusing to waive its right to the time prescribed by </w:t>
            </w:r>
            <w:r w:rsidR="00470240">
              <w:rPr>
                <w:color w:val="000000"/>
              </w:rPr>
              <w:t>Rule </w:t>
            </w:r>
            <w:r w:rsidRPr="00D00458" w:rsidR="005A0E30">
              <w:rPr>
                <w:color w:val="000000"/>
              </w:rPr>
              <w:t>14.3 for Opening and Reply Comments on a Proposed Decision (Protest,</w:t>
            </w:r>
            <w:r w:rsidR="00BA598C">
              <w:rPr>
                <w:color w:val="000000"/>
              </w:rPr>
              <w:t xml:space="preserve"> pp. </w:t>
            </w:r>
            <w:r w:rsidRPr="00D00458" w:rsidR="005A0E30">
              <w:rPr>
                <w:color w:val="000000"/>
              </w:rPr>
              <w:t>7</w:t>
            </w:r>
            <w:r w:rsidR="00BA598C">
              <w:rPr>
                <w:color w:val="000000"/>
              </w:rPr>
              <w:t xml:space="preserve"> – </w:t>
            </w:r>
            <w:r w:rsidRPr="00D00458" w:rsidR="005A0E30">
              <w:rPr>
                <w:color w:val="000000"/>
              </w:rPr>
              <w:t xml:space="preserve">8) and </w:t>
            </w:r>
            <w:r w:rsidRPr="00D00458" w:rsidR="00797022">
              <w:rPr>
                <w:color w:val="000000"/>
              </w:rPr>
              <w:t xml:space="preserve">later </w:t>
            </w:r>
            <w:r w:rsidRPr="00D00458" w:rsidR="005A0E30">
              <w:rPr>
                <w:color w:val="000000"/>
              </w:rPr>
              <w:t>exercising its right</w:t>
            </w:r>
            <w:r w:rsidRPr="00D00458" w:rsidR="00797022">
              <w:rPr>
                <w:color w:val="000000"/>
              </w:rPr>
              <w:t xml:space="preserve"> under </w:t>
            </w:r>
            <w:r w:rsidR="00470240">
              <w:rPr>
                <w:color w:val="000000"/>
              </w:rPr>
              <w:t>Rule </w:t>
            </w:r>
            <w:r w:rsidRPr="00D00458" w:rsidR="00797022">
              <w:rPr>
                <w:color w:val="000000"/>
              </w:rPr>
              <w:t>13.14</w:t>
            </w:r>
            <w:r w:rsidRPr="00D00458" w:rsidR="005A0E30">
              <w:rPr>
                <w:color w:val="000000"/>
              </w:rPr>
              <w:t xml:space="preserve"> to </w:t>
            </w:r>
            <w:r w:rsidRPr="00D00458" w:rsidR="00A72ADD">
              <w:rPr>
                <w:color w:val="000000"/>
              </w:rPr>
              <w:t xml:space="preserve">request </w:t>
            </w:r>
            <w:r w:rsidRPr="00D00458" w:rsidR="005A0E30">
              <w:rPr>
                <w:color w:val="000000"/>
              </w:rPr>
              <w:t>oral argument in a ratemaking proceeding</w:t>
            </w:r>
            <w:r w:rsidRPr="00D00458" w:rsidR="00797022">
              <w:rPr>
                <w:color w:val="000000"/>
              </w:rPr>
              <w:t xml:space="preserve"> (A4NR Motion for Oral Argument)</w:t>
            </w:r>
            <w:r w:rsidRPr="00D00458" w:rsidR="005A0E30">
              <w:rPr>
                <w:color w:val="000000"/>
              </w:rPr>
              <w:t>.</w:t>
            </w:r>
            <w:r w:rsidRPr="00D00458" w:rsidR="004440B6">
              <w:rPr>
                <w:color w:val="000000"/>
              </w:rPr>
              <w:t xml:space="preserve"> </w:t>
            </w:r>
          </w:p>
        </w:tc>
        <w:tc>
          <w:tcPr>
            <w:tcW w:w="3870" w:type="dxa"/>
          </w:tcPr>
          <w:p w:rsidRPr="00D00458" w:rsidR="004440B6" w:rsidP="009E0C2A" w:rsidRDefault="00797022" w14:paraId="76F01135" w14:textId="190B869A">
            <w:pPr>
              <w:spacing w:after="240"/>
              <w:rPr>
                <w:color w:val="000000"/>
              </w:rPr>
            </w:pPr>
            <w:r w:rsidRPr="00D00458">
              <w:rPr>
                <w:color w:val="000000"/>
              </w:rPr>
              <w:t>The Assigned Commissioner</w:t>
            </w:r>
            <w:r w:rsidR="004E6CFF">
              <w:rPr>
                <w:color w:val="000000"/>
              </w:rPr>
              <w:t>’</w:t>
            </w:r>
            <w:r w:rsidRPr="00D00458">
              <w:rPr>
                <w:color w:val="000000"/>
              </w:rPr>
              <w:t>s Scoping Memo and Ruling (at</w:t>
            </w:r>
            <w:r w:rsidR="00BA598C">
              <w:rPr>
                <w:color w:val="000000"/>
              </w:rPr>
              <w:t xml:space="preserve"> p. </w:t>
            </w:r>
            <w:r w:rsidRPr="00D00458">
              <w:rPr>
                <w:color w:val="000000"/>
              </w:rPr>
              <w:t xml:space="preserve">5) adopted a schedule that specified a Commission decision </w:t>
            </w:r>
            <w:r w:rsidR="004E6CFF">
              <w:rPr>
                <w:color w:val="000000"/>
              </w:rPr>
              <w:t>“</w:t>
            </w:r>
            <w:r w:rsidRPr="00D00458">
              <w:rPr>
                <w:color w:val="000000"/>
              </w:rPr>
              <w:t>no sooner than 30 days after PD</w:t>
            </w:r>
            <w:r w:rsidR="004E6CFF">
              <w:rPr>
                <w:color w:val="000000"/>
              </w:rPr>
              <w:t>”</w:t>
            </w:r>
            <w:r w:rsidRPr="00D00458">
              <w:rPr>
                <w:color w:val="000000"/>
              </w:rPr>
              <w:t xml:space="preserve"> and the Commission allowed parties to make oral argument</w:t>
            </w:r>
            <w:r w:rsidRPr="00D00458" w:rsidR="00A72ADD">
              <w:rPr>
                <w:color w:val="000000"/>
              </w:rPr>
              <w:t>s</w:t>
            </w:r>
            <w:r w:rsidRPr="00D00458">
              <w:rPr>
                <w:color w:val="000000"/>
              </w:rPr>
              <w:t xml:space="preserve"> before it adopted D.24</w:t>
            </w:r>
            <w:r w:rsidR="004152B8">
              <w:rPr>
                <w:color w:val="000000"/>
              </w:rPr>
              <w:noBreakHyphen/>
            </w:r>
            <w:r w:rsidRPr="00D00458">
              <w:rPr>
                <w:color w:val="000000"/>
              </w:rPr>
              <w:t>12</w:t>
            </w:r>
            <w:r w:rsidR="004152B8">
              <w:rPr>
                <w:color w:val="000000"/>
              </w:rPr>
              <w:noBreakHyphen/>
            </w:r>
            <w:r w:rsidRPr="00D00458">
              <w:rPr>
                <w:color w:val="000000"/>
              </w:rPr>
              <w:t>033.</w:t>
            </w:r>
          </w:p>
        </w:tc>
        <w:tc>
          <w:tcPr>
            <w:tcW w:w="2705" w:type="dxa"/>
          </w:tcPr>
          <w:p w:rsidRPr="00D00458" w:rsidR="004440B6" w:rsidP="00C01431" w:rsidRDefault="009A79B3" w14:paraId="72D1037B" w14:textId="0CAAFEB5">
            <w:pPr>
              <w:spacing w:after="240"/>
              <w:rPr>
                <w:color w:val="000000"/>
              </w:rPr>
            </w:pPr>
            <w:r w:rsidRPr="00D00458">
              <w:rPr>
                <w:color w:val="000000"/>
              </w:rPr>
              <w:t>Verified</w:t>
            </w:r>
            <w:r w:rsidRPr="00D00458" w:rsidR="00BB1B8D">
              <w:rPr>
                <w:color w:val="000000"/>
              </w:rPr>
              <w:t xml:space="preserve"> </w:t>
            </w:r>
          </w:p>
        </w:tc>
      </w:tr>
      <w:tr w:rsidRPr="00A50525" w:rsidR="004440B6" w:rsidTr="00AD458C" w14:paraId="5A6FE9DD" w14:textId="77777777">
        <w:tc>
          <w:tcPr>
            <w:tcW w:w="2785" w:type="dxa"/>
          </w:tcPr>
          <w:p w:rsidRPr="00A50525" w:rsidR="004440B6" w:rsidP="009E0C2A" w:rsidRDefault="006B1ABB" w14:paraId="5DF82493" w14:textId="6753BAB9">
            <w:pPr>
              <w:spacing w:after="240"/>
              <w:rPr>
                <w:color w:val="000000"/>
              </w:rPr>
            </w:pPr>
            <w:r w:rsidRPr="00A50525">
              <w:rPr>
                <w:color w:val="000000"/>
              </w:rPr>
              <w:t>6</w:t>
            </w:r>
            <w:r w:rsidRPr="00A50525" w:rsidR="00A72ADD">
              <w:rPr>
                <w:color w:val="000000"/>
              </w:rPr>
              <w:t>. A4NR opposed PG&amp;E</w:t>
            </w:r>
            <w:r w:rsidR="004E6CFF">
              <w:rPr>
                <w:color w:val="000000"/>
              </w:rPr>
              <w:t>’</w:t>
            </w:r>
            <w:r w:rsidRPr="00A50525" w:rsidR="00A72ADD">
              <w:rPr>
                <w:color w:val="000000"/>
              </w:rPr>
              <w:t>s proposed modification of D.23</w:t>
            </w:r>
            <w:r w:rsidR="004152B8">
              <w:rPr>
                <w:color w:val="000000"/>
              </w:rPr>
              <w:noBreakHyphen/>
            </w:r>
            <w:r w:rsidRPr="00A50525" w:rsidR="00A72ADD">
              <w:rPr>
                <w:color w:val="000000"/>
              </w:rPr>
              <w:t>12</w:t>
            </w:r>
            <w:r w:rsidR="004152B8">
              <w:rPr>
                <w:color w:val="000000"/>
              </w:rPr>
              <w:noBreakHyphen/>
            </w:r>
            <w:r w:rsidRPr="00A50525" w:rsidR="00A72ADD">
              <w:rPr>
                <w:color w:val="000000"/>
              </w:rPr>
              <w:t>036</w:t>
            </w:r>
            <w:r w:rsidR="004E6CFF">
              <w:rPr>
                <w:color w:val="000000"/>
              </w:rPr>
              <w:t>’</w:t>
            </w:r>
            <w:r w:rsidRPr="00A50525" w:rsidR="00A72ADD">
              <w:rPr>
                <w:color w:val="000000"/>
              </w:rPr>
              <w:t>s method for allocating Diablo Canyon</w:t>
            </w:r>
            <w:r w:rsidR="004E6CFF">
              <w:rPr>
                <w:color w:val="000000"/>
              </w:rPr>
              <w:t>’</w:t>
            </w:r>
            <w:r w:rsidRPr="00A50525" w:rsidR="00A72ADD">
              <w:rPr>
                <w:color w:val="000000"/>
              </w:rPr>
              <w:t xml:space="preserve">s RA and GHG attributes to </w:t>
            </w:r>
            <w:r w:rsidRPr="00CB2ADC" w:rsidR="00A72ADD">
              <w:rPr>
                <w:color w:val="000000"/>
              </w:rPr>
              <w:t>jurisdictional LSEs (</w:t>
            </w:r>
            <w:r w:rsidRPr="00CB2ADC" w:rsidR="00D41586">
              <w:rPr>
                <w:color w:val="000000"/>
              </w:rPr>
              <w:t>Testimony,</w:t>
            </w:r>
            <w:r w:rsidR="00BA598C">
              <w:rPr>
                <w:color w:val="000000"/>
              </w:rPr>
              <w:t xml:space="preserve"> p. </w:t>
            </w:r>
            <w:r w:rsidRPr="00CB2ADC" w:rsidR="00D41586">
              <w:rPr>
                <w:color w:val="000000"/>
              </w:rPr>
              <w:t xml:space="preserve">17, </w:t>
            </w:r>
            <w:r w:rsidR="0005608B">
              <w:rPr>
                <w:color w:val="000000"/>
              </w:rPr>
              <w:t>line </w:t>
            </w:r>
            <w:r w:rsidRPr="00CB2ADC" w:rsidR="00D41586">
              <w:rPr>
                <w:color w:val="000000"/>
              </w:rPr>
              <w:t>10</w:t>
            </w:r>
            <w:r w:rsidR="00BA598C">
              <w:rPr>
                <w:color w:val="000000"/>
              </w:rPr>
              <w:t> – p. </w:t>
            </w:r>
            <w:r w:rsidRPr="00CB2ADC" w:rsidR="00D41586">
              <w:rPr>
                <w:color w:val="000000"/>
              </w:rPr>
              <w:t xml:space="preserve">18, </w:t>
            </w:r>
            <w:r w:rsidR="0005608B">
              <w:rPr>
                <w:color w:val="000000"/>
              </w:rPr>
              <w:t>line </w:t>
            </w:r>
            <w:r w:rsidRPr="00A50525" w:rsidR="00D41586">
              <w:rPr>
                <w:color w:val="000000"/>
              </w:rPr>
              <w:t xml:space="preserve">16; </w:t>
            </w:r>
            <w:r w:rsidRPr="00A50525" w:rsidR="00A72ADD">
              <w:rPr>
                <w:color w:val="000000"/>
              </w:rPr>
              <w:t>Opening Brief,</w:t>
            </w:r>
            <w:r w:rsidR="00BA598C">
              <w:rPr>
                <w:color w:val="000000"/>
              </w:rPr>
              <w:t xml:space="preserve"> pp. </w:t>
            </w:r>
            <w:r w:rsidRPr="00A50525" w:rsidR="00A72ADD">
              <w:rPr>
                <w:color w:val="000000"/>
              </w:rPr>
              <w:t>25</w:t>
            </w:r>
            <w:r w:rsidR="00BA598C">
              <w:rPr>
                <w:color w:val="000000"/>
              </w:rPr>
              <w:t xml:space="preserve"> – </w:t>
            </w:r>
            <w:r w:rsidRPr="00A50525" w:rsidR="00A72ADD">
              <w:rPr>
                <w:color w:val="000000"/>
              </w:rPr>
              <w:t>26;</w:t>
            </w:r>
            <w:r w:rsidRPr="00A50525" w:rsidR="00D41586">
              <w:rPr>
                <w:color w:val="000000"/>
              </w:rPr>
              <w:t xml:space="preserve"> </w:t>
            </w:r>
            <w:r w:rsidRPr="00A50525" w:rsidR="00A72ADD">
              <w:rPr>
                <w:color w:val="000000"/>
              </w:rPr>
              <w:t>Reply Brief,</w:t>
            </w:r>
            <w:r w:rsidR="00BA598C">
              <w:rPr>
                <w:color w:val="000000"/>
              </w:rPr>
              <w:t xml:space="preserve"> pp. </w:t>
            </w:r>
            <w:r w:rsidRPr="00A50525" w:rsidR="00A72ADD">
              <w:rPr>
                <w:color w:val="000000"/>
              </w:rPr>
              <w:t>15</w:t>
            </w:r>
            <w:r w:rsidR="00BA598C">
              <w:rPr>
                <w:color w:val="000000"/>
              </w:rPr>
              <w:t xml:space="preserve"> – </w:t>
            </w:r>
            <w:r w:rsidRPr="00A50525" w:rsidR="00A72ADD">
              <w:rPr>
                <w:color w:val="000000"/>
              </w:rPr>
              <w:t>16</w:t>
            </w:r>
            <w:r w:rsidRPr="00A50525" w:rsidR="00D41586">
              <w:rPr>
                <w:color w:val="000000"/>
              </w:rPr>
              <w:t>).</w:t>
            </w:r>
            <w:r w:rsidRPr="00A50525" w:rsidR="00A72ADD">
              <w:rPr>
                <w:color w:val="000000"/>
              </w:rPr>
              <w:t xml:space="preserve"> </w:t>
            </w:r>
          </w:p>
        </w:tc>
        <w:tc>
          <w:tcPr>
            <w:tcW w:w="3870" w:type="dxa"/>
          </w:tcPr>
          <w:p w:rsidRPr="00A50525" w:rsidR="004440B6" w:rsidP="0003168B" w:rsidRDefault="00D41586" w14:paraId="139FF458" w14:textId="4DBAEF95">
            <w:pPr>
              <w:spacing w:after="240"/>
              <w:rPr>
                <w:color w:val="000000"/>
              </w:rPr>
            </w:pPr>
            <w:r w:rsidRPr="00A50525">
              <w:rPr>
                <w:color w:val="000000"/>
              </w:rPr>
              <w:t>D.24</w:t>
            </w:r>
            <w:r w:rsidR="004152B8">
              <w:rPr>
                <w:color w:val="000000"/>
              </w:rPr>
              <w:noBreakHyphen/>
            </w:r>
            <w:r w:rsidRPr="00A50525">
              <w:rPr>
                <w:color w:val="000000"/>
              </w:rPr>
              <w:t>12</w:t>
            </w:r>
            <w:r w:rsidR="004152B8">
              <w:rPr>
                <w:color w:val="000000"/>
              </w:rPr>
              <w:noBreakHyphen/>
            </w:r>
            <w:r w:rsidRPr="00A50525">
              <w:rPr>
                <w:color w:val="000000"/>
              </w:rPr>
              <w:t>033 acknowledges A4NR</w:t>
            </w:r>
            <w:r w:rsidR="004E6CFF">
              <w:rPr>
                <w:color w:val="000000"/>
              </w:rPr>
              <w:t>’</w:t>
            </w:r>
            <w:r w:rsidRPr="00A50525">
              <w:rPr>
                <w:color w:val="000000"/>
              </w:rPr>
              <w:t>s position, noting (at</w:t>
            </w:r>
            <w:r w:rsidR="00BA598C">
              <w:rPr>
                <w:color w:val="000000"/>
              </w:rPr>
              <w:t xml:space="preserve"> p. </w:t>
            </w:r>
            <w:r w:rsidRPr="00A50525">
              <w:rPr>
                <w:color w:val="000000"/>
              </w:rPr>
              <w:t xml:space="preserve">52) that </w:t>
            </w:r>
            <w:r w:rsidR="004E6CFF">
              <w:rPr>
                <w:color w:val="000000"/>
              </w:rPr>
              <w:t>“</w:t>
            </w:r>
            <w:r w:rsidRPr="00A50525">
              <w:rPr>
                <w:color w:val="000000"/>
              </w:rPr>
              <w:t>A4NR criticizes PG&amp;E for not seeking changes in the allocation of RA and GHG attributes by filing a Petition for Modification</w:t>
            </w:r>
            <w:r w:rsidR="004E6CFF">
              <w:rPr>
                <w:color w:val="000000"/>
              </w:rPr>
              <w:t>”</w:t>
            </w:r>
            <w:r w:rsidRPr="00A50525">
              <w:rPr>
                <w:color w:val="000000"/>
              </w:rPr>
              <w:t xml:space="preserve"> and determining (at</w:t>
            </w:r>
            <w:r w:rsidR="00BA598C">
              <w:rPr>
                <w:color w:val="000000"/>
              </w:rPr>
              <w:t xml:space="preserve"> p. </w:t>
            </w:r>
            <w:r w:rsidRPr="00A50525">
              <w:rPr>
                <w:color w:val="000000"/>
              </w:rPr>
              <w:t>54) that</w:t>
            </w:r>
            <w:r w:rsidRPr="00A50525">
              <w:t xml:space="preserve"> </w:t>
            </w:r>
            <w:r w:rsidR="004E6CFF">
              <w:t>“</w:t>
            </w:r>
            <w:r w:rsidRPr="00A50525">
              <w:rPr>
                <w:color w:val="000000"/>
              </w:rPr>
              <w:t>PG&amp;E</w:t>
            </w:r>
            <w:r w:rsidR="004E6CFF">
              <w:rPr>
                <w:color w:val="000000"/>
              </w:rPr>
              <w:t>’</w:t>
            </w:r>
            <w:r w:rsidRPr="00A50525">
              <w:rPr>
                <w:color w:val="000000"/>
              </w:rPr>
              <w:t>s proposal does not</w:t>
            </w:r>
            <w:r w:rsidR="0003168B">
              <w:rPr>
                <w:color w:val="000000"/>
              </w:rPr>
              <w:t xml:space="preserve"> </w:t>
            </w:r>
            <w:r w:rsidRPr="00A50525">
              <w:rPr>
                <w:color w:val="000000"/>
              </w:rPr>
              <w:t>comply with implementation of the RA allocation methodology adopted in</w:t>
            </w:r>
            <w:r w:rsidR="0003168B">
              <w:rPr>
                <w:color w:val="000000"/>
              </w:rPr>
              <w:t xml:space="preserve"> </w:t>
            </w:r>
            <w:r w:rsidRPr="00A50525">
              <w:rPr>
                <w:color w:val="000000"/>
              </w:rPr>
              <w:t>D.23</w:t>
            </w:r>
            <w:r w:rsidR="004152B8">
              <w:rPr>
                <w:color w:val="000000"/>
              </w:rPr>
              <w:noBreakHyphen/>
            </w:r>
            <w:r w:rsidRPr="00A50525">
              <w:rPr>
                <w:color w:val="000000"/>
              </w:rPr>
              <w:t>12</w:t>
            </w:r>
            <w:r w:rsidR="004152B8">
              <w:rPr>
                <w:color w:val="000000"/>
              </w:rPr>
              <w:noBreakHyphen/>
            </w:r>
            <w:r w:rsidRPr="00A50525">
              <w:rPr>
                <w:color w:val="000000"/>
              </w:rPr>
              <w:t>036, and therefore, it is rejected.</w:t>
            </w:r>
            <w:r w:rsidR="004E6CFF">
              <w:rPr>
                <w:color w:val="000000"/>
              </w:rPr>
              <w:t>”</w:t>
            </w:r>
            <w:r w:rsidRPr="00A50525">
              <w:rPr>
                <w:color w:val="000000"/>
              </w:rPr>
              <w:t xml:space="preserve">  </w:t>
            </w:r>
          </w:p>
        </w:tc>
        <w:tc>
          <w:tcPr>
            <w:tcW w:w="2705" w:type="dxa"/>
          </w:tcPr>
          <w:p w:rsidRPr="00A50525" w:rsidR="004440B6" w:rsidP="00C01431" w:rsidRDefault="00432DC7" w14:paraId="7A6D9EBE" w14:textId="53C84B6B">
            <w:pPr>
              <w:spacing w:after="240"/>
              <w:rPr>
                <w:color w:val="000000"/>
              </w:rPr>
            </w:pPr>
            <w:r w:rsidRPr="00A50525">
              <w:rPr>
                <w:color w:val="000000"/>
              </w:rPr>
              <w:t>Noted</w:t>
            </w:r>
            <w:r w:rsidRPr="00A50525" w:rsidR="00112F47">
              <w:rPr>
                <w:color w:val="000000"/>
              </w:rPr>
              <w:t xml:space="preserve">, however </w:t>
            </w:r>
            <w:r w:rsidRPr="00D23F6B" w:rsidR="00E8261A">
              <w:rPr>
                <w:color w:val="000000"/>
              </w:rPr>
              <w:t>D.24</w:t>
            </w:r>
            <w:r w:rsidR="004152B8">
              <w:rPr>
                <w:color w:val="000000"/>
              </w:rPr>
              <w:noBreakHyphen/>
            </w:r>
            <w:r w:rsidRPr="00D23F6B" w:rsidR="00E8261A">
              <w:rPr>
                <w:color w:val="000000"/>
              </w:rPr>
              <w:t>12</w:t>
            </w:r>
            <w:r w:rsidR="004152B8">
              <w:rPr>
                <w:color w:val="000000"/>
              </w:rPr>
              <w:noBreakHyphen/>
            </w:r>
            <w:r w:rsidRPr="00D23F6B" w:rsidR="00E8261A">
              <w:rPr>
                <w:color w:val="000000"/>
              </w:rPr>
              <w:t xml:space="preserve">033 </w:t>
            </w:r>
            <w:r w:rsidRPr="00A50525" w:rsidR="00112F47">
              <w:rPr>
                <w:color w:val="000000"/>
              </w:rPr>
              <w:t xml:space="preserve">does not </w:t>
            </w:r>
            <w:r w:rsidRPr="00A50525" w:rsidR="00464024">
              <w:rPr>
                <w:color w:val="000000"/>
              </w:rPr>
              <w:t>require PG&amp;E to file a Petition for Modification if it wants to mo</w:t>
            </w:r>
            <w:r w:rsidRPr="00A50525" w:rsidR="00A50525">
              <w:rPr>
                <w:color w:val="000000"/>
              </w:rPr>
              <w:t xml:space="preserve">dify its </w:t>
            </w:r>
            <w:r w:rsidR="00E23A7D">
              <w:rPr>
                <w:color w:val="000000"/>
              </w:rPr>
              <w:t>greenhouse gas (</w:t>
            </w:r>
            <w:r w:rsidRPr="00A50525" w:rsidR="00A50525">
              <w:rPr>
                <w:color w:val="000000"/>
              </w:rPr>
              <w:t>GHG</w:t>
            </w:r>
            <w:r w:rsidR="00E23A7D">
              <w:rPr>
                <w:color w:val="000000"/>
              </w:rPr>
              <w:t>)</w:t>
            </w:r>
            <w:r w:rsidRPr="00A50525" w:rsidR="00A50525">
              <w:rPr>
                <w:color w:val="000000"/>
              </w:rPr>
              <w:t xml:space="preserve"> and </w:t>
            </w:r>
            <w:r w:rsidR="00083D08">
              <w:rPr>
                <w:color w:val="000000"/>
              </w:rPr>
              <w:t>Resource Adequacy (</w:t>
            </w:r>
            <w:r w:rsidRPr="00A50525" w:rsidR="00A50525">
              <w:rPr>
                <w:color w:val="000000"/>
              </w:rPr>
              <w:t>RA</w:t>
            </w:r>
            <w:r w:rsidR="00083D08">
              <w:rPr>
                <w:color w:val="000000"/>
              </w:rPr>
              <w:t>)</w:t>
            </w:r>
            <w:r w:rsidRPr="00A50525" w:rsidR="00A50525">
              <w:rPr>
                <w:color w:val="000000"/>
              </w:rPr>
              <w:t xml:space="preserve"> attributes.</w:t>
            </w:r>
            <w:r w:rsidR="00D8429E">
              <w:rPr>
                <w:color w:val="000000"/>
              </w:rPr>
              <w:t xml:space="preserve"> </w:t>
            </w:r>
            <w:r w:rsidR="00712DCA">
              <w:rPr>
                <w:color w:val="000000"/>
              </w:rPr>
              <w:t xml:space="preserve">A4NR was also one of </w:t>
            </w:r>
            <w:r w:rsidR="0087526D">
              <w:rPr>
                <w:color w:val="000000"/>
              </w:rPr>
              <w:t>s</w:t>
            </w:r>
            <w:r w:rsidRPr="00712DCA" w:rsidR="00712DCA">
              <w:rPr>
                <w:color w:val="000000"/>
              </w:rPr>
              <w:t>everal parties object</w:t>
            </w:r>
            <w:r w:rsidR="0087526D">
              <w:rPr>
                <w:color w:val="000000"/>
              </w:rPr>
              <w:t>ing</w:t>
            </w:r>
            <w:r w:rsidRPr="00712DCA" w:rsidR="00712DCA">
              <w:rPr>
                <w:color w:val="000000"/>
              </w:rPr>
              <w:t xml:space="preserve"> to PG&amp;E’s proposal</w:t>
            </w:r>
            <w:r w:rsidR="000855FC">
              <w:rPr>
                <w:color w:val="000000"/>
              </w:rPr>
              <w:t>.</w:t>
            </w:r>
            <w:r w:rsidR="000855FC">
              <w:rPr>
                <w:rStyle w:val="FootnoteReference"/>
                <w:color w:val="000000"/>
              </w:rPr>
              <w:footnoteReference w:id="10"/>
            </w:r>
          </w:p>
        </w:tc>
      </w:tr>
      <w:tr w:rsidRPr="00E567DB" w:rsidR="004440B6" w:rsidTr="00AD458C" w14:paraId="2C53E22E" w14:textId="77777777">
        <w:tc>
          <w:tcPr>
            <w:tcW w:w="2785" w:type="dxa"/>
          </w:tcPr>
          <w:p w:rsidRPr="00E567DB" w:rsidR="004440B6" w:rsidP="009E0C2A" w:rsidRDefault="006B1ABB" w14:paraId="1D3DA9A7" w14:textId="4FCF1F67">
            <w:pPr>
              <w:spacing w:after="240"/>
              <w:rPr>
                <w:color w:val="000000"/>
              </w:rPr>
            </w:pPr>
            <w:r w:rsidRPr="00E567DB">
              <w:rPr>
                <w:color w:val="000000"/>
              </w:rPr>
              <w:lastRenderedPageBreak/>
              <w:t xml:space="preserve">7. A4NR identified </w:t>
            </w:r>
            <w:r w:rsidRPr="00E567DB" w:rsidR="003D2C32">
              <w:rPr>
                <w:color w:val="000000"/>
              </w:rPr>
              <w:t xml:space="preserve">issues concerning the DWR loan to PG&amp;E that have the potential to increase costs to </w:t>
            </w:r>
            <w:r w:rsidRPr="00CB2ADC" w:rsidR="003D2C32">
              <w:rPr>
                <w:color w:val="000000"/>
              </w:rPr>
              <w:t>ratepayers (Testimony,</w:t>
            </w:r>
            <w:r w:rsidR="00BA598C">
              <w:rPr>
                <w:color w:val="000000"/>
              </w:rPr>
              <w:t xml:space="preserve"> p. </w:t>
            </w:r>
            <w:r w:rsidRPr="00CB2ADC" w:rsidR="003D2C32">
              <w:rPr>
                <w:color w:val="000000"/>
              </w:rPr>
              <w:t xml:space="preserve">26, </w:t>
            </w:r>
            <w:r w:rsidR="0005608B">
              <w:rPr>
                <w:color w:val="000000"/>
              </w:rPr>
              <w:t>line </w:t>
            </w:r>
            <w:r w:rsidRPr="00CB2ADC" w:rsidR="003D2C32">
              <w:rPr>
                <w:color w:val="000000"/>
              </w:rPr>
              <w:t>3</w:t>
            </w:r>
            <w:r w:rsidR="00BA598C">
              <w:rPr>
                <w:color w:val="000000"/>
              </w:rPr>
              <w:t> – p. </w:t>
            </w:r>
            <w:r w:rsidRPr="00CB2ADC" w:rsidR="003D2C32">
              <w:rPr>
                <w:color w:val="000000"/>
              </w:rPr>
              <w:t xml:space="preserve">27, </w:t>
            </w:r>
            <w:r w:rsidR="0005608B">
              <w:rPr>
                <w:color w:val="000000"/>
              </w:rPr>
              <w:t>line </w:t>
            </w:r>
            <w:r w:rsidRPr="00CB2ADC" w:rsidR="003D2C32">
              <w:rPr>
                <w:color w:val="000000"/>
              </w:rPr>
              <w:t>21; Opening Brief,</w:t>
            </w:r>
            <w:r w:rsidR="00BA598C">
              <w:rPr>
                <w:color w:val="000000"/>
              </w:rPr>
              <w:t xml:space="preserve"> pp. </w:t>
            </w:r>
            <w:r w:rsidRPr="00CB2ADC" w:rsidR="003D2C32">
              <w:rPr>
                <w:color w:val="000000"/>
              </w:rPr>
              <w:t>6, 30, 37</w:t>
            </w:r>
            <w:r w:rsidR="00BA598C">
              <w:rPr>
                <w:color w:val="000000"/>
              </w:rPr>
              <w:t xml:space="preserve"> – </w:t>
            </w:r>
            <w:r w:rsidRPr="00CB2ADC" w:rsidR="003D2C32">
              <w:rPr>
                <w:color w:val="000000"/>
              </w:rPr>
              <w:t>38;</w:t>
            </w:r>
            <w:r w:rsidRPr="00CB2ADC" w:rsidR="00514E87">
              <w:rPr>
                <w:color w:val="000000"/>
              </w:rPr>
              <w:t xml:space="preserve"> Opening</w:t>
            </w:r>
            <w:r w:rsidRPr="00E567DB" w:rsidR="00514E87">
              <w:rPr>
                <w:color w:val="000000"/>
              </w:rPr>
              <w:t xml:space="preserve"> Comments on PD,</w:t>
            </w:r>
            <w:r w:rsidR="00BA598C">
              <w:rPr>
                <w:color w:val="000000"/>
              </w:rPr>
              <w:t xml:space="preserve"> pp. </w:t>
            </w:r>
            <w:r w:rsidRPr="00E567DB" w:rsidR="00514E87">
              <w:rPr>
                <w:color w:val="000000"/>
              </w:rPr>
              <w:t>14</w:t>
            </w:r>
            <w:r w:rsidR="00BA598C">
              <w:rPr>
                <w:color w:val="000000"/>
              </w:rPr>
              <w:t xml:space="preserve"> – </w:t>
            </w:r>
            <w:r w:rsidRPr="00E567DB" w:rsidR="00514E87">
              <w:rPr>
                <w:color w:val="000000"/>
              </w:rPr>
              <w:t>15</w:t>
            </w:r>
            <w:r w:rsidRPr="00E567DB" w:rsidR="004D49A0">
              <w:rPr>
                <w:color w:val="000000"/>
              </w:rPr>
              <w:t>)</w:t>
            </w:r>
            <w:r w:rsidRPr="00E567DB" w:rsidR="005C391F">
              <w:rPr>
                <w:color w:val="000000"/>
              </w:rPr>
              <w:t xml:space="preserve">, alerting the Commission to a need for greater </w:t>
            </w:r>
            <w:r w:rsidRPr="00E567DB" w:rsidR="00FD0D1B">
              <w:rPr>
                <w:color w:val="000000"/>
              </w:rPr>
              <w:t>oversight</w:t>
            </w:r>
            <w:r w:rsidRPr="00E567DB" w:rsidR="004D49A0">
              <w:rPr>
                <w:color w:val="000000"/>
              </w:rPr>
              <w:t>.</w:t>
            </w:r>
            <w:r w:rsidRPr="00E567DB" w:rsidR="00514E87">
              <w:rPr>
                <w:color w:val="000000"/>
              </w:rPr>
              <w:t xml:space="preserve"> </w:t>
            </w:r>
          </w:p>
        </w:tc>
        <w:tc>
          <w:tcPr>
            <w:tcW w:w="3870" w:type="dxa"/>
          </w:tcPr>
          <w:p w:rsidRPr="00E567DB" w:rsidR="004D49A0" w:rsidP="00755CBB" w:rsidRDefault="004D49A0" w14:paraId="7D392A58" w14:textId="0989EB29">
            <w:pPr>
              <w:rPr>
                <w:color w:val="000000"/>
              </w:rPr>
            </w:pPr>
            <w:r w:rsidRPr="00E567DB">
              <w:rPr>
                <w:color w:val="000000"/>
              </w:rPr>
              <w:t>D.24</w:t>
            </w:r>
            <w:r w:rsidR="004152B8">
              <w:rPr>
                <w:color w:val="000000"/>
              </w:rPr>
              <w:noBreakHyphen/>
            </w:r>
            <w:r w:rsidRPr="00E567DB">
              <w:rPr>
                <w:color w:val="000000"/>
              </w:rPr>
              <w:t>12</w:t>
            </w:r>
            <w:r w:rsidR="004152B8">
              <w:rPr>
                <w:color w:val="000000"/>
              </w:rPr>
              <w:noBreakHyphen/>
            </w:r>
            <w:r w:rsidRPr="00E567DB">
              <w:rPr>
                <w:color w:val="000000"/>
              </w:rPr>
              <w:t>033 (at</w:t>
            </w:r>
            <w:r w:rsidR="00BA598C">
              <w:rPr>
                <w:color w:val="000000"/>
              </w:rPr>
              <w:t xml:space="preserve"> p. </w:t>
            </w:r>
            <w:r w:rsidRPr="00E567DB">
              <w:rPr>
                <w:color w:val="000000"/>
              </w:rPr>
              <w:t xml:space="preserve">71) acknowledges that </w:t>
            </w:r>
            <w:r w:rsidR="004E6CFF">
              <w:rPr>
                <w:color w:val="000000"/>
              </w:rPr>
              <w:t>“</w:t>
            </w:r>
            <w:r w:rsidRPr="00E567DB">
              <w:rPr>
                <w:color w:val="000000"/>
              </w:rPr>
              <w:t>PG&amp;E</w:t>
            </w:r>
            <w:r w:rsidR="004E6CFF">
              <w:rPr>
                <w:color w:val="000000"/>
              </w:rPr>
              <w:t>’</w:t>
            </w:r>
            <w:r w:rsidRPr="00E567DB">
              <w:rPr>
                <w:color w:val="000000"/>
              </w:rPr>
              <w:t>s testimony provides</w:t>
            </w:r>
          </w:p>
          <w:p w:rsidRPr="00E567DB" w:rsidR="004440B6" w:rsidP="009E0C2A" w:rsidRDefault="004D49A0" w14:paraId="61A229EF" w14:textId="58E2E132">
            <w:pPr>
              <w:spacing w:after="240"/>
              <w:rPr>
                <w:color w:val="000000"/>
              </w:rPr>
            </w:pPr>
            <w:r w:rsidRPr="00E567DB">
              <w:rPr>
                <w:color w:val="000000"/>
              </w:rPr>
              <w:t>little information about this source of funding,</w:t>
            </w:r>
            <w:r w:rsidR="004E6CFF">
              <w:rPr>
                <w:color w:val="000000"/>
              </w:rPr>
              <w:t>”</w:t>
            </w:r>
            <w:r w:rsidRPr="00E567DB">
              <w:rPr>
                <w:color w:val="000000"/>
              </w:rPr>
              <w:t xml:space="preserve"> but declined to adopt a TURN proposal for increased scrutiny, observing (at</w:t>
            </w:r>
            <w:r w:rsidR="00BA598C">
              <w:rPr>
                <w:color w:val="000000"/>
              </w:rPr>
              <w:t xml:space="preserve"> p. </w:t>
            </w:r>
            <w:r w:rsidRPr="00E567DB">
              <w:rPr>
                <w:color w:val="000000"/>
              </w:rPr>
              <w:t xml:space="preserve">72 and Finding of </w:t>
            </w:r>
            <w:r w:rsidR="0003168B">
              <w:rPr>
                <w:color w:val="000000"/>
              </w:rPr>
              <w:t>Fact </w:t>
            </w:r>
            <w:r w:rsidRPr="00E567DB">
              <w:rPr>
                <w:color w:val="000000"/>
              </w:rPr>
              <w:t xml:space="preserve">26) that </w:t>
            </w:r>
            <w:r w:rsidR="004E6CFF">
              <w:rPr>
                <w:color w:val="000000"/>
              </w:rPr>
              <w:t>“</w:t>
            </w:r>
            <w:r w:rsidRPr="00E567DB">
              <w:rPr>
                <w:color w:val="000000"/>
              </w:rPr>
              <w:t>There is already a public agency review process established and DWR and the Commission have the authority and capability of review of these expenses.</w:t>
            </w:r>
            <w:r w:rsidR="004E6CFF">
              <w:rPr>
                <w:color w:val="000000"/>
              </w:rPr>
              <w:t>”</w:t>
            </w:r>
          </w:p>
        </w:tc>
        <w:tc>
          <w:tcPr>
            <w:tcW w:w="2705" w:type="dxa"/>
          </w:tcPr>
          <w:p w:rsidRPr="00E567DB" w:rsidR="004440B6" w:rsidP="00C01431" w:rsidRDefault="006F0394" w14:paraId="252F8D7E" w14:textId="44642006">
            <w:pPr>
              <w:spacing w:after="240"/>
              <w:rPr>
                <w:color w:val="000000"/>
              </w:rPr>
            </w:pPr>
            <w:r w:rsidRPr="00E567DB">
              <w:rPr>
                <w:color w:val="000000"/>
              </w:rPr>
              <w:t>D</w:t>
            </w:r>
            <w:r w:rsidRPr="00E567DB" w:rsidR="009D2ED7">
              <w:rPr>
                <w:color w:val="000000"/>
              </w:rPr>
              <w:t>.24</w:t>
            </w:r>
            <w:r w:rsidR="004152B8">
              <w:rPr>
                <w:color w:val="000000"/>
              </w:rPr>
              <w:noBreakHyphen/>
            </w:r>
            <w:r w:rsidRPr="00E567DB" w:rsidR="009D2ED7">
              <w:rPr>
                <w:color w:val="000000"/>
              </w:rPr>
              <w:t>12</w:t>
            </w:r>
            <w:r w:rsidR="004152B8">
              <w:rPr>
                <w:color w:val="000000"/>
              </w:rPr>
              <w:noBreakHyphen/>
            </w:r>
            <w:r w:rsidRPr="00E567DB" w:rsidR="009D2ED7">
              <w:rPr>
                <w:color w:val="000000"/>
              </w:rPr>
              <w:t>033 does not acknowledge A4NR</w:t>
            </w:r>
            <w:r w:rsidR="004E6CFF">
              <w:rPr>
                <w:color w:val="000000"/>
              </w:rPr>
              <w:t>’</w:t>
            </w:r>
            <w:r w:rsidRPr="00E567DB" w:rsidR="009D2ED7">
              <w:rPr>
                <w:color w:val="000000"/>
              </w:rPr>
              <w:t>s position on this issue and</w:t>
            </w:r>
            <w:r w:rsidRPr="00E567DB" w:rsidR="00512C33">
              <w:rPr>
                <w:color w:val="000000"/>
              </w:rPr>
              <w:t xml:space="preserve"> </w:t>
            </w:r>
            <w:r w:rsidRPr="00E567DB" w:rsidR="009D2ED7">
              <w:rPr>
                <w:color w:val="000000"/>
              </w:rPr>
              <w:t>states that this proceeding is not the proper forum to review the</w:t>
            </w:r>
            <w:r w:rsidR="00442663">
              <w:rPr>
                <w:color w:val="000000"/>
              </w:rPr>
              <w:t xml:space="preserve"> </w:t>
            </w:r>
            <w:r w:rsidR="00F23D09">
              <w:rPr>
                <w:color w:val="000000"/>
              </w:rPr>
              <w:t xml:space="preserve">California </w:t>
            </w:r>
            <w:r w:rsidRPr="00442663" w:rsidR="00442663">
              <w:rPr>
                <w:color w:val="000000"/>
              </w:rPr>
              <w:t>Department of Water Resources</w:t>
            </w:r>
            <w:r w:rsidRPr="00E567DB" w:rsidR="009D2ED7">
              <w:rPr>
                <w:color w:val="000000"/>
              </w:rPr>
              <w:t xml:space="preserve"> </w:t>
            </w:r>
            <w:r w:rsidR="00442663">
              <w:rPr>
                <w:color w:val="000000"/>
              </w:rPr>
              <w:t>(</w:t>
            </w:r>
            <w:r w:rsidRPr="00E567DB" w:rsidR="009D2ED7">
              <w:rPr>
                <w:color w:val="000000"/>
              </w:rPr>
              <w:t>DWR</w:t>
            </w:r>
            <w:r w:rsidR="00442663">
              <w:rPr>
                <w:color w:val="000000"/>
              </w:rPr>
              <w:t>)</w:t>
            </w:r>
            <w:r w:rsidRPr="00E567DB" w:rsidR="00512C33">
              <w:rPr>
                <w:color w:val="000000"/>
              </w:rPr>
              <w:t xml:space="preserve"> loan</w:t>
            </w:r>
            <w:r w:rsidR="004E6CFF">
              <w:rPr>
                <w:color w:val="000000"/>
              </w:rPr>
              <w:t>’</w:t>
            </w:r>
            <w:r w:rsidRPr="00E567DB" w:rsidR="00512C33">
              <w:rPr>
                <w:color w:val="000000"/>
              </w:rPr>
              <w:t xml:space="preserve">s cost to ratepayers. We </w:t>
            </w:r>
            <w:r w:rsidR="00B125FF">
              <w:rPr>
                <w:color w:val="000000"/>
              </w:rPr>
              <w:t xml:space="preserve">therefore </w:t>
            </w:r>
            <w:r w:rsidRPr="00E567DB" w:rsidR="00512C33">
              <w:rPr>
                <w:color w:val="000000"/>
              </w:rPr>
              <w:t>find that</w:t>
            </w:r>
            <w:r w:rsidR="001A4D0B">
              <w:rPr>
                <w:color w:val="000000"/>
              </w:rPr>
              <w:t xml:space="preserve"> </w:t>
            </w:r>
            <w:r w:rsidRPr="00E567DB" w:rsidR="00512C33">
              <w:rPr>
                <w:color w:val="000000"/>
              </w:rPr>
              <w:t>A4NR</w:t>
            </w:r>
            <w:r w:rsidR="006457EA">
              <w:rPr>
                <w:color w:val="000000"/>
              </w:rPr>
              <w:t xml:space="preserve">’s </w:t>
            </w:r>
            <w:r w:rsidR="00927383">
              <w:rPr>
                <w:color w:val="000000"/>
              </w:rPr>
              <w:t>comments on this issue</w:t>
            </w:r>
            <w:r w:rsidRPr="00E567DB" w:rsidR="00512C33">
              <w:rPr>
                <w:color w:val="000000"/>
              </w:rPr>
              <w:t xml:space="preserve"> did not substantially contribute to the decision</w:t>
            </w:r>
            <w:r w:rsidR="004152B8">
              <w:rPr>
                <w:color w:val="000000"/>
              </w:rPr>
              <w:noBreakHyphen/>
            </w:r>
            <w:r w:rsidRPr="00E567DB" w:rsidR="00512C33">
              <w:rPr>
                <w:color w:val="000000"/>
              </w:rPr>
              <w:t>making process.</w:t>
            </w:r>
          </w:p>
        </w:tc>
      </w:tr>
      <w:tr w:rsidRPr="001145AE" w:rsidR="00D41586" w:rsidTr="00AD458C" w14:paraId="1DA27F2D" w14:textId="77777777">
        <w:tc>
          <w:tcPr>
            <w:tcW w:w="2785" w:type="dxa"/>
          </w:tcPr>
          <w:p w:rsidRPr="001145AE" w:rsidR="00D41586" w:rsidP="009E0C2A" w:rsidRDefault="004D49A0" w14:paraId="7F0E67DC" w14:textId="71F167E6">
            <w:pPr>
              <w:spacing w:after="240"/>
              <w:rPr>
                <w:color w:val="000000"/>
              </w:rPr>
            </w:pPr>
            <w:r w:rsidRPr="001145AE">
              <w:rPr>
                <w:color w:val="000000"/>
              </w:rPr>
              <w:t>8.</w:t>
            </w:r>
            <w:r w:rsidRPr="001145AE" w:rsidR="00D84417">
              <w:rPr>
                <w:color w:val="000000"/>
              </w:rPr>
              <w:t xml:space="preserve"> A4NR observed that PG&amp;E</w:t>
            </w:r>
            <w:r w:rsidR="004E6CFF">
              <w:rPr>
                <w:color w:val="000000"/>
              </w:rPr>
              <w:t>’</w:t>
            </w:r>
            <w:r w:rsidRPr="001145AE" w:rsidR="00D84417">
              <w:rPr>
                <w:color w:val="000000"/>
              </w:rPr>
              <w:t>s cost forecast omitted more than $295</w:t>
            </w:r>
            <w:r w:rsidR="004152B8">
              <w:rPr>
                <w:color w:val="000000"/>
              </w:rPr>
              <w:t> million</w:t>
            </w:r>
            <w:r w:rsidRPr="001145AE" w:rsidR="00D84417">
              <w:rPr>
                <w:color w:val="000000"/>
              </w:rPr>
              <w:t xml:space="preserve"> in Diablo Canyon 2025</w:t>
            </w:r>
            <w:r w:rsidR="00BA598C">
              <w:rPr>
                <w:color w:val="000000"/>
              </w:rPr>
              <w:t xml:space="preserve"> – </w:t>
            </w:r>
            <w:r w:rsidRPr="001145AE" w:rsidR="00D84417">
              <w:rPr>
                <w:color w:val="000000"/>
              </w:rPr>
              <w:t>2026 Administrative and General (</w:t>
            </w:r>
            <w:r w:rsidR="004E6CFF">
              <w:rPr>
                <w:color w:val="000000"/>
              </w:rPr>
              <w:t>“</w:t>
            </w:r>
            <w:r w:rsidRPr="001145AE" w:rsidR="00D84417">
              <w:rPr>
                <w:color w:val="000000"/>
              </w:rPr>
              <w:t>A&amp;G</w:t>
            </w:r>
            <w:r w:rsidR="004E6CFF">
              <w:rPr>
                <w:color w:val="000000"/>
              </w:rPr>
              <w:t>”</w:t>
            </w:r>
            <w:r w:rsidRPr="001145AE" w:rsidR="00D84417">
              <w:rPr>
                <w:color w:val="000000"/>
              </w:rPr>
              <w:t xml:space="preserve">) costs absorbed by PG&amp;E ratepayers via the 2023 General </w:t>
            </w:r>
            <w:r w:rsidRPr="00CB2ADC" w:rsidR="00D84417">
              <w:rPr>
                <w:color w:val="000000"/>
              </w:rPr>
              <w:t>Rate Case (Opening Brief,</w:t>
            </w:r>
            <w:r w:rsidR="00BA598C">
              <w:rPr>
                <w:color w:val="000000"/>
              </w:rPr>
              <w:t xml:space="preserve"> p. </w:t>
            </w:r>
            <w:r w:rsidRPr="00CB2ADC" w:rsidR="00D84417">
              <w:rPr>
                <w:color w:val="000000"/>
              </w:rPr>
              <w:t>6).</w:t>
            </w:r>
          </w:p>
        </w:tc>
        <w:tc>
          <w:tcPr>
            <w:tcW w:w="3870" w:type="dxa"/>
          </w:tcPr>
          <w:p w:rsidRPr="001145AE" w:rsidR="00D41586" w:rsidP="009E0C2A" w:rsidRDefault="00A01DE7" w14:paraId="66B353D6" w14:textId="04A41A6E">
            <w:pPr>
              <w:spacing w:after="240"/>
              <w:rPr>
                <w:color w:val="000000"/>
              </w:rPr>
            </w:pPr>
            <w:r w:rsidRPr="001145AE">
              <w:rPr>
                <w:color w:val="000000"/>
              </w:rPr>
              <w:t>D.24</w:t>
            </w:r>
            <w:r w:rsidR="004152B8">
              <w:rPr>
                <w:color w:val="000000"/>
              </w:rPr>
              <w:noBreakHyphen/>
            </w:r>
            <w:r w:rsidRPr="001145AE">
              <w:rPr>
                <w:color w:val="000000"/>
              </w:rPr>
              <w:t>12</w:t>
            </w:r>
            <w:r w:rsidR="004152B8">
              <w:rPr>
                <w:color w:val="000000"/>
              </w:rPr>
              <w:noBreakHyphen/>
            </w:r>
            <w:r w:rsidRPr="001145AE">
              <w:rPr>
                <w:color w:val="000000"/>
              </w:rPr>
              <w:t>033 (at</w:t>
            </w:r>
            <w:r w:rsidR="00BA598C">
              <w:rPr>
                <w:color w:val="000000"/>
              </w:rPr>
              <w:t xml:space="preserve"> p. </w:t>
            </w:r>
            <w:r w:rsidRPr="001145AE">
              <w:rPr>
                <w:color w:val="000000"/>
              </w:rPr>
              <w:t xml:space="preserve">69) notes </w:t>
            </w:r>
            <w:r w:rsidR="004E6CFF">
              <w:rPr>
                <w:color w:val="000000"/>
              </w:rPr>
              <w:t>“</w:t>
            </w:r>
            <w:r w:rsidRPr="001145AE">
              <w:rPr>
                <w:color w:val="000000"/>
              </w:rPr>
              <w:t>the missing A&amp;G costs</w:t>
            </w:r>
            <w:r w:rsidR="004E6CFF">
              <w:rPr>
                <w:color w:val="000000"/>
              </w:rPr>
              <w:t>”</w:t>
            </w:r>
            <w:r w:rsidRPr="001145AE">
              <w:rPr>
                <w:color w:val="000000"/>
              </w:rPr>
              <w:t xml:space="preserve"> and observes that </w:t>
            </w:r>
            <w:r w:rsidR="004E6CFF">
              <w:rPr>
                <w:color w:val="000000"/>
              </w:rPr>
              <w:t>“</w:t>
            </w:r>
            <w:r w:rsidRPr="001145AE">
              <w:rPr>
                <w:color w:val="000000"/>
              </w:rPr>
              <w:t>PG&amp;E has no excuse for not accounting for A&amp;G for 2025 and beyond in this application,</w:t>
            </w:r>
            <w:r w:rsidR="004E6CFF">
              <w:rPr>
                <w:color w:val="000000"/>
              </w:rPr>
              <w:t>”</w:t>
            </w:r>
            <w:r w:rsidRPr="001145AE">
              <w:rPr>
                <w:color w:val="000000"/>
              </w:rPr>
              <w:t xml:space="preserve"> concluding that </w:t>
            </w:r>
            <w:r w:rsidR="004E6CFF">
              <w:rPr>
                <w:color w:val="000000"/>
              </w:rPr>
              <w:t>“</w:t>
            </w:r>
            <w:r w:rsidRPr="001145AE">
              <w:rPr>
                <w:color w:val="000000"/>
              </w:rPr>
              <w:t>PG&amp;E must include the A&amp;G costs in its next DCPP cost forecast application</w:t>
            </w:r>
            <w:r w:rsidR="004E6CFF">
              <w:rPr>
                <w:color w:val="000000"/>
              </w:rPr>
              <w:t>”</w:t>
            </w:r>
            <w:r w:rsidRPr="001145AE">
              <w:rPr>
                <w:color w:val="000000"/>
              </w:rPr>
              <w:t xml:space="preserve"> (</w:t>
            </w:r>
            <w:r w:rsidRPr="001145AE">
              <w:rPr>
                <w:i/>
                <w:iCs/>
                <w:color w:val="000000"/>
              </w:rPr>
              <w:t xml:space="preserve">See </w:t>
            </w:r>
            <w:r w:rsidRPr="001145AE">
              <w:rPr>
                <w:color w:val="000000"/>
              </w:rPr>
              <w:t>also,</w:t>
            </w:r>
            <w:r w:rsidR="00BA598C">
              <w:rPr>
                <w:color w:val="000000"/>
              </w:rPr>
              <w:t xml:space="preserve"> p. </w:t>
            </w:r>
            <w:r w:rsidRPr="001145AE">
              <w:rPr>
                <w:color w:val="000000"/>
              </w:rPr>
              <w:t xml:space="preserve">70, Finding of </w:t>
            </w:r>
            <w:r w:rsidR="0003168B">
              <w:rPr>
                <w:color w:val="000000"/>
              </w:rPr>
              <w:t>Fact </w:t>
            </w:r>
            <w:r w:rsidRPr="001145AE">
              <w:rPr>
                <w:color w:val="000000"/>
              </w:rPr>
              <w:t xml:space="preserve">25, Conclusion of Law </w:t>
            </w:r>
            <w:r w:rsidRPr="001145AE" w:rsidR="00C230B9">
              <w:rPr>
                <w:color w:val="000000"/>
              </w:rPr>
              <w:t>24)</w:t>
            </w:r>
            <w:r w:rsidRPr="001145AE">
              <w:rPr>
                <w:color w:val="000000"/>
              </w:rPr>
              <w:t xml:space="preserve">. </w:t>
            </w:r>
          </w:p>
        </w:tc>
        <w:tc>
          <w:tcPr>
            <w:tcW w:w="2705" w:type="dxa"/>
          </w:tcPr>
          <w:p w:rsidRPr="00BA614D" w:rsidR="00186A2D" w:rsidP="00C01431" w:rsidRDefault="00A874AD" w14:paraId="08A42EC2" w14:textId="0180C42E">
            <w:pPr>
              <w:spacing w:after="240"/>
              <w:rPr>
                <w:color w:val="000000"/>
              </w:rPr>
            </w:pPr>
            <w:r w:rsidRPr="001145AE">
              <w:rPr>
                <w:color w:val="000000"/>
              </w:rPr>
              <w:t>D.24</w:t>
            </w:r>
            <w:r w:rsidR="004152B8">
              <w:rPr>
                <w:color w:val="000000"/>
              </w:rPr>
              <w:noBreakHyphen/>
            </w:r>
            <w:r w:rsidRPr="001145AE">
              <w:rPr>
                <w:color w:val="000000"/>
              </w:rPr>
              <w:t>12</w:t>
            </w:r>
            <w:r w:rsidR="004152B8">
              <w:rPr>
                <w:color w:val="000000"/>
              </w:rPr>
              <w:noBreakHyphen/>
            </w:r>
            <w:r w:rsidRPr="001145AE">
              <w:rPr>
                <w:color w:val="000000"/>
              </w:rPr>
              <w:t xml:space="preserve">033 </w:t>
            </w:r>
            <w:r w:rsidRPr="001145AE" w:rsidR="003D4876">
              <w:rPr>
                <w:color w:val="000000"/>
              </w:rPr>
              <w:t>acknowledges</w:t>
            </w:r>
            <w:r w:rsidRPr="001145AE">
              <w:rPr>
                <w:color w:val="000000"/>
              </w:rPr>
              <w:t xml:space="preserve"> </w:t>
            </w:r>
            <w:r w:rsidRPr="001145AE" w:rsidR="00641D3E">
              <w:rPr>
                <w:color w:val="000000"/>
              </w:rPr>
              <w:t>TURN</w:t>
            </w:r>
            <w:r w:rsidR="004E6CFF">
              <w:rPr>
                <w:color w:val="000000"/>
              </w:rPr>
              <w:t>’</w:t>
            </w:r>
            <w:r w:rsidRPr="001145AE" w:rsidR="003D4876">
              <w:rPr>
                <w:color w:val="000000"/>
              </w:rPr>
              <w:t>s and</w:t>
            </w:r>
            <w:r w:rsidR="00F24D37">
              <w:rPr>
                <w:color w:val="000000"/>
              </w:rPr>
              <w:t xml:space="preserve"> </w:t>
            </w:r>
            <w:proofErr w:type="spellStart"/>
            <w:r w:rsidRPr="00F24D37" w:rsidR="00F24D37">
              <w:rPr>
                <w:color w:val="000000"/>
              </w:rPr>
              <w:t>CAlifornians</w:t>
            </w:r>
            <w:proofErr w:type="spellEnd"/>
            <w:r w:rsidRPr="00F24D37" w:rsidR="00F24D37">
              <w:rPr>
                <w:color w:val="000000"/>
              </w:rPr>
              <w:t xml:space="preserve"> for Renewable Energy, Inc.</w:t>
            </w:r>
            <w:r w:rsidR="004E6CFF">
              <w:rPr>
                <w:color w:val="000000"/>
              </w:rPr>
              <w:t>’</w:t>
            </w:r>
            <w:r w:rsidR="00F24D37">
              <w:rPr>
                <w:color w:val="000000"/>
              </w:rPr>
              <w:t>s</w:t>
            </w:r>
            <w:r w:rsidRPr="001145AE" w:rsidR="003D4876">
              <w:rPr>
                <w:color w:val="000000"/>
              </w:rPr>
              <w:t xml:space="preserve"> </w:t>
            </w:r>
            <w:r w:rsidR="00F24D37">
              <w:rPr>
                <w:color w:val="000000"/>
              </w:rPr>
              <w:t>(</w:t>
            </w:r>
            <w:r w:rsidRPr="001145AE" w:rsidR="003D4876">
              <w:rPr>
                <w:color w:val="000000"/>
              </w:rPr>
              <w:t>CARE</w:t>
            </w:r>
            <w:r w:rsidR="00F24D37">
              <w:rPr>
                <w:color w:val="000000"/>
              </w:rPr>
              <w:t>)</w:t>
            </w:r>
            <w:r w:rsidRPr="001145AE" w:rsidR="003D4876">
              <w:rPr>
                <w:color w:val="000000"/>
              </w:rPr>
              <w:t xml:space="preserve"> positions on this issue</w:t>
            </w:r>
            <w:r w:rsidR="00E55947">
              <w:rPr>
                <w:color w:val="000000"/>
              </w:rPr>
              <w:t>, but not A4NR</w:t>
            </w:r>
            <w:r w:rsidR="00927383">
              <w:rPr>
                <w:color w:val="000000"/>
              </w:rPr>
              <w:t>’s</w:t>
            </w:r>
            <w:r w:rsidRPr="001145AE" w:rsidR="00D5231B">
              <w:rPr>
                <w:color w:val="000000"/>
              </w:rPr>
              <w:t>.</w:t>
            </w:r>
            <w:r w:rsidR="00E55947">
              <w:rPr>
                <w:color w:val="000000"/>
              </w:rPr>
              <w:t xml:space="preserve"> Additionally,</w:t>
            </w:r>
            <w:r w:rsidRPr="001145AE" w:rsidR="00D5231B">
              <w:rPr>
                <w:color w:val="000000"/>
              </w:rPr>
              <w:t xml:space="preserve"> </w:t>
            </w:r>
            <w:r w:rsidRPr="001145AE" w:rsidR="007E3CC1">
              <w:rPr>
                <w:color w:val="000000"/>
              </w:rPr>
              <w:t>A4NR</w:t>
            </w:r>
            <w:r w:rsidR="004E6CFF">
              <w:rPr>
                <w:color w:val="000000"/>
              </w:rPr>
              <w:t>’</w:t>
            </w:r>
            <w:r w:rsidRPr="001145AE" w:rsidR="007E3CC1">
              <w:rPr>
                <w:color w:val="000000"/>
              </w:rPr>
              <w:t xml:space="preserve">s </w:t>
            </w:r>
            <w:r w:rsidRPr="001145AE" w:rsidR="00EC503E">
              <w:rPr>
                <w:color w:val="000000"/>
              </w:rPr>
              <w:t xml:space="preserve">claimed </w:t>
            </w:r>
            <w:r w:rsidRPr="001145AE" w:rsidR="007E3CC1">
              <w:rPr>
                <w:color w:val="000000"/>
              </w:rPr>
              <w:t xml:space="preserve">contribution </w:t>
            </w:r>
            <w:r w:rsidRPr="001145AE" w:rsidR="00100753">
              <w:rPr>
                <w:color w:val="000000"/>
              </w:rPr>
              <w:t>on this issue</w:t>
            </w:r>
            <w:r w:rsidRPr="001145AE" w:rsidR="00EC503E">
              <w:rPr>
                <w:color w:val="000000"/>
              </w:rPr>
              <w:t xml:space="preserve"> </w:t>
            </w:r>
            <w:r w:rsidR="000D6D31">
              <w:rPr>
                <w:color w:val="000000"/>
              </w:rPr>
              <w:t>cites t</w:t>
            </w:r>
            <w:r w:rsidR="00B125FF">
              <w:rPr>
                <w:color w:val="000000"/>
              </w:rPr>
              <w:t xml:space="preserve">he same </w:t>
            </w:r>
            <w:r w:rsidR="000D6D31">
              <w:rPr>
                <w:color w:val="000000"/>
              </w:rPr>
              <w:t xml:space="preserve">section of </w:t>
            </w:r>
            <w:r w:rsidR="00B125FF">
              <w:rPr>
                <w:color w:val="000000"/>
              </w:rPr>
              <w:t>TURN</w:t>
            </w:r>
            <w:r w:rsidR="004E6CFF">
              <w:rPr>
                <w:color w:val="000000"/>
              </w:rPr>
              <w:t>’</w:t>
            </w:r>
            <w:r w:rsidR="00B125FF">
              <w:rPr>
                <w:color w:val="000000"/>
              </w:rPr>
              <w:t xml:space="preserve">s work </w:t>
            </w:r>
            <w:r w:rsidR="000D6D31">
              <w:rPr>
                <w:color w:val="000000"/>
              </w:rPr>
              <w:t xml:space="preserve">as the </w:t>
            </w:r>
            <w:r w:rsidR="00B125FF">
              <w:rPr>
                <w:color w:val="000000"/>
              </w:rPr>
              <w:t xml:space="preserve">Commission </w:t>
            </w:r>
            <w:r w:rsidR="000D6D31">
              <w:rPr>
                <w:color w:val="000000"/>
              </w:rPr>
              <w:t>does</w:t>
            </w:r>
            <w:r w:rsidR="00B125FF">
              <w:rPr>
                <w:color w:val="000000"/>
              </w:rPr>
              <w:t xml:space="preserve"> in D.24</w:t>
            </w:r>
            <w:r w:rsidR="004152B8">
              <w:rPr>
                <w:color w:val="000000"/>
              </w:rPr>
              <w:noBreakHyphen/>
            </w:r>
            <w:r w:rsidR="00B125FF">
              <w:rPr>
                <w:color w:val="000000"/>
              </w:rPr>
              <w:t>12</w:t>
            </w:r>
            <w:r w:rsidR="004152B8">
              <w:rPr>
                <w:color w:val="000000"/>
              </w:rPr>
              <w:noBreakHyphen/>
            </w:r>
            <w:r w:rsidR="00B125FF">
              <w:rPr>
                <w:color w:val="000000"/>
              </w:rPr>
              <w:t>033</w:t>
            </w:r>
            <w:r w:rsidRPr="001145AE" w:rsidR="007E3CC1">
              <w:rPr>
                <w:color w:val="000000"/>
              </w:rPr>
              <w:t xml:space="preserve">. </w:t>
            </w:r>
            <w:r w:rsidRPr="001145AE" w:rsidR="00147DDA">
              <w:rPr>
                <w:color w:val="000000"/>
              </w:rPr>
              <w:t xml:space="preserve">At 6, </w:t>
            </w:r>
            <w:proofErr w:type="spellStart"/>
            <w:r w:rsidRPr="001145AE" w:rsidR="00147DDA">
              <w:rPr>
                <w:color w:val="000000"/>
              </w:rPr>
              <w:t>fn</w:t>
            </w:r>
            <w:proofErr w:type="spellEnd"/>
            <w:r w:rsidRPr="001145AE" w:rsidR="00147DDA">
              <w:rPr>
                <w:color w:val="000000"/>
              </w:rPr>
              <w:t xml:space="preserve"> 27 (</w:t>
            </w:r>
            <w:r w:rsidR="004E6CFF">
              <w:rPr>
                <w:color w:val="000000"/>
              </w:rPr>
              <w:t>“</w:t>
            </w:r>
            <w:r w:rsidRPr="001145AE" w:rsidR="00147DDA">
              <w:rPr>
                <w:color w:val="000000"/>
              </w:rPr>
              <w:t>TURN</w:t>
            </w:r>
            <w:r w:rsidR="004152B8">
              <w:rPr>
                <w:color w:val="000000"/>
              </w:rPr>
              <w:noBreakHyphen/>
            </w:r>
            <w:r w:rsidRPr="001145AE" w:rsidR="00147DDA">
              <w:rPr>
                <w:color w:val="000000"/>
              </w:rPr>
              <w:t>01,</w:t>
            </w:r>
            <w:r w:rsidR="00BA598C">
              <w:rPr>
                <w:color w:val="000000"/>
              </w:rPr>
              <w:t xml:space="preserve"> p. </w:t>
            </w:r>
            <w:r w:rsidRPr="001145AE" w:rsidR="00147DDA">
              <w:rPr>
                <w:color w:val="000000"/>
              </w:rPr>
              <w:t xml:space="preserve">21, </w:t>
            </w:r>
            <w:r w:rsidR="0005608B">
              <w:rPr>
                <w:color w:val="000000"/>
              </w:rPr>
              <w:t>line </w:t>
            </w:r>
            <w:r w:rsidRPr="001145AE" w:rsidR="00147DDA">
              <w:rPr>
                <w:color w:val="000000"/>
              </w:rPr>
              <w:t>9</w:t>
            </w:r>
            <w:r w:rsidR="00BA598C">
              <w:rPr>
                <w:color w:val="000000"/>
              </w:rPr>
              <w:t> – p. </w:t>
            </w:r>
            <w:r w:rsidRPr="001145AE" w:rsidR="00147DDA">
              <w:rPr>
                <w:color w:val="000000"/>
              </w:rPr>
              <w:t xml:space="preserve">23, </w:t>
            </w:r>
            <w:r w:rsidR="0005608B">
              <w:rPr>
                <w:color w:val="000000"/>
              </w:rPr>
              <w:t>line </w:t>
            </w:r>
            <w:r w:rsidRPr="001145AE" w:rsidR="00147DDA">
              <w:rPr>
                <w:color w:val="000000"/>
              </w:rPr>
              <w:t>4</w:t>
            </w:r>
            <w:r w:rsidR="004E6CFF">
              <w:rPr>
                <w:color w:val="000000"/>
              </w:rPr>
              <w:t>”</w:t>
            </w:r>
            <w:r w:rsidRPr="001145AE" w:rsidR="00147DDA">
              <w:rPr>
                <w:color w:val="000000"/>
              </w:rPr>
              <w:t>).</w:t>
            </w:r>
            <w:r w:rsidRPr="001145AE" w:rsidR="00147DDA">
              <w:rPr>
                <w:i/>
                <w:iCs/>
                <w:color w:val="000000"/>
              </w:rPr>
              <w:t xml:space="preserve"> </w:t>
            </w:r>
            <w:r w:rsidRPr="001145AE" w:rsidR="00641D3E">
              <w:rPr>
                <w:color w:val="000000"/>
              </w:rPr>
              <w:t xml:space="preserve">We </w:t>
            </w:r>
            <w:r w:rsidR="00B125FF">
              <w:rPr>
                <w:color w:val="000000"/>
              </w:rPr>
              <w:t xml:space="preserve">therefore </w:t>
            </w:r>
            <w:r w:rsidRPr="001145AE" w:rsidR="00641D3E">
              <w:rPr>
                <w:color w:val="000000"/>
              </w:rPr>
              <w:t xml:space="preserve">find that A4NR did not substantially contribute to this issue </w:t>
            </w:r>
            <w:r w:rsidRPr="001145AE" w:rsidR="007E3CC1">
              <w:rPr>
                <w:color w:val="000000"/>
              </w:rPr>
              <w:t xml:space="preserve">as they were only </w:t>
            </w:r>
            <w:r w:rsidRPr="001145AE" w:rsidR="0055449D">
              <w:rPr>
                <w:color w:val="000000"/>
              </w:rPr>
              <w:t>reciting</w:t>
            </w:r>
            <w:r w:rsidRPr="001145AE" w:rsidR="007E3CC1">
              <w:rPr>
                <w:color w:val="000000"/>
              </w:rPr>
              <w:t xml:space="preserve"> TURN</w:t>
            </w:r>
            <w:r w:rsidR="004E6CFF">
              <w:rPr>
                <w:color w:val="000000"/>
              </w:rPr>
              <w:t>’</w:t>
            </w:r>
            <w:r w:rsidRPr="001145AE" w:rsidR="007E3CC1">
              <w:rPr>
                <w:color w:val="000000"/>
              </w:rPr>
              <w:t xml:space="preserve">s </w:t>
            </w:r>
            <w:r w:rsidRPr="001145AE" w:rsidR="0055449D">
              <w:rPr>
                <w:color w:val="000000"/>
              </w:rPr>
              <w:t xml:space="preserve">position and </w:t>
            </w:r>
            <w:r w:rsidR="00424185">
              <w:rPr>
                <w:color w:val="000000"/>
              </w:rPr>
              <w:t>did</w:t>
            </w:r>
            <w:r w:rsidRPr="001145AE" w:rsidR="0055449D">
              <w:rPr>
                <w:color w:val="000000"/>
              </w:rPr>
              <w:t xml:space="preserve"> not </w:t>
            </w:r>
            <w:r w:rsidRPr="001145AE" w:rsidR="005B7AEA">
              <w:rPr>
                <w:color w:val="000000"/>
              </w:rPr>
              <w:t xml:space="preserve">materially supplement, complement, or contribute to the presentation of another party. </w:t>
            </w:r>
            <w:r w:rsidRPr="001145AE" w:rsidR="005B7AEA">
              <w:rPr>
                <w:i/>
                <w:iCs/>
                <w:color w:val="000000"/>
              </w:rPr>
              <w:t xml:space="preserve">See </w:t>
            </w:r>
            <w:r w:rsidR="004152B8">
              <w:rPr>
                <w:color w:val="000000"/>
              </w:rPr>
              <w:t>§ </w:t>
            </w:r>
            <w:r w:rsidRPr="001145AE" w:rsidR="008F6D9B">
              <w:rPr>
                <w:color w:val="000000"/>
              </w:rPr>
              <w:t>1802.5.</w:t>
            </w:r>
          </w:p>
        </w:tc>
      </w:tr>
      <w:tr w:rsidRPr="009A44DE" w:rsidR="00D41586" w:rsidTr="00AD458C" w14:paraId="1999287D" w14:textId="77777777">
        <w:tc>
          <w:tcPr>
            <w:tcW w:w="2785" w:type="dxa"/>
          </w:tcPr>
          <w:p w:rsidRPr="009A44DE" w:rsidR="00D41586" w:rsidP="009E0C2A" w:rsidRDefault="00C230B9" w14:paraId="275ED9C5" w14:textId="7AD20A68">
            <w:pPr>
              <w:spacing w:after="240"/>
              <w:rPr>
                <w:color w:val="000000"/>
              </w:rPr>
            </w:pPr>
            <w:r w:rsidRPr="009A44DE">
              <w:rPr>
                <w:color w:val="000000"/>
              </w:rPr>
              <w:lastRenderedPageBreak/>
              <w:t>9. A4NR joined other intervenors in voicing concern about PG&amp;E</w:t>
            </w:r>
            <w:r w:rsidR="004E6CFF">
              <w:rPr>
                <w:color w:val="000000"/>
              </w:rPr>
              <w:t>’</w:t>
            </w:r>
            <w:r w:rsidRPr="009A44DE">
              <w:rPr>
                <w:color w:val="000000"/>
              </w:rPr>
              <w:t xml:space="preserve">s excessive use of confidentiality designations in its Application </w:t>
            </w:r>
            <w:r w:rsidRPr="00CB2ADC">
              <w:rPr>
                <w:color w:val="000000"/>
              </w:rPr>
              <w:t>and supporting testimony (PHC transcript,</w:t>
            </w:r>
            <w:r w:rsidR="00BA598C">
              <w:rPr>
                <w:color w:val="000000"/>
              </w:rPr>
              <w:t xml:space="preserve"> p. </w:t>
            </w:r>
            <w:r w:rsidRPr="00CB2ADC">
              <w:rPr>
                <w:color w:val="000000"/>
              </w:rPr>
              <w:t xml:space="preserve">37, </w:t>
            </w:r>
            <w:r w:rsidR="0005608B">
              <w:rPr>
                <w:color w:val="000000"/>
              </w:rPr>
              <w:t>lines </w:t>
            </w:r>
            <w:r w:rsidRPr="00CB2ADC">
              <w:rPr>
                <w:color w:val="000000"/>
              </w:rPr>
              <w:t>18</w:t>
            </w:r>
            <w:r w:rsidR="00BA598C">
              <w:rPr>
                <w:color w:val="000000"/>
              </w:rPr>
              <w:t xml:space="preserve"> – </w:t>
            </w:r>
            <w:r w:rsidRPr="00CB2ADC">
              <w:rPr>
                <w:color w:val="000000"/>
              </w:rPr>
              <w:t>20).</w:t>
            </w:r>
            <w:r w:rsidRPr="009A44DE">
              <w:rPr>
                <w:color w:val="000000"/>
              </w:rPr>
              <w:t xml:space="preserve"> </w:t>
            </w:r>
          </w:p>
        </w:tc>
        <w:tc>
          <w:tcPr>
            <w:tcW w:w="3870" w:type="dxa"/>
          </w:tcPr>
          <w:p w:rsidRPr="009A44DE" w:rsidR="00D41586" w:rsidP="009E0C2A" w:rsidRDefault="00C230B9" w14:paraId="7CD522DF" w14:textId="2ED6E423">
            <w:pPr>
              <w:spacing w:after="240"/>
              <w:rPr>
                <w:color w:val="000000"/>
              </w:rPr>
            </w:pPr>
            <w:r w:rsidRPr="009A44DE">
              <w:rPr>
                <w:color w:val="000000"/>
              </w:rPr>
              <w:t>D.24</w:t>
            </w:r>
            <w:r w:rsidR="004152B8">
              <w:rPr>
                <w:color w:val="000000"/>
              </w:rPr>
              <w:noBreakHyphen/>
            </w:r>
            <w:r w:rsidRPr="009A44DE">
              <w:rPr>
                <w:color w:val="000000"/>
              </w:rPr>
              <w:t>12</w:t>
            </w:r>
            <w:r w:rsidR="004152B8">
              <w:rPr>
                <w:color w:val="000000"/>
              </w:rPr>
              <w:noBreakHyphen/>
            </w:r>
            <w:r w:rsidRPr="009A44DE">
              <w:rPr>
                <w:color w:val="000000"/>
              </w:rPr>
              <w:t>033 (at</w:t>
            </w:r>
            <w:r w:rsidR="00BA598C">
              <w:rPr>
                <w:color w:val="000000"/>
              </w:rPr>
              <w:t xml:space="preserve"> p. </w:t>
            </w:r>
            <w:r w:rsidRPr="009A44DE">
              <w:rPr>
                <w:color w:val="000000"/>
              </w:rPr>
              <w:t xml:space="preserve">71) </w:t>
            </w:r>
            <w:r w:rsidRPr="009A44DE" w:rsidR="004E27D7">
              <w:rPr>
                <w:color w:val="000000"/>
              </w:rPr>
              <w:t xml:space="preserve">notes, </w:t>
            </w:r>
            <w:r w:rsidR="004E6CFF">
              <w:rPr>
                <w:color w:val="000000"/>
              </w:rPr>
              <w:t>“</w:t>
            </w:r>
            <w:r w:rsidRPr="009A44DE" w:rsidR="004E27D7">
              <w:rPr>
                <w:color w:val="000000"/>
              </w:rPr>
              <w:t>PG&amp;E states that it will strive to minimize the amount of confidential information in the next annual application, while still protecting any market</w:t>
            </w:r>
            <w:r w:rsidR="004152B8">
              <w:rPr>
                <w:color w:val="000000"/>
              </w:rPr>
              <w:noBreakHyphen/>
            </w:r>
            <w:r w:rsidRPr="009A44DE" w:rsidR="004E27D7">
              <w:rPr>
                <w:color w:val="000000"/>
              </w:rPr>
              <w:t>sensitive data</w:t>
            </w:r>
            <w:r w:rsidRPr="009A44DE">
              <w:rPr>
                <w:color w:val="000000"/>
              </w:rPr>
              <w:t>,</w:t>
            </w:r>
            <w:r w:rsidR="004E6CFF">
              <w:rPr>
                <w:color w:val="000000"/>
              </w:rPr>
              <w:t>”</w:t>
            </w:r>
            <w:r w:rsidRPr="009A44DE" w:rsidR="004E27D7">
              <w:rPr>
                <w:color w:val="000000"/>
              </w:rPr>
              <w:t xml:space="preserve"> and directs that</w:t>
            </w:r>
            <w:r w:rsidRPr="009A44DE">
              <w:rPr>
                <w:color w:val="000000"/>
              </w:rPr>
              <w:t xml:space="preserve"> </w:t>
            </w:r>
            <w:r w:rsidR="004E6CFF">
              <w:rPr>
                <w:color w:val="000000"/>
              </w:rPr>
              <w:t>“</w:t>
            </w:r>
            <w:r w:rsidRPr="009A44DE">
              <w:rPr>
                <w:color w:val="000000"/>
              </w:rPr>
              <w:t>PG&amp;E</w:t>
            </w:r>
            <w:r w:rsidRPr="009A44DE" w:rsidR="004E27D7">
              <w:rPr>
                <w:color w:val="000000"/>
              </w:rPr>
              <w:t xml:space="preserve"> </w:t>
            </w:r>
            <w:r w:rsidRPr="009A44DE">
              <w:rPr>
                <w:color w:val="000000"/>
              </w:rPr>
              <w:t>must minimize the amount of confidential information in the next annual application and protect only market</w:t>
            </w:r>
            <w:r w:rsidR="004152B8">
              <w:rPr>
                <w:color w:val="000000"/>
              </w:rPr>
              <w:noBreakHyphen/>
            </w:r>
            <w:r w:rsidRPr="009A44DE">
              <w:rPr>
                <w:color w:val="000000"/>
              </w:rPr>
              <w:t>sensitive data</w:t>
            </w:r>
            <w:r w:rsidRPr="009A44DE" w:rsidR="004E27D7">
              <w:rPr>
                <w:color w:val="000000"/>
              </w:rPr>
              <w:t>, as permitted by the Commission decisions</w:t>
            </w:r>
            <w:r w:rsidR="004E6CFF">
              <w:rPr>
                <w:color w:val="000000"/>
              </w:rPr>
              <w:t>”</w:t>
            </w:r>
            <w:r w:rsidRPr="009A44DE" w:rsidR="004E27D7">
              <w:rPr>
                <w:color w:val="000000"/>
              </w:rPr>
              <w:t xml:space="preserve"> (</w:t>
            </w:r>
            <w:r w:rsidRPr="009A44DE" w:rsidR="004E27D7">
              <w:rPr>
                <w:i/>
                <w:iCs/>
                <w:color w:val="000000"/>
              </w:rPr>
              <w:t xml:space="preserve">See </w:t>
            </w:r>
            <w:r w:rsidRPr="009A44DE" w:rsidR="004E27D7">
              <w:rPr>
                <w:color w:val="000000"/>
              </w:rPr>
              <w:t>also Conclusion of Law 25).</w:t>
            </w:r>
          </w:p>
        </w:tc>
        <w:tc>
          <w:tcPr>
            <w:tcW w:w="2705" w:type="dxa"/>
          </w:tcPr>
          <w:p w:rsidRPr="009A44DE" w:rsidR="00D41586" w:rsidP="00C01431" w:rsidRDefault="00591A53" w14:paraId="17A7C0B9" w14:textId="5B4BE214">
            <w:pPr>
              <w:spacing w:after="240"/>
              <w:rPr>
                <w:color w:val="000000"/>
              </w:rPr>
            </w:pPr>
            <w:r w:rsidRPr="009A44DE">
              <w:rPr>
                <w:color w:val="000000"/>
              </w:rPr>
              <w:t>A4NR</w:t>
            </w:r>
            <w:r w:rsidR="004E6CFF">
              <w:rPr>
                <w:color w:val="000000"/>
              </w:rPr>
              <w:t>’</w:t>
            </w:r>
            <w:r w:rsidRPr="009A44DE">
              <w:rPr>
                <w:color w:val="000000"/>
              </w:rPr>
              <w:t xml:space="preserve">s claimed contribution on this issue is </w:t>
            </w:r>
            <w:r w:rsidR="004152B8">
              <w:rPr>
                <w:color w:val="000000"/>
              </w:rPr>
              <w:t>Mr. </w:t>
            </w:r>
            <w:r w:rsidRPr="009A44DE">
              <w:rPr>
                <w:color w:val="000000"/>
              </w:rPr>
              <w:t>Geesman stating in the Pre</w:t>
            </w:r>
            <w:r w:rsidR="004152B8">
              <w:rPr>
                <w:color w:val="000000"/>
              </w:rPr>
              <w:noBreakHyphen/>
            </w:r>
            <w:r w:rsidRPr="009A44DE" w:rsidR="00DD30F1">
              <w:rPr>
                <w:color w:val="000000"/>
              </w:rPr>
              <w:t xml:space="preserve">Hearing Conference that </w:t>
            </w:r>
            <w:r w:rsidR="004E6CFF">
              <w:rPr>
                <w:color w:val="000000"/>
              </w:rPr>
              <w:t>“</w:t>
            </w:r>
            <w:r w:rsidRPr="009A44DE" w:rsidR="00DD30F1">
              <w:rPr>
                <w:color w:val="000000"/>
              </w:rPr>
              <w:t>I want to echo the concerns about</w:t>
            </w:r>
            <w:r w:rsidR="00990D43">
              <w:rPr>
                <w:color w:val="000000"/>
              </w:rPr>
              <w:t xml:space="preserve"> </w:t>
            </w:r>
            <w:r w:rsidRPr="009A44DE" w:rsidR="00475053">
              <w:rPr>
                <w:color w:val="000000"/>
              </w:rPr>
              <w:t>confidentiality. I</w:t>
            </w:r>
            <w:r w:rsidRPr="009A44DE" w:rsidR="00DD30F1">
              <w:rPr>
                <w:color w:val="000000"/>
              </w:rPr>
              <w:t xml:space="preserve"> won</w:t>
            </w:r>
            <w:r w:rsidR="004E6CFF">
              <w:rPr>
                <w:color w:val="000000"/>
              </w:rPr>
              <w:t>’</w:t>
            </w:r>
            <w:r w:rsidRPr="009A44DE" w:rsidR="00DD30F1">
              <w:rPr>
                <w:color w:val="000000"/>
              </w:rPr>
              <w:t>t elaborate beyond that because</w:t>
            </w:r>
            <w:r w:rsidR="00990D43">
              <w:rPr>
                <w:color w:val="000000"/>
              </w:rPr>
              <w:t xml:space="preserve"> </w:t>
            </w:r>
            <w:r w:rsidRPr="009A44DE" w:rsidR="00DD30F1">
              <w:rPr>
                <w:color w:val="000000"/>
              </w:rPr>
              <w:t>they</w:t>
            </w:r>
            <w:r w:rsidR="004E6CFF">
              <w:rPr>
                <w:color w:val="000000"/>
              </w:rPr>
              <w:t>’</w:t>
            </w:r>
            <w:r w:rsidRPr="009A44DE" w:rsidR="00DD30F1">
              <w:rPr>
                <w:color w:val="000000"/>
              </w:rPr>
              <w:t xml:space="preserve">re </w:t>
            </w:r>
            <w:proofErr w:type="spellStart"/>
            <w:r w:rsidRPr="009A44DE" w:rsidR="00DD30F1">
              <w:rPr>
                <w:color w:val="000000"/>
              </w:rPr>
              <w:t>self evident</w:t>
            </w:r>
            <w:proofErr w:type="spellEnd"/>
            <w:r w:rsidRPr="009A44DE" w:rsidR="00DD30F1">
              <w:rPr>
                <w:color w:val="000000"/>
              </w:rPr>
              <w:t>.</w:t>
            </w:r>
            <w:r w:rsidR="004E6CFF">
              <w:rPr>
                <w:color w:val="000000"/>
              </w:rPr>
              <w:t>”</w:t>
            </w:r>
            <w:r w:rsidRPr="009A44DE" w:rsidR="00DD30F1">
              <w:rPr>
                <w:color w:val="000000"/>
              </w:rPr>
              <w:t xml:space="preserve"> We find that A4NR did not substantially contribute to </w:t>
            </w:r>
            <w:r w:rsidR="005E13C6">
              <w:rPr>
                <w:color w:val="000000"/>
              </w:rPr>
              <w:t>the decision</w:t>
            </w:r>
            <w:r w:rsidR="004152B8">
              <w:rPr>
                <w:color w:val="000000"/>
              </w:rPr>
              <w:noBreakHyphen/>
            </w:r>
            <w:r w:rsidR="005E13C6">
              <w:rPr>
                <w:color w:val="000000"/>
              </w:rPr>
              <w:t xml:space="preserve">making process on </w:t>
            </w:r>
            <w:r w:rsidRPr="009A44DE" w:rsidR="00DD30F1">
              <w:rPr>
                <w:color w:val="000000"/>
              </w:rPr>
              <w:t xml:space="preserve">this issue </w:t>
            </w:r>
            <w:r w:rsidR="005E13C6">
              <w:rPr>
                <w:color w:val="000000"/>
              </w:rPr>
              <w:t>because</w:t>
            </w:r>
            <w:r w:rsidRPr="009A44DE" w:rsidR="00DD30F1">
              <w:rPr>
                <w:color w:val="000000"/>
              </w:rPr>
              <w:t xml:space="preserve"> they were only </w:t>
            </w:r>
            <w:r w:rsidRPr="009A44DE" w:rsidR="00424185">
              <w:rPr>
                <w:color w:val="000000"/>
              </w:rPr>
              <w:t xml:space="preserve">agreeing </w:t>
            </w:r>
            <w:r w:rsidRPr="009A44DE" w:rsidR="00D650A9">
              <w:rPr>
                <w:color w:val="000000"/>
              </w:rPr>
              <w:t>with</w:t>
            </w:r>
            <w:r w:rsidRPr="009A44DE" w:rsidR="00424185">
              <w:rPr>
                <w:color w:val="000000"/>
              </w:rPr>
              <w:t xml:space="preserve"> the </w:t>
            </w:r>
            <w:r w:rsidRPr="009A44DE" w:rsidR="00DD30F1">
              <w:rPr>
                <w:color w:val="000000"/>
              </w:rPr>
              <w:t xml:space="preserve">position </w:t>
            </w:r>
            <w:r w:rsidRPr="009A44DE" w:rsidR="00424185">
              <w:rPr>
                <w:color w:val="000000"/>
              </w:rPr>
              <w:t>of other parties</w:t>
            </w:r>
            <w:r w:rsidR="00694929">
              <w:rPr>
                <w:color w:val="000000"/>
              </w:rPr>
              <w:t xml:space="preserve"> and did </w:t>
            </w:r>
            <w:r w:rsidRPr="009A44DE" w:rsidR="00DD30F1">
              <w:rPr>
                <w:color w:val="000000"/>
              </w:rPr>
              <w:t xml:space="preserve">not materially supplement, complement, or contribute to the presentation of another party. </w:t>
            </w:r>
            <w:r w:rsidR="00D650A9">
              <w:rPr>
                <w:i/>
                <w:iCs/>
                <w:color w:val="000000"/>
              </w:rPr>
              <w:t>See</w:t>
            </w:r>
            <w:r w:rsidRPr="009A44DE" w:rsidR="00DD30F1">
              <w:rPr>
                <w:color w:val="000000"/>
              </w:rPr>
              <w:t xml:space="preserve"> </w:t>
            </w:r>
            <w:r w:rsidR="004152B8">
              <w:rPr>
                <w:color w:val="000000"/>
              </w:rPr>
              <w:t>§ </w:t>
            </w:r>
            <w:r w:rsidRPr="009A44DE" w:rsidR="00DD30F1">
              <w:rPr>
                <w:color w:val="000000"/>
              </w:rPr>
              <w:t>1802.5.</w:t>
            </w:r>
          </w:p>
        </w:tc>
      </w:tr>
      <w:tr w:rsidRPr="00453925" w:rsidR="004E27D7" w:rsidTr="00AD458C" w14:paraId="736CE5DB" w14:textId="77777777">
        <w:tc>
          <w:tcPr>
            <w:tcW w:w="2785" w:type="dxa"/>
          </w:tcPr>
          <w:p w:rsidRPr="00453925" w:rsidR="004E27D7" w:rsidP="009E0C2A" w:rsidRDefault="004E27D7" w14:paraId="61B9AAD5" w14:textId="1DEFB38B">
            <w:pPr>
              <w:spacing w:after="240"/>
              <w:rPr>
                <w:color w:val="000000"/>
              </w:rPr>
            </w:pPr>
            <w:r w:rsidRPr="00453925">
              <w:rPr>
                <w:color w:val="000000"/>
              </w:rPr>
              <w:t xml:space="preserve">10. A4NR urged a significant enhancement, along the lines recommended in </w:t>
            </w:r>
            <w:proofErr w:type="spellStart"/>
            <w:r w:rsidRPr="00453925">
              <w:rPr>
                <w:color w:val="000000"/>
              </w:rPr>
              <w:t>CalCCA</w:t>
            </w:r>
            <w:r w:rsidR="004E6CFF">
              <w:rPr>
                <w:color w:val="000000"/>
              </w:rPr>
              <w:t>’</w:t>
            </w:r>
            <w:r w:rsidRPr="00453925">
              <w:rPr>
                <w:color w:val="000000"/>
              </w:rPr>
              <w:t>s</w:t>
            </w:r>
            <w:proofErr w:type="spellEnd"/>
            <w:r w:rsidRPr="00453925">
              <w:rPr>
                <w:color w:val="000000"/>
              </w:rPr>
              <w:t xml:space="preserve"> Opening Brief, of the information PG&amp;E is required to </w:t>
            </w:r>
            <w:r w:rsidRPr="00453925" w:rsidR="005705DC">
              <w:rPr>
                <w:color w:val="000000"/>
              </w:rPr>
              <w:t xml:space="preserve">provide in its </w:t>
            </w:r>
            <w:r w:rsidRPr="00CB2ADC" w:rsidR="005705DC">
              <w:rPr>
                <w:color w:val="000000"/>
              </w:rPr>
              <w:t>annual true</w:t>
            </w:r>
            <w:r w:rsidR="004152B8">
              <w:rPr>
                <w:color w:val="000000"/>
              </w:rPr>
              <w:noBreakHyphen/>
            </w:r>
            <w:r w:rsidRPr="00CB2ADC" w:rsidR="005705DC">
              <w:rPr>
                <w:color w:val="000000"/>
              </w:rPr>
              <w:t xml:space="preserve">up </w:t>
            </w:r>
            <w:r w:rsidR="00FA6D00">
              <w:rPr>
                <w:color w:val="000000"/>
              </w:rPr>
              <w:t>Tier </w:t>
            </w:r>
            <w:r w:rsidRPr="00CB2ADC" w:rsidR="005705DC">
              <w:rPr>
                <w:color w:val="000000"/>
              </w:rPr>
              <w:t>3 Advice Letter (Reply Brief,</w:t>
            </w:r>
            <w:r w:rsidR="00BA598C">
              <w:rPr>
                <w:color w:val="000000"/>
              </w:rPr>
              <w:t xml:space="preserve"> pp. </w:t>
            </w:r>
            <w:r w:rsidRPr="00CB2ADC" w:rsidR="005705DC">
              <w:rPr>
                <w:color w:val="000000"/>
              </w:rPr>
              <w:t>14</w:t>
            </w:r>
            <w:r w:rsidR="00BA598C">
              <w:rPr>
                <w:color w:val="000000"/>
              </w:rPr>
              <w:t xml:space="preserve"> – </w:t>
            </w:r>
            <w:r w:rsidRPr="00CB2ADC" w:rsidR="005705DC">
              <w:rPr>
                <w:color w:val="000000"/>
              </w:rPr>
              <w:t>15).</w:t>
            </w:r>
          </w:p>
        </w:tc>
        <w:tc>
          <w:tcPr>
            <w:tcW w:w="3870" w:type="dxa"/>
          </w:tcPr>
          <w:p w:rsidRPr="00453925" w:rsidR="004E27D7" w:rsidP="009E0C2A" w:rsidRDefault="005705DC" w14:paraId="2ADBA3FE" w14:textId="03224185">
            <w:pPr>
              <w:spacing w:after="240"/>
              <w:rPr>
                <w:color w:val="000000"/>
              </w:rPr>
            </w:pPr>
            <w:r w:rsidRPr="00453925">
              <w:rPr>
                <w:color w:val="000000"/>
              </w:rPr>
              <w:t>D.24</w:t>
            </w:r>
            <w:r w:rsidR="004152B8">
              <w:rPr>
                <w:color w:val="000000"/>
              </w:rPr>
              <w:noBreakHyphen/>
            </w:r>
            <w:r w:rsidRPr="00453925">
              <w:rPr>
                <w:color w:val="000000"/>
              </w:rPr>
              <w:t>12</w:t>
            </w:r>
            <w:r w:rsidR="004152B8">
              <w:rPr>
                <w:color w:val="000000"/>
              </w:rPr>
              <w:noBreakHyphen/>
            </w:r>
            <w:r w:rsidRPr="00453925">
              <w:rPr>
                <w:color w:val="000000"/>
              </w:rPr>
              <w:t>033 (at</w:t>
            </w:r>
            <w:r w:rsidR="00BA598C">
              <w:rPr>
                <w:color w:val="000000"/>
              </w:rPr>
              <w:t xml:space="preserve"> pp. </w:t>
            </w:r>
            <w:r w:rsidRPr="00453925">
              <w:rPr>
                <w:color w:val="000000"/>
              </w:rPr>
              <w:t>73</w:t>
            </w:r>
            <w:r w:rsidR="00BA598C">
              <w:rPr>
                <w:color w:val="000000"/>
              </w:rPr>
              <w:t xml:space="preserve"> – </w:t>
            </w:r>
            <w:r w:rsidRPr="00453925" w:rsidR="00005D5C">
              <w:rPr>
                <w:color w:val="000000"/>
              </w:rPr>
              <w:t>74</w:t>
            </w:r>
            <w:r w:rsidRPr="00453925">
              <w:rPr>
                <w:color w:val="000000"/>
              </w:rPr>
              <w:t>) agrees, direct</w:t>
            </w:r>
            <w:r w:rsidRPr="00453925" w:rsidR="00A84B5C">
              <w:rPr>
                <w:color w:val="000000"/>
              </w:rPr>
              <w:t>ing</w:t>
            </w:r>
            <w:r w:rsidRPr="00453925">
              <w:rPr>
                <w:color w:val="000000"/>
              </w:rPr>
              <w:t xml:space="preserve"> PG&amp;E </w:t>
            </w:r>
            <w:r w:rsidR="004E6CFF">
              <w:rPr>
                <w:color w:val="000000"/>
              </w:rPr>
              <w:t>“</w:t>
            </w:r>
            <w:r w:rsidRPr="00453925">
              <w:rPr>
                <w:color w:val="000000"/>
              </w:rPr>
              <w:t>to provide the same type of information and analysis</w:t>
            </w:r>
            <w:r w:rsidR="004E6CFF">
              <w:rPr>
                <w:color w:val="000000"/>
              </w:rPr>
              <w:t>”</w:t>
            </w:r>
            <w:r w:rsidRPr="00453925">
              <w:rPr>
                <w:color w:val="000000"/>
              </w:rPr>
              <w:t xml:space="preserve"> in its true</w:t>
            </w:r>
            <w:r w:rsidR="004152B8">
              <w:rPr>
                <w:color w:val="000000"/>
              </w:rPr>
              <w:noBreakHyphen/>
            </w:r>
            <w:r w:rsidRPr="00453925">
              <w:rPr>
                <w:color w:val="000000"/>
              </w:rPr>
              <w:t>up filing that it does for ERRA compliance reviews, and specif</w:t>
            </w:r>
            <w:r w:rsidRPr="00453925" w:rsidR="00A84B5C">
              <w:rPr>
                <w:color w:val="000000"/>
              </w:rPr>
              <w:t>ying</w:t>
            </w:r>
            <w:r w:rsidRPr="00453925">
              <w:rPr>
                <w:color w:val="000000"/>
              </w:rPr>
              <w:t xml:space="preserve"> what will be expected.</w:t>
            </w:r>
          </w:p>
        </w:tc>
        <w:tc>
          <w:tcPr>
            <w:tcW w:w="2705" w:type="dxa"/>
          </w:tcPr>
          <w:p w:rsidRPr="00453925" w:rsidR="004459B0" w:rsidP="00C01431" w:rsidRDefault="000534DB" w14:paraId="472F0F5B" w14:textId="022F15E6">
            <w:pPr>
              <w:spacing w:after="240"/>
              <w:rPr>
                <w:color w:val="000000"/>
              </w:rPr>
            </w:pPr>
            <w:r w:rsidRPr="00453925">
              <w:rPr>
                <w:color w:val="000000"/>
              </w:rPr>
              <w:t>A4NR</w:t>
            </w:r>
            <w:r w:rsidR="004E6CFF">
              <w:rPr>
                <w:color w:val="000000"/>
              </w:rPr>
              <w:t>’</w:t>
            </w:r>
            <w:r w:rsidRPr="00453925" w:rsidR="00521382">
              <w:rPr>
                <w:color w:val="000000"/>
              </w:rPr>
              <w:t>s claimed contribution</w:t>
            </w:r>
            <w:r w:rsidRPr="00453925" w:rsidR="00AE0B0E">
              <w:rPr>
                <w:color w:val="000000"/>
              </w:rPr>
              <w:t xml:space="preserve"> on this </w:t>
            </w:r>
            <w:r w:rsidRPr="00453925" w:rsidR="00521382">
              <w:rPr>
                <w:color w:val="000000"/>
              </w:rPr>
              <w:t xml:space="preserve">issue is a </w:t>
            </w:r>
            <w:r w:rsidRPr="00453925" w:rsidR="000A5E8D">
              <w:rPr>
                <w:color w:val="000000"/>
              </w:rPr>
              <w:t>three</w:t>
            </w:r>
            <w:r w:rsidR="004152B8">
              <w:rPr>
                <w:color w:val="000000"/>
              </w:rPr>
              <w:noBreakHyphen/>
            </w:r>
            <w:r w:rsidRPr="00453925" w:rsidR="000A5E8D">
              <w:rPr>
                <w:color w:val="000000"/>
              </w:rPr>
              <w:t>paragraph</w:t>
            </w:r>
            <w:r w:rsidRPr="00453925" w:rsidR="00521382">
              <w:rPr>
                <w:color w:val="000000"/>
              </w:rPr>
              <w:t xml:space="preserve"> quote of </w:t>
            </w:r>
            <w:proofErr w:type="spellStart"/>
            <w:r w:rsidRPr="00453925" w:rsidR="00521382">
              <w:rPr>
                <w:color w:val="000000"/>
              </w:rPr>
              <w:t>CalCCA</w:t>
            </w:r>
            <w:r w:rsidR="004E6CFF">
              <w:rPr>
                <w:color w:val="000000"/>
              </w:rPr>
              <w:t>’</w:t>
            </w:r>
            <w:r w:rsidRPr="00453925" w:rsidR="00521382">
              <w:rPr>
                <w:color w:val="000000"/>
              </w:rPr>
              <w:t>s</w:t>
            </w:r>
            <w:proofErr w:type="spellEnd"/>
            <w:r w:rsidRPr="00453925" w:rsidR="00521382">
              <w:rPr>
                <w:color w:val="000000"/>
              </w:rPr>
              <w:t xml:space="preserve"> position.</w:t>
            </w:r>
            <w:r w:rsidRPr="00453925" w:rsidR="00542CA9">
              <w:rPr>
                <w:color w:val="000000"/>
              </w:rPr>
              <w:t xml:space="preserve"> A4NR does not provide any additional analysis that</w:t>
            </w:r>
            <w:r w:rsidRPr="00453925" w:rsidR="008D36A5">
              <w:rPr>
                <w:color w:val="000000"/>
              </w:rPr>
              <w:t xml:space="preserve"> </w:t>
            </w:r>
            <w:r w:rsidR="004E6CFF">
              <w:rPr>
                <w:color w:val="000000"/>
              </w:rPr>
              <w:t>“</w:t>
            </w:r>
            <w:r w:rsidRPr="00453925" w:rsidR="008D36A5">
              <w:rPr>
                <w:color w:val="000000"/>
              </w:rPr>
              <w:t>materially supplements, complements, or contributes to the presentation of</w:t>
            </w:r>
            <w:r w:rsidR="004E6CFF">
              <w:rPr>
                <w:color w:val="000000"/>
              </w:rPr>
              <w:t>”</w:t>
            </w:r>
            <w:r w:rsidRPr="00453925" w:rsidR="001C1EA3">
              <w:rPr>
                <w:color w:val="000000"/>
              </w:rPr>
              <w:t xml:space="preserve"> </w:t>
            </w:r>
            <w:proofErr w:type="spellStart"/>
            <w:r w:rsidRPr="00453925" w:rsidR="001C1EA3">
              <w:rPr>
                <w:color w:val="000000"/>
              </w:rPr>
              <w:t>CalCCA</w:t>
            </w:r>
            <w:proofErr w:type="spellEnd"/>
            <w:r w:rsidRPr="00453925" w:rsidR="001C1EA3">
              <w:rPr>
                <w:color w:val="000000"/>
              </w:rPr>
              <w:t xml:space="preserve">. </w:t>
            </w:r>
            <w:r w:rsidR="004152B8">
              <w:rPr>
                <w:color w:val="000000"/>
              </w:rPr>
              <w:t>§ </w:t>
            </w:r>
            <w:r w:rsidRPr="00453925" w:rsidR="001C1EA3">
              <w:rPr>
                <w:color w:val="000000"/>
              </w:rPr>
              <w:t>1802.5. We therefore find that A4NR did not substantially contribute to the decision</w:t>
            </w:r>
            <w:r w:rsidR="004152B8">
              <w:rPr>
                <w:color w:val="000000"/>
              </w:rPr>
              <w:noBreakHyphen/>
            </w:r>
            <w:r w:rsidRPr="00453925" w:rsidR="001C1EA3">
              <w:rPr>
                <w:color w:val="000000"/>
              </w:rPr>
              <w:t xml:space="preserve">making process on this issue. </w:t>
            </w:r>
          </w:p>
        </w:tc>
      </w:tr>
    </w:tbl>
    <w:p w:rsidRPr="005577F7" w:rsidR="00A92D0B" w:rsidP="00755CBB" w:rsidRDefault="00A92D0B" w14:paraId="0D4BCD3A" w14:textId="33FEFA32">
      <w:pPr>
        <w:keepNext/>
        <w:numPr>
          <w:ilvl w:val="0"/>
          <w:numId w:val="8"/>
        </w:numPr>
        <w:spacing w:before="240" w:after="240"/>
        <w:rPr>
          <w:b/>
          <w:color w:val="000000"/>
        </w:rPr>
      </w:pPr>
      <w:r w:rsidRPr="005577F7">
        <w:rPr>
          <w:b/>
          <w:color w:val="000000"/>
        </w:rPr>
        <w:lastRenderedPageBreak/>
        <w:t>Duplication of Effort (</w:t>
      </w:r>
      <w:r w:rsidR="004152B8">
        <w:rPr>
          <w:b/>
          <w:color w:val="000000"/>
        </w:rPr>
        <w:t>§ </w:t>
      </w:r>
      <w:r w:rsidRPr="005577F7">
        <w:rPr>
          <w:b/>
          <w:color w:val="000000"/>
        </w:rPr>
        <w:t xml:space="preserve">1801.3(f) </w:t>
      </w:r>
      <w:r w:rsidRPr="005577F7" w:rsidR="00F30DA8">
        <w:rPr>
          <w:b/>
          <w:color w:val="000000"/>
        </w:rPr>
        <w:t xml:space="preserve">and </w:t>
      </w:r>
      <w:r w:rsidR="004152B8">
        <w:rPr>
          <w:b/>
          <w:color w:val="000000"/>
        </w:rPr>
        <w:t>§ </w:t>
      </w:r>
      <w:r w:rsidRPr="005577F7" w:rsidR="0022302F">
        <w:rPr>
          <w:b/>
          <w:color w:val="000000"/>
        </w:rPr>
        <w:t>1802.5)</w:t>
      </w:r>
      <w:r w:rsidRPr="005577F7" w:rsidR="00C02649">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475"/>
        <w:gridCol w:w="1530"/>
        <w:gridCol w:w="1355"/>
      </w:tblGrid>
      <w:tr w:rsidRPr="005577F7" w:rsidR="00A92D0B" w:rsidTr="00FA6D00" w14:paraId="76F3266C" w14:textId="77777777">
        <w:trPr>
          <w:tblHeader/>
        </w:trPr>
        <w:tc>
          <w:tcPr>
            <w:tcW w:w="6475" w:type="dxa"/>
            <w:shd w:val="clear" w:color="auto" w:fill="D9D9D9" w:themeFill="background1" w:themeFillShade="D9"/>
            <w:vAlign w:val="bottom"/>
          </w:tcPr>
          <w:p w:rsidRPr="005577F7" w:rsidR="00A92D0B" w:rsidP="00631507" w:rsidRDefault="00A92D0B" w14:paraId="300CEDBC" w14:textId="77777777">
            <w:pPr>
              <w:keepNext/>
              <w:jc w:val="center"/>
              <w:rPr>
                <w:color w:val="000000"/>
              </w:rPr>
            </w:pPr>
          </w:p>
        </w:tc>
        <w:tc>
          <w:tcPr>
            <w:tcW w:w="1530" w:type="dxa"/>
            <w:tcBorders>
              <w:bottom w:val="single" w:color="auto" w:sz="4" w:space="0"/>
            </w:tcBorders>
            <w:shd w:val="clear" w:color="auto" w:fill="D9D9D9" w:themeFill="background1" w:themeFillShade="D9"/>
            <w:vAlign w:val="bottom"/>
          </w:tcPr>
          <w:p w:rsidR="00FA6D00" w:rsidP="00631507" w:rsidRDefault="005A63D4" w14:paraId="7874CA8D" w14:textId="1FB7C455">
            <w:pPr>
              <w:keepNext/>
              <w:jc w:val="center"/>
              <w:rPr>
                <w:b/>
                <w:color w:val="000000"/>
              </w:rPr>
            </w:pPr>
            <w:r w:rsidRPr="005577F7">
              <w:rPr>
                <w:b/>
                <w:color w:val="000000"/>
              </w:rPr>
              <w:t>Interveno</w:t>
            </w:r>
            <w:r w:rsidRPr="005577F7" w:rsidR="00204E3A">
              <w:rPr>
                <w:b/>
                <w:color w:val="000000"/>
              </w:rPr>
              <w:t>r</w:t>
            </w:r>
            <w:r w:rsidR="004E6CFF">
              <w:rPr>
                <w:b/>
                <w:color w:val="000000"/>
              </w:rPr>
              <w:t>’</w:t>
            </w:r>
            <w:r w:rsidRPr="005577F7">
              <w:rPr>
                <w:b/>
                <w:color w:val="000000"/>
              </w:rPr>
              <w:t xml:space="preserve">s </w:t>
            </w:r>
          </w:p>
          <w:p w:rsidRPr="005577F7" w:rsidR="00A92D0B" w:rsidP="00631507" w:rsidRDefault="00D075B1" w14:paraId="7B091096" w14:textId="2704A684">
            <w:pPr>
              <w:keepNext/>
              <w:jc w:val="center"/>
              <w:rPr>
                <w:b/>
                <w:color w:val="000000"/>
              </w:rPr>
            </w:pPr>
            <w:r w:rsidRPr="005577F7">
              <w:rPr>
                <w:b/>
                <w:color w:val="000000"/>
              </w:rPr>
              <w:t>Assertion</w:t>
            </w:r>
          </w:p>
        </w:tc>
        <w:tc>
          <w:tcPr>
            <w:tcW w:w="1355" w:type="dxa"/>
            <w:shd w:val="clear" w:color="auto" w:fill="D9D9D9" w:themeFill="background1" w:themeFillShade="D9"/>
            <w:vAlign w:val="bottom"/>
          </w:tcPr>
          <w:p w:rsidR="00FA6D00" w:rsidP="00631507" w:rsidRDefault="00A92D0B" w14:paraId="076F1EAE" w14:textId="77777777">
            <w:pPr>
              <w:keepNext/>
              <w:jc w:val="center"/>
              <w:rPr>
                <w:b/>
                <w:color w:val="000000"/>
              </w:rPr>
            </w:pPr>
            <w:r w:rsidRPr="005577F7">
              <w:rPr>
                <w:b/>
                <w:color w:val="000000"/>
              </w:rPr>
              <w:t xml:space="preserve">CPUC </w:t>
            </w:r>
          </w:p>
          <w:p w:rsidRPr="005577F7" w:rsidR="00A92D0B" w:rsidP="00631507" w:rsidRDefault="00D075B1" w14:paraId="25CE5081" w14:textId="338B70B2">
            <w:pPr>
              <w:keepNext/>
              <w:jc w:val="center"/>
              <w:rPr>
                <w:b/>
                <w:color w:val="000000"/>
              </w:rPr>
            </w:pPr>
            <w:r w:rsidRPr="005577F7">
              <w:rPr>
                <w:b/>
                <w:color w:val="000000"/>
              </w:rPr>
              <w:t>Discussion</w:t>
            </w:r>
          </w:p>
        </w:tc>
      </w:tr>
      <w:tr w:rsidRPr="005577F7" w:rsidR="00A92D0B" w:rsidTr="00FA6D00" w14:paraId="24A12BE1" w14:textId="77777777">
        <w:tc>
          <w:tcPr>
            <w:tcW w:w="6475" w:type="dxa"/>
          </w:tcPr>
          <w:p w:rsidRPr="005577F7" w:rsidR="00A92D0B" w:rsidP="00755CBB" w:rsidRDefault="00A92D0B" w14:paraId="6915FAF6" w14:textId="0CFFDA2D">
            <w:pPr>
              <w:ind w:left="360" w:hanging="360"/>
              <w:rPr>
                <w:b/>
                <w:color w:val="000000"/>
              </w:rPr>
            </w:pPr>
            <w:r w:rsidRPr="005577F7">
              <w:rPr>
                <w:b/>
                <w:color w:val="000000"/>
              </w:rPr>
              <w:t>a.</w:t>
            </w:r>
            <w:r w:rsidRPr="005577F7">
              <w:rPr>
                <w:b/>
                <w:color w:val="000000"/>
              </w:rPr>
              <w:tab/>
            </w:r>
            <w:r w:rsidRPr="005577F7">
              <w:rPr>
                <w:b/>
              </w:rPr>
              <w:t xml:space="preserve">Was the </w:t>
            </w:r>
            <w:r w:rsidRPr="00FA6D00" w:rsidR="009E48E4">
              <w:rPr>
                <w:b/>
                <w:color w:val="000000"/>
                <w:szCs w:val="22"/>
              </w:rPr>
              <w:t>Public Advocate</w:t>
            </w:r>
            <w:r w:rsidR="004E6CFF">
              <w:rPr>
                <w:b/>
                <w:color w:val="000000"/>
                <w:szCs w:val="22"/>
              </w:rPr>
              <w:t>’</w:t>
            </w:r>
            <w:r w:rsidRPr="00FA6D00" w:rsidR="009E48E4">
              <w:rPr>
                <w:b/>
                <w:color w:val="000000"/>
                <w:szCs w:val="22"/>
              </w:rPr>
              <w:t>s Office of the Public Utilities Commission</w:t>
            </w:r>
            <w:r w:rsidRPr="005577F7" w:rsidR="009E48E4">
              <w:rPr>
                <w:b/>
              </w:rPr>
              <w:t xml:space="preserve"> </w:t>
            </w:r>
            <w:r w:rsidRPr="00FA6D00">
              <w:rPr>
                <w:b/>
                <w:color w:val="000000"/>
                <w:szCs w:val="22"/>
              </w:rPr>
              <w:t>(</w:t>
            </w:r>
            <w:r w:rsidRPr="00FA6D00" w:rsidR="00B55D78">
              <w:rPr>
                <w:b/>
                <w:color w:val="000000"/>
                <w:szCs w:val="22"/>
              </w:rPr>
              <w:t>Cal Advocates</w:t>
            </w:r>
            <w:r w:rsidRPr="005577F7">
              <w:rPr>
                <w:b/>
              </w:rPr>
              <w:t>) a party to the proceeding</w:t>
            </w:r>
            <w:r w:rsidRPr="005577F7">
              <w:rPr>
                <w:b/>
                <w:color w:val="000000"/>
              </w:rPr>
              <w:t>?</w:t>
            </w:r>
          </w:p>
        </w:tc>
        <w:tc>
          <w:tcPr>
            <w:tcW w:w="1530" w:type="dxa"/>
          </w:tcPr>
          <w:p w:rsidRPr="00196D16" w:rsidR="00A92D0B" w:rsidP="00755CBB" w:rsidRDefault="00005D5C" w14:paraId="0B49A7C8" w14:textId="0544D709">
            <w:pPr>
              <w:keepNext/>
            </w:pPr>
            <w:r w:rsidRPr="00196D16">
              <w:t>Yes</w:t>
            </w:r>
          </w:p>
        </w:tc>
        <w:tc>
          <w:tcPr>
            <w:tcW w:w="1355" w:type="dxa"/>
          </w:tcPr>
          <w:p w:rsidRPr="005577F7" w:rsidR="00A92D0B" w:rsidP="00755CBB" w:rsidRDefault="004277DF" w14:paraId="23B6532A" w14:textId="1D154478">
            <w:pPr>
              <w:keepNext/>
              <w:rPr>
                <w:color w:val="000000"/>
              </w:rPr>
            </w:pPr>
            <w:r>
              <w:rPr>
                <w:color w:val="000000"/>
              </w:rPr>
              <w:t>Verified</w:t>
            </w:r>
          </w:p>
        </w:tc>
      </w:tr>
      <w:tr w:rsidRPr="005577F7" w:rsidR="00A92D0B" w:rsidTr="00FA6D00" w14:paraId="3317BD71" w14:textId="77777777">
        <w:tc>
          <w:tcPr>
            <w:tcW w:w="6475" w:type="dxa"/>
          </w:tcPr>
          <w:p w:rsidRPr="005577F7" w:rsidR="00A92D0B" w:rsidP="00755CBB" w:rsidRDefault="00A92D0B" w14:paraId="561D245D" w14:textId="77777777">
            <w:pPr>
              <w:tabs>
                <w:tab w:val="left" w:pos="360"/>
              </w:tabs>
              <w:ind w:left="360" w:hanging="360"/>
              <w:rPr>
                <w:b/>
                <w:color w:val="000000"/>
              </w:rPr>
            </w:pPr>
            <w:r w:rsidRPr="005577F7">
              <w:rPr>
                <w:b/>
                <w:color w:val="000000"/>
              </w:rPr>
              <w:t>b.</w:t>
            </w:r>
            <w:r w:rsidRPr="005577F7">
              <w:rPr>
                <w:b/>
                <w:color w:val="000000"/>
              </w:rPr>
              <w:tab/>
              <w:t xml:space="preserve">Were there other parties to the proceeding with positions similar to yours? </w:t>
            </w:r>
          </w:p>
        </w:tc>
        <w:tc>
          <w:tcPr>
            <w:tcW w:w="1530" w:type="dxa"/>
          </w:tcPr>
          <w:p w:rsidRPr="00196D16" w:rsidR="00A92D0B" w:rsidP="00755CBB" w:rsidRDefault="00005D5C" w14:paraId="3708E485" w14:textId="68098EA3">
            <w:r w:rsidRPr="00196D16">
              <w:t>Yes</w:t>
            </w:r>
          </w:p>
        </w:tc>
        <w:tc>
          <w:tcPr>
            <w:tcW w:w="1355" w:type="dxa"/>
          </w:tcPr>
          <w:p w:rsidRPr="005577F7" w:rsidR="00A92D0B" w:rsidP="00755CBB" w:rsidRDefault="00196D16" w14:paraId="6B3388E6" w14:textId="5760F6ED">
            <w:pPr>
              <w:rPr>
                <w:color w:val="000000"/>
              </w:rPr>
            </w:pPr>
            <w:r>
              <w:rPr>
                <w:color w:val="000000"/>
              </w:rPr>
              <w:t>Verified</w:t>
            </w:r>
          </w:p>
        </w:tc>
      </w:tr>
      <w:tr w:rsidRPr="005577F7" w:rsidR="00A92D0B" w:rsidTr="00FA6D00" w14:paraId="0A51B7D4" w14:textId="77777777">
        <w:tc>
          <w:tcPr>
            <w:tcW w:w="8005" w:type="dxa"/>
            <w:gridSpan w:val="2"/>
          </w:tcPr>
          <w:p w:rsidRPr="000C3783" w:rsidR="00A92D0B" w:rsidP="00755CBB" w:rsidRDefault="00A92D0B" w14:paraId="0919176B" w14:textId="6B32B46D">
            <w:pPr>
              <w:ind w:left="360" w:hanging="360"/>
              <w:rPr>
                <w:b/>
                <w:bCs/>
                <w:color w:val="000000"/>
              </w:rPr>
            </w:pPr>
            <w:r w:rsidRPr="005577F7">
              <w:rPr>
                <w:b/>
                <w:color w:val="000000"/>
              </w:rPr>
              <w:t>c.</w:t>
            </w:r>
            <w:r w:rsidRPr="005577F7">
              <w:rPr>
                <w:b/>
                <w:color w:val="000000"/>
              </w:rPr>
              <w:tab/>
              <w:t>If so, provide name of other parties:</w:t>
            </w:r>
            <w:r w:rsidRPr="005577F7" w:rsidR="00E25078">
              <w:rPr>
                <w:color w:val="000000"/>
              </w:rPr>
              <w:t xml:space="preserve"> </w:t>
            </w:r>
            <w:r w:rsidRPr="00196D16" w:rsidR="00005D5C">
              <w:t>TURN, SLOMFP, CARE.</w:t>
            </w:r>
          </w:p>
        </w:tc>
        <w:tc>
          <w:tcPr>
            <w:tcW w:w="1355" w:type="dxa"/>
          </w:tcPr>
          <w:p w:rsidRPr="005577F7" w:rsidR="00A92D0B" w:rsidP="00755CBB" w:rsidRDefault="00196D16" w14:paraId="22A40B49" w14:textId="5BEEC0C8">
            <w:pPr>
              <w:rPr>
                <w:color w:val="000000"/>
              </w:rPr>
            </w:pPr>
            <w:r>
              <w:rPr>
                <w:color w:val="000000"/>
              </w:rPr>
              <w:t>Noted</w:t>
            </w:r>
          </w:p>
        </w:tc>
      </w:tr>
      <w:tr w:rsidRPr="005577F7" w:rsidR="00A92D0B" w:rsidTr="00FA6D00" w14:paraId="744830F5" w14:textId="77777777">
        <w:tc>
          <w:tcPr>
            <w:tcW w:w="8005" w:type="dxa"/>
            <w:gridSpan w:val="2"/>
          </w:tcPr>
          <w:p w:rsidRPr="005577F7" w:rsidR="00A92D0B" w:rsidP="00755CBB" w:rsidRDefault="00A92D0B" w14:paraId="3228BB07" w14:textId="0178FFB9">
            <w:pPr>
              <w:tabs>
                <w:tab w:val="left" w:pos="360"/>
              </w:tabs>
              <w:ind w:left="360" w:hanging="360"/>
              <w:rPr>
                <w:color w:val="000000"/>
              </w:rPr>
            </w:pPr>
            <w:r w:rsidRPr="005577F7">
              <w:rPr>
                <w:b/>
                <w:color w:val="000000"/>
              </w:rPr>
              <w:t>d.</w:t>
            </w:r>
            <w:r w:rsidRPr="005577F7">
              <w:rPr>
                <w:b/>
                <w:color w:val="000000"/>
              </w:rPr>
              <w:tab/>
            </w:r>
            <w:r w:rsidRPr="005577F7" w:rsidR="00D075B1">
              <w:rPr>
                <w:b/>
                <w:color w:val="000000"/>
              </w:rPr>
              <w:t>Intervenor</w:t>
            </w:r>
            <w:r w:rsidR="004E6CFF">
              <w:rPr>
                <w:b/>
                <w:color w:val="000000"/>
              </w:rPr>
              <w:t>’</w:t>
            </w:r>
            <w:r w:rsidRPr="005577F7" w:rsidR="00D075B1">
              <w:rPr>
                <w:b/>
                <w:color w:val="000000"/>
              </w:rPr>
              <w:t xml:space="preserve">s </w:t>
            </w:r>
            <w:r w:rsidRPr="005577F7" w:rsidR="00A319DE">
              <w:rPr>
                <w:b/>
                <w:color w:val="000000"/>
              </w:rPr>
              <w:t>c</w:t>
            </w:r>
            <w:r w:rsidRPr="005577F7" w:rsidR="00D075B1">
              <w:rPr>
                <w:b/>
                <w:color w:val="000000"/>
              </w:rPr>
              <w:t xml:space="preserve">laim of </w:t>
            </w:r>
            <w:r w:rsidRPr="005577F7" w:rsidR="00A319DE">
              <w:rPr>
                <w:b/>
                <w:color w:val="000000"/>
              </w:rPr>
              <w:t>n</w:t>
            </w:r>
            <w:r w:rsidRPr="005577F7" w:rsidR="00D075B1">
              <w:rPr>
                <w:b/>
                <w:color w:val="000000"/>
              </w:rPr>
              <w:t>on</w:t>
            </w:r>
            <w:r w:rsidR="004152B8">
              <w:rPr>
                <w:b/>
                <w:color w:val="000000"/>
              </w:rPr>
              <w:noBreakHyphen/>
            </w:r>
            <w:r w:rsidRPr="005577F7" w:rsidR="00A319DE">
              <w:rPr>
                <w:b/>
                <w:color w:val="000000"/>
              </w:rPr>
              <w:t>d</w:t>
            </w:r>
            <w:r w:rsidRPr="005577F7" w:rsidR="00D075B1">
              <w:rPr>
                <w:b/>
                <w:color w:val="000000"/>
              </w:rPr>
              <w:t>uplication:</w:t>
            </w:r>
            <w:r w:rsidRPr="005577F7" w:rsidR="00E25078">
              <w:rPr>
                <w:color w:val="000000"/>
              </w:rPr>
              <w:t xml:space="preserve"> </w:t>
            </w:r>
            <w:r w:rsidRPr="00196D16" w:rsidR="009B1BCD">
              <w:t xml:space="preserve">Although </w:t>
            </w:r>
            <w:r w:rsidRPr="00196D16" w:rsidR="00B03E4A">
              <w:t xml:space="preserve">portions of </w:t>
            </w:r>
            <w:r w:rsidRPr="00196D16" w:rsidR="009B1BCD">
              <w:t>A4NR</w:t>
            </w:r>
            <w:r w:rsidR="004E6CFF">
              <w:t>’</w:t>
            </w:r>
            <w:r w:rsidRPr="00196D16" w:rsidR="009B1BCD">
              <w:t xml:space="preserve">s </w:t>
            </w:r>
            <w:r w:rsidRPr="00196D16" w:rsidR="006632CB">
              <w:t>cost concerns were shared by several other intervenors, A4NR</w:t>
            </w:r>
            <w:r w:rsidRPr="00196D16" w:rsidR="00F7534C">
              <w:t xml:space="preserve"> </w:t>
            </w:r>
            <w:r w:rsidRPr="00196D16" w:rsidR="001C3B6A">
              <w:t>consciously avoided duplication by not seeking to replicate TURN</w:t>
            </w:r>
            <w:r w:rsidR="004E6CFF">
              <w:t>’</w:t>
            </w:r>
            <w:r w:rsidRPr="00196D16" w:rsidR="001C3B6A">
              <w:t xml:space="preserve">s </w:t>
            </w:r>
            <w:r w:rsidRPr="00196D16" w:rsidR="00D445C4">
              <w:t>development of an alternative VPF spending plan or SLOMFP</w:t>
            </w:r>
            <w:r w:rsidR="004E6CFF">
              <w:t>’</w:t>
            </w:r>
            <w:r w:rsidRPr="00196D16" w:rsidR="00D445C4">
              <w:t xml:space="preserve">s </w:t>
            </w:r>
            <w:r w:rsidRPr="00196D16" w:rsidR="005A3E62">
              <w:t xml:space="preserve">emphasis on omitted costs associated with seismic upgrades or reactor vessel embrittlement.  </w:t>
            </w:r>
            <w:r w:rsidRPr="00196D16" w:rsidR="00625EF6">
              <w:t>A4NR</w:t>
            </w:r>
            <w:r w:rsidRPr="00196D16" w:rsidR="00D13679">
              <w:t xml:space="preserve"> instead frame</w:t>
            </w:r>
            <w:r w:rsidRPr="00196D16" w:rsidR="00284D15">
              <w:t>d</w:t>
            </w:r>
            <w:r w:rsidRPr="00196D16" w:rsidR="00D13679">
              <w:t xml:space="preserve"> its critique of PG&amp;E</w:t>
            </w:r>
            <w:r w:rsidR="004E6CFF">
              <w:t>’</w:t>
            </w:r>
            <w:r w:rsidRPr="00196D16" w:rsidR="00D13679">
              <w:t xml:space="preserve">s cost forecast </w:t>
            </w:r>
            <w:r w:rsidRPr="00196D16" w:rsidR="006B7352">
              <w:t>as</w:t>
            </w:r>
            <w:r w:rsidRPr="00196D16" w:rsidR="00F9037C">
              <w:t xml:space="preserve"> (1)</w:t>
            </w:r>
            <w:r w:rsidRPr="00196D16" w:rsidR="006B7352">
              <w:t xml:space="preserve"> </w:t>
            </w:r>
            <w:r w:rsidRPr="00196D16" w:rsidR="00284D15">
              <w:t xml:space="preserve">impermissible variances from </w:t>
            </w:r>
            <w:r w:rsidRPr="00196D16" w:rsidR="00FE6913">
              <w:t xml:space="preserve">statutory limits established in </w:t>
            </w:r>
            <w:r w:rsidR="00814219">
              <w:t>SB </w:t>
            </w:r>
            <w:r w:rsidRPr="00196D16" w:rsidR="00FE6913">
              <w:t>846</w:t>
            </w:r>
            <w:r w:rsidRPr="00196D16" w:rsidR="005B1A91">
              <w:t xml:space="preserve"> or </w:t>
            </w:r>
            <w:r w:rsidRPr="00196D16" w:rsidR="006D746F">
              <w:t xml:space="preserve">(2) </w:t>
            </w:r>
            <w:r w:rsidRPr="00196D16" w:rsidR="005B1A91">
              <w:t>Commission direction established in D.23</w:t>
            </w:r>
            <w:r w:rsidR="004152B8">
              <w:noBreakHyphen/>
            </w:r>
            <w:r w:rsidRPr="00196D16" w:rsidR="005B1A91">
              <w:t>12</w:t>
            </w:r>
            <w:r w:rsidR="004152B8">
              <w:noBreakHyphen/>
            </w:r>
            <w:r w:rsidRPr="00196D16" w:rsidR="005B1A91">
              <w:t>035 and D.22</w:t>
            </w:r>
            <w:r w:rsidR="004152B8">
              <w:noBreakHyphen/>
            </w:r>
            <w:r w:rsidRPr="00196D16" w:rsidR="005B1A91">
              <w:t>12</w:t>
            </w:r>
            <w:r w:rsidR="004152B8">
              <w:noBreakHyphen/>
            </w:r>
            <w:r w:rsidRPr="00196D16" w:rsidR="005B1A91">
              <w:t>005.</w:t>
            </w:r>
            <w:r w:rsidRPr="00196D16" w:rsidR="00740789">
              <w:t xml:space="preserve">  </w:t>
            </w:r>
            <w:r w:rsidRPr="00196D16" w:rsidR="008E4F20">
              <w:t xml:space="preserve">This </w:t>
            </w:r>
            <w:r w:rsidRPr="00196D16" w:rsidR="00492055">
              <w:t xml:space="preserve">framing enabled </w:t>
            </w:r>
            <w:r w:rsidRPr="00196D16" w:rsidR="007456BF">
              <w:t xml:space="preserve">A4NR </w:t>
            </w:r>
            <w:r w:rsidRPr="00196D16" w:rsidR="00492055">
              <w:t xml:space="preserve">a breadth and depth </w:t>
            </w:r>
            <w:r w:rsidRPr="00196D16" w:rsidR="002405EA">
              <w:t>of coverage of cost</w:t>
            </w:r>
            <w:r w:rsidR="004152B8">
              <w:noBreakHyphen/>
            </w:r>
            <w:r w:rsidRPr="00196D16" w:rsidR="00863447">
              <w:t>related issues that complemented</w:t>
            </w:r>
            <w:r w:rsidR="00BA598C">
              <w:t xml:space="preserve"> – </w:t>
            </w:r>
            <w:r w:rsidRPr="00196D16" w:rsidR="00387FAF">
              <w:t>rather than</w:t>
            </w:r>
            <w:r w:rsidRPr="00196D16" w:rsidR="005E5906">
              <w:t xml:space="preserve"> redu</w:t>
            </w:r>
            <w:r w:rsidRPr="00196D16" w:rsidR="000E7B91">
              <w:t>ndantly</w:t>
            </w:r>
            <w:r w:rsidRPr="00196D16" w:rsidR="00387FAF">
              <w:t xml:space="preserve"> repeated</w:t>
            </w:r>
            <w:r w:rsidR="00BA598C">
              <w:t xml:space="preserve"> – </w:t>
            </w:r>
            <w:r w:rsidRPr="00196D16" w:rsidR="00876144">
              <w:t xml:space="preserve">the </w:t>
            </w:r>
            <w:r w:rsidRPr="00196D16" w:rsidR="008614D4">
              <w:t>evidentiary showings and arguments presented by other intervenors</w:t>
            </w:r>
            <w:r w:rsidRPr="00196D16" w:rsidR="009C69DB">
              <w:t xml:space="preserve">.  </w:t>
            </w:r>
            <w:r w:rsidRPr="00196D16" w:rsidR="00880A35">
              <w:t xml:space="preserve">A4NR also </w:t>
            </w:r>
            <w:r w:rsidRPr="00196D16" w:rsidR="00285AD9">
              <w:t>avoided duplication b</w:t>
            </w:r>
            <w:r w:rsidRPr="00196D16" w:rsidR="00C66F99">
              <w:t xml:space="preserve">y close scrutiny </w:t>
            </w:r>
            <w:r w:rsidRPr="00196D16" w:rsidR="00B1358C">
              <w:t xml:space="preserve">of, </w:t>
            </w:r>
            <w:r w:rsidRPr="00196D16" w:rsidR="00C66F99">
              <w:t xml:space="preserve">and </w:t>
            </w:r>
            <w:r w:rsidRPr="00196D16" w:rsidR="00BE5F8F">
              <w:t xml:space="preserve">(for </w:t>
            </w:r>
            <w:r w:rsidRPr="00196D16" w:rsidR="00212A3D">
              <w:t>certain</w:t>
            </w:r>
            <w:r w:rsidRPr="00196D16" w:rsidR="00BE5F8F">
              <w:t xml:space="preserve"> issues)</w:t>
            </w:r>
            <w:r w:rsidRPr="00196D16" w:rsidR="00C66F99">
              <w:t xml:space="preserve"> reliance on</w:t>
            </w:r>
            <w:r w:rsidRPr="00196D16" w:rsidR="00B1358C">
              <w:t>,</w:t>
            </w:r>
            <w:r w:rsidRPr="00196D16" w:rsidR="00C66F99">
              <w:t xml:space="preserve"> discovery conducted by other parties</w:t>
            </w:r>
            <w:r w:rsidRPr="00196D16" w:rsidR="007456BF">
              <w:t xml:space="preserve">.  </w:t>
            </w:r>
            <w:r w:rsidRPr="00196D16" w:rsidR="00A77EB9">
              <w:t xml:space="preserve"> </w:t>
            </w:r>
          </w:p>
        </w:tc>
        <w:tc>
          <w:tcPr>
            <w:tcW w:w="1355" w:type="dxa"/>
          </w:tcPr>
          <w:p w:rsidRPr="005577F7" w:rsidR="00A92D0B" w:rsidP="00755CBB" w:rsidRDefault="00196D16" w14:paraId="5F9BBA55" w14:textId="173BFEA1">
            <w:pPr>
              <w:tabs>
                <w:tab w:val="left" w:pos="360"/>
              </w:tabs>
              <w:ind w:left="360" w:hanging="360"/>
              <w:rPr>
                <w:color w:val="000000"/>
              </w:rPr>
            </w:pPr>
            <w:r>
              <w:rPr>
                <w:color w:val="000000"/>
              </w:rPr>
              <w:t>Noted</w:t>
            </w:r>
          </w:p>
        </w:tc>
      </w:tr>
    </w:tbl>
    <w:p w:rsidRPr="005577F7" w:rsidR="00A92D0B" w:rsidP="00755CBB" w:rsidRDefault="00A92D0B" w14:paraId="48FE39F8" w14:textId="1971439F">
      <w:pPr>
        <w:keepNext/>
        <w:spacing w:before="480" w:after="240"/>
        <w:jc w:val="center"/>
        <w:rPr>
          <w:i/>
          <w:color w:val="000000"/>
          <w:u w:val="single"/>
        </w:rPr>
      </w:pPr>
      <w:r w:rsidRPr="005577F7">
        <w:rPr>
          <w:b/>
          <w:color w:val="000000"/>
        </w:rPr>
        <w:t>PART III:</w:t>
      </w:r>
      <w:r w:rsidRPr="005577F7" w:rsidR="00D1778A">
        <w:rPr>
          <w:b/>
          <w:color w:val="000000"/>
        </w:rPr>
        <w:t xml:space="preserve">  </w:t>
      </w:r>
      <w:r w:rsidRPr="005577F7">
        <w:rPr>
          <w:b/>
          <w:color w:val="000000"/>
        </w:rPr>
        <w:t>REASONABLENESS OF REQUESTED COMPENSATION</w:t>
      </w:r>
    </w:p>
    <w:p w:rsidRPr="005577F7" w:rsidR="00A92D0B" w:rsidP="00755CBB" w:rsidRDefault="00A92D0B" w14:paraId="6F74DAE2" w14:textId="3BE98F26">
      <w:pPr>
        <w:keepNext/>
        <w:numPr>
          <w:ilvl w:val="0"/>
          <w:numId w:val="18"/>
        </w:numPr>
        <w:spacing w:before="240" w:after="240"/>
        <w:rPr>
          <w:b/>
          <w:color w:val="000000"/>
        </w:rPr>
      </w:pPr>
      <w:r w:rsidRPr="005577F7">
        <w:rPr>
          <w:b/>
          <w:color w:val="000000"/>
        </w:rPr>
        <w:t xml:space="preserve">General Claim of Reasonableness </w:t>
      </w:r>
      <w:r w:rsidRPr="005577F7" w:rsidR="00F30DA8">
        <w:rPr>
          <w:b/>
          <w:color w:val="000000"/>
        </w:rPr>
        <w:t>(</w:t>
      </w:r>
      <w:r w:rsidR="004152B8">
        <w:rPr>
          <w:b/>
          <w:color w:val="000000"/>
        </w:rPr>
        <w:t>§ </w:t>
      </w:r>
      <w:r w:rsidRPr="005577F7">
        <w:rPr>
          <w:b/>
          <w:color w:val="000000"/>
        </w:rPr>
        <w:t xml:space="preserve">1801 </w:t>
      </w:r>
      <w:r w:rsidRPr="005577F7" w:rsidR="00F30DA8">
        <w:rPr>
          <w:b/>
          <w:color w:val="000000"/>
        </w:rPr>
        <w:t xml:space="preserve">and </w:t>
      </w:r>
      <w:r w:rsidR="004152B8">
        <w:rPr>
          <w:b/>
          <w:color w:val="000000"/>
        </w:rPr>
        <w:t>§ </w:t>
      </w:r>
      <w:r w:rsidRPr="005577F7" w:rsidR="0022302F">
        <w:rPr>
          <w:b/>
          <w:color w:val="000000"/>
        </w:rPr>
        <w:t>1806)</w:t>
      </w:r>
      <w:r w:rsidRPr="005577F7" w:rsidR="00C02649">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295"/>
        <w:gridCol w:w="3065"/>
      </w:tblGrid>
      <w:tr w:rsidRPr="005577F7" w:rsidR="00FE3BAE" w:rsidTr="00EC3E84" w14:paraId="4078AC87" w14:textId="77777777">
        <w:trPr>
          <w:tblHeader/>
        </w:trPr>
        <w:tc>
          <w:tcPr>
            <w:tcW w:w="6295" w:type="dxa"/>
            <w:tcBorders>
              <w:bottom w:val="single" w:color="auto" w:sz="4" w:space="0"/>
            </w:tcBorders>
            <w:shd w:val="clear" w:color="auto" w:fill="D9D9D9" w:themeFill="background1" w:themeFillShade="D9"/>
            <w:vAlign w:val="bottom"/>
          </w:tcPr>
          <w:p w:rsidRPr="005577F7" w:rsidR="00FE3BAE" w:rsidP="00631507" w:rsidRDefault="00FE3BAE" w14:paraId="70FDF5DA" w14:textId="77777777">
            <w:pPr>
              <w:keepNext/>
              <w:jc w:val="center"/>
              <w:rPr>
                <w:b/>
                <w:color w:val="000000"/>
              </w:rPr>
            </w:pPr>
          </w:p>
        </w:tc>
        <w:tc>
          <w:tcPr>
            <w:tcW w:w="3065" w:type="dxa"/>
            <w:shd w:val="clear" w:color="auto" w:fill="D9D9D9" w:themeFill="background1" w:themeFillShade="D9"/>
            <w:vAlign w:val="bottom"/>
          </w:tcPr>
          <w:p w:rsidRPr="005577F7" w:rsidR="00FE3BAE" w:rsidP="00631507" w:rsidRDefault="00FE3BAE" w14:paraId="59CD9FCF" w14:textId="77777777">
            <w:pPr>
              <w:keepNext/>
              <w:jc w:val="center"/>
              <w:rPr>
                <w:color w:val="000000"/>
              </w:rPr>
            </w:pPr>
            <w:r w:rsidRPr="005577F7">
              <w:rPr>
                <w:b/>
                <w:color w:val="000000"/>
              </w:rPr>
              <w:t>CPUC Discussion</w:t>
            </w:r>
          </w:p>
        </w:tc>
      </w:tr>
      <w:tr w:rsidRPr="005577F7" w:rsidR="00FE3BAE" w:rsidTr="00EC3E84" w14:paraId="5708510E" w14:textId="77777777">
        <w:tc>
          <w:tcPr>
            <w:tcW w:w="6295" w:type="dxa"/>
            <w:tcBorders>
              <w:bottom w:val="single" w:color="auto" w:sz="4" w:space="0"/>
            </w:tcBorders>
          </w:tcPr>
          <w:p w:rsidRPr="005577F7" w:rsidR="00FE3BAE" w:rsidP="00290B7C" w:rsidRDefault="00FE3BAE" w14:paraId="2B1A1242" w14:textId="755696E4">
            <w:pPr>
              <w:tabs>
                <w:tab w:val="left" w:pos="360"/>
              </w:tabs>
              <w:rPr>
                <w:color w:val="000000"/>
              </w:rPr>
            </w:pPr>
            <w:r w:rsidRPr="005577F7">
              <w:rPr>
                <w:b/>
                <w:color w:val="000000"/>
              </w:rPr>
              <w:t>a.</w:t>
            </w:r>
            <w:r w:rsidR="00290B7C">
              <w:rPr>
                <w:b/>
                <w:color w:val="000000"/>
              </w:rPr>
              <w:tab/>
            </w:r>
            <w:r w:rsidRPr="005577F7">
              <w:rPr>
                <w:b/>
                <w:color w:val="000000"/>
              </w:rPr>
              <w:t>Intervenor</w:t>
            </w:r>
            <w:r w:rsidR="004E6CFF">
              <w:rPr>
                <w:b/>
                <w:color w:val="000000"/>
              </w:rPr>
              <w:t>’</w:t>
            </w:r>
            <w:r w:rsidRPr="005577F7">
              <w:rPr>
                <w:b/>
                <w:color w:val="000000"/>
              </w:rPr>
              <w:t>s claim of cost reasonableness:</w:t>
            </w:r>
            <w:r w:rsidRPr="005577F7" w:rsidR="00E25078">
              <w:rPr>
                <w:color w:val="000000"/>
              </w:rPr>
              <w:t xml:space="preserve"> </w:t>
            </w:r>
            <w:r w:rsidRPr="00196D16" w:rsidR="00A63D82">
              <w:t>A4NR</w:t>
            </w:r>
            <w:r w:rsidR="004E6CFF">
              <w:t>’</w:t>
            </w:r>
            <w:r w:rsidRPr="00196D16" w:rsidR="00A63D82">
              <w:t xml:space="preserve">s intervention </w:t>
            </w:r>
            <w:r w:rsidRPr="00196D16" w:rsidR="008A61B9">
              <w:t>produced tangible benefits to ratepayers by</w:t>
            </w:r>
            <w:r w:rsidRPr="00196D16" w:rsidR="00BE6D47">
              <w:t xml:space="preserve"> (1)</w:t>
            </w:r>
            <w:r w:rsidRPr="00196D16" w:rsidR="008A61B9">
              <w:t xml:space="preserve"> preventing a </w:t>
            </w:r>
            <w:r w:rsidRPr="00196D16" w:rsidR="00976AD4">
              <w:t>federal and state income tax gross</w:t>
            </w:r>
            <w:r w:rsidR="004152B8">
              <w:noBreakHyphen/>
            </w:r>
            <w:r w:rsidRPr="00196D16" w:rsidR="00976AD4">
              <w:t xml:space="preserve">up </w:t>
            </w:r>
            <w:r w:rsidRPr="00196D16" w:rsidR="00604452">
              <w:t xml:space="preserve">worth </w:t>
            </w:r>
            <w:r w:rsidRPr="00196D16" w:rsidR="000306E8">
              <w:t xml:space="preserve">an annual </w:t>
            </w:r>
            <w:r w:rsidRPr="00196D16" w:rsidR="00604452">
              <w:t>$33.6</w:t>
            </w:r>
            <w:r w:rsidRPr="00196D16" w:rsidR="00CD7F20">
              <w:t>3</w:t>
            </w:r>
            <w:r w:rsidR="004152B8">
              <w:t> million</w:t>
            </w:r>
            <w:r w:rsidRPr="00196D16" w:rsidR="004039E0">
              <w:t xml:space="preserve"> (as identified in D.24</w:t>
            </w:r>
            <w:r w:rsidR="004152B8">
              <w:noBreakHyphen/>
            </w:r>
            <w:r w:rsidRPr="00196D16" w:rsidR="004039E0">
              <w:t>12</w:t>
            </w:r>
            <w:r w:rsidR="004152B8">
              <w:noBreakHyphen/>
            </w:r>
            <w:r w:rsidRPr="00196D16" w:rsidR="004039E0">
              <w:t>033</w:t>
            </w:r>
            <w:r w:rsidRPr="00196D16" w:rsidR="00BD1C37">
              <w:t xml:space="preserve"> at</w:t>
            </w:r>
            <w:r w:rsidR="00BA598C">
              <w:t xml:space="preserve"> p. </w:t>
            </w:r>
            <w:r w:rsidRPr="00196D16" w:rsidR="00206BB5">
              <w:t>41)</w:t>
            </w:r>
            <w:r w:rsidRPr="00196D16" w:rsidR="000306E8">
              <w:t xml:space="preserve">; </w:t>
            </w:r>
            <w:r w:rsidRPr="00196D16" w:rsidR="000C22A2">
              <w:t xml:space="preserve">(2) </w:t>
            </w:r>
            <w:r w:rsidRPr="00196D16" w:rsidR="000306E8">
              <w:t>removing</w:t>
            </w:r>
            <w:r w:rsidRPr="00196D16" w:rsidR="008D4D21">
              <w:t xml:space="preserve"> </w:t>
            </w:r>
            <w:r w:rsidRPr="00196D16" w:rsidR="00E42382">
              <w:t xml:space="preserve">the unquantified costs of </w:t>
            </w:r>
            <w:r w:rsidRPr="00196D16" w:rsidR="008D4D21">
              <w:t>five</w:t>
            </w:r>
            <w:r w:rsidRPr="00196D16" w:rsidR="000306E8">
              <w:t xml:space="preserve"> </w:t>
            </w:r>
            <w:r w:rsidRPr="00196D16" w:rsidR="00992860">
              <w:t>gas</w:t>
            </w:r>
            <w:r w:rsidR="004152B8">
              <w:noBreakHyphen/>
            </w:r>
            <w:r w:rsidRPr="00196D16" w:rsidR="00992860">
              <w:t xml:space="preserve">related </w:t>
            </w:r>
            <w:r w:rsidRPr="00196D16" w:rsidR="008D4D21">
              <w:t>projects</w:t>
            </w:r>
            <w:r w:rsidRPr="00196D16" w:rsidR="00937F75">
              <w:t xml:space="preserve"> from the VPF spending plan</w:t>
            </w:r>
            <w:r w:rsidRPr="00196D16" w:rsidR="007022F6">
              <w:t xml:space="preserve"> </w:t>
            </w:r>
            <w:r w:rsidRPr="00196D16" w:rsidR="00024FD8">
              <w:t xml:space="preserve">otherwise funded by the </w:t>
            </w:r>
            <w:r w:rsidRPr="00196D16" w:rsidR="00CD7336">
              <w:t>2023 GRC</w:t>
            </w:r>
            <w:r w:rsidRPr="00196D16" w:rsidR="00DB0458">
              <w:t>;</w:t>
            </w:r>
            <w:r w:rsidRPr="00196D16" w:rsidR="00CD7336">
              <w:t xml:space="preserve"> </w:t>
            </w:r>
            <w:r w:rsidRPr="00196D16" w:rsidR="000C22A2">
              <w:t xml:space="preserve">(3) </w:t>
            </w:r>
            <w:r w:rsidRPr="00196D16" w:rsidR="00CD7336">
              <w:t xml:space="preserve">blocking </w:t>
            </w:r>
            <w:r w:rsidRPr="00196D16" w:rsidR="004A4055">
              <w:t>PG&amp;E</w:t>
            </w:r>
            <w:r w:rsidR="004E6CFF">
              <w:t>’</w:t>
            </w:r>
            <w:r w:rsidRPr="00196D16" w:rsidR="004A4055">
              <w:t>s</w:t>
            </w:r>
            <w:r w:rsidRPr="00196D16" w:rsidR="00CD7336">
              <w:t xml:space="preserve"> attempted </w:t>
            </w:r>
            <w:r w:rsidRPr="00196D16" w:rsidR="004A4055">
              <w:t>post</w:t>
            </w:r>
            <w:r w:rsidR="004152B8">
              <w:noBreakHyphen/>
            </w:r>
            <w:r w:rsidRPr="00196D16" w:rsidR="004A4055">
              <w:t>D.23</w:t>
            </w:r>
            <w:r w:rsidR="004152B8">
              <w:noBreakHyphen/>
            </w:r>
            <w:r w:rsidRPr="00196D16" w:rsidR="004A4055">
              <w:t>12</w:t>
            </w:r>
            <w:r w:rsidR="004152B8">
              <w:noBreakHyphen/>
            </w:r>
            <w:r w:rsidRPr="00196D16" w:rsidR="004A4055">
              <w:t xml:space="preserve">036 </w:t>
            </w:r>
            <w:r w:rsidRPr="00196D16" w:rsidR="00D32D52">
              <w:t>reallocation</w:t>
            </w:r>
            <w:r w:rsidRPr="00196D16" w:rsidR="00230A4E">
              <w:t xml:space="preserve"> </w:t>
            </w:r>
            <w:r w:rsidRPr="00196D16" w:rsidR="00EC5E1B">
              <w:t xml:space="preserve">to its own service area </w:t>
            </w:r>
            <w:r w:rsidRPr="00196D16" w:rsidR="00230A4E">
              <w:t xml:space="preserve">of </w:t>
            </w:r>
            <w:r w:rsidRPr="00196D16" w:rsidR="002E78CC">
              <w:t xml:space="preserve">some 3.6% of the </w:t>
            </w:r>
            <w:r w:rsidRPr="00196D16" w:rsidR="00D07094">
              <w:t>RA and GHG attributes</w:t>
            </w:r>
            <w:r w:rsidRPr="00196D16" w:rsidR="008A62DC">
              <w:t xml:space="preserve"> </w:t>
            </w:r>
            <w:r w:rsidRPr="00196D16" w:rsidR="00EC5E1B">
              <w:t>(valued at</w:t>
            </w:r>
            <w:r w:rsidRPr="00196D16" w:rsidR="00987598">
              <w:t xml:space="preserve"> </w:t>
            </w:r>
            <w:r w:rsidRPr="00196D16" w:rsidR="00BD5194">
              <w:t xml:space="preserve">an annual average of </w:t>
            </w:r>
            <w:r w:rsidRPr="00196D16" w:rsidR="00987598">
              <w:t>some</w:t>
            </w:r>
            <w:r w:rsidRPr="00196D16" w:rsidR="00DC7515">
              <w:t xml:space="preserve"> $34</w:t>
            </w:r>
            <w:r w:rsidRPr="00196D16" w:rsidR="00987598">
              <w:t>.4</w:t>
            </w:r>
            <w:r w:rsidR="004152B8">
              <w:t> million</w:t>
            </w:r>
            <w:r w:rsidRPr="00196D16" w:rsidR="00987598">
              <w:t xml:space="preserve"> over the extended operations period</w:t>
            </w:r>
            <w:r w:rsidRPr="00196D16" w:rsidR="000D4073">
              <w:t xml:space="preserve">, based upon </w:t>
            </w:r>
            <w:r w:rsidRPr="00196D16" w:rsidR="00C96121">
              <w:t>page 2</w:t>
            </w:r>
            <w:r w:rsidR="004152B8">
              <w:noBreakHyphen/>
            </w:r>
            <w:r w:rsidRPr="00196D16" w:rsidR="00C96121">
              <w:t xml:space="preserve">22, </w:t>
            </w:r>
            <w:r w:rsidR="0005608B">
              <w:t>line </w:t>
            </w:r>
            <w:r w:rsidRPr="00196D16" w:rsidR="001F5D51">
              <w:t>2 of PG&amp;E</w:t>
            </w:r>
            <w:r w:rsidR="004E6CFF">
              <w:t>’</w:t>
            </w:r>
            <w:r w:rsidRPr="00196D16" w:rsidR="001F5D51">
              <w:t xml:space="preserve">s Testimony and </w:t>
            </w:r>
            <w:r w:rsidRPr="00196D16" w:rsidR="005E1B3F">
              <w:t>Table 2</w:t>
            </w:r>
            <w:r w:rsidR="004152B8">
              <w:noBreakHyphen/>
            </w:r>
            <w:r w:rsidRPr="00196D16" w:rsidR="005E1B3F">
              <w:t>3</w:t>
            </w:r>
            <w:r w:rsidRPr="00196D16" w:rsidR="00980D66">
              <w:t xml:space="preserve">, </w:t>
            </w:r>
            <w:r w:rsidR="0005608B">
              <w:t>lines </w:t>
            </w:r>
            <w:r w:rsidRPr="00196D16" w:rsidR="009A7473">
              <w:t>19</w:t>
            </w:r>
            <w:r w:rsidRPr="00196D16" w:rsidR="00980D66">
              <w:t xml:space="preserve"> and</w:t>
            </w:r>
            <w:r w:rsidRPr="00196D16" w:rsidR="009A7473">
              <w:t xml:space="preserve"> 21</w:t>
            </w:r>
            <w:r w:rsidRPr="00196D16" w:rsidR="000F2F6C">
              <w:t>, of</w:t>
            </w:r>
            <w:r w:rsidRPr="00196D16" w:rsidR="00980D66">
              <w:t xml:space="preserve"> </w:t>
            </w:r>
            <w:r w:rsidRPr="00196D16" w:rsidR="000D4073">
              <w:t>PG&amp;E</w:t>
            </w:r>
            <w:r w:rsidR="004E6CFF">
              <w:t>’</w:t>
            </w:r>
            <w:r w:rsidRPr="00196D16" w:rsidR="000D4073">
              <w:t>s Fall Update);</w:t>
            </w:r>
            <w:r w:rsidRPr="00196D16" w:rsidR="000049DB">
              <w:t xml:space="preserve"> (4)</w:t>
            </w:r>
            <w:r w:rsidRPr="00196D16" w:rsidR="000D4073">
              <w:t xml:space="preserve"> </w:t>
            </w:r>
            <w:r w:rsidRPr="00196D16" w:rsidR="0041220E">
              <w:t xml:space="preserve">and </w:t>
            </w:r>
            <w:r w:rsidRPr="00196D16" w:rsidR="00F253BD">
              <w:t xml:space="preserve">requiring proper accounting </w:t>
            </w:r>
            <w:r w:rsidRPr="00196D16" w:rsidR="00497F10">
              <w:t>for</w:t>
            </w:r>
            <w:r w:rsidRPr="00196D16" w:rsidR="00F253BD">
              <w:t xml:space="preserve"> some $295</w:t>
            </w:r>
            <w:r w:rsidR="004152B8">
              <w:t> million</w:t>
            </w:r>
            <w:r w:rsidRPr="00196D16" w:rsidR="00F253BD">
              <w:t xml:space="preserve"> in</w:t>
            </w:r>
            <w:r w:rsidRPr="00196D16" w:rsidR="00EA1A90">
              <w:t xml:space="preserve"> 2025</w:t>
            </w:r>
            <w:r w:rsidR="004152B8">
              <w:noBreakHyphen/>
            </w:r>
            <w:r w:rsidRPr="00196D16" w:rsidR="00EA1A90">
              <w:t>2026</w:t>
            </w:r>
            <w:r w:rsidRPr="00196D16" w:rsidR="00497F10">
              <w:t xml:space="preserve"> A</w:t>
            </w:r>
            <w:r w:rsidRPr="00196D16" w:rsidR="00447037">
              <w:t>&amp;G costs</w:t>
            </w:r>
            <w:r w:rsidRPr="00196D16" w:rsidR="00AE403F">
              <w:t xml:space="preserve"> (</w:t>
            </w:r>
            <w:r w:rsidRPr="00196D16" w:rsidR="00217B6C">
              <w:t>as identified in</w:t>
            </w:r>
            <w:r w:rsidRPr="00196D16" w:rsidR="00AE403F">
              <w:t xml:space="preserve"> A4NR</w:t>
            </w:r>
            <w:r w:rsidR="004E6CFF">
              <w:t>’</w:t>
            </w:r>
            <w:r w:rsidRPr="00196D16" w:rsidR="00306D87">
              <w:t>s</w:t>
            </w:r>
            <w:r w:rsidRPr="00196D16" w:rsidR="00AE403F">
              <w:t xml:space="preserve"> Opening Brief</w:t>
            </w:r>
            <w:r w:rsidRPr="00196D16" w:rsidR="00306D87">
              <w:t xml:space="preserve"> at</w:t>
            </w:r>
            <w:r w:rsidR="00BA598C">
              <w:t xml:space="preserve"> p. </w:t>
            </w:r>
            <w:r w:rsidRPr="00196D16" w:rsidR="00AE403F">
              <w:t>6)</w:t>
            </w:r>
            <w:r w:rsidRPr="00196D16" w:rsidR="00447037">
              <w:t xml:space="preserve"> from </w:t>
            </w:r>
            <w:r w:rsidRPr="00196D16" w:rsidR="00447037">
              <w:lastRenderedPageBreak/>
              <w:t>PG&amp;E</w:t>
            </w:r>
            <w:r w:rsidR="004E6CFF">
              <w:t>’</w:t>
            </w:r>
            <w:r w:rsidRPr="00196D16" w:rsidR="00447037">
              <w:t>s forecast</w:t>
            </w:r>
            <w:r w:rsidRPr="00196D16" w:rsidR="00B749D1">
              <w:t xml:space="preserve">.  </w:t>
            </w:r>
            <w:r w:rsidRPr="00196D16" w:rsidR="0071236C">
              <w:t xml:space="preserve">These amounts are </w:t>
            </w:r>
            <w:r w:rsidRPr="00196D16" w:rsidR="00E536EC">
              <w:t>each many multiples of the cost of A4NR</w:t>
            </w:r>
            <w:r w:rsidR="004E6CFF">
              <w:t>’</w:t>
            </w:r>
            <w:r w:rsidRPr="00196D16" w:rsidR="00E536EC">
              <w:t xml:space="preserve">s participation </w:t>
            </w:r>
            <w:r w:rsidRPr="00196D16" w:rsidR="00AD6751">
              <w:t>in A.24</w:t>
            </w:r>
            <w:r w:rsidR="004152B8">
              <w:noBreakHyphen/>
            </w:r>
            <w:r w:rsidRPr="00196D16" w:rsidR="00AD6751">
              <w:t>03</w:t>
            </w:r>
            <w:r w:rsidR="004152B8">
              <w:noBreakHyphen/>
            </w:r>
            <w:r w:rsidRPr="00196D16" w:rsidR="00AD6751">
              <w:t>018</w:t>
            </w:r>
            <w:r w:rsidRPr="00196D16" w:rsidR="00B54626">
              <w:t xml:space="preserve"> and</w:t>
            </w:r>
            <w:r w:rsidR="00BA598C">
              <w:t xml:space="preserve"> – </w:t>
            </w:r>
            <w:r w:rsidRPr="00196D16" w:rsidR="00B54626">
              <w:t xml:space="preserve">without attaching a monetary value to the several </w:t>
            </w:r>
            <w:r w:rsidRPr="00196D16" w:rsidR="00CA1D0E">
              <w:t>forward</w:t>
            </w:r>
            <w:r w:rsidR="004152B8">
              <w:noBreakHyphen/>
            </w:r>
            <w:r w:rsidRPr="00196D16" w:rsidR="00CA1D0E">
              <w:t xml:space="preserve">looking </w:t>
            </w:r>
            <w:r w:rsidRPr="00196D16" w:rsidR="00B54626">
              <w:t>procedural safegua</w:t>
            </w:r>
            <w:r w:rsidRPr="00196D16" w:rsidR="00CA1D0E">
              <w:t>rds achieved by A4NR</w:t>
            </w:r>
            <w:r w:rsidR="004E6CFF">
              <w:t>’</w:t>
            </w:r>
            <w:r w:rsidRPr="00196D16" w:rsidR="00CA1D0E">
              <w:t>s intervention</w:t>
            </w:r>
            <w:r w:rsidR="00BA598C">
              <w:t xml:space="preserve"> – </w:t>
            </w:r>
            <w:r w:rsidRPr="00196D16" w:rsidR="00CA1D0E">
              <w:t xml:space="preserve">reinforce the cost reasonableness </w:t>
            </w:r>
            <w:r w:rsidRPr="00196D16" w:rsidR="004633EE">
              <w:t>of the effort.</w:t>
            </w:r>
            <w:r w:rsidRPr="00196D16" w:rsidR="00CA1D0E">
              <w:t xml:space="preserve"> </w:t>
            </w:r>
            <w:r w:rsidRPr="00196D16" w:rsidR="00E63152">
              <w:t xml:space="preserve"> </w:t>
            </w:r>
            <w:r w:rsidRPr="00196D16" w:rsidR="00F253BD">
              <w:t xml:space="preserve"> </w:t>
            </w:r>
            <w:r w:rsidRPr="00196D16" w:rsidR="00DC7515">
              <w:t xml:space="preserve"> </w:t>
            </w:r>
          </w:p>
        </w:tc>
        <w:tc>
          <w:tcPr>
            <w:tcW w:w="3065" w:type="dxa"/>
          </w:tcPr>
          <w:p w:rsidRPr="005577F7" w:rsidR="00FE3BAE" w:rsidP="00755CBB" w:rsidRDefault="00196D16" w14:paraId="223B4665" w14:textId="12C42E61">
            <w:pPr>
              <w:rPr>
                <w:color w:val="000000"/>
              </w:rPr>
            </w:pPr>
            <w:r>
              <w:rPr>
                <w:color w:val="000000"/>
              </w:rPr>
              <w:lastRenderedPageBreak/>
              <w:t>Noted</w:t>
            </w:r>
          </w:p>
        </w:tc>
      </w:tr>
      <w:tr w:rsidRPr="005577F7" w:rsidR="00FE3BAE" w:rsidTr="00EC3E84" w14:paraId="5548029C" w14:textId="77777777">
        <w:tc>
          <w:tcPr>
            <w:tcW w:w="6295" w:type="dxa"/>
          </w:tcPr>
          <w:p w:rsidRPr="005577F7" w:rsidR="00691528" w:rsidP="00290B7C" w:rsidRDefault="00FE3BAE" w14:paraId="694F0B63" w14:textId="2CD6F162">
            <w:pPr>
              <w:tabs>
                <w:tab w:val="left" w:pos="360"/>
              </w:tabs>
              <w:rPr>
                <w:color w:val="000000"/>
              </w:rPr>
            </w:pPr>
            <w:r w:rsidRPr="005577F7">
              <w:rPr>
                <w:b/>
                <w:color w:val="000000"/>
              </w:rPr>
              <w:t>b.</w:t>
            </w:r>
            <w:r w:rsidR="00290B7C">
              <w:rPr>
                <w:b/>
                <w:color w:val="000000"/>
              </w:rPr>
              <w:tab/>
            </w:r>
            <w:r w:rsidRPr="005577F7">
              <w:rPr>
                <w:b/>
                <w:color w:val="000000"/>
              </w:rPr>
              <w:t>Reasonableness of hours claimed:</w:t>
            </w:r>
            <w:r w:rsidRPr="005577F7" w:rsidR="00E25078">
              <w:rPr>
                <w:color w:val="000000"/>
              </w:rPr>
              <w:t xml:space="preserve"> </w:t>
            </w:r>
            <w:r w:rsidRPr="00196D16" w:rsidR="009B79E0">
              <w:t>With the exception of tax normalization, A4NR litigated every issue identified in the Assigned Commissioner</w:t>
            </w:r>
            <w:r w:rsidR="004E6CFF">
              <w:t>’</w:t>
            </w:r>
            <w:r w:rsidRPr="00196D16" w:rsidR="009B79E0">
              <w:t xml:space="preserve">s Scoping Memo and Ruling.  </w:t>
            </w:r>
            <w:r w:rsidRPr="00196D16" w:rsidR="00000D10">
              <w:t>A4NR</w:t>
            </w:r>
            <w:r w:rsidRPr="00196D16" w:rsidR="00C32A45">
              <w:t xml:space="preserve"> conducted six rounds of discovery, </w:t>
            </w:r>
            <w:r w:rsidRPr="00196D16" w:rsidR="00000D10">
              <w:t>sponsored comprehensive testimony on these issues, submitted Opening and Reply Briefs</w:t>
            </w:r>
            <w:r w:rsidRPr="00196D16" w:rsidR="000A7854">
              <w:t>, Opening and Reply Comments on PG&amp;E</w:t>
            </w:r>
            <w:r w:rsidR="004E6CFF">
              <w:t>’</w:t>
            </w:r>
            <w:r w:rsidRPr="00196D16" w:rsidR="000A7854">
              <w:t xml:space="preserve">s Fall Update, Opening and Reply Comments </w:t>
            </w:r>
            <w:r w:rsidRPr="00196D16" w:rsidR="00C923E6">
              <w:t xml:space="preserve">on the PD, as well as oral argument.  </w:t>
            </w:r>
            <w:r w:rsidRPr="00196D16" w:rsidR="00FE3B83">
              <w:t xml:space="preserve">This </w:t>
            </w:r>
            <w:r w:rsidRPr="00196D16" w:rsidR="00AC6FED">
              <w:t xml:space="preserve">required </w:t>
            </w:r>
            <w:r w:rsidRPr="00196D16" w:rsidR="00722879">
              <w:t>reasonable</w:t>
            </w:r>
            <w:r w:rsidRPr="00196D16" w:rsidR="00AC6FED">
              <w:t xml:space="preserve"> research and preparation</w:t>
            </w:r>
            <w:r w:rsidRPr="00196D16" w:rsidR="00485848">
              <w:t xml:space="preserve">, as contemplated by </w:t>
            </w:r>
            <w:r w:rsidR="004152B8">
              <w:t>Pub. Util.</w:t>
            </w:r>
            <w:r w:rsidRPr="00196D16" w:rsidR="00485848">
              <w:t xml:space="preserve"> Code </w:t>
            </w:r>
            <w:r w:rsidR="00F87F1A">
              <w:t>Sections </w:t>
            </w:r>
            <w:r w:rsidRPr="00196D16" w:rsidR="00485848">
              <w:t>1802(a)</w:t>
            </w:r>
            <w:r w:rsidRPr="00196D16" w:rsidR="00AD14B9">
              <w:t xml:space="preserve"> and 1803</w:t>
            </w:r>
            <w:r w:rsidRPr="00196D16" w:rsidR="00485848">
              <w:t>,</w:t>
            </w:r>
            <w:r w:rsidRPr="00196D16" w:rsidR="00AC6FED">
              <w:t xml:space="preserve"> </w:t>
            </w:r>
            <w:r w:rsidRPr="00196D16" w:rsidR="00470A3F">
              <w:t xml:space="preserve">to meet the standards of professionalism and </w:t>
            </w:r>
            <w:r w:rsidRPr="00196D16" w:rsidR="0006578E">
              <w:t xml:space="preserve">accuracy expected by the Commission </w:t>
            </w:r>
            <w:r w:rsidRPr="00196D16" w:rsidR="00B46167">
              <w:t xml:space="preserve">for both evidence and argument, </w:t>
            </w:r>
            <w:r w:rsidRPr="00196D16" w:rsidR="00DE3221">
              <w:t>including</w:t>
            </w:r>
            <w:r w:rsidRPr="00196D16" w:rsidR="00B80668">
              <w:t xml:space="preserve"> </w:t>
            </w:r>
            <w:r w:rsidRPr="00196D16" w:rsidR="00B07160">
              <w:t>analyses</w:t>
            </w:r>
            <w:r w:rsidRPr="00196D16" w:rsidR="00C55F70">
              <w:t xml:space="preserve"> </w:t>
            </w:r>
            <w:r w:rsidRPr="00196D16" w:rsidR="00431A11">
              <w:t>of</w:t>
            </w:r>
            <w:r w:rsidRPr="00196D16" w:rsidR="00B07160">
              <w:t xml:space="preserve"> the cost</w:t>
            </w:r>
            <w:r w:rsidR="004152B8">
              <w:noBreakHyphen/>
            </w:r>
            <w:r w:rsidRPr="00196D16" w:rsidR="00B07160">
              <w:t>effectiveness</w:t>
            </w:r>
            <w:r w:rsidRPr="00196D16" w:rsidR="00A36BCF">
              <w:t xml:space="preserve"> of</w:t>
            </w:r>
            <w:r w:rsidRPr="00196D16" w:rsidR="00431A11">
              <w:t xml:space="preserve"> Diablo Canyon</w:t>
            </w:r>
            <w:r w:rsidR="004E6CFF">
              <w:t>’</w:t>
            </w:r>
            <w:r w:rsidRPr="00196D16" w:rsidR="00431A11">
              <w:t xml:space="preserve">s contribution to </w:t>
            </w:r>
            <w:r w:rsidRPr="00196D16" w:rsidR="00D95C86">
              <w:t>system reliability</w:t>
            </w:r>
            <w:r w:rsidRPr="00196D16" w:rsidR="001011F4">
              <w:t xml:space="preserve"> </w:t>
            </w:r>
            <w:r w:rsidRPr="00196D16" w:rsidR="00A36BCF">
              <w:t xml:space="preserve">and GHG emission reductions </w:t>
            </w:r>
            <w:r w:rsidRPr="00196D16" w:rsidR="001011F4">
              <w:t xml:space="preserve">during </w:t>
            </w:r>
            <w:r w:rsidRPr="00196D16" w:rsidR="00ED04AA">
              <w:t>extended operations.  The tangible financial benefit</w:t>
            </w:r>
            <w:r w:rsidRPr="00196D16" w:rsidR="00896F09">
              <w:t>s to ratepayers attributable to A4NR</w:t>
            </w:r>
            <w:r w:rsidR="004E6CFF">
              <w:t>’</w:t>
            </w:r>
            <w:r w:rsidRPr="00196D16" w:rsidR="00896F09">
              <w:t xml:space="preserve">s intervention </w:t>
            </w:r>
            <w:r w:rsidRPr="00196D16" w:rsidR="00E07B3B">
              <w:t xml:space="preserve">confirm the </w:t>
            </w:r>
            <w:r w:rsidRPr="00196D16" w:rsidR="002C7D4C">
              <w:t xml:space="preserve">reasonableness of the </w:t>
            </w:r>
            <w:r w:rsidRPr="00196D16" w:rsidR="00DE14AB">
              <w:t>hours expended.</w:t>
            </w:r>
          </w:p>
        </w:tc>
        <w:tc>
          <w:tcPr>
            <w:tcW w:w="3065" w:type="dxa"/>
          </w:tcPr>
          <w:p w:rsidRPr="005577F7" w:rsidR="00FE3BAE" w:rsidP="00755CBB" w:rsidRDefault="00196D16" w14:paraId="1874D625" w14:textId="16DDA7F4">
            <w:pPr>
              <w:rPr>
                <w:color w:val="000000"/>
              </w:rPr>
            </w:pPr>
            <w:r>
              <w:rPr>
                <w:color w:val="000000"/>
              </w:rPr>
              <w:t>Noted</w:t>
            </w:r>
          </w:p>
        </w:tc>
      </w:tr>
      <w:tr w:rsidRPr="005577F7" w:rsidR="00FE3BAE" w:rsidTr="00EC3E84" w14:paraId="3FD38B74" w14:textId="77777777">
        <w:tc>
          <w:tcPr>
            <w:tcW w:w="6295" w:type="dxa"/>
          </w:tcPr>
          <w:p w:rsidRPr="004277DF" w:rsidR="00691528" w:rsidP="00290B7C" w:rsidRDefault="00FE3BAE" w14:paraId="3285939A" w14:textId="3BBD3EDC">
            <w:pPr>
              <w:tabs>
                <w:tab w:val="left" w:pos="360"/>
              </w:tabs>
              <w:rPr>
                <w:b/>
                <w:bCs/>
                <w:color w:val="000000"/>
              </w:rPr>
            </w:pPr>
            <w:r w:rsidRPr="005577F7">
              <w:rPr>
                <w:b/>
                <w:color w:val="000000"/>
              </w:rPr>
              <w:t>c.</w:t>
            </w:r>
            <w:r w:rsidR="00290B7C">
              <w:rPr>
                <w:b/>
                <w:color w:val="000000"/>
              </w:rPr>
              <w:tab/>
            </w:r>
            <w:r w:rsidRPr="005577F7">
              <w:rPr>
                <w:b/>
                <w:color w:val="000000"/>
              </w:rPr>
              <w:t>Allocation of hours by issue:</w:t>
            </w:r>
            <w:r w:rsidRPr="005577F7" w:rsidR="00E25078">
              <w:rPr>
                <w:color w:val="000000"/>
              </w:rPr>
              <w:t xml:space="preserve"> </w:t>
            </w:r>
            <w:r w:rsidRPr="002011A6" w:rsidR="003B73F7">
              <w:t xml:space="preserve">(1) </w:t>
            </w:r>
            <w:r w:rsidRPr="002011A6" w:rsidR="006672BA">
              <w:t>PG&amp;E forecast revenue requirement</w:t>
            </w:r>
            <w:r w:rsidRPr="002011A6" w:rsidR="00CD5D6B">
              <w:t xml:space="preserve">, </w:t>
            </w:r>
            <w:r w:rsidRPr="002011A6" w:rsidR="002A1FAB">
              <w:t>21</w:t>
            </w:r>
            <w:r w:rsidRPr="002011A6" w:rsidR="00690062">
              <w:t>1.82</w:t>
            </w:r>
            <w:r w:rsidRPr="002011A6" w:rsidR="002A1FAB">
              <w:t xml:space="preserve">8 </w:t>
            </w:r>
            <w:r w:rsidRPr="002011A6" w:rsidR="00CD5D6B">
              <w:t xml:space="preserve">hours, </w:t>
            </w:r>
            <w:r w:rsidRPr="002011A6" w:rsidR="007871C7">
              <w:t>36.</w:t>
            </w:r>
            <w:r w:rsidRPr="002011A6" w:rsidR="001D7855">
              <w:t>01</w:t>
            </w:r>
            <w:r w:rsidRPr="002011A6" w:rsidR="00A41A93">
              <w:t xml:space="preserve"> </w:t>
            </w:r>
            <w:r w:rsidRPr="002011A6" w:rsidR="00CD5D6B">
              <w:t>%</w:t>
            </w:r>
            <w:r w:rsidRPr="002011A6" w:rsidR="008D2DFE">
              <w:t xml:space="preserve">; (2) </w:t>
            </w:r>
            <w:r w:rsidRPr="002011A6" w:rsidR="00811850">
              <w:t>PG&amp;E proposed reallocation of RA and GHG attributes</w:t>
            </w:r>
            <w:r w:rsidRPr="002011A6" w:rsidR="00CD5D6B">
              <w:t xml:space="preserve">, </w:t>
            </w:r>
            <w:r w:rsidRPr="002011A6" w:rsidR="000442D0">
              <w:t>50.11</w:t>
            </w:r>
            <w:r w:rsidRPr="002011A6" w:rsidR="00ED064F">
              <w:t xml:space="preserve">05 </w:t>
            </w:r>
            <w:r w:rsidRPr="002011A6" w:rsidR="00CD5D6B">
              <w:t xml:space="preserve">hours, </w:t>
            </w:r>
            <w:r w:rsidRPr="002011A6" w:rsidR="00D07B5C">
              <w:t>8.</w:t>
            </w:r>
            <w:r w:rsidRPr="002011A6" w:rsidR="00E455D0">
              <w:t>52</w:t>
            </w:r>
            <w:r w:rsidRPr="002011A6" w:rsidR="00A41A93">
              <w:t xml:space="preserve"> </w:t>
            </w:r>
            <w:r w:rsidRPr="002011A6" w:rsidR="00CD5D6B">
              <w:t>%</w:t>
            </w:r>
            <w:r w:rsidRPr="002011A6" w:rsidR="00811850">
              <w:t xml:space="preserve">; (3) PG&amp;E </w:t>
            </w:r>
            <w:r w:rsidRPr="002011A6" w:rsidR="00BA331C">
              <w:t>proposed VPF spending plan</w:t>
            </w:r>
            <w:r w:rsidRPr="002011A6" w:rsidR="00CD5D6B">
              <w:t xml:space="preserve">, </w:t>
            </w:r>
            <w:r w:rsidRPr="002011A6" w:rsidR="00734DCB">
              <w:t>5</w:t>
            </w:r>
            <w:r w:rsidRPr="002011A6" w:rsidR="00F651BE">
              <w:t>8</w:t>
            </w:r>
            <w:r w:rsidRPr="002011A6" w:rsidR="00734DCB">
              <w:t>.</w:t>
            </w:r>
            <w:r w:rsidRPr="002011A6" w:rsidR="00F651BE">
              <w:t>81</w:t>
            </w:r>
            <w:r w:rsidRPr="002011A6" w:rsidR="00734DCB">
              <w:t>25</w:t>
            </w:r>
            <w:r w:rsidRPr="002011A6" w:rsidR="002553F9">
              <w:t xml:space="preserve"> </w:t>
            </w:r>
            <w:r w:rsidRPr="002011A6" w:rsidR="0066157B">
              <w:t xml:space="preserve">hours, </w:t>
            </w:r>
            <w:r w:rsidRPr="002011A6" w:rsidR="002553F9">
              <w:t>9.</w:t>
            </w:r>
            <w:r w:rsidRPr="002011A6" w:rsidR="00E455D0">
              <w:t>99</w:t>
            </w:r>
            <w:r w:rsidRPr="002011A6" w:rsidR="00A41A93">
              <w:t xml:space="preserve"> </w:t>
            </w:r>
            <w:r w:rsidRPr="002011A6" w:rsidR="0066157B">
              <w:t>%</w:t>
            </w:r>
            <w:r w:rsidRPr="002011A6" w:rsidR="00BA331C">
              <w:t>; (4) compliance with D.23</w:t>
            </w:r>
            <w:r w:rsidR="004152B8">
              <w:noBreakHyphen/>
            </w:r>
            <w:r w:rsidRPr="002011A6" w:rsidR="00BA331C">
              <w:t>12</w:t>
            </w:r>
            <w:r w:rsidR="004152B8">
              <w:noBreakHyphen/>
            </w:r>
            <w:r w:rsidRPr="002011A6" w:rsidR="00BA331C">
              <w:t>036 and D.22</w:t>
            </w:r>
            <w:r w:rsidR="004152B8">
              <w:noBreakHyphen/>
            </w:r>
            <w:r w:rsidRPr="002011A6" w:rsidR="00BA331C">
              <w:t>12</w:t>
            </w:r>
            <w:r w:rsidR="004152B8">
              <w:noBreakHyphen/>
            </w:r>
            <w:r w:rsidRPr="002011A6" w:rsidR="00BA331C">
              <w:t>005</w:t>
            </w:r>
            <w:r w:rsidRPr="002011A6" w:rsidR="003D6607">
              <w:t xml:space="preserve">, </w:t>
            </w:r>
            <w:r w:rsidRPr="002011A6" w:rsidR="006819A8">
              <w:t>20</w:t>
            </w:r>
            <w:r w:rsidRPr="002011A6" w:rsidR="00287D33">
              <w:t>7</w:t>
            </w:r>
            <w:r w:rsidRPr="002011A6" w:rsidR="006819A8">
              <w:t>.</w:t>
            </w:r>
            <w:r w:rsidRPr="002011A6" w:rsidR="00287D33">
              <w:t>19</w:t>
            </w:r>
            <w:r w:rsidRPr="002011A6" w:rsidR="006819A8">
              <w:t xml:space="preserve">9 </w:t>
            </w:r>
            <w:r w:rsidRPr="002011A6" w:rsidR="003D6607">
              <w:t>hours,</w:t>
            </w:r>
            <w:r w:rsidRPr="002011A6" w:rsidR="00B255FD">
              <w:t xml:space="preserve"> 35.</w:t>
            </w:r>
            <w:r w:rsidRPr="002011A6" w:rsidR="002D47B3">
              <w:t>23</w:t>
            </w:r>
            <w:r w:rsidRPr="002011A6" w:rsidR="003D6607">
              <w:t xml:space="preserve"> %</w:t>
            </w:r>
            <w:r w:rsidRPr="002011A6" w:rsidR="009F6C9F">
              <w:t xml:space="preserve">; </w:t>
            </w:r>
            <w:r w:rsidRPr="002011A6" w:rsidR="00417715">
              <w:t xml:space="preserve">and (5) </w:t>
            </w:r>
            <w:r w:rsidRPr="002011A6" w:rsidR="009F6C9F">
              <w:t xml:space="preserve">general (including </w:t>
            </w:r>
            <w:r w:rsidRPr="002011A6" w:rsidR="007F292C">
              <w:t xml:space="preserve">travel and </w:t>
            </w:r>
            <w:r w:rsidRPr="002011A6" w:rsidR="006769D1">
              <w:t>claim preparation)</w:t>
            </w:r>
            <w:r w:rsidRPr="002011A6" w:rsidR="003D6607">
              <w:t>,</w:t>
            </w:r>
            <w:r w:rsidRPr="002011A6" w:rsidR="00F20DE0">
              <w:t xml:space="preserve"> 60.25</w:t>
            </w:r>
            <w:r w:rsidRPr="002011A6" w:rsidR="003D6607">
              <w:t xml:space="preserve"> hours, </w:t>
            </w:r>
            <w:r w:rsidRPr="002011A6" w:rsidR="00013E07">
              <w:t>10.</w:t>
            </w:r>
            <w:r w:rsidRPr="002011A6" w:rsidR="002D47B3">
              <w:t>2</w:t>
            </w:r>
            <w:r w:rsidRPr="002011A6" w:rsidR="00013E07">
              <w:t xml:space="preserve">4 </w:t>
            </w:r>
            <w:r w:rsidRPr="002011A6" w:rsidR="003D6607">
              <w:t>%</w:t>
            </w:r>
            <w:r w:rsidRPr="002011A6" w:rsidR="006769D1">
              <w:t>.</w:t>
            </w:r>
            <w:r w:rsidRPr="002011A6" w:rsidR="00013E07">
              <w:t xml:space="preserve">  Percentages sum to </w:t>
            </w:r>
            <w:r w:rsidRPr="002011A6" w:rsidR="007F292C">
              <w:t>99.</w:t>
            </w:r>
            <w:r w:rsidRPr="002011A6" w:rsidR="001D7855">
              <w:t>99</w:t>
            </w:r>
            <w:r w:rsidRPr="002011A6" w:rsidR="007F292C">
              <w:t xml:space="preserve"> % due to rounding.</w:t>
            </w:r>
          </w:p>
        </w:tc>
        <w:tc>
          <w:tcPr>
            <w:tcW w:w="3065" w:type="dxa"/>
          </w:tcPr>
          <w:p w:rsidR="00FE3BAE" w:rsidP="00290B7C" w:rsidRDefault="00953333" w14:paraId="0016DCDB" w14:textId="2B782093">
            <w:pPr>
              <w:spacing w:after="240"/>
              <w:rPr>
                <w:color w:val="000000"/>
              </w:rPr>
            </w:pPr>
            <w:r>
              <w:rPr>
                <w:color w:val="000000"/>
              </w:rPr>
              <w:t>Noted</w:t>
            </w:r>
            <w:r w:rsidR="00E240AD">
              <w:rPr>
                <w:color w:val="000000"/>
              </w:rPr>
              <w:t xml:space="preserve">. However, the </w:t>
            </w:r>
            <w:r w:rsidR="00C66438">
              <w:rPr>
                <w:color w:val="000000"/>
              </w:rPr>
              <w:t>spreadsheet submitted by A4NR shows that the numbers</w:t>
            </w:r>
            <w:r w:rsidR="00F83E0A">
              <w:rPr>
                <w:color w:val="000000"/>
              </w:rPr>
              <w:t xml:space="preserve"> here</w:t>
            </w:r>
            <w:r w:rsidR="00C66438">
              <w:rPr>
                <w:color w:val="000000"/>
              </w:rPr>
              <w:t xml:space="preserve"> were rounded by the</w:t>
            </w:r>
            <w:r w:rsidR="00C6378B">
              <w:rPr>
                <w:color w:val="000000"/>
              </w:rPr>
              <w:t xml:space="preserve">ir </w:t>
            </w:r>
            <w:r w:rsidR="00480AD6">
              <w:rPr>
                <w:color w:val="000000"/>
              </w:rPr>
              <w:t>software</w:t>
            </w:r>
            <w:r w:rsidR="003D0D85">
              <w:rPr>
                <w:color w:val="000000"/>
              </w:rPr>
              <w:t xml:space="preserve">. After </w:t>
            </w:r>
            <w:r w:rsidR="00A4181E">
              <w:rPr>
                <w:color w:val="000000"/>
              </w:rPr>
              <w:t>moving the decimal point to the 10,000</w:t>
            </w:r>
            <w:r w:rsidRPr="00A4181E" w:rsidR="00A4181E">
              <w:rPr>
                <w:color w:val="000000"/>
                <w:vertAlign w:val="superscript"/>
              </w:rPr>
              <w:t>th</w:t>
            </w:r>
            <w:r w:rsidR="00A4181E">
              <w:rPr>
                <w:color w:val="000000"/>
              </w:rPr>
              <w:t xml:space="preserve"> </w:t>
            </w:r>
            <w:r w:rsidR="00542491">
              <w:rPr>
                <w:color w:val="000000"/>
              </w:rPr>
              <w:t>place</w:t>
            </w:r>
            <w:r w:rsidR="000E2821">
              <w:rPr>
                <w:color w:val="000000"/>
              </w:rPr>
              <w:t xml:space="preserve"> for all timesheet entries</w:t>
            </w:r>
            <w:r w:rsidR="00542491">
              <w:rPr>
                <w:color w:val="000000"/>
              </w:rPr>
              <w:t xml:space="preserve">, we came to the following totals for the issues: </w:t>
            </w:r>
          </w:p>
          <w:p w:rsidRPr="008715C6" w:rsidR="00542491" w:rsidP="00755CBB" w:rsidRDefault="00AA6D22" w14:paraId="58B3B779" w14:textId="01927D8B">
            <w:pPr>
              <w:pStyle w:val="ListParagraph"/>
              <w:numPr>
                <w:ilvl w:val="0"/>
                <w:numId w:val="12"/>
              </w:numPr>
              <w:rPr>
                <w:rFonts w:ascii="Times New Roman" w:hAnsi="Times New Roman"/>
                <w:color w:val="000000"/>
                <w:sz w:val="24"/>
                <w:szCs w:val="24"/>
              </w:rPr>
            </w:pPr>
            <w:r w:rsidRPr="008715C6">
              <w:rPr>
                <w:rFonts w:ascii="Times New Roman" w:hAnsi="Times New Roman"/>
                <w:color w:val="000000"/>
                <w:sz w:val="24"/>
                <w:szCs w:val="24"/>
              </w:rPr>
              <w:t>211.8255 hours</w:t>
            </w:r>
          </w:p>
          <w:p w:rsidRPr="008715C6" w:rsidR="00AA6D22" w:rsidP="00755CBB" w:rsidRDefault="008715C6" w14:paraId="51456BC6" w14:textId="77777777">
            <w:pPr>
              <w:pStyle w:val="ListParagraph"/>
              <w:numPr>
                <w:ilvl w:val="0"/>
                <w:numId w:val="12"/>
              </w:numPr>
              <w:rPr>
                <w:rFonts w:ascii="Times New Roman" w:hAnsi="Times New Roman"/>
                <w:color w:val="000000"/>
                <w:sz w:val="24"/>
                <w:szCs w:val="24"/>
              </w:rPr>
            </w:pPr>
            <w:r w:rsidRPr="008715C6">
              <w:rPr>
                <w:rFonts w:ascii="Times New Roman" w:hAnsi="Times New Roman"/>
                <w:color w:val="000000"/>
                <w:sz w:val="24"/>
                <w:szCs w:val="24"/>
              </w:rPr>
              <w:t>50.113 hours</w:t>
            </w:r>
          </w:p>
          <w:p w:rsidRPr="008715C6" w:rsidR="008715C6" w:rsidP="00755CBB" w:rsidRDefault="008715C6" w14:paraId="68EAFC68" w14:textId="77777777">
            <w:pPr>
              <w:pStyle w:val="ListParagraph"/>
              <w:numPr>
                <w:ilvl w:val="0"/>
                <w:numId w:val="12"/>
              </w:numPr>
              <w:rPr>
                <w:rFonts w:ascii="Times New Roman" w:hAnsi="Times New Roman"/>
                <w:color w:val="000000"/>
                <w:sz w:val="24"/>
                <w:szCs w:val="24"/>
              </w:rPr>
            </w:pPr>
            <w:r w:rsidRPr="008715C6">
              <w:rPr>
                <w:rFonts w:ascii="Times New Roman" w:hAnsi="Times New Roman"/>
                <w:color w:val="000000"/>
                <w:sz w:val="24"/>
                <w:szCs w:val="24"/>
              </w:rPr>
              <w:t>58.815 hours</w:t>
            </w:r>
          </w:p>
          <w:p w:rsidR="008715C6" w:rsidP="00755CBB" w:rsidRDefault="008715C6" w14:paraId="637AE583" w14:textId="77777777">
            <w:pPr>
              <w:pStyle w:val="ListParagraph"/>
              <w:numPr>
                <w:ilvl w:val="0"/>
                <w:numId w:val="12"/>
              </w:numPr>
              <w:rPr>
                <w:rFonts w:ascii="Times New Roman" w:hAnsi="Times New Roman"/>
                <w:color w:val="000000"/>
                <w:sz w:val="24"/>
                <w:szCs w:val="24"/>
              </w:rPr>
            </w:pPr>
            <w:r w:rsidRPr="008715C6">
              <w:rPr>
                <w:rFonts w:ascii="Times New Roman" w:hAnsi="Times New Roman"/>
                <w:color w:val="000000"/>
                <w:sz w:val="24"/>
                <w:szCs w:val="24"/>
              </w:rPr>
              <w:t>207.2015 hours</w:t>
            </w:r>
          </w:p>
          <w:p w:rsidR="00905B3F" w:rsidP="008B7854" w:rsidRDefault="00905B3F" w14:paraId="06F77633" w14:textId="02C76F58">
            <w:pPr>
              <w:pStyle w:val="ListParagraph"/>
              <w:numPr>
                <w:ilvl w:val="0"/>
                <w:numId w:val="12"/>
              </w:numPr>
              <w:spacing w:after="240"/>
              <w:rPr>
                <w:rFonts w:ascii="Times New Roman" w:hAnsi="Times New Roman"/>
                <w:color w:val="000000"/>
                <w:sz w:val="24"/>
                <w:szCs w:val="24"/>
              </w:rPr>
            </w:pPr>
            <w:r>
              <w:rPr>
                <w:rFonts w:ascii="Times New Roman" w:hAnsi="Times New Roman"/>
                <w:color w:val="000000"/>
                <w:sz w:val="24"/>
                <w:szCs w:val="24"/>
              </w:rPr>
              <w:t>60.25 hours</w:t>
            </w:r>
          </w:p>
          <w:p w:rsidR="00092576" w:rsidP="00290B7C" w:rsidRDefault="008715C6" w14:paraId="1FBDF5D5" w14:textId="77777777">
            <w:pPr>
              <w:spacing w:after="240"/>
              <w:rPr>
                <w:color w:val="000000"/>
              </w:rPr>
            </w:pPr>
            <w:r>
              <w:rPr>
                <w:color w:val="000000"/>
              </w:rPr>
              <w:t>Th</w:t>
            </w:r>
            <w:r w:rsidR="00B75A91">
              <w:rPr>
                <w:color w:val="000000"/>
              </w:rPr>
              <w:t>is results in three separate total hours being requested by A4NR. Here the total is 588.20</w:t>
            </w:r>
            <w:r w:rsidR="002067F1">
              <w:rPr>
                <w:color w:val="000000"/>
              </w:rPr>
              <w:t>0</w:t>
            </w:r>
            <w:r w:rsidR="00B75A91">
              <w:rPr>
                <w:color w:val="000000"/>
              </w:rPr>
              <w:t xml:space="preserve"> hours</w:t>
            </w:r>
            <w:r w:rsidR="0086604C">
              <w:rPr>
                <w:color w:val="000000"/>
              </w:rPr>
              <w:t xml:space="preserve">, </w:t>
            </w:r>
            <w:r w:rsidR="001C4B04">
              <w:rPr>
                <w:color w:val="000000"/>
              </w:rPr>
              <w:t>t</w:t>
            </w:r>
            <w:r w:rsidR="0086604C">
              <w:rPr>
                <w:color w:val="000000"/>
              </w:rPr>
              <w:t xml:space="preserve">he total from </w:t>
            </w:r>
            <w:r w:rsidR="0086604C">
              <w:rPr>
                <w:color w:val="000000"/>
              </w:rPr>
              <w:lastRenderedPageBreak/>
              <w:t>the spreadsheet is 588.205 hours</w:t>
            </w:r>
            <w:r w:rsidR="001C4B04">
              <w:rPr>
                <w:color w:val="000000"/>
              </w:rPr>
              <w:t>, and the total in Part III.B is 588.21</w:t>
            </w:r>
            <w:r w:rsidR="002067F1">
              <w:rPr>
                <w:color w:val="000000"/>
              </w:rPr>
              <w:t>0</w:t>
            </w:r>
            <w:r w:rsidR="001C4B04">
              <w:rPr>
                <w:color w:val="000000"/>
              </w:rPr>
              <w:t xml:space="preserve"> hours. </w:t>
            </w:r>
          </w:p>
          <w:p w:rsidR="00947606" w:rsidP="00290B7C" w:rsidRDefault="00092576" w14:paraId="2FE02592" w14:textId="1DE14CDD">
            <w:pPr>
              <w:spacing w:after="240"/>
              <w:rPr>
                <w:color w:val="000000"/>
              </w:rPr>
            </w:pPr>
            <w:r>
              <w:rPr>
                <w:color w:val="000000"/>
              </w:rPr>
              <w:t xml:space="preserve">We find that the difference between the total hours </w:t>
            </w:r>
            <w:r w:rsidR="00787565">
              <w:rPr>
                <w:color w:val="000000"/>
              </w:rPr>
              <w:t xml:space="preserve">in </w:t>
            </w:r>
            <w:r>
              <w:rPr>
                <w:color w:val="000000"/>
              </w:rPr>
              <w:t>A4NR</w:t>
            </w:r>
            <w:r w:rsidR="004E6CFF">
              <w:rPr>
                <w:color w:val="000000"/>
              </w:rPr>
              <w:t>’</w:t>
            </w:r>
            <w:r>
              <w:rPr>
                <w:color w:val="000000"/>
              </w:rPr>
              <w:t xml:space="preserve">s spreadsheet and </w:t>
            </w:r>
            <w:r w:rsidR="0015599C">
              <w:rPr>
                <w:color w:val="000000"/>
              </w:rPr>
              <w:t>Part III.B are due to</w:t>
            </w:r>
            <w:r w:rsidR="009F0F10">
              <w:rPr>
                <w:color w:val="000000"/>
              </w:rPr>
              <w:t xml:space="preserve"> a</w:t>
            </w:r>
            <w:r w:rsidR="0015599C">
              <w:rPr>
                <w:color w:val="000000"/>
              </w:rPr>
              <w:t xml:space="preserve"> rounding difference</w:t>
            </w:r>
            <w:r w:rsidR="00A77832">
              <w:rPr>
                <w:color w:val="000000"/>
              </w:rPr>
              <w:t xml:space="preserve"> in </w:t>
            </w:r>
            <w:r w:rsidR="009F0F10">
              <w:rPr>
                <w:color w:val="000000"/>
              </w:rPr>
              <w:t>a</w:t>
            </w:r>
            <w:r w:rsidR="002067F1">
              <w:rPr>
                <w:color w:val="000000"/>
              </w:rPr>
              <w:t xml:space="preserve"> </w:t>
            </w:r>
            <w:r w:rsidR="009F0F10">
              <w:rPr>
                <w:color w:val="000000"/>
              </w:rPr>
              <w:t xml:space="preserve">timesheet </w:t>
            </w:r>
            <w:r w:rsidR="002067F1">
              <w:rPr>
                <w:color w:val="000000"/>
              </w:rPr>
              <w:t>entry</w:t>
            </w:r>
            <w:r w:rsidR="0013456B">
              <w:rPr>
                <w:color w:val="000000"/>
              </w:rPr>
              <w:t xml:space="preserve"> for Weisman</w:t>
            </w:r>
            <w:r w:rsidR="002067F1">
              <w:rPr>
                <w:color w:val="000000"/>
              </w:rPr>
              <w:t xml:space="preserve"> on </w:t>
            </w:r>
            <w:r w:rsidR="0013456B">
              <w:rPr>
                <w:color w:val="000000"/>
              </w:rPr>
              <w:t xml:space="preserve">12/12/24 with the task description </w:t>
            </w:r>
            <w:r w:rsidR="004E6CFF">
              <w:rPr>
                <w:color w:val="000000"/>
              </w:rPr>
              <w:t>“</w:t>
            </w:r>
            <w:r w:rsidRPr="004422DA" w:rsidR="004422DA">
              <w:rPr>
                <w:color w:val="000000"/>
              </w:rPr>
              <w:t>ex parte w. Atty., A. Reynolds</w:t>
            </w:r>
            <w:r w:rsidR="004E6CFF">
              <w:rPr>
                <w:color w:val="000000"/>
              </w:rPr>
              <w:t>’</w:t>
            </w:r>
            <w:r w:rsidRPr="004422DA" w:rsidR="004422DA">
              <w:rPr>
                <w:color w:val="000000"/>
              </w:rPr>
              <w:t xml:space="preserve"> and Douglas</w:t>
            </w:r>
            <w:r w:rsidR="004E6CFF">
              <w:rPr>
                <w:color w:val="000000"/>
              </w:rPr>
              <w:t>’</w:t>
            </w:r>
            <w:r w:rsidRPr="004422DA" w:rsidR="004422DA">
              <w:rPr>
                <w:color w:val="000000"/>
              </w:rPr>
              <w:t xml:space="preserve"> staffs</w:t>
            </w:r>
            <w:r w:rsidR="00617F46">
              <w:rPr>
                <w:color w:val="000000"/>
              </w:rPr>
              <w:t>.</w:t>
            </w:r>
            <w:r w:rsidR="004E6CFF">
              <w:rPr>
                <w:color w:val="000000"/>
              </w:rPr>
              <w:t>”</w:t>
            </w:r>
            <w:r w:rsidR="009F0F10">
              <w:rPr>
                <w:color w:val="000000"/>
              </w:rPr>
              <w:t xml:space="preserve"> </w:t>
            </w:r>
            <w:r w:rsidR="0052279C">
              <w:rPr>
                <w:color w:val="000000"/>
              </w:rPr>
              <w:t xml:space="preserve">When the spreadsheet is expanded </w:t>
            </w:r>
            <w:r w:rsidR="00C6378B">
              <w:rPr>
                <w:color w:val="000000"/>
              </w:rPr>
              <w:t>to</w:t>
            </w:r>
            <w:r w:rsidR="0052279C">
              <w:rPr>
                <w:color w:val="000000"/>
              </w:rPr>
              <w:t xml:space="preserve"> </w:t>
            </w:r>
            <w:r w:rsidR="00C6378B">
              <w:rPr>
                <w:color w:val="000000"/>
              </w:rPr>
              <w:t xml:space="preserve">the </w:t>
            </w:r>
            <w:r w:rsidR="00B33406">
              <w:rPr>
                <w:color w:val="000000"/>
              </w:rPr>
              <w:t>1</w:t>
            </w:r>
            <w:r w:rsidR="00244A1D">
              <w:rPr>
                <w:color w:val="000000"/>
              </w:rPr>
              <w:t>0</w:t>
            </w:r>
            <w:r w:rsidR="00B33406">
              <w:rPr>
                <w:color w:val="000000"/>
              </w:rPr>
              <w:t>,000</w:t>
            </w:r>
            <w:r w:rsidRPr="00B33406" w:rsidR="00B33406">
              <w:rPr>
                <w:color w:val="000000"/>
                <w:vertAlign w:val="superscript"/>
              </w:rPr>
              <w:t>th</w:t>
            </w:r>
            <w:r w:rsidR="00B33406">
              <w:rPr>
                <w:color w:val="000000"/>
              </w:rPr>
              <w:t xml:space="preserve"> decimal point for this entry, Issue 1 shows a total of </w:t>
            </w:r>
            <w:r w:rsidR="00244A1D">
              <w:rPr>
                <w:color w:val="000000"/>
              </w:rPr>
              <w:t>0.125</w:t>
            </w:r>
            <w:r w:rsidR="00D636B5">
              <w:rPr>
                <w:color w:val="000000"/>
              </w:rPr>
              <w:t>0</w:t>
            </w:r>
            <w:r w:rsidR="00244A1D">
              <w:rPr>
                <w:color w:val="000000"/>
              </w:rPr>
              <w:t xml:space="preserve"> hours, instead of</w:t>
            </w:r>
            <w:r w:rsidR="00C6378B">
              <w:rPr>
                <w:color w:val="000000"/>
              </w:rPr>
              <w:t xml:space="preserve"> the</w:t>
            </w:r>
            <w:r w:rsidR="00244A1D">
              <w:rPr>
                <w:color w:val="000000"/>
              </w:rPr>
              <w:t xml:space="preserve"> 0.13</w:t>
            </w:r>
            <w:r w:rsidR="00D636B5">
              <w:rPr>
                <w:color w:val="000000"/>
              </w:rPr>
              <w:t>00</w:t>
            </w:r>
            <w:r w:rsidR="00244A1D">
              <w:rPr>
                <w:color w:val="000000"/>
              </w:rPr>
              <w:t xml:space="preserve"> hours</w:t>
            </w:r>
            <w:r w:rsidR="00C6378B">
              <w:rPr>
                <w:color w:val="000000"/>
              </w:rPr>
              <w:t xml:space="preserve"> in the PDF submitted as Attachment</w:t>
            </w:r>
            <w:r w:rsidR="007A0B68">
              <w:rPr>
                <w:color w:val="000000"/>
              </w:rPr>
              <w:t xml:space="preserve"> 3</w:t>
            </w:r>
            <w:r w:rsidR="00244A1D">
              <w:rPr>
                <w:color w:val="000000"/>
              </w:rPr>
              <w:t xml:space="preserve">. </w:t>
            </w:r>
            <w:r w:rsidR="00D636B5">
              <w:rPr>
                <w:color w:val="000000"/>
              </w:rPr>
              <w:t>This resulted in a difference of 0.0</w:t>
            </w:r>
            <w:r w:rsidR="00B04E9F">
              <w:rPr>
                <w:color w:val="000000"/>
              </w:rPr>
              <w:t>0</w:t>
            </w:r>
            <w:r w:rsidR="00D636B5">
              <w:rPr>
                <w:color w:val="000000"/>
              </w:rPr>
              <w:t>5</w:t>
            </w:r>
            <w:r w:rsidR="00B6025C">
              <w:rPr>
                <w:color w:val="000000"/>
              </w:rPr>
              <w:t>0</w:t>
            </w:r>
            <w:r w:rsidR="00D636B5">
              <w:rPr>
                <w:color w:val="000000"/>
              </w:rPr>
              <w:t xml:space="preserve"> hours </w:t>
            </w:r>
            <w:r w:rsidR="00515359">
              <w:rPr>
                <w:color w:val="000000"/>
              </w:rPr>
              <w:t xml:space="preserve">when adding up all the issues. Ultimately, we find that </w:t>
            </w:r>
            <w:r w:rsidR="003F1E18">
              <w:rPr>
                <w:color w:val="000000"/>
              </w:rPr>
              <w:t>A4NR</w:t>
            </w:r>
            <w:r w:rsidR="004E6CFF">
              <w:rPr>
                <w:color w:val="000000"/>
              </w:rPr>
              <w:t>’</w:t>
            </w:r>
            <w:r w:rsidR="003F1E18">
              <w:rPr>
                <w:color w:val="000000"/>
              </w:rPr>
              <w:t>s request for 588.210</w:t>
            </w:r>
            <w:r w:rsidR="00B6025C">
              <w:rPr>
                <w:color w:val="000000"/>
              </w:rPr>
              <w:t>0</w:t>
            </w:r>
            <w:r w:rsidR="003F1E18">
              <w:rPr>
                <w:color w:val="000000"/>
              </w:rPr>
              <w:t xml:space="preserve"> hours to be the correct total</w:t>
            </w:r>
            <w:r w:rsidR="00C417D5">
              <w:rPr>
                <w:color w:val="000000"/>
              </w:rPr>
              <w:t xml:space="preserve">. </w:t>
            </w:r>
          </w:p>
          <w:p w:rsidRPr="008715C6" w:rsidR="008715C6" w:rsidP="00290B7C" w:rsidRDefault="00C417D5" w14:paraId="497C4799" w14:textId="587196B0">
            <w:pPr>
              <w:spacing w:after="240"/>
              <w:rPr>
                <w:color w:val="000000"/>
              </w:rPr>
            </w:pPr>
            <w:r>
              <w:rPr>
                <w:color w:val="000000"/>
              </w:rPr>
              <w:t>We also find that the appropr</w:t>
            </w:r>
            <w:r w:rsidR="00C172A9">
              <w:rPr>
                <w:color w:val="000000"/>
              </w:rPr>
              <w:t xml:space="preserve">iate </w:t>
            </w:r>
            <w:r w:rsidR="00617B43">
              <w:rPr>
                <w:color w:val="000000"/>
              </w:rPr>
              <w:t xml:space="preserve">allocation of hours </w:t>
            </w:r>
            <w:r w:rsidR="00B04E9F">
              <w:rPr>
                <w:color w:val="000000"/>
              </w:rPr>
              <w:t xml:space="preserve">by </w:t>
            </w:r>
            <w:r w:rsidR="00617B43">
              <w:rPr>
                <w:color w:val="000000"/>
              </w:rPr>
              <w:t xml:space="preserve">issue </w:t>
            </w:r>
            <w:r w:rsidR="00F0640D">
              <w:rPr>
                <w:color w:val="000000"/>
              </w:rPr>
              <w:t xml:space="preserve">for the purpose of calculating </w:t>
            </w:r>
            <w:r w:rsidR="00784E0C">
              <w:rPr>
                <w:color w:val="000000"/>
              </w:rPr>
              <w:t xml:space="preserve">reductions </w:t>
            </w:r>
            <w:r w:rsidR="00F0640D">
              <w:rPr>
                <w:color w:val="000000"/>
              </w:rPr>
              <w:t xml:space="preserve">in Part III.D </w:t>
            </w:r>
            <w:r w:rsidR="00617B43">
              <w:rPr>
                <w:color w:val="000000"/>
              </w:rPr>
              <w:t xml:space="preserve">is </w:t>
            </w:r>
            <w:r w:rsidR="00B04E9F">
              <w:rPr>
                <w:color w:val="000000"/>
              </w:rPr>
              <w:t>the totals found in A4NR</w:t>
            </w:r>
            <w:r w:rsidR="004E6CFF">
              <w:rPr>
                <w:color w:val="000000"/>
              </w:rPr>
              <w:t>’</w:t>
            </w:r>
            <w:r w:rsidR="00B04E9F">
              <w:rPr>
                <w:color w:val="000000"/>
              </w:rPr>
              <w:t>s timesheet with the numbers in each cell expanded to the furthest decimal point s</w:t>
            </w:r>
            <w:r w:rsidR="0041622B">
              <w:rPr>
                <w:color w:val="000000"/>
              </w:rPr>
              <w:t>uch</w:t>
            </w:r>
            <w:r w:rsidR="00B04E9F">
              <w:rPr>
                <w:color w:val="000000"/>
              </w:rPr>
              <w:t xml:space="preserve"> </w:t>
            </w:r>
            <w:r w:rsidR="0041622B">
              <w:rPr>
                <w:color w:val="000000"/>
              </w:rPr>
              <w:t>that</w:t>
            </w:r>
            <w:r w:rsidR="00B04E9F">
              <w:rPr>
                <w:color w:val="000000"/>
              </w:rPr>
              <w:t xml:space="preserve"> rounding</w:t>
            </w:r>
            <w:r w:rsidR="0041622B">
              <w:rPr>
                <w:color w:val="000000"/>
              </w:rPr>
              <w:t xml:space="preserve"> is not necessary</w:t>
            </w:r>
            <w:r w:rsidR="00B04E9F">
              <w:rPr>
                <w:color w:val="000000"/>
              </w:rPr>
              <w:t>.</w:t>
            </w:r>
          </w:p>
        </w:tc>
      </w:tr>
    </w:tbl>
    <w:p w:rsidRPr="005577F7" w:rsidR="00A92D0B" w:rsidP="00755CBB" w:rsidRDefault="00A92D0B" w14:paraId="710BC7D6" w14:textId="77777777">
      <w:pPr>
        <w:keepNext/>
        <w:numPr>
          <w:ilvl w:val="0"/>
          <w:numId w:val="18"/>
        </w:numPr>
        <w:spacing w:before="240" w:after="240"/>
        <w:rPr>
          <w:b/>
          <w:color w:val="000000"/>
        </w:rPr>
      </w:pPr>
      <w:r w:rsidRPr="005577F7">
        <w:rPr>
          <w:b/>
          <w:color w:val="000000"/>
        </w:rPr>
        <w:lastRenderedPageBreak/>
        <w:t>Specific Claim</w:t>
      </w:r>
      <w:r w:rsidRPr="005577F7" w:rsidR="00C02649">
        <w:rPr>
          <w:b/>
          <w:color w:val="000000"/>
        </w:rPr>
        <w:t>:</w:t>
      </w:r>
      <w:r w:rsidRPr="005577F7" w:rsidR="00D075B1">
        <w:rPr>
          <w:b/>
          <w:color w:val="000000"/>
        </w:rPr>
        <w:t>*</w:t>
      </w:r>
    </w:p>
    <w:tbl>
      <w:tblPr>
        <w:tblW w:w="10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479"/>
        <w:gridCol w:w="686"/>
        <w:gridCol w:w="810"/>
        <w:gridCol w:w="900"/>
        <w:gridCol w:w="1080"/>
        <w:gridCol w:w="180"/>
        <w:gridCol w:w="1620"/>
        <w:gridCol w:w="630"/>
        <w:gridCol w:w="720"/>
        <w:gridCol w:w="900"/>
        <w:gridCol w:w="1080"/>
        <w:gridCol w:w="1470"/>
      </w:tblGrid>
      <w:tr w:rsidRPr="00FA6D00" w:rsidR="00A92D0B" w:rsidTr="00EF2429" w14:paraId="780664A2" w14:textId="77777777">
        <w:trPr>
          <w:cantSplit/>
          <w:tblHeader/>
          <w:jc w:val="center"/>
        </w:trPr>
        <w:tc>
          <w:tcPr>
            <w:tcW w:w="7105" w:type="dxa"/>
            <w:gridSpan w:val="9"/>
            <w:tcBorders>
              <w:bottom w:val="single" w:color="auto" w:sz="4" w:space="0"/>
              <w:right w:val="single" w:color="auto" w:sz="24" w:space="0"/>
            </w:tcBorders>
            <w:shd w:val="clear" w:color="auto" w:fill="D9D9D9" w:themeFill="background1" w:themeFillShade="D9"/>
            <w:vAlign w:val="bottom"/>
          </w:tcPr>
          <w:p w:rsidRPr="00FA6D00" w:rsidR="00A92D0B" w:rsidP="00EF2429" w:rsidRDefault="00A92D0B" w14:paraId="6BFE54DA" w14:textId="77777777">
            <w:pPr>
              <w:keepNext/>
              <w:jc w:val="center"/>
              <w:rPr>
                <w:b/>
                <w:smallCaps/>
                <w:color w:val="000000"/>
              </w:rPr>
            </w:pPr>
            <w:r w:rsidRPr="00FA6D00">
              <w:rPr>
                <w:b/>
                <w:smallCaps/>
                <w:color w:val="000000"/>
              </w:rPr>
              <w:t>Claimed</w:t>
            </w:r>
          </w:p>
        </w:tc>
        <w:tc>
          <w:tcPr>
            <w:tcW w:w="3450" w:type="dxa"/>
            <w:gridSpan w:val="3"/>
            <w:tcBorders>
              <w:left w:val="single" w:color="auto" w:sz="24" w:space="0"/>
              <w:bottom w:val="single" w:color="auto" w:sz="4" w:space="0"/>
            </w:tcBorders>
            <w:shd w:val="clear" w:color="auto" w:fill="D9D9D9" w:themeFill="background1" w:themeFillShade="D9"/>
            <w:vAlign w:val="bottom"/>
          </w:tcPr>
          <w:p w:rsidRPr="00FA6D00" w:rsidR="00A92D0B" w:rsidP="00EF2429" w:rsidRDefault="00A92D0B" w14:paraId="170A0FA1" w14:textId="77777777">
            <w:pPr>
              <w:keepNext/>
              <w:jc w:val="center"/>
              <w:rPr>
                <w:b/>
                <w:smallCaps/>
                <w:color w:val="000000"/>
              </w:rPr>
            </w:pPr>
            <w:r w:rsidRPr="00FA6D00">
              <w:rPr>
                <w:b/>
                <w:smallCaps/>
                <w:color w:val="000000"/>
              </w:rPr>
              <w:t>CPUC Award</w:t>
            </w:r>
          </w:p>
        </w:tc>
      </w:tr>
      <w:tr w:rsidRPr="00FA6D00" w:rsidR="00A92D0B" w:rsidTr="00EF2429" w14:paraId="0F5B6CAA" w14:textId="77777777">
        <w:trPr>
          <w:cantSplit/>
          <w:jc w:val="center"/>
        </w:trPr>
        <w:tc>
          <w:tcPr>
            <w:tcW w:w="10555"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A6D00" w:rsidR="00A92D0B" w:rsidP="00EF2429" w:rsidRDefault="00A92D0B" w14:paraId="284F9031" w14:textId="77777777">
            <w:pPr>
              <w:keepNext/>
              <w:jc w:val="center"/>
              <w:rPr>
                <w:b/>
              </w:rPr>
            </w:pPr>
            <w:r w:rsidRPr="00FA6D00">
              <w:rPr>
                <w:b/>
              </w:rPr>
              <w:t>ATTORNEY, EXPERT, AND ADVOCATE FEES</w:t>
            </w:r>
          </w:p>
        </w:tc>
      </w:tr>
      <w:tr w:rsidRPr="00FA6D00" w:rsidR="00A92D0B" w:rsidTr="00EF2429" w14:paraId="5A70C962" w14:textId="77777777">
        <w:trPr>
          <w:cantSplit/>
          <w:jc w:val="center"/>
        </w:trPr>
        <w:tc>
          <w:tcPr>
            <w:tcW w:w="1165" w:type="dxa"/>
            <w:gridSpan w:val="2"/>
            <w:tcBorders>
              <w:top w:val="single" w:color="auto" w:sz="4" w:space="0"/>
              <w:bottom w:val="single" w:color="auto" w:sz="4" w:space="0"/>
            </w:tcBorders>
            <w:vAlign w:val="bottom"/>
          </w:tcPr>
          <w:p w:rsidRPr="00FA6D00" w:rsidR="00A92D0B" w:rsidP="00EF2429" w:rsidRDefault="00A92D0B" w14:paraId="41646676" w14:textId="77777777">
            <w:pPr>
              <w:keepNext/>
              <w:jc w:val="center"/>
              <w:rPr>
                <w:b/>
                <w:color w:val="000000"/>
                <w:szCs w:val="22"/>
              </w:rPr>
            </w:pPr>
            <w:r w:rsidRPr="00FA6D00">
              <w:rPr>
                <w:b/>
                <w:color w:val="000000"/>
                <w:szCs w:val="22"/>
              </w:rPr>
              <w:t>Item</w:t>
            </w:r>
          </w:p>
        </w:tc>
        <w:tc>
          <w:tcPr>
            <w:tcW w:w="810" w:type="dxa"/>
            <w:tcBorders>
              <w:top w:val="single" w:color="auto" w:sz="4" w:space="0"/>
              <w:bottom w:val="single" w:color="auto" w:sz="4" w:space="0"/>
            </w:tcBorders>
            <w:vAlign w:val="bottom"/>
          </w:tcPr>
          <w:p w:rsidRPr="00FA6D00" w:rsidR="00A92D0B" w:rsidP="00EF2429" w:rsidRDefault="00A92D0B" w14:paraId="43BB9941" w14:textId="77777777">
            <w:pPr>
              <w:keepNext/>
              <w:jc w:val="center"/>
              <w:rPr>
                <w:b/>
                <w:color w:val="000000"/>
                <w:szCs w:val="22"/>
              </w:rPr>
            </w:pPr>
            <w:r w:rsidRPr="00FA6D00">
              <w:rPr>
                <w:b/>
                <w:color w:val="000000"/>
                <w:szCs w:val="22"/>
              </w:rPr>
              <w:t>Year</w:t>
            </w:r>
          </w:p>
        </w:tc>
        <w:tc>
          <w:tcPr>
            <w:tcW w:w="900" w:type="dxa"/>
            <w:tcBorders>
              <w:top w:val="single" w:color="auto" w:sz="4" w:space="0"/>
              <w:bottom w:val="single" w:color="auto" w:sz="4" w:space="0"/>
            </w:tcBorders>
            <w:vAlign w:val="bottom"/>
          </w:tcPr>
          <w:p w:rsidRPr="00FA6D00" w:rsidR="00A92D0B" w:rsidP="00EF2429" w:rsidRDefault="00A92D0B" w14:paraId="0EF32B08" w14:textId="77777777">
            <w:pPr>
              <w:keepNext/>
              <w:jc w:val="center"/>
              <w:rPr>
                <w:b/>
                <w:color w:val="000000"/>
                <w:szCs w:val="22"/>
              </w:rPr>
            </w:pPr>
            <w:r w:rsidRPr="00FA6D00">
              <w:rPr>
                <w:b/>
                <w:color w:val="000000"/>
                <w:szCs w:val="22"/>
              </w:rPr>
              <w:t>Hours</w:t>
            </w:r>
          </w:p>
        </w:tc>
        <w:tc>
          <w:tcPr>
            <w:tcW w:w="1080" w:type="dxa"/>
            <w:tcBorders>
              <w:top w:val="single" w:color="auto" w:sz="4" w:space="0"/>
              <w:bottom w:val="single" w:color="auto" w:sz="4" w:space="0"/>
            </w:tcBorders>
            <w:vAlign w:val="bottom"/>
          </w:tcPr>
          <w:p w:rsidRPr="00FA6D00" w:rsidR="00A92D0B" w:rsidP="00EF2429" w:rsidRDefault="00A92D0B" w14:paraId="21C69246" w14:textId="77777777">
            <w:pPr>
              <w:keepNext/>
              <w:jc w:val="center"/>
              <w:rPr>
                <w:b/>
                <w:color w:val="000000"/>
                <w:szCs w:val="22"/>
              </w:rPr>
            </w:pPr>
            <w:r w:rsidRPr="00FA6D00">
              <w:rPr>
                <w:b/>
                <w:color w:val="000000"/>
                <w:szCs w:val="22"/>
              </w:rPr>
              <w:t>Rate</w:t>
            </w:r>
            <w:r w:rsidRPr="00FA6D00" w:rsidR="00E3786F">
              <w:rPr>
                <w:b/>
                <w:color w:val="000000"/>
                <w:szCs w:val="22"/>
              </w:rPr>
              <w:t xml:space="preserve"> $</w:t>
            </w:r>
          </w:p>
        </w:tc>
        <w:tc>
          <w:tcPr>
            <w:tcW w:w="1800" w:type="dxa"/>
            <w:gridSpan w:val="2"/>
            <w:tcBorders>
              <w:top w:val="single" w:color="auto" w:sz="4" w:space="0"/>
              <w:bottom w:val="single" w:color="auto" w:sz="4" w:space="0"/>
              <w:right w:val="single" w:color="auto" w:sz="4" w:space="0"/>
            </w:tcBorders>
            <w:vAlign w:val="bottom"/>
          </w:tcPr>
          <w:p w:rsidRPr="00FA6D00" w:rsidR="00A92D0B" w:rsidP="00EF2429" w:rsidRDefault="00A92D0B" w14:paraId="59E63C07" w14:textId="77777777">
            <w:pPr>
              <w:keepNext/>
              <w:jc w:val="center"/>
              <w:rPr>
                <w:b/>
                <w:color w:val="000000"/>
                <w:szCs w:val="22"/>
              </w:rPr>
            </w:pPr>
            <w:r w:rsidRPr="00FA6D00">
              <w:rPr>
                <w:b/>
                <w:color w:val="000000"/>
                <w:szCs w:val="22"/>
              </w:rPr>
              <w:t>Basis for Rate*</w:t>
            </w:r>
          </w:p>
        </w:tc>
        <w:tc>
          <w:tcPr>
            <w:tcW w:w="1350" w:type="dxa"/>
            <w:gridSpan w:val="2"/>
            <w:tcBorders>
              <w:top w:val="single" w:color="auto" w:sz="4" w:space="0"/>
              <w:left w:val="single" w:color="auto" w:sz="4" w:space="0"/>
              <w:bottom w:val="single" w:color="auto" w:sz="4" w:space="0"/>
              <w:right w:val="single" w:color="auto" w:sz="24" w:space="0"/>
            </w:tcBorders>
            <w:vAlign w:val="bottom"/>
          </w:tcPr>
          <w:p w:rsidRPr="00FA6D00" w:rsidR="00A92D0B" w:rsidP="00EF2429" w:rsidRDefault="00A92D0B" w14:paraId="7099C603" w14:textId="77777777">
            <w:pPr>
              <w:keepNext/>
              <w:jc w:val="center"/>
              <w:rPr>
                <w:b/>
                <w:color w:val="000000"/>
                <w:szCs w:val="22"/>
              </w:rPr>
            </w:pPr>
            <w:r w:rsidRPr="00FA6D00">
              <w:rPr>
                <w:b/>
                <w:color w:val="000000"/>
                <w:szCs w:val="22"/>
              </w:rPr>
              <w:t>Total $</w:t>
            </w:r>
          </w:p>
        </w:tc>
        <w:tc>
          <w:tcPr>
            <w:tcW w:w="900" w:type="dxa"/>
            <w:tcBorders>
              <w:top w:val="single" w:color="auto" w:sz="4" w:space="0"/>
              <w:left w:val="single" w:color="auto" w:sz="4" w:space="0"/>
            </w:tcBorders>
            <w:vAlign w:val="bottom"/>
          </w:tcPr>
          <w:p w:rsidRPr="00FA6D00" w:rsidR="00A92D0B" w:rsidP="00EF2429" w:rsidRDefault="00A92D0B" w14:paraId="564E4964" w14:textId="77777777">
            <w:pPr>
              <w:keepNext/>
              <w:jc w:val="center"/>
              <w:rPr>
                <w:b/>
                <w:color w:val="000000"/>
                <w:szCs w:val="22"/>
              </w:rPr>
            </w:pPr>
            <w:r w:rsidRPr="00FA6D00">
              <w:rPr>
                <w:b/>
                <w:color w:val="000000"/>
                <w:szCs w:val="22"/>
              </w:rPr>
              <w:t>Hours</w:t>
            </w:r>
          </w:p>
        </w:tc>
        <w:tc>
          <w:tcPr>
            <w:tcW w:w="1080" w:type="dxa"/>
            <w:tcBorders>
              <w:top w:val="single" w:color="auto" w:sz="4" w:space="0"/>
            </w:tcBorders>
            <w:vAlign w:val="bottom"/>
          </w:tcPr>
          <w:p w:rsidRPr="00FA6D00" w:rsidR="00A92D0B" w:rsidP="00EF2429" w:rsidRDefault="00A92D0B" w14:paraId="1462552D" w14:textId="77777777">
            <w:pPr>
              <w:keepNext/>
              <w:jc w:val="center"/>
              <w:rPr>
                <w:b/>
                <w:color w:val="000000"/>
                <w:szCs w:val="22"/>
              </w:rPr>
            </w:pPr>
            <w:r w:rsidRPr="00FA6D00">
              <w:rPr>
                <w:b/>
                <w:color w:val="000000"/>
                <w:szCs w:val="22"/>
              </w:rPr>
              <w:t>Rate</w:t>
            </w:r>
            <w:r w:rsidRPr="00FA6D00" w:rsidR="00E3786F">
              <w:rPr>
                <w:b/>
                <w:color w:val="000000"/>
                <w:szCs w:val="22"/>
              </w:rPr>
              <w:t xml:space="preserve"> $</w:t>
            </w:r>
          </w:p>
        </w:tc>
        <w:tc>
          <w:tcPr>
            <w:tcW w:w="1470" w:type="dxa"/>
            <w:tcBorders>
              <w:top w:val="single" w:color="auto" w:sz="4" w:space="0"/>
            </w:tcBorders>
            <w:vAlign w:val="bottom"/>
          </w:tcPr>
          <w:p w:rsidRPr="00FA6D00" w:rsidR="00A92D0B" w:rsidP="00EF2429" w:rsidRDefault="00A92D0B" w14:paraId="1B6A5CA4" w14:textId="77777777">
            <w:pPr>
              <w:keepNext/>
              <w:jc w:val="center"/>
              <w:rPr>
                <w:b/>
                <w:color w:val="000000"/>
                <w:szCs w:val="22"/>
              </w:rPr>
            </w:pPr>
            <w:r w:rsidRPr="00FA6D00">
              <w:rPr>
                <w:b/>
                <w:color w:val="000000"/>
                <w:szCs w:val="22"/>
              </w:rPr>
              <w:t>Total $</w:t>
            </w:r>
          </w:p>
        </w:tc>
      </w:tr>
      <w:tr w:rsidRPr="00FA6D00" w:rsidR="00A92D0B" w:rsidTr="00EF2429" w14:paraId="62E8A168" w14:textId="77777777">
        <w:trPr>
          <w:cantSplit/>
          <w:jc w:val="center"/>
        </w:trPr>
        <w:tc>
          <w:tcPr>
            <w:tcW w:w="1165" w:type="dxa"/>
            <w:gridSpan w:val="2"/>
          </w:tcPr>
          <w:p w:rsidR="00F70356" w:rsidP="00EF2429" w:rsidRDefault="00BD6B55" w14:paraId="7AA7DF9F" w14:textId="77777777">
            <w:r w:rsidRPr="00FA6D00">
              <w:t xml:space="preserve">John </w:t>
            </w:r>
          </w:p>
          <w:p w:rsidRPr="00FA6D00" w:rsidR="00A92D0B" w:rsidP="00EF2429" w:rsidRDefault="00BD6B55" w14:paraId="33EA8B38" w14:textId="19CD7901">
            <w:proofErr w:type="spellStart"/>
            <w:r w:rsidRPr="00FA6D00">
              <w:t>Geesman</w:t>
            </w:r>
            <w:proofErr w:type="spellEnd"/>
          </w:p>
        </w:tc>
        <w:tc>
          <w:tcPr>
            <w:tcW w:w="810" w:type="dxa"/>
          </w:tcPr>
          <w:p w:rsidRPr="00FA6D00" w:rsidR="00A92D0B" w:rsidP="00EF2429" w:rsidRDefault="00BD6B55" w14:paraId="47EBBC49" w14:textId="0B7F6FAA">
            <w:pPr>
              <w:jc w:val="center"/>
            </w:pPr>
            <w:r w:rsidRPr="00FA6D00">
              <w:t>2024</w:t>
            </w:r>
          </w:p>
        </w:tc>
        <w:tc>
          <w:tcPr>
            <w:tcW w:w="900" w:type="dxa"/>
          </w:tcPr>
          <w:p w:rsidRPr="00FA6D00" w:rsidR="00A92D0B" w:rsidP="00EF2429" w:rsidRDefault="00BD6B55" w14:paraId="39A3074C" w14:textId="6F396ACB">
            <w:pPr>
              <w:jc w:val="center"/>
            </w:pPr>
            <w:r w:rsidRPr="00FA6D00">
              <w:t>4</w:t>
            </w:r>
            <w:r w:rsidRPr="00FA6D00" w:rsidR="004B4251">
              <w:t>33.6</w:t>
            </w:r>
          </w:p>
        </w:tc>
        <w:tc>
          <w:tcPr>
            <w:tcW w:w="1080" w:type="dxa"/>
          </w:tcPr>
          <w:p w:rsidRPr="00FA6D00" w:rsidR="00A92D0B" w:rsidP="00EF2429" w:rsidRDefault="00CC6EDF" w14:paraId="3E5BD317" w14:textId="1A851DBD">
            <w:pPr>
              <w:jc w:val="center"/>
            </w:pPr>
            <w:r w:rsidRPr="00FA6D00">
              <w:t>780</w:t>
            </w:r>
          </w:p>
        </w:tc>
        <w:tc>
          <w:tcPr>
            <w:tcW w:w="1800" w:type="dxa"/>
            <w:gridSpan w:val="2"/>
            <w:tcBorders>
              <w:right w:val="single" w:color="auto" w:sz="4" w:space="0"/>
            </w:tcBorders>
          </w:tcPr>
          <w:p w:rsidRPr="00FA6D00" w:rsidR="00A92D0B" w:rsidP="00EF2429" w:rsidRDefault="002547F2" w14:paraId="63BDE315" w14:textId="6C664B11">
            <w:r w:rsidRPr="00FA6D00">
              <w:t>D.24</w:t>
            </w:r>
            <w:r w:rsidRPr="00FA6D00" w:rsidR="004152B8">
              <w:noBreakHyphen/>
            </w:r>
            <w:r w:rsidRPr="00FA6D00">
              <w:t>04</w:t>
            </w:r>
            <w:r w:rsidRPr="00FA6D00" w:rsidR="004152B8">
              <w:noBreakHyphen/>
            </w:r>
            <w:r w:rsidRPr="00FA6D00">
              <w:t xml:space="preserve">039 plus </w:t>
            </w:r>
            <w:r w:rsidRPr="00FA6D00" w:rsidR="00CC6EDF">
              <w:t>ALJ</w:t>
            </w:r>
            <w:r w:rsidRPr="00FA6D00" w:rsidR="004152B8">
              <w:noBreakHyphen/>
            </w:r>
            <w:r w:rsidRPr="00FA6D00" w:rsidR="00CC6EDF">
              <w:t>339</w:t>
            </w:r>
            <w:r w:rsidRPr="00FA6D00" w:rsidR="00146E4D">
              <w:t xml:space="preserve"> escalation for 2024</w:t>
            </w:r>
            <w:r w:rsidRPr="00FA6D00" w:rsidR="00CC6EDF">
              <w:t>.  See</w:t>
            </w:r>
            <w:r w:rsidRPr="00FA6D00" w:rsidR="00BA5C83">
              <w:t xml:space="preserve"> </w:t>
            </w:r>
            <w:r w:rsidRPr="00FA6D00" w:rsidR="00CC6EDF">
              <w:t>Comment below.</w:t>
            </w:r>
          </w:p>
        </w:tc>
        <w:tc>
          <w:tcPr>
            <w:tcW w:w="1350" w:type="dxa"/>
            <w:gridSpan w:val="2"/>
            <w:tcBorders>
              <w:top w:val="single" w:color="auto" w:sz="4" w:space="0"/>
              <w:left w:val="single" w:color="auto" w:sz="4" w:space="0"/>
              <w:bottom w:val="single" w:color="auto" w:sz="4" w:space="0"/>
              <w:right w:val="single" w:color="auto" w:sz="24" w:space="0"/>
            </w:tcBorders>
          </w:tcPr>
          <w:p w:rsidRPr="00FA6D00" w:rsidR="00A92D0B" w:rsidP="00EF2429" w:rsidRDefault="00D76AA7" w14:paraId="06BD92A5" w14:textId="28DE7318">
            <w:pPr>
              <w:jc w:val="right"/>
            </w:pPr>
            <w:r w:rsidRPr="00FA6D00">
              <w:t>33</w:t>
            </w:r>
            <w:r w:rsidRPr="00FA6D00" w:rsidR="00BF2645">
              <w:t>8,208.00</w:t>
            </w:r>
          </w:p>
        </w:tc>
        <w:tc>
          <w:tcPr>
            <w:tcW w:w="900" w:type="dxa"/>
            <w:tcBorders>
              <w:left w:val="single" w:color="auto" w:sz="4" w:space="0"/>
            </w:tcBorders>
          </w:tcPr>
          <w:p w:rsidR="008B7854" w:rsidP="00EF2429" w:rsidRDefault="00082DBD" w14:paraId="1AE0AED2" w14:textId="1D6CE135">
            <w:pPr>
              <w:jc w:val="center"/>
            </w:pPr>
            <w:r>
              <w:t>94.99</w:t>
            </w:r>
          </w:p>
          <w:p w:rsidRPr="00FA6D00" w:rsidR="00A92D0B" w:rsidP="00EF2429" w:rsidRDefault="008B7854" w14:paraId="31AF7AA4" w14:textId="389F68F5">
            <w:pPr>
              <w:jc w:val="center"/>
            </w:pPr>
            <w:r>
              <w:t>[</w:t>
            </w:r>
            <w:r w:rsidRPr="00FA6D00" w:rsidR="003020EE">
              <w:t>3, 4</w:t>
            </w:r>
            <w:r w:rsidRPr="00FA6D00" w:rsidR="00372DE8">
              <w:t>]</w:t>
            </w:r>
          </w:p>
        </w:tc>
        <w:tc>
          <w:tcPr>
            <w:tcW w:w="1080" w:type="dxa"/>
          </w:tcPr>
          <w:p w:rsidR="008B7854" w:rsidP="00EF2429" w:rsidRDefault="00615CE1" w14:paraId="15C9B945" w14:textId="77777777">
            <w:pPr>
              <w:jc w:val="right"/>
            </w:pPr>
            <w:r w:rsidRPr="00FA6D00">
              <w:t>$770.00</w:t>
            </w:r>
          </w:p>
          <w:p w:rsidRPr="00FA6D00" w:rsidR="00A92D0B" w:rsidP="00EF2429" w:rsidRDefault="008B7854" w14:paraId="3400AFFC" w14:textId="76D557E4">
            <w:pPr>
              <w:jc w:val="center"/>
            </w:pPr>
            <w:r>
              <w:t>[</w:t>
            </w:r>
            <w:r w:rsidRPr="00FA6D00" w:rsidR="009710AC">
              <w:t>1]</w:t>
            </w:r>
          </w:p>
        </w:tc>
        <w:tc>
          <w:tcPr>
            <w:tcW w:w="1470" w:type="dxa"/>
          </w:tcPr>
          <w:p w:rsidRPr="00FA6D00" w:rsidR="00A92D0B" w:rsidP="00EF2429" w:rsidRDefault="003F7123" w14:paraId="196C1830" w14:textId="2A5D11D2">
            <w:pPr>
              <w:jc w:val="right"/>
            </w:pPr>
            <w:r w:rsidRPr="00FA6D00">
              <w:t>$</w:t>
            </w:r>
            <w:r w:rsidR="0034722B">
              <w:t>73,142.30</w:t>
            </w:r>
          </w:p>
        </w:tc>
      </w:tr>
      <w:tr w:rsidRPr="00FA6D00" w:rsidR="00A92D0B" w:rsidTr="00EF2429" w14:paraId="541B1A43" w14:textId="77777777">
        <w:trPr>
          <w:cantSplit/>
          <w:jc w:val="center"/>
        </w:trPr>
        <w:tc>
          <w:tcPr>
            <w:tcW w:w="1165" w:type="dxa"/>
            <w:gridSpan w:val="2"/>
          </w:tcPr>
          <w:p w:rsidR="00F70356" w:rsidP="00610335" w:rsidRDefault="00BD6B55" w14:paraId="0A505658" w14:textId="77777777">
            <w:pPr>
              <w:keepNext/>
            </w:pPr>
            <w:r w:rsidRPr="00FA6D00">
              <w:t xml:space="preserve">David </w:t>
            </w:r>
          </w:p>
          <w:p w:rsidRPr="00FA6D00" w:rsidR="00A92D0B" w:rsidP="00610335" w:rsidRDefault="00BD6B55" w14:paraId="41A7BE4B" w14:textId="153AC2D0">
            <w:pPr>
              <w:keepNext/>
            </w:pPr>
            <w:r w:rsidRPr="00FA6D00">
              <w:t>Weisman</w:t>
            </w:r>
          </w:p>
        </w:tc>
        <w:tc>
          <w:tcPr>
            <w:tcW w:w="810" w:type="dxa"/>
          </w:tcPr>
          <w:p w:rsidRPr="00FA6D00" w:rsidR="00A92D0B" w:rsidP="00610335" w:rsidRDefault="00BD6B55" w14:paraId="5B3C2ADF" w14:textId="32836BF1">
            <w:pPr>
              <w:keepNext/>
              <w:jc w:val="center"/>
            </w:pPr>
            <w:r w:rsidRPr="00FA6D00">
              <w:t>2024</w:t>
            </w:r>
          </w:p>
        </w:tc>
        <w:tc>
          <w:tcPr>
            <w:tcW w:w="900" w:type="dxa"/>
          </w:tcPr>
          <w:p w:rsidRPr="00FA6D00" w:rsidR="00A92D0B" w:rsidP="00610335" w:rsidRDefault="008B5E46" w14:paraId="2E458EDF" w14:textId="2FD99552">
            <w:pPr>
              <w:keepNext/>
              <w:jc w:val="center"/>
            </w:pPr>
            <w:r w:rsidRPr="00FA6D00">
              <w:t>10</w:t>
            </w:r>
            <w:r w:rsidRPr="00FA6D00" w:rsidR="00CA11DA">
              <w:t>6</w:t>
            </w:r>
            <w:r w:rsidRPr="00FA6D00">
              <w:t>.32</w:t>
            </w:r>
          </w:p>
        </w:tc>
        <w:tc>
          <w:tcPr>
            <w:tcW w:w="1080" w:type="dxa"/>
          </w:tcPr>
          <w:p w:rsidRPr="00FA6D00" w:rsidR="00A92D0B" w:rsidP="00610335" w:rsidRDefault="008813B6" w14:paraId="3D86BD08" w14:textId="4FCD796A">
            <w:pPr>
              <w:keepNext/>
              <w:jc w:val="center"/>
            </w:pPr>
            <w:r w:rsidRPr="00FA6D00">
              <w:t>230</w:t>
            </w:r>
          </w:p>
        </w:tc>
        <w:tc>
          <w:tcPr>
            <w:tcW w:w="1800" w:type="dxa"/>
            <w:gridSpan w:val="2"/>
            <w:tcBorders>
              <w:right w:val="single" w:color="auto" w:sz="4" w:space="0"/>
            </w:tcBorders>
          </w:tcPr>
          <w:p w:rsidRPr="00FA6D00" w:rsidR="00A92D0B" w:rsidP="00610335" w:rsidRDefault="00146E4D" w14:paraId="750EA256" w14:textId="1FF848B1">
            <w:pPr>
              <w:keepNext/>
            </w:pPr>
            <w:r w:rsidRPr="00FA6D00">
              <w:t>D.24</w:t>
            </w:r>
            <w:r w:rsidRPr="00FA6D00" w:rsidR="004152B8">
              <w:noBreakHyphen/>
            </w:r>
            <w:r w:rsidRPr="00FA6D00">
              <w:t>04</w:t>
            </w:r>
            <w:r w:rsidRPr="00FA6D00" w:rsidR="004152B8">
              <w:noBreakHyphen/>
            </w:r>
            <w:r w:rsidRPr="00FA6D00">
              <w:t>039 plus ALJ</w:t>
            </w:r>
            <w:r w:rsidRPr="00FA6D00" w:rsidR="004152B8">
              <w:noBreakHyphen/>
            </w:r>
            <w:r w:rsidRPr="00FA6D00">
              <w:t xml:space="preserve">339 escalation for 2024.  </w:t>
            </w:r>
          </w:p>
        </w:tc>
        <w:tc>
          <w:tcPr>
            <w:tcW w:w="1350" w:type="dxa"/>
            <w:gridSpan w:val="2"/>
            <w:tcBorders>
              <w:top w:val="single" w:color="auto" w:sz="4" w:space="0"/>
              <w:left w:val="single" w:color="auto" w:sz="4" w:space="0"/>
              <w:bottom w:val="single" w:color="auto" w:sz="4" w:space="0"/>
              <w:right w:val="single" w:color="auto" w:sz="24" w:space="0"/>
            </w:tcBorders>
          </w:tcPr>
          <w:p w:rsidRPr="00FA6D00" w:rsidR="00A92D0B" w:rsidP="00610335" w:rsidRDefault="00685669" w14:paraId="4D76B38E" w14:textId="6B404E11">
            <w:pPr>
              <w:keepNext/>
              <w:jc w:val="right"/>
            </w:pPr>
            <w:r w:rsidRPr="00FA6D00">
              <w:t>2</w:t>
            </w:r>
            <w:r w:rsidRPr="00FA6D00" w:rsidR="002A452A">
              <w:t>4,453.60</w:t>
            </w:r>
          </w:p>
        </w:tc>
        <w:tc>
          <w:tcPr>
            <w:tcW w:w="900" w:type="dxa"/>
            <w:tcBorders>
              <w:left w:val="single" w:color="auto" w:sz="4" w:space="0"/>
            </w:tcBorders>
          </w:tcPr>
          <w:p w:rsidR="008B7854" w:rsidP="00610335" w:rsidRDefault="001308BC" w14:paraId="32467E8D" w14:textId="35572B18">
            <w:pPr>
              <w:keepNext/>
              <w:jc w:val="center"/>
            </w:pPr>
            <w:r>
              <w:t>22.82</w:t>
            </w:r>
          </w:p>
          <w:p w:rsidRPr="00FA6D00" w:rsidR="00A92D0B" w:rsidP="00610335" w:rsidRDefault="008B7854" w14:paraId="5DD3213B" w14:textId="5571C329">
            <w:pPr>
              <w:keepNext/>
              <w:jc w:val="center"/>
            </w:pPr>
            <w:r>
              <w:t>[</w:t>
            </w:r>
            <w:r w:rsidRPr="00FA6D00" w:rsidR="008D6F5B">
              <w:t>3, 4</w:t>
            </w:r>
            <w:r w:rsidRPr="00FA6D00" w:rsidR="00372DE8">
              <w:t>]</w:t>
            </w:r>
          </w:p>
        </w:tc>
        <w:tc>
          <w:tcPr>
            <w:tcW w:w="1080" w:type="dxa"/>
          </w:tcPr>
          <w:p w:rsidR="008B7854" w:rsidP="00610335" w:rsidRDefault="00375D19" w14:paraId="52518760" w14:textId="77777777">
            <w:pPr>
              <w:keepNext/>
              <w:jc w:val="right"/>
            </w:pPr>
            <w:r w:rsidRPr="00FA6D00">
              <w:t>$240.00</w:t>
            </w:r>
          </w:p>
          <w:p w:rsidRPr="00FA6D00" w:rsidR="00A92D0B" w:rsidP="00610335" w:rsidRDefault="008B7854" w14:paraId="07AEBBB0" w14:textId="1CC34698">
            <w:pPr>
              <w:keepNext/>
              <w:jc w:val="center"/>
            </w:pPr>
            <w:r>
              <w:t>[</w:t>
            </w:r>
            <w:r w:rsidRPr="00FA6D00" w:rsidR="00375D19">
              <w:t>2]</w:t>
            </w:r>
          </w:p>
        </w:tc>
        <w:tc>
          <w:tcPr>
            <w:tcW w:w="1470" w:type="dxa"/>
          </w:tcPr>
          <w:p w:rsidRPr="00FA6D00" w:rsidR="00A92D0B" w:rsidP="00610335" w:rsidRDefault="00372DE8" w14:paraId="55630DF4" w14:textId="202A7CF7">
            <w:pPr>
              <w:keepNext/>
              <w:jc w:val="right"/>
            </w:pPr>
            <w:r w:rsidRPr="00FA6D00">
              <w:t>$</w:t>
            </w:r>
            <w:r w:rsidRPr="00FA6D00" w:rsidR="00CB0773">
              <w:t>5,</w:t>
            </w:r>
            <w:r w:rsidR="00075E41">
              <w:t>476.80</w:t>
            </w:r>
          </w:p>
        </w:tc>
      </w:tr>
      <w:tr w:rsidRPr="00FA6D00" w:rsidR="00E3786F" w:rsidTr="00EF2429" w14:paraId="1B237C11" w14:textId="77777777">
        <w:trPr>
          <w:cantSplit/>
          <w:jc w:val="center"/>
        </w:trPr>
        <w:tc>
          <w:tcPr>
            <w:tcW w:w="7105" w:type="dxa"/>
            <w:gridSpan w:val="9"/>
            <w:tcBorders>
              <w:bottom w:val="single" w:color="auto" w:sz="4" w:space="0"/>
              <w:right w:val="single" w:color="auto" w:sz="24" w:space="0"/>
            </w:tcBorders>
            <w:vAlign w:val="bottom"/>
          </w:tcPr>
          <w:p w:rsidRPr="00FA6D00" w:rsidR="00E3786F" w:rsidP="00EF2429" w:rsidRDefault="00E3786F" w14:paraId="2ECB6744" w14:textId="5C787818">
            <w:pPr>
              <w:tabs>
                <w:tab w:val="left" w:pos="957"/>
              </w:tabs>
              <w:jc w:val="right"/>
              <w:rPr>
                <w:b/>
                <w:i/>
                <w:color w:val="000000"/>
              </w:rPr>
            </w:pPr>
            <w:r w:rsidRPr="00FA6D00">
              <w:rPr>
                <w:b/>
                <w:i/>
                <w:color w:val="000000"/>
              </w:rPr>
              <w:t>Subtotal: $</w:t>
            </w:r>
            <w:r w:rsidRPr="00FA6D00" w:rsidR="00C113C3">
              <w:rPr>
                <w:b/>
                <w:i/>
                <w:color w:val="000000"/>
              </w:rPr>
              <w:t>3</w:t>
            </w:r>
            <w:r w:rsidRPr="00FA6D00" w:rsidR="001529CB">
              <w:rPr>
                <w:b/>
                <w:i/>
                <w:color w:val="000000"/>
              </w:rPr>
              <w:t>62</w:t>
            </w:r>
            <w:r w:rsidRPr="00FA6D00" w:rsidR="0010521A">
              <w:rPr>
                <w:b/>
                <w:i/>
                <w:color w:val="000000"/>
              </w:rPr>
              <w:t>,661.60</w:t>
            </w:r>
          </w:p>
        </w:tc>
        <w:tc>
          <w:tcPr>
            <w:tcW w:w="3450" w:type="dxa"/>
            <w:gridSpan w:val="3"/>
            <w:tcBorders>
              <w:left w:val="single" w:color="auto" w:sz="24" w:space="0"/>
              <w:bottom w:val="single" w:color="auto" w:sz="4" w:space="0"/>
            </w:tcBorders>
            <w:vAlign w:val="bottom"/>
          </w:tcPr>
          <w:p w:rsidRPr="00FA6D00" w:rsidR="00E3786F" w:rsidP="00EF2429" w:rsidRDefault="00E3786F" w14:paraId="4C4556E5" w14:textId="08D389AC">
            <w:pPr>
              <w:tabs>
                <w:tab w:val="left" w:pos="957"/>
              </w:tabs>
              <w:jc w:val="right"/>
              <w:rPr>
                <w:color w:val="000000"/>
              </w:rPr>
            </w:pPr>
            <w:r w:rsidRPr="00FA6D00">
              <w:rPr>
                <w:b/>
                <w:i/>
                <w:color w:val="000000"/>
              </w:rPr>
              <w:t xml:space="preserve">Subtotal: </w:t>
            </w:r>
            <w:r w:rsidRPr="00FA6D00">
              <w:rPr>
                <w:b/>
                <w:i/>
                <w:iCs/>
                <w:color w:val="000000"/>
              </w:rPr>
              <w:t>$</w:t>
            </w:r>
            <w:r w:rsidR="00220F7B">
              <w:rPr>
                <w:b/>
                <w:i/>
                <w:iCs/>
                <w:color w:val="000000"/>
              </w:rPr>
              <w:t>78,619.10</w:t>
            </w:r>
          </w:p>
        </w:tc>
      </w:tr>
      <w:tr w:rsidRPr="00FA6D00" w:rsidR="00A92D0B" w:rsidTr="00EF2429" w14:paraId="3F3C1C42" w14:textId="77777777">
        <w:trPr>
          <w:cantSplit/>
          <w:jc w:val="center"/>
        </w:trPr>
        <w:tc>
          <w:tcPr>
            <w:tcW w:w="10555"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FA6D00" w:rsidR="00A92D0B" w:rsidP="00EF2429" w:rsidRDefault="00A92D0B" w14:paraId="3B5B48BB" w14:textId="77777777">
            <w:pPr>
              <w:keepNext/>
              <w:jc w:val="center"/>
              <w:rPr>
                <w:b/>
                <w:color w:val="000000"/>
              </w:rPr>
            </w:pPr>
            <w:r w:rsidRPr="00FA6D00">
              <w:rPr>
                <w:b/>
                <w:color w:val="000000"/>
              </w:rPr>
              <w:t>OTHER FEES</w:t>
            </w:r>
          </w:p>
          <w:p w:rsidRPr="00FA6D00" w:rsidR="00A92D0B" w:rsidP="00EF2429" w:rsidRDefault="00A92D0B" w14:paraId="3801FC62" w14:textId="77777777">
            <w:pPr>
              <w:keepNext/>
              <w:jc w:val="center"/>
              <w:rPr>
                <w:b/>
                <w:color w:val="000000"/>
              </w:rPr>
            </w:pPr>
            <w:r w:rsidRPr="00FA6D00">
              <w:rPr>
                <w:b/>
                <w:color w:val="000000"/>
              </w:rPr>
              <w:t>Describe here what OTHER HOURLY FEES you are Claiming (paralegal, travel **, etc.):</w:t>
            </w:r>
          </w:p>
        </w:tc>
      </w:tr>
      <w:tr w:rsidRPr="00FA6D00" w:rsidR="00A92D0B" w:rsidTr="00EF2429" w14:paraId="48E38006" w14:textId="77777777">
        <w:trPr>
          <w:cantSplit/>
          <w:jc w:val="center"/>
        </w:trPr>
        <w:tc>
          <w:tcPr>
            <w:tcW w:w="1165" w:type="dxa"/>
            <w:gridSpan w:val="2"/>
            <w:tcBorders>
              <w:top w:val="single" w:color="auto" w:sz="4" w:space="0"/>
              <w:bottom w:val="single" w:color="auto" w:sz="4" w:space="0"/>
            </w:tcBorders>
            <w:vAlign w:val="bottom"/>
          </w:tcPr>
          <w:p w:rsidRPr="00FA6D00" w:rsidR="00A92D0B" w:rsidP="00EF2429" w:rsidRDefault="00A92D0B" w14:paraId="0014F5F5" w14:textId="77777777">
            <w:pPr>
              <w:keepNext/>
              <w:jc w:val="center"/>
              <w:rPr>
                <w:b/>
                <w:color w:val="000000"/>
                <w:szCs w:val="22"/>
              </w:rPr>
            </w:pPr>
            <w:r w:rsidRPr="00FA6D00">
              <w:rPr>
                <w:b/>
                <w:color w:val="000000"/>
                <w:szCs w:val="22"/>
              </w:rPr>
              <w:t>Item</w:t>
            </w:r>
          </w:p>
        </w:tc>
        <w:tc>
          <w:tcPr>
            <w:tcW w:w="810" w:type="dxa"/>
            <w:tcBorders>
              <w:top w:val="single" w:color="auto" w:sz="4" w:space="0"/>
              <w:bottom w:val="single" w:color="auto" w:sz="4" w:space="0"/>
            </w:tcBorders>
            <w:vAlign w:val="bottom"/>
          </w:tcPr>
          <w:p w:rsidRPr="00FA6D00" w:rsidR="00A92D0B" w:rsidP="00EF2429" w:rsidRDefault="00A92D0B" w14:paraId="3F2C73A6" w14:textId="77777777">
            <w:pPr>
              <w:keepNext/>
              <w:jc w:val="center"/>
              <w:rPr>
                <w:b/>
                <w:color w:val="000000"/>
                <w:szCs w:val="22"/>
              </w:rPr>
            </w:pPr>
            <w:r w:rsidRPr="00FA6D00">
              <w:rPr>
                <w:b/>
                <w:color w:val="000000"/>
                <w:szCs w:val="22"/>
              </w:rPr>
              <w:t>Year</w:t>
            </w:r>
          </w:p>
        </w:tc>
        <w:tc>
          <w:tcPr>
            <w:tcW w:w="900" w:type="dxa"/>
            <w:tcBorders>
              <w:top w:val="single" w:color="auto" w:sz="4" w:space="0"/>
              <w:bottom w:val="single" w:color="auto" w:sz="4" w:space="0"/>
            </w:tcBorders>
            <w:vAlign w:val="bottom"/>
          </w:tcPr>
          <w:p w:rsidRPr="00FA6D00" w:rsidR="00A92D0B" w:rsidP="00EF2429" w:rsidRDefault="00A92D0B" w14:paraId="275D7143" w14:textId="77777777">
            <w:pPr>
              <w:keepNext/>
              <w:jc w:val="center"/>
              <w:rPr>
                <w:b/>
                <w:color w:val="000000"/>
                <w:szCs w:val="22"/>
              </w:rPr>
            </w:pPr>
            <w:r w:rsidRPr="00FA6D00">
              <w:rPr>
                <w:b/>
                <w:color w:val="000000"/>
                <w:szCs w:val="22"/>
              </w:rPr>
              <w:t>Hours</w:t>
            </w:r>
          </w:p>
        </w:tc>
        <w:tc>
          <w:tcPr>
            <w:tcW w:w="1080" w:type="dxa"/>
            <w:tcBorders>
              <w:top w:val="single" w:color="auto" w:sz="4" w:space="0"/>
              <w:bottom w:val="single" w:color="auto" w:sz="4" w:space="0"/>
            </w:tcBorders>
            <w:vAlign w:val="bottom"/>
          </w:tcPr>
          <w:p w:rsidRPr="00FA6D00" w:rsidR="00A92D0B" w:rsidP="00EF2429" w:rsidRDefault="00A92D0B" w14:paraId="46CEE32B" w14:textId="61F58D09">
            <w:pPr>
              <w:keepNext/>
              <w:jc w:val="center"/>
              <w:rPr>
                <w:b/>
                <w:color w:val="000000"/>
                <w:szCs w:val="22"/>
              </w:rPr>
            </w:pPr>
            <w:r w:rsidRPr="00FA6D00">
              <w:rPr>
                <w:b/>
                <w:color w:val="000000"/>
                <w:szCs w:val="22"/>
              </w:rPr>
              <w:t>Rate</w:t>
            </w:r>
            <w:r w:rsidRPr="00FA6D00" w:rsidR="00380703">
              <w:rPr>
                <w:b/>
                <w:color w:val="000000"/>
                <w:szCs w:val="22"/>
              </w:rPr>
              <w:t xml:space="preserve"> $</w:t>
            </w:r>
          </w:p>
        </w:tc>
        <w:tc>
          <w:tcPr>
            <w:tcW w:w="1800" w:type="dxa"/>
            <w:gridSpan w:val="2"/>
            <w:tcBorders>
              <w:top w:val="single" w:color="auto" w:sz="4" w:space="0"/>
              <w:bottom w:val="single" w:color="auto" w:sz="4" w:space="0"/>
              <w:right w:val="single" w:color="auto" w:sz="4" w:space="0"/>
            </w:tcBorders>
            <w:vAlign w:val="bottom"/>
          </w:tcPr>
          <w:p w:rsidRPr="00FA6D00" w:rsidR="00A92D0B" w:rsidP="00EF2429" w:rsidRDefault="00A92D0B" w14:paraId="09EDBB92" w14:textId="77777777">
            <w:pPr>
              <w:keepNext/>
              <w:jc w:val="center"/>
              <w:rPr>
                <w:b/>
                <w:color w:val="000000"/>
                <w:szCs w:val="22"/>
              </w:rPr>
            </w:pPr>
            <w:r w:rsidRPr="00FA6D00">
              <w:rPr>
                <w:b/>
                <w:color w:val="000000"/>
                <w:szCs w:val="22"/>
              </w:rPr>
              <w:t>Basis for Rate*</w:t>
            </w:r>
          </w:p>
        </w:tc>
        <w:tc>
          <w:tcPr>
            <w:tcW w:w="1350" w:type="dxa"/>
            <w:gridSpan w:val="2"/>
            <w:tcBorders>
              <w:top w:val="single" w:color="auto" w:sz="4" w:space="0"/>
              <w:left w:val="single" w:color="auto" w:sz="4" w:space="0"/>
              <w:bottom w:val="single" w:color="auto" w:sz="4" w:space="0"/>
              <w:right w:val="single" w:color="auto" w:sz="24" w:space="0"/>
            </w:tcBorders>
            <w:vAlign w:val="bottom"/>
          </w:tcPr>
          <w:p w:rsidRPr="00FA6D00" w:rsidR="00A92D0B" w:rsidP="00EF2429" w:rsidRDefault="00A92D0B" w14:paraId="00418671" w14:textId="77777777">
            <w:pPr>
              <w:keepNext/>
              <w:jc w:val="center"/>
              <w:rPr>
                <w:b/>
                <w:color w:val="000000"/>
                <w:szCs w:val="22"/>
              </w:rPr>
            </w:pPr>
            <w:r w:rsidRPr="00FA6D00">
              <w:rPr>
                <w:b/>
                <w:color w:val="000000"/>
                <w:szCs w:val="22"/>
              </w:rPr>
              <w:t>Total $</w:t>
            </w:r>
          </w:p>
        </w:tc>
        <w:tc>
          <w:tcPr>
            <w:tcW w:w="900" w:type="dxa"/>
            <w:tcBorders>
              <w:top w:val="single" w:color="auto" w:sz="4" w:space="0"/>
              <w:left w:val="single" w:color="auto" w:sz="4" w:space="0"/>
            </w:tcBorders>
            <w:vAlign w:val="bottom"/>
          </w:tcPr>
          <w:p w:rsidRPr="00FA6D00" w:rsidR="00A92D0B" w:rsidP="00EF2429" w:rsidRDefault="00A92D0B" w14:paraId="6CCF4B94" w14:textId="77777777">
            <w:pPr>
              <w:keepNext/>
              <w:jc w:val="center"/>
              <w:rPr>
                <w:b/>
                <w:color w:val="000000"/>
                <w:szCs w:val="22"/>
              </w:rPr>
            </w:pPr>
            <w:r w:rsidRPr="00FA6D00">
              <w:rPr>
                <w:b/>
                <w:color w:val="000000"/>
                <w:szCs w:val="22"/>
              </w:rPr>
              <w:t>Hours</w:t>
            </w:r>
          </w:p>
        </w:tc>
        <w:tc>
          <w:tcPr>
            <w:tcW w:w="1080" w:type="dxa"/>
            <w:tcBorders>
              <w:top w:val="single" w:color="auto" w:sz="4" w:space="0"/>
            </w:tcBorders>
            <w:vAlign w:val="bottom"/>
          </w:tcPr>
          <w:p w:rsidRPr="00FA6D00" w:rsidR="00A92D0B" w:rsidP="00EF2429" w:rsidRDefault="00A92D0B" w14:paraId="67936540" w14:textId="3D6F9D17">
            <w:pPr>
              <w:keepNext/>
              <w:jc w:val="center"/>
              <w:rPr>
                <w:b/>
                <w:color w:val="000000"/>
                <w:szCs w:val="22"/>
              </w:rPr>
            </w:pPr>
            <w:r w:rsidRPr="00FA6D00">
              <w:rPr>
                <w:b/>
                <w:color w:val="000000"/>
                <w:szCs w:val="22"/>
              </w:rPr>
              <w:t xml:space="preserve">Rate </w:t>
            </w:r>
            <w:r w:rsidRPr="00FA6D00" w:rsidR="00B17005">
              <w:rPr>
                <w:b/>
                <w:color w:val="000000"/>
                <w:szCs w:val="22"/>
              </w:rPr>
              <w:t>$</w:t>
            </w:r>
          </w:p>
        </w:tc>
        <w:tc>
          <w:tcPr>
            <w:tcW w:w="1470" w:type="dxa"/>
            <w:tcBorders>
              <w:top w:val="single" w:color="auto" w:sz="4" w:space="0"/>
            </w:tcBorders>
            <w:vAlign w:val="bottom"/>
          </w:tcPr>
          <w:p w:rsidRPr="00FA6D00" w:rsidR="00A92D0B" w:rsidP="00EF2429" w:rsidRDefault="00A92D0B" w14:paraId="1CA0337A" w14:textId="77777777">
            <w:pPr>
              <w:keepNext/>
              <w:jc w:val="center"/>
              <w:rPr>
                <w:b/>
                <w:color w:val="000000"/>
                <w:szCs w:val="22"/>
              </w:rPr>
            </w:pPr>
            <w:r w:rsidRPr="00FA6D00">
              <w:rPr>
                <w:b/>
                <w:color w:val="000000"/>
                <w:szCs w:val="22"/>
              </w:rPr>
              <w:t>Total $</w:t>
            </w:r>
          </w:p>
        </w:tc>
      </w:tr>
      <w:tr w:rsidRPr="00FA6D00" w:rsidR="00A92D0B" w:rsidTr="00EF2429" w14:paraId="09CFB749" w14:textId="77777777">
        <w:trPr>
          <w:cantSplit/>
          <w:jc w:val="center"/>
        </w:trPr>
        <w:tc>
          <w:tcPr>
            <w:tcW w:w="1165" w:type="dxa"/>
            <w:gridSpan w:val="2"/>
          </w:tcPr>
          <w:p w:rsidR="00F33956" w:rsidP="00610335" w:rsidRDefault="00BD6B55" w14:paraId="397E3087" w14:textId="77777777">
            <w:pPr>
              <w:keepNext/>
            </w:pPr>
            <w:r w:rsidRPr="00FA6D00">
              <w:t xml:space="preserve">John </w:t>
            </w:r>
          </w:p>
          <w:p w:rsidRPr="00FA6D00" w:rsidR="00A92D0B" w:rsidP="00610335" w:rsidRDefault="00BD6B55" w14:paraId="5AB34291" w14:textId="52AC5D25">
            <w:pPr>
              <w:keepNext/>
            </w:pPr>
            <w:proofErr w:type="spellStart"/>
            <w:r w:rsidRPr="00FA6D00">
              <w:t>Geesman</w:t>
            </w:r>
            <w:proofErr w:type="spellEnd"/>
          </w:p>
        </w:tc>
        <w:tc>
          <w:tcPr>
            <w:tcW w:w="810" w:type="dxa"/>
          </w:tcPr>
          <w:p w:rsidRPr="00FA6D00" w:rsidR="00A92D0B" w:rsidP="00610335" w:rsidRDefault="00BD6B55" w14:paraId="2A0D8D18" w14:textId="54BF663A">
            <w:pPr>
              <w:keepNext/>
              <w:jc w:val="center"/>
            </w:pPr>
            <w:r w:rsidRPr="00FA6D00">
              <w:t>2024</w:t>
            </w:r>
          </w:p>
        </w:tc>
        <w:tc>
          <w:tcPr>
            <w:tcW w:w="900" w:type="dxa"/>
          </w:tcPr>
          <w:p w:rsidRPr="00FA6D00" w:rsidR="00A92D0B" w:rsidP="00610335" w:rsidRDefault="009451A0" w14:paraId="64EA9215" w14:textId="5EDF1F47">
            <w:pPr>
              <w:keepNext/>
              <w:jc w:val="center"/>
            </w:pPr>
            <w:r w:rsidRPr="00FA6D00">
              <w:t>32.55</w:t>
            </w:r>
          </w:p>
        </w:tc>
        <w:tc>
          <w:tcPr>
            <w:tcW w:w="1080" w:type="dxa"/>
          </w:tcPr>
          <w:p w:rsidRPr="00FA6D00" w:rsidR="00A92D0B" w:rsidP="00610335" w:rsidRDefault="007F571A" w14:paraId="15F30A98" w14:textId="2B38910B">
            <w:pPr>
              <w:keepNext/>
              <w:jc w:val="center"/>
            </w:pPr>
            <w:r w:rsidRPr="00FA6D00">
              <w:t>390</w:t>
            </w:r>
          </w:p>
        </w:tc>
        <w:tc>
          <w:tcPr>
            <w:tcW w:w="1800" w:type="dxa"/>
            <w:gridSpan w:val="2"/>
            <w:tcBorders>
              <w:right w:val="single" w:color="auto" w:sz="4" w:space="0"/>
            </w:tcBorders>
          </w:tcPr>
          <w:p w:rsidRPr="00FA6D00" w:rsidR="00A92D0B" w:rsidP="00610335" w:rsidRDefault="007548DB" w14:paraId="27EA3054" w14:textId="19E986FC">
            <w:pPr>
              <w:keepNext/>
            </w:pPr>
            <w:r w:rsidRPr="00FA6D00">
              <w:t>D.24</w:t>
            </w:r>
            <w:r w:rsidRPr="00FA6D00" w:rsidR="004152B8">
              <w:noBreakHyphen/>
            </w:r>
            <w:r w:rsidRPr="00FA6D00">
              <w:t>04</w:t>
            </w:r>
            <w:r w:rsidRPr="00FA6D00" w:rsidR="004152B8">
              <w:noBreakHyphen/>
            </w:r>
            <w:r w:rsidRPr="00FA6D00" w:rsidR="00695C06">
              <w:t xml:space="preserve">039 plus </w:t>
            </w:r>
            <w:r w:rsidRPr="00FA6D00" w:rsidR="006B6CA2">
              <w:t>ALJ</w:t>
            </w:r>
            <w:r w:rsidRPr="00FA6D00" w:rsidR="004152B8">
              <w:noBreakHyphen/>
            </w:r>
            <w:r w:rsidRPr="00FA6D00" w:rsidR="006B6CA2">
              <w:t>339</w:t>
            </w:r>
            <w:r w:rsidRPr="00FA6D00" w:rsidR="000A4E96">
              <w:t xml:space="preserve"> escalation</w:t>
            </w:r>
            <w:r w:rsidRPr="00FA6D00" w:rsidR="007A2161">
              <w:t xml:space="preserve"> for 2024</w:t>
            </w:r>
            <w:r w:rsidRPr="00FA6D00" w:rsidR="006B6CA2">
              <w:t>.  See Comment below.</w:t>
            </w:r>
          </w:p>
        </w:tc>
        <w:tc>
          <w:tcPr>
            <w:tcW w:w="1350" w:type="dxa"/>
            <w:gridSpan w:val="2"/>
            <w:tcBorders>
              <w:top w:val="single" w:color="auto" w:sz="4" w:space="0"/>
              <w:left w:val="single" w:color="auto" w:sz="4" w:space="0"/>
              <w:bottom w:val="single" w:color="auto" w:sz="4" w:space="0"/>
              <w:right w:val="single" w:color="auto" w:sz="24" w:space="0"/>
            </w:tcBorders>
          </w:tcPr>
          <w:p w:rsidRPr="00FA6D00" w:rsidR="00A92D0B" w:rsidP="00610335" w:rsidRDefault="00C8694B" w14:paraId="5E4CC873" w14:textId="35A60E55">
            <w:pPr>
              <w:keepNext/>
              <w:jc w:val="right"/>
            </w:pPr>
            <w:r w:rsidRPr="00FA6D00">
              <w:t>12,694.50</w:t>
            </w:r>
          </w:p>
        </w:tc>
        <w:tc>
          <w:tcPr>
            <w:tcW w:w="900" w:type="dxa"/>
            <w:tcBorders>
              <w:left w:val="single" w:color="auto" w:sz="4" w:space="0"/>
              <w:right w:val="single" w:color="auto" w:sz="4" w:space="0"/>
            </w:tcBorders>
          </w:tcPr>
          <w:p w:rsidR="008B7854" w:rsidP="00610335" w:rsidRDefault="00FD5CFA" w14:paraId="2FDAA118" w14:textId="77777777">
            <w:pPr>
              <w:keepNext/>
              <w:jc w:val="center"/>
            </w:pPr>
            <w:r w:rsidRPr="00FA6D00">
              <w:t>0.00</w:t>
            </w:r>
          </w:p>
          <w:p w:rsidRPr="00FA6D00" w:rsidR="00A92D0B" w:rsidP="00610335" w:rsidRDefault="008B7854" w14:paraId="42B2DDFC" w14:textId="7162ECC8">
            <w:pPr>
              <w:keepNext/>
              <w:jc w:val="center"/>
            </w:pPr>
            <w:r>
              <w:t>[</w:t>
            </w:r>
            <w:r w:rsidRPr="00FA6D00" w:rsidR="003020EE">
              <w:t>3</w:t>
            </w:r>
            <w:r w:rsidRPr="00FA6D00" w:rsidR="00AF61AE">
              <w:t>]</w:t>
            </w:r>
          </w:p>
        </w:tc>
        <w:tc>
          <w:tcPr>
            <w:tcW w:w="1080" w:type="dxa"/>
            <w:tcBorders>
              <w:left w:val="single" w:color="auto" w:sz="4" w:space="0"/>
            </w:tcBorders>
          </w:tcPr>
          <w:p w:rsidR="008B7854" w:rsidP="00610335" w:rsidRDefault="00AF61AE" w14:paraId="7DE2E945" w14:textId="77777777">
            <w:pPr>
              <w:keepNext/>
              <w:jc w:val="center"/>
            </w:pPr>
            <w:r w:rsidRPr="00FA6D00">
              <w:t>N/A</w:t>
            </w:r>
          </w:p>
          <w:p w:rsidRPr="00FA6D00" w:rsidR="00A92D0B" w:rsidP="00610335" w:rsidRDefault="008B7854" w14:paraId="62FAF033" w14:textId="051BE9D7">
            <w:pPr>
              <w:keepNext/>
              <w:jc w:val="center"/>
            </w:pPr>
            <w:r>
              <w:t>[</w:t>
            </w:r>
            <w:r w:rsidRPr="00FA6D00" w:rsidR="002A054F">
              <w:t>3</w:t>
            </w:r>
            <w:r w:rsidRPr="00FA6D00" w:rsidR="00AF61AE">
              <w:t>]</w:t>
            </w:r>
          </w:p>
        </w:tc>
        <w:tc>
          <w:tcPr>
            <w:tcW w:w="1470" w:type="dxa"/>
          </w:tcPr>
          <w:p w:rsidRPr="00FA6D00" w:rsidR="00A92D0B" w:rsidP="00610335" w:rsidRDefault="00D56F47" w14:paraId="4FDDC4B2" w14:textId="20D09DD4">
            <w:pPr>
              <w:keepNext/>
              <w:jc w:val="right"/>
            </w:pPr>
            <w:r w:rsidRPr="00FA6D00">
              <w:t>$0.00</w:t>
            </w:r>
          </w:p>
        </w:tc>
      </w:tr>
      <w:tr w:rsidRPr="00FA6D00" w:rsidR="00E15DC3" w:rsidTr="00EF2429" w14:paraId="63BC1854" w14:textId="77777777">
        <w:trPr>
          <w:cantSplit/>
          <w:jc w:val="center"/>
        </w:trPr>
        <w:tc>
          <w:tcPr>
            <w:tcW w:w="7105" w:type="dxa"/>
            <w:gridSpan w:val="9"/>
            <w:tcBorders>
              <w:bottom w:val="single" w:color="auto" w:sz="4" w:space="0"/>
              <w:right w:val="single" w:color="auto" w:sz="24" w:space="0"/>
            </w:tcBorders>
            <w:vAlign w:val="bottom"/>
          </w:tcPr>
          <w:p w:rsidRPr="00FA6D00" w:rsidR="00E15DC3" w:rsidP="00EF2429" w:rsidRDefault="00E15DC3" w14:paraId="3A471360" w14:textId="5FDDE2F6">
            <w:pPr>
              <w:tabs>
                <w:tab w:val="left" w:pos="957"/>
              </w:tabs>
              <w:jc w:val="right"/>
              <w:rPr>
                <w:b/>
                <w:i/>
                <w:color w:val="000000"/>
              </w:rPr>
            </w:pPr>
            <w:r w:rsidRPr="00FA6D00">
              <w:rPr>
                <w:b/>
                <w:i/>
                <w:color w:val="000000"/>
              </w:rPr>
              <w:t>Subtotal: $</w:t>
            </w:r>
            <w:r w:rsidRPr="00FA6D00" w:rsidR="00E11B03">
              <w:rPr>
                <w:b/>
                <w:i/>
                <w:color w:val="000000"/>
              </w:rPr>
              <w:t>12,694.50</w:t>
            </w:r>
          </w:p>
        </w:tc>
        <w:tc>
          <w:tcPr>
            <w:tcW w:w="3450" w:type="dxa"/>
            <w:gridSpan w:val="3"/>
            <w:tcBorders>
              <w:left w:val="single" w:color="auto" w:sz="24" w:space="0"/>
              <w:bottom w:val="single" w:color="auto" w:sz="4" w:space="0"/>
            </w:tcBorders>
            <w:vAlign w:val="bottom"/>
          </w:tcPr>
          <w:p w:rsidRPr="00FA6D00" w:rsidR="00E15DC3" w:rsidP="00EF2429" w:rsidRDefault="00E15DC3" w14:paraId="53BF0F55" w14:textId="1398908F">
            <w:pPr>
              <w:tabs>
                <w:tab w:val="left" w:pos="957"/>
              </w:tabs>
              <w:jc w:val="right"/>
              <w:rPr>
                <w:b/>
                <w:i/>
                <w:color w:val="000000"/>
              </w:rPr>
            </w:pPr>
            <w:r w:rsidRPr="00FA6D00">
              <w:rPr>
                <w:b/>
                <w:i/>
                <w:color w:val="000000"/>
              </w:rPr>
              <w:t>Subtotal:  $</w:t>
            </w:r>
            <w:r w:rsidRPr="00FA6D00" w:rsidR="00D56F47">
              <w:rPr>
                <w:b/>
                <w:i/>
                <w:color w:val="000000"/>
              </w:rPr>
              <w:t>0.00</w:t>
            </w:r>
          </w:p>
        </w:tc>
      </w:tr>
      <w:tr w:rsidRPr="00FA6D00" w:rsidR="00A92D0B" w:rsidTr="00EF2429" w14:paraId="4F8FAF05" w14:textId="77777777">
        <w:trPr>
          <w:cantSplit/>
          <w:jc w:val="center"/>
        </w:trPr>
        <w:tc>
          <w:tcPr>
            <w:tcW w:w="10555"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A6D00" w:rsidR="00A92D0B" w:rsidP="00EF2429" w:rsidRDefault="00A92D0B" w14:paraId="41FE304C" w14:textId="77777777">
            <w:pPr>
              <w:keepNext/>
              <w:jc w:val="center"/>
              <w:rPr>
                <w:color w:val="000000"/>
              </w:rPr>
            </w:pPr>
            <w:r w:rsidRPr="00FA6D00">
              <w:rPr>
                <w:b/>
                <w:color w:val="000000"/>
              </w:rPr>
              <w:t xml:space="preserve">INTERVENOR COMPENSATION CLAIM PREPARATION </w:t>
            </w:r>
            <w:r w:rsidRPr="00FA6D00">
              <w:rPr>
                <w:b/>
                <w:smallCaps/>
                <w:color w:val="000000"/>
              </w:rPr>
              <w:t xml:space="preserve"> **</w:t>
            </w:r>
          </w:p>
        </w:tc>
      </w:tr>
      <w:tr w:rsidRPr="00FA6D00" w:rsidR="00A92D0B" w:rsidTr="00EF2429" w14:paraId="48B3E535" w14:textId="77777777">
        <w:trPr>
          <w:cantSplit/>
          <w:jc w:val="center"/>
        </w:trPr>
        <w:tc>
          <w:tcPr>
            <w:tcW w:w="1165" w:type="dxa"/>
            <w:gridSpan w:val="2"/>
            <w:tcBorders>
              <w:top w:val="single" w:color="auto" w:sz="4" w:space="0"/>
              <w:bottom w:val="single" w:color="auto" w:sz="4" w:space="0"/>
            </w:tcBorders>
            <w:vAlign w:val="bottom"/>
          </w:tcPr>
          <w:p w:rsidRPr="00FA6D00" w:rsidR="00A92D0B" w:rsidP="00EF2429" w:rsidRDefault="00A92D0B" w14:paraId="563A43BB" w14:textId="77777777">
            <w:pPr>
              <w:keepNext/>
              <w:jc w:val="center"/>
              <w:rPr>
                <w:b/>
                <w:color w:val="000000"/>
                <w:szCs w:val="22"/>
              </w:rPr>
            </w:pPr>
            <w:r w:rsidRPr="00FA6D00">
              <w:rPr>
                <w:b/>
                <w:color w:val="000000"/>
                <w:szCs w:val="22"/>
              </w:rPr>
              <w:t>Item</w:t>
            </w:r>
          </w:p>
        </w:tc>
        <w:tc>
          <w:tcPr>
            <w:tcW w:w="810" w:type="dxa"/>
            <w:tcBorders>
              <w:top w:val="single" w:color="auto" w:sz="4" w:space="0"/>
              <w:bottom w:val="single" w:color="auto" w:sz="4" w:space="0"/>
            </w:tcBorders>
            <w:vAlign w:val="bottom"/>
          </w:tcPr>
          <w:p w:rsidRPr="00FA6D00" w:rsidR="00A92D0B" w:rsidP="00EF2429" w:rsidRDefault="00A92D0B" w14:paraId="144552E0" w14:textId="77777777">
            <w:pPr>
              <w:keepNext/>
              <w:jc w:val="center"/>
              <w:rPr>
                <w:b/>
                <w:color w:val="000000"/>
                <w:szCs w:val="22"/>
              </w:rPr>
            </w:pPr>
            <w:r w:rsidRPr="00FA6D00">
              <w:rPr>
                <w:b/>
                <w:color w:val="000000"/>
                <w:szCs w:val="22"/>
              </w:rPr>
              <w:t>Year</w:t>
            </w:r>
          </w:p>
        </w:tc>
        <w:tc>
          <w:tcPr>
            <w:tcW w:w="900" w:type="dxa"/>
            <w:tcBorders>
              <w:top w:val="single" w:color="auto" w:sz="4" w:space="0"/>
              <w:bottom w:val="single" w:color="auto" w:sz="4" w:space="0"/>
            </w:tcBorders>
            <w:vAlign w:val="bottom"/>
          </w:tcPr>
          <w:p w:rsidRPr="00FA6D00" w:rsidR="00A92D0B" w:rsidP="00EF2429" w:rsidRDefault="00A92D0B" w14:paraId="42890B1B" w14:textId="77777777">
            <w:pPr>
              <w:keepNext/>
              <w:jc w:val="center"/>
              <w:rPr>
                <w:b/>
                <w:color w:val="000000"/>
                <w:szCs w:val="22"/>
              </w:rPr>
            </w:pPr>
            <w:r w:rsidRPr="00FA6D00">
              <w:rPr>
                <w:b/>
                <w:color w:val="000000"/>
                <w:szCs w:val="22"/>
              </w:rPr>
              <w:t>Hours</w:t>
            </w:r>
          </w:p>
        </w:tc>
        <w:tc>
          <w:tcPr>
            <w:tcW w:w="1080" w:type="dxa"/>
            <w:tcBorders>
              <w:top w:val="single" w:color="auto" w:sz="4" w:space="0"/>
              <w:bottom w:val="single" w:color="auto" w:sz="4" w:space="0"/>
            </w:tcBorders>
            <w:vAlign w:val="bottom"/>
          </w:tcPr>
          <w:p w:rsidRPr="00FA6D00" w:rsidR="00A92D0B" w:rsidP="00EF2429" w:rsidRDefault="00A92D0B" w14:paraId="1E7BD956" w14:textId="243077B9">
            <w:pPr>
              <w:keepNext/>
              <w:jc w:val="center"/>
              <w:rPr>
                <w:b/>
                <w:color w:val="000000"/>
                <w:szCs w:val="22"/>
              </w:rPr>
            </w:pPr>
            <w:r w:rsidRPr="00FA6D00">
              <w:rPr>
                <w:b/>
                <w:color w:val="000000"/>
                <w:szCs w:val="22"/>
              </w:rPr>
              <w:t>Rate</w:t>
            </w:r>
            <w:r w:rsidRPr="00FA6D00" w:rsidR="00380703">
              <w:rPr>
                <w:b/>
                <w:color w:val="000000"/>
                <w:szCs w:val="22"/>
              </w:rPr>
              <w:t xml:space="preserve"> $</w:t>
            </w:r>
          </w:p>
        </w:tc>
        <w:tc>
          <w:tcPr>
            <w:tcW w:w="1800" w:type="dxa"/>
            <w:gridSpan w:val="2"/>
            <w:tcBorders>
              <w:top w:val="single" w:color="auto" w:sz="4" w:space="0"/>
              <w:bottom w:val="single" w:color="auto" w:sz="4" w:space="0"/>
              <w:right w:val="single" w:color="auto" w:sz="4" w:space="0"/>
            </w:tcBorders>
            <w:vAlign w:val="bottom"/>
          </w:tcPr>
          <w:p w:rsidRPr="00FA6D00" w:rsidR="00A92D0B" w:rsidP="00EF2429" w:rsidRDefault="00A92D0B" w14:paraId="104D7982" w14:textId="77777777">
            <w:pPr>
              <w:keepNext/>
              <w:jc w:val="center"/>
              <w:rPr>
                <w:b/>
                <w:color w:val="000000"/>
                <w:szCs w:val="22"/>
              </w:rPr>
            </w:pPr>
            <w:r w:rsidRPr="00FA6D00">
              <w:rPr>
                <w:b/>
                <w:color w:val="000000"/>
                <w:szCs w:val="22"/>
              </w:rPr>
              <w:t>Basis for Rate*</w:t>
            </w:r>
          </w:p>
        </w:tc>
        <w:tc>
          <w:tcPr>
            <w:tcW w:w="1350" w:type="dxa"/>
            <w:gridSpan w:val="2"/>
            <w:tcBorders>
              <w:top w:val="single" w:color="auto" w:sz="4" w:space="0"/>
              <w:left w:val="single" w:color="auto" w:sz="4" w:space="0"/>
              <w:bottom w:val="single" w:color="auto" w:sz="4" w:space="0"/>
              <w:right w:val="single" w:color="auto" w:sz="24" w:space="0"/>
            </w:tcBorders>
            <w:vAlign w:val="bottom"/>
          </w:tcPr>
          <w:p w:rsidRPr="00FA6D00" w:rsidR="00A92D0B" w:rsidP="00EF2429" w:rsidRDefault="00A92D0B" w14:paraId="073B2BB9" w14:textId="77777777">
            <w:pPr>
              <w:keepNext/>
              <w:jc w:val="center"/>
              <w:rPr>
                <w:b/>
                <w:color w:val="000000"/>
                <w:szCs w:val="22"/>
              </w:rPr>
            </w:pPr>
            <w:r w:rsidRPr="00FA6D00">
              <w:rPr>
                <w:b/>
                <w:color w:val="000000"/>
                <w:szCs w:val="22"/>
              </w:rPr>
              <w:t>Total $</w:t>
            </w:r>
          </w:p>
        </w:tc>
        <w:tc>
          <w:tcPr>
            <w:tcW w:w="900" w:type="dxa"/>
            <w:tcBorders>
              <w:top w:val="single" w:color="auto" w:sz="4" w:space="0"/>
              <w:left w:val="single" w:color="auto" w:sz="4" w:space="0"/>
            </w:tcBorders>
            <w:vAlign w:val="bottom"/>
          </w:tcPr>
          <w:p w:rsidRPr="00FA6D00" w:rsidR="00A92D0B" w:rsidP="00EF2429" w:rsidRDefault="00A92D0B" w14:paraId="0409143B" w14:textId="77777777">
            <w:pPr>
              <w:keepNext/>
              <w:jc w:val="center"/>
              <w:rPr>
                <w:b/>
                <w:color w:val="000000"/>
                <w:szCs w:val="22"/>
              </w:rPr>
            </w:pPr>
            <w:r w:rsidRPr="00FA6D00">
              <w:rPr>
                <w:b/>
                <w:color w:val="000000"/>
                <w:szCs w:val="22"/>
              </w:rPr>
              <w:t>Hours</w:t>
            </w:r>
          </w:p>
        </w:tc>
        <w:tc>
          <w:tcPr>
            <w:tcW w:w="1080" w:type="dxa"/>
            <w:tcBorders>
              <w:top w:val="single" w:color="auto" w:sz="4" w:space="0"/>
            </w:tcBorders>
            <w:vAlign w:val="bottom"/>
          </w:tcPr>
          <w:p w:rsidRPr="00FA6D00" w:rsidR="00A92D0B" w:rsidP="00EF2429" w:rsidRDefault="00A92D0B" w14:paraId="6B59BB80" w14:textId="2C791D8E">
            <w:pPr>
              <w:keepNext/>
              <w:jc w:val="center"/>
              <w:rPr>
                <w:b/>
                <w:color w:val="000000"/>
                <w:szCs w:val="22"/>
              </w:rPr>
            </w:pPr>
            <w:r w:rsidRPr="00FA6D00">
              <w:rPr>
                <w:b/>
                <w:color w:val="000000"/>
                <w:szCs w:val="22"/>
              </w:rPr>
              <w:t xml:space="preserve">Rate </w:t>
            </w:r>
            <w:r w:rsidRPr="00FA6D00" w:rsidR="00B17005">
              <w:rPr>
                <w:b/>
                <w:color w:val="000000"/>
                <w:szCs w:val="22"/>
              </w:rPr>
              <w:t>$</w:t>
            </w:r>
          </w:p>
        </w:tc>
        <w:tc>
          <w:tcPr>
            <w:tcW w:w="1470" w:type="dxa"/>
            <w:tcBorders>
              <w:top w:val="single" w:color="auto" w:sz="4" w:space="0"/>
            </w:tcBorders>
            <w:vAlign w:val="bottom"/>
          </w:tcPr>
          <w:p w:rsidRPr="00FA6D00" w:rsidR="00A92D0B" w:rsidP="00EF2429" w:rsidRDefault="00A92D0B" w14:paraId="6C7B13CF" w14:textId="77777777">
            <w:pPr>
              <w:keepNext/>
              <w:jc w:val="center"/>
              <w:rPr>
                <w:b/>
                <w:color w:val="000000"/>
                <w:szCs w:val="22"/>
              </w:rPr>
            </w:pPr>
            <w:r w:rsidRPr="00FA6D00">
              <w:rPr>
                <w:b/>
                <w:color w:val="000000"/>
                <w:szCs w:val="22"/>
              </w:rPr>
              <w:t>Total $</w:t>
            </w:r>
          </w:p>
        </w:tc>
      </w:tr>
      <w:tr w:rsidRPr="00FA6D00" w:rsidR="00A92D0B" w:rsidTr="00EF2429" w14:paraId="25086E67" w14:textId="77777777">
        <w:trPr>
          <w:cantSplit/>
          <w:jc w:val="center"/>
        </w:trPr>
        <w:tc>
          <w:tcPr>
            <w:tcW w:w="1165" w:type="dxa"/>
            <w:gridSpan w:val="2"/>
          </w:tcPr>
          <w:p w:rsidR="00EF2429" w:rsidP="00EF2429" w:rsidRDefault="00BD6B55" w14:paraId="4B0258FD" w14:textId="77777777">
            <w:r w:rsidRPr="00FA6D00">
              <w:t xml:space="preserve">John </w:t>
            </w:r>
          </w:p>
          <w:p w:rsidRPr="00FA6D00" w:rsidR="00A92D0B" w:rsidP="00EF2429" w:rsidRDefault="00BD6B55" w14:paraId="386D0995" w14:textId="357B01D7">
            <w:proofErr w:type="spellStart"/>
            <w:r w:rsidRPr="00FA6D00">
              <w:t>Geesman</w:t>
            </w:r>
            <w:proofErr w:type="spellEnd"/>
          </w:p>
        </w:tc>
        <w:tc>
          <w:tcPr>
            <w:tcW w:w="810" w:type="dxa"/>
          </w:tcPr>
          <w:p w:rsidRPr="00FA6D00" w:rsidR="00A92D0B" w:rsidP="00EF2429" w:rsidRDefault="00BD6B55" w14:paraId="4A155F1D" w14:textId="2E2C8F3F">
            <w:pPr>
              <w:jc w:val="center"/>
            </w:pPr>
            <w:r w:rsidRPr="00FA6D00">
              <w:t>2024</w:t>
            </w:r>
          </w:p>
        </w:tc>
        <w:tc>
          <w:tcPr>
            <w:tcW w:w="900" w:type="dxa"/>
          </w:tcPr>
          <w:p w:rsidRPr="00FA6D00" w:rsidR="00A92D0B" w:rsidP="00EF2429" w:rsidRDefault="00BD6B55" w14:paraId="30EEA80A" w14:textId="38E6EFD1">
            <w:pPr>
              <w:jc w:val="center"/>
            </w:pPr>
            <w:r w:rsidRPr="00FA6D00">
              <w:t>0.74</w:t>
            </w:r>
          </w:p>
        </w:tc>
        <w:tc>
          <w:tcPr>
            <w:tcW w:w="1080" w:type="dxa"/>
          </w:tcPr>
          <w:p w:rsidRPr="00FA6D00" w:rsidR="00A92D0B" w:rsidP="00EF2429" w:rsidRDefault="00EF2429" w14:paraId="4EB14C91" w14:textId="0484653A">
            <w:pPr>
              <w:jc w:val="center"/>
            </w:pPr>
            <w:r>
              <w:t>$</w:t>
            </w:r>
            <w:r w:rsidRPr="00FA6D00" w:rsidR="0088646C">
              <w:t>390</w:t>
            </w:r>
            <w:r>
              <w:t>.00</w:t>
            </w:r>
          </w:p>
        </w:tc>
        <w:tc>
          <w:tcPr>
            <w:tcW w:w="1800" w:type="dxa"/>
            <w:gridSpan w:val="2"/>
            <w:tcBorders>
              <w:right w:val="single" w:color="auto" w:sz="4" w:space="0"/>
            </w:tcBorders>
          </w:tcPr>
          <w:p w:rsidRPr="00FA6D00" w:rsidR="00A92D0B" w:rsidP="00EF2429" w:rsidRDefault="000A4E96" w14:paraId="02D334B7" w14:textId="6C0117A8">
            <w:r w:rsidRPr="00FA6D00">
              <w:t>D.24</w:t>
            </w:r>
            <w:r w:rsidRPr="00FA6D00" w:rsidR="004152B8">
              <w:noBreakHyphen/>
            </w:r>
            <w:r w:rsidRPr="00FA6D00">
              <w:t>04</w:t>
            </w:r>
            <w:r w:rsidRPr="00FA6D00" w:rsidR="004152B8">
              <w:noBreakHyphen/>
            </w:r>
            <w:r w:rsidRPr="00FA6D00">
              <w:t>039</w:t>
            </w:r>
            <w:r w:rsidRPr="00FA6D00" w:rsidR="007A2161">
              <w:t xml:space="preserve"> plus </w:t>
            </w:r>
            <w:r w:rsidRPr="00FA6D00" w:rsidR="0088646C">
              <w:t>ALJ</w:t>
            </w:r>
            <w:r w:rsidRPr="00FA6D00" w:rsidR="004152B8">
              <w:noBreakHyphen/>
            </w:r>
            <w:r w:rsidRPr="00FA6D00" w:rsidR="0088646C">
              <w:t>339</w:t>
            </w:r>
            <w:r w:rsidRPr="00FA6D00" w:rsidR="007A2161">
              <w:t xml:space="preserve"> escalation</w:t>
            </w:r>
            <w:r w:rsidRPr="00FA6D00" w:rsidR="00117F35">
              <w:t xml:space="preserve"> for 2024</w:t>
            </w:r>
            <w:r w:rsidRPr="00FA6D00" w:rsidR="0088646C">
              <w:t>.  See Comment below.</w:t>
            </w:r>
          </w:p>
        </w:tc>
        <w:tc>
          <w:tcPr>
            <w:tcW w:w="1350" w:type="dxa"/>
            <w:gridSpan w:val="2"/>
            <w:tcBorders>
              <w:top w:val="single" w:color="auto" w:sz="4" w:space="0"/>
              <w:left w:val="single" w:color="auto" w:sz="4" w:space="0"/>
              <w:bottom w:val="single" w:color="auto" w:sz="4" w:space="0"/>
              <w:right w:val="single" w:color="auto" w:sz="24" w:space="0"/>
            </w:tcBorders>
          </w:tcPr>
          <w:p w:rsidRPr="00FA6D00" w:rsidR="00A92D0B" w:rsidP="00EF2429" w:rsidRDefault="00EF2429" w14:paraId="7B9A0261" w14:textId="7BA68702">
            <w:pPr>
              <w:jc w:val="right"/>
            </w:pPr>
            <w:r>
              <w:t>$</w:t>
            </w:r>
            <w:r w:rsidRPr="00FA6D00" w:rsidR="0052484C">
              <w:t>288.60</w:t>
            </w:r>
          </w:p>
        </w:tc>
        <w:tc>
          <w:tcPr>
            <w:tcW w:w="900" w:type="dxa"/>
            <w:tcBorders>
              <w:left w:val="single" w:color="auto" w:sz="4" w:space="0"/>
              <w:right w:val="single" w:color="auto" w:sz="4" w:space="0"/>
            </w:tcBorders>
          </w:tcPr>
          <w:p w:rsidRPr="00FA6D00" w:rsidR="00A92D0B" w:rsidP="00EF2429" w:rsidRDefault="00210CF5" w14:paraId="5E5A4264" w14:textId="6CAE75D2">
            <w:pPr>
              <w:jc w:val="center"/>
            </w:pPr>
            <w:r w:rsidRPr="00FA6D00">
              <w:t>0.74</w:t>
            </w:r>
          </w:p>
        </w:tc>
        <w:tc>
          <w:tcPr>
            <w:tcW w:w="1080" w:type="dxa"/>
            <w:tcBorders>
              <w:left w:val="single" w:color="auto" w:sz="4" w:space="0"/>
            </w:tcBorders>
          </w:tcPr>
          <w:p w:rsidR="008B7854" w:rsidP="00EF2429" w:rsidRDefault="007B0422" w14:paraId="2D39AD70" w14:textId="77777777">
            <w:pPr>
              <w:jc w:val="right"/>
            </w:pPr>
            <w:r w:rsidRPr="00FA6D00">
              <w:t>$385.00</w:t>
            </w:r>
          </w:p>
          <w:p w:rsidRPr="00FA6D00" w:rsidR="00A92D0B" w:rsidP="00EF2429" w:rsidRDefault="008B7854" w14:paraId="47B1F089" w14:textId="18BF626E">
            <w:pPr>
              <w:jc w:val="center"/>
            </w:pPr>
            <w:r>
              <w:t>[</w:t>
            </w:r>
            <w:r w:rsidRPr="00FA6D00" w:rsidR="0017195B">
              <w:t>1]</w:t>
            </w:r>
          </w:p>
        </w:tc>
        <w:tc>
          <w:tcPr>
            <w:tcW w:w="1470" w:type="dxa"/>
          </w:tcPr>
          <w:p w:rsidRPr="00FA6D00" w:rsidR="00A92D0B" w:rsidP="00EF2429" w:rsidRDefault="00210CF5" w14:paraId="10659B6D" w14:textId="37E48789">
            <w:pPr>
              <w:jc w:val="right"/>
            </w:pPr>
            <w:r w:rsidRPr="00FA6D00">
              <w:t>$284.90</w:t>
            </w:r>
          </w:p>
        </w:tc>
      </w:tr>
      <w:tr w:rsidRPr="00FA6D00" w:rsidR="00BD6B55" w:rsidTr="00EF2429" w14:paraId="6BC0B5E2" w14:textId="77777777">
        <w:trPr>
          <w:cantSplit/>
          <w:jc w:val="center"/>
        </w:trPr>
        <w:tc>
          <w:tcPr>
            <w:tcW w:w="1165" w:type="dxa"/>
            <w:gridSpan w:val="2"/>
          </w:tcPr>
          <w:p w:rsidR="00EF2429" w:rsidP="00EF2429" w:rsidRDefault="00BD6B55" w14:paraId="509D20EB" w14:textId="77777777">
            <w:r w:rsidRPr="00FA6D00">
              <w:lastRenderedPageBreak/>
              <w:t xml:space="preserve">John </w:t>
            </w:r>
          </w:p>
          <w:p w:rsidRPr="00FA6D00" w:rsidR="00BD6B55" w:rsidP="00EF2429" w:rsidRDefault="00BD6B55" w14:paraId="322CEEA2" w14:textId="341CD17B">
            <w:proofErr w:type="spellStart"/>
            <w:r w:rsidRPr="00FA6D00">
              <w:t>Geesman</w:t>
            </w:r>
            <w:proofErr w:type="spellEnd"/>
          </w:p>
        </w:tc>
        <w:tc>
          <w:tcPr>
            <w:tcW w:w="810" w:type="dxa"/>
          </w:tcPr>
          <w:p w:rsidRPr="00FA6D00" w:rsidR="00BD6B55" w:rsidP="00EF2429" w:rsidRDefault="00BD6B55" w14:paraId="00CB85C3" w14:textId="4F959622">
            <w:pPr>
              <w:jc w:val="center"/>
            </w:pPr>
            <w:r w:rsidRPr="00FA6D00">
              <w:t>2025</w:t>
            </w:r>
          </w:p>
        </w:tc>
        <w:tc>
          <w:tcPr>
            <w:tcW w:w="900" w:type="dxa"/>
          </w:tcPr>
          <w:p w:rsidRPr="00FA6D00" w:rsidR="00BD6B55" w:rsidP="00EF2429" w:rsidRDefault="00E55EAD" w14:paraId="1AD73334" w14:textId="76C28600">
            <w:pPr>
              <w:jc w:val="center"/>
            </w:pPr>
            <w:r w:rsidRPr="00FA6D00">
              <w:t>12.5</w:t>
            </w:r>
          </w:p>
        </w:tc>
        <w:tc>
          <w:tcPr>
            <w:tcW w:w="1080" w:type="dxa"/>
          </w:tcPr>
          <w:p w:rsidRPr="00FA6D00" w:rsidR="00BD6B55" w:rsidP="00EF2429" w:rsidRDefault="00EF2429" w14:paraId="4CD40F8F" w14:textId="4385B611">
            <w:pPr>
              <w:jc w:val="center"/>
            </w:pPr>
            <w:r>
              <w:t>$</w:t>
            </w:r>
            <w:r w:rsidRPr="00FA6D00" w:rsidR="00C8694B">
              <w:t>390</w:t>
            </w:r>
            <w:r>
              <w:t>.00</w:t>
            </w:r>
          </w:p>
        </w:tc>
        <w:tc>
          <w:tcPr>
            <w:tcW w:w="1800" w:type="dxa"/>
            <w:gridSpan w:val="2"/>
            <w:tcBorders>
              <w:right w:val="single" w:color="auto" w:sz="4" w:space="0"/>
            </w:tcBorders>
          </w:tcPr>
          <w:p w:rsidRPr="00FA6D00" w:rsidR="00BD6B55" w:rsidP="00EF2429" w:rsidRDefault="00117F35" w14:paraId="7E65B2BB" w14:textId="71CA2802">
            <w:r w:rsidRPr="00FA6D00">
              <w:t>D.24</w:t>
            </w:r>
            <w:r w:rsidRPr="00FA6D00" w:rsidR="004152B8">
              <w:noBreakHyphen/>
            </w:r>
            <w:r w:rsidRPr="00FA6D00">
              <w:t>04</w:t>
            </w:r>
            <w:r w:rsidRPr="00FA6D00" w:rsidR="004152B8">
              <w:noBreakHyphen/>
            </w:r>
            <w:r w:rsidRPr="00FA6D00">
              <w:t xml:space="preserve">039 plus </w:t>
            </w:r>
            <w:r w:rsidRPr="00FA6D00" w:rsidR="00CA4B28">
              <w:t>ALJ</w:t>
            </w:r>
            <w:r w:rsidRPr="00FA6D00" w:rsidR="004152B8">
              <w:noBreakHyphen/>
            </w:r>
            <w:r w:rsidRPr="00FA6D00" w:rsidR="00CA4B28">
              <w:t>339</w:t>
            </w:r>
            <w:r w:rsidRPr="00FA6D00" w:rsidR="002E1A42">
              <w:t xml:space="preserve"> escalation for 2024</w:t>
            </w:r>
            <w:r w:rsidRPr="00FA6D00" w:rsidR="0088102B">
              <w:t xml:space="preserve">, prior to </w:t>
            </w:r>
            <w:r w:rsidRPr="00FA6D00" w:rsidR="007B533A">
              <w:t xml:space="preserve">application of any 2025 </w:t>
            </w:r>
            <w:r w:rsidRPr="00FA6D00" w:rsidR="00B74C8F">
              <w:t>escalation</w:t>
            </w:r>
            <w:r w:rsidRPr="00FA6D00" w:rsidR="00CA4B28">
              <w:t>.  See Comment below.</w:t>
            </w:r>
            <w:r w:rsidRPr="00FA6D00" w:rsidR="00817670">
              <w:t xml:space="preserve">  </w:t>
            </w:r>
          </w:p>
        </w:tc>
        <w:tc>
          <w:tcPr>
            <w:tcW w:w="1350" w:type="dxa"/>
            <w:gridSpan w:val="2"/>
            <w:tcBorders>
              <w:top w:val="single" w:color="auto" w:sz="4" w:space="0"/>
              <w:left w:val="single" w:color="auto" w:sz="4" w:space="0"/>
              <w:bottom w:val="single" w:color="auto" w:sz="4" w:space="0"/>
              <w:right w:val="single" w:color="auto" w:sz="24" w:space="0"/>
            </w:tcBorders>
          </w:tcPr>
          <w:p w:rsidRPr="00FA6D00" w:rsidR="00BD6B55" w:rsidP="00EF2429" w:rsidRDefault="00EF2429" w14:paraId="1E86A6EC" w14:textId="3E9659F4">
            <w:pPr>
              <w:jc w:val="right"/>
            </w:pPr>
            <w:r>
              <w:t>$</w:t>
            </w:r>
            <w:r w:rsidRPr="00FA6D00" w:rsidR="005F389C">
              <w:t>4,875.00</w:t>
            </w:r>
          </w:p>
        </w:tc>
        <w:tc>
          <w:tcPr>
            <w:tcW w:w="900" w:type="dxa"/>
            <w:tcBorders>
              <w:left w:val="single" w:color="auto" w:sz="4" w:space="0"/>
              <w:right w:val="single" w:color="auto" w:sz="4" w:space="0"/>
            </w:tcBorders>
          </w:tcPr>
          <w:p w:rsidRPr="00FA6D00" w:rsidR="00BD6B55" w:rsidP="00EF2429" w:rsidRDefault="004F1775" w14:paraId="2EBE704C" w14:textId="5CCE4A6C">
            <w:pPr>
              <w:jc w:val="center"/>
            </w:pPr>
            <w:r w:rsidRPr="00FA6D00">
              <w:t>12.50</w:t>
            </w:r>
          </w:p>
        </w:tc>
        <w:tc>
          <w:tcPr>
            <w:tcW w:w="1080" w:type="dxa"/>
            <w:tcBorders>
              <w:left w:val="single" w:color="auto" w:sz="4" w:space="0"/>
            </w:tcBorders>
          </w:tcPr>
          <w:p w:rsidR="008B7854" w:rsidP="00EF2429" w:rsidRDefault="004F1775" w14:paraId="20F3A380" w14:textId="51D6C0B5">
            <w:pPr>
              <w:jc w:val="right"/>
            </w:pPr>
            <w:r w:rsidRPr="00FA6D00">
              <w:t>$39</w:t>
            </w:r>
            <w:r w:rsidR="00872381">
              <w:t>0.00</w:t>
            </w:r>
          </w:p>
          <w:p w:rsidRPr="00FA6D00" w:rsidR="00BD6B55" w:rsidP="00EF2429" w:rsidRDefault="008B7854" w14:paraId="5AE6CECD" w14:textId="3DD42950">
            <w:pPr>
              <w:jc w:val="center"/>
            </w:pPr>
            <w:r>
              <w:t>[</w:t>
            </w:r>
            <w:r w:rsidRPr="00FA6D00" w:rsidR="0017195B">
              <w:t>1]</w:t>
            </w:r>
          </w:p>
        </w:tc>
        <w:tc>
          <w:tcPr>
            <w:tcW w:w="1470" w:type="dxa"/>
          </w:tcPr>
          <w:p w:rsidRPr="00FA6D00" w:rsidR="00BD6B55" w:rsidP="00EF2429" w:rsidRDefault="00B174B2" w14:paraId="63987B57" w14:textId="57225A36">
            <w:pPr>
              <w:jc w:val="right"/>
            </w:pPr>
            <w:r w:rsidRPr="00FA6D00">
              <w:t>$4</w:t>
            </w:r>
            <w:r w:rsidRPr="00FA6D00" w:rsidR="00872381">
              <w:t>,875.00</w:t>
            </w:r>
          </w:p>
        </w:tc>
      </w:tr>
      <w:tr w:rsidRPr="00FA6D00" w:rsidR="00A92D0B" w:rsidTr="00EF2429" w14:paraId="7AB9EF54" w14:textId="77777777">
        <w:trPr>
          <w:cantSplit/>
          <w:jc w:val="center"/>
        </w:trPr>
        <w:tc>
          <w:tcPr>
            <w:tcW w:w="1165" w:type="dxa"/>
            <w:gridSpan w:val="2"/>
          </w:tcPr>
          <w:p w:rsidR="00EF2429" w:rsidP="009A1DEE" w:rsidRDefault="00BD6B55" w14:paraId="491DC127" w14:textId="77777777">
            <w:pPr>
              <w:keepNext/>
            </w:pPr>
            <w:r w:rsidRPr="00FA6D00">
              <w:t xml:space="preserve">David </w:t>
            </w:r>
          </w:p>
          <w:p w:rsidRPr="00FA6D00" w:rsidR="00A92D0B" w:rsidP="009A1DEE" w:rsidRDefault="00BD6B55" w14:paraId="4F803C09" w14:textId="3704AAEB">
            <w:pPr>
              <w:keepNext/>
            </w:pPr>
            <w:r w:rsidRPr="00FA6D00">
              <w:t>Weisman</w:t>
            </w:r>
          </w:p>
        </w:tc>
        <w:tc>
          <w:tcPr>
            <w:tcW w:w="810" w:type="dxa"/>
          </w:tcPr>
          <w:p w:rsidRPr="00FA6D00" w:rsidR="00A92D0B" w:rsidP="009A1DEE" w:rsidRDefault="00BD6B55" w14:paraId="058BFE37" w14:textId="32486DAE">
            <w:pPr>
              <w:keepNext/>
              <w:jc w:val="center"/>
            </w:pPr>
            <w:r w:rsidRPr="00FA6D00">
              <w:t>2025</w:t>
            </w:r>
          </w:p>
        </w:tc>
        <w:tc>
          <w:tcPr>
            <w:tcW w:w="900" w:type="dxa"/>
          </w:tcPr>
          <w:p w:rsidRPr="00FA6D00" w:rsidR="00A92D0B" w:rsidP="009A1DEE" w:rsidRDefault="00F3770E" w14:paraId="66A42865" w14:textId="6F6E4256">
            <w:pPr>
              <w:keepNext/>
              <w:jc w:val="center"/>
            </w:pPr>
            <w:r w:rsidRPr="00FA6D00">
              <w:t>2.5</w:t>
            </w:r>
          </w:p>
        </w:tc>
        <w:tc>
          <w:tcPr>
            <w:tcW w:w="1080" w:type="dxa"/>
          </w:tcPr>
          <w:p w:rsidRPr="00FA6D00" w:rsidR="00A92D0B" w:rsidP="009A1DEE" w:rsidRDefault="00EF2429" w14:paraId="42AE8F2C" w14:textId="47C2A743">
            <w:pPr>
              <w:keepNext/>
              <w:jc w:val="center"/>
            </w:pPr>
            <w:r>
              <w:t>$</w:t>
            </w:r>
            <w:r w:rsidRPr="00FA6D00" w:rsidR="00307624">
              <w:t>115</w:t>
            </w:r>
            <w:r>
              <w:t>.00</w:t>
            </w:r>
          </w:p>
        </w:tc>
        <w:tc>
          <w:tcPr>
            <w:tcW w:w="1800" w:type="dxa"/>
            <w:gridSpan w:val="2"/>
            <w:tcBorders>
              <w:right w:val="single" w:color="auto" w:sz="4" w:space="0"/>
            </w:tcBorders>
          </w:tcPr>
          <w:p w:rsidRPr="00FA6D00" w:rsidR="00A92D0B" w:rsidP="009A1DEE" w:rsidRDefault="00527ED5" w14:paraId="3DB754B7" w14:textId="3B5B5C75">
            <w:pPr>
              <w:keepNext/>
            </w:pPr>
            <w:r w:rsidRPr="00FA6D00">
              <w:t>D.24</w:t>
            </w:r>
            <w:r w:rsidRPr="00FA6D00" w:rsidR="004152B8">
              <w:noBreakHyphen/>
            </w:r>
            <w:r w:rsidRPr="00FA6D00">
              <w:t>04</w:t>
            </w:r>
            <w:r w:rsidRPr="00FA6D00" w:rsidR="004152B8">
              <w:noBreakHyphen/>
            </w:r>
            <w:r w:rsidRPr="00FA6D00">
              <w:t>039 plus ALJ</w:t>
            </w:r>
            <w:r w:rsidRPr="00FA6D00" w:rsidR="004152B8">
              <w:noBreakHyphen/>
            </w:r>
            <w:r w:rsidRPr="00FA6D00">
              <w:t xml:space="preserve">339 escalation for 2024, prior to application of any 2025 escalation.  </w:t>
            </w:r>
          </w:p>
        </w:tc>
        <w:tc>
          <w:tcPr>
            <w:tcW w:w="1350" w:type="dxa"/>
            <w:gridSpan w:val="2"/>
            <w:tcBorders>
              <w:top w:val="single" w:color="auto" w:sz="4" w:space="0"/>
              <w:left w:val="single" w:color="auto" w:sz="4" w:space="0"/>
              <w:bottom w:val="single" w:color="auto" w:sz="4" w:space="0"/>
              <w:right w:val="single" w:color="auto" w:sz="24" w:space="0"/>
            </w:tcBorders>
          </w:tcPr>
          <w:p w:rsidRPr="00FA6D00" w:rsidR="00A92D0B" w:rsidP="009A1DEE" w:rsidRDefault="00EF2429" w14:paraId="3D39C021" w14:textId="11978870">
            <w:pPr>
              <w:keepNext/>
              <w:jc w:val="right"/>
            </w:pPr>
            <w:r>
              <w:t>$</w:t>
            </w:r>
            <w:r w:rsidRPr="00FA6D00" w:rsidR="00307624">
              <w:t>287.50</w:t>
            </w:r>
          </w:p>
        </w:tc>
        <w:tc>
          <w:tcPr>
            <w:tcW w:w="900" w:type="dxa"/>
            <w:tcBorders>
              <w:left w:val="single" w:color="auto" w:sz="4" w:space="0"/>
              <w:right w:val="single" w:color="auto" w:sz="4" w:space="0"/>
            </w:tcBorders>
          </w:tcPr>
          <w:p w:rsidRPr="00FA6D00" w:rsidR="00A92D0B" w:rsidP="009A1DEE" w:rsidRDefault="00210CF5" w14:paraId="6B8C8F0C" w14:textId="136DB277">
            <w:pPr>
              <w:keepNext/>
              <w:jc w:val="center"/>
            </w:pPr>
            <w:r w:rsidRPr="00FA6D00">
              <w:t>2.50</w:t>
            </w:r>
          </w:p>
        </w:tc>
        <w:tc>
          <w:tcPr>
            <w:tcW w:w="1080" w:type="dxa"/>
            <w:tcBorders>
              <w:left w:val="single" w:color="auto" w:sz="4" w:space="0"/>
            </w:tcBorders>
          </w:tcPr>
          <w:p w:rsidR="008B7854" w:rsidP="009A1DEE" w:rsidRDefault="00872D0A" w14:paraId="66022370" w14:textId="77777777">
            <w:pPr>
              <w:keepNext/>
              <w:jc w:val="right"/>
            </w:pPr>
            <w:r w:rsidRPr="00FA6D00">
              <w:t>$12</w:t>
            </w:r>
            <w:r w:rsidRPr="00FA6D00" w:rsidR="002A1861">
              <w:t>5</w:t>
            </w:r>
            <w:r w:rsidRPr="00FA6D00">
              <w:t>.00</w:t>
            </w:r>
          </w:p>
          <w:p w:rsidRPr="00FA6D00" w:rsidR="00A92D0B" w:rsidP="009A1DEE" w:rsidRDefault="008B7854" w14:paraId="0A58B021" w14:textId="7B1662F7">
            <w:pPr>
              <w:keepNext/>
              <w:jc w:val="center"/>
            </w:pPr>
            <w:r>
              <w:t>[</w:t>
            </w:r>
            <w:r w:rsidRPr="00FA6D00" w:rsidR="002A1861">
              <w:t>2</w:t>
            </w:r>
            <w:r w:rsidRPr="00FA6D00" w:rsidR="00872D0A">
              <w:t>]</w:t>
            </w:r>
          </w:p>
        </w:tc>
        <w:tc>
          <w:tcPr>
            <w:tcW w:w="1470" w:type="dxa"/>
          </w:tcPr>
          <w:p w:rsidRPr="00FA6D00" w:rsidR="00A92D0B" w:rsidP="009A1DEE" w:rsidRDefault="004F1775" w14:paraId="0769A3B4" w14:textId="38D1FD57">
            <w:pPr>
              <w:keepNext/>
              <w:jc w:val="right"/>
            </w:pPr>
            <w:r w:rsidRPr="00FA6D00">
              <w:t>$312.50</w:t>
            </w:r>
          </w:p>
        </w:tc>
      </w:tr>
      <w:tr w:rsidRPr="00FA6D00" w:rsidR="00E15DC3" w:rsidTr="00EF2429" w14:paraId="266CEDD5" w14:textId="77777777">
        <w:trPr>
          <w:cantSplit/>
          <w:jc w:val="center"/>
        </w:trPr>
        <w:tc>
          <w:tcPr>
            <w:tcW w:w="7105" w:type="dxa"/>
            <w:gridSpan w:val="9"/>
            <w:tcBorders>
              <w:bottom w:val="single" w:color="auto" w:sz="4" w:space="0"/>
              <w:right w:val="single" w:color="auto" w:sz="24" w:space="0"/>
            </w:tcBorders>
            <w:vAlign w:val="bottom"/>
          </w:tcPr>
          <w:p w:rsidRPr="00FA6D00" w:rsidR="00E15DC3" w:rsidP="00EF2429" w:rsidRDefault="00E15DC3" w14:paraId="4A1F5988" w14:textId="72D0F3D6">
            <w:pPr>
              <w:tabs>
                <w:tab w:val="left" w:pos="957"/>
              </w:tabs>
              <w:jc w:val="right"/>
              <w:rPr>
                <w:b/>
                <w:i/>
                <w:color w:val="000000"/>
              </w:rPr>
            </w:pPr>
            <w:r w:rsidRPr="00FA6D00">
              <w:rPr>
                <w:b/>
                <w:i/>
                <w:color w:val="000000"/>
              </w:rPr>
              <w:t>Subtotal: $</w:t>
            </w:r>
            <w:r w:rsidRPr="00FA6D00" w:rsidR="00695402">
              <w:rPr>
                <w:b/>
                <w:i/>
                <w:color w:val="000000"/>
              </w:rPr>
              <w:t>5</w:t>
            </w:r>
            <w:r w:rsidRPr="00FA6D00" w:rsidR="00F8080C">
              <w:rPr>
                <w:b/>
                <w:i/>
                <w:color w:val="000000"/>
              </w:rPr>
              <w:t>,</w:t>
            </w:r>
            <w:r w:rsidRPr="00FA6D00" w:rsidR="00943E83">
              <w:rPr>
                <w:b/>
                <w:i/>
                <w:color w:val="000000"/>
              </w:rPr>
              <w:t>451.10</w:t>
            </w:r>
          </w:p>
        </w:tc>
        <w:tc>
          <w:tcPr>
            <w:tcW w:w="3450" w:type="dxa"/>
            <w:gridSpan w:val="3"/>
            <w:tcBorders>
              <w:left w:val="single" w:color="auto" w:sz="24" w:space="0"/>
              <w:bottom w:val="single" w:color="auto" w:sz="4" w:space="0"/>
            </w:tcBorders>
            <w:vAlign w:val="bottom"/>
          </w:tcPr>
          <w:p w:rsidRPr="00FA6D00" w:rsidR="00E15DC3" w:rsidP="00EF2429" w:rsidRDefault="00E15DC3" w14:paraId="2FBAA587" w14:textId="1EDCFE38">
            <w:pPr>
              <w:tabs>
                <w:tab w:val="left" w:pos="957"/>
              </w:tabs>
              <w:jc w:val="right"/>
              <w:rPr>
                <w:b/>
                <w:i/>
                <w:color w:val="000000"/>
              </w:rPr>
            </w:pPr>
            <w:r w:rsidRPr="00FA6D00">
              <w:rPr>
                <w:b/>
                <w:i/>
                <w:color w:val="000000"/>
              </w:rPr>
              <w:t>Subtotal: $</w:t>
            </w:r>
            <w:r w:rsidRPr="00FA6D00" w:rsidR="001C7475">
              <w:rPr>
                <w:b/>
                <w:i/>
                <w:color w:val="000000"/>
              </w:rPr>
              <w:t>5,</w:t>
            </w:r>
            <w:r w:rsidR="001E21EF">
              <w:rPr>
                <w:b/>
                <w:i/>
                <w:color w:val="000000"/>
              </w:rPr>
              <w:t>472.4</w:t>
            </w:r>
            <w:r w:rsidR="00804F35">
              <w:rPr>
                <w:b/>
                <w:i/>
                <w:color w:val="000000"/>
              </w:rPr>
              <w:t>0</w:t>
            </w:r>
          </w:p>
        </w:tc>
      </w:tr>
      <w:tr w:rsidRPr="00FA6D00" w:rsidR="00A92D0B" w:rsidTr="00EF2429" w14:paraId="06193E6C" w14:textId="77777777">
        <w:trPr>
          <w:cantSplit/>
          <w:jc w:val="center"/>
        </w:trPr>
        <w:tc>
          <w:tcPr>
            <w:tcW w:w="10555"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A6D00" w:rsidR="00A92D0B" w:rsidP="00EF2429" w:rsidRDefault="00A92D0B" w14:paraId="3BECCA4A" w14:textId="77777777">
            <w:pPr>
              <w:keepNext/>
              <w:jc w:val="center"/>
              <w:rPr>
                <w:b/>
                <w:smallCaps/>
                <w:color w:val="000000"/>
              </w:rPr>
            </w:pPr>
            <w:r w:rsidRPr="00FA6D00">
              <w:rPr>
                <w:b/>
                <w:smallCaps/>
                <w:color w:val="000000"/>
              </w:rPr>
              <w:t>COSTS</w:t>
            </w:r>
          </w:p>
        </w:tc>
      </w:tr>
      <w:tr w:rsidRPr="00FA6D00" w:rsidR="00380703" w:rsidTr="00EF2429" w14:paraId="72A80274" w14:textId="77777777">
        <w:trPr>
          <w:cantSplit/>
          <w:jc w:val="center"/>
        </w:trPr>
        <w:tc>
          <w:tcPr>
            <w:tcW w:w="479" w:type="dxa"/>
            <w:tcBorders>
              <w:top w:val="single" w:color="auto" w:sz="4" w:space="0"/>
              <w:bottom w:val="single" w:color="auto" w:sz="4" w:space="0"/>
            </w:tcBorders>
          </w:tcPr>
          <w:p w:rsidRPr="00FA6D00" w:rsidR="00380703" w:rsidP="00EF2429" w:rsidRDefault="00380703" w14:paraId="117C57EE" w14:textId="77777777">
            <w:pPr>
              <w:keepNext/>
              <w:jc w:val="center"/>
              <w:rPr>
                <w:b/>
                <w:color w:val="000000"/>
              </w:rPr>
            </w:pPr>
            <w:r w:rsidRPr="00FA6D00">
              <w:rPr>
                <w:b/>
                <w:color w:val="000000"/>
              </w:rPr>
              <w:t>#</w:t>
            </w:r>
          </w:p>
        </w:tc>
        <w:tc>
          <w:tcPr>
            <w:tcW w:w="1496" w:type="dxa"/>
            <w:gridSpan w:val="2"/>
            <w:tcBorders>
              <w:top w:val="single" w:color="auto" w:sz="4" w:space="0"/>
              <w:bottom w:val="single" w:color="auto" w:sz="4" w:space="0"/>
            </w:tcBorders>
          </w:tcPr>
          <w:p w:rsidRPr="00FA6D00" w:rsidR="00380703" w:rsidP="00EF2429" w:rsidRDefault="00380703" w14:paraId="6A45FCC1" w14:textId="77777777">
            <w:pPr>
              <w:keepNext/>
              <w:jc w:val="center"/>
              <w:rPr>
                <w:b/>
                <w:color w:val="000000"/>
              </w:rPr>
            </w:pPr>
            <w:r w:rsidRPr="00FA6D00">
              <w:rPr>
                <w:b/>
                <w:color w:val="000000"/>
              </w:rPr>
              <w:t>Item</w:t>
            </w:r>
          </w:p>
        </w:tc>
        <w:tc>
          <w:tcPr>
            <w:tcW w:w="3780" w:type="dxa"/>
            <w:gridSpan w:val="4"/>
            <w:tcBorders>
              <w:top w:val="single" w:color="auto" w:sz="4" w:space="0"/>
              <w:left w:val="single" w:color="auto" w:sz="4" w:space="0"/>
              <w:bottom w:val="single" w:color="auto" w:sz="4" w:space="0"/>
              <w:right w:val="single" w:color="auto" w:sz="4" w:space="0"/>
            </w:tcBorders>
            <w:shd w:val="clear" w:color="auto" w:fill="FFFFFF"/>
          </w:tcPr>
          <w:p w:rsidRPr="00FA6D00" w:rsidR="00380703" w:rsidP="00EF2429" w:rsidRDefault="00380703" w14:paraId="19FE7A44" w14:textId="77777777">
            <w:pPr>
              <w:keepNext/>
              <w:jc w:val="center"/>
              <w:rPr>
                <w:b/>
                <w:color w:val="000000"/>
              </w:rPr>
            </w:pPr>
            <w:r w:rsidRPr="00FA6D00">
              <w:rPr>
                <w:b/>
                <w:color w:val="000000"/>
              </w:rPr>
              <w:t>Detail</w:t>
            </w:r>
          </w:p>
        </w:tc>
        <w:tc>
          <w:tcPr>
            <w:tcW w:w="1350" w:type="dxa"/>
            <w:gridSpan w:val="2"/>
            <w:tcBorders>
              <w:top w:val="single" w:color="auto" w:sz="4" w:space="0"/>
              <w:left w:val="single" w:color="auto" w:sz="4" w:space="0"/>
              <w:bottom w:val="single" w:color="auto" w:sz="4" w:space="0"/>
              <w:right w:val="single" w:color="auto" w:sz="24" w:space="0"/>
            </w:tcBorders>
          </w:tcPr>
          <w:p w:rsidRPr="00FA6D00" w:rsidR="00380703" w:rsidP="00EF2429" w:rsidRDefault="00380703" w14:paraId="52A549BC" w14:textId="77777777">
            <w:pPr>
              <w:keepNext/>
              <w:jc w:val="center"/>
              <w:rPr>
                <w:b/>
                <w:color w:val="000000"/>
              </w:rPr>
            </w:pPr>
            <w:r w:rsidRPr="00FA6D00">
              <w:rPr>
                <w:b/>
                <w:color w:val="000000"/>
              </w:rPr>
              <w:t>Amount</w:t>
            </w:r>
          </w:p>
        </w:tc>
        <w:tc>
          <w:tcPr>
            <w:tcW w:w="3450" w:type="dxa"/>
            <w:gridSpan w:val="3"/>
            <w:tcBorders>
              <w:top w:val="single" w:color="auto" w:sz="4" w:space="0"/>
              <w:left w:val="single" w:color="auto" w:sz="24" w:space="0"/>
            </w:tcBorders>
          </w:tcPr>
          <w:p w:rsidRPr="00FA6D00" w:rsidR="00380703" w:rsidP="00EF2429" w:rsidRDefault="00380703" w14:paraId="2A0A92A1" w14:textId="77777777">
            <w:pPr>
              <w:keepNext/>
              <w:jc w:val="center"/>
              <w:rPr>
                <w:b/>
                <w:color w:val="000000"/>
              </w:rPr>
            </w:pPr>
            <w:r w:rsidRPr="00FA6D00">
              <w:rPr>
                <w:b/>
                <w:color w:val="000000"/>
              </w:rPr>
              <w:t>Amount</w:t>
            </w:r>
          </w:p>
        </w:tc>
      </w:tr>
      <w:tr w:rsidRPr="00FA6D00" w:rsidR="00380703" w:rsidTr="00EF2429" w14:paraId="14B6D61A" w14:textId="77777777">
        <w:trPr>
          <w:cantSplit/>
          <w:jc w:val="center"/>
        </w:trPr>
        <w:tc>
          <w:tcPr>
            <w:tcW w:w="479" w:type="dxa"/>
            <w:tcBorders>
              <w:bottom w:val="single" w:color="auto" w:sz="4" w:space="0"/>
            </w:tcBorders>
          </w:tcPr>
          <w:p w:rsidRPr="00FA6D00" w:rsidR="00380703" w:rsidP="00EF2429" w:rsidRDefault="001C0DD1" w14:paraId="3272FF6C" w14:textId="77777777">
            <w:r w:rsidRPr="00FA6D00">
              <w:t>1.</w:t>
            </w:r>
          </w:p>
        </w:tc>
        <w:tc>
          <w:tcPr>
            <w:tcW w:w="1496" w:type="dxa"/>
            <w:gridSpan w:val="2"/>
            <w:tcBorders>
              <w:bottom w:val="single" w:color="auto" w:sz="4" w:space="0"/>
            </w:tcBorders>
          </w:tcPr>
          <w:p w:rsidRPr="00FA6D00" w:rsidR="00380703" w:rsidP="00EF2429" w:rsidRDefault="00D06E0E" w14:paraId="00BD9FA4" w14:textId="0534C5F6">
            <w:r w:rsidRPr="00FA6D00">
              <w:t>Hotel receipt</w:t>
            </w:r>
          </w:p>
        </w:tc>
        <w:tc>
          <w:tcPr>
            <w:tcW w:w="3780" w:type="dxa"/>
            <w:gridSpan w:val="4"/>
            <w:tcBorders>
              <w:top w:val="single" w:color="auto" w:sz="4" w:space="0"/>
              <w:left w:val="single" w:color="auto" w:sz="4" w:space="0"/>
              <w:bottom w:val="single" w:color="auto" w:sz="4" w:space="0"/>
              <w:right w:val="single" w:color="auto" w:sz="4" w:space="0"/>
            </w:tcBorders>
          </w:tcPr>
          <w:p w:rsidRPr="00FA6D00" w:rsidR="00380703" w:rsidP="00EF2429" w:rsidRDefault="00D06E0E" w14:paraId="05A1FC0C" w14:textId="521C97E9">
            <w:proofErr w:type="spellStart"/>
            <w:r w:rsidRPr="00FA6D00">
              <w:t>Geesman</w:t>
            </w:r>
            <w:proofErr w:type="spellEnd"/>
            <w:r w:rsidRPr="00FA6D00">
              <w:t xml:space="preserve"> lodging for </w:t>
            </w:r>
            <w:r w:rsidRPr="00FA6D00" w:rsidR="00A23563">
              <w:t>Ju</w:t>
            </w:r>
            <w:r w:rsidRPr="00FA6D00" w:rsidR="008A30E6">
              <w:t xml:space="preserve">ly 19, 2024 </w:t>
            </w:r>
            <w:r w:rsidRPr="00FA6D00" w:rsidR="00CC0920">
              <w:t>DCNPP tour</w:t>
            </w:r>
          </w:p>
        </w:tc>
        <w:tc>
          <w:tcPr>
            <w:tcW w:w="1350" w:type="dxa"/>
            <w:gridSpan w:val="2"/>
            <w:tcBorders>
              <w:top w:val="single" w:color="auto" w:sz="4" w:space="0"/>
              <w:left w:val="single" w:color="auto" w:sz="4" w:space="0"/>
              <w:bottom w:val="single" w:color="auto" w:sz="4" w:space="0"/>
              <w:right w:val="single" w:color="auto" w:sz="24" w:space="0"/>
            </w:tcBorders>
          </w:tcPr>
          <w:p w:rsidRPr="00FA6D00" w:rsidR="00380703" w:rsidP="00EF2429" w:rsidRDefault="00EF2429" w14:paraId="324F04F2" w14:textId="7D59F505">
            <w:pPr>
              <w:jc w:val="right"/>
            </w:pPr>
            <w:r>
              <w:t>$</w:t>
            </w:r>
            <w:r w:rsidRPr="00FA6D00" w:rsidR="00363697">
              <w:t>250.50</w:t>
            </w:r>
          </w:p>
        </w:tc>
        <w:tc>
          <w:tcPr>
            <w:tcW w:w="3450" w:type="dxa"/>
            <w:gridSpan w:val="3"/>
            <w:tcBorders>
              <w:left w:val="single" w:color="auto" w:sz="24" w:space="0"/>
            </w:tcBorders>
          </w:tcPr>
          <w:p w:rsidR="008B7854" w:rsidP="00EF2429" w:rsidRDefault="00FD5CFA" w14:paraId="0D465263" w14:textId="77777777">
            <w:pPr>
              <w:jc w:val="right"/>
            </w:pPr>
            <w:r w:rsidRPr="00FA6D00">
              <w:t>$0.00</w:t>
            </w:r>
          </w:p>
          <w:p w:rsidRPr="00FA6D00" w:rsidR="00FD5CFA" w:rsidP="00EF2429" w:rsidRDefault="008B7854" w14:paraId="1C7D79D0" w14:textId="5DD36A11">
            <w:pPr>
              <w:jc w:val="right"/>
            </w:pPr>
            <w:r>
              <w:t>[</w:t>
            </w:r>
            <w:r w:rsidRPr="00FA6D00" w:rsidR="002A054F">
              <w:t>3</w:t>
            </w:r>
            <w:r w:rsidRPr="00FA6D00" w:rsidR="00FD5CFA">
              <w:t>]</w:t>
            </w:r>
          </w:p>
        </w:tc>
      </w:tr>
      <w:tr w:rsidRPr="00FA6D00" w:rsidR="003B6A1B" w:rsidTr="00EF2429" w14:paraId="5988A992" w14:textId="77777777">
        <w:trPr>
          <w:cantSplit/>
          <w:jc w:val="center"/>
        </w:trPr>
        <w:tc>
          <w:tcPr>
            <w:tcW w:w="479" w:type="dxa"/>
            <w:tcBorders>
              <w:bottom w:val="single" w:color="auto" w:sz="4" w:space="0"/>
            </w:tcBorders>
          </w:tcPr>
          <w:p w:rsidRPr="00FA6D00" w:rsidR="003B6A1B" w:rsidP="00EF2429" w:rsidRDefault="001C0DD1" w14:paraId="454061C0" w14:textId="77777777">
            <w:r w:rsidRPr="00FA6D00">
              <w:t>2.</w:t>
            </w:r>
          </w:p>
        </w:tc>
        <w:tc>
          <w:tcPr>
            <w:tcW w:w="1496" w:type="dxa"/>
            <w:gridSpan w:val="2"/>
            <w:tcBorders>
              <w:bottom w:val="single" w:color="auto" w:sz="4" w:space="0"/>
            </w:tcBorders>
          </w:tcPr>
          <w:p w:rsidRPr="00FA6D00" w:rsidR="003B6A1B" w:rsidP="00EF2429" w:rsidRDefault="00CC0920" w14:paraId="51F2CAB8" w14:textId="3285D98F">
            <w:r w:rsidRPr="00FA6D00">
              <w:t>Hotel receipt</w:t>
            </w:r>
          </w:p>
        </w:tc>
        <w:tc>
          <w:tcPr>
            <w:tcW w:w="3780" w:type="dxa"/>
            <w:gridSpan w:val="4"/>
            <w:tcBorders>
              <w:top w:val="single" w:color="auto" w:sz="4" w:space="0"/>
              <w:left w:val="single" w:color="auto" w:sz="4" w:space="0"/>
              <w:bottom w:val="single" w:color="auto" w:sz="4" w:space="0"/>
              <w:right w:val="single" w:color="auto" w:sz="4" w:space="0"/>
            </w:tcBorders>
          </w:tcPr>
          <w:p w:rsidRPr="00FA6D00" w:rsidR="003B6A1B" w:rsidP="00EF2429" w:rsidRDefault="00CC0920" w14:paraId="6A57CD68" w14:textId="26E433D6">
            <w:proofErr w:type="spellStart"/>
            <w:r w:rsidRPr="00FA6D00">
              <w:t>Geesman</w:t>
            </w:r>
            <w:proofErr w:type="spellEnd"/>
            <w:r w:rsidRPr="00FA6D00">
              <w:t xml:space="preserve"> lodging for </w:t>
            </w:r>
            <w:r w:rsidRPr="00FA6D00" w:rsidR="00FC7ADE">
              <w:t>June 20</w:t>
            </w:r>
            <w:r w:rsidRPr="00FA6D00" w:rsidR="004152B8">
              <w:noBreakHyphen/>
            </w:r>
            <w:r w:rsidRPr="00FA6D00" w:rsidR="003262CB">
              <w:t>21</w:t>
            </w:r>
            <w:r w:rsidRPr="00FA6D00" w:rsidR="008A30E6">
              <w:t>,</w:t>
            </w:r>
            <w:r w:rsidRPr="00FA6D00" w:rsidR="003B6D34">
              <w:t xml:space="preserve"> 2024</w:t>
            </w:r>
            <w:r w:rsidRPr="00FA6D00" w:rsidR="003262CB">
              <w:t xml:space="preserve"> </w:t>
            </w:r>
            <w:r w:rsidRPr="00FA6D00">
              <w:t>DCISC meeting</w:t>
            </w:r>
          </w:p>
        </w:tc>
        <w:tc>
          <w:tcPr>
            <w:tcW w:w="1350" w:type="dxa"/>
            <w:gridSpan w:val="2"/>
            <w:tcBorders>
              <w:top w:val="single" w:color="auto" w:sz="4" w:space="0"/>
              <w:left w:val="single" w:color="auto" w:sz="4" w:space="0"/>
              <w:bottom w:val="single" w:color="auto" w:sz="4" w:space="0"/>
              <w:right w:val="single" w:color="auto" w:sz="24" w:space="0"/>
            </w:tcBorders>
          </w:tcPr>
          <w:p w:rsidRPr="00FA6D00" w:rsidR="003B6A1B" w:rsidP="00EF2429" w:rsidRDefault="00EF2429" w14:paraId="45700372" w14:textId="7F19B3D4">
            <w:pPr>
              <w:jc w:val="right"/>
            </w:pPr>
            <w:r>
              <w:t>$</w:t>
            </w:r>
            <w:r w:rsidRPr="00FA6D00" w:rsidR="00EB27B2">
              <w:t>349.18</w:t>
            </w:r>
          </w:p>
        </w:tc>
        <w:tc>
          <w:tcPr>
            <w:tcW w:w="3450" w:type="dxa"/>
            <w:gridSpan w:val="3"/>
            <w:tcBorders>
              <w:left w:val="single" w:color="auto" w:sz="24" w:space="0"/>
            </w:tcBorders>
          </w:tcPr>
          <w:p w:rsidR="008B7854" w:rsidP="00EF2429" w:rsidRDefault="00FD5CFA" w14:paraId="12BB6894" w14:textId="77777777">
            <w:pPr>
              <w:jc w:val="right"/>
            </w:pPr>
            <w:r w:rsidRPr="00FA6D00">
              <w:t>$0.00</w:t>
            </w:r>
          </w:p>
          <w:p w:rsidRPr="00FA6D00" w:rsidR="003B6A1B" w:rsidP="00EF2429" w:rsidRDefault="008B7854" w14:paraId="7540FF22" w14:textId="3AA7C20B">
            <w:pPr>
              <w:jc w:val="right"/>
            </w:pPr>
            <w:r>
              <w:t>[</w:t>
            </w:r>
            <w:r w:rsidRPr="00FA6D00" w:rsidR="002A054F">
              <w:t>3</w:t>
            </w:r>
            <w:r w:rsidRPr="00FA6D00" w:rsidR="00FD5CFA">
              <w:t>]</w:t>
            </w:r>
          </w:p>
        </w:tc>
      </w:tr>
      <w:tr w:rsidRPr="00FA6D00" w:rsidR="00EB27B2" w:rsidTr="00EF2429" w14:paraId="6F65A619" w14:textId="77777777">
        <w:trPr>
          <w:cantSplit/>
          <w:jc w:val="center"/>
        </w:trPr>
        <w:tc>
          <w:tcPr>
            <w:tcW w:w="479" w:type="dxa"/>
            <w:tcBorders>
              <w:bottom w:val="single" w:color="auto" w:sz="4" w:space="0"/>
            </w:tcBorders>
          </w:tcPr>
          <w:p w:rsidRPr="00FA6D00" w:rsidR="00EB27B2" w:rsidP="009F795E" w:rsidRDefault="00EB27B2" w14:paraId="7B4222CF" w14:textId="29A1F6BC">
            <w:pPr>
              <w:keepNext/>
            </w:pPr>
            <w:r w:rsidRPr="00FA6D00">
              <w:t>3</w:t>
            </w:r>
          </w:p>
        </w:tc>
        <w:tc>
          <w:tcPr>
            <w:tcW w:w="1496" w:type="dxa"/>
            <w:gridSpan w:val="2"/>
            <w:tcBorders>
              <w:bottom w:val="single" w:color="auto" w:sz="4" w:space="0"/>
            </w:tcBorders>
          </w:tcPr>
          <w:p w:rsidRPr="00FA6D00" w:rsidR="00EB27B2" w:rsidP="009F795E" w:rsidRDefault="00EB27B2" w14:paraId="333E5583" w14:textId="3C135ACD">
            <w:pPr>
              <w:keepNext/>
            </w:pPr>
            <w:r w:rsidRPr="00FA6D00">
              <w:t>Hotel receipt</w:t>
            </w:r>
          </w:p>
        </w:tc>
        <w:tc>
          <w:tcPr>
            <w:tcW w:w="3780" w:type="dxa"/>
            <w:gridSpan w:val="4"/>
            <w:tcBorders>
              <w:top w:val="single" w:color="auto" w:sz="4" w:space="0"/>
              <w:left w:val="single" w:color="auto" w:sz="4" w:space="0"/>
              <w:bottom w:val="single" w:color="auto" w:sz="4" w:space="0"/>
              <w:right w:val="single" w:color="auto" w:sz="4" w:space="0"/>
            </w:tcBorders>
          </w:tcPr>
          <w:p w:rsidRPr="00FA6D00" w:rsidR="00EB27B2" w:rsidP="009F795E" w:rsidRDefault="00EB27B2" w14:paraId="7963553C" w14:textId="31BFB71E">
            <w:pPr>
              <w:keepNext/>
            </w:pPr>
            <w:proofErr w:type="spellStart"/>
            <w:r w:rsidRPr="00FA6D00">
              <w:t>Geesman</w:t>
            </w:r>
            <w:proofErr w:type="spellEnd"/>
            <w:r w:rsidRPr="00FA6D00">
              <w:t xml:space="preserve"> lodging for </w:t>
            </w:r>
            <w:r w:rsidRPr="00FA6D00" w:rsidR="00035F96">
              <w:t>Feb 2</w:t>
            </w:r>
            <w:r w:rsidRPr="00FA6D00" w:rsidR="005763D4">
              <w:t>1</w:t>
            </w:r>
            <w:r w:rsidRPr="00FA6D00" w:rsidR="004152B8">
              <w:noBreakHyphen/>
            </w:r>
            <w:r w:rsidRPr="00FA6D00" w:rsidR="005763D4">
              <w:t>22</w:t>
            </w:r>
            <w:r w:rsidRPr="00FA6D00" w:rsidR="003B6D34">
              <w:t>, 2024</w:t>
            </w:r>
            <w:r w:rsidRPr="00FA6D00" w:rsidR="005763D4">
              <w:t xml:space="preserve"> DCISC meeting</w:t>
            </w:r>
          </w:p>
        </w:tc>
        <w:tc>
          <w:tcPr>
            <w:tcW w:w="1350" w:type="dxa"/>
            <w:gridSpan w:val="2"/>
            <w:tcBorders>
              <w:top w:val="single" w:color="auto" w:sz="4" w:space="0"/>
              <w:left w:val="single" w:color="auto" w:sz="4" w:space="0"/>
              <w:bottom w:val="single" w:color="auto" w:sz="4" w:space="0"/>
              <w:right w:val="single" w:color="auto" w:sz="24" w:space="0"/>
            </w:tcBorders>
          </w:tcPr>
          <w:p w:rsidRPr="00FA6D00" w:rsidR="00EB27B2" w:rsidP="009F795E" w:rsidRDefault="00EF2429" w14:paraId="72C9C60C" w14:textId="1814C554">
            <w:pPr>
              <w:keepNext/>
              <w:jc w:val="right"/>
            </w:pPr>
            <w:r>
              <w:t>$</w:t>
            </w:r>
            <w:r w:rsidRPr="00FA6D00" w:rsidR="00B147A0">
              <w:t>257.64</w:t>
            </w:r>
          </w:p>
        </w:tc>
        <w:tc>
          <w:tcPr>
            <w:tcW w:w="3450" w:type="dxa"/>
            <w:gridSpan w:val="3"/>
            <w:tcBorders>
              <w:left w:val="single" w:color="auto" w:sz="24" w:space="0"/>
            </w:tcBorders>
          </w:tcPr>
          <w:p w:rsidR="008B7854" w:rsidP="009F795E" w:rsidRDefault="00FD5CFA" w14:paraId="3BB81E5D" w14:textId="77777777">
            <w:pPr>
              <w:keepNext/>
              <w:jc w:val="right"/>
            </w:pPr>
            <w:r w:rsidRPr="00FA6D00">
              <w:t>$0.00</w:t>
            </w:r>
          </w:p>
          <w:p w:rsidRPr="00FA6D00" w:rsidR="00EB27B2" w:rsidP="009F795E" w:rsidRDefault="008B7854" w14:paraId="41BF9FE3" w14:textId="2171ACEE">
            <w:pPr>
              <w:keepNext/>
              <w:jc w:val="right"/>
            </w:pPr>
            <w:r>
              <w:t>[</w:t>
            </w:r>
            <w:r w:rsidRPr="00FA6D00" w:rsidR="002A054F">
              <w:t>3</w:t>
            </w:r>
            <w:r w:rsidRPr="00FA6D00" w:rsidR="00FD5CFA">
              <w:t>]</w:t>
            </w:r>
          </w:p>
        </w:tc>
      </w:tr>
      <w:tr w:rsidRPr="00FA6D00" w:rsidR="003B6A1B" w:rsidTr="00EF2429" w14:paraId="7D250EBF" w14:textId="77777777">
        <w:trPr>
          <w:cantSplit/>
          <w:jc w:val="center"/>
        </w:trPr>
        <w:tc>
          <w:tcPr>
            <w:tcW w:w="7105" w:type="dxa"/>
            <w:gridSpan w:val="9"/>
            <w:tcBorders>
              <w:bottom w:val="single" w:color="auto" w:sz="4" w:space="0"/>
              <w:right w:val="single" w:color="auto" w:sz="24" w:space="0"/>
            </w:tcBorders>
            <w:vAlign w:val="bottom"/>
          </w:tcPr>
          <w:p w:rsidRPr="00FA6D00" w:rsidR="003B6A1B" w:rsidP="00EF2429" w:rsidRDefault="003B6A1B" w14:paraId="6ADE275E" w14:textId="209AEC9C">
            <w:pPr>
              <w:keepNext/>
              <w:tabs>
                <w:tab w:val="left" w:pos="957"/>
              </w:tabs>
              <w:jc w:val="right"/>
              <w:rPr>
                <w:b/>
                <w:i/>
                <w:color w:val="000000"/>
              </w:rPr>
            </w:pPr>
            <w:r w:rsidRPr="00FA6D00">
              <w:rPr>
                <w:b/>
                <w:i/>
                <w:color w:val="000000"/>
              </w:rPr>
              <w:t>Subtotal: $</w:t>
            </w:r>
            <w:r w:rsidRPr="00FA6D00" w:rsidR="004E7058">
              <w:rPr>
                <w:b/>
                <w:i/>
                <w:color w:val="000000"/>
              </w:rPr>
              <w:t>857</w:t>
            </w:r>
            <w:r w:rsidRPr="00FA6D00" w:rsidR="00676E12">
              <w:rPr>
                <w:b/>
                <w:i/>
                <w:color w:val="000000"/>
              </w:rPr>
              <w:t>.32</w:t>
            </w:r>
          </w:p>
        </w:tc>
        <w:tc>
          <w:tcPr>
            <w:tcW w:w="3450" w:type="dxa"/>
            <w:gridSpan w:val="3"/>
            <w:tcBorders>
              <w:left w:val="single" w:color="auto" w:sz="24" w:space="0"/>
            </w:tcBorders>
            <w:vAlign w:val="bottom"/>
          </w:tcPr>
          <w:p w:rsidRPr="00FA6D00" w:rsidR="003B6A1B" w:rsidP="00EF2429" w:rsidRDefault="003B6A1B" w14:paraId="67993F7A" w14:textId="07CAE9D1">
            <w:pPr>
              <w:keepNext/>
              <w:tabs>
                <w:tab w:val="left" w:pos="957"/>
              </w:tabs>
              <w:jc w:val="right"/>
              <w:rPr>
                <w:b/>
                <w:i/>
                <w:color w:val="000000"/>
              </w:rPr>
            </w:pPr>
            <w:r w:rsidRPr="00FA6D00">
              <w:rPr>
                <w:b/>
                <w:i/>
                <w:color w:val="000000"/>
              </w:rPr>
              <w:t>Subtotal: $</w:t>
            </w:r>
            <w:r w:rsidRPr="00FA6D00" w:rsidR="00DA0E71">
              <w:rPr>
                <w:b/>
                <w:i/>
                <w:color w:val="000000"/>
              </w:rPr>
              <w:t>0.00</w:t>
            </w:r>
          </w:p>
        </w:tc>
      </w:tr>
      <w:tr w:rsidRPr="00FA6D00" w:rsidR="003B6A1B" w:rsidTr="00EF2429" w14:paraId="06E7371A" w14:textId="77777777">
        <w:trPr>
          <w:cantSplit/>
          <w:jc w:val="center"/>
        </w:trPr>
        <w:tc>
          <w:tcPr>
            <w:tcW w:w="7105" w:type="dxa"/>
            <w:gridSpan w:val="9"/>
            <w:tcBorders>
              <w:top w:val="single" w:color="auto" w:sz="4" w:space="0"/>
              <w:bottom w:val="single" w:color="auto" w:sz="4" w:space="0"/>
              <w:right w:val="single" w:color="auto" w:sz="24" w:space="0"/>
            </w:tcBorders>
            <w:shd w:val="clear" w:color="auto" w:fill="D9D9D9" w:themeFill="background1" w:themeFillShade="D9"/>
            <w:vAlign w:val="bottom"/>
          </w:tcPr>
          <w:p w:rsidRPr="00FA6D00" w:rsidR="003B6A1B" w:rsidP="00EF2429" w:rsidRDefault="003B6A1B" w14:paraId="11B3B704" w14:textId="5C2D7387">
            <w:pPr>
              <w:tabs>
                <w:tab w:val="left" w:pos="957"/>
              </w:tabs>
              <w:jc w:val="right"/>
              <w:rPr>
                <w:b/>
                <w:color w:val="000000"/>
              </w:rPr>
            </w:pPr>
            <w:r w:rsidRPr="00FA6D00">
              <w:rPr>
                <w:b/>
                <w:i/>
                <w:color w:val="000000"/>
              </w:rPr>
              <w:t>TOTAL REQUEST: $</w:t>
            </w:r>
            <w:r w:rsidRPr="00FA6D00" w:rsidR="00722E1B">
              <w:rPr>
                <w:b/>
                <w:i/>
                <w:color w:val="000000"/>
              </w:rPr>
              <w:t>3</w:t>
            </w:r>
            <w:r w:rsidRPr="00FA6D00" w:rsidR="00E318E9">
              <w:rPr>
                <w:b/>
                <w:i/>
                <w:color w:val="000000"/>
              </w:rPr>
              <w:t>81,</w:t>
            </w:r>
            <w:r w:rsidRPr="00FA6D00" w:rsidR="009B5A4D">
              <w:rPr>
                <w:b/>
                <w:i/>
                <w:color w:val="000000"/>
              </w:rPr>
              <w:t>664.52</w:t>
            </w:r>
          </w:p>
        </w:tc>
        <w:tc>
          <w:tcPr>
            <w:tcW w:w="3450" w:type="dxa"/>
            <w:gridSpan w:val="3"/>
            <w:tcBorders>
              <w:left w:val="single" w:color="auto" w:sz="24" w:space="0"/>
            </w:tcBorders>
            <w:shd w:val="clear" w:color="auto" w:fill="D9D9D9" w:themeFill="background1" w:themeFillShade="D9"/>
            <w:vAlign w:val="bottom"/>
          </w:tcPr>
          <w:p w:rsidRPr="00FA6D00" w:rsidR="003B6A1B" w:rsidP="00EF2429" w:rsidRDefault="003B6A1B" w14:paraId="3680D139" w14:textId="13C86277">
            <w:pPr>
              <w:tabs>
                <w:tab w:val="left" w:pos="957"/>
              </w:tabs>
              <w:jc w:val="right"/>
              <w:rPr>
                <w:b/>
                <w:color w:val="000000"/>
              </w:rPr>
            </w:pPr>
            <w:r w:rsidRPr="00FA6D00">
              <w:rPr>
                <w:b/>
                <w:i/>
                <w:color w:val="000000"/>
              </w:rPr>
              <w:t>TOTAL AWARD: $</w:t>
            </w:r>
            <w:r w:rsidR="008A31B1">
              <w:rPr>
                <w:b/>
                <w:i/>
                <w:color w:val="000000"/>
              </w:rPr>
              <w:t>84</w:t>
            </w:r>
            <w:r w:rsidR="00660FE4">
              <w:rPr>
                <w:b/>
                <w:i/>
                <w:color w:val="000000"/>
              </w:rPr>
              <w:t>,091.50</w:t>
            </w:r>
          </w:p>
        </w:tc>
      </w:tr>
      <w:tr w:rsidRPr="00FA6D00" w:rsidR="003B6A1B" w:rsidTr="00EF2429" w14:paraId="6A909BC1" w14:textId="77777777">
        <w:trPr>
          <w:jc w:val="center"/>
        </w:trPr>
        <w:tc>
          <w:tcPr>
            <w:tcW w:w="10555" w:type="dxa"/>
            <w:gridSpan w:val="12"/>
            <w:tcBorders>
              <w:top w:val="single" w:color="auto" w:sz="4" w:space="0"/>
              <w:bottom w:val="single" w:color="auto" w:sz="4" w:space="0"/>
            </w:tcBorders>
          </w:tcPr>
          <w:p w:rsidRPr="00FA6D00" w:rsidR="003B6A1B" w:rsidP="00EF2429" w:rsidRDefault="003B6A1B" w14:paraId="6F39872E" w14:textId="7919BFAA">
            <w:pPr>
              <w:spacing w:after="120"/>
              <w:rPr>
                <w:color w:val="000000"/>
              </w:rPr>
            </w:pPr>
            <w:r w:rsidRPr="00FA6D00">
              <w:rPr>
                <w:color w:val="000000"/>
              </w:rPr>
              <w:t xml:space="preserve">  *We remind all intervenors that Commission staff may audit </w:t>
            </w:r>
            <w:r w:rsidRPr="00FA6D00">
              <w:t>the records and books of the intervenors to the extent necessary to verify the basis for the award (</w:t>
            </w:r>
            <w:r w:rsidRPr="00FA6D00" w:rsidR="004152B8">
              <w:t>§ </w:t>
            </w:r>
            <w:r w:rsidRPr="00FA6D00">
              <w:t>1804(d)).  I</w:t>
            </w:r>
            <w:r w:rsidRPr="00FA6D00">
              <w:rPr>
                <w:color w:val="000000"/>
              </w:rPr>
              <w:t>ntervenors must make and retain adequate accounting and other documentation to support all claims for intervenor compensation.  Intervenor</w:t>
            </w:r>
            <w:r w:rsidR="004E6CFF">
              <w:rPr>
                <w:color w:val="000000"/>
              </w:rPr>
              <w:t>’</w:t>
            </w:r>
            <w:r w:rsidRPr="00FA6D00">
              <w:rPr>
                <w:color w:val="000000"/>
              </w:rPr>
              <w:t xml:space="preserve">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FA6D00" w:rsidR="003B6A1B" w:rsidP="00EF2429" w:rsidRDefault="003B6A1B" w14:paraId="0D03EC65" w14:textId="437E9C04">
            <w:pPr>
              <w:rPr>
                <w:color w:val="000000"/>
              </w:rPr>
            </w:pPr>
            <w:r w:rsidRPr="00FA6D00">
              <w:rPr>
                <w:color w:val="000000"/>
              </w:rPr>
              <w:t>**Travel and Reasonable Claim preparation time are typically compensated at ½ of preparer</w:t>
            </w:r>
            <w:r w:rsidR="004E6CFF">
              <w:rPr>
                <w:color w:val="000000"/>
              </w:rPr>
              <w:t>’</w:t>
            </w:r>
            <w:r w:rsidRPr="00FA6D00">
              <w:rPr>
                <w:color w:val="000000"/>
              </w:rPr>
              <w:t>s normal hourly rate</w:t>
            </w:r>
            <w:r w:rsidRPr="00FA6D00" w:rsidDel="00D075B1">
              <w:rPr>
                <w:color w:val="000000"/>
              </w:rPr>
              <w:t xml:space="preserve"> </w:t>
            </w:r>
          </w:p>
        </w:tc>
      </w:tr>
      <w:tr w:rsidRPr="00FA6D00" w:rsidR="003B6A1B" w:rsidTr="00EF2429" w14:paraId="458B01A4" w14:textId="77777777">
        <w:trPr>
          <w:cantSplit/>
          <w:jc w:val="center"/>
        </w:trPr>
        <w:tc>
          <w:tcPr>
            <w:tcW w:w="10555"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A6D00" w:rsidR="003B6A1B" w:rsidP="00EF2429" w:rsidRDefault="003B6A1B" w14:paraId="48B43CBD" w14:textId="77777777">
            <w:pPr>
              <w:keepNext/>
              <w:jc w:val="center"/>
              <w:rPr>
                <w:b/>
                <w:smallCaps/>
                <w:color w:val="000000"/>
              </w:rPr>
            </w:pPr>
            <w:r w:rsidRPr="00FA6D00">
              <w:rPr>
                <w:b/>
                <w:smallCaps/>
                <w:color w:val="000000"/>
              </w:rPr>
              <w:lastRenderedPageBreak/>
              <w:t>ATTORNEY INFORMATION</w:t>
            </w:r>
          </w:p>
        </w:tc>
      </w:tr>
      <w:tr w:rsidRPr="00FA6D00" w:rsidR="003B6A1B" w:rsidTr="00EF2429" w14:paraId="790C92C0" w14:textId="77777777">
        <w:trPr>
          <w:cantSplit/>
          <w:jc w:val="center"/>
        </w:trPr>
        <w:tc>
          <w:tcPr>
            <w:tcW w:w="1975" w:type="dxa"/>
            <w:gridSpan w:val="3"/>
            <w:tcBorders>
              <w:top w:val="single" w:color="auto" w:sz="4" w:space="0"/>
              <w:bottom w:val="single" w:color="auto" w:sz="4" w:space="0"/>
            </w:tcBorders>
            <w:shd w:val="clear" w:color="auto" w:fill="FFFFFF"/>
            <w:vAlign w:val="bottom"/>
          </w:tcPr>
          <w:p w:rsidRPr="00FA6D00" w:rsidR="003B6A1B" w:rsidP="00EF2429" w:rsidRDefault="003B6A1B" w14:paraId="00CAC866" w14:textId="77777777">
            <w:pPr>
              <w:keepNext/>
              <w:jc w:val="center"/>
              <w:rPr>
                <w:b/>
                <w:color w:val="000000"/>
                <w:szCs w:val="22"/>
              </w:rPr>
            </w:pPr>
            <w:r w:rsidRPr="00FA6D00">
              <w:rPr>
                <w:b/>
                <w:szCs w:val="22"/>
              </w:rPr>
              <w:t>Attorney</w:t>
            </w:r>
          </w:p>
        </w:tc>
        <w:tc>
          <w:tcPr>
            <w:tcW w:w="2160" w:type="dxa"/>
            <w:gridSpan w:val="3"/>
            <w:tcBorders>
              <w:top w:val="single" w:color="auto" w:sz="4" w:space="0"/>
              <w:bottom w:val="single" w:color="auto" w:sz="4" w:space="0"/>
            </w:tcBorders>
            <w:shd w:val="clear" w:color="auto" w:fill="FFFFFF"/>
            <w:vAlign w:val="bottom"/>
          </w:tcPr>
          <w:p w:rsidR="00EF2429" w:rsidP="00EF2429" w:rsidRDefault="003B6A1B" w14:paraId="4CEE43BD" w14:textId="77777777">
            <w:pPr>
              <w:keepNext/>
              <w:jc w:val="center"/>
              <w:rPr>
                <w:b/>
                <w:szCs w:val="22"/>
              </w:rPr>
            </w:pPr>
            <w:r w:rsidRPr="00FA6D00">
              <w:rPr>
                <w:b/>
                <w:szCs w:val="22"/>
              </w:rPr>
              <w:t xml:space="preserve">Date Admitted </w:t>
            </w:r>
          </w:p>
          <w:p w:rsidRPr="00FA6D00" w:rsidR="003B6A1B" w:rsidP="00EF2429" w:rsidRDefault="003B6A1B" w14:paraId="7E76A008" w14:textId="13B2C9A4">
            <w:pPr>
              <w:keepNext/>
              <w:jc w:val="center"/>
              <w:rPr>
                <w:b/>
                <w:color w:val="000000"/>
                <w:szCs w:val="22"/>
              </w:rPr>
            </w:pPr>
            <w:r w:rsidRPr="00FA6D00">
              <w:rPr>
                <w:b/>
                <w:szCs w:val="22"/>
              </w:rPr>
              <w:t>to CA BAR</w:t>
            </w:r>
            <w:r w:rsidRPr="00FA6D00">
              <w:rPr>
                <w:rStyle w:val="FootnoteReference"/>
                <w:b/>
                <w:szCs w:val="22"/>
              </w:rPr>
              <w:footnoteReference w:id="11"/>
            </w:r>
          </w:p>
        </w:tc>
        <w:tc>
          <w:tcPr>
            <w:tcW w:w="2250" w:type="dxa"/>
            <w:gridSpan w:val="2"/>
            <w:tcBorders>
              <w:top w:val="single" w:color="auto" w:sz="4" w:space="0"/>
              <w:bottom w:val="single" w:color="auto" w:sz="4" w:space="0"/>
            </w:tcBorders>
            <w:shd w:val="clear" w:color="auto" w:fill="FFFFFF"/>
            <w:vAlign w:val="bottom"/>
          </w:tcPr>
          <w:p w:rsidRPr="00FA6D00" w:rsidR="003B6A1B" w:rsidP="00EF2429" w:rsidRDefault="003B6A1B" w14:paraId="27E64ED7" w14:textId="77777777">
            <w:pPr>
              <w:keepNext/>
              <w:jc w:val="center"/>
              <w:rPr>
                <w:b/>
                <w:color w:val="000000"/>
                <w:szCs w:val="22"/>
              </w:rPr>
            </w:pPr>
            <w:r w:rsidRPr="00FA6D00">
              <w:rPr>
                <w:b/>
                <w:szCs w:val="22"/>
              </w:rPr>
              <w:t>Member Number</w:t>
            </w:r>
          </w:p>
        </w:tc>
        <w:tc>
          <w:tcPr>
            <w:tcW w:w="4170" w:type="dxa"/>
            <w:gridSpan w:val="4"/>
            <w:tcBorders>
              <w:top w:val="single" w:color="auto" w:sz="4" w:space="0"/>
              <w:bottom w:val="single" w:color="auto" w:sz="4" w:space="0"/>
            </w:tcBorders>
            <w:shd w:val="clear" w:color="auto" w:fill="FFFFFF"/>
            <w:vAlign w:val="bottom"/>
          </w:tcPr>
          <w:p w:rsidRPr="00FA6D00" w:rsidR="003B6A1B" w:rsidP="00EF2429" w:rsidRDefault="003B6A1B" w14:paraId="496B5DC1" w14:textId="77777777">
            <w:pPr>
              <w:keepNext/>
              <w:jc w:val="center"/>
              <w:rPr>
                <w:b/>
                <w:szCs w:val="22"/>
              </w:rPr>
            </w:pPr>
            <w:r w:rsidRPr="00FA6D00">
              <w:rPr>
                <w:b/>
                <w:szCs w:val="22"/>
              </w:rPr>
              <w:t>Actions Affecting Eligibility (Yes/No?)</w:t>
            </w:r>
          </w:p>
          <w:p w:rsidRPr="00FA6D00" w:rsidR="003B6A1B" w:rsidP="00EF2429" w:rsidRDefault="003B6A1B" w14:paraId="36F8922D" w14:textId="5DD5ECA0">
            <w:pPr>
              <w:keepNext/>
              <w:jc w:val="center"/>
              <w:rPr>
                <w:b/>
                <w:color w:val="000000"/>
                <w:szCs w:val="22"/>
              </w:rPr>
            </w:pPr>
            <w:r w:rsidRPr="00FA6D00">
              <w:rPr>
                <w:b/>
                <w:szCs w:val="22"/>
              </w:rPr>
              <w:t xml:space="preserve">If </w:t>
            </w:r>
            <w:r w:rsidR="004E6CFF">
              <w:rPr>
                <w:b/>
                <w:szCs w:val="22"/>
              </w:rPr>
              <w:t>“</w:t>
            </w:r>
            <w:r w:rsidRPr="00FA6D00">
              <w:rPr>
                <w:b/>
                <w:szCs w:val="22"/>
              </w:rPr>
              <w:t>Yes</w:t>
            </w:r>
            <w:r w:rsidR="004E6CFF">
              <w:rPr>
                <w:b/>
                <w:szCs w:val="22"/>
              </w:rPr>
              <w:t>”</w:t>
            </w:r>
            <w:r w:rsidRPr="00FA6D00">
              <w:rPr>
                <w:b/>
                <w:szCs w:val="22"/>
              </w:rPr>
              <w:t>, attach explanation</w:t>
            </w:r>
          </w:p>
        </w:tc>
      </w:tr>
      <w:tr w:rsidRPr="00FA6D00" w:rsidR="003B6A1B" w:rsidTr="00EF2429" w14:paraId="4DC5EE9B" w14:textId="77777777">
        <w:trPr>
          <w:cantSplit/>
          <w:jc w:val="center"/>
        </w:trPr>
        <w:tc>
          <w:tcPr>
            <w:tcW w:w="1975" w:type="dxa"/>
            <w:gridSpan w:val="3"/>
            <w:tcBorders>
              <w:top w:val="single" w:color="auto" w:sz="4" w:space="0"/>
              <w:bottom w:val="single" w:color="auto" w:sz="4" w:space="0"/>
            </w:tcBorders>
          </w:tcPr>
          <w:p w:rsidRPr="00FA6D00" w:rsidR="003B6A1B" w:rsidP="00EF2429" w:rsidRDefault="006B0378" w14:paraId="7266B7BF" w14:textId="1DD2E881">
            <w:pPr>
              <w:jc w:val="center"/>
            </w:pPr>
            <w:r w:rsidRPr="00FA6D00">
              <w:t>John Geesman</w:t>
            </w:r>
          </w:p>
        </w:tc>
        <w:tc>
          <w:tcPr>
            <w:tcW w:w="2160" w:type="dxa"/>
            <w:gridSpan w:val="3"/>
            <w:tcBorders>
              <w:top w:val="single" w:color="auto" w:sz="4" w:space="0"/>
              <w:bottom w:val="single" w:color="auto" w:sz="4" w:space="0"/>
            </w:tcBorders>
          </w:tcPr>
          <w:p w:rsidRPr="00FA6D00" w:rsidR="003B6A1B" w:rsidP="00EF2429" w:rsidRDefault="005F224F" w14:paraId="69A41F15" w14:textId="3404C6DB">
            <w:pPr>
              <w:jc w:val="center"/>
            </w:pPr>
            <w:r w:rsidRPr="00FA6D00">
              <w:t>June 28, 1977</w:t>
            </w:r>
          </w:p>
        </w:tc>
        <w:tc>
          <w:tcPr>
            <w:tcW w:w="2250" w:type="dxa"/>
            <w:gridSpan w:val="2"/>
            <w:tcBorders>
              <w:top w:val="single" w:color="auto" w:sz="4" w:space="0"/>
              <w:bottom w:val="single" w:color="auto" w:sz="4" w:space="0"/>
            </w:tcBorders>
          </w:tcPr>
          <w:p w:rsidRPr="00FA6D00" w:rsidR="003B6A1B" w:rsidP="00EF2429" w:rsidRDefault="005F224F" w14:paraId="58495CD7" w14:textId="692902F6">
            <w:pPr>
              <w:jc w:val="center"/>
            </w:pPr>
            <w:r w:rsidRPr="00FA6D00">
              <w:t>74448</w:t>
            </w:r>
          </w:p>
        </w:tc>
        <w:tc>
          <w:tcPr>
            <w:tcW w:w="4170" w:type="dxa"/>
            <w:gridSpan w:val="4"/>
            <w:tcBorders>
              <w:top w:val="single" w:color="auto" w:sz="4" w:space="0"/>
              <w:bottom w:val="single" w:color="auto" w:sz="4" w:space="0"/>
            </w:tcBorders>
          </w:tcPr>
          <w:p w:rsidRPr="00FA6D00" w:rsidR="003B6A1B" w:rsidP="00EF2429" w:rsidRDefault="000B60B2" w14:paraId="117B99BF" w14:textId="0001BAB9">
            <w:pPr>
              <w:jc w:val="center"/>
            </w:pPr>
            <w:r w:rsidRPr="00FA6D00">
              <w:t>No</w:t>
            </w:r>
          </w:p>
        </w:tc>
      </w:tr>
    </w:tbl>
    <w:p w:rsidRPr="00FE7949" w:rsidR="00A92D0B" w:rsidP="00755CBB" w:rsidRDefault="00A92D0B" w14:paraId="04BC309E" w14:textId="5E2DA5AC">
      <w:pPr>
        <w:keepNext/>
        <w:numPr>
          <w:ilvl w:val="0"/>
          <w:numId w:val="18"/>
        </w:numPr>
        <w:spacing w:before="240" w:after="240"/>
        <w:rPr>
          <w:b/>
          <w:color w:val="000000"/>
        </w:rPr>
      </w:pPr>
      <w:r w:rsidRPr="005577F7">
        <w:rPr>
          <w:b/>
          <w:color w:val="000000"/>
        </w:rPr>
        <w:t>Attachments</w:t>
      </w:r>
      <w:r w:rsidRPr="005577F7">
        <w:rPr>
          <w:b/>
        </w:rPr>
        <w:t xml:space="preserve"> Documenting Specific Claim and Comments on Part III</w:t>
      </w:r>
      <w:r w:rsidRPr="005577F7" w:rsidR="00C02649">
        <w:rPr>
          <w:b/>
        </w:rPr>
        <w:t>:</w:t>
      </w:r>
      <w:r w:rsidR="00046249">
        <w:rPr>
          <w:rStyle w:val="FootnoteReference"/>
          <w:b/>
        </w:rPr>
        <w:footnoteReference w:id="12"/>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795"/>
        <w:gridCol w:w="7565"/>
      </w:tblGrid>
      <w:tr w:rsidRPr="005577F7" w:rsidR="00A92D0B" w:rsidTr="00E54909" w14:paraId="0C2B760A" w14:textId="77777777">
        <w:trPr>
          <w:tblHeader/>
        </w:trPr>
        <w:tc>
          <w:tcPr>
            <w:tcW w:w="1795" w:type="dxa"/>
            <w:shd w:val="clear" w:color="auto" w:fill="D9D9D9" w:themeFill="background1" w:themeFillShade="D9"/>
            <w:vAlign w:val="bottom"/>
          </w:tcPr>
          <w:p w:rsidR="00E54909" w:rsidP="00631507" w:rsidRDefault="00A92D0B" w14:paraId="6950397B" w14:textId="77777777">
            <w:pPr>
              <w:keepNext/>
              <w:tabs>
                <w:tab w:val="left" w:pos="1260"/>
              </w:tabs>
              <w:jc w:val="center"/>
              <w:rPr>
                <w:b/>
                <w:color w:val="000000"/>
              </w:rPr>
            </w:pPr>
            <w:r w:rsidRPr="005577F7">
              <w:rPr>
                <w:b/>
                <w:color w:val="000000"/>
              </w:rPr>
              <w:t xml:space="preserve">Attachment or </w:t>
            </w:r>
          </w:p>
          <w:p w:rsidRPr="005577F7" w:rsidR="00A92D0B" w:rsidP="00631507" w:rsidRDefault="00A92D0B" w14:paraId="42A1D838" w14:textId="3F9C46AD">
            <w:pPr>
              <w:keepNext/>
              <w:tabs>
                <w:tab w:val="left" w:pos="1260"/>
              </w:tabs>
              <w:jc w:val="center"/>
              <w:rPr>
                <w:b/>
                <w:color w:val="000000"/>
              </w:rPr>
            </w:pPr>
            <w:r w:rsidRPr="005577F7">
              <w:rPr>
                <w:b/>
                <w:color w:val="000000"/>
              </w:rPr>
              <w:t>Comment #</w:t>
            </w:r>
          </w:p>
        </w:tc>
        <w:tc>
          <w:tcPr>
            <w:tcW w:w="7565" w:type="dxa"/>
            <w:tcBorders>
              <w:bottom w:val="single" w:color="auto" w:sz="4" w:space="0"/>
            </w:tcBorders>
            <w:shd w:val="clear" w:color="auto" w:fill="D9D9D9" w:themeFill="background1" w:themeFillShade="D9"/>
            <w:vAlign w:val="bottom"/>
          </w:tcPr>
          <w:p w:rsidRPr="005577F7" w:rsidR="00A92D0B" w:rsidP="00631507" w:rsidRDefault="00A92D0B" w14:paraId="55F0A65F" w14:textId="77777777">
            <w:pPr>
              <w:keepNext/>
              <w:tabs>
                <w:tab w:val="left" w:pos="1260"/>
              </w:tabs>
              <w:jc w:val="center"/>
              <w:rPr>
                <w:b/>
                <w:color w:val="000000"/>
              </w:rPr>
            </w:pPr>
            <w:r w:rsidRPr="005577F7">
              <w:rPr>
                <w:b/>
                <w:color w:val="000000"/>
              </w:rPr>
              <w:t>Description/Comment</w:t>
            </w:r>
          </w:p>
        </w:tc>
      </w:tr>
      <w:tr w:rsidRPr="00821FC1" w:rsidR="00A92D0B" w:rsidTr="00E54909" w14:paraId="72C869B0" w14:textId="77777777">
        <w:tc>
          <w:tcPr>
            <w:tcW w:w="1795" w:type="dxa"/>
          </w:tcPr>
          <w:p w:rsidRPr="00821FC1" w:rsidR="00A92D0B" w:rsidP="00755CBB" w:rsidRDefault="00446802" w14:paraId="49AADD21" w14:textId="5FF204F1">
            <w:pPr>
              <w:tabs>
                <w:tab w:val="left" w:pos="1260"/>
              </w:tabs>
              <w:rPr>
                <w:color w:val="000000"/>
              </w:rPr>
            </w:pPr>
            <w:r w:rsidRPr="00821FC1">
              <w:rPr>
                <w:color w:val="000000"/>
              </w:rPr>
              <w:t xml:space="preserve">COMMENT </w:t>
            </w:r>
          </w:p>
        </w:tc>
        <w:tc>
          <w:tcPr>
            <w:tcW w:w="7565" w:type="dxa"/>
          </w:tcPr>
          <w:p w:rsidRPr="00821FC1" w:rsidR="00A92D0B" w:rsidP="00755CBB" w:rsidRDefault="00C33C43" w14:paraId="3AF20C23" w14:textId="7BE8978C">
            <w:pPr>
              <w:tabs>
                <w:tab w:val="left" w:pos="1260"/>
              </w:tabs>
              <w:rPr>
                <w:color w:val="000000"/>
              </w:rPr>
            </w:pPr>
            <w:r w:rsidRPr="00821FC1">
              <w:rPr>
                <w:color w:val="000000"/>
              </w:rPr>
              <w:t>Please n</w:t>
            </w:r>
            <w:r w:rsidRPr="00821FC1" w:rsidR="00C01DE5">
              <w:rPr>
                <w:color w:val="000000"/>
              </w:rPr>
              <w:t>ote</w:t>
            </w:r>
            <w:r w:rsidRPr="00821FC1" w:rsidR="00127247">
              <w:rPr>
                <w:color w:val="000000"/>
              </w:rPr>
              <w:t xml:space="preserve"> A4NR</w:t>
            </w:r>
            <w:r w:rsidR="004E6CFF">
              <w:rPr>
                <w:color w:val="000000"/>
              </w:rPr>
              <w:t>’</w:t>
            </w:r>
            <w:r w:rsidRPr="00821FC1" w:rsidR="00127247">
              <w:rPr>
                <w:color w:val="000000"/>
              </w:rPr>
              <w:t xml:space="preserve">s November 1, 2024 </w:t>
            </w:r>
            <w:r w:rsidRPr="00821FC1" w:rsidR="00BE05D1">
              <w:rPr>
                <w:color w:val="000000"/>
              </w:rPr>
              <w:t>COMMENTS ON PROPOSED DECISION GRANTING COMPENSATION FOR SUBSTANTIAL CONTRIBUTION TO D.23</w:t>
            </w:r>
            <w:r w:rsidR="004152B8">
              <w:rPr>
                <w:color w:val="000000"/>
              </w:rPr>
              <w:noBreakHyphen/>
            </w:r>
            <w:r w:rsidRPr="00821FC1" w:rsidR="00BE05D1">
              <w:rPr>
                <w:color w:val="000000"/>
              </w:rPr>
              <w:t>12</w:t>
            </w:r>
            <w:r w:rsidR="004152B8">
              <w:rPr>
                <w:color w:val="000000"/>
              </w:rPr>
              <w:noBreakHyphen/>
            </w:r>
            <w:r w:rsidRPr="00821FC1" w:rsidR="00BE05D1">
              <w:rPr>
                <w:color w:val="000000"/>
              </w:rPr>
              <w:t>036</w:t>
            </w:r>
            <w:r w:rsidRPr="00821FC1" w:rsidR="00F845C7">
              <w:rPr>
                <w:color w:val="000000"/>
              </w:rPr>
              <w:t xml:space="preserve"> (filed in </w:t>
            </w:r>
            <w:r w:rsidRPr="00821FC1" w:rsidR="0003720E">
              <w:rPr>
                <w:color w:val="000000"/>
              </w:rPr>
              <w:t>2/14/202</w:t>
            </w:r>
            <w:r w:rsidRPr="00821FC1" w:rsidR="00D3336A">
              <w:rPr>
                <w:color w:val="000000"/>
              </w:rPr>
              <w:t>)</w:t>
            </w:r>
            <w:r w:rsidRPr="00821FC1" w:rsidR="000B4F76">
              <w:rPr>
                <w:color w:val="000000"/>
              </w:rPr>
              <w:t xml:space="preserve"> for correct calculation of </w:t>
            </w:r>
            <w:r w:rsidRPr="00821FC1" w:rsidR="009946D0">
              <w:rPr>
                <w:color w:val="000000"/>
              </w:rPr>
              <w:t xml:space="preserve">John </w:t>
            </w:r>
            <w:r w:rsidRPr="00821FC1" w:rsidR="00C01DE5">
              <w:rPr>
                <w:color w:val="000000"/>
              </w:rPr>
              <w:t>Geesman</w:t>
            </w:r>
            <w:r w:rsidR="004E6CFF">
              <w:rPr>
                <w:color w:val="000000"/>
              </w:rPr>
              <w:t>’</w:t>
            </w:r>
            <w:r w:rsidRPr="00821FC1" w:rsidR="009946D0">
              <w:rPr>
                <w:color w:val="000000"/>
              </w:rPr>
              <w:t>s</w:t>
            </w:r>
            <w:r w:rsidRPr="00821FC1" w:rsidR="000B4F76">
              <w:rPr>
                <w:color w:val="000000"/>
              </w:rPr>
              <w:t xml:space="preserve"> 2024 rate.</w:t>
            </w:r>
          </w:p>
        </w:tc>
      </w:tr>
      <w:tr w:rsidRPr="00821FC1" w:rsidR="0036536A" w:rsidTr="00E54909" w14:paraId="0E2A0EB8" w14:textId="77777777">
        <w:tc>
          <w:tcPr>
            <w:tcW w:w="1795" w:type="dxa"/>
          </w:tcPr>
          <w:p w:rsidRPr="00821FC1" w:rsidR="0036536A" w:rsidP="00755CBB" w:rsidRDefault="0036536A" w14:paraId="4D7FDFCC" w14:textId="046C66B1">
            <w:pPr>
              <w:tabs>
                <w:tab w:val="left" w:pos="1260"/>
              </w:tabs>
              <w:rPr>
                <w:color w:val="000000"/>
              </w:rPr>
            </w:pPr>
            <w:r w:rsidRPr="00821FC1">
              <w:rPr>
                <w:color w:val="000000"/>
              </w:rPr>
              <w:t>1</w:t>
            </w:r>
          </w:p>
        </w:tc>
        <w:tc>
          <w:tcPr>
            <w:tcW w:w="7565" w:type="dxa"/>
          </w:tcPr>
          <w:p w:rsidRPr="00821FC1" w:rsidR="0036536A" w:rsidP="00755CBB" w:rsidRDefault="0036536A" w14:paraId="3DB970D2" w14:textId="18C316D1">
            <w:pPr>
              <w:tabs>
                <w:tab w:val="left" w:pos="1260"/>
              </w:tabs>
              <w:rPr>
                <w:color w:val="000000"/>
              </w:rPr>
            </w:pPr>
            <w:r w:rsidRPr="00821FC1">
              <w:rPr>
                <w:color w:val="000000"/>
              </w:rPr>
              <w:t>Certificate of Service</w:t>
            </w:r>
          </w:p>
        </w:tc>
      </w:tr>
      <w:tr w:rsidRPr="00821FC1" w:rsidR="0036536A" w:rsidTr="00E54909" w14:paraId="49496F11" w14:textId="77777777">
        <w:tc>
          <w:tcPr>
            <w:tcW w:w="1795" w:type="dxa"/>
          </w:tcPr>
          <w:p w:rsidRPr="00821FC1" w:rsidR="0036536A" w:rsidP="00755CBB" w:rsidRDefault="0036536A" w14:paraId="57F6715F" w14:textId="2136BABE">
            <w:pPr>
              <w:tabs>
                <w:tab w:val="left" w:pos="1260"/>
              </w:tabs>
              <w:rPr>
                <w:color w:val="000000"/>
              </w:rPr>
            </w:pPr>
            <w:r w:rsidRPr="00821FC1">
              <w:rPr>
                <w:color w:val="000000"/>
              </w:rPr>
              <w:t>2</w:t>
            </w:r>
          </w:p>
        </w:tc>
        <w:tc>
          <w:tcPr>
            <w:tcW w:w="7565" w:type="dxa"/>
          </w:tcPr>
          <w:p w:rsidRPr="00821FC1" w:rsidR="0036536A" w:rsidP="00755CBB" w:rsidRDefault="0036536A" w14:paraId="24681DBC" w14:textId="4C769242">
            <w:pPr>
              <w:tabs>
                <w:tab w:val="left" w:pos="1260"/>
              </w:tabs>
              <w:rPr>
                <w:color w:val="000000"/>
              </w:rPr>
            </w:pPr>
            <w:r w:rsidRPr="00821FC1">
              <w:rPr>
                <w:color w:val="000000"/>
              </w:rPr>
              <w:t>Time Records of John Geesman</w:t>
            </w:r>
          </w:p>
        </w:tc>
      </w:tr>
      <w:tr w:rsidRPr="00821FC1" w:rsidR="0036536A" w:rsidTr="00E54909" w14:paraId="12CC308F" w14:textId="77777777">
        <w:tc>
          <w:tcPr>
            <w:tcW w:w="1795" w:type="dxa"/>
          </w:tcPr>
          <w:p w:rsidRPr="00821FC1" w:rsidR="0036536A" w:rsidP="00755CBB" w:rsidRDefault="0036536A" w14:paraId="36F12D58" w14:textId="3E6F9D30">
            <w:pPr>
              <w:tabs>
                <w:tab w:val="left" w:pos="1260"/>
              </w:tabs>
              <w:rPr>
                <w:color w:val="000000"/>
              </w:rPr>
            </w:pPr>
            <w:r w:rsidRPr="00821FC1">
              <w:rPr>
                <w:color w:val="000000"/>
              </w:rPr>
              <w:t>3</w:t>
            </w:r>
          </w:p>
        </w:tc>
        <w:tc>
          <w:tcPr>
            <w:tcW w:w="7565" w:type="dxa"/>
          </w:tcPr>
          <w:p w:rsidRPr="00821FC1" w:rsidR="0036536A" w:rsidP="00755CBB" w:rsidRDefault="0036536A" w14:paraId="5D655073" w14:textId="38D105E8">
            <w:pPr>
              <w:tabs>
                <w:tab w:val="left" w:pos="1260"/>
              </w:tabs>
              <w:rPr>
                <w:color w:val="000000"/>
              </w:rPr>
            </w:pPr>
            <w:r w:rsidRPr="00821FC1">
              <w:rPr>
                <w:color w:val="000000"/>
              </w:rPr>
              <w:t>Time Records of David Weisman</w:t>
            </w:r>
          </w:p>
        </w:tc>
      </w:tr>
      <w:tr w:rsidRPr="00821FC1" w:rsidR="006B0EEA" w:rsidTr="00E54909" w14:paraId="09D52E93" w14:textId="77777777">
        <w:tc>
          <w:tcPr>
            <w:tcW w:w="1795" w:type="dxa"/>
          </w:tcPr>
          <w:p w:rsidRPr="00821FC1" w:rsidR="006B0EEA" w:rsidP="00E54909" w:rsidRDefault="006B0EEA" w14:paraId="3E9A6DE8" w14:textId="5268785F">
            <w:pPr>
              <w:keepNext/>
              <w:tabs>
                <w:tab w:val="left" w:pos="1260"/>
              </w:tabs>
              <w:rPr>
                <w:color w:val="000000"/>
              </w:rPr>
            </w:pPr>
            <w:r w:rsidRPr="00821FC1">
              <w:rPr>
                <w:color w:val="000000"/>
              </w:rPr>
              <w:t>4</w:t>
            </w:r>
          </w:p>
        </w:tc>
        <w:tc>
          <w:tcPr>
            <w:tcW w:w="7565" w:type="dxa"/>
          </w:tcPr>
          <w:p w:rsidRPr="00821FC1" w:rsidR="006B0EEA" w:rsidP="00E54909" w:rsidRDefault="001A1CE0" w14:paraId="45773912" w14:textId="571D59F4">
            <w:pPr>
              <w:keepNext/>
              <w:tabs>
                <w:tab w:val="left" w:pos="1260"/>
              </w:tabs>
              <w:rPr>
                <w:color w:val="000000"/>
              </w:rPr>
            </w:pPr>
            <w:r w:rsidRPr="00821FC1">
              <w:rPr>
                <w:color w:val="000000"/>
              </w:rPr>
              <w:t>Hotel lodging receipts</w:t>
            </w:r>
          </w:p>
        </w:tc>
      </w:tr>
      <w:tr w:rsidRPr="00821FC1" w:rsidR="0036536A" w:rsidTr="00E54909" w14:paraId="05418B1A" w14:textId="77777777">
        <w:tc>
          <w:tcPr>
            <w:tcW w:w="1795" w:type="dxa"/>
          </w:tcPr>
          <w:p w:rsidRPr="00821FC1" w:rsidR="0036536A" w:rsidP="00755CBB" w:rsidRDefault="006B0EEA" w14:paraId="369C6A90" w14:textId="558BA799">
            <w:pPr>
              <w:tabs>
                <w:tab w:val="left" w:pos="1260"/>
              </w:tabs>
              <w:rPr>
                <w:color w:val="000000"/>
              </w:rPr>
            </w:pPr>
            <w:r w:rsidRPr="00821FC1">
              <w:rPr>
                <w:color w:val="000000"/>
              </w:rPr>
              <w:t>5</w:t>
            </w:r>
          </w:p>
        </w:tc>
        <w:tc>
          <w:tcPr>
            <w:tcW w:w="7565" w:type="dxa"/>
          </w:tcPr>
          <w:p w:rsidRPr="00821FC1" w:rsidR="0036536A" w:rsidP="00755CBB" w:rsidRDefault="0036536A" w14:paraId="29B0F8B2" w14:textId="7925008C">
            <w:pPr>
              <w:tabs>
                <w:tab w:val="left" w:pos="1260"/>
              </w:tabs>
              <w:rPr>
                <w:color w:val="000000"/>
              </w:rPr>
            </w:pPr>
            <w:r w:rsidRPr="00821FC1">
              <w:rPr>
                <w:color w:val="000000"/>
              </w:rPr>
              <w:t>Spreadsh</w:t>
            </w:r>
            <w:r w:rsidRPr="00821FC1" w:rsidR="00794D65">
              <w:rPr>
                <w:color w:val="000000"/>
              </w:rPr>
              <w:t>eet Verification of Calculations</w:t>
            </w:r>
          </w:p>
        </w:tc>
      </w:tr>
    </w:tbl>
    <w:p w:rsidRPr="005577F7" w:rsidR="00A92D0B" w:rsidP="00755CBB" w:rsidRDefault="00A92D0B" w14:paraId="0D8B7003" w14:textId="2801CEDA">
      <w:pPr>
        <w:keepNext/>
        <w:numPr>
          <w:ilvl w:val="0"/>
          <w:numId w:val="18"/>
        </w:numPr>
        <w:spacing w:before="240" w:after="240"/>
        <w:rPr>
          <w:b/>
          <w:color w:val="000000"/>
        </w:rPr>
      </w:pPr>
      <w:r w:rsidRPr="005577F7">
        <w:rPr>
          <w:b/>
          <w:color w:val="000000"/>
        </w:rPr>
        <w:t xml:space="preserve">CPUC </w:t>
      </w:r>
      <w:r w:rsidRPr="005577F7" w:rsidR="008C09F7">
        <w:rPr>
          <w:b/>
          <w:color w:val="000000"/>
        </w:rPr>
        <w:t xml:space="preserve">Comments, </w:t>
      </w:r>
      <w:r w:rsidRPr="005577F7">
        <w:rPr>
          <w:b/>
          <w:color w:val="000000"/>
        </w:rPr>
        <w:t>Disallowances</w:t>
      </w:r>
      <w:r w:rsidRPr="005577F7" w:rsidR="008C09F7">
        <w:rPr>
          <w:b/>
          <w:color w:val="000000"/>
        </w:rPr>
        <w:t>,</w:t>
      </w:r>
      <w:r w:rsidRPr="005577F7" w:rsidR="00D075B1">
        <w:rPr>
          <w:b/>
          <w:color w:val="000000"/>
        </w:rPr>
        <w:t xml:space="preserve"> </w:t>
      </w:r>
      <w:r w:rsidRPr="005577F7" w:rsidR="00A319DE">
        <w:rPr>
          <w:b/>
          <w:color w:val="000000"/>
        </w:rPr>
        <w:t>and</w:t>
      </w:r>
      <w:r w:rsidRPr="005577F7" w:rsidR="00D075B1">
        <w:rPr>
          <w:b/>
          <w:color w:val="000000"/>
        </w:rPr>
        <w:t xml:space="preserve"> </w:t>
      </w:r>
      <w:r w:rsidRPr="005577F7">
        <w:rPr>
          <w:b/>
          <w:color w:val="000000"/>
        </w:rPr>
        <w:t>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2335"/>
        <w:gridCol w:w="7025"/>
      </w:tblGrid>
      <w:tr w:rsidRPr="005577F7" w:rsidR="00A92D0B" w:rsidTr="00772CCB" w14:paraId="52CD0603" w14:textId="77777777">
        <w:trPr>
          <w:tblHeader/>
        </w:trPr>
        <w:tc>
          <w:tcPr>
            <w:tcW w:w="2335" w:type="dxa"/>
            <w:shd w:val="clear" w:color="auto" w:fill="D9D9D9" w:themeFill="background1" w:themeFillShade="D9"/>
            <w:vAlign w:val="bottom"/>
          </w:tcPr>
          <w:p w:rsidRPr="005577F7" w:rsidR="00A92D0B" w:rsidP="00631507" w:rsidRDefault="00072C81" w14:paraId="3954EC4C" w14:textId="77777777">
            <w:pPr>
              <w:keepNext/>
              <w:tabs>
                <w:tab w:val="left" w:pos="1440"/>
              </w:tabs>
              <w:jc w:val="center"/>
              <w:rPr>
                <w:b/>
                <w:color w:val="000000"/>
              </w:rPr>
            </w:pPr>
            <w:r w:rsidRPr="005577F7">
              <w:rPr>
                <w:b/>
                <w:color w:val="000000"/>
              </w:rPr>
              <w:t>Item</w:t>
            </w:r>
          </w:p>
        </w:tc>
        <w:tc>
          <w:tcPr>
            <w:tcW w:w="7025" w:type="dxa"/>
            <w:shd w:val="clear" w:color="auto" w:fill="D9D9D9" w:themeFill="background1" w:themeFillShade="D9"/>
            <w:vAlign w:val="bottom"/>
          </w:tcPr>
          <w:p w:rsidRPr="005577F7" w:rsidR="00A92D0B" w:rsidP="00631507" w:rsidRDefault="00A92D0B" w14:paraId="09F9E4D9" w14:textId="77777777">
            <w:pPr>
              <w:keepNext/>
              <w:tabs>
                <w:tab w:val="left" w:pos="1440"/>
              </w:tabs>
              <w:jc w:val="center"/>
              <w:rPr>
                <w:b/>
                <w:color w:val="000000"/>
              </w:rPr>
            </w:pPr>
            <w:r w:rsidRPr="005577F7">
              <w:rPr>
                <w:b/>
                <w:color w:val="000000"/>
              </w:rPr>
              <w:t>Reason</w:t>
            </w:r>
          </w:p>
        </w:tc>
      </w:tr>
      <w:tr w:rsidRPr="005577F7" w:rsidR="00A92D0B" w:rsidTr="00772CCB" w14:paraId="69DEE01C" w14:textId="77777777">
        <w:tc>
          <w:tcPr>
            <w:tcW w:w="2335" w:type="dxa"/>
          </w:tcPr>
          <w:p w:rsidR="00772CCB" w:rsidP="00755CBB" w:rsidRDefault="000C3B82" w14:paraId="33439846" w14:textId="77777777">
            <w:pPr>
              <w:tabs>
                <w:tab w:val="left" w:pos="1440"/>
              </w:tabs>
              <w:rPr>
                <w:color w:val="000000"/>
              </w:rPr>
            </w:pPr>
            <w:r>
              <w:rPr>
                <w:color w:val="000000"/>
              </w:rPr>
              <w:t xml:space="preserve">[1] </w:t>
            </w:r>
            <w:proofErr w:type="spellStart"/>
            <w:r>
              <w:rPr>
                <w:color w:val="000000"/>
              </w:rPr>
              <w:t>Geesman</w:t>
            </w:r>
            <w:r w:rsidR="004E6CFF">
              <w:rPr>
                <w:color w:val="000000"/>
              </w:rPr>
              <w:t>’</w:t>
            </w:r>
            <w:r>
              <w:rPr>
                <w:color w:val="000000"/>
              </w:rPr>
              <w:t>s</w:t>
            </w:r>
            <w:proofErr w:type="spellEnd"/>
            <w:r>
              <w:rPr>
                <w:color w:val="000000"/>
              </w:rPr>
              <w:t xml:space="preserve"> </w:t>
            </w:r>
          </w:p>
          <w:p w:rsidR="00772CCB" w:rsidP="00755CBB" w:rsidRDefault="000C3B82" w14:paraId="613A1541" w14:textId="77777777">
            <w:pPr>
              <w:tabs>
                <w:tab w:val="left" w:pos="1440"/>
              </w:tabs>
              <w:rPr>
                <w:color w:val="000000"/>
              </w:rPr>
            </w:pPr>
            <w:r>
              <w:rPr>
                <w:color w:val="000000"/>
              </w:rPr>
              <w:t xml:space="preserve">2024 and 2025 </w:t>
            </w:r>
          </w:p>
          <w:p w:rsidR="00772CCB" w:rsidP="00772CCB" w:rsidRDefault="000C3B82" w14:paraId="2F06FA9D" w14:textId="77777777">
            <w:pPr>
              <w:tabs>
                <w:tab w:val="left" w:pos="1440"/>
              </w:tabs>
              <w:rPr>
                <w:color w:val="000000"/>
              </w:rPr>
            </w:pPr>
            <w:r>
              <w:rPr>
                <w:color w:val="000000"/>
              </w:rPr>
              <w:t>Hourly Rates</w:t>
            </w:r>
            <w:r w:rsidR="002A22DA">
              <w:rPr>
                <w:color w:val="000000"/>
              </w:rPr>
              <w:t xml:space="preserve"> and </w:t>
            </w:r>
          </w:p>
          <w:p w:rsidR="00772CCB" w:rsidP="00772CCB" w:rsidRDefault="002A22DA" w14:paraId="760DB46A" w14:textId="77777777">
            <w:pPr>
              <w:tabs>
                <w:tab w:val="left" w:pos="1440"/>
              </w:tabs>
              <w:rPr>
                <w:color w:val="000000"/>
              </w:rPr>
            </w:pPr>
            <w:r>
              <w:rPr>
                <w:color w:val="000000"/>
              </w:rPr>
              <w:t xml:space="preserve">Intervenor </w:t>
            </w:r>
          </w:p>
          <w:p w:rsidR="00772CCB" w:rsidP="00772CCB" w:rsidRDefault="002A22DA" w14:paraId="48A57406" w14:textId="77777777">
            <w:pPr>
              <w:tabs>
                <w:tab w:val="left" w:pos="1440"/>
              </w:tabs>
              <w:rPr>
                <w:color w:val="000000"/>
              </w:rPr>
            </w:pPr>
            <w:r>
              <w:rPr>
                <w:color w:val="000000"/>
              </w:rPr>
              <w:t>Compensation</w:t>
            </w:r>
            <w:r w:rsidR="00411E90">
              <w:rPr>
                <w:color w:val="000000"/>
              </w:rPr>
              <w:t xml:space="preserve"> </w:t>
            </w:r>
          </w:p>
          <w:p w:rsidR="00772CCB" w:rsidP="00772CCB" w:rsidRDefault="00411E90" w14:paraId="0E1D2185" w14:textId="23427C40">
            <w:pPr>
              <w:tabs>
                <w:tab w:val="left" w:pos="1440"/>
              </w:tabs>
              <w:rPr>
                <w:color w:val="000000"/>
              </w:rPr>
            </w:pPr>
            <w:r>
              <w:rPr>
                <w:color w:val="000000"/>
              </w:rPr>
              <w:t>(</w:t>
            </w:r>
            <w:proofErr w:type="spellStart"/>
            <w:r>
              <w:rPr>
                <w:color w:val="000000"/>
              </w:rPr>
              <w:t>IComp</w:t>
            </w:r>
            <w:proofErr w:type="spellEnd"/>
            <w:r>
              <w:rPr>
                <w:color w:val="000000"/>
              </w:rPr>
              <w:t>)</w:t>
            </w:r>
            <w:r w:rsidR="002A22DA">
              <w:rPr>
                <w:color w:val="000000"/>
              </w:rPr>
              <w:t xml:space="preserve"> </w:t>
            </w:r>
          </w:p>
          <w:p w:rsidRPr="005577F7" w:rsidR="00A92D0B" w:rsidP="00772CCB" w:rsidRDefault="002A22DA" w14:paraId="1E6C8F3D" w14:textId="047EC375">
            <w:pPr>
              <w:tabs>
                <w:tab w:val="left" w:pos="1440"/>
              </w:tabs>
              <w:rPr>
                <w:color w:val="000000"/>
              </w:rPr>
            </w:pPr>
            <w:r>
              <w:rPr>
                <w:color w:val="000000"/>
              </w:rPr>
              <w:t>Preparation Rate</w:t>
            </w:r>
          </w:p>
        </w:tc>
        <w:tc>
          <w:tcPr>
            <w:tcW w:w="7025" w:type="dxa"/>
          </w:tcPr>
          <w:p w:rsidR="0035612F" w:rsidP="004E6CFF" w:rsidRDefault="0035612F" w14:paraId="681D417B" w14:textId="5A723830">
            <w:pPr>
              <w:tabs>
                <w:tab w:val="left" w:pos="1440"/>
              </w:tabs>
              <w:spacing w:after="240"/>
              <w:rPr>
                <w:color w:val="000000"/>
              </w:rPr>
            </w:pPr>
            <w:r w:rsidRPr="0035612F">
              <w:rPr>
                <w:color w:val="000000"/>
              </w:rPr>
              <w:t xml:space="preserve">Upon further review, the Commission has determined that </w:t>
            </w:r>
            <w:proofErr w:type="spellStart"/>
            <w:r>
              <w:rPr>
                <w:color w:val="000000"/>
              </w:rPr>
              <w:t>Geesman</w:t>
            </w:r>
            <w:proofErr w:type="spellEnd"/>
            <w:r>
              <w:rPr>
                <w:color w:val="000000"/>
              </w:rPr>
              <w:t xml:space="preserve"> </w:t>
            </w:r>
            <w:r w:rsidRPr="0035612F">
              <w:rPr>
                <w:color w:val="000000"/>
              </w:rPr>
              <w:t>is a consultant. Pursuant to Commission policy, the rate requested by an intervenor must not exceed the rate billed to that intervenor by any outside consultant it hires, even if the consultant</w:t>
            </w:r>
            <w:r w:rsidR="004E6CFF">
              <w:rPr>
                <w:color w:val="000000"/>
              </w:rPr>
              <w:t>’</w:t>
            </w:r>
            <w:r w:rsidRPr="0035612F">
              <w:rPr>
                <w:color w:val="000000"/>
              </w:rPr>
              <w:t>s billed rate is below the floor for a given experience level.</w:t>
            </w:r>
            <w:r>
              <w:rPr>
                <w:rStyle w:val="FootnoteReference"/>
                <w:color w:val="000000"/>
              </w:rPr>
              <w:footnoteReference w:id="13"/>
            </w:r>
            <w:r w:rsidRPr="0035612F">
              <w:rPr>
                <w:color w:val="000000"/>
              </w:rPr>
              <w:t xml:space="preserve"> Per the </w:t>
            </w:r>
            <w:proofErr w:type="spellStart"/>
            <w:r w:rsidRPr="0035612F">
              <w:rPr>
                <w:color w:val="000000"/>
              </w:rPr>
              <w:t>IComp</w:t>
            </w:r>
            <w:proofErr w:type="spellEnd"/>
            <w:r w:rsidRPr="0035612F">
              <w:rPr>
                <w:color w:val="000000"/>
              </w:rPr>
              <w:t xml:space="preserve"> Program Guide</w:t>
            </w:r>
            <w:r w:rsidR="0094248D">
              <w:rPr>
                <w:color w:val="000000"/>
              </w:rPr>
              <w:t xml:space="preserve"> at 2</w:t>
            </w:r>
            <w:r w:rsidRPr="0035612F">
              <w:rPr>
                <w:color w:val="000000"/>
              </w:rPr>
              <w:t>4, the Commission may audit the records and books of the intervenors to the extent necessary to verify the basis for the award (</w:t>
            </w:r>
            <w:r w:rsidR="004152B8">
              <w:rPr>
                <w:color w:val="000000"/>
              </w:rPr>
              <w:t>§ </w:t>
            </w:r>
            <w:r w:rsidRPr="0035612F">
              <w:rPr>
                <w:color w:val="000000"/>
              </w:rPr>
              <w:t>1804(d)).</w:t>
            </w:r>
          </w:p>
          <w:p w:rsidR="00397365" w:rsidP="004E6CFF" w:rsidRDefault="00EF35FA" w14:paraId="3B7742C3" w14:textId="0DA7E2B2">
            <w:pPr>
              <w:tabs>
                <w:tab w:val="left" w:pos="1440"/>
              </w:tabs>
              <w:spacing w:after="240"/>
              <w:rPr>
                <w:color w:val="000000"/>
              </w:rPr>
            </w:pPr>
            <w:r>
              <w:rPr>
                <w:color w:val="000000"/>
              </w:rPr>
              <w:t>A4NR</w:t>
            </w:r>
            <w:r w:rsidRPr="00EF35FA">
              <w:rPr>
                <w:color w:val="000000"/>
              </w:rPr>
              <w:t xml:space="preserve"> has confirmed that per the terms of their contract, </w:t>
            </w:r>
            <w:proofErr w:type="spellStart"/>
            <w:r>
              <w:rPr>
                <w:color w:val="000000"/>
              </w:rPr>
              <w:t>Geesman</w:t>
            </w:r>
            <w:proofErr w:type="spellEnd"/>
            <w:r w:rsidRPr="00EF35FA">
              <w:rPr>
                <w:color w:val="000000"/>
              </w:rPr>
              <w:t xml:space="preserve"> has been hired on a contingency rate basis, meaning that </w:t>
            </w:r>
            <w:proofErr w:type="spellStart"/>
            <w:r>
              <w:rPr>
                <w:color w:val="000000"/>
              </w:rPr>
              <w:t>Geesman</w:t>
            </w:r>
            <w:proofErr w:type="spellEnd"/>
            <w:r w:rsidRPr="00EF35FA">
              <w:rPr>
                <w:color w:val="000000"/>
              </w:rPr>
              <w:t xml:space="preserve"> has </w:t>
            </w:r>
            <w:r w:rsidRPr="00EF35FA">
              <w:rPr>
                <w:color w:val="000000"/>
              </w:rPr>
              <w:lastRenderedPageBreak/>
              <w:t>agreed to defer its consulting fee contingent upon receipt of this Intervenor Compensation award. Given this contingency, we utilize the reasonable rates established by Resolution ALJ</w:t>
            </w:r>
            <w:r w:rsidR="004152B8">
              <w:rPr>
                <w:color w:val="000000"/>
              </w:rPr>
              <w:noBreakHyphen/>
            </w:r>
            <w:r w:rsidRPr="00EF35FA">
              <w:rPr>
                <w:color w:val="000000"/>
              </w:rPr>
              <w:t xml:space="preserve">393 based on </w:t>
            </w:r>
            <w:proofErr w:type="spellStart"/>
            <w:r>
              <w:rPr>
                <w:color w:val="000000"/>
              </w:rPr>
              <w:t>Geesman</w:t>
            </w:r>
            <w:r w:rsidR="004E6CFF">
              <w:rPr>
                <w:color w:val="000000"/>
              </w:rPr>
              <w:t>’</w:t>
            </w:r>
            <w:r>
              <w:rPr>
                <w:color w:val="000000"/>
              </w:rPr>
              <w:t>s</w:t>
            </w:r>
            <w:proofErr w:type="spellEnd"/>
            <w:r w:rsidRPr="00EF35FA">
              <w:rPr>
                <w:color w:val="000000"/>
              </w:rPr>
              <w:t xml:space="preserve"> experience as a Legal</w:t>
            </w:r>
            <w:r w:rsidR="00BA598C">
              <w:rPr>
                <w:color w:val="000000"/>
              </w:rPr>
              <w:t xml:space="preserve"> – </w:t>
            </w:r>
            <w:r w:rsidRPr="00EF35FA">
              <w:rPr>
                <w:color w:val="000000"/>
              </w:rPr>
              <w:t>Attorney</w:t>
            </w:r>
            <w:r w:rsidR="00BA598C">
              <w:rPr>
                <w:color w:val="000000"/>
              </w:rPr>
              <w:t xml:space="preserve"> – </w:t>
            </w:r>
            <w:r w:rsidRPr="00EF35FA">
              <w:rPr>
                <w:color w:val="000000"/>
              </w:rPr>
              <w:t>Level V</w:t>
            </w:r>
            <w:r>
              <w:rPr>
                <w:color w:val="000000"/>
              </w:rPr>
              <w:t xml:space="preserve">. </w:t>
            </w:r>
          </w:p>
          <w:p w:rsidR="0035612F" w:rsidP="004E6CFF" w:rsidRDefault="00EF35FA" w14:paraId="356F1CCF" w14:textId="6F6EBCB7">
            <w:pPr>
              <w:tabs>
                <w:tab w:val="left" w:pos="1440"/>
              </w:tabs>
              <w:spacing w:after="240"/>
              <w:rPr>
                <w:color w:val="000000"/>
              </w:rPr>
            </w:pPr>
            <w:r w:rsidRPr="00EF35FA">
              <w:rPr>
                <w:color w:val="000000"/>
              </w:rPr>
              <w:t xml:space="preserve">Given that the </w:t>
            </w:r>
            <w:r>
              <w:rPr>
                <w:color w:val="000000"/>
              </w:rPr>
              <w:t>2024</w:t>
            </w:r>
            <w:r w:rsidRPr="00EF35FA">
              <w:rPr>
                <w:color w:val="000000"/>
              </w:rPr>
              <w:t xml:space="preserve"> rate range for </w:t>
            </w:r>
            <w:r w:rsidRPr="00012623">
              <w:rPr>
                <w:color w:val="000000"/>
              </w:rPr>
              <w:t>Legal</w:t>
            </w:r>
            <w:r w:rsidR="00BA598C">
              <w:rPr>
                <w:color w:val="000000"/>
              </w:rPr>
              <w:t xml:space="preserve"> – </w:t>
            </w:r>
            <w:r w:rsidRPr="00012623">
              <w:rPr>
                <w:color w:val="000000"/>
              </w:rPr>
              <w:t>Attorney</w:t>
            </w:r>
            <w:r w:rsidR="00BA598C">
              <w:rPr>
                <w:color w:val="000000"/>
              </w:rPr>
              <w:t xml:space="preserve"> – </w:t>
            </w:r>
            <w:r w:rsidRPr="00012623">
              <w:rPr>
                <w:color w:val="000000"/>
              </w:rPr>
              <w:t>Level V</w:t>
            </w:r>
            <w:r w:rsidRPr="00EF35FA">
              <w:rPr>
                <w:color w:val="000000"/>
              </w:rPr>
              <w:t xml:space="preserve"> is $560.95 to $773.67, </w:t>
            </w:r>
            <w:r w:rsidRPr="00085617" w:rsidR="00085617">
              <w:rPr>
                <w:color w:val="000000"/>
              </w:rPr>
              <w:t>we find the requested 202</w:t>
            </w:r>
            <w:r w:rsidR="00085617">
              <w:rPr>
                <w:color w:val="000000"/>
              </w:rPr>
              <w:t>4</w:t>
            </w:r>
            <w:r w:rsidRPr="00085617" w:rsidR="00085617">
              <w:rPr>
                <w:color w:val="000000"/>
              </w:rPr>
              <w:t xml:space="preserve"> hourly rate of $</w:t>
            </w:r>
            <w:r w:rsidR="00085617">
              <w:rPr>
                <w:color w:val="000000"/>
              </w:rPr>
              <w:t>780.00</w:t>
            </w:r>
            <w:r w:rsidRPr="00085617" w:rsidR="00085617">
              <w:rPr>
                <w:color w:val="000000"/>
              </w:rPr>
              <w:t xml:space="preserve"> to be excessive.</w:t>
            </w:r>
            <w:r w:rsidR="00761FF7">
              <w:rPr>
                <w:color w:val="000000"/>
              </w:rPr>
              <w:t xml:space="preserve"> </w:t>
            </w:r>
            <w:r w:rsidRPr="00761FF7" w:rsidR="00761FF7">
              <w:rPr>
                <w:color w:val="000000"/>
              </w:rPr>
              <w:t xml:space="preserve">Based on </w:t>
            </w:r>
            <w:proofErr w:type="spellStart"/>
            <w:r w:rsidR="00761FF7">
              <w:rPr>
                <w:color w:val="000000"/>
              </w:rPr>
              <w:t>Geesman</w:t>
            </w:r>
            <w:r w:rsidR="004E6CFF">
              <w:rPr>
                <w:color w:val="000000"/>
              </w:rPr>
              <w:t>’</w:t>
            </w:r>
            <w:r w:rsidR="00761FF7">
              <w:rPr>
                <w:color w:val="000000"/>
              </w:rPr>
              <w:t>s</w:t>
            </w:r>
            <w:proofErr w:type="spellEnd"/>
            <w:r w:rsidRPr="00761FF7" w:rsidR="00761FF7">
              <w:rPr>
                <w:color w:val="000000"/>
              </w:rPr>
              <w:t xml:space="preserve"> experience, we determine that an hourly rate of $</w:t>
            </w:r>
            <w:r w:rsidR="00761FF7">
              <w:rPr>
                <w:color w:val="000000"/>
              </w:rPr>
              <w:t>770.00</w:t>
            </w:r>
            <w:r w:rsidRPr="00761FF7" w:rsidR="00761FF7">
              <w:rPr>
                <w:color w:val="000000"/>
              </w:rPr>
              <w:t xml:space="preserve"> is more reasonable, and approve it here.</w:t>
            </w:r>
            <w:r w:rsidR="00F02DBD">
              <w:rPr>
                <w:color w:val="000000"/>
              </w:rPr>
              <w:t xml:space="preserve"> We apply one</w:t>
            </w:r>
            <w:r w:rsidR="004152B8">
              <w:rPr>
                <w:color w:val="000000"/>
              </w:rPr>
              <w:noBreakHyphen/>
            </w:r>
            <w:r w:rsidR="00F02DBD">
              <w:rPr>
                <w:color w:val="000000"/>
              </w:rPr>
              <w:t xml:space="preserve">half of </w:t>
            </w:r>
            <w:proofErr w:type="spellStart"/>
            <w:r w:rsidR="00F02DBD">
              <w:rPr>
                <w:color w:val="000000"/>
              </w:rPr>
              <w:t>Geesman</w:t>
            </w:r>
            <w:r w:rsidR="004E6CFF">
              <w:rPr>
                <w:color w:val="000000"/>
              </w:rPr>
              <w:t>’</w:t>
            </w:r>
            <w:r w:rsidR="00F02DBD">
              <w:rPr>
                <w:color w:val="000000"/>
              </w:rPr>
              <w:t>s</w:t>
            </w:r>
            <w:proofErr w:type="spellEnd"/>
            <w:r w:rsidR="00F02DBD">
              <w:rPr>
                <w:color w:val="000000"/>
              </w:rPr>
              <w:t xml:space="preserve"> approved </w:t>
            </w:r>
            <w:r w:rsidR="00FA1922">
              <w:rPr>
                <w:color w:val="000000"/>
              </w:rPr>
              <w:t>2024 hourly rate of $770.00 for an Intervenor Compensation Claim Preparation rate of $385.00.</w:t>
            </w:r>
          </w:p>
          <w:p w:rsidR="00D82F62" w:rsidP="004E6CFF" w:rsidRDefault="00397365" w14:paraId="78CCD901" w14:textId="75EAB057">
            <w:pPr>
              <w:tabs>
                <w:tab w:val="left" w:pos="1440"/>
              </w:tabs>
              <w:spacing w:after="240"/>
              <w:rPr>
                <w:color w:val="000000"/>
              </w:rPr>
            </w:pPr>
            <w:r>
              <w:rPr>
                <w:color w:val="000000"/>
              </w:rPr>
              <w:t>Given that the 2025 rate range for Legal</w:t>
            </w:r>
            <w:r w:rsidR="00BA598C">
              <w:rPr>
                <w:color w:val="000000"/>
              </w:rPr>
              <w:t xml:space="preserve"> – </w:t>
            </w:r>
            <w:r>
              <w:rPr>
                <w:color w:val="000000"/>
              </w:rPr>
              <w:t>Attorney</w:t>
            </w:r>
            <w:r w:rsidR="00BA598C">
              <w:rPr>
                <w:color w:val="000000"/>
              </w:rPr>
              <w:t xml:space="preserve"> – </w:t>
            </w:r>
            <w:r>
              <w:rPr>
                <w:color w:val="000000"/>
              </w:rPr>
              <w:t xml:space="preserve">Level V is </w:t>
            </w:r>
            <w:r w:rsidR="00A060F0">
              <w:rPr>
                <w:color w:val="000000"/>
              </w:rPr>
              <w:t xml:space="preserve">$585.41 to $797.23, we find the </w:t>
            </w:r>
            <w:r w:rsidR="008617B4">
              <w:rPr>
                <w:color w:val="000000"/>
              </w:rPr>
              <w:t xml:space="preserve">requested 2025 hourly rate of </w:t>
            </w:r>
            <w:r w:rsidR="00A7563F">
              <w:rPr>
                <w:color w:val="000000"/>
              </w:rPr>
              <w:t>$</w:t>
            </w:r>
            <w:r w:rsidR="00872381">
              <w:rPr>
                <w:color w:val="000000"/>
              </w:rPr>
              <w:t>780</w:t>
            </w:r>
            <w:r w:rsidR="00C10420">
              <w:rPr>
                <w:color w:val="000000"/>
              </w:rPr>
              <w:t xml:space="preserve"> to be </w:t>
            </w:r>
            <w:r w:rsidR="00FD3BEE">
              <w:rPr>
                <w:color w:val="000000"/>
              </w:rPr>
              <w:t>reasonable, and approve it here. We apply one</w:t>
            </w:r>
            <w:r w:rsidR="004152B8">
              <w:rPr>
                <w:color w:val="000000"/>
              </w:rPr>
              <w:noBreakHyphen/>
            </w:r>
            <w:r w:rsidR="00FD3BEE">
              <w:rPr>
                <w:color w:val="000000"/>
              </w:rPr>
              <w:t xml:space="preserve">half of </w:t>
            </w:r>
            <w:proofErr w:type="spellStart"/>
            <w:r w:rsidR="00993E1A">
              <w:rPr>
                <w:color w:val="000000"/>
              </w:rPr>
              <w:t>Geesman</w:t>
            </w:r>
            <w:r w:rsidR="004E6CFF">
              <w:rPr>
                <w:color w:val="000000"/>
              </w:rPr>
              <w:t>’</w:t>
            </w:r>
            <w:r w:rsidR="00993E1A">
              <w:rPr>
                <w:color w:val="000000"/>
              </w:rPr>
              <w:t>s</w:t>
            </w:r>
            <w:proofErr w:type="spellEnd"/>
            <w:r w:rsidR="00993E1A">
              <w:rPr>
                <w:color w:val="000000"/>
              </w:rPr>
              <w:t xml:space="preserve"> approved 2025 hourly rate for an Intervenor Compensation Claim Preparation rate of $39</w:t>
            </w:r>
            <w:r w:rsidR="00872381">
              <w:rPr>
                <w:color w:val="000000"/>
              </w:rPr>
              <w:t>0</w:t>
            </w:r>
            <w:r w:rsidR="00993E1A">
              <w:rPr>
                <w:color w:val="000000"/>
              </w:rPr>
              <w:t>.</w:t>
            </w:r>
          </w:p>
          <w:p w:rsidR="006851B7" w:rsidP="004E6CFF" w:rsidRDefault="006851B7" w14:paraId="67FA7D62" w14:textId="63BBD4E2">
            <w:pPr>
              <w:tabs>
                <w:tab w:val="left" w:pos="1440"/>
              </w:tabs>
              <w:spacing w:after="240"/>
              <w:rPr>
                <w:color w:val="000000"/>
              </w:rPr>
            </w:pPr>
            <w:r w:rsidRPr="006851B7">
              <w:rPr>
                <w:color w:val="000000"/>
              </w:rPr>
              <w:t xml:space="preserve">The award determined herein for </w:t>
            </w:r>
            <w:proofErr w:type="spellStart"/>
            <w:r>
              <w:rPr>
                <w:color w:val="000000"/>
              </w:rPr>
              <w:t>Geesman</w:t>
            </w:r>
            <w:r w:rsidR="004E6CFF">
              <w:rPr>
                <w:color w:val="000000"/>
              </w:rPr>
              <w:t>’</w:t>
            </w:r>
            <w:r>
              <w:rPr>
                <w:color w:val="000000"/>
              </w:rPr>
              <w:t>s</w:t>
            </w:r>
            <w:proofErr w:type="spellEnd"/>
            <w:r>
              <w:rPr>
                <w:color w:val="000000"/>
              </w:rPr>
              <w:t xml:space="preserve"> </w:t>
            </w:r>
            <w:r w:rsidRPr="006851B7">
              <w:rPr>
                <w:color w:val="000000"/>
              </w:rPr>
              <w:t xml:space="preserve">contribution in this proceeding shall be paid in full to </w:t>
            </w:r>
            <w:proofErr w:type="spellStart"/>
            <w:r>
              <w:rPr>
                <w:color w:val="000000"/>
              </w:rPr>
              <w:t>Geesman</w:t>
            </w:r>
            <w:proofErr w:type="spellEnd"/>
            <w:r w:rsidRPr="006851B7">
              <w:rPr>
                <w:color w:val="000000"/>
              </w:rPr>
              <w:t xml:space="preserve">, and no portion of this part of the award shall be kept by </w:t>
            </w:r>
            <w:r>
              <w:rPr>
                <w:color w:val="000000"/>
              </w:rPr>
              <w:t>A4NR</w:t>
            </w:r>
            <w:r w:rsidRPr="006851B7">
              <w:rPr>
                <w:color w:val="000000"/>
              </w:rPr>
              <w:t>. Additionally, the rates approved here are specific to work in this proceeding and the contract terms between the consultant and intervenor, as they are established in accordance with the Commission</w:t>
            </w:r>
            <w:r w:rsidR="004E6CFF">
              <w:rPr>
                <w:color w:val="000000"/>
              </w:rPr>
              <w:t>’</w:t>
            </w:r>
            <w:r w:rsidRPr="006851B7">
              <w:rPr>
                <w:color w:val="000000"/>
              </w:rPr>
              <w:t>s policy on consultant compensation, and the understanding that the consultant has not billed or collected compensation for the work performed until the final award is given.</w:t>
            </w:r>
          </w:p>
          <w:p w:rsidRPr="005577F7" w:rsidR="008465BA" w:rsidP="004E6CFF" w:rsidRDefault="00196E8E" w14:paraId="45BFCB16" w14:textId="102B7FE8">
            <w:pPr>
              <w:tabs>
                <w:tab w:val="left" w:pos="1440"/>
              </w:tabs>
              <w:spacing w:after="240"/>
              <w:rPr>
                <w:color w:val="000000"/>
              </w:rPr>
            </w:pPr>
            <w:r w:rsidRPr="00196E8E">
              <w:rPr>
                <w:color w:val="000000"/>
              </w:rPr>
              <w:t>We reiterate that it is the responsibility of the intervenor to be forthcoming about engaging consultants and the terms of the contract, to adhere to the Commission</w:t>
            </w:r>
            <w:r w:rsidR="004E6CFF">
              <w:rPr>
                <w:color w:val="000000"/>
              </w:rPr>
              <w:t>’</w:t>
            </w:r>
            <w:r w:rsidRPr="00196E8E">
              <w:rPr>
                <w:color w:val="000000"/>
              </w:rPr>
              <w:t xml:space="preserve">s policy on compensation for consultant fees, and to provide the appropriate documentation with the initial claim to ensure efficient processing, and thus avoid the need for the Commission to request supplemental documentation. In this instance, </w:t>
            </w:r>
            <w:r>
              <w:rPr>
                <w:color w:val="000000"/>
              </w:rPr>
              <w:t>A4NR</w:t>
            </w:r>
            <w:r w:rsidRPr="00196E8E">
              <w:rPr>
                <w:color w:val="000000"/>
              </w:rPr>
              <w:t xml:space="preserve"> did not provide all the documentation pertaining to the contract terms between Intervenor and Consultant in the initial claim and waited until the Commission requested supplemental documentation which delays the processing of the claim.</w:t>
            </w:r>
          </w:p>
        </w:tc>
      </w:tr>
      <w:tr w:rsidRPr="005577F7" w:rsidR="00A92D0B" w:rsidTr="00772CCB" w14:paraId="52155EFC" w14:textId="77777777">
        <w:tc>
          <w:tcPr>
            <w:tcW w:w="2335" w:type="dxa"/>
          </w:tcPr>
          <w:p w:rsidR="00772CCB" w:rsidP="00755CBB" w:rsidRDefault="000C3B82" w14:paraId="7BDCABE4" w14:textId="77777777">
            <w:pPr>
              <w:tabs>
                <w:tab w:val="left" w:pos="1440"/>
              </w:tabs>
              <w:rPr>
                <w:color w:val="000000"/>
              </w:rPr>
            </w:pPr>
            <w:r>
              <w:rPr>
                <w:color w:val="000000"/>
              </w:rPr>
              <w:lastRenderedPageBreak/>
              <w:t>[2] Weisman</w:t>
            </w:r>
            <w:r w:rsidR="004E6CFF">
              <w:rPr>
                <w:color w:val="000000"/>
              </w:rPr>
              <w:t>’</w:t>
            </w:r>
            <w:r>
              <w:rPr>
                <w:color w:val="000000"/>
              </w:rPr>
              <w:t xml:space="preserve">s </w:t>
            </w:r>
          </w:p>
          <w:p w:rsidR="00772CCB" w:rsidP="00755CBB" w:rsidRDefault="00375D19" w14:paraId="391CDD36" w14:textId="77777777">
            <w:pPr>
              <w:tabs>
                <w:tab w:val="left" w:pos="1440"/>
              </w:tabs>
              <w:rPr>
                <w:color w:val="000000"/>
              </w:rPr>
            </w:pPr>
            <w:r>
              <w:rPr>
                <w:color w:val="000000"/>
              </w:rPr>
              <w:t xml:space="preserve">2024 and </w:t>
            </w:r>
            <w:r w:rsidR="000C3B82">
              <w:rPr>
                <w:color w:val="000000"/>
              </w:rPr>
              <w:t xml:space="preserve">2025 </w:t>
            </w:r>
          </w:p>
          <w:p w:rsidR="00772CCB" w:rsidP="00755CBB" w:rsidRDefault="00FE7949" w14:paraId="34FEB22A" w14:textId="77777777">
            <w:pPr>
              <w:tabs>
                <w:tab w:val="left" w:pos="1440"/>
              </w:tabs>
              <w:rPr>
                <w:color w:val="000000"/>
              </w:rPr>
            </w:pPr>
            <w:r>
              <w:rPr>
                <w:color w:val="000000"/>
              </w:rPr>
              <w:t>Hourly Rate</w:t>
            </w:r>
            <w:r w:rsidR="00DF00D2">
              <w:rPr>
                <w:color w:val="000000"/>
              </w:rPr>
              <w:t>s</w:t>
            </w:r>
            <w:r>
              <w:rPr>
                <w:color w:val="000000"/>
              </w:rPr>
              <w:t xml:space="preserve"> and </w:t>
            </w:r>
          </w:p>
          <w:p w:rsidR="00772CCB" w:rsidP="00755CBB" w:rsidRDefault="00375D19" w14:paraId="391DE3D4" w14:textId="77777777">
            <w:pPr>
              <w:tabs>
                <w:tab w:val="left" w:pos="1440"/>
              </w:tabs>
              <w:rPr>
                <w:color w:val="000000"/>
              </w:rPr>
            </w:pPr>
            <w:r>
              <w:rPr>
                <w:color w:val="000000"/>
              </w:rPr>
              <w:t xml:space="preserve">2025 </w:t>
            </w:r>
            <w:r w:rsidR="002A22DA">
              <w:rPr>
                <w:color w:val="000000"/>
              </w:rPr>
              <w:t xml:space="preserve">Intervenor </w:t>
            </w:r>
          </w:p>
          <w:p w:rsidR="00772CCB" w:rsidP="00755CBB" w:rsidRDefault="002A22DA" w14:paraId="5DC31CCD" w14:textId="77777777">
            <w:pPr>
              <w:tabs>
                <w:tab w:val="left" w:pos="1440"/>
              </w:tabs>
              <w:rPr>
                <w:color w:val="000000"/>
              </w:rPr>
            </w:pPr>
            <w:r>
              <w:rPr>
                <w:color w:val="000000"/>
              </w:rPr>
              <w:t xml:space="preserve">Compensation </w:t>
            </w:r>
          </w:p>
          <w:p w:rsidRPr="005577F7" w:rsidR="00A92D0B" w:rsidP="00755CBB" w:rsidRDefault="002A22DA" w14:paraId="26487933" w14:textId="4ABA079E">
            <w:pPr>
              <w:tabs>
                <w:tab w:val="left" w:pos="1440"/>
              </w:tabs>
              <w:rPr>
                <w:color w:val="000000"/>
              </w:rPr>
            </w:pPr>
            <w:r>
              <w:rPr>
                <w:color w:val="000000"/>
              </w:rPr>
              <w:lastRenderedPageBreak/>
              <w:t>Preparation</w:t>
            </w:r>
            <w:r w:rsidR="000C3B82">
              <w:rPr>
                <w:color w:val="000000"/>
              </w:rPr>
              <w:t xml:space="preserve"> Rat</w:t>
            </w:r>
            <w:r>
              <w:rPr>
                <w:color w:val="000000"/>
              </w:rPr>
              <w:t>e</w:t>
            </w:r>
          </w:p>
        </w:tc>
        <w:tc>
          <w:tcPr>
            <w:tcW w:w="7025" w:type="dxa"/>
          </w:tcPr>
          <w:p w:rsidR="00A92D0B" w:rsidP="004E6CFF" w:rsidRDefault="00EC244E" w14:paraId="46FFFFFE" w14:textId="453E5C56">
            <w:pPr>
              <w:tabs>
                <w:tab w:val="left" w:pos="1440"/>
              </w:tabs>
              <w:spacing w:after="240"/>
              <w:rPr>
                <w:color w:val="000000"/>
              </w:rPr>
            </w:pPr>
            <w:r w:rsidRPr="00EC244E">
              <w:rPr>
                <w:color w:val="000000"/>
              </w:rPr>
              <w:lastRenderedPageBreak/>
              <w:t>D.25</w:t>
            </w:r>
            <w:r w:rsidR="004152B8">
              <w:rPr>
                <w:color w:val="000000"/>
              </w:rPr>
              <w:noBreakHyphen/>
            </w:r>
            <w:r w:rsidRPr="00EC244E">
              <w:rPr>
                <w:color w:val="000000"/>
              </w:rPr>
              <w:t>05</w:t>
            </w:r>
            <w:r w:rsidR="004152B8">
              <w:rPr>
                <w:color w:val="000000"/>
              </w:rPr>
              <w:noBreakHyphen/>
            </w:r>
            <w:r w:rsidRPr="00EC244E">
              <w:rPr>
                <w:color w:val="000000"/>
              </w:rPr>
              <w:t>017</w:t>
            </w:r>
            <w:r>
              <w:rPr>
                <w:color w:val="000000"/>
              </w:rPr>
              <w:t xml:space="preserve"> approved a 2024 hourly rate of $240.00 for Weisman</w:t>
            </w:r>
            <w:r w:rsidR="00961E2A">
              <w:rPr>
                <w:color w:val="000000"/>
              </w:rPr>
              <w:t xml:space="preserve"> as a</w:t>
            </w:r>
            <w:r w:rsidR="001861AD">
              <w:rPr>
                <w:color w:val="000000"/>
              </w:rPr>
              <w:t>n</w:t>
            </w:r>
            <w:r w:rsidR="00961E2A">
              <w:rPr>
                <w:color w:val="000000"/>
              </w:rPr>
              <w:t xml:space="preserve"> </w:t>
            </w:r>
            <w:r w:rsidR="001861AD">
              <w:rPr>
                <w:color w:val="000000"/>
              </w:rPr>
              <w:t>Expert</w:t>
            </w:r>
            <w:r w:rsidR="00BA598C">
              <w:rPr>
                <w:color w:val="000000"/>
              </w:rPr>
              <w:t xml:space="preserve"> – </w:t>
            </w:r>
            <w:r w:rsidR="001861AD">
              <w:rPr>
                <w:color w:val="000000"/>
              </w:rPr>
              <w:t>Communication Specialist</w:t>
            </w:r>
            <w:r w:rsidR="00BA598C">
              <w:rPr>
                <w:color w:val="000000"/>
              </w:rPr>
              <w:t xml:space="preserve"> – </w:t>
            </w:r>
            <w:r w:rsidR="001861AD">
              <w:rPr>
                <w:color w:val="000000"/>
              </w:rPr>
              <w:t>Level III</w:t>
            </w:r>
            <w:r>
              <w:rPr>
                <w:color w:val="000000"/>
              </w:rPr>
              <w:t xml:space="preserve">. </w:t>
            </w:r>
          </w:p>
          <w:p w:rsidR="00EC244E" w:rsidP="004E6CFF" w:rsidRDefault="00C24150" w14:paraId="59A526EE" w14:textId="5DE86934">
            <w:pPr>
              <w:tabs>
                <w:tab w:val="left" w:pos="1440"/>
              </w:tabs>
              <w:spacing w:after="240"/>
              <w:rPr>
                <w:color w:val="000000"/>
              </w:rPr>
            </w:pPr>
            <w:r>
              <w:rPr>
                <w:color w:val="000000"/>
              </w:rPr>
              <w:t>We reviewed Weisman</w:t>
            </w:r>
            <w:r w:rsidR="004E6CFF">
              <w:rPr>
                <w:color w:val="000000"/>
              </w:rPr>
              <w:t>’</w:t>
            </w:r>
            <w:r>
              <w:rPr>
                <w:color w:val="000000"/>
              </w:rPr>
              <w:t xml:space="preserve">s </w:t>
            </w:r>
            <w:r w:rsidR="006C65C2">
              <w:rPr>
                <w:color w:val="000000"/>
              </w:rPr>
              <w:t xml:space="preserve">experience and starting in 2025 </w:t>
            </w:r>
            <w:r w:rsidR="0056299B">
              <w:rPr>
                <w:color w:val="000000"/>
              </w:rPr>
              <w:t>we</w:t>
            </w:r>
            <w:r w:rsidR="001861AD">
              <w:rPr>
                <w:color w:val="000000"/>
              </w:rPr>
              <w:t xml:space="preserve"> find that Weisman has </w:t>
            </w:r>
            <w:r w:rsidR="00607A23">
              <w:rPr>
                <w:color w:val="000000"/>
              </w:rPr>
              <w:t>enough experience to qualify as a Level IV (10</w:t>
            </w:r>
            <w:r w:rsidR="004152B8">
              <w:rPr>
                <w:color w:val="000000"/>
              </w:rPr>
              <w:noBreakHyphen/>
            </w:r>
            <w:r w:rsidR="00607A23">
              <w:rPr>
                <w:color w:val="000000"/>
              </w:rPr>
              <w:t xml:space="preserve">15 </w:t>
            </w:r>
            <w:r w:rsidR="00FF0A69">
              <w:rPr>
                <w:color w:val="000000"/>
              </w:rPr>
              <w:t xml:space="preserve">years </w:t>
            </w:r>
            <w:r w:rsidR="00FF0A69">
              <w:rPr>
                <w:color w:val="000000"/>
              </w:rPr>
              <w:lastRenderedPageBreak/>
              <w:t>of experience</w:t>
            </w:r>
            <w:r w:rsidR="00607A23">
              <w:rPr>
                <w:color w:val="000000"/>
              </w:rPr>
              <w:t xml:space="preserve">) as a Communications Specialist. </w:t>
            </w:r>
            <w:r w:rsidR="008A5607">
              <w:rPr>
                <w:color w:val="000000"/>
              </w:rPr>
              <w:t>The 2025 rate range for an Expert</w:t>
            </w:r>
            <w:r w:rsidR="00BA598C">
              <w:rPr>
                <w:color w:val="000000"/>
              </w:rPr>
              <w:t xml:space="preserve"> – </w:t>
            </w:r>
            <w:r w:rsidR="00FF0A69">
              <w:rPr>
                <w:color w:val="000000"/>
              </w:rPr>
              <w:t>Communication Specialist</w:t>
            </w:r>
            <w:r w:rsidR="00BA598C">
              <w:rPr>
                <w:color w:val="000000"/>
              </w:rPr>
              <w:t xml:space="preserve"> – </w:t>
            </w:r>
            <w:r w:rsidR="00FF0A69">
              <w:rPr>
                <w:color w:val="000000"/>
              </w:rPr>
              <w:t xml:space="preserve">Level IV is $246.63 to $368.67. </w:t>
            </w:r>
            <w:r w:rsidR="00EC244E">
              <w:rPr>
                <w:color w:val="000000"/>
              </w:rPr>
              <w:t xml:space="preserve">We </w:t>
            </w:r>
            <w:r w:rsidR="00FF0A69">
              <w:rPr>
                <w:color w:val="000000"/>
              </w:rPr>
              <w:t xml:space="preserve">find a </w:t>
            </w:r>
            <w:r w:rsidR="008B2F9A">
              <w:rPr>
                <w:color w:val="000000"/>
              </w:rPr>
              <w:t xml:space="preserve">2025 </w:t>
            </w:r>
            <w:r w:rsidR="000961E0">
              <w:rPr>
                <w:color w:val="000000"/>
              </w:rPr>
              <w:t xml:space="preserve">hourly rate of </w:t>
            </w:r>
            <w:r w:rsidR="002A1861">
              <w:rPr>
                <w:color w:val="000000"/>
              </w:rPr>
              <w:t>$250.00</w:t>
            </w:r>
            <w:r w:rsidR="008B2F9A">
              <w:rPr>
                <w:color w:val="000000"/>
              </w:rPr>
              <w:t xml:space="preserve"> reasonable</w:t>
            </w:r>
            <w:r w:rsidR="002A1861">
              <w:rPr>
                <w:color w:val="000000"/>
              </w:rPr>
              <w:t>.</w:t>
            </w:r>
          </w:p>
          <w:p w:rsidRPr="005577F7" w:rsidR="00F24030" w:rsidP="004E6CFF" w:rsidRDefault="00F24030" w14:paraId="455E6A00" w14:textId="2C897F61">
            <w:pPr>
              <w:tabs>
                <w:tab w:val="left" w:pos="1440"/>
              </w:tabs>
              <w:spacing w:after="240"/>
              <w:rPr>
                <w:color w:val="000000"/>
              </w:rPr>
            </w:pPr>
            <w:r>
              <w:rPr>
                <w:color w:val="000000"/>
              </w:rPr>
              <w:t xml:space="preserve">We approve a 2025 </w:t>
            </w:r>
            <w:r w:rsidR="00DF00D2">
              <w:rPr>
                <w:color w:val="000000"/>
              </w:rPr>
              <w:t xml:space="preserve">intervenor compensation </w:t>
            </w:r>
            <w:r>
              <w:rPr>
                <w:color w:val="000000"/>
              </w:rPr>
              <w:t>preparation rate of $12</w:t>
            </w:r>
            <w:r w:rsidR="00C71B4D">
              <w:rPr>
                <w:color w:val="000000"/>
              </w:rPr>
              <w:t>5.00 for Weisman, which is one</w:t>
            </w:r>
            <w:r w:rsidR="004152B8">
              <w:rPr>
                <w:color w:val="000000"/>
              </w:rPr>
              <w:noBreakHyphen/>
            </w:r>
            <w:r w:rsidR="00C71B4D">
              <w:rPr>
                <w:color w:val="000000"/>
              </w:rPr>
              <w:t>half of Weisman</w:t>
            </w:r>
            <w:r w:rsidR="004E6CFF">
              <w:rPr>
                <w:color w:val="000000"/>
              </w:rPr>
              <w:t>’</w:t>
            </w:r>
            <w:r w:rsidR="00C71B4D">
              <w:rPr>
                <w:color w:val="000000"/>
              </w:rPr>
              <w:t>s 2025 hourly rate of $250.00</w:t>
            </w:r>
          </w:p>
        </w:tc>
      </w:tr>
      <w:tr w:rsidRPr="005577F7" w:rsidR="00284774" w:rsidTr="00772CCB" w14:paraId="6DD3A4B4" w14:textId="77777777">
        <w:tc>
          <w:tcPr>
            <w:tcW w:w="2335" w:type="dxa"/>
          </w:tcPr>
          <w:p w:rsidR="00772CCB" w:rsidP="00755CBB" w:rsidRDefault="00AE0D4C" w14:paraId="01C03A5B" w14:textId="56C669C2">
            <w:pPr>
              <w:tabs>
                <w:tab w:val="left" w:pos="1440"/>
              </w:tabs>
              <w:rPr>
                <w:color w:val="000000"/>
              </w:rPr>
            </w:pPr>
            <w:r>
              <w:rPr>
                <w:color w:val="000000"/>
              </w:rPr>
              <w:lastRenderedPageBreak/>
              <w:t>[</w:t>
            </w:r>
            <w:r w:rsidR="00FF3491">
              <w:rPr>
                <w:color w:val="000000"/>
              </w:rPr>
              <w:t>3</w:t>
            </w:r>
            <w:r>
              <w:rPr>
                <w:color w:val="000000"/>
              </w:rPr>
              <w:t xml:space="preserve">] </w:t>
            </w:r>
            <w:r w:rsidR="00A55E87">
              <w:rPr>
                <w:color w:val="000000"/>
              </w:rPr>
              <w:t>Limited</w:t>
            </w:r>
            <w:r w:rsidR="00A00164">
              <w:rPr>
                <w:color w:val="000000"/>
              </w:rPr>
              <w:t xml:space="preserve"> </w:t>
            </w:r>
          </w:p>
          <w:p w:rsidR="00772CCB" w:rsidP="00755CBB" w:rsidRDefault="00A00164" w14:paraId="3642AE6E" w14:textId="7229DDD0">
            <w:pPr>
              <w:tabs>
                <w:tab w:val="left" w:pos="1440"/>
              </w:tabs>
              <w:rPr>
                <w:color w:val="000000"/>
              </w:rPr>
            </w:pPr>
            <w:r>
              <w:rPr>
                <w:color w:val="000000"/>
              </w:rPr>
              <w:t>Contribut</w:t>
            </w:r>
            <w:r w:rsidR="00AE121A">
              <w:rPr>
                <w:color w:val="000000"/>
              </w:rPr>
              <w:t>ion</w:t>
            </w:r>
            <w:r w:rsidR="001F5E5C">
              <w:rPr>
                <w:color w:val="000000"/>
              </w:rPr>
              <w:t>s</w:t>
            </w:r>
            <w:r>
              <w:rPr>
                <w:color w:val="000000"/>
              </w:rPr>
              <w:t xml:space="preserve"> to the </w:t>
            </w:r>
          </w:p>
          <w:p w:rsidR="00772CCB" w:rsidP="00755CBB" w:rsidRDefault="00A00164" w14:paraId="738D484F" w14:textId="77777777">
            <w:pPr>
              <w:tabs>
                <w:tab w:val="left" w:pos="1440"/>
              </w:tabs>
              <w:rPr>
                <w:color w:val="000000"/>
              </w:rPr>
            </w:pPr>
            <w:r>
              <w:rPr>
                <w:color w:val="000000"/>
              </w:rPr>
              <w:t>Decision</w:t>
            </w:r>
            <w:r w:rsidR="004152B8">
              <w:rPr>
                <w:color w:val="000000"/>
              </w:rPr>
              <w:noBreakHyphen/>
            </w:r>
            <w:r>
              <w:rPr>
                <w:color w:val="000000"/>
              </w:rPr>
              <w:t xml:space="preserve">Making </w:t>
            </w:r>
          </w:p>
          <w:p w:rsidR="00284774" w:rsidP="00755CBB" w:rsidRDefault="00A00164" w14:paraId="78665D1A" w14:textId="372A79BE">
            <w:pPr>
              <w:tabs>
                <w:tab w:val="left" w:pos="1440"/>
              </w:tabs>
              <w:rPr>
                <w:color w:val="000000"/>
              </w:rPr>
            </w:pPr>
            <w:r>
              <w:rPr>
                <w:color w:val="000000"/>
              </w:rPr>
              <w:t>Process</w:t>
            </w:r>
          </w:p>
        </w:tc>
        <w:tc>
          <w:tcPr>
            <w:tcW w:w="7025" w:type="dxa"/>
          </w:tcPr>
          <w:p w:rsidR="000C3002" w:rsidP="004E6CFF" w:rsidRDefault="00576FF3" w14:paraId="607EDE4F" w14:textId="351E40E6">
            <w:pPr>
              <w:tabs>
                <w:tab w:val="left" w:pos="1440"/>
              </w:tabs>
              <w:spacing w:after="240"/>
              <w:rPr>
                <w:color w:val="000000"/>
              </w:rPr>
            </w:pPr>
            <w:r w:rsidRPr="00576FF3">
              <w:rPr>
                <w:color w:val="000000"/>
              </w:rPr>
              <w:t xml:space="preserve">Public Utilities Code </w:t>
            </w:r>
            <w:r w:rsidR="004152B8">
              <w:rPr>
                <w:color w:val="000000"/>
              </w:rPr>
              <w:t>§ </w:t>
            </w:r>
            <w:r w:rsidRPr="00576FF3">
              <w:rPr>
                <w:color w:val="000000"/>
              </w:rPr>
              <w:t xml:space="preserve">1802(j) states that a substantial contribution </w:t>
            </w:r>
            <w:r w:rsidR="004E6CFF">
              <w:rPr>
                <w:color w:val="000000"/>
              </w:rPr>
              <w:t>“</w:t>
            </w:r>
            <w:r w:rsidRPr="00576FF3">
              <w:rPr>
                <w:color w:val="000000"/>
              </w:rPr>
              <w:t>has substantially assisted the commission in the making of its order or decision because the order or decision has adopted in whole or in part one or more factual contentions, legal contentions, or specific policy or procedural recommendations presented by the customer.</w:t>
            </w:r>
            <w:r w:rsidR="004E6CFF">
              <w:rPr>
                <w:color w:val="000000"/>
              </w:rPr>
              <w:t>”</w:t>
            </w:r>
            <w:r w:rsidRPr="00576FF3">
              <w:rPr>
                <w:color w:val="000000"/>
              </w:rPr>
              <w:t xml:space="preserve"> In our determination </w:t>
            </w:r>
            <w:r w:rsidR="000361CE">
              <w:rPr>
                <w:color w:val="000000"/>
              </w:rPr>
              <w:t>that</w:t>
            </w:r>
            <w:r w:rsidRPr="00576FF3">
              <w:rPr>
                <w:color w:val="000000"/>
              </w:rPr>
              <w:t xml:space="preserve"> </w:t>
            </w:r>
            <w:r w:rsidR="000361CE">
              <w:rPr>
                <w:color w:val="000000"/>
              </w:rPr>
              <w:t>A4NR</w:t>
            </w:r>
            <w:r w:rsidRPr="00576FF3">
              <w:rPr>
                <w:color w:val="000000"/>
              </w:rPr>
              <w:t xml:space="preserve"> made a contribution, we also evaluate whether the hours claimed were commensurate with the contributions made. Making a substantial contribution in and of itself does not entitle an intervenor to all its claimed fees and costs. Compensation is granted for efficient, meaningful contributions. Because </w:t>
            </w:r>
            <w:r w:rsidR="003D0BAD">
              <w:rPr>
                <w:color w:val="000000"/>
              </w:rPr>
              <w:t>A4NR</w:t>
            </w:r>
            <w:r w:rsidR="004E6CFF">
              <w:rPr>
                <w:color w:val="000000"/>
              </w:rPr>
              <w:t>’</w:t>
            </w:r>
            <w:r w:rsidR="003D0BAD">
              <w:rPr>
                <w:color w:val="000000"/>
              </w:rPr>
              <w:t xml:space="preserve">s </w:t>
            </w:r>
            <w:r w:rsidRPr="00576FF3">
              <w:rPr>
                <w:color w:val="000000"/>
              </w:rPr>
              <w:t xml:space="preserve">efforts were excessive and were not sufficiently contributory, we </w:t>
            </w:r>
            <w:r w:rsidR="001F5E5C">
              <w:rPr>
                <w:color w:val="000000"/>
              </w:rPr>
              <w:t xml:space="preserve">make the following </w:t>
            </w:r>
            <w:r w:rsidRPr="00576FF3">
              <w:rPr>
                <w:color w:val="000000"/>
              </w:rPr>
              <w:t>reduc</w:t>
            </w:r>
            <w:r w:rsidR="001F5E5C">
              <w:rPr>
                <w:color w:val="000000"/>
              </w:rPr>
              <w:t xml:space="preserve">tions: </w:t>
            </w:r>
            <w:r w:rsidR="0054334C">
              <w:rPr>
                <w:color w:val="000000"/>
              </w:rPr>
              <w:t>140.35</w:t>
            </w:r>
            <w:r w:rsidRPr="003D0BAD" w:rsidR="00A97308">
              <w:rPr>
                <w:color w:val="000000"/>
              </w:rPr>
              <w:t xml:space="preserve"> </w:t>
            </w:r>
            <w:r w:rsidRPr="003D0BAD" w:rsidR="003D0BAD">
              <w:rPr>
                <w:color w:val="000000"/>
              </w:rPr>
              <w:t xml:space="preserve">hours </w:t>
            </w:r>
            <w:r w:rsidR="004F1C55">
              <w:rPr>
                <w:color w:val="000000"/>
              </w:rPr>
              <w:t>in Attorney, Expert, and Advocation Fees</w:t>
            </w:r>
            <w:r w:rsidR="00C3100C">
              <w:rPr>
                <w:color w:val="000000"/>
              </w:rPr>
              <w:t>, 32.55 hours of driving time,</w:t>
            </w:r>
            <w:r w:rsidRPr="003D0BAD" w:rsidR="003D0BAD">
              <w:rPr>
                <w:color w:val="000000"/>
              </w:rPr>
              <w:t xml:space="preserve"> and $857.32 in </w:t>
            </w:r>
            <w:r w:rsidR="00C3100C">
              <w:rPr>
                <w:color w:val="000000"/>
              </w:rPr>
              <w:t>lodging</w:t>
            </w:r>
            <w:r w:rsidRPr="003D0BAD" w:rsidR="00C3100C">
              <w:rPr>
                <w:color w:val="000000"/>
              </w:rPr>
              <w:t xml:space="preserve"> </w:t>
            </w:r>
            <w:r w:rsidRPr="00576FF3">
              <w:rPr>
                <w:color w:val="000000"/>
              </w:rPr>
              <w:t>from</w:t>
            </w:r>
            <w:r w:rsidR="003D0BAD">
              <w:rPr>
                <w:color w:val="000000"/>
              </w:rPr>
              <w:t xml:space="preserve"> A4NR</w:t>
            </w:r>
            <w:r w:rsidR="001F5E5C">
              <w:rPr>
                <w:color w:val="000000"/>
              </w:rPr>
              <w:t xml:space="preserve">. These </w:t>
            </w:r>
            <w:r w:rsidR="00207CFE">
              <w:rPr>
                <w:color w:val="000000"/>
              </w:rPr>
              <w:t>reductions</w:t>
            </w:r>
            <w:r w:rsidRPr="00576FF3">
              <w:rPr>
                <w:color w:val="000000"/>
              </w:rPr>
              <w:t xml:space="preserve"> appropriately acknowledge the value of </w:t>
            </w:r>
            <w:r w:rsidR="003D0BAD">
              <w:rPr>
                <w:color w:val="000000"/>
              </w:rPr>
              <w:t>A4NR</w:t>
            </w:r>
            <w:r w:rsidR="004E6CFF">
              <w:rPr>
                <w:color w:val="000000"/>
              </w:rPr>
              <w:t>’</w:t>
            </w:r>
            <w:r w:rsidR="003D0BAD">
              <w:rPr>
                <w:color w:val="000000"/>
              </w:rPr>
              <w:t xml:space="preserve">s </w:t>
            </w:r>
            <w:r w:rsidRPr="00576FF3">
              <w:rPr>
                <w:color w:val="000000"/>
              </w:rPr>
              <w:t>contributions</w:t>
            </w:r>
            <w:r w:rsidR="009D706F">
              <w:rPr>
                <w:color w:val="000000"/>
              </w:rPr>
              <w:t xml:space="preserve"> as further explained below.</w:t>
            </w:r>
          </w:p>
          <w:p w:rsidR="00505B51" w:rsidP="00584205" w:rsidRDefault="00EF779F" w14:paraId="396E2EA7" w14:textId="38CDDCFB">
            <w:pPr>
              <w:pStyle w:val="ListBullet"/>
              <w:keepNext/>
              <w:numPr>
                <w:ilvl w:val="0"/>
                <w:numId w:val="0"/>
              </w:numPr>
              <w:ind w:left="360" w:hanging="360"/>
              <w:rPr>
                <w:u w:val="single"/>
              </w:rPr>
            </w:pPr>
            <w:r>
              <w:rPr>
                <w:u w:val="single"/>
              </w:rPr>
              <w:t>Resolution E</w:t>
            </w:r>
            <w:r w:rsidR="004152B8">
              <w:rPr>
                <w:u w:val="single"/>
              </w:rPr>
              <w:noBreakHyphen/>
            </w:r>
            <w:r>
              <w:rPr>
                <w:u w:val="single"/>
              </w:rPr>
              <w:t xml:space="preserve">5299 (9.94 hours </w:t>
            </w:r>
            <w:r w:rsidR="004C34B8">
              <w:rPr>
                <w:u w:val="single"/>
              </w:rPr>
              <w:t>reduced</w:t>
            </w:r>
            <w:r>
              <w:rPr>
                <w:u w:val="single"/>
              </w:rPr>
              <w:t>)</w:t>
            </w:r>
          </w:p>
          <w:p w:rsidRPr="00A57078" w:rsidR="00C51BFD" w:rsidP="004E6CFF" w:rsidRDefault="00F8489A" w14:paraId="384E584D" w14:textId="2045A228">
            <w:pPr>
              <w:tabs>
                <w:tab w:val="left" w:pos="1440"/>
              </w:tabs>
              <w:spacing w:after="240"/>
            </w:pPr>
            <w:r>
              <w:t xml:space="preserve">Between 4/10/24 and 4/13/24, </w:t>
            </w:r>
            <w:r w:rsidR="00EF779F">
              <w:t xml:space="preserve">A4NR claimed </w:t>
            </w:r>
            <w:r w:rsidR="00933CFC">
              <w:t xml:space="preserve">four timesheet entries for </w:t>
            </w:r>
            <w:r w:rsidR="000F4F9F">
              <w:t xml:space="preserve">9.94 hours </w:t>
            </w:r>
            <w:r w:rsidR="00933CFC">
              <w:t xml:space="preserve">of </w:t>
            </w:r>
            <w:proofErr w:type="spellStart"/>
            <w:r w:rsidR="00933CFC">
              <w:t>Geesman</w:t>
            </w:r>
            <w:r w:rsidR="004E6CFF">
              <w:t>’</w:t>
            </w:r>
            <w:r w:rsidR="00933CFC">
              <w:t>s</w:t>
            </w:r>
            <w:proofErr w:type="spellEnd"/>
            <w:r w:rsidR="00933CFC">
              <w:t xml:space="preserve"> </w:t>
            </w:r>
            <w:r w:rsidR="004339EA">
              <w:t xml:space="preserve">time </w:t>
            </w:r>
            <w:r w:rsidR="000F4F9F">
              <w:t xml:space="preserve">with the description of: </w:t>
            </w:r>
            <w:r w:rsidR="004E6CFF">
              <w:t>“</w:t>
            </w:r>
            <w:r w:rsidRPr="000F4F9F" w:rsidR="000F4F9F">
              <w:t>draft response to Draft Res. E</w:t>
            </w:r>
            <w:r w:rsidR="004152B8">
              <w:noBreakHyphen/>
            </w:r>
            <w:r w:rsidRPr="000F4F9F" w:rsidR="000F4F9F">
              <w:t>5299 on DCTRMA and DCEOBA accounting for extended operations</w:t>
            </w:r>
            <w:r w:rsidR="00673C1F">
              <w:t>.</w:t>
            </w:r>
            <w:r w:rsidR="004E6CFF">
              <w:t>”</w:t>
            </w:r>
            <w:r w:rsidR="000F4F9F">
              <w:t xml:space="preserve"> However</w:t>
            </w:r>
            <w:r>
              <w:t xml:space="preserve">, A4NR does not claim </w:t>
            </w:r>
            <w:r w:rsidR="00F45948">
              <w:t>substantial contribution towards Resolution E</w:t>
            </w:r>
            <w:r w:rsidR="004152B8">
              <w:noBreakHyphen/>
            </w:r>
            <w:r w:rsidR="00F45948">
              <w:t xml:space="preserve">5299 in this request for intervenor compensation. </w:t>
            </w:r>
            <w:r w:rsidR="00B44FB5">
              <w:t xml:space="preserve">We </w:t>
            </w:r>
            <w:r w:rsidR="00AC587D">
              <w:t xml:space="preserve">therefore </w:t>
            </w:r>
            <w:r w:rsidR="00FF6AED">
              <w:t xml:space="preserve">reduce </w:t>
            </w:r>
            <w:r w:rsidR="00B44FB5">
              <w:t>these hours without prejudice</w:t>
            </w:r>
            <w:r w:rsidR="001D725F">
              <w:t xml:space="preserve">. </w:t>
            </w:r>
            <w:r w:rsidR="00AC587D">
              <w:t>A4NR</w:t>
            </w:r>
            <w:r w:rsidR="00933E15">
              <w:t xml:space="preserve"> may</w:t>
            </w:r>
            <w:r w:rsidR="00AC587D">
              <w:t xml:space="preserve"> file a request for compensation for their </w:t>
            </w:r>
            <w:r w:rsidR="00340784">
              <w:t>work towards Resolution E</w:t>
            </w:r>
            <w:r w:rsidR="004152B8">
              <w:noBreakHyphen/>
            </w:r>
            <w:r w:rsidR="00340784">
              <w:t>5299 if they are still eligible to do so</w:t>
            </w:r>
            <w:r w:rsidR="00AC587D">
              <w:t>.</w:t>
            </w:r>
          </w:p>
          <w:p w:rsidR="00C51BFD" w:rsidP="00755CBB" w:rsidRDefault="00A57078" w14:paraId="0BE9C910" w14:textId="2E19468A">
            <w:pPr>
              <w:tabs>
                <w:tab w:val="left" w:pos="1440"/>
              </w:tabs>
              <w:rPr>
                <w:color w:val="000000"/>
                <w:u w:val="single"/>
              </w:rPr>
            </w:pPr>
            <w:r>
              <w:rPr>
                <w:color w:val="000000"/>
                <w:u w:val="single"/>
              </w:rPr>
              <w:t xml:space="preserve">Tour of Diablo Canyon and attendance at </w:t>
            </w:r>
            <w:r w:rsidR="00BB1F92">
              <w:rPr>
                <w:color w:val="000000"/>
                <w:u w:val="single"/>
              </w:rPr>
              <w:t>NRC, IPRP,</w:t>
            </w:r>
            <w:r>
              <w:rPr>
                <w:color w:val="000000"/>
                <w:u w:val="single"/>
              </w:rPr>
              <w:t xml:space="preserve"> and</w:t>
            </w:r>
            <w:r w:rsidR="00BB1F92">
              <w:rPr>
                <w:color w:val="000000"/>
                <w:u w:val="single"/>
              </w:rPr>
              <w:t xml:space="preserve"> DCISC</w:t>
            </w:r>
            <w:r>
              <w:rPr>
                <w:color w:val="000000"/>
                <w:u w:val="single"/>
              </w:rPr>
              <w:t xml:space="preserve"> Meetings</w:t>
            </w:r>
            <w:r w:rsidR="00046496">
              <w:rPr>
                <w:color w:val="000000"/>
                <w:u w:val="single"/>
              </w:rPr>
              <w:t xml:space="preserve"> (</w:t>
            </w:r>
            <w:r w:rsidR="00E4694F">
              <w:rPr>
                <w:color w:val="000000"/>
                <w:u w:val="single"/>
              </w:rPr>
              <w:t>134.</w:t>
            </w:r>
            <w:r w:rsidR="00C405FF">
              <w:rPr>
                <w:color w:val="000000"/>
                <w:u w:val="single"/>
              </w:rPr>
              <w:t>83</w:t>
            </w:r>
            <w:r w:rsidR="00046496">
              <w:rPr>
                <w:color w:val="000000"/>
                <w:u w:val="single"/>
              </w:rPr>
              <w:t xml:space="preserve"> hours</w:t>
            </w:r>
            <w:r w:rsidR="00821E0B">
              <w:rPr>
                <w:color w:val="000000"/>
                <w:u w:val="single"/>
              </w:rPr>
              <w:t xml:space="preserve"> </w:t>
            </w:r>
            <w:r w:rsidR="00046496">
              <w:rPr>
                <w:color w:val="000000"/>
                <w:u w:val="single"/>
              </w:rPr>
              <w:t xml:space="preserve">and </w:t>
            </w:r>
            <w:r w:rsidRPr="00046496" w:rsidR="00046496">
              <w:rPr>
                <w:color w:val="000000"/>
                <w:u w:val="single"/>
              </w:rPr>
              <w:t>$857.32</w:t>
            </w:r>
            <w:r w:rsidR="00046496">
              <w:rPr>
                <w:color w:val="000000"/>
                <w:u w:val="single"/>
              </w:rPr>
              <w:t xml:space="preserve"> in lodging </w:t>
            </w:r>
            <w:r w:rsidR="00100F8F">
              <w:rPr>
                <w:color w:val="000000"/>
                <w:u w:val="single"/>
              </w:rPr>
              <w:t>reduced</w:t>
            </w:r>
            <w:r w:rsidR="00046496">
              <w:rPr>
                <w:color w:val="000000"/>
                <w:u w:val="single"/>
              </w:rPr>
              <w:t>)</w:t>
            </w:r>
          </w:p>
          <w:p w:rsidR="002905F4" w:rsidP="004E6CFF" w:rsidRDefault="00160CA1" w14:paraId="36C30970" w14:textId="470D0541">
            <w:pPr>
              <w:tabs>
                <w:tab w:val="left" w:pos="1440"/>
              </w:tabs>
              <w:spacing w:after="240"/>
              <w:rPr>
                <w:color w:val="000000"/>
              </w:rPr>
            </w:pPr>
            <w:r>
              <w:rPr>
                <w:color w:val="000000"/>
              </w:rPr>
              <w:t xml:space="preserve">A4NR claimed </w:t>
            </w:r>
            <w:r w:rsidR="008A19A9">
              <w:rPr>
                <w:color w:val="000000"/>
              </w:rPr>
              <w:t>substantial contribution</w:t>
            </w:r>
            <w:r w:rsidR="00286D45">
              <w:rPr>
                <w:color w:val="000000"/>
              </w:rPr>
              <w:t>s</w:t>
            </w:r>
            <w:r w:rsidR="008A19A9">
              <w:rPr>
                <w:color w:val="000000"/>
              </w:rPr>
              <w:t xml:space="preserve"> to the decision</w:t>
            </w:r>
            <w:r w:rsidR="004152B8">
              <w:rPr>
                <w:color w:val="000000"/>
              </w:rPr>
              <w:noBreakHyphen/>
            </w:r>
            <w:r w:rsidR="008A19A9">
              <w:rPr>
                <w:color w:val="000000"/>
              </w:rPr>
              <w:t xml:space="preserve">making process for </w:t>
            </w:r>
            <w:r w:rsidR="002B14CF">
              <w:rPr>
                <w:color w:val="000000"/>
              </w:rPr>
              <w:t>134.83</w:t>
            </w:r>
            <w:r w:rsidR="00F328DE">
              <w:rPr>
                <w:color w:val="000000"/>
              </w:rPr>
              <w:t xml:space="preserve"> hours </w:t>
            </w:r>
            <w:r w:rsidR="00876B06">
              <w:rPr>
                <w:color w:val="000000"/>
              </w:rPr>
              <w:t>of</w:t>
            </w:r>
            <w:r w:rsidR="00F328DE">
              <w:rPr>
                <w:color w:val="000000"/>
              </w:rPr>
              <w:t xml:space="preserve"> attend</w:t>
            </w:r>
            <w:r w:rsidR="00876B06">
              <w:rPr>
                <w:color w:val="000000"/>
              </w:rPr>
              <w:t>ing</w:t>
            </w:r>
            <w:r w:rsidR="00C22175">
              <w:rPr>
                <w:color w:val="000000"/>
              </w:rPr>
              <w:t>,</w:t>
            </w:r>
            <w:r w:rsidR="00876B06">
              <w:rPr>
                <w:color w:val="000000"/>
              </w:rPr>
              <w:t xml:space="preserve"> and sometimes</w:t>
            </w:r>
            <w:r w:rsidR="00C405FF">
              <w:rPr>
                <w:color w:val="000000"/>
              </w:rPr>
              <w:t xml:space="preserve"> preparing for and</w:t>
            </w:r>
            <w:r w:rsidR="00876B06">
              <w:rPr>
                <w:color w:val="000000"/>
              </w:rPr>
              <w:t xml:space="preserve"> participating</w:t>
            </w:r>
            <w:r w:rsidR="002B14CF">
              <w:rPr>
                <w:color w:val="000000"/>
              </w:rPr>
              <w:t xml:space="preserve"> in</w:t>
            </w:r>
            <w:r w:rsidR="00C22175">
              <w:rPr>
                <w:color w:val="000000"/>
              </w:rPr>
              <w:t>,</w:t>
            </w:r>
            <w:r w:rsidR="008A19A9">
              <w:rPr>
                <w:color w:val="000000"/>
              </w:rPr>
              <w:t xml:space="preserve"> the following ev</w:t>
            </w:r>
            <w:r w:rsidR="00876B06">
              <w:rPr>
                <w:color w:val="000000"/>
              </w:rPr>
              <w:t>ents:</w:t>
            </w:r>
          </w:p>
          <w:p w:rsidR="006C4715" w:rsidP="004E6CFF" w:rsidRDefault="006C4715" w14:paraId="353833D9" w14:textId="6C200D66">
            <w:pPr>
              <w:pStyle w:val="ListBullet"/>
              <w:contextualSpacing w:val="0"/>
            </w:pPr>
            <w:r>
              <w:t>2/21</w:t>
            </w:r>
            <w:r w:rsidR="004152B8">
              <w:noBreakHyphen/>
            </w:r>
            <w:r>
              <w:t>22</w:t>
            </w:r>
            <w:r w:rsidR="00A25D59">
              <w:t>/24: DCISC meeting</w:t>
            </w:r>
          </w:p>
          <w:p w:rsidR="002905F4" w:rsidP="004E6CFF" w:rsidRDefault="002905F4" w14:paraId="4C145C55" w14:textId="1C2AEBDF">
            <w:pPr>
              <w:pStyle w:val="ListBullet"/>
              <w:contextualSpacing w:val="0"/>
            </w:pPr>
            <w:r>
              <w:t xml:space="preserve">5/22/24: </w:t>
            </w:r>
            <w:r w:rsidR="004E6CFF">
              <w:t>“</w:t>
            </w:r>
            <w:r>
              <w:t>webcast of NRC ASLB hearing on DCNPP license</w:t>
            </w:r>
            <w:r w:rsidR="004E6CFF">
              <w:t>”</w:t>
            </w:r>
          </w:p>
          <w:p w:rsidR="002905F4" w:rsidP="004E6CFF" w:rsidRDefault="002905F4" w14:paraId="0E02DFDE" w14:textId="24A72830">
            <w:pPr>
              <w:pStyle w:val="ListBullet"/>
              <w:contextualSpacing w:val="0"/>
            </w:pPr>
            <w:r>
              <w:t xml:space="preserve">5/30/24: </w:t>
            </w:r>
            <w:r w:rsidR="004E6CFF">
              <w:t>“</w:t>
            </w:r>
            <w:r>
              <w:t>DCNPP IPRP Seismic Review</w:t>
            </w:r>
            <w:r w:rsidR="004E6CFF">
              <w:t>”</w:t>
            </w:r>
          </w:p>
          <w:p w:rsidR="002905F4" w:rsidP="004E6CFF" w:rsidRDefault="002905F4" w14:paraId="619EA43E" w14:textId="66A64A5D">
            <w:pPr>
              <w:pStyle w:val="ListBullet"/>
              <w:contextualSpacing w:val="0"/>
            </w:pPr>
            <w:r>
              <w:lastRenderedPageBreak/>
              <w:t>6/20</w:t>
            </w:r>
            <w:r w:rsidR="004152B8">
              <w:noBreakHyphen/>
            </w:r>
            <w:r>
              <w:t>21/24: DCISC meeting</w:t>
            </w:r>
          </w:p>
          <w:p w:rsidR="00DA029C" w:rsidP="004E6CFF" w:rsidRDefault="00E3006B" w14:paraId="24861A1C" w14:textId="1E71E84C">
            <w:pPr>
              <w:pStyle w:val="ListBullet"/>
              <w:contextualSpacing w:val="0"/>
            </w:pPr>
            <w:r>
              <w:t>7/19/24: Tour of DCNPP</w:t>
            </w:r>
          </w:p>
          <w:p w:rsidR="00A70134" w:rsidP="004E6CFF" w:rsidRDefault="00DA029C" w14:paraId="005B0A32" w14:textId="029FB704">
            <w:pPr>
              <w:pStyle w:val="ListBullet"/>
              <w:spacing w:after="240"/>
              <w:contextualSpacing w:val="0"/>
            </w:pPr>
            <w:r>
              <w:t>10/9</w:t>
            </w:r>
            <w:r w:rsidR="004152B8">
              <w:noBreakHyphen/>
            </w:r>
            <w:r>
              <w:t>10/24: DCISC meeting</w:t>
            </w:r>
          </w:p>
          <w:p w:rsidR="002D00CE" w:rsidP="004E6CFF" w:rsidRDefault="00DA029C" w14:paraId="078EA2D2" w14:textId="30EF7BB4">
            <w:pPr>
              <w:tabs>
                <w:tab w:val="left" w:pos="1440"/>
              </w:tabs>
              <w:spacing w:after="240"/>
            </w:pPr>
            <w:r>
              <w:t xml:space="preserve">A4NR also claimed </w:t>
            </w:r>
            <w:r w:rsidR="00821E0B">
              <w:t xml:space="preserve">32.55 </w:t>
            </w:r>
            <w:r w:rsidR="00A2036B">
              <w:t xml:space="preserve">hours for </w:t>
            </w:r>
            <w:proofErr w:type="spellStart"/>
            <w:r w:rsidR="00DA0E71">
              <w:t>Geesman</w:t>
            </w:r>
            <w:proofErr w:type="spellEnd"/>
            <w:r w:rsidR="00286D45">
              <w:t xml:space="preserve"> </w:t>
            </w:r>
            <w:r w:rsidR="00A2036B">
              <w:t xml:space="preserve">driving to the June DCISC meeting </w:t>
            </w:r>
            <w:r w:rsidR="00DA0E71">
              <w:t>and</w:t>
            </w:r>
            <w:r w:rsidR="00286D45">
              <w:t xml:space="preserve"> the July tour of DCNPP</w:t>
            </w:r>
            <w:r w:rsidR="00B20C93">
              <w:t xml:space="preserve"> </w:t>
            </w:r>
            <w:r w:rsidR="00164AA0">
              <w:t>as well as</w:t>
            </w:r>
            <w:r w:rsidR="00B20C93">
              <w:t xml:space="preserve"> </w:t>
            </w:r>
            <w:r w:rsidRPr="00164AA0" w:rsidR="00164AA0">
              <w:t>$857.32</w:t>
            </w:r>
            <w:r w:rsidR="00164AA0">
              <w:t xml:space="preserve"> for lodging</w:t>
            </w:r>
            <w:r w:rsidR="00286D45">
              <w:t xml:space="preserve">. </w:t>
            </w:r>
            <w:r w:rsidR="004075B9">
              <w:t xml:space="preserve">However, nowhere in this claim does A4NR </w:t>
            </w:r>
            <w:r w:rsidR="00677396">
              <w:t xml:space="preserve">describe </w:t>
            </w:r>
            <w:r w:rsidR="004075B9">
              <w:t xml:space="preserve">how their attendance at these events </w:t>
            </w:r>
            <w:r w:rsidR="00677396">
              <w:t xml:space="preserve">were necessary or </w:t>
            </w:r>
            <w:r w:rsidR="004075B9">
              <w:t>substantially contributed to the decision</w:t>
            </w:r>
            <w:r w:rsidR="004152B8">
              <w:noBreakHyphen/>
            </w:r>
            <w:r w:rsidR="004075B9">
              <w:t xml:space="preserve">making process. </w:t>
            </w:r>
            <w:r w:rsidR="003356B4">
              <w:t xml:space="preserve">We therefore </w:t>
            </w:r>
            <w:r w:rsidR="00FF6AED">
              <w:t xml:space="preserve">reduce </w:t>
            </w:r>
            <w:r w:rsidR="003356B4">
              <w:t xml:space="preserve">all hours A4NR </w:t>
            </w:r>
            <w:r w:rsidR="002D00CE">
              <w:t>claimed for attend</w:t>
            </w:r>
            <w:r w:rsidR="001301C5">
              <w:t>ing</w:t>
            </w:r>
            <w:r w:rsidR="00CA6434">
              <w:t>, driving to and from, and lodging</w:t>
            </w:r>
            <w:r w:rsidR="002D00CE">
              <w:t xml:space="preserve"> at these events, which breaks down as follows:</w:t>
            </w:r>
          </w:p>
          <w:p w:rsidR="00B17563" w:rsidP="004E6CFF" w:rsidRDefault="00C62D0D" w14:paraId="4684C190" w14:textId="2722D187">
            <w:pPr>
              <w:tabs>
                <w:tab w:val="left" w:pos="1440"/>
              </w:tabs>
            </w:pPr>
            <w:r w:rsidRPr="00B17563">
              <w:rPr>
                <w:bCs/>
                <w:i/>
                <w:iCs/>
              </w:rPr>
              <w:t xml:space="preserve">Attorney, Expert, </w:t>
            </w:r>
            <w:r>
              <w:rPr>
                <w:bCs/>
                <w:i/>
                <w:iCs/>
              </w:rPr>
              <w:t>a</w:t>
            </w:r>
            <w:r w:rsidRPr="00B17563">
              <w:rPr>
                <w:bCs/>
                <w:i/>
                <w:iCs/>
              </w:rPr>
              <w:t>nd Advocate Fees</w:t>
            </w:r>
            <w:r>
              <w:rPr>
                <w:bCs/>
                <w:i/>
                <w:iCs/>
              </w:rPr>
              <w:t>:</w:t>
            </w:r>
          </w:p>
          <w:p w:rsidR="00B20C93" w:rsidP="004E6CFF" w:rsidRDefault="002D00CE" w14:paraId="5005D6AE" w14:textId="68DCE240">
            <w:pPr>
              <w:pStyle w:val="ListBullet"/>
              <w:contextualSpacing w:val="0"/>
            </w:pPr>
            <w:proofErr w:type="spellStart"/>
            <w:r>
              <w:t>Geesman</w:t>
            </w:r>
            <w:proofErr w:type="spellEnd"/>
            <w:r>
              <w:t xml:space="preserve">: </w:t>
            </w:r>
            <w:r w:rsidR="0034541C">
              <w:t>47.63</w:t>
            </w:r>
            <w:r w:rsidR="00E91A9B">
              <w:t xml:space="preserve"> hours</w:t>
            </w:r>
          </w:p>
          <w:p w:rsidR="00B20C93" w:rsidP="004E6CFF" w:rsidRDefault="00B20C93" w14:paraId="6460DC21" w14:textId="7CE0974D">
            <w:pPr>
              <w:pStyle w:val="ListBullet"/>
              <w:spacing w:after="240"/>
              <w:contextualSpacing w:val="0"/>
            </w:pPr>
            <w:r>
              <w:t xml:space="preserve">Weisman: </w:t>
            </w:r>
            <w:r w:rsidR="00821E0B">
              <w:t>54.65</w:t>
            </w:r>
            <w:r>
              <w:t xml:space="preserve"> hours</w:t>
            </w:r>
          </w:p>
          <w:p w:rsidR="00880DF2" w:rsidP="004E6CFF" w:rsidRDefault="00880DF2" w14:paraId="1F7CC938" w14:textId="3C969B0F">
            <w:pPr>
              <w:pStyle w:val="ListBullet"/>
              <w:numPr>
                <w:ilvl w:val="0"/>
                <w:numId w:val="0"/>
              </w:numPr>
              <w:ind w:left="360" w:hanging="360"/>
              <w:contextualSpacing w:val="0"/>
              <w:rPr>
                <w:i/>
                <w:iCs/>
              </w:rPr>
            </w:pPr>
            <w:r>
              <w:rPr>
                <w:i/>
                <w:iCs/>
              </w:rPr>
              <w:t>Other Fees:</w:t>
            </w:r>
          </w:p>
          <w:p w:rsidR="00880DF2" w:rsidP="004E6CFF" w:rsidRDefault="00880DF2" w14:paraId="27256CB4" w14:textId="4F194DF2">
            <w:pPr>
              <w:pStyle w:val="ListBullet"/>
              <w:spacing w:after="240"/>
              <w:contextualSpacing w:val="0"/>
            </w:pPr>
            <w:proofErr w:type="spellStart"/>
            <w:r>
              <w:t>Geesman</w:t>
            </w:r>
            <w:proofErr w:type="spellEnd"/>
            <w:r>
              <w:t xml:space="preserve">: </w:t>
            </w:r>
            <w:r w:rsidR="00E04EE7">
              <w:t>32.55</w:t>
            </w:r>
            <w:r>
              <w:t xml:space="preserve"> hours driving</w:t>
            </w:r>
          </w:p>
          <w:p w:rsidRPr="0057422F" w:rsidR="00880DF2" w:rsidP="004E6CFF" w:rsidRDefault="00880DF2" w14:paraId="486D8089" w14:textId="149C359C">
            <w:pPr>
              <w:pStyle w:val="ListBullet"/>
              <w:numPr>
                <w:ilvl w:val="0"/>
                <w:numId w:val="0"/>
              </w:numPr>
              <w:ind w:left="360" w:hanging="360"/>
              <w:contextualSpacing w:val="0"/>
              <w:rPr>
                <w:i/>
                <w:iCs/>
              </w:rPr>
            </w:pPr>
            <w:r>
              <w:rPr>
                <w:i/>
                <w:iCs/>
              </w:rPr>
              <w:t>Costs:</w:t>
            </w:r>
          </w:p>
          <w:p w:rsidRPr="0070120F" w:rsidR="00DA029C" w:rsidP="004E6CFF" w:rsidRDefault="00164AA0" w14:paraId="464D5EA4" w14:textId="31C34332">
            <w:pPr>
              <w:pStyle w:val="ListBullet"/>
              <w:spacing w:after="240"/>
              <w:contextualSpacing w:val="0"/>
            </w:pPr>
            <w:r w:rsidRPr="00164AA0">
              <w:t>$857.32</w:t>
            </w:r>
            <w:r>
              <w:t xml:space="preserve"> for lodging</w:t>
            </w:r>
          </w:p>
          <w:p w:rsidR="00284774" w:rsidP="00584205" w:rsidRDefault="002502D4" w14:paraId="51FD495D" w14:textId="123EE383">
            <w:pPr>
              <w:keepNext/>
              <w:tabs>
                <w:tab w:val="left" w:pos="1440"/>
              </w:tabs>
              <w:rPr>
                <w:color w:val="000000"/>
                <w:u w:val="single"/>
              </w:rPr>
            </w:pPr>
            <w:r>
              <w:rPr>
                <w:color w:val="000000"/>
                <w:u w:val="single"/>
              </w:rPr>
              <w:t>Documents with No Claimed Contributions in Part II.A</w:t>
            </w:r>
            <w:r w:rsidR="008B7BAA">
              <w:rPr>
                <w:color w:val="000000"/>
                <w:u w:val="single"/>
              </w:rPr>
              <w:t xml:space="preserve"> (28.1</w:t>
            </w:r>
            <w:r w:rsidR="00991DF8">
              <w:rPr>
                <w:color w:val="000000"/>
                <w:u w:val="single"/>
              </w:rPr>
              <w:t>3</w:t>
            </w:r>
            <w:r w:rsidR="008B7BAA">
              <w:rPr>
                <w:color w:val="000000"/>
                <w:u w:val="single"/>
              </w:rPr>
              <w:t xml:space="preserve"> hours </w:t>
            </w:r>
            <w:r w:rsidR="00100F8F">
              <w:rPr>
                <w:color w:val="000000"/>
                <w:u w:val="single"/>
              </w:rPr>
              <w:t>reduced</w:t>
            </w:r>
            <w:r w:rsidR="008B7BAA">
              <w:rPr>
                <w:color w:val="000000"/>
                <w:u w:val="single"/>
              </w:rPr>
              <w:t>)</w:t>
            </w:r>
          </w:p>
          <w:p w:rsidR="008B7BAA" w:rsidP="004E6CFF" w:rsidRDefault="00E725BC" w14:paraId="6AC1ED5B" w14:textId="20D1FAAF">
            <w:pPr>
              <w:tabs>
                <w:tab w:val="left" w:pos="1440"/>
              </w:tabs>
              <w:spacing w:after="240"/>
              <w:rPr>
                <w:color w:val="000000"/>
              </w:rPr>
            </w:pPr>
            <w:r>
              <w:rPr>
                <w:color w:val="000000"/>
              </w:rPr>
              <w:t>In Part II.A, A4NR did not provide any claimed contributions for their work on their Opening Comments on</w:t>
            </w:r>
            <w:r w:rsidR="00E72A8B">
              <w:rPr>
                <w:color w:val="000000"/>
              </w:rPr>
              <w:t xml:space="preserve"> PG&amp;E</w:t>
            </w:r>
            <w:r w:rsidR="003B0D72">
              <w:rPr>
                <w:color w:val="000000"/>
              </w:rPr>
              <w:t>’s</w:t>
            </w:r>
            <w:r>
              <w:rPr>
                <w:color w:val="000000"/>
              </w:rPr>
              <w:t xml:space="preserve"> </w:t>
            </w:r>
            <w:r w:rsidR="000C0970">
              <w:rPr>
                <w:color w:val="000000"/>
              </w:rPr>
              <w:t>Update to Prepared Testimony (Fall Update), Reply Comments on PG&amp;E</w:t>
            </w:r>
            <w:r w:rsidR="003B0D72">
              <w:rPr>
                <w:color w:val="000000"/>
              </w:rPr>
              <w:t>’s</w:t>
            </w:r>
            <w:r w:rsidR="000C0970">
              <w:rPr>
                <w:color w:val="000000"/>
              </w:rPr>
              <w:t xml:space="preserve"> Fall Update, and Reply Comments to the Proposed Decision (PD). </w:t>
            </w:r>
            <w:r w:rsidR="00A255AE">
              <w:rPr>
                <w:color w:val="000000"/>
              </w:rPr>
              <w:t>S</w:t>
            </w:r>
            <w:r w:rsidR="000C0970">
              <w:rPr>
                <w:color w:val="000000"/>
              </w:rPr>
              <w:t xml:space="preserve">ince A4NR </w:t>
            </w:r>
            <w:r w:rsidR="00A255AE">
              <w:rPr>
                <w:color w:val="000000"/>
              </w:rPr>
              <w:t>did</w:t>
            </w:r>
            <w:r w:rsidR="000C0970">
              <w:rPr>
                <w:color w:val="000000"/>
              </w:rPr>
              <w:t xml:space="preserve"> not claim any substantial contributions for their work on these three documents</w:t>
            </w:r>
            <w:r w:rsidR="003B0D72">
              <w:rPr>
                <w:color w:val="000000"/>
              </w:rPr>
              <w:t xml:space="preserve"> or identify how these efforts</w:t>
            </w:r>
            <w:r w:rsidR="00237578">
              <w:rPr>
                <w:color w:val="000000"/>
              </w:rPr>
              <w:t xml:space="preserve"> contributed to the decision making process</w:t>
            </w:r>
            <w:r w:rsidR="000C0970">
              <w:rPr>
                <w:color w:val="000000"/>
              </w:rPr>
              <w:t xml:space="preserve">, we </w:t>
            </w:r>
            <w:r w:rsidR="00237578">
              <w:rPr>
                <w:color w:val="000000"/>
              </w:rPr>
              <w:t xml:space="preserve">reduce </w:t>
            </w:r>
            <w:r w:rsidR="000C0970">
              <w:rPr>
                <w:color w:val="000000"/>
              </w:rPr>
              <w:t xml:space="preserve">all hours A4NR </w:t>
            </w:r>
            <w:r w:rsidR="003430E5">
              <w:rPr>
                <w:color w:val="000000"/>
              </w:rPr>
              <w:t>requested</w:t>
            </w:r>
            <w:r w:rsidR="000C0970">
              <w:rPr>
                <w:color w:val="000000"/>
              </w:rPr>
              <w:t xml:space="preserve"> for their work on them, which breaks down as follows:</w:t>
            </w:r>
          </w:p>
          <w:p w:rsidR="000C0970" w:rsidP="004E6CFF" w:rsidRDefault="000C0970" w14:paraId="05A52584" w14:textId="541D5B2D">
            <w:pPr>
              <w:tabs>
                <w:tab w:val="left" w:pos="1440"/>
              </w:tabs>
              <w:rPr>
                <w:i/>
                <w:iCs/>
                <w:color w:val="000000"/>
              </w:rPr>
            </w:pPr>
            <w:r>
              <w:rPr>
                <w:i/>
                <w:iCs/>
                <w:color w:val="000000"/>
              </w:rPr>
              <w:t xml:space="preserve">Opening Comments on </w:t>
            </w:r>
            <w:r w:rsidR="005E13F6">
              <w:rPr>
                <w:i/>
                <w:iCs/>
                <w:color w:val="000000"/>
              </w:rPr>
              <w:t>PG&amp;E F</w:t>
            </w:r>
            <w:r w:rsidR="00AE537D">
              <w:rPr>
                <w:i/>
                <w:iCs/>
                <w:color w:val="000000"/>
              </w:rPr>
              <w:t>a</w:t>
            </w:r>
            <w:r w:rsidR="005E13F6">
              <w:rPr>
                <w:i/>
                <w:iCs/>
                <w:color w:val="000000"/>
              </w:rPr>
              <w:t>ll Update (12.46 hours)</w:t>
            </w:r>
          </w:p>
          <w:p w:rsidR="005E13F6" w:rsidP="004E6CFF" w:rsidRDefault="00AE537D" w14:paraId="6BF7379E" w14:textId="77777777">
            <w:pPr>
              <w:pStyle w:val="ListBullet"/>
              <w:spacing w:after="240"/>
              <w:contextualSpacing w:val="0"/>
            </w:pPr>
            <w:proofErr w:type="spellStart"/>
            <w:r>
              <w:t>Geesman</w:t>
            </w:r>
            <w:proofErr w:type="spellEnd"/>
            <w:r>
              <w:t>: 12.46 hours</w:t>
            </w:r>
          </w:p>
          <w:p w:rsidR="00AE537D" w:rsidP="004E6CFF" w:rsidRDefault="00AE537D" w14:paraId="235D2FD8" w14:textId="37A361F0">
            <w:pPr>
              <w:pStyle w:val="ListBullet"/>
              <w:keepNext/>
              <w:numPr>
                <w:ilvl w:val="0"/>
                <w:numId w:val="0"/>
              </w:numPr>
              <w:ind w:left="360" w:hanging="360"/>
              <w:contextualSpacing w:val="0"/>
              <w:rPr>
                <w:i/>
                <w:iCs/>
              </w:rPr>
            </w:pPr>
            <w:r>
              <w:rPr>
                <w:i/>
                <w:iCs/>
              </w:rPr>
              <w:t>Reply Comments on PG&amp;</w:t>
            </w:r>
            <w:r w:rsidR="001F6001">
              <w:rPr>
                <w:i/>
                <w:iCs/>
              </w:rPr>
              <w:t>E</w:t>
            </w:r>
            <w:r>
              <w:rPr>
                <w:i/>
                <w:iCs/>
              </w:rPr>
              <w:t xml:space="preserve"> Fall Update (2.2</w:t>
            </w:r>
            <w:r w:rsidR="00991DF8">
              <w:rPr>
                <w:i/>
                <w:iCs/>
              </w:rPr>
              <w:t>8</w:t>
            </w:r>
            <w:r w:rsidR="001F6001">
              <w:rPr>
                <w:i/>
                <w:iCs/>
              </w:rPr>
              <w:t xml:space="preserve"> hours)</w:t>
            </w:r>
          </w:p>
          <w:p w:rsidR="001F6001" w:rsidP="004E6CFF" w:rsidRDefault="001F6001" w14:paraId="112DDDC7" w14:textId="11F11167">
            <w:pPr>
              <w:pStyle w:val="ListBullet"/>
              <w:spacing w:after="240"/>
              <w:contextualSpacing w:val="0"/>
            </w:pPr>
            <w:proofErr w:type="spellStart"/>
            <w:r>
              <w:t>Geesman</w:t>
            </w:r>
            <w:proofErr w:type="spellEnd"/>
            <w:r>
              <w:t>: 2.</w:t>
            </w:r>
            <w:r w:rsidR="009A47F1">
              <w:t xml:space="preserve">28 </w:t>
            </w:r>
            <w:r>
              <w:t>hours</w:t>
            </w:r>
          </w:p>
          <w:p w:rsidR="001F6001" w:rsidP="004E6CFF" w:rsidRDefault="001F6001" w14:paraId="5884F97D" w14:textId="77777777">
            <w:pPr>
              <w:pStyle w:val="ListBullet"/>
              <w:numPr>
                <w:ilvl w:val="0"/>
                <w:numId w:val="0"/>
              </w:numPr>
              <w:ind w:left="360" w:hanging="360"/>
              <w:contextualSpacing w:val="0"/>
              <w:rPr>
                <w:i/>
                <w:iCs/>
              </w:rPr>
            </w:pPr>
            <w:r>
              <w:rPr>
                <w:i/>
                <w:iCs/>
              </w:rPr>
              <w:t xml:space="preserve">Reply Comments on PD </w:t>
            </w:r>
            <w:r w:rsidR="000F6AAF">
              <w:rPr>
                <w:i/>
                <w:iCs/>
              </w:rPr>
              <w:t>(13.39 hours)</w:t>
            </w:r>
          </w:p>
          <w:p w:rsidR="000F6AAF" w:rsidP="004E6CFF" w:rsidRDefault="000F6AAF" w14:paraId="500E5490" w14:textId="77777777">
            <w:pPr>
              <w:pStyle w:val="ListBullet"/>
              <w:contextualSpacing w:val="0"/>
            </w:pPr>
            <w:proofErr w:type="spellStart"/>
            <w:r>
              <w:t>Geesman</w:t>
            </w:r>
            <w:proofErr w:type="spellEnd"/>
            <w:r>
              <w:t>: 12.42 hours</w:t>
            </w:r>
          </w:p>
          <w:p w:rsidRPr="009839A8" w:rsidR="006E34F3" w:rsidP="004E6CFF" w:rsidRDefault="000F6AAF" w14:paraId="0A0E9E18" w14:textId="6982D178">
            <w:pPr>
              <w:pStyle w:val="ListBullet"/>
              <w:spacing w:after="240"/>
              <w:contextualSpacing w:val="0"/>
            </w:pPr>
            <w:r>
              <w:t>Weisman: 0.97 hours</w:t>
            </w:r>
          </w:p>
        </w:tc>
      </w:tr>
      <w:tr w:rsidRPr="005577F7" w:rsidR="006A74CC" w:rsidTr="00772CCB" w14:paraId="52D97756" w14:textId="77777777">
        <w:tc>
          <w:tcPr>
            <w:tcW w:w="2335" w:type="dxa"/>
          </w:tcPr>
          <w:p w:rsidR="00772CCB" w:rsidP="008B5CBE" w:rsidRDefault="006A74CC" w14:paraId="4FDA3891" w14:textId="0889D594">
            <w:pPr>
              <w:tabs>
                <w:tab w:val="left" w:pos="1440"/>
              </w:tabs>
              <w:rPr>
                <w:color w:val="000000"/>
              </w:rPr>
            </w:pPr>
            <w:r>
              <w:rPr>
                <w:color w:val="000000"/>
              </w:rPr>
              <w:lastRenderedPageBreak/>
              <w:t>[</w:t>
            </w:r>
            <w:r w:rsidR="00FF3491">
              <w:rPr>
                <w:color w:val="000000"/>
              </w:rPr>
              <w:t>4</w:t>
            </w:r>
            <w:r>
              <w:rPr>
                <w:color w:val="000000"/>
              </w:rPr>
              <w:t>] Excessiveness</w:t>
            </w:r>
            <w:r w:rsidR="00B42BE0">
              <w:rPr>
                <w:color w:val="000000"/>
              </w:rPr>
              <w:t xml:space="preserve">, </w:t>
            </w:r>
          </w:p>
          <w:p w:rsidR="00772CCB" w:rsidP="00755CBB" w:rsidRDefault="00B42BE0" w14:paraId="2EC390B6" w14:textId="66733564">
            <w:pPr>
              <w:tabs>
                <w:tab w:val="left" w:pos="1440"/>
              </w:tabs>
              <w:rPr>
                <w:color w:val="000000"/>
              </w:rPr>
            </w:pPr>
            <w:r>
              <w:rPr>
                <w:color w:val="000000"/>
              </w:rPr>
              <w:t>Duplication</w:t>
            </w:r>
            <w:r w:rsidR="008B5CBE">
              <w:rPr>
                <w:color w:val="000000"/>
              </w:rPr>
              <w:t xml:space="preserve"> of Efforts</w:t>
            </w:r>
            <w:r>
              <w:rPr>
                <w:color w:val="000000"/>
              </w:rPr>
              <w:t xml:space="preserve">, &amp; </w:t>
            </w:r>
          </w:p>
          <w:p w:rsidR="006A74CC" w:rsidP="00436234" w:rsidRDefault="00B42BE0" w14:paraId="5481AD67" w14:textId="28595B96">
            <w:pPr>
              <w:tabs>
                <w:tab w:val="left" w:pos="1440"/>
              </w:tabs>
              <w:rPr>
                <w:color w:val="000000"/>
              </w:rPr>
            </w:pPr>
            <w:r>
              <w:rPr>
                <w:color w:val="000000"/>
              </w:rPr>
              <w:t>Inefficient Hours</w:t>
            </w:r>
          </w:p>
        </w:tc>
        <w:tc>
          <w:tcPr>
            <w:tcW w:w="7025" w:type="dxa"/>
          </w:tcPr>
          <w:p w:rsidRPr="00ED4153" w:rsidR="00ED4153" w:rsidP="004E6CFF" w:rsidRDefault="00ED4153" w14:paraId="78AC85EC" w14:textId="66C7A3C5">
            <w:pPr>
              <w:tabs>
                <w:tab w:val="left" w:pos="1440"/>
              </w:tabs>
              <w:spacing w:after="240"/>
              <w:rPr>
                <w:color w:val="000000"/>
              </w:rPr>
            </w:pPr>
            <w:r>
              <w:rPr>
                <w:color w:val="000000"/>
              </w:rPr>
              <w:t xml:space="preserve">We </w:t>
            </w:r>
            <w:r w:rsidR="00237578">
              <w:rPr>
                <w:color w:val="000000"/>
              </w:rPr>
              <w:t xml:space="preserve">reduce </w:t>
            </w:r>
            <w:r w:rsidR="00B15CAD">
              <w:rPr>
                <w:color w:val="000000"/>
              </w:rPr>
              <w:t>281.76</w:t>
            </w:r>
            <w:r>
              <w:rPr>
                <w:color w:val="000000"/>
              </w:rPr>
              <w:t xml:space="preserve"> hours from A4NR</w:t>
            </w:r>
            <w:r w:rsidR="004E6CFF">
              <w:rPr>
                <w:color w:val="000000"/>
              </w:rPr>
              <w:t>’</w:t>
            </w:r>
            <w:r>
              <w:rPr>
                <w:color w:val="000000"/>
              </w:rPr>
              <w:t>s claimed work as described below for being excessive.</w:t>
            </w:r>
          </w:p>
          <w:p w:rsidR="006A74CC" w:rsidP="00755CBB" w:rsidRDefault="00781EC7" w14:paraId="53E308FF" w14:textId="50A53EE3">
            <w:pPr>
              <w:keepNext/>
              <w:tabs>
                <w:tab w:val="left" w:pos="1440"/>
              </w:tabs>
              <w:rPr>
                <w:color w:val="000000"/>
                <w:u w:val="single"/>
              </w:rPr>
            </w:pPr>
            <w:r>
              <w:rPr>
                <w:color w:val="000000"/>
                <w:u w:val="single"/>
              </w:rPr>
              <w:t>Internal Duplication</w:t>
            </w:r>
            <w:r w:rsidR="009839A8">
              <w:rPr>
                <w:color w:val="000000"/>
                <w:u w:val="single"/>
              </w:rPr>
              <w:t xml:space="preserve"> (</w:t>
            </w:r>
            <w:r w:rsidRPr="00462D9B" w:rsidR="008E69F1">
              <w:rPr>
                <w:color w:val="000000"/>
                <w:u w:val="single"/>
              </w:rPr>
              <w:t>2</w:t>
            </w:r>
            <w:r w:rsidR="008143D6">
              <w:rPr>
                <w:color w:val="000000"/>
                <w:u w:val="single"/>
              </w:rPr>
              <w:t>6</w:t>
            </w:r>
            <w:r w:rsidRPr="00462D9B" w:rsidR="008E69F1">
              <w:rPr>
                <w:color w:val="000000"/>
                <w:u w:val="single"/>
              </w:rPr>
              <w:t>.</w:t>
            </w:r>
            <w:r w:rsidR="00CF321E">
              <w:rPr>
                <w:color w:val="000000"/>
                <w:u w:val="single"/>
              </w:rPr>
              <w:t>76</w:t>
            </w:r>
            <w:r w:rsidR="009839A8">
              <w:rPr>
                <w:color w:val="000000"/>
                <w:u w:val="single"/>
              </w:rPr>
              <w:t xml:space="preserve"> hours </w:t>
            </w:r>
            <w:r w:rsidR="00630F9B">
              <w:rPr>
                <w:color w:val="000000"/>
                <w:u w:val="single"/>
              </w:rPr>
              <w:t>reduced</w:t>
            </w:r>
            <w:r w:rsidR="009839A8">
              <w:rPr>
                <w:color w:val="000000"/>
                <w:u w:val="single"/>
              </w:rPr>
              <w:t>)</w:t>
            </w:r>
          </w:p>
          <w:p w:rsidRPr="00435956" w:rsidR="00435956" w:rsidP="004E6CFF" w:rsidRDefault="00435956" w14:paraId="0D827E9D" w14:textId="03D25884">
            <w:pPr>
              <w:tabs>
                <w:tab w:val="left" w:pos="1440"/>
              </w:tabs>
              <w:spacing w:after="240"/>
              <w:rPr>
                <w:color w:val="000000"/>
              </w:rPr>
            </w:pPr>
            <w:r w:rsidRPr="00435956">
              <w:rPr>
                <w:color w:val="000000"/>
              </w:rPr>
              <w:t>The Commission compensates intervenors for reasonable and efficient participation that contributes to the development of the record and aids in decision</w:t>
            </w:r>
            <w:r w:rsidR="004152B8">
              <w:rPr>
                <w:color w:val="000000"/>
              </w:rPr>
              <w:noBreakHyphen/>
            </w:r>
            <w:r w:rsidRPr="00435956">
              <w:rPr>
                <w:color w:val="000000"/>
              </w:rPr>
              <w:t xml:space="preserve">making. However, we find that </w:t>
            </w:r>
            <w:r>
              <w:rPr>
                <w:color w:val="000000"/>
              </w:rPr>
              <w:t>A4NR</w:t>
            </w:r>
            <w:r w:rsidR="004E6CFF">
              <w:rPr>
                <w:color w:val="000000"/>
              </w:rPr>
              <w:t>’</w:t>
            </w:r>
            <w:r w:rsidRPr="00435956">
              <w:rPr>
                <w:color w:val="000000"/>
              </w:rPr>
              <w:t>s claimed hours reflect a significant duplication of effort. Specifically, multiple representatives—whether attorneys or experts—worked on the same issues, attended the same meetings, hearings, or workshops, and participated in activities where only one representative would have been sufficient, given the limited scope of the issues involved.</w:t>
            </w:r>
          </w:p>
          <w:p w:rsidR="001859E1" w:rsidP="004E6CFF" w:rsidRDefault="00435956" w14:paraId="3E3E01DE" w14:textId="164391A6">
            <w:pPr>
              <w:tabs>
                <w:tab w:val="left" w:pos="1440"/>
              </w:tabs>
              <w:spacing w:after="240"/>
              <w:rPr>
                <w:color w:val="000000"/>
              </w:rPr>
            </w:pPr>
            <w:r w:rsidRPr="00435956">
              <w:rPr>
                <w:color w:val="000000"/>
              </w:rPr>
              <w:t>Accordingly, we find that the involvement of multiple representatives in these instances was not justified and resulted in excessive hours</w:t>
            </w:r>
            <w:r w:rsidR="004A18A6">
              <w:rPr>
                <w:color w:val="000000"/>
              </w:rPr>
              <w:t xml:space="preserve"> </w:t>
            </w:r>
            <w:r w:rsidRPr="00435956" w:rsidR="004A18A6">
              <w:rPr>
                <w:color w:val="000000"/>
              </w:rPr>
              <w:t>that did not provide added value to the proceeding</w:t>
            </w:r>
            <w:r w:rsidRPr="00435956">
              <w:rPr>
                <w:color w:val="000000"/>
              </w:rPr>
              <w:t xml:space="preserve">. </w:t>
            </w:r>
            <w:r w:rsidR="004A18A6">
              <w:rPr>
                <w:color w:val="000000"/>
              </w:rPr>
              <w:t>W</w:t>
            </w:r>
            <w:r w:rsidRPr="00435956">
              <w:rPr>
                <w:color w:val="000000"/>
              </w:rPr>
              <w:t>e reduce</w:t>
            </w:r>
            <w:r w:rsidR="001A00D1">
              <w:rPr>
                <w:color w:val="000000"/>
              </w:rPr>
              <w:t xml:space="preserve"> Weisman and </w:t>
            </w:r>
            <w:proofErr w:type="spellStart"/>
            <w:r w:rsidR="001A00D1">
              <w:rPr>
                <w:color w:val="000000"/>
              </w:rPr>
              <w:t>Geesman’s</w:t>
            </w:r>
            <w:proofErr w:type="spellEnd"/>
            <w:r w:rsidR="001A00D1">
              <w:rPr>
                <w:color w:val="000000"/>
              </w:rPr>
              <w:t xml:space="preserve"> work by 50%, or</w:t>
            </w:r>
            <w:r w:rsidRPr="00435956">
              <w:rPr>
                <w:color w:val="000000"/>
              </w:rPr>
              <w:t xml:space="preserve"> </w:t>
            </w:r>
            <w:r w:rsidRPr="00621709" w:rsidR="00BB2126">
              <w:rPr>
                <w:color w:val="000000"/>
              </w:rPr>
              <w:t>2</w:t>
            </w:r>
            <w:r w:rsidRPr="00584205" w:rsidR="00B77E92">
              <w:rPr>
                <w:color w:val="000000"/>
              </w:rPr>
              <w:t>6</w:t>
            </w:r>
            <w:r w:rsidRPr="00621709" w:rsidR="00BB2126">
              <w:rPr>
                <w:color w:val="000000"/>
              </w:rPr>
              <w:t>.</w:t>
            </w:r>
            <w:r w:rsidR="00CF321E">
              <w:rPr>
                <w:color w:val="000000"/>
              </w:rPr>
              <w:t>76</w:t>
            </w:r>
            <w:r w:rsidRPr="00435956">
              <w:rPr>
                <w:color w:val="000000"/>
              </w:rPr>
              <w:t xml:space="preserve"> hours</w:t>
            </w:r>
            <w:r w:rsidR="001A00D1">
              <w:rPr>
                <w:color w:val="000000"/>
              </w:rPr>
              <w:t>, for each call, email, or event that they both participated at</w:t>
            </w:r>
            <w:r w:rsidRPr="00435956">
              <w:rPr>
                <w:color w:val="000000"/>
              </w:rPr>
              <w:t xml:space="preserve"> to ensure that only reasonable and non</w:t>
            </w:r>
            <w:r w:rsidR="004152B8">
              <w:rPr>
                <w:color w:val="000000"/>
              </w:rPr>
              <w:noBreakHyphen/>
            </w:r>
            <w:r w:rsidRPr="00435956">
              <w:rPr>
                <w:color w:val="000000"/>
              </w:rPr>
              <w:t>duplicative efforts are compensated</w:t>
            </w:r>
            <w:r w:rsidR="00A36153">
              <w:rPr>
                <w:color w:val="000000"/>
              </w:rPr>
              <w:t>, which breaks down as follows</w:t>
            </w:r>
            <w:r w:rsidR="001A00D1">
              <w:rPr>
                <w:color w:val="000000"/>
              </w:rPr>
              <w:t>:</w:t>
            </w:r>
          </w:p>
          <w:p w:rsidR="001A00D1" w:rsidP="001A00D1" w:rsidRDefault="00F55835" w14:paraId="068D212C" w14:textId="7F038CA4">
            <w:pPr>
              <w:pStyle w:val="ListBullet"/>
            </w:pPr>
            <w:proofErr w:type="spellStart"/>
            <w:r>
              <w:t>Geesman</w:t>
            </w:r>
            <w:proofErr w:type="spellEnd"/>
            <w:r>
              <w:t>: 13.</w:t>
            </w:r>
            <w:r w:rsidR="00E9073F">
              <w:t>88</w:t>
            </w:r>
            <w:r>
              <w:t xml:space="preserve"> hours reduced</w:t>
            </w:r>
          </w:p>
          <w:p w:rsidR="00F55835" w:rsidP="009775B7" w:rsidRDefault="00F55835" w14:paraId="0252259A" w14:textId="2125D4F1">
            <w:pPr>
              <w:pStyle w:val="ListBullet"/>
              <w:spacing w:after="240"/>
              <w:contextualSpacing w:val="0"/>
            </w:pPr>
            <w:r>
              <w:t xml:space="preserve">Weisman: </w:t>
            </w:r>
            <w:r w:rsidR="00F84B3A">
              <w:t>12.</w:t>
            </w:r>
            <w:r w:rsidR="008E4AFB">
              <w:t>88</w:t>
            </w:r>
            <w:r w:rsidR="00F84B3A">
              <w:t xml:space="preserve"> hours reduced</w:t>
            </w:r>
          </w:p>
          <w:p w:rsidR="00B52FD6" w:rsidP="00755CBB" w:rsidRDefault="00B52FD6" w14:paraId="654E9629" w14:textId="347B1B34">
            <w:pPr>
              <w:tabs>
                <w:tab w:val="left" w:pos="1440"/>
              </w:tabs>
              <w:rPr>
                <w:color w:val="000000"/>
              </w:rPr>
            </w:pPr>
            <w:r>
              <w:rPr>
                <w:i/>
                <w:iCs/>
                <w:color w:val="000000"/>
              </w:rPr>
              <w:t>Calls</w:t>
            </w:r>
          </w:p>
          <w:p w:rsidR="008D1E09" w:rsidP="004E6CFF" w:rsidRDefault="00F37F50" w14:paraId="6814714A" w14:textId="799F3091">
            <w:pPr>
              <w:tabs>
                <w:tab w:val="left" w:pos="1440"/>
              </w:tabs>
              <w:spacing w:after="240"/>
              <w:rPr>
                <w:color w:val="000000"/>
              </w:rPr>
            </w:pPr>
            <w:r>
              <w:rPr>
                <w:color w:val="000000"/>
              </w:rPr>
              <w:t>A4NR</w:t>
            </w:r>
            <w:r w:rsidR="008B25BC">
              <w:rPr>
                <w:color w:val="000000"/>
              </w:rPr>
              <w:t xml:space="preserve"> claimed </w:t>
            </w:r>
            <w:r w:rsidR="00402D51">
              <w:rPr>
                <w:color w:val="000000"/>
              </w:rPr>
              <w:t xml:space="preserve">16.05 hours </w:t>
            </w:r>
            <w:r w:rsidR="00AD37D6">
              <w:rPr>
                <w:color w:val="000000"/>
              </w:rPr>
              <w:t xml:space="preserve">across </w:t>
            </w:r>
            <w:r w:rsidR="00402D51">
              <w:rPr>
                <w:color w:val="000000"/>
              </w:rPr>
              <w:t xml:space="preserve">14 timesheet entries for calls between </w:t>
            </w:r>
            <w:proofErr w:type="spellStart"/>
            <w:r w:rsidR="00986406">
              <w:rPr>
                <w:color w:val="000000"/>
              </w:rPr>
              <w:t>Geesman</w:t>
            </w:r>
            <w:proofErr w:type="spellEnd"/>
            <w:r w:rsidR="00986406">
              <w:rPr>
                <w:color w:val="000000"/>
              </w:rPr>
              <w:t xml:space="preserve"> and Weisman on </w:t>
            </w:r>
            <w:r w:rsidR="005E7A9D">
              <w:rPr>
                <w:color w:val="000000"/>
              </w:rPr>
              <w:t xml:space="preserve">5/24/24, 6/11/24, 8/5/24, 8/29/24, 9/4/24, 10/29/24, and 12/4/24. </w:t>
            </w:r>
          </w:p>
          <w:p w:rsidR="00781EC7" w:rsidP="00755CBB" w:rsidRDefault="0022052B" w14:paraId="0C5F6054" w14:textId="2CE1E00A">
            <w:pPr>
              <w:tabs>
                <w:tab w:val="left" w:pos="1440"/>
              </w:tabs>
              <w:rPr>
                <w:color w:val="000000"/>
              </w:rPr>
            </w:pPr>
            <w:r>
              <w:rPr>
                <w:i/>
                <w:iCs/>
                <w:color w:val="000000"/>
              </w:rPr>
              <w:t>Emails</w:t>
            </w:r>
          </w:p>
          <w:p w:rsidR="0022052B" w:rsidP="004E6CFF" w:rsidRDefault="00F37F50" w14:paraId="790767D3" w14:textId="044DFFA9">
            <w:pPr>
              <w:tabs>
                <w:tab w:val="left" w:pos="1440"/>
              </w:tabs>
              <w:spacing w:after="240"/>
              <w:rPr>
                <w:color w:val="000000"/>
              </w:rPr>
            </w:pPr>
            <w:r>
              <w:rPr>
                <w:color w:val="000000"/>
              </w:rPr>
              <w:t>A4NR</w:t>
            </w:r>
            <w:r w:rsidR="0022052B">
              <w:rPr>
                <w:color w:val="000000"/>
              </w:rPr>
              <w:t xml:space="preserve"> claimed </w:t>
            </w:r>
            <w:r w:rsidR="003F2273">
              <w:rPr>
                <w:color w:val="000000"/>
              </w:rPr>
              <w:t xml:space="preserve">2.99 </w:t>
            </w:r>
            <w:r w:rsidR="0022052B">
              <w:rPr>
                <w:color w:val="000000"/>
              </w:rPr>
              <w:t xml:space="preserve">hours </w:t>
            </w:r>
            <w:r w:rsidR="007B6AB3">
              <w:rPr>
                <w:color w:val="000000"/>
              </w:rPr>
              <w:t xml:space="preserve">across </w:t>
            </w:r>
            <w:r w:rsidR="00CB44E4">
              <w:rPr>
                <w:color w:val="000000"/>
              </w:rPr>
              <w:t xml:space="preserve">44 </w:t>
            </w:r>
            <w:r w:rsidR="0022052B">
              <w:rPr>
                <w:color w:val="000000"/>
              </w:rPr>
              <w:t xml:space="preserve">timesheet entries for emails between </w:t>
            </w:r>
            <w:proofErr w:type="spellStart"/>
            <w:r w:rsidR="001D12E1">
              <w:rPr>
                <w:color w:val="000000"/>
              </w:rPr>
              <w:t>Geesman</w:t>
            </w:r>
            <w:proofErr w:type="spellEnd"/>
            <w:r w:rsidR="001D12E1">
              <w:rPr>
                <w:color w:val="000000"/>
              </w:rPr>
              <w:t xml:space="preserve"> and Weisman. </w:t>
            </w:r>
            <w:r w:rsidR="007B6AB3">
              <w:rPr>
                <w:color w:val="000000"/>
              </w:rPr>
              <w:t>T</w:t>
            </w:r>
            <w:r w:rsidR="001D12E1">
              <w:rPr>
                <w:color w:val="000000"/>
              </w:rPr>
              <w:t xml:space="preserve">hese entries </w:t>
            </w:r>
            <w:r w:rsidR="00852241">
              <w:rPr>
                <w:color w:val="000000"/>
              </w:rPr>
              <w:t>were described</w:t>
            </w:r>
            <w:r w:rsidR="008B08E3">
              <w:rPr>
                <w:color w:val="000000"/>
              </w:rPr>
              <w:t xml:space="preserve"> as</w:t>
            </w:r>
            <w:r w:rsidR="001D12E1">
              <w:rPr>
                <w:color w:val="000000"/>
              </w:rPr>
              <w:t xml:space="preserve"> </w:t>
            </w:r>
            <w:r w:rsidR="004E6CFF">
              <w:rPr>
                <w:color w:val="000000"/>
              </w:rPr>
              <w:t>“</w:t>
            </w:r>
            <w:r w:rsidR="001D12E1">
              <w:rPr>
                <w:color w:val="000000"/>
              </w:rPr>
              <w:t xml:space="preserve">email </w:t>
            </w:r>
            <w:r w:rsidR="002658D1">
              <w:rPr>
                <w:color w:val="000000"/>
              </w:rPr>
              <w:t>w</w:t>
            </w:r>
            <w:r w:rsidR="00E6180A">
              <w:rPr>
                <w:color w:val="000000"/>
              </w:rPr>
              <w:t>.</w:t>
            </w:r>
            <w:r w:rsidR="00493A05">
              <w:rPr>
                <w:color w:val="000000"/>
              </w:rPr>
              <w:t xml:space="preserve"> client</w:t>
            </w:r>
            <w:r w:rsidR="004E6CFF">
              <w:rPr>
                <w:color w:val="000000"/>
              </w:rPr>
              <w:t>”</w:t>
            </w:r>
            <w:r w:rsidR="00493A05">
              <w:rPr>
                <w:color w:val="000000"/>
              </w:rPr>
              <w:t xml:space="preserve"> for </w:t>
            </w:r>
            <w:proofErr w:type="spellStart"/>
            <w:r w:rsidR="00493A05">
              <w:rPr>
                <w:color w:val="000000"/>
              </w:rPr>
              <w:t>Geesman</w:t>
            </w:r>
            <w:proofErr w:type="spellEnd"/>
            <w:r w:rsidR="00493A05">
              <w:rPr>
                <w:color w:val="000000"/>
              </w:rPr>
              <w:t xml:space="preserve"> and </w:t>
            </w:r>
            <w:r w:rsidR="004E6CFF">
              <w:rPr>
                <w:color w:val="000000"/>
              </w:rPr>
              <w:t>“</w:t>
            </w:r>
            <w:r w:rsidR="00493A05">
              <w:rPr>
                <w:color w:val="000000"/>
              </w:rPr>
              <w:t>email w/Atty</w:t>
            </w:r>
            <w:r w:rsidR="004E6CFF">
              <w:rPr>
                <w:color w:val="000000"/>
              </w:rPr>
              <w:t>”</w:t>
            </w:r>
            <w:r w:rsidR="00493A05">
              <w:rPr>
                <w:color w:val="000000"/>
              </w:rPr>
              <w:t xml:space="preserve"> for Weisman. While some internal communications </w:t>
            </w:r>
            <w:r w:rsidR="008B08E3">
              <w:rPr>
                <w:color w:val="000000"/>
              </w:rPr>
              <w:t xml:space="preserve">may </w:t>
            </w:r>
            <w:r w:rsidR="00493A05">
              <w:rPr>
                <w:color w:val="000000"/>
              </w:rPr>
              <w:t>be reasonable for compensation, the 4</w:t>
            </w:r>
            <w:r w:rsidR="00262021">
              <w:rPr>
                <w:color w:val="000000"/>
              </w:rPr>
              <w:t>6</w:t>
            </w:r>
            <w:r w:rsidR="00493A05">
              <w:rPr>
                <w:color w:val="000000"/>
              </w:rPr>
              <w:t xml:space="preserve"> entries</w:t>
            </w:r>
            <w:r w:rsidR="000A5111">
              <w:rPr>
                <w:color w:val="000000"/>
              </w:rPr>
              <w:t xml:space="preserve">, </w:t>
            </w:r>
            <w:r w:rsidR="00A239DC">
              <w:rPr>
                <w:color w:val="000000"/>
              </w:rPr>
              <w:t>representation</w:t>
            </w:r>
            <w:r w:rsidR="008B08E3">
              <w:rPr>
                <w:color w:val="000000"/>
              </w:rPr>
              <w:t xml:space="preserve"> </w:t>
            </w:r>
            <w:r w:rsidR="000A5111">
              <w:rPr>
                <w:color w:val="000000"/>
              </w:rPr>
              <w:t>nearly 15% of all timesheet entries</w:t>
            </w:r>
            <w:r w:rsidR="007C5BA5">
              <w:rPr>
                <w:color w:val="000000"/>
              </w:rPr>
              <w:t xml:space="preserve"> in this claim, </w:t>
            </w:r>
            <w:r w:rsidR="00DA6C4F">
              <w:rPr>
                <w:color w:val="000000"/>
              </w:rPr>
              <w:t xml:space="preserve">appear </w:t>
            </w:r>
            <w:r w:rsidR="007C5BA5">
              <w:rPr>
                <w:color w:val="000000"/>
              </w:rPr>
              <w:t xml:space="preserve">excessive. </w:t>
            </w:r>
          </w:p>
          <w:p w:rsidR="00667129" w:rsidP="00755CBB" w:rsidRDefault="00C056E8" w14:paraId="0FC1B00A" w14:textId="7CA096B3">
            <w:pPr>
              <w:tabs>
                <w:tab w:val="left" w:pos="1440"/>
              </w:tabs>
              <w:rPr>
                <w:color w:val="000000"/>
              </w:rPr>
            </w:pPr>
            <w:r>
              <w:rPr>
                <w:i/>
                <w:iCs/>
                <w:color w:val="000000"/>
              </w:rPr>
              <w:t xml:space="preserve">CPUC </w:t>
            </w:r>
            <w:r w:rsidR="00667129">
              <w:rPr>
                <w:i/>
                <w:iCs/>
                <w:color w:val="000000"/>
              </w:rPr>
              <w:t xml:space="preserve">Meetings, Workshops, </w:t>
            </w:r>
            <w:r w:rsidR="00D13E3B">
              <w:rPr>
                <w:i/>
                <w:iCs/>
                <w:color w:val="000000"/>
              </w:rPr>
              <w:t xml:space="preserve">Evidentiary </w:t>
            </w:r>
            <w:r>
              <w:rPr>
                <w:i/>
                <w:iCs/>
                <w:color w:val="000000"/>
              </w:rPr>
              <w:t>Hearings,</w:t>
            </w:r>
            <w:r w:rsidR="00667129">
              <w:rPr>
                <w:i/>
                <w:iCs/>
                <w:color w:val="000000"/>
              </w:rPr>
              <w:t xml:space="preserve"> Ex Parte</w:t>
            </w:r>
            <w:r w:rsidR="00D13E3B">
              <w:rPr>
                <w:i/>
                <w:iCs/>
                <w:color w:val="000000"/>
              </w:rPr>
              <w:t>s, and Oral Arguments</w:t>
            </w:r>
            <w:r w:rsidR="00991A04">
              <w:rPr>
                <w:i/>
                <w:iCs/>
                <w:color w:val="000000"/>
              </w:rPr>
              <w:t xml:space="preserve"> </w:t>
            </w:r>
          </w:p>
          <w:p w:rsidR="00F63F77" w:rsidP="004E6CFF" w:rsidRDefault="00D01821" w14:paraId="4098B7B7" w14:textId="7A5EA73C">
            <w:pPr>
              <w:tabs>
                <w:tab w:val="left" w:pos="1440"/>
              </w:tabs>
              <w:spacing w:after="240"/>
              <w:rPr>
                <w:color w:val="000000"/>
              </w:rPr>
            </w:pPr>
            <w:r>
              <w:rPr>
                <w:color w:val="000000"/>
              </w:rPr>
              <w:t>A4NR</w:t>
            </w:r>
            <w:r w:rsidR="00A973CF">
              <w:rPr>
                <w:color w:val="000000"/>
              </w:rPr>
              <w:t xml:space="preserve"> claimed </w:t>
            </w:r>
            <w:r w:rsidR="00417209">
              <w:rPr>
                <w:color w:val="000000"/>
              </w:rPr>
              <w:t>3</w:t>
            </w:r>
            <w:r w:rsidR="008143D6">
              <w:rPr>
                <w:color w:val="000000"/>
              </w:rPr>
              <w:t>4</w:t>
            </w:r>
            <w:r w:rsidR="00417209">
              <w:rPr>
                <w:color w:val="000000"/>
              </w:rPr>
              <w:t>.48</w:t>
            </w:r>
            <w:r w:rsidR="00D7222B">
              <w:rPr>
                <w:color w:val="000000"/>
              </w:rPr>
              <w:t xml:space="preserve"> </w:t>
            </w:r>
            <w:r w:rsidR="00A973CF">
              <w:rPr>
                <w:color w:val="000000"/>
              </w:rPr>
              <w:t xml:space="preserve">hours </w:t>
            </w:r>
            <w:r w:rsidR="004472C6">
              <w:rPr>
                <w:color w:val="000000"/>
              </w:rPr>
              <w:t xml:space="preserve">across </w:t>
            </w:r>
            <w:r w:rsidR="00183DDE">
              <w:rPr>
                <w:color w:val="000000"/>
              </w:rPr>
              <w:t>20</w:t>
            </w:r>
            <w:r w:rsidR="00A973CF">
              <w:rPr>
                <w:color w:val="000000"/>
              </w:rPr>
              <w:t xml:space="preserve"> timesheet entri</w:t>
            </w:r>
            <w:r w:rsidR="00F07E16">
              <w:rPr>
                <w:color w:val="000000"/>
              </w:rPr>
              <w:t xml:space="preserve">es for </w:t>
            </w:r>
            <w:r w:rsidR="00501305">
              <w:rPr>
                <w:color w:val="000000"/>
              </w:rPr>
              <w:t>meeting</w:t>
            </w:r>
            <w:r w:rsidR="00F07E16">
              <w:rPr>
                <w:color w:val="000000"/>
              </w:rPr>
              <w:t xml:space="preserve">s where both </w:t>
            </w:r>
            <w:proofErr w:type="spellStart"/>
            <w:r w:rsidR="00F07E16">
              <w:rPr>
                <w:color w:val="000000"/>
              </w:rPr>
              <w:t>Geesman</w:t>
            </w:r>
            <w:proofErr w:type="spellEnd"/>
            <w:r w:rsidR="00F07E16">
              <w:rPr>
                <w:color w:val="000000"/>
              </w:rPr>
              <w:t xml:space="preserve"> and Weisman </w:t>
            </w:r>
            <w:r w:rsidR="003537DF">
              <w:rPr>
                <w:color w:val="000000"/>
              </w:rPr>
              <w:t>attended</w:t>
            </w:r>
            <w:r w:rsidR="00AD1809">
              <w:rPr>
                <w:color w:val="000000"/>
              </w:rPr>
              <w:t xml:space="preserve"> (</w:t>
            </w:r>
            <w:r w:rsidR="009E36E0">
              <w:rPr>
                <w:color w:val="000000"/>
              </w:rPr>
              <w:t>17.71 hours (</w:t>
            </w:r>
            <w:proofErr w:type="spellStart"/>
            <w:r w:rsidR="009E36E0">
              <w:rPr>
                <w:color w:val="000000"/>
              </w:rPr>
              <w:t>Geesman</w:t>
            </w:r>
            <w:proofErr w:type="spellEnd"/>
            <w:r w:rsidR="009E36E0">
              <w:rPr>
                <w:color w:val="000000"/>
              </w:rPr>
              <w:t xml:space="preserve">) </w:t>
            </w:r>
            <w:r w:rsidRPr="000C38F5" w:rsidR="009E36E0">
              <w:rPr>
                <w:color w:val="000000"/>
              </w:rPr>
              <w:t xml:space="preserve">and </w:t>
            </w:r>
            <w:r w:rsidRPr="000C38F5" w:rsidR="00AD1809">
              <w:rPr>
                <w:color w:val="000000"/>
              </w:rPr>
              <w:t xml:space="preserve">16.77 hours </w:t>
            </w:r>
            <w:r w:rsidRPr="000C38F5" w:rsidR="009E36E0">
              <w:rPr>
                <w:color w:val="000000"/>
              </w:rPr>
              <w:t>(</w:t>
            </w:r>
            <w:r w:rsidRPr="000C38F5" w:rsidR="00AD1809">
              <w:rPr>
                <w:color w:val="000000"/>
              </w:rPr>
              <w:t>Weisman</w:t>
            </w:r>
            <w:r w:rsidRPr="000C38F5" w:rsidR="009E36E0">
              <w:rPr>
                <w:color w:val="000000"/>
              </w:rPr>
              <w:t>)</w:t>
            </w:r>
            <w:r w:rsidR="000C38F5">
              <w:rPr>
                <w:color w:val="000000"/>
              </w:rPr>
              <w:t>).</w:t>
            </w:r>
            <w:r w:rsidDel="00AD1809" w:rsidR="00AD1809">
              <w:rPr>
                <w:color w:val="000000"/>
              </w:rPr>
              <w:t xml:space="preserve"> </w:t>
            </w:r>
            <w:r w:rsidR="00F63F77">
              <w:rPr>
                <w:color w:val="000000"/>
              </w:rPr>
              <w:t xml:space="preserve">This included: </w:t>
            </w:r>
          </w:p>
          <w:p w:rsidR="002905F4" w:rsidP="004E6CFF" w:rsidRDefault="002905F4" w14:paraId="15DF6F78" w14:textId="73B9BD71">
            <w:pPr>
              <w:pStyle w:val="ListBullet"/>
              <w:contextualSpacing w:val="0"/>
            </w:pPr>
            <w:r>
              <w:t>4/24/24: Workshop on PG&amp;E</w:t>
            </w:r>
            <w:r w:rsidR="004E6CFF">
              <w:t>’</w:t>
            </w:r>
            <w:r>
              <w:t xml:space="preserve">s Application </w:t>
            </w:r>
          </w:p>
          <w:p w:rsidR="00E865E4" w:rsidP="004E6CFF" w:rsidRDefault="00E865E4" w14:paraId="791E007A" w14:textId="52C191C6">
            <w:pPr>
              <w:pStyle w:val="ListBullet"/>
              <w:contextualSpacing w:val="0"/>
            </w:pPr>
            <w:r>
              <w:lastRenderedPageBreak/>
              <w:t>5/31/24: Prehearing Conference</w:t>
            </w:r>
          </w:p>
          <w:p w:rsidR="0027276A" w:rsidP="004E6CFF" w:rsidRDefault="0027276A" w14:paraId="66ED6F31" w14:textId="23C60AB1">
            <w:pPr>
              <w:pStyle w:val="ListBullet"/>
              <w:contextualSpacing w:val="0"/>
            </w:pPr>
            <w:r>
              <w:t xml:space="preserve">8/26/24: </w:t>
            </w:r>
            <w:r w:rsidR="004E6CFF">
              <w:t>“</w:t>
            </w:r>
            <w:r>
              <w:t>All Party Meet</w:t>
            </w:r>
            <w:r w:rsidR="004152B8">
              <w:noBreakHyphen/>
            </w:r>
            <w:r>
              <w:t>and</w:t>
            </w:r>
            <w:r w:rsidR="004152B8">
              <w:noBreakHyphen/>
            </w:r>
            <w:r>
              <w:t>Confer</w:t>
            </w:r>
            <w:r w:rsidR="004E6CFF">
              <w:t>”</w:t>
            </w:r>
          </w:p>
          <w:p w:rsidR="00E577D0" w:rsidP="004E6CFF" w:rsidRDefault="00E577D0" w14:paraId="47656E7A" w14:textId="5CE07EC8">
            <w:pPr>
              <w:pStyle w:val="ListBullet"/>
              <w:contextualSpacing w:val="0"/>
            </w:pPr>
            <w:r>
              <w:t>9/11</w:t>
            </w:r>
            <w:r w:rsidR="004152B8">
              <w:noBreakHyphen/>
            </w:r>
            <w:r>
              <w:t>12</w:t>
            </w:r>
            <w:r w:rsidR="00225BD2">
              <w:t>/24: Evidentiary Hearings</w:t>
            </w:r>
          </w:p>
          <w:p w:rsidR="00444322" w:rsidP="004E6CFF" w:rsidRDefault="00444322" w14:paraId="04AA49C6" w14:textId="656A5765">
            <w:pPr>
              <w:pStyle w:val="ListBullet"/>
              <w:contextualSpacing w:val="0"/>
            </w:pPr>
            <w:r>
              <w:t>12/12</w:t>
            </w:r>
            <w:r w:rsidR="004152B8">
              <w:noBreakHyphen/>
            </w:r>
            <w:r>
              <w:t>13/24: Ex Partes with Commissioners</w:t>
            </w:r>
            <w:r w:rsidR="004E6CFF">
              <w:t>’</w:t>
            </w:r>
            <w:r>
              <w:t xml:space="preserve"> staff</w:t>
            </w:r>
          </w:p>
          <w:p w:rsidRPr="00A36153" w:rsidR="00A36153" w:rsidP="00584205" w:rsidRDefault="00EF3938" w14:paraId="32901B15" w14:textId="70D540D6">
            <w:pPr>
              <w:pStyle w:val="ListBullet"/>
              <w:spacing w:after="240"/>
              <w:contextualSpacing w:val="0"/>
              <w:rPr>
                <w:i/>
                <w:iCs/>
                <w:color w:val="000000"/>
              </w:rPr>
            </w:pPr>
            <w:r>
              <w:t>12/16/24: Oral Arguments</w:t>
            </w:r>
          </w:p>
          <w:p w:rsidR="00781EC7" w:rsidP="00584205" w:rsidRDefault="00616386" w14:paraId="15AB613F" w14:textId="6517D627">
            <w:pPr>
              <w:keepNext/>
              <w:tabs>
                <w:tab w:val="left" w:pos="1440"/>
              </w:tabs>
              <w:rPr>
                <w:color w:val="000000"/>
                <w:u w:val="single"/>
              </w:rPr>
            </w:pPr>
            <w:r>
              <w:rPr>
                <w:color w:val="000000"/>
                <w:u w:val="single"/>
              </w:rPr>
              <w:t>Excessive Hours Claimed for Issues 1</w:t>
            </w:r>
            <w:r w:rsidR="008C7CD0">
              <w:rPr>
                <w:color w:val="000000"/>
                <w:u w:val="single"/>
              </w:rPr>
              <w:t xml:space="preserve"> – 4</w:t>
            </w:r>
            <w:r>
              <w:rPr>
                <w:color w:val="000000"/>
                <w:u w:val="single"/>
              </w:rPr>
              <w:t xml:space="preserve"> Identified in Part </w:t>
            </w:r>
            <w:proofErr w:type="spellStart"/>
            <w:r>
              <w:rPr>
                <w:color w:val="000000"/>
                <w:u w:val="single"/>
              </w:rPr>
              <w:t>III.A.c</w:t>
            </w:r>
            <w:proofErr w:type="spellEnd"/>
            <w:r w:rsidR="00DA2250">
              <w:rPr>
                <w:color w:val="000000"/>
                <w:u w:val="single"/>
              </w:rPr>
              <w:t xml:space="preserve"> (</w:t>
            </w:r>
            <w:r w:rsidR="00CA5CD0">
              <w:rPr>
                <w:color w:val="000000"/>
                <w:u w:val="single"/>
              </w:rPr>
              <w:t>255</w:t>
            </w:r>
            <w:r w:rsidRPr="00462D9B" w:rsidR="00DA2250">
              <w:rPr>
                <w:color w:val="000000"/>
                <w:u w:val="single"/>
              </w:rPr>
              <w:t xml:space="preserve">.00 hours </w:t>
            </w:r>
            <w:r w:rsidR="00630F9B">
              <w:rPr>
                <w:color w:val="000000"/>
                <w:u w:val="single"/>
              </w:rPr>
              <w:t>reduced</w:t>
            </w:r>
            <w:r w:rsidRPr="00462D9B" w:rsidR="00DA2250">
              <w:rPr>
                <w:color w:val="000000"/>
                <w:u w:val="single"/>
              </w:rPr>
              <w:t>)</w:t>
            </w:r>
          </w:p>
          <w:p w:rsidR="001F7CF9" w:rsidP="004E6CFF" w:rsidRDefault="00F87F1A" w14:paraId="1F179ADA" w14:textId="1B7652BB">
            <w:pPr>
              <w:tabs>
                <w:tab w:val="left" w:pos="1440"/>
              </w:tabs>
              <w:spacing w:after="240"/>
              <w:rPr>
                <w:color w:val="000000"/>
              </w:rPr>
            </w:pPr>
            <w:r>
              <w:rPr>
                <w:color w:val="000000"/>
              </w:rPr>
              <w:t>Section </w:t>
            </w:r>
            <w:r w:rsidR="00E12B88">
              <w:rPr>
                <w:color w:val="000000"/>
              </w:rPr>
              <w:t xml:space="preserve">1801.3(b) states that it is the intent of the California Legislature that the Intervenor Compensation program is </w:t>
            </w:r>
            <w:r w:rsidR="004E6CFF">
              <w:rPr>
                <w:color w:val="000000"/>
              </w:rPr>
              <w:t>“</w:t>
            </w:r>
            <w:r w:rsidRPr="00CD5ADE" w:rsidR="00E12B88">
              <w:rPr>
                <w:color w:val="000000"/>
              </w:rPr>
              <w:t xml:space="preserve">administered in a manner that encourages the </w:t>
            </w:r>
            <w:r w:rsidRPr="000023A0" w:rsidR="00E12B88">
              <w:rPr>
                <w:i/>
                <w:iCs/>
                <w:color w:val="000000"/>
              </w:rPr>
              <w:t>effective</w:t>
            </w:r>
            <w:r w:rsidRPr="00CD5ADE" w:rsidR="00E12B88">
              <w:rPr>
                <w:color w:val="000000"/>
              </w:rPr>
              <w:t xml:space="preserve"> and </w:t>
            </w:r>
            <w:r w:rsidRPr="000023A0" w:rsidR="00E12B88">
              <w:rPr>
                <w:i/>
                <w:iCs/>
                <w:color w:val="000000"/>
              </w:rPr>
              <w:t>efficient</w:t>
            </w:r>
            <w:r w:rsidRPr="00CD5ADE" w:rsidR="00E12B88">
              <w:rPr>
                <w:color w:val="000000"/>
              </w:rPr>
              <w:t xml:space="preserve"> participation of all groups that have a stake in the public utility regulation process</w:t>
            </w:r>
            <w:r w:rsidR="004E6CFF">
              <w:rPr>
                <w:color w:val="000000"/>
              </w:rPr>
              <w:t>”</w:t>
            </w:r>
            <w:r w:rsidR="000023A0">
              <w:rPr>
                <w:color w:val="000000"/>
              </w:rPr>
              <w:t xml:space="preserve"> (emphasis added).</w:t>
            </w:r>
            <w:r w:rsidR="00E12B88">
              <w:rPr>
                <w:color w:val="000000"/>
              </w:rPr>
              <w:t xml:space="preserve"> </w:t>
            </w:r>
            <w:r w:rsidR="00F03B57">
              <w:rPr>
                <w:color w:val="000000"/>
              </w:rPr>
              <w:t xml:space="preserve">A4NR </w:t>
            </w:r>
            <w:r w:rsidR="00DB3CF2">
              <w:rPr>
                <w:color w:val="000000"/>
              </w:rPr>
              <w:t>claimed 211.82</w:t>
            </w:r>
            <w:r w:rsidR="0044692A">
              <w:rPr>
                <w:color w:val="000000"/>
              </w:rPr>
              <w:t>55</w:t>
            </w:r>
            <w:r w:rsidR="00DB3CF2">
              <w:rPr>
                <w:color w:val="000000"/>
              </w:rPr>
              <w:t xml:space="preserve"> hours on Issue 1: </w:t>
            </w:r>
            <w:r w:rsidR="004E6CFF">
              <w:rPr>
                <w:color w:val="000000"/>
              </w:rPr>
              <w:t>“</w:t>
            </w:r>
            <w:r w:rsidRPr="002710DB" w:rsidR="002710DB">
              <w:rPr>
                <w:color w:val="000000"/>
              </w:rPr>
              <w:t>PG&amp;E forecast revenue requirement</w:t>
            </w:r>
            <w:r w:rsidR="004E6CFF">
              <w:rPr>
                <w:color w:val="000000"/>
              </w:rPr>
              <w:t>”</w:t>
            </w:r>
            <w:r w:rsidR="007F7E13">
              <w:rPr>
                <w:color w:val="000000"/>
              </w:rPr>
              <w:t xml:space="preserve">, 50.1105 hours on Issue 2: </w:t>
            </w:r>
            <w:r w:rsidR="00376F2D">
              <w:rPr>
                <w:color w:val="000000"/>
              </w:rPr>
              <w:t>“</w:t>
            </w:r>
            <w:r w:rsidRPr="00376F2D" w:rsidR="00376F2D">
              <w:rPr>
                <w:color w:val="000000"/>
              </w:rPr>
              <w:t>PG&amp;E proposed reallocation of RA and GHG attributes</w:t>
            </w:r>
            <w:r w:rsidR="00376F2D">
              <w:rPr>
                <w:color w:val="000000"/>
              </w:rPr>
              <w:t>”, 58.8125 hours on Issue</w:t>
            </w:r>
            <w:r w:rsidR="002710DB">
              <w:rPr>
                <w:color w:val="000000"/>
              </w:rPr>
              <w:t xml:space="preserve"> </w:t>
            </w:r>
            <w:r w:rsidR="00376F2D">
              <w:rPr>
                <w:color w:val="000000"/>
              </w:rPr>
              <w:t>3: “</w:t>
            </w:r>
            <w:r w:rsidRPr="00784E0C" w:rsidR="00784E0C">
              <w:rPr>
                <w:color w:val="000000"/>
              </w:rPr>
              <w:t>PG&amp;E proposed VPF spending plan</w:t>
            </w:r>
            <w:r w:rsidR="00784E0C">
              <w:rPr>
                <w:color w:val="000000"/>
              </w:rPr>
              <w:t xml:space="preserve">”, </w:t>
            </w:r>
            <w:r w:rsidR="002710DB">
              <w:rPr>
                <w:color w:val="000000"/>
              </w:rPr>
              <w:t>and 207.</w:t>
            </w:r>
            <w:r w:rsidR="00904894">
              <w:rPr>
                <w:color w:val="000000"/>
              </w:rPr>
              <w:t>2015</w:t>
            </w:r>
            <w:r w:rsidR="002710DB">
              <w:rPr>
                <w:color w:val="000000"/>
              </w:rPr>
              <w:t xml:space="preserve"> hours on Issue 4: </w:t>
            </w:r>
            <w:r w:rsidR="004E6CFF">
              <w:rPr>
                <w:color w:val="000000"/>
              </w:rPr>
              <w:t>“</w:t>
            </w:r>
            <w:r w:rsidRPr="002710DB" w:rsidR="002710DB">
              <w:rPr>
                <w:color w:val="000000"/>
              </w:rPr>
              <w:t>compliance with D.23</w:t>
            </w:r>
            <w:r w:rsidR="004152B8">
              <w:rPr>
                <w:color w:val="000000"/>
              </w:rPr>
              <w:noBreakHyphen/>
            </w:r>
            <w:r w:rsidRPr="002710DB" w:rsidR="002710DB">
              <w:rPr>
                <w:color w:val="000000"/>
              </w:rPr>
              <w:t>12</w:t>
            </w:r>
            <w:r w:rsidR="004152B8">
              <w:rPr>
                <w:color w:val="000000"/>
              </w:rPr>
              <w:noBreakHyphen/>
            </w:r>
            <w:r w:rsidRPr="002710DB" w:rsidR="002710DB">
              <w:rPr>
                <w:color w:val="000000"/>
              </w:rPr>
              <w:t>036 and D.22</w:t>
            </w:r>
            <w:r w:rsidR="004152B8">
              <w:rPr>
                <w:color w:val="000000"/>
              </w:rPr>
              <w:noBreakHyphen/>
            </w:r>
            <w:r w:rsidRPr="002710DB" w:rsidR="002710DB">
              <w:rPr>
                <w:color w:val="000000"/>
              </w:rPr>
              <w:t>12</w:t>
            </w:r>
            <w:r w:rsidR="004152B8">
              <w:rPr>
                <w:color w:val="000000"/>
              </w:rPr>
              <w:noBreakHyphen/>
            </w:r>
            <w:r w:rsidRPr="002710DB" w:rsidR="002710DB">
              <w:rPr>
                <w:color w:val="000000"/>
              </w:rPr>
              <w:t>005</w:t>
            </w:r>
            <w:r w:rsidR="00D50159">
              <w:rPr>
                <w:color w:val="000000"/>
              </w:rPr>
              <w:t>.</w:t>
            </w:r>
            <w:r w:rsidR="004E6CFF">
              <w:rPr>
                <w:color w:val="000000"/>
              </w:rPr>
              <w:t>”</w:t>
            </w:r>
            <w:r w:rsidR="00904894">
              <w:rPr>
                <w:color w:val="000000"/>
              </w:rPr>
              <w:t xml:space="preserve"> </w:t>
            </w:r>
            <w:r w:rsidR="008B66E3">
              <w:rPr>
                <w:color w:val="000000"/>
              </w:rPr>
              <w:t xml:space="preserve">This totals </w:t>
            </w:r>
            <w:r w:rsidR="00784E0C">
              <w:rPr>
                <w:color w:val="000000"/>
              </w:rPr>
              <w:t>over 525</w:t>
            </w:r>
            <w:r w:rsidR="00843E31">
              <w:rPr>
                <w:color w:val="000000"/>
              </w:rPr>
              <w:t xml:space="preserve"> hours o</w:t>
            </w:r>
            <w:r w:rsidR="008B66E3">
              <w:rPr>
                <w:color w:val="000000"/>
              </w:rPr>
              <w:t>n</w:t>
            </w:r>
            <w:r w:rsidR="00843E31">
              <w:rPr>
                <w:color w:val="000000"/>
              </w:rPr>
              <w:t xml:space="preserve"> these </w:t>
            </w:r>
            <w:r w:rsidR="00784E0C">
              <w:rPr>
                <w:color w:val="000000"/>
              </w:rPr>
              <w:t>four</w:t>
            </w:r>
            <w:r w:rsidR="00843E31">
              <w:rPr>
                <w:color w:val="000000"/>
              </w:rPr>
              <w:t xml:space="preserve"> issues.</w:t>
            </w:r>
          </w:p>
          <w:p w:rsidR="00616386" w:rsidP="004E6CFF" w:rsidRDefault="00710C8A" w14:paraId="77E70686" w14:textId="6C624914">
            <w:pPr>
              <w:tabs>
                <w:tab w:val="left" w:pos="1440"/>
              </w:tabs>
              <w:spacing w:after="240"/>
              <w:rPr>
                <w:color w:val="000000"/>
              </w:rPr>
            </w:pPr>
            <w:r>
              <w:rPr>
                <w:color w:val="000000"/>
              </w:rPr>
              <w:t>While A4NR</w:t>
            </w:r>
            <w:r w:rsidR="004E6CFF">
              <w:rPr>
                <w:color w:val="000000"/>
              </w:rPr>
              <w:t>’</w:t>
            </w:r>
            <w:r>
              <w:rPr>
                <w:color w:val="000000"/>
              </w:rPr>
              <w:t xml:space="preserve">s arguments </w:t>
            </w:r>
            <w:r w:rsidR="008B66E3">
              <w:rPr>
                <w:color w:val="000000"/>
              </w:rPr>
              <w:t xml:space="preserve">may have been </w:t>
            </w:r>
            <w:r>
              <w:rPr>
                <w:color w:val="000000"/>
              </w:rPr>
              <w:t>helpful</w:t>
            </w:r>
            <w:r w:rsidR="001F7CF9">
              <w:rPr>
                <w:color w:val="000000"/>
              </w:rPr>
              <w:t xml:space="preserve">, </w:t>
            </w:r>
            <w:r w:rsidRPr="001F7CF9" w:rsidR="001F7CF9">
              <w:rPr>
                <w:color w:val="000000"/>
              </w:rPr>
              <w:t>the number of hours claimed is excessive relative to their impact</w:t>
            </w:r>
            <w:r w:rsidR="00A856F0">
              <w:rPr>
                <w:color w:val="000000"/>
              </w:rPr>
              <w:t xml:space="preserve"> on the underlying decision</w:t>
            </w:r>
            <w:r w:rsidRPr="001F7CF9" w:rsidR="001F7CF9">
              <w:rPr>
                <w:color w:val="000000"/>
              </w:rPr>
              <w:t xml:space="preserve">. </w:t>
            </w:r>
            <w:r w:rsidR="00A856F0">
              <w:rPr>
                <w:color w:val="000000"/>
              </w:rPr>
              <w:t>T</w:t>
            </w:r>
            <w:r w:rsidRPr="001F7CF9" w:rsidR="001F7CF9">
              <w:rPr>
                <w:color w:val="000000"/>
              </w:rPr>
              <w:t xml:space="preserve">he burden of proof </w:t>
            </w:r>
            <w:r w:rsidR="00196101">
              <w:rPr>
                <w:color w:val="000000"/>
              </w:rPr>
              <w:t>rests with</w:t>
            </w:r>
            <w:r w:rsidRPr="001F7CF9" w:rsidR="001F7CF9">
              <w:rPr>
                <w:color w:val="000000"/>
              </w:rPr>
              <w:t xml:space="preserve"> the intervenor to show that each hours claimed was spent productively </w:t>
            </w:r>
            <w:r w:rsidR="00196101">
              <w:rPr>
                <w:color w:val="000000"/>
              </w:rPr>
              <w:t xml:space="preserve">and </w:t>
            </w:r>
            <w:r w:rsidRPr="001F7CF9" w:rsidR="001F7CF9">
              <w:rPr>
                <w:color w:val="000000"/>
              </w:rPr>
              <w:t>contribut</w:t>
            </w:r>
            <w:r w:rsidR="00196101">
              <w:rPr>
                <w:color w:val="000000"/>
              </w:rPr>
              <w:t>ed</w:t>
            </w:r>
            <w:r w:rsidR="009817C9">
              <w:rPr>
                <w:color w:val="000000"/>
              </w:rPr>
              <w:t xml:space="preserve"> substantially</w:t>
            </w:r>
            <w:r w:rsidRPr="001F7CF9" w:rsidR="001F7CF9">
              <w:rPr>
                <w:color w:val="000000"/>
              </w:rPr>
              <w:t xml:space="preserve"> to the decision.  In this instance</w:t>
            </w:r>
            <w:r w:rsidR="009817C9">
              <w:rPr>
                <w:color w:val="000000"/>
              </w:rPr>
              <w:t>,</w:t>
            </w:r>
            <w:r w:rsidRPr="001F7CF9" w:rsidR="001F7CF9">
              <w:rPr>
                <w:color w:val="000000"/>
              </w:rPr>
              <w:t xml:space="preserve"> </w:t>
            </w:r>
            <w:r w:rsidR="00362125">
              <w:rPr>
                <w:color w:val="000000"/>
              </w:rPr>
              <w:t>A4NR</w:t>
            </w:r>
            <w:r w:rsidRPr="001F7CF9" w:rsidR="001F7CF9">
              <w:rPr>
                <w:color w:val="000000"/>
              </w:rPr>
              <w:t xml:space="preserve"> </w:t>
            </w:r>
            <w:r w:rsidR="009817C9">
              <w:rPr>
                <w:color w:val="000000"/>
              </w:rPr>
              <w:t>has not met</w:t>
            </w:r>
            <w:r w:rsidRPr="001F7CF9" w:rsidR="001F7CF9">
              <w:rPr>
                <w:color w:val="000000"/>
              </w:rPr>
              <w:t xml:space="preserve"> that</w:t>
            </w:r>
            <w:r w:rsidR="009817C9">
              <w:rPr>
                <w:color w:val="000000"/>
              </w:rPr>
              <w:t xml:space="preserve"> burden</w:t>
            </w:r>
            <w:r w:rsidRPr="001F7CF9" w:rsidR="001F7CF9">
              <w:rPr>
                <w:color w:val="000000"/>
              </w:rPr>
              <w:t>.</w:t>
            </w:r>
            <w:r w:rsidR="003B6BE8">
              <w:rPr>
                <w:color w:val="000000"/>
              </w:rPr>
              <w:t xml:space="preserve"> </w:t>
            </w:r>
            <w:r w:rsidRPr="001F7CF9" w:rsidR="001F7CF9">
              <w:rPr>
                <w:color w:val="000000"/>
              </w:rPr>
              <w:t>Accordingly</w:t>
            </w:r>
            <w:r w:rsidR="00411E90">
              <w:rPr>
                <w:color w:val="000000"/>
              </w:rPr>
              <w:t>,</w:t>
            </w:r>
            <w:r w:rsidRPr="001F7CF9" w:rsidR="001F7CF9">
              <w:rPr>
                <w:color w:val="000000"/>
              </w:rPr>
              <w:t xml:space="preserve"> we reduce</w:t>
            </w:r>
            <w:r w:rsidR="001F7CF9">
              <w:rPr>
                <w:color w:val="000000"/>
              </w:rPr>
              <w:t xml:space="preserve"> </w:t>
            </w:r>
            <w:r w:rsidR="00B52F90">
              <w:rPr>
                <w:color w:val="000000"/>
              </w:rPr>
              <w:t>255</w:t>
            </w:r>
            <w:r w:rsidR="001F7CF9">
              <w:rPr>
                <w:color w:val="000000"/>
              </w:rPr>
              <w:t xml:space="preserve">.00 hours from A4NR on Issues 1 </w:t>
            </w:r>
            <w:r w:rsidR="00B52F90">
              <w:rPr>
                <w:color w:val="000000"/>
              </w:rPr>
              <w:t>t</w:t>
            </w:r>
            <w:r w:rsidR="004D112B">
              <w:rPr>
                <w:color w:val="000000"/>
              </w:rPr>
              <w:t>o</w:t>
            </w:r>
            <w:r w:rsidR="00B52F90">
              <w:rPr>
                <w:color w:val="000000"/>
              </w:rPr>
              <w:t xml:space="preserve"> </w:t>
            </w:r>
            <w:r w:rsidR="001F7CF9">
              <w:rPr>
                <w:color w:val="000000"/>
              </w:rPr>
              <w:t>4 as explained below</w:t>
            </w:r>
            <w:r w:rsidR="00EE70C0">
              <w:rPr>
                <w:color w:val="000000"/>
              </w:rPr>
              <w:t>.</w:t>
            </w:r>
          </w:p>
          <w:p w:rsidRPr="004B1905" w:rsidR="00EE70C0" w:rsidP="00755CBB" w:rsidRDefault="004B1905" w14:paraId="19086124" w14:textId="02DE0097">
            <w:pPr>
              <w:keepNext/>
              <w:tabs>
                <w:tab w:val="left" w:pos="1440"/>
              </w:tabs>
              <w:rPr>
                <w:i/>
                <w:iCs/>
                <w:color w:val="000000"/>
              </w:rPr>
            </w:pPr>
            <w:r>
              <w:rPr>
                <w:i/>
                <w:iCs/>
                <w:color w:val="000000"/>
              </w:rPr>
              <w:t xml:space="preserve">Claimed Contributions </w:t>
            </w:r>
            <w:r w:rsidR="00B7168E">
              <w:rPr>
                <w:i/>
                <w:iCs/>
                <w:color w:val="000000"/>
              </w:rPr>
              <w:t xml:space="preserve">as listed </w:t>
            </w:r>
            <w:r>
              <w:rPr>
                <w:i/>
                <w:iCs/>
                <w:color w:val="000000"/>
              </w:rPr>
              <w:t>in Part II.A</w:t>
            </w:r>
          </w:p>
          <w:p w:rsidR="00AB5459" w:rsidP="004E6CFF" w:rsidRDefault="00AB5459" w14:paraId="7C130B1A" w14:textId="0155E905">
            <w:pPr>
              <w:tabs>
                <w:tab w:val="left" w:pos="1440"/>
              </w:tabs>
              <w:spacing w:after="240"/>
              <w:rPr>
                <w:color w:val="000000"/>
              </w:rPr>
            </w:pPr>
            <w:r>
              <w:rPr>
                <w:color w:val="000000"/>
              </w:rPr>
              <w:t>In Part II.A</w:t>
            </w:r>
            <w:r w:rsidR="001D0F84">
              <w:rPr>
                <w:color w:val="000000"/>
              </w:rPr>
              <w:t xml:space="preserve"> of this request for compensation</w:t>
            </w:r>
            <w:r>
              <w:rPr>
                <w:color w:val="000000"/>
              </w:rPr>
              <w:t xml:space="preserve">, A4NR </w:t>
            </w:r>
            <w:r w:rsidR="003514E5">
              <w:rPr>
                <w:color w:val="000000"/>
              </w:rPr>
              <w:t>list</w:t>
            </w:r>
            <w:r w:rsidR="00B7168E">
              <w:rPr>
                <w:color w:val="000000"/>
              </w:rPr>
              <w:t>s</w:t>
            </w:r>
            <w:r w:rsidR="003514E5">
              <w:rPr>
                <w:color w:val="000000"/>
              </w:rPr>
              <w:t xml:space="preserve"> 10</w:t>
            </w:r>
            <w:r>
              <w:rPr>
                <w:color w:val="000000"/>
              </w:rPr>
              <w:t xml:space="preserve"> contributions </w:t>
            </w:r>
            <w:r w:rsidR="00165FC7">
              <w:rPr>
                <w:color w:val="000000"/>
              </w:rPr>
              <w:t>they ma</w:t>
            </w:r>
            <w:r w:rsidR="00B7168E">
              <w:rPr>
                <w:color w:val="000000"/>
              </w:rPr>
              <w:t>d</w:t>
            </w:r>
            <w:r w:rsidR="00165FC7">
              <w:rPr>
                <w:color w:val="000000"/>
              </w:rPr>
              <w:t>e towards</w:t>
            </w:r>
            <w:r w:rsidR="003C342E">
              <w:rPr>
                <w:color w:val="000000"/>
              </w:rPr>
              <w:t xml:space="preserve"> D.24</w:t>
            </w:r>
            <w:r w:rsidR="004152B8">
              <w:rPr>
                <w:color w:val="000000"/>
              </w:rPr>
              <w:noBreakHyphen/>
            </w:r>
            <w:r w:rsidR="003C342E">
              <w:rPr>
                <w:color w:val="000000"/>
              </w:rPr>
              <w:t>12</w:t>
            </w:r>
            <w:r w:rsidR="004152B8">
              <w:rPr>
                <w:color w:val="000000"/>
              </w:rPr>
              <w:noBreakHyphen/>
            </w:r>
            <w:r w:rsidR="003C342E">
              <w:rPr>
                <w:color w:val="000000"/>
              </w:rPr>
              <w:t>033</w:t>
            </w:r>
            <w:r w:rsidR="00AD714A">
              <w:rPr>
                <w:color w:val="000000"/>
              </w:rPr>
              <w:t>.</w:t>
            </w:r>
            <w:r w:rsidR="003C342E">
              <w:rPr>
                <w:color w:val="000000"/>
              </w:rPr>
              <w:t xml:space="preserve"> </w:t>
            </w:r>
            <w:r w:rsidR="00B7168E">
              <w:rPr>
                <w:color w:val="000000"/>
              </w:rPr>
              <w:t xml:space="preserve">As discussed </w:t>
            </w:r>
            <w:r w:rsidRPr="00B7168E" w:rsidR="00B7168E">
              <w:rPr>
                <w:color w:val="000000"/>
              </w:rPr>
              <w:t>in Part II.A above, the Commission</w:t>
            </w:r>
            <w:r w:rsidR="00B7168E">
              <w:rPr>
                <w:i/>
                <w:iCs/>
                <w:color w:val="000000"/>
              </w:rPr>
              <w:t xml:space="preserve"> </w:t>
            </w:r>
            <w:r w:rsidR="003C342E">
              <w:rPr>
                <w:color w:val="000000"/>
              </w:rPr>
              <w:t>found that A4NR did not substantially contribute to the decision</w:t>
            </w:r>
            <w:r w:rsidR="004152B8">
              <w:rPr>
                <w:color w:val="000000"/>
              </w:rPr>
              <w:noBreakHyphen/>
            </w:r>
            <w:r w:rsidR="003C342E">
              <w:rPr>
                <w:color w:val="000000"/>
              </w:rPr>
              <w:t xml:space="preserve">making process </w:t>
            </w:r>
            <w:r w:rsidR="00B7168E">
              <w:rPr>
                <w:color w:val="000000"/>
              </w:rPr>
              <w:t xml:space="preserve">for </w:t>
            </w:r>
            <w:r w:rsidR="003C67D0">
              <w:rPr>
                <w:color w:val="000000"/>
              </w:rPr>
              <w:t>claimed contributions #</w:t>
            </w:r>
            <w:r w:rsidR="007F0558">
              <w:rPr>
                <w:color w:val="000000"/>
              </w:rPr>
              <w:t xml:space="preserve">4, 7, 8, 9, and 10. </w:t>
            </w:r>
            <w:r w:rsidR="00357457">
              <w:rPr>
                <w:color w:val="000000"/>
              </w:rPr>
              <w:t>That leaves</w:t>
            </w:r>
            <w:r w:rsidR="007A1DEB">
              <w:rPr>
                <w:color w:val="000000"/>
              </w:rPr>
              <w:t xml:space="preserve"> </w:t>
            </w:r>
            <w:r w:rsidR="00DE5DA8">
              <w:rPr>
                <w:color w:val="000000"/>
              </w:rPr>
              <w:t>five</w:t>
            </w:r>
            <w:r w:rsidR="007A1DEB">
              <w:rPr>
                <w:color w:val="000000"/>
              </w:rPr>
              <w:t xml:space="preserve"> claimed contributions that A4NR </w:t>
            </w:r>
            <w:r w:rsidR="00513E64">
              <w:rPr>
                <w:color w:val="000000"/>
              </w:rPr>
              <w:t>may</w:t>
            </w:r>
            <w:r w:rsidR="007A1DEB">
              <w:rPr>
                <w:color w:val="000000"/>
              </w:rPr>
              <w:t xml:space="preserve"> receiv</w:t>
            </w:r>
            <w:r w:rsidR="00513E64">
              <w:rPr>
                <w:color w:val="000000"/>
              </w:rPr>
              <w:t>e</w:t>
            </w:r>
            <w:r w:rsidR="007A1DEB">
              <w:rPr>
                <w:color w:val="000000"/>
              </w:rPr>
              <w:t xml:space="preserve"> </w:t>
            </w:r>
            <w:r w:rsidR="002366F1">
              <w:rPr>
                <w:color w:val="000000"/>
              </w:rPr>
              <w:t>compensation for:</w:t>
            </w:r>
          </w:p>
          <w:p w:rsidR="002366F1" w:rsidP="004E6CFF" w:rsidRDefault="00E127C3" w14:paraId="755954CC" w14:textId="5B2BE419">
            <w:pPr>
              <w:pStyle w:val="ListBullet"/>
              <w:spacing w:after="240"/>
              <w:contextualSpacing w:val="0"/>
            </w:pPr>
            <w:r>
              <w:t>Claimed contribution #</w:t>
            </w:r>
            <w:r w:rsidRPr="000F37B9" w:rsidR="00EA4753">
              <w:t>1</w:t>
            </w:r>
            <w:r w:rsidRPr="000F37B9" w:rsidR="006661BD">
              <w:t xml:space="preserve">: </w:t>
            </w:r>
            <w:r w:rsidRPr="000F37B9" w:rsidR="00A7204C">
              <w:t>A4NR challenged PG&amp;E</w:t>
            </w:r>
            <w:r w:rsidR="004E6CFF">
              <w:t>’</w:t>
            </w:r>
            <w:r w:rsidRPr="000F37B9" w:rsidR="00A7204C">
              <w:t>s failure to comply with D.22</w:t>
            </w:r>
            <w:r w:rsidR="004152B8">
              <w:noBreakHyphen/>
            </w:r>
            <w:r w:rsidRPr="000F37B9" w:rsidR="00A7204C">
              <w:t>12</w:t>
            </w:r>
            <w:r w:rsidR="004152B8">
              <w:noBreakHyphen/>
            </w:r>
            <w:r w:rsidRPr="000F37B9" w:rsidR="00A7204C">
              <w:t>005</w:t>
            </w:r>
            <w:r w:rsidR="004E6CFF">
              <w:t>’</w:t>
            </w:r>
            <w:r w:rsidRPr="000F37B9" w:rsidR="00A7204C">
              <w:t xml:space="preserve">s direction to use government funding for certain transition costs </w:t>
            </w:r>
            <w:r w:rsidR="004E6CFF">
              <w:t>“</w:t>
            </w:r>
            <w:r w:rsidRPr="000F37B9" w:rsidR="00A7204C">
              <w:t>to the greatest extent possible</w:t>
            </w:r>
            <w:r w:rsidR="004E6CFF">
              <w:t>”</w:t>
            </w:r>
            <w:r w:rsidRPr="000F37B9" w:rsidR="00A7204C">
              <w:t xml:space="preserve"> or explain why it had not done so.</w:t>
            </w:r>
          </w:p>
          <w:p w:rsidRPr="008E07F2" w:rsidR="003366C0" w:rsidP="004E6CFF" w:rsidRDefault="00E127C3" w14:paraId="14F2C61C" w14:textId="65A10D7E">
            <w:pPr>
              <w:pStyle w:val="ListBullet"/>
              <w:spacing w:after="240"/>
              <w:contextualSpacing w:val="0"/>
            </w:pPr>
            <w:r w:rsidRPr="008E07F2">
              <w:t>Claimed contribution #</w:t>
            </w:r>
            <w:r w:rsidRPr="008E07F2" w:rsidR="003366C0">
              <w:t>2: A4NR objected to PG&amp;E</w:t>
            </w:r>
            <w:r w:rsidRPr="008E07F2" w:rsidR="004E6CFF">
              <w:t>’</w:t>
            </w:r>
            <w:r w:rsidRPr="008E07F2" w:rsidR="003366C0">
              <w:t xml:space="preserve">s VPF spending plan for featuring projects that duplicate what a public utility is already required to fund under </w:t>
            </w:r>
            <w:r w:rsidRPr="008E07F2" w:rsidR="00F87F1A">
              <w:t>Section </w:t>
            </w:r>
            <w:r w:rsidRPr="008E07F2" w:rsidR="003366C0">
              <w:t>451, and specifically criticized PG&amp;E</w:t>
            </w:r>
            <w:r w:rsidRPr="008E07F2" w:rsidR="004E6CFF">
              <w:t>’</w:t>
            </w:r>
            <w:r w:rsidRPr="008E07F2" w:rsidR="003366C0">
              <w:t>s initial inclusion of five gas</w:t>
            </w:r>
            <w:r w:rsidRPr="008E07F2" w:rsidR="004152B8">
              <w:noBreakHyphen/>
            </w:r>
            <w:r w:rsidRPr="008E07F2" w:rsidR="003366C0">
              <w:t xml:space="preserve">related </w:t>
            </w:r>
            <w:r w:rsidRPr="008E07F2" w:rsidR="003366C0">
              <w:lastRenderedPageBreak/>
              <w:t xml:space="preserve">projects in its VPF spending plan as inconsistent with the </w:t>
            </w:r>
            <w:r w:rsidRPr="008E07F2" w:rsidR="004E6CFF">
              <w:t>“</w:t>
            </w:r>
            <w:r w:rsidRPr="008E07F2" w:rsidR="003366C0">
              <w:t>public purpose priorities</w:t>
            </w:r>
            <w:r w:rsidRPr="008E07F2" w:rsidR="004E6CFF">
              <w:t>”</w:t>
            </w:r>
            <w:r w:rsidRPr="008E07F2" w:rsidR="003366C0">
              <w:t xml:space="preserve"> requirement of the statute (Protest</w:t>
            </w:r>
            <w:r w:rsidRPr="008E07F2" w:rsidR="0094248D">
              <w:t xml:space="preserve"> at 6</w:t>
            </w:r>
            <w:r w:rsidRPr="008E07F2" w:rsidR="00BA598C">
              <w:t xml:space="preserve"> – </w:t>
            </w:r>
            <w:r w:rsidRPr="008E07F2" w:rsidR="003366C0">
              <w:t>7).</w:t>
            </w:r>
          </w:p>
          <w:p w:rsidRPr="000F37B9" w:rsidR="002366F1" w:rsidP="004E6CFF" w:rsidRDefault="00E127C3" w14:paraId="738D15A7" w14:textId="5A198E5F">
            <w:pPr>
              <w:pStyle w:val="ListBullet"/>
              <w:spacing w:after="240"/>
              <w:contextualSpacing w:val="0"/>
            </w:pPr>
            <w:r>
              <w:t>Claimed contribution #</w:t>
            </w:r>
            <w:r w:rsidRPr="000F37B9" w:rsidR="00ED4D3A">
              <w:rPr>
                <w:color w:val="000000"/>
              </w:rPr>
              <w:t>3:</w:t>
            </w:r>
            <w:r w:rsidRPr="000F37B9" w:rsidR="00ED4D3A">
              <w:t xml:space="preserve"> </w:t>
            </w:r>
            <w:r w:rsidRPr="000F37B9" w:rsidR="00ED4D3A">
              <w:rPr>
                <w:color w:val="000000"/>
              </w:rPr>
              <w:t>A4NR objected to PG&amp;E</w:t>
            </w:r>
            <w:r w:rsidR="004E6CFF">
              <w:rPr>
                <w:color w:val="000000"/>
              </w:rPr>
              <w:t>’</w:t>
            </w:r>
            <w:r w:rsidRPr="000F37B9" w:rsidR="00ED4D3A">
              <w:rPr>
                <w:color w:val="000000"/>
              </w:rPr>
              <w:t xml:space="preserve">s proposed use of a </w:t>
            </w:r>
            <w:r w:rsidR="00FA6D00">
              <w:rPr>
                <w:color w:val="000000"/>
              </w:rPr>
              <w:t>Tier </w:t>
            </w:r>
            <w:r w:rsidRPr="000F37B9" w:rsidR="00ED4D3A">
              <w:rPr>
                <w:color w:val="000000"/>
              </w:rPr>
              <w:t xml:space="preserve">3 Advice Letter, rather than a formal Application, for review of future VPF spending plans because </w:t>
            </w:r>
            <w:r w:rsidR="004E6CFF">
              <w:rPr>
                <w:color w:val="000000"/>
              </w:rPr>
              <w:t>“</w:t>
            </w:r>
            <w:r w:rsidRPr="000F37B9" w:rsidR="00ED4D3A">
              <w:rPr>
                <w:color w:val="000000"/>
              </w:rPr>
              <w:t>PG&amp;E</w:t>
            </w:r>
            <w:r w:rsidR="004E6CFF">
              <w:rPr>
                <w:color w:val="000000"/>
              </w:rPr>
              <w:t>’</w:t>
            </w:r>
            <w:r w:rsidRPr="000F37B9" w:rsidR="00ED4D3A">
              <w:rPr>
                <w:color w:val="000000"/>
              </w:rPr>
              <w:t>s oscillating process for planning VPF expenditures lacks sufficient maturity to inspire confidence</w:t>
            </w:r>
            <w:r w:rsidR="004E6CFF">
              <w:rPr>
                <w:color w:val="000000"/>
              </w:rPr>
              <w:t>”</w:t>
            </w:r>
          </w:p>
          <w:p w:rsidRPr="008E07F2" w:rsidR="002366F1" w:rsidP="004E6CFF" w:rsidRDefault="00E127C3" w14:paraId="4D9DC2B9" w14:textId="0A4F1FD4">
            <w:pPr>
              <w:pStyle w:val="ListBullet"/>
              <w:spacing w:after="240"/>
              <w:contextualSpacing w:val="0"/>
            </w:pPr>
            <w:r w:rsidRPr="008E07F2">
              <w:t>Claimed contribution #</w:t>
            </w:r>
            <w:r w:rsidRPr="008E07F2" w:rsidR="00ED4D3A">
              <w:t>5</w:t>
            </w:r>
            <w:r w:rsidRPr="008E07F2" w:rsidR="000F37B9">
              <w:t>:</w:t>
            </w:r>
            <w:r w:rsidRPr="008E07F2" w:rsidR="00ED4D3A">
              <w:t xml:space="preserve"> </w:t>
            </w:r>
            <w:r w:rsidRPr="008E07F2" w:rsidR="00ED4D3A">
              <w:rPr>
                <w:color w:val="000000"/>
              </w:rPr>
              <w:t>A4NR objected to PG&amp;E</w:t>
            </w:r>
            <w:r w:rsidRPr="008E07F2" w:rsidR="004E6CFF">
              <w:rPr>
                <w:color w:val="000000"/>
              </w:rPr>
              <w:t>’</w:t>
            </w:r>
            <w:r w:rsidRPr="008E07F2" w:rsidR="00ED4D3A">
              <w:rPr>
                <w:color w:val="000000"/>
              </w:rPr>
              <w:t xml:space="preserve">s dysfunctional proposed schedule for the proceeding, refusing to waive its right to the time prescribed by </w:t>
            </w:r>
            <w:r w:rsidRPr="008E07F2" w:rsidR="00470240">
              <w:rPr>
                <w:color w:val="000000"/>
              </w:rPr>
              <w:t>Rule </w:t>
            </w:r>
            <w:r w:rsidRPr="008E07F2" w:rsidR="00ED4D3A">
              <w:rPr>
                <w:color w:val="000000"/>
              </w:rPr>
              <w:t>14.3 for Opening and Reply Comments on a Proposed Decision (Protest</w:t>
            </w:r>
            <w:r w:rsidRPr="008E07F2" w:rsidR="0094248D">
              <w:rPr>
                <w:color w:val="000000"/>
              </w:rPr>
              <w:t xml:space="preserve"> at 7</w:t>
            </w:r>
            <w:r w:rsidRPr="008E07F2" w:rsidR="00BA598C">
              <w:rPr>
                <w:color w:val="000000"/>
              </w:rPr>
              <w:t xml:space="preserve"> – </w:t>
            </w:r>
            <w:r w:rsidRPr="008E07F2" w:rsidR="00ED4D3A">
              <w:rPr>
                <w:color w:val="000000"/>
              </w:rPr>
              <w:t xml:space="preserve">8) and later exercising its right under </w:t>
            </w:r>
            <w:r w:rsidRPr="008E07F2" w:rsidR="00470240">
              <w:rPr>
                <w:color w:val="000000"/>
              </w:rPr>
              <w:t>Rule </w:t>
            </w:r>
            <w:r w:rsidRPr="008E07F2" w:rsidR="00ED4D3A">
              <w:rPr>
                <w:color w:val="000000"/>
              </w:rPr>
              <w:t>13.14 to request oral argument in a ratemaking proceeding</w:t>
            </w:r>
          </w:p>
          <w:p w:rsidRPr="004B1905" w:rsidR="00ED4D3A" w:rsidP="004E6CFF" w:rsidRDefault="00E127C3" w14:paraId="60C307A5" w14:textId="3B3A644E">
            <w:pPr>
              <w:pStyle w:val="ListBullet"/>
              <w:spacing w:after="240"/>
              <w:contextualSpacing w:val="0"/>
            </w:pPr>
            <w:r>
              <w:t>Claimed contribution #</w:t>
            </w:r>
            <w:r w:rsidRPr="000F37B9" w:rsidR="00ED4D3A">
              <w:t>6</w:t>
            </w:r>
            <w:r w:rsidR="000F37B9">
              <w:t>:</w:t>
            </w:r>
            <w:r w:rsidRPr="000F37B9" w:rsidR="00ED4D3A">
              <w:t xml:space="preserve"> </w:t>
            </w:r>
            <w:r w:rsidRPr="000F37B9" w:rsidR="00ED4D3A">
              <w:rPr>
                <w:color w:val="000000"/>
              </w:rPr>
              <w:t>A4NR opposed PG&amp;E</w:t>
            </w:r>
            <w:r w:rsidR="004E6CFF">
              <w:rPr>
                <w:color w:val="000000"/>
              </w:rPr>
              <w:t>’</w:t>
            </w:r>
            <w:r w:rsidRPr="000F37B9" w:rsidR="00ED4D3A">
              <w:rPr>
                <w:color w:val="000000"/>
              </w:rPr>
              <w:t>s proposed modification of D.23</w:t>
            </w:r>
            <w:r w:rsidR="004152B8">
              <w:rPr>
                <w:color w:val="000000"/>
              </w:rPr>
              <w:noBreakHyphen/>
            </w:r>
            <w:r w:rsidRPr="000F37B9" w:rsidR="00ED4D3A">
              <w:rPr>
                <w:color w:val="000000"/>
              </w:rPr>
              <w:t>12</w:t>
            </w:r>
            <w:r w:rsidR="004152B8">
              <w:rPr>
                <w:color w:val="000000"/>
              </w:rPr>
              <w:noBreakHyphen/>
            </w:r>
            <w:r w:rsidRPr="000F37B9" w:rsidR="00ED4D3A">
              <w:rPr>
                <w:color w:val="000000"/>
              </w:rPr>
              <w:t>036</w:t>
            </w:r>
            <w:r w:rsidR="004E6CFF">
              <w:rPr>
                <w:color w:val="000000"/>
              </w:rPr>
              <w:t>’</w:t>
            </w:r>
            <w:r w:rsidRPr="000F37B9" w:rsidR="00ED4D3A">
              <w:rPr>
                <w:color w:val="000000"/>
              </w:rPr>
              <w:t>s method for allocating Diablo Canyon</w:t>
            </w:r>
            <w:r w:rsidR="004E6CFF">
              <w:rPr>
                <w:color w:val="000000"/>
              </w:rPr>
              <w:t>’</w:t>
            </w:r>
            <w:r w:rsidRPr="000F37B9" w:rsidR="00ED4D3A">
              <w:rPr>
                <w:color w:val="000000"/>
              </w:rPr>
              <w:t>s RA and GHG attributes to jurisdictional LSEs</w:t>
            </w:r>
          </w:p>
          <w:p w:rsidR="006C7517" w:rsidP="004E6CFF" w:rsidRDefault="00F47C11" w14:paraId="71BFD260" w14:textId="431964AC">
            <w:pPr>
              <w:tabs>
                <w:tab w:val="left" w:pos="1440"/>
              </w:tabs>
              <w:spacing w:after="240"/>
            </w:pPr>
            <w:r>
              <w:t xml:space="preserve">We find that </w:t>
            </w:r>
            <w:r w:rsidR="003A3835">
              <w:t>for the</w:t>
            </w:r>
            <w:r w:rsidR="00C5075E">
              <w:t xml:space="preserve">se five claimed contributions that they are related to the following issues A4NR identified in Part </w:t>
            </w:r>
            <w:proofErr w:type="spellStart"/>
            <w:r w:rsidR="00C5075E">
              <w:t>III.A</w:t>
            </w:r>
            <w:r w:rsidR="006C7517">
              <w:t>.c</w:t>
            </w:r>
            <w:proofErr w:type="spellEnd"/>
            <w:r w:rsidR="006C7517">
              <w:t xml:space="preserve">: </w:t>
            </w:r>
          </w:p>
          <w:p w:rsidR="00962FD8" w:rsidP="00584205" w:rsidRDefault="006C7517" w14:paraId="35326DB7" w14:textId="52E78014">
            <w:pPr>
              <w:pStyle w:val="ListBullet"/>
              <w:spacing w:after="240"/>
              <w:contextualSpacing w:val="0"/>
            </w:pPr>
            <w:r>
              <w:rPr>
                <w:iCs/>
              </w:rPr>
              <w:t>Issue 1</w:t>
            </w:r>
            <w:r>
              <w:t>: “</w:t>
            </w:r>
            <w:r w:rsidRPr="002710DB">
              <w:t>PG&amp;E forecast revenue requirement</w:t>
            </w:r>
            <w:r>
              <w:t>”</w:t>
            </w:r>
            <w:r>
              <w:rPr>
                <w:iCs/>
              </w:rPr>
              <w:t xml:space="preserve">: </w:t>
            </w:r>
            <w:r w:rsidR="0044062C">
              <w:t>claimed contribution #</w:t>
            </w:r>
            <w:r w:rsidR="00F47C11">
              <w:t>1</w:t>
            </w:r>
            <w:r w:rsidR="00CE0A0C">
              <w:t>.</w:t>
            </w:r>
            <w:r w:rsidR="00F47C11">
              <w:t xml:space="preserve"> </w:t>
            </w:r>
          </w:p>
          <w:p w:rsidR="00CE0A0C" w:rsidP="00584205" w:rsidRDefault="006C7517" w14:paraId="2AE6D4BF" w14:textId="5B4F5EBA">
            <w:pPr>
              <w:pStyle w:val="ListBullet"/>
              <w:spacing w:after="240"/>
              <w:contextualSpacing w:val="0"/>
            </w:pPr>
            <w:r>
              <w:t>Issue 2: “</w:t>
            </w:r>
            <w:r w:rsidRPr="009E57A5">
              <w:t>PG&amp;E proposed reallocation of RA and GHG attributes</w:t>
            </w:r>
            <w:r>
              <w:t>”</w:t>
            </w:r>
            <w:r w:rsidR="00CE0A0C">
              <w:t xml:space="preserve">: </w:t>
            </w:r>
            <w:r w:rsidR="00791AF4">
              <w:t>claimed contribution #6</w:t>
            </w:r>
            <w:r w:rsidR="00CE0A0C">
              <w:t>.</w:t>
            </w:r>
          </w:p>
          <w:p w:rsidR="008A0AEA" w:rsidP="00584205" w:rsidRDefault="00FD1896" w14:paraId="42F07DB3" w14:textId="69A8343B">
            <w:pPr>
              <w:pStyle w:val="ListBullet"/>
              <w:spacing w:after="240"/>
              <w:contextualSpacing w:val="0"/>
            </w:pPr>
            <w:r>
              <w:t xml:space="preserve"> </w:t>
            </w:r>
            <w:r w:rsidR="008A0AEA">
              <w:t>Issue 3: “</w:t>
            </w:r>
            <w:r w:rsidRPr="00150CF4" w:rsidR="008A0AEA">
              <w:t>PG&amp;E proposed VPF spending plan</w:t>
            </w:r>
            <w:r w:rsidR="008A0AEA">
              <w:t xml:space="preserve">”: </w:t>
            </w:r>
            <w:r>
              <w:t xml:space="preserve">claimed </w:t>
            </w:r>
            <w:r w:rsidR="00A704E4">
              <w:t>contribution</w:t>
            </w:r>
            <w:r w:rsidR="00965406">
              <w:t>s #2 and #3</w:t>
            </w:r>
            <w:r w:rsidR="008A0AEA">
              <w:t>.</w:t>
            </w:r>
          </w:p>
          <w:p w:rsidR="00C95DC4" w:rsidP="00584205" w:rsidRDefault="008A0AEA" w14:paraId="795960F2" w14:textId="18F746E8">
            <w:pPr>
              <w:pStyle w:val="ListBullet"/>
              <w:spacing w:after="240"/>
              <w:contextualSpacing w:val="0"/>
            </w:pPr>
            <w:r w:rsidRPr="008A0AEA">
              <w:t>Issue 4: “compliance with D.23</w:t>
            </w:r>
            <w:r w:rsidR="004152B8">
              <w:rPr>
                <w:color w:val="000000"/>
              </w:rPr>
              <w:noBreakHyphen/>
            </w:r>
            <w:r w:rsidRPr="008A0AEA">
              <w:t>12</w:t>
            </w:r>
            <w:r w:rsidR="004152B8">
              <w:rPr>
                <w:color w:val="000000"/>
              </w:rPr>
              <w:noBreakHyphen/>
            </w:r>
            <w:r w:rsidRPr="008A0AEA">
              <w:t>036 and D.22</w:t>
            </w:r>
            <w:r w:rsidR="004152B8">
              <w:rPr>
                <w:color w:val="000000"/>
              </w:rPr>
              <w:noBreakHyphen/>
            </w:r>
            <w:r w:rsidRPr="008A0AEA">
              <w:t>12</w:t>
            </w:r>
            <w:r w:rsidR="004152B8">
              <w:rPr>
                <w:color w:val="000000"/>
              </w:rPr>
              <w:noBreakHyphen/>
            </w:r>
            <w:r w:rsidRPr="008A0AEA">
              <w:t>005”</w:t>
            </w:r>
            <w:r>
              <w:t>:</w:t>
            </w:r>
            <w:r w:rsidR="00150CF4">
              <w:t xml:space="preserve"> </w:t>
            </w:r>
            <w:r w:rsidR="0044062C">
              <w:t>claimed contribution</w:t>
            </w:r>
            <w:r w:rsidR="006C71DE">
              <w:t>s</w:t>
            </w:r>
            <w:r w:rsidR="0044062C">
              <w:t xml:space="preserve"> #</w:t>
            </w:r>
            <w:r w:rsidR="00F47C11">
              <w:t xml:space="preserve">1, </w:t>
            </w:r>
            <w:r w:rsidR="00715481">
              <w:t>#</w:t>
            </w:r>
            <w:r w:rsidR="00F47C11">
              <w:t xml:space="preserve">3, and </w:t>
            </w:r>
            <w:r w:rsidR="00715481">
              <w:t>#</w:t>
            </w:r>
            <w:r w:rsidR="00F47C11">
              <w:t xml:space="preserve">6 </w:t>
            </w:r>
            <w:r>
              <w:t>.</w:t>
            </w:r>
            <w:r w:rsidR="00366586">
              <w:t xml:space="preserve"> </w:t>
            </w:r>
          </w:p>
          <w:p w:rsidRPr="00962FD8" w:rsidR="00C95DC4" w:rsidP="00584205" w:rsidRDefault="00C95DC4" w14:paraId="055D0051" w14:textId="226A39DF">
            <w:pPr>
              <w:pStyle w:val="ListBullet"/>
              <w:spacing w:after="240"/>
              <w:contextualSpacing w:val="0"/>
              <w:rPr>
                <w:i/>
                <w:iCs/>
                <w:color w:val="000000"/>
              </w:rPr>
            </w:pPr>
            <w:r>
              <w:t xml:space="preserve">Issue 5: “general”: </w:t>
            </w:r>
            <w:r w:rsidR="00366586">
              <w:t xml:space="preserve">claimed </w:t>
            </w:r>
            <w:r w:rsidR="0027627F">
              <w:t>contribution #5</w:t>
            </w:r>
            <w:r w:rsidR="00962FD8">
              <w:t>.</w:t>
            </w:r>
            <w:r w:rsidR="0027627F">
              <w:t xml:space="preserve"> </w:t>
            </w:r>
            <w:r w:rsidR="00A41EF6">
              <w:t xml:space="preserve"> </w:t>
            </w:r>
          </w:p>
          <w:p w:rsidRPr="000F37B9" w:rsidR="000F37B9" w:rsidP="00755CBB" w:rsidRDefault="000F37B9" w14:paraId="131BFEF8" w14:textId="7F61C341">
            <w:pPr>
              <w:pStyle w:val="ListBullet"/>
              <w:numPr>
                <w:ilvl w:val="0"/>
                <w:numId w:val="0"/>
              </w:numPr>
              <w:rPr>
                <w:b/>
                <w:bCs/>
                <w:i/>
                <w:iCs/>
                <w:color w:val="000000"/>
              </w:rPr>
            </w:pPr>
            <w:r w:rsidRPr="000F37B9">
              <w:rPr>
                <w:i/>
                <w:iCs/>
                <w:color w:val="000000"/>
              </w:rPr>
              <w:t xml:space="preserve">Issue 1: </w:t>
            </w:r>
            <w:r w:rsidR="004E6CFF">
              <w:rPr>
                <w:i/>
                <w:iCs/>
                <w:color w:val="000000"/>
              </w:rPr>
              <w:t>“</w:t>
            </w:r>
            <w:r w:rsidRPr="000F37B9">
              <w:rPr>
                <w:i/>
                <w:iCs/>
                <w:color w:val="000000"/>
              </w:rPr>
              <w:t>PG&amp;E forecast revenue requirement</w:t>
            </w:r>
            <w:r w:rsidR="004E6CFF">
              <w:rPr>
                <w:i/>
                <w:iCs/>
                <w:color w:val="000000"/>
              </w:rPr>
              <w:t>”</w:t>
            </w:r>
            <w:r w:rsidRPr="000F37B9">
              <w:rPr>
                <w:i/>
                <w:iCs/>
                <w:color w:val="000000"/>
              </w:rPr>
              <w:t xml:space="preserve"> </w:t>
            </w:r>
            <w:r>
              <w:rPr>
                <w:i/>
                <w:iCs/>
                <w:color w:val="000000"/>
              </w:rPr>
              <w:t>(</w:t>
            </w:r>
            <w:r w:rsidR="00A83BAE">
              <w:rPr>
                <w:i/>
                <w:iCs/>
                <w:color w:val="000000"/>
              </w:rPr>
              <w:t>100</w:t>
            </w:r>
            <w:r w:rsidRPr="00D50159" w:rsidR="00363C51">
              <w:rPr>
                <w:i/>
                <w:iCs/>
                <w:color w:val="000000"/>
              </w:rPr>
              <w:t>.00</w:t>
            </w:r>
            <w:r w:rsidRPr="00D50159">
              <w:rPr>
                <w:i/>
                <w:iCs/>
                <w:color w:val="000000"/>
              </w:rPr>
              <w:t xml:space="preserve"> Hours </w:t>
            </w:r>
            <w:r w:rsidR="00811155">
              <w:rPr>
                <w:i/>
                <w:iCs/>
                <w:color w:val="000000"/>
              </w:rPr>
              <w:t>reduced</w:t>
            </w:r>
            <w:r>
              <w:rPr>
                <w:i/>
                <w:iCs/>
                <w:color w:val="000000"/>
              </w:rPr>
              <w:t>)</w:t>
            </w:r>
          </w:p>
          <w:p w:rsidR="00030CB3" w:rsidP="004E6CFF" w:rsidRDefault="00D66A75" w14:paraId="7FCBBEBB" w14:textId="7B159C6C">
            <w:pPr>
              <w:tabs>
                <w:tab w:val="left" w:pos="1440"/>
              </w:tabs>
              <w:spacing w:after="240"/>
              <w:rPr>
                <w:color w:val="000000"/>
              </w:rPr>
            </w:pPr>
            <w:r>
              <w:rPr>
                <w:color w:val="000000"/>
              </w:rPr>
              <w:t>A4NR claimed</w:t>
            </w:r>
            <w:r w:rsidR="008839B9">
              <w:rPr>
                <w:color w:val="000000"/>
              </w:rPr>
              <w:t xml:space="preserve"> 211.82</w:t>
            </w:r>
            <w:r w:rsidR="00D80EDA">
              <w:rPr>
                <w:color w:val="000000"/>
              </w:rPr>
              <w:t>55</w:t>
            </w:r>
            <w:r w:rsidR="008839B9">
              <w:rPr>
                <w:color w:val="000000"/>
              </w:rPr>
              <w:t xml:space="preserve"> hours </w:t>
            </w:r>
            <w:r w:rsidR="00647D68">
              <w:rPr>
                <w:color w:val="000000"/>
              </w:rPr>
              <w:t>of</w:t>
            </w:r>
            <w:r w:rsidR="000F2DA8">
              <w:rPr>
                <w:color w:val="000000"/>
              </w:rPr>
              <w:t xml:space="preserve"> </w:t>
            </w:r>
            <w:r w:rsidR="00433227">
              <w:rPr>
                <w:color w:val="000000"/>
              </w:rPr>
              <w:t>work on</w:t>
            </w:r>
            <w:r w:rsidR="00900DA9">
              <w:rPr>
                <w:color w:val="000000"/>
              </w:rPr>
              <w:t xml:space="preserve"> Issue 1</w:t>
            </w:r>
            <w:r w:rsidR="004A6936">
              <w:rPr>
                <w:color w:val="000000"/>
              </w:rPr>
              <w:t xml:space="preserve">. </w:t>
            </w:r>
            <w:r w:rsidR="00A104BA">
              <w:rPr>
                <w:color w:val="000000"/>
              </w:rPr>
              <w:t>This</w:t>
            </w:r>
            <w:r w:rsidR="00E5415E">
              <w:rPr>
                <w:color w:val="000000"/>
              </w:rPr>
              <w:t xml:space="preserve"> was the </w:t>
            </w:r>
            <w:r w:rsidR="00BC2066">
              <w:rPr>
                <w:color w:val="000000"/>
              </w:rPr>
              <w:t xml:space="preserve">primary </w:t>
            </w:r>
            <w:r w:rsidR="00E5415E">
              <w:rPr>
                <w:color w:val="000000"/>
              </w:rPr>
              <w:t>issue in th</w:t>
            </w:r>
            <w:r w:rsidR="00BC2066">
              <w:rPr>
                <w:color w:val="000000"/>
              </w:rPr>
              <w:t>e</w:t>
            </w:r>
            <w:r w:rsidR="00E5415E">
              <w:rPr>
                <w:color w:val="000000"/>
              </w:rPr>
              <w:t xml:space="preserve"> proceeding and </w:t>
            </w:r>
            <w:r w:rsidR="00024387">
              <w:rPr>
                <w:color w:val="000000"/>
              </w:rPr>
              <w:t xml:space="preserve">the Commission </w:t>
            </w:r>
            <w:r w:rsidR="00BC2066">
              <w:rPr>
                <w:color w:val="000000"/>
              </w:rPr>
              <w:t>devoted more than</w:t>
            </w:r>
            <w:r w:rsidR="00024387">
              <w:rPr>
                <w:color w:val="000000"/>
              </w:rPr>
              <w:t xml:space="preserve"> 30 pages of </w:t>
            </w:r>
            <w:r w:rsidR="00E5415E">
              <w:rPr>
                <w:color w:val="000000"/>
              </w:rPr>
              <w:t>D.24</w:t>
            </w:r>
            <w:r w:rsidR="004152B8">
              <w:rPr>
                <w:color w:val="000000"/>
              </w:rPr>
              <w:noBreakHyphen/>
            </w:r>
            <w:r w:rsidR="00E5415E">
              <w:rPr>
                <w:color w:val="000000"/>
              </w:rPr>
              <w:t>12</w:t>
            </w:r>
            <w:r w:rsidR="004152B8">
              <w:rPr>
                <w:color w:val="000000"/>
              </w:rPr>
              <w:noBreakHyphen/>
            </w:r>
            <w:r w:rsidR="00E5415E">
              <w:rPr>
                <w:color w:val="000000"/>
              </w:rPr>
              <w:t>033</w:t>
            </w:r>
            <w:r w:rsidR="00A104BA">
              <w:rPr>
                <w:color w:val="000000"/>
              </w:rPr>
              <w:t xml:space="preserve"> </w:t>
            </w:r>
            <w:r w:rsidR="00A20DE7">
              <w:rPr>
                <w:color w:val="000000"/>
              </w:rPr>
              <w:t xml:space="preserve">to its </w:t>
            </w:r>
            <w:r w:rsidR="00024387">
              <w:rPr>
                <w:color w:val="000000"/>
              </w:rPr>
              <w:t>discussi</w:t>
            </w:r>
            <w:r w:rsidR="00A20DE7">
              <w:rPr>
                <w:color w:val="000000"/>
              </w:rPr>
              <w:t>o</w:t>
            </w:r>
            <w:r w:rsidR="00024387">
              <w:rPr>
                <w:color w:val="000000"/>
              </w:rPr>
              <w:t>n</w:t>
            </w:r>
            <w:r w:rsidR="00A20DE7">
              <w:rPr>
                <w:color w:val="000000"/>
              </w:rPr>
              <w:t xml:space="preserve"> </w:t>
            </w:r>
            <w:r w:rsidR="00DE1E51">
              <w:rPr>
                <w:color w:val="000000"/>
              </w:rPr>
              <w:t xml:space="preserve">(see </w:t>
            </w:r>
            <w:r w:rsidR="004E6CFF">
              <w:rPr>
                <w:color w:val="000000"/>
              </w:rPr>
              <w:t>“</w:t>
            </w:r>
            <w:r w:rsidR="00FB2808">
              <w:rPr>
                <w:color w:val="000000"/>
              </w:rPr>
              <w:t>6. PG&amp;E</w:t>
            </w:r>
            <w:r w:rsidR="004E6CFF">
              <w:rPr>
                <w:color w:val="000000"/>
              </w:rPr>
              <w:t>’</w:t>
            </w:r>
            <w:r w:rsidR="00FB2808">
              <w:rPr>
                <w:color w:val="000000"/>
              </w:rPr>
              <w:t>s Forecasted Cost and Requested Revenue Requirements</w:t>
            </w:r>
            <w:r w:rsidR="004E6CFF">
              <w:rPr>
                <w:color w:val="000000"/>
              </w:rPr>
              <w:t>”</w:t>
            </w:r>
            <w:r w:rsidR="00DE1E51">
              <w:rPr>
                <w:color w:val="000000"/>
              </w:rPr>
              <w:t xml:space="preserve"> of </w:t>
            </w:r>
            <w:r w:rsidR="00E17E02">
              <w:rPr>
                <w:color w:val="000000"/>
              </w:rPr>
              <w:t>D.24</w:t>
            </w:r>
            <w:r w:rsidR="00E17E02">
              <w:rPr>
                <w:color w:val="000000"/>
              </w:rPr>
              <w:noBreakHyphen/>
              <w:t>12</w:t>
            </w:r>
            <w:r w:rsidR="00E17E02">
              <w:rPr>
                <w:color w:val="000000"/>
              </w:rPr>
              <w:noBreakHyphen/>
              <w:t>033</w:t>
            </w:r>
            <w:r w:rsidR="00DE1E51">
              <w:rPr>
                <w:color w:val="000000"/>
              </w:rPr>
              <w:t>).</w:t>
            </w:r>
            <w:r w:rsidR="00FB2808">
              <w:rPr>
                <w:color w:val="000000"/>
              </w:rPr>
              <w:t xml:space="preserve"> </w:t>
            </w:r>
            <w:r w:rsidR="00030CB3">
              <w:rPr>
                <w:color w:val="000000"/>
              </w:rPr>
              <w:t>T</w:t>
            </w:r>
            <w:r w:rsidR="00743306">
              <w:rPr>
                <w:color w:val="000000"/>
              </w:rPr>
              <w:t xml:space="preserve">he only </w:t>
            </w:r>
            <w:r w:rsidR="00E17E02">
              <w:rPr>
                <w:color w:val="000000"/>
              </w:rPr>
              <w:t xml:space="preserve">references </w:t>
            </w:r>
            <w:r w:rsidR="00743306">
              <w:rPr>
                <w:color w:val="000000"/>
              </w:rPr>
              <w:t xml:space="preserve">A4NR </w:t>
            </w:r>
            <w:r w:rsidR="00504A88">
              <w:rPr>
                <w:color w:val="000000"/>
              </w:rPr>
              <w:t xml:space="preserve">made </w:t>
            </w:r>
            <w:r w:rsidR="00743306">
              <w:rPr>
                <w:color w:val="000000"/>
              </w:rPr>
              <w:t xml:space="preserve">to that </w:t>
            </w:r>
            <w:r w:rsidR="00F11066">
              <w:rPr>
                <w:color w:val="000000"/>
              </w:rPr>
              <w:t xml:space="preserve">section </w:t>
            </w:r>
            <w:r w:rsidR="00A158FC">
              <w:rPr>
                <w:color w:val="000000"/>
              </w:rPr>
              <w:t xml:space="preserve">of the </w:t>
            </w:r>
            <w:r w:rsidR="00A158FC">
              <w:rPr>
                <w:color w:val="000000"/>
              </w:rPr>
              <w:lastRenderedPageBreak/>
              <w:t xml:space="preserve">decision </w:t>
            </w:r>
            <w:r w:rsidR="00F11066">
              <w:rPr>
                <w:color w:val="000000"/>
              </w:rPr>
              <w:t xml:space="preserve">are in </w:t>
            </w:r>
            <w:r w:rsidR="00A158FC">
              <w:t xml:space="preserve">claimed contributions </w:t>
            </w:r>
            <w:r w:rsidR="00A158FC">
              <w:rPr>
                <w:color w:val="000000"/>
              </w:rPr>
              <w:t>#</w:t>
            </w:r>
            <w:r w:rsidR="00F11066">
              <w:rPr>
                <w:color w:val="000000"/>
              </w:rPr>
              <w:t xml:space="preserve">1 and </w:t>
            </w:r>
            <w:r w:rsidR="00A158FC">
              <w:rPr>
                <w:color w:val="000000"/>
              </w:rPr>
              <w:t>#</w:t>
            </w:r>
            <w:r w:rsidR="00F11066">
              <w:rPr>
                <w:color w:val="000000"/>
              </w:rPr>
              <w:t>4.</w:t>
            </w:r>
            <w:r w:rsidR="00A104BA">
              <w:rPr>
                <w:color w:val="000000"/>
              </w:rPr>
              <w:t xml:space="preserve"> </w:t>
            </w:r>
            <w:r w:rsidR="00030CB3">
              <w:rPr>
                <w:color w:val="000000"/>
              </w:rPr>
              <w:t>However, as explained above, A4NR did</w:t>
            </w:r>
            <w:r w:rsidR="002D7F7B">
              <w:rPr>
                <w:color w:val="000000"/>
              </w:rPr>
              <w:t xml:space="preserve"> not</w:t>
            </w:r>
            <w:r w:rsidR="00030CB3">
              <w:rPr>
                <w:color w:val="000000"/>
              </w:rPr>
              <w:t xml:space="preserve"> make a substantial contribution to the decision</w:t>
            </w:r>
            <w:r w:rsidR="004152B8">
              <w:rPr>
                <w:color w:val="000000"/>
              </w:rPr>
              <w:noBreakHyphen/>
            </w:r>
            <w:r w:rsidR="00030CB3">
              <w:rPr>
                <w:color w:val="000000"/>
              </w:rPr>
              <w:t xml:space="preserve">making process </w:t>
            </w:r>
            <w:r w:rsidR="00A158FC">
              <w:rPr>
                <w:color w:val="000000"/>
              </w:rPr>
              <w:t xml:space="preserve">with respect to </w:t>
            </w:r>
            <w:r w:rsidR="00A158FC">
              <w:t>claimed contributions</w:t>
            </w:r>
            <w:r w:rsidR="00417735">
              <w:t xml:space="preserve"> </w:t>
            </w:r>
            <w:r w:rsidR="00A158FC">
              <w:rPr>
                <w:color w:val="000000"/>
              </w:rPr>
              <w:t>#</w:t>
            </w:r>
            <w:r w:rsidR="00030CB3">
              <w:rPr>
                <w:color w:val="000000"/>
              </w:rPr>
              <w:t>4.</w:t>
            </w:r>
          </w:p>
          <w:p w:rsidR="00AB4478" w:rsidP="004E6CFF" w:rsidRDefault="009A6E14" w14:paraId="6CAD5586" w14:textId="7FC26E98">
            <w:pPr>
              <w:tabs>
                <w:tab w:val="left" w:pos="1440"/>
              </w:tabs>
              <w:spacing w:after="240"/>
              <w:rPr>
                <w:color w:val="000000"/>
              </w:rPr>
            </w:pPr>
            <w:r>
              <w:rPr>
                <w:color w:val="000000"/>
              </w:rPr>
              <w:t>A4NR claim</w:t>
            </w:r>
            <w:r w:rsidR="00D24234">
              <w:rPr>
                <w:color w:val="000000"/>
              </w:rPr>
              <w:t>ed</w:t>
            </w:r>
            <w:r>
              <w:rPr>
                <w:color w:val="000000"/>
              </w:rPr>
              <w:t xml:space="preserve"> </w:t>
            </w:r>
            <w:r w:rsidR="0060782F">
              <w:rPr>
                <w:color w:val="000000"/>
              </w:rPr>
              <w:t xml:space="preserve">over </w:t>
            </w:r>
            <w:r>
              <w:rPr>
                <w:color w:val="000000"/>
              </w:rPr>
              <w:t>200</w:t>
            </w:r>
            <w:r w:rsidR="0060782F">
              <w:rPr>
                <w:color w:val="000000"/>
              </w:rPr>
              <w:t xml:space="preserve"> </w:t>
            </w:r>
            <w:r>
              <w:rPr>
                <w:color w:val="000000"/>
              </w:rPr>
              <w:t xml:space="preserve">hours for work on Issue 1, </w:t>
            </w:r>
            <w:r w:rsidR="00D24234">
              <w:rPr>
                <w:color w:val="000000"/>
              </w:rPr>
              <w:t xml:space="preserve">which we find excessive </w:t>
            </w:r>
            <w:r w:rsidR="0060782F">
              <w:rPr>
                <w:color w:val="000000"/>
              </w:rPr>
              <w:t xml:space="preserve">considering </w:t>
            </w:r>
            <w:r>
              <w:rPr>
                <w:color w:val="000000"/>
              </w:rPr>
              <w:t>their</w:t>
            </w:r>
            <w:r w:rsidR="00071664">
              <w:rPr>
                <w:color w:val="000000"/>
              </w:rPr>
              <w:t xml:space="preserve"> </w:t>
            </w:r>
            <w:r>
              <w:rPr>
                <w:color w:val="000000"/>
              </w:rPr>
              <w:t>contributions</w:t>
            </w:r>
            <w:r w:rsidR="00071664">
              <w:rPr>
                <w:color w:val="000000"/>
              </w:rPr>
              <w:t xml:space="preserve"> </w:t>
            </w:r>
            <w:r w:rsidR="00C24901">
              <w:rPr>
                <w:color w:val="000000"/>
              </w:rPr>
              <w:t xml:space="preserve">here </w:t>
            </w:r>
            <w:r w:rsidR="00952037">
              <w:rPr>
                <w:color w:val="000000"/>
              </w:rPr>
              <w:t>were</w:t>
            </w:r>
            <w:r w:rsidR="00071664">
              <w:rPr>
                <w:color w:val="000000"/>
              </w:rPr>
              <w:t xml:space="preserve"> limited</w:t>
            </w:r>
            <w:r>
              <w:rPr>
                <w:color w:val="000000"/>
              </w:rPr>
              <w:t>.</w:t>
            </w:r>
            <w:r w:rsidR="00E17E02">
              <w:rPr>
                <w:color w:val="000000"/>
              </w:rPr>
              <w:t xml:space="preserve"> </w:t>
            </w:r>
            <w:r w:rsidR="00701D3A">
              <w:rPr>
                <w:color w:val="000000"/>
              </w:rPr>
              <w:t xml:space="preserve">As </w:t>
            </w:r>
            <w:r w:rsidR="00753AEC">
              <w:rPr>
                <w:color w:val="000000"/>
              </w:rPr>
              <w:t xml:space="preserve">discussed </w:t>
            </w:r>
            <w:r w:rsidR="00701D3A">
              <w:rPr>
                <w:color w:val="000000"/>
              </w:rPr>
              <w:t>in the CPUC Discussion column of Part II.A.1</w:t>
            </w:r>
            <w:r w:rsidR="00753AEC">
              <w:rPr>
                <w:color w:val="000000"/>
              </w:rPr>
              <w:t xml:space="preserve"> above</w:t>
            </w:r>
            <w:r w:rsidR="00701D3A">
              <w:rPr>
                <w:color w:val="000000"/>
              </w:rPr>
              <w:t xml:space="preserve">, </w:t>
            </w:r>
            <w:r w:rsidR="00CA52B7">
              <w:rPr>
                <w:color w:val="000000"/>
              </w:rPr>
              <w:t xml:space="preserve">the decision rejected </w:t>
            </w:r>
            <w:r w:rsidR="00701D3A">
              <w:rPr>
                <w:color w:val="000000"/>
              </w:rPr>
              <w:t>A4NR</w:t>
            </w:r>
            <w:r w:rsidR="004E6CFF">
              <w:rPr>
                <w:color w:val="000000"/>
              </w:rPr>
              <w:t>’</w:t>
            </w:r>
            <w:r w:rsidR="00701D3A">
              <w:rPr>
                <w:color w:val="000000"/>
              </w:rPr>
              <w:t>s</w:t>
            </w:r>
            <w:r w:rsidR="00AA43C3">
              <w:rPr>
                <w:color w:val="000000"/>
              </w:rPr>
              <w:t xml:space="preserve"> </w:t>
            </w:r>
            <w:r w:rsidR="00CA52B7">
              <w:t xml:space="preserve">claimed contributions </w:t>
            </w:r>
            <w:r w:rsidR="00CA52B7">
              <w:rPr>
                <w:color w:val="000000"/>
              </w:rPr>
              <w:t xml:space="preserve">#1 </w:t>
            </w:r>
            <w:r w:rsidR="00132682">
              <w:rPr>
                <w:color w:val="000000"/>
              </w:rPr>
              <w:t>as overly broad.</w:t>
            </w:r>
            <w:r w:rsidR="00D97B91">
              <w:rPr>
                <w:color w:val="000000"/>
              </w:rPr>
              <w:t xml:space="preserve"> </w:t>
            </w:r>
          </w:p>
          <w:p w:rsidRPr="00E85F34" w:rsidR="00E94646" w:rsidP="004E6CFF" w:rsidRDefault="00822C41" w14:paraId="3503D665" w14:textId="7907C30D">
            <w:pPr>
              <w:tabs>
                <w:tab w:val="left" w:pos="1440"/>
              </w:tabs>
              <w:spacing w:after="240"/>
            </w:pPr>
            <w:r>
              <w:t>A4</w:t>
            </w:r>
            <w:r w:rsidR="007B026A">
              <w:t xml:space="preserve">NR </w:t>
            </w:r>
            <w:r w:rsidR="00AB4478">
              <w:t xml:space="preserve">focused </w:t>
            </w:r>
            <w:r w:rsidR="001E3149">
              <w:t xml:space="preserve">on </w:t>
            </w:r>
            <w:r w:rsidR="00686438">
              <w:t>only two of the nine</w:t>
            </w:r>
            <w:r w:rsidR="00672CFD">
              <w:t xml:space="preserve"> sub</w:t>
            </w:r>
            <w:r w:rsidR="004152B8">
              <w:noBreakHyphen/>
            </w:r>
            <w:r w:rsidR="00672CFD">
              <w:t>issue</w:t>
            </w:r>
            <w:r w:rsidR="001E68EE">
              <w:t>s</w:t>
            </w:r>
            <w:r w:rsidR="00672CFD">
              <w:t xml:space="preserve"> of </w:t>
            </w:r>
            <w:r w:rsidR="007B026A">
              <w:t xml:space="preserve">Issue 1: </w:t>
            </w:r>
            <w:r w:rsidR="00D72C34">
              <w:t>O&amp;M costs</w:t>
            </w:r>
            <w:r w:rsidR="00EB5B9B">
              <w:t xml:space="preserve"> </w:t>
            </w:r>
            <w:r w:rsidR="00AB4478">
              <w:t>(claimed contribution #</w:t>
            </w:r>
            <w:r w:rsidR="00EB5B9B">
              <w:t>1</w:t>
            </w:r>
            <w:r w:rsidR="00AB4478">
              <w:t>)</w:t>
            </w:r>
            <w:r w:rsidR="00EB5B9B">
              <w:t xml:space="preserve"> and </w:t>
            </w:r>
            <w:r w:rsidR="005462E3">
              <w:t>Federal and State Income Tax Gross</w:t>
            </w:r>
            <w:r w:rsidR="004152B8">
              <w:noBreakHyphen/>
            </w:r>
            <w:r w:rsidR="005462E3">
              <w:t xml:space="preserve">Up on Fixed Management </w:t>
            </w:r>
            <w:r w:rsidR="00AB4478">
              <w:t>(claimed contribution#</w:t>
            </w:r>
            <w:r w:rsidR="005462E3">
              <w:t>4</w:t>
            </w:r>
            <w:r w:rsidR="00AB4478">
              <w:t>)</w:t>
            </w:r>
            <w:r w:rsidR="00643DCA">
              <w:t>.</w:t>
            </w:r>
            <w:r w:rsidR="001E68EE">
              <w:rPr>
                <w:rStyle w:val="FootnoteReference"/>
              </w:rPr>
              <w:footnoteReference w:id="14"/>
            </w:r>
            <w:r w:rsidR="006A5A5C">
              <w:t xml:space="preserve"> </w:t>
            </w:r>
            <w:r w:rsidR="0057392A">
              <w:t>Additionally, A4NR</w:t>
            </w:r>
            <w:r w:rsidR="004E6CFF">
              <w:t>’</w:t>
            </w:r>
            <w:r w:rsidR="0057392A">
              <w:t xml:space="preserve">s </w:t>
            </w:r>
            <w:r w:rsidRPr="0057392A" w:rsidR="0057392A">
              <w:t xml:space="preserve">only </w:t>
            </w:r>
            <w:r w:rsidR="00B06BB6">
              <w:t>recommendation</w:t>
            </w:r>
            <w:r w:rsidRPr="0057392A" w:rsidR="0057392A">
              <w:t xml:space="preserve"> on this issue was not adopted in full or in part by the Commission.</w:t>
            </w:r>
            <w:r w:rsidR="0057392A">
              <w:t xml:space="preserve"> </w:t>
            </w:r>
            <w:r w:rsidR="00D1134E">
              <w:t xml:space="preserve">None of </w:t>
            </w:r>
            <w:r w:rsidR="0057392A">
              <w:t>the seven other sub</w:t>
            </w:r>
            <w:r w:rsidR="004152B8">
              <w:noBreakHyphen/>
            </w:r>
            <w:r w:rsidR="0057392A">
              <w:t>issues</w:t>
            </w:r>
            <w:r w:rsidR="00D1134E">
              <w:t xml:space="preserve"> are mentioned</w:t>
            </w:r>
            <w:r w:rsidR="0057392A">
              <w:t xml:space="preserve">. </w:t>
            </w:r>
          </w:p>
          <w:p w:rsidR="000F37B9" w:rsidP="004E6CFF" w:rsidRDefault="001F58DA" w14:paraId="22776AAC" w14:textId="494BFF94">
            <w:pPr>
              <w:tabs>
                <w:tab w:val="left" w:pos="1440"/>
              </w:tabs>
              <w:spacing w:after="240"/>
              <w:rPr>
                <w:color w:val="000000"/>
              </w:rPr>
            </w:pPr>
            <w:r>
              <w:rPr>
                <w:color w:val="000000"/>
              </w:rPr>
              <w:t>Consequently, w</w:t>
            </w:r>
            <w:r w:rsidR="00D97B91">
              <w:rPr>
                <w:color w:val="000000"/>
              </w:rPr>
              <w:t xml:space="preserve">e find </w:t>
            </w:r>
            <w:r w:rsidR="007734C9">
              <w:rPr>
                <w:color w:val="000000"/>
              </w:rPr>
              <w:t>that A4NR</w:t>
            </w:r>
            <w:r w:rsidR="00613FD3">
              <w:rPr>
                <w:color w:val="000000"/>
              </w:rPr>
              <w:t>’s advocacy on Issue 1</w:t>
            </w:r>
            <w:r w:rsidR="007734C9">
              <w:rPr>
                <w:color w:val="000000"/>
              </w:rPr>
              <w:t xml:space="preserve"> was inefficient and ineffective</w:t>
            </w:r>
            <w:r w:rsidR="00613FD3">
              <w:rPr>
                <w:color w:val="000000"/>
              </w:rPr>
              <w:t xml:space="preserve">, </w:t>
            </w:r>
            <w:r w:rsidR="007734C9">
              <w:rPr>
                <w:color w:val="000000"/>
              </w:rPr>
              <w:t xml:space="preserve">and the </w:t>
            </w:r>
            <w:r w:rsidR="008678DA">
              <w:rPr>
                <w:color w:val="000000"/>
              </w:rPr>
              <w:t>211.82</w:t>
            </w:r>
            <w:r w:rsidR="005E68AA">
              <w:rPr>
                <w:color w:val="000000"/>
              </w:rPr>
              <w:t>55</w:t>
            </w:r>
            <w:r w:rsidR="008678DA">
              <w:rPr>
                <w:color w:val="000000"/>
              </w:rPr>
              <w:t xml:space="preserve"> hours claimed </w:t>
            </w:r>
            <w:r w:rsidR="00613FD3">
              <w:rPr>
                <w:color w:val="000000"/>
              </w:rPr>
              <w:t xml:space="preserve">for </w:t>
            </w:r>
            <w:r w:rsidR="008678DA">
              <w:rPr>
                <w:color w:val="000000"/>
              </w:rPr>
              <w:t>th</w:t>
            </w:r>
            <w:r w:rsidR="00613FD3">
              <w:rPr>
                <w:color w:val="000000"/>
              </w:rPr>
              <w:t>is</w:t>
            </w:r>
            <w:r w:rsidR="008678DA">
              <w:rPr>
                <w:color w:val="000000"/>
              </w:rPr>
              <w:t xml:space="preserve"> issue were excessive</w:t>
            </w:r>
            <w:r w:rsidR="00316314">
              <w:rPr>
                <w:color w:val="000000"/>
              </w:rPr>
              <w:t xml:space="preserve">, especially considering that they only touched upon </w:t>
            </w:r>
            <w:r w:rsidR="00E57733">
              <w:rPr>
                <w:color w:val="000000"/>
              </w:rPr>
              <w:t>two</w:t>
            </w:r>
            <w:r w:rsidR="00316314">
              <w:rPr>
                <w:color w:val="000000"/>
              </w:rPr>
              <w:t xml:space="preserve"> of the nine sub issues within </w:t>
            </w:r>
            <w:r w:rsidR="00E57733">
              <w:rPr>
                <w:color w:val="000000"/>
              </w:rPr>
              <w:t>I</w:t>
            </w:r>
            <w:r w:rsidR="00316314">
              <w:rPr>
                <w:color w:val="000000"/>
              </w:rPr>
              <w:t>ssue 1</w:t>
            </w:r>
            <w:r w:rsidR="00B06BB6">
              <w:rPr>
                <w:color w:val="000000"/>
              </w:rPr>
              <w:t xml:space="preserve">, and none of their </w:t>
            </w:r>
            <w:r w:rsidR="00B06BB6">
              <w:t xml:space="preserve">recommendations were </w:t>
            </w:r>
            <w:r w:rsidR="008B05A8">
              <w:t>adopted</w:t>
            </w:r>
            <w:r w:rsidR="008678DA">
              <w:rPr>
                <w:color w:val="000000"/>
              </w:rPr>
              <w:t>.</w:t>
            </w:r>
            <w:r w:rsidR="00172E25">
              <w:rPr>
                <w:color w:val="000000"/>
              </w:rPr>
              <w:t xml:space="preserve"> </w:t>
            </w:r>
            <w:r w:rsidR="00613FD3">
              <w:rPr>
                <w:color w:val="000000"/>
              </w:rPr>
              <w:t>Accordingly, we reduce</w:t>
            </w:r>
            <w:r w:rsidR="00D97B91">
              <w:rPr>
                <w:color w:val="000000"/>
              </w:rPr>
              <w:t xml:space="preserve"> </w:t>
            </w:r>
            <w:r w:rsidR="00A83BAE">
              <w:rPr>
                <w:color w:val="000000"/>
              </w:rPr>
              <w:t>100</w:t>
            </w:r>
            <w:r w:rsidR="0077120E">
              <w:rPr>
                <w:color w:val="000000"/>
              </w:rPr>
              <w:t>.00 hours from</w:t>
            </w:r>
            <w:r w:rsidR="00D97B91">
              <w:rPr>
                <w:color w:val="000000"/>
              </w:rPr>
              <w:t xml:space="preserve"> </w:t>
            </w:r>
            <w:r w:rsidR="00172E25">
              <w:rPr>
                <w:color w:val="000000"/>
              </w:rPr>
              <w:t>A4NR</w:t>
            </w:r>
            <w:r w:rsidR="004E6CFF">
              <w:rPr>
                <w:color w:val="000000"/>
              </w:rPr>
              <w:t>’</w:t>
            </w:r>
            <w:r w:rsidR="00172E25">
              <w:rPr>
                <w:color w:val="000000"/>
              </w:rPr>
              <w:t>s</w:t>
            </w:r>
            <w:r w:rsidR="00465E72">
              <w:rPr>
                <w:color w:val="000000"/>
              </w:rPr>
              <w:t xml:space="preserve"> </w:t>
            </w:r>
            <w:r w:rsidR="00287FC4">
              <w:rPr>
                <w:color w:val="000000"/>
              </w:rPr>
              <w:t>work</w:t>
            </w:r>
            <w:r w:rsidR="00A9794B">
              <w:rPr>
                <w:color w:val="000000"/>
              </w:rPr>
              <w:t xml:space="preserve"> </w:t>
            </w:r>
            <w:r w:rsidR="00EC3923">
              <w:rPr>
                <w:color w:val="000000"/>
              </w:rPr>
              <w:t>on Issue 1</w:t>
            </w:r>
            <w:r w:rsidR="00A9794B">
              <w:rPr>
                <w:color w:val="000000"/>
              </w:rPr>
              <w:t xml:space="preserve"> after </w:t>
            </w:r>
            <w:r w:rsidR="009D7EC5">
              <w:rPr>
                <w:color w:val="000000"/>
              </w:rPr>
              <w:t xml:space="preserve">all of </w:t>
            </w:r>
            <w:r w:rsidR="00A9794B">
              <w:rPr>
                <w:color w:val="000000"/>
              </w:rPr>
              <w:t xml:space="preserve">the above </w:t>
            </w:r>
            <w:r w:rsidR="00784E0C">
              <w:rPr>
                <w:color w:val="000000"/>
              </w:rPr>
              <w:t>reductions</w:t>
            </w:r>
            <w:r w:rsidR="00465E72">
              <w:rPr>
                <w:color w:val="000000"/>
              </w:rPr>
              <w:t>, which breaks down as follows.</w:t>
            </w:r>
          </w:p>
          <w:p w:rsidR="000F37B9" w:rsidP="004E6CFF" w:rsidRDefault="000F37B9" w14:paraId="3209E818" w14:textId="3892F159">
            <w:pPr>
              <w:pStyle w:val="ListBullet"/>
              <w:contextualSpacing w:val="0"/>
            </w:pPr>
            <w:proofErr w:type="spellStart"/>
            <w:r>
              <w:t>Geesman</w:t>
            </w:r>
            <w:proofErr w:type="spellEnd"/>
            <w:r w:rsidR="004C3C18">
              <w:t xml:space="preserve">: </w:t>
            </w:r>
            <w:r w:rsidR="00A83BAE">
              <w:t>95</w:t>
            </w:r>
            <w:r w:rsidR="005130F8">
              <w:t xml:space="preserve">.00 hours </w:t>
            </w:r>
            <w:r w:rsidR="00287FC4">
              <w:t>reduced</w:t>
            </w:r>
          </w:p>
          <w:p w:rsidR="000F37B9" w:rsidP="004E6CFF" w:rsidRDefault="000F37B9" w14:paraId="3B259DF1" w14:textId="0C27B74E">
            <w:pPr>
              <w:pStyle w:val="ListBullet"/>
              <w:spacing w:after="240"/>
              <w:contextualSpacing w:val="0"/>
            </w:pPr>
            <w:r>
              <w:t>Weisman:</w:t>
            </w:r>
            <w:r w:rsidR="00B4161E">
              <w:t xml:space="preserve"> </w:t>
            </w:r>
            <w:r w:rsidR="005130F8">
              <w:t xml:space="preserve">5.00 hours </w:t>
            </w:r>
            <w:r w:rsidR="00287FC4">
              <w:t>reduced</w:t>
            </w:r>
          </w:p>
          <w:p w:rsidR="00B73A31" w:rsidRDefault="00B73A31" w14:paraId="5C36BAE0" w14:textId="4C3CC097">
            <w:pPr>
              <w:pStyle w:val="ListBullet"/>
              <w:numPr>
                <w:ilvl w:val="0"/>
                <w:numId w:val="0"/>
              </w:numPr>
              <w:contextualSpacing w:val="0"/>
            </w:pPr>
            <w:r>
              <w:rPr>
                <w:i/>
                <w:iCs/>
              </w:rPr>
              <w:t xml:space="preserve">Issue 2: </w:t>
            </w:r>
            <w:r w:rsidRPr="00295ED9" w:rsidR="00295ED9">
              <w:rPr>
                <w:i/>
                <w:iCs/>
              </w:rPr>
              <w:t>“PG&amp;E proposed reallocation of RA and GHG attributes”</w:t>
            </w:r>
            <w:r w:rsidR="00287FC4">
              <w:rPr>
                <w:i/>
                <w:iCs/>
              </w:rPr>
              <w:t xml:space="preserve"> (25.00 hours reduced</w:t>
            </w:r>
            <w:r w:rsidR="00BC2C2A">
              <w:rPr>
                <w:i/>
                <w:iCs/>
              </w:rPr>
              <w:t>)</w:t>
            </w:r>
          </w:p>
          <w:p w:rsidR="007832EF" w:rsidP="00E86123" w:rsidRDefault="00295ED9" w14:paraId="5E40EE6D" w14:textId="33A07ABB">
            <w:pPr>
              <w:tabs>
                <w:tab w:val="left" w:pos="1440"/>
              </w:tabs>
              <w:spacing w:after="240"/>
            </w:pPr>
            <w:r>
              <w:t>A4NR claimed</w:t>
            </w:r>
            <w:r w:rsidR="009577D2">
              <w:t xml:space="preserve"> 50.113 hours </w:t>
            </w:r>
            <w:r w:rsidR="00647D68">
              <w:t>of</w:t>
            </w:r>
            <w:r w:rsidR="00FD2BD7">
              <w:t xml:space="preserve"> work on Issue 2.</w:t>
            </w:r>
            <w:r w:rsidR="002702F7">
              <w:t xml:space="preserve"> Above we found that </w:t>
            </w:r>
            <w:r w:rsidR="00AB4D4C">
              <w:t xml:space="preserve">claimed contribution #6 was </w:t>
            </w:r>
            <w:r w:rsidR="004B31EF">
              <w:t>A4NR’s</w:t>
            </w:r>
            <w:r w:rsidR="00FD2BD7">
              <w:t xml:space="preserve"> o</w:t>
            </w:r>
            <w:r w:rsidR="00AB4D4C">
              <w:t>nly</w:t>
            </w:r>
            <w:r w:rsidR="00FD2BD7">
              <w:t xml:space="preserve"> claimed contribution </w:t>
            </w:r>
            <w:r w:rsidR="00B11BC7">
              <w:t xml:space="preserve">in Part II.A </w:t>
            </w:r>
            <w:r w:rsidR="000F7021">
              <w:t xml:space="preserve">that </w:t>
            </w:r>
            <w:r w:rsidR="00B11BC7">
              <w:t>substantially contributed to the decision-making process</w:t>
            </w:r>
            <w:r w:rsidR="00095821">
              <w:t xml:space="preserve"> on Issue 2</w:t>
            </w:r>
            <w:r w:rsidR="00B11BC7">
              <w:t xml:space="preserve">. </w:t>
            </w:r>
            <w:r w:rsidR="0077478F">
              <w:t>Claimed contribution #6 also overlaps with Issue 4 as one of the main topics was compliance with D</w:t>
            </w:r>
            <w:r w:rsidR="009B7AC0">
              <w:t xml:space="preserve">.24-12-033. In Part II.A, we </w:t>
            </w:r>
            <w:r w:rsidR="008B33E3">
              <w:t xml:space="preserve">found that </w:t>
            </w:r>
            <w:r w:rsidR="0052789C">
              <w:t xml:space="preserve">A4NR was one of several parties to oppose PG&amp;E’s proposal to reallocate </w:t>
            </w:r>
            <w:r w:rsidR="00637D9F">
              <w:t xml:space="preserve">RA and </w:t>
            </w:r>
            <w:r w:rsidR="00B63091">
              <w:t>GHG attributes.</w:t>
            </w:r>
            <w:r w:rsidR="00921216">
              <w:t xml:space="preserve"> </w:t>
            </w:r>
          </w:p>
          <w:p w:rsidR="00295ED9" w:rsidP="00E86123" w:rsidRDefault="00921216" w14:paraId="26DB8B6D" w14:textId="2E912EDA">
            <w:pPr>
              <w:tabs>
                <w:tab w:val="left" w:pos="1440"/>
              </w:tabs>
              <w:spacing w:after="240"/>
            </w:pPr>
            <w:r>
              <w:lastRenderedPageBreak/>
              <w:t xml:space="preserve">While A4NR’s position to not adopt PG&amp;E’s proposal was adopted, we find that A4NR’s </w:t>
            </w:r>
            <w:r w:rsidR="00B63091">
              <w:t xml:space="preserve">work on claimed contribution #6 </w:t>
            </w:r>
            <w:r>
              <w:t>on Issue 2</w:t>
            </w:r>
            <w:r w:rsidR="009B7AC0">
              <w:t xml:space="preserve"> </w:t>
            </w:r>
            <w:r w:rsidR="00D70215">
              <w:t>was</w:t>
            </w:r>
            <w:r w:rsidR="00D878BA">
              <w:t xml:space="preserve"> excessive </w:t>
            </w:r>
            <w:r w:rsidR="009B7AC0">
              <w:t xml:space="preserve">for the reasons stated. </w:t>
            </w:r>
            <w:r>
              <w:t>We therefore</w:t>
            </w:r>
            <w:r w:rsidR="00287FC4">
              <w:t xml:space="preserve"> find it reasonable to</w:t>
            </w:r>
            <w:r>
              <w:t xml:space="preserve"> reduce A4NR’s </w:t>
            </w:r>
            <w:r w:rsidR="00287FC4">
              <w:t>work on Issue 2 by 25</w:t>
            </w:r>
            <w:r w:rsidR="00D878BA">
              <w:t>.00</w:t>
            </w:r>
            <w:r w:rsidR="00287FC4">
              <w:t xml:space="preserve"> hours, which breaks down as follows:</w:t>
            </w:r>
          </w:p>
          <w:p w:rsidR="00287FC4" w:rsidP="00287FC4" w:rsidRDefault="00287FC4" w14:paraId="43A28F29" w14:textId="1E3FC538">
            <w:pPr>
              <w:pStyle w:val="ListBullet"/>
            </w:pPr>
            <w:proofErr w:type="spellStart"/>
            <w:r>
              <w:t>Geesman</w:t>
            </w:r>
            <w:proofErr w:type="spellEnd"/>
            <w:r>
              <w:t>: 22.</w:t>
            </w:r>
            <w:r w:rsidR="00D220DA">
              <w:t>50</w:t>
            </w:r>
            <w:r>
              <w:t xml:space="preserve"> hours</w:t>
            </w:r>
            <w:r w:rsidR="00A83BAE">
              <w:t xml:space="preserve"> reduced</w:t>
            </w:r>
          </w:p>
          <w:p w:rsidRPr="00584205" w:rsidR="00287FC4" w:rsidP="00E86123" w:rsidRDefault="00287FC4" w14:paraId="47F780B5" w14:textId="53F7AA83">
            <w:pPr>
              <w:pStyle w:val="ListBullet"/>
              <w:spacing w:after="240"/>
              <w:contextualSpacing w:val="0"/>
            </w:pPr>
            <w:r>
              <w:t xml:space="preserve">Weisman: </w:t>
            </w:r>
            <w:r w:rsidR="00D220DA">
              <w:t xml:space="preserve">2.50 </w:t>
            </w:r>
            <w:r>
              <w:t>hours reduced</w:t>
            </w:r>
          </w:p>
          <w:p w:rsidR="00DD714F" w:rsidP="00584205" w:rsidRDefault="00DD714F" w14:paraId="372D251E" w14:textId="3AF12038">
            <w:pPr>
              <w:pStyle w:val="ListBullet"/>
              <w:keepNext/>
              <w:numPr>
                <w:ilvl w:val="0"/>
                <w:numId w:val="0"/>
              </w:numPr>
              <w:ind w:left="360" w:hanging="360"/>
              <w:contextualSpacing w:val="0"/>
            </w:pPr>
            <w:r>
              <w:rPr>
                <w:i/>
                <w:iCs/>
              </w:rPr>
              <w:t>Issue 3:</w:t>
            </w:r>
            <w:r w:rsidR="005C0A57">
              <w:rPr>
                <w:i/>
                <w:iCs/>
              </w:rPr>
              <w:t xml:space="preserve"> “</w:t>
            </w:r>
            <w:r w:rsidRPr="005C0A57" w:rsidR="005C0A57">
              <w:rPr>
                <w:i/>
                <w:iCs/>
              </w:rPr>
              <w:t>PG&amp;E proposed VPF spending plan</w:t>
            </w:r>
            <w:r w:rsidR="005C0A57">
              <w:rPr>
                <w:i/>
                <w:iCs/>
              </w:rPr>
              <w:t>”</w:t>
            </w:r>
            <w:r w:rsidR="000D5173">
              <w:rPr>
                <w:i/>
                <w:iCs/>
              </w:rPr>
              <w:t xml:space="preserve"> (30.00 hours reduced)</w:t>
            </w:r>
          </w:p>
          <w:p w:rsidR="000C5DA4" w:rsidP="00E86123" w:rsidRDefault="000F2DA8" w14:paraId="59AC5618" w14:textId="47F73398">
            <w:pPr>
              <w:tabs>
                <w:tab w:val="left" w:pos="1440"/>
              </w:tabs>
              <w:spacing w:after="240"/>
            </w:pPr>
            <w:r>
              <w:t xml:space="preserve">A4NR claimed 58.8125 hours of work </w:t>
            </w:r>
            <w:r w:rsidR="00647D68">
              <w:t>on Issue 3</w:t>
            </w:r>
            <w:r w:rsidR="004E23F2">
              <w:t xml:space="preserve"> with claimed contributions </w:t>
            </w:r>
            <w:r w:rsidR="00A4534B">
              <w:t xml:space="preserve">described above in </w:t>
            </w:r>
            <w:r w:rsidR="004E23F2">
              <w:t>Part II.A</w:t>
            </w:r>
            <w:r w:rsidR="00A4534B">
              <w:t xml:space="preserve"> (claimed contributions </w:t>
            </w:r>
            <w:r w:rsidRPr="00A4534B" w:rsidR="00A4534B">
              <w:t>#2 and #3</w:t>
            </w:r>
            <w:r w:rsidR="00A4534B">
              <w:t>).</w:t>
            </w:r>
            <w:r w:rsidR="001C569A">
              <w:t xml:space="preserve"> </w:t>
            </w:r>
            <w:r w:rsidR="000D4618">
              <w:t xml:space="preserve">As we </w:t>
            </w:r>
            <w:r w:rsidR="00601DCA">
              <w:t>found</w:t>
            </w:r>
            <w:r w:rsidR="000D4618">
              <w:t xml:space="preserve"> in the CPUC discussion </w:t>
            </w:r>
            <w:r w:rsidR="006136AD">
              <w:t xml:space="preserve">above, </w:t>
            </w:r>
            <w:r w:rsidRPr="00601DCA" w:rsidR="00601DCA">
              <w:t xml:space="preserve">A4NR made a </w:t>
            </w:r>
            <w:r w:rsidR="006136AD">
              <w:t>mini</w:t>
            </w:r>
            <w:r w:rsidR="00E151A3">
              <w:t>mal</w:t>
            </w:r>
            <w:r w:rsidRPr="00601DCA" w:rsidR="00601DCA">
              <w:t xml:space="preserve"> contribution to the decision making process on claimed contribution</w:t>
            </w:r>
            <w:r w:rsidR="00E151A3">
              <w:t xml:space="preserve"> #2</w:t>
            </w:r>
            <w:r w:rsidR="00601DCA">
              <w:t xml:space="preserve">. </w:t>
            </w:r>
            <w:r w:rsidR="008446B3">
              <w:t xml:space="preserve">We also verified A4NR’s </w:t>
            </w:r>
            <w:r w:rsidR="00764666">
              <w:t>claimed contribution #3, however, this claimed contribution overlap</w:t>
            </w:r>
            <w:r w:rsidR="005A3F8E">
              <w:t>s</w:t>
            </w:r>
            <w:r w:rsidR="00764666">
              <w:t xml:space="preserve"> with Issue 4 as it dealt </w:t>
            </w:r>
            <w:r w:rsidR="000071DE">
              <w:t xml:space="preserve">a modification to D.23-12-036. </w:t>
            </w:r>
            <w:r w:rsidR="000C5DA4">
              <w:t xml:space="preserve">For these reasons we find that A4NR’s claimed contributions on </w:t>
            </w:r>
            <w:r w:rsidR="00D878BA">
              <w:t xml:space="preserve">Issue 3 </w:t>
            </w:r>
            <w:r w:rsidR="00A477F1">
              <w:t>were</w:t>
            </w:r>
            <w:r w:rsidR="00D878BA">
              <w:t xml:space="preserve"> excessive. We therefore find it reasonable to reduce A4NR’s work on Issue 3 by </w:t>
            </w:r>
            <w:r w:rsidR="00A477F1">
              <w:t>30</w:t>
            </w:r>
            <w:r w:rsidR="00D878BA">
              <w:t>.00 hours, which breaks down as follows:</w:t>
            </w:r>
          </w:p>
          <w:p w:rsidR="00D878BA" w:rsidP="00D878BA" w:rsidRDefault="000D5173" w14:paraId="65631424" w14:textId="64F61C26">
            <w:pPr>
              <w:pStyle w:val="ListBullet"/>
            </w:pPr>
            <w:proofErr w:type="spellStart"/>
            <w:r>
              <w:t>Geesman</w:t>
            </w:r>
            <w:proofErr w:type="spellEnd"/>
            <w:r>
              <w:t>: 27.50 hours reduced</w:t>
            </w:r>
          </w:p>
          <w:p w:rsidRPr="00584205" w:rsidR="000D5173" w:rsidP="00E86123" w:rsidRDefault="000D5173" w14:paraId="6BE73B34" w14:textId="288ED949">
            <w:pPr>
              <w:pStyle w:val="ListBullet"/>
              <w:spacing w:after="240"/>
              <w:contextualSpacing w:val="0"/>
            </w:pPr>
            <w:r>
              <w:t>Weisman: 2.50 hours reduced</w:t>
            </w:r>
          </w:p>
          <w:p w:rsidR="008B0B99" w:rsidP="00584205" w:rsidRDefault="008B0B99" w14:paraId="4E70D5AA" w14:textId="6C086585">
            <w:pPr>
              <w:pStyle w:val="ListBullet"/>
              <w:keepNext/>
              <w:numPr>
                <w:ilvl w:val="0"/>
                <w:numId w:val="0"/>
              </w:numPr>
              <w:contextualSpacing w:val="0"/>
              <w:rPr>
                <w:i/>
                <w:iCs/>
              </w:rPr>
            </w:pPr>
            <w:r>
              <w:rPr>
                <w:i/>
                <w:iCs/>
              </w:rPr>
              <w:t xml:space="preserve">Issue 4: </w:t>
            </w:r>
            <w:r w:rsidR="004E6CFF">
              <w:rPr>
                <w:i/>
                <w:iCs/>
              </w:rPr>
              <w:t>“</w:t>
            </w:r>
            <w:r w:rsidRPr="008B0B99">
              <w:rPr>
                <w:i/>
                <w:iCs/>
              </w:rPr>
              <w:t>compliance with D.23</w:t>
            </w:r>
            <w:r w:rsidR="004152B8">
              <w:rPr>
                <w:i/>
                <w:iCs/>
              </w:rPr>
              <w:noBreakHyphen/>
            </w:r>
            <w:r w:rsidRPr="008B0B99">
              <w:rPr>
                <w:i/>
                <w:iCs/>
              </w:rPr>
              <w:t>12</w:t>
            </w:r>
            <w:r w:rsidR="004152B8">
              <w:rPr>
                <w:i/>
                <w:iCs/>
              </w:rPr>
              <w:noBreakHyphen/>
            </w:r>
            <w:r w:rsidRPr="008B0B99">
              <w:rPr>
                <w:i/>
                <w:iCs/>
              </w:rPr>
              <w:t>036 and D.22</w:t>
            </w:r>
            <w:r w:rsidR="004152B8">
              <w:rPr>
                <w:i/>
                <w:iCs/>
              </w:rPr>
              <w:noBreakHyphen/>
            </w:r>
            <w:r w:rsidRPr="008B0B99">
              <w:rPr>
                <w:i/>
                <w:iCs/>
              </w:rPr>
              <w:t>12</w:t>
            </w:r>
            <w:r w:rsidR="004152B8">
              <w:rPr>
                <w:i/>
                <w:iCs/>
              </w:rPr>
              <w:noBreakHyphen/>
            </w:r>
            <w:r w:rsidRPr="008B0B99">
              <w:rPr>
                <w:i/>
                <w:iCs/>
              </w:rPr>
              <w:t>005</w:t>
            </w:r>
            <w:r w:rsidR="004E6CFF">
              <w:rPr>
                <w:i/>
                <w:iCs/>
              </w:rPr>
              <w:t>”</w:t>
            </w:r>
            <w:r>
              <w:rPr>
                <w:i/>
                <w:iCs/>
              </w:rPr>
              <w:t xml:space="preserve"> </w:t>
            </w:r>
            <w:r w:rsidR="000D5173">
              <w:rPr>
                <w:i/>
                <w:iCs/>
              </w:rPr>
              <w:t>(</w:t>
            </w:r>
            <w:r w:rsidR="00BC409D">
              <w:rPr>
                <w:i/>
                <w:iCs/>
              </w:rPr>
              <w:t>100</w:t>
            </w:r>
            <w:r w:rsidR="000D5173">
              <w:rPr>
                <w:i/>
                <w:iCs/>
              </w:rPr>
              <w:t>.00 hours reduced</w:t>
            </w:r>
          </w:p>
          <w:p w:rsidR="006C45A9" w:rsidP="004E6CFF" w:rsidRDefault="00465E72" w14:paraId="5E18A647" w14:textId="685927EE">
            <w:pPr>
              <w:tabs>
                <w:tab w:val="left" w:pos="1440"/>
              </w:tabs>
              <w:spacing w:after="240"/>
              <w:rPr>
                <w:color w:val="000000"/>
              </w:rPr>
            </w:pPr>
            <w:r>
              <w:t xml:space="preserve">A4NR claimed </w:t>
            </w:r>
            <w:r>
              <w:rPr>
                <w:color w:val="000000"/>
              </w:rPr>
              <w:t>207.</w:t>
            </w:r>
            <w:r w:rsidR="00B134EE">
              <w:rPr>
                <w:color w:val="000000"/>
              </w:rPr>
              <w:t>2015</w:t>
            </w:r>
            <w:r>
              <w:rPr>
                <w:color w:val="000000"/>
              </w:rPr>
              <w:t xml:space="preserve"> hours </w:t>
            </w:r>
            <w:r w:rsidR="00647D68">
              <w:rPr>
                <w:color w:val="000000"/>
              </w:rPr>
              <w:t>of</w:t>
            </w:r>
            <w:r w:rsidR="00E57733">
              <w:rPr>
                <w:color w:val="000000"/>
              </w:rPr>
              <w:t xml:space="preserve"> work </w:t>
            </w:r>
            <w:r>
              <w:rPr>
                <w:color w:val="000000"/>
              </w:rPr>
              <w:t xml:space="preserve">on Issue 4, with </w:t>
            </w:r>
            <w:r w:rsidR="00E01DDE">
              <w:rPr>
                <w:color w:val="000000"/>
              </w:rPr>
              <w:t xml:space="preserve">claimed </w:t>
            </w:r>
            <w:r>
              <w:rPr>
                <w:color w:val="000000"/>
              </w:rPr>
              <w:t xml:space="preserve">contributions </w:t>
            </w:r>
            <w:r w:rsidR="00356582">
              <w:rPr>
                <w:color w:val="000000"/>
              </w:rPr>
              <w:t>described in Part II.A</w:t>
            </w:r>
            <w:r w:rsidR="00FF138B">
              <w:rPr>
                <w:color w:val="000000"/>
              </w:rPr>
              <w:t xml:space="preserve"> above (</w:t>
            </w:r>
            <w:r w:rsidR="009F4337">
              <w:rPr>
                <w:color w:val="000000"/>
              </w:rPr>
              <w:t>claimed contributions #</w:t>
            </w:r>
            <w:r w:rsidR="00356582">
              <w:rPr>
                <w:color w:val="000000"/>
              </w:rPr>
              <w:t xml:space="preserve">1, </w:t>
            </w:r>
            <w:r w:rsidR="009F4337">
              <w:rPr>
                <w:color w:val="000000"/>
              </w:rPr>
              <w:t>#</w:t>
            </w:r>
            <w:r w:rsidR="00356582">
              <w:rPr>
                <w:color w:val="000000"/>
              </w:rPr>
              <w:t xml:space="preserve">3, and </w:t>
            </w:r>
            <w:r w:rsidR="009F4337">
              <w:rPr>
                <w:color w:val="000000"/>
              </w:rPr>
              <w:t>#</w:t>
            </w:r>
            <w:r w:rsidR="00356582">
              <w:rPr>
                <w:color w:val="000000"/>
              </w:rPr>
              <w:t>6</w:t>
            </w:r>
            <w:r w:rsidR="00FF138B">
              <w:rPr>
                <w:color w:val="000000"/>
              </w:rPr>
              <w:t>)</w:t>
            </w:r>
            <w:r w:rsidR="00356582">
              <w:rPr>
                <w:color w:val="000000"/>
              </w:rPr>
              <w:t xml:space="preserve">. </w:t>
            </w:r>
            <w:r w:rsidR="00B06E03">
              <w:rPr>
                <w:color w:val="000000"/>
              </w:rPr>
              <w:t>A4NR</w:t>
            </w:r>
            <w:r w:rsidR="004E6CFF">
              <w:rPr>
                <w:color w:val="000000"/>
              </w:rPr>
              <w:t>’</w:t>
            </w:r>
            <w:r w:rsidR="00B06E03">
              <w:rPr>
                <w:color w:val="000000"/>
              </w:rPr>
              <w:t xml:space="preserve">s arguments </w:t>
            </w:r>
            <w:r w:rsidR="001E4835">
              <w:rPr>
                <w:color w:val="000000"/>
              </w:rPr>
              <w:t>related to claimed</w:t>
            </w:r>
            <w:r w:rsidR="00BD7C1A">
              <w:rPr>
                <w:color w:val="000000"/>
              </w:rPr>
              <w:t xml:space="preserve"> contributions </w:t>
            </w:r>
            <w:r w:rsidR="001E4835">
              <w:rPr>
                <w:color w:val="000000"/>
              </w:rPr>
              <w:t xml:space="preserve">#1, #3, and #6 </w:t>
            </w:r>
            <w:r w:rsidR="00BD7C1A">
              <w:rPr>
                <w:color w:val="000000"/>
              </w:rPr>
              <w:t xml:space="preserve">amounted to </w:t>
            </w:r>
            <w:r w:rsidR="00956E65">
              <w:rPr>
                <w:color w:val="000000"/>
              </w:rPr>
              <w:t xml:space="preserve">roughly 30 pages </w:t>
            </w:r>
            <w:r w:rsidR="00241988">
              <w:rPr>
                <w:color w:val="000000"/>
              </w:rPr>
              <w:t xml:space="preserve">across </w:t>
            </w:r>
            <w:r w:rsidR="00956E65">
              <w:rPr>
                <w:color w:val="000000"/>
              </w:rPr>
              <w:t xml:space="preserve">five </w:t>
            </w:r>
            <w:r w:rsidR="00241988">
              <w:rPr>
                <w:color w:val="000000"/>
              </w:rPr>
              <w:t xml:space="preserve">separate </w:t>
            </w:r>
            <w:r w:rsidR="00956E65">
              <w:rPr>
                <w:color w:val="000000"/>
              </w:rPr>
              <w:t xml:space="preserve">filings. We find that </w:t>
            </w:r>
            <w:r w:rsidR="00CC2BEC">
              <w:rPr>
                <w:color w:val="000000"/>
              </w:rPr>
              <w:t xml:space="preserve">A4NR was </w:t>
            </w:r>
            <w:r w:rsidR="002A4407">
              <w:rPr>
                <w:color w:val="000000"/>
              </w:rPr>
              <w:t>in</w:t>
            </w:r>
            <w:r w:rsidR="00CC2BEC">
              <w:rPr>
                <w:color w:val="000000"/>
              </w:rPr>
              <w:t xml:space="preserve">efficient </w:t>
            </w:r>
            <w:r w:rsidR="002A4407">
              <w:rPr>
                <w:color w:val="000000"/>
              </w:rPr>
              <w:t xml:space="preserve">in </w:t>
            </w:r>
            <w:r w:rsidR="00241988">
              <w:rPr>
                <w:color w:val="000000"/>
              </w:rPr>
              <w:t xml:space="preserve">its </w:t>
            </w:r>
            <w:r w:rsidR="002A4407">
              <w:rPr>
                <w:color w:val="000000"/>
              </w:rPr>
              <w:t>use of time</w:t>
            </w:r>
            <w:r w:rsidR="00241988">
              <w:rPr>
                <w:color w:val="000000"/>
              </w:rPr>
              <w:t>,</w:t>
            </w:r>
            <w:r w:rsidR="002A4407">
              <w:rPr>
                <w:color w:val="000000"/>
              </w:rPr>
              <w:t xml:space="preserve"> </w:t>
            </w:r>
            <w:r w:rsidR="00C940FF">
              <w:rPr>
                <w:color w:val="000000"/>
              </w:rPr>
              <w:t xml:space="preserve">as over 200 hours </w:t>
            </w:r>
            <w:r w:rsidR="00443329">
              <w:rPr>
                <w:color w:val="000000"/>
              </w:rPr>
              <w:t>w</w:t>
            </w:r>
            <w:r w:rsidRPr="00443329" w:rsidR="00443329">
              <w:rPr>
                <w:color w:val="000000"/>
              </w:rPr>
              <w:t>as not reasonably required to develop and present arguments totaling roughly 30 pages.</w:t>
            </w:r>
            <w:r w:rsidR="00C940FF">
              <w:rPr>
                <w:color w:val="000000"/>
              </w:rPr>
              <w:t xml:space="preserve"> </w:t>
            </w:r>
            <w:r w:rsidRPr="00443329" w:rsidR="00443329">
              <w:rPr>
                <w:color w:val="000000"/>
              </w:rPr>
              <w:t>The time claimed is excessive and not commensurate with the quality and quantity of the work produced.</w:t>
            </w:r>
            <w:r w:rsidR="008D14C2">
              <w:rPr>
                <w:color w:val="000000"/>
              </w:rPr>
              <w:t xml:space="preserve">  </w:t>
            </w:r>
          </w:p>
          <w:p w:rsidR="00C940FF" w:rsidP="004E6CFF" w:rsidRDefault="00F8767D" w14:paraId="499E9369" w14:textId="7C96919E">
            <w:pPr>
              <w:tabs>
                <w:tab w:val="left" w:pos="1440"/>
              </w:tabs>
              <w:spacing w:after="240"/>
            </w:pPr>
            <w:r>
              <w:t xml:space="preserve">A4NR was </w:t>
            </w:r>
            <w:r w:rsidR="004F4796">
              <w:t xml:space="preserve">not </w:t>
            </w:r>
            <w:r>
              <w:t xml:space="preserve">effective in </w:t>
            </w:r>
            <w:r w:rsidR="008D14C2">
              <w:t xml:space="preserve">its </w:t>
            </w:r>
            <w:r>
              <w:t>advocacy on these claimed contributions</w:t>
            </w:r>
            <w:r w:rsidR="008D14C2">
              <w:t>, nor</w:t>
            </w:r>
            <w:r w:rsidR="000A2B57">
              <w:t xml:space="preserve"> in </w:t>
            </w:r>
            <w:r w:rsidR="008D14C2">
              <w:t xml:space="preserve">its overall </w:t>
            </w:r>
            <w:r w:rsidR="009D3356">
              <w:t>use of time on Issue 4</w:t>
            </w:r>
            <w:r>
              <w:t xml:space="preserve">. </w:t>
            </w:r>
            <w:r w:rsidR="006C45A9">
              <w:t>As noted</w:t>
            </w:r>
            <w:r>
              <w:t xml:space="preserve"> above </w:t>
            </w:r>
            <w:r w:rsidR="00FD1E97">
              <w:t>regarding claimed contribution #</w:t>
            </w:r>
            <w:r>
              <w:t>1</w:t>
            </w:r>
            <w:r w:rsidR="00FD1E97">
              <w:t>,</w:t>
            </w:r>
            <w:r>
              <w:t xml:space="preserve"> A4NR</w:t>
            </w:r>
            <w:r w:rsidR="004E6CFF">
              <w:t>’</w:t>
            </w:r>
            <w:r>
              <w:t xml:space="preserve">s argument was not adopted in whole. </w:t>
            </w:r>
            <w:r w:rsidR="002D777E">
              <w:t>Similarly,</w:t>
            </w:r>
            <w:r>
              <w:t xml:space="preserve"> </w:t>
            </w:r>
            <w:r w:rsidR="00740995">
              <w:t>in Part II.A.6</w:t>
            </w:r>
            <w:r w:rsidR="002D777E">
              <w:t>,</w:t>
            </w:r>
            <w:r w:rsidR="00740995">
              <w:t xml:space="preserve"> the Commission agreed </w:t>
            </w:r>
            <w:r w:rsidR="00490A42">
              <w:t>with A4NR to deny PG&amp;E</w:t>
            </w:r>
            <w:r w:rsidR="004E6CFF">
              <w:t>’</w:t>
            </w:r>
            <w:r w:rsidR="00490A42">
              <w:t>s proposed allocation</w:t>
            </w:r>
            <w:r w:rsidR="003E6D5E">
              <w:t xml:space="preserve">, but </w:t>
            </w:r>
            <w:r w:rsidR="002D777E">
              <w:t xml:space="preserve">the </w:t>
            </w:r>
            <w:r w:rsidR="00227A19">
              <w:t>conclusion</w:t>
            </w:r>
            <w:r w:rsidR="00986F0C">
              <w:t xml:space="preserve"> was not</w:t>
            </w:r>
            <w:r w:rsidR="00C7635F">
              <w:t xml:space="preserve"> </w:t>
            </w:r>
            <w:r w:rsidR="00FF3D5E">
              <w:t xml:space="preserve">based </w:t>
            </w:r>
            <w:r w:rsidR="00986F0C">
              <w:t>on A4NR</w:t>
            </w:r>
            <w:r w:rsidR="004E6CFF">
              <w:t>’</w:t>
            </w:r>
            <w:r w:rsidR="00986F0C">
              <w:t xml:space="preserve">s proposition that PG&amp;E </w:t>
            </w:r>
            <w:r w:rsidR="00227A19">
              <w:t>could only</w:t>
            </w:r>
            <w:r w:rsidR="00986F0C">
              <w:t xml:space="preserve"> make such modifications </w:t>
            </w:r>
            <w:r w:rsidR="00F94B9D">
              <w:t>through a petition for modification. Thus, A4NR</w:t>
            </w:r>
            <w:r w:rsidR="00FF3D5E">
              <w:t>’s use of time on Issue 4</w:t>
            </w:r>
            <w:r w:rsidR="00F94B9D">
              <w:t xml:space="preserve"> was</w:t>
            </w:r>
            <w:r w:rsidR="004543D0">
              <w:t xml:space="preserve"> ineffective</w:t>
            </w:r>
            <w:r w:rsidR="002C69A3">
              <w:t xml:space="preserve">, </w:t>
            </w:r>
            <w:r w:rsidR="00053721">
              <w:t xml:space="preserve">given </w:t>
            </w:r>
            <w:r w:rsidR="002C69A3">
              <w:t xml:space="preserve">that </w:t>
            </w:r>
            <w:r w:rsidR="00053721">
              <w:t xml:space="preserve">their substantial </w:t>
            </w:r>
            <w:r w:rsidR="000A2B57">
              <w:lastRenderedPageBreak/>
              <w:t>contributions</w:t>
            </w:r>
            <w:r w:rsidR="00053721">
              <w:t xml:space="preserve"> were limited </w:t>
            </w:r>
            <w:r w:rsidR="005A3D0D">
              <w:t xml:space="preserve">and </w:t>
            </w:r>
            <w:r w:rsidR="000A2B57">
              <w:t xml:space="preserve">the </w:t>
            </w:r>
            <w:r w:rsidR="002C69A3">
              <w:t xml:space="preserve">number of hours claimed was </w:t>
            </w:r>
            <w:r w:rsidR="000A2B57">
              <w:t>excessive.</w:t>
            </w:r>
          </w:p>
          <w:p w:rsidR="00F94B9D" w:rsidP="004E6CFF" w:rsidRDefault="002C69A3" w14:paraId="242CEC0D" w14:textId="3BD58466">
            <w:pPr>
              <w:tabs>
                <w:tab w:val="left" w:pos="1440"/>
              </w:tabs>
              <w:spacing w:after="240"/>
            </w:pPr>
            <w:r>
              <w:t>Accordingly</w:t>
            </w:r>
            <w:r w:rsidR="00603E42">
              <w:t>, w</w:t>
            </w:r>
            <w:r w:rsidR="00497FB2">
              <w:t xml:space="preserve">e find </w:t>
            </w:r>
            <w:r w:rsidR="00D31AD0">
              <w:t xml:space="preserve">that </w:t>
            </w:r>
            <w:r w:rsidR="00026769">
              <w:t>the 207.</w:t>
            </w:r>
            <w:r w:rsidR="00B134EE">
              <w:t>2015</w:t>
            </w:r>
            <w:r w:rsidR="00026769">
              <w:t xml:space="preserve"> hours </w:t>
            </w:r>
            <w:r w:rsidR="008D61E3">
              <w:t xml:space="preserve">claimed by </w:t>
            </w:r>
            <w:r w:rsidR="007D0E48">
              <w:t>A4NR</w:t>
            </w:r>
            <w:r w:rsidR="00DF7B63">
              <w:t xml:space="preserve"> </w:t>
            </w:r>
            <w:r w:rsidR="008D61E3">
              <w:t>for</w:t>
            </w:r>
            <w:r w:rsidR="007D0E48">
              <w:t xml:space="preserve"> advocacy </w:t>
            </w:r>
            <w:r w:rsidR="008D61E3">
              <w:t>on</w:t>
            </w:r>
            <w:r w:rsidR="007D0E48">
              <w:t xml:space="preserve"> Issue 4 </w:t>
            </w:r>
            <w:r w:rsidR="008D61E3">
              <w:t>were</w:t>
            </w:r>
            <w:r w:rsidR="00026769">
              <w:t xml:space="preserve"> excessive. We therefore </w:t>
            </w:r>
            <w:r w:rsidR="008D61E3">
              <w:t xml:space="preserve">reduce </w:t>
            </w:r>
            <w:r w:rsidR="00BC409D">
              <w:t>100</w:t>
            </w:r>
            <w:r w:rsidR="001C762D">
              <w:t>.00 hours from A4NR</w:t>
            </w:r>
            <w:r w:rsidR="004E6CFF">
              <w:t>’</w:t>
            </w:r>
            <w:r w:rsidR="001C762D">
              <w:t xml:space="preserve">s </w:t>
            </w:r>
            <w:r w:rsidR="0019304A">
              <w:t xml:space="preserve">remaining </w:t>
            </w:r>
            <w:r w:rsidR="000D0BA1">
              <w:t>work</w:t>
            </w:r>
            <w:r w:rsidR="00026769">
              <w:t xml:space="preserve"> on Issue 4</w:t>
            </w:r>
            <w:r w:rsidR="00EE0368">
              <w:t xml:space="preserve">, which </w:t>
            </w:r>
            <w:r w:rsidR="002308BC">
              <w:t>break</w:t>
            </w:r>
            <w:r w:rsidR="00EE0368">
              <w:t xml:space="preserve"> down as follows:</w:t>
            </w:r>
          </w:p>
          <w:p w:rsidR="000F37B9" w:rsidP="004E6CFF" w:rsidRDefault="003D6E19" w14:paraId="4C72B10D" w14:textId="736324E3">
            <w:pPr>
              <w:pStyle w:val="ListBullet"/>
              <w:contextualSpacing w:val="0"/>
            </w:pPr>
            <w:proofErr w:type="spellStart"/>
            <w:r>
              <w:t>Geesman</w:t>
            </w:r>
            <w:proofErr w:type="spellEnd"/>
            <w:r>
              <w:t xml:space="preserve">: </w:t>
            </w:r>
            <w:r w:rsidR="00BC409D">
              <w:t>95</w:t>
            </w:r>
            <w:r>
              <w:t xml:space="preserve">.00 hours </w:t>
            </w:r>
            <w:r w:rsidR="00784E0C">
              <w:t>reduced</w:t>
            </w:r>
          </w:p>
          <w:p w:rsidR="003D6E19" w:rsidP="004E6CFF" w:rsidRDefault="003D6E19" w14:paraId="08B8D408" w14:textId="336A7D67">
            <w:pPr>
              <w:pStyle w:val="ListBullet"/>
              <w:spacing w:after="240"/>
              <w:contextualSpacing w:val="0"/>
            </w:pPr>
            <w:r>
              <w:t xml:space="preserve">Weisman: 5.00 hours </w:t>
            </w:r>
            <w:r w:rsidR="00784E0C">
              <w:t>reduced</w:t>
            </w:r>
          </w:p>
          <w:p w:rsidRPr="006661BD" w:rsidR="006E2240" w:rsidP="00584205" w:rsidRDefault="001F3B1A" w14:paraId="0DE63059" w14:textId="50AA3690">
            <w:pPr>
              <w:pStyle w:val="ListBullet"/>
              <w:numPr>
                <w:ilvl w:val="0"/>
                <w:numId w:val="0"/>
              </w:numPr>
              <w:spacing w:after="240"/>
              <w:contextualSpacing w:val="0"/>
            </w:pPr>
            <w:r>
              <w:t xml:space="preserve">In summary, </w:t>
            </w:r>
            <w:r w:rsidR="00F94E21">
              <w:t>although A4NR</w:t>
            </w:r>
            <w:r w:rsidR="001F129A">
              <w:t xml:space="preserve"> made </w:t>
            </w:r>
            <w:r w:rsidR="00F94E21">
              <w:t>contribut</w:t>
            </w:r>
            <w:r w:rsidR="001F129A">
              <w:t>ion</w:t>
            </w:r>
            <w:r w:rsidR="003C5689">
              <w:t xml:space="preserve"> </w:t>
            </w:r>
            <w:r w:rsidR="00D57BE6">
              <w:t>to</w:t>
            </w:r>
            <w:r w:rsidR="00C11170">
              <w:t xml:space="preserve"> some of the issues</w:t>
            </w:r>
            <w:r w:rsidR="003C5689">
              <w:t xml:space="preserve"> in this proceeding</w:t>
            </w:r>
            <w:r w:rsidR="00F94E21">
              <w:t xml:space="preserve">, </w:t>
            </w:r>
            <w:r w:rsidR="00746FBB">
              <w:t>its</w:t>
            </w:r>
            <w:r w:rsidR="007923DB">
              <w:t xml:space="preserve"> </w:t>
            </w:r>
            <w:r w:rsidR="003C5689">
              <w:t xml:space="preserve">compensation request was </w:t>
            </w:r>
            <w:r w:rsidR="007923DB">
              <w:t>excessive</w:t>
            </w:r>
            <w:r w:rsidR="00746FBB">
              <w:t xml:space="preserve">, </w:t>
            </w:r>
            <w:r w:rsidR="0016591D">
              <w:t xml:space="preserve">exceeding $380,000, </w:t>
            </w:r>
            <w:r w:rsidR="00FD6F51">
              <w:t xml:space="preserve">the highest </w:t>
            </w:r>
            <w:r w:rsidR="0016591D">
              <w:t xml:space="preserve">among all intervenors </w:t>
            </w:r>
            <w:r w:rsidR="00B15B27">
              <w:t>for this decision. For c</w:t>
            </w:r>
            <w:r w:rsidR="007923DB">
              <w:t xml:space="preserve">ontext, </w:t>
            </w:r>
            <w:r w:rsidR="00746FBB">
              <w:t xml:space="preserve">TURN requested </w:t>
            </w:r>
            <w:r w:rsidR="00CE0233">
              <w:t xml:space="preserve">approximately $292,000, </w:t>
            </w:r>
            <w:r w:rsidR="00B15B27">
              <w:t>another i</w:t>
            </w:r>
            <w:r w:rsidR="00B05761">
              <w:t xml:space="preserve">ntervenor requested </w:t>
            </w:r>
            <w:r w:rsidR="00B826BB">
              <w:t xml:space="preserve">approximately </w:t>
            </w:r>
            <w:r w:rsidR="00B05761">
              <w:t>$189,000, and four</w:t>
            </w:r>
            <w:r w:rsidR="00C11170">
              <w:t xml:space="preserve"> other</w:t>
            </w:r>
            <w:r w:rsidR="00B826BB">
              <w:t>s</w:t>
            </w:r>
            <w:r w:rsidR="00C11170">
              <w:t xml:space="preserve"> </w:t>
            </w:r>
            <w:r w:rsidR="00B826BB">
              <w:t xml:space="preserve">requested </w:t>
            </w:r>
            <w:r w:rsidR="00C11170">
              <w:t>between $11,000-</w:t>
            </w:r>
            <w:r w:rsidR="00D47172">
              <w:t>$</w:t>
            </w:r>
            <w:r w:rsidR="00B05761">
              <w:t>86</w:t>
            </w:r>
            <w:r w:rsidR="00C11170">
              <w:t xml:space="preserve">,000. </w:t>
            </w:r>
            <w:r w:rsidR="00C84529">
              <w:t>While each</w:t>
            </w:r>
            <w:r w:rsidR="00993AD1">
              <w:t xml:space="preserve"> intervenor</w:t>
            </w:r>
            <w:r w:rsidR="00C84529">
              <w:t>’</w:t>
            </w:r>
            <w:r w:rsidR="00993AD1">
              <w:t xml:space="preserve">s claim </w:t>
            </w:r>
            <w:r w:rsidR="00C84529">
              <w:t>is evaluated on</w:t>
            </w:r>
            <w:r w:rsidR="009B6C9C">
              <w:t xml:space="preserve"> its </w:t>
            </w:r>
            <w:r w:rsidR="00993AD1">
              <w:t xml:space="preserve">own merits </w:t>
            </w:r>
            <w:r w:rsidR="000E4BC1">
              <w:t xml:space="preserve">and the </w:t>
            </w:r>
            <w:r w:rsidR="009B6C9C">
              <w:t>Commission</w:t>
            </w:r>
            <w:r w:rsidR="000E4BC1">
              <w:t xml:space="preserve"> </w:t>
            </w:r>
            <w:r w:rsidR="009B6C9C">
              <w:t>recognizes that t</w:t>
            </w:r>
            <w:r w:rsidR="000E4BC1">
              <w:t xml:space="preserve">heir </w:t>
            </w:r>
            <w:r w:rsidR="009B6C9C">
              <w:t xml:space="preserve">levels </w:t>
            </w:r>
            <w:r w:rsidR="00C13046">
              <w:t>of participation</w:t>
            </w:r>
            <w:r w:rsidR="00993AD1">
              <w:t xml:space="preserve"> </w:t>
            </w:r>
            <w:r w:rsidR="009B6C9C">
              <w:t>may</w:t>
            </w:r>
            <w:r w:rsidR="00993AD1">
              <w:t xml:space="preserve"> var</w:t>
            </w:r>
            <w:r w:rsidR="000E4BC1">
              <w:t xml:space="preserve">y, </w:t>
            </w:r>
            <w:r w:rsidR="00C13046">
              <w:t xml:space="preserve">some reasonable comparisons can be made. </w:t>
            </w:r>
            <w:r w:rsidR="0086411B">
              <w:t>Based on those comparisons and A</w:t>
            </w:r>
            <w:r w:rsidR="006B02D6">
              <w:t xml:space="preserve">4NR’s </w:t>
            </w:r>
            <w:r w:rsidR="0086411B">
              <w:t xml:space="preserve">actual </w:t>
            </w:r>
            <w:r w:rsidR="006B02D6">
              <w:t>impact on this decision</w:t>
            </w:r>
            <w:r w:rsidR="0086411B">
              <w:t xml:space="preserve">, </w:t>
            </w:r>
            <w:r w:rsidR="00E9036D">
              <w:t xml:space="preserve">we find that the </w:t>
            </w:r>
            <w:r w:rsidR="008B5CBE">
              <w:t xml:space="preserve">final </w:t>
            </w:r>
            <w:r w:rsidR="00E9036D">
              <w:t>award granted here is appropriate and commensurate with its contribution</w:t>
            </w:r>
            <w:r w:rsidR="006B02D6">
              <w:t>.</w:t>
            </w:r>
          </w:p>
        </w:tc>
      </w:tr>
      <w:tr w:rsidR="00A70761" w:rsidTr="00772CCB" w14:paraId="77525169" w14:textId="77777777">
        <w:tc>
          <w:tcPr>
            <w:tcW w:w="2335" w:type="dxa"/>
            <w:tcBorders>
              <w:top w:val="single" w:color="auto" w:sz="4" w:space="0"/>
              <w:left w:val="single" w:color="auto" w:sz="4" w:space="0"/>
              <w:bottom w:val="single" w:color="auto" w:sz="4" w:space="0"/>
              <w:right w:val="single" w:color="auto" w:sz="4" w:space="0"/>
            </w:tcBorders>
          </w:tcPr>
          <w:p w:rsidR="005D0233" w:rsidP="00772CCB" w:rsidRDefault="00A70761" w14:paraId="35509555" w14:textId="1D775392">
            <w:pPr>
              <w:tabs>
                <w:tab w:val="left" w:pos="1440"/>
              </w:tabs>
              <w:rPr>
                <w:color w:val="000000"/>
              </w:rPr>
            </w:pPr>
            <w:r>
              <w:rPr>
                <w:color w:val="000000"/>
              </w:rPr>
              <w:lastRenderedPageBreak/>
              <w:t xml:space="preserve">[5] </w:t>
            </w:r>
            <w:r w:rsidRPr="00E63FFC" w:rsidR="00243D85">
              <w:rPr>
                <w:color w:val="000000"/>
              </w:rPr>
              <w:t>Intervenor Responsibility for Transparency and Accuracy in Compensation Requests</w:t>
            </w:r>
          </w:p>
        </w:tc>
        <w:tc>
          <w:tcPr>
            <w:tcW w:w="7025" w:type="dxa"/>
            <w:tcBorders>
              <w:top w:val="single" w:color="auto" w:sz="4" w:space="0"/>
              <w:left w:val="single" w:color="auto" w:sz="4" w:space="0"/>
              <w:bottom w:val="single" w:color="auto" w:sz="4" w:space="0"/>
              <w:right w:val="single" w:color="auto" w:sz="4" w:space="0"/>
            </w:tcBorders>
          </w:tcPr>
          <w:p w:rsidRPr="009B03C9" w:rsidR="00F432D2" w:rsidP="00C43F8D" w:rsidRDefault="00F432D2" w14:paraId="5270720F" w14:textId="27CE2BE7">
            <w:pPr>
              <w:pStyle w:val="ListBullet"/>
              <w:numPr>
                <w:ilvl w:val="0"/>
                <w:numId w:val="0"/>
              </w:numPr>
              <w:spacing w:after="240"/>
              <w:contextualSpacing w:val="0"/>
            </w:pPr>
            <w:r w:rsidRPr="009B03C9">
              <w:t>The Commission takes this opportunity to remind all intervenors that they bear the burden of providing accurate, complete, and honest information in all compensation requests. The Commission relies on intervenors' good faith representations, particularly regarding consultant agreements and payments, as it does not have the resources to review every contract or non-standard arrangement in detail.</w:t>
            </w:r>
          </w:p>
          <w:p w:rsidRPr="009B03C9" w:rsidR="00F432D2" w:rsidP="00C43F8D" w:rsidRDefault="00F432D2" w14:paraId="78FCE837" w14:textId="77777777">
            <w:pPr>
              <w:pStyle w:val="ListBullet"/>
              <w:numPr>
                <w:ilvl w:val="0"/>
                <w:numId w:val="0"/>
              </w:numPr>
              <w:spacing w:after="240"/>
              <w:contextualSpacing w:val="0"/>
            </w:pPr>
            <w:r w:rsidRPr="009B03C9">
              <w:t xml:space="preserve">Intervenor compensation is funded by ratepayers, and the Commission takes seriously any effort to mislead or obscure the financial basis for a claim. </w:t>
            </w:r>
            <w:r w:rsidRPr="003C78B4">
              <w:t xml:space="preserve">Although no violation of Rule 1.1 has been found in this instance, </w:t>
            </w:r>
            <w:r>
              <w:t>we remind intervenors that u</w:t>
            </w:r>
            <w:r w:rsidRPr="009B03C9">
              <w:t>nder Rule 1.1, intent to deceive is not required for a violation, misstatements may still be actionable. Dishonest or misleading claims not only risk denial of compensation but may also subject the intervenor to penalties.</w:t>
            </w:r>
          </w:p>
          <w:p w:rsidRPr="00A70761" w:rsidR="00A70761" w:rsidP="00C43F8D" w:rsidRDefault="00F432D2" w14:paraId="56BBA268" w14:textId="6606EC9E">
            <w:pPr>
              <w:pStyle w:val="ListBullet"/>
              <w:numPr>
                <w:ilvl w:val="0"/>
                <w:numId w:val="0"/>
              </w:numPr>
              <w:spacing w:after="240"/>
              <w:contextualSpacing w:val="0"/>
              <w:rPr>
                <w:color w:val="000000"/>
              </w:rPr>
            </w:pPr>
            <w:r w:rsidRPr="009B03C9">
              <w:t xml:space="preserve">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w:t>
            </w:r>
            <w:r w:rsidRPr="009B03C9">
              <w:lastRenderedPageBreak/>
              <w:t>compensation process and may lead to denial of claims or further enforcement action</w:t>
            </w:r>
            <w:r>
              <w:t>.</w:t>
            </w:r>
            <w:r w:rsidRPr="009B03C9" w:rsidDel="009B03C9">
              <w:t xml:space="preserve"> </w:t>
            </w:r>
          </w:p>
        </w:tc>
      </w:tr>
    </w:tbl>
    <w:p w:rsidRPr="005577F7" w:rsidR="00A92D0B" w:rsidP="00755CBB" w:rsidRDefault="00A92D0B" w14:paraId="18E9D359" w14:textId="36F19D6D">
      <w:pPr>
        <w:keepNext/>
        <w:tabs>
          <w:tab w:val="left" w:pos="1260"/>
        </w:tabs>
        <w:spacing w:before="480"/>
        <w:jc w:val="center"/>
        <w:rPr>
          <w:b/>
          <w:color w:val="000000"/>
        </w:rPr>
      </w:pPr>
      <w:r w:rsidRPr="005577F7">
        <w:rPr>
          <w:b/>
          <w:color w:val="000000"/>
        </w:rPr>
        <w:lastRenderedPageBreak/>
        <w:t>PART IV:</w:t>
      </w:r>
      <w:r w:rsidRPr="005577F7" w:rsidR="00D1778A">
        <w:rPr>
          <w:b/>
          <w:color w:val="000000"/>
        </w:rPr>
        <w:t xml:space="preserve">  </w:t>
      </w:r>
      <w:r w:rsidRPr="005577F7">
        <w:rPr>
          <w:b/>
          <w:color w:val="000000"/>
        </w:rPr>
        <w:t>OPPOSITIONS AND COMMENTS</w:t>
      </w:r>
    </w:p>
    <w:p w:rsidRPr="005577F7" w:rsidR="00D1778A" w:rsidP="00755CBB" w:rsidRDefault="00A92D0B" w14:paraId="4E460EA0" w14:textId="77777777">
      <w:pPr>
        <w:keepNext/>
        <w:tabs>
          <w:tab w:val="left" w:pos="1260"/>
        </w:tabs>
        <w:ind w:left="1267" w:hanging="1267"/>
        <w:jc w:val="center"/>
        <w:rPr>
          <w:b/>
          <w:color w:val="000000"/>
        </w:rPr>
      </w:pPr>
      <w:r w:rsidRPr="005577F7">
        <w:rPr>
          <w:b/>
          <w:color w:val="000000"/>
        </w:rPr>
        <w:t>Within 30 days after service of this Claim, Commission Staff</w:t>
      </w:r>
    </w:p>
    <w:p w:rsidRPr="005577F7" w:rsidR="00A92D0B" w:rsidP="00755CBB" w:rsidRDefault="00F20061" w14:paraId="5D5DC317" w14:textId="5D55F982">
      <w:pPr>
        <w:keepNext/>
        <w:tabs>
          <w:tab w:val="left" w:pos="1260"/>
        </w:tabs>
        <w:spacing w:after="240"/>
        <w:ind w:left="1267" w:hanging="1267"/>
        <w:jc w:val="center"/>
        <w:rPr>
          <w:b/>
          <w:color w:val="000000"/>
        </w:rPr>
      </w:pPr>
      <w:r w:rsidRPr="005577F7">
        <w:rPr>
          <w:b/>
          <w:color w:val="000000"/>
        </w:rPr>
        <w:t xml:space="preserve"> </w:t>
      </w:r>
      <w:r w:rsidRPr="005577F7" w:rsidR="00A92D0B">
        <w:rPr>
          <w:b/>
          <w:color w:val="000000"/>
        </w:rPr>
        <w:t>or any other party may file a response to the Claim (</w:t>
      </w:r>
      <w:r w:rsidRPr="005577F7" w:rsidR="00A92D0B">
        <w:rPr>
          <w:b/>
          <w:i/>
          <w:color w:val="000000"/>
        </w:rPr>
        <w:t>see</w:t>
      </w:r>
      <w:r w:rsidRPr="005577F7" w:rsidR="00A92D0B">
        <w:rPr>
          <w:b/>
          <w:color w:val="000000"/>
        </w:rPr>
        <w:t xml:space="preserve"> </w:t>
      </w:r>
      <w:r w:rsidR="004152B8">
        <w:rPr>
          <w:b/>
          <w:color w:val="000000"/>
        </w:rPr>
        <w:t>§ </w:t>
      </w:r>
      <w:r w:rsidRPr="005577F7" w:rsidR="00A92D0B">
        <w:rPr>
          <w:b/>
          <w:color w:val="000000"/>
        </w:rPr>
        <w:t>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8005"/>
        <w:gridCol w:w="1355"/>
      </w:tblGrid>
      <w:tr w:rsidRPr="005577F7" w:rsidR="00A92D0B" w:rsidTr="00631507" w14:paraId="46A51699" w14:textId="77777777">
        <w:tc>
          <w:tcPr>
            <w:tcW w:w="8005" w:type="dxa"/>
          </w:tcPr>
          <w:p w:rsidRPr="005577F7" w:rsidR="00A92D0B" w:rsidP="00631507" w:rsidRDefault="00A92D0B" w14:paraId="607B1FB9" w14:textId="639D7800">
            <w:pPr>
              <w:keepNext/>
              <w:ind w:left="360" w:hanging="360"/>
              <w:rPr>
                <w:color w:val="000000"/>
              </w:rPr>
            </w:pPr>
            <w:r w:rsidRPr="005577F7">
              <w:rPr>
                <w:b/>
                <w:color w:val="000000"/>
              </w:rPr>
              <w:t>A.</w:t>
            </w:r>
            <w:r w:rsidRPr="005577F7" w:rsidR="005A3018">
              <w:rPr>
                <w:b/>
                <w:color w:val="000000"/>
              </w:rPr>
              <w:tab/>
            </w:r>
            <w:r w:rsidRPr="005577F7">
              <w:rPr>
                <w:b/>
                <w:color w:val="000000"/>
              </w:rPr>
              <w:t>Opposition:  Did any party oppose the Claim?</w:t>
            </w:r>
          </w:p>
        </w:tc>
        <w:tc>
          <w:tcPr>
            <w:tcW w:w="1355" w:type="dxa"/>
          </w:tcPr>
          <w:p w:rsidRPr="005577F7" w:rsidR="00A92D0B" w:rsidP="00631507" w:rsidRDefault="00B15B0D" w14:paraId="6E7CD931" w14:textId="6CE2A5E6">
            <w:pPr>
              <w:keepNext/>
              <w:rPr>
                <w:color w:val="000000"/>
              </w:rPr>
            </w:pPr>
            <w:r>
              <w:rPr>
                <w:color w:val="000000"/>
              </w:rPr>
              <w:t>No</w:t>
            </w:r>
          </w:p>
        </w:tc>
      </w:tr>
      <w:tr w:rsidRPr="005577F7" w:rsidR="00A92D0B" w:rsidTr="00631507" w14:paraId="7A0D8740" w14:textId="77777777">
        <w:tc>
          <w:tcPr>
            <w:tcW w:w="8005" w:type="dxa"/>
          </w:tcPr>
          <w:p w:rsidRPr="005577F7" w:rsidR="00A92D0B" w:rsidP="00755CBB" w:rsidRDefault="00A92D0B" w14:paraId="37D28D8D" w14:textId="249409EC">
            <w:pPr>
              <w:ind w:left="360" w:hanging="360"/>
              <w:rPr>
                <w:color w:val="000000"/>
              </w:rPr>
            </w:pPr>
            <w:r w:rsidRPr="005577F7">
              <w:rPr>
                <w:b/>
                <w:color w:val="000000"/>
              </w:rPr>
              <w:t>B.</w:t>
            </w:r>
            <w:r w:rsidRPr="005577F7" w:rsidR="005A3018">
              <w:rPr>
                <w:b/>
                <w:color w:val="000000"/>
              </w:rPr>
              <w:tab/>
            </w:r>
            <w:r w:rsidRPr="005577F7">
              <w:rPr>
                <w:b/>
                <w:color w:val="000000"/>
              </w:rPr>
              <w:t>Comment Period:  Was the 30</w:t>
            </w:r>
            <w:r w:rsidR="004152B8">
              <w:rPr>
                <w:b/>
                <w:color w:val="000000"/>
              </w:rPr>
              <w:noBreakHyphen/>
            </w:r>
            <w:r w:rsidRPr="005577F7">
              <w:rPr>
                <w:b/>
                <w:color w:val="000000"/>
              </w:rPr>
              <w:t>day comment period waived</w:t>
            </w:r>
            <w:r w:rsidR="00631507">
              <w:rPr>
                <w:b/>
                <w:color w:val="000000"/>
              </w:rPr>
              <w:br/>
            </w:r>
            <w:r w:rsidRPr="005577F7">
              <w:rPr>
                <w:b/>
                <w:color w:val="000000"/>
              </w:rPr>
              <w:t>(</w:t>
            </w:r>
            <w:r w:rsidRPr="005577F7">
              <w:rPr>
                <w:b/>
                <w:i/>
                <w:color w:val="000000"/>
              </w:rPr>
              <w:t>see</w:t>
            </w:r>
            <w:r w:rsidRPr="005577F7" w:rsidR="00A60203">
              <w:rPr>
                <w:b/>
                <w:color w:val="000000"/>
              </w:rPr>
              <w:t> </w:t>
            </w:r>
            <w:r w:rsidR="00470240">
              <w:rPr>
                <w:b/>
                <w:color w:val="000000"/>
              </w:rPr>
              <w:t>Rule </w:t>
            </w:r>
            <w:r w:rsidRPr="005577F7">
              <w:rPr>
                <w:b/>
                <w:color w:val="000000"/>
              </w:rPr>
              <w:t>14.6(</w:t>
            </w:r>
            <w:r w:rsidRPr="005577F7" w:rsidR="00963EEF">
              <w:rPr>
                <w:b/>
                <w:color w:val="000000"/>
              </w:rPr>
              <w:t>c</w:t>
            </w:r>
            <w:r w:rsidRPr="005577F7">
              <w:rPr>
                <w:b/>
                <w:color w:val="000000"/>
              </w:rPr>
              <w:t>)(6))?</w:t>
            </w:r>
          </w:p>
        </w:tc>
        <w:tc>
          <w:tcPr>
            <w:tcW w:w="1355" w:type="dxa"/>
          </w:tcPr>
          <w:p w:rsidRPr="005577F7" w:rsidR="00A92D0B" w:rsidP="00755CBB" w:rsidRDefault="00AD6971" w14:paraId="238D2D3F" w14:textId="497D0FF8">
            <w:pPr>
              <w:keepNext/>
              <w:spacing w:after="240"/>
              <w:rPr>
                <w:color w:val="000000"/>
              </w:rPr>
            </w:pPr>
            <w:r>
              <w:rPr>
                <w:color w:val="000000"/>
              </w:rPr>
              <w:t>No</w:t>
            </w:r>
          </w:p>
        </w:tc>
      </w:tr>
    </w:tbl>
    <w:p w:rsidRPr="005577F7" w:rsidR="00A92D0B" w:rsidP="00755CBB" w:rsidRDefault="00A92D0B" w14:paraId="740A9962" w14:textId="77777777">
      <w:pPr>
        <w:keepNext/>
        <w:spacing w:before="240" w:after="240"/>
        <w:ind w:firstLine="720"/>
        <w:rPr>
          <w:color w:val="000000"/>
        </w:rPr>
      </w:pPr>
      <w:r w:rsidRPr="005577F7">
        <w:rPr>
          <w:color w:val="000000"/>
        </w:rPr>
        <w:t>If not: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214"/>
        <w:gridCol w:w="4181"/>
        <w:gridCol w:w="3965"/>
      </w:tblGrid>
      <w:tr w:rsidRPr="005577F7" w:rsidR="00A92D0B" w:rsidTr="00632027" w14:paraId="5FB8DA0C" w14:textId="77777777">
        <w:trPr>
          <w:tblHeader/>
        </w:trPr>
        <w:tc>
          <w:tcPr>
            <w:tcW w:w="1214" w:type="dxa"/>
            <w:shd w:val="pct12" w:color="auto" w:fill="auto"/>
            <w:vAlign w:val="bottom"/>
          </w:tcPr>
          <w:p w:rsidRPr="005577F7" w:rsidR="00A92D0B" w:rsidP="00C64709" w:rsidRDefault="00A92D0B" w14:paraId="55AB3D9C" w14:textId="77777777">
            <w:pPr>
              <w:keepNext/>
              <w:jc w:val="center"/>
              <w:rPr>
                <w:b/>
                <w:color w:val="000000"/>
              </w:rPr>
            </w:pPr>
            <w:r w:rsidRPr="005577F7">
              <w:rPr>
                <w:b/>
                <w:color w:val="000000"/>
              </w:rPr>
              <w:t>Party</w:t>
            </w:r>
          </w:p>
        </w:tc>
        <w:tc>
          <w:tcPr>
            <w:tcW w:w="4181" w:type="dxa"/>
            <w:shd w:val="pct12" w:color="auto" w:fill="auto"/>
            <w:vAlign w:val="bottom"/>
          </w:tcPr>
          <w:p w:rsidRPr="005577F7" w:rsidR="00A92D0B" w:rsidP="00C64709" w:rsidRDefault="00A92D0B" w14:paraId="25677100" w14:textId="77777777">
            <w:pPr>
              <w:keepNext/>
              <w:jc w:val="center"/>
              <w:rPr>
                <w:color w:val="000000"/>
              </w:rPr>
            </w:pPr>
            <w:r w:rsidRPr="005577F7">
              <w:rPr>
                <w:b/>
                <w:color w:val="000000"/>
              </w:rPr>
              <w:t>Comment</w:t>
            </w:r>
          </w:p>
        </w:tc>
        <w:tc>
          <w:tcPr>
            <w:tcW w:w="3965" w:type="dxa"/>
            <w:shd w:val="pct12" w:color="auto" w:fill="auto"/>
            <w:vAlign w:val="bottom"/>
          </w:tcPr>
          <w:p w:rsidRPr="005577F7" w:rsidR="00A92D0B" w:rsidP="00C64709" w:rsidRDefault="00A92D0B" w14:paraId="0C66D2FD" w14:textId="77777777">
            <w:pPr>
              <w:keepNext/>
              <w:jc w:val="center"/>
              <w:rPr>
                <w:color w:val="000000"/>
              </w:rPr>
            </w:pPr>
            <w:r w:rsidRPr="005577F7">
              <w:rPr>
                <w:b/>
                <w:color w:val="000000"/>
              </w:rPr>
              <w:t xml:space="preserve">CPUC </w:t>
            </w:r>
            <w:r w:rsidRPr="005577F7" w:rsidR="00963EEF">
              <w:rPr>
                <w:b/>
                <w:color w:val="000000"/>
              </w:rPr>
              <w:t>Discussion</w:t>
            </w:r>
          </w:p>
        </w:tc>
      </w:tr>
      <w:tr w:rsidRPr="005577F7" w:rsidR="00A92D0B" w:rsidTr="00632027" w14:paraId="756C4BD6" w14:textId="77777777">
        <w:tc>
          <w:tcPr>
            <w:tcW w:w="1214" w:type="dxa"/>
          </w:tcPr>
          <w:p w:rsidRPr="005577F7" w:rsidR="00A92D0B" w:rsidP="00202ACC" w:rsidRDefault="00774412" w14:paraId="5191E9A8" w14:textId="5345CDDF">
            <w:pPr>
              <w:spacing w:after="240"/>
              <w:rPr>
                <w:color w:val="000000"/>
              </w:rPr>
            </w:pPr>
            <w:r>
              <w:rPr>
                <w:color w:val="000000"/>
              </w:rPr>
              <w:t>A4NR</w:t>
            </w:r>
          </w:p>
        </w:tc>
        <w:tc>
          <w:tcPr>
            <w:tcW w:w="4181" w:type="dxa"/>
          </w:tcPr>
          <w:p w:rsidRPr="005577F7" w:rsidR="00A92D0B" w:rsidP="00202ACC" w:rsidRDefault="00D60064" w14:paraId="65BDB010" w14:textId="4F50DF8D">
            <w:pPr>
              <w:spacing w:after="240"/>
              <w:rPr>
                <w:color w:val="000000"/>
              </w:rPr>
            </w:pPr>
            <w:r w:rsidRPr="00D60064">
              <w:rPr>
                <w:color w:val="000000"/>
              </w:rPr>
              <w:t>D.25</w:t>
            </w:r>
            <w:r w:rsidR="00A601D3">
              <w:rPr>
                <w:color w:val="000000"/>
              </w:rPr>
              <w:noBreakHyphen/>
            </w:r>
            <w:r w:rsidRPr="00D60064">
              <w:rPr>
                <w:color w:val="000000"/>
              </w:rPr>
              <w:t>12</w:t>
            </w:r>
            <w:r w:rsidR="00A601D3">
              <w:rPr>
                <w:color w:val="000000"/>
              </w:rPr>
              <w:noBreakHyphen/>
            </w:r>
            <w:r w:rsidRPr="00D60064">
              <w:rPr>
                <w:color w:val="000000"/>
              </w:rPr>
              <w:t>041 approved a 2025 hourly rate for John Geesman of $795. The Alliance for Nuclear Responsibility requests that one</w:t>
            </w:r>
            <w:r w:rsidR="00A601D3">
              <w:rPr>
                <w:color w:val="000000"/>
              </w:rPr>
              <w:noBreakHyphen/>
            </w:r>
            <w:r w:rsidRPr="00D60064">
              <w:rPr>
                <w:color w:val="000000"/>
              </w:rPr>
              <w:t xml:space="preserve">half of this rate (i.e., $397.50) be applied to </w:t>
            </w:r>
            <w:proofErr w:type="spellStart"/>
            <w:r w:rsidRPr="00D60064">
              <w:rPr>
                <w:color w:val="000000"/>
              </w:rPr>
              <w:t>Geesman’s</w:t>
            </w:r>
            <w:proofErr w:type="spellEnd"/>
            <w:r w:rsidRPr="00D60064">
              <w:rPr>
                <w:color w:val="000000"/>
              </w:rPr>
              <w:t xml:space="preserve"> 12.5 claim preparation hours in 2025 rather than the lower rate (which had not been adjusted for the applicable COLA) used in the Proposed Decision.</w:t>
            </w:r>
          </w:p>
        </w:tc>
        <w:tc>
          <w:tcPr>
            <w:tcW w:w="3965" w:type="dxa"/>
          </w:tcPr>
          <w:p w:rsidR="00882DD2" w:rsidP="00202ACC" w:rsidRDefault="00D60064" w14:paraId="1E7908AA" w14:textId="77777777">
            <w:pPr>
              <w:spacing w:after="240"/>
              <w:rPr>
                <w:color w:val="000000"/>
              </w:rPr>
            </w:pPr>
            <w:r w:rsidRPr="00D60064">
              <w:rPr>
                <w:color w:val="000000"/>
              </w:rPr>
              <w:t xml:space="preserve">We reviewed A4NR’s Comment and find the 2025 hourly rate awarded to </w:t>
            </w:r>
            <w:proofErr w:type="spellStart"/>
            <w:r w:rsidRPr="00D60064">
              <w:rPr>
                <w:color w:val="000000"/>
              </w:rPr>
              <w:t>Geesman</w:t>
            </w:r>
            <w:proofErr w:type="spellEnd"/>
            <w:r w:rsidRPr="00D60064">
              <w:rPr>
                <w:color w:val="000000"/>
              </w:rPr>
              <w:t xml:space="preserve"> in the Proposed Decision to be reasonable. </w:t>
            </w:r>
          </w:p>
          <w:p w:rsidRPr="005577F7" w:rsidR="00A92D0B" w:rsidP="00202ACC" w:rsidRDefault="00566039" w14:paraId="39185471" w14:textId="0469A302">
            <w:pPr>
              <w:spacing w:after="240"/>
              <w:rPr>
                <w:color w:val="000000"/>
              </w:rPr>
            </w:pPr>
            <w:r>
              <w:rPr>
                <w:color w:val="000000"/>
              </w:rPr>
              <w:t>We also rem</w:t>
            </w:r>
            <w:r w:rsidR="0019139B">
              <w:rPr>
                <w:color w:val="000000"/>
              </w:rPr>
              <w:t xml:space="preserve">ind A4NR to </w:t>
            </w:r>
            <w:r w:rsidRPr="0019139B" w:rsidR="0019139B">
              <w:rPr>
                <w:color w:val="000000"/>
              </w:rPr>
              <w:t xml:space="preserve">submit </w:t>
            </w:r>
            <w:r w:rsidR="00F855FD">
              <w:rPr>
                <w:color w:val="000000"/>
              </w:rPr>
              <w:t>its</w:t>
            </w:r>
            <w:r w:rsidRPr="0019139B" w:rsidR="0019139B">
              <w:rPr>
                <w:color w:val="000000"/>
              </w:rPr>
              <w:t xml:space="preserve"> </w:t>
            </w:r>
            <w:r w:rsidR="00A86E13">
              <w:rPr>
                <w:color w:val="000000"/>
              </w:rPr>
              <w:t>C</w:t>
            </w:r>
            <w:r w:rsidRPr="0019139B" w:rsidR="0019139B">
              <w:rPr>
                <w:color w:val="000000"/>
              </w:rPr>
              <w:t>omments</w:t>
            </w:r>
            <w:r w:rsidR="004D08AD">
              <w:rPr>
                <w:color w:val="000000"/>
              </w:rPr>
              <w:t xml:space="preserve"> </w:t>
            </w:r>
            <w:r w:rsidR="00A86E13">
              <w:rPr>
                <w:color w:val="000000"/>
              </w:rPr>
              <w:t>on proposed decisions</w:t>
            </w:r>
            <w:r w:rsidRPr="0019139B" w:rsidR="0019139B">
              <w:rPr>
                <w:color w:val="000000"/>
              </w:rPr>
              <w:t xml:space="preserve"> in accordance with Rule</w:t>
            </w:r>
            <w:r w:rsidR="00A601D3">
              <w:rPr>
                <w:color w:val="000000"/>
              </w:rPr>
              <w:t> </w:t>
            </w:r>
            <w:r w:rsidRPr="0019139B" w:rsidR="0019139B">
              <w:rPr>
                <w:color w:val="000000"/>
              </w:rPr>
              <w:t>14.3(b).</w:t>
            </w:r>
          </w:p>
        </w:tc>
      </w:tr>
    </w:tbl>
    <w:p w:rsidRPr="005577F7" w:rsidR="00A92D0B" w:rsidP="00755CBB" w:rsidRDefault="00A92D0B" w14:paraId="186E115A" w14:textId="79F519F6">
      <w:pPr>
        <w:keepNext/>
        <w:spacing w:before="480" w:after="240"/>
        <w:jc w:val="center"/>
        <w:rPr>
          <w:b/>
          <w:color w:val="000000"/>
          <w:u w:val="single"/>
        </w:rPr>
      </w:pPr>
      <w:r w:rsidRPr="005577F7">
        <w:rPr>
          <w:b/>
          <w:color w:val="000000"/>
          <w:u w:val="single"/>
        </w:rPr>
        <w:t>FINDINGS OF FACT</w:t>
      </w:r>
    </w:p>
    <w:p w:rsidRPr="005577F7" w:rsidR="00A92D0B" w:rsidP="00C64709" w:rsidRDefault="00CD220A" w14:paraId="7772A9DC" w14:textId="27DECA96">
      <w:pPr>
        <w:keepNext/>
        <w:numPr>
          <w:ilvl w:val="0"/>
          <w:numId w:val="3"/>
        </w:numPr>
        <w:tabs>
          <w:tab w:val="num" w:pos="540"/>
        </w:tabs>
        <w:spacing w:after="240"/>
      </w:pPr>
      <w:bookmarkStart w:name="_Hlk188448816" w:id="1"/>
      <w:r w:rsidRPr="00CD220A">
        <w:t xml:space="preserve">Alliance </w:t>
      </w:r>
      <w:r>
        <w:t>f</w:t>
      </w:r>
      <w:r w:rsidRPr="00CD220A">
        <w:t>or Nuclear Responsibility</w:t>
      </w:r>
      <w:r w:rsidRPr="005577F7">
        <w:t xml:space="preserve"> </w:t>
      </w:r>
      <w:bookmarkEnd w:id="1"/>
      <w:r w:rsidRPr="005577F7" w:rsidR="00A92D0B">
        <w:t>has made a substantia</w:t>
      </w:r>
      <w:r w:rsidRPr="005577F7" w:rsidR="00DE3A5D">
        <w:t>l contribution to D.</w:t>
      </w:r>
      <w:r w:rsidRPr="00CD220A" w:rsidR="00E57D57">
        <w:t>24</w:t>
      </w:r>
      <w:r w:rsidR="004152B8">
        <w:noBreakHyphen/>
      </w:r>
      <w:r w:rsidRPr="00CD220A" w:rsidR="00E57D57">
        <w:t>12</w:t>
      </w:r>
      <w:r w:rsidR="004152B8">
        <w:noBreakHyphen/>
      </w:r>
      <w:r w:rsidRPr="00CD220A" w:rsidR="00E57D57">
        <w:t>033</w:t>
      </w:r>
      <w:r w:rsidRPr="005577F7" w:rsidR="00A92D0B">
        <w:t>.</w:t>
      </w:r>
    </w:p>
    <w:p w:rsidRPr="005577F7" w:rsidR="00A92D0B" w:rsidP="00755CBB" w:rsidRDefault="00A92D0B" w14:paraId="04EB50FD" w14:textId="44A39419">
      <w:pPr>
        <w:numPr>
          <w:ilvl w:val="0"/>
          <w:numId w:val="3"/>
        </w:numPr>
        <w:tabs>
          <w:tab w:val="num" w:pos="540"/>
        </w:tabs>
        <w:spacing w:after="240"/>
      </w:pPr>
      <w:r w:rsidRPr="005577F7">
        <w:t>The requested hourly rates for</w:t>
      </w:r>
      <w:r w:rsidRPr="005577F7" w:rsidR="003B6A1B">
        <w:t xml:space="preserve"> </w:t>
      </w:r>
      <w:r w:rsidRPr="00CD220A" w:rsidR="0042573A">
        <w:t>Alliance for Nuclear Responsibility</w:t>
      </w:r>
      <w:r w:rsidR="004E6CFF">
        <w:t>’</w:t>
      </w:r>
      <w:r w:rsidRPr="00CD220A" w:rsidR="0042573A">
        <w:t>s</w:t>
      </w:r>
      <w:r w:rsidRPr="005577F7" w:rsidR="0042573A">
        <w:t xml:space="preserve"> </w:t>
      </w:r>
      <w:r w:rsidRPr="005577F7">
        <w:t>representatives,</w:t>
      </w:r>
      <w:r w:rsidRPr="005577F7" w:rsidR="003B5EAC">
        <w:t xml:space="preserve"> </w:t>
      </w:r>
      <w:r w:rsidRPr="005577F7">
        <w:t>as adjusted herein, are comparable to market rates paid to experts and advocates having comparable training and experience and offering similar services</w:t>
      </w:r>
      <w:r w:rsidR="00920D3D">
        <w:t>, and/or reflect the actual rates billed to, and paid by the intervenor, for consultant services rendered.</w:t>
      </w:r>
    </w:p>
    <w:p w:rsidRPr="005577F7" w:rsidR="00A92D0B" w:rsidP="00C64709" w:rsidRDefault="00A92D0B" w14:paraId="528EBB52" w14:textId="55E15404">
      <w:pPr>
        <w:keepNext/>
        <w:numPr>
          <w:ilvl w:val="0"/>
          <w:numId w:val="3"/>
        </w:numPr>
        <w:tabs>
          <w:tab w:val="num" w:pos="540"/>
        </w:tabs>
        <w:spacing w:after="240"/>
      </w:pPr>
      <w:r w:rsidRPr="005577F7">
        <w:t>The claimed costs and expenses,</w:t>
      </w:r>
      <w:r w:rsidRPr="005577F7" w:rsidR="003B5EAC">
        <w:t xml:space="preserve"> </w:t>
      </w:r>
      <w:r w:rsidRPr="005577F7">
        <w:t xml:space="preserve">as adjusted herein, are reasonable and commensurate with the work performed. </w:t>
      </w:r>
    </w:p>
    <w:p w:rsidRPr="005577F7" w:rsidR="00A92D0B" w:rsidP="00755CBB" w:rsidRDefault="00A92D0B" w14:paraId="48B52895" w14:textId="4600F055">
      <w:pPr>
        <w:numPr>
          <w:ilvl w:val="0"/>
          <w:numId w:val="3"/>
        </w:numPr>
        <w:tabs>
          <w:tab w:val="num" w:pos="540"/>
        </w:tabs>
        <w:spacing w:after="240"/>
      </w:pPr>
      <w:r w:rsidRPr="005577F7">
        <w:t xml:space="preserve">The total of reasonable </w:t>
      </w:r>
      <w:r w:rsidRPr="005577F7" w:rsidR="003C608A">
        <w:t xml:space="preserve">compensation </w:t>
      </w:r>
      <w:r w:rsidRPr="005577F7">
        <w:t xml:space="preserve">is </w:t>
      </w:r>
      <w:r w:rsidRPr="00156C9E" w:rsidR="00156C9E">
        <w:t>$</w:t>
      </w:r>
      <w:r w:rsidRPr="00BD5FCA" w:rsidR="00BD5FCA">
        <w:t>84,091.50</w:t>
      </w:r>
      <w:r w:rsidRPr="005577F7">
        <w:t>.</w:t>
      </w:r>
    </w:p>
    <w:p w:rsidRPr="005577F7" w:rsidR="00A92D0B" w:rsidP="00755CBB" w:rsidRDefault="00A92D0B" w14:paraId="5C773C3F" w14:textId="77777777">
      <w:pPr>
        <w:keepNext/>
        <w:spacing w:before="480" w:after="240"/>
        <w:jc w:val="center"/>
        <w:rPr>
          <w:b/>
          <w:color w:val="000000"/>
          <w:u w:val="single"/>
        </w:rPr>
      </w:pPr>
      <w:r w:rsidRPr="005577F7">
        <w:rPr>
          <w:b/>
          <w:color w:val="000000"/>
          <w:u w:val="single"/>
        </w:rPr>
        <w:lastRenderedPageBreak/>
        <w:t>CONCLUSION OF LAW</w:t>
      </w:r>
    </w:p>
    <w:p w:rsidRPr="005577F7" w:rsidR="00A92D0B" w:rsidP="00755CBB" w:rsidRDefault="00A92D0B" w14:paraId="654F2C27" w14:textId="32EA6E56">
      <w:pPr>
        <w:numPr>
          <w:ilvl w:val="0"/>
          <w:numId w:val="19"/>
        </w:numPr>
        <w:spacing w:after="240"/>
        <w:rPr>
          <w:color w:val="000000"/>
        </w:rPr>
      </w:pPr>
      <w:r w:rsidRPr="005577F7">
        <w:t>The</w:t>
      </w:r>
      <w:r w:rsidRPr="005577F7">
        <w:rPr>
          <w:color w:val="000000"/>
        </w:rPr>
        <w:t xml:space="preserve"> </w:t>
      </w:r>
      <w:r w:rsidRPr="00755CBB">
        <w:t>Claim</w:t>
      </w:r>
      <w:r w:rsidRPr="005577F7">
        <w:rPr>
          <w:color w:val="000000"/>
        </w:rPr>
        <w:t>, with any adjustment set forth above, satisfies</w:t>
      </w:r>
      <w:r w:rsidRPr="005577F7" w:rsidR="00DE3A5D">
        <w:rPr>
          <w:color w:val="000000"/>
        </w:rPr>
        <w:t xml:space="preserve"> all requirements of </w:t>
      </w:r>
      <w:r w:rsidR="004152B8">
        <w:rPr>
          <w:color w:val="000000"/>
        </w:rPr>
        <w:t>Pub. Util.</w:t>
      </w:r>
      <w:r w:rsidRPr="005577F7">
        <w:rPr>
          <w:color w:val="000000"/>
        </w:rPr>
        <w:t xml:space="preserve"> Code </w:t>
      </w:r>
      <w:r w:rsidR="004152B8">
        <w:rPr>
          <w:color w:val="000000"/>
        </w:rPr>
        <w:t>§§ </w:t>
      </w:r>
      <w:r w:rsidRPr="005577F7">
        <w:rPr>
          <w:color w:val="000000"/>
        </w:rPr>
        <w:t>1801</w:t>
      </w:r>
      <w:r w:rsidR="004152B8">
        <w:rPr>
          <w:color w:val="000000"/>
        </w:rPr>
        <w:noBreakHyphen/>
      </w:r>
      <w:r w:rsidRPr="005577F7">
        <w:rPr>
          <w:color w:val="000000"/>
        </w:rPr>
        <w:t>1812.</w:t>
      </w:r>
    </w:p>
    <w:p w:rsidRPr="005577F7" w:rsidR="00A92D0B" w:rsidP="00755CBB" w:rsidRDefault="00A92D0B" w14:paraId="0E2503A5" w14:textId="77777777">
      <w:pPr>
        <w:keepNext/>
        <w:spacing w:before="480" w:after="240"/>
        <w:jc w:val="center"/>
        <w:rPr>
          <w:b/>
          <w:color w:val="000000"/>
          <w:u w:val="single"/>
        </w:rPr>
      </w:pPr>
      <w:r w:rsidRPr="005577F7">
        <w:rPr>
          <w:b/>
          <w:color w:val="000000"/>
          <w:u w:val="single"/>
        </w:rPr>
        <w:t>ORDER</w:t>
      </w:r>
    </w:p>
    <w:p w:rsidRPr="005577F7" w:rsidR="00A92D0B" w:rsidP="00755CBB" w:rsidRDefault="00CD220A" w14:paraId="33FB4E15" w14:textId="21453899">
      <w:pPr>
        <w:keepNext/>
        <w:numPr>
          <w:ilvl w:val="0"/>
          <w:numId w:val="20"/>
        </w:numPr>
        <w:spacing w:after="240"/>
        <w:rPr>
          <w:color w:val="000000"/>
        </w:rPr>
      </w:pPr>
      <w:r w:rsidRPr="00CD220A">
        <w:t xml:space="preserve">Alliance </w:t>
      </w:r>
      <w:r>
        <w:t>f</w:t>
      </w:r>
      <w:r w:rsidRPr="00CD220A">
        <w:t>or Nuclear Responsibility</w:t>
      </w:r>
      <w:r w:rsidRPr="005577F7">
        <w:t xml:space="preserve"> </w:t>
      </w:r>
      <w:r w:rsidRPr="005577F7" w:rsidR="00831652">
        <w:t>is</w:t>
      </w:r>
      <w:r w:rsidRPr="005577F7" w:rsidR="00FE3BAE">
        <w:t xml:space="preserve"> </w:t>
      </w:r>
      <w:r w:rsidRPr="005577F7" w:rsidR="00A92D0B">
        <w:rPr>
          <w:color w:val="000000"/>
        </w:rPr>
        <w:t xml:space="preserve">awarded </w:t>
      </w:r>
      <w:r w:rsidRPr="00156C9E" w:rsidR="00156C9E">
        <w:rPr>
          <w:color w:val="000000"/>
        </w:rPr>
        <w:t>$</w:t>
      </w:r>
      <w:r w:rsidRPr="00BD5FCA" w:rsidR="00BD5FCA">
        <w:rPr>
          <w:color w:val="000000"/>
        </w:rPr>
        <w:t>84,091.50</w:t>
      </w:r>
      <w:r w:rsidRPr="005577F7" w:rsidR="00A92D0B">
        <w:rPr>
          <w:color w:val="000000"/>
        </w:rPr>
        <w:t>.</w:t>
      </w:r>
    </w:p>
    <w:p w:rsidRPr="005577F7" w:rsidR="00A92D0B" w:rsidP="00755CBB" w:rsidRDefault="00A92D0B" w14:paraId="4AEF5671" w14:textId="34DE471B">
      <w:pPr>
        <w:numPr>
          <w:ilvl w:val="0"/>
          <w:numId w:val="20"/>
        </w:numPr>
        <w:spacing w:after="240"/>
      </w:pPr>
      <w:r w:rsidRPr="005577F7">
        <w:t xml:space="preserve">Within 30 days of the effective date of this decision, </w:t>
      </w:r>
      <w:r w:rsidRPr="004129B5" w:rsidR="004129B5">
        <w:t>Pacific Gas and Electric Company</w:t>
      </w:r>
      <w:r w:rsidRPr="005577F7">
        <w:t xml:space="preserve"> shall pay </w:t>
      </w:r>
      <w:r w:rsidRPr="00CD220A" w:rsidR="00CD220A">
        <w:t>Alliance for Nuclear Responsibility</w:t>
      </w:r>
      <w:r w:rsidRPr="005577F7" w:rsidR="00CD220A">
        <w:t xml:space="preserve"> </w:t>
      </w:r>
      <w:r w:rsidRPr="005577F7">
        <w:t>the total award. Payment of the award shall include</w:t>
      </w:r>
      <w:r w:rsidRPr="005577F7" w:rsidR="004E3939">
        <w:t xml:space="preserve"> compound </w:t>
      </w:r>
      <w:r w:rsidRPr="005577F7">
        <w:t>interest at the rate earned on prime, three</w:t>
      </w:r>
      <w:r w:rsidR="004152B8">
        <w:noBreakHyphen/>
      </w:r>
      <w:r w:rsidRPr="005577F7">
        <w:t xml:space="preserve">month </w:t>
      </w:r>
      <w:r w:rsidRPr="005577F7" w:rsidR="00214B22">
        <w:t>non</w:t>
      </w:r>
      <w:r w:rsidR="004152B8">
        <w:noBreakHyphen/>
      </w:r>
      <w:r w:rsidRPr="005577F7" w:rsidR="00214B22">
        <w:t xml:space="preserve">financial </w:t>
      </w:r>
      <w:r w:rsidRPr="005577F7">
        <w:t>commercial paper as reported in Federal Reserve Statistical Release H.15, beginning</w:t>
      </w:r>
      <w:r w:rsidRPr="005577F7" w:rsidR="00357F1A">
        <w:t xml:space="preserve"> </w:t>
      </w:r>
      <w:r w:rsidR="00310D53">
        <w:t>April</w:t>
      </w:r>
      <w:r w:rsidR="003F657E">
        <w:t> </w:t>
      </w:r>
      <w:r w:rsidR="00310D53">
        <w:t>30, 2025</w:t>
      </w:r>
      <w:r w:rsidRPr="005577F7" w:rsidR="00357F1A">
        <w:t xml:space="preserve">, </w:t>
      </w:r>
      <w:r w:rsidRPr="005577F7">
        <w:t>the 75</w:t>
      </w:r>
      <w:r w:rsidRPr="005577F7">
        <w:rPr>
          <w:vertAlign w:val="superscript"/>
        </w:rPr>
        <w:t>th</w:t>
      </w:r>
      <w:r w:rsidRPr="005577F7">
        <w:t xml:space="preserve"> day after the filing of </w:t>
      </w:r>
      <w:r w:rsidRPr="00310D53" w:rsidR="00310D53">
        <w:t>Alliance for Nuclear Responsibility</w:t>
      </w:r>
      <w:r w:rsidR="004E6CFF">
        <w:t>’</w:t>
      </w:r>
      <w:r w:rsidRPr="00310D53" w:rsidR="00310D53">
        <w:t>s</w:t>
      </w:r>
      <w:r w:rsidRPr="005577F7" w:rsidR="00310D53">
        <w:rPr>
          <w:b/>
        </w:rPr>
        <w:t xml:space="preserve"> </w:t>
      </w:r>
      <w:r w:rsidRPr="005577F7">
        <w:t>request, and continuing until full payment is made.</w:t>
      </w:r>
    </w:p>
    <w:p w:rsidR="00A92D0B" w:rsidP="00C75E1E" w:rsidRDefault="00A92D0B" w14:paraId="5AD40C95" w14:textId="2C10D333">
      <w:pPr>
        <w:keepNext/>
        <w:numPr>
          <w:ilvl w:val="0"/>
          <w:numId w:val="20"/>
        </w:numPr>
        <w:spacing w:after="240"/>
      </w:pPr>
      <w:r w:rsidRPr="005577F7">
        <w:t>The comment period for today</w:t>
      </w:r>
      <w:r w:rsidR="004E6CFF">
        <w:t>’</w:t>
      </w:r>
      <w:r w:rsidRPr="005577F7">
        <w:t>s decision is not waived.</w:t>
      </w:r>
    </w:p>
    <w:p w:rsidRPr="005577F7" w:rsidR="00A92D0B" w:rsidP="00755CBB" w:rsidRDefault="00A92D0B" w14:paraId="13F3A0AD" w14:textId="77777777">
      <w:pPr>
        <w:keepNext/>
        <w:spacing w:after="240"/>
        <w:ind w:left="547"/>
        <w:rPr>
          <w:color w:val="000000"/>
        </w:rPr>
      </w:pPr>
      <w:r w:rsidRPr="005577F7">
        <w:rPr>
          <w:color w:val="000000"/>
        </w:rPr>
        <w:t>This decision is effective today.</w:t>
      </w:r>
    </w:p>
    <w:p w:rsidR="00A92D0B" w:rsidP="00755CBB" w:rsidRDefault="00A92D0B" w14:paraId="0467B995" w14:textId="623464EA">
      <w:pPr>
        <w:keepNext/>
        <w:spacing w:after="240"/>
        <w:ind w:left="547"/>
        <w:rPr>
          <w:color w:val="000000"/>
        </w:rPr>
      </w:pPr>
      <w:r w:rsidRPr="005577F7">
        <w:rPr>
          <w:color w:val="000000"/>
        </w:rPr>
        <w:t>Dated __________</w:t>
      </w:r>
      <w:r w:rsidRPr="005577F7" w:rsidR="000E52AE">
        <w:rPr>
          <w:color w:val="000000"/>
        </w:rPr>
        <w:t>__________</w:t>
      </w:r>
      <w:r w:rsidRPr="005577F7">
        <w:rPr>
          <w:color w:val="000000"/>
        </w:rPr>
        <w:t xml:space="preserve">, at </w:t>
      </w:r>
      <w:r w:rsidR="00D22D09">
        <w:rPr>
          <w:color w:val="000000"/>
        </w:rPr>
        <w:t>Sacramento</w:t>
      </w:r>
      <w:r w:rsidRPr="005577F7">
        <w:rPr>
          <w:color w:val="000000"/>
        </w:rPr>
        <w:t>, California.</w:t>
      </w:r>
    </w:p>
    <w:p w:rsidR="002077E9" w:rsidP="00755CBB" w:rsidRDefault="002077E9" w14:paraId="5453BCFE" w14:textId="77777777">
      <w:pPr>
        <w:keepNext/>
        <w:spacing w:after="240"/>
        <w:ind w:left="547"/>
        <w:rPr>
          <w:color w:val="000000"/>
        </w:rPr>
      </w:pPr>
    </w:p>
    <w:p w:rsidR="002077E9" w:rsidP="00755CBB" w:rsidRDefault="002077E9" w14:paraId="5563F8E4" w14:textId="77777777">
      <w:pPr>
        <w:keepNext/>
        <w:spacing w:after="240"/>
        <w:ind w:left="547"/>
        <w:rPr>
          <w:color w:val="000000"/>
        </w:rPr>
      </w:pPr>
    </w:p>
    <w:p w:rsidR="00FE3BAE" w:rsidP="002F5892" w:rsidRDefault="00FE3BAE" w14:paraId="3C739AE2" w14:textId="71F3AFC8">
      <w:pPr>
        <w:keepNext/>
        <w:spacing w:after="240"/>
        <w:ind w:left="547"/>
      </w:pPr>
    </w:p>
    <w:p w:rsidRPr="005577F7" w:rsidR="00E868F6" w:rsidP="002F5892" w:rsidRDefault="00E868F6" w14:paraId="01F68DC0" w14:textId="77777777">
      <w:pPr>
        <w:keepNext/>
        <w:spacing w:after="240"/>
        <w:ind w:left="547"/>
      </w:pPr>
    </w:p>
    <w:p w:rsidRPr="005577F7" w:rsidR="006B7228" w:rsidP="00755CBB" w:rsidRDefault="006B7228" w14:paraId="37D74F32" w14:textId="77777777">
      <w:pPr>
        <w:sectPr w:rsidRPr="005577F7" w:rsidR="006B7228" w:rsidSect="002B1B74">
          <w:headerReference w:type="default" r:id="rId8"/>
          <w:footerReference w:type="default" r:id="rId9"/>
          <w:footerReference w:type="first" r:id="rId10"/>
          <w:pgSz w:w="12240" w:h="15840"/>
          <w:pgMar w:top="1728" w:right="1440" w:bottom="1440" w:left="1440" w:header="720" w:footer="720" w:gutter="0"/>
          <w:pgNumType w:start="1"/>
          <w:cols w:space="720"/>
          <w:titlePg/>
          <w:docGrid w:linePitch="360"/>
        </w:sectPr>
      </w:pPr>
    </w:p>
    <w:p w:rsidRPr="00883206" w:rsidR="00FE3BAE" w:rsidP="00883206" w:rsidRDefault="00FE3BAE" w14:paraId="7A1C7043" w14:textId="77777777">
      <w:pPr>
        <w:pStyle w:val="standard"/>
        <w:keepNext/>
        <w:spacing w:after="240" w:line="240" w:lineRule="auto"/>
        <w:ind w:firstLine="0"/>
        <w:jc w:val="center"/>
        <w:rPr>
          <w:rFonts w:ascii="Times New Roman" w:hAnsi="Times New Roman"/>
          <w:b/>
          <w:sz w:val="24"/>
          <w:szCs w:val="26"/>
        </w:rPr>
      </w:pPr>
      <w:r w:rsidRPr="00883206">
        <w:rPr>
          <w:rFonts w:ascii="Times New Roman" w:hAnsi="Times New Roman"/>
          <w:b/>
          <w:sz w:val="24"/>
          <w:szCs w:val="26"/>
        </w:rPr>
        <w:lastRenderedPageBreak/>
        <w:t>APPENDIX</w:t>
      </w:r>
    </w:p>
    <w:p w:rsidRPr="00883206" w:rsidR="00FE3BAE" w:rsidP="00883206" w:rsidRDefault="00FE3BAE" w14:paraId="300BB274" w14:textId="77777777">
      <w:pPr>
        <w:pStyle w:val="standard"/>
        <w:keepNext/>
        <w:spacing w:after="240" w:line="240" w:lineRule="auto"/>
        <w:ind w:firstLine="0"/>
        <w:jc w:val="center"/>
        <w:rPr>
          <w:rFonts w:ascii="Times New Roman" w:hAnsi="Times New Roman"/>
          <w:b/>
          <w:bCs/>
          <w:sz w:val="24"/>
        </w:rPr>
      </w:pPr>
      <w:r w:rsidRPr="00883206">
        <w:rPr>
          <w:rFonts w:ascii="Times New Roman" w:hAnsi="Times New Roman"/>
          <w:b/>
          <w:bCs/>
          <w:sz w:val="24"/>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05"/>
        <w:gridCol w:w="3767"/>
        <w:gridCol w:w="2497"/>
        <w:gridCol w:w="1271"/>
      </w:tblGrid>
      <w:tr w:rsidRPr="00883206" w:rsidR="00FE3BAE" w:rsidTr="00CB767F" w14:paraId="062C592A" w14:textId="77777777">
        <w:trPr>
          <w:jc w:val="center"/>
        </w:trPr>
        <w:tc>
          <w:tcPr>
            <w:tcW w:w="2880" w:type="dxa"/>
            <w:tcBorders>
              <w:top w:val="single" w:color="auto" w:sz="4" w:space="0"/>
              <w:left w:val="single" w:color="auto" w:sz="4" w:space="0"/>
              <w:bottom w:val="single" w:color="auto" w:sz="4" w:space="0"/>
              <w:right w:val="single" w:color="auto" w:sz="4" w:space="0"/>
            </w:tcBorders>
            <w:hideMark/>
          </w:tcPr>
          <w:p w:rsidRPr="00883206" w:rsidR="00FE3BAE" w:rsidP="00755CBB" w:rsidRDefault="00FE3BAE" w14:paraId="4BC9C636" w14:textId="77777777">
            <w:pPr>
              <w:rPr>
                <w:b/>
                <w:bCs/>
              </w:rPr>
            </w:pPr>
            <w:r w:rsidRPr="00883206">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883206" w:rsidR="00FE3BAE" w:rsidP="00755CBB" w:rsidRDefault="00FE3BAE" w14:paraId="16C5D6B1" w14:textId="77777777"/>
        </w:tc>
        <w:tc>
          <w:tcPr>
            <w:tcW w:w="2475" w:type="dxa"/>
            <w:tcBorders>
              <w:top w:val="single" w:color="auto" w:sz="4" w:space="0"/>
              <w:left w:val="single" w:color="auto" w:sz="4" w:space="0"/>
              <w:bottom w:val="single" w:color="auto" w:sz="4" w:space="0"/>
              <w:right w:val="single" w:color="auto" w:sz="4" w:space="0"/>
            </w:tcBorders>
            <w:hideMark/>
          </w:tcPr>
          <w:p w:rsidRPr="00883206" w:rsidR="00FE3BAE" w:rsidP="00755CBB" w:rsidRDefault="00FE3BAE" w14:paraId="3ECA0C4F" w14:textId="77777777">
            <w:pPr>
              <w:rPr>
                <w:b/>
                <w:bCs/>
              </w:rPr>
            </w:pPr>
            <w:r w:rsidRPr="00883206">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883206" w:rsidR="00FE3BAE" w:rsidP="00755CBB" w:rsidRDefault="00257352" w14:paraId="6846FB87" w14:textId="523644AE">
            <w:pPr>
              <w:jc w:val="center"/>
            </w:pPr>
            <w:r w:rsidRPr="00883206">
              <w:t>No</w:t>
            </w:r>
          </w:p>
        </w:tc>
      </w:tr>
      <w:tr w:rsidRPr="00883206" w:rsidR="00FE3BAE" w:rsidTr="00CB767F" w14:paraId="3E0218AD" w14:textId="77777777">
        <w:trPr>
          <w:jc w:val="center"/>
        </w:trPr>
        <w:tc>
          <w:tcPr>
            <w:tcW w:w="2880" w:type="dxa"/>
            <w:tcBorders>
              <w:top w:val="single" w:color="auto" w:sz="4" w:space="0"/>
              <w:left w:val="single" w:color="auto" w:sz="4" w:space="0"/>
              <w:bottom w:val="single" w:color="auto" w:sz="4" w:space="0"/>
              <w:right w:val="single" w:color="auto" w:sz="4" w:space="0"/>
            </w:tcBorders>
            <w:hideMark/>
          </w:tcPr>
          <w:p w:rsidRPr="00883206" w:rsidR="00FE3BAE" w:rsidP="00755CBB" w:rsidRDefault="00FE3BAE" w14:paraId="6E65620B" w14:textId="77777777">
            <w:pPr>
              <w:rPr>
                <w:b/>
                <w:bCs/>
              </w:rPr>
            </w:pPr>
            <w:r w:rsidRPr="00883206">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883206" w:rsidR="00FE3BAE" w:rsidP="00755CBB" w:rsidRDefault="00204F00" w14:paraId="426F2C45" w14:textId="34EAEE17">
            <w:r w:rsidRPr="00883206">
              <w:t>D2412033</w:t>
            </w:r>
          </w:p>
        </w:tc>
      </w:tr>
      <w:tr w:rsidRPr="00883206" w:rsidR="00FE3BAE" w:rsidTr="00CB767F" w14:paraId="2808C576" w14:textId="77777777">
        <w:trPr>
          <w:jc w:val="center"/>
        </w:trPr>
        <w:tc>
          <w:tcPr>
            <w:tcW w:w="2880" w:type="dxa"/>
            <w:tcBorders>
              <w:top w:val="single" w:color="auto" w:sz="4" w:space="0"/>
              <w:left w:val="single" w:color="auto" w:sz="4" w:space="0"/>
              <w:bottom w:val="single" w:color="auto" w:sz="4" w:space="0"/>
              <w:right w:val="single" w:color="auto" w:sz="4" w:space="0"/>
            </w:tcBorders>
            <w:hideMark/>
          </w:tcPr>
          <w:p w:rsidRPr="00883206" w:rsidR="00FE3BAE" w:rsidP="00755CBB" w:rsidRDefault="00FE3BAE" w14:paraId="717974DE" w14:textId="77777777">
            <w:pPr>
              <w:rPr>
                <w:b/>
                <w:bCs/>
              </w:rPr>
            </w:pPr>
            <w:r w:rsidRPr="00883206">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883206" w:rsidR="00FE3BAE" w:rsidP="00755CBB" w:rsidRDefault="00204F00" w14:paraId="5B85688D" w14:textId="12D73D07">
            <w:r w:rsidRPr="00883206">
              <w:t>A2403018</w:t>
            </w:r>
          </w:p>
        </w:tc>
      </w:tr>
      <w:tr w:rsidRPr="00883206" w:rsidR="00FE3BAE" w:rsidTr="00CB767F" w14:paraId="66779179" w14:textId="77777777">
        <w:trPr>
          <w:jc w:val="center"/>
        </w:trPr>
        <w:tc>
          <w:tcPr>
            <w:tcW w:w="2880" w:type="dxa"/>
            <w:tcBorders>
              <w:top w:val="single" w:color="auto" w:sz="4" w:space="0"/>
              <w:left w:val="single" w:color="auto" w:sz="4" w:space="0"/>
              <w:bottom w:val="single" w:color="auto" w:sz="4" w:space="0"/>
              <w:right w:val="single" w:color="auto" w:sz="4" w:space="0"/>
            </w:tcBorders>
            <w:hideMark/>
          </w:tcPr>
          <w:p w:rsidRPr="00883206" w:rsidR="00FE3BAE" w:rsidP="00755CBB" w:rsidRDefault="00FE3BAE" w14:paraId="738C0A58" w14:textId="77777777">
            <w:pPr>
              <w:rPr>
                <w:b/>
                <w:bCs/>
              </w:rPr>
            </w:pPr>
            <w:r w:rsidRPr="00883206">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883206" w:rsidR="00FE3BAE" w:rsidP="00755CBB" w:rsidRDefault="000B21CE" w14:paraId="5E75C0F0" w14:textId="620510C6">
            <w:r w:rsidRPr="00883206">
              <w:t>ALJ Atamturk</w:t>
            </w:r>
          </w:p>
        </w:tc>
      </w:tr>
      <w:tr w:rsidRPr="00883206" w:rsidR="00FE3BAE" w:rsidTr="00CB767F" w14:paraId="305F69F4" w14:textId="77777777">
        <w:trPr>
          <w:jc w:val="center"/>
        </w:trPr>
        <w:tc>
          <w:tcPr>
            <w:tcW w:w="2880" w:type="dxa"/>
            <w:tcBorders>
              <w:top w:val="single" w:color="auto" w:sz="4" w:space="0"/>
              <w:left w:val="single" w:color="auto" w:sz="4" w:space="0"/>
              <w:bottom w:val="single" w:color="auto" w:sz="4" w:space="0"/>
              <w:right w:val="single" w:color="auto" w:sz="4" w:space="0"/>
            </w:tcBorders>
            <w:hideMark/>
          </w:tcPr>
          <w:p w:rsidRPr="00883206" w:rsidR="00FE3BAE" w:rsidP="00755CBB" w:rsidRDefault="00FE3BAE" w14:paraId="1414CA71" w14:textId="77777777">
            <w:pPr>
              <w:rPr>
                <w:b/>
                <w:bCs/>
              </w:rPr>
            </w:pPr>
            <w:r w:rsidRPr="00883206">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883206" w:rsidR="00FE3BAE" w:rsidP="00755CBB" w:rsidRDefault="005A0CBE" w14:paraId="7CA711B6" w14:textId="37245FED">
            <w:r w:rsidRPr="00883206">
              <w:t>Pacific Gas and Electric Company</w:t>
            </w:r>
          </w:p>
        </w:tc>
      </w:tr>
    </w:tbl>
    <w:p w:rsidRPr="00883206" w:rsidR="00FE3BAE" w:rsidP="00883206" w:rsidRDefault="00FE3BAE" w14:paraId="7F0236A2" w14:textId="77777777">
      <w:pPr>
        <w:keepNext/>
        <w:spacing w:before="480" w:after="240"/>
        <w:jc w:val="center"/>
        <w:rPr>
          <w:b/>
          <w:bCs/>
          <w:szCs w:val="28"/>
        </w:rPr>
      </w:pPr>
      <w:r w:rsidRPr="00883206">
        <w:rPr>
          <w:b/>
          <w:bCs/>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1980"/>
        <w:gridCol w:w="1530"/>
        <w:gridCol w:w="1440"/>
        <w:gridCol w:w="1530"/>
        <w:gridCol w:w="2345"/>
      </w:tblGrid>
      <w:tr w:rsidRPr="00883206" w:rsidR="00FE3BAE" w:rsidTr="002201D8" w14:paraId="6CDB318E" w14:textId="77777777">
        <w:trPr>
          <w:jc w:val="center"/>
        </w:trPr>
        <w:tc>
          <w:tcPr>
            <w:tcW w:w="1615" w:type="dxa"/>
            <w:tcBorders>
              <w:top w:val="single" w:color="auto" w:sz="4" w:space="0"/>
              <w:left w:val="single" w:color="auto" w:sz="4" w:space="0"/>
              <w:bottom w:val="single" w:color="auto" w:sz="4" w:space="0"/>
              <w:right w:val="single" w:color="auto" w:sz="4" w:space="0"/>
            </w:tcBorders>
            <w:vAlign w:val="bottom"/>
            <w:hideMark/>
          </w:tcPr>
          <w:p w:rsidRPr="00883206" w:rsidR="00FE3BAE" w:rsidP="00755CBB" w:rsidRDefault="00FE3BAE" w14:paraId="2578F35B" w14:textId="77777777">
            <w:pPr>
              <w:jc w:val="center"/>
              <w:rPr>
                <w:b/>
                <w:bCs/>
              </w:rPr>
            </w:pPr>
            <w:r w:rsidRPr="00883206">
              <w:rPr>
                <w:b/>
                <w:bCs/>
              </w:rPr>
              <w:t>Intervenor</w:t>
            </w:r>
          </w:p>
        </w:tc>
        <w:tc>
          <w:tcPr>
            <w:tcW w:w="1980" w:type="dxa"/>
            <w:tcBorders>
              <w:top w:val="single" w:color="auto" w:sz="4" w:space="0"/>
              <w:left w:val="single" w:color="auto" w:sz="4" w:space="0"/>
              <w:bottom w:val="single" w:color="auto" w:sz="4" w:space="0"/>
              <w:right w:val="single" w:color="auto" w:sz="4" w:space="0"/>
            </w:tcBorders>
            <w:vAlign w:val="bottom"/>
            <w:hideMark/>
          </w:tcPr>
          <w:p w:rsidRPr="00883206" w:rsidR="00FE3BAE" w:rsidP="002201D8" w:rsidRDefault="0081626F" w14:paraId="2C1C9DC3" w14:textId="03351D31">
            <w:pPr>
              <w:jc w:val="center"/>
              <w:rPr>
                <w:b/>
                <w:bCs/>
              </w:rPr>
            </w:pPr>
            <w:r w:rsidRPr="00883206">
              <w:rPr>
                <w:b/>
                <w:bCs/>
              </w:rPr>
              <w:t>Date</w:t>
            </w:r>
            <w:r w:rsidRPr="00883206" w:rsidR="002201D8">
              <w:rPr>
                <w:b/>
                <w:bCs/>
              </w:rPr>
              <w:t xml:space="preserve"> </w:t>
            </w:r>
            <w:r w:rsidRPr="00883206">
              <w:rPr>
                <w:b/>
                <w:bCs/>
              </w:rPr>
              <w:t>Claim Filed</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883206" w:rsidR="002201D8" w:rsidP="00755CBB" w:rsidRDefault="00FE3BAE" w14:paraId="46583969" w14:textId="77777777">
            <w:pPr>
              <w:jc w:val="center"/>
              <w:rPr>
                <w:b/>
                <w:bCs/>
              </w:rPr>
            </w:pPr>
            <w:r w:rsidRPr="00883206">
              <w:rPr>
                <w:b/>
                <w:bCs/>
              </w:rPr>
              <w:t xml:space="preserve">Amount </w:t>
            </w:r>
          </w:p>
          <w:p w:rsidRPr="00883206" w:rsidR="00FE3BAE" w:rsidP="00755CBB" w:rsidRDefault="00FE3BAE" w14:paraId="60DD020D" w14:textId="27AD81C5">
            <w:pPr>
              <w:jc w:val="center"/>
              <w:rPr>
                <w:b/>
                <w:bCs/>
              </w:rPr>
            </w:pPr>
            <w:r w:rsidRPr="00883206">
              <w:rPr>
                <w:b/>
                <w:bCs/>
              </w:rPr>
              <w:t>Requested</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883206" w:rsidR="002201D8" w:rsidP="00755CBB" w:rsidRDefault="00FE3BAE" w14:paraId="17BEAF34" w14:textId="77777777">
            <w:pPr>
              <w:jc w:val="center"/>
              <w:rPr>
                <w:b/>
                <w:bCs/>
              </w:rPr>
            </w:pPr>
            <w:r w:rsidRPr="00883206">
              <w:rPr>
                <w:b/>
                <w:bCs/>
              </w:rPr>
              <w:t xml:space="preserve">Amount </w:t>
            </w:r>
          </w:p>
          <w:p w:rsidRPr="00883206" w:rsidR="00FE3BAE" w:rsidP="00755CBB" w:rsidRDefault="00FE3BAE" w14:paraId="19A4A01D" w14:textId="419F4FA1">
            <w:pPr>
              <w:jc w:val="center"/>
              <w:rPr>
                <w:b/>
                <w:bCs/>
              </w:rPr>
            </w:pPr>
            <w:r w:rsidRPr="00883206">
              <w:rPr>
                <w:b/>
                <w:bCs/>
              </w:rPr>
              <w:t>Awarded</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883206" w:rsidR="00FE3BAE" w:rsidP="00755CBB" w:rsidRDefault="00FE3BAE" w14:paraId="5B9F47E2" w14:textId="77777777">
            <w:pPr>
              <w:jc w:val="center"/>
              <w:rPr>
                <w:b/>
                <w:bCs/>
              </w:rPr>
            </w:pPr>
            <w:r w:rsidRPr="00883206">
              <w:rPr>
                <w:b/>
                <w:bCs/>
              </w:rPr>
              <w:t>Multiplier?</w:t>
            </w:r>
          </w:p>
        </w:tc>
        <w:tc>
          <w:tcPr>
            <w:tcW w:w="2345" w:type="dxa"/>
            <w:tcBorders>
              <w:top w:val="single" w:color="auto" w:sz="4" w:space="0"/>
              <w:left w:val="single" w:color="auto" w:sz="4" w:space="0"/>
              <w:bottom w:val="single" w:color="auto" w:sz="4" w:space="0"/>
              <w:right w:val="single" w:color="auto" w:sz="4" w:space="0"/>
            </w:tcBorders>
            <w:vAlign w:val="bottom"/>
            <w:hideMark/>
          </w:tcPr>
          <w:p w:rsidRPr="00883206" w:rsidR="002201D8" w:rsidP="00755CBB" w:rsidRDefault="00FE3BAE" w14:paraId="7B0DFF17" w14:textId="77777777">
            <w:pPr>
              <w:jc w:val="center"/>
              <w:rPr>
                <w:b/>
                <w:bCs/>
              </w:rPr>
            </w:pPr>
            <w:r w:rsidRPr="00883206">
              <w:rPr>
                <w:b/>
                <w:bCs/>
              </w:rPr>
              <w:t>Reason Change/</w:t>
            </w:r>
          </w:p>
          <w:p w:rsidRPr="00883206" w:rsidR="00FE3BAE" w:rsidP="00755CBB" w:rsidRDefault="00FE3BAE" w14:paraId="089590A8" w14:textId="09541DF5">
            <w:pPr>
              <w:jc w:val="center"/>
              <w:rPr>
                <w:b/>
                <w:bCs/>
              </w:rPr>
            </w:pPr>
            <w:r w:rsidRPr="00883206">
              <w:rPr>
                <w:b/>
                <w:bCs/>
              </w:rPr>
              <w:t>Disallowance</w:t>
            </w:r>
          </w:p>
        </w:tc>
      </w:tr>
      <w:tr w:rsidRPr="00883206" w:rsidR="00FE3BAE" w:rsidTr="002201D8" w14:paraId="080524E3" w14:textId="77777777">
        <w:trPr>
          <w:jc w:val="center"/>
        </w:trPr>
        <w:tc>
          <w:tcPr>
            <w:tcW w:w="1615" w:type="dxa"/>
            <w:tcBorders>
              <w:top w:val="single" w:color="auto" w:sz="4" w:space="0"/>
              <w:left w:val="single" w:color="auto" w:sz="4" w:space="0"/>
              <w:bottom w:val="single" w:color="auto" w:sz="4" w:space="0"/>
              <w:right w:val="single" w:color="auto" w:sz="4" w:space="0"/>
            </w:tcBorders>
            <w:hideMark/>
          </w:tcPr>
          <w:p w:rsidRPr="00883206" w:rsidR="00FE3BAE" w:rsidP="00755CBB" w:rsidRDefault="003C4B7F" w14:paraId="3008FB17" w14:textId="18C1EA7A">
            <w:pPr>
              <w:jc w:val="center"/>
            </w:pPr>
            <w:r w:rsidRPr="00883206">
              <w:t>Alliance for Nuclear Responsibility</w:t>
            </w:r>
          </w:p>
        </w:tc>
        <w:tc>
          <w:tcPr>
            <w:tcW w:w="1980" w:type="dxa"/>
            <w:tcBorders>
              <w:top w:val="single" w:color="auto" w:sz="4" w:space="0"/>
              <w:left w:val="single" w:color="auto" w:sz="4" w:space="0"/>
              <w:bottom w:val="single" w:color="auto" w:sz="4" w:space="0"/>
              <w:right w:val="single" w:color="auto" w:sz="4" w:space="0"/>
            </w:tcBorders>
            <w:hideMark/>
          </w:tcPr>
          <w:p w:rsidRPr="00883206" w:rsidR="00FE3BAE" w:rsidP="00755CBB" w:rsidRDefault="009B29C2" w14:paraId="63956769" w14:textId="4D25C8E5">
            <w:pPr>
              <w:jc w:val="center"/>
            </w:pPr>
            <w:r w:rsidRPr="00883206">
              <w:t>Feb. 1</w:t>
            </w:r>
            <w:r w:rsidRPr="00883206" w:rsidR="00CF0DBB">
              <w:t>4</w:t>
            </w:r>
            <w:r w:rsidRPr="00883206">
              <w:t>, 2025</w:t>
            </w:r>
          </w:p>
        </w:tc>
        <w:tc>
          <w:tcPr>
            <w:tcW w:w="1530" w:type="dxa"/>
            <w:tcBorders>
              <w:top w:val="single" w:color="auto" w:sz="4" w:space="0"/>
              <w:left w:val="single" w:color="auto" w:sz="4" w:space="0"/>
              <w:bottom w:val="single" w:color="auto" w:sz="4" w:space="0"/>
              <w:right w:val="single" w:color="auto" w:sz="4" w:space="0"/>
            </w:tcBorders>
            <w:hideMark/>
          </w:tcPr>
          <w:p w:rsidRPr="00883206" w:rsidR="00FE3BAE" w:rsidP="00755CBB" w:rsidRDefault="001A5E82" w14:paraId="75AD20FA" w14:textId="62E9E02A">
            <w:r w:rsidRPr="00883206">
              <w:t>$381,664.52</w:t>
            </w:r>
          </w:p>
        </w:tc>
        <w:tc>
          <w:tcPr>
            <w:tcW w:w="1440" w:type="dxa"/>
            <w:tcBorders>
              <w:top w:val="single" w:color="auto" w:sz="4" w:space="0"/>
              <w:left w:val="single" w:color="auto" w:sz="4" w:space="0"/>
              <w:bottom w:val="single" w:color="auto" w:sz="4" w:space="0"/>
              <w:right w:val="single" w:color="auto" w:sz="4" w:space="0"/>
            </w:tcBorders>
            <w:hideMark/>
          </w:tcPr>
          <w:p w:rsidRPr="00883206" w:rsidR="00FE3BAE" w:rsidP="002201D8" w:rsidRDefault="00156C9E" w14:paraId="0DD6FE00" w14:textId="30DD7CC3">
            <w:pPr>
              <w:jc w:val="center"/>
            </w:pPr>
            <w:r w:rsidRPr="00883206">
              <w:t>$</w:t>
            </w:r>
            <w:r w:rsidRPr="00BD5FCA" w:rsidR="00BD5FCA">
              <w:t>84,091.50</w:t>
            </w:r>
          </w:p>
        </w:tc>
        <w:tc>
          <w:tcPr>
            <w:tcW w:w="1530" w:type="dxa"/>
            <w:tcBorders>
              <w:top w:val="single" w:color="auto" w:sz="4" w:space="0"/>
              <w:left w:val="single" w:color="auto" w:sz="4" w:space="0"/>
              <w:bottom w:val="single" w:color="auto" w:sz="4" w:space="0"/>
              <w:right w:val="single" w:color="auto" w:sz="4" w:space="0"/>
            </w:tcBorders>
            <w:hideMark/>
          </w:tcPr>
          <w:p w:rsidRPr="00883206" w:rsidR="00FE3BAE" w:rsidP="00755CBB" w:rsidRDefault="00FE3BAE" w14:paraId="0BDAFE20" w14:textId="77777777">
            <w:pPr>
              <w:jc w:val="center"/>
            </w:pPr>
            <w:r w:rsidRPr="00883206">
              <w:t>N/A</w:t>
            </w:r>
          </w:p>
        </w:tc>
        <w:tc>
          <w:tcPr>
            <w:tcW w:w="2345" w:type="dxa"/>
            <w:tcBorders>
              <w:top w:val="single" w:color="auto" w:sz="4" w:space="0"/>
              <w:left w:val="single" w:color="auto" w:sz="4" w:space="0"/>
              <w:bottom w:val="single" w:color="auto" w:sz="4" w:space="0"/>
              <w:right w:val="single" w:color="auto" w:sz="4" w:space="0"/>
            </w:tcBorders>
            <w:hideMark/>
          </w:tcPr>
          <w:p w:rsidRPr="00883206" w:rsidR="00FE3BAE" w:rsidP="00755CBB" w:rsidRDefault="002F1D33" w14:paraId="6B53C6F9" w14:textId="63B0914E">
            <w:pPr>
              <w:jc w:val="center"/>
            </w:pPr>
            <w:r w:rsidRPr="00883206">
              <w:rPr>
                <w:i/>
                <w:iCs/>
              </w:rPr>
              <w:t>See</w:t>
            </w:r>
            <w:r w:rsidRPr="00883206">
              <w:t xml:space="preserve"> Part III.D CPUC Comments, Disallowances and Adjustments</w:t>
            </w:r>
          </w:p>
        </w:tc>
      </w:tr>
    </w:tbl>
    <w:p w:rsidRPr="00883206" w:rsidR="00FE3BAE" w:rsidP="00883206" w:rsidRDefault="0022302F" w14:paraId="2841210B" w14:textId="77777777">
      <w:pPr>
        <w:keepNext/>
        <w:spacing w:before="480" w:after="240"/>
        <w:jc w:val="center"/>
        <w:rPr>
          <w:b/>
          <w:bCs/>
          <w:szCs w:val="28"/>
        </w:rPr>
      </w:pPr>
      <w:r w:rsidRPr="00883206">
        <w:rPr>
          <w:b/>
          <w:bCs/>
          <w:szCs w:val="28"/>
        </w:rPr>
        <w:t>Hourly Fee</w:t>
      </w:r>
      <w:r w:rsidRPr="00883206" w:rsidR="00FE3BAE">
        <w:rPr>
          <w:b/>
          <w:bCs/>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40"/>
        <w:gridCol w:w="2070"/>
        <w:gridCol w:w="2250"/>
        <w:gridCol w:w="1710"/>
        <w:gridCol w:w="1535"/>
      </w:tblGrid>
      <w:tr w:rsidRPr="00883206" w:rsidR="00C02649" w:rsidTr="00CB767F" w14:paraId="7CF2F0CA" w14:textId="77777777">
        <w:trPr>
          <w:jc w:val="center"/>
        </w:trPr>
        <w:tc>
          <w:tcPr>
            <w:tcW w:w="1435" w:type="dxa"/>
            <w:tcBorders>
              <w:top w:val="single" w:color="auto" w:sz="4" w:space="0"/>
              <w:left w:val="single" w:color="auto" w:sz="4" w:space="0"/>
              <w:bottom w:val="single" w:color="auto" w:sz="4" w:space="0"/>
              <w:right w:val="single" w:color="auto" w:sz="4" w:space="0"/>
            </w:tcBorders>
            <w:vAlign w:val="bottom"/>
            <w:hideMark/>
          </w:tcPr>
          <w:p w:rsidRPr="00883206" w:rsidR="003B6A1B" w:rsidP="00755CBB" w:rsidRDefault="003B6A1B" w14:paraId="61500303" w14:textId="77777777">
            <w:pPr>
              <w:jc w:val="center"/>
              <w:rPr>
                <w:b/>
                <w:bCs/>
              </w:rPr>
            </w:pPr>
            <w:r w:rsidRPr="00883206">
              <w:rPr>
                <w:b/>
                <w:bCs/>
              </w:rPr>
              <w:t>First Name</w:t>
            </w:r>
          </w:p>
        </w:tc>
        <w:tc>
          <w:tcPr>
            <w:tcW w:w="1440" w:type="dxa"/>
            <w:tcBorders>
              <w:top w:val="single" w:color="auto" w:sz="4" w:space="0"/>
              <w:left w:val="single" w:color="auto" w:sz="4" w:space="0"/>
              <w:bottom w:val="single" w:color="auto" w:sz="4" w:space="0"/>
              <w:right w:val="single" w:color="auto" w:sz="4" w:space="0"/>
            </w:tcBorders>
            <w:vAlign w:val="bottom"/>
            <w:hideMark/>
          </w:tcPr>
          <w:p w:rsidRPr="00883206" w:rsidR="003B6A1B" w:rsidP="00755CBB" w:rsidRDefault="003B6A1B" w14:paraId="55908486" w14:textId="77777777">
            <w:pPr>
              <w:jc w:val="center"/>
              <w:rPr>
                <w:b/>
                <w:bCs/>
              </w:rPr>
            </w:pPr>
            <w:r w:rsidRPr="00883206">
              <w:rPr>
                <w:b/>
                <w:bCs/>
              </w:rPr>
              <w:t>Last Name</w:t>
            </w:r>
          </w:p>
        </w:tc>
        <w:tc>
          <w:tcPr>
            <w:tcW w:w="2070" w:type="dxa"/>
            <w:tcBorders>
              <w:top w:val="single" w:color="auto" w:sz="4" w:space="0"/>
              <w:left w:val="single" w:color="auto" w:sz="4" w:space="0"/>
              <w:bottom w:val="single" w:color="auto" w:sz="4" w:space="0"/>
              <w:right w:val="single" w:color="auto" w:sz="4" w:space="0"/>
            </w:tcBorders>
            <w:vAlign w:val="bottom"/>
            <w:hideMark/>
          </w:tcPr>
          <w:p w:rsidRPr="00883206" w:rsidR="00281D2F" w:rsidP="00755CBB" w:rsidRDefault="00171EBF" w14:paraId="4AC3A0B2" w14:textId="77777777">
            <w:pPr>
              <w:ind w:left="12" w:firstLine="12"/>
              <w:jc w:val="center"/>
              <w:rPr>
                <w:b/>
                <w:bCs/>
              </w:rPr>
            </w:pPr>
            <w:r w:rsidRPr="00883206">
              <w:rPr>
                <w:b/>
                <w:bCs/>
              </w:rPr>
              <w:t xml:space="preserve">Attorney, Expert, </w:t>
            </w:r>
          </w:p>
          <w:p w:rsidRPr="00883206" w:rsidR="003B6A1B" w:rsidP="00755CBB" w:rsidRDefault="00171EBF" w14:paraId="2438DAE1" w14:textId="465F22B7">
            <w:pPr>
              <w:ind w:left="12" w:firstLine="12"/>
              <w:jc w:val="center"/>
              <w:rPr>
                <w:b/>
                <w:bCs/>
              </w:rPr>
            </w:pPr>
            <w:r w:rsidRPr="00883206">
              <w:rPr>
                <w:b/>
                <w:bCs/>
              </w:rPr>
              <w:t>or Advocate</w:t>
            </w:r>
          </w:p>
        </w:tc>
        <w:tc>
          <w:tcPr>
            <w:tcW w:w="2250" w:type="dxa"/>
            <w:tcBorders>
              <w:top w:val="single" w:color="auto" w:sz="4" w:space="0"/>
              <w:left w:val="single" w:color="auto" w:sz="4" w:space="0"/>
              <w:bottom w:val="single" w:color="auto" w:sz="4" w:space="0"/>
              <w:right w:val="single" w:color="auto" w:sz="4" w:space="0"/>
            </w:tcBorders>
            <w:vAlign w:val="bottom"/>
            <w:hideMark/>
          </w:tcPr>
          <w:p w:rsidRPr="00883206" w:rsidR="00B803D5" w:rsidP="00755CBB" w:rsidRDefault="003B6A1B" w14:paraId="30FCBD16" w14:textId="77777777">
            <w:pPr>
              <w:jc w:val="center"/>
              <w:rPr>
                <w:b/>
                <w:bCs/>
              </w:rPr>
            </w:pPr>
            <w:r w:rsidRPr="00883206">
              <w:rPr>
                <w:b/>
                <w:bCs/>
              </w:rPr>
              <w:t>Hourly</w:t>
            </w:r>
          </w:p>
          <w:p w:rsidRPr="00883206" w:rsidR="003B6A1B" w:rsidP="00755CBB" w:rsidRDefault="003B6A1B" w14:paraId="3431A72E" w14:textId="15E5EE89">
            <w:pPr>
              <w:jc w:val="center"/>
              <w:rPr>
                <w:b/>
                <w:bCs/>
              </w:rPr>
            </w:pPr>
            <w:r w:rsidRPr="00883206">
              <w:rPr>
                <w:b/>
                <w:bCs/>
              </w:rPr>
              <w:t>Fee Requested</w:t>
            </w:r>
          </w:p>
        </w:tc>
        <w:tc>
          <w:tcPr>
            <w:tcW w:w="1710" w:type="dxa"/>
            <w:tcBorders>
              <w:top w:val="single" w:color="auto" w:sz="4" w:space="0"/>
              <w:left w:val="single" w:color="auto" w:sz="4" w:space="0"/>
              <w:bottom w:val="single" w:color="auto" w:sz="4" w:space="0"/>
              <w:right w:val="single" w:color="auto" w:sz="4" w:space="0"/>
            </w:tcBorders>
            <w:vAlign w:val="bottom"/>
            <w:hideMark/>
          </w:tcPr>
          <w:p w:rsidRPr="00883206" w:rsidR="00B803D5" w:rsidP="00755CBB" w:rsidRDefault="003B6A1B" w14:paraId="27A4F1D1" w14:textId="77777777">
            <w:pPr>
              <w:jc w:val="center"/>
              <w:rPr>
                <w:b/>
                <w:bCs/>
              </w:rPr>
            </w:pPr>
            <w:r w:rsidRPr="00883206">
              <w:rPr>
                <w:b/>
                <w:bCs/>
              </w:rPr>
              <w:t>Year Hourly</w:t>
            </w:r>
          </w:p>
          <w:p w:rsidRPr="00883206" w:rsidR="003B6A1B" w:rsidP="00755CBB" w:rsidRDefault="003B6A1B" w14:paraId="6FE76773" w14:textId="7DDDAF05">
            <w:pPr>
              <w:jc w:val="center"/>
              <w:rPr>
                <w:b/>
                <w:bCs/>
              </w:rPr>
            </w:pPr>
            <w:r w:rsidRPr="00883206">
              <w:rPr>
                <w:b/>
                <w:bCs/>
              </w:rPr>
              <w:t>Fee Requested</w:t>
            </w:r>
          </w:p>
        </w:tc>
        <w:tc>
          <w:tcPr>
            <w:tcW w:w="1535" w:type="dxa"/>
            <w:tcBorders>
              <w:top w:val="single" w:color="auto" w:sz="4" w:space="0"/>
              <w:left w:val="single" w:color="auto" w:sz="4" w:space="0"/>
              <w:bottom w:val="single" w:color="auto" w:sz="4" w:space="0"/>
              <w:right w:val="single" w:color="auto" w:sz="4" w:space="0"/>
            </w:tcBorders>
            <w:vAlign w:val="bottom"/>
            <w:hideMark/>
          </w:tcPr>
          <w:p w:rsidRPr="00883206" w:rsidR="00B803D5" w:rsidP="00755CBB" w:rsidRDefault="003B6A1B" w14:paraId="08CD8CFB" w14:textId="50A63D11">
            <w:pPr>
              <w:jc w:val="center"/>
              <w:rPr>
                <w:b/>
                <w:bCs/>
              </w:rPr>
            </w:pPr>
            <w:r w:rsidRPr="00883206">
              <w:rPr>
                <w:b/>
                <w:bCs/>
              </w:rPr>
              <w:t>Hourly</w:t>
            </w:r>
          </w:p>
          <w:p w:rsidRPr="00883206" w:rsidR="003B6A1B" w:rsidP="00755CBB" w:rsidRDefault="003B6A1B" w14:paraId="1B789B85" w14:textId="3C9059B0">
            <w:pPr>
              <w:jc w:val="center"/>
              <w:rPr>
                <w:b/>
                <w:bCs/>
              </w:rPr>
            </w:pPr>
            <w:r w:rsidRPr="00883206">
              <w:rPr>
                <w:b/>
                <w:bCs/>
              </w:rPr>
              <w:t>Fee Adopted</w:t>
            </w:r>
          </w:p>
        </w:tc>
      </w:tr>
      <w:tr w:rsidRPr="00883206" w:rsidR="00C02649" w:rsidTr="00CB767F" w14:paraId="1211B948" w14:textId="77777777">
        <w:trPr>
          <w:jc w:val="center"/>
        </w:trPr>
        <w:tc>
          <w:tcPr>
            <w:tcW w:w="1435" w:type="dxa"/>
            <w:tcBorders>
              <w:top w:val="single" w:color="auto" w:sz="4" w:space="0"/>
              <w:left w:val="single" w:color="auto" w:sz="4" w:space="0"/>
              <w:bottom w:val="single" w:color="auto" w:sz="4" w:space="0"/>
              <w:right w:val="single" w:color="auto" w:sz="4" w:space="0"/>
            </w:tcBorders>
          </w:tcPr>
          <w:p w:rsidRPr="00883206" w:rsidR="003B6A1B" w:rsidP="00755CBB" w:rsidRDefault="00365F93" w14:paraId="0F0C6D6C" w14:textId="59324161">
            <w:pPr>
              <w:jc w:val="center"/>
            </w:pPr>
            <w:r w:rsidRPr="00883206">
              <w:t>John</w:t>
            </w:r>
          </w:p>
        </w:tc>
        <w:tc>
          <w:tcPr>
            <w:tcW w:w="1440" w:type="dxa"/>
            <w:tcBorders>
              <w:top w:val="single" w:color="auto" w:sz="4" w:space="0"/>
              <w:left w:val="single" w:color="auto" w:sz="4" w:space="0"/>
              <w:bottom w:val="single" w:color="auto" w:sz="4" w:space="0"/>
              <w:right w:val="single" w:color="auto" w:sz="4" w:space="0"/>
            </w:tcBorders>
          </w:tcPr>
          <w:p w:rsidRPr="00883206" w:rsidR="003B6A1B" w:rsidP="00755CBB" w:rsidRDefault="00365F93" w14:paraId="6ACE7B68" w14:textId="0ED7FEDC">
            <w:pPr>
              <w:jc w:val="center"/>
            </w:pPr>
            <w:proofErr w:type="spellStart"/>
            <w:r w:rsidRPr="00883206">
              <w:t>Geesman</w:t>
            </w:r>
            <w:proofErr w:type="spellEnd"/>
          </w:p>
        </w:tc>
        <w:tc>
          <w:tcPr>
            <w:tcW w:w="2070" w:type="dxa"/>
            <w:tcBorders>
              <w:top w:val="single" w:color="auto" w:sz="4" w:space="0"/>
              <w:left w:val="single" w:color="auto" w:sz="4" w:space="0"/>
              <w:bottom w:val="single" w:color="auto" w:sz="4" w:space="0"/>
              <w:right w:val="single" w:color="auto" w:sz="4" w:space="0"/>
            </w:tcBorders>
          </w:tcPr>
          <w:p w:rsidRPr="00883206" w:rsidR="00281D2F" w:rsidP="00755CBB" w:rsidRDefault="000A5BDE" w14:paraId="02956273" w14:textId="77777777">
            <w:pPr>
              <w:jc w:val="center"/>
            </w:pPr>
            <w:r w:rsidRPr="00883206">
              <w:t xml:space="preserve">Consultant/ </w:t>
            </w:r>
          </w:p>
          <w:p w:rsidRPr="00883206" w:rsidR="003B6A1B" w:rsidP="00755CBB" w:rsidRDefault="00365F93" w14:paraId="0E61474F" w14:textId="5574F2D9">
            <w:pPr>
              <w:jc w:val="center"/>
            </w:pPr>
            <w:r w:rsidRPr="00883206">
              <w:t>Attorney</w:t>
            </w:r>
            <w:bookmarkStart w:name="_Ref201829574" w:id="2"/>
            <w:r w:rsidRPr="00883206" w:rsidR="005444CC">
              <w:rPr>
                <w:vertAlign w:val="superscript"/>
              </w:rPr>
              <w:footnoteReference w:id="15"/>
            </w:r>
            <w:bookmarkEnd w:id="2"/>
          </w:p>
        </w:tc>
        <w:tc>
          <w:tcPr>
            <w:tcW w:w="2250" w:type="dxa"/>
            <w:tcBorders>
              <w:top w:val="single" w:color="auto" w:sz="4" w:space="0"/>
              <w:left w:val="single" w:color="auto" w:sz="4" w:space="0"/>
              <w:bottom w:val="single" w:color="auto" w:sz="4" w:space="0"/>
              <w:right w:val="single" w:color="auto" w:sz="4" w:space="0"/>
            </w:tcBorders>
          </w:tcPr>
          <w:p w:rsidRPr="00883206" w:rsidR="003B6A1B" w:rsidP="00A0204C" w:rsidRDefault="005F0728" w14:paraId="44F9655C" w14:textId="7B38A5EB">
            <w:pPr>
              <w:jc w:val="center"/>
            </w:pPr>
            <w:r w:rsidRPr="00883206">
              <w:t>780 plus any COLA</w:t>
            </w:r>
          </w:p>
        </w:tc>
        <w:tc>
          <w:tcPr>
            <w:tcW w:w="1710" w:type="dxa"/>
            <w:tcBorders>
              <w:top w:val="single" w:color="auto" w:sz="4" w:space="0"/>
              <w:left w:val="single" w:color="auto" w:sz="4" w:space="0"/>
              <w:bottom w:val="single" w:color="auto" w:sz="4" w:space="0"/>
              <w:right w:val="single" w:color="auto" w:sz="4" w:space="0"/>
            </w:tcBorders>
          </w:tcPr>
          <w:p w:rsidRPr="00883206" w:rsidR="003B6A1B" w:rsidP="00755CBB" w:rsidRDefault="00E3760C" w14:paraId="2EB25516" w14:textId="48C20834">
            <w:pPr>
              <w:jc w:val="center"/>
            </w:pPr>
            <w:r w:rsidRPr="00883206">
              <w:t>2025</w:t>
            </w:r>
          </w:p>
        </w:tc>
        <w:tc>
          <w:tcPr>
            <w:tcW w:w="1535" w:type="dxa"/>
            <w:tcBorders>
              <w:top w:val="single" w:color="auto" w:sz="4" w:space="0"/>
              <w:left w:val="single" w:color="auto" w:sz="4" w:space="0"/>
              <w:bottom w:val="single" w:color="auto" w:sz="4" w:space="0"/>
              <w:right w:val="single" w:color="auto" w:sz="4" w:space="0"/>
            </w:tcBorders>
          </w:tcPr>
          <w:p w:rsidRPr="00883206" w:rsidR="003B6A1B" w:rsidP="00755CBB" w:rsidRDefault="005A3E79" w14:paraId="0A76FE98" w14:textId="4312D374">
            <w:pPr>
              <w:jc w:val="center"/>
            </w:pPr>
            <w:r w:rsidRPr="00883206">
              <w:t>$</w:t>
            </w:r>
            <w:r w:rsidRPr="00883206" w:rsidR="00912C3E">
              <w:t>7</w:t>
            </w:r>
            <w:r w:rsidR="00912C3E">
              <w:t>80</w:t>
            </w:r>
            <w:r w:rsidRPr="00883206">
              <w:t>.00</w:t>
            </w:r>
          </w:p>
        </w:tc>
      </w:tr>
      <w:tr w:rsidRPr="00883206" w:rsidR="00C02649" w:rsidTr="00CB767F" w14:paraId="23CC0A9F" w14:textId="77777777">
        <w:trPr>
          <w:jc w:val="center"/>
        </w:trPr>
        <w:tc>
          <w:tcPr>
            <w:tcW w:w="1435" w:type="dxa"/>
            <w:tcBorders>
              <w:top w:val="single" w:color="auto" w:sz="4" w:space="0"/>
              <w:left w:val="single" w:color="auto" w:sz="4" w:space="0"/>
              <w:bottom w:val="single" w:color="auto" w:sz="4" w:space="0"/>
              <w:right w:val="single" w:color="auto" w:sz="4" w:space="0"/>
            </w:tcBorders>
          </w:tcPr>
          <w:p w:rsidRPr="00883206" w:rsidR="003B6A1B" w:rsidP="00755CBB" w:rsidRDefault="00E3760C" w14:paraId="4CFDAB24" w14:textId="62A58BCE">
            <w:pPr>
              <w:jc w:val="center"/>
            </w:pPr>
            <w:r w:rsidRPr="00883206">
              <w:t>John</w:t>
            </w:r>
          </w:p>
        </w:tc>
        <w:tc>
          <w:tcPr>
            <w:tcW w:w="1440" w:type="dxa"/>
            <w:tcBorders>
              <w:top w:val="single" w:color="auto" w:sz="4" w:space="0"/>
              <w:left w:val="single" w:color="auto" w:sz="4" w:space="0"/>
              <w:bottom w:val="single" w:color="auto" w:sz="4" w:space="0"/>
              <w:right w:val="single" w:color="auto" w:sz="4" w:space="0"/>
            </w:tcBorders>
          </w:tcPr>
          <w:p w:rsidRPr="00883206" w:rsidR="003B6A1B" w:rsidP="00755CBB" w:rsidRDefault="00E3760C" w14:paraId="3A9B4F75" w14:textId="22CB0BC8">
            <w:pPr>
              <w:jc w:val="center"/>
            </w:pPr>
            <w:proofErr w:type="spellStart"/>
            <w:r w:rsidRPr="00883206">
              <w:t>Geesman</w:t>
            </w:r>
            <w:proofErr w:type="spellEnd"/>
          </w:p>
        </w:tc>
        <w:tc>
          <w:tcPr>
            <w:tcW w:w="2070" w:type="dxa"/>
            <w:tcBorders>
              <w:top w:val="single" w:color="auto" w:sz="4" w:space="0"/>
              <w:left w:val="single" w:color="auto" w:sz="4" w:space="0"/>
              <w:bottom w:val="single" w:color="auto" w:sz="4" w:space="0"/>
              <w:right w:val="single" w:color="auto" w:sz="4" w:space="0"/>
            </w:tcBorders>
          </w:tcPr>
          <w:p w:rsidRPr="00883206" w:rsidR="00281D2F" w:rsidP="00755CBB" w:rsidRDefault="000A5BDE" w14:paraId="56A3E24F" w14:textId="77777777">
            <w:pPr>
              <w:jc w:val="center"/>
            </w:pPr>
            <w:r w:rsidRPr="00883206">
              <w:t xml:space="preserve">Consultant/ </w:t>
            </w:r>
          </w:p>
          <w:p w:rsidRPr="00883206" w:rsidR="003B6A1B" w:rsidP="00755CBB" w:rsidRDefault="00E3760C" w14:paraId="73440B00" w14:textId="184C3682">
            <w:pPr>
              <w:jc w:val="center"/>
            </w:pPr>
            <w:r w:rsidRPr="00883206">
              <w:t>Attorney</w:t>
            </w:r>
            <w:r w:rsidRPr="00883206" w:rsidR="00CF2000">
              <w:rPr>
                <w:vertAlign w:val="superscript"/>
              </w:rPr>
              <w:fldChar w:fldCharType="begin"/>
            </w:r>
            <w:r w:rsidRPr="00883206" w:rsidR="00CF2000">
              <w:rPr>
                <w:vertAlign w:val="superscript"/>
              </w:rPr>
              <w:instrText xml:space="preserve"> NOTEREF _Ref201829574 \h  \* MERGEFORMAT </w:instrText>
            </w:r>
            <w:r w:rsidRPr="00883206" w:rsidR="00CF2000">
              <w:rPr>
                <w:vertAlign w:val="superscript"/>
              </w:rPr>
            </w:r>
            <w:r w:rsidRPr="00883206" w:rsidR="00CF2000">
              <w:rPr>
                <w:vertAlign w:val="superscript"/>
              </w:rPr>
              <w:fldChar w:fldCharType="separate"/>
            </w:r>
            <w:r w:rsidR="009742A4">
              <w:rPr>
                <w:vertAlign w:val="superscript"/>
              </w:rPr>
              <w:t>22</w:t>
            </w:r>
            <w:r w:rsidRPr="00883206" w:rsidR="00CF2000">
              <w:rPr>
                <w:vertAlign w:val="superscript"/>
              </w:rPr>
              <w:fldChar w:fldCharType="end"/>
            </w:r>
          </w:p>
        </w:tc>
        <w:tc>
          <w:tcPr>
            <w:tcW w:w="2250" w:type="dxa"/>
            <w:tcBorders>
              <w:top w:val="single" w:color="auto" w:sz="4" w:space="0"/>
              <w:left w:val="single" w:color="auto" w:sz="4" w:space="0"/>
              <w:bottom w:val="single" w:color="auto" w:sz="4" w:space="0"/>
              <w:right w:val="single" w:color="auto" w:sz="4" w:space="0"/>
            </w:tcBorders>
          </w:tcPr>
          <w:p w:rsidRPr="00883206" w:rsidR="003B6A1B" w:rsidP="00755CBB" w:rsidRDefault="002D3276" w14:paraId="1466F47E" w14:textId="737F6113">
            <w:pPr>
              <w:jc w:val="center"/>
            </w:pPr>
            <w:r w:rsidRPr="00883206">
              <w:t>780</w:t>
            </w:r>
          </w:p>
        </w:tc>
        <w:tc>
          <w:tcPr>
            <w:tcW w:w="1710" w:type="dxa"/>
            <w:tcBorders>
              <w:top w:val="single" w:color="auto" w:sz="4" w:space="0"/>
              <w:left w:val="single" w:color="auto" w:sz="4" w:space="0"/>
              <w:bottom w:val="single" w:color="auto" w:sz="4" w:space="0"/>
              <w:right w:val="single" w:color="auto" w:sz="4" w:space="0"/>
            </w:tcBorders>
          </w:tcPr>
          <w:p w:rsidRPr="00883206" w:rsidR="003B6A1B" w:rsidP="00755CBB" w:rsidRDefault="002D3276" w14:paraId="4CBE320E" w14:textId="1E7EAD6D">
            <w:pPr>
              <w:jc w:val="center"/>
            </w:pPr>
            <w:r w:rsidRPr="00883206">
              <w:t>2024</w:t>
            </w:r>
          </w:p>
        </w:tc>
        <w:tc>
          <w:tcPr>
            <w:tcW w:w="1535" w:type="dxa"/>
            <w:tcBorders>
              <w:top w:val="single" w:color="auto" w:sz="4" w:space="0"/>
              <w:left w:val="single" w:color="auto" w:sz="4" w:space="0"/>
              <w:bottom w:val="single" w:color="auto" w:sz="4" w:space="0"/>
              <w:right w:val="single" w:color="auto" w:sz="4" w:space="0"/>
            </w:tcBorders>
          </w:tcPr>
          <w:p w:rsidRPr="00883206" w:rsidR="003B6A1B" w:rsidP="00755CBB" w:rsidRDefault="005A3E79" w14:paraId="37932A57" w14:textId="060D8D62">
            <w:pPr>
              <w:jc w:val="center"/>
            </w:pPr>
            <w:r w:rsidRPr="00883206">
              <w:t>$</w:t>
            </w:r>
            <w:r w:rsidRPr="00883206" w:rsidR="008E3C81">
              <w:t>770</w:t>
            </w:r>
            <w:r w:rsidRPr="00883206" w:rsidR="000A5BDE">
              <w:t>.00</w:t>
            </w:r>
          </w:p>
        </w:tc>
      </w:tr>
      <w:tr w:rsidRPr="00883206" w:rsidR="00091B42" w:rsidTr="00CB767F" w14:paraId="4C519B49" w14:textId="77777777">
        <w:trPr>
          <w:jc w:val="center"/>
        </w:trPr>
        <w:tc>
          <w:tcPr>
            <w:tcW w:w="1435" w:type="dxa"/>
            <w:tcBorders>
              <w:top w:val="single" w:color="auto" w:sz="4" w:space="0"/>
              <w:left w:val="single" w:color="auto" w:sz="4" w:space="0"/>
              <w:bottom w:val="single" w:color="auto" w:sz="4" w:space="0"/>
              <w:right w:val="single" w:color="auto" w:sz="4" w:space="0"/>
            </w:tcBorders>
          </w:tcPr>
          <w:p w:rsidRPr="00883206" w:rsidR="00091B42" w:rsidP="00755CBB" w:rsidRDefault="00091B42" w14:paraId="65C04662" w14:textId="352D7901">
            <w:pPr>
              <w:jc w:val="center"/>
            </w:pPr>
            <w:r w:rsidRPr="00883206">
              <w:t>David</w:t>
            </w:r>
          </w:p>
        </w:tc>
        <w:tc>
          <w:tcPr>
            <w:tcW w:w="1440" w:type="dxa"/>
            <w:tcBorders>
              <w:top w:val="single" w:color="auto" w:sz="4" w:space="0"/>
              <w:left w:val="single" w:color="auto" w:sz="4" w:space="0"/>
              <w:bottom w:val="single" w:color="auto" w:sz="4" w:space="0"/>
              <w:right w:val="single" w:color="auto" w:sz="4" w:space="0"/>
            </w:tcBorders>
          </w:tcPr>
          <w:p w:rsidRPr="00883206" w:rsidR="00091B42" w:rsidP="00755CBB" w:rsidRDefault="00091B42" w14:paraId="1C590887" w14:textId="1C957851">
            <w:pPr>
              <w:jc w:val="center"/>
            </w:pPr>
            <w:r w:rsidRPr="00883206">
              <w:t>Weisman</w:t>
            </w:r>
          </w:p>
        </w:tc>
        <w:tc>
          <w:tcPr>
            <w:tcW w:w="2070" w:type="dxa"/>
            <w:tcBorders>
              <w:top w:val="single" w:color="auto" w:sz="4" w:space="0"/>
              <w:left w:val="single" w:color="auto" w:sz="4" w:space="0"/>
              <w:bottom w:val="single" w:color="auto" w:sz="4" w:space="0"/>
              <w:right w:val="single" w:color="auto" w:sz="4" w:space="0"/>
            </w:tcBorders>
          </w:tcPr>
          <w:p w:rsidRPr="00883206" w:rsidR="00091B42" w:rsidP="00755CBB" w:rsidRDefault="00091B42" w14:paraId="1EA8DE3D" w14:textId="2EF8C749">
            <w:pPr>
              <w:jc w:val="center"/>
            </w:pPr>
            <w:r w:rsidRPr="00883206">
              <w:t>Advocate</w:t>
            </w:r>
            <w:bookmarkStart w:name="_Ref201829586" w:id="3"/>
            <w:r w:rsidRPr="00883206" w:rsidR="00CE1CC4">
              <w:rPr>
                <w:rStyle w:val="FootnoteReference"/>
              </w:rPr>
              <w:footnoteReference w:id="16"/>
            </w:r>
            <w:bookmarkEnd w:id="3"/>
          </w:p>
        </w:tc>
        <w:tc>
          <w:tcPr>
            <w:tcW w:w="2250" w:type="dxa"/>
            <w:tcBorders>
              <w:top w:val="single" w:color="auto" w:sz="4" w:space="0"/>
              <w:left w:val="single" w:color="auto" w:sz="4" w:space="0"/>
              <w:bottom w:val="single" w:color="auto" w:sz="4" w:space="0"/>
              <w:right w:val="single" w:color="auto" w:sz="4" w:space="0"/>
            </w:tcBorders>
          </w:tcPr>
          <w:p w:rsidRPr="00883206" w:rsidR="00091B42" w:rsidP="00A0204C" w:rsidRDefault="00091B42" w14:paraId="4F6290AB" w14:textId="474221FB">
            <w:pPr>
              <w:jc w:val="center"/>
            </w:pPr>
            <w:r w:rsidRPr="00883206">
              <w:t>230 plus any COLA</w:t>
            </w:r>
          </w:p>
        </w:tc>
        <w:tc>
          <w:tcPr>
            <w:tcW w:w="1710" w:type="dxa"/>
            <w:tcBorders>
              <w:top w:val="single" w:color="auto" w:sz="4" w:space="0"/>
              <w:left w:val="single" w:color="auto" w:sz="4" w:space="0"/>
              <w:bottom w:val="single" w:color="auto" w:sz="4" w:space="0"/>
              <w:right w:val="single" w:color="auto" w:sz="4" w:space="0"/>
            </w:tcBorders>
          </w:tcPr>
          <w:p w:rsidRPr="00883206" w:rsidR="00091B42" w:rsidP="00755CBB" w:rsidRDefault="00091B42" w14:paraId="1354C70A" w14:textId="042D082E">
            <w:pPr>
              <w:jc w:val="center"/>
            </w:pPr>
            <w:r w:rsidRPr="00883206">
              <w:t>2025</w:t>
            </w:r>
          </w:p>
        </w:tc>
        <w:tc>
          <w:tcPr>
            <w:tcW w:w="1535" w:type="dxa"/>
            <w:tcBorders>
              <w:top w:val="single" w:color="auto" w:sz="4" w:space="0"/>
              <w:left w:val="single" w:color="auto" w:sz="4" w:space="0"/>
              <w:bottom w:val="single" w:color="auto" w:sz="4" w:space="0"/>
              <w:right w:val="single" w:color="auto" w:sz="4" w:space="0"/>
            </w:tcBorders>
          </w:tcPr>
          <w:p w:rsidRPr="00883206" w:rsidR="00091B42" w:rsidP="00755CBB" w:rsidRDefault="00CE1CC4" w14:paraId="36649915" w14:textId="5E459883">
            <w:pPr>
              <w:jc w:val="center"/>
            </w:pPr>
            <w:r w:rsidRPr="00883206">
              <w:t>$250.00</w:t>
            </w:r>
          </w:p>
        </w:tc>
      </w:tr>
      <w:tr w:rsidRPr="00883206" w:rsidR="00091B42" w:rsidTr="00CB767F" w14:paraId="6C04DB40" w14:textId="77777777">
        <w:trPr>
          <w:jc w:val="center"/>
        </w:trPr>
        <w:tc>
          <w:tcPr>
            <w:tcW w:w="1435" w:type="dxa"/>
            <w:tcBorders>
              <w:top w:val="single" w:color="auto" w:sz="4" w:space="0"/>
              <w:left w:val="single" w:color="auto" w:sz="4" w:space="0"/>
              <w:bottom w:val="single" w:color="auto" w:sz="4" w:space="0"/>
              <w:right w:val="single" w:color="auto" w:sz="4" w:space="0"/>
            </w:tcBorders>
          </w:tcPr>
          <w:p w:rsidRPr="00883206" w:rsidR="00091B42" w:rsidP="00755CBB" w:rsidRDefault="00091B42" w14:paraId="71BF257F" w14:textId="113006B5">
            <w:pPr>
              <w:jc w:val="center"/>
            </w:pPr>
            <w:r w:rsidRPr="00883206">
              <w:t>David</w:t>
            </w:r>
          </w:p>
        </w:tc>
        <w:tc>
          <w:tcPr>
            <w:tcW w:w="1440" w:type="dxa"/>
            <w:tcBorders>
              <w:top w:val="single" w:color="auto" w:sz="4" w:space="0"/>
              <w:left w:val="single" w:color="auto" w:sz="4" w:space="0"/>
              <w:bottom w:val="single" w:color="auto" w:sz="4" w:space="0"/>
              <w:right w:val="single" w:color="auto" w:sz="4" w:space="0"/>
            </w:tcBorders>
          </w:tcPr>
          <w:p w:rsidRPr="00883206" w:rsidR="00091B42" w:rsidP="00755CBB" w:rsidRDefault="00091B42" w14:paraId="4D0E5B24" w14:textId="74DD8BBC">
            <w:pPr>
              <w:jc w:val="center"/>
            </w:pPr>
            <w:r w:rsidRPr="00883206">
              <w:t>Weisman</w:t>
            </w:r>
          </w:p>
        </w:tc>
        <w:tc>
          <w:tcPr>
            <w:tcW w:w="2070" w:type="dxa"/>
            <w:tcBorders>
              <w:top w:val="single" w:color="auto" w:sz="4" w:space="0"/>
              <w:left w:val="single" w:color="auto" w:sz="4" w:space="0"/>
              <w:bottom w:val="single" w:color="auto" w:sz="4" w:space="0"/>
              <w:right w:val="single" w:color="auto" w:sz="4" w:space="0"/>
            </w:tcBorders>
          </w:tcPr>
          <w:p w:rsidRPr="00883206" w:rsidR="00091B42" w:rsidP="00755CBB" w:rsidRDefault="00091B42" w14:paraId="3ACB6465" w14:textId="1631B80A">
            <w:pPr>
              <w:jc w:val="center"/>
            </w:pPr>
            <w:r w:rsidRPr="00883206">
              <w:t>Advocate</w:t>
            </w:r>
            <w:r w:rsidRPr="00883206" w:rsidR="00E56F19">
              <w:rPr>
                <w:rStyle w:val="FootnoteReference"/>
              </w:rPr>
              <w:footnoteReference w:id="17"/>
            </w:r>
          </w:p>
        </w:tc>
        <w:tc>
          <w:tcPr>
            <w:tcW w:w="2250" w:type="dxa"/>
            <w:tcBorders>
              <w:top w:val="single" w:color="auto" w:sz="4" w:space="0"/>
              <w:left w:val="single" w:color="auto" w:sz="4" w:space="0"/>
              <w:bottom w:val="single" w:color="auto" w:sz="4" w:space="0"/>
              <w:right w:val="single" w:color="auto" w:sz="4" w:space="0"/>
            </w:tcBorders>
          </w:tcPr>
          <w:p w:rsidRPr="00883206" w:rsidR="00091B42" w:rsidP="00755CBB" w:rsidRDefault="00091B42" w14:paraId="27D75B3F" w14:textId="30D648C1">
            <w:pPr>
              <w:jc w:val="center"/>
            </w:pPr>
            <w:r w:rsidRPr="00883206">
              <w:t>230</w:t>
            </w:r>
          </w:p>
        </w:tc>
        <w:tc>
          <w:tcPr>
            <w:tcW w:w="1710" w:type="dxa"/>
            <w:tcBorders>
              <w:top w:val="single" w:color="auto" w:sz="4" w:space="0"/>
              <w:left w:val="single" w:color="auto" w:sz="4" w:space="0"/>
              <w:bottom w:val="single" w:color="auto" w:sz="4" w:space="0"/>
              <w:right w:val="single" w:color="auto" w:sz="4" w:space="0"/>
            </w:tcBorders>
          </w:tcPr>
          <w:p w:rsidRPr="00883206" w:rsidR="00091B42" w:rsidP="00755CBB" w:rsidRDefault="00091B42" w14:paraId="0BD45097" w14:textId="219141F3">
            <w:pPr>
              <w:jc w:val="center"/>
            </w:pPr>
            <w:r w:rsidRPr="00883206">
              <w:t>2024</w:t>
            </w:r>
          </w:p>
        </w:tc>
        <w:tc>
          <w:tcPr>
            <w:tcW w:w="1535" w:type="dxa"/>
            <w:tcBorders>
              <w:top w:val="single" w:color="auto" w:sz="4" w:space="0"/>
              <w:left w:val="single" w:color="auto" w:sz="4" w:space="0"/>
              <w:bottom w:val="single" w:color="auto" w:sz="4" w:space="0"/>
              <w:right w:val="single" w:color="auto" w:sz="4" w:space="0"/>
            </w:tcBorders>
          </w:tcPr>
          <w:p w:rsidRPr="00883206" w:rsidR="00091B42" w:rsidP="00755CBB" w:rsidRDefault="00CE1CC4" w14:paraId="6B245605" w14:textId="79AA3DEF">
            <w:pPr>
              <w:jc w:val="center"/>
            </w:pPr>
            <w:r w:rsidRPr="00883206">
              <w:t>$240.00</w:t>
            </w:r>
          </w:p>
        </w:tc>
      </w:tr>
    </w:tbl>
    <w:p w:rsidRPr="00883206" w:rsidR="0022302F" w:rsidP="00755CBB" w:rsidRDefault="0022302F" w14:paraId="330D3693" w14:textId="77777777">
      <w:pPr>
        <w:spacing w:line="360" w:lineRule="auto"/>
        <w:rPr>
          <w:b/>
        </w:rPr>
      </w:pPr>
    </w:p>
    <w:p w:rsidRPr="00883206" w:rsidR="0022302F" w:rsidP="00755CBB" w:rsidRDefault="0022302F" w14:paraId="1CF37A00" w14:textId="77777777">
      <w:pPr>
        <w:spacing w:line="360" w:lineRule="auto"/>
        <w:rPr>
          <w:b/>
        </w:rPr>
      </w:pPr>
    </w:p>
    <w:p w:rsidRPr="00883206" w:rsidR="002077E9" w:rsidP="00755CBB" w:rsidRDefault="002077E9" w14:paraId="0A166F8B" w14:textId="77777777">
      <w:pPr>
        <w:spacing w:line="360" w:lineRule="auto"/>
        <w:rPr>
          <w:b/>
        </w:rPr>
      </w:pPr>
    </w:p>
    <w:p w:rsidRPr="00883206" w:rsidR="00FE3BAE" w:rsidP="00755CBB" w:rsidRDefault="00FE3BAE" w14:paraId="53F54635" w14:textId="77777777">
      <w:pPr>
        <w:jc w:val="center"/>
      </w:pPr>
      <w:r w:rsidRPr="00883206">
        <w:rPr>
          <w:b/>
        </w:rPr>
        <w:t xml:space="preserve">(END OF </w:t>
      </w:r>
      <w:r w:rsidRPr="00883206">
        <w:rPr>
          <w:b/>
          <w:szCs w:val="26"/>
        </w:rPr>
        <w:t>APPENDIX</w:t>
      </w:r>
      <w:r w:rsidRPr="00883206">
        <w:rPr>
          <w:b/>
        </w:rPr>
        <w:t>)</w:t>
      </w:r>
    </w:p>
    <w:sectPr w:rsidRPr="00883206" w:rsidR="00FE3BAE" w:rsidSect="00F81352">
      <w:footerReference w:type="default" r:id="rId11"/>
      <w:pgSz w:w="12240" w:h="15840"/>
      <w:pgMar w:top="1728" w:right="1440" w:bottom="1440" w:left="1440" w:header="720" w:footer="720" w:gutter="0"/>
      <w:pgNumType w:fmt="numberInDash" w:start="1"/>
      <w:cols w:space="720"/>
      <w:docGrid w:linePitch="360"/>
    </w:sectPr>
    <w:p>
      <w:r>
        <w:t xml:space="preserve"/>
      </w:r>
    </w:p>
    <w:p>
      <w:r>
        <w:t xml:space="preserve">Attachment 1: </w:t>
      </w:r>
    </w:p>
    <w:p>
      <w:hyperlink w:history="true" r:id="Rad2572ba8dbf42bf">
        <w:r w:rsidRPr="00CB1292">
          <w:rPr>
            <w:rStyle w:val="Hyperlink"/>
            <w:color w:val="2E74B5" w:themeColor="accent1" w:themeShade="BF"/>
            <w:u w:val="single"/>
          </w:rPr>
          <w:t>A2403018 A4NR IComp PD (Redline Version).pdf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158D" w14:textId="77777777" w:rsidR="00F862F1" w:rsidRDefault="00F862F1" w:rsidP="00885956">
      <w:r>
        <w:separator/>
      </w:r>
    </w:p>
  </w:endnote>
  <w:endnote w:type="continuationSeparator" w:id="0">
    <w:p w14:paraId="30F99BDF" w14:textId="77777777" w:rsidR="00F862F1" w:rsidRDefault="00F862F1"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7F451118" w:rsidR="003B6A1B" w:rsidRDefault="004152B8" w:rsidP="00880855">
        <w:pPr>
          <w:pStyle w:val="Footer"/>
          <w:jc w:val="center"/>
        </w:pPr>
        <w:r>
          <w:noBreakHyphen/>
        </w:r>
        <w:r w:rsidR="002B1B74">
          <w:t xml:space="preserve"> </w:t>
        </w:r>
        <w:r w:rsidR="003B6A1B">
          <w:fldChar w:fldCharType="begin"/>
        </w:r>
        <w:r w:rsidR="003B6A1B">
          <w:instrText xml:space="preserve"> PAGE   \* MERGEFORMAT </w:instrText>
        </w:r>
        <w:r w:rsidR="003B6A1B">
          <w:fldChar w:fldCharType="separate"/>
        </w:r>
        <w:r w:rsidR="0055228B">
          <w:rPr>
            <w:noProof/>
          </w:rPr>
          <w:t xml:space="preserve">- 1 </w:t>
        </w:r>
        <w:r>
          <w:rPr>
            <w:noProof/>
          </w:rPr>
          <w:noBreakHyphen/>
        </w:r>
        <w:r w:rsidR="003B6A1B">
          <w:rPr>
            <w:noProof/>
          </w:rPr>
          <w:fldChar w:fldCharType="end"/>
        </w:r>
        <w:r w:rsidR="002B1B74">
          <w:rPr>
            <w:noProof/>
          </w:rPr>
          <w:t xml:space="preserve"> </w:t>
        </w:r>
        <w:r>
          <w:rPr>
            <w:noProof/>
          </w:rPr>
          <w:noBreakHyphen/>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4C2D" w14:textId="4A737B2B" w:rsidR="00CF1129" w:rsidRDefault="00726ABD" w:rsidP="002B1B74">
    <w:pPr>
      <w:pStyle w:val="Footer"/>
    </w:pPr>
    <w:r w:rsidRPr="00726ABD">
      <w:rPr>
        <w:sz w:val="16"/>
      </w:rPr>
      <w:t>597287749</w:t>
    </w:r>
    <w:r w:rsidR="002B1B74">
      <w:tab/>
    </w:r>
    <w:r w:rsidR="004152B8">
      <w:noBreakHyphen/>
    </w:r>
    <w:r w:rsidR="002B1B74">
      <w:t xml:space="preserve"> </w:t>
    </w:r>
    <w:sdt>
      <w:sdtPr>
        <w:id w:val="66549329"/>
        <w:docPartObj>
          <w:docPartGallery w:val="Page Numbers (Bottom of Page)"/>
          <w:docPartUnique/>
        </w:docPartObj>
      </w:sdtPr>
      <w:sdtEndPr>
        <w:rPr>
          <w:noProof/>
        </w:rPr>
      </w:sdtEndPr>
      <w:sdtContent>
        <w:r w:rsidR="00CF1129">
          <w:fldChar w:fldCharType="begin"/>
        </w:r>
        <w:r w:rsidR="00CF1129">
          <w:instrText xml:space="preserve"> PAGE   \* MERGEFORMAT </w:instrText>
        </w:r>
        <w:r w:rsidR="00CF1129">
          <w:fldChar w:fldCharType="separate"/>
        </w:r>
        <w:r w:rsidR="002A6C07">
          <w:rPr>
            <w:noProof/>
          </w:rPr>
          <w:t xml:space="preserve">- 1 </w:t>
        </w:r>
        <w:r w:rsidR="004152B8">
          <w:rPr>
            <w:noProof/>
          </w:rPr>
          <w:noBreakHyphen/>
        </w:r>
        <w:r w:rsidR="00CF1129">
          <w:rPr>
            <w:noProof/>
          </w:rPr>
          <w:fldChar w:fldCharType="end"/>
        </w:r>
        <w:r w:rsidR="002B1B74">
          <w:rPr>
            <w:noProof/>
          </w:rPr>
          <w:t xml:space="preserve"> </w:t>
        </w:r>
        <w:r w:rsidR="004152B8">
          <w:rPr>
            <w:noProof/>
          </w:rPr>
          <w:noBreakHyphen/>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E4420" w14:textId="77777777" w:rsidR="00F862F1" w:rsidRDefault="00F862F1" w:rsidP="00885956">
      <w:r>
        <w:separator/>
      </w:r>
    </w:p>
  </w:footnote>
  <w:footnote w:type="continuationSeparator" w:id="0">
    <w:p w14:paraId="758B5FA7" w14:textId="77777777" w:rsidR="00F862F1" w:rsidRDefault="00F862F1" w:rsidP="00885956">
      <w:r>
        <w:continuationSeparator/>
      </w:r>
    </w:p>
  </w:footnote>
  <w:footnote w:id="1">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2">
    <w:p w14:paraId="1510FABC" w14:textId="60D25D91" w:rsidR="00217EA1" w:rsidRDefault="00217EA1">
      <w:pPr>
        <w:pStyle w:val="FootnoteText"/>
      </w:pPr>
      <w:r>
        <w:rPr>
          <w:rStyle w:val="FootnoteReference"/>
        </w:rPr>
        <w:footnoteRef/>
      </w:r>
      <w:r>
        <w:t xml:space="preserve"> </w:t>
      </w:r>
      <w:r w:rsidRPr="002A7329">
        <w:rPr>
          <w:color w:val="000000"/>
        </w:rPr>
        <w:t>D.24</w:t>
      </w:r>
      <w:r>
        <w:rPr>
          <w:color w:val="000000"/>
        </w:rPr>
        <w:noBreakHyphen/>
      </w:r>
      <w:r w:rsidRPr="002A7329">
        <w:rPr>
          <w:color w:val="000000"/>
        </w:rPr>
        <w:t>12</w:t>
      </w:r>
      <w:r>
        <w:rPr>
          <w:color w:val="000000"/>
        </w:rPr>
        <w:noBreakHyphen/>
      </w:r>
      <w:r w:rsidRPr="002A7329">
        <w:rPr>
          <w:color w:val="000000"/>
        </w:rPr>
        <w:t>033</w:t>
      </w:r>
      <w:r>
        <w:rPr>
          <w:color w:val="000000"/>
        </w:rPr>
        <w:t xml:space="preserve"> at 1</w:t>
      </w:r>
      <w:r w:rsidRPr="00D23F6B">
        <w:rPr>
          <w:color w:val="000000"/>
        </w:rPr>
        <w:t>5.</w:t>
      </w:r>
    </w:p>
  </w:footnote>
  <w:footnote w:id="3">
    <w:p w14:paraId="47D15B43" w14:textId="0F90BBE2" w:rsidR="00217EA1" w:rsidRDefault="00217EA1">
      <w:pPr>
        <w:pStyle w:val="FootnoteText"/>
      </w:pPr>
      <w:r>
        <w:rPr>
          <w:rStyle w:val="FootnoteReference"/>
        </w:rPr>
        <w:footnoteRef/>
      </w:r>
      <w:r>
        <w:t xml:space="preserve"> </w:t>
      </w:r>
      <w:r>
        <w:rPr>
          <w:i/>
          <w:iCs/>
          <w:color w:val="000000"/>
        </w:rPr>
        <w:t xml:space="preserve">Id. </w:t>
      </w:r>
      <w:r w:rsidRPr="004815BB">
        <w:rPr>
          <w:color w:val="000000"/>
        </w:rPr>
        <w:t>at 15</w:t>
      </w:r>
      <w:r w:rsidRPr="004815BB">
        <w:rPr>
          <w:color w:val="000000"/>
        </w:rPr>
        <w:noBreakHyphen/>
        <w:t>16.</w:t>
      </w:r>
    </w:p>
  </w:footnote>
  <w:footnote w:id="4">
    <w:p w14:paraId="6B01E455" w14:textId="4E1BA207" w:rsidR="004C4BF3" w:rsidRDefault="004C4BF3">
      <w:pPr>
        <w:pStyle w:val="FootnoteText"/>
      </w:pPr>
      <w:r>
        <w:rPr>
          <w:rStyle w:val="FootnoteReference"/>
        </w:rPr>
        <w:footnoteRef/>
      </w:r>
      <w:r>
        <w:t xml:space="preserve"> </w:t>
      </w:r>
      <w:r>
        <w:rPr>
          <w:i/>
          <w:iCs/>
          <w:color w:val="000000"/>
        </w:rPr>
        <w:t xml:space="preserve">Id. </w:t>
      </w:r>
      <w:r w:rsidRPr="004815BB">
        <w:rPr>
          <w:color w:val="000000"/>
        </w:rPr>
        <w:t>at 17.</w:t>
      </w:r>
    </w:p>
  </w:footnote>
  <w:footnote w:id="5">
    <w:p w14:paraId="32380237" w14:textId="7D47A789" w:rsidR="004C4BF3" w:rsidRDefault="004C4BF3">
      <w:pPr>
        <w:pStyle w:val="FootnoteText"/>
      </w:pPr>
      <w:r>
        <w:rPr>
          <w:rStyle w:val="FootnoteReference"/>
        </w:rPr>
        <w:footnoteRef/>
      </w:r>
      <w:r>
        <w:t xml:space="preserve"> </w:t>
      </w:r>
      <w:r>
        <w:rPr>
          <w:i/>
          <w:iCs/>
          <w:color w:val="000000"/>
        </w:rPr>
        <w:t xml:space="preserve">Id. </w:t>
      </w:r>
      <w:r w:rsidRPr="004815BB">
        <w:rPr>
          <w:color w:val="000000"/>
        </w:rPr>
        <w:t>at 23.</w:t>
      </w:r>
    </w:p>
  </w:footnote>
  <w:footnote w:id="6">
    <w:p w14:paraId="05A5BF8A" w14:textId="1D0AB1B3" w:rsidR="004815BB" w:rsidRDefault="004815BB" w:rsidP="004815BB">
      <w:pPr>
        <w:pStyle w:val="FootnoteText"/>
      </w:pPr>
      <w:r>
        <w:rPr>
          <w:rStyle w:val="FootnoteReference"/>
        </w:rPr>
        <w:footnoteRef/>
      </w:r>
      <w:r>
        <w:t xml:space="preserve"> </w:t>
      </w:r>
      <w:r w:rsidR="003A12D7" w:rsidRPr="003A12D7">
        <w:t>PG&amp;E’s Rebuttal Testimony</w:t>
      </w:r>
      <w:r w:rsidR="00A007DF">
        <w:t xml:space="preserve"> a</w:t>
      </w:r>
      <w:r w:rsidRPr="004815BB">
        <w:rPr>
          <w:color w:val="000000"/>
        </w:rPr>
        <w:t>t 8</w:t>
      </w:r>
      <w:r w:rsidRPr="004815BB">
        <w:rPr>
          <w:color w:val="000000"/>
        </w:rPr>
        <w:noBreakHyphen/>
        <w:t>14, lines 3</w:t>
      </w:r>
      <w:r w:rsidRPr="004815BB">
        <w:rPr>
          <w:color w:val="000000"/>
        </w:rPr>
        <w:noBreakHyphen/>
        <w:t>13 and 8</w:t>
      </w:r>
      <w:r w:rsidRPr="004815BB">
        <w:rPr>
          <w:color w:val="000000"/>
        </w:rPr>
        <w:noBreakHyphen/>
        <w:t>17, lines 5</w:t>
      </w:r>
      <w:r w:rsidRPr="004815BB">
        <w:rPr>
          <w:color w:val="000000"/>
        </w:rPr>
        <w:noBreakHyphen/>
        <w:t>6 (“with the removal of gas</w:t>
      </w:r>
      <w:r>
        <w:rPr>
          <w:color w:val="000000"/>
        </w:rPr>
        <w:t xml:space="preserve"> </w:t>
      </w:r>
      <w:r w:rsidRPr="004815BB">
        <w:rPr>
          <w:color w:val="000000"/>
        </w:rPr>
        <w:t xml:space="preserve">programs as discussed in response to </w:t>
      </w:r>
      <w:r w:rsidRPr="004815BB">
        <w:rPr>
          <w:color w:val="000000"/>
        </w:rPr>
        <w:t>CalCCA above”).</w:t>
      </w:r>
    </w:p>
  </w:footnote>
  <w:footnote w:id="7">
    <w:p w14:paraId="07FA8055" w14:textId="3E4FF12D" w:rsidR="004815BB" w:rsidRDefault="004815BB">
      <w:pPr>
        <w:pStyle w:val="FootnoteText"/>
      </w:pPr>
      <w:r w:rsidRPr="008503C4">
        <w:rPr>
          <w:rStyle w:val="FootnoteReference"/>
        </w:rPr>
        <w:footnoteRef/>
      </w:r>
      <w:r w:rsidRPr="008503C4">
        <w:t xml:space="preserve"> </w:t>
      </w:r>
      <w:r w:rsidR="007E355D" w:rsidRPr="008503C4">
        <w:rPr>
          <w:color w:val="000000"/>
        </w:rPr>
        <w:t>D.24-12-033</w:t>
      </w:r>
      <w:r w:rsidRPr="008503C4">
        <w:rPr>
          <w:color w:val="000000"/>
        </w:rPr>
        <w:t xml:space="preserve"> </w:t>
      </w:r>
      <w:r w:rsidRPr="004815BB">
        <w:rPr>
          <w:color w:val="000000"/>
        </w:rPr>
        <w:t>at </w:t>
      </w:r>
      <w:r>
        <w:rPr>
          <w:color w:val="000000"/>
        </w:rPr>
        <w:t>40</w:t>
      </w:r>
      <w:r w:rsidRPr="004815BB">
        <w:rPr>
          <w:color w:val="000000"/>
        </w:rPr>
        <w:t>.</w:t>
      </w:r>
    </w:p>
  </w:footnote>
  <w:footnote w:id="8">
    <w:p w14:paraId="6FD2DBC1" w14:textId="45402BD6" w:rsidR="004815BB" w:rsidRDefault="004815BB">
      <w:pPr>
        <w:pStyle w:val="FootnoteText"/>
      </w:pPr>
      <w:r>
        <w:rPr>
          <w:rStyle w:val="FootnoteReference"/>
        </w:rPr>
        <w:footnoteRef/>
      </w:r>
      <w:r>
        <w:t xml:space="preserve"> </w:t>
      </w:r>
      <w:r w:rsidR="00520BA8">
        <w:rPr>
          <w:i/>
          <w:iCs/>
          <w:color w:val="000000"/>
        </w:rPr>
        <w:t xml:space="preserve">Id. </w:t>
      </w:r>
      <w:r w:rsidR="00520BA8" w:rsidRPr="004815BB">
        <w:rPr>
          <w:color w:val="000000"/>
        </w:rPr>
        <w:t>at </w:t>
      </w:r>
      <w:r w:rsidR="00520BA8">
        <w:rPr>
          <w:color w:val="000000"/>
        </w:rPr>
        <w:t>4</w:t>
      </w:r>
      <w:r w:rsidR="00520BA8" w:rsidRPr="004815BB">
        <w:rPr>
          <w:color w:val="000000"/>
        </w:rPr>
        <w:t>3.</w:t>
      </w:r>
    </w:p>
  </w:footnote>
  <w:footnote w:id="9">
    <w:p w14:paraId="6F7E7348" w14:textId="0FE168A4" w:rsidR="00520BA8" w:rsidRDefault="00520BA8">
      <w:pPr>
        <w:pStyle w:val="FootnoteText"/>
      </w:pPr>
      <w:r>
        <w:rPr>
          <w:rStyle w:val="FootnoteReference"/>
        </w:rPr>
        <w:footnoteRef/>
      </w:r>
      <w:r>
        <w:t xml:space="preserve"> </w:t>
      </w:r>
      <w:r>
        <w:rPr>
          <w:i/>
          <w:iCs/>
          <w:color w:val="000000"/>
        </w:rPr>
        <w:t xml:space="preserve">Id. </w:t>
      </w:r>
      <w:r w:rsidRPr="004815BB">
        <w:rPr>
          <w:color w:val="000000"/>
        </w:rPr>
        <w:t>at </w:t>
      </w:r>
      <w:r>
        <w:rPr>
          <w:color w:val="000000"/>
        </w:rPr>
        <w:t>12</w:t>
      </w:r>
      <w:r w:rsidRPr="004815BB">
        <w:rPr>
          <w:color w:val="000000"/>
        </w:rPr>
        <w:t>.</w:t>
      </w:r>
    </w:p>
  </w:footnote>
  <w:footnote w:id="10">
    <w:p w14:paraId="71E17765" w14:textId="7A6B4ED1" w:rsidR="000855FC" w:rsidRDefault="000855FC">
      <w:pPr>
        <w:pStyle w:val="FootnoteText"/>
      </w:pPr>
      <w:r>
        <w:rPr>
          <w:rStyle w:val="FootnoteReference"/>
        </w:rPr>
        <w:footnoteRef/>
      </w:r>
      <w:r>
        <w:t xml:space="preserve"> D.24-12-033 at 52.</w:t>
      </w:r>
    </w:p>
  </w:footnote>
  <w:footnote w:id="11">
    <w:p w14:paraId="2A44723A" w14:textId="190DD62C" w:rsidR="003B6A1B" w:rsidRPr="00DE3A5D" w:rsidRDefault="003B6A1B"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ed through the State Bar of California</w:t>
      </w:r>
      <w:r w:rsidR="004E6CFF">
        <w:rPr>
          <w:color w:val="000000"/>
        </w:rPr>
        <w:t>’</w:t>
      </w:r>
      <w:r>
        <w:rPr>
          <w:color w:val="000000"/>
        </w:rPr>
        <w:t xml:space="preserve">s website at </w:t>
      </w:r>
      <w:hyperlink r:id="rId1" w:history="1">
        <w:r w:rsidR="00AB5DF1" w:rsidRPr="00E95910">
          <w:rPr>
            <w:rStyle w:val="Hyperlink"/>
          </w:rPr>
          <w:t>http://members.calbar.ca.gov/fal/MemberSearch/QuickSearch</w:t>
        </w:r>
      </w:hyperlink>
      <w:r w:rsidR="00AB5DF1">
        <w:t xml:space="preserve">. </w:t>
      </w:r>
    </w:p>
  </w:footnote>
  <w:footnote w:id="12">
    <w:p w14:paraId="1839990B" w14:textId="63AA8C79" w:rsidR="00046249" w:rsidRDefault="00046249">
      <w:pPr>
        <w:pStyle w:val="FootnoteText"/>
      </w:pPr>
      <w:r>
        <w:rPr>
          <w:rStyle w:val="FootnoteReference"/>
        </w:rPr>
        <w:footnoteRef/>
      </w:r>
      <w:r>
        <w:t xml:space="preserve"> Attachments</w:t>
      </w:r>
      <w:r w:rsidR="001455A8">
        <w:t xml:space="preserve"> are</w:t>
      </w:r>
      <w:r>
        <w:t xml:space="preserve"> not included in final Decision.</w:t>
      </w:r>
    </w:p>
  </w:footnote>
  <w:footnote w:id="13">
    <w:p w14:paraId="12C494B8" w14:textId="68D928A8" w:rsidR="0035612F" w:rsidRDefault="0035612F">
      <w:pPr>
        <w:pStyle w:val="FootnoteText"/>
      </w:pPr>
      <w:r>
        <w:rPr>
          <w:rStyle w:val="FootnoteReference"/>
        </w:rPr>
        <w:footnoteRef/>
      </w:r>
      <w:r>
        <w:t xml:space="preserve"> </w:t>
      </w:r>
      <w:r w:rsidR="00EF35FA" w:rsidRPr="00EF35FA">
        <w:t>D.07</w:t>
      </w:r>
      <w:r w:rsidR="004152B8">
        <w:noBreakHyphen/>
      </w:r>
      <w:r w:rsidR="00EF35FA" w:rsidRPr="00EF35FA">
        <w:t>01</w:t>
      </w:r>
      <w:r w:rsidR="004152B8">
        <w:noBreakHyphen/>
      </w:r>
      <w:r w:rsidR="00EF35FA" w:rsidRPr="00EF35FA">
        <w:t>009, D.08</w:t>
      </w:r>
      <w:r w:rsidR="004152B8">
        <w:noBreakHyphen/>
      </w:r>
      <w:r w:rsidR="00EF35FA" w:rsidRPr="00EF35FA">
        <w:t>04</w:t>
      </w:r>
      <w:r w:rsidR="004152B8">
        <w:noBreakHyphen/>
      </w:r>
      <w:r w:rsidR="00EF35FA" w:rsidRPr="00EF35FA">
        <w:t>010, and ALJ Resolution ALJ 235.</w:t>
      </w:r>
    </w:p>
  </w:footnote>
  <w:footnote w:id="14">
    <w:p w14:paraId="2E36F592" w14:textId="345C90C9" w:rsidR="001E68EE" w:rsidRPr="00C95BE1" w:rsidRDefault="001E68EE">
      <w:pPr>
        <w:pStyle w:val="FootnoteText"/>
      </w:pPr>
      <w:r>
        <w:rPr>
          <w:rStyle w:val="FootnoteReference"/>
        </w:rPr>
        <w:footnoteRef/>
      </w:r>
      <w:r>
        <w:t xml:space="preserve"> </w:t>
      </w:r>
      <w:r w:rsidR="00C47FAC">
        <w:t xml:space="preserve">Header 6 of </w:t>
      </w:r>
      <w:r w:rsidR="00822A3A">
        <w:t>D.24</w:t>
      </w:r>
      <w:r w:rsidR="004152B8">
        <w:noBreakHyphen/>
      </w:r>
      <w:r w:rsidR="00822A3A">
        <w:t>12</w:t>
      </w:r>
      <w:r w:rsidR="004152B8">
        <w:noBreakHyphen/>
      </w:r>
      <w:r w:rsidR="00822A3A">
        <w:t>033</w:t>
      </w:r>
      <w:r w:rsidR="00C47FAC">
        <w:t xml:space="preserve"> was labeled </w:t>
      </w:r>
      <w:r w:rsidR="004E6CFF">
        <w:t>“</w:t>
      </w:r>
      <w:r w:rsidR="00C47FAC">
        <w:t>PG&amp;E</w:t>
      </w:r>
      <w:r w:rsidR="004E6CFF">
        <w:t>’</w:t>
      </w:r>
      <w:r w:rsidR="00C47FAC">
        <w:t>s Forecasted Cost and Requested Revenue Requirement</w:t>
      </w:r>
      <w:r w:rsidR="004E6CFF">
        <w:t>”</w:t>
      </w:r>
      <w:r w:rsidR="00C47FAC">
        <w:t xml:space="preserve">, and included </w:t>
      </w:r>
      <w:r w:rsidR="000C74F7">
        <w:t xml:space="preserve">the following </w:t>
      </w:r>
      <w:r w:rsidR="000C74F7">
        <w:t xml:space="preserve">subheaders: 6.1: </w:t>
      </w:r>
      <w:r w:rsidR="004E6CFF">
        <w:t>“</w:t>
      </w:r>
      <w:r w:rsidR="000C74F7">
        <w:t>Operations and Maintenance Costs</w:t>
      </w:r>
      <w:r w:rsidR="004E6CFF">
        <w:t>”</w:t>
      </w:r>
      <w:r w:rsidR="000C74F7">
        <w:t xml:space="preserve">, 6.2 </w:t>
      </w:r>
      <w:r w:rsidR="004E6CFF">
        <w:t>“</w:t>
      </w:r>
      <w:r w:rsidR="000C74F7">
        <w:t>Statutory Fees</w:t>
      </w:r>
      <w:r w:rsidR="004E6CFF">
        <w:t>”</w:t>
      </w:r>
      <w:r w:rsidR="000C74F7">
        <w:t xml:space="preserve">, 6.3 </w:t>
      </w:r>
      <w:r w:rsidR="004E6CFF">
        <w:t>“</w:t>
      </w:r>
      <w:r w:rsidR="000C74F7">
        <w:t>RA Substitution Capacity Costs</w:t>
      </w:r>
      <w:r w:rsidR="004E6CFF">
        <w:t>”</w:t>
      </w:r>
      <w:r w:rsidR="000C74F7">
        <w:t xml:space="preserve">, 6.4 </w:t>
      </w:r>
      <w:r w:rsidR="004E6CFF">
        <w:t>“</w:t>
      </w:r>
      <w:r w:rsidR="000C74F7">
        <w:t>Nuclear Costs</w:t>
      </w:r>
      <w:r w:rsidR="004E6CFF">
        <w:t>”</w:t>
      </w:r>
      <w:r w:rsidR="00204077">
        <w:t xml:space="preserve">, 6.5 </w:t>
      </w:r>
      <w:r w:rsidR="004E6CFF">
        <w:t>“</w:t>
      </w:r>
      <w:r w:rsidR="00204077">
        <w:t>The Internal Revenue Service (IRS) Tax Law Normalization</w:t>
      </w:r>
      <w:r w:rsidR="004E6CFF">
        <w:t>”</w:t>
      </w:r>
      <w:r w:rsidR="00204077">
        <w:t xml:space="preserve">, </w:t>
      </w:r>
      <w:r w:rsidR="00D43DF5">
        <w:t xml:space="preserve">6.6 </w:t>
      </w:r>
      <w:r w:rsidR="004E6CFF">
        <w:t>“</w:t>
      </w:r>
      <w:r w:rsidR="00D43DF5">
        <w:t>Federal and State Income Tax Gross</w:t>
      </w:r>
      <w:r w:rsidR="004152B8">
        <w:noBreakHyphen/>
      </w:r>
      <w:r w:rsidR="00D43DF5">
        <w:t>up on Fixed Management</w:t>
      </w:r>
      <w:r w:rsidR="004E6CFF">
        <w:t>”</w:t>
      </w:r>
      <w:r w:rsidR="00D43DF5">
        <w:t xml:space="preserve">, 6.7 </w:t>
      </w:r>
      <w:r w:rsidR="004E6CFF">
        <w:t>“</w:t>
      </w:r>
      <w:r w:rsidR="00D43DF5">
        <w:t>PG</w:t>
      </w:r>
      <w:r w:rsidR="00322FD2">
        <w:t>&amp;E</w:t>
      </w:r>
      <w:r w:rsidR="004E6CFF">
        <w:t>’</w:t>
      </w:r>
      <w:r w:rsidR="00322FD2">
        <w:t>s Generation and Generation Revenue Forecasts</w:t>
      </w:r>
      <w:r w:rsidR="004E6CFF">
        <w:t>”</w:t>
      </w:r>
      <w:r w:rsidR="00322FD2">
        <w:t xml:space="preserve">, 6.8 </w:t>
      </w:r>
      <w:r w:rsidR="004E6CFF">
        <w:t>“</w:t>
      </w:r>
      <w:r w:rsidR="00322FD2">
        <w:t>Working Cash Adjustment</w:t>
      </w:r>
      <w:r w:rsidR="004E6CFF">
        <w:t>”</w:t>
      </w:r>
      <w:r w:rsidR="00322FD2">
        <w:t xml:space="preserve">, and </w:t>
      </w:r>
      <w:r w:rsidR="004E6CFF">
        <w:t>“</w:t>
      </w:r>
      <w:r w:rsidR="00322FD2">
        <w:t xml:space="preserve">6.9 </w:t>
      </w:r>
      <w:r w:rsidR="004E6CFF">
        <w:t>“</w:t>
      </w:r>
      <w:r w:rsidR="00322FD2">
        <w:t>Netting of CAISO Revenues</w:t>
      </w:r>
      <w:r w:rsidR="004E6CFF">
        <w:t>”</w:t>
      </w:r>
      <w:r w:rsidR="00322FD2">
        <w:t xml:space="preserve">. </w:t>
      </w:r>
      <w:r w:rsidR="00C95BE1">
        <w:rPr>
          <w:i/>
          <w:iCs/>
        </w:rPr>
        <w:t xml:space="preserve">See </w:t>
      </w:r>
      <w:r w:rsidR="00C95BE1">
        <w:t>D.24</w:t>
      </w:r>
      <w:r w:rsidR="004152B8">
        <w:noBreakHyphen/>
      </w:r>
      <w:r w:rsidR="00C95BE1">
        <w:t>12</w:t>
      </w:r>
      <w:r w:rsidR="004152B8">
        <w:noBreakHyphen/>
      </w:r>
      <w:r w:rsidR="00C95BE1">
        <w:t>033</w:t>
      </w:r>
      <w:r w:rsidR="0094248D">
        <w:t xml:space="preserve"> at 1</w:t>
      </w:r>
      <w:r w:rsidR="00C95BE1">
        <w:t>2</w:t>
      </w:r>
      <w:r w:rsidR="004152B8">
        <w:noBreakHyphen/>
      </w:r>
      <w:r w:rsidR="006E1759">
        <w:t xml:space="preserve">46. </w:t>
      </w:r>
    </w:p>
  </w:footnote>
  <w:footnote w:id="15">
    <w:p w14:paraId="37546191" w14:textId="0DB47F88" w:rsidR="005444CC" w:rsidRDefault="005444CC">
      <w:pPr>
        <w:pStyle w:val="FootnoteText"/>
      </w:pPr>
      <w:r>
        <w:rPr>
          <w:rStyle w:val="FootnoteReference"/>
        </w:rPr>
        <w:footnoteRef/>
      </w:r>
      <w:r>
        <w:t xml:space="preserve"> </w:t>
      </w:r>
      <w:r w:rsidR="00C8332D">
        <w:t>Geesman is a consultant as described in Part III.D, Item [1</w:t>
      </w:r>
      <w:r w:rsidR="007A0C2B">
        <w:t>].</w:t>
      </w:r>
    </w:p>
  </w:footnote>
  <w:footnote w:id="16">
    <w:p w14:paraId="1902125D" w14:textId="0DB22E05" w:rsidR="00CE1CC4" w:rsidRDefault="00CE1CC4">
      <w:pPr>
        <w:pStyle w:val="FootnoteText"/>
      </w:pPr>
      <w:r>
        <w:rPr>
          <w:rStyle w:val="FootnoteReference"/>
        </w:rPr>
        <w:footnoteRef/>
      </w:r>
      <w:r>
        <w:t xml:space="preserve"> </w:t>
      </w:r>
      <w:r w:rsidR="005444CC">
        <w:t>Weisman is classified as an Expert</w:t>
      </w:r>
      <w:r w:rsidR="00BA598C">
        <w:t xml:space="preserve"> – </w:t>
      </w:r>
      <w:r w:rsidR="005444CC">
        <w:t>Communications Specialist</w:t>
      </w:r>
      <w:r w:rsidR="00BA598C">
        <w:t xml:space="preserve"> – </w:t>
      </w:r>
      <w:r w:rsidR="005444CC">
        <w:t>Level III for 2024.</w:t>
      </w:r>
    </w:p>
  </w:footnote>
  <w:footnote w:id="17">
    <w:p w14:paraId="708DDA1C" w14:textId="133292AD" w:rsidR="00E56F19" w:rsidRDefault="00E56F19">
      <w:pPr>
        <w:pStyle w:val="FootnoteText"/>
      </w:pPr>
      <w:r>
        <w:rPr>
          <w:rStyle w:val="FootnoteReference"/>
        </w:rPr>
        <w:footnoteRef/>
      </w:r>
      <w:r>
        <w:t xml:space="preserve"> Weisman is classified as an Expert</w:t>
      </w:r>
      <w:r w:rsidR="00BA598C">
        <w:t xml:space="preserve"> – </w:t>
      </w:r>
      <w:r>
        <w:t>Communications Specialist</w:t>
      </w:r>
      <w:r w:rsidR="00BA598C">
        <w:t xml:space="preserve"> – </w:t>
      </w:r>
      <w:r>
        <w:t>Level IV for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AA73" w14:textId="01D0AF8C" w:rsidR="00B82D90" w:rsidRDefault="00F81352" w:rsidP="00B82D90">
    <w:pPr>
      <w:pStyle w:val="Header"/>
      <w:tabs>
        <w:tab w:val="clear" w:pos="4680"/>
      </w:tabs>
    </w:pPr>
    <w:r w:rsidRPr="00F81352">
      <w:t>A</w:t>
    </w:r>
    <w:r>
      <w:t>.</w:t>
    </w:r>
    <w:r w:rsidRPr="00F81352">
      <w:t>24</w:t>
    </w:r>
    <w:r w:rsidR="004152B8">
      <w:noBreakHyphen/>
    </w:r>
    <w:r w:rsidRPr="00F81352">
      <w:t>03</w:t>
    </w:r>
    <w:r w:rsidR="004152B8">
      <w:noBreakHyphen/>
    </w:r>
    <w:r w:rsidRPr="00F81352">
      <w:t>018</w:t>
    </w:r>
    <w:r>
      <w:t xml:space="preserve">  ALJ/NIL/nd3</w:t>
    </w:r>
    <w:r w:rsidR="009C1611">
      <w:tab/>
      <w:t>PROPOSED DECISION</w:t>
    </w:r>
    <w:r w:rsidR="00A323F1">
      <w:t xml:space="preserve"> </w:t>
    </w:r>
    <w:r w:rsidR="00A323F1" w:rsidRPr="00A323F1">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FEA7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46B01"/>
    <w:multiLevelType w:val="hybridMultilevel"/>
    <w:tmpl w:val="C7D02C48"/>
    <w:lvl w:ilvl="0" w:tplc="18A49BD2">
      <w:start w:val="1"/>
      <w:numFmt w:val="bullet"/>
      <w:lvlText w:val=""/>
      <w:lvlJc w:val="left"/>
      <w:pPr>
        <w:ind w:left="720" w:hanging="360"/>
      </w:pPr>
      <w:rPr>
        <w:rFonts w:ascii="Symbol" w:hAnsi="Symbol"/>
      </w:rPr>
    </w:lvl>
    <w:lvl w:ilvl="1" w:tplc="78CEF274">
      <w:start w:val="1"/>
      <w:numFmt w:val="bullet"/>
      <w:lvlText w:val=""/>
      <w:lvlJc w:val="left"/>
      <w:pPr>
        <w:ind w:left="720" w:hanging="360"/>
      </w:pPr>
      <w:rPr>
        <w:rFonts w:ascii="Symbol" w:hAnsi="Symbol"/>
      </w:rPr>
    </w:lvl>
    <w:lvl w:ilvl="2" w:tplc="EBCC8D64">
      <w:start w:val="1"/>
      <w:numFmt w:val="bullet"/>
      <w:lvlText w:val=""/>
      <w:lvlJc w:val="left"/>
      <w:pPr>
        <w:ind w:left="720" w:hanging="360"/>
      </w:pPr>
      <w:rPr>
        <w:rFonts w:ascii="Symbol" w:hAnsi="Symbol"/>
      </w:rPr>
    </w:lvl>
    <w:lvl w:ilvl="3" w:tplc="B9741EF6">
      <w:start w:val="1"/>
      <w:numFmt w:val="bullet"/>
      <w:lvlText w:val=""/>
      <w:lvlJc w:val="left"/>
      <w:pPr>
        <w:ind w:left="720" w:hanging="360"/>
      </w:pPr>
      <w:rPr>
        <w:rFonts w:ascii="Symbol" w:hAnsi="Symbol"/>
      </w:rPr>
    </w:lvl>
    <w:lvl w:ilvl="4" w:tplc="0D5CFBFA">
      <w:start w:val="1"/>
      <w:numFmt w:val="bullet"/>
      <w:lvlText w:val=""/>
      <w:lvlJc w:val="left"/>
      <w:pPr>
        <w:ind w:left="720" w:hanging="360"/>
      </w:pPr>
      <w:rPr>
        <w:rFonts w:ascii="Symbol" w:hAnsi="Symbol"/>
      </w:rPr>
    </w:lvl>
    <w:lvl w:ilvl="5" w:tplc="4C061610">
      <w:start w:val="1"/>
      <w:numFmt w:val="bullet"/>
      <w:lvlText w:val=""/>
      <w:lvlJc w:val="left"/>
      <w:pPr>
        <w:ind w:left="720" w:hanging="360"/>
      </w:pPr>
      <w:rPr>
        <w:rFonts w:ascii="Symbol" w:hAnsi="Symbol"/>
      </w:rPr>
    </w:lvl>
    <w:lvl w:ilvl="6" w:tplc="CF5A5DB2">
      <w:start w:val="1"/>
      <w:numFmt w:val="bullet"/>
      <w:lvlText w:val=""/>
      <w:lvlJc w:val="left"/>
      <w:pPr>
        <w:ind w:left="720" w:hanging="360"/>
      </w:pPr>
      <w:rPr>
        <w:rFonts w:ascii="Symbol" w:hAnsi="Symbol"/>
      </w:rPr>
    </w:lvl>
    <w:lvl w:ilvl="7" w:tplc="E3F836F6">
      <w:start w:val="1"/>
      <w:numFmt w:val="bullet"/>
      <w:lvlText w:val=""/>
      <w:lvlJc w:val="left"/>
      <w:pPr>
        <w:ind w:left="720" w:hanging="360"/>
      </w:pPr>
      <w:rPr>
        <w:rFonts w:ascii="Symbol" w:hAnsi="Symbol"/>
      </w:rPr>
    </w:lvl>
    <w:lvl w:ilvl="8" w:tplc="FFF60A9C">
      <w:start w:val="1"/>
      <w:numFmt w:val="bullet"/>
      <w:lvlText w:val=""/>
      <w:lvlJc w:val="left"/>
      <w:pPr>
        <w:ind w:left="720" w:hanging="360"/>
      </w:pPr>
      <w:rPr>
        <w:rFonts w:ascii="Symbol" w:hAnsi="Symbol"/>
      </w:rPr>
    </w:lvl>
  </w:abstractNum>
  <w:abstractNum w:abstractNumId="2"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27121"/>
    <w:multiLevelType w:val="hybridMultilevel"/>
    <w:tmpl w:val="8BD049F6"/>
    <w:lvl w:ilvl="0" w:tplc="341EA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9647E"/>
    <w:multiLevelType w:val="hybridMultilevel"/>
    <w:tmpl w:val="12CA0BB0"/>
    <w:lvl w:ilvl="0" w:tplc="C3C2A590">
      <w:start w:val="1"/>
      <w:numFmt w:val="bullet"/>
      <w:lvlText w:val=""/>
      <w:lvlJc w:val="left"/>
      <w:pPr>
        <w:ind w:left="720" w:hanging="360"/>
      </w:pPr>
      <w:rPr>
        <w:rFonts w:ascii="Symbol" w:hAnsi="Symbol"/>
      </w:rPr>
    </w:lvl>
    <w:lvl w:ilvl="1" w:tplc="00367D52">
      <w:start w:val="1"/>
      <w:numFmt w:val="bullet"/>
      <w:lvlText w:val=""/>
      <w:lvlJc w:val="left"/>
      <w:pPr>
        <w:ind w:left="720" w:hanging="360"/>
      </w:pPr>
      <w:rPr>
        <w:rFonts w:ascii="Symbol" w:hAnsi="Symbol"/>
      </w:rPr>
    </w:lvl>
    <w:lvl w:ilvl="2" w:tplc="3006BE00">
      <w:start w:val="1"/>
      <w:numFmt w:val="bullet"/>
      <w:lvlText w:val=""/>
      <w:lvlJc w:val="left"/>
      <w:pPr>
        <w:ind w:left="720" w:hanging="360"/>
      </w:pPr>
      <w:rPr>
        <w:rFonts w:ascii="Symbol" w:hAnsi="Symbol"/>
      </w:rPr>
    </w:lvl>
    <w:lvl w:ilvl="3" w:tplc="B7DACD0C">
      <w:start w:val="1"/>
      <w:numFmt w:val="bullet"/>
      <w:lvlText w:val=""/>
      <w:lvlJc w:val="left"/>
      <w:pPr>
        <w:ind w:left="720" w:hanging="360"/>
      </w:pPr>
      <w:rPr>
        <w:rFonts w:ascii="Symbol" w:hAnsi="Symbol"/>
      </w:rPr>
    </w:lvl>
    <w:lvl w:ilvl="4" w:tplc="E0000268">
      <w:start w:val="1"/>
      <w:numFmt w:val="bullet"/>
      <w:lvlText w:val=""/>
      <w:lvlJc w:val="left"/>
      <w:pPr>
        <w:ind w:left="720" w:hanging="360"/>
      </w:pPr>
      <w:rPr>
        <w:rFonts w:ascii="Symbol" w:hAnsi="Symbol"/>
      </w:rPr>
    </w:lvl>
    <w:lvl w:ilvl="5" w:tplc="8CFE8A4E">
      <w:start w:val="1"/>
      <w:numFmt w:val="bullet"/>
      <w:lvlText w:val=""/>
      <w:lvlJc w:val="left"/>
      <w:pPr>
        <w:ind w:left="720" w:hanging="360"/>
      </w:pPr>
      <w:rPr>
        <w:rFonts w:ascii="Symbol" w:hAnsi="Symbol"/>
      </w:rPr>
    </w:lvl>
    <w:lvl w:ilvl="6" w:tplc="5E4ABAC2">
      <w:start w:val="1"/>
      <w:numFmt w:val="bullet"/>
      <w:lvlText w:val=""/>
      <w:lvlJc w:val="left"/>
      <w:pPr>
        <w:ind w:left="720" w:hanging="360"/>
      </w:pPr>
      <w:rPr>
        <w:rFonts w:ascii="Symbol" w:hAnsi="Symbol"/>
      </w:rPr>
    </w:lvl>
    <w:lvl w:ilvl="7" w:tplc="339EC204">
      <w:start w:val="1"/>
      <w:numFmt w:val="bullet"/>
      <w:lvlText w:val=""/>
      <w:lvlJc w:val="left"/>
      <w:pPr>
        <w:ind w:left="720" w:hanging="360"/>
      </w:pPr>
      <w:rPr>
        <w:rFonts w:ascii="Symbol" w:hAnsi="Symbol"/>
      </w:rPr>
    </w:lvl>
    <w:lvl w:ilvl="8" w:tplc="B126B600">
      <w:start w:val="1"/>
      <w:numFmt w:val="bullet"/>
      <w:lvlText w:val=""/>
      <w:lvlJc w:val="left"/>
      <w:pPr>
        <w:ind w:left="720" w:hanging="360"/>
      </w:pPr>
      <w:rPr>
        <w:rFonts w:ascii="Symbol" w:hAnsi="Symbol"/>
      </w:rPr>
    </w:lvl>
  </w:abstractNum>
  <w:abstractNum w:abstractNumId="6"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5617D9"/>
    <w:multiLevelType w:val="hybridMultilevel"/>
    <w:tmpl w:val="3C7E29CC"/>
    <w:lvl w:ilvl="0" w:tplc="C862118A">
      <w:start w:val="1"/>
      <w:numFmt w:val="bullet"/>
      <w:lvlText w:val=""/>
      <w:lvlJc w:val="left"/>
      <w:pPr>
        <w:ind w:left="720" w:hanging="360"/>
      </w:pPr>
      <w:rPr>
        <w:rFonts w:ascii="Symbol" w:hAnsi="Symbol"/>
      </w:rPr>
    </w:lvl>
    <w:lvl w:ilvl="1" w:tplc="1BA018C8">
      <w:start w:val="1"/>
      <w:numFmt w:val="bullet"/>
      <w:lvlText w:val=""/>
      <w:lvlJc w:val="left"/>
      <w:pPr>
        <w:ind w:left="720" w:hanging="360"/>
      </w:pPr>
      <w:rPr>
        <w:rFonts w:ascii="Symbol" w:hAnsi="Symbol"/>
      </w:rPr>
    </w:lvl>
    <w:lvl w:ilvl="2" w:tplc="1D8CE234">
      <w:start w:val="1"/>
      <w:numFmt w:val="bullet"/>
      <w:lvlText w:val=""/>
      <w:lvlJc w:val="left"/>
      <w:pPr>
        <w:ind w:left="720" w:hanging="360"/>
      </w:pPr>
      <w:rPr>
        <w:rFonts w:ascii="Symbol" w:hAnsi="Symbol"/>
      </w:rPr>
    </w:lvl>
    <w:lvl w:ilvl="3" w:tplc="7EE6DE2C">
      <w:start w:val="1"/>
      <w:numFmt w:val="bullet"/>
      <w:lvlText w:val=""/>
      <w:lvlJc w:val="left"/>
      <w:pPr>
        <w:ind w:left="720" w:hanging="360"/>
      </w:pPr>
      <w:rPr>
        <w:rFonts w:ascii="Symbol" w:hAnsi="Symbol"/>
      </w:rPr>
    </w:lvl>
    <w:lvl w:ilvl="4" w:tplc="BC1C02B6">
      <w:start w:val="1"/>
      <w:numFmt w:val="bullet"/>
      <w:lvlText w:val=""/>
      <w:lvlJc w:val="left"/>
      <w:pPr>
        <w:ind w:left="720" w:hanging="360"/>
      </w:pPr>
      <w:rPr>
        <w:rFonts w:ascii="Symbol" w:hAnsi="Symbol"/>
      </w:rPr>
    </w:lvl>
    <w:lvl w:ilvl="5" w:tplc="717AEE22">
      <w:start w:val="1"/>
      <w:numFmt w:val="bullet"/>
      <w:lvlText w:val=""/>
      <w:lvlJc w:val="left"/>
      <w:pPr>
        <w:ind w:left="720" w:hanging="360"/>
      </w:pPr>
      <w:rPr>
        <w:rFonts w:ascii="Symbol" w:hAnsi="Symbol"/>
      </w:rPr>
    </w:lvl>
    <w:lvl w:ilvl="6" w:tplc="2B76DB62">
      <w:start w:val="1"/>
      <w:numFmt w:val="bullet"/>
      <w:lvlText w:val=""/>
      <w:lvlJc w:val="left"/>
      <w:pPr>
        <w:ind w:left="720" w:hanging="360"/>
      </w:pPr>
      <w:rPr>
        <w:rFonts w:ascii="Symbol" w:hAnsi="Symbol"/>
      </w:rPr>
    </w:lvl>
    <w:lvl w:ilvl="7" w:tplc="F328E3B2">
      <w:start w:val="1"/>
      <w:numFmt w:val="bullet"/>
      <w:lvlText w:val=""/>
      <w:lvlJc w:val="left"/>
      <w:pPr>
        <w:ind w:left="720" w:hanging="360"/>
      </w:pPr>
      <w:rPr>
        <w:rFonts w:ascii="Symbol" w:hAnsi="Symbol"/>
      </w:rPr>
    </w:lvl>
    <w:lvl w:ilvl="8" w:tplc="DB280C1E">
      <w:start w:val="1"/>
      <w:numFmt w:val="bullet"/>
      <w:lvlText w:val=""/>
      <w:lvlJc w:val="left"/>
      <w:pPr>
        <w:ind w:left="720" w:hanging="360"/>
      </w:pPr>
      <w:rPr>
        <w:rFonts w:ascii="Symbol" w:hAnsi="Symbol"/>
      </w:rPr>
    </w:lvl>
  </w:abstractNum>
  <w:abstractNum w:abstractNumId="8"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15:restartNumberingAfterBreak="0">
    <w:nsid w:val="5F4C34DE"/>
    <w:multiLevelType w:val="hybridMultilevel"/>
    <w:tmpl w:val="30FC9C02"/>
    <w:lvl w:ilvl="0" w:tplc="FFFFFFFF">
      <w:start w:val="1"/>
      <w:numFmt w:val="decimal"/>
      <w:lvlText w:val="%1."/>
      <w:lvlJc w:val="left"/>
      <w:pPr>
        <w:ind w:left="547" w:hanging="54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7DF22FC"/>
    <w:multiLevelType w:val="hybridMultilevel"/>
    <w:tmpl w:val="30FC9C02"/>
    <w:lvl w:ilvl="0" w:tplc="FFFFFFFF">
      <w:start w:val="1"/>
      <w:numFmt w:val="decimal"/>
      <w:lvlText w:val="%1."/>
      <w:lvlJc w:val="left"/>
      <w:pPr>
        <w:ind w:left="547" w:hanging="54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F8332C7"/>
    <w:multiLevelType w:val="hybridMultilevel"/>
    <w:tmpl w:val="5518F67E"/>
    <w:lvl w:ilvl="0" w:tplc="C4E4E9D2">
      <w:start w:val="1"/>
      <w:numFmt w:val="bullet"/>
      <w:lvlText w:val=""/>
      <w:lvlJc w:val="left"/>
      <w:pPr>
        <w:ind w:left="720" w:hanging="360"/>
      </w:pPr>
      <w:rPr>
        <w:rFonts w:ascii="Symbol" w:hAnsi="Symbol"/>
      </w:rPr>
    </w:lvl>
    <w:lvl w:ilvl="1" w:tplc="D8A00454">
      <w:start w:val="1"/>
      <w:numFmt w:val="bullet"/>
      <w:lvlText w:val=""/>
      <w:lvlJc w:val="left"/>
      <w:pPr>
        <w:ind w:left="720" w:hanging="360"/>
      </w:pPr>
      <w:rPr>
        <w:rFonts w:ascii="Symbol" w:hAnsi="Symbol"/>
      </w:rPr>
    </w:lvl>
    <w:lvl w:ilvl="2" w:tplc="570238BA">
      <w:start w:val="1"/>
      <w:numFmt w:val="bullet"/>
      <w:lvlText w:val=""/>
      <w:lvlJc w:val="left"/>
      <w:pPr>
        <w:ind w:left="720" w:hanging="360"/>
      </w:pPr>
      <w:rPr>
        <w:rFonts w:ascii="Symbol" w:hAnsi="Symbol"/>
      </w:rPr>
    </w:lvl>
    <w:lvl w:ilvl="3" w:tplc="AB705DF2">
      <w:start w:val="1"/>
      <w:numFmt w:val="bullet"/>
      <w:lvlText w:val=""/>
      <w:lvlJc w:val="left"/>
      <w:pPr>
        <w:ind w:left="720" w:hanging="360"/>
      </w:pPr>
      <w:rPr>
        <w:rFonts w:ascii="Symbol" w:hAnsi="Symbol"/>
      </w:rPr>
    </w:lvl>
    <w:lvl w:ilvl="4" w:tplc="A8B4A6DC">
      <w:start w:val="1"/>
      <w:numFmt w:val="bullet"/>
      <w:lvlText w:val=""/>
      <w:lvlJc w:val="left"/>
      <w:pPr>
        <w:ind w:left="720" w:hanging="360"/>
      </w:pPr>
      <w:rPr>
        <w:rFonts w:ascii="Symbol" w:hAnsi="Symbol"/>
      </w:rPr>
    </w:lvl>
    <w:lvl w:ilvl="5" w:tplc="D65AD20A">
      <w:start w:val="1"/>
      <w:numFmt w:val="bullet"/>
      <w:lvlText w:val=""/>
      <w:lvlJc w:val="left"/>
      <w:pPr>
        <w:ind w:left="720" w:hanging="360"/>
      </w:pPr>
      <w:rPr>
        <w:rFonts w:ascii="Symbol" w:hAnsi="Symbol"/>
      </w:rPr>
    </w:lvl>
    <w:lvl w:ilvl="6" w:tplc="405C9B3E">
      <w:start w:val="1"/>
      <w:numFmt w:val="bullet"/>
      <w:lvlText w:val=""/>
      <w:lvlJc w:val="left"/>
      <w:pPr>
        <w:ind w:left="720" w:hanging="360"/>
      </w:pPr>
      <w:rPr>
        <w:rFonts w:ascii="Symbol" w:hAnsi="Symbol"/>
      </w:rPr>
    </w:lvl>
    <w:lvl w:ilvl="7" w:tplc="2542E17C">
      <w:start w:val="1"/>
      <w:numFmt w:val="bullet"/>
      <w:lvlText w:val=""/>
      <w:lvlJc w:val="left"/>
      <w:pPr>
        <w:ind w:left="720" w:hanging="360"/>
      </w:pPr>
      <w:rPr>
        <w:rFonts w:ascii="Symbol" w:hAnsi="Symbol"/>
      </w:rPr>
    </w:lvl>
    <w:lvl w:ilvl="8" w:tplc="110A0170">
      <w:start w:val="1"/>
      <w:numFmt w:val="bullet"/>
      <w:lvlText w:val=""/>
      <w:lvlJc w:val="left"/>
      <w:pPr>
        <w:ind w:left="720" w:hanging="360"/>
      </w:pPr>
      <w:rPr>
        <w:rFonts w:ascii="Symbol" w:hAnsi="Symbol"/>
      </w:rPr>
    </w:lvl>
  </w:abstractNum>
  <w:abstractNum w:abstractNumId="16"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C3F59D4"/>
    <w:multiLevelType w:val="hybridMultilevel"/>
    <w:tmpl w:val="A7863A4C"/>
    <w:lvl w:ilvl="0" w:tplc="CE402836">
      <w:start w:val="1"/>
      <w:numFmt w:val="bullet"/>
      <w:lvlText w:val=""/>
      <w:lvlJc w:val="left"/>
      <w:pPr>
        <w:ind w:left="720" w:hanging="360"/>
      </w:pPr>
      <w:rPr>
        <w:rFonts w:ascii="Symbol" w:hAnsi="Symbol"/>
      </w:rPr>
    </w:lvl>
    <w:lvl w:ilvl="1" w:tplc="2258D24E">
      <w:start w:val="1"/>
      <w:numFmt w:val="bullet"/>
      <w:lvlText w:val=""/>
      <w:lvlJc w:val="left"/>
      <w:pPr>
        <w:ind w:left="720" w:hanging="360"/>
      </w:pPr>
      <w:rPr>
        <w:rFonts w:ascii="Symbol" w:hAnsi="Symbol"/>
      </w:rPr>
    </w:lvl>
    <w:lvl w:ilvl="2" w:tplc="9B1C0CD2">
      <w:start w:val="1"/>
      <w:numFmt w:val="bullet"/>
      <w:lvlText w:val=""/>
      <w:lvlJc w:val="left"/>
      <w:pPr>
        <w:ind w:left="720" w:hanging="360"/>
      </w:pPr>
      <w:rPr>
        <w:rFonts w:ascii="Symbol" w:hAnsi="Symbol"/>
      </w:rPr>
    </w:lvl>
    <w:lvl w:ilvl="3" w:tplc="2CCA8FAC">
      <w:start w:val="1"/>
      <w:numFmt w:val="bullet"/>
      <w:lvlText w:val=""/>
      <w:lvlJc w:val="left"/>
      <w:pPr>
        <w:ind w:left="720" w:hanging="360"/>
      </w:pPr>
      <w:rPr>
        <w:rFonts w:ascii="Symbol" w:hAnsi="Symbol"/>
      </w:rPr>
    </w:lvl>
    <w:lvl w:ilvl="4" w:tplc="29FE5126">
      <w:start w:val="1"/>
      <w:numFmt w:val="bullet"/>
      <w:lvlText w:val=""/>
      <w:lvlJc w:val="left"/>
      <w:pPr>
        <w:ind w:left="720" w:hanging="360"/>
      </w:pPr>
      <w:rPr>
        <w:rFonts w:ascii="Symbol" w:hAnsi="Symbol"/>
      </w:rPr>
    </w:lvl>
    <w:lvl w:ilvl="5" w:tplc="B2A8555C">
      <w:start w:val="1"/>
      <w:numFmt w:val="bullet"/>
      <w:lvlText w:val=""/>
      <w:lvlJc w:val="left"/>
      <w:pPr>
        <w:ind w:left="720" w:hanging="360"/>
      </w:pPr>
      <w:rPr>
        <w:rFonts w:ascii="Symbol" w:hAnsi="Symbol"/>
      </w:rPr>
    </w:lvl>
    <w:lvl w:ilvl="6" w:tplc="1D745DE2">
      <w:start w:val="1"/>
      <w:numFmt w:val="bullet"/>
      <w:lvlText w:val=""/>
      <w:lvlJc w:val="left"/>
      <w:pPr>
        <w:ind w:left="720" w:hanging="360"/>
      </w:pPr>
      <w:rPr>
        <w:rFonts w:ascii="Symbol" w:hAnsi="Symbol"/>
      </w:rPr>
    </w:lvl>
    <w:lvl w:ilvl="7" w:tplc="13C495FC">
      <w:start w:val="1"/>
      <w:numFmt w:val="bullet"/>
      <w:lvlText w:val=""/>
      <w:lvlJc w:val="left"/>
      <w:pPr>
        <w:ind w:left="720" w:hanging="360"/>
      </w:pPr>
      <w:rPr>
        <w:rFonts w:ascii="Symbol" w:hAnsi="Symbol"/>
      </w:rPr>
    </w:lvl>
    <w:lvl w:ilvl="8" w:tplc="624A0F9E">
      <w:start w:val="1"/>
      <w:numFmt w:val="bullet"/>
      <w:lvlText w:val=""/>
      <w:lvlJc w:val="left"/>
      <w:pPr>
        <w:ind w:left="720" w:hanging="360"/>
      </w:pPr>
      <w:rPr>
        <w:rFonts w:ascii="Symbol" w:hAnsi="Symbol"/>
      </w:rPr>
    </w:lvl>
  </w:abstractNum>
  <w:abstractNum w:abstractNumId="19" w15:restartNumberingAfterBreak="0">
    <w:nsid w:val="7FF05D54"/>
    <w:multiLevelType w:val="hybridMultilevel"/>
    <w:tmpl w:val="2BC0C152"/>
    <w:lvl w:ilvl="0" w:tplc="FFFFFFFF">
      <w:start w:val="1"/>
      <w:numFmt w:val="upperLetter"/>
      <w:lvlText w:val="%1."/>
      <w:lvlJc w:val="left"/>
      <w:pPr>
        <w:tabs>
          <w:tab w:val="num" w:pos="360"/>
        </w:tabs>
        <w:ind w:left="360" w:hanging="360"/>
      </w:pPr>
      <w:rPr>
        <w:rFonts w:hint="default"/>
        <w:b/>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6431786">
    <w:abstractNumId w:val="16"/>
  </w:num>
  <w:num w:numId="2" w16cid:durableId="296566636">
    <w:abstractNumId w:val="2"/>
  </w:num>
  <w:num w:numId="3" w16cid:durableId="2098595014">
    <w:abstractNumId w:val="17"/>
  </w:num>
  <w:num w:numId="4" w16cid:durableId="1312905431">
    <w:abstractNumId w:val="10"/>
  </w:num>
  <w:num w:numId="5" w16cid:durableId="417093550">
    <w:abstractNumId w:val="8"/>
  </w:num>
  <w:num w:numId="6" w16cid:durableId="1486429129">
    <w:abstractNumId w:val="12"/>
  </w:num>
  <w:num w:numId="7" w16cid:durableId="258221757">
    <w:abstractNumId w:val="9"/>
  </w:num>
  <w:num w:numId="8" w16cid:durableId="842936081">
    <w:abstractNumId w:val="11"/>
  </w:num>
  <w:num w:numId="9" w16cid:durableId="1685205339">
    <w:abstractNumId w:val="3"/>
  </w:num>
  <w:num w:numId="10" w16cid:durableId="789317941">
    <w:abstractNumId w:val="6"/>
  </w:num>
  <w:num w:numId="11" w16cid:durableId="1700739250">
    <w:abstractNumId w:val="0"/>
  </w:num>
  <w:num w:numId="12" w16cid:durableId="1876381594">
    <w:abstractNumId w:val="4"/>
  </w:num>
  <w:num w:numId="13" w16cid:durableId="891386461">
    <w:abstractNumId w:val="1"/>
  </w:num>
  <w:num w:numId="14" w16cid:durableId="1112699713">
    <w:abstractNumId w:val="15"/>
  </w:num>
  <w:num w:numId="15" w16cid:durableId="173612236">
    <w:abstractNumId w:val="7"/>
  </w:num>
  <w:num w:numId="16" w16cid:durableId="932664540">
    <w:abstractNumId w:val="18"/>
  </w:num>
  <w:num w:numId="17" w16cid:durableId="1758208749">
    <w:abstractNumId w:val="5"/>
  </w:num>
  <w:num w:numId="18" w16cid:durableId="973407382">
    <w:abstractNumId w:val="19"/>
  </w:num>
  <w:num w:numId="19" w16cid:durableId="1953436945">
    <w:abstractNumId w:val="13"/>
  </w:num>
  <w:num w:numId="20" w16cid:durableId="1418868629">
    <w:abstractNumId w:val="14"/>
  </w:num>
  <w:num w:numId="21" w16cid:durableId="130753006">
    <w:abstractNumId w:val="0"/>
  </w:num>
  <w:num w:numId="22" w16cid:durableId="1142652678">
    <w:abstractNumId w:val="0"/>
  </w:num>
  <w:num w:numId="23" w16cid:durableId="740106377">
    <w:abstractNumId w:val="0"/>
  </w:num>
  <w:num w:numId="24" w16cid:durableId="1372218945">
    <w:abstractNumId w:val="0"/>
  </w:num>
  <w:num w:numId="25" w16cid:durableId="1626696760">
    <w:abstractNumId w:val="0"/>
  </w:num>
  <w:num w:numId="26" w16cid:durableId="129729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0D10"/>
    <w:rsid w:val="000023A0"/>
    <w:rsid w:val="00002669"/>
    <w:rsid w:val="00003A49"/>
    <w:rsid w:val="000044BA"/>
    <w:rsid w:val="000049DB"/>
    <w:rsid w:val="00005D5C"/>
    <w:rsid w:val="000071DE"/>
    <w:rsid w:val="000111B6"/>
    <w:rsid w:val="000113AC"/>
    <w:rsid w:val="00012623"/>
    <w:rsid w:val="00013E07"/>
    <w:rsid w:val="00015C02"/>
    <w:rsid w:val="000178E9"/>
    <w:rsid w:val="00017916"/>
    <w:rsid w:val="00020144"/>
    <w:rsid w:val="000213A6"/>
    <w:rsid w:val="00022252"/>
    <w:rsid w:val="00022FC6"/>
    <w:rsid w:val="00023EBF"/>
    <w:rsid w:val="00024387"/>
    <w:rsid w:val="00024FD8"/>
    <w:rsid w:val="00026769"/>
    <w:rsid w:val="00026A15"/>
    <w:rsid w:val="00027BD3"/>
    <w:rsid w:val="000306E8"/>
    <w:rsid w:val="00030CB3"/>
    <w:rsid w:val="0003168B"/>
    <w:rsid w:val="000317AD"/>
    <w:rsid w:val="00034492"/>
    <w:rsid w:val="00035B23"/>
    <w:rsid w:val="00035F96"/>
    <w:rsid w:val="000361CE"/>
    <w:rsid w:val="000368FC"/>
    <w:rsid w:val="00036F54"/>
    <w:rsid w:val="0003720E"/>
    <w:rsid w:val="00037F4C"/>
    <w:rsid w:val="000411AB"/>
    <w:rsid w:val="00041B7A"/>
    <w:rsid w:val="00043CCA"/>
    <w:rsid w:val="000442D0"/>
    <w:rsid w:val="0004443A"/>
    <w:rsid w:val="0004514A"/>
    <w:rsid w:val="00045A2F"/>
    <w:rsid w:val="00046249"/>
    <w:rsid w:val="00046496"/>
    <w:rsid w:val="00046503"/>
    <w:rsid w:val="00052B99"/>
    <w:rsid w:val="000534DB"/>
    <w:rsid w:val="00053721"/>
    <w:rsid w:val="0005538D"/>
    <w:rsid w:val="00055843"/>
    <w:rsid w:val="0005608B"/>
    <w:rsid w:val="0005661C"/>
    <w:rsid w:val="00056AB0"/>
    <w:rsid w:val="00057628"/>
    <w:rsid w:val="00057FF3"/>
    <w:rsid w:val="00061BB1"/>
    <w:rsid w:val="0006578E"/>
    <w:rsid w:val="00067504"/>
    <w:rsid w:val="00071664"/>
    <w:rsid w:val="00072B2D"/>
    <w:rsid w:val="00072C81"/>
    <w:rsid w:val="00073262"/>
    <w:rsid w:val="00075E41"/>
    <w:rsid w:val="00081F06"/>
    <w:rsid w:val="00081FFC"/>
    <w:rsid w:val="00082DBD"/>
    <w:rsid w:val="000835FA"/>
    <w:rsid w:val="00083D08"/>
    <w:rsid w:val="000855FC"/>
    <w:rsid w:val="00085617"/>
    <w:rsid w:val="00087844"/>
    <w:rsid w:val="00091898"/>
    <w:rsid w:val="00091B42"/>
    <w:rsid w:val="00092576"/>
    <w:rsid w:val="00092B65"/>
    <w:rsid w:val="00092B7A"/>
    <w:rsid w:val="00092D14"/>
    <w:rsid w:val="00095821"/>
    <w:rsid w:val="000958B8"/>
    <w:rsid w:val="000961E0"/>
    <w:rsid w:val="000971C0"/>
    <w:rsid w:val="000A11D4"/>
    <w:rsid w:val="000A2B57"/>
    <w:rsid w:val="000A4E96"/>
    <w:rsid w:val="000A5111"/>
    <w:rsid w:val="000A5BDE"/>
    <w:rsid w:val="000A5E8D"/>
    <w:rsid w:val="000A7854"/>
    <w:rsid w:val="000B21CE"/>
    <w:rsid w:val="000B4F76"/>
    <w:rsid w:val="000B60B2"/>
    <w:rsid w:val="000C0970"/>
    <w:rsid w:val="000C20B5"/>
    <w:rsid w:val="000C22A2"/>
    <w:rsid w:val="000C3002"/>
    <w:rsid w:val="000C3783"/>
    <w:rsid w:val="000C38F5"/>
    <w:rsid w:val="000C3B82"/>
    <w:rsid w:val="000C5DA4"/>
    <w:rsid w:val="000C74F7"/>
    <w:rsid w:val="000D0BA1"/>
    <w:rsid w:val="000D353D"/>
    <w:rsid w:val="000D4073"/>
    <w:rsid w:val="000D4618"/>
    <w:rsid w:val="000D5173"/>
    <w:rsid w:val="000D6CA0"/>
    <w:rsid w:val="000D6D31"/>
    <w:rsid w:val="000D6DF8"/>
    <w:rsid w:val="000E2821"/>
    <w:rsid w:val="000E41D9"/>
    <w:rsid w:val="000E430D"/>
    <w:rsid w:val="000E4BC1"/>
    <w:rsid w:val="000E52AE"/>
    <w:rsid w:val="000E6ABD"/>
    <w:rsid w:val="000E7605"/>
    <w:rsid w:val="000E7B91"/>
    <w:rsid w:val="000E7C21"/>
    <w:rsid w:val="000F1884"/>
    <w:rsid w:val="000F2873"/>
    <w:rsid w:val="000F2DA8"/>
    <w:rsid w:val="000F2F6C"/>
    <w:rsid w:val="000F37B9"/>
    <w:rsid w:val="000F3AE7"/>
    <w:rsid w:val="000F41FC"/>
    <w:rsid w:val="000F4F9F"/>
    <w:rsid w:val="000F58D9"/>
    <w:rsid w:val="000F595C"/>
    <w:rsid w:val="000F6AAF"/>
    <w:rsid w:val="000F7021"/>
    <w:rsid w:val="000F7670"/>
    <w:rsid w:val="00100753"/>
    <w:rsid w:val="00100F8F"/>
    <w:rsid w:val="001011F4"/>
    <w:rsid w:val="0010480F"/>
    <w:rsid w:val="00104AAA"/>
    <w:rsid w:val="0010521A"/>
    <w:rsid w:val="00105FA4"/>
    <w:rsid w:val="00110219"/>
    <w:rsid w:val="00110D89"/>
    <w:rsid w:val="00112F47"/>
    <w:rsid w:val="00113405"/>
    <w:rsid w:val="001145AE"/>
    <w:rsid w:val="00116429"/>
    <w:rsid w:val="00117F35"/>
    <w:rsid w:val="00123103"/>
    <w:rsid w:val="00124B03"/>
    <w:rsid w:val="00124C79"/>
    <w:rsid w:val="00125492"/>
    <w:rsid w:val="00125EAB"/>
    <w:rsid w:val="00127247"/>
    <w:rsid w:val="001301C5"/>
    <w:rsid w:val="001308BC"/>
    <w:rsid w:val="00131B57"/>
    <w:rsid w:val="00132682"/>
    <w:rsid w:val="00133D67"/>
    <w:rsid w:val="0013456B"/>
    <w:rsid w:val="001346EB"/>
    <w:rsid w:val="001361AB"/>
    <w:rsid w:val="00141634"/>
    <w:rsid w:val="00141A4E"/>
    <w:rsid w:val="00141D43"/>
    <w:rsid w:val="001423A6"/>
    <w:rsid w:val="001455A8"/>
    <w:rsid w:val="00146E4D"/>
    <w:rsid w:val="00147328"/>
    <w:rsid w:val="00147A48"/>
    <w:rsid w:val="00147DDA"/>
    <w:rsid w:val="001504CF"/>
    <w:rsid w:val="00150CF4"/>
    <w:rsid w:val="00151AA8"/>
    <w:rsid w:val="001529CB"/>
    <w:rsid w:val="00152F94"/>
    <w:rsid w:val="0015344A"/>
    <w:rsid w:val="00154A25"/>
    <w:rsid w:val="0015599C"/>
    <w:rsid w:val="00156C9E"/>
    <w:rsid w:val="00160CA1"/>
    <w:rsid w:val="00162386"/>
    <w:rsid w:val="001638FA"/>
    <w:rsid w:val="00164AA0"/>
    <w:rsid w:val="001653ED"/>
    <w:rsid w:val="0016591D"/>
    <w:rsid w:val="00165FC7"/>
    <w:rsid w:val="0017195B"/>
    <w:rsid w:val="00171C30"/>
    <w:rsid w:val="00171EBF"/>
    <w:rsid w:val="00172E25"/>
    <w:rsid w:val="00174B29"/>
    <w:rsid w:val="001757DA"/>
    <w:rsid w:val="00175865"/>
    <w:rsid w:val="00180E8C"/>
    <w:rsid w:val="001820E1"/>
    <w:rsid w:val="0018277D"/>
    <w:rsid w:val="00182DEF"/>
    <w:rsid w:val="00182EF4"/>
    <w:rsid w:val="00183DDE"/>
    <w:rsid w:val="001859E1"/>
    <w:rsid w:val="00185A45"/>
    <w:rsid w:val="001861AD"/>
    <w:rsid w:val="00186A2D"/>
    <w:rsid w:val="0019139B"/>
    <w:rsid w:val="00192607"/>
    <w:rsid w:val="0019304A"/>
    <w:rsid w:val="00193763"/>
    <w:rsid w:val="00196101"/>
    <w:rsid w:val="001962EB"/>
    <w:rsid w:val="00196D16"/>
    <w:rsid w:val="00196E8E"/>
    <w:rsid w:val="00197AAD"/>
    <w:rsid w:val="001A00D1"/>
    <w:rsid w:val="001A1518"/>
    <w:rsid w:val="001A19B5"/>
    <w:rsid w:val="001A1CE0"/>
    <w:rsid w:val="001A3CF3"/>
    <w:rsid w:val="001A4D0B"/>
    <w:rsid w:val="001A5E82"/>
    <w:rsid w:val="001A6E2B"/>
    <w:rsid w:val="001B0A24"/>
    <w:rsid w:val="001B23E9"/>
    <w:rsid w:val="001B2636"/>
    <w:rsid w:val="001B2716"/>
    <w:rsid w:val="001B2955"/>
    <w:rsid w:val="001B4565"/>
    <w:rsid w:val="001B613F"/>
    <w:rsid w:val="001C0DD1"/>
    <w:rsid w:val="001C0F65"/>
    <w:rsid w:val="001C1EA3"/>
    <w:rsid w:val="001C21AE"/>
    <w:rsid w:val="001C3789"/>
    <w:rsid w:val="001C3A89"/>
    <w:rsid w:val="001C3B6A"/>
    <w:rsid w:val="001C4B04"/>
    <w:rsid w:val="001C569A"/>
    <w:rsid w:val="001C57CE"/>
    <w:rsid w:val="001C70E4"/>
    <w:rsid w:val="001C7475"/>
    <w:rsid w:val="001C762D"/>
    <w:rsid w:val="001D0F84"/>
    <w:rsid w:val="001D12E1"/>
    <w:rsid w:val="001D2748"/>
    <w:rsid w:val="001D3C26"/>
    <w:rsid w:val="001D3ED2"/>
    <w:rsid w:val="001D5DAB"/>
    <w:rsid w:val="001D725F"/>
    <w:rsid w:val="001D7855"/>
    <w:rsid w:val="001E1E0D"/>
    <w:rsid w:val="001E21EF"/>
    <w:rsid w:val="001E302B"/>
    <w:rsid w:val="001E3149"/>
    <w:rsid w:val="001E436D"/>
    <w:rsid w:val="001E4835"/>
    <w:rsid w:val="001E5C9C"/>
    <w:rsid w:val="001E68EE"/>
    <w:rsid w:val="001E77CF"/>
    <w:rsid w:val="001E7EE2"/>
    <w:rsid w:val="001F1023"/>
    <w:rsid w:val="001F129A"/>
    <w:rsid w:val="001F1F69"/>
    <w:rsid w:val="001F238E"/>
    <w:rsid w:val="001F2421"/>
    <w:rsid w:val="001F3B1A"/>
    <w:rsid w:val="001F58DA"/>
    <w:rsid w:val="001F5D51"/>
    <w:rsid w:val="001F5E5C"/>
    <w:rsid w:val="001F6001"/>
    <w:rsid w:val="001F61FF"/>
    <w:rsid w:val="001F6B83"/>
    <w:rsid w:val="001F73C0"/>
    <w:rsid w:val="001F7CF9"/>
    <w:rsid w:val="00200B9B"/>
    <w:rsid w:val="002011A6"/>
    <w:rsid w:val="00202ACC"/>
    <w:rsid w:val="00204077"/>
    <w:rsid w:val="00204E3A"/>
    <w:rsid w:val="00204F00"/>
    <w:rsid w:val="002067F1"/>
    <w:rsid w:val="00206BB5"/>
    <w:rsid w:val="002073E3"/>
    <w:rsid w:val="002077E9"/>
    <w:rsid w:val="00207CFE"/>
    <w:rsid w:val="00207FEA"/>
    <w:rsid w:val="00210CF5"/>
    <w:rsid w:val="00212A3D"/>
    <w:rsid w:val="00212E10"/>
    <w:rsid w:val="00214B22"/>
    <w:rsid w:val="00217224"/>
    <w:rsid w:val="00217B6C"/>
    <w:rsid w:val="00217EA1"/>
    <w:rsid w:val="002201D8"/>
    <w:rsid w:val="0022052B"/>
    <w:rsid w:val="00220F7B"/>
    <w:rsid w:val="00220FFE"/>
    <w:rsid w:val="0022302F"/>
    <w:rsid w:val="00225BD2"/>
    <w:rsid w:val="00226A7C"/>
    <w:rsid w:val="00227A19"/>
    <w:rsid w:val="00230392"/>
    <w:rsid w:val="002308BC"/>
    <w:rsid w:val="00230A4E"/>
    <w:rsid w:val="002366F1"/>
    <w:rsid w:val="002370D5"/>
    <w:rsid w:val="00237578"/>
    <w:rsid w:val="002405EA"/>
    <w:rsid w:val="002415DC"/>
    <w:rsid w:val="00241988"/>
    <w:rsid w:val="00243D85"/>
    <w:rsid w:val="00244A1D"/>
    <w:rsid w:val="002451C1"/>
    <w:rsid w:val="002457AE"/>
    <w:rsid w:val="002466F8"/>
    <w:rsid w:val="002502D4"/>
    <w:rsid w:val="002547F2"/>
    <w:rsid w:val="002553F9"/>
    <w:rsid w:val="00256F00"/>
    <w:rsid w:val="0025731A"/>
    <w:rsid w:val="00257352"/>
    <w:rsid w:val="002579A5"/>
    <w:rsid w:val="00257FAD"/>
    <w:rsid w:val="00260518"/>
    <w:rsid w:val="00262021"/>
    <w:rsid w:val="002624D8"/>
    <w:rsid w:val="00264333"/>
    <w:rsid w:val="002658D1"/>
    <w:rsid w:val="002702F7"/>
    <w:rsid w:val="002708B9"/>
    <w:rsid w:val="00270E2E"/>
    <w:rsid w:val="002710DB"/>
    <w:rsid w:val="002722D8"/>
    <w:rsid w:val="0027276A"/>
    <w:rsid w:val="00273208"/>
    <w:rsid w:val="0027557B"/>
    <w:rsid w:val="00275698"/>
    <w:rsid w:val="0027627F"/>
    <w:rsid w:val="0027760E"/>
    <w:rsid w:val="00281D2F"/>
    <w:rsid w:val="00282273"/>
    <w:rsid w:val="002822B2"/>
    <w:rsid w:val="00284774"/>
    <w:rsid w:val="00284D15"/>
    <w:rsid w:val="00285AD9"/>
    <w:rsid w:val="00286C7F"/>
    <w:rsid w:val="00286D45"/>
    <w:rsid w:val="00287D33"/>
    <w:rsid w:val="00287FC4"/>
    <w:rsid w:val="002905F4"/>
    <w:rsid w:val="00290B7C"/>
    <w:rsid w:val="002930F8"/>
    <w:rsid w:val="00293103"/>
    <w:rsid w:val="00293C92"/>
    <w:rsid w:val="00295ED9"/>
    <w:rsid w:val="002A054F"/>
    <w:rsid w:val="002A1861"/>
    <w:rsid w:val="002A1FAB"/>
    <w:rsid w:val="002A22DA"/>
    <w:rsid w:val="002A4306"/>
    <w:rsid w:val="002A4407"/>
    <w:rsid w:val="002A452A"/>
    <w:rsid w:val="002A5461"/>
    <w:rsid w:val="002A57EA"/>
    <w:rsid w:val="002A6C07"/>
    <w:rsid w:val="002A7329"/>
    <w:rsid w:val="002B04FE"/>
    <w:rsid w:val="002B14CF"/>
    <w:rsid w:val="002B1B74"/>
    <w:rsid w:val="002B23F2"/>
    <w:rsid w:val="002B7981"/>
    <w:rsid w:val="002C69A3"/>
    <w:rsid w:val="002C7D4C"/>
    <w:rsid w:val="002D00CE"/>
    <w:rsid w:val="002D21CA"/>
    <w:rsid w:val="002D3276"/>
    <w:rsid w:val="002D3943"/>
    <w:rsid w:val="002D47B3"/>
    <w:rsid w:val="002D4E7C"/>
    <w:rsid w:val="002D5342"/>
    <w:rsid w:val="002D53AA"/>
    <w:rsid w:val="002D56B0"/>
    <w:rsid w:val="002D5893"/>
    <w:rsid w:val="002D777E"/>
    <w:rsid w:val="002D7E6D"/>
    <w:rsid w:val="002D7F7B"/>
    <w:rsid w:val="002E1A42"/>
    <w:rsid w:val="002E4576"/>
    <w:rsid w:val="002E5047"/>
    <w:rsid w:val="002E58AC"/>
    <w:rsid w:val="002E5F83"/>
    <w:rsid w:val="002E671A"/>
    <w:rsid w:val="002E77D8"/>
    <w:rsid w:val="002E78CC"/>
    <w:rsid w:val="002F1D33"/>
    <w:rsid w:val="002F367C"/>
    <w:rsid w:val="002F447C"/>
    <w:rsid w:val="002F5892"/>
    <w:rsid w:val="002F5AA5"/>
    <w:rsid w:val="003020EE"/>
    <w:rsid w:val="00303C2B"/>
    <w:rsid w:val="00304915"/>
    <w:rsid w:val="00306D87"/>
    <w:rsid w:val="0030721A"/>
    <w:rsid w:val="00307624"/>
    <w:rsid w:val="00307844"/>
    <w:rsid w:val="00310A9F"/>
    <w:rsid w:val="00310CAB"/>
    <w:rsid w:val="00310D53"/>
    <w:rsid w:val="00310F38"/>
    <w:rsid w:val="00311FD5"/>
    <w:rsid w:val="00312604"/>
    <w:rsid w:val="00312B69"/>
    <w:rsid w:val="00316314"/>
    <w:rsid w:val="00316CD9"/>
    <w:rsid w:val="0032123A"/>
    <w:rsid w:val="00322FD2"/>
    <w:rsid w:val="00323DD7"/>
    <w:rsid w:val="003254F8"/>
    <w:rsid w:val="003262CB"/>
    <w:rsid w:val="00326B6B"/>
    <w:rsid w:val="00326C36"/>
    <w:rsid w:val="0032777B"/>
    <w:rsid w:val="003314D4"/>
    <w:rsid w:val="00334D88"/>
    <w:rsid w:val="003356B4"/>
    <w:rsid w:val="003366C0"/>
    <w:rsid w:val="00336BD2"/>
    <w:rsid w:val="00337150"/>
    <w:rsid w:val="00340784"/>
    <w:rsid w:val="00340E6C"/>
    <w:rsid w:val="00341920"/>
    <w:rsid w:val="003430E5"/>
    <w:rsid w:val="0034541C"/>
    <w:rsid w:val="0034722B"/>
    <w:rsid w:val="00347AE9"/>
    <w:rsid w:val="003501DD"/>
    <w:rsid w:val="00350D09"/>
    <w:rsid w:val="003514E5"/>
    <w:rsid w:val="003537DF"/>
    <w:rsid w:val="0035612F"/>
    <w:rsid w:val="00356582"/>
    <w:rsid w:val="00357457"/>
    <w:rsid w:val="00357623"/>
    <w:rsid w:val="003578E9"/>
    <w:rsid w:val="00357F1A"/>
    <w:rsid w:val="00362125"/>
    <w:rsid w:val="00363697"/>
    <w:rsid w:val="00363C51"/>
    <w:rsid w:val="0036536A"/>
    <w:rsid w:val="00365F93"/>
    <w:rsid w:val="00366586"/>
    <w:rsid w:val="00367733"/>
    <w:rsid w:val="00372DE8"/>
    <w:rsid w:val="00374FD1"/>
    <w:rsid w:val="0037502B"/>
    <w:rsid w:val="00375D19"/>
    <w:rsid w:val="00376F2D"/>
    <w:rsid w:val="00377884"/>
    <w:rsid w:val="00380703"/>
    <w:rsid w:val="003836A4"/>
    <w:rsid w:val="003867B6"/>
    <w:rsid w:val="00387FAF"/>
    <w:rsid w:val="003940A4"/>
    <w:rsid w:val="00395169"/>
    <w:rsid w:val="00395492"/>
    <w:rsid w:val="00397365"/>
    <w:rsid w:val="00397805"/>
    <w:rsid w:val="003A044D"/>
    <w:rsid w:val="003A0909"/>
    <w:rsid w:val="003A12D7"/>
    <w:rsid w:val="003A2282"/>
    <w:rsid w:val="003A3835"/>
    <w:rsid w:val="003A698F"/>
    <w:rsid w:val="003A6E70"/>
    <w:rsid w:val="003A7119"/>
    <w:rsid w:val="003B041E"/>
    <w:rsid w:val="003B085F"/>
    <w:rsid w:val="003B0D72"/>
    <w:rsid w:val="003B1782"/>
    <w:rsid w:val="003B1BF9"/>
    <w:rsid w:val="003B1CBF"/>
    <w:rsid w:val="003B26CC"/>
    <w:rsid w:val="003B5EAC"/>
    <w:rsid w:val="003B6A1B"/>
    <w:rsid w:val="003B6BE8"/>
    <w:rsid w:val="003B6D34"/>
    <w:rsid w:val="003B7020"/>
    <w:rsid w:val="003B73F7"/>
    <w:rsid w:val="003C342E"/>
    <w:rsid w:val="003C409D"/>
    <w:rsid w:val="003C4B7F"/>
    <w:rsid w:val="003C4E40"/>
    <w:rsid w:val="003C5689"/>
    <w:rsid w:val="003C5A53"/>
    <w:rsid w:val="003C608A"/>
    <w:rsid w:val="003C67D0"/>
    <w:rsid w:val="003D0BAD"/>
    <w:rsid w:val="003D0D85"/>
    <w:rsid w:val="003D177B"/>
    <w:rsid w:val="003D28EE"/>
    <w:rsid w:val="003D2C32"/>
    <w:rsid w:val="003D359B"/>
    <w:rsid w:val="003D4455"/>
    <w:rsid w:val="003D4876"/>
    <w:rsid w:val="003D54B1"/>
    <w:rsid w:val="003D6607"/>
    <w:rsid w:val="003D6E19"/>
    <w:rsid w:val="003E0197"/>
    <w:rsid w:val="003E0FFC"/>
    <w:rsid w:val="003E34FD"/>
    <w:rsid w:val="003E4CB1"/>
    <w:rsid w:val="003E678F"/>
    <w:rsid w:val="003E6D5E"/>
    <w:rsid w:val="003F093F"/>
    <w:rsid w:val="003F1E18"/>
    <w:rsid w:val="003F2273"/>
    <w:rsid w:val="003F657E"/>
    <w:rsid w:val="003F65B8"/>
    <w:rsid w:val="003F7123"/>
    <w:rsid w:val="00400C8D"/>
    <w:rsid w:val="00402A89"/>
    <w:rsid w:val="00402D51"/>
    <w:rsid w:val="00402FAA"/>
    <w:rsid w:val="004039E0"/>
    <w:rsid w:val="004047BE"/>
    <w:rsid w:val="00406214"/>
    <w:rsid w:val="0040667F"/>
    <w:rsid w:val="004075B9"/>
    <w:rsid w:val="00407DB3"/>
    <w:rsid w:val="00411E90"/>
    <w:rsid w:val="00411F4A"/>
    <w:rsid w:val="0041220E"/>
    <w:rsid w:val="0041256F"/>
    <w:rsid w:val="004129B5"/>
    <w:rsid w:val="00412D02"/>
    <w:rsid w:val="00412D8C"/>
    <w:rsid w:val="004152B8"/>
    <w:rsid w:val="0041622B"/>
    <w:rsid w:val="004162B5"/>
    <w:rsid w:val="00416906"/>
    <w:rsid w:val="0041703D"/>
    <w:rsid w:val="00417209"/>
    <w:rsid w:val="00417715"/>
    <w:rsid w:val="00417735"/>
    <w:rsid w:val="00420216"/>
    <w:rsid w:val="00420A37"/>
    <w:rsid w:val="00421193"/>
    <w:rsid w:val="00421E66"/>
    <w:rsid w:val="004229F8"/>
    <w:rsid w:val="00424185"/>
    <w:rsid w:val="0042573A"/>
    <w:rsid w:val="004267A6"/>
    <w:rsid w:val="004277DF"/>
    <w:rsid w:val="00430E8A"/>
    <w:rsid w:val="00431A11"/>
    <w:rsid w:val="00432DC7"/>
    <w:rsid w:val="00433227"/>
    <w:rsid w:val="004339EA"/>
    <w:rsid w:val="004347B2"/>
    <w:rsid w:val="0043516F"/>
    <w:rsid w:val="00435956"/>
    <w:rsid w:val="00435C30"/>
    <w:rsid w:val="00436234"/>
    <w:rsid w:val="00436FCF"/>
    <w:rsid w:val="004371DB"/>
    <w:rsid w:val="0044062C"/>
    <w:rsid w:val="004422DA"/>
    <w:rsid w:val="00442663"/>
    <w:rsid w:val="00443329"/>
    <w:rsid w:val="004440B6"/>
    <w:rsid w:val="00444322"/>
    <w:rsid w:val="00444C74"/>
    <w:rsid w:val="00444F16"/>
    <w:rsid w:val="004459B0"/>
    <w:rsid w:val="00446802"/>
    <w:rsid w:val="0044692A"/>
    <w:rsid w:val="00447037"/>
    <w:rsid w:val="004472C6"/>
    <w:rsid w:val="00447AA1"/>
    <w:rsid w:val="00447D4C"/>
    <w:rsid w:val="004534E7"/>
    <w:rsid w:val="00453925"/>
    <w:rsid w:val="004543D0"/>
    <w:rsid w:val="00455B48"/>
    <w:rsid w:val="00457DDD"/>
    <w:rsid w:val="00461F4C"/>
    <w:rsid w:val="0046242A"/>
    <w:rsid w:val="0046248A"/>
    <w:rsid w:val="0046288A"/>
    <w:rsid w:val="00462D9B"/>
    <w:rsid w:val="00463154"/>
    <w:rsid w:val="004633EE"/>
    <w:rsid w:val="00464024"/>
    <w:rsid w:val="00464170"/>
    <w:rsid w:val="00465E72"/>
    <w:rsid w:val="00467E65"/>
    <w:rsid w:val="00470155"/>
    <w:rsid w:val="00470240"/>
    <w:rsid w:val="00470A3F"/>
    <w:rsid w:val="00472908"/>
    <w:rsid w:val="00474848"/>
    <w:rsid w:val="00475053"/>
    <w:rsid w:val="00475473"/>
    <w:rsid w:val="00480AD6"/>
    <w:rsid w:val="00480BF6"/>
    <w:rsid w:val="004815BB"/>
    <w:rsid w:val="004840D2"/>
    <w:rsid w:val="00484400"/>
    <w:rsid w:val="00485848"/>
    <w:rsid w:val="00486335"/>
    <w:rsid w:val="00490A42"/>
    <w:rsid w:val="00490A96"/>
    <w:rsid w:val="00492055"/>
    <w:rsid w:val="004921E4"/>
    <w:rsid w:val="00493A05"/>
    <w:rsid w:val="004945B6"/>
    <w:rsid w:val="00494731"/>
    <w:rsid w:val="0049531E"/>
    <w:rsid w:val="00497F10"/>
    <w:rsid w:val="00497FB2"/>
    <w:rsid w:val="004A0F22"/>
    <w:rsid w:val="004A18A6"/>
    <w:rsid w:val="004A1BB5"/>
    <w:rsid w:val="004A268E"/>
    <w:rsid w:val="004A4055"/>
    <w:rsid w:val="004A468E"/>
    <w:rsid w:val="004A53EA"/>
    <w:rsid w:val="004A6936"/>
    <w:rsid w:val="004A6FD4"/>
    <w:rsid w:val="004A7C7C"/>
    <w:rsid w:val="004B10BC"/>
    <w:rsid w:val="004B1905"/>
    <w:rsid w:val="004B31EF"/>
    <w:rsid w:val="004B4251"/>
    <w:rsid w:val="004B48E6"/>
    <w:rsid w:val="004B4D8B"/>
    <w:rsid w:val="004B5288"/>
    <w:rsid w:val="004B5CBB"/>
    <w:rsid w:val="004B74B9"/>
    <w:rsid w:val="004C0961"/>
    <w:rsid w:val="004C34B8"/>
    <w:rsid w:val="004C39A1"/>
    <w:rsid w:val="004C3C18"/>
    <w:rsid w:val="004C464F"/>
    <w:rsid w:val="004C4BF3"/>
    <w:rsid w:val="004C4D36"/>
    <w:rsid w:val="004C51AE"/>
    <w:rsid w:val="004C5412"/>
    <w:rsid w:val="004C7881"/>
    <w:rsid w:val="004D08AD"/>
    <w:rsid w:val="004D112B"/>
    <w:rsid w:val="004D49A0"/>
    <w:rsid w:val="004D5928"/>
    <w:rsid w:val="004D6B6D"/>
    <w:rsid w:val="004D6F86"/>
    <w:rsid w:val="004D779D"/>
    <w:rsid w:val="004E0395"/>
    <w:rsid w:val="004E23F2"/>
    <w:rsid w:val="004E27D7"/>
    <w:rsid w:val="004E3939"/>
    <w:rsid w:val="004E3D93"/>
    <w:rsid w:val="004E4661"/>
    <w:rsid w:val="004E6CFF"/>
    <w:rsid w:val="004E6E50"/>
    <w:rsid w:val="004E7058"/>
    <w:rsid w:val="004F1775"/>
    <w:rsid w:val="004F1C55"/>
    <w:rsid w:val="004F3081"/>
    <w:rsid w:val="004F4796"/>
    <w:rsid w:val="004F5423"/>
    <w:rsid w:val="004F6CDB"/>
    <w:rsid w:val="00501305"/>
    <w:rsid w:val="00503AA0"/>
    <w:rsid w:val="00504A88"/>
    <w:rsid w:val="00505B51"/>
    <w:rsid w:val="00511DAB"/>
    <w:rsid w:val="00512C33"/>
    <w:rsid w:val="005130F8"/>
    <w:rsid w:val="00513602"/>
    <w:rsid w:val="00513E64"/>
    <w:rsid w:val="00514972"/>
    <w:rsid w:val="00514E87"/>
    <w:rsid w:val="00515359"/>
    <w:rsid w:val="00516CE7"/>
    <w:rsid w:val="005178F7"/>
    <w:rsid w:val="00520BA8"/>
    <w:rsid w:val="00521382"/>
    <w:rsid w:val="005215EF"/>
    <w:rsid w:val="00521B86"/>
    <w:rsid w:val="0052279C"/>
    <w:rsid w:val="00522CC0"/>
    <w:rsid w:val="0052484C"/>
    <w:rsid w:val="00525483"/>
    <w:rsid w:val="0052665B"/>
    <w:rsid w:val="00526A37"/>
    <w:rsid w:val="0052789C"/>
    <w:rsid w:val="00527A8F"/>
    <w:rsid w:val="00527ED5"/>
    <w:rsid w:val="00527FDB"/>
    <w:rsid w:val="00530498"/>
    <w:rsid w:val="00533373"/>
    <w:rsid w:val="005351A9"/>
    <w:rsid w:val="00537F31"/>
    <w:rsid w:val="00542491"/>
    <w:rsid w:val="00542CA9"/>
    <w:rsid w:val="0054334C"/>
    <w:rsid w:val="005444CC"/>
    <w:rsid w:val="005462E3"/>
    <w:rsid w:val="00547145"/>
    <w:rsid w:val="00547F2A"/>
    <w:rsid w:val="00551967"/>
    <w:rsid w:val="0055228B"/>
    <w:rsid w:val="00552AC1"/>
    <w:rsid w:val="0055449D"/>
    <w:rsid w:val="00554EBA"/>
    <w:rsid w:val="0055717E"/>
    <w:rsid w:val="005577F7"/>
    <w:rsid w:val="0056299B"/>
    <w:rsid w:val="005639E3"/>
    <w:rsid w:val="00566039"/>
    <w:rsid w:val="005705DC"/>
    <w:rsid w:val="0057088A"/>
    <w:rsid w:val="00573526"/>
    <w:rsid w:val="0057392A"/>
    <w:rsid w:val="0057422F"/>
    <w:rsid w:val="00574B24"/>
    <w:rsid w:val="00574F36"/>
    <w:rsid w:val="00575494"/>
    <w:rsid w:val="005763D4"/>
    <w:rsid w:val="00576FF3"/>
    <w:rsid w:val="00580147"/>
    <w:rsid w:val="00581C7A"/>
    <w:rsid w:val="00584205"/>
    <w:rsid w:val="005912FA"/>
    <w:rsid w:val="00591A53"/>
    <w:rsid w:val="0059289A"/>
    <w:rsid w:val="00594218"/>
    <w:rsid w:val="00594473"/>
    <w:rsid w:val="005975A4"/>
    <w:rsid w:val="005A0404"/>
    <w:rsid w:val="005A0CBE"/>
    <w:rsid w:val="005A0E30"/>
    <w:rsid w:val="005A3018"/>
    <w:rsid w:val="005A365E"/>
    <w:rsid w:val="005A3D0D"/>
    <w:rsid w:val="005A3E62"/>
    <w:rsid w:val="005A3E79"/>
    <w:rsid w:val="005A3F8E"/>
    <w:rsid w:val="005A4014"/>
    <w:rsid w:val="005A53F1"/>
    <w:rsid w:val="005A54E4"/>
    <w:rsid w:val="005A63D4"/>
    <w:rsid w:val="005A65C2"/>
    <w:rsid w:val="005B0D59"/>
    <w:rsid w:val="005B0EDD"/>
    <w:rsid w:val="005B1A91"/>
    <w:rsid w:val="005B356F"/>
    <w:rsid w:val="005B5B44"/>
    <w:rsid w:val="005B7890"/>
    <w:rsid w:val="005B7AEA"/>
    <w:rsid w:val="005C0A57"/>
    <w:rsid w:val="005C1C7D"/>
    <w:rsid w:val="005C327F"/>
    <w:rsid w:val="005C391F"/>
    <w:rsid w:val="005C3AF2"/>
    <w:rsid w:val="005C5090"/>
    <w:rsid w:val="005D0233"/>
    <w:rsid w:val="005D280C"/>
    <w:rsid w:val="005D2C6D"/>
    <w:rsid w:val="005D39C2"/>
    <w:rsid w:val="005D6D43"/>
    <w:rsid w:val="005E07C5"/>
    <w:rsid w:val="005E13C6"/>
    <w:rsid w:val="005E13F6"/>
    <w:rsid w:val="005E1B3F"/>
    <w:rsid w:val="005E3FB7"/>
    <w:rsid w:val="005E5676"/>
    <w:rsid w:val="005E5906"/>
    <w:rsid w:val="005E68AA"/>
    <w:rsid w:val="005E73DC"/>
    <w:rsid w:val="005E7A9D"/>
    <w:rsid w:val="005E7D9C"/>
    <w:rsid w:val="005F0728"/>
    <w:rsid w:val="005F224F"/>
    <w:rsid w:val="005F389C"/>
    <w:rsid w:val="005F4D82"/>
    <w:rsid w:val="005F5155"/>
    <w:rsid w:val="005F66BC"/>
    <w:rsid w:val="006018D9"/>
    <w:rsid w:val="00601DCA"/>
    <w:rsid w:val="00603E42"/>
    <w:rsid w:val="00604452"/>
    <w:rsid w:val="00606E75"/>
    <w:rsid w:val="0060748F"/>
    <w:rsid w:val="0060782F"/>
    <w:rsid w:val="00607A23"/>
    <w:rsid w:val="00607ADC"/>
    <w:rsid w:val="00610335"/>
    <w:rsid w:val="00611F01"/>
    <w:rsid w:val="00613380"/>
    <w:rsid w:val="006136AD"/>
    <w:rsid w:val="00613AD2"/>
    <w:rsid w:val="00613E30"/>
    <w:rsid w:val="00613FD3"/>
    <w:rsid w:val="006142BC"/>
    <w:rsid w:val="00615CE1"/>
    <w:rsid w:val="00616386"/>
    <w:rsid w:val="00616921"/>
    <w:rsid w:val="00617B43"/>
    <w:rsid w:val="00617F46"/>
    <w:rsid w:val="00621709"/>
    <w:rsid w:val="00621A7C"/>
    <w:rsid w:val="00623843"/>
    <w:rsid w:val="00624FA9"/>
    <w:rsid w:val="0062517D"/>
    <w:rsid w:val="00625EF6"/>
    <w:rsid w:val="006267B2"/>
    <w:rsid w:val="00630F9B"/>
    <w:rsid w:val="00631507"/>
    <w:rsid w:val="00632027"/>
    <w:rsid w:val="00637D9F"/>
    <w:rsid w:val="00640A52"/>
    <w:rsid w:val="00641D3E"/>
    <w:rsid w:val="00643DCA"/>
    <w:rsid w:val="006457EA"/>
    <w:rsid w:val="00647D68"/>
    <w:rsid w:val="006501AC"/>
    <w:rsid w:val="0065087E"/>
    <w:rsid w:val="00652AE1"/>
    <w:rsid w:val="00652DEA"/>
    <w:rsid w:val="00653F80"/>
    <w:rsid w:val="00655301"/>
    <w:rsid w:val="006570E7"/>
    <w:rsid w:val="00657E2B"/>
    <w:rsid w:val="00660895"/>
    <w:rsid w:val="00660D7E"/>
    <w:rsid w:val="00660FE4"/>
    <w:rsid w:val="0066157B"/>
    <w:rsid w:val="006629B1"/>
    <w:rsid w:val="006632CB"/>
    <w:rsid w:val="0066335A"/>
    <w:rsid w:val="006637D2"/>
    <w:rsid w:val="00664C76"/>
    <w:rsid w:val="00665B80"/>
    <w:rsid w:val="006661BD"/>
    <w:rsid w:val="006666E0"/>
    <w:rsid w:val="00667129"/>
    <w:rsid w:val="006672BA"/>
    <w:rsid w:val="00670443"/>
    <w:rsid w:val="00672CFD"/>
    <w:rsid w:val="00673595"/>
    <w:rsid w:val="006738D9"/>
    <w:rsid w:val="00673C1F"/>
    <w:rsid w:val="00673EB1"/>
    <w:rsid w:val="006740DC"/>
    <w:rsid w:val="006752C8"/>
    <w:rsid w:val="006757EF"/>
    <w:rsid w:val="006769D1"/>
    <w:rsid w:val="00676E12"/>
    <w:rsid w:val="00677396"/>
    <w:rsid w:val="00680D5B"/>
    <w:rsid w:val="006819A8"/>
    <w:rsid w:val="00682E2C"/>
    <w:rsid w:val="00683967"/>
    <w:rsid w:val="006839E8"/>
    <w:rsid w:val="006851B7"/>
    <w:rsid w:val="00685669"/>
    <w:rsid w:val="00686438"/>
    <w:rsid w:val="00690062"/>
    <w:rsid w:val="00691528"/>
    <w:rsid w:val="00691DF9"/>
    <w:rsid w:val="00692738"/>
    <w:rsid w:val="00692B71"/>
    <w:rsid w:val="00694692"/>
    <w:rsid w:val="006947C3"/>
    <w:rsid w:val="00694929"/>
    <w:rsid w:val="00694DD6"/>
    <w:rsid w:val="00695402"/>
    <w:rsid w:val="00695C06"/>
    <w:rsid w:val="00697FEA"/>
    <w:rsid w:val="006A0B7D"/>
    <w:rsid w:val="006A26EA"/>
    <w:rsid w:val="006A5A5C"/>
    <w:rsid w:val="006A7272"/>
    <w:rsid w:val="006A7445"/>
    <w:rsid w:val="006A74CC"/>
    <w:rsid w:val="006B01A4"/>
    <w:rsid w:val="006B02D6"/>
    <w:rsid w:val="006B0378"/>
    <w:rsid w:val="006B0BC7"/>
    <w:rsid w:val="006B0EEA"/>
    <w:rsid w:val="006B1ABB"/>
    <w:rsid w:val="006B5A90"/>
    <w:rsid w:val="006B6CA2"/>
    <w:rsid w:val="006B7228"/>
    <w:rsid w:val="006B7352"/>
    <w:rsid w:val="006B7375"/>
    <w:rsid w:val="006B7F7B"/>
    <w:rsid w:val="006C19AD"/>
    <w:rsid w:val="006C26C7"/>
    <w:rsid w:val="006C45A9"/>
    <w:rsid w:val="006C4715"/>
    <w:rsid w:val="006C65C2"/>
    <w:rsid w:val="006C6EB5"/>
    <w:rsid w:val="006C71DE"/>
    <w:rsid w:val="006C73EF"/>
    <w:rsid w:val="006C7517"/>
    <w:rsid w:val="006D0F2F"/>
    <w:rsid w:val="006D1BE0"/>
    <w:rsid w:val="006D2E3B"/>
    <w:rsid w:val="006D4B0E"/>
    <w:rsid w:val="006D54F1"/>
    <w:rsid w:val="006D5ADE"/>
    <w:rsid w:val="006D67C9"/>
    <w:rsid w:val="006D746F"/>
    <w:rsid w:val="006D796F"/>
    <w:rsid w:val="006E1759"/>
    <w:rsid w:val="006E2240"/>
    <w:rsid w:val="006E34F3"/>
    <w:rsid w:val="006E3ABF"/>
    <w:rsid w:val="006F0394"/>
    <w:rsid w:val="006F08C4"/>
    <w:rsid w:val="006F25B9"/>
    <w:rsid w:val="006F6F0E"/>
    <w:rsid w:val="006F71C7"/>
    <w:rsid w:val="006F7C7E"/>
    <w:rsid w:val="006F7D22"/>
    <w:rsid w:val="0070120F"/>
    <w:rsid w:val="00701D3A"/>
    <w:rsid w:val="007022F6"/>
    <w:rsid w:val="00703D05"/>
    <w:rsid w:val="00703D5A"/>
    <w:rsid w:val="0070474F"/>
    <w:rsid w:val="007056FC"/>
    <w:rsid w:val="00705CA9"/>
    <w:rsid w:val="00705D98"/>
    <w:rsid w:val="00710117"/>
    <w:rsid w:val="00710C55"/>
    <w:rsid w:val="00710C8A"/>
    <w:rsid w:val="0071236C"/>
    <w:rsid w:val="00712689"/>
    <w:rsid w:val="00712DCA"/>
    <w:rsid w:val="0071476D"/>
    <w:rsid w:val="00715481"/>
    <w:rsid w:val="007226C7"/>
    <w:rsid w:val="00722879"/>
    <w:rsid w:val="00722E1B"/>
    <w:rsid w:val="00725A8E"/>
    <w:rsid w:val="00726ABD"/>
    <w:rsid w:val="0073058E"/>
    <w:rsid w:val="00733071"/>
    <w:rsid w:val="00734DCB"/>
    <w:rsid w:val="00740789"/>
    <w:rsid w:val="00740995"/>
    <w:rsid w:val="00741B8F"/>
    <w:rsid w:val="00743306"/>
    <w:rsid w:val="00743B5B"/>
    <w:rsid w:val="007456BF"/>
    <w:rsid w:val="0074620B"/>
    <w:rsid w:val="00746FBB"/>
    <w:rsid w:val="0074787E"/>
    <w:rsid w:val="00750C48"/>
    <w:rsid w:val="007510DA"/>
    <w:rsid w:val="007516A7"/>
    <w:rsid w:val="00753AEC"/>
    <w:rsid w:val="00754247"/>
    <w:rsid w:val="007548DB"/>
    <w:rsid w:val="00755048"/>
    <w:rsid w:val="00755CBB"/>
    <w:rsid w:val="00757B44"/>
    <w:rsid w:val="00761847"/>
    <w:rsid w:val="00761FF7"/>
    <w:rsid w:val="00762B5C"/>
    <w:rsid w:val="00763010"/>
    <w:rsid w:val="00763797"/>
    <w:rsid w:val="00764666"/>
    <w:rsid w:val="0076552C"/>
    <w:rsid w:val="007701F6"/>
    <w:rsid w:val="00770E10"/>
    <w:rsid w:val="0077120E"/>
    <w:rsid w:val="0077159D"/>
    <w:rsid w:val="00772CCB"/>
    <w:rsid w:val="007734C9"/>
    <w:rsid w:val="00773E4A"/>
    <w:rsid w:val="0077434E"/>
    <w:rsid w:val="00774412"/>
    <w:rsid w:val="0077478F"/>
    <w:rsid w:val="00777400"/>
    <w:rsid w:val="007801A5"/>
    <w:rsid w:val="00780C7B"/>
    <w:rsid w:val="00781EC7"/>
    <w:rsid w:val="00783235"/>
    <w:rsid w:val="007832EF"/>
    <w:rsid w:val="007845E7"/>
    <w:rsid w:val="0078479A"/>
    <w:rsid w:val="00784E0C"/>
    <w:rsid w:val="00786536"/>
    <w:rsid w:val="007865B8"/>
    <w:rsid w:val="00786CAD"/>
    <w:rsid w:val="007871C7"/>
    <w:rsid w:val="00787565"/>
    <w:rsid w:val="00787CA1"/>
    <w:rsid w:val="00791AF4"/>
    <w:rsid w:val="007923DB"/>
    <w:rsid w:val="00794D65"/>
    <w:rsid w:val="00797022"/>
    <w:rsid w:val="007A03A2"/>
    <w:rsid w:val="007A0B68"/>
    <w:rsid w:val="007A0C2B"/>
    <w:rsid w:val="007A1DEB"/>
    <w:rsid w:val="007A2161"/>
    <w:rsid w:val="007A2C0E"/>
    <w:rsid w:val="007A2E23"/>
    <w:rsid w:val="007A3FCC"/>
    <w:rsid w:val="007A5C86"/>
    <w:rsid w:val="007B026A"/>
    <w:rsid w:val="007B0422"/>
    <w:rsid w:val="007B0A41"/>
    <w:rsid w:val="007B13E8"/>
    <w:rsid w:val="007B29A1"/>
    <w:rsid w:val="007B533A"/>
    <w:rsid w:val="007B6AB3"/>
    <w:rsid w:val="007B7759"/>
    <w:rsid w:val="007C18F9"/>
    <w:rsid w:val="007C1920"/>
    <w:rsid w:val="007C1B69"/>
    <w:rsid w:val="007C5BA5"/>
    <w:rsid w:val="007C6106"/>
    <w:rsid w:val="007D0D1C"/>
    <w:rsid w:val="007D0E48"/>
    <w:rsid w:val="007D0EE1"/>
    <w:rsid w:val="007D1C5D"/>
    <w:rsid w:val="007D491C"/>
    <w:rsid w:val="007D4F22"/>
    <w:rsid w:val="007D7F58"/>
    <w:rsid w:val="007E355D"/>
    <w:rsid w:val="007E3CC1"/>
    <w:rsid w:val="007E41B9"/>
    <w:rsid w:val="007E71C3"/>
    <w:rsid w:val="007F0558"/>
    <w:rsid w:val="007F292C"/>
    <w:rsid w:val="007F571A"/>
    <w:rsid w:val="007F620E"/>
    <w:rsid w:val="007F6CF5"/>
    <w:rsid w:val="007F7E13"/>
    <w:rsid w:val="00800051"/>
    <w:rsid w:val="00802101"/>
    <w:rsid w:val="00802701"/>
    <w:rsid w:val="00803469"/>
    <w:rsid w:val="0080360D"/>
    <w:rsid w:val="00804F35"/>
    <w:rsid w:val="00805901"/>
    <w:rsid w:val="00810C7E"/>
    <w:rsid w:val="00811155"/>
    <w:rsid w:val="00811850"/>
    <w:rsid w:val="00811DB1"/>
    <w:rsid w:val="00813006"/>
    <w:rsid w:val="00813C29"/>
    <w:rsid w:val="00813D31"/>
    <w:rsid w:val="00814219"/>
    <w:rsid w:val="008143D6"/>
    <w:rsid w:val="00815F1F"/>
    <w:rsid w:val="0081626F"/>
    <w:rsid w:val="00817670"/>
    <w:rsid w:val="00821E0B"/>
    <w:rsid w:val="00821FC1"/>
    <w:rsid w:val="00822A3A"/>
    <w:rsid w:val="00822C41"/>
    <w:rsid w:val="008241CE"/>
    <w:rsid w:val="008263FE"/>
    <w:rsid w:val="00831652"/>
    <w:rsid w:val="00832CB1"/>
    <w:rsid w:val="0083350A"/>
    <w:rsid w:val="0083442F"/>
    <w:rsid w:val="0083625C"/>
    <w:rsid w:val="00840785"/>
    <w:rsid w:val="0084188A"/>
    <w:rsid w:val="00843E31"/>
    <w:rsid w:val="008446B3"/>
    <w:rsid w:val="00845E55"/>
    <w:rsid w:val="008465BA"/>
    <w:rsid w:val="008503C4"/>
    <w:rsid w:val="00852241"/>
    <w:rsid w:val="008540EC"/>
    <w:rsid w:val="00855482"/>
    <w:rsid w:val="00855FD7"/>
    <w:rsid w:val="008565E9"/>
    <w:rsid w:val="008614D4"/>
    <w:rsid w:val="008617B4"/>
    <w:rsid w:val="008621E4"/>
    <w:rsid w:val="00863447"/>
    <w:rsid w:val="0086411B"/>
    <w:rsid w:val="00865C2A"/>
    <w:rsid w:val="0086604C"/>
    <w:rsid w:val="0086702C"/>
    <w:rsid w:val="008678DA"/>
    <w:rsid w:val="008711DB"/>
    <w:rsid w:val="008715C6"/>
    <w:rsid w:val="00872381"/>
    <w:rsid w:val="00872D0A"/>
    <w:rsid w:val="0087526D"/>
    <w:rsid w:val="00876144"/>
    <w:rsid w:val="0087625D"/>
    <w:rsid w:val="00876B06"/>
    <w:rsid w:val="00876F49"/>
    <w:rsid w:val="00880458"/>
    <w:rsid w:val="0088057C"/>
    <w:rsid w:val="00880855"/>
    <w:rsid w:val="00880A35"/>
    <w:rsid w:val="00880DF2"/>
    <w:rsid w:val="0088102B"/>
    <w:rsid w:val="008813B6"/>
    <w:rsid w:val="00882DD2"/>
    <w:rsid w:val="00883206"/>
    <w:rsid w:val="0088385A"/>
    <w:rsid w:val="008839B9"/>
    <w:rsid w:val="008839D6"/>
    <w:rsid w:val="008844B6"/>
    <w:rsid w:val="00885956"/>
    <w:rsid w:val="0088646C"/>
    <w:rsid w:val="00886869"/>
    <w:rsid w:val="00896A61"/>
    <w:rsid w:val="00896F09"/>
    <w:rsid w:val="008974C2"/>
    <w:rsid w:val="008975AA"/>
    <w:rsid w:val="008A0AEA"/>
    <w:rsid w:val="008A1649"/>
    <w:rsid w:val="008A19A9"/>
    <w:rsid w:val="008A24E4"/>
    <w:rsid w:val="008A30E6"/>
    <w:rsid w:val="008A31B1"/>
    <w:rsid w:val="008A4B56"/>
    <w:rsid w:val="008A5607"/>
    <w:rsid w:val="008A5E8B"/>
    <w:rsid w:val="008A61B9"/>
    <w:rsid w:val="008A62DC"/>
    <w:rsid w:val="008A7DB2"/>
    <w:rsid w:val="008B05A8"/>
    <w:rsid w:val="008B08E3"/>
    <w:rsid w:val="008B0B99"/>
    <w:rsid w:val="008B25BC"/>
    <w:rsid w:val="008B2F9A"/>
    <w:rsid w:val="008B33E3"/>
    <w:rsid w:val="008B5CBE"/>
    <w:rsid w:val="008B5E46"/>
    <w:rsid w:val="008B64F9"/>
    <w:rsid w:val="008B66E3"/>
    <w:rsid w:val="008B67E2"/>
    <w:rsid w:val="008B6DCC"/>
    <w:rsid w:val="008B6EDF"/>
    <w:rsid w:val="008B7854"/>
    <w:rsid w:val="008B7BAA"/>
    <w:rsid w:val="008C09F7"/>
    <w:rsid w:val="008C2208"/>
    <w:rsid w:val="008C490E"/>
    <w:rsid w:val="008C7CD0"/>
    <w:rsid w:val="008D14C2"/>
    <w:rsid w:val="008D1949"/>
    <w:rsid w:val="008D1B16"/>
    <w:rsid w:val="008D1E09"/>
    <w:rsid w:val="008D2DFE"/>
    <w:rsid w:val="008D36A5"/>
    <w:rsid w:val="008D4D21"/>
    <w:rsid w:val="008D5C57"/>
    <w:rsid w:val="008D61E3"/>
    <w:rsid w:val="008D6F5B"/>
    <w:rsid w:val="008E07F2"/>
    <w:rsid w:val="008E182E"/>
    <w:rsid w:val="008E3450"/>
    <w:rsid w:val="008E3C81"/>
    <w:rsid w:val="008E4336"/>
    <w:rsid w:val="008E4AFB"/>
    <w:rsid w:val="008E4F20"/>
    <w:rsid w:val="008E53DE"/>
    <w:rsid w:val="008E5948"/>
    <w:rsid w:val="008E63F9"/>
    <w:rsid w:val="008E69F1"/>
    <w:rsid w:val="008E75B8"/>
    <w:rsid w:val="008F5C97"/>
    <w:rsid w:val="008F6087"/>
    <w:rsid w:val="008F65CB"/>
    <w:rsid w:val="008F6D9B"/>
    <w:rsid w:val="00900DA9"/>
    <w:rsid w:val="0090220A"/>
    <w:rsid w:val="00904894"/>
    <w:rsid w:val="00904DDB"/>
    <w:rsid w:val="00905B3F"/>
    <w:rsid w:val="00911D5D"/>
    <w:rsid w:val="00912C3E"/>
    <w:rsid w:val="0091464F"/>
    <w:rsid w:val="00915118"/>
    <w:rsid w:val="00917BBB"/>
    <w:rsid w:val="009208A4"/>
    <w:rsid w:val="00920D3D"/>
    <w:rsid w:val="00921216"/>
    <w:rsid w:val="009222F2"/>
    <w:rsid w:val="00925FAB"/>
    <w:rsid w:val="00927383"/>
    <w:rsid w:val="009279A1"/>
    <w:rsid w:val="00927CC3"/>
    <w:rsid w:val="00933CFC"/>
    <w:rsid w:val="00933E15"/>
    <w:rsid w:val="009340A5"/>
    <w:rsid w:val="00937F75"/>
    <w:rsid w:val="00940300"/>
    <w:rsid w:val="0094039F"/>
    <w:rsid w:val="0094248D"/>
    <w:rsid w:val="00943E83"/>
    <w:rsid w:val="009441CA"/>
    <w:rsid w:val="009451A0"/>
    <w:rsid w:val="00947606"/>
    <w:rsid w:val="00952037"/>
    <w:rsid w:val="00953333"/>
    <w:rsid w:val="00956E65"/>
    <w:rsid w:val="009577D2"/>
    <w:rsid w:val="00961E2A"/>
    <w:rsid w:val="00962CB5"/>
    <w:rsid w:val="00962FD8"/>
    <w:rsid w:val="00963DCB"/>
    <w:rsid w:val="00963EEF"/>
    <w:rsid w:val="00965406"/>
    <w:rsid w:val="00965620"/>
    <w:rsid w:val="0097100A"/>
    <w:rsid w:val="009710AC"/>
    <w:rsid w:val="00972267"/>
    <w:rsid w:val="009742A4"/>
    <w:rsid w:val="00976AD4"/>
    <w:rsid w:val="009775B7"/>
    <w:rsid w:val="009779A1"/>
    <w:rsid w:val="00980D66"/>
    <w:rsid w:val="009812EA"/>
    <w:rsid w:val="009817C9"/>
    <w:rsid w:val="009839A8"/>
    <w:rsid w:val="00984080"/>
    <w:rsid w:val="00986406"/>
    <w:rsid w:val="00986441"/>
    <w:rsid w:val="00986EED"/>
    <w:rsid w:val="00986F0C"/>
    <w:rsid w:val="00987598"/>
    <w:rsid w:val="00990D43"/>
    <w:rsid w:val="00991A04"/>
    <w:rsid w:val="00991DF8"/>
    <w:rsid w:val="00992860"/>
    <w:rsid w:val="009931E0"/>
    <w:rsid w:val="00993AD1"/>
    <w:rsid w:val="00993E1A"/>
    <w:rsid w:val="009946D0"/>
    <w:rsid w:val="00997AE5"/>
    <w:rsid w:val="009A03C5"/>
    <w:rsid w:val="009A1955"/>
    <w:rsid w:val="009A1DEE"/>
    <w:rsid w:val="009A44DE"/>
    <w:rsid w:val="009A47F1"/>
    <w:rsid w:val="009A62F6"/>
    <w:rsid w:val="009A6E14"/>
    <w:rsid w:val="009A7473"/>
    <w:rsid w:val="009A79B3"/>
    <w:rsid w:val="009B1BCD"/>
    <w:rsid w:val="009B29C2"/>
    <w:rsid w:val="009B5A4D"/>
    <w:rsid w:val="009B6C9C"/>
    <w:rsid w:val="009B79E0"/>
    <w:rsid w:val="009B7AC0"/>
    <w:rsid w:val="009C11D8"/>
    <w:rsid w:val="009C1611"/>
    <w:rsid w:val="009C19D8"/>
    <w:rsid w:val="009C3DCE"/>
    <w:rsid w:val="009C69DB"/>
    <w:rsid w:val="009C78E4"/>
    <w:rsid w:val="009D01F4"/>
    <w:rsid w:val="009D28AE"/>
    <w:rsid w:val="009D2ED7"/>
    <w:rsid w:val="009D3356"/>
    <w:rsid w:val="009D41E4"/>
    <w:rsid w:val="009D6F3C"/>
    <w:rsid w:val="009D706F"/>
    <w:rsid w:val="009D7A2D"/>
    <w:rsid w:val="009D7EC5"/>
    <w:rsid w:val="009E0205"/>
    <w:rsid w:val="009E0C2A"/>
    <w:rsid w:val="009E245D"/>
    <w:rsid w:val="009E36E0"/>
    <w:rsid w:val="009E48E4"/>
    <w:rsid w:val="009E5191"/>
    <w:rsid w:val="009E565E"/>
    <w:rsid w:val="009E57A5"/>
    <w:rsid w:val="009E58B5"/>
    <w:rsid w:val="009E6723"/>
    <w:rsid w:val="009F0F10"/>
    <w:rsid w:val="009F1542"/>
    <w:rsid w:val="009F166B"/>
    <w:rsid w:val="009F1864"/>
    <w:rsid w:val="009F4337"/>
    <w:rsid w:val="009F6C9F"/>
    <w:rsid w:val="009F795E"/>
    <w:rsid w:val="00A00164"/>
    <w:rsid w:val="00A00537"/>
    <w:rsid w:val="00A007DF"/>
    <w:rsid w:val="00A00C44"/>
    <w:rsid w:val="00A01DE7"/>
    <w:rsid w:val="00A0204C"/>
    <w:rsid w:val="00A02F96"/>
    <w:rsid w:val="00A060F0"/>
    <w:rsid w:val="00A062C9"/>
    <w:rsid w:val="00A07A96"/>
    <w:rsid w:val="00A104BA"/>
    <w:rsid w:val="00A10FC2"/>
    <w:rsid w:val="00A11811"/>
    <w:rsid w:val="00A13A4A"/>
    <w:rsid w:val="00A145E4"/>
    <w:rsid w:val="00A158FC"/>
    <w:rsid w:val="00A2036B"/>
    <w:rsid w:val="00A20DE7"/>
    <w:rsid w:val="00A23563"/>
    <w:rsid w:val="00A23625"/>
    <w:rsid w:val="00A23930"/>
    <w:rsid w:val="00A239DC"/>
    <w:rsid w:val="00A24E91"/>
    <w:rsid w:val="00A255AE"/>
    <w:rsid w:val="00A25D59"/>
    <w:rsid w:val="00A27299"/>
    <w:rsid w:val="00A308D2"/>
    <w:rsid w:val="00A319DE"/>
    <w:rsid w:val="00A323F1"/>
    <w:rsid w:val="00A36153"/>
    <w:rsid w:val="00A36902"/>
    <w:rsid w:val="00A36BCF"/>
    <w:rsid w:val="00A3732C"/>
    <w:rsid w:val="00A3783E"/>
    <w:rsid w:val="00A4181E"/>
    <w:rsid w:val="00A41A93"/>
    <w:rsid w:val="00A41EF6"/>
    <w:rsid w:val="00A451DB"/>
    <w:rsid w:val="00A4534B"/>
    <w:rsid w:val="00A468F8"/>
    <w:rsid w:val="00A477F1"/>
    <w:rsid w:val="00A50525"/>
    <w:rsid w:val="00A52FC1"/>
    <w:rsid w:val="00A55E87"/>
    <w:rsid w:val="00A57078"/>
    <w:rsid w:val="00A601D3"/>
    <w:rsid w:val="00A60203"/>
    <w:rsid w:val="00A60495"/>
    <w:rsid w:val="00A6271E"/>
    <w:rsid w:val="00A63D82"/>
    <w:rsid w:val="00A648B3"/>
    <w:rsid w:val="00A66173"/>
    <w:rsid w:val="00A66A49"/>
    <w:rsid w:val="00A67E89"/>
    <w:rsid w:val="00A70134"/>
    <w:rsid w:val="00A704C4"/>
    <w:rsid w:val="00A704E4"/>
    <w:rsid w:val="00A70761"/>
    <w:rsid w:val="00A7204C"/>
    <w:rsid w:val="00A7212C"/>
    <w:rsid w:val="00A72ADD"/>
    <w:rsid w:val="00A7563F"/>
    <w:rsid w:val="00A75D2D"/>
    <w:rsid w:val="00A77010"/>
    <w:rsid w:val="00A77832"/>
    <w:rsid w:val="00A77EB9"/>
    <w:rsid w:val="00A81235"/>
    <w:rsid w:val="00A82867"/>
    <w:rsid w:val="00A83BAE"/>
    <w:rsid w:val="00A84B5C"/>
    <w:rsid w:val="00A856F0"/>
    <w:rsid w:val="00A86489"/>
    <w:rsid w:val="00A86988"/>
    <w:rsid w:val="00A86E13"/>
    <w:rsid w:val="00A874AD"/>
    <w:rsid w:val="00A90659"/>
    <w:rsid w:val="00A910F1"/>
    <w:rsid w:val="00A92D0B"/>
    <w:rsid w:val="00A97308"/>
    <w:rsid w:val="00A973CF"/>
    <w:rsid w:val="00A9794B"/>
    <w:rsid w:val="00AA1740"/>
    <w:rsid w:val="00AA43C3"/>
    <w:rsid w:val="00AA6293"/>
    <w:rsid w:val="00AA6D22"/>
    <w:rsid w:val="00AA77BB"/>
    <w:rsid w:val="00AB2F7F"/>
    <w:rsid w:val="00AB3510"/>
    <w:rsid w:val="00AB4478"/>
    <w:rsid w:val="00AB4D4C"/>
    <w:rsid w:val="00AB5459"/>
    <w:rsid w:val="00AB5DF1"/>
    <w:rsid w:val="00AC1302"/>
    <w:rsid w:val="00AC587D"/>
    <w:rsid w:val="00AC5A4B"/>
    <w:rsid w:val="00AC5EB1"/>
    <w:rsid w:val="00AC6FED"/>
    <w:rsid w:val="00AD14B9"/>
    <w:rsid w:val="00AD179F"/>
    <w:rsid w:val="00AD1809"/>
    <w:rsid w:val="00AD2481"/>
    <w:rsid w:val="00AD37D6"/>
    <w:rsid w:val="00AD42E1"/>
    <w:rsid w:val="00AD458C"/>
    <w:rsid w:val="00AD5797"/>
    <w:rsid w:val="00AD6751"/>
    <w:rsid w:val="00AD6971"/>
    <w:rsid w:val="00AD714A"/>
    <w:rsid w:val="00AD7427"/>
    <w:rsid w:val="00AD742A"/>
    <w:rsid w:val="00AE0B0E"/>
    <w:rsid w:val="00AE0D4C"/>
    <w:rsid w:val="00AE121A"/>
    <w:rsid w:val="00AE403F"/>
    <w:rsid w:val="00AE429F"/>
    <w:rsid w:val="00AE436A"/>
    <w:rsid w:val="00AE537D"/>
    <w:rsid w:val="00AE5EE6"/>
    <w:rsid w:val="00AE6488"/>
    <w:rsid w:val="00AE72B0"/>
    <w:rsid w:val="00AF121A"/>
    <w:rsid w:val="00AF1B39"/>
    <w:rsid w:val="00AF27F7"/>
    <w:rsid w:val="00AF61A9"/>
    <w:rsid w:val="00AF61AE"/>
    <w:rsid w:val="00AF66A8"/>
    <w:rsid w:val="00AF7104"/>
    <w:rsid w:val="00AF7A0A"/>
    <w:rsid w:val="00B0002F"/>
    <w:rsid w:val="00B00254"/>
    <w:rsid w:val="00B00BCD"/>
    <w:rsid w:val="00B00D04"/>
    <w:rsid w:val="00B02138"/>
    <w:rsid w:val="00B02FCE"/>
    <w:rsid w:val="00B03003"/>
    <w:rsid w:val="00B033FC"/>
    <w:rsid w:val="00B03B01"/>
    <w:rsid w:val="00B03E4A"/>
    <w:rsid w:val="00B04E9F"/>
    <w:rsid w:val="00B05761"/>
    <w:rsid w:val="00B06871"/>
    <w:rsid w:val="00B06BB6"/>
    <w:rsid w:val="00B06E03"/>
    <w:rsid w:val="00B07160"/>
    <w:rsid w:val="00B074E9"/>
    <w:rsid w:val="00B07E10"/>
    <w:rsid w:val="00B11BC7"/>
    <w:rsid w:val="00B125FF"/>
    <w:rsid w:val="00B134EE"/>
    <w:rsid w:val="00B1358C"/>
    <w:rsid w:val="00B147A0"/>
    <w:rsid w:val="00B1593B"/>
    <w:rsid w:val="00B15B0D"/>
    <w:rsid w:val="00B15B27"/>
    <w:rsid w:val="00B15CAD"/>
    <w:rsid w:val="00B17005"/>
    <w:rsid w:val="00B174B2"/>
    <w:rsid w:val="00B17563"/>
    <w:rsid w:val="00B20C93"/>
    <w:rsid w:val="00B245A7"/>
    <w:rsid w:val="00B24FEF"/>
    <w:rsid w:val="00B255FD"/>
    <w:rsid w:val="00B25FA1"/>
    <w:rsid w:val="00B2791D"/>
    <w:rsid w:val="00B30F84"/>
    <w:rsid w:val="00B3108D"/>
    <w:rsid w:val="00B312DA"/>
    <w:rsid w:val="00B3135B"/>
    <w:rsid w:val="00B31565"/>
    <w:rsid w:val="00B31656"/>
    <w:rsid w:val="00B31D66"/>
    <w:rsid w:val="00B33406"/>
    <w:rsid w:val="00B34B13"/>
    <w:rsid w:val="00B4161E"/>
    <w:rsid w:val="00B42BE0"/>
    <w:rsid w:val="00B431B3"/>
    <w:rsid w:val="00B43C18"/>
    <w:rsid w:val="00B44B7A"/>
    <w:rsid w:val="00B44FB5"/>
    <w:rsid w:val="00B4563A"/>
    <w:rsid w:val="00B46167"/>
    <w:rsid w:val="00B47A44"/>
    <w:rsid w:val="00B51C2B"/>
    <w:rsid w:val="00B51F03"/>
    <w:rsid w:val="00B52F90"/>
    <w:rsid w:val="00B52FD6"/>
    <w:rsid w:val="00B53601"/>
    <w:rsid w:val="00B54626"/>
    <w:rsid w:val="00B54991"/>
    <w:rsid w:val="00B55CCD"/>
    <w:rsid w:val="00B55D78"/>
    <w:rsid w:val="00B6025C"/>
    <w:rsid w:val="00B62AC0"/>
    <w:rsid w:val="00B62B2B"/>
    <w:rsid w:val="00B63091"/>
    <w:rsid w:val="00B64A5F"/>
    <w:rsid w:val="00B650B7"/>
    <w:rsid w:val="00B65E09"/>
    <w:rsid w:val="00B66271"/>
    <w:rsid w:val="00B66CF5"/>
    <w:rsid w:val="00B70304"/>
    <w:rsid w:val="00B7168E"/>
    <w:rsid w:val="00B7221C"/>
    <w:rsid w:val="00B73A31"/>
    <w:rsid w:val="00B749D1"/>
    <w:rsid w:val="00B74C8F"/>
    <w:rsid w:val="00B75A91"/>
    <w:rsid w:val="00B769E2"/>
    <w:rsid w:val="00B77E92"/>
    <w:rsid w:val="00B803D5"/>
    <w:rsid w:val="00B80668"/>
    <w:rsid w:val="00B807BD"/>
    <w:rsid w:val="00B826BB"/>
    <w:rsid w:val="00B82D90"/>
    <w:rsid w:val="00B83304"/>
    <w:rsid w:val="00B87CF1"/>
    <w:rsid w:val="00B91104"/>
    <w:rsid w:val="00B9145D"/>
    <w:rsid w:val="00B91C44"/>
    <w:rsid w:val="00B94D5F"/>
    <w:rsid w:val="00BA0426"/>
    <w:rsid w:val="00BA064D"/>
    <w:rsid w:val="00BA15A5"/>
    <w:rsid w:val="00BA2AB8"/>
    <w:rsid w:val="00BA331C"/>
    <w:rsid w:val="00BA548C"/>
    <w:rsid w:val="00BA598C"/>
    <w:rsid w:val="00BA5C83"/>
    <w:rsid w:val="00BA5CF6"/>
    <w:rsid w:val="00BA614D"/>
    <w:rsid w:val="00BA64FA"/>
    <w:rsid w:val="00BA69A9"/>
    <w:rsid w:val="00BA749E"/>
    <w:rsid w:val="00BB1B8D"/>
    <w:rsid w:val="00BB1F92"/>
    <w:rsid w:val="00BB2056"/>
    <w:rsid w:val="00BB2126"/>
    <w:rsid w:val="00BB49BB"/>
    <w:rsid w:val="00BC2066"/>
    <w:rsid w:val="00BC2C2A"/>
    <w:rsid w:val="00BC409D"/>
    <w:rsid w:val="00BC442B"/>
    <w:rsid w:val="00BC524D"/>
    <w:rsid w:val="00BC5265"/>
    <w:rsid w:val="00BC6223"/>
    <w:rsid w:val="00BC6425"/>
    <w:rsid w:val="00BC6C55"/>
    <w:rsid w:val="00BD1C37"/>
    <w:rsid w:val="00BD3FD0"/>
    <w:rsid w:val="00BD5194"/>
    <w:rsid w:val="00BD5645"/>
    <w:rsid w:val="00BD5F87"/>
    <w:rsid w:val="00BD5FCA"/>
    <w:rsid w:val="00BD6527"/>
    <w:rsid w:val="00BD6B0F"/>
    <w:rsid w:val="00BD6B55"/>
    <w:rsid w:val="00BD7C1A"/>
    <w:rsid w:val="00BE05D1"/>
    <w:rsid w:val="00BE45D0"/>
    <w:rsid w:val="00BE5F8F"/>
    <w:rsid w:val="00BE6D47"/>
    <w:rsid w:val="00BE71E0"/>
    <w:rsid w:val="00BF1662"/>
    <w:rsid w:val="00BF1C69"/>
    <w:rsid w:val="00BF22C6"/>
    <w:rsid w:val="00BF2645"/>
    <w:rsid w:val="00BF2F45"/>
    <w:rsid w:val="00C01431"/>
    <w:rsid w:val="00C01ACD"/>
    <w:rsid w:val="00C01DE5"/>
    <w:rsid w:val="00C02649"/>
    <w:rsid w:val="00C02B96"/>
    <w:rsid w:val="00C0471D"/>
    <w:rsid w:val="00C056E8"/>
    <w:rsid w:val="00C069D2"/>
    <w:rsid w:val="00C06B04"/>
    <w:rsid w:val="00C10420"/>
    <w:rsid w:val="00C107B8"/>
    <w:rsid w:val="00C10E6E"/>
    <w:rsid w:val="00C11170"/>
    <w:rsid w:val="00C113C3"/>
    <w:rsid w:val="00C11891"/>
    <w:rsid w:val="00C13046"/>
    <w:rsid w:val="00C13B3F"/>
    <w:rsid w:val="00C141BF"/>
    <w:rsid w:val="00C16981"/>
    <w:rsid w:val="00C171DF"/>
    <w:rsid w:val="00C172A9"/>
    <w:rsid w:val="00C17D0F"/>
    <w:rsid w:val="00C203BE"/>
    <w:rsid w:val="00C220F4"/>
    <w:rsid w:val="00C22175"/>
    <w:rsid w:val="00C226AE"/>
    <w:rsid w:val="00C230B9"/>
    <w:rsid w:val="00C24150"/>
    <w:rsid w:val="00C24901"/>
    <w:rsid w:val="00C24ADD"/>
    <w:rsid w:val="00C25E08"/>
    <w:rsid w:val="00C25F8C"/>
    <w:rsid w:val="00C30765"/>
    <w:rsid w:val="00C3100C"/>
    <w:rsid w:val="00C32A45"/>
    <w:rsid w:val="00C33C43"/>
    <w:rsid w:val="00C36CD0"/>
    <w:rsid w:val="00C37215"/>
    <w:rsid w:val="00C372E0"/>
    <w:rsid w:val="00C405FF"/>
    <w:rsid w:val="00C417D5"/>
    <w:rsid w:val="00C43F8D"/>
    <w:rsid w:val="00C46395"/>
    <w:rsid w:val="00C47A2B"/>
    <w:rsid w:val="00C47FAC"/>
    <w:rsid w:val="00C5075E"/>
    <w:rsid w:val="00C51BFD"/>
    <w:rsid w:val="00C55F70"/>
    <w:rsid w:val="00C561E7"/>
    <w:rsid w:val="00C61195"/>
    <w:rsid w:val="00C628FD"/>
    <w:rsid w:val="00C62D0D"/>
    <w:rsid w:val="00C62DC0"/>
    <w:rsid w:val="00C6378B"/>
    <w:rsid w:val="00C64115"/>
    <w:rsid w:val="00C64709"/>
    <w:rsid w:val="00C64DF4"/>
    <w:rsid w:val="00C66438"/>
    <w:rsid w:val="00C66F99"/>
    <w:rsid w:val="00C71B4D"/>
    <w:rsid w:val="00C7392E"/>
    <w:rsid w:val="00C74252"/>
    <w:rsid w:val="00C742D7"/>
    <w:rsid w:val="00C75E1E"/>
    <w:rsid w:val="00C7635F"/>
    <w:rsid w:val="00C765A2"/>
    <w:rsid w:val="00C80771"/>
    <w:rsid w:val="00C827A4"/>
    <w:rsid w:val="00C8332D"/>
    <w:rsid w:val="00C84529"/>
    <w:rsid w:val="00C8694B"/>
    <w:rsid w:val="00C909E6"/>
    <w:rsid w:val="00C923E6"/>
    <w:rsid w:val="00C925B0"/>
    <w:rsid w:val="00C940FF"/>
    <w:rsid w:val="00C95BE1"/>
    <w:rsid w:val="00C95DC4"/>
    <w:rsid w:val="00C96074"/>
    <w:rsid w:val="00C96121"/>
    <w:rsid w:val="00CA11DA"/>
    <w:rsid w:val="00CA1D0E"/>
    <w:rsid w:val="00CA4B28"/>
    <w:rsid w:val="00CA52B7"/>
    <w:rsid w:val="00CA5CD0"/>
    <w:rsid w:val="00CA6434"/>
    <w:rsid w:val="00CA6E5C"/>
    <w:rsid w:val="00CB0773"/>
    <w:rsid w:val="00CB1B40"/>
    <w:rsid w:val="00CB2ADC"/>
    <w:rsid w:val="00CB3625"/>
    <w:rsid w:val="00CB3E73"/>
    <w:rsid w:val="00CB44E4"/>
    <w:rsid w:val="00CB56D7"/>
    <w:rsid w:val="00CB59CA"/>
    <w:rsid w:val="00CB6928"/>
    <w:rsid w:val="00CB72C5"/>
    <w:rsid w:val="00CB767F"/>
    <w:rsid w:val="00CB7F56"/>
    <w:rsid w:val="00CC0920"/>
    <w:rsid w:val="00CC10AF"/>
    <w:rsid w:val="00CC2BEC"/>
    <w:rsid w:val="00CC3339"/>
    <w:rsid w:val="00CC44AF"/>
    <w:rsid w:val="00CC480C"/>
    <w:rsid w:val="00CC4B40"/>
    <w:rsid w:val="00CC65F8"/>
    <w:rsid w:val="00CC6EDF"/>
    <w:rsid w:val="00CC77E8"/>
    <w:rsid w:val="00CD13B5"/>
    <w:rsid w:val="00CD220A"/>
    <w:rsid w:val="00CD4018"/>
    <w:rsid w:val="00CD5D6B"/>
    <w:rsid w:val="00CD6886"/>
    <w:rsid w:val="00CD7336"/>
    <w:rsid w:val="00CD7D17"/>
    <w:rsid w:val="00CD7F20"/>
    <w:rsid w:val="00CE0233"/>
    <w:rsid w:val="00CE03AF"/>
    <w:rsid w:val="00CE057B"/>
    <w:rsid w:val="00CE0A0C"/>
    <w:rsid w:val="00CE0F78"/>
    <w:rsid w:val="00CE1CC4"/>
    <w:rsid w:val="00CE2C8A"/>
    <w:rsid w:val="00CE4D93"/>
    <w:rsid w:val="00CF0DBB"/>
    <w:rsid w:val="00CF1129"/>
    <w:rsid w:val="00CF2000"/>
    <w:rsid w:val="00CF321E"/>
    <w:rsid w:val="00CF6A20"/>
    <w:rsid w:val="00CF72CD"/>
    <w:rsid w:val="00D00458"/>
    <w:rsid w:val="00D01821"/>
    <w:rsid w:val="00D03EBD"/>
    <w:rsid w:val="00D06C7E"/>
    <w:rsid w:val="00D06E0E"/>
    <w:rsid w:val="00D07094"/>
    <w:rsid w:val="00D075B1"/>
    <w:rsid w:val="00D07B5C"/>
    <w:rsid w:val="00D07D63"/>
    <w:rsid w:val="00D10372"/>
    <w:rsid w:val="00D1134E"/>
    <w:rsid w:val="00D12D9B"/>
    <w:rsid w:val="00D130E6"/>
    <w:rsid w:val="00D13679"/>
    <w:rsid w:val="00D13A4C"/>
    <w:rsid w:val="00D13BE6"/>
    <w:rsid w:val="00D13E3B"/>
    <w:rsid w:val="00D1778A"/>
    <w:rsid w:val="00D17799"/>
    <w:rsid w:val="00D220DA"/>
    <w:rsid w:val="00D22730"/>
    <w:rsid w:val="00D22D09"/>
    <w:rsid w:val="00D23F6B"/>
    <w:rsid w:val="00D24234"/>
    <w:rsid w:val="00D253F5"/>
    <w:rsid w:val="00D27D5F"/>
    <w:rsid w:val="00D30039"/>
    <w:rsid w:val="00D30C4F"/>
    <w:rsid w:val="00D31AD0"/>
    <w:rsid w:val="00D32D52"/>
    <w:rsid w:val="00D3336A"/>
    <w:rsid w:val="00D350F0"/>
    <w:rsid w:val="00D36884"/>
    <w:rsid w:val="00D36927"/>
    <w:rsid w:val="00D41586"/>
    <w:rsid w:val="00D430AC"/>
    <w:rsid w:val="00D434D8"/>
    <w:rsid w:val="00D43DF5"/>
    <w:rsid w:val="00D445C4"/>
    <w:rsid w:val="00D47172"/>
    <w:rsid w:val="00D50159"/>
    <w:rsid w:val="00D51527"/>
    <w:rsid w:val="00D51EAD"/>
    <w:rsid w:val="00D51F0B"/>
    <w:rsid w:val="00D5231B"/>
    <w:rsid w:val="00D5415C"/>
    <w:rsid w:val="00D54900"/>
    <w:rsid w:val="00D54DAE"/>
    <w:rsid w:val="00D56BCA"/>
    <w:rsid w:val="00D56F2C"/>
    <w:rsid w:val="00D56F47"/>
    <w:rsid w:val="00D57BB5"/>
    <w:rsid w:val="00D57BE6"/>
    <w:rsid w:val="00D60064"/>
    <w:rsid w:val="00D60785"/>
    <w:rsid w:val="00D636B5"/>
    <w:rsid w:val="00D64EAD"/>
    <w:rsid w:val="00D650A9"/>
    <w:rsid w:val="00D66A75"/>
    <w:rsid w:val="00D70215"/>
    <w:rsid w:val="00D7222B"/>
    <w:rsid w:val="00D7239D"/>
    <w:rsid w:val="00D7243F"/>
    <w:rsid w:val="00D72C34"/>
    <w:rsid w:val="00D72C9A"/>
    <w:rsid w:val="00D74F4E"/>
    <w:rsid w:val="00D75107"/>
    <w:rsid w:val="00D76AA7"/>
    <w:rsid w:val="00D80088"/>
    <w:rsid w:val="00D80EDA"/>
    <w:rsid w:val="00D81EEB"/>
    <w:rsid w:val="00D82F62"/>
    <w:rsid w:val="00D8337D"/>
    <w:rsid w:val="00D840F8"/>
    <w:rsid w:val="00D8429E"/>
    <w:rsid w:val="00D84417"/>
    <w:rsid w:val="00D84F94"/>
    <w:rsid w:val="00D85591"/>
    <w:rsid w:val="00D8769E"/>
    <w:rsid w:val="00D878BA"/>
    <w:rsid w:val="00D91A72"/>
    <w:rsid w:val="00D9230C"/>
    <w:rsid w:val="00D95C86"/>
    <w:rsid w:val="00D96F8A"/>
    <w:rsid w:val="00D97B91"/>
    <w:rsid w:val="00DA029C"/>
    <w:rsid w:val="00DA0E71"/>
    <w:rsid w:val="00DA2250"/>
    <w:rsid w:val="00DA3AEE"/>
    <w:rsid w:val="00DA55EB"/>
    <w:rsid w:val="00DA6C4F"/>
    <w:rsid w:val="00DA752A"/>
    <w:rsid w:val="00DA779D"/>
    <w:rsid w:val="00DA7BE9"/>
    <w:rsid w:val="00DA7FB3"/>
    <w:rsid w:val="00DB0458"/>
    <w:rsid w:val="00DB060A"/>
    <w:rsid w:val="00DB14D7"/>
    <w:rsid w:val="00DB3CF2"/>
    <w:rsid w:val="00DB4C8D"/>
    <w:rsid w:val="00DB5161"/>
    <w:rsid w:val="00DB593A"/>
    <w:rsid w:val="00DB5B54"/>
    <w:rsid w:val="00DB6031"/>
    <w:rsid w:val="00DB7F10"/>
    <w:rsid w:val="00DC1346"/>
    <w:rsid w:val="00DC574A"/>
    <w:rsid w:val="00DC64BB"/>
    <w:rsid w:val="00DC6E28"/>
    <w:rsid w:val="00DC6EAB"/>
    <w:rsid w:val="00DC7515"/>
    <w:rsid w:val="00DD127E"/>
    <w:rsid w:val="00DD1419"/>
    <w:rsid w:val="00DD30F1"/>
    <w:rsid w:val="00DD52BB"/>
    <w:rsid w:val="00DD643A"/>
    <w:rsid w:val="00DD714F"/>
    <w:rsid w:val="00DE14AB"/>
    <w:rsid w:val="00DE1E51"/>
    <w:rsid w:val="00DE3221"/>
    <w:rsid w:val="00DE39F9"/>
    <w:rsid w:val="00DE3A5D"/>
    <w:rsid w:val="00DE425D"/>
    <w:rsid w:val="00DE5095"/>
    <w:rsid w:val="00DE593F"/>
    <w:rsid w:val="00DE5DA8"/>
    <w:rsid w:val="00DE77E6"/>
    <w:rsid w:val="00DF00D2"/>
    <w:rsid w:val="00DF3D21"/>
    <w:rsid w:val="00DF6555"/>
    <w:rsid w:val="00DF78F8"/>
    <w:rsid w:val="00DF7B63"/>
    <w:rsid w:val="00E00771"/>
    <w:rsid w:val="00E00990"/>
    <w:rsid w:val="00E00FCE"/>
    <w:rsid w:val="00E01DDE"/>
    <w:rsid w:val="00E04EE7"/>
    <w:rsid w:val="00E0757E"/>
    <w:rsid w:val="00E07B3B"/>
    <w:rsid w:val="00E11B03"/>
    <w:rsid w:val="00E12048"/>
    <w:rsid w:val="00E127C3"/>
    <w:rsid w:val="00E12B88"/>
    <w:rsid w:val="00E151A3"/>
    <w:rsid w:val="00E15DC3"/>
    <w:rsid w:val="00E17B34"/>
    <w:rsid w:val="00E17E02"/>
    <w:rsid w:val="00E2011E"/>
    <w:rsid w:val="00E21EA5"/>
    <w:rsid w:val="00E22BBD"/>
    <w:rsid w:val="00E231EF"/>
    <w:rsid w:val="00E23A7D"/>
    <w:rsid w:val="00E240AD"/>
    <w:rsid w:val="00E25078"/>
    <w:rsid w:val="00E253EA"/>
    <w:rsid w:val="00E3006B"/>
    <w:rsid w:val="00E318E9"/>
    <w:rsid w:val="00E34E71"/>
    <w:rsid w:val="00E35B8F"/>
    <w:rsid w:val="00E36FFA"/>
    <w:rsid w:val="00E3760C"/>
    <w:rsid w:val="00E3786F"/>
    <w:rsid w:val="00E40140"/>
    <w:rsid w:val="00E4092A"/>
    <w:rsid w:val="00E40FBC"/>
    <w:rsid w:val="00E42382"/>
    <w:rsid w:val="00E44984"/>
    <w:rsid w:val="00E455D0"/>
    <w:rsid w:val="00E4694F"/>
    <w:rsid w:val="00E5123E"/>
    <w:rsid w:val="00E52992"/>
    <w:rsid w:val="00E536EC"/>
    <w:rsid w:val="00E53CD2"/>
    <w:rsid w:val="00E5415E"/>
    <w:rsid w:val="00E54187"/>
    <w:rsid w:val="00E54867"/>
    <w:rsid w:val="00E54909"/>
    <w:rsid w:val="00E55947"/>
    <w:rsid w:val="00E55EAD"/>
    <w:rsid w:val="00E567DB"/>
    <w:rsid w:val="00E56F19"/>
    <w:rsid w:val="00E57733"/>
    <w:rsid w:val="00E577D0"/>
    <w:rsid w:val="00E57D57"/>
    <w:rsid w:val="00E60942"/>
    <w:rsid w:val="00E60C32"/>
    <w:rsid w:val="00E613A2"/>
    <w:rsid w:val="00E6180A"/>
    <w:rsid w:val="00E61A41"/>
    <w:rsid w:val="00E61ABC"/>
    <w:rsid w:val="00E63152"/>
    <w:rsid w:val="00E636DC"/>
    <w:rsid w:val="00E66FE7"/>
    <w:rsid w:val="00E67678"/>
    <w:rsid w:val="00E679DA"/>
    <w:rsid w:val="00E7038E"/>
    <w:rsid w:val="00E71A74"/>
    <w:rsid w:val="00E71CF6"/>
    <w:rsid w:val="00E725BC"/>
    <w:rsid w:val="00E72A8B"/>
    <w:rsid w:val="00E73691"/>
    <w:rsid w:val="00E74680"/>
    <w:rsid w:val="00E746B9"/>
    <w:rsid w:val="00E755C1"/>
    <w:rsid w:val="00E75E09"/>
    <w:rsid w:val="00E775D0"/>
    <w:rsid w:val="00E8067C"/>
    <w:rsid w:val="00E81881"/>
    <w:rsid w:val="00E8261A"/>
    <w:rsid w:val="00E83C55"/>
    <w:rsid w:val="00E8511B"/>
    <w:rsid w:val="00E85F34"/>
    <w:rsid w:val="00E86123"/>
    <w:rsid w:val="00E865E4"/>
    <w:rsid w:val="00E868F6"/>
    <w:rsid w:val="00E87A50"/>
    <w:rsid w:val="00E9012E"/>
    <w:rsid w:val="00E9036D"/>
    <w:rsid w:val="00E9073F"/>
    <w:rsid w:val="00E907B8"/>
    <w:rsid w:val="00E91A9B"/>
    <w:rsid w:val="00E91FEB"/>
    <w:rsid w:val="00E9366A"/>
    <w:rsid w:val="00E93945"/>
    <w:rsid w:val="00E944B6"/>
    <w:rsid w:val="00E94646"/>
    <w:rsid w:val="00E94800"/>
    <w:rsid w:val="00E959A0"/>
    <w:rsid w:val="00E95E1D"/>
    <w:rsid w:val="00E96F62"/>
    <w:rsid w:val="00EA1A90"/>
    <w:rsid w:val="00EA4753"/>
    <w:rsid w:val="00EB0DBA"/>
    <w:rsid w:val="00EB1826"/>
    <w:rsid w:val="00EB1EF7"/>
    <w:rsid w:val="00EB27B2"/>
    <w:rsid w:val="00EB27F8"/>
    <w:rsid w:val="00EB5B9B"/>
    <w:rsid w:val="00EB64CF"/>
    <w:rsid w:val="00EC101D"/>
    <w:rsid w:val="00EC2375"/>
    <w:rsid w:val="00EC244E"/>
    <w:rsid w:val="00EC36CE"/>
    <w:rsid w:val="00EC3923"/>
    <w:rsid w:val="00EC3E84"/>
    <w:rsid w:val="00EC503E"/>
    <w:rsid w:val="00EC5E1B"/>
    <w:rsid w:val="00EC6387"/>
    <w:rsid w:val="00EC66BE"/>
    <w:rsid w:val="00ED04AA"/>
    <w:rsid w:val="00ED064F"/>
    <w:rsid w:val="00ED09B1"/>
    <w:rsid w:val="00ED4153"/>
    <w:rsid w:val="00ED4D3A"/>
    <w:rsid w:val="00ED6B6B"/>
    <w:rsid w:val="00ED6F2A"/>
    <w:rsid w:val="00ED722A"/>
    <w:rsid w:val="00EE0214"/>
    <w:rsid w:val="00EE0368"/>
    <w:rsid w:val="00EE0B45"/>
    <w:rsid w:val="00EE26B5"/>
    <w:rsid w:val="00EE70C0"/>
    <w:rsid w:val="00EF068F"/>
    <w:rsid w:val="00EF0CF8"/>
    <w:rsid w:val="00EF1AE8"/>
    <w:rsid w:val="00EF2429"/>
    <w:rsid w:val="00EF2FDB"/>
    <w:rsid w:val="00EF35FA"/>
    <w:rsid w:val="00EF3938"/>
    <w:rsid w:val="00EF41CF"/>
    <w:rsid w:val="00EF44DD"/>
    <w:rsid w:val="00EF5891"/>
    <w:rsid w:val="00EF779F"/>
    <w:rsid w:val="00F028C8"/>
    <w:rsid w:val="00F02DBD"/>
    <w:rsid w:val="00F03B57"/>
    <w:rsid w:val="00F04904"/>
    <w:rsid w:val="00F0503C"/>
    <w:rsid w:val="00F05A11"/>
    <w:rsid w:val="00F0640D"/>
    <w:rsid w:val="00F07468"/>
    <w:rsid w:val="00F07E16"/>
    <w:rsid w:val="00F11066"/>
    <w:rsid w:val="00F1485A"/>
    <w:rsid w:val="00F1600D"/>
    <w:rsid w:val="00F20061"/>
    <w:rsid w:val="00F20DE0"/>
    <w:rsid w:val="00F23D09"/>
    <w:rsid w:val="00F23F3E"/>
    <w:rsid w:val="00F24030"/>
    <w:rsid w:val="00F24D37"/>
    <w:rsid w:val="00F253BD"/>
    <w:rsid w:val="00F26371"/>
    <w:rsid w:val="00F2682B"/>
    <w:rsid w:val="00F26859"/>
    <w:rsid w:val="00F30B6D"/>
    <w:rsid w:val="00F30DA8"/>
    <w:rsid w:val="00F31EAE"/>
    <w:rsid w:val="00F324E2"/>
    <w:rsid w:val="00F328DE"/>
    <w:rsid w:val="00F33956"/>
    <w:rsid w:val="00F34C1F"/>
    <w:rsid w:val="00F35221"/>
    <w:rsid w:val="00F371EB"/>
    <w:rsid w:val="00F3770E"/>
    <w:rsid w:val="00F3772B"/>
    <w:rsid w:val="00F377F9"/>
    <w:rsid w:val="00F37E4A"/>
    <w:rsid w:val="00F37F50"/>
    <w:rsid w:val="00F401FD"/>
    <w:rsid w:val="00F41044"/>
    <w:rsid w:val="00F41AB3"/>
    <w:rsid w:val="00F41EA8"/>
    <w:rsid w:val="00F432D2"/>
    <w:rsid w:val="00F43A7C"/>
    <w:rsid w:val="00F4450B"/>
    <w:rsid w:val="00F45948"/>
    <w:rsid w:val="00F47C11"/>
    <w:rsid w:val="00F47E87"/>
    <w:rsid w:val="00F524D4"/>
    <w:rsid w:val="00F52885"/>
    <w:rsid w:val="00F55835"/>
    <w:rsid w:val="00F56347"/>
    <w:rsid w:val="00F622E7"/>
    <w:rsid w:val="00F62EEE"/>
    <w:rsid w:val="00F63083"/>
    <w:rsid w:val="00F63C29"/>
    <w:rsid w:val="00F63F77"/>
    <w:rsid w:val="00F6417F"/>
    <w:rsid w:val="00F64D0C"/>
    <w:rsid w:val="00F650AE"/>
    <w:rsid w:val="00F651BE"/>
    <w:rsid w:val="00F658E5"/>
    <w:rsid w:val="00F70356"/>
    <w:rsid w:val="00F70AA8"/>
    <w:rsid w:val="00F73AC2"/>
    <w:rsid w:val="00F74496"/>
    <w:rsid w:val="00F7534C"/>
    <w:rsid w:val="00F7579D"/>
    <w:rsid w:val="00F75F14"/>
    <w:rsid w:val="00F8080C"/>
    <w:rsid w:val="00F81352"/>
    <w:rsid w:val="00F81778"/>
    <w:rsid w:val="00F82E7B"/>
    <w:rsid w:val="00F8338C"/>
    <w:rsid w:val="00F83E0A"/>
    <w:rsid w:val="00F845C7"/>
    <w:rsid w:val="00F8489A"/>
    <w:rsid w:val="00F84B3A"/>
    <w:rsid w:val="00F855FD"/>
    <w:rsid w:val="00F862A9"/>
    <w:rsid w:val="00F862F1"/>
    <w:rsid w:val="00F8767D"/>
    <w:rsid w:val="00F87F1A"/>
    <w:rsid w:val="00F9037C"/>
    <w:rsid w:val="00F90BF2"/>
    <w:rsid w:val="00F91CEB"/>
    <w:rsid w:val="00F941A0"/>
    <w:rsid w:val="00F94B9D"/>
    <w:rsid w:val="00F94C78"/>
    <w:rsid w:val="00F94E21"/>
    <w:rsid w:val="00FA1922"/>
    <w:rsid w:val="00FA4732"/>
    <w:rsid w:val="00FA6D00"/>
    <w:rsid w:val="00FA75D1"/>
    <w:rsid w:val="00FB2808"/>
    <w:rsid w:val="00FB5A19"/>
    <w:rsid w:val="00FB626B"/>
    <w:rsid w:val="00FC14C7"/>
    <w:rsid w:val="00FC30CA"/>
    <w:rsid w:val="00FC3AF0"/>
    <w:rsid w:val="00FC72B7"/>
    <w:rsid w:val="00FC7407"/>
    <w:rsid w:val="00FC7ADE"/>
    <w:rsid w:val="00FD0A43"/>
    <w:rsid w:val="00FD0D1B"/>
    <w:rsid w:val="00FD1896"/>
    <w:rsid w:val="00FD1E97"/>
    <w:rsid w:val="00FD2BD7"/>
    <w:rsid w:val="00FD2FC2"/>
    <w:rsid w:val="00FD3BEE"/>
    <w:rsid w:val="00FD5CFA"/>
    <w:rsid w:val="00FD5E78"/>
    <w:rsid w:val="00FD6782"/>
    <w:rsid w:val="00FD688E"/>
    <w:rsid w:val="00FD6F51"/>
    <w:rsid w:val="00FE25FF"/>
    <w:rsid w:val="00FE28D1"/>
    <w:rsid w:val="00FE3B83"/>
    <w:rsid w:val="00FE3BAE"/>
    <w:rsid w:val="00FE6913"/>
    <w:rsid w:val="00FE7949"/>
    <w:rsid w:val="00FE7E07"/>
    <w:rsid w:val="00FF0A69"/>
    <w:rsid w:val="00FF138B"/>
    <w:rsid w:val="00FF3491"/>
    <w:rsid w:val="00FF3D5E"/>
    <w:rsid w:val="00FF4E31"/>
    <w:rsid w:val="00FF5583"/>
    <w:rsid w:val="00FF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A08B6A69-EA47-493A-9B37-740A25D87C0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aliases w:val="o,fr,o1,o2,o3,o4,o5,o6,o11,o21,o7,Style 3,Style 21,Style 12"/>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styleId="ListBullet">
    <w:name w:val="List Bullet"/>
    <w:basedOn w:val="Normal"/>
    <w:unhideWhenUsed/>
    <w:rsid w:val="005E13F6"/>
    <w:pPr>
      <w:numPr>
        <w:numId w:val="11"/>
      </w:numPr>
      <w:contextualSpacing/>
    </w:pPr>
  </w:style>
  <w:style w:type="character" w:styleId="UnresolvedMention">
    <w:name w:val="Unresolved Mention"/>
    <w:basedOn w:val="DefaultParagraphFont"/>
    <w:uiPriority w:val="99"/>
    <w:semiHidden/>
    <w:unhideWhenUsed/>
    <w:rsid w:val="00AB5DF1"/>
    <w:rPr>
      <w:color w:val="605E5C"/>
      <w:shd w:val="clear" w:color="auto" w:fill="E1DFDD"/>
    </w:rPr>
  </w:style>
  <w:style w:type="paragraph" w:customStyle="1" w:styleId="Section24before">
    <w:name w:val="Section24before"/>
    <w:basedOn w:val="Normal"/>
    <w:qFormat/>
    <w:rsid w:val="00B82D90"/>
    <w:pPr>
      <w:keepNext/>
      <w:spacing w:before="240" w:line="240" w:lineRule="exact"/>
    </w:pPr>
    <w:rPr>
      <w:rFonts w:eastAsiaTheme="minorHAnsi" w:cstheme="minorBidi"/>
      <w:b/>
      <w:bCs/>
      <w:szCs w:val="22"/>
    </w:rPr>
  </w:style>
  <w:style w:type="paragraph" w:customStyle="1" w:styleId="BoxCheck1">
    <w:name w:val="Box&amp;Check1"/>
    <w:basedOn w:val="Normal"/>
    <w:qFormat/>
    <w:rsid w:val="00B82D90"/>
    <w:pPr>
      <w:spacing w:line="240" w:lineRule="exact"/>
      <w:ind w:left="288" w:hanging="288"/>
    </w:pPr>
    <w:rPr>
      <w:rFonts w:eastAsiaTheme="minorHAnsi" w:cstheme="minorBidi"/>
      <w:szCs w:val="22"/>
    </w:rPr>
  </w:style>
  <w:style w:type="paragraph" w:styleId="BodyText">
    <w:name w:val="Body Text"/>
    <w:basedOn w:val="Normal"/>
    <w:link w:val="BodyTextChar"/>
    <w:unhideWhenUsed/>
    <w:rsid w:val="008263FE"/>
    <w:pPr>
      <w:tabs>
        <w:tab w:val="left" w:pos="2160"/>
        <w:tab w:val="left" w:pos="3600"/>
      </w:tabs>
    </w:pPr>
    <w:rPr>
      <w:szCs w:val="20"/>
    </w:rPr>
  </w:style>
  <w:style w:type="character" w:customStyle="1" w:styleId="BodyTextChar">
    <w:name w:val="Body Text Char"/>
    <w:basedOn w:val="DefaultParagraphFont"/>
    <w:link w:val="BodyText"/>
    <w:rsid w:val="008263FE"/>
    <w:rPr>
      <w:sz w:val="24"/>
    </w:rPr>
  </w:style>
  <w:style w:type="paragraph" w:customStyle="1" w:styleId="Note1">
    <w:name w:val="Note1"/>
    <w:basedOn w:val="Normal"/>
    <w:qFormat/>
    <w:rsid w:val="008263FE"/>
    <w:pPr>
      <w:ind w:left="533" w:hanging="533"/>
    </w:pPr>
    <w:rPr>
      <w:rFonts w:eastAsiaTheme="minorHAnsi" w:cstheme="minorBidi"/>
      <w:iC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34470">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docs.cpuc.ca.gov/PublishedDocs/Published/G000/M597/K162/597162878.pdf" TargetMode="External" Id="Rad2572ba8dbf42bf" /></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26</ap:Pages>
  <ap:Words>6724</ap:Words>
  <ap:Characters>38332</ap:Characters>
  <ap:Application>Microsoft Office Word</ap:Application>
  <ap:DocSecurity>0</ap:DocSecurity>
  <ap:Lines>319</ap:Lines>
  <ap:Paragraphs>89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44967</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2026-01-30T15:06:25Z</dcterms:created>
  <dcterms:modified xsi:type="dcterms:W3CDTF">2026-01-30T15:06:25Z</dcterms:modified>
</cp:coreProperties>
</file>