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B834DA" w:rsidRDefault="008C19B0" w14:paraId="2E1561F7" w14:textId="34F1A4F5">
      <w:pPr>
        <w:tabs>
          <w:tab w:val="center" w:pos="4680"/>
          <w:tab w:val="right" w:pos="9360"/>
        </w:tabs>
        <w:spacing w:line="240" w:lineRule="auto"/>
        <w:ind w:firstLine="0"/>
        <w:jc w:val="both"/>
      </w:pPr>
      <w:r>
        <w:t>COM/ARD/</w:t>
      </w:r>
      <w:r w:rsidR="00B834DA">
        <w:t>jnf</w:t>
      </w:r>
      <w:r w:rsidR="00B62302">
        <w:t>/sgu</w:t>
      </w:r>
      <w:r w:rsidR="007E0FEE">
        <w:tab/>
      </w:r>
      <w:r w:rsidRPr="00B62302" w:rsidR="00DA7B5D">
        <w:rPr>
          <w:rFonts w:ascii="Arial" w:hAnsi="Arial" w:cs="Arial"/>
          <w:b/>
          <w:sz w:val="28"/>
          <w:szCs w:val="28"/>
        </w:rPr>
        <w:t>PROPOSED DECISION</w:t>
      </w:r>
      <w:r w:rsidR="00DA7B5D">
        <w:tab/>
      </w:r>
      <w:r w:rsidRPr="00EE4315" w:rsidR="00DA7B5D">
        <w:rPr>
          <w:b/>
        </w:rPr>
        <w:t>Agenda ID #</w:t>
      </w:r>
      <w:r w:rsidRPr="008F55AF" w:rsidR="008F55AF">
        <w:rPr>
          <w:b/>
        </w:rPr>
        <w:t>23941</w:t>
      </w:r>
      <w:r w:rsidR="00B62302">
        <w:rPr>
          <w:b/>
        </w:rPr>
        <w:t xml:space="preserve"> (Rev 1)</w:t>
      </w:r>
    </w:p>
    <w:p w:rsidR="00DA7B5D" w:rsidP="00B834DA" w:rsidRDefault="00B834DA" w14:paraId="055C04D8" w14:textId="0CF7A504">
      <w:pPr>
        <w:spacing w:line="240" w:lineRule="auto"/>
        <w:ind w:firstLine="0"/>
        <w:jc w:val="right"/>
        <w:rPr>
          <w:b/>
        </w:rPr>
      </w:pPr>
      <w:r>
        <w:rPr>
          <w:b/>
        </w:rPr>
        <w:t>Quasi-Legislative</w:t>
      </w:r>
    </w:p>
    <w:p w:rsidRPr="00EE4315" w:rsidR="00B62302" w:rsidP="00B834DA" w:rsidRDefault="00B62302" w14:paraId="003C47D9" w14:textId="3E413EF2">
      <w:pPr>
        <w:spacing w:line="240" w:lineRule="auto"/>
        <w:ind w:firstLine="0"/>
        <w:jc w:val="right"/>
        <w:rPr>
          <w:b/>
        </w:rPr>
      </w:pPr>
      <w:r>
        <w:rPr>
          <w:b/>
        </w:rPr>
        <w:t>2/5/2026 Item #33</w:t>
      </w:r>
    </w:p>
    <w:p w:rsidR="00DA7B5D" w:rsidP="00B834DA" w:rsidRDefault="00DA7B5D" w14:paraId="36328A37" w14:textId="77777777">
      <w:pPr>
        <w:spacing w:line="240" w:lineRule="auto"/>
        <w:ind w:firstLine="0"/>
        <w:jc w:val="both"/>
      </w:pPr>
    </w:p>
    <w:p w:rsidR="00B834DA" w:rsidP="00B834DA" w:rsidRDefault="00B834DA" w14:paraId="3D1AC3D7" w14:textId="77777777">
      <w:pPr>
        <w:spacing w:line="240" w:lineRule="auto"/>
        <w:ind w:firstLine="0"/>
        <w:jc w:val="both"/>
      </w:pPr>
    </w:p>
    <w:p w:rsidRPr="00B834DA" w:rsidR="00DA7B5D" w:rsidP="00B834DA" w:rsidRDefault="00DA7B5D" w14:paraId="4BED3F37" w14:textId="509D67B5">
      <w:pPr>
        <w:spacing w:line="240" w:lineRule="auto"/>
        <w:ind w:left="1080" w:hanging="1080"/>
      </w:pPr>
      <w:r>
        <w:t>Decision</w:t>
      </w:r>
      <w:r w:rsidR="00B834DA">
        <w:t> </w:t>
      </w:r>
      <w:r w:rsidR="00B834DA">
        <w:rPr>
          <w:b/>
          <w:bCs/>
          <w:u w:val="single"/>
        </w:rPr>
        <w:t>PROPOSED DECISION OF COMMISSIONER ALICE REYNOLDS</w:t>
      </w:r>
      <w:r w:rsidR="00B834DA">
        <w:rPr>
          <w:b/>
          <w:bCs/>
          <w:u w:val="single"/>
        </w:rPr>
        <w:br/>
      </w:r>
      <w:r w:rsidR="00B834DA">
        <w:rPr>
          <w:b/>
          <w:bCs/>
        </w:rPr>
        <w:t>(</w:t>
      </w:r>
      <w:r w:rsidRPr="00CA4CEB" w:rsidR="00B834DA">
        <w:rPr>
          <w:b/>
          <w:bCs/>
          <w:u w:val="single"/>
        </w:rPr>
        <w:t xml:space="preserve">Mailed </w:t>
      </w:r>
      <w:r w:rsidRPr="00CA4CEB" w:rsidR="00CA4CEB">
        <w:rPr>
          <w:b/>
          <w:bCs/>
          <w:u w:val="single"/>
        </w:rPr>
        <w:t>12</w:t>
      </w:r>
      <w:r w:rsidRPr="00CA4CEB" w:rsidR="00B834DA">
        <w:rPr>
          <w:b/>
          <w:bCs/>
          <w:u w:val="single"/>
        </w:rPr>
        <w:t>/</w:t>
      </w:r>
      <w:r w:rsidRPr="00CA4CEB" w:rsidR="00CA4CEB">
        <w:rPr>
          <w:b/>
          <w:bCs/>
          <w:u w:val="single"/>
        </w:rPr>
        <w:t>24</w:t>
      </w:r>
      <w:r w:rsidRPr="00CA4CEB" w:rsidR="00B834DA">
        <w:rPr>
          <w:b/>
          <w:bCs/>
          <w:u w:val="single"/>
        </w:rPr>
        <w:t>/</w:t>
      </w:r>
      <w:r w:rsidRPr="00CA4CEB" w:rsidR="00CA4CEB">
        <w:rPr>
          <w:b/>
          <w:bCs/>
          <w:u w:val="single"/>
        </w:rPr>
        <w:t>2025</w:t>
      </w:r>
      <w:r w:rsidR="00B834DA">
        <w:rPr>
          <w:b/>
          <w:bCs/>
        </w:rPr>
        <w:t>)</w:t>
      </w:r>
    </w:p>
    <w:p w:rsidR="00DA7B5D" w:rsidP="00B834DA" w:rsidRDefault="00DA7B5D" w14:paraId="679EF5A6" w14:textId="77777777">
      <w:pPr>
        <w:spacing w:line="240" w:lineRule="auto"/>
        <w:ind w:firstLine="0"/>
        <w:jc w:val="both"/>
        <w:rPr>
          <w:u w:val="single"/>
        </w:rPr>
      </w:pPr>
    </w:p>
    <w:p w:rsidR="00B834DA" w:rsidP="00B834DA" w:rsidRDefault="00B834DA" w14:paraId="6333078B" w14:textId="77777777">
      <w:pPr>
        <w:spacing w:line="240" w:lineRule="auto"/>
        <w:ind w:firstLine="0"/>
        <w:jc w:val="both"/>
        <w:rPr>
          <w:u w:val="single"/>
        </w:rPr>
      </w:pPr>
    </w:p>
    <w:p w:rsidR="00DA7B5D" w:rsidP="00BB0243" w:rsidRDefault="00DA7B5D" w14:paraId="5842C4E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487FB4E"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4E858E0"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B834DA" w14:paraId="3FC093B6" w14:textId="59D4665C">
            <w:pPr>
              <w:spacing w:line="240" w:lineRule="auto"/>
              <w:ind w:firstLine="0"/>
              <w:rPr>
                <w:rFonts w:cs="Arial"/>
                <w:szCs w:val="26"/>
              </w:rPr>
            </w:pPr>
            <w:r w:rsidRPr="00B834DA">
              <w:rPr>
                <w:rFonts w:cs="Arial"/>
                <w:szCs w:val="26"/>
              </w:rPr>
              <w:t>Order Instituting Rulemaking to Establish Energization Timelines.</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B834DA" w14:paraId="59EF85AE" w14:textId="12938EB4">
            <w:pPr>
              <w:spacing w:line="240" w:lineRule="auto"/>
              <w:ind w:firstLine="0"/>
              <w:jc w:val="center"/>
              <w:rPr>
                <w:rFonts w:cs="Arial"/>
                <w:szCs w:val="26"/>
              </w:rPr>
            </w:pPr>
            <w:r>
              <w:rPr>
                <w:rFonts w:cs="Arial"/>
                <w:szCs w:val="26"/>
              </w:rPr>
              <w:t>Rulemaking 24-01-018</w:t>
            </w:r>
          </w:p>
        </w:tc>
      </w:tr>
    </w:tbl>
    <w:p w:rsidR="00DA7B5D" w:rsidP="008F0116" w:rsidRDefault="00DA7B5D" w14:paraId="70A65C18" w14:textId="77777777">
      <w:pPr>
        <w:spacing w:line="240" w:lineRule="auto"/>
        <w:ind w:firstLine="0"/>
        <w:rPr>
          <w:rFonts w:ascii="Arial" w:hAnsi="Arial" w:cs="Arial"/>
          <w:sz w:val="24"/>
          <w:szCs w:val="24"/>
        </w:rPr>
      </w:pPr>
    </w:p>
    <w:p w:rsidR="00DA7B5D" w:rsidP="008F0116" w:rsidRDefault="00DA7B5D" w14:paraId="3927F2F0" w14:textId="77777777">
      <w:pPr>
        <w:spacing w:line="240" w:lineRule="auto"/>
        <w:ind w:firstLine="0"/>
        <w:rPr>
          <w:rFonts w:ascii="Arial" w:hAnsi="Arial" w:cs="Arial"/>
          <w:sz w:val="24"/>
          <w:szCs w:val="24"/>
        </w:rPr>
      </w:pPr>
    </w:p>
    <w:p w:rsidRPr="00F92385" w:rsidR="00F92385" w:rsidP="00664B17" w:rsidRDefault="00F45803" w14:paraId="4C9FC285" w14:textId="562035AE">
      <w:pPr>
        <w:pStyle w:val="Dummy"/>
        <w:jc w:val="center"/>
        <w:sectPr w:rsidRPr="00F92385" w:rsidR="00F92385" w:rsidSect="00CA4CEB">
          <w:headerReference w:type="default" r:id="rId11"/>
          <w:footerReference w:type="default" r:id="rId12"/>
          <w:pgSz w:w="12240" w:h="15840"/>
          <w:pgMar w:top="1728" w:right="1440" w:bottom="1440" w:left="1440" w:header="720" w:footer="720" w:gutter="0"/>
          <w:pgNumType w:start="1"/>
          <w:cols w:space="720"/>
          <w:docGrid w:linePitch="360"/>
        </w:sectPr>
      </w:pPr>
      <w:bookmarkStart w:name="_Toc220940168" w:id="0"/>
      <w:r>
        <w:t xml:space="preserve">DECISION </w:t>
      </w:r>
      <w:r w:rsidR="00874A15">
        <w:t>ESTABLISHING</w:t>
      </w:r>
      <w:r w:rsidR="00090875">
        <w:t xml:space="preserve"> A STANDARD OFFER FOR</w:t>
      </w:r>
      <w:r w:rsidR="00B834DA">
        <w:br/>
      </w:r>
      <w:r w:rsidR="00090875">
        <w:t>FLEXIBLE SERVICE CONNECTIONS</w:t>
      </w:r>
      <w:bookmarkEnd w:id="0"/>
    </w:p>
    <w:p w:rsidRPr="001E2A62" w:rsidR="00D50119" w:rsidP="00F76650" w:rsidRDefault="00D50119" w14:paraId="27F64049"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2D0CED70"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B62302" w:rsidRDefault="008C7413" w14:paraId="37959D2B" w14:textId="0114179B">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0940168">
            <w:r w:rsidRPr="008C2C8D" w:rsidR="00B62302">
              <w:rPr>
                <w:rStyle w:val="Hyperlink"/>
                <w:noProof/>
              </w:rPr>
              <w:t>DECISION ESTABLISHING A STANDARD OFFER FOR FLEXIBLE SERVICE CONNECTIONS</w:t>
            </w:r>
            <w:r w:rsidR="00B62302">
              <w:rPr>
                <w:noProof/>
                <w:webHidden/>
              </w:rPr>
              <w:tab/>
            </w:r>
            <w:r w:rsidR="00B62302">
              <w:rPr>
                <w:noProof/>
                <w:webHidden/>
              </w:rPr>
              <w:fldChar w:fldCharType="begin"/>
            </w:r>
            <w:r w:rsidR="00B62302">
              <w:rPr>
                <w:noProof/>
                <w:webHidden/>
              </w:rPr>
              <w:instrText xml:space="preserve"> PAGEREF _Toc220940168 \h </w:instrText>
            </w:r>
            <w:r w:rsidR="00B62302">
              <w:rPr>
                <w:noProof/>
                <w:webHidden/>
              </w:rPr>
            </w:r>
            <w:r w:rsidR="00B62302">
              <w:rPr>
                <w:noProof/>
                <w:webHidden/>
              </w:rPr>
              <w:fldChar w:fldCharType="separate"/>
            </w:r>
            <w:r w:rsidR="00B62302">
              <w:rPr>
                <w:noProof/>
                <w:webHidden/>
              </w:rPr>
              <w:t>1</w:t>
            </w:r>
            <w:r w:rsidR="00B62302">
              <w:rPr>
                <w:noProof/>
                <w:webHidden/>
              </w:rPr>
              <w:fldChar w:fldCharType="end"/>
            </w:r>
          </w:hyperlink>
        </w:p>
        <w:p w:rsidR="00B62302" w:rsidRDefault="00B62302" w14:paraId="01BB4601" w14:textId="229D1EE7">
          <w:pPr>
            <w:pStyle w:val="TOC1"/>
            <w:tabs>
              <w:tab w:val="right" w:leader="dot" w:pos="9350"/>
            </w:tabs>
            <w:rPr>
              <w:rFonts w:asciiTheme="minorHAnsi" w:hAnsiTheme="minorHAnsi" w:cstheme="minorBidi"/>
              <w:noProof/>
              <w:kern w:val="2"/>
              <w:sz w:val="24"/>
              <w:szCs w:val="24"/>
              <w14:ligatures w14:val="standardContextual"/>
            </w:rPr>
          </w:pPr>
          <w:hyperlink w:history="1" w:anchor="_Toc220940169">
            <w:r w:rsidRPr="008C2C8D">
              <w:rPr>
                <w:rStyle w:val="Hyperlink"/>
                <w:noProof/>
              </w:rPr>
              <w:t>Summary</w:t>
            </w:r>
            <w:r>
              <w:rPr>
                <w:noProof/>
                <w:webHidden/>
              </w:rPr>
              <w:tab/>
            </w:r>
            <w:r>
              <w:rPr>
                <w:noProof/>
                <w:webHidden/>
              </w:rPr>
              <w:fldChar w:fldCharType="begin"/>
            </w:r>
            <w:r>
              <w:rPr>
                <w:noProof/>
                <w:webHidden/>
              </w:rPr>
              <w:instrText xml:space="preserve"> PAGEREF _Toc220940169 \h </w:instrText>
            </w:r>
            <w:r>
              <w:rPr>
                <w:noProof/>
                <w:webHidden/>
              </w:rPr>
            </w:r>
            <w:r>
              <w:rPr>
                <w:noProof/>
                <w:webHidden/>
              </w:rPr>
              <w:fldChar w:fldCharType="separate"/>
            </w:r>
            <w:r>
              <w:rPr>
                <w:noProof/>
                <w:webHidden/>
              </w:rPr>
              <w:t>2</w:t>
            </w:r>
            <w:r>
              <w:rPr>
                <w:noProof/>
                <w:webHidden/>
              </w:rPr>
              <w:fldChar w:fldCharType="end"/>
            </w:r>
          </w:hyperlink>
        </w:p>
        <w:p w:rsidR="00B62302" w:rsidRDefault="00B62302" w14:paraId="08793D81" w14:textId="126451E1">
          <w:pPr>
            <w:pStyle w:val="TOC1"/>
            <w:tabs>
              <w:tab w:val="right" w:leader="dot" w:pos="9350"/>
            </w:tabs>
            <w:rPr>
              <w:rFonts w:asciiTheme="minorHAnsi" w:hAnsiTheme="minorHAnsi" w:cstheme="minorBidi"/>
              <w:noProof/>
              <w:kern w:val="2"/>
              <w:sz w:val="24"/>
              <w:szCs w:val="24"/>
              <w14:ligatures w14:val="standardContextual"/>
            </w:rPr>
          </w:pPr>
          <w:hyperlink w:history="1" w:anchor="_Toc220940170">
            <w:r w:rsidRPr="008C2C8D">
              <w:rPr>
                <w:rStyle w:val="Hyperlink"/>
                <w:noProof/>
              </w:rPr>
              <w:t>1.</w:t>
            </w:r>
            <w:r>
              <w:rPr>
                <w:rFonts w:asciiTheme="minorHAnsi" w:hAnsiTheme="minorHAnsi" w:cstheme="minorBidi"/>
                <w:noProof/>
                <w:kern w:val="2"/>
                <w:sz w:val="24"/>
                <w:szCs w:val="24"/>
                <w14:ligatures w14:val="standardContextual"/>
              </w:rPr>
              <w:tab/>
            </w:r>
            <w:r w:rsidRPr="008C2C8D">
              <w:rPr>
                <w:rStyle w:val="Hyperlink"/>
                <w:noProof/>
              </w:rPr>
              <w:t>Background</w:t>
            </w:r>
            <w:r>
              <w:rPr>
                <w:noProof/>
                <w:webHidden/>
              </w:rPr>
              <w:tab/>
            </w:r>
            <w:r>
              <w:rPr>
                <w:noProof/>
                <w:webHidden/>
              </w:rPr>
              <w:fldChar w:fldCharType="begin"/>
            </w:r>
            <w:r>
              <w:rPr>
                <w:noProof/>
                <w:webHidden/>
              </w:rPr>
              <w:instrText xml:space="preserve"> PAGEREF _Toc220940170 \h </w:instrText>
            </w:r>
            <w:r>
              <w:rPr>
                <w:noProof/>
                <w:webHidden/>
              </w:rPr>
            </w:r>
            <w:r>
              <w:rPr>
                <w:noProof/>
                <w:webHidden/>
              </w:rPr>
              <w:fldChar w:fldCharType="separate"/>
            </w:r>
            <w:r>
              <w:rPr>
                <w:noProof/>
                <w:webHidden/>
              </w:rPr>
              <w:t>2</w:t>
            </w:r>
            <w:r>
              <w:rPr>
                <w:noProof/>
                <w:webHidden/>
              </w:rPr>
              <w:fldChar w:fldCharType="end"/>
            </w:r>
          </w:hyperlink>
        </w:p>
        <w:p w:rsidR="00B62302" w:rsidRDefault="00B62302" w14:paraId="2E3926A1" w14:textId="513EB24E">
          <w:pPr>
            <w:pStyle w:val="TOC2"/>
            <w:tabs>
              <w:tab w:val="right" w:leader="dot" w:pos="9350"/>
            </w:tabs>
            <w:rPr>
              <w:rFonts w:asciiTheme="minorHAnsi" w:hAnsiTheme="minorHAnsi" w:cstheme="minorBidi"/>
              <w:noProof/>
              <w:kern w:val="2"/>
              <w:sz w:val="24"/>
              <w:szCs w:val="24"/>
              <w14:ligatures w14:val="standardContextual"/>
            </w:rPr>
          </w:pPr>
          <w:hyperlink w:history="1" w:anchor="_Toc220940171">
            <w:r w:rsidRPr="008C2C8D">
              <w:rPr>
                <w:rStyle w:val="Hyperlink"/>
                <w:noProof/>
              </w:rPr>
              <w:t>1.1.</w:t>
            </w:r>
            <w:r>
              <w:rPr>
                <w:rFonts w:asciiTheme="minorHAnsi" w:hAnsiTheme="minorHAnsi" w:cstheme="minorBidi"/>
                <w:noProof/>
                <w:kern w:val="2"/>
                <w:sz w:val="24"/>
                <w:szCs w:val="24"/>
                <w14:ligatures w14:val="standardContextual"/>
              </w:rPr>
              <w:tab/>
            </w:r>
            <w:r w:rsidRPr="008C2C8D">
              <w:rPr>
                <w:rStyle w:val="Hyperlink"/>
                <w:noProof/>
              </w:rPr>
              <w:t>Submission Date</w:t>
            </w:r>
            <w:r>
              <w:rPr>
                <w:noProof/>
                <w:webHidden/>
              </w:rPr>
              <w:tab/>
            </w:r>
            <w:r>
              <w:rPr>
                <w:noProof/>
                <w:webHidden/>
              </w:rPr>
              <w:fldChar w:fldCharType="begin"/>
            </w:r>
            <w:r>
              <w:rPr>
                <w:noProof/>
                <w:webHidden/>
              </w:rPr>
              <w:instrText xml:space="preserve"> PAGEREF _Toc220940171 \h </w:instrText>
            </w:r>
            <w:r>
              <w:rPr>
                <w:noProof/>
                <w:webHidden/>
              </w:rPr>
            </w:r>
            <w:r>
              <w:rPr>
                <w:noProof/>
                <w:webHidden/>
              </w:rPr>
              <w:fldChar w:fldCharType="separate"/>
            </w:r>
            <w:r>
              <w:rPr>
                <w:noProof/>
                <w:webHidden/>
              </w:rPr>
              <w:t>5</w:t>
            </w:r>
            <w:r>
              <w:rPr>
                <w:noProof/>
                <w:webHidden/>
              </w:rPr>
              <w:fldChar w:fldCharType="end"/>
            </w:r>
          </w:hyperlink>
        </w:p>
        <w:p w:rsidR="00B62302" w:rsidRDefault="00B62302" w14:paraId="618BB1C3" w14:textId="799A7E6E">
          <w:pPr>
            <w:pStyle w:val="TOC2"/>
            <w:tabs>
              <w:tab w:val="right" w:leader="dot" w:pos="9350"/>
            </w:tabs>
            <w:rPr>
              <w:rFonts w:asciiTheme="minorHAnsi" w:hAnsiTheme="minorHAnsi" w:cstheme="minorBidi"/>
              <w:noProof/>
              <w:kern w:val="2"/>
              <w:sz w:val="24"/>
              <w:szCs w:val="24"/>
              <w14:ligatures w14:val="standardContextual"/>
            </w:rPr>
          </w:pPr>
          <w:hyperlink w:history="1" w:anchor="_Toc220940172">
            <w:r w:rsidRPr="008C2C8D">
              <w:rPr>
                <w:rStyle w:val="Hyperlink"/>
                <w:noProof/>
              </w:rPr>
              <w:t>1.2.</w:t>
            </w:r>
            <w:r>
              <w:rPr>
                <w:rFonts w:asciiTheme="minorHAnsi" w:hAnsiTheme="minorHAnsi" w:cstheme="minorBidi"/>
                <w:noProof/>
                <w:kern w:val="2"/>
                <w:sz w:val="24"/>
                <w:szCs w:val="24"/>
                <w14:ligatures w14:val="standardContextual"/>
              </w:rPr>
              <w:tab/>
            </w:r>
            <w:r w:rsidRPr="008C2C8D">
              <w:rPr>
                <w:rStyle w:val="Hyperlink"/>
                <w:noProof/>
              </w:rPr>
              <w:t>Definitions and Acronyms</w:t>
            </w:r>
            <w:r>
              <w:rPr>
                <w:noProof/>
                <w:webHidden/>
              </w:rPr>
              <w:tab/>
            </w:r>
            <w:r>
              <w:rPr>
                <w:noProof/>
                <w:webHidden/>
              </w:rPr>
              <w:fldChar w:fldCharType="begin"/>
            </w:r>
            <w:r>
              <w:rPr>
                <w:noProof/>
                <w:webHidden/>
              </w:rPr>
              <w:instrText xml:space="preserve"> PAGEREF _Toc220940172 \h </w:instrText>
            </w:r>
            <w:r>
              <w:rPr>
                <w:noProof/>
                <w:webHidden/>
              </w:rPr>
            </w:r>
            <w:r>
              <w:rPr>
                <w:noProof/>
                <w:webHidden/>
              </w:rPr>
              <w:fldChar w:fldCharType="separate"/>
            </w:r>
            <w:r>
              <w:rPr>
                <w:noProof/>
                <w:webHidden/>
              </w:rPr>
              <w:t>5</w:t>
            </w:r>
            <w:r>
              <w:rPr>
                <w:noProof/>
                <w:webHidden/>
              </w:rPr>
              <w:fldChar w:fldCharType="end"/>
            </w:r>
          </w:hyperlink>
        </w:p>
        <w:p w:rsidR="00B62302" w:rsidRDefault="00B62302" w14:paraId="472F7B24" w14:textId="5D1A3E51">
          <w:pPr>
            <w:pStyle w:val="TOC1"/>
            <w:tabs>
              <w:tab w:val="right" w:leader="dot" w:pos="9350"/>
            </w:tabs>
            <w:rPr>
              <w:rFonts w:asciiTheme="minorHAnsi" w:hAnsiTheme="minorHAnsi" w:cstheme="minorBidi"/>
              <w:noProof/>
              <w:kern w:val="2"/>
              <w:sz w:val="24"/>
              <w:szCs w:val="24"/>
              <w14:ligatures w14:val="standardContextual"/>
            </w:rPr>
          </w:pPr>
          <w:hyperlink w:history="1" w:anchor="_Toc220940173">
            <w:r w:rsidRPr="008C2C8D">
              <w:rPr>
                <w:rStyle w:val="Hyperlink"/>
                <w:noProof/>
              </w:rPr>
              <w:t>2.</w:t>
            </w:r>
            <w:r>
              <w:rPr>
                <w:rFonts w:asciiTheme="minorHAnsi" w:hAnsiTheme="minorHAnsi" w:cstheme="minorBidi"/>
                <w:noProof/>
                <w:kern w:val="2"/>
                <w:sz w:val="24"/>
                <w:szCs w:val="24"/>
                <w14:ligatures w14:val="standardContextual"/>
              </w:rPr>
              <w:tab/>
            </w:r>
            <w:r w:rsidRPr="008C2C8D">
              <w:rPr>
                <w:rStyle w:val="Hyperlink"/>
                <w:noProof/>
              </w:rPr>
              <w:t>Issues Before the Commission</w:t>
            </w:r>
            <w:r>
              <w:rPr>
                <w:noProof/>
                <w:webHidden/>
              </w:rPr>
              <w:tab/>
            </w:r>
            <w:r>
              <w:rPr>
                <w:noProof/>
                <w:webHidden/>
              </w:rPr>
              <w:fldChar w:fldCharType="begin"/>
            </w:r>
            <w:r>
              <w:rPr>
                <w:noProof/>
                <w:webHidden/>
              </w:rPr>
              <w:instrText xml:space="preserve"> PAGEREF _Toc220940173 \h </w:instrText>
            </w:r>
            <w:r>
              <w:rPr>
                <w:noProof/>
                <w:webHidden/>
              </w:rPr>
            </w:r>
            <w:r>
              <w:rPr>
                <w:noProof/>
                <w:webHidden/>
              </w:rPr>
              <w:fldChar w:fldCharType="separate"/>
            </w:r>
            <w:r>
              <w:rPr>
                <w:noProof/>
                <w:webHidden/>
              </w:rPr>
              <w:t>6</w:t>
            </w:r>
            <w:r>
              <w:rPr>
                <w:noProof/>
                <w:webHidden/>
              </w:rPr>
              <w:fldChar w:fldCharType="end"/>
            </w:r>
          </w:hyperlink>
        </w:p>
        <w:p w:rsidR="00B62302" w:rsidRDefault="00B62302" w14:paraId="0393E874" w14:textId="68D982AB">
          <w:pPr>
            <w:pStyle w:val="TOC1"/>
            <w:tabs>
              <w:tab w:val="right" w:leader="dot" w:pos="9350"/>
            </w:tabs>
            <w:rPr>
              <w:rFonts w:asciiTheme="minorHAnsi" w:hAnsiTheme="minorHAnsi" w:cstheme="minorBidi"/>
              <w:noProof/>
              <w:kern w:val="2"/>
              <w:sz w:val="24"/>
              <w:szCs w:val="24"/>
              <w14:ligatures w14:val="standardContextual"/>
            </w:rPr>
          </w:pPr>
          <w:hyperlink w:history="1" w:anchor="_Toc220940174">
            <w:r w:rsidRPr="008C2C8D">
              <w:rPr>
                <w:rStyle w:val="Hyperlink"/>
                <w:noProof/>
              </w:rPr>
              <w:t>3.</w:t>
            </w:r>
            <w:r>
              <w:rPr>
                <w:rFonts w:asciiTheme="minorHAnsi" w:hAnsiTheme="minorHAnsi" w:cstheme="minorBidi"/>
                <w:noProof/>
                <w:kern w:val="2"/>
                <w:sz w:val="24"/>
                <w:szCs w:val="24"/>
                <w14:ligatures w14:val="standardContextual"/>
              </w:rPr>
              <w:tab/>
            </w:r>
            <w:r w:rsidRPr="008C2C8D">
              <w:rPr>
                <w:rStyle w:val="Hyperlink"/>
                <w:noProof/>
              </w:rPr>
              <w:t>FSC Offerings Providing Lessons Learned</w:t>
            </w:r>
            <w:r>
              <w:rPr>
                <w:noProof/>
                <w:webHidden/>
              </w:rPr>
              <w:tab/>
            </w:r>
            <w:r>
              <w:rPr>
                <w:noProof/>
                <w:webHidden/>
              </w:rPr>
              <w:fldChar w:fldCharType="begin"/>
            </w:r>
            <w:r>
              <w:rPr>
                <w:noProof/>
                <w:webHidden/>
              </w:rPr>
              <w:instrText xml:space="preserve"> PAGEREF _Toc220940174 \h </w:instrText>
            </w:r>
            <w:r>
              <w:rPr>
                <w:noProof/>
                <w:webHidden/>
              </w:rPr>
            </w:r>
            <w:r>
              <w:rPr>
                <w:noProof/>
                <w:webHidden/>
              </w:rPr>
              <w:fldChar w:fldCharType="separate"/>
            </w:r>
            <w:r>
              <w:rPr>
                <w:noProof/>
                <w:webHidden/>
              </w:rPr>
              <w:t>7</w:t>
            </w:r>
            <w:r>
              <w:rPr>
                <w:noProof/>
                <w:webHidden/>
              </w:rPr>
              <w:fldChar w:fldCharType="end"/>
            </w:r>
          </w:hyperlink>
        </w:p>
        <w:p w:rsidR="00B62302" w:rsidRDefault="00B62302" w14:paraId="5C494B7B" w14:textId="170A71B4">
          <w:pPr>
            <w:pStyle w:val="TOC2"/>
            <w:tabs>
              <w:tab w:val="right" w:leader="dot" w:pos="9350"/>
            </w:tabs>
            <w:rPr>
              <w:rFonts w:asciiTheme="minorHAnsi" w:hAnsiTheme="minorHAnsi" w:cstheme="minorBidi"/>
              <w:noProof/>
              <w:kern w:val="2"/>
              <w:sz w:val="24"/>
              <w:szCs w:val="24"/>
              <w14:ligatures w14:val="standardContextual"/>
            </w:rPr>
          </w:pPr>
          <w:hyperlink w:history="1" w:anchor="_Toc220940175">
            <w:r w:rsidRPr="008C2C8D">
              <w:rPr>
                <w:rStyle w:val="Hyperlink"/>
                <w:noProof/>
              </w:rPr>
              <w:t>3.1.</w:t>
            </w:r>
            <w:r>
              <w:rPr>
                <w:rFonts w:asciiTheme="minorHAnsi" w:hAnsiTheme="minorHAnsi" w:cstheme="minorBidi"/>
                <w:noProof/>
                <w:kern w:val="2"/>
                <w:sz w:val="24"/>
                <w:szCs w:val="24"/>
                <w14:ligatures w14:val="standardContextual"/>
              </w:rPr>
              <w:tab/>
            </w:r>
            <w:r w:rsidRPr="008C2C8D">
              <w:rPr>
                <w:rStyle w:val="Hyperlink"/>
                <w:noProof/>
              </w:rPr>
              <w:t>No Directly Applicable Examples from other Jurisdictions</w:t>
            </w:r>
            <w:r>
              <w:rPr>
                <w:noProof/>
                <w:webHidden/>
              </w:rPr>
              <w:tab/>
            </w:r>
            <w:r>
              <w:rPr>
                <w:noProof/>
                <w:webHidden/>
              </w:rPr>
              <w:fldChar w:fldCharType="begin"/>
            </w:r>
            <w:r>
              <w:rPr>
                <w:noProof/>
                <w:webHidden/>
              </w:rPr>
              <w:instrText xml:space="preserve"> PAGEREF _Toc220940175 \h </w:instrText>
            </w:r>
            <w:r>
              <w:rPr>
                <w:noProof/>
                <w:webHidden/>
              </w:rPr>
            </w:r>
            <w:r>
              <w:rPr>
                <w:noProof/>
                <w:webHidden/>
              </w:rPr>
              <w:fldChar w:fldCharType="separate"/>
            </w:r>
            <w:r>
              <w:rPr>
                <w:noProof/>
                <w:webHidden/>
              </w:rPr>
              <w:t>7</w:t>
            </w:r>
            <w:r>
              <w:rPr>
                <w:noProof/>
                <w:webHidden/>
              </w:rPr>
              <w:fldChar w:fldCharType="end"/>
            </w:r>
          </w:hyperlink>
        </w:p>
        <w:p w:rsidR="00B62302" w:rsidRDefault="00B62302" w14:paraId="02E1A75F" w14:textId="769FD840">
          <w:pPr>
            <w:pStyle w:val="TOC2"/>
            <w:tabs>
              <w:tab w:val="right" w:leader="dot" w:pos="9350"/>
            </w:tabs>
            <w:rPr>
              <w:rFonts w:asciiTheme="minorHAnsi" w:hAnsiTheme="minorHAnsi" w:cstheme="minorBidi"/>
              <w:noProof/>
              <w:kern w:val="2"/>
              <w:sz w:val="24"/>
              <w:szCs w:val="24"/>
              <w14:ligatures w14:val="standardContextual"/>
            </w:rPr>
          </w:pPr>
          <w:hyperlink w:history="1" w:anchor="_Toc220940176">
            <w:r w:rsidRPr="008C2C8D">
              <w:rPr>
                <w:rStyle w:val="Hyperlink"/>
                <w:noProof/>
              </w:rPr>
              <w:t>3.2.</w:t>
            </w:r>
            <w:r>
              <w:rPr>
                <w:rFonts w:asciiTheme="minorHAnsi" w:hAnsiTheme="minorHAnsi" w:cstheme="minorBidi"/>
                <w:noProof/>
                <w:kern w:val="2"/>
                <w:sz w:val="24"/>
                <w:szCs w:val="24"/>
                <w14:ligatures w14:val="standardContextual"/>
              </w:rPr>
              <w:tab/>
            </w:r>
            <w:r w:rsidRPr="008C2C8D">
              <w:rPr>
                <w:rStyle w:val="Hyperlink"/>
                <w:noProof/>
              </w:rPr>
              <w:t>Examples of Currently Offered FSCs within California</w:t>
            </w:r>
            <w:r>
              <w:rPr>
                <w:noProof/>
                <w:webHidden/>
              </w:rPr>
              <w:tab/>
            </w:r>
            <w:r>
              <w:rPr>
                <w:noProof/>
                <w:webHidden/>
              </w:rPr>
              <w:fldChar w:fldCharType="begin"/>
            </w:r>
            <w:r>
              <w:rPr>
                <w:noProof/>
                <w:webHidden/>
              </w:rPr>
              <w:instrText xml:space="preserve"> PAGEREF _Toc220940176 \h </w:instrText>
            </w:r>
            <w:r>
              <w:rPr>
                <w:noProof/>
                <w:webHidden/>
              </w:rPr>
            </w:r>
            <w:r>
              <w:rPr>
                <w:noProof/>
                <w:webHidden/>
              </w:rPr>
              <w:fldChar w:fldCharType="separate"/>
            </w:r>
            <w:r>
              <w:rPr>
                <w:noProof/>
                <w:webHidden/>
              </w:rPr>
              <w:t>8</w:t>
            </w:r>
            <w:r>
              <w:rPr>
                <w:noProof/>
                <w:webHidden/>
              </w:rPr>
              <w:fldChar w:fldCharType="end"/>
            </w:r>
          </w:hyperlink>
        </w:p>
        <w:p w:rsidR="00B62302" w:rsidRDefault="00B62302" w14:paraId="25DE9A64" w14:textId="1928F8B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177">
            <w:r w:rsidRPr="008C2C8D">
              <w:rPr>
                <w:rStyle w:val="Hyperlink"/>
                <w:noProof/>
              </w:rPr>
              <w:t>3.2.1.</w:t>
            </w:r>
            <w:r>
              <w:rPr>
                <w:rFonts w:asciiTheme="minorHAnsi" w:hAnsiTheme="minorHAnsi" w:cstheme="minorBidi"/>
                <w:noProof/>
                <w:kern w:val="2"/>
                <w:sz w:val="24"/>
                <w:szCs w:val="24"/>
                <w14:ligatures w14:val="standardContextual"/>
              </w:rPr>
              <w:tab/>
            </w:r>
            <w:r w:rsidRPr="008C2C8D">
              <w:rPr>
                <w:rStyle w:val="Hyperlink"/>
                <w:noProof/>
              </w:rPr>
              <w:t>California’s Static FSCs</w:t>
            </w:r>
            <w:r>
              <w:rPr>
                <w:noProof/>
                <w:webHidden/>
              </w:rPr>
              <w:tab/>
            </w:r>
            <w:r>
              <w:rPr>
                <w:noProof/>
                <w:webHidden/>
              </w:rPr>
              <w:fldChar w:fldCharType="begin"/>
            </w:r>
            <w:r>
              <w:rPr>
                <w:noProof/>
                <w:webHidden/>
              </w:rPr>
              <w:instrText xml:space="preserve"> PAGEREF _Toc220940177 \h </w:instrText>
            </w:r>
            <w:r>
              <w:rPr>
                <w:noProof/>
                <w:webHidden/>
              </w:rPr>
            </w:r>
            <w:r>
              <w:rPr>
                <w:noProof/>
                <w:webHidden/>
              </w:rPr>
              <w:fldChar w:fldCharType="separate"/>
            </w:r>
            <w:r>
              <w:rPr>
                <w:noProof/>
                <w:webHidden/>
              </w:rPr>
              <w:t>9</w:t>
            </w:r>
            <w:r>
              <w:rPr>
                <w:noProof/>
                <w:webHidden/>
              </w:rPr>
              <w:fldChar w:fldCharType="end"/>
            </w:r>
          </w:hyperlink>
        </w:p>
        <w:p w:rsidR="00B62302" w:rsidRDefault="00B62302" w14:paraId="67D5AE9E" w14:textId="181A36A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178">
            <w:r w:rsidRPr="008C2C8D">
              <w:rPr>
                <w:rStyle w:val="Hyperlink"/>
                <w:noProof/>
              </w:rPr>
              <w:t>3.2.2.</w:t>
            </w:r>
            <w:r>
              <w:rPr>
                <w:rFonts w:asciiTheme="minorHAnsi" w:hAnsiTheme="minorHAnsi" w:cstheme="minorBidi"/>
                <w:noProof/>
                <w:kern w:val="2"/>
                <w:sz w:val="24"/>
                <w:szCs w:val="24"/>
                <w14:ligatures w14:val="standardContextual"/>
              </w:rPr>
              <w:tab/>
            </w:r>
            <w:r w:rsidRPr="008C2C8D">
              <w:rPr>
                <w:rStyle w:val="Hyperlink"/>
                <w:noProof/>
              </w:rPr>
              <w:t>California’s Dynamic FSCs</w:t>
            </w:r>
            <w:r>
              <w:rPr>
                <w:noProof/>
                <w:webHidden/>
              </w:rPr>
              <w:tab/>
            </w:r>
            <w:r>
              <w:rPr>
                <w:noProof/>
                <w:webHidden/>
              </w:rPr>
              <w:fldChar w:fldCharType="begin"/>
            </w:r>
            <w:r>
              <w:rPr>
                <w:noProof/>
                <w:webHidden/>
              </w:rPr>
              <w:instrText xml:space="preserve"> PAGEREF _Toc220940178 \h </w:instrText>
            </w:r>
            <w:r>
              <w:rPr>
                <w:noProof/>
                <w:webHidden/>
              </w:rPr>
            </w:r>
            <w:r>
              <w:rPr>
                <w:noProof/>
                <w:webHidden/>
              </w:rPr>
              <w:fldChar w:fldCharType="separate"/>
            </w:r>
            <w:r>
              <w:rPr>
                <w:noProof/>
                <w:webHidden/>
              </w:rPr>
              <w:t>9</w:t>
            </w:r>
            <w:r>
              <w:rPr>
                <w:noProof/>
                <w:webHidden/>
              </w:rPr>
              <w:fldChar w:fldCharType="end"/>
            </w:r>
          </w:hyperlink>
        </w:p>
        <w:p w:rsidR="00B62302" w:rsidRDefault="00B62302" w14:paraId="0B98CE66" w14:textId="1D4089E1">
          <w:pPr>
            <w:pStyle w:val="TOC1"/>
            <w:tabs>
              <w:tab w:val="right" w:leader="dot" w:pos="9350"/>
            </w:tabs>
            <w:rPr>
              <w:rFonts w:asciiTheme="minorHAnsi" w:hAnsiTheme="minorHAnsi" w:cstheme="minorBidi"/>
              <w:noProof/>
              <w:kern w:val="2"/>
              <w:sz w:val="24"/>
              <w:szCs w:val="24"/>
              <w14:ligatures w14:val="standardContextual"/>
            </w:rPr>
          </w:pPr>
          <w:hyperlink w:history="1" w:anchor="_Toc220940179">
            <w:r w:rsidRPr="008C2C8D">
              <w:rPr>
                <w:rStyle w:val="Hyperlink"/>
                <w:noProof/>
              </w:rPr>
              <w:t>4.</w:t>
            </w:r>
            <w:r>
              <w:rPr>
                <w:rFonts w:asciiTheme="minorHAnsi" w:hAnsiTheme="minorHAnsi" w:cstheme="minorBidi"/>
                <w:noProof/>
                <w:kern w:val="2"/>
                <w:sz w:val="24"/>
                <w:szCs w:val="24"/>
                <w14:ligatures w14:val="standardContextual"/>
              </w:rPr>
              <w:tab/>
            </w:r>
            <w:r w:rsidRPr="008C2C8D">
              <w:rPr>
                <w:rStyle w:val="Hyperlink"/>
                <w:noProof/>
              </w:rPr>
              <w:t>Discussion of Whether to Establish Standard Offer Static FSCs</w:t>
            </w:r>
            <w:r>
              <w:rPr>
                <w:noProof/>
                <w:webHidden/>
              </w:rPr>
              <w:tab/>
            </w:r>
            <w:r>
              <w:rPr>
                <w:noProof/>
                <w:webHidden/>
              </w:rPr>
              <w:fldChar w:fldCharType="begin"/>
            </w:r>
            <w:r>
              <w:rPr>
                <w:noProof/>
                <w:webHidden/>
              </w:rPr>
              <w:instrText xml:space="preserve"> PAGEREF _Toc220940179 \h </w:instrText>
            </w:r>
            <w:r>
              <w:rPr>
                <w:noProof/>
                <w:webHidden/>
              </w:rPr>
            </w:r>
            <w:r>
              <w:rPr>
                <w:noProof/>
                <w:webHidden/>
              </w:rPr>
              <w:fldChar w:fldCharType="separate"/>
            </w:r>
            <w:r>
              <w:rPr>
                <w:noProof/>
                <w:webHidden/>
              </w:rPr>
              <w:t>10</w:t>
            </w:r>
            <w:r>
              <w:rPr>
                <w:noProof/>
                <w:webHidden/>
              </w:rPr>
              <w:fldChar w:fldCharType="end"/>
            </w:r>
          </w:hyperlink>
        </w:p>
        <w:p w:rsidR="00B62302" w:rsidRDefault="00B62302" w14:paraId="0032E138" w14:textId="37560998">
          <w:pPr>
            <w:pStyle w:val="TOC2"/>
            <w:tabs>
              <w:tab w:val="right" w:leader="dot" w:pos="9350"/>
            </w:tabs>
            <w:rPr>
              <w:rFonts w:asciiTheme="minorHAnsi" w:hAnsiTheme="minorHAnsi" w:cstheme="minorBidi"/>
              <w:noProof/>
              <w:kern w:val="2"/>
              <w:sz w:val="24"/>
              <w:szCs w:val="24"/>
              <w14:ligatures w14:val="standardContextual"/>
            </w:rPr>
          </w:pPr>
          <w:hyperlink w:history="1" w:anchor="_Toc220940180">
            <w:r w:rsidRPr="008C2C8D">
              <w:rPr>
                <w:rStyle w:val="Hyperlink"/>
                <w:noProof/>
              </w:rPr>
              <w:t>4.1.</w:t>
            </w:r>
            <w:r>
              <w:rPr>
                <w:rFonts w:asciiTheme="minorHAnsi" w:hAnsiTheme="minorHAnsi" w:cstheme="minorBidi"/>
                <w:noProof/>
                <w:kern w:val="2"/>
                <w:sz w:val="24"/>
                <w:szCs w:val="24"/>
                <w14:ligatures w14:val="standardContextual"/>
              </w:rPr>
              <w:tab/>
            </w:r>
            <w:r w:rsidRPr="008C2C8D">
              <w:rPr>
                <w:rStyle w:val="Hyperlink"/>
                <w:noProof/>
              </w:rPr>
              <w:t>PG&amp;E and SCE Are Required to Provide a Standard Offer Flexible Service Connection</w:t>
            </w:r>
            <w:r>
              <w:rPr>
                <w:noProof/>
                <w:webHidden/>
              </w:rPr>
              <w:tab/>
            </w:r>
            <w:r>
              <w:rPr>
                <w:noProof/>
                <w:webHidden/>
              </w:rPr>
              <w:fldChar w:fldCharType="begin"/>
            </w:r>
            <w:r>
              <w:rPr>
                <w:noProof/>
                <w:webHidden/>
              </w:rPr>
              <w:instrText xml:space="preserve"> PAGEREF _Toc220940180 \h </w:instrText>
            </w:r>
            <w:r>
              <w:rPr>
                <w:noProof/>
                <w:webHidden/>
              </w:rPr>
            </w:r>
            <w:r>
              <w:rPr>
                <w:noProof/>
                <w:webHidden/>
              </w:rPr>
              <w:fldChar w:fldCharType="separate"/>
            </w:r>
            <w:r>
              <w:rPr>
                <w:noProof/>
                <w:webHidden/>
              </w:rPr>
              <w:t>12</w:t>
            </w:r>
            <w:r>
              <w:rPr>
                <w:noProof/>
                <w:webHidden/>
              </w:rPr>
              <w:fldChar w:fldCharType="end"/>
            </w:r>
          </w:hyperlink>
        </w:p>
        <w:p w:rsidR="00B62302" w:rsidRDefault="00B62302" w14:paraId="3AF6E3BB" w14:textId="6F97196E">
          <w:pPr>
            <w:pStyle w:val="TOC2"/>
            <w:tabs>
              <w:tab w:val="right" w:leader="dot" w:pos="9350"/>
            </w:tabs>
            <w:rPr>
              <w:rFonts w:asciiTheme="minorHAnsi" w:hAnsiTheme="minorHAnsi" w:cstheme="minorBidi"/>
              <w:noProof/>
              <w:kern w:val="2"/>
              <w:sz w:val="24"/>
              <w:szCs w:val="24"/>
              <w14:ligatures w14:val="standardContextual"/>
            </w:rPr>
          </w:pPr>
          <w:hyperlink w:history="1" w:anchor="_Toc220940181">
            <w:r w:rsidRPr="008C2C8D">
              <w:rPr>
                <w:rStyle w:val="Hyperlink"/>
                <w:noProof/>
              </w:rPr>
              <w:t>4.2.</w:t>
            </w:r>
            <w:r>
              <w:rPr>
                <w:rFonts w:asciiTheme="minorHAnsi" w:hAnsiTheme="minorHAnsi" w:cstheme="minorBidi"/>
                <w:noProof/>
                <w:kern w:val="2"/>
                <w:sz w:val="24"/>
                <w:szCs w:val="24"/>
                <w14:ligatures w14:val="standardContextual"/>
              </w:rPr>
              <w:tab/>
            </w:r>
            <w:r w:rsidRPr="008C2C8D">
              <w:rPr>
                <w:rStyle w:val="Hyperlink"/>
                <w:noProof/>
              </w:rPr>
              <w:t>Decline to Require Small Multi</w:t>
            </w:r>
            <w:r w:rsidRPr="008C2C8D">
              <w:rPr>
                <w:rStyle w:val="Hyperlink"/>
                <w:noProof/>
              </w:rPr>
              <w:noBreakHyphen/>
              <w:t>Jurisdictional Utilities to Provide a Standard Offer</w:t>
            </w:r>
            <w:r>
              <w:rPr>
                <w:noProof/>
                <w:webHidden/>
              </w:rPr>
              <w:tab/>
            </w:r>
            <w:r>
              <w:rPr>
                <w:noProof/>
                <w:webHidden/>
              </w:rPr>
              <w:fldChar w:fldCharType="begin"/>
            </w:r>
            <w:r>
              <w:rPr>
                <w:noProof/>
                <w:webHidden/>
              </w:rPr>
              <w:instrText xml:space="preserve"> PAGEREF _Toc220940181 \h </w:instrText>
            </w:r>
            <w:r>
              <w:rPr>
                <w:noProof/>
                <w:webHidden/>
              </w:rPr>
            </w:r>
            <w:r>
              <w:rPr>
                <w:noProof/>
                <w:webHidden/>
              </w:rPr>
              <w:fldChar w:fldCharType="separate"/>
            </w:r>
            <w:r>
              <w:rPr>
                <w:noProof/>
                <w:webHidden/>
              </w:rPr>
              <w:t>13</w:t>
            </w:r>
            <w:r>
              <w:rPr>
                <w:noProof/>
                <w:webHidden/>
              </w:rPr>
              <w:fldChar w:fldCharType="end"/>
            </w:r>
          </w:hyperlink>
        </w:p>
        <w:p w:rsidR="00B62302" w:rsidRDefault="00B62302" w14:paraId="2C8B543A" w14:textId="230FFAA2">
          <w:pPr>
            <w:pStyle w:val="TOC1"/>
            <w:tabs>
              <w:tab w:val="right" w:leader="dot" w:pos="9350"/>
            </w:tabs>
            <w:rPr>
              <w:rFonts w:asciiTheme="minorHAnsi" w:hAnsiTheme="minorHAnsi" w:cstheme="minorBidi"/>
              <w:noProof/>
              <w:kern w:val="2"/>
              <w:sz w:val="24"/>
              <w:szCs w:val="24"/>
              <w14:ligatures w14:val="standardContextual"/>
            </w:rPr>
          </w:pPr>
          <w:hyperlink w:history="1" w:anchor="_Toc220940182">
            <w:r w:rsidRPr="008C2C8D">
              <w:rPr>
                <w:rStyle w:val="Hyperlink"/>
                <w:noProof/>
              </w:rPr>
              <w:t>5.</w:t>
            </w:r>
            <w:r>
              <w:rPr>
                <w:rFonts w:asciiTheme="minorHAnsi" w:hAnsiTheme="minorHAnsi" w:cstheme="minorBidi"/>
                <w:noProof/>
                <w:kern w:val="2"/>
                <w:sz w:val="24"/>
                <w:szCs w:val="24"/>
                <w14:ligatures w14:val="standardContextual"/>
              </w:rPr>
              <w:tab/>
            </w:r>
            <w:r w:rsidRPr="008C2C8D">
              <w:rPr>
                <w:rStyle w:val="Hyperlink"/>
                <w:noProof/>
              </w:rPr>
              <w:t>Standard Offer Static Flexible Service Connection Structure</w:t>
            </w:r>
            <w:r>
              <w:rPr>
                <w:noProof/>
                <w:webHidden/>
              </w:rPr>
              <w:tab/>
            </w:r>
            <w:r>
              <w:rPr>
                <w:noProof/>
                <w:webHidden/>
              </w:rPr>
              <w:fldChar w:fldCharType="begin"/>
            </w:r>
            <w:r>
              <w:rPr>
                <w:noProof/>
                <w:webHidden/>
              </w:rPr>
              <w:instrText xml:space="preserve"> PAGEREF _Toc220940182 \h </w:instrText>
            </w:r>
            <w:r>
              <w:rPr>
                <w:noProof/>
                <w:webHidden/>
              </w:rPr>
            </w:r>
            <w:r>
              <w:rPr>
                <w:noProof/>
                <w:webHidden/>
              </w:rPr>
              <w:fldChar w:fldCharType="separate"/>
            </w:r>
            <w:r>
              <w:rPr>
                <w:noProof/>
                <w:webHidden/>
              </w:rPr>
              <w:t>13</w:t>
            </w:r>
            <w:r>
              <w:rPr>
                <w:noProof/>
                <w:webHidden/>
              </w:rPr>
              <w:fldChar w:fldCharType="end"/>
            </w:r>
          </w:hyperlink>
        </w:p>
        <w:p w:rsidR="00B62302" w:rsidRDefault="00B62302" w14:paraId="782B0E62" w14:textId="50FA7F12">
          <w:pPr>
            <w:pStyle w:val="TOC2"/>
            <w:tabs>
              <w:tab w:val="right" w:leader="dot" w:pos="9350"/>
            </w:tabs>
            <w:rPr>
              <w:rFonts w:asciiTheme="minorHAnsi" w:hAnsiTheme="minorHAnsi" w:cstheme="minorBidi"/>
              <w:noProof/>
              <w:kern w:val="2"/>
              <w:sz w:val="24"/>
              <w:szCs w:val="24"/>
              <w14:ligatures w14:val="standardContextual"/>
            </w:rPr>
          </w:pPr>
          <w:hyperlink w:history="1" w:anchor="_Toc220940183">
            <w:r w:rsidRPr="008C2C8D">
              <w:rPr>
                <w:rStyle w:val="Hyperlink"/>
                <w:noProof/>
              </w:rPr>
              <w:t>5.1.</w:t>
            </w:r>
            <w:r>
              <w:rPr>
                <w:rFonts w:asciiTheme="minorHAnsi" w:hAnsiTheme="minorHAnsi" w:cstheme="minorBidi"/>
                <w:noProof/>
                <w:kern w:val="2"/>
                <w:sz w:val="24"/>
                <w:szCs w:val="24"/>
                <w14:ligatures w14:val="standardContextual"/>
              </w:rPr>
              <w:tab/>
            </w:r>
            <w:r w:rsidRPr="008C2C8D">
              <w:rPr>
                <w:rStyle w:val="Hyperlink"/>
                <w:noProof/>
              </w:rPr>
              <w:t>The Standard Offer Flexible Service Connection Structure is Based Upon Existing Offerings</w:t>
            </w:r>
            <w:r>
              <w:rPr>
                <w:noProof/>
                <w:webHidden/>
              </w:rPr>
              <w:tab/>
            </w:r>
            <w:r>
              <w:rPr>
                <w:noProof/>
                <w:webHidden/>
              </w:rPr>
              <w:fldChar w:fldCharType="begin"/>
            </w:r>
            <w:r>
              <w:rPr>
                <w:noProof/>
                <w:webHidden/>
              </w:rPr>
              <w:instrText xml:space="preserve"> PAGEREF _Toc220940183 \h </w:instrText>
            </w:r>
            <w:r>
              <w:rPr>
                <w:noProof/>
                <w:webHidden/>
              </w:rPr>
            </w:r>
            <w:r>
              <w:rPr>
                <w:noProof/>
                <w:webHidden/>
              </w:rPr>
              <w:fldChar w:fldCharType="separate"/>
            </w:r>
            <w:r>
              <w:rPr>
                <w:noProof/>
                <w:webHidden/>
              </w:rPr>
              <w:t>14</w:t>
            </w:r>
            <w:r>
              <w:rPr>
                <w:noProof/>
                <w:webHidden/>
              </w:rPr>
              <w:fldChar w:fldCharType="end"/>
            </w:r>
          </w:hyperlink>
        </w:p>
        <w:p w:rsidR="00B62302" w:rsidRDefault="00B62302" w14:paraId="26D3B339" w14:textId="04E2C370">
          <w:pPr>
            <w:pStyle w:val="TOC2"/>
            <w:tabs>
              <w:tab w:val="right" w:leader="dot" w:pos="9350"/>
            </w:tabs>
            <w:rPr>
              <w:rFonts w:asciiTheme="minorHAnsi" w:hAnsiTheme="minorHAnsi" w:cstheme="minorBidi"/>
              <w:noProof/>
              <w:kern w:val="2"/>
              <w:sz w:val="24"/>
              <w:szCs w:val="24"/>
              <w14:ligatures w14:val="standardContextual"/>
            </w:rPr>
          </w:pPr>
          <w:hyperlink w:history="1" w:anchor="_Toc220940184">
            <w:r w:rsidRPr="008C2C8D">
              <w:rPr>
                <w:rStyle w:val="Hyperlink"/>
                <w:noProof/>
              </w:rPr>
              <w:t>5.2.</w:t>
            </w:r>
            <w:r>
              <w:rPr>
                <w:rFonts w:asciiTheme="minorHAnsi" w:hAnsiTheme="minorHAnsi" w:cstheme="minorBidi"/>
                <w:noProof/>
                <w:kern w:val="2"/>
                <w:sz w:val="24"/>
                <w:szCs w:val="24"/>
                <w14:ligatures w14:val="standardContextual"/>
              </w:rPr>
              <w:tab/>
            </w:r>
            <w:r w:rsidRPr="008C2C8D">
              <w:rPr>
                <w:rStyle w:val="Hyperlink"/>
                <w:noProof/>
              </w:rPr>
              <w:t>Continuation of Current Offering for PG&amp;E and SCE</w:t>
            </w:r>
            <w:r>
              <w:rPr>
                <w:noProof/>
                <w:webHidden/>
              </w:rPr>
              <w:tab/>
            </w:r>
            <w:r>
              <w:rPr>
                <w:noProof/>
                <w:webHidden/>
              </w:rPr>
              <w:fldChar w:fldCharType="begin"/>
            </w:r>
            <w:r>
              <w:rPr>
                <w:noProof/>
                <w:webHidden/>
              </w:rPr>
              <w:instrText xml:space="preserve"> PAGEREF _Toc220940184 \h </w:instrText>
            </w:r>
            <w:r>
              <w:rPr>
                <w:noProof/>
                <w:webHidden/>
              </w:rPr>
            </w:r>
            <w:r>
              <w:rPr>
                <w:noProof/>
                <w:webHidden/>
              </w:rPr>
              <w:fldChar w:fldCharType="separate"/>
            </w:r>
            <w:r>
              <w:rPr>
                <w:noProof/>
                <w:webHidden/>
              </w:rPr>
              <w:t>15</w:t>
            </w:r>
            <w:r>
              <w:rPr>
                <w:noProof/>
                <w:webHidden/>
              </w:rPr>
              <w:fldChar w:fldCharType="end"/>
            </w:r>
          </w:hyperlink>
        </w:p>
        <w:p w:rsidR="00B62302" w:rsidRDefault="00B62302" w14:paraId="228F61A8" w14:textId="13D9D0EC">
          <w:pPr>
            <w:pStyle w:val="TOC2"/>
            <w:tabs>
              <w:tab w:val="right" w:leader="dot" w:pos="9350"/>
            </w:tabs>
            <w:rPr>
              <w:rFonts w:asciiTheme="minorHAnsi" w:hAnsiTheme="minorHAnsi" w:cstheme="minorBidi"/>
              <w:noProof/>
              <w:kern w:val="2"/>
              <w:sz w:val="24"/>
              <w:szCs w:val="24"/>
              <w14:ligatures w14:val="standardContextual"/>
            </w:rPr>
          </w:pPr>
          <w:hyperlink w:history="1" w:anchor="_Toc220940185">
            <w:r w:rsidRPr="008C2C8D">
              <w:rPr>
                <w:rStyle w:val="Hyperlink"/>
                <w:noProof/>
              </w:rPr>
              <w:t>5.3.</w:t>
            </w:r>
            <w:r>
              <w:rPr>
                <w:rFonts w:asciiTheme="minorHAnsi" w:hAnsiTheme="minorHAnsi" w:cstheme="minorBidi"/>
                <w:noProof/>
                <w:kern w:val="2"/>
                <w:sz w:val="24"/>
                <w:szCs w:val="24"/>
                <w14:ligatures w14:val="standardContextual"/>
              </w:rPr>
              <w:tab/>
            </w:r>
            <w:r w:rsidRPr="008C2C8D">
              <w:rPr>
                <w:rStyle w:val="Hyperlink"/>
                <w:noProof/>
              </w:rPr>
              <w:t>The Use Case for the Standard Offer</w:t>
            </w:r>
            <w:r>
              <w:rPr>
                <w:noProof/>
                <w:webHidden/>
              </w:rPr>
              <w:tab/>
            </w:r>
            <w:r>
              <w:rPr>
                <w:noProof/>
                <w:webHidden/>
              </w:rPr>
              <w:fldChar w:fldCharType="begin"/>
            </w:r>
            <w:r>
              <w:rPr>
                <w:noProof/>
                <w:webHidden/>
              </w:rPr>
              <w:instrText xml:space="preserve"> PAGEREF _Toc220940185 \h </w:instrText>
            </w:r>
            <w:r>
              <w:rPr>
                <w:noProof/>
                <w:webHidden/>
              </w:rPr>
            </w:r>
            <w:r>
              <w:rPr>
                <w:noProof/>
                <w:webHidden/>
              </w:rPr>
              <w:fldChar w:fldCharType="separate"/>
            </w:r>
            <w:r>
              <w:rPr>
                <w:noProof/>
                <w:webHidden/>
              </w:rPr>
              <w:t>16</w:t>
            </w:r>
            <w:r>
              <w:rPr>
                <w:noProof/>
                <w:webHidden/>
              </w:rPr>
              <w:fldChar w:fldCharType="end"/>
            </w:r>
          </w:hyperlink>
        </w:p>
        <w:p w:rsidR="00B62302" w:rsidRDefault="00B62302" w14:paraId="71A23C99" w14:textId="33C7B93A">
          <w:pPr>
            <w:pStyle w:val="TOC2"/>
            <w:tabs>
              <w:tab w:val="right" w:leader="dot" w:pos="9350"/>
            </w:tabs>
            <w:rPr>
              <w:rFonts w:asciiTheme="minorHAnsi" w:hAnsiTheme="minorHAnsi" w:cstheme="minorBidi"/>
              <w:noProof/>
              <w:kern w:val="2"/>
              <w:sz w:val="24"/>
              <w:szCs w:val="24"/>
              <w14:ligatures w14:val="standardContextual"/>
            </w:rPr>
          </w:pPr>
          <w:hyperlink w:history="1" w:anchor="_Toc220940186">
            <w:r w:rsidRPr="008C2C8D">
              <w:rPr>
                <w:rStyle w:val="Hyperlink"/>
                <w:noProof/>
              </w:rPr>
              <w:t>5.4.</w:t>
            </w:r>
            <w:r>
              <w:rPr>
                <w:rFonts w:asciiTheme="minorHAnsi" w:hAnsiTheme="minorHAnsi" w:cstheme="minorBidi"/>
                <w:noProof/>
                <w:kern w:val="2"/>
                <w:sz w:val="24"/>
                <w:szCs w:val="24"/>
                <w14:ligatures w14:val="standardContextual"/>
              </w:rPr>
              <w:tab/>
            </w:r>
            <w:r w:rsidRPr="008C2C8D">
              <w:rPr>
                <w:rStyle w:val="Hyperlink"/>
                <w:noProof/>
              </w:rPr>
              <w:t>The Standard Offer Shall be Formalized Within a Tariffed Option</w:t>
            </w:r>
            <w:r>
              <w:rPr>
                <w:noProof/>
                <w:webHidden/>
              </w:rPr>
              <w:tab/>
            </w:r>
            <w:r>
              <w:rPr>
                <w:noProof/>
                <w:webHidden/>
              </w:rPr>
              <w:fldChar w:fldCharType="begin"/>
            </w:r>
            <w:r>
              <w:rPr>
                <w:noProof/>
                <w:webHidden/>
              </w:rPr>
              <w:instrText xml:space="preserve"> PAGEREF _Toc220940186 \h </w:instrText>
            </w:r>
            <w:r>
              <w:rPr>
                <w:noProof/>
                <w:webHidden/>
              </w:rPr>
            </w:r>
            <w:r>
              <w:rPr>
                <w:noProof/>
                <w:webHidden/>
              </w:rPr>
              <w:fldChar w:fldCharType="separate"/>
            </w:r>
            <w:r>
              <w:rPr>
                <w:noProof/>
                <w:webHidden/>
              </w:rPr>
              <w:t>17</w:t>
            </w:r>
            <w:r>
              <w:rPr>
                <w:noProof/>
                <w:webHidden/>
              </w:rPr>
              <w:fldChar w:fldCharType="end"/>
            </w:r>
          </w:hyperlink>
        </w:p>
        <w:p w:rsidR="00B62302" w:rsidRDefault="00B62302" w14:paraId="77FBC03A" w14:textId="47B03622">
          <w:pPr>
            <w:pStyle w:val="TOC2"/>
            <w:tabs>
              <w:tab w:val="right" w:leader="dot" w:pos="9350"/>
            </w:tabs>
            <w:rPr>
              <w:rFonts w:asciiTheme="minorHAnsi" w:hAnsiTheme="minorHAnsi" w:cstheme="minorBidi"/>
              <w:noProof/>
              <w:kern w:val="2"/>
              <w:sz w:val="24"/>
              <w:szCs w:val="24"/>
              <w14:ligatures w14:val="standardContextual"/>
            </w:rPr>
          </w:pPr>
          <w:hyperlink w:history="1" w:anchor="_Toc220940187">
            <w:r w:rsidRPr="008C2C8D">
              <w:rPr>
                <w:rStyle w:val="Hyperlink"/>
                <w:noProof/>
              </w:rPr>
              <w:t>5.5.</w:t>
            </w:r>
            <w:r>
              <w:rPr>
                <w:rFonts w:asciiTheme="minorHAnsi" w:hAnsiTheme="minorHAnsi" w:cstheme="minorBidi"/>
                <w:noProof/>
                <w:kern w:val="2"/>
                <w:sz w:val="24"/>
                <w:szCs w:val="24"/>
                <w14:ligatures w14:val="standardContextual"/>
              </w:rPr>
              <w:tab/>
            </w:r>
            <w:r w:rsidRPr="008C2C8D">
              <w:rPr>
                <w:rStyle w:val="Hyperlink"/>
                <w:noProof/>
              </w:rPr>
              <w:t>Customer Opportunity to Express Interest in the Standard Offer</w:t>
            </w:r>
            <w:r>
              <w:rPr>
                <w:noProof/>
                <w:webHidden/>
              </w:rPr>
              <w:tab/>
            </w:r>
            <w:r>
              <w:rPr>
                <w:noProof/>
                <w:webHidden/>
              </w:rPr>
              <w:fldChar w:fldCharType="begin"/>
            </w:r>
            <w:r>
              <w:rPr>
                <w:noProof/>
                <w:webHidden/>
              </w:rPr>
              <w:instrText xml:space="preserve"> PAGEREF _Toc220940187 \h </w:instrText>
            </w:r>
            <w:r>
              <w:rPr>
                <w:noProof/>
                <w:webHidden/>
              </w:rPr>
            </w:r>
            <w:r>
              <w:rPr>
                <w:noProof/>
                <w:webHidden/>
              </w:rPr>
              <w:fldChar w:fldCharType="separate"/>
            </w:r>
            <w:r>
              <w:rPr>
                <w:noProof/>
                <w:webHidden/>
              </w:rPr>
              <w:t>18</w:t>
            </w:r>
            <w:r>
              <w:rPr>
                <w:noProof/>
                <w:webHidden/>
              </w:rPr>
              <w:fldChar w:fldCharType="end"/>
            </w:r>
          </w:hyperlink>
        </w:p>
        <w:p w:rsidR="00B62302" w:rsidRDefault="00B62302" w14:paraId="100A5AA6" w14:textId="47D1418C">
          <w:pPr>
            <w:pStyle w:val="TOC2"/>
            <w:tabs>
              <w:tab w:val="right" w:leader="dot" w:pos="9350"/>
            </w:tabs>
            <w:rPr>
              <w:rFonts w:asciiTheme="minorHAnsi" w:hAnsiTheme="minorHAnsi" w:cstheme="minorBidi"/>
              <w:noProof/>
              <w:kern w:val="2"/>
              <w:sz w:val="24"/>
              <w:szCs w:val="24"/>
              <w14:ligatures w14:val="standardContextual"/>
            </w:rPr>
          </w:pPr>
          <w:hyperlink w:history="1" w:anchor="_Toc220940188">
            <w:r w:rsidRPr="008C2C8D">
              <w:rPr>
                <w:rStyle w:val="Hyperlink"/>
                <w:noProof/>
              </w:rPr>
              <w:t>5.6.</w:t>
            </w:r>
            <w:r>
              <w:rPr>
                <w:rFonts w:asciiTheme="minorHAnsi" w:hAnsiTheme="minorHAnsi" w:cstheme="minorBidi"/>
                <w:noProof/>
                <w:kern w:val="2"/>
                <w:sz w:val="24"/>
                <w:szCs w:val="24"/>
                <w14:ligatures w14:val="standardContextual"/>
              </w:rPr>
              <w:tab/>
            </w:r>
            <w:r w:rsidRPr="008C2C8D">
              <w:rPr>
                <w:rStyle w:val="Hyperlink"/>
                <w:noProof/>
              </w:rPr>
              <w:t>PG&amp;E and SCE Shall Identify What Characteristics Make for an Ideal Standard Offer Customer within the Implementation Advice Letter</w:t>
            </w:r>
            <w:r>
              <w:rPr>
                <w:noProof/>
                <w:webHidden/>
              </w:rPr>
              <w:tab/>
            </w:r>
            <w:r>
              <w:rPr>
                <w:noProof/>
                <w:webHidden/>
              </w:rPr>
              <w:fldChar w:fldCharType="begin"/>
            </w:r>
            <w:r>
              <w:rPr>
                <w:noProof/>
                <w:webHidden/>
              </w:rPr>
              <w:instrText xml:space="preserve"> PAGEREF _Toc220940188 \h </w:instrText>
            </w:r>
            <w:r>
              <w:rPr>
                <w:noProof/>
                <w:webHidden/>
              </w:rPr>
            </w:r>
            <w:r>
              <w:rPr>
                <w:noProof/>
                <w:webHidden/>
              </w:rPr>
              <w:fldChar w:fldCharType="separate"/>
            </w:r>
            <w:r>
              <w:rPr>
                <w:noProof/>
                <w:webHidden/>
              </w:rPr>
              <w:t>19</w:t>
            </w:r>
            <w:r>
              <w:rPr>
                <w:noProof/>
                <w:webHidden/>
              </w:rPr>
              <w:fldChar w:fldCharType="end"/>
            </w:r>
          </w:hyperlink>
        </w:p>
        <w:p w:rsidR="00B62302" w:rsidRDefault="00B62302" w14:paraId="7844433B" w14:textId="5BDC4A11">
          <w:pPr>
            <w:pStyle w:val="TOC2"/>
            <w:tabs>
              <w:tab w:val="right" w:leader="dot" w:pos="9350"/>
            </w:tabs>
            <w:rPr>
              <w:rFonts w:asciiTheme="minorHAnsi" w:hAnsiTheme="minorHAnsi" w:cstheme="minorBidi"/>
              <w:noProof/>
              <w:kern w:val="2"/>
              <w:sz w:val="24"/>
              <w:szCs w:val="24"/>
              <w14:ligatures w14:val="standardContextual"/>
            </w:rPr>
          </w:pPr>
          <w:hyperlink w:history="1" w:anchor="_Toc220940189">
            <w:r w:rsidRPr="008C2C8D">
              <w:rPr>
                <w:rStyle w:val="Hyperlink"/>
                <w:noProof/>
              </w:rPr>
              <w:t>5.7.</w:t>
            </w:r>
            <w:r>
              <w:rPr>
                <w:rFonts w:asciiTheme="minorHAnsi" w:hAnsiTheme="minorHAnsi" w:cstheme="minorBidi"/>
                <w:noProof/>
                <w:kern w:val="2"/>
                <w:sz w:val="24"/>
                <w:szCs w:val="24"/>
                <w14:ligatures w14:val="standardContextual"/>
              </w:rPr>
              <w:tab/>
            </w:r>
            <w:r w:rsidRPr="008C2C8D">
              <w:rPr>
                <w:rStyle w:val="Hyperlink"/>
                <w:noProof/>
              </w:rPr>
              <w:t>The Implementation Advice Letter Shall Address Constraints Associated with Underground Components</w:t>
            </w:r>
            <w:r>
              <w:rPr>
                <w:noProof/>
                <w:webHidden/>
              </w:rPr>
              <w:tab/>
            </w:r>
            <w:r>
              <w:rPr>
                <w:noProof/>
                <w:webHidden/>
              </w:rPr>
              <w:fldChar w:fldCharType="begin"/>
            </w:r>
            <w:r>
              <w:rPr>
                <w:noProof/>
                <w:webHidden/>
              </w:rPr>
              <w:instrText xml:space="preserve"> PAGEREF _Toc220940189 \h </w:instrText>
            </w:r>
            <w:r>
              <w:rPr>
                <w:noProof/>
                <w:webHidden/>
              </w:rPr>
            </w:r>
            <w:r>
              <w:rPr>
                <w:noProof/>
                <w:webHidden/>
              </w:rPr>
              <w:fldChar w:fldCharType="separate"/>
            </w:r>
            <w:r>
              <w:rPr>
                <w:noProof/>
                <w:webHidden/>
              </w:rPr>
              <w:t>21</w:t>
            </w:r>
            <w:r>
              <w:rPr>
                <w:noProof/>
                <w:webHidden/>
              </w:rPr>
              <w:fldChar w:fldCharType="end"/>
            </w:r>
          </w:hyperlink>
        </w:p>
        <w:p w:rsidR="00B62302" w:rsidRDefault="00B62302" w14:paraId="6DD41FB9" w14:textId="351EC80F">
          <w:pPr>
            <w:pStyle w:val="TOC2"/>
            <w:tabs>
              <w:tab w:val="right" w:leader="dot" w:pos="9350"/>
            </w:tabs>
            <w:rPr>
              <w:rFonts w:asciiTheme="minorHAnsi" w:hAnsiTheme="minorHAnsi" w:cstheme="minorBidi"/>
              <w:noProof/>
              <w:kern w:val="2"/>
              <w:sz w:val="24"/>
              <w:szCs w:val="24"/>
              <w14:ligatures w14:val="standardContextual"/>
            </w:rPr>
          </w:pPr>
          <w:hyperlink w:history="1" w:anchor="_Toc220940190">
            <w:r w:rsidRPr="008C2C8D">
              <w:rPr>
                <w:rStyle w:val="Hyperlink"/>
                <w:noProof/>
              </w:rPr>
              <w:t>5.8.</w:t>
            </w:r>
            <w:r>
              <w:rPr>
                <w:rFonts w:asciiTheme="minorHAnsi" w:hAnsiTheme="minorHAnsi" w:cstheme="minorBidi"/>
                <w:noProof/>
                <w:kern w:val="2"/>
                <w:sz w:val="24"/>
                <w:szCs w:val="24"/>
                <w14:ligatures w14:val="standardContextual"/>
              </w:rPr>
              <w:tab/>
            </w:r>
            <w:r w:rsidRPr="008C2C8D">
              <w:rPr>
                <w:rStyle w:val="Hyperlink"/>
                <w:noProof/>
              </w:rPr>
              <w:t>The Standard Offer Need Not Establish a Dispute Resolution Process</w:t>
            </w:r>
            <w:r>
              <w:rPr>
                <w:noProof/>
                <w:webHidden/>
              </w:rPr>
              <w:tab/>
            </w:r>
            <w:r>
              <w:rPr>
                <w:noProof/>
                <w:webHidden/>
              </w:rPr>
              <w:fldChar w:fldCharType="begin"/>
            </w:r>
            <w:r>
              <w:rPr>
                <w:noProof/>
                <w:webHidden/>
              </w:rPr>
              <w:instrText xml:space="preserve"> PAGEREF _Toc220940190 \h </w:instrText>
            </w:r>
            <w:r>
              <w:rPr>
                <w:noProof/>
                <w:webHidden/>
              </w:rPr>
            </w:r>
            <w:r>
              <w:rPr>
                <w:noProof/>
                <w:webHidden/>
              </w:rPr>
              <w:fldChar w:fldCharType="separate"/>
            </w:r>
            <w:r>
              <w:rPr>
                <w:noProof/>
                <w:webHidden/>
              </w:rPr>
              <w:t>21</w:t>
            </w:r>
            <w:r>
              <w:rPr>
                <w:noProof/>
                <w:webHidden/>
              </w:rPr>
              <w:fldChar w:fldCharType="end"/>
            </w:r>
          </w:hyperlink>
        </w:p>
        <w:p w:rsidR="00B62302" w:rsidRDefault="00B62302" w14:paraId="7DD1EE9E" w14:textId="555C1733">
          <w:pPr>
            <w:pStyle w:val="TOC2"/>
            <w:tabs>
              <w:tab w:val="right" w:leader="dot" w:pos="9350"/>
            </w:tabs>
            <w:rPr>
              <w:rFonts w:asciiTheme="minorHAnsi" w:hAnsiTheme="minorHAnsi" w:cstheme="minorBidi"/>
              <w:noProof/>
              <w:kern w:val="2"/>
              <w:sz w:val="24"/>
              <w:szCs w:val="24"/>
              <w14:ligatures w14:val="standardContextual"/>
            </w:rPr>
          </w:pPr>
          <w:hyperlink w:history="1" w:anchor="_Toc220940191">
            <w:r w:rsidRPr="008C2C8D">
              <w:rPr>
                <w:rStyle w:val="Hyperlink"/>
                <w:noProof/>
              </w:rPr>
              <w:t>5.9.</w:t>
            </w:r>
            <w:r>
              <w:rPr>
                <w:rFonts w:asciiTheme="minorHAnsi" w:hAnsiTheme="minorHAnsi" w:cstheme="minorBidi"/>
                <w:noProof/>
                <w:kern w:val="2"/>
                <w:sz w:val="24"/>
                <w:szCs w:val="24"/>
                <w14:ligatures w14:val="standardContextual"/>
              </w:rPr>
              <w:tab/>
            </w:r>
            <w:r w:rsidRPr="008C2C8D">
              <w:rPr>
                <w:rStyle w:val="Hyperlink"/>
                <w:noProof/>
              </w:rPr>
              <w:t>The Standard Offer Shall Provide Customers a Minimum Level of Granularity and Provide PG&amp;E and SCE Flexibility to Exceed the Minimum</w:t>
            </w:r>
            <w:r>
              <w:rPr>
                <w:noProof/>
                <w:webHidden/>
              </w:rPr>
              <w:tab/>
            </w:r>
            <w:r>
              <w:rPr>
                <w:noProof/>
                <w:webHidden/>
              </w:rPr>
              <w:fldChar w:fldCharType="begin"/>
            </w:r>
            <w:r>
              <w:rPr>
                <w:noProof/>
                <w:webHidden/>
              </w:rPr>
              <w:instrText xml:space="preserve"> PAGEREF _Toc220940191 \h </w:instrText>
            </w:r>
            <w:r>
              <w:rPr>
                <w:noProof/>
                <w:webHidden/>
              </w:rPr>
            </w:r>
            <w:r>
              <w:rPr>
                <w:noProof/>
                <w:webHidden/>
              </w:rPr>
              <w:fldChar w:fldCharType="separate"/>
            </w:r>
            <w:r>
              <w:rPr>
                <w:noProof/>
                <w:webHidden/>
              </w:rPr>
              <w:t>22</w:t>
            </w:r>
            <w:r>
              <w:rPr>
                <w:noProof/>
                <w:webHidden/>
              </w:rPr>
              <w:fldChar w:fldCharType="end"/>
            </w:r>
          </w:hyperlink>
        </w:p>
        <w:p w:rsidR="00B62302" w:rsidRDefault="00B62302" w14:paraId="79BC31AF" w14:textId="27EB786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0940192">
            <w:r w:rsidRPr="008C2C8D">
              <w:rPr>
                <w:rStyle w:val="Hyperlink"/>
                <w:noProof/>
              </w:rPr>
              <w:t>5.10.</w:t>
            </w:r>
            <w:r>
              <w:rPr>
                <w:rFonts w:asciiTheme="minorHAnsi" w:hAnsiTheme="minorHAnsi" w:cstheme="minorBidi"/>
                <w:noProof/>
                <w:kern w:val="2"/>
                <w:sz w:val="24"/>
                <w:szCs w:val="24"/>
                <w14:ligatures w14:val="standardContextual"/>
              </w:rPr>
              <w:tab/>
            </w:r>
            <w:r w:rsidRPr="008C2C8D">
              <w:rPr>
                <w:rStyle w:val="Hyperlink"/>
                <w:noProof/>
              </w:rPr>
              <w:t>Sharing Capacity Among Multiple Standard Offer Customers</w:t>
            </w:r>
            <w:r>
              <w:rPr>
                <w:noProof/>
                <w:webHidden/>
              </w:rPr>
              <w:tab/>
            </w:r>
            <w:r>
              <w:rPr>
                <w:noProof/>
                <w:webHidden/>
              </w:rPr>
              <w:fldChar w:fldCharType="begin"/>
            </w:r>
            <w:r>
              <w:rPr>
                <w:noProof/>
                <w:webHidden/>
              </w:rPr>
              <w:instrText xml:space="preserve"> PAGEREF _Toc220940192 \h </w:instrText>
            </w:r>
            <w:r>
              <w:rPr>
                <w:noProof/>
                <w:webHidden/>
              </w:rPr>
            </w:r>
            <w:r>
              <w:rPr>
                <w:noProof/>
                <w:webHidden/>
              </w:rPr>
              <w:fldChar w:fldCharType="separate"/>
            </w:r>
            <w:r>
              <w:rPr>
                <w:noProof/>
                <w:webHidden/>
              </w:rPr>
              <w:t>24</w:t>
            </w:r>
            <w:r>
              <w:rPr>
                <w:noProof/>
                <w:webHidden/>
              </w:rPr>
              <w:fldChar w:fldCharType="end"/>
            </w:r>
          </w:hyperlink>
        </w:p>
        <w:p w:rsidR="00B62302" w:rsidRDefault="00B62302" w14:paraId="43CB0461" w14:textId="7D599154">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193">
            <w:r w:rsidRPr="008C2C8D">
              <w:rPr>
                <w:rStyle w:val="Hyperlink"/>
                <w:noProof/>
              </w:rPr>
              <w:t>5.10.1.</w:t>
            </w:r>
            <w:r>
              <w:rPr>
                <w:rFonts w:asciiTheme="minorHAnsi" w:hAnsiTheme="minorHAnsi" w:cstheme="minorBidi"/>
                <w:noProof/>
                <w:kern w:val="2"/>
                <w:sz w:val="24"/>
                <w:szCs w:val="24"/>
                <w14:ligatures w14:val="standardContextual"/>
              </w:rPr>
              <w:tab/>
            </w:r>
            <w:r w:rsidRPr="008C2C8D">
              <w:rPr>
                <w:rStyle w:val="Hyperlink"/>
                <w:noProof/>
              </w:rPr>
              <w:t>Whether Capacity Should be Shared</w:t>
            </w:r>
            <w:r>
              <w:rPr>
                <w:noProof/>
                <w:webHidden/>
              </w:rPr>
              <w:tab/>
            </w:r>
            <w:r>
              <w:rPr>
                <w:noProof/>
                <w:webHidden/>
              </w:rPr>
              <w:fldChar w:fldCharType="begin"/>
            </w:r>
            <w:r>
              <w:rPr>
                <w:noProof/>
                <w:webHidden/>
              </w:rPr>
              <w:instrText xml:space="preserve"> PAGEREF _Toc220940193 \h </w:instrText>
            </w:r>
            <w:r>
              <w:rPr>
                <w:noProof/>
                <w:webHidden/>
              </w:rPr>
            </w:r>
            <w:r>
              <w:rPr>
                <w:noProof/>
                <w:webHidden/>
              </w:rPr>
              <w:fldChar w:fldCharType="separate"/>
            </w:r>
            <w:r>
              <w:rPr>
                <w:noProof/>
                <w:webHidden/>
              </w:rPr>
              <w:t>24</w:t>
            </w:r>
            <w:r>
              <w:rPr>
                <w:noProof/>
                <w:webHidden/>
              </w:rPr>
              <w:fldChar w:fldCharType="end"/>
            </w:r>
          </w:hyperlink>
        </w:p>
        <w:p w:rsidR="00B62302" w:rsidRDefault="00B62302" w14:paraId="5E73D62D" w14:textId="77491BE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194">
            <w:r w:rsidRPr="008C2C8D">
              <w:rPr>
                <w:rStyle w:val="Hyperlink"/>
                <w:noProof/>
              </w:rPr>
              <w:t>5.10.2.</w:t>
            </w:r>
            <w:r>
              <w:rPr>
                <w:rFonts w:asciiTheme="minorHAnsi" w:hAnsiTheme="minorHAnsi" w:cstheme="minorBidi"/>
                <w:noProof/>
                <w:kern w:val="2"/>
                <w:sz w:val="24"/>
                <w:szCs w:val="24"/>
                <w14:ligatures w14:val="standardContextual"/>
              </w:rPr>
              <w:tab/>
            </w:r>
            <w:r w:rsidRPr="008C2C8D">
              <w:rPr>
                <w:rStyle w:val="Hyperlink"/>
                <w:noProof/>
              </w:rPr>
              <w:t>When Capacity Should be Shared Among Multiple Applicants</w:t>
            </w:r>
            <w:r>
              <w:rPr>
                <w:noProof/>
                <w:webHidden/>
              </w:rPr>
              <w:tab/>
            </w:r>
            <w:r>
              <w:rPr>
                <w:noProof/>
                <w:webHidden/>
              </w:rPr>
              <w:fldChar w:fldCharType="begin"/>
            </w:r>
            <w:r>
              <w:rPr>
                <w:noProof/>
                <w:webHidden/>
              </w:rPr>
              <w:instrText xml:space="preserve"> PAGEREF _Toc220940194 \h </w:instrText>
            </w:r>
            <w:r>
              <w:rPr>
                <w:noProof/>
                <w:webHidden/>
              </w:rPr>
            </w:r>
            <w:r>
              <w:rPr>
                <w:noProof/>
                <w:webHidden/>
              </w:rPr>
              <w:fldChar w:fldCharType="separate"/>
            </w:r>
            <w:r>
              <w:rPr>
                <w:noProof/>
                <w:webHidden/>
              </w:rPr>
              <w:t>25</w:t>
            </w:r>
            <w:r>
              <w:rPr>
                <w:noProof/>
                <w:webHidden/>
              </w:rPr>
              <w:fldChar w:fldCharType="end"/>
            </w:r>
          </w:hyperlink>
        </w:p>
        <w:p w:rsidR="00B62302" w:rsidRDefault="00B62302" w14:paraId="1CEC6D7E" w14:textId="6A4E455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195">
            <w:r w:rsidRPr="008C2C8D">
              <w:rPr>
                <w:rStyle w:val="Hyperlink"/>
                <w:noProof/>
              </w:rPr>
              <w:t>5.10.3.</w:t>
            </w:r>
            <w:r>
              <w:rPr>
                <w:rFonts w:asciiTheme="minorHAnsi" w:hAnsiTheme="minorHAnsi" w:cstheme="minorBidi"/>
                <w:noProof/>
                <w:kern w:val="2"/>
                <w:sz w:val="24"/>
                <w:szCs w:val="24"/>
                <w14:ligatures w14:val="standardContextual"/>
              </w:rPr>
              <w:tab/>
            </w:r>
            <w:r w:rsidRPr="008C2C8D">
              <w:rPr>
                <w:rStyle w:val="Hyperlink"/>
                <w:noProof/>
              </w:rPr>
              <w:t>How Capacity Should be Shared Among Multiple Applicants</w:t>
            </w:r>
            <w:r>
              <w:rPr>
                <w:noProof/>
                <w:webHidden/>
              </w:rPr>
              <w:tab/>
            </w:r>
            <w:r>
              <w:rPr>
                <w:noProof/>
                <w:webHidden/>
              </w:rPr>
              <w:fldChar w:fldCharType="begin"/>
            </w:r>
            <w:r>
              <w:rPr>
                <w:noProof/>
                <w:webHidden/>
              </w:rPr>
              <w:instrText xml:space="preserve"> PAGEREF _Toc220940195 \h </w:instrText>
            </w:r>
            <w:r>
              <w:rPr>
                <w:noProof/>
                <w:webHidden/>
              </w:rPr>
            </w:r>
            <w:r>
              <w:rPr>
                <w:noProof/>
                <w:webHidden/>
              </w:rPr>
              <w:fldChar w:fldCharType="separate"/>
            </w:r>
            <w:r>
              <w:rPr>
                <w:noProof/>
                <w:webHidden/>
              </w:rPr>
              <w:t>26</w:t>
            </w:r>
            <w:r>
              <w:rPr>
                <w:noProof/>
                <w:webHidden/>
              </w:rPr>
              <w:fldChar w:fldCharType="end"/>
            </w:r>
          </w:hyperlink>
        </w:p>
        <w:p w:rsidR="00B62302" w:rsidRDefault="00B62302" w14:paraId="353138E4" w14:textId="04B10134">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196">
            <w:r w:rsidRPr="008C2C8D">
              <w:rPr>
                <w:rStyle w:val="Hyperlink"/>
                <w:noProof/>
              </w:rPr>
              <w:t>5.10.4.</w:t>
            </w:r>
            <w:r>
              <w:rPr>
                <w:rFonts w:asciiTheme="minorHAnsi" w:hAnsiTheme="minorHAnsi" w:cstheme="minorBidi"/>
                <w:noProof/>
                <w:kern w:val="2"/>
                <w:sz w:val="24"/>
                <w:szCs w:val="24"/>
                <w14:ligatures w14:val="standardContextual"/>
              </w:rPr>
              <w:tab/>
            </w:r>
            <w:r w:rsidRPr="008C2C8D">
              <w:rPr>
                <w:rStyle w:val="Hyperlink"/>
                <w:noProof/>
              </w:rPr>
              <w:t>Initial Engineering Evaluation, Customer Communications, and IOU Optimization of LLP within Step 2</w:t>
            </w:r>
            <w:r>
              <w:rPr>
                <w:noProof/>
                <w:webHidden/>
              </w:rPr>
              <w:tab/>
            </w:r>
            <w:r>
              <w:rPr>
                <w:noProof/>
                <w:webHidden/>
              </w:rPr>
              <w:fldChar w:fldCharType="begin"/>
            </w:r>
            <w:r>
              <w:rPr>
                <w:noProof/>
                <w:webHidden/>
              </w:rPr>
              <w:instrText xml:space="preserve"> PAGEREF _Toc220940196 \h </w:instrText>
            </w:r>
            <w:r>
              <w:rPr>
                <w:noProof/>
                <w:webHidden/>
              </w:rPr>
            </w:r>
            <w:r>
              <w:rPr>
                <w:noProof/>
                <w:webHidden/>
              </w:rPr>
              <w:fldChar w:fldCharType="separate"/>
            </w:r>
            <w:r>
              <w:rPr>
                <w:noProof/>
                <w:webHidden/>
              </w:rPr>
              <w:t>26</w:t>
            </w:r>
            <w:r>
              <w:rPr>
                <w:noProof/>
                <w:webHidden/>
              </w:rPr>
              <w:fldChar w:fldCharType="end"/>
            </w:r>
          </w:hyperlink>
        </w:p>
        <w:p w:rsidR="00B62302" w:rsidRDefault="00B62302" w14:paraId="3C604C8F" w14:textId="1A057F28">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197">
            <w:r w:rsidRPr="008C2C8D">
              <w:rPr>
                <w:rStyle w:val="Hyperlink"/>
                <w:noProof/>
              </w:rPr>
              <w:t>5.10.5.</w:t>
            </w:r>
            <w:r>
              <w:rPr>
                <w:rFonts w:asciiTheme="minorHAnsi" w:hAnsiTheme="minorHAnsi" w:cstheme="minorBidi"/>
                <w:noProof/>
                <w:kern w:val="2"/>
                <w:sz w:val="24"/>
                <w:szCs w:val="24"/>
                <w14:ligatures w14:val="standardContextual"/>
              </w:rPr>
              <w:tab/>
            </w:r>
            <w:r w:rsidRPr="008C2C8D">
              <w:rPr>
                <w:rStyle w:val="Hyperlink"/>
                <w:noProof/>
              </w:rPr>
              <w:t>Integration of Load and Generation in Engineering Evaluation and Analysis</w:t>
            </w:r>
            <w:r>
              <w:rPr>
                <w:noProof/>
                <w:webHidden/>
              </w:rPr>
              <w:tab/>
            </w:r>
            <w:r>
              <w:rPr>
                <w:noProof/>
                <w:webHidden/>
              </w:rPr>
              <w:fldChar w:fldCharType="begin"/>
            </w:r>
            <w:r>
              <w:rPr>
                <w:noProof/>
                <w:webHidden/>
              </w:rPr>
              <w:instrText xml:space="preserve"> PAGEREF _Toc220940197 \h </w:instrText>
            </w:r>
            <w:r>
              <w:rPr>
                <w:noProof/>
                <w:webHidden/>
              </w:rPr>
            </w:r>
            <w:r>
              <w:rPr>
                <w:noProof/>
                <w:webHidden/>
              </w:rPr>
              <w:fldChar w:fldCharType="separate"/>
            </w:r>
            <w:r>
              <w:rPr>
                <w:noProof/>
                <w:webHidden/>
              </w:rPr>
              <w:t>29</w:t>
            </w:r>
            <w:r>
              <w:rPr>
                <w:noProof/>
                <w:webHidden/>
              </w:rPr>
              <w:fldChar w:fldCharType="end"/>
            </w:r>
          </w:hyperlink>
        </w:p>
        <w:p w:rsidR="00B62302" w:rsidRDefault="00B62302" w14:paraId="5565D999" w14:textId="773D498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0940198">
            <w:r w:rsidRPr="008C2C8D">
              <w:rPr>
                <w:rStyle w:val="Hyperlink"/>
                <w:noProof/>
              </w:rPr>
              <w:t>5.11.</w:t>
            </w:r>
            <w:r>
              <w:rPr>
                <w:rFonts w:asciiTheme="minorHAnsi" w:hAnsiTheme="minorHAnsi" w:cstheme="minorBidi"/>
                <w:noProof/>
                <w:kern w:val="2"/>
                <w:sz w:val="24"/>
                <w:szCs w:val="24"/>
                <w14:ligatures w14:val="standardContextual"/>
              </w:rPr>
              <w:tab/>
            </w:r>
            <w:r w:rsidRPr="008C2C8D">
              <w:rPr>
                <w:rStyle w:val="Hyperlink"/>
                <w:noProof/>
              </w:rPr>
              <w:t>Modification of a Standard Offer LLP</w:t>
            </w:r>
            <w:r>
              <w:rPr>
                <w:noProof/>
                <w:webHidden/>
              </w:rPr>
              <w:tab/>
            </w:r>
            <w:r>
              <w:rPr>
                <w:noProof/>
                <w:webHidden/>
              </w:rPr>
              <w:fldChar w:fldCharType="begin"/>
            </w:r>
            <w:r>
              <w:rPr>
                <w:noProof/>
                <w:webHidden/>
              </w:rPr>
              <w:instrText xml:space="preserve"> PAGEREF _Toc220940198 \h </w:instrText>
            </w:r>
            <w:r>
              <w:rPr>
                <w:noProof/>
                <w:webHidden/>
              </w:rPr>
            </w:r>
            <w:r>
              <w:rPr>
                <w:noProof/>
                <w:webHidden/>
              </w:rPr>
              <w:fldChar w:fldCharType="separate"/>
            </w:r>
            <w:r>
              <w:rPr>
                <w:noProof/>
                <w:webHidden/>
              </w:rPr>
              <w:t>30</w:t>
            </w:r>
            <w:r>
              <w:rPr>
                <w:noProof/>
                <w:webHidden/>
              </w:rPr>
              <w:fldChar w:fldCharType="end"/>
            </w:r>
          </w:hyperlink>
        </w:p>
        <w:p w:rsidR="00B62302" w:rsidRDefault="00B62302" w14:paraId="3F599FA5" w14:textId="4A38E70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199">
            <w:r w:rsidRPr="008C2C8D">
              <w:rPr>
                <w:rStyle w:val="Hyperlink"/>
                <w:noProof/>
              </w:rPr>
              <w:t>5.11.1.</w:t>
            </w:r>
            <w:r>
              <w:rPr>
                <w:rFonts w:asciiTheme="minorHAnsi" w:hAnsiTheme="minorHAnsi" w:cstheme="minorBidi"/>
                <w:noProof/>
                <w:kern w:val="2"/>
                <w:sz w:val="24"/>
                <w:szCs w:val="24"/>
                <w14:ligatures w14:val="standardContextual"/>
              </w:rPr>
              <w:tab/>
            </w:r>
            <w:r w:rsidRPr="008C2C8D">
              <w:rPr>
                <w:rStyle w:val="Hyperlink"/>
                <w:noProof/>
              </w:rPr>
              <w:t>Curtailing Standard Offer Capacity for Safety, Reliability, or Insufficient Energy Supply</w:t>
            </w:r>
            <w:r>
              <w:rPr>
                <w:noProof/>
                <w:webHidden/>
              </w:rPr>
              <w:tab/>
            </w:r>
            <w:r>
              <w:rPr>
                <w:noProof/>
                <w:webHidden/>
              </w:rPr>
              <w:fldChar w:fldCharType="begin"/>
            </w:r>
            <w:r>
              <w:rPr>
                <w:noProof/>
                <w:webHidden/>
              </w:rPr>
              <w:instrText xml:space="preserve"> PAGEREF _Toc220940199 \h </w:instrText>
            </w:r>
            <w:r>
              <w:rPr>
                <w:noProof/>
                <w:webHidden/>
              </w:rPr>
            </w:r>
            <w:r>
              <w:rPr>
                <w:noProof/>
                <w:webHidden/>
              </w:rPr>
              <w:fldChar w:fldCharType="separate"/>
            </w:r>
            <w:r>
              <w:rPr>
                <w:noProof/>
                <w:webHidden/>
              </w:rPr>
              <w:t>30</w:t>
            </w:r>
            <w:r>
              <w:rPr>
                <w:noProof/>
                <w:webHidden/>
              </w:rPr>
              <w:fldChar w:fldCharType="end"/>
            </w:r>
          </w:hyperlink>
        </w:p>
        <w:p w:rsidR="00B62302" w:rsidRDefault="00B62302" w14:paraId="6C4E4758" w14:textId="4C889ED3">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200">
            <w:r w:rsidRPr="008C2C8D">
              <w:rPr>
                <w:rStyle w:val="Hyperlink"/>
                <w:noProof/>
              </w:rPr>
              <w:t>5.11.2.</w:t>
            </w:r>
            <w:r>
              <w:rPr>
                <w:rFonts w:asciiTheme="minorHAnsi" w:hAnsiTheme="minorHAnsi" w:cstheme="minorBidi"/>
                <w:noProof/>
                <w:kern w:val="2"/>
                <w:sz w:val="24"/>
                <w:szCs w:val="24"/>
                <w14:ligatures w14:val="standardContextual"/>
              </w:rPr>
              <w:tab/>
            </w:r>
            <w:r w:rsidRPr="008C2C8D">
              <w:rPr>
                <w:rStyle w:val="Hyperlink"/>
                <w:noProof/>
              </w:rPr>
              <w:t>Modifying LLP to Reflect Annual Capacity Reassessment</w:t>
            </w:r>
            <w:r>
              <w:rPr>
                <w:noProof/>
                <w:webHidden/>
              </w:rPr>
              <w:tab/>
            </w:r>
            <w:r>
              <w:rPr>
                <w:noProof/>
                <w:webHidden/>
              </w:rPr>
              <w:fldChar w:fldCharType="begin"/>
            </w:r>
            <w:r>
              <w:rPr>
                <w:noProof/>
                <w:webHidden/>
              </w:rPr>
              <w:instrText xml:space="preserve"> PAGEREF _Toc220940200 \h </w:instrText>
            </w:r>
            <w:r>
              <w:rPr>
                <w:noProof/>
                <w:webHidden/>
              </w:rPr>
            </w:r>
            <w:r>
              <w:rPr>
                <w:noProof/>
                <w:webHidden/>
              </w:rPr>
              <w:fldChar w:fldCharType="separate"/>
            </w:r>
            <w:r>
              <w:rPr>
                <w:noProof/>
                <w:webHidden/>
              </w:rPr>
              <w:t>32</w:t>
            </w:r>
            <w:r>
              <w:rPr>
                <w:noProof/>
                <w:webHidden/>
              </w:rPr>
              <w:fldChar w:fldCharType="end"/>
            </w:r>
          </w:hyperlink>
        </w:p>
        <w:p w:rsidR="00B62302" w:rsidRDefault="00B62302" w14:paraId="1213E2F9" w14:textId="6C9F1B4F">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0940201">
            <w:r w:rsidRPr="008C2C8D">
              <w:rPr>
                <w:rStyle w:val="Hyperlink"/>
                <w:noProof/>
              </w:rPr>
              <w:t>5.11.3.</w:t>
            </w:r>
            <w:r>
              <w:rPr>
                <w:rFonts w:asciiTheme="minorHAnsi" w:hAnsiTheme="minorHAnsi" w:cstheme="minorBidi"/>
                <w:noProof/>
                <w:kern w:val="2"/>
                <w:sz w:val="24"/>
                <w:szCs w:val="24"/>
                <w14:ligatures w14:val="standardContextual"/>
              </w:rPr>
              <w:tab/>
            </w:r>
            <w:r w:rsidRPr="008C2C8D">
              <w:rPr>
                <w:rStyle w:val="Hyperlink"/>
                <w:noProof/>
              </w:rPr>
              <w:t>Modifying LLP on a Limited Term, Ad Hoc Basis</w:t>
            </w:r>
            <w:r>
              <w:rPr>
                <w:noProof/>
                <w:webHidden/>
              </w:rPr>
              <w:tab/>
            </w:r>
            <w:r>
              <w:rPr>
                <w:noProof/>
                <w:webHidden/>
              </w:rPr>
              <w:fldChar w:fldCharType="begin"/>
            </w:r>
            <w:r>
              <w:rPr>
                <w:noProof/>
                <w:webHidden/>
              </w:rPr>
              <w:instrText xml:space="preserve"> PAGEREF _Toc220940201 \h </w:instrText>
            </w:r>
            <w:r>
              <w:rPr>
                <w:noProof/>
                <w:webHidden/>
              </w:rPr>
            </w:r>
            <w:r>
              <w:rPr>
                <w:noProof/>
                <w:webHidden/>
              </w:rPr>
              <w:fldChar w:fldCharType="separate"/>
            </w:r>
            <w:r>
              <w:rPr>
                <w:noProof/>
                <w:webHidden/>
              </w:rPr>
              <w:t>32</w:t>
            </w:r>
            <w:r>
              <w:rPr>
                <w:noProof/>
                <w:webHidden/>
              </w:rPr>
              <w:fldChar w:fldCharType="end"/>
            </w:r>
          </w:hyperlink>
        </w:p>
        <w:p w:rsidR="00B62302" w:rsidRDefault="00B62302" w14:paraId="1FF7226E" w14:textId="0798037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0940202">
            <w:r w:rsidRPr="008C2C8D">
              <w:rPr>
                <w:rStyle w:val="Hyperlink"/>
                <w:noProof/>
              </w:rPr>
              <w:t>5.12.</w:t>
            </w:r>
            <w:r>
              <w:rPr>
                <w:rFonts w:asciiTheme="minorHAnsi" w:hAnsiTheme="minorHAnsi" w:cstheme="minorBidi"/>
                <w:noProof/>
                <w:kern w:val="2"/>
                <w:sz w:val="24"/>
                <w:szCs w:val="24"/>
                <w14:ligatures w14:val="standardContextual"/>
              </w:rPr>
              <w:tab/>
            </w:r>
            <w:r w:rsidRPr="008C2C8D">
              <w:rPr>
                <w:rStyle w:val="Hyperlink"/>
                <w:noProof/>
              </w:rPr>
              <w:t>Customer Enrollment Utilization of a Standard Offer Shall Not Affect Energization Queue Positions</w:t>
            </w:r>
            <w:r>
              <w:rPr>
                <w:noProof/>
                <w:webHidden/>
              </w:rPr>
              <w:tab/>
            </w:r>
            <w:r>
              <w:rPr>
                <w:noProof/>
                <w:webHidden/>
              </w:rPr>
              <w:fldChar w:fldCharType="begin"/>
            </w:r>
            <w:r>
              <w:rPr>
                <w:noProof/>
                <w:webHidden/>
              </w:rPr>
              <w:instrText xml:space="preserve"> PAGEREF _Toc220940202 \h </w:instrText>
            </w:r>
            <w:r>
              <w:rPr>
                <w:noProof/>
                <w:webHidden/>
              </w:rPr>
            </w:r>
            <w:r>
              <w:rPr>
                <w:noProof/>
                <w:webHidden/>
              </w:rPr>
              <w:fldChar w:fldCharType="separate"/>
            </w:r>
            <w:r>
              <w:rPr>
                <w:noProof/>
                <w:webHidden/>
              </w:rPr>
              <w:t>33</w:t>
            </w:r>
            <w:r>
              <w:rPr>
                <w:noProof/>
                <w:webHidden/>
              </w:rPr>
              <w:fldChar w:fldCharType="end"/>
            </w:r>
          </w:hyperlink>
        </w:p>
        <w:p w:rsidR="00B62302" w:rsidRDefault="00B62302" w14:paraId="66F0A3BC" w14:textId="62FF30A2">
          <w:pPr>
            <w:pStyle w:val="TOC1"/>
            <w:tabs>
              <w:tab w:val="right" w:leader="dot" w:pos="9350"/>
            </w:tabs>
            <w:rPr>
              <w:rFonts w:asciiTheme="minorHAnsi" w:hAnsiTheme="minorHAnsi" w:cstheme="minorBidi"/>
              <w:noProof/>
              <w:kern w:val="2"/>
              <w:sz w:val="24"/>
              <w:szCs w:val="24"/>
              <w14:ligatures w14:val="standardContextual"/>
            </w:rPr>
          </w:pPr>
          <w:hyperlink w:history="1" w:anchor="_Toc220940203">
            <w:r w:rsidRPr="008C2C8D">
              <w:rPr>
                <w:rStyle w:val="Hyperlink"/>
                <w:noProof/>
              </w:rPr>
              <w:t>6.</w:t>
            </w:r>
            <w:r>
              <w:rPr>
                <w:rFonts w:asciiTheme="minorHAnsi" w:hAnsiTheme="minorHAnsi" w:cstheme="minorBidi"/>
                <w:noProof/>
                <w:kern w:val="2"/>
                <w:sz w:val="24"/>
                <w:szCs w:val="24"/>
                <w14:ligatures w14:val="standardContextual"/>
              </w:rPr>
              <w:tab/>
            </w:r>
            <w:r w:rsidRPr="008C2C8D">
              <w:rPr>
                <w:rStyle w:val="Hyperlink"/>
                <w:noProof/>
              </w:rPr>
              <w:t>Standard Offer Flexible Service Connection Technical Elements</w:t>
            </w:r>
            <w:r>
              <w:rPr>
                <w:noProof/>
                <w:webHidden/>
              </w:rPr>
              <w:tab/>
            </w:r>
            <w:r>
              <w:rPr>
                <w:noProof/>
                <w:webHidden/>
              </w:rPr>
              <w:fldChar w:fldCharType="begin"/>
            </w:r>
            <w:r>
              <w:rPr>
                <w:noProof/>
                <w:webHidden/>
              </w:rPr>
              <w:instrText xml:space="preserve"> PAGEREF _Toc220940203 \h </w:instrText>
            </w:r>
            <w:r>
              <w:rPr>
                <w:noProof/>
                <w:webHidden/>
              </w:rPr>
            </w:r>
            <w:r>
              <w:rPr>
                <w:noProof/>
                <w:webHidden/>
              </w:rPr>
              <w:fldChar w:fldCharType="separate"/>
            </w:r>
            <w:r>
              <w:rPr>
                <w:noProof/>
                <w:webHidden/>
              </w:rPr>
              <w:t>33</w:t>
            </w:r>
            <w:r>
              <w:rPr>
                <w:noProof/>
                <w:webHidden/>
              </w:rPr>
              <w:fldChar w:fldCharType="end"/>
            </w:r>
          </w:hyperlink>
        </w:p>
        <w:p w:rsidR="00B62302" w:rsidRDefault="00B62302" w14:paraId="38C651F7" w14:textId="6E89416E">
          <w:pPr>
            <w:pStyle w:val="TOC2"/>
            <w:tabs>
              <w:tab w:val="right" w:leader="dot" w:pos="9350"/>
            </w:tabs>
            <w:rPr>
              <w:rFonts w:asciiTheme="minorHAnsi" w:hAnsiTheme="minorHAnsi" w:cstheme="minorBidi"/>
              <w:noProof/>
              <w:kern w:val="2"/>
              <w:sz w:val="24"/>
              <w:szCs w:val="24"/>
              <w14:ligatures w14:val="standardContextual"/>
            </w:rPr>
          </w:pPr>
          <w:hyperlink w:history="1" w:anchor="_Toc220940204">
            <w:r w:rsidRPr="008C2C8D">
              <w:rPr>
                <w:rStyle w:val="Hyperlink"/>
                <w:noProof/>
              </w:rPr>
              <w:t>6.1.</w:t>
            </w:r>
            <w:r>
              <w:rPr>
                <w:rFonts w:asciiTheme="minorHAnsi" w:hAnsiTheme="minorHAnsi" w:cstheme="minorBidi"/>
                <w:noProof/>
                <w:kern w:val="2"/>
                <w:sz w:val="24"/>
                <w:szCs w:val="24"/>
                <w14:ligatures w14:val="standardContextual"/>
              </w:rPr>
              <w:tab/>
            </w:r>
            <w:r w:rsidRPr="008C2C8D">
              <w:rPr>
                <w:rStyle w:val="Hyperlink"/>
                <w:noProof/>
              </w:rPr>
              <w:t>Method for Determining Customer Load in the Standard Offer</w:t>
            </w:r>
            <w:r>
              <w:rPr>
                <w:noProof/>
                <w:webHidden/>
              </w:rPr>
              <w:tab/>
            </w:r>
            <w:r>
              <w:rPr>
                <w:noProof/>
                <w:webHidden/>
              </w:rPr>
              <w:fldChar w:fldCharType="begin"/>
            </w:r>
            <w:r>
              <w:rPr>
                <w:noProof/>
                <w:webHidden/>
              </w:rPr>
              <w:instrText xml:space="preserve"> PAGEREF _Toc220940204 \h </w:instrText>
            </w:r>
            <w:r>
              <w:rPr>
                <w:noProof/>
                <w:webHidden/>
              </w:rPr>
            </w:r>
            <w:r>
              <w:rPr>
                <w:noProof/>
                <w:webHidden/>
              </w:rPr>
              <w:fldChar w:fldCharType="separate"/>
            </w:r>
            <w:r>
              <w:rPr>
                <w:noProof/>
                <w:webHidden/>
              </w:rPr>
              <w:t>34</w:t>
            </w:r>
            <w:r>
              <w:rPr>
                <w:noProof/>
                <w:webHidden/>
              </w:rPr>
              <w:fldChar w:fldCharType="end"/>
            </w:r>
          </w:hyperlink>
        </w:p>
        <w:p w:rsidR="00B62302" w:rsidRDefault="00B62302" w14:paraId="2B435570" w14:textId="72CFB38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05">
            <w:r w:rsidRPr="008C2C8D">
              <w:rPr>
                <w:rStyle w:val="Hyperlink"/>
                <w:noProof/>
              </w:rPr>
              <w:t>6.1.1.</w:t>
            </w:r>
            <w:r>
              <w:rPr>
                <w:rFonts w:asciiTheme="minorHAnsi" w:hAnsiTheme="minorHAnsi" w:cstheme="minorBidi"/>
                <w:noProof/>
                <w:kern w:val="2"/>
                <w:sz w:val="24"/>
                <w:szCs w:val="24"/>
                <w14:ligatures w14:val="standardContextual"/>
              </w:rPr>
              <w:tab/>
            </w:r>
            <w:r w:rsidRPr="008C2C8D">
              <w:rPr>
                <w:rStyle w:val="Hyperlink"/>
                <w:noProof/>
              </w:rPr>
              <w:t>Tariff Rules and Defined Terms</w:t>
            </w:r>
            <w:r>
              <w:rPr>
                <w:noProof/>
                <w:webHidden/>
              </w:rPr>
              <w:tab/>
            </w:r>
            <w:r>
              <w:rPr>
                <w:noProof/>
                <w:webHidden/>
              </w:rPr>
              <w:fldChar w:fldCharType="begin"/>
            </w:r>
            <w:r>
              <w:rPr>
                <w:noProof/>
                <w:webHidden/>
              </w:rPr>
              <w:instrText xml:space="preserve"> PAGEREF _Toc220940205 \h </w:instrText>
            </w:r>
            <w:r>
              <w:rPr>
                <w:noProof/>
                <w:webHidden/>
              </w:rPr>
            </w:r>
            <w:r>
              <w:rPr>
                <w:noProof/>
                <w:webHidden/>
              </w:rPr>
              <w:fldChar w:fldCharType="separate"/>
            </w:r>
            <w:r>
              <w:rPr>
                <w:noProof/>
                <w:webHidden/>
              </w:rPr>
              <w:t>35</w:t>
            </w:r>
            <w:r>
              <w:rPr>
                <w:noProof/>
                <w:webHidden/>
              </w:rPr>
              <w:fldChar w:fldCharType="end"/>
            </w:r>
          </w:hyperlink>
        </w:p>
        <w:p w:rsidR="00B62302" w:rsidRDefault="00B62302" w14:paraId="513161F5" w14:textId="13473108">
          <w:pPr>
            <w:pStyle w:val="TOC2"/>
            <w:tabs>
              <w:tab w:val="right" w:leader="dot" w:pos="9350"/>
            </w:tabs>
            <w:rPr>
              <w:rFonts w:asciiTheme="minorHAnsi" w:hAnsiTheme="minorHAnsi" w:cstheme="minorBidi"/>
              <w:noProof/>
              <w:kern w:val="2"/>
              <w:sz w:val="24"/>
              <w:szCs w:val="24"/>
              <w14:ligatures w14:val="standardContextual"/>
            </w:rPr>
          </w:pPr>
          <w:hyperlink w:history="1" w:anchor="_Toc220940206">
            <w:r w:rsidRPr="008C2C8D">
              <w:rPr>
                <w:rStyle w:val="Hyperlink"/>
                <w:noProof/>
              </w:rPr>
              <w:t>6.2.</w:t>
            </w:r>
            <w:r>
              <w:rPr>
                <w:rFonts w:asciiTheme="minorHAnsi" w:hAnsiTheme="minorHAnsi" w:cstheme="minorBidi"/>
                <w:noProof/>
                <w:kern w:val="2"/>
                <w:sz w:val="24"/>
                <w:szCs w:val="24"/>
                <w14:ligatures w14:val="standardContextual"/>
              </w:rPr>
              <w:tab/>
            </w:r>
            <w:r w:rsidRPr="008C2C8D">
              <w:rPr>
                <w:rStyle w:val="Hyperlink"/>
                <w:noProof/>
              </w:rPr>
              <w:t>Methods for Determining Grid Capacity in the Standard Offer</w:t>
            </w:r>
            <w:r>
              <w:rPr>
                <w:noProof/>
                <w:webHidden/>
              </w:rPr>
              <w:tab/>
            </w:r>
            <w:r>
              <w:rPr>
                <w:noProof/>
                <w:webHidden/>
              </w:rPr>
              <w:fldChar w:fldCharType="begin"/>
            </w:r>
            <w:r>
              <w:rPr>
                <w:noProof/>
                <w:webHidden/>
              </w:rPr>
              <w:instrText xml:space="preserve"> PAGEREF _Toc220940206 \h </w:instrText>
            </w:r>
            <w:r>
              <w:rPr>
                <w:noProof/>
                <w:webHidden/>
              </w:rPr>
            </w:r>
            <w:r>
              <w:rPr>
                <w:noProof/>
                <w:webHidden/>
              </w:rPr>
              <w:fldChar w:fldCharType="separate"/>
            </w:r>
            <w:r>
              <w:rPr>
                <w:noProof/>
                <w:webHidden/>
              </w:rPr>
              <w:t>37</w:t>
            </w:r>
            <w:r>
              <w:rPr>
                <w:noProof/>
                <w:webHidden/>
              </w:rPr>
              <w:fldChar w:fldCharType="end"/>
            </w:r>
          </w:hyperlink>
        </w:p>
        <w:p w:rsidR="00B62302" w:rsidRDefault="00B62302" w14:paraId="6E87DDA6" w14:textId="40FCA12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07">
            <w:r w:rsidRPr="008C2C8D">
              <w:rPr>
                <w:rStyle w:val="Hyperlink"/>
                <w:noProof/>
              </w:rPr>
              <w:t>6.2.1.</w:t>
            </w:r>
            <w:r>
              <w:rPr>
                <w:rFonts w:asciiTheme="minorHAnsi" w:hAnsiTheme="minorHAnsi" w:cstheme="minorBidi"/>
                <w:noProof/>
                <w:kern w:val="2"/>
                <w:sz w:val="24"/>
                <w:szCs w:val="24"/>
                <w14:ligatures w14:val="standardContextual"/>
              </w:rPr>
              <w:tab/>
            </w:r>
            <w:r w:rsidRPr="008C2C8D">
              <w:rPr>
                <w:rStyle w:val="Hyperlink"/>
                <w:noProof/>
              </w:rPr>
              <w:t>Lessons Learned from Limited Generation Profile</w:t>
            </w:r>
            <w:r>
              <w:rPr>
                <w:noProof/>
                <w:webHidden/>
              </w:rPr>
              <w:tab/>
            </w:r>
            <w:r>
              <w:rPr>
                <w:noProof/>
                <w:webHidden/>
              </w:rPr>
              <w:fldChar w:fldCharType="begin"/>
            </w:r>
            <w:r>
              <w:rPr>
                <w:noProof/>
                <w:webHidden/>
              </w:rPr>
              <w:instrText xml:space="preserve"> PAGEREF _Toc220940207 \h </w:instrText>
            </w:r>
            <w:r>
              <w:rPr>
                <w:noProof/>
                <w:webHidden/>
              </w:rPr>
            </w:r>
            <w:r>
              <w:rPr>
                <w:noProof/>
                <w:webHidden/>
              </w:rPr>
              <w:fldChar w:fldCharType="separate"/>
            </w:r>
            <w:r>
              <w:rPr>
                <w:noProof/>
                <w:webHidden/>
              </w:rPr>
              <w:t>37</w:t>
            </w:r>
            <w:r>
              <w:rPr>
                <w:noProof/>
                <w:webHidden/>
              </w:rPr>
              <w:fldChar w:fldCharType="end"/>
            </w:r>
          </w:hyperlink>
        </w:p>
        <w:p w:rsidR="00B62302" w:rsidRDefault="00B62302" w14:paraId="6D4F2DDA" w14:textId="6B7087A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08">
            <w:r w:rsidRPr="008C2C8D">
              <w:rPr>
                <w:rStyle w:val="Hyperlink"/>
                <w:noProof/>
              </w:rPr>
              <w:t>6.2.2.</w:t>
            </w:r>
            <w:r>
              <w:rPr>
                <w:rFonts w:asciiTheme="minorHAnsi" w:hAnsiTheme="minorHAnsi" w:cstheme="minorBidi"/>
                <w:noProof/>
                <w:kern w:val="2"/>
                <w:sz w:val="24"/>
                <w:szCs w:val="24"/>
                <w14:ligatures w14:val="standardContextual"/>
              </w:rPr>
              <w:tab/>
            </w:r>
            <w:r w:rsidRPr="008C2C8D">
              <w:rPr>
                <w:rStyle w:val="Hyperlink"/>
                <w:noProof/>
              </w:rPr>
              <w:t>Utilization of the Load ICA Tool for Standard Offer Capacity Values</w:t>
            </w:r>
            <w:r>
              <w:rPr>
                <w:noProof/>
                <w:webHidden/>
              </w:rPr>
              <w:tab/>
            </w:r>
            <w:r>
              <w:rPr>
                <w:noProof/>
                <w:webHidden/>
              </w:rPr>
              <w:fldChar w:fldCharType="begin"/>
            </w:r>
            <w:r>
              <w:rPr>
                <w:noProof/>
                <w:webHidden/>
              </w:rPr>
              <w:instrText xml:space="preserve"> PAGEREF _Toc220940208 \h </w:instrText>
            </w:r>
            <w:r>
              <w:rPr>
                <w:noProof/>
                <w:webHidden/>
              </w:rPr>
            </w:r>
            <w:r>
              <w:rPr>
                <w:noProof/>
                <w:webHidden/>
              </w:rPr>
              <w:fldChar w:fldCharType="separate"/>
            </w:r>
            <w:r>
              <w:rPr>
                <w:noProof/>
                <w:webHidden/>
              </w:rPr>
              <w:t>38</w:t>
            </w:r>
            <w:r>
              <w:rPr>
                <w:noProof/>
                <w:webHidden/>
              </w:rPr>
              <w:fldChar w:fldCharType="end"/>
            </w:r>
          </w:hyperlink>
        </w:p>
        <w:p w:rsidR="00B62302" w:rsidRDefault="00B62302" w14:paraId="119EEA7A" w14:textId="53C25EB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09">
            <w:r w:rsidRPr="008C2C8D">
              <w:rPr>
                <w:rStyle w:val="Hyperlink"/>
                <w:noProof/>
              </w:rPr>
              <w:t>6.2.3.</w:t>
            </w:r>
            <w:r>
              <w:rPr>
                <w:rFonts w:asciiTheme="minorHAnsi" w:hAnsiTheme="minorHAnsi" w:cstheme="minorBidi"/>
                <w:noProof/>
                <w:kern w:val="2"/>
                <w:sz w:val="24"/>
                <w:szCs w:val="24"/>
                <w14:ligatures w14:val="standardContextual"/>
              </w:rPr>
              <w:tab/>
            </w:r>
            <w:r w:rsidRPr="008C2C8D">
              <w:rPr>
                <w:rStyle w:val="Hyperlink"/>
                <w:noProof/>
              </w:rPr>
              <w:t>Normal and Emergency Equipment Capacity Ratings</w:t>
            </w:r>
            <w:r>
              <w:rPr>
                <w:noProof/>
                <w:webHidden/>
              </w:rPr>
              <w:tab/>
            </w:r>
            <w:r>
              <w:rPr>
                <w:noProof/>
                <w:webHidden/>
              </w:rPr>
              <w:fldChar w:fldCharType="begin"/>
            </w:r>
            <w:r>
              <w:rPr>
                <w:noProof/>
                <w:webHidden/>
              </w:rPr>
              <w:instrText xml:space="preserve"> PAGEREF _Toc220940209 \h </w:instrText>
            </w:r>
            <w:r>
              <w:rPr>
                <w:noProof/>
                <w:webHidden/>
              </w:rPr>
            </w:r>
            <w:r>
              <w:rPr>
                <w:noProof/>
                <w:webHidden/>
              </w:rPr>
              <w:fldChar w:fldCharType="separate"/>
            </w:r>
            <w:r>
              <w:rPr>
                <w:noProof/>
                <w:webHidden/>
              </w:rPr>
              <w:t>39</w:t>
            </w:r>
            <w:r>
              <w:rPr>
                <w:noProof/>
                <w:webHidden/>
              </w:rPr>
              <w:fldChar w:fldCharType="end"/>
            </w:r>
          </w:hyperlink>
        </w:p>
        <w:p w:rsidR="00B62302" w:rsidRDefault="00B62302" w14:paraId="1895FB8D" w14:textId="76351CF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10">
            <w:r w:rsidRPr="008C2C8D">
              <w:rPr>
                <w:rStyle w:val="Hyperlink"/>
                <w:noProof/>
              </w:rPr>
              <w:t>6.2.4.</w:t>
            </w:r>
            <w:r>
              <w:rPr>
                <w:rFonts w:asciiTheme="minorHAnsi" w:hAnsiTheme="minorHAnsi" w:cstheme="minorBidi"/>
                <w:noProof/>
                <w:kern w:val="2"/>
                <w:sz w:val="24"/>
                <w:szCs w:val="24"/>
                <w14:ligatures w14:val="standardContextual"/>
              </w:rPr>
              <w:tab/>
            </w:r>
            <w:r w:rsidRPr="008C2C8D">
              <w:rPr>
                <w:rStyle w:val="Hyperlink"/>
                <w:noProof/>
              </w:rPr>
              <w:t>Buffer Values on Normal Capacity Ratings</w:t>
            </w:r>
            <w:r>
              <w:rPr>
                <w:noProof/>
                <w:webHidden/>
              </w:rPr>
              <w:tab/>
            </w:r>
            <w:r>
              <w:rPr>
                <w:noProof/>
                <w:webHidden/>
              </w:rPr>
              <w:fldChar w:fldCharType="begin"/>
            </w:r>
            <w:r>
              <w:rPr>
                <w:noProof/>
                <w:webHidden/>
              </w:rPr>
              <w:instrText xml:space="preserve"> PAGEREF _Toc220940210 \h </w:instrText>
            </w:r>
            <w:r>
              <w:rPr>
                <w:noProof/>
                <w:webHidden/>
              </w:rPr>
            </w:r>
            <w:r>
              <w:rPr>
                <w:noProof/>
                <w:webHidden/>
              </w:rPr>
              <w:fldChar w:fldCharType="separate"/>
            </w:r>
            <w:r>
              <w:rPr>
                <w:noProof/>
                <w:webHidden/>
              </w:rPr>
              <w:t>40</w:t>
            </w:r>
            <w:r>
              <w:rPr>
                <w:noProof/>
                <w:webHidden/>
              </w:rPr>
              <w:fldChar w:fldCharType="end"/>
            </w:r>
          </w:hyperlink>
        </w:p>
        <w:p w:rsidR="00B62302" w:rsidRDefault="00B62302" w14:paraId="4CE010A9" w14:textId="7B98B86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11">
            <w:r w:rsidRPr="008C2C8D">
              <w:rPr>
                <w:rStyle w:val="Hyperlink"/>
                <w:noProof/>
              </w:rPr>
              <w:t>6.2.5.</w:t>
            </w:r>
            <w:r>
              <w:rPr>
                <w:rFonts w:asciiTheme="minorHAnsi" w:hAnsiTheme="minorHAnsi" w:cstheme="minorBidi"/>
                <w:noProof/>
                <w:kern w:val="2"/>
                <w:sz w:val="24"/>
                <w:szCs w:val="24"/>
                <w14:ligatures w14:val="standardContextual"/>
              </w:rPr>
              <w:tab/>
            </w:r>
            <w:r w:rsidRPr="008C2C8D">
              <w:rPr>
                <w:rStyle w:val="Hyperlink"/>
                <w:noProof/>
              </w:rPr>
              <w:t>Additional Limitations Imposed by Emergency Capacity Ratings</w:t>
            </w:r>
            <w:r>
              <w:rPr>
                <w:noProof/>
                <w:webHidden/>
              </w:rPr>
              <w:tab/>
            </w:r>
            <w:r>
              <w:rPr>
                <w:noProof/>
                <w:webHidden/>
              </w:rPr>
              <w:fldChar w:fldCharType="begin"/>
            </w:r>
            <w:r>
              <w:rPr>
                <w:noProof/>
                <w:webHidden/>
              </w:rPr>
              <w:instrText xml:space="preserve"> PAGEREF _Toc220940211 \h </w:instrText>
            </w:r>
            <w:r>
              <w:rPr>
                <w:noProof/>
                <w:webHidden/>
              </w:rPr>
            </w:r>
            <w:r>
              <w:rPr>
                <w:noProof/>
                <w:webHidden/>
              </w:rPr>
              <w:fldChar w:fldCharType="separate"/>
            </w:r>
            <w:r>
              <w:rPr>
                <w:noProof/>
                <w:webHidden/>
              </w:rPr>
              <w:t>41</w:t>
            </w:r>
            <w:r>
              <w:rPr>
                <w:noProof/>
                <w:webHidden/>
              </w:rPr>
              <w:fldChar w:fldCharType="end"/>
            </w:r>
          </w:hyperlink>
        </w:p>
        <w:p w:rsidR="00B62302" w:rsidRDefault="00B62302" w14:paraId="4AEC0553" w14:textId="49897F38">
          <w:pPr>
            <w:pStyle w:val="TOC2"/>
            <w:tabs>
              <w:tab w:val="right" w:leader="dot" w:pos="9350"/>
            </w:tabs>
            <w:rPr>
              <w:rFonts w:asciiTheme="minorHAnsi" w:hAnsiTheme="minorHAnsi" w:cstheme="minorBidi"/>
              <w:noProof/>
              <w:kern w:val="2"/>
              <w:sz w:val="24"/>
              <w:szCs w:val="24"/>
              <w14:ligatures w14:val="standardContextual"/>
            </w:rPr>
          </w:pPr>
          <w:hyperlink w:history="1" w:anchor="_Toc220940212">
            <w:r w:rsidRPr="008C2C8D">
              <w:rPr>
                <w:rStyle w:val="Hyperlink"/>
                <w:noProof/>
              </w:rPr>
              <w:t>6.3.</w:t>
            </w:r>
            <w:r>
              <w:rPr>
                <w:rFonts w:asciiTheme="minorHAnsi" w:hAnsiTheme="minorHAnsi" w:cstheme="minorBidi"/>
                <w:noProof/>
                <w:kern w:val="2"/>
                <w:sz w:val="24"/>
                <w:szCs w:val="24"/>
                <w14:ligatures w14:val="standardContextual"/>
              </w:rPr>
              <w:tab/>
            </w:r>
            <w:r w:rsidRPr="008C2C8D">
              <w:rPr>
                <w:rStyle w:val="Hyperlink"/>
                <w:noProof/>
              </w:rPr>
              <w:t>Technical Elements Related to Load Control</w:t>
            </w:r>
            <w:r>
              <w:rPr>
                <w:noProof/>
                <w:webHidden/>
              </w:rPr>
              <w:tab/>
            </w:r>
            <w:r>
              <w:rPr>
                <w:noProof/>
                <w:webHidden/>
              </w:rPr>
              <w:fldChar w:fldCharType="begin"/>
            </w:r>
            <w:r>
              <w:rPr>
                <w:noProof/>
                <w:webHidden/>
              </w:rPr>
              <w:instrText xml:space="preserve"> PAGEREF _Toc220940212 \h </w:instrText>
            </w:r>
            <w:r>
              <w:rPr>
                <w:noProof/>
                <w:webHidden/>
              </w:rPr>
            </w:r>
            <w:r>
              <w:rPr>
                <w:noProof/>
                <w:webHidden/>
              </w:rPr>
              <w:fldChar w:fldCharType="separate"/>
            </w:r>
            <w:r>
              <w:rPr>
                <w:noProof/>
                <w:webHidden/>
              </w:rPr>
              <w:t>41</w:t>
            </w:r>
            <w:r>
              <w:rPr>
                <w:noProof/>
                <w:webHidden/>
              </w:rPr>
              <w:fldChar w:fldCharType="end"/>
            </w:r>
          </w:hyperlink>
        </w:p>
        <w:p w:rsidR="00B62302" w:rsidRDefault="00B62302" w14:paraId="5B952A80" w14:textId="1A1BB53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13">
            <w:r w:rsidRPr="008C2C8D">
              <w:rPr>
                <w:rStyle w:val="Hyperlink"/>
                <w:noProof/>
              </w:rPr>
              <w:t>6.3.1.</w:t>
            </w:r>
            <w:r>
              <w:rPr>
                <w:rFonts w:asciiTheme="minorHAnsi" w:hAnsiTheme="minorHAnsi" w:cstheme="minorBidi"/>
                <w:noProof/>
                <w:kern w:val="2"/>
                <w:sz w:val="24"/>
                <w:szCs w:val="24"/>
                <w14:ligatures w14:val="standardContextual"/>
              </w:rPr>
              <w:tab/>
            </w:r>
            <w:r w:rsidRPr="008C2C8D">
              <w:rPr>
                <w:rStyle w:val="Hyperlink"/>
                <w:noProof/>
              </w:rPr>
              <w:t>There is No Need for a Specific Technical Load Control Solution</w:t>
            </w:r>
            <w:r>
              <w:rPr>
                <w:noProof/>
                <w:webHidden/>
              </w:rPr>
              <w:tab/>
            </w:r>
            <w:r>
              <w:rPr>
                <w:noProof/>
                <w:webHidden/>
              </w:rPr>
              <w:fldChar w:fldCharType="begin"/>
            </w:r>
            <w:r>
              <w:rPr>
                <w:noProof/>
                <w:webHidden/>
              </w:rPr>
              <w:instrText xml:space="preserve"> PAGEREF _Toc220940213 \h </w:instrText>
            </w:r>
            <w:r>
              <w:rPr>
                <w:noProof/>
                <w:webHidden/>
              </w:rPr>
            </w:r>
            <w:r>
              <w:rPr>
                <w:noProof/>
                <w:webHidden/>
              </w:rPr>
              <w:fldChar w:fldCharType="separate"/>
            </w:r>
            <w:r>
              <w:rPr>
                <w:noProof/>
                <w:webHidden/>
              </w:rPr>
              <w:t>41</w:t>
            </w:r>
            <w:r>
              <w:rPr>
                <w:noProof/>
                <w:webHidden/>
              </w:rPr>
              <w:fldChar w:fldCharType="end"/>
            </w:r>
          </w:hyperlink>
        </w:p>
        <w:p w:rsidR="00B62302" w:rsidRDefault="00B62302" w14:paraId="048C592E" w14:textId="19B1D09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14">
            <w:r w:rsidRPr="008C2C8D">
              <w:rPr>
                <w:rStyle w:val="Hyperlink"/>
                <w:noProof/>
              </w:rPr>
              <w:t>6.3.2.</w:t>
            </w:r>
            <w:r>
              <w:rPr>
                <w:rFonts w:asciiTheme="minorHAnsi" w:hAnsiTheme="minorHAnsi" w:cstheme="minorBidi"/>
                <w:noProof/>
                <w:kern w:val="2"/>
                <w:sz w:val="24"/>
                <w:szCs w:val="24"/>
                <w14:ligatures w14:val="standardContextual"/>
              </w:rPr>
              <w:tab/>
            </w:r>
            <w:r w:rsidRPr="008C2C8D">
              <w:rPr>
                <w:rStyle w:val="Hyperlink"/>
                <w:noProof/>
              </w:rPr>
              <w:t>Compliance Can be Achieved by Advanced Metering Infrastructure, Clear Liability, and Customer Education</w:t>
            </w:r>
            <w:r>
              <w:rPr>
                <w:noProof/>
                <w:webHidden/>
              </w:rPr>
              <w:tab/>
            </w:r>
            <w:r>
              <w:rPr>
                <w:noProof/>
                <w:webHidden/>
              </w:rPr>
              <w:fldChar w:fldCharType="begin"/>
            </w:r>
            <w:r>
              <w:rPr>
                <w:noProof/>
                <w:webHidden/>
              </w:rPr>
              <w:instrText xml:space="preserve"> PAGEREF _Toc220940214 \h </w:instrText>
            </w:r>
            <w:r>
              <w:rPr>
                <w:noProof/>
                <w:webHidden/>
              </w:rPr>
            </w:r>
            <w:r>
              <w:rPr>
                <w:noProof/>
                <w:webHidden/>
              </w:rPr>
              <w:fldChar w:fldCharType="separate"/>
            </w:r>
            <w:r>
              <w:rPr>
                <w:noProof/>
                <w:webHidden/>
              </w:rPr>
              <w:t>43</w:t>
            </w:r>
            <w:r>
              <w:rPr>
                <w:noProof/>
                <w:webHidden/>
              </w:rPr>
              <w:fldChar w:fldCharType="end"/>
            </w:r>
          </w:hyperlink>
        </w:p>
        <w:p w:rsidR="00B62302" w:rsidRDefault="00B62302" w14:paraId="1745E3AC" w14:textId="033B973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15">
            <w:r w:rsidRPr="008C2C8D">
              <w:rPr>
                <w:rStyle w:val="Hyperlink"/>
                <w:noProof/>
              </w:rPr>
              <w:t>6.3.3.</w:t>
            </w:r>
            <w:r>
              <w:rPr>
                <w:rFonts w:asciiTheme="minorHAnsi" w:hAnsiTheme="minorHAnsi" w:cstheme="minorBidi"/>
                <w:noProof/>
                <w:kern w:val="2"/>
                <w:sz w:val="24"/>
                <w:szCs w:val="24"/>
                <w14:ligatures w14:val="standardContextual"/>
              </w:rPr>
              <w:tab/>
            </w:r>
            <w:r w:rsidRPr="008C2C8D">
              <w:rPr>
                <w:rStyle w:val="Hyperlink"/>
                <w:noProof/>
              </w:rPr>
              <w:t>Safe Harbor for Load Controlled by Certified or Approved Electronic Systems</w:t>
            </w:r>
            <w:r>
              <w:rPr>
                <w:noProof/>
                <w:webHidden/>
              </w:rPr>
              <w:tab/>
            </w:r>
            <w:r>
              <w:rPr>
                <w:noProof/>
                <w:webHidden/>
              </w:rPr>
              <w:fldChar w:fldCharType="begin"/>
            </w:r>
            <w:r>
              <w:rPr>
                <w:noProof/>
                <w:webHidden/>
              </w:rPr>
              <w:instrText xml:space="preserve"> PAGEREF _Toc220940215 \h </w:instrText>
            </w:r>
            <w:r>
              <w:rPr>
                <w:noProof/>
                <w:webHidden/>
              </w:rPr>
            </w:r>
            <w:r>
              <w:rPr>
                <w:noProof/>
                <w:webHidden/>
              </w:rPr>
              <w:fldChar w:fldCharType="separate"/>
            </w:r>
            <w:r>
              <w:rPr>
                <w:noProof/>
                <w:webHidden/>
              </w:rPr>
              <w:t>45</w:t>
            </w:r>
            <w:r>
              <w:rPr>
                <w:noProof/>
                <w:webHidden/>
              </w:rPr>
              <w:fldChar w:fldCharType="end"/>
            </w:r>
          </w:hyperlink>
        </w:p>
        <w:p w:rsidR="00B62302" w:rsidRDefault="00B62302" w14:paraId="6F3C0C88" w14:textId="6C244B9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16">
            <w:r w:rsidRPr="008C2C8D">
              <w:rPr>
                <w:rStyle w:val="Hyperlink"/>
                <w:noProof/>
              </w:rPr>
              <w:t>6.3.4.</w:t>
            </w:r>
            <w:r>
              <w:rPr>
                <w:rFonts w:asciiTheme="minorHAnsi" w:hAnsiTheme="minorHAnsi" w:cstheme="minorBidi"/>
                <w:noProof/>
                <w:kern w:val="2"/>
                <w:sz w:val="24"/>
                <w:szCs w:val="24"/>
                <w14:ligatures w14:val="standardContextual"/>
              </w:rPr>
              <w:tab/>
            </w:r>
            <w:r w:rsidRPr="008C2C8D">
              <w:rPr>
                <w:rStyle w:val="Hyperlink"/>
                <w:noProof/>
              </w:rPr>
              <w:t>Availability of UL 3141 PCS Enabled Equipment</w:t>
            </w:r>
            <w:r>
              <w:rPr>
                <w:noProof/>
                <w:webHidden/>
              </w:rPr>
              <w:tab/>
            </w:r>
            <w:r>
              <w:rPr>
                <w:noProof/>
                <w:webHidden/>
              </w:rPr>
              <w:fldChar w:fldCharType="begin"/>
            </w:r>
            <w:r>
              <w:rPr>
                <w:noProof/>
                <w:webHidden/>
              </w:rPr>
              <w:instrText xml:space="preserve"> PAGEREF _Toc220940216 \h </w:instrText>
            </w:r>
            <w:r>
              <w:rPr>
                <w:noProof/>
                <w:webHidden/>
              </w:rPr>
            </w:r>
            <w:r>
              <w:rPr>
                <w:noProof/>
                <w:webHidden/>
              </w:rPr>
              <w:fldChar w:fldCharType="separate"/>
            </w:r>
            <w:r>
              <w:rPr>
                <w:noProof/>
                <w:webHidden/>
              </w:rPr>
              <w:t>47</w:t>
            </w:r>
            <w:r>
              <w:rPr>
                <w:noProof/>
                <w:webHidden/>
              </w:rPr>
              <w:fldChar w:fldCharType="end"/>
            </w:r>
          </w:hyperlink>
        </w:p>
        <w:p w:rsidR="00B62302" w:rsidRDefault="00B62302" w14:paraId="6DB9AF72" w14:textId="4A201DA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40217">
            <w:r w:rsidRPr="008C2C8D">
              <w:rPr>
                <w:rStyle w:val="Hyperlink"/>
                <w:noProof/>
              </w:rPr>
              <w:t>6.3.5.</w:t>
            </w:r>
            <w:r>
              <w:rPr>
                <w:rFonts w:asciiTheme="minorHAnsi" w:hAnsiTheme="minorHAnsi" w:cstheme="minorBidi"/>
                <w:noProof/>
                <w:kern w:val="2"/>
                <w:sz w:val="24"/>
                <w:szCs w:val="24"/>
                <w14:ligatures w14:val="standardContextual"/>
              </w:rPr>
              <w:tab/>
            </w:r>
            <w:r w:rsidRPr="008C2C8D">
              <w:rPr>
                <w:rStyle w:val="Hyperlink"/>
                <w:noProof/>
              </w:rPr>
              <w:t>Response Times for UL 3141 PCS or other Mutually Agreeable Control Systems</w:t>
            </w:r>
            <w:r>
              <w:rPr>
                <w:noProof/>
                <w:webHidden/>
              </w:rPr>
              <w:tab/>
            </w:r>
            <w:r>
              <w:rPr>
                <w:noProof/>
                <w:webHidden/>
              </w:rPr>
              <w:fldChar w:fldCharType="begin"/>
            </w:r>
            <w:r>
              <w:rPr>
                <w:noProof/>
                <w:webHidden/>
              </w:rPr>
              <w:instrText xml:space="preserve"> PAGEREF _Toc220940217 \h </w:instrText>
            </w:r>
            <w:r>
              <w:rPr>
                <w:noProof/>
                <w:webHidden/>
              </w:rPr>
            </w:r>
            <w:r>
              <w:rPr>
                <w:noProof/>
                <w:webHidden/>
              </w:rPr>
              <w:fldChar w:fldCharType="separate"/>
            </w:r>
            <w:r>
              <w:rPr>
                <w:noProof/>
                <w:webHidden/>
              </w:rPr>
              <w:t>47</w:t>
            </w:r>
            <w:r>
              <w:rPr>
                <w:noProof/>
                <w:webHidden/>
              </w:rPr>
              <w:fldChar w:fldCharType="end"/>
            </w:r>
          </w:hyperlink>
        </w:p>
        <w:p w:rsidR="00B62302" w:rsidRDefault="00B62302" w14:paraId="078C93F1" w14:textId="0B19E264">
          <w:pPr>
            <w:pStyle w:val="TOC2"/>
            <w:tabs>
              <w:tab w:val="right" w:leader="dot" w:pos="9350"/>
            </w:tabs>
            <w:rPr>
              <w:rFonts w:asciiTheme="minorHAnsi" w:hAnsiTheme="minorHAnsi" w:cstheme="minorBidi"/>
              <w:noProof/>
              <w:kern w:val="2"/>
              <w:sz w:val="24"/>
              <w:szCs w:val="24"/>
              <w14:ligatures w14:val="standardContextual"/>
            </w:rPr>
          </w:pPr>
          <w:hyperlink w:history="1" w:anchor="_Toc220940218">
            <w:r w:rsidRPr="008C2C8D">
              <w:rPr>
                <w:rStyle w:val="Hyperlink"/>
                <w:noProof/>
              </w:rPr>
              <w:t>6.4.</w:t>
            </w:r>
            <w:r>
              <w:rPr>
                <w:rFonts w:asciiTheme="minorHAnsi" w:hAnsiTheme="minorHAnsi" w:cstheme="minorBidi"/>
                <w:noProof/>
                <w:kern w:val="2"/>
                <w:sz w:val="24"/>
                <w:szCs w:val="24"/>
                <w14:ligatures w14:val="standardContextual"/>
              </w:rPr>
              <w:tab/>
            </w:r>
            <w:r w:rsidRPr="008C2C8D">
              <w:rPr>
                <w:rStyle w:val="Hyperlink"/>
                <w:noProof/>
              </w:rPr>
              <w:t>Telemetry is Not Required for Load Visibility</w:t>
            </w:r>
            <w:r>
              <w:rPr>
                <w:noProof/>
                <w:webHidden/>
              </w:rPr>
              <w:tab/>
            </w:r>
            <w:r>
              <w:rPr>
                <w:noProof/>
                <w:webHidden/>
              </w:rPr>
              <w:fldChar w:fldCharType="begin"/>
            </w:r>
            <w:r>
              <w:rPr>
                <w:noProof/>
                <w:webHidden/>
              </w:rPr>
              <w:instrText xml:space="preserve"> PAGEREF _Toc220940218 \h </w:instrText>
            </w:r>
            <w:r>
              <w:rPr>
                <w:noProof/>
                <w:webHidden/>
              </w:rPr>
            </w:r>
            <w:r>
              <w:rPr>
                <w:noProof/>
                <w:webHidden/>
              </w:rPr>
              <w:fldChar w:fldCharType="separate"/>
            </w:r>
            <w:r>
              <w:rPr>
                <w:noProof/>
                <w:webHidden/>
              </w:rPr>
              <w:t>48</w:t>
            </w:r>
            <w:r>
              <w:rPr>
                <w:noProof/>
                <w:webHidden/>
              </w:rPr>
              <w:fldChar w:fldCharType="end"/>
            </w:r>
          </w:hyperlink>
        </w:p>
        <w:p w:rsidR="00B62302" w:rsidRDefault="00B62302" w14:paraId="37142AD7" w14:textId="0340BFEA">
          <w:pPr>
            <w:pStyle w:val="TOC1"/>
            <w:tabs>
              <w:tab w:val="right" w:leader="dot" w:pos="9350"/>
            </w:tabs>
            <w:rPr>
              <w:rFonts w:asciiTheme="minorHAnsi" w:hAnsiTheme="minorHAnsi" w:cstheme="minorBidi"/>
              <w:noProof/>
              <w:kern w:val="2"/>
              <w:sz w:val="24"/>
              <w:szCs w:val="24"/>
              <w14:ligatures w14:val="standardContextual"/>
            </w:rPr>
          </w:pPr>
          <w:hyperlink w:history="1" w:anchor="_Toc220940219">
            <w:r w:rsidRPr="008C2C8D">
              <w:rPr>
                <w:rStyle w:val="Hyperlink"/>
                <w:noProof/>
              </w:rPr>
              <w:t>7.</w:t>
            </w:r>
            <w:r>
              <w:rPr>
                <w:rFonts w:asciiTheme="minorHAnsi" w:hAnsiTheme="minorHAnsi" w:cstheme="minorBidi"/>
                <w:noProof/>
                <w:kern w:val="2"/>
                <w:sz w:val="24"/>
                <w:szCs w:val="24"/>
                <w14:ligatures w14:val="standardContextual"/>
              </w:rPr>
              <w:tab/>
            </w:r>
            <w:r w:rsidRPr="008C2C8D">
              <w:rPr>
                <w:rStyle w:val="Hyperlink"/>
                <w:noProof/>
              </w:rPr>
              <w:t>Process and Tariff Improvements Supporting the Standard Offer</w:t>
            </w:r>
            <w:r>
              <w:rPr>
                <w:noProof/>
                <w:webHidden/>
              </w:rPr>
              <w:tab/>
            </w:r>
            <w:r>
              <w:rPr>
                <w:noProof/>
                <w:webHidden/>
              </w:rPr>
              <w:fldChar w:fldCharType="begin"/>
            </w:r>
            <w:r>
              <w:rPr>
                <w:noProof/>
                <w:webHidden/>
              </w:rPr>
              <w:instrText xml:space="preserve"> PAGEREF _Toc220940219 \h </w:instrText>
            </w:r>
            <w:r>
              <w:rPr>
                <w:noProof/>
                <w:webHidden/>
              </w:rPr>
            </w:r>
            <w:r>
              <w:rPr>
                <w:noProof/>
                <w:webHidden/>
              </w:rPr>
              <w:fldChar w:fldCharType="separate"/>
            </w:r>
            <w:r>
              <w:rPr>
                <w:noProof/>
                <w:webHidden/>
              </w:rPr>
              <w:t>48</w:t>
            </w:r>
            <w:r>
              <w:rPr>
                <w:noProof/>
                <w:webHidden/>
              </w:rPr>
              <w:fldChar w:fldCharType="end"/>
            </w:r>
          </w:hyperlink>
        </w:p>
        <w:p w:rsidR="00B62302" w:rsidRDefault="00B62302" w14:paraId="1BBC4CFB" w14:textId="6EB54E5B">
          <w:pPr>
            <w:pStyle w:val="TOC2"/>
            <w:tabs>
              <w:tab w:val="right" w:leader="dot" w:pos="9350"/>
            </w:tabs>
            <w:rPr>
              <w:rFonts w:asciiTheme="minorHAnsi" w:hAnsiTheme="minorHAnsi" w:cstheme="minorBidi"/>
              <w:noProof/>
              <w:kern w:val="2"/>
              <w:sz w:val="24"/>
              <w:szCs w:val="24"/>
              <w14:ligatures w14:val="standardContextual"/>
            </w:rPr>
          </w:pPr>
          <w:hyperlink w:history="1" w:anchor="_Toc220940220">
            <w:r w:rsidRPr="008C2C8D">
              <w:rPr>
                <w:rStyle w:val="Hyperlink"/>
                <w:noProof/>
              </w:rPr>
              <w:t>7.1.</w:t>
            </w:r>
            <w:r>
              <w:rPr>
                <w:rFonts w:asciiTheme="minorHAnsi" w:hAnsiTheme="minorHAnsi" w:cstheme="minorBidi"/>
                <w:noProof/>
                <w:kern w:val="2"/>
                <w:sz w:val="24"/>
                <w:szCs w:val="24"/>
                <w14:ligatures w14:val="standardContextual"/>
              </w:rPr>
              <w:tab/>
            </w:r>
            <w:r w:rsidRPr="008C2C8D">
              <w:rPr>
                <w:rStyle w:val="Hyperlink"/>
                <w:noProof/>
              </w:rPr>
              <w:t>Average Time Target for IOU Controlled Portions of the Standard Offer</w:t>
            </w:r>
            <w:r>
              <w:rPr>
                <w:noProof/>
                <w:webHidden/>
              </w:rPr>
              <w:tab/>
            </w:r>
            <w:r>
              <w:rPr>
                <w:noProof/>
                <w:webHidden/>
              </w:rPr>
              <w:fldChar w:fldCharType="begin"/>
            </w:r>
            <w:r>
              <w:rPr>
                <w:noProof/>
                <w:webHidden/>
              </w:rPr>
              <w:instrText xml:space="preserve"> PAGEREF _Toc220940220 \h </w:instrText>
            </w:r>
            <w:r>
              <w:rPr>
                <w:noProof/>
                <w:webHidden/>
              </w:rPr>
            </w:r>
            <w:r>
              <w:rPr>
                <w:noProof/>
                <w:webHidden/>
              </w:rPr>
              <w:fldChar w:fldCharType="separate"/>
            </w:r>
            <w:r>
              <w:rPr>
                <w:noProof/>
                <w:webHidden/>
              </w:rPr>
              <w:t>49</w:t>
            </w:r>
            <w:r>
              <w:rPr>
                <w:noProof/>
                <w:webHidden/>
              </w:rPr>
              <w:fldChar w:fldCharType="end"/>
            </w:r>
          </w:hyperlink>
        </w:p>
        <w:p w:rsidR="00B62302" w:rsidRDefault="00B62302" w14:paraId="21E1E89E" w14:textId="5FB87EBD">
          <w:pPr>
            <w:pStyle w:val="TOC2"/>
            <w:tabs>
              <w:tab w:val="right" w:leader="dot" w:pos="9350"/>
            </w:tabs>
            <w:rPr>
              <w:rFonts w:asciiTheme="minorHAnsi" w:hAnsiTheme="minorHAnsi" w:cstheme="minorBidi"/>
              <w:noProof/>
              <w:kern w:val="2"/>
              <w:sz w:val="24"/>
              <w:szCs w:val="24"/>
              <w14:ligatures w14:val="standardContextual"/>
            </w:rPr>
          </w:pPr>
          <w:hyperlink w:history="1" w:anchor="_Toc220940221">
            <w:r w:rsidRPr="008C2C8D">
              <w:rPr>
                <w:rStyle w:val="Hyperlink"/>
                <w:noProof/>
              </w:rPr>
              <w:t>7.2.</w:t>
            </w:r>
            <w:r>
              <w:rPr>
                <w:rFonts w:asciiTheme="minorHAnsi" w:hAnsiTheme="minorHAnsi" w:cstheme="minorBidi"/>
                <w:noProof/>
                <w:kern w:val="2"/>
                <w:sz w:val="24"/>
                <w:szCs w:val="24"/>
                <w14:ligatures w14:val="standardContextual"/>
              </w:rPr>
              <w:tab/>
            </w:r>
            <w:r w:rsidRPr="008C2C8D">
              <w:rPr>
                <w:rStyle w:val="Hyperlink"/>
                <w:noProof/>
              </w:rPr>
              <w:t>Tariff Improvements</w:t>
            </w:r>
            <w:r>
              <w:rPr>
                <w:noProof/>
                <w:webHidden/>
              </w:rPr>
              <w:tab/>
            </w:r>
            <w:r>
              <w:rPr>
                <w:noProof/>
                <w:webHidden/>
              </w:rPr>
              <w:fldChar w:fldCharType="begin"/>
            </w:r>
            <w:r>
              <w:rPr>
                <w:noProof/>
                <w:webHidden/>
              </w:rPr>
              <w:instrText xml:space="preserve"> PAGEREF _Toc220940221 \h </w:instrText>
            </w:r>
            <w:r>
              <w:rPr>
                <w:noProof/>
                <w:webHidden/>
              </w:rPr>
            </w:r>
            <w:r>
              <w:rPr>
                <w:noProof/>
                <w:webHidden/>
              </w:rPr>
              <w:fldChar w:fldCharType="separate"/>
            </w:r>
            <w:r>
              <w:rPr>
                <w:noProof/>
                <w:webHidden/>
              </w:rPr>
              <w:t>49</w:t>
            </w:r>
            <w:r>
              <w:rPr>
                <w:noProof/>
                <w:webHidden/>
              </w:rPr>
              <w:fldChar w:fldCharType="end"/>
            </w:r>
          </w:hyperlink>
        </w:p>
        <w:p w:rsidR="00B62302" w:rsidRDefault="00B62302" w14:paraId="72A5A80C" w14:textId="781E6066">
          <w:pPr>
            <w:pStyle w:val="TOC1"/>
            <w:tabs>
              <w:tab w:val="right" w:leader="dot" w:pos="9350"/>
            </w:tabs>
            <w:rPr>
              <w:rFonts w:asciiTheme="minorHAnsi" w:hAnsiTheme="minorHAnsi" w:cstheme="minorBidi"/>
              <w:noProof/>
              <w:kern w:val="2"/>
              <w:sz w:val="24"/>
              <w:szCs w:val="24"/>
              <w14:ligatures w14:val="standardContextual"/>
            </w:rPr>
          </w:pPr>
          <w:hyperlink w:history="1" w:anchor="_Toc220940222">
            <w:r w:rsidRPr="008C2C8D">
              <w:rPr>
                <w:rStyle w:val="Hyperlink"/>
                <w:noProof/>
              </w:rPr>
              <w:t>8.</w:t>
            </w:r>
            <w:r>
              <w:rPr>
                <w:rFonts w:asciiTheme="minorHAnsi" w:hAnsiTheme="minorHAnsi" w:cstheme="minorBidi"/>
                <w:noProof/>
                <w:kern w:val="2"/>
                <w:sz w:val="24"/>
                <w:szCs w:val="24"/>
                <w14:ligatures w14:val="standardContextual"/>
              </w:rPr>
              <w:tab/>
            </w:r>
            <w:r w:rsidRPr="008C2C8D">
              <w:rPr>
                <w:rStyle w:val="Hyperlink"/>
                <w:noProof/>
              </w:rPr>
              <w:t>Cost Tracking and Evaluation of the Standard Offer</w:t>
            </w:r>
            <w:r>
              <w:rPr>
                <w:noProof/>
                <w:webHidden/>
              </w:rPr>
              <w:tab/>
            </w:r>
            <w:r>
              <w:rPr>
                <w:noProof/>
                <w:webHidden/>
              </w:rPr>
              <w:fldChar w:fldCharType="begin"/>
            </w:r>
            <w:r>
              <w:rPr>
                <w:noProof/>
                <w:webHidden/>
              </w:rPr>
              <w:instrText xml:space="preserve"> PAGEREF _Toc220940222 \h </w:instrText>
            </w:r>
            <w:r>
              <w:rPr>
                <w:noProof/>
                <w:webHidden/>
              </w:rPr>
            </w:r>
            <w:r>
              <w:rPr>
                <w:noProof/>
                <w:webHidden/>
              </w:rPr>
              <w:fldChar w:fldCharType="separate"/>
            </w:r>
            <w:r>
              <w:rPr>
                <w:noProof/>
                <w:webHidden/>
              </w:rPr>
              <w:t>51</w:t>
            </w:r>
            <w:r>
              <w:rPr>
                <w:noProof/>
                <w:webHidden/>
              </w:rPr>
              <w:fldChar w:fldCharType="end"/>
            </w:r>
          </w:hyperlink>
        </w:p>
        <w:p w:rsidR="00B62302" w:rsidRDefault="00B62302" w14:paraId="582CCC78" w14:textId="7FD92997">
          <w:pPr>
            <w:pStyle w:val="TOC1"/>
            <w:tabs>
              <w:tab w:val="right" w:leader="dot" w:pos="9350"/>
            </w:tabs>
            <w:rPr>
              <w:rFonts w:asciiTheme="minorHAnsi" w:hAnsiTheme="minorHAnsi" w:cstheme="minorBidi"/>
              <w:noProof/>
              <w:kern w:val="2"/>
              <w:sz w:val="24"/>
              <w:szCs w:val="24"/>
              <w14:ligatures w14:val="standardContextual"/>
            </w:rPr>
          </w:pPr>
          <w:hyperlink w:history="1" w:anchor="_Toc220940223">
            <w:r w:rsidRPr="008C2C8D">
              <w:rPr>
                <w:rStyle w:val="Hyperlink"/>
                <w:noProof/>
              </w:rPr>
              <w:t>9.</w:t>
            </w:r>
            <w:r>
              <w:rPr>
                <w:rFonts w:asciiTheme="minorHAnsi" w:hAnsiTheme="minorHAnsi" w:cstheme="minorBidi"/>
                <w:noProof/>
                <w:kern w:val="2"/>
                <w:sz w:val="24"/>
                <w:szCs w:val="24"/>
                <w14:ligatures w14:val="standardContextual"/>
              </w:rPr>
              <w:tab/>
            </w:r>
            <w:r w:rsidRPr="008C2C8D">
              <w:rPr>
                <w:rStyle w:val="Hyperlink"/>
                <w:noProof/>
              </w:rPr>
              <w:t>Data Collection and Reporting Requirements for Standard Offer Refinement</w:t>
            </w:r>
            <w:r>
              <w:rPr>
                <w:noProof/>
                <w:webHidden/>
              </w:rPr>
              <w:tab/>
            </w:r>
            <w:r>
              <w:rPr>
                <w:noProof/>
                <w:webHidden/>
              </w:rPr>
              <w:fldChar w:fldCharType="begin"/>
            </w:r>
            <w:r>
              <w:rPr>
                <w:noProof/>
                <w:webHidden/>
              </w:rPr>
              <w:instrText xml:space="preserve"> PAGEREF _Toc220940223 \h </w:instrText>
            </w:r>
            <w:r>
              <w:rPr>
                <w:noProof/>
                <w:webHidden/>
              </w:rPr>
            </w:r>
            <w:r>
              <w:rPr>
                <w:noProof/>
                <w:webHidden/>
              </w:rPr>
              <w:fldChar w:fldCharType="separate"/>
            </w:r>
            <w:r>
              <w:rPr>
                <w:noProof/>
                <w:webHidden/>
              </w:rPr>
              <w:t>52</w:t>
            </w:r>
            <w:r>
              <w:rPr>
                <w:noProof/>
                <w:webHidden/>
              </w:rPr>
              <w:fldChar w:fldCharType="end"/>
            </w:r>
          </w:hyperlink>
        </w:p>
        <w:p w:rsidR="00B62302" w:rsidRDefault="00B62302" w14:paraId="49ACF807" w14:textId="0C92E070">
          <w:pPr>
            <w:pStyle w:val="TOC1"/>
            <w:tabs>
              <w:tab w:val="right" w:leader="dot" w:pos="9350"/>
            </w:tabs>
            <w:rPr>
              <w:rFonts w:asciiTheme="minorHAnsi" w:hAnsiTheme="minorHAnsi" w:cstheme="minorBidi"/>
              <w:noProof/>
              <w:kern w:val="2"/>
              <w:sz w:val="24"/>
              <w:szCs w:val="24"/>
              <w14:ligatures w14:val="standardContextual"/>
            </w:rPr>
          </w:pPr>
          <w:hyperlink w:history="1" w:anchor="_Toc220940224">
            <w:r w:rsidRPr="008C2C8D">
              <w:rPr>
                <w:rStyle w:val="Hyperlink"/>
                <w:noProof/>
              </w:rPr>
              <w:t>10.</w:t>
            </w:r>
            <w:r>
              <w:rPr>
                <w:rFonts w:asciiTheme="minorHAnsi" w:hAnsiTheme="minorHAnsi" w:cstheme="minorBidi"/>
                <w:noProof/>
                <w:kern w:val="2"/>
                <w:sz w:val="24"/>
                <w:szCs w:val="24"/>
                <w14:ligatures w14:val="standardContextual"/>
              </w:rPr>
              <w:tab/>
            </w:r>
            <w:r w:rsidRPr="008C2C8D">
              <w:rPr>
                <w:rStyle w:val="Hyperlink"/>
                <w:noProof/>
              </w:rPr>
              <w:t>Preliminary Capacity Assessment Process</w:t>
            </w:r>
            <w:r>
              <w:rPr>
                <w:noProof/>
                <w:webHidden/>
              </w:rPr>
              <w:tab/>
            </w:r>
            <w:r>
              <w:rPr>
                <w:noProof/>
                <w:webHidden/>
              </w:rPr>
              <w:fldChar w:fldCharType="begin"/>
            </w:r>
            <w:r>
              <w:rPr>
                <w:noProof/>
                <w:webHidden/>
              </w:rPr>
              <w:instrText xml:space="preserve"> PAGEREF _Toc220940224 \h </w:instrText>
            </w:r>
            <w:r>
              <w:rPr>
                <w:noProof/>
                <w:webHidden/>
              </w:rPr>
            </w:r>
            <w:r>
              <w:rPr>
                <w:noProof/>
                <w:webHidden/>
              </w:rPr>
              <w:fldChar w:fldCharType="separate"/>
            </w:r>
            <w:r>
              <w:rPr>
                <w:noProof/>
                <w:webHidden/>
              </w:rPr>
              <w:t>53</w:t>
            </w:r>
            <w:r>
              <w:rPr>
                <w:noProof/>
                <w:webHidden/>
              </w:rPr>
              <w:fldChar w:fldCharType="end"/>
            </w:r>
          </w:hyperlink>
        </w:p>
        <w:p w:rsidR="00B62302" w:rsidRDefault="00B62302" w14:paraId="0BB3F59E" w14:textId="45B793D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0940225">
            <w:r w:rsidRPr="008C2C8D">
              <w:rPr>
                <w:rStyle w:val="Hyperlink"/>
                <w:noProof/>
              </w:rPr>
              <w:t>10.1.</w:t>
            </w:r>
            <w:r>
              <w:rPr>
                <w:rFonts w:asciiTheme="minorHAnsi" w:hAnsiTheme="minorHAnsi" w:cstheme="minorBidi"/>
                <w:noProof/>
                <w:kern w:val="2"/>
                <w:sz w:val="24"/>
                <w:szCs w:val="24"/>
                <w14:ligatures w14:val="standardContextual"/>
              </w:rPr>
              <w:tab/>
            </w:r>
            <w:r w:rsidRPr="008C2C8D">
              <w:rPr>
                <w:rStyle w:val="Hyperlink"/>
                <w:noProof/>
              </w:rPr>
              <w:t>Alignment with Interconnection Pre-Application Reports</w:t>
            </w:r>
            <w:r>
              <w:rPr>
                <w:noProof/>
                <w:webHidden/>
              </w:rPr>
              <w:tab/>
            </w:r>
            <w:r>
              <w:rPr>
                <w:noProof/>
                <w:webHidden/>
              </w:rPr>
              <w:fldChar w:fldCharType="begin"/>
            </w:r>
            <w:r>
              <w:rPr>
                <w:noProof/>
                <w:webHidden/>
              </w:rPr>
              <w:instrText xml:space="preserve"> PAGEREF _Toc220940225 \h </w:instrText>
            </w:r>
            <w:r>
              <w:rPr>
                <w:noProof/>
                <w:webHidden/>
              </w:rPr>
            </w:r>
            <w:r>
              <w:rPr>
                <w:noProof/>
                <w:webHidden/>
              </w:rPr>
              <w:fldChar w:fldCharType="separate"/>
            </w:r>
            <w:r>
              <w:rPr>
                <w:noProof/>
                <w:webHidden/>
              </w:rPr>
              <w:t>58</w:t>
            </w:r>
            <w:r>
              <w:rPr>
                <w:noProof/>
                <w:webHidden/>
              </w:rPr>
              <w:fldChar w:fldCharType="end"/>
            </w:r>
          </w:hyperlink>
        </w:p>
        <w:p w:rsidR="00B62302" w:rsidRDefault="00B62302" w14:paraId="11E27668" w14:textId="2B024958">
          <w:pPr>
            <w:pStyle w:val="TOC1"/>
            <w:tabs>
              <w:tab w:val="right" w:leader="dot" w:pos="9350"/>
            </w:tabs>
            <w:rPr>
              <w:rFonts w:asciiTheme="minorHAnsi" w:hAnsiTheme="minorHAnsi" w:cstheme="minorBidi"/>
              <w:noProof/>
              <w:kern w:val="2"/>
              <w:sz w:val="24"/>
              <w:szCs w:val="24"/>
              <w14:ligatures w14:val="standardContextual"/>
            </w:rPr>
          </w:pPr>
          <w:hyperlink w:history="1" w:anchor="_Toc220940226">
            <w:r w:rsidRPr="008C2C8D">
              <w:rPr>
                <w:rStyle w:val="Hyperlink"/>
                <w:noProof/>
              </w:rPr>
              <w:t>11.</w:t>
            </w:r>
            <w:r>
              <w:rPr>
                <w:rFonts w:asciiTheme="minorHAnsi" w:hAnsiTheme="minorHAnsi" w:cstheme="minorBidi"/>
                <w:noProof/>
                <w:kern w:val="2"/>
                <w:sz w:val="24"/>
                <w:szCs w:val="24"/>
                <w14:ligatures w14:val="standardContextual"/>
              </w:rPr>
              <w:tab/>
            </w:r>
            <w:r w:rsidRPr="008C2C8D">
              <w:rPr>
                <w:rStyle w:val="Hyperlink"/>
                <w:noProof/>
              </w:rPr>
              <w:t>Timeline Pause due to Upstream Capacity Constraint</w:t>
            </w:r>
            <w:r>
              <w:rPr>
                <w:noProof/>
                <w:webHidden/>
              </w:rPr>
              <w:tab/>
            </w:r>
            <w:r>
              <w:rPr>
                <w:noProof/>
                <w:webHidden/>
              </w:rPr>
              <w:fldChar w:fldCharType="begin"/>
            </w:r>
            <w:r>
              <w:rPr>
                <w:noProof/>
                <w:webHidden/>
              </w:rPr>
              <w:instrText xml:space="preserve"> PAGEREF _Toc220940226 \h </w:instrText>
            </w:r>
            <w:r>
              <w:rPr>
                <w:noProof/>
                <w:webHidden/>
              </w:rPr>
            </w:r>
            <w:r>
              <w:rPr>
                <w:noProof/>
                <w:webHidden/>
              </w:rPr>
              <w:fldChar w:fldCharType="separate"/>
            </w:r>
            <w:r>
              <w:rPr>
                <w:noProof/>
                <w:webHidden/>
              </w:rPr>
              <w:t>58</w:t>
            </w:r>
            <w:r>
              <w:rPr>
                <w:noProof/>
                <w:webHidden/>
              </w:rPr>
              <w:fldChar w:fldCharType="end"/>
            </w:r>
          </w:hyperlink>
        </w:p>
        <w:p w:rsidR="00B62302" w:rsidRDefault="00B62302" w14:paraId="37E53C9D" w14:textId="3A2389D7">
          <w:pPr>
            <w:pStyle w:val="TOC1"/>
            <w:tabs>
              <w:tab w:val="right" w:leader="dot" w:pos="9350"/>
            </w:tabs>
            <w:rPr>
              <w:rFonts w:asciiTheme="minorHAnsi" w:hAnsiTheme="minorHAnsi" w:cstheme="minorBidi"/>
              <w:noProof/>
              <w:kern w:val="2"/>
              <w:sz w:val="24"/>
              <w:szCs w:val="24"/>
              <w14:ligatures w14:val="standardContextual"/>
            </w:rPr>
          </w:pPr>
          <w:hyperlink w:history="1" w:anchor="_Toc220940227">
            <w:r w:rsidRPr="008C2C8D">
              <w:rPr>
                <w:rStyle w:val="Hyperlink"/>
                <w:noProof/>
              </w:rPr>
              <w:t>12.</w:t>
            </w:r>
            <w:r>
              <w:rPr>
                <w:rFonts w:asciiTheme="minorHAnsi" w:hAnsiTheme="minorHAnsi" w:cstheme="minorBidi"/>
                <w:noProof/>
                <w:kern w:val="2"/>
                <w:sz w:val="24"/>
                <w:szCs w:val="24"/>
                <w14:ligatures w14:val="standardContextual"/>
              </w:rPr>
              <w:tab/>
            </w:r>
            <w:r w:rsidRPr="008C2C8D">
              <w:rPr>
                <w:rStyle w:val="Hyperlink"/>
                <w:noProof/>
              </w:rPr>
              <w:t>Summary of Public Comment</w:t>
            </w:r>
            <w:r>
              <w:rPr>
                <w:noProof/>
                <w:webHidden/>
              </w:rPr>
              <w:tab/>
            </w:r>
            <w:r>
              <w:rPr>
                <w:noProof/>
                <w:webHidden/>
              </w:rPr>
              <w:fldChar w:fldCharType="begin"/>
            </w:r>
            <w:r>
              <w:rPr>
                <w:noProof/>
                <w:webHidden/>
              </w:rPr>
              <w:instrText xml:space="preserve"> PAGEREF _Toc220940227 \h </w:instrText>
            </w:r>
            <w:r>
              <w:rPr>
                <w:noProof/>
                <w:webHidden/>
              </w:rPr>
            </w:r>
            <w:r>
              <w:rPr>
                <w:noProof/>
                <w:webHidden/>
              </w:rPr>
              <w:fldChar w:fldCharType="separate"/>
            </w:r>
            <w:r>
              <w:rPr>
                <w:noProof/>
                <w:webHidden/>
              </w:rPr>
              <w:t>59</w:t>
            </w:r>
            <w:r>
              <w:rPr>
                <w:noProof/>
                <w:webHidden/>
              </w:rPr>
              <w:fldChar w:fldCharType="end"/>
            </w:r>
          </w:hyperlink>
        </w:p>
        <w:p w:rsidR="00B62302" w:rsidRDefault="00B62302" w14:paraId="70531BCA" w14:textId="446C9039">
          <w:pPr>
            <w:pStyle w:val="TOC1"/>
            <w:tabs>
              <w:tab w:val="right" w:leader="dot" w:pos="9350"/>
            </w:tabs>
            <w:rPr>
              <w:rFonts w:asciiTheme="minorHAnsi" w:hAnsiTheme="minorHAnsi" w:cstheme="minorBidi"/>
              <w:noProof/>
              <w:kern w:val="2"/>
              <w:sz w:val="24"/>
              <w:szCs w:val="24"/>
              <w14:ligatures w14:val="standardContextual"/>
            </w:rPr>
          </w:pPr>
          <w:hyperlink w:history="1" w:anchor="_Toc220940228">
            <w:r w:rsidRPr="008C2C8D">
              <w:rPr>
                <w:rStyle w:val="Hyperlink"/>
                <w:noProof/>
              </w:rPr>
              <w:t>13.</w:t>
            </w:r>
            <w:r>
              <w:rPr>
                <w:rFonts w:asciiTheme="minorHAnsi" w:hAnsiTheme="minorHAnsi" w:cstheme="minorBidi"/>
                <w:noProof/>
                <w:kern w:val="2"/>
                <w:sz w:val="24"/>
                <w:szCs w:val="24"/>
                <w14:ligatures w14:val="standardContextual"/>
              </w:rPr>
              <w:tab/>
            </w:r>
            <w:r w:rsidRPr="008C2C8D">
              <w:rPr>
                <w:rStyle w:val="Hyperlink"/>
                <w:noProof/>
              </w:rPr>
              <w:t>Comments on Proposed Decision</w:t>
            </w:r>
            <w:r>
              <w:rPr>
                <w:noProof/>
                <w:webHidden/>
              </w:rPr>
              <w:tab/>
            </w:r>
            <w:r>
              <w:rPr>
                <w:noProof/>
                <w:webHidden/>
              </w:rPr>
              <w:fldChar w:fldCharType="begin"/>
            </w:r>
            <w:r>
              <w:rPr>
                <w:noProof/>
                <w:webHidden/>
              </w:rPr>
              <w:instrText xml:space="preserve"> PAGEREF _Toc220940228 \h </w:instrText>
            </w:r>
            <w:r>
              <w:rPr>
                <w:noProof/>
                <w:webHidden/>
              </w:rPr>
            </w:r>
            <w:r>
              <w:rPr>
                <w:noProof/>
                <w:webHidden/>
              </w:rPr>
              <w:fldChar w:fldCharType="separate"/>
            </w:r>
            <w:r>
              <w:rPr>
                <w:noProof/>
                <w:webHidden/>
              </w:rPr>
              <w:t>60</w:t>
            </w:r>
            <w:r>
              <w:rPr>
                <w:noProof/>
                <w:webHidden/>
              </w:rPr>
              <w:fldChar w:fldCharType="end"/>
            </w:r>
          </w:hyperlink>
        </w:p>
        <w:p w:rsidR="00B62302" w:rsidRDefault="00B62302" w14:paraId="3F5DFC89" w14:textId="6F6BAF0F">
          <w:pPr>
            <w:pStyle w:val="TOC1"/>
            <w:tabs>
              <w:tab w:val="right" w:leader="dot" w:pos="9350"/>
            </w:tabs>
            <w:rPr>
              <w:rFonts w:asciiTheme="minorHAnsi" w:hAnsiTheme="minorHAnsi" w:cstheme="minorBidi"/>
              <w:noProof/>
              <w:kern w:val="2"/>
              <w:sz w:val="24"/>
              <w:szCs w:val="24"/>
              <w14:ligatures w14:val="standardContextual"/>
            </w:rPr>
          </w:pPr>
          <w:hyperlink w:history="1" w:anchor="_Toc220940229">
            <w:r w:rsidRPr="008C2C8D">
              <w:rPr>
                <w:rStyle w:val="Hyperlink"/>
                <w:noProof/>
              </w:rPr>
              <w:t>14.</w:t>
            </w:r>
            <w:r>
              <w:rPr>
                <w:rFonts w:asciiTheme="minorHAnsi" w:hAnsiTheme="minorHAnsi" w:cstheme="minorBidi"/>
                <w:noProof/>
                <w:kern w:val="2"/>
                <w:sz w:val="24"/>
                <w:szCs w:val="24"/>
                <w14:ligatures w14:val="standardContextual"/>
              </w:rPr>
              <w:tab/>
            </w:r>
            <w:r w:rsidRPr="008C2C8D">
              <w:rPr>
                <w:rStyle w:val="Hyperlink"/>
                <w:noProof/>
              </w:rPr>
              <w:t>Assignment of Proceeding</w:t>
            </w:r>
            <w:r>
              <w:rPr>
                <w:noProof/>
                <w:webHidden/>
              </w:rPr>
              <w:tab/>
            </w:r>
            <w:r>
              <w:rPr>
                <w:noProof/>
                <w:webHidden/>
              </w:rPr>
              <w:fldChar w:fldCharType="begin"/>
            </w:r>
            <w:r>
              <w:rPr>
                <w:noProof/>
                <w:webHidden/>
              </w:rPr>
              <w:instrText xml:space="preserve"> PAGEREF _Toc220940229 \h </w:instrText>
            </w:r>
            <w:r>
              <w:rPr>
                <w:noProof/>
                <w:webHidden/>
              </w:rPr>
            </w:r>
            <w:r>
              <w:rPr>
                <w:noProof/>
                <w:webHidden/>
              </w:rPr>
              <w:fldChar w:fldCharType="separate"/>
            </w:r>
            <w:r>
              <w:rPr>
                <w:noProof/>
                <w:webHidden/>
              </w:rPr>
              <w:t>66</w:t>
            </w:r>
            <w:r>
              <w:rPr>
                <w:noProof/>
                <w:webHidden/>
              </w:rPr>
              <w:fldChar w:fldCharType="end"/>
            </w:r>
          </w:hyperlink>
        </w:p>
        <w:p w:rsidR="00B62302" w:rsidRDefault="00B62302" w14:paraId="13ADD9D5" w14:textId="3FFFC008">
          <w:pPr>
            <w:pStyle w:val="TOC1"/>
            <w:tabs>
              <w:tab w:val="right" w:leader="dot" w:pos="9350"/>
            </w:tabs>
            <w:rPr>
              <w:rFonts w:asciiTheme="minorHAnsi" w:hAnsiTheme="minorHAnsi" w:cstheme="minorBidi"/>
              <w:noProof/>
              <w:kern w:val="2"/>
              <w:sz w:val="24"/>
              <w:szCs w:val="24"/>
              <w14:ligatures w14:val="standardContextual"/>
            </w:rPr>
          </w:pPr>
          <w:hyperlink w:history="1" w:anchor="_Toc220940230">
            <w:r w:rsidRPr="008C2C8D">
              <w:rPr>
                <w:rStyle w:val="Hyperlink"/>
                <w:noProof/>
              </w:rPr>
              <w:t>Findings of Fact</w:t>
            </w:r>
            <w:r>
              <w:rPr>
                <w:noProof/>
                <w:webHidden/>
              </w:rPr>
              <w:tab/>
            </w:r>
            <w:r>
              <w:rPr>
                <w:noProof/>
                <w:webHidden/>
              </w:rPr>
              <w:fldChar w:fldCharType="begin"/>
            </w:r>
            <w:r>
              <w:rPr>
                <w:noProof/>
                <w:webHidden/>
              </w:rPr>
              <w:instrText xml:space="preserve"> PAGEREF _Toc220940230 \h </w:instrText>
            </w:r>
            <w:r>
              <w:rPr>
                <w:noProof/>
                <w:webHidden/>
              </w:rPr>
            </w:r>
            <w:r>
              <w:rPr>
                <w:noProof/>
                <w:webHidden/>
              </w:rPr>
              <w:fldChar w:fldCharType="separate"/>
            </w:r>
            <w:r>
              <w:rPr>
                <w:noProof/>
                <w:webHidden/>
              </w:rPr>
              <w:t>66</w:t>
            </w:r>
            <w:r>
              <w:rPr>
                <w:noProof/>
                <w:webHidden/>
              </w:rPr>
              <w:fldChar w:fldCharType="end"/>
            </w:r>
          </w:hyperlink>
        </w:p>
        <w:p w:rsidR="00B62302" w:rsidRDefault="00B62302" w14:paraId="0F8A6D7D" w14:textId="5762987F">
          <w:pPr>
            <w:pStyle w:val="TOC1"/>
            <w:tabs>
              <w:tab w:val="right" w:leader="dot" w:pos="9350"/>
            </w:tabs>
            <w:rPr>
              <w:rFonts w:asciiTheme="minorHAnsi" w:hAnsiTheme="minorHAnsi" w:cstheme="minorBidi"/>
              <w:noProof/>
              <w:kern w:val="2"/>
              <w:sz w:val="24"/>
              <w:szCs w:val="24"/>
              <w14:ligatures w14:val="standardContextual"/>
            </w:rPr>
          </w:pPr>
          <w:hyperlink w:history="1" w:anchor="_Toc220940231">
            <w:r w:rsidRPr="008C2C8D">
              <w:rPr>
                <w:rStyle w:val="Hyperlink"/>
                <w:noProof/>
              </w:rPr>
              <w:t>Conclusions of Law</w:t>
            </w:r>
            <w:r>
              <w:rPr>
                <w:noProof/>
                <w:webHidden/>
              </w:rPr>
              <w:tab/>
            </w:r>
            <w:r>
              <w:rPr>
                <w:noProof/>
                <w:webHidden/>
              </w:rPr>
              <w:fldChar w:fldCharType="begin"/>
            </w:r>
            <w:r>
              <w:rPr>
                <w:noProof/>
                <w:webHidden/>
              </w:rPr>
              <w:instrText xml:space="preserve"> PAGEREF _Toc220940231 \h </w:instrText>
            </w:r>
            <w:r>
              <w:rPr>
                <w:noProof/>
                <w:webHidden/>
              </w:rPr>
            </w:r>
            <w:r>
              <w:rPr>
                <w:noProof/>
                <w:webHidden/>
              </w:rPr>
              <w:fldChar w:fldCharType="separate"/>
            </w:r>
            <w:r>
              <w:rPr>
                <w:noProof/>
                <w:webHidden/>
              </w:rPr>
              <w:t>70</w:t>
            </w:r>
            <w:r>
              <w:rPr>
                <w:noProof/>
                <w:webHidden/>
              </w:rPr>
              <w:fldChar w:fldCharType="end"/>
            </w:r>
          </w:hyperlink>
        </w:p>
        <w:p w:rsidR="00B62302" w:rsidRDefault="00B62302" w14:paraId="4C971539" w14:textId="7F474391">
          <w:pPr>
            <w:pStyle w:val="TOC1"/>
            <w:tabs>
              <w:tab w:val="right" w:leader="dot" w:pos="9350"/>
            </w:tabs>
            <w:rPr>
              <w:rFonts w:asciiTheme="minorHAnsi" w:hAnsiTheme="minorHAnsi" w:cstheme="minorBidi"/>
              <w:noProof/>
              <w:kern w:val="2"/>
              <w:sz w:val="24"/>
              <w:szCs w:val="24"/>
              <w14:ligatures w14:val="standardContextual"/>
            </w:rPr>
          </w:pPr>
          <w:hyperlink w:history="1" w:anchor="_Toc220940232">
            <w:r w:rsidRPr="008C2C8D">
              <w:rPr>
                <w:rStyle w:val="Hyperlink"/>
                <w:noProof/>
              </w:rPr>
              <w:t>ORDER</w:t>
            </w:r>
            <w:r>
              <w:rPr>
                <w:noProof/>
                <w:webHidden/>
              </w:rPr>
              <w:tab/>
            </w:r>
            <w:r>
              <w:rPr>
                <w:noProof/>
                <w:webHidden/>
              </w:rPr>
              <w:fldChar w:fldCharType="begin"/>
            </w:r>
            <w:r>
              <w:rPr>
                <w:noProof/>
                <w:webHidden/>
              </w:rPr>
              <w:instrText xml:space="preserve"> PAGEREF _Toc220940232 \h </w:instrText>
            </w:r>
            <w:r>
              <w:rPr>
                <w:noProof/>
                <w:webHidden/>
              </w:rPr>
            </w:r>
            <w:r>
              <w:rPr>
                <w:noProof/>
                <w:webHidden/>
              </w:rPr>
              <w:fldChar w:fldCharType="separate"/>
            </w:r>
            <w:r>
              <w:rPr>
                <w:noProof/>
                <w:webHidden/>
              </w:rPr>
              <w:t>77</w:t>
            </w:r>
            <w:r>
              <w:rPr>
                <w:noProof/>
                <w:webHidden/>
              </w:rPr>
              <w:fldChar w:fldCharType="end"/>
            </w:r>
          </w:hyperlink>
        </w:p>
        <w:p w:rsidR="00D82A43" w:rsidP="008C7413" w:rsidRDefault="008C7413" w14:paraId="1C8DE737" w14:textId="5B160A1E">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0AEBE1C8" w14:textId="69D5DEA0">
      <w:pPr>
        <w:spacing w:line="240" w:lineRule="auto"/>
        <w:ind w:firstLine="0"/>
        <w:rPr>
          <w:rFonts w:cs="Arial"/>
          <w:szCs w:val="26"/>
        </w:rPr>
      </w:pPr>
      <w:r w:rsidRPr="0098655A">
        <w:rPr>
          <w:rFonts w:cs="Arial"/>
          <w:b/>
          <w:szCs w:val="26"/>
        </w:rPr>
        <w:t>Appendix A</w:t>
      </w:r>
      <w:r w:rsidRPr="0098655A">
        <w:rPr>
          <w:rFonts w:cs="Arial"/>
          <w:szCs w:val="26"/>
        </w:rPr>
        <w:t xml:space="preserve"> –</w:t>
      </w:r>
      <w:r w:rsidRPr="00B834DA" w:rsidR="00B834DA">
        <w:rPr>
          <w:rFonts w:cs="Arial"/>
          <w:szCs w:val="26"/>
        </w:rPr>
        <w:t>Definitions</w:t>
      </w:r>
    </w:p>
    <w:p w:rsidRPr="0098655A" w:rsidR="0098655A" w:rsidP="00B834DA" w:rsidRDefault="0098655A" w14:paraId="16415CFF" w14:textId="7721B23C">
      <w:pPr>
        <w:spacing w:line="240" w:lineRule="auto"/>
        <w:ind w:firstLine="0"/>
        <w:rPr>
          <w:rFonts w:cs="Arial"/>
          <w:szCs w:val="26"/>
        </w:rPr>
      </w:pPr>
      <w:r w:rsidRPr="0098655A">
        <w:rPr>
          <w:rFonts w:cs="Arial"/>
          <w:b/>
          <w:szCs w:val="26"/>
        </w:rPr>
        <w:t>Appendix B</w:t>
      </w:r>
      <w:r w:rsidRPr="0098655A">
        <w:rPr>
          <w:rFonts w:cs="Arial"/>
          <w:szCs w:val="26"/>
        </w:rPr>
        <w:t xml:space="preserve"> – </w:t>
      </w:r>
      <w:r w:rsidRPr="00B834DA" w:rsidR="00B834DA">
        <w:rPr>
          <w:rFonts w:cs="Arial"/>
          <w:szCs w:val="26"/>
        </w:rPr>
        <w:t>Minimum Topics to be Addressed on</w:t>
      </w:r>
      <w:r w:rsidR="00B834DA">
        <w:rPr>
          <w:rFonts w:cs="Arial"/>
          <w:szCs w:val="26"/>
        </w:rPr>
        <w:t xml:space="preserve"> </w:t>
      </w:r>
      <w:r w:rsidRPr="00B834DA" w:rsidR="00B834DA">
        <w:rPr>
          <w:rFonts w:cs="Arial"/>
          <w:szCs w:val="26"/>
        </w:rPr>
        <w:t>IOU Application Web Pages</w:t>
      </w:r>
    </w:p>
    <w:p w:rsidR="00B834DA" w:rsidP="006B2DEC" w:rsidRDefault="0098655A" w14:paraId="4B0E023A" w14:textId="56B54685">
      <w:pPr>
        <w:spacing w:line="240" w:lineRule="auto"/>
        <w:ind w:left="1710" w:hanging="1710"/>
        <w:rPr>
          <w:rFonts w:cs="Arial"/>
          <w:szCs w:val="26"/>
        </w:rPr>
      </w:pPr>
      <w:r w:rsidRPr="0098655A">
        <w:rPr>
          <w:rFonts w:cs="Arial"/>
          <w:b/>
          <w:szCs w:val="26"/>
        </w:rPr>
        <w:t>Appendix C</w:t>
      </w:r>
      <w:r w:rsidRPr="0098655A">
        <w:rPr>
          <w:rFonts w:cs="Arial"/>
          <w:szCs w:val="26"/>
        </w:rPr>
        <w:t xml:space="preserve"> – </w:t>
      </w:r>
      <w:r w:rsidRPr="00B834DA" w:rsidR="00B834DA">
        <w:rPr>
          <w:rFonts w:cs="Arial"/>
          <w:szCs w:val="26"/>
        </w:rPr>
        <w:t>Minimum Data Fields to be Tracked for Standard Offer</w:t>
      </w:r>
      <w:r w:rsidR="006B2DEC">
        <w:rPr>
          <w:rFonts w:cs="Arial"/>
          <w:szCs w:val="26"/>
        </w:rPr>
        <w:br/>
      </w:r>
      <w:r w:rsidRPr="00B834DA" w:rsidR="00B834DA">
        <w:rPr>
          <w:rFonts w:cs="Arial"/>
          <w:szCs w:val="26"/>
        </w:rPr>
        <w:t xml:space="preserve">Refinement </w:t>
      </w:r>
    </w:p>
    <w:p w:rsidR="00B834DA" w:rsidP="009E1C18" w:rsidRDefault="009E1C18" w14:paraId="71012642" w14:textId="493C81D0">
      <w:pPr>
        <w:spacing w:line="240" w:lineRule="auto"/>
        <w:ind w:firstLine="0"/>
        <w:rPr>
          <w:rFonts w:cs="Arial"/>
          <w:szCs w:val="26"/>
        </w:rPr>
      </w:pPr>
      <w:r w:rsidRPr="0098655A">
        <w:rPr>
          <w:rFonts w:cs="Arial"/>
          <w:b/>
          <w:szCs w:val="26"/>
        </w:rPr>
        <w:t xml:space="preserve">Appendix </w:t>
      </w:r>
      <w:r>
        <w:rPr>
          <w:rFonts w:cs="Arial"/>
          <w:b/>
          <w:szCs w:val="26"/>
        </w:rPr>
        <w:t>D</w:t>
      </w:r>
      <w:r w:rsidRPr="0098655A">
        <w:rPr>
          <w:rFonts w:cs="Arial"/>
          <w:szCs w:val="26"/>
        </w:rPr>
        <w:t xml:space="preserve"> – </w:t>
      </w:r>
      <w:r w:rsidR="00E4142E">
        <w:rPr>
          <w:rFonts w:cs="Arial"/>
          <w:szCs w:val="26"/>
        </w:rPr>
        <w:t xml:space="preserve">PG&amp;E </w:t>
      </w:r>
      <w:r w:rsidR="00E4142E">
        <w:t>Tariff Rule 2 New Section H.7</w:t>
      </w:r>
    </w:p>
    <w:p w:rsidR="009E1C18" w:rsidP="009E1C18" w:rsidRDefault="009E1C18" w14:paraId="16FF0577" w14:textId="79E2BBB6">
      <w:pPr>
        <w:spacing w:line="240" w:lineRule="auto"/>
        <w:ind w:firstLine="0"/>
        <w:rPr>
          <w:rFonts w:cs="Arial"/>
          <w:szCs w:val="26"/>
        </w:rPr>
      </w:pPr>
      <w:r w:rsidRPr="0098655A">
        <w:rPr>
          <w:rFonts w:cs="Arial"/>
          <w:b/>
          <w:szCs w:val="26"/>
        </w:rPr>
        <w:t xml:space="preserve">Appendix </w:t>
      </w:r>
      <w:r>
        <w:rPr>
          <w:rFonts w:cs="Arial"/>
          <w:b/>
          <w:szCs w:val="26"/>
        </w:rPr>
        <w:t>E</w:t>
      </w:r>
      <w:r w:rsidR="00A20BB4">
        <w:rPr>
          <w:rFonts w:cs="Arial"/>
          <w:b/>
          <w:szCs w:val="26"/>
        </w:rPr>
        <w:t xml:space="preserve"> </w:t>
      </w:r>
      <w:r w:rsidRPr="0098655A">
        <w:rPr>
          <w:rFonts w:cs="Arial"/>
          <w:szCs w:val="26"/>
        </w:rPr>
        <w:t xml:space="preserve"> –</w:t>
      </w:r>
      <w:r w:rsidR="00A20BB4">
        <w:rPr>
          <w:rFonts w:cs="Arial"/>
          <w:szCs w:val="26"/>
        </w:rPr>
        <w:t xml:space="preserve"> </w:t>
      </w:r>
      <w:r w:rsidR="00C57F51">
        <w:rPr>
          <w:rFonts w:cs="Arial"/>
          <w:szCs w:val="26"/>
        </w:rPr>
        <w:t xml:space="preserve">PG&amp;E </w:t>
      </w:r>
      <w:r w:rsidRPr="004A7328" w:rsidR="00C57F51">
        <w:rPr>
          <w:rFonts w:cs="Arial"/>
          <w:szCs w:val="26"/>
        </w:rPr>
        <w:t xml:space="preserve">Tariff Rule 3 </w:t>
      </w:r>
      <w:r w:rsidR="00C57F51">
        <w:rPr>
          <w:rFonts w:cs="Arial"/>
          <w:szCs w:val="26"/>
        </w:rPr>
        <w:t xml:space="preserve">Section C Language </w:t>
      </w:r>
      <w:r w:rsidRPr="004A7328" w:rsidR="00C57F51">
        <w:rPr>
          <w:rFonts w:cs="Arial"/>
          <w:szCs w:val="26"/>
        </w:rPr>
        <w:t>Addition</w:t>
      </w:r>
      <w:r w:rsidRPr="00B834DA" w:rsidR="00C57F51">
        <w:rPr>
          <w:rFonts w:cs="Arial"/>
          <w:szCs w:val="26"/>
        </w:rPr>
        <w:t xml:space="preserve"> </w:t>
      </w:r>
    </w:p>
    <w:p w:rsidR="00D44DB6" w:rsidP="00D44DB6" w:rsidRDefault="00D44DB6" w14:paraId="6B9D3048" w14:textId="77777777">
      <w:pPr>
        <w:spacing w:line="240" w:lineRule="auto"/>
        <w:ind w:firstLine="0"/>
        <w:rPr>
          <w:rFonts w:cs="Arial"/>
          <w:szCs w:val="26"/>
        </w:rPr>
      </w:pPr>
    </w:p>
    <w:p w:rsidRPr="00D44DB6" w:rsidR="00D44DB6" w:rsidP="00D44DB6" w:rsidRDefault="00D44DB6" w14:paraId="0852186B" w14:textId="3692C2D1">
      <w:pPr>
        <w:spacing w:line="240" w:lineRule="auto"/>
        <w:ind w:firstLine="0"/>
        <w:rPr>
          <w:rFonts w:cs="Arial"/>
          <w:i/>
          <w:szCs w:val="26"/>
        </w:rPr>
        <w:sectPr w:rsidRPr="00D44DB6"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B834DA" w:rsidRDefault="005C5C65" w14:paraId="507F87D4" w14:textId="5E0CBD96">
      <w:pPr>
        <w:pStyle w:val="Main"/>
        <w:spacing w:after="240"/>
      </w:pPr>
      <w:r>
        <w:lastRenderedPageBreak/>
        <w:t>DECISION ESTABLISHING A STANDARD OFFER FOR</w:t>
      </w:r>
      <w:r w:rsidR="00B834DA">
        <w:br/>
      </w:r>
      <w:r>
        <w:t>FLEXIBLE SERVICE CONNECTIONS</w:t>
      </w:r>
    </w:p>
    <w:p w:rsidR="005A148C" w:rsidP="005A148C" w:rsidRDefault="005A148C" w14:paraId="478AAA61" w14:textId="77777777">
      <w:pPr>
        <w:pStyle w:val="Dummy"/>
      </w:pPr>
      <w:bookmarkStart w:name="_Toc8123714" w:id="1"/>
      <w:bookmarkStart w:name="_Toc220940169" w:id="2"/>
      <w:r>
        <w:t>Summary</w:t>
      </w:r>
      <w:bookmarkEnd w:id="1"/>
      <w:bookmarkEnd w:id="2"/>
    </w:p>
    <w:p w:rsidRPr="00390C32" w:rsidR="00390C32" w:rsidP="00F72F9F" w:rsidRDefault="005D52D8" w14:paraId="3723170B" w14:textId="15FB876A">
      <w:pPr>
        <w:pStyle w:val="Standard"/>
      </w:pPr>
      <w:r w:rsidRPr="00390C32">
        <w:t xml:space="preserve">This decision directs Pacific Gas and Electric Company (PG&amp;E) and </w:t>
      </w:r>
      <w:bookmarkStart w:name="_Hlk216161828" w:id="3"/>
      <w:r w:rsidRPr="00390C32">
        <w:t xml:space="preserve">Southern California Edison Company (SCE) </w:t>
      </w:r>
      <w:bookmarkEnd w:id="3"/>
      <w:r w:rsidRPr="00390C32">
        <w:t xml:space="preserve">to establish a standard offer process </w:t>
      </w:r>
      <w:r w:rsidR="00EF6F4D">
        <w:t>with</w:t>
      </w:r>
      <w:r w:rsidR="00BC3458">
        <w:t xml:space="preserve">in </w:t>
      </w:r>
      <w:r w:rsidR="00564199">
        <w:t xml:space="preserve">the Design and Engineering step of their </w:t>
      </w:r>
      <w:r w:rsidR="005025CC">
        <w:t xml:space="preserve">energization process that </w:t>
      </w:r>
      <w:r w:rsidRPr="00390C32">
        <w:t>establish</w:t>
      </w:r>
      <w:r w:rsidR="005025CC">
        <w:t>es</w:t>
      </w:r>
      <w:r w:rsidRPr="00390C32">
        <w:t xml:space="preserve"> an optional Flexible Service Connection</w:t>
      </w:r>
      <w:r w:rsidR="00022516">
        <w:rPr>
          <w:rStyle w:val="FootnoteReference"/>
        </w:rPr>
        <w:footnoteReference w:id="2"/>
      </w:r>
      <w:r w:rsidR="00934304">
        <w:t xml:space="preserve"> </w:t>
      </w:r>
      <w:r w:rsidR="008054EB">
        <w:t xml:space="preserve">(FSC) </w:t>
      </w:r>
      <w:r w:rsidRPr="00390C32" w:rsidR="00390C32">
        <w:t>agreement</w:t>
      </w:r>
      <w:r w:rsidRPr="00390C32">
        <w:t xml:space="preserve"> for customers affected by </w:t>
      </w:r>
      <w:r w:rsidR="009724BB">
        <w:t xml:space="preserve">distribution </w:t>
      </w:r>
      <w:r w:rsidRPr="00390C32">
        <w:t>capacity constraints.</w:t>
      </w:r>
      <w:r w:rsidRPr="00390C32" w:rsidR="00390C32">
        <w:t xml:space="preserve"> </w:t>
      </w:r>
      <w:r w:rsidR="002640B1">
        <w:t xml:space="preserve">PG&amp;E and SCE are required to implement ongoing data collection and reporting to facilitate refinement of the standard offer, make associated changes to their Tariff Rules, and file a report summarizing the cost-efficiency of this standard offer process. </w:t>
      </w:r>
      <w:r w:rsidR="00323FD4">
        <w:t>PG&amp;E</w:t>
      </w:r>
      <w:r w:rsidR="00D33B15">
        <w:t xml:space="preserve"> and </w:t>
      </w:r>
      <w:r w:rsidR="00323FD4">
        <w:t xml:space="preserve">SCE are directed to </w:t>
      </w:r>
      <w:r w:rsidR="003935D5">
        <w:t>formalize</w:t>
      </w:r>
      <w:r w:rsidR="00567424">
        <w:t xml:space="preserve"> </w:t>
      </w:r>
      <w:r w:rsidR="00222B58">
        <w:t>th</w:t>
      </w:r>
      <w:r w:rsidR="00567424">
        <w:t>e</w:t>
      </w:r>
      <w:r w:rsidR="003935D5">
        <w:t xml:space="preserve"> </w:t>
      </w:r>
      <w:r w:rsidR="00323FD4">
        <w:t>pre</w:t>
      </w:r>
      <w:r w:rsidR="00A601E3">
        <w:t>liminary capacity assessment</w:t>
      </w:r>
      <w:r w:rsidR="00323FD4">
        <w:t xml:space="preserve"> process</w:t>
      </w:r>
      <w:r w:rsidR="00111446">
        <w:t>es</w:t>
      </w:r>
      <w:r w:rsidR="00323FD4">
        <w:t xml:space="preserve"> that </w:t>
      </w:r>
      <w:r w:rsidR="00AB6C37">
        <w:t xml:space="preserve">currently </w:t>
      </w:r>
      <w:r w:rsidR="00323FD4">
        <w:t>allow</w:t>
      </w:r>
      <w:r w:rsidR="00ED6937">
        <w:t xml:space="preserve"> their</w:t>
      </w:r>
      <w:r w:rsidR="00323FD4">
        <w:t xml:space="preserve"> prospective customer</w:t>
      </w:r>
      <w:r w:rsidR="00AB6C37">
        <w:t>s</w:t>
      </w:r>
      <w:r w:rsidR="00323FD4">
        <w:t xml:space="preserve"> to evaluate the likelihood of suitable capacity at a particular grid location.</w:t>
      </w:r>
      <w:r w:rsidR="00D63F4E">
        <w:t xml:space="preserve"> SCE is directed to prepare and file a report assessing learnings from the FSC pilot that conclude</w:t>
      </w:r>
      <w:r w:rsidR="006F3F2A">
        <w:t>d</w:t>
      </w:r>
      <w:r w:rsidR="00D63F4E">
        <w:t xml:space="preserve"> on January 3, 2026.</w:t>
      </w:r>
    </w:p>
    <w:p w:rsidR="0073353F" w:rsidP="006E6574" w:rsidRDefault="00390C32" w14:paraId="6B2CD64B" w14:textId="595D8D89">
      <w:pPr>
        <w:pStyle w:val="Standard"/>
      </w:pPr>
      <w:r>
        <w:t>This proceeding remains open to address remaining Phase II issues.</w:t>
      </w:r>
    </w:p>
    <w:p w:rsidRPr="00121089" w:rsidR="005A148C" w:rsidP="00957C72" w:rsidRDefault="002C7FE9" w14:paraId="3225FB13" w14:textId="1945B58E">
      <w:pPr>
        <w:pStyle w:val="Heading1"/>
      </w:pPr>
      <w:bookmarkStart w:name="_Toc8123715" w:id="4"/>
      <w:bookmarkStart w:name="_Toc220940170" w:id="5"/>
      <w:r w:rsidRPr="00121089">
        <w:t>Background</w:t>
      </w:r>
      <w:bookmarkEnd w:id="4"/>
      <w:bookmarkEnd w:id="5"/>
    </w:p>
    <w:p w:rsidR="00F3136C" w:rsidP="00834B9B" w:rsidRDefault="00834B9B" w14:paraId="6D33B7F7" w14:textId="259511D6">
      <w:pPr>
        <w:pStyle w:val="Standard"/>
      </w:pPr>
      <w:r>
        <w:t>In</w:t>
      </w:r>
      <w:r w:rsidR="00706EA4">
        <w:t xml:space="preserve"> 2023</w:t>
      </w:r>
      <w:r w:rsidR="000D64D2">
        <w:t>,</w:t>
      </w:r>
      <w:r>
        <w:t xml:space="preserve"> t</w:t>
      </w:r>
      <w:r w:rsidR="0063491C">
        <w:t>he</w:t>
      </w:r>
      <w:r w:rsidR="00390C32">
        <w:t xml:space="preserve"> legislature </w:t>
      </w:r>
      <w:r w:rsidR="00B30202">
        <w:t>enacted the Powering Up Californians Act (</w:t>
      </w:r>
      <w:bookmarkStart w:name="_Hlk216162125" w:id="6"/>
      <w:r w:rsidR="00B30202">
        <w:t>S</w:t>
      </w:r>
      <w:r w:rsidR="00AC4356">
        <w:t>enate Bill (S</w:t>
      </w:r>
      <w:r w:rsidR="00B30202">
        <w:t>B</w:t>
      </w:r>
      <w:r w:rsidR="00AC4356">
        <w:t>)</w:t>
      </w:r>
      <w:r w:rsidR="00CA4CEB">
        <w:t> </w:t>
      </w:r>
      <w:bookmarkEnd w:id="6"/>
      <w:r w:rsidR="00B30202">
        <w:t xml:space="preserve">410) </w:t>
      </w:r>
      <w:r w:rsidR="000B67FE">
        <w:t xml:space="preserve">and </w:t>
      </w:r>
      <w:bookmarkStart w:name="_Hlk216162129" w:id="7"/>
      <w:r w:rsidRPr="00CD58C2" w:rsidR="00E71BD5">
        <w:t>Assembly Bill (AB)</w:t>
      </w:r>
      <w:r w:rsidR="00AC4356">
        <w:t> </w:t>
      </w:r>
      <w:bookmarkEnd w:id="7"/>
      <w:r w:rsidRPr="00CD58C2" w:rsidR="00E71BD5">
        <w:t>50</w:t>
      </w:r>
      <w:r w:rsidR="00AD5507">
        <w:t xml:space="preserve">. Both bills require the Commission to </w:t>
      </w:r>
      <w:r w:rsidR="00775B04">
        <w:t xml:space="preserve">establish requirements and processes to </w:t>
      </w:r>
      <w:r w:rsidR="00C23888">
        <w:t xml:space="preserve">accelerate </w:t>
      </w:r>
      <w:r w:rsidR="00E40948">
        <w:t>energization for</w:t>
      </w:r>
      <w:r w:rsidR="004B36C7">
        <w:t xml:space="preserve"> </w:t>
      </w:r>
      <w:r w:rsidR="00B04C2D">
        <w:t>customer projects.</w:t>
      </w:r>
      <w:r w:rsidRPr="00CD58C2" w:rsidR="00E71BD5">
        <w:t xml:space="preserve"> </w:t>
      </w:r>
    </w:p>
    <w:p w:rsidR="009152FA" w:rsidP="009152FA" w:rsidRDefault="00471A72" w14:paraId="05C4E84E" w14:textId="5726913A">
      <w:pPr>
        <w:pStyle w:val="Standard"/>
      </w:pPr>
      <w:r>
        <w:t>On January 1, 2024, t</w:t>
      </w:r>
      <w:r w:rsidR="0000324C">
        <w:t xml:space="preserve">he Commission opened </w:t>
      </w:r>
      <w:bookmarkStart w:name="_Hlk216162144" w:id="8"/>
      <w:r w:rsidR="0000324C">
        <w:t>Rulemaking (R.)</w:t>
      </w:r>
      <w:r w:rsidR="00AC4356">
        <w:t> </w:t>
      </w:r>
      <w:r>
        <w:t xml:space="preserve">24-01-018 </w:t>
      </w:r>
      <w:bookmarkEnd w:id="8"/>
      <w:r w:rsidR="00525CB7">
        <w:t>to</w:t>
      </w:r>
      <w:r>
        <w:t xml:space="preserve"> </w:t>
      </w:r>
      <w:r w:rsidR="00885870">
        <w:t>implement</w:t>
      </w:r>
      <w:r w:rsidR="00274028">
        <w:t xml:space="preserve"> certain</w:t>
      </w:r>
      <w:r w:rsidR="00885870">
        <w:t xml:space="preserve"> </w:t>
      </w:r>
      <w:r w:rsidR="00615596">
        <w:t xml:space="preserve">provisions of </w:t>
      </w:r>
      <w:r w:rsidRPr="00CD58C2" w:rsidR="00CD58C2">
        <w:t>AB 50, and SB 410.</w:t>
      </w:r>
      <w:r w:rsidR="00CD58C2">
        <w:t xml:space="preserve"> </w:t>
      </w:r>
      <w:r w:rsidR="009152FA">
        <w:t xml:space="preserve">On March 28, 2024, the </w:t>
      </w:r>
      <w:r w:rsidR="009152FA">
        <w:lastRenderedPageBreak/>
        <w:t xml:space="preserve">Assigned Commissioner issued their Scoping Memo and Ruling (Scoping Memo), establishing issues to be considered in two phases. </w:t>
      </w:r>
      <w:r w:rsidR="00FB1BC1">
        <w:t xml:space="preserve">In </w:t>
      </w:r>
      <w:r w:rsidR="00C94C20">
        <w:t>Phase 1 of the proceeding</w:t>
      </w:r>
      <w:r w:rsidR="008157A6">
        <w:t xml:space="preserve">, the </w:t>
      </w:r>
      <w:r w:rsidR="00864177">
        <w:t xml:space="preserve">scoping memo </w:t>
      </w:r>
      <w:r w:rsidR="00D31A18">
        <w:t>outlined</w:t>
      </w:r>
      <w:r w:rsidR="00864177">
        <w:t xml:space="preserve"> issues related to </w:t>
      </w:r>
      <w:r w:rsidR="00E5689E">
        <w:t>implement</w:t>
      </w:r>
      <w:r w:rsidR="00864177">
        <w:t>ing</w:t>
      </w:r>
      <w:r w:rsidR="00E5689E">
        <w:t xml:space="preserve"> the required provisions of </w:t>
      </w:r>
      <w:r w:rsidR="00B81260">
        <w:t>AB 50 and SB 410. Phase 2</w:t>
      </w:r>
      <w:r w:rsidR="00B65BAD">
        <w:t xml:space="preserve"> </w:t>
      </w:r>
      <w:r w:rsidR="00B666FB">
        <w:t xml:space="preserve">of the </w:t>
      </w:r>
      <w:r w:rsidR="00B65BAD">
        <w:t>scop</w:t>
      </w:r>
      <w:r w:rsidR="00B666FB">
        <w:t>ing memo</w:t>
      </w:r>
      <w:r w:rsidR="00E84EB6">
        <w:t xml:space="preserve"> included a list of</w:t>
      </w:r>
      <w:r w:rsidR="00B65BAD">
        <w:t xml:space="preserve"> preliminary </w:t>
      </w:r>
      <w:r w:rsidR="00B81260">
        <w:t xml:space="preserve">remaining issues. </w:t>
      </w:r>
      <w:r w:rsidR="00C94C20">
        <w:t xml:space="preserve"> </w:t>
      </w:r>
    </w:p>
    <w:p w:rsidR="009152FA" w:rsidP="009152FA" w:rsidRDefault="009152FA" w14:paraId="2D890DB5" w14:textId="77777777">
      <w:pPr>
        <w:pStyle w:val="Standard"/>
      </w:pPr>
      <w:r>
        <w:t xml:space="preserve">On September 11, 2024, </w:t>
      </w:r>
      <w:bookmarkStart w:name="_Hlk216162159" w:id="9"/>
      <w:r>
        <w:t xml:space="preserve">Enphase Energy, Inc. (Enphase) </w:t>
      </w:r>
      <w:bookmarkEnd w:id="9"/>
      <w:r>
        <w:t xml:space="preserve">filed a motion (Enphase Motion) to issue a revised Scoping Memo accelerating the adoption of </w:t>
      </w:r>
      <w:bookmarkStart w:name="_Hlk216162165" w:id="10"/>
      <w:r>
        <w:t xml:space="preserve">Power Control Systems (PCS), </w:t>
      </w:r>
      <w:bookmarkEnd w:id="10"/>
      <w:r>
        <w:t>to incorporate the record of R.21-06-017, to order a workshop or workshops culminating in a staff proposal, and to issue a decision addressing 11 enumerated elements.</w:t>
      </w:r>
    </w:p>
    <w:p w:rsidR="0025278B" w:rsidP="00834B9B" w:rsidRDefault="00255C3C" w14:paraId="035037DB" w14:textId="02561F0D">
      <w:pPr>
        <w:pStyle w:val="Standard"/>
      </w:pPr>
      <w:r w:rsidRPr="00255C3C">
        <w:t xml:space="preserve">On September 12, 2024, the </w:t>
      </w:r>
      <w:r w:rsidR="006370DC">
        <w:t>Commission</w:t>
      </w:r>
      <w:r w:rsidRPr="00255C3C" w:rsidR="006370DC">
        <w:t xml:space="preserve"> </w:t>
      </w:r>
      <w:r w:rsidRPr="00255C3C">
        <w:t>approved</w:t>
      </w:r>
      <w:r w:rsidR="00EC682C">
        <w:t xml:space="preserve"> </w:t>
      </w:r>
      <w:bookmarkStart w:name="_Hlk216162177" w:id="11"/>
      <w:r w:rsidR="00EC682C">
        <w:t>Decision (D.)</w:t>
      </w:r>
      <w:r w:rsidR="00CA4CEB">
        <w:t> </w:t>
      </w:r>
      <w:bookmarkEnd w:id="11"/>
      <w:r w:rsidR="00EC682C">
        <w:t>24</w:t>
      </w:r>
      <w:r w:rsidR="00CA4CEB">
        <w:noBreakHyphen/>
      </w:r>
      <w:r w:rsidR="00EC682C">
        <w:t>09</w:t>
      </w:r>
      <w:r w:rsidR="00CA4CEB">
        <w:noBreakHyphen/>
      </w:r>
      <w:r w:rsidR="00EC682C">
        <w:t>020. D.24</w:t>
      </w:r>
      <w:r w:rsidR="00AC4356">
        <w:noBreakHyphen/>
      </w:r>
      <w:r w:rsidR="00EC682C">
        <w:t>09</w:t>
      </w:r>
      <w:r w:rsidR="00AC4356">
        <w:noBreakHyphen/>
      </w:r>
      <w:r w:rsidR="00EC682C">
        <w:t xml:space="preserve">020 resolves Phase 1 rulemaking issues in this proceeding, articulates eight standard energization steps for </w:t>
      </w:r>
      <w:r w:rsidR="00252769">
        <w:t>Pacific Gas and Electric Company (</w:t>
      </w:r>
      <w:r w:rsidR="00EC682C">
        <w:t>PG&amp;E</w:t>
      </w:r>
      <w:r w:rsidR="00252769">
        <w:t>)</w:t>
      </w:r>
      <w:r w:rsidR="00EC682C">
        <w:t xml:space="preserve">, </w:t>
      </w:r>
      <w:r w:rsidRPr="00252769" w:rsidR="00252769">
        <w:t xml:space="preserve">Southern California Edison Company </w:t>
      </w:r>
      <w:r w:rsidR="00252769">
        <w:t>(</w:t>
      </w:r>
      <w:r w:rsidR="00EC682C">
        <w:t>SCE</w:t>
      </w:r>
      <w:r w:rsidR="00252769">
        <w:t>)</w:t>
      </w:r>
      <w:r w:rsidR="00EC682C">
        <w:t xml:space="preserve">, and </w:t>
      </w:r>
      <w:r w:rsidRPr="00AC4356" w:rsidR="00AC4356">
        <w:t>San Diego Gas &amp; Electric Company</w:t>
      </w:r>
      <w:r w:rsidR="00AC4356">
        <w:t xml:space="preserve"> (</w:t>
      </w:r>
      <w:r w:rsidR="00EC682C">
        <w:t>SDG&amp;E</w:t>
      </w:r>
      <w:r w:rsidR="00AC4356">
        <w:t>)</w:t>
      </w:r>
      <w:r w:rsidR="00EC682C">
        <w:t xml:space="preserve"> (Large IOUs), sets forth average and maximum timelines for achieving the full set of energization steps requiring upgrades, and establishes an energization target for the </w:t>
      </w:r>
      <w:r w:rsidR="006370DC">
        <w:t>Large</w:t>
      </w:r>
      <w:r w:rsidR="00EC682C">
        <w:t xml:space="preserve"> IOUs to</w:t>
      </w:r>
      <w:r w:rsidR="00F16F9D">
        <w:t xml:space="preserve"> meet</w:t>
      </w:r>
      <w:r>
        <w:t>.</w:t>
      </w:r>
      <w:r w:rsidR="00305921">
        <w:t xml:space="preserve"> </w:t>
      </w:r>
      <w:r>
        <w:t xml:space="preserve"> </w:t>
      </w:r>
    </w:p>
    <w:p w:rsidR="00030969" w:rsidP="00834B9B" w:rsidRDefault="00030969" w14:paraId="7B81CACF" w14:textId="2C1EEA97">
      <w:pPr>
        <w:pStyle w:val="Standard"/>
      </w:pPr>
      <w:r>
        <w:t xml:space="preserve">On December </w:t>
      </w:r>
      <w:r w:rsidR="0044410D">
        <w:t xml:space="preserve">16, 2024, </w:t>
      </w:r>
      <w:r w:rsidR="003E7EDC">
        <w:t>pursuant to Commission direction,</w:t>
      </w:r>
      <w:r w:rsidR="003E7EDC">
        <w:rPr>
          <w:rStyle w:val="FootnoteReference"/>
        </w:rPr>
        <w:footnoteReference w:id="3"/>
      </w:r>
      <w:r w:rsidR="003E7EDC">
        <w:t xml:space="preserve"> </w:t>
      </w:r>
      <w:r w:rsidR="0044410D">
        <w:t xml:space="preserve">the Large IOUs each filed a </w:t>
      </w:r>
      <w:r w:rsidR="00D77F43">
        <w:t xml:space="preserve">report detailing their plans </w:t>
      </w:r>
      <w:r w:rsidR="00592F35">
        <w:t xml:space="preserve">to deploy </w:t>
      </w:r>
      <w:r w:rsidR="0044410D">
        <w:t>bridging strategies</w:t>
      </w:r>
      <w:r w:rsidR="00E82B61">
        <w:rPr>
          <w:rStyle w:val="FootnoteReference"/>
        </w:rPr>
        <w:footnoteReference w:id="4"/>
      </w:r>
      <w:r w:rsidR="00592F35">
        <w:t xml:space="preserve"> that accommodate energization requests that trigger </w:t>
      </w:r>
      <w:r w:rsidR="003E7EDC">
        <w:t>distribution capacity work.</w:t>
      </w:r>
      <w:r w:rsidR="0044410D">
        <w:t xml:space="preserve"> </w:t>
      </w:r>
    </w:p>
    <w:p w:rsidR="00220FE3" w:rsidP="00834B9B" w:rsidRDefault="007B2B9A" w14:paraId="005EF462" w14:textId="6EA63661">
      <w:pPr>
        <w:pStyle w:val="Standard"/>
      </w:pPr>
      <w:r>
        <w:t xml:space="preserve">On February 7, </w:t>
      </w:r>
      <w:r w:rsidR="00546AB1">
        <w:t>2025</w:t>
      </w:r>
      <w:r>
        <w:t xml:space="preserve">, the </w:t>
      </w:r>
      <w:r w:rsidR="00546AB1">
        <w:t xml:space="preserve">assigned </w:t>
      </w:r>
      <w:bookmarkStart w:name="_Hlk216162232" w:id="12"/>
      <w:r>
        <w:t xml:space="preserve">Administrative Law Judge (ALJ) </w:t>
      </w:r>
      <w:bookmarkEnd w:id="12"/>
      <w:r>
        <w:t xml:space="preserve">issued a ruling clarifying next steps for </w:t>
      </w:r>
      <w:r w:rsidR="00252769">
        <w:t>Flexible Service Connections (</w:t>
      </w:r>
      <w:r w:rsidR="00E31A15">
        <w:t>FSCs</w:t>
      </w:r>
      <w:r w:rsidR="00252769">
        <w:t>)</w:t>
      </w:r>
      <w:r w:rsidR="00741D94">
        <w:t>, modifying the Phase 2 schedule,</w:t>
      </w:r>
      <w:r w:rsidR="004979A0">
        <w:t xml:space="preserve"> </w:t>
      </w:r>
      <w:r w:rsidR="002E218E">
        <w:t>clarifying that</w:t>
      </w:r>
      <w:r w:rsidR="005575EC">
        <w:t xml:space="preserve"> </w:t>
      </w:r>
      <w:r w:rsidR="00F8510B">
        <w:t xml:space="preserve">it is not necessary to modify that Scoping </w:t>
      </w:r>
      <w:r w:rsidR="00F8510B">
        <w:lastRenderedPageBreak/>
        <w:t>Memo to address issues raised by</w:t>
      </w:r>
      <w:r w:rsidR="002E218E">
        <w:t xml:space="preserve"> </w:t>
      </w:r>
      <w:r w:rsidR="00120B00">
        <w:t xml:space="preserve">the Enphase Motion, </w:t>
      </w:r>
      <w:r w:rsidR="00741D94">
        <w:t>and requesting party comment (Next Steps Ruling)</w:t>
      </w:r>
      <w:r w:rsidR="00092A62">
        <w:t xml:space="preserve">. The Next Steps </w:t>
      </w:r>
      <w:r w:rsidR="00C42E84">
        <w:t>R</w:t>
      </w:r>
      <w:r w:rsidR="00092A62">
        <w:t>uling established that this effort</w:t>
      </w:r>
      <w:r w:rsidR="00C42E84">
        <w:t xml:space="preserve"> (Next Steps Effort)</w:t>
      </w:r>
      <w:r w:rsidR="00092A62">
        <w:t xml:space="preserve"> is focused </w:t>
      </w:r>
      <w:r w:rsidRPr="001632B3" w:rsidR="00092A62">
        <w:t>on</w:t>
      </w:r>
      <w:r w:rsidRPr="001632B3" w:rsidR="00C722C5">
        <w:t xml:space="preserve"> </w:t>
      </w:r>
      <w:r w:rsidRPr="001C01C5" w:rsidR="00C722C5">
        <w:t>standardizing FSC</w:t>
      </w:r>
      <w:r w:rsidRPr="001C01C5" w:rsidR="00911105">
        <w:t xml:space="preserve">s for the purpose of avoiding energization delays </w:t>
      </w:r>
      <w:r w:rsidRPr="001C01C5" w:rsidR="003B7791">
        <w:t>caused by upstream capacity constraints</w:t>
      </w:r>
      <w:r w:rsidRPr="001C01C5" w:rsidR="00D71563">
        <w:t>, and that the FSC terms will be simple enough to implement in the very near term.</w:t>
      </w:r>
      <w:r w:rsidRPr="001C01C5" w:rsidR="00D71563">
        <w:rPr>
          <w:rStyle w:val="FootnoteReference"/>
        </w:rPr>
        <w:footnoteReference w:id="5"/>
      </w:r>
    </w:p>
    <w:p w:rsidR="004532D6" w:rsidP="000A4DB2" w:rsidRDefault="00927FC0" w14:paraId="5D7E7C45" w14:textId="666EFE49">
      <w:pPr>
        <w:pStyle w:val="Standard"/>
      </w:pPr>
      <w:r>
        <w:t xml:space="preserve">Eighteen parties </w:t>
      </w:r>
      <w:r w:rsidR="00F172F8">
        <w:t xml:space="preserve">filed </w:t>
      </w:r>
      <w:r w:rsidR="00092A62">
        <w:t>opening</w:t>
      </w:r>
      <w:r w:rsidR="00F172F8">
        <w:t xml:space="preserve"> comment</w:t>
      </w:r>
      <w:r w:rsidR="00B22985">
        <w:t>s</w:t>
      </w:r>
      <w:r w:rsidR="00F172F8">
        <w:t xml:space="preserve"> </w:t>
      </w:r>
      <w:r w:rsidR="007851C9">
        <w:t xml:space="preserve">to the Next Steps Ruling </w:t>
      </w:r>
      <w:r w:rsidR="00F172F8">
        <w:t xml:space="preserve">on </w:t>
      </w:r>
      <w:r w:rsidR="007851C9">
        <w:t>March 13, 2025</w:t>
      </w:r>
      <w:r w:rsidR="00546AB1">
        <w:t>.</w:t>
      </w:r>
      <w:r w:rsidR="00C336F8">
        <w:t xml:space="preserve"> These parties </w:t>
      </w:r>
      <w:r w:rsidR="003C0043">
        <w:t xml:space="preserve">include </w:t>
      </w:r>
      <w:r w:rsidR="00EE046F">
        <w:t xml:space="preserve">the </w:t>
      </w:r>
      <w:bookmarkStart w:name="_Hlk216162258" w:id="13"/>
      <w:r w:rsidRPr="00EE046F" w:rsidR="00EE046F">
        <w:t>Alliance for Automotive Innovation</w:t>
      </w:r>
      <w:r w:rsidR="00EE046F">
        <w:t xml:space="preserve"> (</w:t>
      </w:r>
      <w:r w:rsidR="003C0043">
        <w:t>AAI</w:t>
      </w:r>
      <w:r w:rsidR="00EE046F">
        <w:t>)</w:t>
      </w:r>
      <w:r w:rsidR="003C0043">
        <w:t xml:space="preserve">, </w:t>
      </w:r>
      <w:r w:rsidR="005B0CB9">
        <w:t xml:space="preserve">the </w:t>
      </w:r>
      <w:r w:rsidR="003C0043">
        <w:t xml:space="preserve">California Community Choice Association (CalCCA), </w:t>
      </w:r>
      <w:r w:rsidRPr="00B54C94" w:rsidR="00B54C94">
        <w:t>CALSTART, Inc. (CALSTART)</w:t>
      </w:r>
      <w:r w:rsidR="005B0CB9">
        <w:t xml:space="preserve">, the </w:t>
      </w:r>
      <w:r w:rsidRPr="005B0CB9" w:rsidR="005B0CB9">
        <w:t>California Association of Small and Multi-Jurisdictional Utilities (CASMU)</w:t>
      </w:r>
      <w:r w:rsidR="005B0CB9">
        <w:t xml:space="preserve">, Clean Coalition, </w:t>
      </w:r>
      <w:r w:rsidRPr="00315D01" w:rsidR="00315D01">
        <w:t>Critical Loop, Inc</w:t>
      </w:r>
      <w:r w:rsidR="00315D01">
        <w:t xml:space="preserve">. (Critical Loop), </w:t>
      </w:r>
      <w:r w:rsidRPr="009E73DD" w:rsidR="009E73DD">
        <w:t>Environmental Defense Fund</w:t>
      </w:r>
      <w:r w:rsidR="009E73DD">
        <w:t xml:space="preserve"> (EDF)</w:t>
      </w:r>
      <w:r w:rsidR="00A90BEC">
        <w:t>, Enphase</w:t>
      </w:r>
      <w:r w:rsidR="000A4DB2">
        <w:t xml:space="preserve">, The Interstate Renewable Energy Council, Inc. (IREC), </w:t>
      </w:r>
      <w:r w:rsidRPr="00CB0BF4" w:rsidR="00CB0BF4">
        <w:t>The Mobility House</w:t>
      </w:r>
      <w:r w:rsidR="00CB0BF4">
        <w:t xml:space="preserve"> (TMH)</w:t>
      </w:r>
      <w:r w:rsidR="00482760">
        <w:t xml:space="preserve">, </w:t>
      </w:r>
      <w:r w:rsidRPr="00EC06A4" w:rsidR="00EC06A4">
        <w:t>Natural Resources Defense Council</w:t>
      </w:r>
      <w:r w:rsidR="00EC06A4">
        <w:t xml:space="preserve"> (NRDC), </w:t>
      </w:r>
      <w:r w:rsidRPr="00DD6A74" w:rsidR="00DD6A74">
        <w:t>Powering America’s Commercial Transportation</w:t>
      </w:r>
      <w:r w:rsidR="00DD6A74">
        <w:t xml:space="preserve"> (PACT), </w:t>
      </w:r>
      <w:r w:rsidRPr="006B4F2B" w:rsidR="006B4F2B">
        <w:t>the Public Advocates Office at the California Public Utilities Commission (Cal Advocates)</w:t>
      </w:r>
      <w:r w:rsidR="006B4F2B">
        <w:t xml:space="preserve">, PG&amp;E, SCE, </w:t>
      </w:r>
      <w:r w:rsidR="00AD1846">
        <w:t xml:space="preserve">SDG&amp;E, </w:t>
      </w:r>
      <w:r w:rsidRPr="00AD1846" w:rsidR="00AD1846">
        <w:t>The Utility Reform Network</w:t>
      </w:r>
      <w:r w:rsidR="00AD1846">
        <w:t xml:space="preserve"> (TURN), and</w:t>
      </w:r>
      <w:r w:rsidR="00E44956">
        <w:t xml:space="preserve"> </w:t>
      </w:r>
      <w:r w:rsidRPr="00E44956" w:rsidR="00E44956">
        <w:t>Vehicle-Grid Integration Council</w:t>
      </w:r>
      <w:r w:rsidR="00E44956">
        <w:t xml:space="preserve"> (VGIC).</w:t>
      </w:r>
    </w:p>
    <w:bookmarkEnd w:id="13"/>
    <w:p w:rsidR="00741D94" w:rsidP="00834B9B" w:rsidRDefault="004532D6" w14:paraId="483D4E07" w14:textId="58EA4088">
      <w:pPr>
        <w:pStyle w:val="Standard"/>
      </w:pPr>
      <w:r>
        <w:t>T</w:t>
      </w:r>
      <w:r w:rsidR="007851C9">
        <w:t xml:space="preserve">hirteen parties filed </w:t>
      </w:r>
      <w:r>
        <w:t>reply comment</w:t>
      </w:r>
      <w:r w:rsidR="00B22985">
        <w:t>s</w:t>
      </w:r>
      <w:r w:rsidR="003B6C66">
        <w:t xml:space="preserve"> to the Next Steps Ruling on March</w:t>
      </w:r>
      <w:r w:rsidR="00513358">
        <w:t> </w:t>
      </w:r>
      <w:r w:rsidR="003B6C66">
        <w:t>28, 2025.</w:t>
      </w:r>
      <w:r w:rsidRPr="00E44956" w:rsidR="00E44956">
        <w:t xml:space="preserve"> These parties include CALSTART, </w:t>
      </w:r>
      <w:r w:rsidR="00D76A05">
        <w:t xml:space="preserve">EDF, </w:t>
      </w:r>
      <w:r w:rsidRPr="00E44956" w:rsidR="00E44956">
        <w:t>Enphase, IREC, TMH, NRDC,</w:t>
      </w:r>
      <w:r w:rsidR="002F6EBB">
        <w:t xml:space="preserve"> </w:t>
      </w:r>
      <w:r w:rsidRPr="00E44956" w:rsidR="00E44956">
        <w:t xml:space="preserve">PACT, PG&amp;E, SCE, SDG&amp;E, </w:t>
      </w:r>
      <w:bookmarkStart w:name="_Hlk216162373" w:id="14"/>
      <w:r w:rsidRPr="00F95B05" w:rsidR="00F95B05">
        <w:t>T</w:t>
      </w:r>
      <w:r w:rsidR="00D64FD3">
        <w:t>esla,</w:t>
      </w:r>
      <w:r w:rsidRPr="00F95B05" w:rsidR="00F95B05">
        <w:t xml:space="preserve"> I</w:t>
      </w:r>
      <w:r w:rsidR="00F95B05">
        <w:t>nc</w:t>
      </w:r>
      <w:r w:rsidRPr="00F95B05" w:rsidR="00F95B05">
        <w:t>.</w:t>
      </w:r>
      <w:r w:rsidR="00F95B05">
        <w:t xml:space="preserve"> (Tesla)</w:t>
      </w:r>
      <w:bookmarkEnd w:id="14"/>
      <w:r w:rsidR="00F95B05">
        <w:t xml:space="preserve">, </w:t>
      </w:r>
      <w:r w:rsidRPr="00E44956" w:rsidR="00E44956">
        <w:t xml:space="preserve">TURN, </w:t>
      </w:r>
      <w:r w:rsidR="001D1B0B">
        <w:t xml:space="preserve">and </w:t>
      </w:r>
      <w:r w:rsidRPr="00E44956" w:rsidR="00E44956">
        <w:t>VGIC.</w:t>
      </w:r>
    </w:p>
    <w:p w:rsidR="003B6C66" w:rsidP="00834B9B" w:rsidRDefault="004F6877" w14:paraId="78EE740B" w14:textId="7794DA5A">
      <w:pPr>
        <w:pStyle w:val="Standard"/>
      </w:pPr>
      <w:r>
        <w:t>On May 22, 2025</w:t>
      </w:r>
      <w:r w:rsidR="008306A1">
        <w:t xml:space="preserve">, the </w:t>
      </w:r>
      <w:r w:rsidR="002947AC">
        <w:t xml:space="preserve">assigned ALJ issued a ruling directing utilities </w:t>
      </w:r>
      <w:r w:rsidR="00C25364">
        <w:t xml:space="preserve">currently offering a static FSC agreement </w:t>
      </w:r>
      <w:r w:rsidR="002947AC">
        <w:t xml:space="preserve">to file additional information providing transparency on </w:t>
      </w:r>
      <w:r w:rsidR="00C25364">
        <w:t>these</w:t>
      </w:r>
      <w:r w:rsidR="002947AC">
        <w:t xml:space="preserve"> </w:t>
      </w:r>
      <w:r w:rsidR="003665FC">
        <w:t>offerings and allowing party comment upon these filings (Transparency Ruling)</w:t>
      </w:r>
      <w:r w:rsidR="00C25364">
        <w:t>.</w:t>
      </w:r>
      <w:r w:rsidR="00092A62">
        <w:t xml:space="preserve"> The Transparency </w:t>
      </w:r>
      <w:r w:rsidR="00050089">
        <w:t xml:space="preserve">Ruling reiterated the focus established in the Next Steps </w:t>
      </w:r>
      <w:r w:rsidR="00C42E84">
        <w:t>R</w:t>
      </w:r>
      <w:r w:rsidR="00050089">
        <w:t>uling and further</w:t>
      </w:r>
      <w:r w:rsidR="00140A37">
        <w:t xml:space="preserve"> clarified </w:t>
      </w:r>
      <w:r w:rsidRPr="004D0262" w:rsidR="00140A37">
        <w:t xml:space="preserve">that </w:t>
      </w:r>
      <w:r w:rsidRPr="004D0262" w:rsidR="00611EA6">
        <w:t xml:space="preserve">the FSCs will be </w:t>
      </w:r>
      <w:r w:rsidRPr="004D0262" w:rsidR="00FF4DDC">
        <w:t xml:space="preserve">based on </w:t>
      </w:r>
      <w:r w:rsidRPr="0021187D" w:rsidR="00FF4DDC">
        <w:t>pre-</w:t>
      </w:r>
      <w:r w:rsidRPr="0021187D" w:rsidR="00FF4DDC">
        <w:lastRenderedPageBreak/>
        <w:t>programmed Limited Load Profiles (LLPs)</w:t>
      </w:r>
      <w:r w:rsidRPr="0021187D" w:rsidR="0000340A">
        <w:t xml:space="preserve"> and will not address customer compensation</w:t>
      </w:r>
      <w:r w:rsidRPr="0021187D" w:rsidR="008B4EB2">
        <w:t xml:space="preserve">, </w:t>
      </w:r>
      <w:r w:rsidRPr="0021187D" w:rsidR="00EA1FF1">
        <w:t xml:space="preserve">will </w:t>
      </w:r>
      <w:r w:rsidRPr="0021187D" w:rsidR="00802374">
        <w:t xml:space="preserve">not </w:t>
      </w:r>
      <w:r w:rsidRPr="0021187D" w:rsidR="008B4EB2">
        <w:t xml:space="preserve">be used in the absence of constrained capacity, and </w:t>
      </w:r>
      <w:r w:rsidRPr="0021187D" w:rsidR="00E208DD">
        <w:t>will not utilize communications.</w:t>
      </w:r>
      <w:r w:rsidRPr="004D0262" w:rsidR="003A1CE7">
        <w:t xml:space="preserve"> The</w:t>
      </w:r>
      <w:r w:rsidR="003A1CE7">
        <w:t xml:space="preserve"> ruling also </w:t>
      </w:r>
      <w:r w:rsidR="00902324">
        <w:t>agree</w:t>
      </w:r>
      <w:r w:rsidR="00927ED5">
        <w:t>s</w:t>
      </w:r>
      <w:r w:rsidR="00902324">
        <w:t xml:space="preserve"> with SCE’s </w:t>
      </w:r>
      <w:r w:rsidR="003F6F09">
        <w:t xml:space="preserve">previous </w:t>
      </w:r>
      <w:r w:rsidR="00902324">
        <w:t xml:space="preserve">clarification that </w:t>
      </w:r>
      <w:r w:rsidR="00513628">
        <w:t xml:space="preserve">there can be </w:t>
      </w:r>
      <w:r w:rsidR="00B27286">
        <w:t xml:space="preserve">capacity constraints at locations other than </w:t>
      </w:r>
      <w:r w:rsidR="003A33D2">
        <w:t>the circuit level</w:t>
      </w:r>
      <w:r w:rsidR="006F3E64">
        <w:t xml:space="preserve"> and </w:t>
      </w:r>
      <w:r w:rsidR="00C356A3">
        <w:t xml:space="preserve">that </w:t>
      </w:r>
      <w:r w:rsidR="006F3E64">
        <w:t>th</w:t>
      </w:r>
      <w:r w:rsidR="00BA0818">
        <w:t xml:space="preserve">e implications posed by service and upstream constraints </w:t>
      </w:r>
      <w:r w:rsidR="00A37917">
        <w:t>should</w:t>
      </w:r>
      <w:r w:rsidR="00BA0818">
        <w:t xml:space="preserve"> be considered in</w:t>
      </w:r>
      <w:r w:rsidR="006F3E64">
        <w:t xml:space="preserve"> </w:t>
      </w:r>
      <w:r w:rsidR="001C4903">
        <w:t xml:space="preserve">this Next Steps </w:t>
      </w:r>
      <w:r w:rsidR="00C42E84">
        <w:t>Effort</w:t>
      </w:r>
      <w:r w:rsidR="00690E5E">
        <w:t>.</w:t>
      </w:r>
      <w:r w:rsidR="003F6F09">
        <w:rPr>
          <w:rStyle w:val="FootnoteReference"/>
        </w:rPr>
        <w:footnoteReference w:id="6"/>
      </w:r>
    </w:p>
    <w:p w:rsidR="00CC7842" w:rsidP="00834B9B" w:rsidRDefault="00CC7842" w14:paraId="1B90DBF7" w14:textId="142B7EA9">
      <w:pPr>
        <w:pStyle w:val="Standard"/>
      </w:pPr>
      <w:r>
        <w:t>PG&amp;E</w:t>
      </w:r>
      <w:r w:rsidR="00763E6E">
        <w:t xml:space="preserve"> and SCE each</w:t>
      </w:r>
      <w:r w:rsidR="00C6592A">
        <w:t xml:space="preserve"> filed </w:t>
      </w:r>
      <w:r w:rsidR="008E3CC1">
        <w:t>re</w:t>
      </w:r>
      <w:r w:rsidR="009A519A">
        <w:t>sponse</w:t>
      </w:r>
      <w:r w:rsidR="00763E6E">
        <w:t>s</w:t>
      </w:r>
      <w:r w:rsidR="009A519A">
        <w:t xml:space="preserve"> to the Transparency </w:t>
      </w:r>
      <w:r w:rsidR="00920662">
        <w:t>R</w:t>
      </w:r>
      <w:r w:rsidR="009A519A">
        <w:t xml:space="preserve">uling on </w:t>
      </w:r>
      <w:r w:rsidR="003B3BA8">
        <w:t>May</w:t>
      </w:r>
      <w:r w:rsidR="00513358">
        <w:t> </w:t>
      </w:r>
      <w:r w:rsidR="003B3BA8">
        <w:t>30, 2025</w:t>
      </w:r>
      <w:r w:rsidR="00572789">
        <w:t>, June 6, 2025,</w:t>
      </w:r>
      <w:r w:rsidR="00D2192D">
        <w:t xml:space="preserve"> and</w:t>
      </w:r>
      <w:r w:rsidR="00572789">
        <w:t xml:space="preserve"> June 13, 2025</w:t>
      </w:r>
      <w:r w:rsidR="00763E6E">
        <w:t>. PG&amp;E also</w:t>
      </w:r>
      <w:r w:rsidR="00572789">
        <w:t xml:space="preserve"> provided </w:t>
      </w:r>
      <w:r w:rsidR="009A519A">
        <w:t xml:space="preserve">an amended </w:t>
      </w:r>
      <w:r w:rsidR="00345307">
        <w:t xml:space="preserve">response </w:t>
      </w:r>
      <w:r w:rsidR="009A519A">
        <w:t xml:space="preserve">on </w:t>
      </w:r>
      <w:r w:rsidR="00572789">
        <w:t>July 9, 2025.</w:t>
      </w:r>
    </w:p>
    <w:p w:rsidR="00375E26" w:rsidP="00375E26" w:rsidRDefault="00375E26" w14:paraId="105E0A73" w14:textId="79D7856B">
      <w:pPr>
        <w:pStyle w:val="Standard"/>
      </w:pPr>
      <w:r>
        <w:t>EDF filed comments on the Transparency Ruling on June 11, 2025.</w:t>
      </w:r>
    </w:p>
    <w:p w:rsidR="009A519A" w:rsidP="00834B9B" w:rsidRDefault="00F71A7E" w14:paraId="430907E7" w14:textId="3C2B30B2">
      <w:pPr>
        <w:pStyle w:val="Standard"/>
      </w:pPr>
      <w:r>
        <w:t xml:space="preserve">Cal Advocates, CALSTART, CalCCA, EDF, IREC, </w:t>
      </w:r>
      <w:r w:rsidR="006370DC">
        <w:t xml:space="preserve">SDG&amp;E, </w:t>
      </w:r>
      <w:r>
        <w:t xml:space="preserve">and VGIC </w:t>
      </w:r>
      <w:r w:rsidR="009A519A">
        <w:t>filed comment</w:t>
      </w:r>
      <w:r w:rsidR="006370DC">
        <w:t>s</w:t>
      </w:r>
      <w:r w:rsidR="009A519A">
        <w:t xml:space="preserve"> </w:t>
      </w:r>
      <w:r w:rsidR="00EC2FED">
        <w:t>on</w:t>
      </w:r>
      <w:r w:rsidR="009A519A">
        <w:t xml:space="preserve"> PG&amp;E and SCE’s responses</w:t>
      </w:r>
      <w:r w:rsidR="00EC2FED">
        <w:t xml:space="preserve"> to the Transparency Ruling</w:t>
      </w:r>
      <w:r w:rsidR="006370DC">
        <w:t xml:space="preserve"> on July 8, 2025</w:t>
      </w:r>
      <w:r w:rsidR="009A519A">
        <w:t>.</w:t>
      </w:r>
    </w:p>
    <w:p w:rsidR="002C1A01" w:rsidP="00834B9B" w:rsidRDefault="002C1A01" w14:paraId="2FE490BF" w14:textId="6D86B1FD">
      <w:pPr>
        <w:pStyle w:val="Standard"/>
      </w:pPr>
      <w:r>
        <w:t xml:space="preserve">Emerald AI was </w:t>
      </w:r>
      <w:r w:rsidR="003D7FD5">
        <w:t>granted party status on January 16, 202</w:t>
      </w:r>
      <w:r w:rsidR="00A42F84">
        <w:t>6</w:t>
      </w:r>
      <w:r w:rsidR="003D7FD5">
        <w:t>.</w:t>
      </w:r>
    </w:p>
    <w:p w:rsidR="00683B2C" w:rsidP="00957C72" w:rsidRDefault="00683B2C" w14:paraId="52DBB5AF" w14:textId="61A911C5">
      <w:pPr>
        <w:pStyle w:val="Heading2"/>
      </w:pPr>
      <w:bookmarkStart w:name="_Toc220940171" w:id="15"/>
      <w:r>
        <w:t>Submission Date</w:t>
      </w:r>
      <w:bookmarkEnd w:id="15"/>
    </w:p>
    <w:p w:rsidR="009C3B3A" w:rsidP="000C344F" w:rsidRDefault="000D5277" w14:paraId="3D4424B0" w14:textId="4FB526BD">
      <w:pPr>
        <w:pStyle w:val="Standard"/>
      </w:pPr>
      <w:r w:rsidRPr="00FF0265">
        <w:t xml:space="preserve">This matter was submitted on </w:t>
      </w:r>
      <w:r>
        <w:t>July 9, 2025</w:t>
      </w:r>
      <w:r w:rsidRPr="00FF0265">
        <w:t xml:space="preserve"> upon </w:t>
      </w:r>
      <w:r>
        <w:t>PG&amp;E’s filing of an amended response to the Transparency Ruling</w:t>
      </w:r>
      <w:bookmarkStart w:name="_Toc8123719" w:id="16"/>
      <w:r w:rsidR="009C3B3A">
        <w:t>.</w:t>
      </w:r>
    </w:p>
    <w:p w:rsidR="008F1F8E" w:rsidP="00957C72" w:rsidRDefault="008F1F8E" w14:paraId="3375B211" w14:textId="77777777">
      <w:pPr>
        <w:pStyle w:val="Heading2"/>
      </w:pPr>
      <w:bookmarkStart w:name="_Toc220940172" w:id="17"/>
      <w:r>
        <w:t>Definitions and Acronyms</w:t>
      </w:r>
      <w:bookmarkEnd w:id="17"/>
    </w:p>
    <w:p w:rsidR="008F1F8E" w:rsidP="008F1F8E" w:rsidRDefault="008F1F8E" w14:paraId="0D2FECD0" w14:textId="636737DC">
      <w:pPr>
        <w:pStyle w:val="Standard"/>
      </w:pPr>
      <w:r>
        <w:t>This decision draws on ten terms that were defined within the Next Steps Ruling. Parties supported standardized definitions, recommended that they be included in this decision or the Electric Tariff Rules, and contributed to their content.</w:t>
      </w:r>
      <w:r>
        <w:rPr>
          <w:rStyle w:val="FootnoteReference"/>
        </w:rPr>
        <w:footnoteReference w:id="7"/>
      </w:r>
      <w:r>
        <w:t xml:space="preserve"> These definitions were further expanded to clarify what is meant by </w:t>
      </w:r>
      <w:r>
        <w:lastRenderedPageBreak/>
        <w:t>bridging solutions, and refined in response to party comments; the updated</w:t>
      </w:r>
      <w:r w:rsidRPr="00CB4E23">
        <w:t xml:space="preserve"> </w:t>
      </w:r>
      <w:r>
        <w:t>definitions and their acronyms are provided in Appendix A.</w:t>
      </w:r>
      <w:r>
        <w:rPr>
          <w:rStyle w:val="FootnoteReference"/>
        </w:rPr>
        <w:footnoteReference w:id="8"/>
      </w:r>
    </w:p>
    <w:p w:rsidR="00315310" w:rsidP="00957C72" w:rsidRDefault="005939A5" w14:paraId="0B21621D" w14:textId="551FBA8A">
      <w:pPr>
        <w:pStyle w:val="Heading1"/>
      </w:pPr>
      <w:bookmarkStart w:name="_Toc220940173" w:id="18"/>
      <w:r>
        <w:t xml:space="preserve">Issues Before the </w:t>
      </w:r>
      <w:bookmarkEnd w:id="16"/>
      <w:r w:rsidR="008A08BF">
        <w:t>Commission</w:t>
      </w:r>
      <w:bookmarkEnd w:id="18"/>
    </w:p>
    <w:p w:rsidR="008F1F8E" w:rsidP="00B749A7" w:rsidRDefault="008F1F8E" w14:paraId="65F7A601" w14:textId="41F37487">
      <w:pPr>
        <w:pStyle w:val="Standard"/>
      </w:pPr>
      <w:r>
        <w:t>The issues before the Commission are as follows:</w:t>
      </w:r>
    </w:p>
    <w:p w:rsidR="00406671" w:rsidP="00CA4CEB" w:rsidRDefault="008F1F8E" w14:paraId="5D6D7941" w14:textId="6D1CF835">
      <w:pPr>
        <w:pStyle w:val="ListAlpha"/>
        <w:ind w:right="1440"/>
      </w:pPr>
      <w:r>
        <w:t>W</w:t>
      </w:r>
      <w:r w:rsidR="00CE5100">
        <w:t xml:space="preserve">hether to </w:t>
      </w:r>
      <w:r w:rsidR="00B00DD1">
        <w:t>establish</w:t>
      </w:r>
      <w:r w:rsidR="00CE5100">
        <w:t xml:space="preserve"> </w:t>
      </w:r>
      <w:r w:rsidRPr="00CE5100" w:rsidR="00CE5100">
        <w:t xml:space="preserve">standard </w:t>
      </w:r>
      <w:r w:rsidR="00B10368">
        <w:t xml:space="preserve">offer </w:t>
      </w:r>
      <w:r w:rsidRPr="00CE5100" w:rsidR="00CE5100">
        <w:t>FSC</w:t>
      </w:r>
      <w:r w:rsidR="00FE5095">
        <w:t>s</w:t>
      </w:r>
      <w:r w:rsidR="00CA72DE">
        <w:t xml:space="preserve"> </w:t>
      </w:r>
      <w:r w:rsidR="00236259">
        <w:t>delivering firm capacity</w:t>
      </w:r>
      <w:r w:rsidRPr="00CE5100" w:rsidR="00236259">
        <w:t xml:space="preserve"> </w:t>
      </w:r>
      <w:r w:rsidR="00DF13B7">
        <w:t>in the near-term</w:t>
      </w:r>
      <w:r w:rsidR="007575D7">
        <w:t xml:space="preserve"> </w:t>
      </w:r>
      <w:r w:rsidRPr="00CE5100" w:rsidR="00CE5100">
        <w:t xml:space="preserve">to </w:t>
      </w:r>
      <w:r w:rsidR="00061B07">
        <w:t>expedite</w:t>
      </w:r>
      <w:r w:rsidRPr="00CE5100" w:rsidR="00CE5100">
        <w:t xml:space="preserve"> energization </w:t>
      </w:r>
      <w:r w:rsidR="001D3FD6">
        <w:t xml:space="preserve">when </w:t>
      </w:r>
      <w:r w:rsidR="00793D41">
        <w:t>there are</w:t>
      </w:r>
      <w:r w:rsidRPr="00CE5100" w:rsidR="00CE5100">
        <w:t xml:space="preserve"> </w:t>
      </w:r>
      <w:r w:rsidR="006B2518">
        <w:t>distribution</w:t>
      </w:r>
      <w:r w:rsidRPr="00CE5100" w:rsidR="00CE5100">
        <w:t xml:space="preserve"> capacity </w:t>
      </w:r>
      <w:r w:rsidR="006B2518">
        <w:t>const</w:t>
      </w:r>
      <w:r w:rsidRPr="0032674E" w:rsidR="006B2518">
        <w:t>raints</w:t>
      </w:r>
      <w:r w:rsidRPr="0032674E" w:rsidR="00C25CCA">
        <w:t xml:space="preserve">, </w:t>
      </w:r>
      <w:r w:rsidRPr="001C01C5" w:rsidR="00C25CCA">
        <w:t xml:space="preserve">and if so, what </w:t>
      </w:r>
      <w:r w:rsidRPr="001C01C5" w:rsidR="00A214FF">
        <w:t xml:space="preserve">requirements to establish for </w:t>
      </w:r>
      <w:r w:rsidRPr="001C01C5" w:rsidR="001D7C35">
        <w:t>standard offer FSCs</w:t>
      </w:r>
      <w:r w:rsidR="00AF1C01">
        <w:t>;</w:t>
      </w:r>
      <w:r w:rsidRPr="0032674E" w:rsidR="00CE5100">
        <w:t xml:space="preserve"> </w:t>
      </w:r>
    </w:p>
    <w:p w:rsidR="004D68D0" w:rsidP="00CA4CEB" w:rsidRDefault="004D68D0" w14:paraId="3FA46D6B" w14:textId="6939643A">
      <w:pPr>
        <w:pStyle w:val="ListAlpha"/>
        <w:ind w:right="1440"/>
      </w:pPr>
      <w:r>
        <w:t>Whether to establish any process changes, tariff</w:t>
      </w:r>
      <w:r w:rsidR="001A1F5D">
        <w:rPr>
          <w:rStyle w:val="FootnoteReference"/>
        </w:rPr>
        <w:footnoteReference w:id="9"/>
      </w:r>
      <w:r>
        <w:t xml:space="preserve"> changes, or other requirements to support the implementation of standard offer FSCs; </w:t>
      </w:r>
    </w:p>
    <w:p w:rsidR="00AF1C01" w:rsidP="00CA4CEB" w:rsidRDefault="00AF1C01" w14:paraId="4304EF0A" w14:textId="3967012A">
      <w:pPr>
        <w:pStyle w:val="ListAlpha"/>
        <w:ind w:right="1440"/>
      </w:pPr>
      <w:r>
        <w:t>Whether to formalize and align</w:t>
      </w:r>
      <w:r w:rsidRPr="00AF1C01">
        <w:t xml:space="preserve"> preliminary capacity assessment</w:t>
      </w:r>
      <w:r>
        <w:t xml:space="preserve"> requirements;</w:t>
      </w:r>
      <w:r>
        <w:rPr>
          <w:rStyle w:val="FootnoteReference"/>
        </w:rPr>
        <w:footnoteReference w:id="10"/>
      </w:r>
      <w:r>
        <w:t xml:space="preserve"> and</w:t>
      </w:r>
    </w:p>
    <w:p w:rsidR="008F1F8E" w:rsidP="00CA4CEB" w:rsidRDefault="00AF1C01" w14:paraId="1CD993F8" w14:textId="27A7542B">
      <w:pPr>
        <w:pStyle w:val="ListAlpha"/>
        <w:ind w:right="1440"/>
      </w:pPr>
      <w:r>
        <w:t>Whether to revisit</w:t>
      </w:r>
      <w:r w:rsidRPr="00AF1C01">
        <w:t xml:space="preserve"> the pause on </w:t>
      </w:r>
      <w:r>
        <w:t>e</w:t>
      </w:r>
      <w:r w:rsidRPr="00AF1C01">
        <w:t>nergization timelines that results from an upstream capacity constraint.</w:t>
      </w:r>
      <w:r>
        <w:rPr>
          <w:rStyle w:val="FootnoteReference"/>
        </w:rPr>
        <w:footnoteReference w:id="11"/>
      </w:r>
    </w:p>
    <w:p w:rsidR="00513358" w:rsidP="008F1F8E" w:rsidRDefault="008F1F8E" w14:paraId="12CA74B5" w14:textId="3BB8ADE9">
      <w:pPr>
        <w:pStyle w:val="Standard"/>
      </w:pPr>
      <w:r>
        <w:t xml:space="preserve">These </w:t>
      </w:r>
      <w:r w:rsidR="008F30D3">
        <w:t>issue</w:t>
      </w:r>
      <w:r>
        <w:t>s</w:t>
      </w:r>
      <w:r w:rsidR="008F30D3">
        <w:t xml:space="preserve"> </w:t>
      </w:r>
      <w:r>
        <w:t>are</w:t>
      </w:r>
      <w:r w:rsidR="004E67B8">
        <w:t xml:space="preserve"> </w:t>
      </w:r>
      <w:r w:rsidR="00802341">
        <w:t xml:space="preserve">the subject of the Next Steps Effort and </w:t>
      </w:r>
      <w:r>
        <w:t>are</w:t>
      </w:r>
      <w:r w:rsidR="00802341">
        <w:t xml:space="preserve"> </w:t>
      </w:r>
      <w:r w:rsidR="00032D26">
        <w:t xml:space="preserve">a component of </w:t>
      </w:r>
      <w:r w:rsidR="00C103FD">
        <w:t xml:space="preserve">issues three and four of </w:t>
      </w:r>
      <w:r w:rsidR="00C451D7">
        <w:t xml:space="preserve">Phase 2 of </w:t>
      </w:r>
      <w:r w:rsidR="00C103FD">
        <w:t>the Scoping Memo:</w:t>
      </w:r>
    </w:p>
    <w:p w:rsidR="00513358" w:rsidP="00513358" w:rsidRDefault="00204482" w14:paraId="63848A05" w14:textId="77777777">
      <w:pPr>
        <w:pStyle w:val="Standard"/>
        <w:spacing w:after="120" w:line="240" w:lineRule="auto"/>
        <w:ind w:left="720" w:right="1440" w:firstLine="0"/>
      </w:pPr>
      <w:r>
        <w:t xml:space="preserve">(3) </w:t>
      </w:r>
      <w:r w:rsidRPr="0020296F" w:rsidR="0020296F">
        <w:t>Should additional actions beyond compliance with SB 410 and AB 50 be implemented to improve energization timelines, processes, or tariffs in Phase 2 of this proceeding?</w:t>
      </w:r>
    </w:p>
    <w:p w:rsidR="00D3673E" w:rsidP="00513358" w:rsidRDefault="00204482" w14:paraId="072CA5E9" w14:textId="6EAFC192">
      <w:pPr>
        <w:pStyle w:val="Standard"/>
        <w:spacing w:after="120" w:line="240" w:lineRule="auto"/>
        <w:ind w:left="720" w:right="1440" w:firstLine="0"/>
      </w:pPr>
      <w:r>
        <w:t>(4)</w:t>
      </w:r>
      <w:r w:rsidR="004979A1">
        <w:t xml:space="preserve"> </w:t>
      </w:r>
      <w:r w:rsidRPr="0020296F" w:rsidR="0020296F">
        <w:t xml:space="preserve">What actions can expedite energization projects, including when upstream upgrades are necessary? </w:t>
      </w:r>
      <w:r w:rsidR="00A43E56">
        <w:t xml:space="preserve">This decision </w:t>
      </w:r>
      <w:r w:rsidR="0092532E">
        <w:t xml:space="preserve">builds </w:t>
      </w:r>
      <w:r w:rsidR="0092532E">
        <w:lastRenderedPageBreak/>
        <w:t xml:space="preserve">on the improvements </w:t>
      </w:r>
      <w:r w:rsidR="00184472">
        <w:t>made in D.24-09-020</w:t>
      </w:r>
      <w:r w:rsidR="0025398A">
        <w:t xml:space="preserve"> </w:t>
      </w:r>
      <w:r w:rsidR="00D92785">
        <w:t>to the IOUs’ energization process.</w:t>
      </w:r>
    </w:p>
    <w:p w:rsidR="0044354B" w:rsidP="0044354B" w:rsidRDefault="00AD4C9B" w14:paraId="4064FBE1" w14:textId="77777777">
      <w:pPr>
        <w:pStyle w:val="Standard"/>
      </w:pPr>
      <w:r>
        <w:t>The Commission may consider other aspects of issues three and four of Phase 2 of the Scoping Memo in future decisions.</w:t>
      </w:r>
      <w:r w:rsidR="007F4BEF">
        <w:t xml:space="preserve"> </w:t>
      </w:r>
    </w:p>
    <w:p w:rsidR="00414B84" w:rsidP="00957C72" w:rsidRDefault="006D3AF9" w14:paraId="3631D596" w14:textId="6A6F06CE">
      <w:pPr>
        <w:pStyle w:val="Heading1"/>
      </w:pPr>
      <w:bookmarkStart w:name="_Toc220940174" w:id="19"/>
      <w:r>
        <w:t xml:space="preserve">FSC </w:t>
      </w:r>
      <w:r w:rsidR="007C708A">
        <w:t xml:space="preserve">Offerings Providing </w:t>
      </w:r>
      <w:r w:rsidR="00414B84">
        <w:t>Lessons Learned</w:t>
      </w:r>
      <w:bookmarkEnd w:id="19"/>
    </w:p>
    <w:p w:rsidRPr="00D70C02" w:rsidR="00D70C02" w:rsidP="006275F3" w:rsidRDefault="0044354B" w14:paraId="2058144C" w14:textId="15A9ADDC">
      <w:pPr>
        <w:pStyle w:val="Standard"/>
      </w:pPr>
      <w:r>
        <w:t>The concept of Flexible Connection is allowing the customer to match their site’s power levels to the amount of power that the grid can safely handle. Th</w:t>
      </w:r>
      <w:r w:rsidR="008D69B7">
        <w:t xml:space="preserve">e customer does this by adhering to a profile of values generated by </w:t>
      </w:r>
      <w:r w:rsidR="00483395">
        <w:t>IOU engineers</w:t>
      </w:r>
      <w:r w:rsidR="00CA4CEB">
        <w:t xml:space="preserve">. </w:t>
      </w:r>
      <w:r w:rsidR="00483395">
        <w:t>When the customer is controlling the power they are generating</w:t>
      </w:r>
      <w:r w:rsidR="00724099">
        <w:t xml:space="preserve"> and sending back to the grid, it is part of the Interconnection process and the profile is called a Limited Generation Profile</w:t>
      </w:r>
      <w:r w:rsidR="00CA4CEB">
        <w:t xml:space="preserve">. </w:t>
      </w:r>
      <w:r w:rsidR="00724099">
        <w:t xml:space="preserve">When the </w:t>
      </w:r>
      <w:r w:rsidR="00B10A79">
        <w:t>customer is controlling the power that they are consuming from the grid, it is part of the Service Connection process and the profile</w:t>
      </w:r>
      <w:r w:rsidR="006275F3">
        <w:t xml:space="preserve"> is called a Limited Load Profile, provided as part of a FSC.</w:t>
      </w:r>
      <w:r w:rsidR="00724099">
        <w:t xml:space="preserve"> </w:t>
      </w:r>
      <w:r w:rsidR="007C708A">
        <w:t xml:space="preserve">In evaluating the </w:t>
      </w:r>
      <w:r w:rsidR="00C218E3">
        <w:t xml:space="preserve">direction to </w:t>
      </w:r>
      <w:r w:rsidR="0014186E">
        <w:t>pursue</w:t>
      </w:r>
      <w:r w:rsidR="00C218E3">
        <w:t xml:space="preserve"> </w:t>
      </w:r>
      <w:r w:rsidR="0031632E">
        <w:t xml:space="preserve">when </w:t>
      </w:r>
      <w:r w:rsidR="00C42E84">
        <w:t>formalizing FSCs</w:t>
      </w:r>
      <w:r w:rsidR="00C218E3">
        <w:t xml:space="preserve">, </w:t>
      </w:r>
      <w:r w:rsidR="00D13AA2">
        <w:t xml:space="preserve">this proceeding </w:t>
      </w:r>
      <w:r w:rsidR="0036390B">
        <w:t xml:space="preserve">requested party comments </w:t>
      </w:r>
      <w:r w:rsidR="00917D1B">
        <w:t xml:space="preserve">on </w:t>
      </w:r>
      <w:r w:rsidR="00C218E3">
        <w:t>other</w:t>
      </w:r>
      <w:r w:rsidR="00917D1B">
        <w:t xml:space="preserve"> FSC</w:t>
      </w:r>
      <w:r w:rsidR="00C218E3">
        <w:t xml:space="preserve"> offerings </w:t>
      </w:r>
      <w:r w:rsidR="00180FE5">
        <w:t>to identify</w:t>
      </w:r>
      <w:r w:rsidR="00C218E3">
        <w:t xml:space="preserve"> applicable lessons learned.</w:t>
      </w:r>
    </w:p>
    <w:p w:rsidR="00C70BF5" w:rsidP="00957C72" w:rsidRDefault="00414B84" w14:paraId="504B9E35" w14:textId="26977FC4">
      <w:pPr>
        <w:pStyle w:val="Heading2"/>
      </w:pPr>
      <w:bookmarkStart w:name="_Toc220940175" w:id="20"/>
      <w:r>
        <w:t>No D</w:t>
      </w:r>
      <w:r w:rsidR="00A45BB4">
        <w:t xml:space="preserve">irectly </w:t>
      </w:r>
      <w:r w:rsidR="00D70C02">
        <w:t>Applicable E</w:t>
      </w:r>
      <w:r w:rsidR="00C70BF5">
        <w:t>xamples from other Jurisdictions</w:t>
      </w:r>
      <w:bookmarkEnd w:id="20"/>
    </w:p>
    <w:p w:rsidR="0030732E" w:rsidP="00EE13C8" w:rsidRDefault="00970FCA" w14:paraId="5392A726" w14:textId="4740E49A">
      <w:pPr>
        <w:pStyle w:val="Standard"/>
      </w:pPr>
      <w:r>
        <w:t>In response to</w:t>
      </w:r>
      <w:r w:rsidR="00731301">
        <w:t xml:space="preserve"> the Next Steps</w:t>
      </w:r>
      <w:r>
        <w:t xml:space="preserve"> ruling, multiple parties </w:t>
      </w:r>
      <w:r w:rsidR="00466B80">
        <w:t xml:space="preserve">identified efforts </w:t>
      </w:r>
      <w:r w:rsidR="00B24A08">
        <w:t>to implement similar programs</w:t>
      </w:r>
      <w:r w:rsidR="004D0CD8">
        <w:t xml:space="preserve"> within California </w:t>
      </w:r>
      <w:r w:rsidR="0030732E">
        <w:t>and other</w:t>
      </w:r>
      <w:r w:rsidR="00B24A08">
        <w:t xml:space="preserve"> jurisdictions</w:t>
      </w:r>
      <w:r w:rsidR="001154D8">
        <w:t xml:space="preserve">. </w:t>
      </w:r>
    </w:p>
    <w:p w:rsidR="002E53CD" w:rsidP="00EE13C8" w:rsidRDefault="00954C42" w14:paraId="44FB2C34" w14:textId="7942F201">
      <w:pPr>
        <w:pStyle w:val="Standard"/>
      </w:pPr>
      <w:r>
        <w:t xml:space="preserve">Several parties cited frameworks utilized in </w:t>
      </w:r>
      <w:r w:rsidR="00524B1B">
        <w:t>Australia</w:t>
      </w:r>
      <w:r w:rsidR="00524B1B">
        <w:rPr>
          <w:rStyle w:val="FootnoteReference"/>
        </w:rPr>
        <w:footnoteReference w:id="12"/>
      </w:r>
      <w:r w:rsidR="00524B1B">
        <w:t xml:space="preserve"> and Northern Europe,</w:t>
      </w:r>
      <w:r w:rsidR="00524B1B">
        <w:rPr>
          <w:rStyle w:val="FootnoteReference"/>
        </w:rPr>
        <w:footnoteReference w:id="13"/>
      </w:r>
      <w:r>
        <w:t xml:space="preserve"> but noted that those </w:t>
      </w:r>
      <w:r w:rsidR="00DC272B">
        <w:t>jurisdictions’ solutions are unlikely to map well to our regulat</w:t>
      </w:r>
      <w:r w:rsidR="0030732E">
        <w:t>ory</w:t>
      </w:r>
      <w:r w:rsidR="00DC272B">
        <w:t xml:space="preserve"> structure. Similarly, </w:t>
      </w:r>
      <w:r w:rsidR="00C70BF5">
        <w:t>multiple pa</w:t>
      </w:r>
      <w:r w:rsidR="004E5583">
        <w:t xml:space="preserve">rties pointed to </w:t>
      </w:r>
      <w:r w:rsidR="00C2304D">
        <w:t xml:space="preserve">promising </w:t>
      </w:r>
      <w:r w:rsidR="00C2304D">
        <w:lastRenderedPageBreak/>
        <w:t xml:space="preserve">developments in </w:t>
      </w:r>
      <w:r w:rsidR="0073048A">
        <w:t>Colorado,</w:t>
      </w:r>
      <w:r w:rsidR="0073048A">
        <w:rPr>
          <w:rStyle w:val="FootnoteReference"/>
        </w:rPr>
        <w:footnoteReference w:id="14"/>
      </w:r>
      <w:r w:rsidR="0073048A">
        <w:t xml:space="preserve"> Illinois,</w:t>
      </w:r>
      <w:r w:rsidR="0073048A">
        <w:rPr>
          <w:rStyle w:val="FootnoteReference"/>
        </w:rPr>
        <w:footnoteReference w:id="15"/>
      </w:r>
      <w:r w:rsidR="0073048A">
        <w:t xml:space="preserve"> Massachusetts,</w:t>
      </w:r>
      <w:r w:rsidR="0073048A">
        <w:rPr>
          <w:rStyle w:val="FootnoteReference"/>
        </w:rPr>
        <w:footnoteReference w:id="16"/>
      </w:r>
      <w:r w:rsidR="0073048A">
        <w:t xml:space="preserve"> New York,</w:t>
      </w:r>
      <w:r w:rsidR="0073048A">
        <w:rPr>
          <w:rStyle w:val="FootnoteReference"/>
        </w:rPr>
        <w:footnoteReference w:id="17"/>
      </w:r>
      <w:r w:rsidR="0073048A">
        <w:t xml:space="preserve"> Connecticut,</w:t>
      </w:r>
      <w:r w:rsidR="0073048A">
        <w:rPr>
          <w:rStyle w:val="FootnoteReference"/>
        </w:rPr>
        <w:footnoteReference w:id="18"/>
      </w:r>
      <w:r w:rsidR="0073048A">
        <w:t xml:space="preserve"> and Texas</w:t>
      </w:r>
      <w:r w:rsidR="0073048A">
        <w:rPr>
          <w:rStyle w:val="FootnoteReference"/>
        </w:rPr>
        <w:footnoteReference w:id="19"/>
      </w:r>
      <w:r w:rsidR="0073048A">
        <w:t xml:space="preserve"> </w:t>
      </w:r>
      <w:r w:rsidR="0032284B">
        <w:t xml:space="preserve">but none identified discrete lessons learned that those efforts could provide </w:t>
      </w:r>
      <w:r w:rsidR="000E5351">
        <w:t>for California FSCs.</w:t>
      </w:r>
      <w:r w:rsidR="002E53CD">
        <w:t xml:space="preserve"> Ultimately, parties </w:t>
      </w:r>
      <w:r w:rsidRPr="00930DDF" w:rsidR="002E53CD">
        <w:t>are not aware of any standardized, scalable processes in the U</w:t>
      </w:r>
      <w:r w:rsidR="008F34FC">
        <w:t xml:space="preserve">nited </w:t>
      </w:r>
      <w:r w:rsidRPr="00930DDF" w:rsidR="002E53CD">
        <w:t>S</w:t>
      </w:r>
      <w:r w:rsidR="008F34FC">
        <w:t>tates</w:t>
      </w:r>
      <w:r w:rsidRPr="00930DDF" w:rsidR="002E53CD">
        <w:t xml:space="preserve"> that California can look to for learnings</w:t>
      </w:r>
      <w:r w:rsidR="00930DDF">
        <w:t>.</w:t>
      </w:r>
      <w:r w:rsidRPr="00930DDF" w:rsidR="002E53CD">
        <w:rPr>
          <w:rStyle w:val="FootnoteReference"/>
          <w:sz w:val="24"/>
          <w:szCs w:val="24"/>
        </w:rPr>
        <w:footnoteReference w:id="20"/>
      </w:r>
    </w:p>
    <w:p w:rsidR="00D74763" w:rsidP="00957C72" w:rsidRDefault="00D03760" w14:paraId="67484CBA" w14:textId="53F0BD58">
      <w:pPr>
        <w:pStyle w:val="Heading2"/>
      </w:pPr>
      <w:bookmarkStart w:name="_Toc220940176" w:id="21"/>
      <w:r>
        <w:t>Examples of Currently Offered FSCs within California</w:t>
      </w:r>
      <w:bookmarkEnd w:id="21"/>
    </w:p>
    <w:p w:rsidR="0036556B" w:rsidP="0036556B" w:rsidRDefault="0036556B" w14:paraId="460E1A00" w14:textId="6ED43AD4">
      <w:pPr>
        <w:pStyle w:val="Standard"/>
      </w:pPr>
      <w:r>
        <w:t xml:space="preserve">FSCs currently being offered by </w:t>
      </w:r>
      <w:r w:rsidR="000A3566">
        <w:t>PG&amp;E and SCE</w:t>
      </w:r>
      <w:r>
        <w:t xml:space="preserve"> vary in their structure and level of adoption. Both SCE and PG&amp;E offer a FSC</w:t>
      </w:r>
      <w:r w:rsidR="00EC3EAA">
        <w:t xml:space="preserve"> built on a static </w:t>
      </w:r>
      <w:bookmarkStart w:name="_Hlk216162563" w:id="22"/>
      <w:r w:rsidR="00C51DC8">
        <w:t>LLP</w:t>
      </w:r>
      <w:bookmarkEnd w:id="22"/>
      <w:r w:rsidR="00C51DC8">
        <w:t xml:space="preserve"> that</w:t>
      </w:r>
      <w:r>
        <w:t xml:space="preserve"> provid</w:t>
      </w:r>
      <w:r w:rsidR="00C51DC8">
        <w:t>es</w:t>
      </w:r>
      <w:r>
        <w:t xml:space="preserve"> firm capacity, and PG&amp;E offers a FSC</w:t>
      </w:r>
      <w:r w:rsidR="00C51DC8">
        <w:t xml:space="preserve"> utilizing</w:t>
      </w:r>
      <w:r w:rsidR="00187774">
        <w:t xml:space="preserve"> </w:t>
      </w:r>
      <w:r w:rsidR="00AB1222">
        <w:t xml:space="preserve">forecasts and </w:t>
      </w:r>
      <w:r w:rsidR="00187774">
        <w:t>communications</w:t>
      </w:r>
      <w:r w:rsidR="00AB1222">
        <w:t xml:space="preserve"> to</w:t>
      </w:r>
      <w:r>
        <w:t xml:space="preserve"> </w:t>
      </w:r>
      <w:r w:rsidR="00184877">
        <w:t>provid</w:t>
      </w:r>
      <w:r w:rsidR="00AB1222">
        <w:t>e</w:t>
      </w:r>
      <w:r>
        <w:t xml:space="preserve"> non-firm capacity.</w:t>
      </w:r>
      <w:r w:rsidR="007147B2">
        <w:rPr>
          <w:rStyle w:val="FootnoteReference"/>
        </w:rPr>
        <w:footnoteReference w:id="21"/>
      </w:r>
      <w:r>
        <w:t xml:space="preserve"> </w:t>
      </w:r>
      <w:r w:rsidR="00AB1222">
        <w:t>A</w:t>
      </w:r>
      <w:r w:rsidR="00052004">
        <w:t xml:space="preserve">ll FSCs currently offered by California IOUs </w:t>
      </w:r>
      <w:r w:rsidR="00BF5EF5">
        <w:t xml:space="preserve">have a common structure; they </w:t>
      </w:r>
      <w:r w:rsidR="00052004">
        <w:t>are</w:t>
      </w:r>
      <w:r w:rsidR="00BF5EF5">
        <w:t xml:space="preserve"> bridging solutions</w:t>
      </w:r>
      <w:r w:rsidR="0078737C">
        <w:rPr>
          <w:rStyle w:val="FootnoteReference"/>
        </w:rPr>
        <w:footnoteReference w:id="22"/>
      </w:r>
      <w:r w:rsidRPr="00F41B3D" w:rsidR="005D7662">
        <w:rPr>
          <w:vertAlign w:val="superscript"/>
        </w:rPr>
        <w:t>,</w:t>
      </w:r>
      <w:r w:rsidR="001B45D6">
        <w:rPr>
          <w:rStyle w:val="FootnoteReference"/>
        </w:rPr>
        <w:footnoteReference w:id="23"/>
      </w:r>
      <w:r w:rsidR="00052004">
        <w:t xml:space="preserve"> restricted to a single customer</w:t>
      </w:r>
      <w:r w:rsidR="00D96564">
        <w:rPr>
          <w:rStyle w:val="FootnoteReference"/>
        </w:rPr>
        <w:footnoteReference w:id="24"/>
      </w:r>
      <w:r w:rsidR="00052004">
        <w:t xml:space="preserve"> who is </w:t>
      </w:r>
      <w:r w:rsidR="00D60BA1">
        <w:t>encountering a</w:t>
      </w:r>
      <w:r w:rsidR="00BF5EF5">
        <w:t xml:space="preserve"> </w:t>
      </w:r>
      <w:r w:rsidR="00A46300">
        <w:t xml:space="preserve">distribution </w:t>
      </w:r>
      <w:r w:rsidR="00D60BA1">
        <w:t xml:space="preserve">capacity </w:t>
      </w:r>
      <w:r w:rsidR="00D60BA1">
        <w:lastRenderedPageBreak/>
        <w:t>constraint</w:t>
      </w:r>
      <w:r w:rsidR="000B5A9E">
        <w:t>. In each offering,</w:t>
      </w:r>
      <w:r w:rsidR="00D60BA1">
        <w:t xml:space="preserve"> once that</w:t>
      </w:r>
      <w:r w:rsidR="002B3CEA">
        <w:t xml:space="preserve"> </w:t>
      </w:r>
      <w:r w:rsidR="00A46300">
        <w:t xml:space="preserve">distribution </w:t>
      </w:r>
      <w:r w:rsidR="00552D9A">
        <w:t xml:space="preserve">capacity </w:t>
      </w:r>
      <w:r w:rsidR="002B3CEA">
        <w:t>constraint is resolved</w:t>
      </w:r>
      <w:r w:rsidR="005650DD">
        <w:t>, the FSC is no longer necessary</w:t>
      </w:r>
      <w:r w:rsidR="002B3CEA">
        <w:t>.</w:t>
      </w:r>
    </w:p>
    <w:p w:rsidRPr="00A30855" w:rsidR="0036556B" w:rsidP="00957C72" w:rsidRDefault="00184877" w14:paraId="26083F67" w14:textId="2D0842D3">
      <w:pPr>
        <w:pStyle w:val="Heading3"/>
      </w:pPr>
      <w:bookmarkStart w:name="_Toc220940177" w:id="23"/>
      <w:r>
        <w:t xml:space="preserve">California’s </w:t>
      </w:r>
      <w:r w:rsidR="004D3232">
        <w:t>Static</w:t>
      </w:r>
      <w:r w:rsidRPr="00A30855" w:rsidR="0036556B">
        <w:t xml:space="preserve"> FSCs</w:t>
      </w:r>
      <w:bookmarkEnd w:id="23"/>
    </w:p>
    <w:p w:rsidR="000920EE" w:rsidP="0036556B" w:rsidRDefault="000920EE" w14:paraId="2E2BBC9A" w14:textId="3916C381">
      <w:pPr>
        <w:pStyle w:val="Standard"/>
      </w:pPr>
      <w:r>
        <w:t xml:space="preserve">PG&amp;E </w:t>
      </w:r>
      <w:r w:rsidR="00D37579">
        <w:t xml:space="preserve">has offered </w:t>
      </w:r>
      <w:bookmarkStart w:name="_Hlk216162581" w:id="24"/>
      <w:r>
        <w:t>Load Limit Letters</w:t>
      </w:r>
      <w:r w:rsidR="008762C3">
        <w:t xml:space="preserve"> (LLL)</w:t>
      </w:r>
      <w:r>
        <w:t xml:space="preserve"> </w:t>
      </w:r>
      <w:bookmarkEnd w:id="24"/>
      <w:r>
        <w:t xml:space="preserve">as a non-tariffed option </w:t>
      </w:r>
      <w:r w:rsidR="00740486">
        <w:t xml:space="preserve">on an ad-hoc basis </w:t>
      </w:r>
      <w:r w:rsidR="00B326C1">
        <w:t xml:space="preserve">since </w:t>
      </w:r>
      <w:r w:rsidR="001B45D6">
        <w:t xml:space="preserve">July of </w:t>
      </w:r>
      <w:r w:rsidR="00B326C1">
        <w:t>20</w:t>
      </w:r>
      <w:r w:rsidR="009336C8">
        <w:t>23</w:t>
      </w:r>
      <w:r w:rsidR="00B326C1">
        <w:t>.</w:t>
      </w:r>
      <w:r w:rsidR="009336C8">
        <w:rPr>
          <w:rStyle w:val="FootnoteReference"/>
        </w:rPr>
        <w:footnoteReference w:id="25"/>
      </w:r>
      <w:r w:rsidR="00B326C1">
        <w:t xml:space="preserve"> </w:t>
      </w:r>
      <w:r w:rsidR="0067020D">
        <w:t xml:space="preserve"> </w:t>
      </w:r>
      <w:r w:rsidR="008D3283">
        <w:t>PG&amp;E has issued over</w:t>
      </w:r>
      <w:r w:rsidR="00A55DE3">
        <w:t xml:space="preserve"> 100 </w:t>
      </w:r>
      <w:r w:rsidR="006E7187">
        <w:t>LLLs,</w:t>
      </w:r>
      <w:r w:rsidR="00100682">
        <w:rPr>
          <w:rStyle w:val="FootnoteReference"/>
        </w:rPr>
        <w:footnoteReference w:id="26"/>
      </w:r>
      <w:r w:rsidR="00A55DE3">
        <w:t xml:space="preserve"> either as </w:t>
      </w:r>
      <w:r w:rsidR="005D482C">
        <w:t>stand-alone</w:t>
      </w:r>
      <w:r w:rsidR="00A55DE3">
        <w:t xml:space="preserve"> offerings </w:t>
      </w:r>
      <w:r w:rsidR="00820AA9">
        <w:t xml:space="preserve">or as </w:t>
      </w:r>
      <w:r w:rsidR="008F3747">
        <w:t>part of</w:t>
      </w:r>
      <w:r w:rsidR="00820AA9">
        <w:t xml:space="preserve"> PG&amp;E’s Flex</w:t>
      </w:r>
      <w:r w:rsidR="002759C7">
        <w:t xml:space="preserve"> </w:t>
      </w:r>
      <w:r w:rsidR="00820AA9">
        <w:t>Connect pilot.</w:t>
      </w:r>
      <w:r w:rsidR="005D482C">
        <w:t xml:space="preserve"> </w:t>
      </w:r>
      <w:r w:rsidR="002216BE">
        <w:t>PG&amp;E</w:t>
      </w:r>
      <w:r w:rsidR="00D07732">
        <w:t>’s</w:t>
      </w:r>
      <w:r w:rsidR="000B399F">
        <w:t xml:space="preserve"> </w:t>
      </w:r>
      <w:r w:rsidR="004C0BE5">
        <w:t>LLL</w:t>
      </w:r>
      <w:r w:rsidR="000B399F">
        <w:t>s</w:t>
      </w:r>
      <w:r w:rsidR="004C0BE5">
        <w:t xml:space="preserve"> </w:t>
      </w:r>
      <w:r w:rsidR="000B399F">
        <w:t>have</w:t>
      </w:r>
      <w:r w:rsidR="005C146A">
        <w:t xml:space="preserve"> </w:t>
      </w:r>
      <w:r w:rsidR="006722CB">
        <w:t>an average</w:t>
      </w:r>
      <w:r w:rsidR="000B399F">
        <w:t xml:space="preserve"> duration for FSCs</w:t>
      </w:r>
      <w:r w:rsidR="006722CB">
        <w:t xml:space="preserve"> of </w:t>
      </w:r>
      <w:r w:rsidR="005C146A">
        <w:t xml:space="preserve">approximately </w:t>
      </w:r>
      <w:r w:rsidR="00C2072C">
        <w:t>3</w:t>
      </w:r>
      <w:r w:rsidR="00CF4B92">
        <w:t xml:space="preserve"> </w:t>
      </w:r>
      <w:r w:rsidR="005C146A">
        <w:t>years</w:t>
      </w:r>
      <w:r w:rsidR="00F213E8">
        <w:t>.</w:t>
      </w:r>
      <w:r w:rsidR="00670817">
        <w:rPr>
          <w:rStyle w:val="FootnoteReference"/>
        </w:rPr>
        <w:footnoteReference w:id="27"/>
      </w:r>
      <w:r w:rsidR="008D5D6B">
        <w:t xml:space="preserve"> </w:t>
      </w:r>
      <w:r w:rsidR="00CA3A63">
        <w:t>PG&amp;E d</w:t>
      </w:r>
      <w:r w:rsidR="008D5D6B">
        <w:t xml:space="preserve">ata on expected timelines for upstream capacity upgrades indicate that </w:t>
      </w:r>
      <w:r w:rsidR="00B643AB">
        <w:t xml:space="preserve">nearly all </w:t>
      </w:r>
      <w:r w:rsidR="00552D9A">
        <w:t xml:space="preserve">currently contemplated </w:t>
      </w:r>
      <w:r w:rsidR="00B643AB">
        <w:t>upstream upgrades will be completed prior to 2029</w:t>
      </w:r>
      <w:r w:rsidR="00675090">
        <w:t>.</w:t>
      </w:r>
      <w:r w:rsidR="00675090">
        <w:rPr>
          <w:rStyle w:val="FootnoteReference"/>
        </w:rPr>
        <w:footnoteReference w:id="28"/>
      </w:r>
    </w:p>
    <w:p w:rsidR="004B2B6A" w:rsidP="00985726" w:rsidRDefault="00F213E8" w14:paraId="2570AFB1" w14:textId="3957057A">
      <w:pPr>
        <w:pStyle w:val="Standard"/>
      </w:pPr>
      <w:r>
        <w:t xml:space="preserve">SCE </w:t>
      </w:r>
      <w:r w:rsidR="00A32769">
        <w:t xml:space="preserve">has </w:t>
      </w:r>
      <w:r w:rsidR="00AF1EED">
        <w:t>enrolled customers</w:t>
      </w:r>
      <w:r w:rsidR="00E55B06">
        <w:t xml:space="preserve"> within</w:t>
      </w:r>
      <w:r w:rsidR="00AF1EED">
        <w:t xml:space="preserve"> </w:t>
      </w:r>
      <w:r w:rsidR="00E87FC1">
        <w:t xml:space="preserve">the </w:t>
      </w:r>
      <w:bookmarkStart w:name="_Hlk216162590" w:id="25"/>
      <w:r w:rsidR="00E87FC1">
        <w:t>Load Control Management Study</w:t>
      </w:r>
      <w:r w:rsidR="00B326C1">
        <w:t xml:space="preserve"> (LCMS)</w:t>
      </w:r>
      <w:r>
        <w:t xml:space="preserve"> </w:t>
      </w:r>
      <w:bookmarkEnd w:id="25"/>
      <w:r>
        <w:t>pilot program</w:t>
      </w:r>
      <w:r w:rsidR="00E87FC1">
        <w:t xml:space="preserve"> </w:t>
      </w:r>
      <w:r w:rsidR="00351448">
        <w:t>since December 202</w:t>
      </w:r>
      <w:r w:rsidR="00E55B06">
        <w:t>3</w:t>
      </w:r>
      <w:r w:rsidR="00351448">
        <w:t xml:space="preserve"> </w:t>
      </w:r>
      <w:r w:rsidR="00A32769">
        <w:t>under</w:t>
      </w:r>
      <w:r w:rsidR="00795828">
        <w:t xml:space="preserve"> two </w:t>
      </w:r>
      <w:r w:rsidR="00A32769">
        <w:t>options</w:t>
      </w:r>
      <w:r w:rsidR="00795828">
        <w:t xml:space="preserve">. The </w:t>
      </w:r>
      <w:r w:rsidR="001F4E34">
        <w:t>“localized autonomous”</w:t>
      </w:r>
      <w:r w:rsidR="00D2796E">
        <w:t xml:space="preserve"> LCMS</w:t>
      </w:r>
      <w:r w:rsidR="00795828">
        <w:t xml:space="preserve"> </w:t>
      </w:r>
      <w:r w:rsidR="00351448">
        <w:t>option</w:t>
      </w:r>
      <w:r w:rsidR="00795828">
        <w:t xml:space="preserve"> </w:t>
      </w:r>
      <w:r w:rsidR="006F1FE9">
        <w:t>provides</w:t>
      </w:r>
      <w:r w:rsidR="00795828">
        <w:t xml:space="preserve"> a </w:t>
      </w:r>
      <w:r w:rsidR="00621376">
        <w:t xml:space="preserve">static </w:t>
      </w:r>
      <w:r w:rsidR="00795828">
        <w:t>FSC</w:t>
      </w:r>
      <w:r w:rsidR="0091497E">
        <w:t xml:space="preserve">, while the </w:t>
      </w:r>
      <w:r w:rsidR="006F1FE9">
        <w:t>“</w:t>
      </w:r>
      <w:r w:rsidR="00F94F60">
        <w:t>c</w:t>
      </w:r>
      <w:r w:rsidR="006F1FE9">
        <w:t>ommunication-</w:t>
      </w:r>
      <w:r w:rsidR="00F94F60">
        <w:t>b</w:t>
      </w:r>
      <w:r w:rsidR="006F1FE9">
        <w:t xml:space="preserve">ased” </w:t>
      </w:r>
      <w:r w:rsidR="00D2796E">
        <w:t>LCMS</w:t>
      </w:r>
      <w:r w:rsidR="0091497E">
        <w:t xml:space="preserve"> </w:t>
      </w:r>
      <w:r w:rsidR="00351448">
        <w:t>option</w:t>
      </w:r>
      <w:r w:rsidR="00AE5C42">
        <w:t xml:space="preserve"> </w:t>
      </w:r>
      <w:r w:rsidR="00DA15C6">
        <w:t xml:space="preserve">offers </w:t>
      </w:r>
      <w:r w:rsidR="00AE5C42">
        <w:t xml:space="preserve">a </w:t>
      </w:r>
      <w:r w:rsidR="00DA15C6">
        <w:t>dynamic</w:t>
      </w:r>
      <w:r w:rsidR="00AE5C42">
        <w:t xml:space="preserve"> FSC</w:t>
      </w:r>
      <w:r w:rsidR="00552D9A">
        <w:t>.</w:t>
      </w:r>
      <w:r w:rsidR="001F4E34">
        <w:rPr>
          <w:rStyle w:val="FootnoteReference"/>
        </w:rPr>
        <w:footnoteReference w:id="29"/>
      </w:r>
      <w:r w:rsidR="00E921E6">
        <w:t xml:space="preserve"> </w:t>
      </w:r>
      <w:r w:rsidR="003C2431">
        <w:t>SCE</w:t>
      </w:r>
      <w:r w:rsidR="00D16030">
        <w:t xml:space="preserve"> states</w:t>
      </w:r>
      <w:r w:rsidR="00D16030">
        <w:rPr>
          <w:rStyle w:val="FootnoteReference"/>
        </w:rPr>
        <w:footnoteReference w:id="30"/>
      </w:r>
      <w:r w:rsidR="00D16030">
        <w:t xml:space="preserve"> that</w:t>
      </w:r>
      <w:r w:rsidR="003C2431">
        <w:t xml:space="preserve"> </w:t>
      </w:r>
      <w:r w:rsidR="004743C1">
        <w:t>eight</w:t>
      </w:r>
      <w:r w:rsidR="003C2431">
        <w:t xml:space="preserve"> customers have entered into LCMS agreements, exclusively within</w:t>
      </w:r>
      <w:r w:rsidR="00F47554">
        <w:t xml:space="preserve"> the localized autonomous framework.</w:t>
      </w:r>
      <w:r w:rsidRPr="00693358" w:rsidR="00693358">
        <w:t xml:space="preserve"> </w:t>
      </w:r>
      <w:r w:rsidR="00693358">
        <w:t>There is no record of any projects deployed under the communication</w:t>
      </w:r>
      <w:r w:rsidR="000B399F">
        <w:t>-</w:t>
      </w:r>
      <w:r w:rsidR="00693358">
        <w:t>based LCMS.</w:t>
      </w:r>
      <w:r w:rsidR="00693358">
        <w:rPr>
          <w:rStyle w:val="FootnoteReference"/>
        </w:rPr>
        <w:footnoteReference w:id="31"/>
      </w:r>
      <w:r w:rsidR="0056345A">
        <w:t xml:space="preserve"> This pilot </w:t>
      </w:r>
      <w:r w:rsidR="0045708C">
        <w:t>conclude</w:t>
      </w:r>
      <w:r w:rsidR="005008B9">
        <w:t>d</w:t>
      </w:r>
      <w:r w:rsidR="0045708C">
        <w:t xml:space="preserve"> </w:t>
      </w:r>
      <w:r w:rsidR="0056345A">
        <w:t xml:space="preserve">on </w:t>
      </w:r>
      <w:r w:rsidR="001D2F3E">
        <w:t>January 3</w:t>
      </w:r>
      <w:r w:rsidR="0056345A">
        <w:t>, 2026</w:t>
      </w:r>
      <w:r w:rsidR="00020051">
        <w:t>.</w:t>
      </w:r>
      <w:r w:rsidR="0056345A">
        <w:rPr>
          <w:rStyle w:val="FootnoteReference"/>
        </w:rPr>
        <w:footnoteReference w:id="32"/>
      </w:r>
    </w:p>
    <w:p w:rsidRPr="00A30855" w:rsidR="0036556B" w:rsidP="00957C72" w:rsidRDefault="00184877" w14:paraId="191629D6" w14:textId="6BB709B2">
      <w:pPr>
        <w:pStyle w:val="Heading3"/>
      </w:pPr>
      <w:bookmarkStart w:name="_Toc220313367" w:id="26"/>
      <w:bookmarkStart w:name="_Toc220416638" w:id="27"/>
      <w:bookmarkStart w:name="_Toc220940178" w:id="28"/>
      <w:bookmarkEnd w:id="26"/>
      <w:bookmarkEnd w:id="27"/>
      <w:r>
        <w:t xml:space="preserve">California’s </w:t>
      </w:r>
      <w:r w:rsidR="004D3232">
        <w:t>Dynamic</w:t>
      </w:r>
      <w:r w:rsidRPr="00A30855" w:rsidR="0036556B">
        <w:t xml:space="preserve"> FSC</w:t>
      </w:r>
      <w:r w:rsidR="00581823">
        <w:t>s</w:t>
      </w:r>
      <w:bookmarkEnd w:id="28"/>
    </w:p>
    <w:p w:rsidR="009556B5" w:rsidP="009556B5" w:rsidRDefault="00581823" w14:paraId="7631DD04" w14:textId="07B27F3E">
      <w:pPr>
        <w:pStyle w:val="Standard"/>
      </w:pPr>
      <w:r>
        <w:t xml:space="preserve">Both </w:t>
      </w:r>
      <w:r w:rsidR="009556B5">
        <w:t>PG&amp;E’s Flex</w:t>
      </w:r>
      <w:r w:rsidR="004A226D">
        <w:t xml:space="preserve"> </w:t>
      </w:r>
      <w:r w:rsidR="009556B5">
        <w:t xml:space="preserve">Connect and SCE’s Communication-Based LCMS pilots </w:t>
      </w:r>
      <w:r w:rsidR="00693358">
        <w:t xml:space="preserve">intend to </w:t>
      </w:r>
      <w:r w:rsidR="009556B5">
        <w:t xml:space="preserve">offer non-firm capacity through </w:t>
      </w:r>
      <w:r w:rsidR="009C3CD9">
        <w:t xml:space="preserve">communications </w:t>
      </w:r>
      <w:r w:rsidR="0032203D">
        <w:t>originating from</w:t>
      </w:r>
      <w:r w:rsidR="009C3CD9">
        <w:t xml:space="preserve"> </w:t>
      </w:r>
      <w:bookmarkStart w:name="_Hlk216162605" w:id="29"/>
      <w:r w:rsidR="009C3CD9">
        <w:lastRenderedPageBreak/>
        <w:t>Distributed Energy Resource Management Systems (DERMS)</w:t>
      </w:r>
      <w:r w:rsidR="006F3FE5">
        <w:t xml:space="preserve"> </w:t>
      </w:r>
      <w:bookmarkEnd w:id="29"/>
      <w:r w:rsidR="006F3FE5">
        <w:t>which inform customer owned</w:t>
      </w:r>
      <w:r w:rsidR="003C0B08">
        <w:t xml:space="preserve"> </w:t>
      </w:r>
      <w:bookmarkStart w:name="_Hlk216162611" w:id="30"/>
      <w:r w:rsidR="003C0B08">
        <w:t xml:space="preserve">PCS </w:t>
      </w:r>
      <w:bookmarkEnd w:id="30"/>
      <w:r w:rsidR="003C0B08">
        <w:t xml:space="preserve">that have been </w:t>
      </w:r>
      <w:r w:rsidR="006F620D">
        <w:t>approved and commissioned by the IOUs. As th</w:t>
      </w:r>
      <w:r w:rsidR="006202B0">
        <w:t xml:space="preserve">e Next Steps </w:t>
      </w:r>
      <w:r w:rsidR="000B585A">
        <w:t>E</w:t>
      </w:r>
      <w:r w:rsidR="006202B0">
        <w:t xml:space="preserve">ffort </w:t>
      </w:r>
      <w:r w:rsidR="006F620D">
        <w:t>is focused on FSCs providing firm capacity,</w:t>
      </w:r>
      <w:r w:rsidR="006F620D">
        <w:rPr>
          <w:rStyle w:val="FootnoteReference"/>
        </w:rPr>
        <w:footnoteReference w:id="33"/>
      </w:r>
      <w:r w:rsidR="006F620D">
        <w:t xml:space="preserve"> w</w:t>
      </w:r>
      <w:r w:rsidR="00912472">
        <w:t xml:space="preserve">e will not be </w:t>
      </w:r>
      <w:r w:rsidR="006202B0">
        <w:t xml:space="preserve">providing a fulsome </w:t>
      </w:r>
      <w:r w:rsidR="00912472">
        <w:t>discussi</w:t>
      </w:r>
      <w:r w:rsidR="006202B0">
        <w:t>o</w:t>
      </w:r>
      <w:r w:rsidR="00912472">
        <w:t>n</w:t>
      </w:r>
      <w:r w:rsidR="006202B0">
        <w:t xml:space="preserve"> of</w:t>
      </w:r>
      <w:r w:rsidR="00912472">
        <w:t xml:space="preserve"> these pilots</w:t>
      </w:r>
      <w:r w:rsidR="006202B0">
        <w:t xml:space="preserve"> in this decision.</w:t>
      </w:r>
      <w:r w:rsidR="000B2B58">
        <w:t xml:space="preserve"> C</w:t>
      </w:r>
      <w:r w:rsidR="001F1028">
        <w:t>onsideration of FSCs providing non-firm capacity</w:t>
      </w:r>
      <w:r w:rsidR="000B2B58">
        <w:t xml:space="preserve"> </w:t>
      </w:r>
      <w:r w:rsidR="001F1028">
        <w:t xml:space="preserve">will </w:t>
      </w:r>
      <w:r w:rsidR="00E83286">
        <w:t xml:space="preserve">occur in the High </w:t>
      </w:r>
      <w:r w:rsidR="00513358">
        <w:t>Distributed Energy Resource (</w:t>
      </w:r>
      <w:r w:rsidR="00E83286">
        <w:t>DER</w:t>
      </w:r>
      <w:r w:rsidR="00513358">
        <w:t>)</w:t>
      </w:r>
      <w:r w:rsidR="00E83286">
        <w:t xml:space="preserve"> proceeding (R.21-06-017).</w:t>
      </w:r>
      <w:r w:rsidR="00F7199F">
        <w:rPr>
          <w:rStyle w:val="FootnoteReference"/>
        </w:rPr>
        <w:footnoteReference w:id="34"/>
      </w:r>
    </w:p>
    <w:p w:rsidR="00674B19" w:rsidP="00957C72" w:rsidRDefault="00674B19" w14:paraId="0A8ACB7C" w14:textId="0E9AB3D4">
      <w:pPr>
        <w:pStyle w:val="Heading1"/>
      </w:pPr>
      <w:bookmarkStart w:name="_Toc220940179" w:id="31"/>
      <w:r>
        <w:t xml:space="preserve">Discussion of </w:t>
      </w:r>
      <w:r w:rsidR="004B52D3">
        <w:t>Whether to Establish Standard Offer Static FSCs</w:t>
      </w:r>
      <w:bookmarkEnd w:id="31"/>
    </w:p>
    <w:p w:rsidR="00024EE5" w:rsidP="00633D72" w:rsidRDefault="00DE6045" w14:paraId="714A394F" w14:textId="5C579064">
      <w:pPr>
        <w:pStyle w:val="Standard"/>
      </w:pPr>
      <w:r w:rsidRPr="00DE6045">
        <w:t>All responding parties support</w:t>
      </w:r>
      <w:r w:rsidR="00D07732">
        <w:t xml:space="preserve"> </w:t>
      </w:r>
      <w:r w:rsidRPr="00DE6045">
        <w:t>establishing Standard Offer FSCs delivering firm capacity in the near-term to expedite energization when there are distribution capacity constraints.</w:t>
      </w:r>
      <w:r w:rsidR="00E22AF8">
        <w:rPr>
          <w:rStyle w:val="FootnoteReference"/>
        </w:rPr>
        <w:footnoteReference w:id="35"/>
      </w:r>
      <w:r>
        <w:t xml:space="preserve"> </w:t>
      </w:r>
      <w:r w:rsidRPr="00385940" w:rsidR="00596A41">
        <w:t>In addition, parties urge rapid and clear direction</w:t>
      </w:r>
      <w:r w:rsidRPr="00385940" w:rsidR="00596A41">
        <w:rPr>
          <w:rStyle w:val="FootnoteReference"/>
        </w:rPr>
        <w:footnoteReference w:id="36"/>
      </w:r>
      <w:r w:rsidR="00E23383">
        <w:t xml:space="preserve"> establishing a </w:t>
      </w:r>
      <w:r w:rsidR="00AC6708">
        <w:t xml:space="preserve">Standard Offer </w:t>
      </w:r>
      <w:r w:rsidR="00E23383">
        <w:t>FSC.</w:t>
      </w:r>
      <w:r w:rsidRPr="00385940" w:rsidR="00596A41">
        <w:t xml:space="preserve"> </w:t>
      </w:r>
    </w:p>
    <w:p w:rsidR="006D13D0" w:rsidP="00546FB4" w:rsidRDefault="00674B19" w14:paraId="0A9A45EB" w14:textId="5AFC6B78">
      <w:pPr>
        <w:pStyle w:val="Standard"/>
      </w:pPr>
      <w:r>
        <w:t xml:space="preserve">The record of this proceeding establishes that </w:t>
      </w:r>
      <w:bookmarkStart w:name="_Hlk216429647" w:id="32"/>
      <w:r>
        <w:t xml:space="preserve">a static FSC is a </w:t>
      </w:r>
      <w:r w:rsidR="000332B3">
        <w:t xml:space="preserve">viable </w:t>
      </w:r>
      <w:r w:rsidR="00C23AB1">
        <w:t xml:space="preserve">technical </w:t>
      </w:r>
      <w:r>
        <w:t xml:space="preserve">solution </w:t>
      </w:r>
      <w:r w:rsidR="00896E86">
        <w:t xml:space="preserve">for </w:t>
      </w:r>
      <w:r w:rsidR="004833DE">
        <w:t xml:space="preserve">customers </w:t>
      </w:r>
      <w:r w:rsidR="0026487C">
        <w:t>when</w:t>
      </w:r>
      <w:r w:rsidR="00144448">
        <w:t xml:space="preserve"> </w:t>
      </w:r>
      <w:r w:rsidR="000D60E8">
        <w:t xml:space="preserve">the </w:t>
      </w:r>
      <w:r w:rsidRPr="00144448" w:rsidR="00144448">
        <w:t>need</w:t>
      </w:r>
      <w:r w:rsidR="004176FA">
        <w:t xml:space="preserve"> for</w:t>
      </w:r>
      <w:r w:rsidRPr="00144448" w:rsidR="00144448">
        <w:t xml:space="preserve"> grid upgrades</w:t>
      </w:r>
      <w:r w:rsidR="004176FA">
        <w:t xml:space="preserve"> would</w:t>
      </w:r>
      <w:r w:rsidRPr="00144448" w:rsidR="00144448">
        <w:t xml:space="preserve"> prevent </w:t>
      </w:r>
      <w:r w:rsidR="008C39CF">
        <w:t xml:space="preserve">an </w:t>
      </w:r>
      <w:r w:rsidR="00144448">
        <w:t>IOU</w:t>
      </w:r>
      <w:r w:rsidRPr="00144448" w:rsidR="00144448">
        <w:t xml:space="preserve"> from meeting the customer’s requested energization timeline</w:t>
      </w:r>
      <w:r>
        <w:t xml:space="preserve">.  </w:t>
      </w:r>
    </w:p>
    <w:p w:rsidRPr="00FA35CD" w:rsidR="007E64D6" w:rsidP="00674B19" w:rsidRDefault="00624259" w14:paraId="5A9713E6" w14:textId="0F5F1BA2">
      <w:pPr>
        <w:pStyle w:val="Standard"/>
        <w:rPr>
          <w:color w:val="A6A6A6" w:themeColor="background1" w:themeShade="A6"/>
        </w:rPr>
      </w:pPr>
      <w:bookmarkStart w:name="_Hlk216429763" w:id="33"/>
      <w:bookmarkEnd w:id="32"/>
      <w:r>
        <w:lastRenderedPageBreak/>
        <w:t>Customers from both PG&amp;E</w:t>
      </w:r>
      <w:r>
        <w:rPr>
          <w:rStyle w:val="FootnoteReference"/>
        </w:rPr>
        <w:footnoteReference w:id="37"/>
      </w:r>
      <w:r>
        <w:t xml:space="preserve"> and SCE</w:t>
      </w:r>
      <w:r>
        <w:rPr>
          <w:rStyle w:val="FootnoteReference"/>
        </w:rPr>
        <w:footnoteReference w:id="38"/>
      </w:r>
      <w:r>
        <w:t xml:space="preserve"> have experienced</w:t>
      </w:r>
      <w:r w:rsidR="005775F6">
        <w:t xml:space="preserve"> ongoing</w:t>
      </w:r>
      <w:r>
        <w:t xml:space="preserve"> upstream distribution capacity constraints</w:t>
      </w:r>
      <w:r w:rsidR="005775F6">
        <w:t xml:space="preserve"> that prevent timely energization</w:t>
      </w:r>
      <w:r w:rsidR="005775F6">
        <w:rPr>
          <w:rStyle w:val="FootnoteReference"/>
        </w:rPr>
        <w:footnoteReference w:id="39"/>
      </w:r>
      <w:r>
        <w:t xml:space="preserve">. </w:t>
      </w:r>
      <w:bookmarkEnd w:id="33"/>
      <w:r w:rsidR="007E64D6">
        <w:t>Upon review of party response</w:t>
      </w:r>
      <w:r w:rsidR="000B399F">
        <w:t>s</w:t>
      </w:r>
      <w:r w:rsidR="007E64D6">
        <w:t xml:space="preserve"> to the Next Steps and Transparency rulings and the proceeding record, we find it reasonable to direct</w:t>
      </w:r>
      <w:r w:rsidR="00480F4E">
        <w:t xml:space="preserve"> PG&amp;E and SCE</w:t>
      </w:r>
      <w:r>
        <w:t xml:space="preserve"> </w:t>
      </w:r>
      <w:r w:rsidR="007E64D6">
        <w:t xml:space="preserve">to </w:t>
      </w:r>
      <w:r w:rsidR="007B6D26">
        <w:t>implement</w:t>
      </w:r>
      <w:r w:rsidR="00D92641">
        <w:t xml:space="preserve"> a</w:t>
      </w:r>
      <w:r w:rsidR="007E64D6">
        <w:t xml:space="preserve"> </w:t>
      </w:r>
      <w:bookmarkStart w:name="_Hlk216162673" w:id="34"/>
      <w:r w:rsidR="007E64D6">
        <w:t>Standard Offer Static FSC (Standard Offer)</w:t>
      </w:r>
      <w:r w:rsidR="004E01C3">
        <w:t xml:space="preserve"> </w:t>
      </w:r>
      <w:bookmarkEnd w:id="34"/>
      <w:r w:rsidR="004E01C3">
        <w:t>at this time</w:t>
      </w:r>
      <w:r w:rsidR="00FA35CD">
        <w:t>.</w:t>
      </w:r>
      <w:r w:rsidRPr="00C44DB6" w:rsidR="00C44DB6">
        <w:t xml:space="preserve"> </w:t>
      </w:r>
      <w:r w:rsidR="00C44DB6">
        <w:t xml:space="preserve">We note that SCE’s LCMS will conclude on January 3, 2026 and that PG&amp;E’s LLL offering is currently informal. More detail on the rationale for directing the formalization of the IOU offerings is given in </w:t>
      </w:r>
      <w:r w:rsidR="00CA4CEB">
        <w:t>S</w:t>
      </w:r>
      <w:r w:rsidR="00C44DB6">
        <w:t>ection 4.3. Evaluation of the offerings shows that PG&amp;E’s LLL has achieved higher numbers,</w:t>
      </w:r>
      <w:r w:rsidR="00C44DB6">
        <w:rPr>
          <w:rStyle w:val="FootnoteReference"/>
        </w:rPr>
        <w:footnoteReference w:id="40"/>
      </w:r>
      <w:r w:rsidR="00C44DB6">
        <w:t xml:space="preserve"> both in terms of total customers and in terms of capacity unlocked.</w:t>
      </w:r>
      <w:r w:rsidR="005E1AC0">
        <w:t xml:space="preserve"> </w:t>
      </w:r>
      <w:r w:rsidR="00A54B6B">
        <w:t>Accordingly, the</w:t>
      </w:r>
      <w:r w:rsidR="00255891">
        <w:t xml:space="preserve"> </w:t>
      </w:r>
      <w:r w:rsidR="0090654C">
        <w:t>Standard Offer shall be modeled on PG&amp;E’s LLL</w:t>
      </w:r>
      <w:r w:rsidR="00753867">
        <w:t xml:space="preserve"> to the exte</w:t>
      </w:r>
      <w:r w:rsidR="0001225A">
        <w:t xml:space="preserve">nt </w:t>
      </w:r>
      <w:r w:rsidR="004E1DD1">
        <w:t xml:space="preserve">possible within SCE’s </w:t>
      </w:r>
      <w:r w:rsidR="00B411DA">
        <w:t>processes.</w:t>
      </w:r>
    </w:p>
    <w:p w:rsidR="001F4F33" w:rsidP="001F4F33" w:rsidRDefault="001F4F33" w14:paraId="5BDCBB09" w14:textId="77777777">
      <w:pPr>
        <w:pStyle w:val="Standard"/>
      </w:pPr>
      <w:r>
        <w:t>SDG&amp;E notes that it has not yet experienced upstream capacity constraints that trigger the need to deploy bridging solutions.</w:t>
      </w:r>
      <w:r>
        <w:rPr>
          <w:rStyle w:val="FootnoteReference"/>
        </w:rPr>
        <w:footnoteReference w:id="41"/>
      </w:r>
    </w:p>
    <w:p w:rsidR="00C911EA" w:rsidP="00C911EA" w:rsidRDefault="00D70087" w14:paraId="35C41A07" w14:textId="2D809299">
      <w:pPr>
        <w:pStyle w:val="Standard"/>
      </w:pPr>
      <w:r>
        <w:t>Multiple parties</w:t>
      </w:r>
      <w:r w:rsidR="00544155">
        <w:rPr>
          <w:rStyle w:val="FootnoteReference"/>
        </w:rPr>
        <w:footnoteReference w:id="42"/>
      </w:r>
      <w:r w:rsidR="00B27003">
        <w:t xml:space="preserve"> </w:t>
      </w:r>
      <w:r w:rsidR="007B0136">
        <w:t>anticipate a future need</w:t>
      </w:r>
      <w:r w:rsidR="001E67EC">
        <w:t xml:space="preserve"> for bridging solutions</w:t>
      </w:r>
      <w:r w:rsidR="002D51FE">
        <w:t xml:space="preserve"> from</w:t>
      </w:r>
      <w:r w:rsidRPr="00C911EA" w:rsidR="00C911EA">
        <w:t xml:space="preserve"> </w:t>
      </w:r>
      <w:r w:rsidR="00C911EA">
        <w:t>SDG&amp;E</w:t>
      </w:r>
      <w:r w:rsidR="001E67EC">
        <w:t>.</w:t>
      </w:r>
      <w:r w:rsidR="00544155">
        <w:t xml:space="preserve"> IREC </w:t>
      </w:r>
      <w:r w:rsidR="00B14038">
        <w:t>not</w:t>
      </w:r>
      <w:r w:rsidR="001E67EC">
        <w:t>es</w:t>
      </w:r>
      <w:r w:rsidR="00B14038">
        <w:t xml:space="preserve"> the length of time </w:t>
      </w:r>
      <w:r w:rsidR="002D51FE">
        <w:t>taken</w:t>
      </w:r>
      <w:r w:rsidR="00B14038">
        <w:t xml:space="preserve"> for</w:t>
      </w:r>
      <w:r w:rsidR="0040622E">
        <w:t xml:space="preserve"> SDG&amp;E</w:t>
      </w:r>
      <w:r w:rsidR="00B14038">
        <w:t xml:space="preserve"> upstream capacity upgrades</w:t>
      </w:r>
      <w:r w:rsidR="00BE37A0">
        <w:t xml:space="preserve"> and</w:t>
      </w:r>
      <w:r w:rsidR="00C911EA">
        <w:t xml:space="preserve"> </w:t>
      </w:r>
      <w:r w:rsidRPr="00C911EA" w:rsidR="00C911EA">
        <w:t>anticipat</w:t>
      </w:r>
      <w:r w:rsidR="001E67EC">
        <w:t>es</w:t>
      </w:r>
      <w:r w:rsidRPr="00C911EA" w:rsidR="00C911EA">
        <w:t xml:space="preserve"> that </w:t>
      </w:r>
      <w:r w:rsidRPr="0021187D" w:rsidR="00C911EA">
        <w:t>customers will likely wait many years to energize when their projects require significant distribution upgrades in SDG&amp;E’s territory.</w:t>
      </w:r>
      <w:r w:rsidR="00C911EA">
        <w:rPr>
          <w:rStyle w:val="FootnoteReference"/>
        </w:rPr>
        <w:footnoteReference w:id="43"/>
      </w:r>
      <w:r w:rsidR="00C911EA">
        <w:t xml:space="preserve"> </w:t>
      </w:r>
      <w:r w:rsidR="00DF4BE4">
        <w:t>TURN</w:t>
      </w:r>
      <w:r w:rsidR="001E67EC">
        <w:t xml:space="preserve"> note</w:t>
      </w:r>
      <w:r w:rsidR="00553EEC">
        <w:t>s that SDG&amp;E</w:t>
      </w:r>
      <w:r w:rsidR="00FD25CE">
        <w:t xml:space="preserve">’s </w:t>
      </w:r>
      <w:r w:rsidR="00C223E3">
        <w:t xml:space="preserve">recent SB 410 application </w:t>
      </w:r>
      <w:r w:rsidR="00F32B3B">
        <w:t>requested</w:t>
      </w:r>
      <w:r w:rsidR="00C223E3">
        <w:t xml:space="preserve"> </w:t>
      </w:r>
      <w:r w:rsidR="002947C1">
        <w:t xml:space="preserve">over </w:t>
      </w:r>
      <w:r w:rsidR="002947C1">
        <w:lastRenderedPageBreak/>
        <w:t xml:space="preserve">$300 million </w:t>
      </w:r>
      <w:r w:rsidR="00F32B3B">
        <w:t xml:space="preserve">for </w:t>
      </w:r>
      <w:r w:rsidR="0082078F">
        <w:t xml:space="preserve">incremental </w:t>
      </w:r>
      <w:r w:rsidR="00F32B3B">
        <w:t>energization</w:t>
      </w:r>
      <w:r w:rsidR="0082078F">
        <w:t>, showing that</w:t>
      </w:r>
      <w:r w:rsidR="005C79D8">
        <w:t xml:space="preserve"> SDG&amp;E anticipates </w:t>
      </w:r>
      <w:r w:rsidR="00C978CE">
        <w:t xml:space="preserve">conditions analogous to those </w:t>
      </w:r>
      <w:r w:rsidR="0076136A">
        <w:t>motivating FSCs by PG&amp;E and SCE.</w:t>
      </w:r>
      <w:r w:rsidR="0076136A">
        <w:rPr>
          <w:rStyle w:val="FootnoteReference"/>
        </w:rPr>
        <w:footnoteReference w:id="44"/>
      </w:r>
      <w:r w:rsidR="0082078F">
        <w:t xml:space="preserve"> </w:t>
      </w:r>
    </w:p>
    <w:p w:rsidR="007C6139" w:rsidP="007C6139" w:rsidRDefault="007C6139" w14:paraId="3C161B9C" w14:textId="02F0BAE0">
      <w:pPr>
        <w:pStyle w:val="Standard"/>
      </w:pPr>
      <w:r>
        <w:t>PacifiCorp’s territory is crossed by corridors identified by the National Zero-Emission Freight Corridor Strategy</w:t>
      </w:r>
      <w:r>
        <w:rPr>
          <w:rStyle w:val="FootnoteReference"/>
        </w:rPr>
        <w:footnoteReference w:id="45"/>
      </w:r>
      <w:r>
        <w:t xml:space="preserve"> and may encounter future upstream capacity constraints that trigger the need for bridging solutions.</w:t>
      </w:r>
    </w:p>
    <w:p w:rsidR="00B10E56" w:rsidP="00513358" w:rsidRDefault="0014052F" w14:paraId="40475E0E" w14:textId="64B71691">
      <w:pPr>
        <w:pStyle w:val="Standard"/>
      </w:pPr>
      <w:bookmarkStart w:name="_Hlk216429994" w:id="35"/>
      <w:r>
        <w:t>As</w:t>
      </w:r>
      <w:r w:rsidR="00BC051C">
        <w:t xml:space="preserve"> SDG&amp;E and PacifiCorp</w:t>
      </w:r>
      <w:r w:rsidRPr="00C32FED" w:rsidR="00C32FED">
        <w:t xml:space="preserve"> </w:t>
      </w:r>
      <w:r w:rsidRPr="00403D66" w:rsidR="00C32FED">
        <w:t>are likely to encounter upstream capacity constraints</w:t>
      </w:r>
      <w:r w:rsidR="00C32FED">
        <w:t xml:space="preserve"> in the future</w:t>
      </w:r>
      <w:bookmarkEnd w:id="35"/>
      <w:r w:rsidR="00BC051C">
        <w:t>,</w:t>
      </w:r>
      <w:r>
        <w:t xml:space="preserve"> </w:t>
      </w:r>
      <w:r w:rsidR="002F6228">
        <w:t xml:space="preserve">we </w:t>
      </w:r>
      <w:r w:rsidR="001734F4">
        <w:t xml:space="preserve">encourage them to </w:t>
      </w:r>
      <w:r w:rsidR="00082C7A">
        <w:t xml:space="preserve">consider </w:t>
      </w:r>
      <w:r w:rsidR="004B5161">
        <w:t xml:space="preserve">steps </w:t>
      </w:r>
      <w:r w:rsidR="00135402">
        <w:t>needed</w:t>
      </w:r>
      <w:r w:rsidRPr="00403D66" w:rsidR="005E56E2">
        <w:t xml:space="preserve"> </w:t>
      </w:r>
      <w:r w:rsidRPr="00403D66" w:rsidR="00403D66">
        <w:t>to prepare to provide their customers with a Standard Offer.</w:t>
      </w:r>
      <w:r w:rsidR="002567D5">
        <w:t xml:space="preserve"> </w:t>
      </w:r>
      <w:r w:rsidR="005E2C7C">
        <w:t xml:space="preserve">At this time, however, </w:t>
      </w:r>
      <w:r w:rsidR="00D95725">
        <w:t xml:space="preserve">there is no record of </w:t>
      </w:r>
      <w:r w:rsidR="0072506E">
        <w:t xml:space="preserve">SDG&amp;E or PacifiCorp </w:t>
      </w:r>
      <w:r w:rsidR="00D95725">
        <w:t xml:space="preserve">customers unable to be energized in a timely fashion and </w:t>
      </w:r>
      <w:r w:rsidR="005E2C7C">
        <w:t xml:space="preserve">we do not direct </w:t>
      </w:r>
      <w:r w:rsidR="000C1625">
        <w:t>SDG&amp;E or P</w:t>
      </w:r>
      <w:r w:rsidR="00222B58">
        <w:t>acifi</w:t>
      </w:r>
      <w:r w:rsidR="000C1625">
        <w:t>C</w:t>
      </w:r>
      <w:r w:rsidR="00222B58">
        <w:t>orp</w:t>
      </w:r>
      <w:r w:rsidR="000C1625">
        <w:t xml:space="preserve"> to take </w:t>
      </w:r>
      <w:r w:rsidR="00B352F4">
        <w:t xml:space="preserve">specific actions </w:t>
      </w:r>
      <w:r w:rsidR="000C1625">
        <w:t xml:space="preserve">related to </w:t>
      </w:r>
      <w:r w:rsidR="00437BD2">
        <w:t>FSCs.</w:t>
      </w:r>
    </w:p>
    <w:p w:rsidR="005913C0" w:rsidP="00513358" w:rsidRDefault="00963166" w14:paraId="3BFB19EB" w14:textId="74A9789B">
      <w:pPr>
        <w:pStyle w:val="Standard"/>
      </w:pPr>
      <w:r>
        <w:t>A</w:t>
      </w:r>
      <w:r w:rsidR="005913C0">
        <w:t>ny party to this proceeding</w:t>
      </w:r>
      <w:r w:rsidR="002C61A6">
        <w:t xml:space="preserve"> </w:t>
      </w:r>
      <w:r>
        <w:t xml:space="preserve">may file a motion </w:t>
      </w:r>
      <w:r w:rsidR="001B0F1A">
        <w:t xml:space="preserve">within this proceeding </w:t>
      </w:r>
      <w:r w:rsidR="00186451">
        <w:t xml:space="preserve">or its successor proceeding, </w:t>
      </w:r>
      <w:r w:rsidR="007F318A">
        <w:t>requesting that</w:t>
      </w:r>
      <w:r>
        <w:t xml:space="preserve"> </w:t>
      </w:r>
      <w:r w:rsidR="00021EB3">
        <w:t>the Commission requir</w:t>
      </w:r>
      <w:r w:rsidR="007F318A">
        <w:t>e</w:t>
      </w:r>
      <w:r w:rsidR="00021EB3">
        <w:t xml:space="preserve"> </w:t>
      </w:r>
      <w:r w:rsidR="00830304">
        <w:t>SDG&amp;E or PacifiCorp</w:t>
      </w:r>
      <w:r w:rsidR="005913C0">
        <w:t xml:space="preserve"> </w:t>
      </w:r>
      <w:r w:rsidR="007F318A">
        <w:t xml:space="preserve">to </w:t>
      </w:r>
      <w:r w:rsidR="00A34AB5">
        <w:t>provide its customers with a Standard Offer.</w:t>
      </w:r>
      <w:r w:rsidR="001B0F1A">
        <w:rPr>
          <w:rStyle w:val="FootnoteReference"/>
        </w:rPr>
        <w:footnoteReference w:id="46"/>
      </w:r>
      <w:r w:rsidR="00A34AB5">
        <w:t xml:space="preserve"> Such a motion shall include </w:t>
      </w:r>
      <w:r w:rsidR="006E50ED">
        <w:t xml:space="preserve">information establishing </w:t>
      </w:r>
      <w:r w:rsidR="0072506E">
        <w:t xml:space="preserve">both </w:t>
      </w:r>
      <w:r w:rsidR="00E00646">
        <w:t xml:space="preserve">that the IOU currently has an upstream capacity constraint that prevents timely customer energization, and that </w:t>
      </w:r>
      <w:r w:rsidR="00D95725">
        <w:t>conditions causing the</w:t>
      </w:r>
      <w:r w:rsidR="00917EFC">
        <w:t xml:space="preserve"> IOU</w:t>
      </w:r>
      <w:r w:rsidR="0018091E">
        <w:t xml:space="preserve">’s inability to provide timely energization are likely to </w:t>
      </w:r>
      <w:r w:rsidR="00770333">
        <w:t>become ongoing</w:t>
      </w:r>
      <w:r w:rsidR="0018091E">
        <w:t>.</w:t>
      </w:r>
    </w:p>
    <w:p w:rsidRPr="006F07A9" w:rsidR="00854DE2" w:rsidP="00957C72" w:rsidRDefault="00854DE2" w14:paraId="4A1E3E99" w14:textId="6D88FD34">
      <w:pPr>
        <w:pStyle w:val="Heading2"/>
      </w:pPr>
      <w:bookmarkStart w:name="_Toc220940180" w:id="36"/>
      <w:r>
        <w:t>PG&amp;E and SCE Are</w:t>
      </w:r>
      <w:r w:rsidRPr="006F07A9">
        <w:t xml:space="preserve"> Required to Provide a Standard Offer</w:t>
      </w:r>
      <w:r>
        <w:t xml:space="preserve"> Flexible Service Connection</w:t>
      </w:r>
      <w:bookmarkEnd w:id="36"/>
    </w:p>
    <w:p w:rsidR="00854DE2" w:rsidP="00854DE2" w:rsidRDefault="00854DE2" w14:paraId="05545704" w14:textId="148FF44E">
      <w:pPr>
        <w:pStyle w:val="Standard"/>
      </w:pPr>
      <w:r>
        <w:t xml:space="preserve">PG&amp;E and SCE are the IOUs that have experienced capacity constraints preventing them from </w:t>
      </w:r>
      <w:r w:rsidR="006F4669">
        <w:t xml:space="preserve">being able to serve customers in a timely fashion </w:t>
      </w:r>
      <w:r>
        <w:t>at their full load. Accordingly</w:t>
      </w:r>
      <w:r w:rsidRPr="00C733F3">
        <w:t>, we direct PG&amp;E and SCE to</w:t>
      </w:r>
      <w:r>
        <w:t xml:space="preserve"> </w:t>
      </w:r>
      <w:r w:rsidRPr="00C733F3" w:rsidR="003D1B20">
        <w:t xml:space="preserve">file a joint Tier </w:t>
      </w:r>
      <w:r w:rsidR="00484FEE">
        <w:t>2</w:t>
      </w:r>
      <w:r w:rsidRPr="00C733F3" w:rsidR="00484FEE">
        <w:t xml:space="preserve"> </w:t>
      </w:r>
      <w:bookmarkStart w:name="_Hlk216162752" w:id="37"/>
      <w:r w:rsidR="00513358">
        <w:t xml:space="preserve">Advice </w:t>
      </w:r>
      <w:r w:rsidR="00513358">
        <w:lastRenderedPageBreak/>
        <w:t>Letter</w:t>
      </w:r>
      <w:r w:rsidRPr="00C733F3" w:rsidR="003D1B20">
        <w:t xml:space="preserve"> </w:t>
      </w:r>
      <w:bookmarkEnd w:id="37"/>
      <w:r w:rsidRPr="00C733F3" w:rsidR="00570D29">
        <w:t xml:space="preserve">within </w:t>
      </w:r>
      <w:r w:rsidR="00F172FA">
        <w:t>6</w:t>
      </w:r>
      <w:r w:rsidRPr="008A0BF2" w:rsidR="00570D29">
        <w:t>0</w:t>
      </w:r>
      <w:r w:rsidRPr="009B1409" w:rsidR="00570D29">
        <w:t xml:space="preserve"> days</w:t>
      </w:r>
      <w:r w:rsidRPr="00C733F3" w:rsidR="00570D29">
        <w:t xml:space="preserve"> of</w:t>
      </w:r>
      <w:r w:rsidR="00570D29">
        <w:t xml:space="preserve"> the issuance date of</w:t>
      </w:r>
      <w:r w:rsidRPr="00C733F3" w:rsidR="00570D29">
        <w:t xml:space="preserve"> this decision </w:t>
      </w:r>
      <w:r w:rsidRPr="00C733F3" w:rsidR="003D1B20">
        <w:t xml:space="preserve">implementing </w:t>
      </w:r>
      <w:r>
        <w:t xml:space="preserve">the Standard Offer </w:t>
      </w:r>
      <w:r w:rsidRPr="00C733F3">
        <w:t xml:space="preserve">as specified </w:t>
      </w:r>
      <w:r w:rsidR="00EF5B75">
        <w:t>in</w:t>
      </w:r>
      <w:r w:rsidRPr="00C733F3">
        <w:t xml:space="preserve"> this decision </w:t>
      </w:r>
      <w:r w:rsidR="00F35E39">
        <w:t xml:space="preserve">(Implementation Advice Letter) </w:t>
      </w:r>
      <w:r w:rsidRPr="002D51FE">
        <w:t xml:space="preserve">within </w:t>
      </w:r>
      <w:r w:rsidR="00F172FA">
        <w:t>6</w:t>
      </w:r>
      <w:r w:rsidRPr="0021187D">
        <w:t>0</w:t>
      </w:r>
      <w:r w:rsidR="00513358">
        <w:t> </w:t>
      </w:r>
      <w:r w:rsidRPr="00C733F3">
        <w:t>days of</w:t>
      </w:r>
      <w:r w:rsidR="006E3A1E">
        <w:t xml:space="preserve"> the issuance date of</w:t>
      </w:r>
      <w:r w:rsidRPr="00C733F3">
        <w:t xml:space="preserve"> this decision. </w:t>
      </w:r>
      <w:bookmarkStart w:name="_Hlk216430387" w:id="38"/>
      <w:r w:rsidRPr="00C733F3">
        <w:t>Th</w:t>
      </w:r>
      <w:r w:rsidR="009377EC">
        <w:t>e customer agreement</w:t>
      </w:r>
      <w:r w:rsidRPr="00C733F3">
        <w:t xml:space="preserve"> </w:t>
      </w:r>
      <w:r w:rsidR="00B02538">
        <w:t xml:space="preserve">for the Standard Offer </w:t>
      </w:r>
      <w:r w:rsidRPr="00C733F3">
        <w:t>shall be modeled upon Scenario 2 of the LLL submitted as Attachment A of PG&amp;E’s May 30, 2025 response to the Transparency Ruling.</w:t>
      </w:r>
      <w:bookmarkEnd w:id="38"/>
      <w:r w:rsidR="001E2F85">
        <w:t xml:space="preserve"> SCE shall</w:t>
      </w:r>
      <w:r w:rsidR="00B14E68">
        <w:t xml:space="preserve">, within </w:t>
      </w:r>
      <w:r w:rsidR="005D4EA6">
        <w:t>the Implementation Advice Letter</w:t>
      </w:r>
      <w:r w:rsidR="00B14E68">
        <w:t>,</w:t>
      </w:r>
      <w:r w:rsidR="001E2F85">
        <w:t xml:space="preserve"> articulate any </w:t>
      </w:r>
      <w:r w:rsidR="00A97202">
        <w:t xml:space="preserve">divergence </w:t>
      </w:r>
      <w:r w:rsidR="00494D2A">
        <w:t xml:space="preserve">between </w:t>
      </w:r>
      <w:r w:rsidR="005915C7">
        <w:t xml:space="preserve">their Standard Offer and PG&amp;E’s and describe with specificity the </w:t>
      </w:r>
      <w:r w:rsidR="00643F1E">
        <w:t xml:space="preserve">factors that </w:t>
      </w:r>
      <w:r w:rsidR="00FB399B">
        <w:t>require this divergence.</w:t>
      </w:r>
    </w:p>
    <w:p w:rsidRPr="00601E3F" w:rsidR="005A27EA" w:rsidP="00957C72" w:rsidRDefault="00BE6B5A" w14:paraId="714EF84E" w14:textId="300A173C">
      <w:pPr>
        <w:pStyle w:val="Heading2"/>
      </w:pPr>
      <w:bookmarkStart w:name="_Toc220940181" w:id="39"/>
      <w:r>
        <w:t>Decline</w:t>
      </w:r>
      <w:r w:rsidR="003F349A">
        <w:t xml:space="preserve"> to Require </w:t>
      </w:r>
      <w:bookmarkStart w:name="_Hlk215687641" w:id="40"/>
      <w:r w:rsidRPr="00601E3F" w:rsidR="005A27EA">
        <w:t>S</w:t>
      </w:r>
      <w:r w:rsidR="00691033">
        <w:t xml:space="preserve">mall </w:t>
      </w:r>
      <w:r w:rsidRPr="00601E3F" w:rsidR="005A27EA">
        <w:t>M</w:t>
      </w:r>
      <w:r w:rsidR="00D21115">
        <w:t>ulti</w:t>
      </w:r>
      <w:r w:rsidR="008054EB">
        <w:noBreakHyphen/>
      </w:r>
      <w:r w:rsidRPr="00601E3F" w:rsidR="005A27EA">
        <w:t>J</w:t>
      </w:r>
      <w:r w:rsidR="00D6415E">
        <w:t xml:space="preserve">urisdictional </w:t>
      </w:r>
      <w:r w:rsidRPr="00601E3F" w:rsidR="005A27EA">
        <w:t>U</w:t>
      </w:r>
      <w:r w:rsidR="00D6415E">
        <w:t>tilities</w:t>
      </w:r>
      <w:bookmarkEnd w:id="40"/>
      <w:r w:rsidR="00F3398E">
        <w:t xml:space="preserve"> t</w:t>
      </w:r>
      <w:r w:rsidRPr="00601E3F" w:rsidR="005A27EA">
        <w:t>o</w:t>
      </w:r>
      <w:r w:rsidR="009E64F3">
        <w:t xml:space="preserve"> </w:t>
      </w:r>
      <w:r w:rsidR="00F3398E">
        <w:t>Provide</w:t>
      </w:r>
      <w:r w:rsidRPr="00601E3F" w:rsidR="005A27EA">
        <w:t xml:space="preserve"> a Standard Offer</w:t>
      </w:r>
      <w:bookmarkEnd w:id="39"/>
    </w:p>
    <w:p w:rsidR="005A27EA" w:rsidP="005A27EA" w:rsidRDefault="005A27EA" w14:paraId="7D98BBF2" w14:textId="3BCB5429">
      <w:pPr>
        <w:pStyle w:val="Standard"/>
      </w:pPr>
      <w:r>
        <w:t xml:space="preserve">CASMU asserts that there is </w:t>
      </w:r>
      <w:r w:rsidRPr="00D91758">
        <w:t xml:space="preserve">no basis or justification to extend FSC requirements to the </w:t>
      </w:r>
      <w:bookmarkStart w:name="_Hlk216162792" w:id="41"/>
      <w:r w:rsidRPr="009E64F3" w:rsidR="009E64F3">
        <w:t>Small Multi</w:t>
      </w:r>
      <w:r w:rsidR="008054EB">
        <w:noBreakHyphen/>
      </w:r>
      <w:r w:rsidRPr="009E64F3" w:rsidR="009E64F3">
        <w:t>Jurisdictional Utilities</w:t>
      </w:r>
      <w:r w:rsidR="009E64F3">
        <w:t xml:space="preserve"> (</w:t>
      </w:r>
      <w:r w:rsidRPr="00D91758">
        <w:t>SMJUs</w:t>
      </w:r>
      <w:r w:rsidR="009E12C4">
        <w:t>)</w:t>
      </w:r>
      <w:r>
        <w:t xml:space="preserve"> </w:t>
      </w:r>
      <w:bookmarkEnd w:id="41"/>
      <w:r>
        <w:t>and claims that e</w:t>
      </w:r>
      <w:r w:rsidRPr="00D91758">
        <w:t>xtending FSC requirements to the SMJUs would create a large burden for small utilities without adequate staff to design and monitor bespoke FSC solutions for individual customers.</w:t>
      </w:r>
      <w:r>
        <w:rPr>
          <w:rStyle w:val="FootnoteReference"/>
        </w:rPr>
        <w:footnoteReference w:id="47"/>
      </w:r>
      <w:r>
        <w:t xml:space="preserve"> </w:t>
      </w:r>
      <w:r w:rsidR="00AC6708">
        <w:t>W</w:t>
      </w:r>
      <w:r>
        <w:t xml:space="preserve">e </w:t>
      </w:r>
      <w:r w:rsidR="00BE6B5A">
        <w:t>agree that extending FSC requirements to the SMJUs would be burdensome and acknowledge that no SMJU is experiencing upstream capacity constraints at this time</w:t>
      </w:r>
      <w:r>
        <w:t>. Accordingly, we decline to impose any Standard Offer obligations on SMJUs at this time. We encourage the</w:t>
      </w:r>
      <w:r w:rsidR="006212A5">
        <w:t xml:space="preserve"> SMJUs </w:t>
      </w:r>
      <w:r>
        <w:t>to work with customers and provide Standard Offer type capacity if a customer should request it.</w:t>
      </w:r>
    </w:p>
    <w:p w:rsidR="00674B19" w:rsidP="00957C72" w:rsidRDefault="00674B19" w14:paraId="1693C6C0" w14:textId="7DD6ECC8">
      <w:pPr>
        <w:pStyle w:val="Heading1"/>
      </w:pPr>
      <w:bookmarkStart w:name="_Toc220940182" w:id="42"/>
      <w:r>
        <w:t>Standard Offer Static Flexible Service Connection Structure</w:t>
      </w:r>
      <w:bookmarkEnd w:id="42"/>
    </w:p>
    <w:p w:rsidR="00CB23B5" w:rsidP="00CB23B5" w:rsidRDefault="00E92BF5" w14:paraId="0258241D" w14:textId="74FA2837">
      <w:pPr>
        <w:pStyle w:val="Standard"/>
      </w:pPr>
      <w:r>
        <w:t>The Standard Offer relies upon existing processes, envisioned as an amalgamation of the PG&amp;E and SCE offerings.</w:t>
      </w:r>
      <w:r w:rsidR="00B03C45">
        <w:t xml:space="preserve"> </w:t>
      </w:r>
      <w:r>
        <w:t>W</w:t>
      </w:r>
      <w:r w:rsidR="00F9074F">
        <w:t xml:space="preserve">hile </w:t>
      </w:r>
      <w:r w:rsidR="00474E78">
        <w:t xml:space="preserve">the Standard Offer is </w:t>
      </w:r>
      <w:r w:rsidR="00F9074F">
        <w:t>largely a formalization of PG&amp;E’s LLL structure</w:t>
      </w:r>
      <w:r w:rsidR="00C30D72">
        <w:t xml:space="preserve">, the record does not provide </w:t>
      </w:r>
      <w:r w:rsidR="00C30D72">
        <w:lastRenderedPageBreak/>
        <w:t>comprehensive documentation of the LLL structure</w:t>
      </w:r>
      <w:r w:rsidR="00BE6B5A">
        <w:t>,</w:t>
      </w:r>
      <w:r w:rsidR="0048483A">
        <w:t xml:space="preserve"> and the record has illuminated areas where divergence from PG&amp;E’s structure</w:t>
      </w:r>
      <w:r w:rsidR="000411B0">
        <w:t xml:space="preserve"> (e.g., defined minimum levels of granularity</w:t>
      </w:r>
      <w:r w:rsidR="00AB3ACC">
        <w:t>, UL 3141 safe harbor</w:t>
      </w:r>
      <w:r w:rsidR="000411B0">
        <w:t>)</w:t>
      </w:r>
      <w:r w:rsidR="0048483A">
        <w:t xml:space="preserve"> is warranted.</w:t>
      </w:r>
    </w:p>
    <w:p w:rsidR="00B615B8" w:rsidP="00CB23B5" w:rsidRDefault="00375052" w14:paraId="3E3A48B6" w14:textId="719C15D2">
      <w:pPr>
        <w:pStyle w:val="Standard"/>
      </w:pPr>
      <w:r>
        <w:t xml:space="preserve">In order to accomplish the </w:t>
      </w:r>
      <w:r w:rsidR="00324888">
        <w:t xml:space="preserve">Next Steps objective of </w:t>
      </w:r>
      <w:r w:rsidR="006C4FC5">
        <w:t xml:space="preserve">a standardized FSC that can be implemented </w:t>
      </w:r>
      <w:r w:rsidR="0031799E">
        <w:t xml:space="preserve">in the </w:t>
      </w:r>
      <w:r w:rsidR="00324888">
        <w:t>very near</w:t>
      </w:r>
      <w:r w:rsidR="00B7450C">
        <w:t>-term</w:t>
      </w:r>
      <w:r w:rsidR="0031799E">
        <w:t>, we strike a balance between defining the structure of the Standard Offer to the extent supported by the record</w:t>
      </w:r>
      <w:r w:rsidR="004D1F94">
        <w:t>,</w:t>
      </w:r>
      <w:r w:rsidR="00CA118B">
        <w:t xml:space="preserve"> allowing flexibility where the record is underdeveloped or </w:t>
      </w:r>
      <w:r w:rsidR="00793EA0">
        <w:t>there is the p</w:t>
      </w:r>
      <w:r w:rsidR="003C451E">
        <w:t xml:space="preserve">robability that </w:t>
      </w:r>
      <w:r w:rsidR="008760B1">
        <w:t>such flexibility will lead to better outcomes</w:t>
      </w:r>
      <w:r w:rsidR="004E0984">
        <w:t xml:space="preserve">, and directing </w:t>
      </w:r>
      <w:r w:rsidR="00D66999">
        <w:t>PG&amp;E</w:t>
      </w:r>
      <w:r w:rsidR="00BF7B7F">
        <w:t xml:space="preserve"> to </w:t>
      </w:r>
      <w:r w:rsidR="00645999">
        <w:t xml:space="preserve">articulate the </w:t>
      </w:r>
      <w:r w:rsidR="004E1C00">
        <w:t xml:space="preserve">structure of current offerings </w:t>
      </w:r>
      <w:r w:rsidR="006A2EB5">
        <w:t>as part of the implementation process</w:t>
      </w:r>
      <w:r w:rsidR="008760B1">
        <w:t>.</w:t>
      </w:r>
    </w:p>
    <w:p w:rsidRPr="00CB23B5" w:rsidR="00F559C5" w:rsidP="001C01C5" w:rsidRDefault="00F559C5" w14:paraId="7B8E10B8" w14:textId="2CBA98D1">
      <w:pPr>
        <w:pStyle w:val="Standard"/>
      </w:pPr>
      <w:r>
        <w:t xml:space="preserve">Both PG&amp;E and SCE </w:t>
      </w:r>
      <w:r w:rsidR="00764892">
        <w:t xml:space="preserve">have offered their FSCs as an alternate pathway within </w:t>
      </w:r>
      <w:r w:rsidR="00863B57">
        <w:t>E</w:t>
      </w:r>
      <w:r w:rsidR="00764892">
        <w:t>nergization Step 2.</w:t>
      </w:r>
      <w:r w:rsidR="009A57AE">
        <w:t xml:space="preserve"> We find it reasonable to direct PG&amp;E and SCE to provide the Standard Offer</w:t>
      </w:r>
      <w:r w:rsidR="00C90D2B">
        <w:t xml:space="preserve"> </w:t>
      </w:r>
      <w:r w:rsidR="00D2417E">
        <w:t>via</w:t>
      </w:r>
      <w:r w:rsidR="00463CAA">
        <w:t xml:space="preserve"> a</w:t>
      </w:r>
      <w:r w:rsidR="00C90D2B">
        <w:t xml:space="preserve"> Form</w:t>
      </w:r>
      <w:r w:rsidR="00D2417E">
        <w:t xml:space="preserve"> Agreement</w:t>
      </w:r>
      <w:r w:rsidR="009A57AE">
        <w:t xml:space="preserve"> as an alternate pathway within </w:t>
      </w:r>
      <w:r w:rsidR="00863B57">
        <w:t>E</w:t>
      </w:r>
      <w:r w:rsidR="009A57AE">
        <w:t>nergization Step 2</w:t>
      </w:r>
      <w:r w:rsidR="00D2417E">
        <w:t>, and in so doing, place it within a Commission approved tariff</w:t>
      </w:r>
      <w:r w:rsidR="009A57AE">
        <w:t>.</w:t>
      </w:r>
      <w:r w:rsidR="006A2EB5">
        <w:t xml:space="preserve"> </w:t>
      </w:r>
    </w:p>
    <w:p w:rsidRPr="00C75209" w:rsidR="00DF382A" w:rsidP="00957C72" w:rsidRDefault="00DF382A" w14:paraId="2F7E947B" w14:textId="77777777">
      <w:pPr>
        <w:pStyle w:val="Heading2"/>
      </w:pPr>
      <w:bookmarkStart w:name="_Toc220940183" w:id="43"/>
      <w:r>
        <w:t xml:space="preserve">The Standard Offer Flexible Service Connection Structure </w:t>
      </w:r>
      <w:r w:rsidRPr="00DF382A">
        <w:t xml:space="preserve">is Based Upon Existing </w:t>
      </w:r>
      <w:r w:rsidRPr="00C75209">
        <w:t>Offerings</w:t>
      </w:r>
      <w:bookmarkEnd w:id="43"/>
    </w:p>
    <w:p w:rsidR="00674B19" w:rsidP="00674B19" w:rsidRDefault="00674B19" w14:paraId="3E3C7683" w14:textId="530E772C">
      <w:pPr>
        <w:pStyle w:val="Standard"/>
      </w:pPr>
      <w:r>
        <w:t>Implementation of a Standard Offer in</w:t>
      </w:r>
      <w:r w:rsidRPr="00DF382A" w:rsidR="00DF382A">
        <w:t xml:space="preserve"> the very near term relies upon </w:t>
      </w:r>
      <w:r w:rsidR="00CE5982">
        <w:t>utilizing the</w:t>
      </w:r>
      <w:r w:rsidRPr="00DF382A" w:rsidR="00CE5982">
        <w:t xml:space="preserve"> </w:t>
      </w:r>
      <w:r w:rsidRPr="00DF382A" w:rsidR="00DF382A">
        <w:t xml:space="preserve">practices </w:t>
      </w:r>
      <w:r w:rsidR="00D473E1">
        <w:t>proven successful</w:t>
      </w:r>
      <w:r w:rsidRPr="00DF382A" w:rsidR="00DF382A">
        <w:t xml:space="preserve"> in existing offerings where practicable </w:t>
      </w:r>
      <w:r>
        <w:t>and expanding on those practices as necessary. We find that there are no directly transferable policy frameworks from other jurisdictions that can be used as a model for the Standard Offer</w:t>
      </w:r>
      <w:r w:rsidRPr="00CD3742">
        <w:t xml:space="preserve"> </w:t>
      </w:r>
      <w:r>
        <w:t xml:space="preserve">at this time. We find it reasonable to base the Standard Offer on practices currently used in PG&amp;E’s Load Limiting Letter and </w:t>
      </w:r>
      <w:r w:rsidRPr="00DC4508">
        <w:t xml:space="preserve">SCE’s </w:t>
      </w:r>
      <w:r w:rsidRPr="000C344F">
        <w:t>LCMS</w:t>
      </w:r>
      <w:r w:rsidRPr="00DC4508">
        <w:t xml:space="preserve"> pilot.</w:t>
      </w:r>
      <w:r w:rsidRPr="00DC4508" w:rsidR="005D0E01">
        <w:rPr>
          <w:rStyle w:val="FootnoteReference"/>
        </w:rPr>
        <w:footnoteReference w:id="48"/>
      </w:r>
    </w:p>
    <w:p w:rsidR="00E9727B" w:rsidP="00A77720" w:rsidRDefault="00762892" w14:paraId="795B7203" w14:textId="15C0FF80">
      <w:pPr>
        <w:pStyle w:val="Standard"/>
      </w:pPr>
      <w:r>
        <w:lastRenderedPageBreak/>
        <w:t>PG&amp;E and SCE offerings differ in their structure</w:t>
      </w:r>
      <w:r w:rsidR="0047517E">
        <w:t>s</w:t>
      </w:r>
      <w:r>
        <w:t xml:space="preserve"> and practices. The record shows that PG&amp;E’s offerings have enabled both a greater number of customers to be energized and larger amount of distribution capacity to be unlocked. </w:t>
      </w:r>
      <w:r w:rsidRPr="008F017B" w:rsidR="000361BB">
        <w:t xml:space="preserve">When practices from the PG&amp;E and SCE offerings diverge, it is reasonable to </w:t>
      </w:r>
      <w:r w:rsidRPr="008F017B" w:rsidR="00F16F35">
        <w:t>utilize practices from PG&amp;E’s offering</w:t>
      </w:r>
      <w:r w:rsidR="00105D75">
        <w:t>.</w:t>
      </w:r>
    </w:p>
    <w:p w:rsidR="003E607F" w:rsidP="00A77720" w:rsidRDefault="003E607F" w14:paraId="7E3E9B55" w14:textId="1A902DA9">
      <w:pPr>
        <w:pStyle w:val="Standard"/>
      </w:pPr>
      <w:r>
        <w:t xml:space="preserve">In Opening Comments, PG&amp;E clarifies that the present enrollment in LLL reflects a small, carefully curated population whose outcomes cannot be extrapolated to all customer types and grid conditions. It further notes that the </w:t>
      </w:r>
      <w:r w:rsidRPr="00FD20A1">
        <w:t>ability to “trust and verify” today depends on selective enrollment, personal communication with each customer, site specific engineering judgment, customer operational maturity, and the ability to decline FSCs where grid conditions or customer characteristics pose heightened risk.</w:t>
      </w:r>
      <w:r w:rsidRPr="007F7DD8">
        <w:rPr>
          <w:rStyle w:val="FootnoteReference"/>
        </w:rPr>
        <w:t xml:space="preserve"> </w:t>
      </w:r>
      <w:r>
        <w:rPr>
          <w:rStyle w:val="FootnoteReference"/>
        </w:rPr>
        <w:footnoteReference w:id="49"/>
      </w:r>
    </w:p>
    <w:p w:rsidR="005A0DEC" w:rsidP="00A77720" w:rsidRDefault="005A0DEC" w14:paraId="3CD4B5DA" w14:textId="0D855874">
      <w:pPr>
        <w:pStyle w:val="Standard"/>
      </w:pPr>
      <w:r>
        <w:t xml:space="preserve">We clarify that </w:t>
      </w:r>
      <w:r w:rsidR="009B3E41">
        <w:t xml:space="preserve">within the Standard Offer, </w:t>
      </w:r>
      <w:r>
        <w:t xml:space="preserve">PG&amp;E </w:t>
      </w:r>
      <w:r w:rsidR="008859D2">
        <w:t xml:space="preserve">and SCE </w:t>
      </w:r>
      <w:r>
        <w:t xml:space="preserve">will </w:t>
      </w:r>
      <w:r w:rsidR="00076F56">
        <w:t xml:space="preserve">retain </w:t>
      </w:r>
      <w:r w:rsidRPr="00FD20A1" w:rsidR="00076F56">
        <w:t xml:space="preserve">the </w:t>
      </w:r>
      <w:r w:rsidR="00CE3106">
        <w:t>discretion</w:t>
      </w:r>
      <w:r w:rsidRPr="00FD20A1" w:rsidR="00076F56">
        <w:t xml:space="preserve"> to decline </w:t>
      </w:r>
      <w:r w:rsidR="008859D2">
        <w:t xml:space="preserve">to offer </w:t>
      </w:r>
      <w:r w:rsidRPr="00FD20A1" w:rsidR="00076F56">
        <w:t>FSCs</w:t>
      </w:r>
      <w:r w:rsidR="00D35134">
        <w:t>, according to transparent criteria,</w:t>
      </w:r>
      <w:r w:rsidRPr="00FD20A1" w:rsidR="00076F56">
        <w:t xml:space="preserve"> where grid conditions or customer characteristics pose heightened risk.</w:t>
      </w:r>
      <w:r w:rsidR="009A4AD5">
        <w:t xml:space="preserve"> Th</w:t>
      </w:r>
      <w:r w:rsidR="009F401D">
        <w:t xml:space="preserve">e IOU </w:t>
      </w:r>
      <w:r w:rsidR="009A4AD5">
        <w:t xml:space="preserve">ability to decline goes hand in hand with the “trust and verify” </w:t>
      </w:r>
      <w:r w:rsidR="00CA1E6E">
        <w:t>approach</w:t>
      </w:r>
      <w:r w:rsidR="009A4AD5">
        <w:t xml:space="preserve"> </w:t>
      </w:r>
      <w:r w:rsidR="009F401D">
        <w:t>that allows customers t</w:t>
      </w:r>
      <w:r w:rsidR="006E76A0">
        <w:t>he discretion to</w:t>
      </w:r>
      <w:r w:rsidR="009F401D">
        <w:t xml:space="preserve"> control </w:t>
      </w:r>
      <w:r w:rsidR="006E76A0">
        <w:t>site load in the manner of their choosing without the burden of IOU commissioning.</w:t>
      </w:r>
    </w:p>
    <w:p w:rsidRPr="0021187D" w:rsidR="00674B19" w:rsidP="00957C72" w:rsidRDefault="00674B19" w14:paraId="2B9E7919" w14:textId="114E22D1">
      <w:pPr>
        <w:pStyle w:val="Heading2"/>
      </w:pPr>
      <w:bookmarkStart w:name="_Toc220940184" w:id="44"/>
      <w:r w:rsidRPr="0021187D">
        <w:t>Continuation of Current Offering for</w:t>
      </w:r>
      <w:r w:rsidRPr="0021187D" w:rsidR="0097123A">
        <w:t xml:space="preserve"> PG&amp;E and SCE</w:t>
      </w:r>
      <w:bookmarkEnd w:id="44"/>
    </w:p>
    <w:p w:rsidRPr="00CA2AF0" w:rsidR="00674B19" w:rsidP="00B807B3" w:rsidRDefault="00674B19" w14:paraId="6BFF6E9D" w14:textId="26FF94FF">
      <w:pPr>
        <w:pStyle w:val="Standard"/>
      </w:pPr>
      <w:bookmarkStart w:name="_Hlk216430672" w:id="45"/>
      <w:r>
        <w:t>PG&amp;</w:t>
      </w:r>
      <w:r w:rsidRPr="00CA2AF0">
        <w:t xml:space="preserve">E is authorized to continue utilizing its LLL offering for new and previously served customers until the Standard Offer </w:t>
      </w:r>
      <w:r w:rsidR="00BA4B3C">
        <w:t xml:space="preserve">Form Agreement </w:t>
      </w:r>
      <w:r w:rsidR="0067530D">
        <w:t>t</w:t>
      </w:r>
      <w:r w:rsidR="009C1F73">
        <w:t>ariff</w:t>
      </w:r>
      <w:r w:rsidR="0067530D">
        <w:t>ed offering</w:t>
      </w:r>
      <w:r w:rsidR="009C1F73">
        <w:t xml:space="preserve"> </w:t>
      </w:r>
      <w:r w:rsidR="00FB2487">
        <w:t>become</w:t>
      </w:r>
      <w:r w:rsidR="0067530D">
        <w:t>s</w:t>
      </w:r>
      <w:r w:rsidR="00FB2487">
        <w:t xml:space="preserve"> effective</w:t>
      </w:r>
      <w:r w:rsidRPr="00CA2AF0">
        <w:t xml:space="preserve">. </w:t>
      </w:r>
    </w:p>
    <w:bookmarkEnd w:id="45"/>
    <w:p w:rsidRPr="00E728C5" w:rsidR="00674B19" w:rsidP="00066100" w:rsidRDefault="007F3C77" w14:paraId="5043174B" w14:textId="71FA9FAC">
      <w:pPr>
        <w:pStyle w:val="Standard"/>
      </w:pPr>
      <w:r>
        <w:lastRenderedPageBreak/>
        <w:t>SCE’s LCMS offering</w:t>
      </w:r>
      <w:r w:rsidR="000D0033">
        <w:t xml:space="preserve"> is</w:t>
      </w:r>
      <w:r>
        <w:t xml:space="preserve"> a fixed duration pilot</w:t>
      </w:r>
      <w:r w:rsidR="00537F13">
        <w:rPr>
          <w:rStyle w:val="FootnoteReference"/>
        </w:rPr>
        <w:footnoteReference w:id="50"/>
      </w:r>
      <w:r w:rsidR="000A01A8">
        <w:t xml:space="preserve"> and we </w:t>
      </w:r>
      <w:r w:rsidR="00FB6D4A">
        <w:t>decline to</w:t>
      </w:r>
      <w:r w:rsidDel="00FB6D4A" w:rsidR="00FB6D4A">
        <w:t xml:space="preserve"> </w:t>
      </w:r>
      <w:r w:rsidR="000A01A8">
        <w:t xml:space="preserve">extend its duration in this decision. </w:t>
      </w:r>
      <w:r w:rsidR="00CC4E68">
        <w:t xml:space="preserve">SCE is authorized to continue serving </w:t>
      </w:r>
      <w:r w:rsidR="00986585">
        <w:t xml:space="preserve">the 5 </w:t>
      </w:r>
      <w:r w:rsidR="0076367B">
        <w:t xml:space="preserve">participating </w:t>
      </w:r>
      <w:r w:rsidR="00773F8E">
        <w:t xml:space="preserve">LCMS </w:t>
      </w:r>
      <w:r w:rsidR="0076367B">
        <w:t xml:space="preserve">customers and the </w:t>
      </w:r>
      <w:r w:rsidR="00986585">
        <w:t xml:space="preserve">8 </w:t>
      </w:r>
      <w:r w:rsidR="00CC4E68">
        <w:t xml:space="preserve">customers </w:t>
      </w:r>
      <w:r w:rsidR="00986585">
        <w:t>that</w:t>
      </w:r>
      <w:r w:rsidR="00AF26A3">
        <w:t xml:space="preserve"> were offered </w:t>
      </w:r>
      <w:r w:rsidR="00773F8E">
        <w:t xml:space="preserve">LCMS </w:t>
      </w:r>
      <w:r w:rsidR="00AF26A3">
        <w:t>participation</w:t>
      </w:r>
      <w:r w:rsidR="00986585">
        <w:t xml:space="preserve"> </w:t>
      </w:r>
      <w:r w:rsidR="00CC4E68">
        <w:t>prior to</w:t>
      </w:r>
      <w:r w:rsidR="00606AB8">
        <w:t xml:space="preserve"> January 3, 2026</w:t>
      </w:r>
      <w:r w:rsidR="00773F8E">
        <w:rPr>
          <w:rStyle w:val="FootnoteReference"/>
        </w:rPr>
        <w:footnoteReference w:id="51"/>
      </w:r>
      <w:r w:rsidR="00606AB8">
        <w:t xml:space="preserve"> under the conditions established in that pilot.</w:t>
      </w:r>
      <w:r w:rsidR="00CC4E68">
        <w:t xml:space="preserve"> </w:t>
      </w:r>
      <w:r w:rsidRPr="00CA2AF0" w:rsidR="00674B19">
        <w:t xml:space="preserve">We note that PG&amp;E has successfully implemented its LLL offering as a non-tariffed option and SCE </w:t>
      </w:r>
      <w:r w:rsidR="00674B19">
        <w:t>is able to do the same</w:t>
      </w:r>
      <w:r w:rsidRPr="00CA2AF0" w:rsidR="00674B19">
        <w:t xml:space="preserve"> until the Standard Offer </w:t>
      </w:r>
      <w:r w:rsidR="003D036B">
        <w:t>become</w:t>
      </w:r>
      <w:r w:rsidR="008D7E2B">
        <w:t>s</w:t>
      </w:r>
      <w:r w:rsidR="00AB4051">
        <w:t xml:space="preserve"> </w:t>
      </w:r>
      <w:r w:rsidR="003D036B">
        <w:t>effective</w:t>
      </w:r>
      <w:r w:rsidRPr="00CA2AF0" w:rsidR="00674B19">
        <w:t>.</w:t>
      </w:r>
    </w:p>
    <w:p w:rsidRPr="006F07A9" w:rsidR="00674B19" w:rsidP="00957C72" w:rsidRDefault="00674B19" w14:paraId="38E17250" w14:textId="77777777">
      <w:pPr>
        <w:pStyle w:val="Heading2"/>
      </w:pPr>
      <w:bookmarkStart w:name="_Toc220940185" w:id="46"/>
      <w:r w:rsidRPr="006F07A9">
        <w:t>The Use Case for the Standard Offer</w:t>
      </w:r>
      <w:bookmarkEnd w:id="46"/>
      <w:r w:rsidRPr="006F07A9">
        <w:t xml:space="preserve">  </w:t>
      </w:r>
    </w:p>
    <w:p w:rsidR="00674B19" w:rsidP="00674B19" w:rsidRDefault="00674B19" w14:paraId="3BEB2747" w14:textId="739C7165">
      <w:pPr>
        <w:pStyle w:val="Standard"/>
      </w:pPr>
      <w:r>
        <w:t>Parties have noted various use cases in which FS</w:t>
      </w:r>
      <w:r w:rsidRPr="00F53F34">
        <w:t>Cs have the potential to save ratepayer funds by avoiding upgrades, to promote electrification on unconstrained circuits,</w:t>
      </w:r>
      <w:r w:rsidRPr="00F53F34">
        <w:rPr>
          <w:rStyle w:val="FootnoteReference"/>
        </w:rPr>
        <w:footnoteReference w:id="52"/>
      </w:r>
      <w:r w:rsidRPr="00F53F34">
        <w:t xml:space="preserve"> to support community resiliency and microgrids,</w:t>
      </w:r>
      <w:r w:rsidRPr="00F53F34">
        <w:rPr>
          <w:rStyle w:val="FootnoteReference"/>
        </w:rPr>
        <w:footnoteReference w:id="53"/>
      </w:r>
      <w:r w:rsidRPr="00F53F34">
        <w:t xml:space="preserve"> and to support capacity marketplaces.</w:t>
      </w:r>
      <w:r>
        <w:t xml:space="preserve"> These</w:t>
      </w:r>
      <w:r w:rsidR="00321658">
        <w:t xml:space="preserve"> use</w:t>
      </w:r>
      <w:r>
        <w:t xml:space="preserve"> cases may have the potential to yield significant </w:t>
      </w:r>
      <w:r w:rsidR="004902CF">
        <w:t>benefits</w:t>
      </w:r>
      <w:r>
        <w:t xml:space="preserve"> to ratepayers and customers. We decline, however, to </w:t>
      </w:r>
      <w:r w:rsidR="00652FC8">
        <w:t>address the</w:t>
      </w:r>
      <w:r w:rsidR="00316ADC">
        <w:t>se</w:t>
      </w:r>
      <w:r w:rsidR="00652FC8">
        <w:t xml:space="preserve"> use cases </w:t>
      </w:r>
      <w:r w:rsidR="00316ADC">
        <w:t>with</w:t>
      </w:r>
      <w:r w:rsidR="00652FC8">
        <w:t>in this decision.</w:t>
      </w:r>
      <w:r>
        <w:t xml:space="preserve"> </w:t>
      </w:r>
    </w:p>
    <w:p w:rsidR="00ED1C77" w:rsidP="00674B19" w:rsidRDefault="00E97611" w14:paraId="6BEBC366" w14:textId="29661481">
      <w:pPr>
        <w:pStyle w:val="Standard"/>
      </w:pPr>
      <w:r>
        <w:t>The issue before the Commission is whether to establish a</w:t>
      </w:r>
      <w:r w:rsidR="00674B19">
        <w:t xml:space="preserve"> Standard Offer</w:t>
      </w:r>
      <w:r>
        <w:t xml:space="preserve"> for the near-term</w:t>
      </w:r>
      <w:r w:rsidR="00DF2C88">
        <w:t xml:space="preserve">. </w:t>
      </w:r>
      <w:r w:rsidR="005D7A14">
        <w:t xml:space="preserve">Accordingly, </w:t>
      </w:r>
      <w:r w:rsidR="00AE1383">
        <w:t>this decision establishes a Standard Offer solely for</w:t>
      </w:r>
      <w:r w:rsidR="00674B19">
        <w:t xml:space="preserve"> </w:t>
      </w:r>
      <w:r w:rsidR="00FD1C59">
        <w:t xml:space="preserve">the use case of </w:t>
      </w:r>
      <w:r w:rsidR="00674B19">
        <w:t xml:space="preserve">providing </w:t>
      </w:r>
      <w:r w:rsidRPr="000B6FFA" w:rsidR="00674B19">
        <w:t xml:space="preserve">firm capacity as a </w:t>
      </w:r>
      <w:r w:rsidR="00264DA9">
        <w:t>bridging solution</w:t>
      </w:r>
      <w:r w:rsidRPr="000B6FFA" w:rsidR="00264DA9">
        <w:t xml:space="preserve"> </w:t>
      </w:r>
      <w:r w:rsidRPr="000B6FFA" w:rsidR="00674B19">
        <w:t xml:space="preserve">for </w:t>
      </w:r>
      <w:r w:rsidR="00674B19">
        <w:t xml:space="preserve">a single </w:t>
      </w:r>
      <w:r w:rsidRPr="000B6FFA" w:rsidR="00674B19">
        <w:t>customer</w:t>
      </w:r>
      <w:r w:rsidR="003C45B7">
        <w:t xml:space="preserve"> </w:t>
      </w:r>
      <w:r w:rsidR="00674B19">
        <w:t xml:space="preserve">until such time as </w:t>
      </w:r>
      <w:r w:rsidR="00FB09C1">
        <w:t xml:space="preserve">a </w:t>
      </w:r>
      <w:r w:rsidR="0018406A">
        <w:t xml:space="preserve">capacity </w:t>
      </w:r>
      <w:r w:rsidR="00674B19">
        <w:t xml:space="preserve">constraint is addressed and the customer is </w:t>
      </w:r>
      <w:r w:rsidR="00AF1AEB">
        <w:t xml:space="preserve">provided with </w:t>
      </w:r>
      <w:r w:rsidR="00264DA9">
        <w:t xml:space="preserve">full </w:t>
      </w:r>
      <w:r w:rsidR="00AF1AEB">
        <w:t>capacity</w:t>
      </w:r>
      <w:r w:rsidR="00C75209">
        <w:t xml:space="preserve">. </w:t>
      </w:r>
      <w:r w:rsidR="004666D7">
        <w:t>Both new customers seeking service and existing customers seeking to expand their capacity are eligible for the Standard Offer.</w:t>
      </w:r>
      <w:r w:rsidR="00ED1C77">
        <w:t xml:space="preserve"> </w:t>
      </w:r>
    </w:p>
    <w:p w:rsidR="00404102" w:rsidP="00957C72" w:rsidRDefault="00404102" w14:paraId="72080563" w14:textId="3F79A826">
      <w:pPr>
        <w:pStyle w:val="Heading2"/>
      </w:pPr>
      <w:bookmarkStart w:name="_Toc220940186" w:id="47"/>
      <w:r>
        <w:lastRenderedPageBreak/>
        <w:t xml:space="preserve">The Standard Offer Shall be Formalized </w:t>
      </w:r>
      <w:r w:rsidR="008F017B">
        <w:t>W</w:t>
      </w:r>
      <w:r>
        <w:t>ithin a Tariffed Option</w:t>
      </w:r>
      <w:bookmarkEnd w:id="47"/>
    </w:p>
    <w:p w:rsidR="006E2A7F" w:rsidP="00404102" w:rsidRDefault="00404102" w14:paraId="3B2A9895" w14:textId="53B72FF8">
      <w:pPr>
        <w:pStyle w:val="Standard"/>
      </w:pPr>
      <w:r>
        <w:t xml:space="preserve">PG&amp;E has extended a LLL to </w:t>
      </w:r>
      <w:r w:rsidR="003A57CD">
        <w:t xml:space="preserve">over </w:t>
      </w:r>
      <w:r>
        <w:t>100 projects as a non-tariffed option</w:t>
      </w:r>
      <w:r w:rsidRPr="006E2A7F" w:rsidR="006E2A7F">
        <w:t xml:space="preserve"> </w:t>
      </w:r>
      <w:r w:rsidR="006E2A7F">
        <w:t>to expedite deployment and maintain flexibility.</w:t>
      </w:r>
      <w:r w:rsidR="006E2A7F">
        <w:rPr>
          <w:rStyle w:val="FootnoteReference"/>
        </w:rPr>
        <w:footnoteReference w:id="54"/>
      </w:r>
      <w:r w:rsidR="006E2A7F">
        <w:t xml:space="preserve"> TMH notes that even in the absence of a pilot, implementation of load managed service can be accomplished by a knowledgeable provider familiar with the National Electric Code and capable of convincing both the </w:t>
      </w:r>
      <w:r w:rsidR="00B132D0">
        <w:t>authority having j</w:t>
      </w:r>
      <w:r w:rsidR="006E2A7F">
        <w:t xml:space="preserve">urisdiction and the </w:t>
      </w:r>
      <w:r w:rsidR="00B132D0">
        <w:t xml:space="preserve">utility </w:t>
      </w:r>
      <w:r w:rsidR="006E2A7F">
        <w:t>to sign off on its design.</w:t>
      </w:r>
      <w:r w:rsidR="006E2A7F">
        <w:rPr>
          <w:rStyle w:val="FootnoteReference"/>
        </w:rPr>
        <w:footnoteReference w:id="55"/>
      </w:r>
    </w:p>
    <w:p w:rsidRPr="002879A0" w:rsidR="00404102" w:rsidP="00404102" w:rsidRDefault="00FC0593" w14:paraId="38C3A25F" w14:textId="07247F31">
      <w:pPr>
        <w:pStyle w:val="Standard"/>
      </w:pPr>
      <w:r>
        <w:t>While FSCs are possible to implement informally</w:t>
      </w:r>
      <w:r w:rsidR="00404102">
        <w:t>, requiring a tariffed Standard Offer</w:t>
      </w:r>
      <w:r w:rsidR="00D24C23">
        <w:t xml:space="preserve"> via </w:t>
      </w:r>
      <w:r w:rsidR="002B3940">
        <w:t>a Form Agreement</w:t>
      </w:r>
      <w:r w:rsidR="00404102">
        <w:t xml:space="preserve"> offers several advantages. </w:t>
      </w:r>
      <w:r w:rsidR="003E3105">
        <w:t xml:space="preserve">Parties advocate for standardized </w:t>
      </w:r>
      <w:r w:rsidRPr="004E4DCF" w:rsidR="003E3105">
        <w:t>language and p</w:t>
      </w:r>
      <w:r w:rsidRPr="002B51C8" w:rsidR="003E3105">
        <w:t>rogram design</w:t>
      </w:r>
      <w:r w:rsidR="008B0203">
        <w:t>,</w:t>
      </w:r>
      <w:r w:rsidRPr="002B51C8" w:rsidR="003E3105">
        <w:t xml:space="preserve"> and believe that </w:t>
      </w:r>
      <w:r w:rsidRPr="004E4DCF" w:rsidR="003E3105">
        <w:t>a sta</w:t>
      </w:r>
      <w:r w:rsidR="003E3105">
        <w:t>ndalone Commission-approved document accessible to customers would be adequate.</w:t>
      </w:r>
      <w:r w:rsidR="003E3105">
        <w:rPr>
          <w:rStyle w:val="FootnoteReference"/>
        </w:rPr>
        <w:footnoteReference w:id="56"/>
      </w:r>
      <w:r w:rsidR="003E3105">
        <w:t xml:space="preserve"> </w:t>
      </w:r>
      <w:r w:rsidR="00404102">
        <w:t>A tariffed Standard Offer addresses the concern PG&amp;E raises around its limited ability to enforce compliance in the LLL structure.</w:t>
      </w:r>
      <w:r w:rsidR="00404102">
        <w:rPr>
          <w:rStyle w:val="FootnoteReference"/>
        </w:rPr>
        <w:footnoteReference w:id="57"/>
      </w:r>
      <w:r w:rsidR="00404102">
        <w:t xml:space="preserve"> A tariffed option also allows stakeholder input through comment on the </w:t>
      </w:r>
      <w:r w:rsidR="00F235C3">
        <w:t>advice letter</w:t>
      </w:r>
      <w:r w:rsidR="00404102">
        <w:t xml:space="preserve"> that </w:t>
      </w:r>
      <w:r w:rsidR="00A53451">
        <w:t xml:space="preserve">implements </w:t>
      </w:r>
      <w:r w:rsidR="00404102">
        <w:t>it. Further, if unforeseen circumstances emerge, a tariff</w:t>
      </w:r>
      <w:r w:rsidR="000E5FFD">
        <w:t>ed option</w:t>
      </w:r>
      <w:r w:rsidR="00404102">
        <w:t xml:space="preserve"> provides a pathway for Commission </w:t>
      </w:r>
      <w:r w:rsidRPr="007C7C74" w:rsidR="00404102">
        <w:t>review and memorialization of any deviations to the Standard Offer</w:t>
      </w:r>
      <w:r w:rsidRPr="007C7C74" w:rsidR="00404102">
        <w:rPr>
          <w:i/>
          <w:iCs/>
        </w:rPr>
        <w:t>.</w:t>
      </w:r>
      <w:r w:rsidR="002879A0">
        <w:t xml:space="preserve"> </w:t>
      </w:r>
    </w:p>
    <w:p w:rsidRPr="00B62302" w:rsidR="00274F7C" w:rsidP="00404102" w:rsidRDefault="00274F7C" w14:paraId="35C32B04" w14:textId="76F4EFA7">
      <w:pPr>
        <w:pStyle w:val="Standard"/>
      </w:pPr>
      <w:r>
        <w:t xml:space="preserve">PG&amp;E </w:t>
      </w:r>
      <w:r w:rsidR="007E0779">
        <w:t>asserts that the use of a standard form</w:t>
      </w:r>
      <w:r w:rsidR="00CC22E6">
        <w:t xml:space="preserve"> </w:t>
      </w:r>
      <w:r w:rsidR="00C946D0">
        <w:t xml:space="preserve">allows refinements without requiring amendments for </w:t>
      </w:r>
      <w:r w:rsidR="00085605">
        <w:t>each customer who requests or requires a variation.</w:t>
      </w:r>
      <w:r w:rsidR="00085605">
        <w:rPr>
          <w:rStyle w:val="FootnoteReference"/>
        </w:rPr>
        <w:footnoteReference w:id="58"/>
      </w:r>
      <w:r w:rsidR="0054209A">
        <w:t xml:space="preserve"> </w:t>
      </w:r>
    </w:p>
    <w:p w:rsidRPr="0021187D" w:rsidR="00EA20F8" w:rsidP="00EA20F8" w:rsidRDefault="003E3105" w14:paraId="4E68D695" w14:textId="36DF7E9E">
      <w:pPr>
        <w:pStyle w:val="Standard"/>
        <w:rPr>
          <w:highlight w:val="yellow"/>
        </w:rPr>
      </w:pPr>
      <w:r w:rsidRPr="00EA20F8">
        <w:lastRenderedPageBreak/>
        <w:t>Accordingly, w</w:t>
      </w:r>
      <w:r w:rsidRPr="00EA20F8" w:rsidR="00404102">
        <w:t xml:space="preserve">e find it reasonable to direct PG&amp;E and SCE to </w:t>
      </w:r>
      <w:r w:rsidRPr="00EA20F8" w:rsidR="00E16137">
        <w:t xml:space="preserve">provide the Standard Offer within a tariff. PG&amp;E and SCE shall </w:t>
      </w:r>
      <w:r w:rsidRPr="00EA20F8" w:rsidR="00404102">
        <w:t xml:space="preserve">file a Tier 2 </w:t>
      </w:r>
      <w:r w:rsidR="002C1574">
        <w:t>advice letter</w:t>
      </w:r>
      <w:r w:rsidRPr="00EA20F8" w:rsidR="009E7BE2">
        <w:t xml:space="preserve"> </w:t>
      </w:r>
      <w:r w:rsidRPr="00EA20F8" w:rsidR="00404102">
        <w:t>establishing the Standard Offer</w:t>
      </w:r>
      <w:r w:rsidRPr="00EA20F8" w:rsidR="00660B25">
        <w:t xml:space="preserve"> (</w:t>
      </w:r>
      <w:bookmarkStart w:name="_Hlk216187717" w:id="48"/>
      <w:r w:rsidRPr="00EA20F8" w:rsidR="004C203C">
        <w:t>Implementation Advice Letter</w:t>
      </w:r>
      <w:bookmarkEnd w:id="48"/>
      <w:r w:rsidRPr="00EA20F8" w:rsidR="00660B25">
        <w:t>)</w:t>
      </w:r>
      <w:r w:rsidR="00617CDB">
        <w:t xml:space="preserve"> consistent with this decision</w:t>
      </w:r>
      <w:r w:rsidR="00A23663">
        <w:t>,</w:t>
      </w:r>
      <w:r w:rsidRPr="00EA20F8" w:rsidR="00404102">
        <w:t xml:space="preserve"> </w:t>
      </w:r>
      <w:r w:rsidR="000E5FFD">
        <w:t xml:space="preserve">as a </w:t>
      </w:r>
      <w:r w:rsidR="00495179">
        <w:t>standard form, and in so doing place it within</w:t>
      </w:r>
      <w:r w:rsidRPr="00EA20F8" w:rsidR="00404102">
        <w:t xml:space="preserve"> a Commission approved tariff. </w:t>
      </w:r>
      <w:r w:rsidRPr="00EA20F8" w:rsidR="00CF2A94">
        <w:t>As th</w:t>
      </w:r>
      <w:r w:rsidRPr="00EA20F8" w:rsidR="00660B25">
        <w:t xml:space="preserve">e </w:t>
      </w:r>
      <w:r w:rsidRPr="00EA20F8" w:rsidR="001379F0">
        <w:t>Implementation Advice Letter</w:t>
      </w:r>
      <w:r w:rsidRPr="00EA20F8" w:rsidR="00660B25">
        <w:t xml:space="preserve"> largely formalizes</w:t>
      </w:r>
      <w:r w:rsidRPr="00EA20F8" w:rsidR="009F4EC4">
        <w:t xml:space="preserve"> existing processes</w:t>
      </w:r>
      <w:r w:rsidRPr="00EA20F8" w:rsidR="00434067">
        <w:t xml:space="preserve"> within PG&amp;E’s LLL offering</w:t>
      </w:r>
      <w:r w:rsidRPr="00EA20F8" w:rsidR="009F4EC4">
        <w:t xml:space="preserve">, we find it reasonable to require that the </w:t>
      </w:r>
      <w:r w:rsidRPr="00EA20F8" w:rsidR="001379F0">
        <w:t>Implementation Advice Letter</w:t>
      </w:r>
      <w:r w:rsidRPr="00EA20F8" w:rsidR="009F4EC4">
        <w:t xml:space="preserve"> be filed no later than </w:t>
      </w:r>
      <w:r w:rsidR="00F172FA">
        <w:t>6</w:t>
      </w:r>
      <w:r w:rsidRPr="00EA20F8" w:rsidR="009F4EC4">
        <w:t xml:space="preserve">0 days from the </w:t>
      </w:r>
      <w:r w:rsidR="00BC5AEB">
        <w:t>issuance</w:t>
      </w:r>
      <w:r w:rsidRPr="00EA20F8" w:rsidR="00BC5AEB">
        <w:t xml:space="preserve"> </w:t>
      </w:r>
      <w:r w:rsidRPr="00EA20F8" w:rsidR="009F4EC4">
        <w:t>of this decision.</w:t>
      </w:r>
      <w:r w:rsidRPr="00EA20F8" w:rsidR="00660B25">
        <w:t xml:space="preserve"> </w:t>
      </w:r>
      <w:r w:rsidRPr="00EA20F8" w:rsidR="005C5316">
        <w:t>The structural</w:t>
      </w:r>
      <w:r w:rsidRPr="00EA20F8" w:rsidR="008E4780">
        <w:t xml:space="preserve">, technical, and data collection elements required to be a part of the </w:t>
      </w:r>
      <w:r w:rsidRPr="00EA20F8" w:rsidR="00A730F8">
        <w:t>Implementation Advice Letter</w:t>
      </w:r>
      <w:r w:rsidRPr="00EA20F8" w:rsidR="008E4780">
        <w:t xml:space="preserve"> are </w:t>
      </w:r>
      <w:r w:rsidRPr="00EA20F8" w:rsidR="008670BD">
        <w:t>articulated within this decision.</w:t>
      </w:r>
    </w:p>
    <w:p w:rsidR="00674B19" w:rsidP="00957C72" w:rsidRDefault="00674B19" w14:paraId="10018418" w14:textId="77777777">
      <w:pPr>
        <w:pStyle w:val="Heading2"/>
      </w:pPr>
      <w:bookmarkStart w:name="_Toc220940187" w:id="49"/>
      <w:r>
        <w:t>Customer Opportunity to Express Interest in the Standard Offer</w:t>
      </w:r>
      <w:bookmarkEnd w:id="49"/>
    </w:p>
    <w:p w:rsidR="00674B19" w:rsidP="00674B19" w:rsidRDefault="00ED4E0D" w14:paraId="25354CDC" w14:textId="5EE1DBDD">
      <w:pPr>
        <w:pStyle w:val="Standard"/>
      </w:pPr>
      <w:r>
        <w:t xml:space="preserve">PG&amp;E’s and SCE’s </w:t>
      </w:r>
      <w:r w:rsidR="00674B19">
        <w:t xml:space="preserve">practice </w:t>
      </w:r>
      <w:r w:rsidR="00BA220F">
        <w:t>i</w:t>
      </w:r>
      <w:r w:rsidR="00674B19">
        <w:t xml:space="preserve">s to evaluate the suitability of a FSC as a part of the Engineering and Design </w:t>
      </w:r>
      <w:r w:rsidR="009A3F22">
        <w:t>E</w:t>
      </w:r>
      <w:r w:rsidR="00674B19">
        <w:t>nergization step</w:t>
      </w:r>
      <w:r w:rsidR="009A3F22">
        <w:rPr>
          <w:rStyle w:val="FootnoteReference"/>
        </w:rPr>
        <w:footnoteReference w:id="59"/>
      </w:r>
      <w:r w:rsidR="009C76B4">
        <w:t xml:space="preserve"> </w:t>
      </w:r>
      <w:r w:rsidR="003F0C02">
        <w:t>(</w:t>
      </w:r>
      <w:r w:rsidR="007B7715">
        <w:t>S</w:t>
      </w:r>
      <w:r w:rsidR="003F0C02">
        <w:t>tep 2)</w:t>
      </w:r>
      <w:r w:rsidR="00674B19">
        <w:t>, after a customer has submitted a complete application</w:t>
      </w:r>
      <w:r w:rsidR="007D0FF7">
        <w:t xml:space="preserve"> and completed </w:t>
      </w:r>
      <w:r w:rsidR="007B7715">
        <w:t xml:space="preserve">the IOU </w:t>
      </w:r>
      <w:r w:rsidR="007D0FF7">
        <w:t>intake</w:t>
      </w:r>
      <w:r w:rsidR="007B7715">
        <w:t xml:space="preserve"> process (Step 1)</w:t>
      </w:r>
      <w:r w:rsidR="00674B19">
        <w:t xml:space="preserve">. If an initial engineering evaluation of the application indicates that the customer cannot be provided capacity sufficient to meet their </w:t>
      </w:r>
      <w:r w:rsidR="00174878">
        <w:t>“</w:t>
      </w:r>
      <w:r w:rsidR="00674B19">
        <w:t>metered demand</w:t>
      </w:r>
      <w:r w:rsidR="00AC029C">
        <w:t>,</w:t>
      </w:r>
      <w:r w:rsidR="00DD5559">
        <w:t>”</w:t>
      </w:r>
      <w:r w:rsidR="00674B19">
        <w:t xml:space="preserve"> PG&amp;E will contact the customer, educate them on FSCs, and confirm that they are interested in</w:t>
      </w:r>
      <w:r w:rsidR="00EE16DA">
        <w:t xml:space="preserve"> and capable of implementing</w:t>
      </w:r>
      <w:r w:rsidR="00674B19">
        <w:t xml:space="preserve"> a bridging solution before </w:t>
      </w:r>
      <w:r w:rsidR="00BA220F">
        <w:t xml:space="preserve">conducting a full study and </w:t>
      </w:r>
      <w:r w:rsidR="00674B19">
        <w:t>computing the possible LLP.</w:t>
      </w:r>
      <w:r w:rsidR="007D0FF7">
        <w:rPr>
          <w:rStyle w:val="FootnoteReference"/>
        </w:rPr>
        <w:footnoteReference w:id="60"/>
      </w:r>
      <w:r w:rsidR="00674B19">
        <w:t xml:space="preserve"> </w:t>
      </w:r>
      <w:r w:rsidR="00725DA9">
        <w:t xml:space="preserve"> </w:t>
      </w:r>
      <w:r w:rsidR="007D0FF7">
        <w:t xml:space="preserve">SCE’s </w:t>
      </w:r>
      <w:r w:rsidR="000D6920">
        <w:t xml:space="preserve">LCMS </w:t>
      </w:r>
      <w:r w:rsidR="007D0FF7">
        <w:t xml:space="preserve">process is </w:t>
      </w:r>
      <w:r w:rsidR="00CC2974">
        <w:t xml:space="preserve">to </w:t>
      </w:r>
      <w:r w:rsidR="00D63BF4">
        <w:t>complete both an engineering evaluation and full study, determine that there will be periods</w:t>
      </w:r>
      <w:r w:rsidR="00DD6F35">
        <w:t xml:space="preserve"> of unconstrained capacity</w:t>
      </w:r>
      <w:r w:rsidR="00D63BF4">
        <w:t xml:space="preserve"> in each season, and only then reach out t</w:t>
      </w:r>
      <w:r w:rsidR="00DD6F35">
        <w:t>o the customer.</w:t>
      </w:r>
      <w:r w:rsidR="00C1604A">
        <w:rPr>
          <w:rStyle w:val="FootnoteReference"/>
        </w:rPr>
        <w:footnoteReference w:id="61"/>
      </w:r>
    </w:p>
    <w:p w:rsidR="00876605" w:rsidP="00674B19" w:rsidRDefault="00674B19" w14:paraId="1A286048" w14:textId="01116D03">
      <w:pPr>
        <w:pStyle w:val="Standard"/>
      </w:pPr>
      <w:r>
        <w:lastRenderedPageBreak/>
        <w:t>Several parties</w:t>
      </w:r>
      <w:r w:rsidR="00635F46">
        <w:rPr>
          <w:rStyle w:val="FootnoteReference"/>
        </w:rPr>
        <w:footnoteReference w:id="62"/>
      </w:r>
      <w:r w:rsidR="00725DA9">
        <w:t xml:space="preserve"> </w:t>
      </w:r>
      <w:r>
        <w:t xml:space="preserve">find value in </w:t>
      </w:r>
      <w:r w:rsidR="00A654D0">
        <w:t xml:space="preserve">establishing </w:t>
      </w:r>
      <w:r w:rsidR="00796EBB">
        <w:t xml:space="preserve">customer </w:t>
      </w:r>
      <w:r>
        <w:t>communications</w:t>
      </w:r>
      <w:r w:rsidR="00796EBB">
        <w:t xml:space="preserve"> earlier in the process</w:t>
      </w:r>
      <w:r>
        <w:t xml:space="preserve">, proposing that the IOUs </w:t>
      </w:r>
      <w:r w:rsidR="00EF1A3A">
        <w:t xml:space="preserve">both </w:t>
      </w:r>
      <w:r>
        <w:t xml:space="preserve">add information on the Standard Option </w:t>
      </w:r>
      <w:r w:rsidR="00EF1A3A">
        <w:t>and add</w:t>
      </w:r>
      <w:r>
        <w:t xml:space="preserve"> a check box allowing customers to indicate interest in a FSC </w:t>
      </w:r>
      <w:r w:rsidR="00EF1A3A">
        <w:t xml:space="preserve">to </w:t>
      </w:r>
      <w:r>
        <w:t>their</w:t>
      </w:r>
      <w:r w:rsidR="00EF1A3A">
        <w:t xml:space="preserve"> service</w:t>
      </w:r>
      <w:r>
        <w:t xml:space="preserve"> application. </w:t>
      </w:r>
      <w:r w:rsidR="003E7773">
        <w:t xml:space="preserve">PG&amp;E </w:t>
      </w:r>
      <w:r w:rsidR="00836E88">
        <w:t>is</w:t>
      </w:r>
      <w:r w:rsidR="003E7773">
        <w:t xml:space="preserve"> open to adding this </w:t>
      </w:r>
      <w:r w:rsidR="00AD7950">
        <w:t>checkbox.</w:t>
      </w:r>
      <w:r w:rsidR="00AD7950">
        <w:rPr>
          <w:rStyle w:val="FootnoteReference"/>
        </w:rPr>
        <w:footnoteReference w:id="63"/>
      </w:r>
      <w:r w:rsidR="00725DA9">
        <w:t xml:space="preserve">  </w:t>
      </w:r>
      <w:r w:rsidR="00A26E2A">
        <w:t xml:space="preserve">We find </w:t>
      </w:r>
      <w:r w:rsidR="00902DB3">
        <w:t xml:space="preserve">that there is value </w:t>
      </w:r>
      <w:r w:rsidR="00876605">
        <w:t xml:space="preserve">both </w:t>
      </w:r>
      <w:r w:rsidR="00902DB3">
        <w:t xml:space="preserve">in assuring that customers are aware of </w:t>
      </w:r>
      <w:r w:rsidR="000413DD">
        <w:t xml:space="preserve">the existence of a static FSC and </w:t>
      </w:r>
      <w:r w:rsidR="00876605">
        <w:t xml:space="preserve">in </w:t>
      </w:r>
      <w:r w:rsidR="000413DD">
        <w:t xml:space="preserve">allowing them to express interest in </w:t>
      </w:r>
      <w:r w:rsidR="006E6DBB">
        <w:t xml:space="preserve">utilizing </w:t>
      </w:r>
      <w:r w:rsidR="00876605">
        <w:t>that FSC</w:t>
      </w:r>
      <w:r w:rsidR="006E6DBB">
        <w:t>.</w:t>
      </w:r>
      <w:r w:rsidR="000413DD">
        <w:t xml:space="preserve"> </w:t>
      </w:r>
      <w:r>
        <w:t xml:space="preserve">We find it reasonable to require </w:t>
      </w:r>
      <w:r w:rsidR="009C76B4">
        <w:t>PG&amp;E and SCE</w:t>
      </w:r>
      <w:r>
        <w:t xml:space="preserve"> to add such information and a check box to the web page(s) that customers use to apply for service.  </w:t>
      </w:r>
    </w:p>
    <w:p w:rsidR="00674B19" w:rsidP="00674B19" w:rsidRDefault="00674B19" w14:paraId="08D259FC" w14:textId="02BE4388">
      <w:pPr>
        <w:pStyle w:val="Standard"/>
      </w:pPr>
      <w:r>
        <w:t xml:space="preserve">PG&amp;E and SCE are directed to include updated customer application documents </w:t>
      </w:r>
      <w:r w:rsidR="00C9243C">
        <w:t xml:space="preserve">and sample informative language </w:t>
      </w:r>
      <w:r>
        <w:t xml:space="preserve">within the </w:t>
      </w:r>
      <w:r w:rsidR="00A730F8">
        <w:t>Implementation Advice Letter</w:t>
      </w:r>
      <w:r>
        <w:t xml:space="preserve">. </w:t>
      </w:r>
      <w:r w:rsidR="002478B5">
        <w:t>The informative language</w:t>
      </w:r>
      <w:r w:rsidR="00AF199F">
        <w:t xml:space="preserve"> shall be developed </w:t>
      </w:r>
      <w:r w:rsidR="0062361F">
        <w:t xml:space="preserve">in consultation </w:t>
      </w:r>
      <w:r w:rsidR="00AF199F">
        <w:t>with the Commission</w:t>
      </w:r>
      <w:r w:rsidR="0062361F">
        <w:t>’s Energy Division and must</w:t>
      </w:r>
      <w:r w:rsidR="002478B5">
        <w:t>, at a minimum, address the topics specified in Appendix B.</w:t>
      </w:r>
    </w:p>
    <w:p w:rsidRPr="001C01C5" w:rsidR="00302340" w:rsidP="00957C72" w:rsidRDefault="005B566B" w14:paraId="4229A4B2" w14:textId="37093BB5">
      <w:pPr>
        <w:pStyle w:val="Heading2"/>
      </w:pPr>
      <w:bookmarkStart w:name="_Toc220940188" w:id="50"/>
      <w:r>
        <w:t>PG&amp;E and SCE</w:t>
      </w:r>
      <w:r w:rsidRPr="001C01C5" w:rsidR="002471C2">
        <w:t xml:space="preserve"> </w:t>
      </w:r>
      <w:r w:rsidR="008F017B">
        <w:t>S</w:t>
      </w:r>
      <w:r w:rsidRPr="001C01C5" w:rsidR="002471C2">
        <w:t xml:space="preserve">hall </w:t>
      </w:r>
      <w:r w:rsidR="008F017B">
        <w:t>I</w:t>
      </w:r>
      <w:r w:rsidRPr="001C01C5" w:rsidR="002471C2">
        <w:t xml:space="preserve">dentify </w:t>
      </w:r>
      <w:r w:rsidR="008F017B">
        <w:t>W</w:t>
      </w:r>
      <w:r w:rsidRPr="001C01C5" w:rsidR="002471C2">
        <w:t xml:space="preserve">hat </w:t>
      </w:r>
      <w:r w:rsidR="008F017B">
        <w:t>C</w:t>
      </w:r>
      <w:r w:rsidRPr="001C01C5" w:rsidR="002471C2">
        <w:t xml:space="preserve">haracteristics </w:t>
      </w:r>
      <w:r w:rsidR="008F017B">
        <w:t>M</w:t>
      </w:r>
      <w:r w:rsidRPr="001C01C5" w:rsidR="002471C2">
        <w:t xml:space="preserve">ake for an </w:t>
      </w:r>
      <w:r w:rsidR="008F017B">
        <w:t>I</w:t>
      </w:r>
      <w:r w:rsidRPr="001C01C5" w:rsidR="002471C2">
        <w:t xml:space="preserve">deal </w:t>
      </w:r>
      <w:r w:rsidR="00D62770">
        <w:t>Standard Offer</w:t>
      </w:r>
      <w:r w:rsidRPr="001C01C5" w:rsidR="002471C2">
        <w:t xml:space="preserve"> </w:t>
      </w:r>
      <w:r w:rsidR="00296F34">
        <w:t>C</w:t>
      </w:r>
      <w:r w:rsidRPr="001C01C5" w:rsidR="002471C2">
        <w:t xml:space="preserve">ustomer within the </w:t>
      </w:r>
      <w:r w:rsidR="00A730F8">
        <w:t>Implementation Advice Letter</w:t>
      </w:r>
      <w:bookmarkEnd w:id="50"/>
    </w:p>
    <w:p w:rsidR="0078668D" w:rsidP="0078668D" w:rsidRDefault="00994600" w14:paraId="6BC72B20" w14:textId="094A1AE1">
      <w:pPr>
        <w:pStyle w:val="Standard"/>
      </w:pPr>
      <w:r>
        <w:t>When asked</w:t>
      </w:r>
      <w:r w:rsidR="002F3401">
        <w:t xml:space="preserve"> about the information used to </w:t>
      </w:r>
      <w:r w:rsidR="007526B1">
        <w:t>determine</w:t>
      </w:r>
      <w:r w:rsidR="005F005D">
        <w:t xml:space="preserve"> whether a customer is a good candidate for </w:t>
      </w:r>
      <w:r w:rsidR="003A4B35">
        <w:t xml:space="preserve">their </w:t>
      </w:r>
      <w:r w:rsidR="007526B1">
        <w:t xml:space="preserve">static </w:t>
      </w:r>
      <w:r w:rsidR="003A4B35">
        <w:t>FSC offerings,</w:t>
      </w:r>
      <w:r w:rsidR="003A4B35">
        <w:rPr>
          <w:rStyle w:val="FootnoteReference"/>
        </w:rPr>
        <w:footnoteReference w:id="64"/>
      </w:r>
      <w:r w:rsidR="003A4B35">
        <w:t xml:space="preserve"> </w:t>
      </w:r>
      <w:r w:rsidR="00B0482B">
        <w:t xml:space="preserve">PG&amp;E and SCE </w:t>
      </w:r>
      <w:r w:rsidR="008E43F5">
        <w:t>have replied with general descriptions</w:t>
      </w:r>
      <w:r w:rsidR="00987510">
        <w:t xml:space="preserve"> of limitations</w:t>
      </w:r>
      <w:r w:rsidR="00A51F05">
        <w:t>. These descriptions have included</w:t>
      </w:r>
      <w:r w:rsidR="008E43F5">
        <w:t xml:space="preserve"> load ramp and load profile</w:t>
      </w:r>
      <w:r w:rsidR="00CF63AF">
        <w:t xml:space="preserve"> compared to </w:t>
      </w:r>
      <w:r w:rsidR="00BC7179">
        <w:t xml:space="preserve">the </w:t>
      </w:r>
      <w:r w:rsidR="00CF63AF">
        <w:t>local distribution system</w:t>
      </w:r>
      <w:r w:rsidR="005C2732">
        <w:t>,</w:t>
      </w:r>
      <w:r w:rsidR="007C0134">
        <w:rPr>
          <w:rStyle w:val="FootnoteReference"/>
        </w:rPr>
        <w:footnoteReference w:id="65"/>
      </w:r>
      <w:r w:rsidR="005C2732">
        <w:t xml:space="preserve"> </w:t>
      </w:r>
      <w:r w:rsidR="00256BD6">
        <w:t xml:space="preserve">a </w:t>
      </w:r>
      <w:r w:rsidR="005C2732">
        <w:t xml:space="preserve">prior FSC </w:t>
      </w:r>
      <w:r w:rsidR="005C2732">
        <w:lastRenderedPageBreak/>
        <w:t xml:space="preserve">customer on </w:t>
      </w:r>
      <w:r w:rsidR="00B67C5B">
        <w:t xml:space="preserve">shared </w:t>
      </w:r>
      <w:r w:rsidR="005C2732">
        <w:t xml:space="preserve">constrained </w:t>
      </w:r>
      <w:r w:rsidR="00B67C5B">
        <w:t>componentry,</w:t>
      </w:r>
      <w:r w:rsidR="00E64FD6">
        <w:t xml:space="preserve"> </w:t>
      </w:r>
      <w:r w:rsidR="00256BD6">
        <w:t xml:space="preserve">and </w:t>
      </w:r>
      <w:r w:rsidR="002B2233">
        <w:t>underground temperature or transmission constraints</w:t>
      </w:r>
      <w:r w:rsidR="00256BD6">
        <w:t>.</w:t>
      </w:r>
    </w:p>
    <w:p w:rsidR="00F10277" w:rsidP="0078668D" w:rsidRDefault="008B348C" w14:paraId="140B1B31" w14:textId="76C26C09">
      <w:pPr>
        <w:pStyle w:val="Standard"/>
      </w:pPr>
      <w:r>
        <w:t>In proposed decision</w:t>
      </w:r>
      <w:r w:rsidR="003A2E52">
        <w:t xml:space="preserve"> (PD)</w:t>
      </w:r>
      <w:r>
        <w:t xml:space="preserve"> </w:t>
      </w:r>
      <w:r w:rsidR="00883963">
        <w:t>ope</w:t>
      </w:r>
      <w:r w:rsidR="00164C2F">
        <w:t xml:space="preserve">ning </w:t>
      </w:r>
      <w:r>
        <w:t xml:space="preserve">comments, PG&amp;E further clarifies that </w:t>
      </w:r>
      <w:r w:rsidR="009A0822">
        <w:t xml:space="preserve">the </w:t>
      </w:r>
      <w:r w:rsidR="001742FB">
        <w:t>appropriateness of</w:t>
      </w:r>
      <w:r w:rsidR="00EB0FAE">
        <w:t xml:space="preserve"> offering </w:t>
      </w:r>
      <w:r w:rsidR="00F10277">
        <w:t xml:space="preserve">a </w:t>
      </w:r>
      <w:r w:rsidR="00BB5BA6">
        <w:t>LLL</w:t>
      </w:r>
      <w:r w:rsidR="00F10277">
        <w:t xml:space="preserve"> is</w:t>
      </w:r>
      <w:r w:rsidR="0070458F">
        <w:t xml:space="preserve"> dependent upon</w:t>
      </w:r>
      <w:r w:rsidR="00A16039">
        <w:t xml:space="preserve"> </w:t>
      </w:r>
      <w:r w:rsidR="00061B58">
        <w:t xml:space="preserve">these </w:t>
      </w:r>
      <w:r w:rsidR="003F41F8">
        <w:t>customer characteristics</w:t>
      </w:r>
      <w:r w:rsidR="00F10277">
        <w:t>:</w:t>
      </w:r>
      <w:r w:rsidR="00164C2F">
        <w:rPr>
          <w:rStyle w:val="FootnoteReference"/>
        </w:rPr>
        <w:footnoteReference w:id="66"/>
      </w:r>
    </w:p>
    <w:p w:rsidR="0099252A" w:rsidP="0099252A" w:rsidRDefault="0099252A" w14:paraId="556F73E6" w14:textId="34DF53B2">
      <w:pPr>
        <w:pStyle w:val="ListBullet"/>
      </w:pPr>
      <w:r>
        <w:t xml:space="preserve">Constraint type &amp; location; </w:t>
      </w:r>
    </w:p>
    <w:p w:rsidR="006C6DD9" w:rsidP="006C6DD9" w:rsidRDefault="0056643D" w14:paraId="19B8E444" w14:textId="1C5DAEEA">
      <w:pPr>
        <w:pStyle w:val="ListBullet"/>
      </w:pPr>
      <w:r w:rsidRPr="0056643D">
        <w:t>Magnitude &amp; timing of capacity a FSC can safely deliver (LLP granularity, seasonal/daily profile, etc.);</w:t>
      </w:r>
    </w:p>
    <w:p w:rsidR="0099252A" w:rsidP="0099252A" w:rsidRDefault="0056643D" w14:paraId="07251C9C" w14:textId="53BB146D">
      <w:pPr>
        <w:pStyle w:val="ListBullet"/>
      </w:pPr>
      <w:r w:rsidRPr="0056643D">
        <w:t>The materiality of the FSC opportunity (i.e., whether it is sufficient to justify proceeding); and</w:t>
      </w:r>
    </w:p>
    <w:p w:rsidR="0056643D" w:rsidP="00B62302" w:rsidRDefault="0056643D" w14:paraId="5A0164A4" w14:textId="1D84D94A">
      <w:pPr>
        <w:pStyle w:val="ListBullet"/>
      </w:pPr>
      <w:r w:rsidRPr="0056643D">
        <w:t>The customer’s ability to control load shape and ramp to adhere to the LLP</w:t>
      </w:r>
      <w:r w:rsidR="00ED446C">
        <w:rPr>
          <w:rStyle w:val="FootnoteReference"/>
        </w:rPr>
        <w:footnoteReference w:id="67"/>
      </w:r>
      <w:r w:rsidRPr="0056643D">
        <w:t>.</w:t>
      </w:r>
    </w:p>
    <w:p w:rsidR="00331D74" w:rsidP="0078668D" w:rsidRDefault="00EB0134" w14:paraId="07ABF18F" w14:textId="0B758917">
      <w:pPr>
        <w:pStyle w:val="Standard"/>
      </w:pPr>
      <w:r>
        <w:t xml:space="preserve">In the Implementation Advice Letter, </w:t>
      </w:r>
      <w:bookmarkStart w:name="_Hlk216431939" w:id="51"/>
      <w:r w:rsidR="000A07FC">
        <w:t xml:space="preserve">PG&amp;E and SCE shall expand their discussion from </w:t>
      </w:r>
      <w:r w:rsidR="0070458F">
        <w:t xml:space="preserve">general </w:t>
      </w:r>
      <w:r w:rsidR="000A07FC">
        <w:t xml:space="preserve">limitations </w:t>
      </w:r>
      <w:r w:rsidR="00B01F42">
        <w:t xml:space="preserve">contraindicating </w:t>
      </w:r>
      <w:r w:rsidR="008C0DA4">
        <w:t xml:space="preserve">a FSC </w:t>
      </w:r>
      <w:r w:rsidR="000A07FC">
        <w:t>to iden</w:t>
      </w:r>
      <w:r>
        <w:t>tifying the characteristics that cause a customer to be an ideal candidate for the Standard Offer</w:t>
      </w:r>
      <w:r w:rsidR="008C0DA4">
        <w:t>. This identification shall</w:t>
      </w:r>
      <w:r w:rsidR="00014222">
        <w:t xml:space="preserve"> includ</w:t>
      </w:r>
      <w:r w:rsidR="008C0DA4">
        <w:t>e</w:t>
      </w:r>
      <w:r w:rsidR="00014222">
        <w:t xml:space="preserve"> </w:t>
      </w:r>
      <w:r w:rsidR="00184714">
        <w:t xml:space="preserve">the full set of </w:t>
      </w:r>
      <w:r w:rsidR="00962E4E">
        <w:t>characteristics</w:t>
      </w:r>
      <w:r w:rsidR="00184714">
        <w:t xml:space="preserve"> used to date </w:t>
      </w:r>
      <w:r w:rsidR="001D34C7">
        <w:t>for determining whether LLL is appropriate to a customer and the</w:t>
      </w:r>
      <w:r w:rsidR="000F23C8">
        <w:t xml:space="preserve"> </w:t>
      </w:r>
      <w:r w:rsidR="00014222">
        <w:t xml:space="preserve">discrete </w:t>
      </w:r>
      <w:r w:rsidR="0050524E">
        <w:t>criteria</w:t>
      </w:r>
      <w:r w:rsidR="000F23C8">
        <w:t xml:space="preserve"> that have been used to evalu</w:t>
      </w:r>
      <w:r w:rsidR="00B01F42">
        <w:t>ate</w:t>
      </w:r>
      <w:r w:rsidR="0050524E">
        <w:t xml:space="preserve"> appropriateness</w:t>
      </w:r>
      <w:r w:rsidR="00B01F42">
        <w:t xml:space="preserve"> within those</w:t>
      </w:r>
      <w:r w:rsidR="0050524E">
        <w:t xml:space="preserve"> </w:t>
      </w:r>
      <w:r w:rsidR="00962E4E">
        <w:t>characteristics</w:t>
      </w:r>
      <w:r w:rsidR="00C22583">
        <w:t>.</w:t>
      </w:r>
      <w:r w:rsidR="00331D74">
        <w:t xml:space="preserve"> </w:t>
      </w:r>
      <w:bookmarkEnd w:id="51"/>
    </w:p>
    <w:p w:rsidRPr="00DA0982" w:rsidR="00502FA5" w:rsidP="001C01C5" w:rsidRDefault="00D26E2C" w14:paraId="78D7A9C3" w14:textId="046122BE">
      <w:pPr>
        <w:pStyle w:val="Standard"/>
      </w:pPr>
      <w:r>
        <w:t>Irrespective of</w:t>
      </w:r>
      <w:r w:rsidR="00492CD6">
        <w:t xml:space="preserve"> </w:t>
      </w:r>
      <w:r w:rsidR="000C515C">
        <w:t>the</w:t>
      </w:r>
      <w:r w:rsidR="00956E1E">
        <w:t xml:space="preserve"> </w:t>
      </w:r>
      <w:r w:rsidR="00C22583">
        <w:t>character</w:t>
      </w:r>
      <w:r w:rsidR="000C515C">
        <w:t>is</w:t>
      </w:r>
      <w:r w:rsidR="00C22583">
        <w:t>tics that cause a customer to be an ideal candidate,</w:t>
      </w:r>
      <w:r w:rsidR="00956E1E">
        <w:t xml:space="preserve"> </w:t>
      </w:r>
      <w:bookmarkStart w:name="_Hlk216432444" w:id="52"/>
      <w:r w:rsidR="00502FA5">
        <w:t xml:space="preserve">PG&amp;E and SCE shall </w:t>
      </w:r>
      <w:r w:rsidR="00992CD2">
        <w:t xml:space="preserve">clarify in the Implementation Advice </w:t>
      </w:r>
      <w:r w:rsidR="00782EE4">
        <w:t xml:space="preserve">Letter that they will </w:t>
      </w:r>
      <w:r w:rsidR="00502FA5">
        <w:t xml:space="preserve">provide a customer with </w:t>
      </w:r>
      <w:r w:rsidR="006935A7">
        <w:t xml:space="preserve">a Standard Offer </w:t>
      </w:r>
      <w:r w:rsidR="00C90DBA">
        <w:t>upon their determination tha</w:t>
      </w:r>
      <w:r w:rsidR="00EE430B">
        <w:t xml:space="preserve">t </w:t>
      </w:r>
      <w:r w:rsidR="0076602B">
        <w:t>there</w:t>
      </w:r>
      <w:r w:rsidR="00EE430B">
        <w:t xml:space="preserve"> exists a </w:t>
      </w:r>
      <w:r w:rsidR="00D64FD3">
        <w:t>LLP</w:t>
      </w:r>
      <w:r w:rsidR="00EE430B">
        <w:t xml:space="preserve"> whose operation will result in a</w:t>
      </w:r>
      <w:r w:rsidR="0076602B">
        <w:t xml:space="preserve"> benefit to both the customer and to ratepayers</w:t>
      </w:r>
      <w:r w:rsidR="004F65A9">
        <w:t xml:space="preserve">, and </w:t>
      </w:r>
      <w:r w:rsidR="009347B6">
        <w:t xml:space="preserve">that </w:t>
      </w:r>
      <w:r w:rsidR="00CF643B">
        <w:t xml:space="preserve">a customer </w:t>
      </w:r>
      <w:r w:rsidR="005C01E4">
        <w:t>will be able to safely operate under the</w:t>
      </w:r>
      <w:r w:rsidR="0011359E">
        <w:t xml:space="preserve"> required</w:t>
      </w:r>
      <w:r w:rsidR="005C01E4">
        <w:t xml:space="preserve"> framework</w:t>
      </w:r>
      <w:r w:rsidR="0076602B">
        <w:t>.</w:t>
      </w:r>
    </w:p>
    <w:p w:rsidR="00674B19" w:rsidP="00957C72" w:rsidRDefault="00674B19" w14:paraId="0A4B467C" w14:textId="148FAEEF">
      <w:pPr>
        <w:pStyle w:val="Heading2"/>
      </w:pPr>
      <w:bookmarkStart w:name="_Toc220940189" w:id="53"/>
      <w:bookmarkEnd w:id="52"/>
      <w:r>
        <w:lastRenderedPageBreak/>
        <w:t xml:space="preserve">The </w:t>
      </w:r>
      <w:r w:rsidR="00A730F8">
        <w:t>Implementation Advice Letter</w:t>
      </w:r>
      <w:r w:rsidR="008E27B4">
        <w:t xml:space="preserve"> Shall Address</w:t>
      </w:r>
      <w:r>
        <w:t xml:space="preserve"> Constrain</w:t>
      </w:r>
      <w:r w:rsidR="008E27B4">
        <w:t>ts</w:t>
      </w:r>
      <w:r w:rsidR="00D80B4D">
        <w:t xml:space="preserve"> Associated with </w:t>
      </w:r>
      <w:r>
        <w:t xml:space="preserve">Underground </w:t>
      </w:r>
      <w:r w:rsidR="00753CA1">
        <w:t>Components</w:t>
      </w:r>
      <w:bookmarkEnd w:id="53"/>
    </w:p>
    <w:p w:rsidR="00674B19" w:rsidP="00674B19" w:rsidRDefault="00674B19" w14:paraId="04DBC73C" w14:textId="01D542C8">
      <w:pPr>
        <w:pStyle w:val="Standard"/>
      </w:pPr>
      <w:r>
        <w:t xml:space="preserve">SCE’s LCMS disallows projects whose capacity constraint includes underground </w:t>
      </w:r>
      <w:r w:rsidR="00F7098E">
        <w:t>duct bank system</w:t>
      </w:r>
      <w:r w:rsidR="008E27B4">
        <w:t>s</w:t>
      </w:r>
      <w:r>
        <w:t>, noting the lack of a mechanism for time</w:t>
      </w:r>
      <w:r w:rsidR="00C866B3">
        <w:t>ly</w:t>
      </w:r>
      <w:r>
        <w:t xml:space="preserve"> monitoring of their temperature and the potential for severe system failure if these cables’ temperature exceeds limits for extended amounts of time.</w:t>
      </w:r>
      <w:r>
        <w:rPr>
          <w:rStyle w:val="FootnoteReference"/>
        </w:rPr>
        <w:footnoteReference w:id="68"/>
      </w:r>
      <w:r>
        <w:t xml:space="preserve"> </w:t>
      </w:r>
      <w:r w:rsidR="002B1A82">
        <w:t>SCE</w:t>
      </w:r>
      <w:r w:rsidR="00B4366C">
        <w:t xml:space="preserve">, however, has enrolled a customer whose </w:t>
      </w:r>
      <w:r w:rsidR="0056770B">
        <w:t>capacity constraint results from underground cable temperatures.</w:t>
      </w:r>
      <w:r w:rsidR="0056770B">
        <w:rPr>
          <w:rStyle w:val="FootnoteReference"/>
        </w:rPr>
        <w:footnoteReference w:id="69"/>
      </w:r>
      <w:r w:rsidR="0056770B">
        <w:t xml:space="preserve"> </w:t>
      </w:r>
      <w:r>
        <w:t>We find th</w:t>
      </w:r>
      <w:r w:rsidR="00B5479A">
        <w:t xml:space="preserve">at </w:t>
      </w:r>
      <w:r w:rsidR="006156FF">
        <w:t xml:space="preserve">while </w:t>
      </w:r>
      <w:r w:rsidR="006A4C49">
        <w:t>there may be merit in this</w:t>
      </w:r>
      <w:r>
        <w:t xml:space="preserve"> </w:t>
      </w:r>
      <w:r w:rsidR="006156FF">
        <w:t xml:space="preserve">sort of </w:t>
      </w:r>
      <w:r>
        <w:t>restriction</w:t>
      </w:r>
      <w:r w:rsidR="006156FF">
        <w:t>, the r</w:t>
      </w:r>
      <w:r w:rsidR="006A4C49">
        <w:t>ecord</w:t>
      </w:r>
      <w:r w:rsidR="006156FF">
        <w:t xml:space="preserve"> i</w:t>
      </w:r>
      <w:r w:rsidR="00C667D1">
        <w:t>s</w:t>
      </w:r>
      <w:r w:rsidR="006156FF">
        <w:t xml:space="preserve"> not sufficiently developed to</w:t>
      </w:r>
      <w:r w:rsidR="00C667D1">
        <w:t xml:space="preserve"> impose </w:t>
      </w:r>
      <w:r w:rsidR="0086484B">
        <w:t xml:space="preserve">specific restrictions at this time. We find it reasonable to direct PG&amp;E </w:t>
      </w:r>
      <w:r w:rsidR="009538AD">
        <w:t xml:space="preserve">and SCE </w:t>
      </w:r>
      <w:r w:rsidR="0086484B">
        <w:t xml:space="preserve">to </w:t>
      </w:r>
      <w:r w:rsidR="00AE10ED">
        <w:t xml:space="preserve">list in the </w:t>
      </w:r>
      <w:r w:rsidR="00A730F8">
        <w:t>Implementation Advice Letter</w:t>
      </w:r>
      <w:r w:rsidR="00AE10ED">
        <w:t>, with specificity,</w:t>
      </w:r>
      <w:r w:rsidR="00E06B1A">
        <w:t xml:space="preserve"> which underground components</w:t>
      </w:r>
      <w:r w:rsidR="00F43367">
        <w:t xml:space="preserve"> </w:t>
      </w:r>
      <w:r w:rsidR="00D05905">
        <w:t xml:space="preserve">have been identified as a disqualifying factor for </w:t>
      </w:r>
      <w:r w:rsidR="00665045">
        <w:t xml:space="preserve">the </w:t>
      </w:r>
      <w:r w:rsidR="00D62770">
        <w:t>Standard Offer</w:t>
      </w:r>
      <w:r w:rsidR="00AE10ED">
        <w:t xml:space="preserve">. </w:t>
      </w:r>
      <w:r w:rsidR="00754024">
        <w:t xml:space="preserve">The </w:t>
      </w:r>
      <w:r w:rsidR="00A730F8">
        <w:t>Implementation Advice Letter</w:t>
      </w:r>
      <w:r w:rsidR="00754024">
        <w:t xml:space="preserve"> shall include a narrative explaining the rationale </w:t>
      </w:r>
      <w:r w:rsidR="00200895">
        <w:t>under which e</w:t>
      </w:r>
      <w:r w:rsidR="00AE10ED">
        <w:t xml:space="preserve">ach </w:t>
      </w:r>
      <w:r w:rsidR="00754024">
        <w:t xml:space="preserve">identified </w:t>
      </w:r>
      <w:r w:rsidR="006E46A8">
        <w:t xml:space="preserve">underground </w:t>
      </w:r>
      <w:r w:rsidR="00754024">
        <w:t>component</w:t>
      </w:r>
      <w:r w:rsidR="00200895">
        <w:t xml:space="preserve"> is being identified as a disqualifying factor.</w:t>
      </w:r>
      <w:r w:rsidR="00754024">
        <w:t xml:space="preserve"> </w:t>
      </w:r>
    </w:p>
    <w:p w:rsidR="00674B19" w:rsidP="00957C72" w:rsidRDefault="00674B19" w14:paraId="7E770782" w14:textId="77777777">
      <w:pPr>
        <w:pStyle w:val="Heading2"/>
      </w:pPr>
      <w:bookmarkStart w:name="_Toc220940190" w:id="54"/>
      <w:r>
        <w:t>The Standard Offer Need Not Establish a Dispute Resolution Process</w:t>
      </w:r>
      <w:bookmarkEnd w:id="54"/>
    </w:p>
    <w:p w:rsidR="003B6D95" w:rsidP="00674B19" w:rsidRDefault="00FE4CAB" w14:paraId="0BB458FA" w14:textId="710413C0">
      <w:pPr>
        <w:pStyle w:val="Standard"/>
      </w:pPr>
      <w:r>
        <w:t xml:space="preserve">Clean Coalition </w:t>
      </w:r>
      <w:r w:rsidR="00F32003">
        <w:t>cite</w:t>
      </w:r>
      <w:r>
        <w:t xml:space="preserve">s the Australian FSC experience </w:t>
      </w:r>
      <w:r w:rsidR="00E42759">
        <w:t xml:space="preserve">and the need to ensure that </w:t>
      </w:r>
      <w:r w:rsidRPr="00E42759" w:rsidR="00E42759">
        <w:t>customer concerns are addressed in an expedient manne</w:t>
      </w:r>
      <w:r w:rsidR="00E42759">
        <w:t>r as a</w:t>
      </w:r>
      <w:r w:rsidR="00F32003">
        <w:t xml:space="preserve"> basis for requ</w:t>
      </w:r>
      <w:r w:rsidR="00086A96">
        <w:t>iring</w:t>
      </w:r>
      <w:r w:rsidR="00F32003">
        <w:t xml:space="preserve"> that the </w:t>
      </w:r>
      <w:r w:rsidR="00D62770">
        <w:t>Standard Offer</w:t>
      </w:r>
      <w:r w:rsidR="00F32003">
        <w:t xml:space="preserve"> </w:t>
      </w:r>
      <w:r w:rsidR="003F4EE2">
        <w:t>be accompanied by a dispute resolution process.</w:t>
      </w:r>
      <w:r w:rsidRPr="0030711B" w:rsidR="0030711B">
        <w:rPr>
          <w:rStyle w:val="FootnoteReference"/>
        </w:rPr>
        <w:t xml:space="preserve"> </w:t>
      </w:r>
      <w:r w:rsidR="0030711B">
        <w:rPr>
          <w:rStyle w:val="FootnoteReference"/>
        </w:rPr>
        <w:footnoteReference w:id="70"/>
      </w:r>
      <w:r w:rsidR="003F4EE2">
        <w:t xml:space="preserve"> </w:t>
      </w:r>
    </w:p>
    <w:p w:rsidR="00674B19" w:rsidP="00674B19" w:rsidRDefault="00674B19" w14:paraId="376807B4" w14:textId="3896C946">
      <w:pPr>
        <w:pStyle w:val="Standard"/>
      </w:pPr>
      <w:r>
        <w:t xml:space="preserve">The record of this proceeding does not </w:t>
      </w:r>
      <w:r w:rsidR="0064403B">
        <w:t xml:space="preserve">indicate </w:t>
      </w:r>
      <w:r>
        <w:t xml:space="preserve">that the Standard Offer is any more likely to encounter customer disputes than conventional energization </w:t>
      </w:r>
      <w:r>
        <w:lastRenderedPageBreak/>
        <w:t>or that the methods for reporting energization delays articulated in D.24-09-020</w:t>
      </w:r>
      <w:r w:rsidR="00FD7C74">
        <w:rPr>
          <w:rStyle w:val="FootnoteReference"/>
        </w:rPr>
        <w:footnoteReference w:id="71"/>
      </w:r>
      <w:r>
        <w:t xml:space="preserve"> are insufficient. We find that there is no</w:t>
      </w:r>
      <w:r w:rsidR="003F4EE2">
        <w:t xml:space="preserve"> demonstrated</w:t>
      </w:r>
      <w:r>
        <w:t xml:space="preserve"> need to establish a Standard Offer dispute resolution process at this time. </w:t>
      </w:r>
    </w:p>
    <w:p w:rsidR="00674B19" w:rsidP="00957C72" w:rsidRDefault="00674B19" w14:paraId="2CFC5970" w14:textId="5B627B59">
      <w:pPr>
        <w:pStyle w:val="Heading2"/>
      </w:pPr>
      <w:bookmarkStart w:name="_Toc220940191" w:id="55"/>
      <w:r>
        <w:t xml:space="preserve">The Standard Offer Shall Provide Customers </w:t>
      </w:r>
      <w:r w:rsidR="00845EDB">
        <w:t>a</w:t>
      </w:r>
      <w:r>
        <w:t xml:space="preserve"> Minimum Level of Granularity and Provide </w:t>
      </w:r>
      <w:r w:rsidR="000A3566">
        <w:t>PG&amp;E and SCE</w:t>
      </w:r>
      <w:r>
        <w:t xml:space="preserve"> Flexibility</w:t>
      </w:r>
      <w:r w:rsidR="00845EDB">
        <w:t xml:space="preserve"> to Exceed the Minimum</w:t>
      </w:r>
      <w:bookmarkEnd w:id="55"/>
    </w:p>
    <w:p w:rsidR="00294ACE" w:rsidP="00674B19" w:rsidRDefault="00674B19" w14:paraId="0CDBB687" w14:textId="61645EB6">
      <w:pPr>
        <w:pStyle w:val="Standard"/>
      </w:pPr>
      <w:r>
        <w:t xml:space="preserve">Considerable record has been generated </w:t>
      </w:r>
      <w:r w:rsidR="00BF68FB">
        <w:t xml:space="preserve">on </w:t>
      </w:r>
      <w:r>
        <w:t>the</w:t>
      </w:r>
      <w:r w:rsidR="00BF68FB">
        <w:t xml:space="preserve"> appropriate level of</w:t>
      </w:r>
      <w:r>
        <w:t xml:space="preserve"> granularity</w:t>
      </w:r>
      <w:r w:rsidR="00BF68FB">
        <w:t xml:space="preserve"> within the LLP used</w:t>
      </w:r>
      <w:r>
        <w:t xml:space="preserve"> for </w:t>
      </w:r>
      <w:r w:rsidR="00BF68FB">
        <w:t>the</w:t>
      </w:r>
      <w:r>
        <w:t xml:space="preserve"> Standard Offer. </w:t>
      </w:r>
      <w:r w:rsidR="004E0011">
        <w:t>Parties indicate a desire for predictable LLP values and for customers and utilities to agree on whatever level of granularity is practical for a given project.</w:t>
      </w:r>
      <w:r w:rsidR="004E0011">
        <w:rPr>
          <w:rStyle w:val="FootnoteReference"/>
        </w:rPr>
        <w:footnoteReference w:id="72"/>
      </w:r>
      <w:r w:rsidR="004E0011">
        <w:t xml:space="preserve"> </w:t>
      </w:r>
      <w:r w:rsidR="0079119E">
        <w:t xml:space="preserve">There is general agreement that greater granularity both requires greater engineering resources and </w:t>
      </w:r>
      <w:r w:rsidR="00B741E2">
        <w:t xml:space="preserve">has the potential to </w:t>
      </w:r>
      <w:r w:rsidR="0079119E">
        <w:t>deliver greater capa</w:t>
      </w:r>
      <w:r w:rsidR="00B741E2">
        <w:t xml:space="preserve">city to customers. </w:t>
      </w:r>
      <w:r w:rsidR="00731D05">
        <w:t xml:space="preserve">There is no consensus, however, on what </w:t>
      </w:r>
      <w:r w:rsidR="00634A9B">
        <w:t>level of granularity will both</w:t>
      </w:r>
      <w:r w:rsidR="00EF4312">
        <w:t xml:space="preserve"> </w:t>
      </w:r>
      <w:r w:rsidR="00B83826">
        <w:t>maximize the customer benefit and</w:t>
      </w:r>
      <w:r w:rsidR="00294ACE">
        <w:t xml:space="preserve"> allow the scaling of the Standard Offer by</w:t>
      </w:r>
      <w:r w:rsidR="00B83826">
        <w:t xml:space="preserve"> minimiz</w:t>
      </w:r>
      <w:r w:rsidR="00294ACE">
        <w:t>ing</w:t>
      </w:r>
      <w:r w:rsidR="00B83826">
        <w:t xml:space="preserve"> the </w:t>
      </w:r>
      <w:r w:rsidR="00294ACE">
        <w:t>drain on engineering resources.</w:t>
      </w:r>
    </w:p>
    <w:p w:rsidR="00294ACE" w:rsidP="00306C37" w:rsidRDefault="00294ACE" w14:paraId="1A4F2E50" w14:textId="76013FBF">
      <w:pPr>
        <w:pStyle w:val="Standard"/>
      </w:pPr>
      <w:r>
        <w:t xml:space="preserve">SCE </w:t>
      </w:r>
      <w:r w:rsidR="00B66368">
        <w:t xml:space="preserve">segments the year into three seasons and provides </w:t>
      </w:r>
      <w:r w:rsidR="00CD36EA">
        <w:t>both a full capacity period and a reduced capacity period within each season, comprising a granularity of six</w:t>
      </w:r>
      <w:r w:rsidR="005A681B">
        <w:t xml:space="preserve"> annual</w:t>
      </w:r>
      <w:r w:rsidR="00CD36EA">
        <w:t xml:space="preserve"> values. PG&amp;E takes a more bespoke approach</w:t>
      </w:r>
      <w:r w:rsidR="00B02D47">
        <w:t xml:space="preserve">, provisioning </w:t>
      </w:r>
      <w:r w:rsidR="00757724">
        <w:t>capacity based upon time of day, a single static value, seasonal limits using four seasons,</w:t>
      </w:r>
      <w:r w:rsidR="00757724">
        <w:rPr>
          <w:rStyle w:val="FootnoteReference"/>
        </w:rPr>
        <w:footnoteReference w:id="73"/>
      </w:r>
      <w:r w:rsidR="00757724">
        <w:t xml:space="preserve"> or a combination of these</w:t>
      </w:r>
      <w:r w:rsidR="00546902">
        <w:t xml:space="preserve"> bases</w:t>
      </w:r>
      <w:r w:rsidR="00757724">
        <w:rPr>
          <w:rStyle w:val="FootnoteReference"/>
        </w:rPr>
        <w:footnoteReference w:id="74"/>
      </w:r>
      <w:r w:rsidR="00757724">
        <w:t xml:space="preserve"> </w:t>
      </w:r>
      <w:r w:rsidR="00546902">
        <w:t>depending</w:t>
      </w:r>
      <w:r w:rsidR="00757724">
        <w:t xml:space="preserve"> upon their operations and distribution grid conditions.</w:t>
      </w:r>
    </w:p>
    <w:p w:rsidR="00A204D1" w:rsidP="00674B19" w:rsidRDefault="00865941" w14:paraId="700D28F5" w14:textId="5DC67E55">
      <w:pPr>
        <w:pStyle w:val="Standard"/>
      </w:pPr>
      <w:r>
        <w:lastRenderedPageBreak/>
        <w:t>By both requiring a minimum level of granularity</w:t>
      </w:r>
      <w:r w:rsidR="00B94F91">
        <w:t xml:space="preserve"> (six values)</w:t>
      </w:r>
      <w:r>
        <w:t xml:space="preserve"> and allowing </w:t>
      </w:r>
      <w:r w:rsidR="002C22AC">
        <w:t xml:space="preserve">the </w:t>
      </w:r>
      <w:r w:rsidR="000A3566">
        <w:t>PG&amp;E and SCE</w:t>
      </w:r>
      <w:r w:rsidR="00500D57">
        <w:t xml:space="preserve"> </w:t>
      </w:r>
      <w:r w:rsidR="002C22AC">
        <w:t>discretion to exceed that minimum, w</w:t>
      </w:r>
      <w:r w:rsidR="00674B19">
        <w:t xml:space="preserve">e balance the need for predictable, replicable profiles to quickly scale the Standard Offer with </w:t>
      </w:r>
      <w:r w:rsidR="003B35CF">
        <w:t xml:space="preserve">an </w:t>
      </w:r>
      <w:r w:rsidR="00674B19">
        <w:t xml:space="preserve">appreciation for the creativity demonstrated by IOU engineers in identifying bespoke solutions that benefit FSC customers. </w:t>
      </w:r>
    </w:p>
    <w:p w:rsidR="00674B19" w:rsidP="00674B19" w:rsidRDefault="00674B19" w14:paraId="67FFD761" w14:textId="46880C30">
      <w:pPr>
        <w:pStyle w:val="Standard"/>
      </w:pPr>
      <w:r>
        <w:t xml:space="preserve">We direct </w:t>
      </w:r>
      <w:r w:rsidR="002C22AC">
        <w:t xml:space="preserve">both PG&amp;E and </w:t>
      </w:r>
      <w:r w:rsidR="00A204D1">
        <w:t>SCE</w:t>
      </w:r>
      <w:r>
        <w:t xml:space="preserve"> to specify</w:t>
      </w:r>
      <w:r w:rsidR="00A204D1">
        <w:t xml:space="preserve">, in the </w:t>
      </w:r>
      <w:r w:rsidR="00A730F8">
        <w:t>Implementation Advice Letter</w:t>
      </w:r>
      <w:r w:rsidR="00A204D1">
        <w:t>,</w:t>
      </w:r>
      <w:r>
        <w:t xml:space="preserve"> the start and end dates for a minimum of three </w:t>
      </w:r>
      <w:r w:rsidR="00EC2BCF">
        <w:t xml:space="preserve">standard </w:t>
      </w:r>
      <w:r>
        <w:t xml:space="preserve">seasons. </w:t>
      </w:r>
      <w:r w:rsidR="00500D57">
        <w:t xml:space="preserve">We direct </w:t>
      </w:r>
      <w:r w:rsidR="000A3566">
        <w:t>PG&amp;E and SCE</w:t>
      </w:r>
      <w:r w:rsidR="00500D57">
        <w:t xml:space="preserve"> to </w:t>
      </w:r>
      <w:r w:rsidR="00E37CCA">
        <w:t>offer</w:t>
      </w:r>
      <w:r w:rsidR="00500D57">
        <w:t xml:space="preserve"> a minimum of two daily values for each season</w:t>
      </w:r>
      <w:r w:rsidR="005E680D">
        <w:t>, and recognize that they may provide a LLP with a lower or higher number of values on a case-by-case basis</w:t>
      </w:r>
      <w:r w:rsidR="00500D57">
        <w:t xml:space="preserve">. </w:t>
      </w:r>
      <w:r>
        <w:t xml:space="preserve">While we encourage the IOUs to strive for consistency in the dates of their seasons, we note that variations in climate and latitude may require different </w:t>
      </w:r>
      <w:r w:rsidR="00FB077F">
        <w:t xml:space="preserve">standard </w:t>
      </w:r>
      <w:r>
        <w:t>seasonal dates for different IOUs</w:t>
      </w:r>
      <w:r w:rsidR="00797929">
        <w:t xml:space="preserve">, and </w:t>
      </w:r>
      <w:r w:rsidR="00FF21FB">
        <w:t xml:space="preserve">that these variations or customer constraints may require </w:t>
      </w:r>
      <w:r w:rsidR="00F466B3">
        <w:t>a</w:t>
      </w:r>
      <w:r w:rsidR="001B0E16">
        <w:t>n</w:t>
      </w:r>
      <w:r w:rsidR="00F466B3">
        <w:t xml:space="preserve"> IOU to </w:t>
      </w:r>
      <w:r w:rsidR="00FB3CE0">
        <w:t>diverge from its standard</w:t>
      </w:r>
      <w:r w:rsidR="00607599">
        <w:t xml:space="preserve"> s</w:t>
      </w:r>
      <w:r w:rsidR="00AB6472">
        <w:t>eason dates</w:t>
      </w:r>
      <w:r w:rsidR="00FB077F">
        <w:t xml:space="preserve"> on a </w:t>
      </w:r>
      <w:r w:rsidR="007A65CB">
        <w:t>case-by-case</w:t>
      </w:r>
      <w:r w:rsidR="00FB077F">
        <w:t xml:space="preserve"> basis</w:t>
      </w:r>
      <w:r>
        <w:t>.</w:t>
      </w:r>
      <w:r w:rsidRPr="00500D57" w:rsidR="00500D57">
        <w:t xml:space="preserve"> </w:t>
      </w:r>
      <w:r w:rsidR="000A3566">
        <w:t>PG&amp;E and SCE</w:t>
      </w:r>
      <w:r w:rsidR="00500D57">
        <w:t xml:space="preserve"> are free to provide more than the minimum </w:t>
      </w:r>
      <w:r w:rsidR="004F68A4">
        <w:t>six</w:t>
      </w:r>
      <w:r w:rsidR="00500D57">
        <w:t xml:space="preserve"> values if, in their estimation, site or grid conditions justify a higher level of granularity.</w:t>
      </w:r>
      <w:r>
        <w:t xml:space="preserve"> </w:t>
      </w:r>
      <w:r w:rsidR="00D65357">
        <w:t xml:space="preserve">If </w:t>
      </w:r>
      <w:r w:rsidR="004F68A4">
        <w:t xml:space="preserve">an </w:t>
      </w:r>
      <w:r w:rsidR="00D65357">
        <w:t>IOU already offer</w:t>
      </w:r>
      <w:r w:rsidR="004F68A4">
        <w:t>s</w:t>
      </w:r>
      <w:r w:rsidR="00D65357">
        <w:t xml:space="preserve"> </w:t>
      </w:r>
      <w:r w:rsidR="008D09F9">
        <w:t>customer</w:t>
      </w:r>
      <w:r w:rsidR="005237D3">
        <w:t>s</w:t>
      </w:r>
      <w:r w:rsidR="004E5E8A">
        <w:t xml:space="preserve"> a</w:t>
      </w:r>
      <w:r w:rsidR="004D2D27">
        <w:t>n</w:t>
      </w:r>
      <w:r w:rsidR="004E5E8A">
        <w:t xml:space="preserve"> LLP with</w:t>
      </w:r>
      <w:r w:rsidR="008D09F9">
        <w:t xml:space="preserve"> </w:t>
      </w:r>
      <w:r w:rsidR="001519BB">
        <w:t xml:space="preserve">three or more </w:t>
      </w:r>
      <w:r w:rsidR="00BD6247">
        <w:t xml:space="preserve">seasons with </w:t>
      </w:r>
      <w:r w:rsidR="00FC6CD9">
        <w:t xml:space="preserve">two or more </w:t>
      </w:r>
      <w:r w:rsidR="00BD6247">
        <w:t>daily values</w:t>
      </w:r>
      <w:r w:rsidR="001439A3">
        <w:t xml:space="preserve"> per season</w:t>
      </w:r>
      <w:r w:rsidR="00BD6247">
        <w:t xml:space="preserve">, then they already comply with this direction. </w:t>
      </w:r>
      <w:r w:rsidR="0037162C">
        <w:t>Conversely, PG&amp;E and SCE may provide a less granular</w:t>
      </w:r>
      <w:r w:rsidR="00FB3CE0">
        <w:t xml:space="preserve"> </w:t>
      </w:r>
      <w:r w:rsidR="004F6C9D">
        <w:t>profile at the customer’s request.</w:t>
      </w:r>
    </w:p>
    <w:p w:rsidRPr="00A24D41" w:rsidR="00674B19" w:rsidP="00674B19" w:rsidRDefault="00674B19" w14:paraId="7C461DC6" w14:textId="7069EE00">
      <w:pPr>
        <w:pStyle w:val="Standard"/>
      </w:pPr>
      <w:r>
        <w:t>We recognize that multiple parties</w:t>
      </w:r>
      <w:r w:rsidR="003B35AA">
        <w:rPr>
          <w:rStyle w:val="FootnoteReference"/>
        </w:rPr>
        <w:footnoteReference w:id="75"/>
      </w:r>
      <w:r>
        <w:t xml:space="preserve"> advocated for a </w:t>
      </w:r>
      <w:r w:rsidR="00596D21">
        <w:t>24-value</w:t>
      </w:r>
      <w:r>
        <w:t xml:space="preserve"> level of granularity and that circumstances may lead IOU and customer</w:t>
      </w:r>
      <w:r w:rsidR="00EE1105">
        <w:t>s</w:t>
      </w:r>
      <w:r>
        <w:t xml:space="preserve"> to disagree about the appropriate level of granularity. </w:t>
      </w:r>
      <w:r w:rsidR="0071310C">
        <w:t xml:space="preserve">If the IOU has the technical capability, </w:t>
      </w:r>
      <w:r w:rsidR="0071310C">
        <w:lastRenderedPageBreak/>
        <w:t>w</w:t>
      </w:r>
      <w:r>
        <w:t>e direct the</w:t>
      </w:r>
      <w:r w:rsidR="0071310C">
        <w:t>m</w:t>
      </w:r>
      <w:r>
        <w:t xml:space="preserve"> to provide customers </w:t>
      </w:r>
      <w:r w:rsidR="00925B07">
        <w:t xml:space="preserve">with </w:t>
      </w:r>
      <w:r>
        <w:t xml:space="preserve">the option, </w:t>
      </w:r>
      <w:r w:rsidR="00193230">
        <w:t xml:space="preserve">during the iterative discussions following the initial customer load limit conversation detailed in </w:t>
      </w:r>
      <w:r w:rsidR="008902B5">
        <w:t>S</w:t>
      </w:r>
      <w:r w:rsidR="00193230">
        <w:t xml:space="preserve">ection </w:t>
      </w:r>
      <w:r w:rsidR="008902B5">
        <w:t>7</w:t>
      </w:r>
      <w:r w:rsidR="00193230">
        <w:t>.1</w:t>
      </w:r>
      <w:r>
        <w:t>, of requesting a</w:t>
      </w:r>
      <w:r w:rsidR="00A204D1">
        <w:t xml:space="preserve"> 24</w:t>
      </w:r>
      <w:r w:rsidR="003D24F5">
        <w:t>-</w:t>
      </w:r>
      <w:r w:rsidR="00A204D1">
        <w:t xml:space="preserve">value </w:t>
      </w:r>
      <w:r>
        <w:t xml:space="preserve">LLP that has </w:t>
      </w:r>
      <w:r w:rsidR="001439A3">
        <w:t xml:space="preserve">two </w:t>
      </w:r>
      <w:r>
        <w:t xml:space="preserve">daily values for each of the 12 months. The cost of requesting a </w:t>
      </w:r>
      <w:r w:rsidR="00596D21">
        <w:t>24-value</w:t>
      </w:r>
      <w:r>
        <w:t xml:space="preserve"> LLP shall </w:t>
      </w:r>
      <w:r w:rsidR="0021052C">
        <w:t>be borne by the requesting customer</w:t>
      </w:r>
      <w:r w:rsidR="002B3CBE">
        <w:t xml:space="preserve"> and shall </w:t>
      </w:r>
      <w:r>
        <w:t>not exceed the anticipate</w:t>
      </w:r>
      <w:r w:rsidR="00596D21">
        <w:t>d</w:t>
      </w:r>
      <w:r>
        <w:t xml:space="preserve"> </w:t>
      </w:r>
      <w:r w:rsidR="00596D21">
        <w:t xml:space="preserve">labor </w:t>
      </w:r>
      <w:r>
        <w:t>cost of performing additional analysis.</w:t>
      </w:r>
      <w:r w:rsidR="007A1F87">
        <w:t xml:space="preserve"> </w:t>
      </w:r>
      <w:r w:rsidR="007555CB">
        <w:t xml:space="preserve">PG&amp;E and SCE shall </w:t>
      </w:r>
      <w:r w:rsidRPr="007555CB" w:rsidR="007555CB">
        <w:t>track the number of 24-value LLP requests and the outcomes of those requests.</w:t>
      </w:r>
    </w:p>
    <w:p w:rsidR="00674B19" w:rsidP="00957C72" w:rsidRDefault="00674B19" w14:paraId="28F12240" w14:textId="77777777">
      <w:pPr>
        <w:pStyle w:val="Heading2"/>
      </w:pPr>
      <w:bookmarkStart w:name="_Toc220940192" w:id="56"/>
      <w:r>
        <w:t>Sharing Capacity Among Multiple Standard Offer Customers</w:t>
      </w:r>
      <w:bookmarkEnd w:id="56"/>
    </w:p>
    <w:p w:rsidR="00674B19" w:rsidP="00674B19" w:rsidRDefault="00674B19" w14:paraId="45BBCBB0" w14:textId="36AAEFFE">
      <w:pPr>
        <w:pStyle w:val="Standard"/>
      </w:pPr>
      <w:r>
        <w:t>Questions around shared capacity take several forms. We address each</w:t>
      </w:r>
      <w:r w:rsidR="00265828">
        <w:t xml:space="preserve"> form</w:t>
      </w:r>
      <w:r>
        <w:t xml:space="preserve"> </w:t>
      </w:r>
      <w:r w:rsidR="00265828">
        <w:t>with</w:t>
      </w:r>
      <w:r>
        <w:t>in the following sections.</w:t>
      </w:r>
    </w:p>
    <w:p w:rsidRPr="00234E3D" w:rsidR="00674B19" w:rsidP="00957C72" w:rsidRDefault="00674B19" w14:paraId="508201FE" w14:textId="77777777">
      <w:pPr>
        <w:pStyle w:val="Heading3"/>
      </w:pPr>
      <w:bookmarkStart w:name="_Toc220940193" w:id="57"/>
      <w:r>
        <w:t>Whether Capacity Should be Shared</w:t>
      </w:r>
      <w:bookmarkEnd w:id="57"/>
    </w:p>
    <w:p w:rsidR="00596D21" w:rsidP="00674B19" w:rsidRDefault="00674B19" w14:paraId="59468B87" w14:textId="0E6BD326">
      <w:pPr>
        <w:pStyle w:val="Standard"/>
      </w:pPr>
      <w:r>
        <w:t xml:space="preserve">To date, </w:t>
      </w:r>
      <w:r w:rsidR="009E700B">
        <w:t xml:space="preserve">PG&amp;E and SCE </w:t>
      </w:r>
      <w:r>
        <w:t>have not allowed the sharing of capacity among multiple FSC customers accessing the same infrastructure. SCE disallowed this sharing as a part of its pilot design, and PG&amp;E does not keep sufficient records to easily determine which piece(s) of shared infrastructure might have insufficient capacity if a second customer were allowed a FSC.</w:t>
      </w:r>
      <w:r w:rsidR="00EE2741">
        <w:rPr>
          <w:rStyle w:val="FootnoteReference"/>
        </w:rPr>
        <w:footnoteReference w:id="76"/>
      </w:r>
      <w:r>
        <w:t xml:space="preserve"> Other parties, however, have noted that there may be safe opportunities to more fully utilize ratepayer funded infrastructure.</w:t>
      </w:r>
      <w:r w:rsidR="00CD5EAD">
        <w:rPr>
          <w:rStyle w:val="FootnoteReference"/>
        </w:rPr>
        <w:footnoteReference w:id="77"/>
      </w:r>
      <w:r>
        <w:t xml:space="preserve"> </w:t>
      </w:r>
    </w:p>
    <w:p w:rsidR="00DE02BF" w:rsidP="00674B19" w:rsidRDefault="00674B19" w14:paraId="2B57E7B3" w14:textId="77777777">
      <w:pPr>
        <w:pStyle w:val="Standard"/>
      </w:pPr>
      <w:r>
        <w:t xml:space="preserve">For example, if a factory working the day shift is located on the same portion of a circuit as an electric bus depot, the buses could charge at a time where the factory does not need additional electrical capacity. </w:t>
      </w:r>
    </w:p>
    <w:p w:rsidR="00674B19" w:rsidP="00674B19" w:rsidRDefault="00674B19" w14:paraId="26934C0F" w14:textId="5D67FE12">
      <w:pPr>
        <w:pStyle w:val="Standard"/>
      </w:pPr>
      <w:r>
        <w:lastRenderedPageBreak/>
        <w:t>We find these arguments persuasive, agreeing that</w:t>
      </w:r>
      <w:r w:rsidR="0029542F">
        <w:t xml:space="preserve"> </w:t>
      </w:r>
      <w:r w:rsidR="00DA0B57">
        <w:t>it is likely that</w:t>
      </w:r>
      <w:r w:rsidR="0029542F">
        <w:t xml:space="preserve"> circumstances</w:t>
      </w:r>
      <w:r w:rsidR="009A0096">
        <w:t xml:space="preserve"> exist</w:t>
      </w:r>
      <w:r w:rsidR="0029542F">
        <w:t xml:space="preserve"> where</w:t>
      </w:r>
      <w:r>
        <w:t xml:space="preserve"> electric capacity can safely be shared between more than one customer located upon shared infrastructure and that </w:t>
      </w:r>
      <w:r w:rsidR="0004290A">
        <w:t>increased utilization of existing infra</w:t>
      </w:r>
      <w:r w:rsidR="009A0096">
        <w:t xml:space="preserve">structure that results from </w:t>
      </w:r>
      <w:r>
        <w:t xml:space="preserve">sharing capacity may </w:t>
      </w:r>
      <w:r w:rsidR="007C09EA">
        <w:t>be cost-efficient</w:t>
      </w:r>
      <w:r>
        <w:t xml:space="preserve">. We find it reasonable </w:t>
      </w:r>
      <w:r w:rsidR="00695141">
        <w:t xml:space="preserve">to direct </w:t>
      </w:r>
      <w:r w:rsidR="000A3566">
        <w:t>PG&amp;E and SCE</w:t>
      </w:r>
      <w:r>
        <w:t xml:space="preserve"> </w:t>
      </w:r>
      <w:r w:rsidR="003F4395">
        <w:t xml:space="preserve">to </w:t>
      </w:r>
      <w:r>
        <w:t xml:space="preserve">maintain records of their analysis of capacity constrained infrastructure </w:t>
      </w:r>
      <w:r w:rsidR="00D33677">
        <w:t xml:space="preserve">to allow </w:t>
      </w:r>
      <w:r w:rsidR="008D2E33">
        <w:t xml:space="preserve">future </w:t>
      </w:r>
      <w:r w:rsidR="001C5D15">
        <w:t xml:space="preserve">analysis of </w:t>
      </w:r>
      <w:r w:rsidR="005122B8">
        <w:t xml:space="preserve">whether </w:t>
      </w:r>
      <w:r>
        <w:t xml:space="preserve">available </w:t>
      </w:r>
      <w:r w:rsidR="00D33677">
        <w:t>capacity</w:t>
      </w:r>
      <w:r w:rsidR="00935A6C">
        <w:t xml:space="preserve"> can be safely allocat</w:t>
      </w:r>
      <w:r w:rsidR="00366E57">
        <w:t>ed</w:t>
      </w:r>
      <w:r w:rsidR="00D33677">
        <w:t xml:space="preserve"> to</w:t>
      </w:r>
      <w:r>
        <w:t xml:space="preserve"> a subsequent FSC customer</w:t>
      </w:r>
      <w:r w:rsidR="00D33677">
        <w:t>, and to evaluate</w:t>
      </w:r>
      <w:r w:rsidR="0096061B">
        <w:t xml:space="preserve"> the </w:t>
      </w:r>
      <w:r w:rsidR="007D6767">
        <w:t>feasibility of multiple customers with an FSC on the same utility asset as a part of</w:t>
      </w:r>
      <w:r w:rsidR="00A17499">
        <w:t xml:space="preserve"> </w:t>
      </w:r>
      <w:r w:rsidR="00D33677">
        <w:t xml:space="preserve">the </w:t>
      </w:r>
      <w:r w:rsidR="00DE02BF">
        <w:t>S</w:t>
      </w:r>
      <w:r w:rsidR="00767DB8">
        <w:t xml:space="preserve">tandard </w:t>
      </w:r>
      <w:r w:rsidR="00DE02BF">
        <w:t>O</w:t>
      </w:r>
      <w:r w:rsidR="00767DB8">
        <w:t>ffer</w:t>
      </w:r>
      <w:r>
        <w:t>.</w:t>
      </w:r>
      <w:r w:rsidRPr="00C474B9">
        <w:t xml:space="preserve"> </w:t>
      </w:r>
      <w:r w:rsidR="000505D2">
        <w:t xml:space="preserve">As noted in </w:t>
      </w:r>
      <w:r w:rsidR="00CA4CEB">
        <w:t>S</w:t>
      </w:r>
      <w:r w:rsidR="000505D2">
        <w:t xml:space="preserve">ection </w:t>
      </w:r>
      <w:r w:rsidR="008902B5">
        <w:t>3</w:t>
      </w:r>
      <w:r w:rsidR="000505D2">
        <w:t>.</w:t>
      </w:r>
      <w:r w:rsidR="009C2975">
        <w:t>4</w:t>
      </w:r>
      <w:r w:rsidR="000505D2">
        <w:t>.</w:t>
      </w:r>
      <w:r w:rsidR="009C2975">
        <w:t>1</w:t>
      </w:r>
      <w:r w:rsidR="000505D2">
        <w:t xml:space="preserve">, </w:t>
      </w:r>
      <w:r w:rsidR="00834F5C">
        <w:t xml:space="preserve">it is reasonable to assume that a FSC will remain in place for an average of 3 years. Accordingly, </w:t>
      </w:r>
      <w:r w:rsidR="00573ADE">
        <w:t>each project’s infrastructure</w:t>
      </w:r>
      <w:r w:rsidR="00405DC0">
        <w:t xml:space="preserve"> analysis should be retai</w:t>
      </w:r>
      <w:r w:rsidR="00A34AF3">
        <w:t xml:space="preserve">ned </w:t>
      </w:r>
      <w:r w:rsidR="00573ADE">
        <w:t xml:space="preserve">for at least </w:t>
      </w:r>
      <w:r w:rsidR="00C61083">
        <w:t>3 years</w:t>
      </w:r>
      <w:r w:rsidR="00491F00">
        <w:t xml:space="preserve">, </w:t>
      </w:r>
      <w:r w:rsidR="00155F69">
        <w:t xml:space="preserve">not be discarded prior to the conclusion of the FSC, </w:t>
      </w:r>
      <w:r w:rsidR="008902B5">
        <w:t xml:space="preserve">and </w:t>
      </w:r>
      <w:r w:rsidR="00491F00">
        <w:t>shall be summarized within</w:t>
      </w:r>
      <w:r w:rsidR="00703D9B">
        <w:t xml:space="preserve"> </w:t>
      </w:r>
      <w:r w:rsidR="009C1377">
        <w:t xml:space="preserve">the report </w:t>
      </w:r>
      <w:r w:rsidRPr="009C2975" w:rsidR="00BB31CB">
        <w:t xml:space="preserve">detailed </w:t>
      </w:r>
      <w:r w:rsidRPr="0021187D" w:rsidR="00BB31CB">
        <w:t xml:space="preserve">in Section </w:t>
      </w:r>
      <w:r w:rsidR="008902B5">
        <w:t>9.</w:t>
      </w:r>
    </w:p>
    <w:p w:rsidR="00674B19" w:rsidP="00957C72" w:rsidRDefault="00674B19" w14:paraId="7BD9ACAB" w14:textId="77777777">
      <w:pPr>
        <w:pStyle w:val="Heading3"/>
      </w:pPr>
      <w:bookmarkStart w:name="_Toc220940194" w:id="58"/>
      <w:r>
        <w:t>When Capacity Should be Shared Among Multiple Applicants</w:t>
      </w:r>
      <w:bookmarkEnd w:id="58"/>
    </w:p>
    <w:p w:rsidR="00674B19" w:rsidP="00674B19" w:rsidRDefault="00674B19" w14:paraId="68C2186D" w14:textId="6C4871EA">
      <w:pPr>
        <w:pStyle w:val="Standard"/>
      </w:pPr>
      <w:r>
        <w:t>IOUs hold the consensus view that the full amount of unlocked capacity should be allocated to the first customer who submits a completed application.</w:t>
      </w:r>
      <w:r w:rsidR="00546A34">
        <w:rPr>
          <w:rStyle w:val="FootnoteReference"/>
        </w:rPr>
        <w:footnoteReference w:id="78"/>
      </w:r>
      <w:r w:rsidR="00247572">
        <w:t xml:space="preserve"> </w:t>
      </w:r>
      <w:r>
        <w:t xml:space="preserve">This view risks denying significant capacity to a customer based on the speed of the IOU employee processing an application, or on the basis of </w:t>
      </w:r>
      <w:r w:rsidR="002170A8">
        <w:t xml:space="preserve">one customer </w:t>
      </w:r>
      <w:r>
        <w:t xml:space="preserve">submitting an application slightly later than the prior applicant. </w:t>
      </w:r>
      <w:r w:rsidR="00FE57DE">
        <w:t xml:space="preserve">PG&amp;E </w:t>
      </w:r>
      <w:r w:rsidR="00100E7C">
        <w:t>notes</w:t>
      </w:r>
      <w:r w:rsidR="00FE57DE">
        <w:t xml:space="preserve"> that over 90% of the applications it receives are incomplete and that most applications require </w:t>
      </w:r>
      <w:r w:rsidR="004E6078">
        <w:t>three to four</w:t>
      </w:r>
      <w:r w:rsidR="0019198A">
        <w:t xml:space="preserve"> back and forth discussions to obtain the needed information,</w:t>
      </w:r>
      <w:r w:rsidR="000543DA">
        <w:rPr>
          <w:rStyle w:val="FootnoteReference"/>
        </w:rPr>
        <w:footnoteReference w:id="79"/>
      </w:r>
      <w:r w:rsidR="0019198A">
        <w:t xml:space="preserve"> </w:t>
      </w:r>
      <w:r w:rsidR="000543DA">
        <w:t>providing ample opportunity for inconsistent processing times.</w:t>
      </w:r>
      <w:r w:rsidR="00100E7C">
        <w:t xml:space="preserve"> </w:t>
      </w:r>
      <w:r>
        <w:lastRenderedPageBreak/>
        <w:t>We find it reasonable to allow the IOUs flexibility to equally consider more than one application for the purpose of sharing unallocated capacity between two customers if the applications were received within a re</w:t>
      </w:r>
      <w:r w:rsidR="00D3203A">
        <w:t>latively concurrent</w:t>
      </w:r>
      <w:r w:rsidR="00F05081">
        <w:rPr>
          <w:rStyle w:val="FootnoteReference"/>
        </w:rPr>
        <w:footnoteReference w:id="80"/>
      </w:r>
      <w:r>
        <w:t xml:space="preserve"> window of time. We direct </w:t>
      </w:r>
      <w:r w:rsidR="00DD46B6">
        <w:t xml:space="preserve">PG&amp;E and SCE </w:t>
      </w:r>
      <w:r>
        <w:t>to be transparent and consistent in their criteria for establishing such a window of time</w:t>
      </w:r>
      <w:r w:rsidR="00EA3663">
        <w:t xml:space="preserve"> and articulate that criteria within the </w:t>
      </w:r>
      <w:r w:rsidR="00CC319F">
        <w:t>Implementation Advice Letter</w:t>
      </w:r>
      <w:r w:rsidR="00EA3663">
        <w:t>.</w:t>
      </w:r>
    </w:p>
    <w:p w:rsidR="00674B19" w:rsidP="00957C72" w:rsidRDefault="00674B19" w14:paraId="792FF49F" w14:textId="48CC1EB6">
      <w:pPr>
        <w:pStyle w:val="Heading3"/>
      </w:pPr>
      <w:bookmarkStart w:name="_Toc220940195" w:id="59"/>
      <w:r>
        <w:t>How Capacity Should be Shared</w:t>
      </w:r>
      <w:r w:rsidR="00DE02BF">
        <w:t xml:space="preserve"> Among Multiple Applicants</w:t>
      </w:r>
      <w:bookmarkEnd w:id="59"/>
    </w:p>
    <w:p w:rsidR="00674B19" w:rsidP="00674B19" w:rsidRDefault="00674B19" w14:paraId="3FC86E99" w14:textId="7CAADD70">
      <w:pPr>
        <w:pStyle w:val="Standard"/>
      </w:pPr>
      <w:r>
        <w:t>Parties raise various possibilities for how the unlocked capacity should be shared between customers. Identified options include first-come, first-serve, proportional allocation according to customer need, and via a cluster study process</w:t>
      </w:r>
      <w:r w:rsidR="00214288">
        <w:t>.</w:t>
      </w:r>
      <w:r w:rsidR="00214288">
        <w:rPr>
          <w:rStyle w:val="FootnoteReference"/>
        </w:rPr>
        <w:footnoteReference w:id="81"/>
      </w:r>
      <w:r w:rsidR="00214288">
        <w:t xml:space="preserve"> </w:t>
      </w:r>
      <w:r>
        <w:t xml:space="preserve">We find it reasonable to leave the question of how to share capacity between customers to the IOUs’ discretion, </w:t>
      </w:r>
      <w:bookmarkStart w:name="_Hlk216433629" w:id="60"/>
      <w:r>
        <w:t xml:space="preserve">with the caveats that the </w:t>
      </w:r>
      <w:r w:rsidR="002E0806">
        <w:t>PG&amp;E and SCE</w:t>
      </w:r>
      <w:r>
        <w:t xml:space="preserve"> must be transparent about their method for allocation of capacity, must not favor any customer class, and must not reduce the capacity of an existing Standard Offer to accommodate later applications.</w:t>
      </w:r>
      <w:bookmarkEnd w:id="60"/>
      <w:r>
        <w:t xml:space="preserve"> </w:t>
      </w:r>
      <w:r w:rsidR="00F05A58">
        <w:t>The m</w:t>
      </w:r>
      <w:r w:rsidR="00971093">
        <w:t>ethod used for capacity allocation between multiple customers shall be articulated</w:t>
      </w:r>
      <w:r w:rsidR="007F7622">
        <w:t xml:space="preserve"> by PG&amp;E and SCE</w:t>
      </w:r>
      <w:r w:rsidR="00971093">
        <w:t xml:space="preserve"> within the </w:t>
      </w:r>
      <w:r w:rsidR="00CC319F">
        <w:t>Implementation Advice Letter</w:t>
      </w:r>
      <w:r w:rsidR="00F00B72">
        <w:t>.</w:t>
      </w:r>
    </w:p>
    <w:p w:rsidR="00674B19" w:rsidP="00957C72" w:rsidRDefault="00674B19" w14:paraId="0747C0B9" w14:textId="5CE9B4EA">
      <w:pPr>
        <w:pStyle w:val="Heading3"/>
      </w:pPr>
      <w:bookmarkStart w:name="_Toc220940196" w:id="61"/>
      <w:r>
        <w:t>Initial Engineering Evaluation, Customer Communications, and IOU Optimization of LLP</w:t>
      </w:r>
      <w:r w:rsidR="007F7622">
        <w:t xml:space="preserve"> within Step 2</w:t>
      </w:r>
      <w:bookmarkEnd w:id="61"/>
      <w:r>
        <w:t xml:space="preserve"> </w:t>
      </w:r>
    </w:p>
    <w:p w:rsidR="009F3E56" w:rsidP="00674B19" w:rsidRDefault="00674B19" w14:paraId="4DF954EE" w14:textId="2D5E5CC0">
      <w:pPr>
        <w:pStyle w:val="Standard"/>
      </w:pPr>
      <w:r>
        <w:t xml:space="preserve">D.24-09-020 established Step 2 as Engineering </w:t>
      </w:r>
      <w:r w:rsidRPr="009B680C">
        <w:t xml:space="preserve">and Design. PG&amp;E and SCE diverge in the initial level of project study prior to communicating with the customer, with </w:t>
      </w:r>
      <w:r w:rsidRPr="009B680C" w:rsidR="009B680C">
        <w:t>PG&amp;E performing</w:t>
      </w:r>
      <w:r w:rsidR="009B680C">
        <w:t xml:space="preserve"> an initial engineering evaluation of load </w:t>
      </w:r>
      <w:r w:rsidR="009B680C">
        <w:lastRenderedPageBreak/>
        <w:t>profile and load ramp for all customers</w:t>
      </w:r>
      <w:r w:rsidR="0065580B">
        <w:t>.</w:t>
      </w:r>
      <w:r w:rsidR="00F53BC6">
        <w:rPr>
          <w:rStyle w:val="FootnoteReference"/>
        </w:rPr>
        <w:footnoteReference w:id="82"/>
      </w:r>
      <w:r w:rsidR="0065580B">
        <w:t xml:space="preserve"> </w:t>
      </w:r>
      <w:r w:rsidRPr="009B680C">
        <w:t>SCE</w:t>
      </w:r>
      <w:r w:rsidR="0065580B">
        <w:t xml:space="preserve"> differs by</w:t>
      </w:r>
      <w:r w:rsidRPr="009B680C">
        <w:t xml:space="preserve"> performing a full engineering study </w:t>
      </w:r>
      <w:r w:rsidRPr="009B680C" w:rsidR="00436145">
        <w:t>for customers whose load exceeds 5</w:t>
      </w:r>
      <w:r w:rsidRPr="009B680C" w:rsidR="00681C46">
        <w:t>0</w:t>
      </w:r>
      <w:r w:rsidRPr="009B680C" w:rsidR="00436145">
        <w:t>0 kW</w:t>
      </w:r>
      <w:r w:rsidR="00F339BB">
        <w:t>,</w:t>
      </w:r>
      <w:r w:rsidRPr="009B680C" w:rsidR="00365D47">
        <w:rPr>
          <w:rStyle w:val="FootnoteReference"/>
        </w:rPr>
        <w:footnoteReference w:id="83"/>
      </w:r>
      <w:r w:rsidR="0065580B">
        <w:t>, and</w:t>
      </w:r>
      <w:r w:rsidR="00365D47">
        <w:t xml:space="preserve"> the smallest project </w:t>
      </w:r>
      <w:r w:rsidR="00582AE3">
        <w:t xml:space="preserve">enrolled within the LCMS </w:t>
      </w:r>
      <w:r w:rsidR="005579FC">
        <w:t>has a projected demand that is</w:t>
      </w:r>
      <w:r w:rsidR="00582AE3">
        <w:t xml:space="preserve"> over three times</w:t>
      </w:r>
      <w:r w:rsidR="005579FC">
        <w:t xml:space="preserve"> th</w:t>
      </w:r>
      <w:r w:rsidR="00062201">
        <w:t>at</w:t>
      </w:r>
      <w:r w:rsidR="005579FC">
        <w:t xml:space="preserve"> 500 kW threshold.</w:t>
      </w:r>
      <w:r w:rsidR="005579FC">
        <w:rPr>
          <w:rStyle w:val="FootnoteReference"/>
        </w:rPr>
        <w:footnoteReference w:id="84"/>
      </w:r>
      <w:r w:rsidR="0065580B">
        <w:t xml:space="preserve"> </w:t>
      </w:r>
      <w:r>
        <w:t xml:space="preserve"> </w:t>
      </w:r>
    </w:p>
    <w:p w:rsidR="00442629" w:rsidP="00674B19" w:rsidRDefault="00674B19" w14:paraId="0FF63742" w14:textId="32470E1A">
      <w:pPr>
        <w:pStyle w:val="Standard"/>
      </w:pPr>
      <w:r>
        <w:t xml:space="preserve">If this initial engineering evaluation shows that customer load will exceed available local distribution capacity, PG&amp;E contacts the customer to verify that they are willing and able to modify their load profile before moving to a full power flow study. PG&amp;E’s approach has the benefit of conserving engineering resources for projects that are ready to move forward. We </w:t>
      </w:r>
      <w:r w:rsidR="00E77701">
        <w:t xml:space="preserve">find </w:t>
      </w:r>
      <w:r w:rsidR="000E25AB">
        <w:t>PG&amp;E’s approach</w:t>
      </w:r>
      <w:r>
        <w:t xml:space="preserve"> reasonable </w:t>
      </w:r>
      <w:r w:rsidR="006A120A">
        <w:t>and direct PG&amp;E and SCE</w:t>
      </w:r>
      <w:r w:rsidR="00F40E62">
        <w:t>, within the Standard Offer,</w:t>
      </w:r>
      <w:r w:rsidR="009F3E56">
        <w:t xml:space="preserve"> to </w:t>
      </w:r>
      <w:r>
        <w:t xml:space="preserve">pursue the approach of conducting an </w:t>
      </w:r>
      <w:r w:rsidR="00BD6C11">
        <w:t xml:space="preserve">initial </w:t>
      </w:r>
      <w:r>
        <w:t>engineering evaluation</w:t>
      </w:r>
      <w:r w:rsidR="00BD6C11">
        <w:t xml:space="preserve"> to assess ability</w:t>
      </w:r>
      <w:r>
        <w:t xml:space="preserve"> and communicating with the customer</w:t>
      </w:r>
      <w:r w:rsidR="00BD6C11">
        <w:t xml:space="preserve"> to verify interest</w:t>
      </w:r>
      <w:r>
        <w:t xml:space="preserve"> before conducting a full study.</w:t>
      </w:r>
    </w:p>
    <w:p w:rsidR="009B680C" w:rsidP="00674B19" w:rsidRDefault="0019070D" w14:paraId="05658994" w14:textId="23F748C3">
      <w:pPr>
        <w:pStyle w:val="Standard"/>
      </w:pPr>
      <w:r>
        <w:t>SCE’s approach ensures that they will not move forward with offering a FSC unless there are periods of time within each season where the customer can be provided their full desired capacity.</w:t>
      </w:r>
      <w:r w:rsidR="00A526FD">
        <w:rPr>
          <w:rStyle w:val="FootnoteReference"/>
        </w:rPr>
        <w:footnoteReference w:id="85"/>
      </w:r>
      <w:r>
        <w:t xml:space="preserve"> </w:t>
      </w:r>
      <w:r w:rsidR="00674B19">
        <w:t>We find SCE’s approach of not providing a FSC unless there are periods throughout the year where the customer can be provided full capacity overly restrictive for a Standard Offer</w:t>
      </w:r>
      <w:r w:rsidR="006925D7">
        <w:t xml:space="preserve"> and follow PG&amp;E’s </w:t>
      </w:r>
      <w:r w:rsidR="00054A03">
        <w:t xml:space="preserve">policy of offering a FSC to customers that can realize benefits even in the absence of </w:t>
      </w:r>
      <w:r w:rsidR="00D60A2C">
        <w:t>a period of full capacity for all seasons</w:t>
      </w:r>
      <w:r w:rsidR="00674B19">
        <w:t xml:space="preserve">. </w:t>
      </w:r>
      <w:r w:rsidR="00166ACD">
        <w:t xml:space="preserve">This policy maximizes the </w:t>
      </w:r>
      <w:r w:rsidR="009E7A8C">
        <w:t>amount of capacity that can be unlocked using FSCs</w:t>
      </w:r>
      <w:r w:rsidR="00BD6C11">
        <w:t>.</w:t>
      </w:r>
    </w:p>
    <w:p w:rsidR="00674B19" w:rsidP="00674B19" w:rsidRDefault="00674B19" w14:paraId="67AF35DC" w14:textId="6AF4CB17">
      <w:pPr>
        <w:pStyle w:val="Standard"/>
      </w:pPr>
      <w:bookmarkStart w:name="_Hlk216436141" w:id="62"/>
      <w:r>
        <w:lastRenderedPageBreak/>
        <w:t xml:space="preserve">We direct </w:t>
      </w:r>
      <w:r w:rsidR="00B35C15">
        <w:t xml:space="preserve">PG&amp;E and SCE </w:t>
      </w:r>
      <w:r>
        <w:t>to</w:t>
      </w:r>
      <w:r w:rsidR="00450F06">
        <w:t xml:space="preserve"> extend </w:t>
      </w:r>
      <w:r w:rsidR="00BD6C11">
        <w:t xml:space="preserve">the FSC </w:t>
      </w:r>
      <w:r w:rsidR="00450F06">
        <w:t>option to</w:t>
      </w:r>
      <w:r>
        <w:t xml:space="preserve"> all</w:t>
      </w:r>
      <w:r w:rsidR="00450F06">
        <w:t xml:space="preserve"> customers</w:t>
      </w:r>
      <w:r w:rsidR="00A65BAB">
        <w:t xml:space="preserve"> where there is both a customer and ratepayer benefit</w:t>
      </w:r>
      <w:r>
        <w:t>, even if there</w:t>
      </w:r>
      <w:r w:rsidR="00A526FD">
        <w:t xml:space="preserve"> is</w:t>
      </w:r>
      <w:r>
        <w:t xml:space="preserve"> a period of the year </w:t>
      </w:r>
      <w:r w:rsidR="00803DAE">
        <w:t>when</w:t>
      </w:r>
      <w:r>
        <w:t xml:space="preserve"> the</w:t>
      </w:r>
      <w:r w:rsidR="00CD696C">
        <w:t xml:space="preserve"> customer </w:t>
      </w:r>
      <w:r>
        <w:t xml:space="preserve">cannot </w:t>
      </w:r>
      <w:r w:rsidR="00B246D7">
        <w:t>have</w:t>
      </w:r>
      <w:r>
        <w:t xml:space="preserve"> their full </w:t>
      </w:r>
      <w:r w:rsidR="00D0149C">
        <w:t>requested</w:t>
      </w:r>
      <w:r>
        <w:t xml:space="preserve"> demand</w:t>
      </w:r>
      <w:r w:rsidR="001E1B8D">
        <w:t xml:space="preserve"> served</w:t>
      </w:r>
      <w:r>
        <w:t>.</w:t>
      </w:r>
      <w:r w:rsidR="002048F0">
        <w:t xml:space="preserve"> We clarify that </w:t>
      </w:r>
      <w:r w:rsidR="0010112C">
        <w:t>ratepayer benefit</w:t>
      </w:r>
      <w:r w:rsidR="00172F71">
        <w:t>s are a guiding principle</w:t>
      </w:r>
      <w:r w:rsidR="00CC59D5">
        <w:t xml:space="preserve"> and that</w:t>
      </w:r>
      <w:r w:rsidR="00172F71">
        <w:t xml:space="preserve"> </w:t>
      </w:r>
      <w:r w:rsidR="002048F0">
        <w:t>the IOU</w:t>
      </w:r>
      <w:r w:rsidR="000C76E8">
        <w:t xml:space="preserve"> is not required to demonstrate cost-efficiency for each individual project</w:t>
      </w:r>
      <w:r w:rsidR="00D358C6">
        <w:t>.</w:t>
      </w:r>
      <w:r w:rsidR="00CC59D5">
        <w:t xml:space="preserve"> </w:t>
      </w:r>
    </w:p>
    <w:bookmarkEnd w:id="62"/>
    <w:p w:rsidR="00674B19" w:rsidP="00674B19" w:rsidRDefault="00674B19" w14:paraId="16416C1C" w14:textId="06D9E591">
      <w:pPr>
        <w:pStyle w:val="Standard"/>
      </w:pPr>
      <w:r>
        <w:t xml:space="preserve">Both SCE and PG&amp;E have optimized their LLP design to provide a customer with as much power as possible, striving to meet their full </w:t>
      </w:r>
      <w:r w:rsidR="000210B3">
        <w:t xml:space="preserve">requested </w:t>
      </w:r>
      <w:r>
        <w:t>demand. Party comment establishes, though, that some customers are more sensitive to the availability of a minimum daily level of energy.</w:t>
      </w:r>
      <w:r w:rsidR="00B714F6">
        <w:rPr>
          <w:rStyle w:val="FootnoteReference"/>
        </w:rPr>
        <w:footnoteReference w:id="86"/>
      </w:r>
      <w:r>
        <w:t xml:space="preserve"> We find it reasonable to require </w:t>
      </w:r>
      <w:r w:rsidR="0055623D">
        <w:t>PG&amp;E and SCE</w:t>
      </w:r>
      <w:r>
        <w:t xml:space="preserve"> to </w:t>
      </w:r>
      <w:r w:rsidR="00B27067">
        <w:t xml:space="preserve">ask </w:t>
      </w:r>
      <w:r>
        <w:t>whether a Standard Offer customer would prefer optimization of their LLP for power or for energy.</w:t>
      </w:r>
      <w:r w:rsidR="006070C9">
        <w:t xml:space="preserve"> We clarify that the IOU is not compelled to </w:t>
      </w:r>
      <w:r w:rsidR="00325A61">
        <w:t>optimize the customer’s LLP for energy.</w:t>
      </w:r>
      <w:r>
        <w:t xml:space="preserve">  </w:t>
      </w:r>
    </w:p>
    <w:p w:rsidR="00674B19" w:rsidP="00674B19" w:rsidRDefault="00674B19" w14:paraId="66DD21DF" w14:textId="181C99B5">
      <w:pPr>
        <w:pStyle w:val="Standard"/>
      </w:pPr>
      <w:bookmarkStart w:name="_Hlk216436446" w:id="63"/>
      <w:r>
        <w:t>In the Standard Offer p</w:t>
      </w:r>
      <w:r w:rsidR="0039222A">
        <w:t>athway for Step 2</w:t>
      </w:r>
      <w:r>
        <w:t xml:space="preserve">, we direct </w:t>
      </w:r>
      <w:r w:rsidR="0055623D">
        <w:t>PG&amp;E and SCE</w:t>
      </w:r>
      <w:r>
        <w:t xml:space="preserve"> to perform an engineering evaluation that compares customer load profile and load ramp to distribution capacity prior to performing a full power flow study. </w:t>
      </w:r>
      <w:bookmarkStart w:name="_Hlk216436479" w:id="64"/>
      <w:bookmarkEnd w:id="63"/>
      <w:r>
        <w:t>In cases where this engineering evaluation identifies insufficient capacity and the customer application indicates interest in a FSC, the IOU is directed to contact the customer. In this customer contact, the IOU is directed to confirm that the customer (1) is willing and able to modify their load profile and (2) establish whether the customer prefers power optimization or energy optimization in the design of their LLP.</w:t>
      </w:r>
    </w:p>
    <w:p w:rsidR="00674B19" w:rsidP="00957C72" w:rsidRDefault="00674B19" w14:paraId="4C694E97" w14:textId="77777777">
      <w:pPr>
        <w:pStyle w:val="Heading3"/>
      </w:pPr>
      <w:bookmarkStart w:name="_Toc220940197" w:id="65"/>
      <w:bookmarkEnd w:id="64"/>
      <w:r>
        <w:lastRenderedPageBreak/>
        <w:t>Integration of Load and Generation in Engineering Evaluation and Analysis</w:t>
      </w:r>
      <w:bookmarkEnd w:id="65"/>
    </w:p>
    <w:p w:rsidR="00674B19" w:rsidP="00674B19" w:rsidRDefault="00674B19" w14:paraId="7EF8C3E1" w14:textId="7929B305">
      <w:pPr>
        <w:pStyle w:val="Standard"/>
      </w:pPr>
      <w:r>
        <w:t>Both PG&amp;E and SCE confirm that LLPs are available for customers with existing and planned gener</w:t>
      </w:r>
      <w:r w:rsidRPr="00E755CB">
        <w:t>ation</w:t>
      </w:r>
      <w:r w:rsidR="00D7395E">
        <w:t>,</w:t>
      </w:r>
      <w:r w:rsidRPr="00E755CB">
        <w:rPr>
          <w:rStyle w:val="FootnoteReference"/>
        </w:rPr>
        <w:footnoteReference w:id="87"/>
      </w:r>
      <w:r w:rsidRPr="00E755CB">
        <w:t xml:space="preserve"> and that the presence of such generation does </w:t>
      </w:r>
      <w:r w:rsidRPr="0021187D">
        <w:t xml:space="preserve">not alter their methodology </w:t>
      </w:r>
      <w:r w:rsidRPr="00E755CB">
        <w:t xml:space="preserve">for computing </w:t>
      </w:r>
      <w:r>
        <w:t xml:space="preserve">site load. SCE </w:t>
      </w:r>
      <w:r w:rsidR="000E16F6">
        <w:t xml:space="preserve">encourages </w:t>
      </w:r>
      <w:r>
        <w:t>generation</w:t>
      </w:r>
      <w:r w:rsidR="000E16F6">
        <w:t xml:space="preserve"> and factors it</w:t>
      </w:r>
      <w:r>
        <w:t xml:space="preserve"> into their engineering process, while PG&amp;E disregards generation both in existing operation and in concurrent applications, noting that the customer can use that generation to offset load at their discretion.</w:t>
      </w:r>
      <w:r>
        <w:rPr>
          <w:rStyle w:val="FootnoteReference"/>
        </w:rPr>
        <w:footnoteReference w:id="88"/>
      </w:r>
      <w:r>
        <w:t xml:space="preserve"> </w:t>
      </w:r>
    </w:p>
    <w:p w:rsidR="00674B19" w:rsidP="00674B19" w:rsidRDefault="00C07C3D" w14:paraId="287F8474" w14:textId="09E3136C">
      <w:pPr>
        <w:pStyle w:val="Standard"/>
      </w:pPr>
      <w:r>
        <w:t>Two p</w:t>
      </w:r>
      <w:r w:rsidR="00674B19">
        <w:t>arties note that on site generation is likely to be desired as most load customers likely cannot significantly alter their operations and would use supplemental power sources</w:t>
      </w:r>
      <w:r w:rsidR="007A22DD">
        <w:t xml:space="preserve"> (e.g., on site storage)</w:t>
      </w:r>
      <w:r w:rsidR="00674B19">
        <w:t>, and that customers installing DERs are well-positioned to take advantage of FSCs.</w:t>
      </w:r>
      <w:r w:rsidR="00674B19">
        <w:rPr>
          <w:rStyle w:val="FootnoteReference"/>
        </w:rPr>
        <w:footnoteReference w:id="89"/>
      </w:r>
      <w:r w:rsidRPr="00B24FCB" w:rsidR="00674B19">
        <w:rPr>
          <w:color w:val="A6A6A6" w:themeColor="background1" w:themeShade="A6"/>
        </w:rPr>
        <w:t xml:space="preserve"> </w:t>
      </w:r>
      <w:r w:rsidR="00674B19">
        <w:t xml:space="preserve">The majority of parties support the continued allowance of generation in conjunction with FSCs. At a minimum, </w:t>
      </w:r>
      <w:r w:rsidR="00204283">
        <w:t xml:space="preserve">some </w:t>
      </w:r>
      <w:r w:rsidR="00674B19">
        <w:t>parties feel that FSC customers should be allowed non-exporting generation,</w:t>
      </w:r>
      <w:r w:rsidR="00674B19">
        <w:rPr>
          <w:rStyle w:val="FootnoteReference"/>
        </w:rPr>
        <w:footnoteReference w:id="90"/>
      </w:r>
      <w:r w:rsidR="00674B19">
        <w:t xml:space="preserve"> and </w:t>
      </w:r>
      <w:r w:rsidR="000945A8">
        <w:t>EDF</w:t>
      </w:r>
      <w:r w:rsidRPr="0095410D" w:rsidR="00674B19">
        <w:t xml:space="preserve"> advocate</w:t>
      </w:r>
      <w:r w:rsidR="000945A8">
        <w:t>s</w:t>
      </w:r>
      <w:r w:rsidRPr="0095410D" w:rsidR="00674B19">
        <w:t xml:space="preserve"> for allowing dual enrollment in FSCs and </w:t>
      </w:r>
      <w:r w:rsidRPr="0021187D" w:rsidR="00632DDC">
        <w:t>Limited Generation Profiles</w:t>
      </w:r>
      <w:r w:rsidRPr="0095410D" w:rsidR="00674B19">
        <w:t>.</w:t>
      </w:r>
      <w:r w:rsidRPr="0095410D" w:rsidR="00674B19">
        <w:rPr>
          <w:rStyle w:val="FootnoteReference"/>
        </w:rPr>
        <w:footnoteReference w:id="91"/>
      </w:r>
    </w:p>
    <w:p w:rsidR="00674B19" w:rsidP="00674B19" w:rsidRDefault="00674B19" w14:paraId="3F091767" w14:textId="496E2847">
      <w:pPr>
        <w:pStyle w:val="Standard"/>
      </w:pPr>
      <w:r w:rsidRPr="00E31D6F">
        <w:t>We note that the Commission has directed the IOUs to work toward offering a single, streamlined process to customers requesting both load and generation.</w:t>
      </w:r>
      <w:r>
        <w:rPr>
          <w:rStyle w:val="FootnoteReference"/>
        </w:rPr>
        <w:footnoteReference w:id="92"/>
      </w:r>
      <w:r>
        <w:t xml:space="preserve"> We find </w:t>
      </w:r>
      <w:bookmarkStart w:name="_Hlk216437441" w:id="66"/>
      <w:r>
        <w:t xml:space="preserve">it reasonable that the Standard Offer process </w:t>
      </w:r>
      <w:r w:rsidR="00FD6E65">
        <w:t>considers</w:t>
      </w:r>
      <w:r w:rsidR="00BD19E0">
        <w:t xml:space="preserve"> </w:t>
      </w:r>
      <w:r>
        <w:t xml:space="preserve">on </w:t>
      </w:r>
      <w:r>
        <w:lastRenderedPageBreak/>
        <w:t xml:space="preserve">site generation </w:t>
      </w:r>
      <w:r w:rsidR="00BD19E0">
        <w:t xml:space="preserve">as a part of </w:t>
      </w:r>
      <w:r w:rsidR="006C4A1B">
        <w:t>its</w:t>
      </w:r>
      <w:r w:rsidR="00BD19E0">
        <w:t xml:space="preserve"> engineering </w:t>
      </w:r>
      <w:r w:rsidR="00AA41AD">
        <w:t xml:space="preserve">evaluation </w:t>
      </w:r>
      <w:r>
        <w:t>whether it be existing or planned, non-exporting or exporting.</w:t>
      </w:r>
      <w:bookmarkEnd w:id="66"/>
    </w:p>
    <w:p w:rsidR="00674B19" w:rsidP="002D10E7" w:rsidRDefault="00674B19" w14:paraId="54F180FF" w14:textId="70FC0600">
      <w:pPr>
        <w:pStyle w:val="Standard"/>
      </w:pPr>
      <w:r>
        <w:t xml:space="preserve">We differentiate between photovoltaics without </w:t>
      </w:r>
      <w:r w:rsidR="00407134">
        <w:t>onsite</w:t>
      </w:r>
      <w:r w:rsidR="00EA557C">
        <w:t xml:space="preserve"> </w:t>
      </w:r>
      <w:r w:rsidR="00030DEC">
        <w:t xml:space="preserve">energy </w:t>
      </w:r>
      <w:r>
        <w:t xml:space="preserve">storage and generation as a broader category. While the customer can use any generation to offset load, photovoltaics without storage have a regular level of output that is well characterized and modeled for the purposes of the </w:t>
      </w:r>
      <w:bookmarkStart w:name="_Hlk216188507" w:id="67"/>
      <w:r w:rsidRPr="00C1375E" w:rsidR="00C1375E">
        <w:t xml:space="preserve">Integration Capacity Analysis </w:t>
      </w:r>
      <w:r w:rsidR="00C1375E">
        <w:t>(</w:t>
      </w:r>
      <w:r>
        <w:t>ICA</w:t>
      </w:r>
      <w:r w:rsidR="00C1375E">
        <w:t>)</w:t>
      </w:r>
      <w:bookmarkEnd w:id="67"/>
      <w:r>
        <w:t xml:space="preserve">. </w:t>
      </w:r>
      <w:bookmarkStart w:name="_Hlk216437476" w:id="68"/>
      <w:r>
        <w:t xml:space="preserve">We direct </w:t>
      </w:r>
      <w:r w:rsidR="002E0806">
        <w:t>PG&amp;E and SCE</w:t>
      </w:r>
      <w:r>
        <w:t xml:space="preserve"> to incorporate the output of photovoltaics </w:t>
      </w:r>
      <w:r w:rsidR="00FE34A1">
        <w:t xml:space="preserve">for customers </w:t>
      </w:r>
      <w:r>
        <w:t>without</w:t>
      </w:r>
      <w:r w:rsidR="00030DEC">
        <w:t xml:space="preserve"> </w:t>
      </w:r>
      <w:r w:rsidR="00407134">
        <w:t>onsite</w:t>
      </w:r>
      <w:r w:rsidR="00FE34A1">
        <w:t xml:space="preserve"> </w:t>
      </w:r>
      <w:r>
        <w:t>storage into their engineering evaluation</w:t>
      </w:r>
      <w:r w:rsidR="00FD605B">
        <w:t xml:space="preserve">, to </w:t>
      </w:r>
      <w:r w:rsidR="00653F47">
        <w:t>describe the process used for this incorporation in the Implementation Advice Letter</w:t>
      </w:r>
      <w:r w:rsidR="00D52D80">
        <w:t>,</w:t>
      </w:r>
      <w:r>
        <w:t xml:space="preserve"> and to continue working toward offering a single, streamlined process to customers requesting both load and generation. </w:t>
      </w:r>
    </w:p>
    <w:p w:rsidR="00674B19" w:rsidP="00957C72" w:rsidRDefault="00674B19" w14:paraId="4FEE8696" w14:textId="06213703">
      <w:pPr>
        <w:pStyle w:val="Heading2"/>
      </w:pPr>
      <w:bookmarkStart w:name="_Toc220940198" w:id="69"/>
      <w:bookmarkEnd w:id="68"/>
      <w:r>
        <w:t>Modification of a Standard Offer LLP</w:t>
      </w:r>
      <w:bookmarkEnd w:id="69"/>
    </w:p>
    <w:p w:rsidR="00674B19" w:rsidP="00674B19" w:rsidRDefault="00674B19" w14:paraId="0CADFB11" w14:textId="1A13A56E">
      <w:pPr>
        <w:pStyle w:val="Standard"/>
      </w:pPr>
      <w:r>
        <w:t>Parties raise multiple issues related to the modification of the LLP associated with an executed FSC.</w:t>
      </w:r>
    </w:p>
    <w:p w:rsidR="00674B19" w:rsidP="00957C72" w:rsidRDefault="00674B19" w14:paraId="09857519" w14:textId="77777777">
      <w:pPr>
        <w:pStyle w:val="Heading3"/>
      </w:pPr>
      <w:bookmarkStart w:name="_Toc220940199" w:id="70"/>
      <w:r>
        <w:t>Curtailing Standard Offer Capacity for Safety, Reliability, or Insufficient Energy Supply</w:t>
      </w:r>
      <w:bookmarkEnd w:id="70"/>
      <w:r>
        <w:t xml:space="preserve"> </w:t>
      </w:r>
    </w:p>
    <w:p w:rsidR="00674B19" w:rsidP="00674B19" w:rsidRDefault="00674B19" w14:paraId="5FEA0337" w14:textId="3C29AC7D">
      <w:pPr>
        <w:pStyle w:val="Standard"/>
      </w:pPr>
      <w:r>
        <w:t>Both PG&amp;E</w:t>
      </w:r>
      <w:r>
        <w:rPr>
          <w:rStyle w:val="FootnoteReference"/>
        </w:rPr>
        <w:footnoteReference w:id="93"/>
      </w:r>
      <w:r>
        <w:t xml:space="preserve"> and SCE</w:t>
      </w:r>
      <w:r>
        <w:rPr>
          <w:rStyle w:val="FootnoteReference"/>
        </w:rPr>
        <w:footnoteReference w:id="94"/>
      </w:r>
      <w:r>
        <w:t xml:space="preserve"> assert the ability to deenergize a customer due to the</w:t>
      </w:r>
      <w:r w:rsidR="008C0103">
        <w:t xml:space="preserve"> customer’s</w:t>
      </w:r>
      <w:r>
        <w:t xml:space="preserve"> failure to adhere to the LLP set out by the respective IOU. PG&amp;E further asserts the ability to hold the FSC customer liable for the costs of repair to both PG&amp;E and customer-owned facilities damaged by the FSC customer’s lack of adherence to their LLP.</w:t>
      </w:r>
      <w:r>
        <w:rPr>
          <w:rStyle w:val="FootnoteReference"/>
        </w:rPr>
        <w:footnoteReference w:id="95"/>
      </w:r>
      <w:r>
        <w:t xml:space="preserve"> Parties </w:t>
      </w:r>
      <w:r w:rsidRPr="008C0103">
        <w:t xml:space="preserve">recognize that the load service rules already indicate that customers may still be subject to curtailment or shut-off even when </w:t>
      </w:r>
      <w:r w:rsidRPr="008C0103">
        <w:lastRenderedPageBreak/>
        <w:t>offered an LLP, and agree that this should remain the case.</w:t>
      </w:r>
      <w:r w:rsidRPr="008C0103">
        <w:rPr>
          <w:rStyle w:val="FootnoteReference"/>
        </w:rPr>
        <w:footnoteReference w:id="96"/>
      </w:r>
      <w:r w:rsidRPr="008C0103">
        <w:t xml:space="preserve"> </w:t>
      </w:r>
      <w:r>
        <w:t>We note that IOUs have clear authority to curtail load for reasons related to safety and reliability under Tariff Rule 11</w:t>
      </w:r>
      <w:r w:rsidR="00283895">
        <w:rPr>
          <w:rStyle w:val="FootnoteReference"/>
        </w:rPr>
        <w:footnoteReference w:id="97"/>
      </w:r>
      <w:r>
        <w:t xml:space="preserve"> and insufficient supply under Tariff Rule 14.</w:t>
      </w:r>
      <w:r w:rsidR="00BE5E95">
        <w:rPr>
          <w:rStyle w:val="FootnoteReference"/>
        </w:rPr>
        <w:footnoteReference w:id="98"/>
      </w:r>
    </w:p>
    <w:p w:rsidR="00674B19" w:rsidP="00674B19" w:rsidRDefault="00674B19" w14:paraId="2F8A4B98" w14:textId="07ED74E8">
      <w:pPr>
        <w:pStyle w:val="Standard"/>
      </w:pPr>
      <w:r w:rsidRPr="00F24353">
        <w:t>Parties emphasize that customers need assurance that the capacity provided by their approved LLPs will not be unilaterally reduced without their consent, as modifications to the agreed-upon load limits would cause uncertainty, could cause significant economic damage</w:t>
      </w:r>
      <w:r>
        <w:t>,</w:t>
      </w:r>
      <w:r w:rsidRPr="00F24353">
        <w:t xml:space="preserve"> and would be more disruptive than reductions in generation capacity.</w:t>
      </w:r>
      <w:r w:rsidRPr="00F24353">
        <w:rPr>
          <w:rStyle w:val="FootnoteReference"/>
        </w:rPr>
        <w:footnoteReference w:id="99"/>
      </w:r>
      <w:r w:rsidR="00D15F37">
        <w:t xml:space="preserve"> Parties further note that FSCs present </w:t>
      </w:r>
      <w:r w:rsidR="00A07EA3">
        <w:t>nuanced</w:t>
      </w:r>
      <w:r w:rsidR="00D15F37">
        <w:t xml:space="preserve"> opportunit</w:t>
      </w:r>
      <w:r w:rsidR="00A07EA3">
        <w:t xml:space="preserve">ies beyond the </w:t>
      </w:r>
      <w:r w:rsidR="00260719">
        <w:t>tradit</w:t>
      </w:r>
      <w:r w:rsidR="00EE13E9">
        <w:t>ional “all or nothing” curtailment options.</w:t>
      </w:r>
      <w:r w:rsidR="00EE13E9">
        <w:rPr>
          <w:rStyle w:val="FootnoteReference"/>
        </w:rPr>
        <w:footnoteReference w:id="100"/>
      </w:r>
      <w:r w:rsidR="009A25F8">
        <w:t xml:space="preserve"> </w:t>
      </w:r>
    </w:p>
    <w:p w:rsidR="00343C88" w:rsidP="00674B19" w:rsidRDefault="00674B19" w14:paraId="106075A0" w14:textId="058C9E4C">
      <w:pPr>
        <w:pStyle w:val="Standard"/>
      </w:pPr>
      <w:r>
        <w:t xml:space="preserve">The record indicates that curtailment in existing </w:t>
      </w:r>
      <w:r w:rsidR="00696E1C">
        <w:t xml:space="preserve">PG&amp;E and SCE </w:t>
      </w:r>
      <w:r>
        <w:t xml:space="preserve">offerings, however, has been limited to a single instance due to erroneous information. This instance resulted in closer coordination between </w:t>
      </w:r>
      <w:r w:rsidR="002E0806">
        <w:t xml:space="preserve">SCE’s </w:t>
      </w:r>
      <w:r>
        <w:t>internal departments</w:t>
      </w:r>
      <w:r w:rsidR="007A63C3">
        <w:t>, helping to prevent future curtailment instances</w:t>
      </w:r>
      <w:r>
        <w:t>.</w:t>
      </w:r>
      <w:r w:rsidR="00942DD2">
        <w:rPr>
          <w:rStyle w:val="FootnoteReference"/>
        </w:rPr>
        <w:footnoteReference w:id="101"/>
      </w:r>
      <w:r>
        <w:t xml:space="preserve"> We expect that any future curtailment of Standard Offer FSCs will be consistent with the rationale and </w:t>
      </w:r>
      <w:r w:rsidR="00D31FED">
        <w:t>processes</w:t>
      </w:r>
      <w:r>
        <w:t xml:space="preserve"> that have historically been used for Tariff Rule 11 and 14 curtailments. </w:t>
      </w:r>
    </w:p>
    <w:p w:rsidR="00674B19" w:rsidP="00674B19" w:rsidRDefault="00674B19" w14:paraId="6782CE4C" w14:textId="1909CB77">
      <w:pPr>
        <w:pStyle w:val="Standard"/>
      </w:pPr>
      <w:r>
        <w:t>We decline to impose restrictions on curtailment as the IOUs are already obligated to serve customers in a non-discriminatory fashion.</w:t>
      </w:r>
      <w:r w:rsidR="00A54520">
        <w:rPr>
          <w:rStyle w:val="FootnoteReference"/>
        </w:rPr>
        <w:footnoteReference w:id="102"/>
      </w:r>
      <w:r>
        <w:t xml:space="preserve"> We do find it </w:t>
      </w:r>
      <w:r>
        <w:lastRenderedPageBreak/>
        <w:t xml:space="preserve">reasonable to direct </w:t>
      </w:r>
      <w:r w:rsidR="008E1B62">
        <w:t>PG&amp;E and SCE</w:t>
      </w:r>
      <w:r>
        <w:t xml:space="preserve"> to collect and retain data for all curtailment incidents affecting Standard Offer customers and report that data as detailed in </w:t>
      </w:r>
      <w:r w:rsidRPr="001B2FFD">
        <w:t xml:space="preserve">Section </w:t>
      </w:r>
      <w:r w:rsidR="00E31F22">
        <w:t>9</w:t>
      </w:r>
      <w:r w:rsidRPr="001B2FFD" w:rsidR="00E31F22">
        <w:t xml:space="preserve"> </w:t>
      </w:r>
      <w:r w:rsidRPr="001B2FFD">
        <w:t>b</w:t>
      </w:r>
      <w:r>
        <w:t xml:space="preserve">elow.  </w:t>
      </w:r>
    </w:p>
    <w:p w:rsidR="00674B19" w:rsidP="00957C72" w:rsidRDefault="00674B19" w14:paraId="20312FC6" w14:textId="77777777">
      <w:pPr>
        <w:pStyle w:val="Heading3"/>
      </w:pPr>
      <w:bookmarkStart w:name="_Toc220940200" w:id="71"/>
      <w:r>
        <w:t>Modifying LLP to Reflect Annual Capacity Reassessment</w:t>
      </w:r>
      <w:bookmarkEnd w:id="71"/>
    </w:p>
    <w:p w:rsidR="007755C5" w:rsidP="00674B19" w:rsidRDefault="00674B19" w14:paraId="58D103C4" w14:textId="59737D32">
      <w:pPr>
        <w:pStyle w:val="Standard"/>
      </w:pPr>
      <w:r>
        <w:t>PG&amp;E and SCE take similar approaches to providing their FSC customers the opportunity to modify an established LLP. SCE performs an annual assessment with the aim of identifying additional capacity and revising the LLP. PG&amp;E is willing to perform a similar assessment upon request.</w:t>
      </w:r>
      <w:r w:rsidR="00421DFD">
        <w:rPr>
          <w:rStyle w:val="FootnoteReference"/>
        </w:rPr>
        <w:footnoteReference w:id="103"/>
      </w:r>
      <w:r>
        <w:t xml:space="preserve"> The record does not indicate whether these assessments have resulted in additional capacity, or whether that capacity is significant. We find it reasonable to direct </w:t>
      </w:r>
      <w:r w:rsidR="00930967">
        <w:t xml:space="preserve">PG&amp;E and SCE </w:t>
      </w:r>
      <w:r>
        <w:t xml:space="preserve">to allow for an annual review of capacity </w:t>
      </w:r>
      <w:r w:rsidR="00696E1C">
        <w:t>for</w:t>
      </w:r>
      <w:r>
        <w:t xml:space="preserve"> </w:t>
      </w:r>
      <w:r w:rsidR="00696E1C">
        <w:t xml:space="preserve">a customer’s </w:t>
      </w:r>
      <w:r>
        <w:t>Standard Offer</w:t>
      </w:r>
      <w:r w:rsidR="00696E1C">
        <w:t xml:space="preserve"> FSC</w:t>
      </w:r>
      <w:r>
        <w:t xml:space="preserve">, upon request and payment </w:t>
      </w:r>
      <w:r w:rsidR="006A5B23">
        <w:t xml:space="preserve">by the customer </w:t>
      </w:r>
      <w:r>
        <w:t>of any additional expense</w:t>
      </w:r>
      <w:r w:rsidR="006A5B23">
        <w:t xml:space="preserve"> incurred in performing such a review</w:t>
      </w:r>
      <w:r>
        <w:t xml:space="preserve">. </w:t>
      </w:r>
      <w:r w:rsidR="007755C5">
        <w:t xml:space="preserve">PG&amp;E and SCE shall include a description of their process for requesting an annual capacity review in the </w:t>
      </w:r>
      <w:r w:rsidR="00A730F8">
        <w:t>Implementation Advice Letter</w:t>
      </w:r>
      <w:r w:rsidR="007755C5">
        <w:t>.</w:t>
      </w:r>
    </w:p>
    <w:p w:rsidR="00674B19" w:rsidP="00674B19" w:rsidRDefault="004045D9" w14:paraId="1A028391" w14:textId="5831877F">
      <w:pPr>
        <w:pStyle w:val="Standard"/>
      </w:pPr>
      <w:r>
        <w:t xml:space="preserve">If </w:t>
      </w:r>
      <w:r w:rsidR="00696E1C">
        <w:t>PG&amp;E or SCE</w:t>
      </w:r>
      <w:r>
        <w:t xml:space="preserve"> </w:t>
      </w:r>
      <w:r w:rsidR="004F7513">
        <w:t>identif</w:t>
      </w:r>
      <w:r w:rsidR="00124E04">
        <w:t>ies</w:t>
      </w:r>
      <w:r w:rsidR="004F7513">
        <w:t xml:space="preserve"> significant additional capacity</w:t>
      </w:r>
      <w:r w:rsidRPr="00124E04" w:rsidR="00124E04">
        <w:t xml:space="preserve"> </w:t>
      </w:r>
      <w:r w:rsidR="00124E04">
        <w:t>in the course of its normal utility operations</w:t>
      </w:r>
      <w:r w:rsidR="004F7513">
        <w:t>,</w:t>
      </w:r>
      <w:r w:rsidR="00DC71EA">
        <w:rPr>
          <w:rStyle w:val="FootnoteReference"/>
        </w:rPr>
        <w:footnoteReference w:id="104"/>
      </w:r>
      <w:r w:rsidR="004F7513">
        <w:t xml:space="preserve"> </w:t>
      </w:r>
      <w:r w:rsidR="00FD64D6">
        <w:t>it</w:t>
      </w:r>
      <w:r w:rsidR="007B30E4">
        <w:t xml:space="preserve"> should offer that additional capacity to existing Standard Offer customers</w:t>
      </w:r>
      <w:r w:rsidR="00950C59">
        <w:t xml:space="preserve"> without </w:t>
      </w:r>
      <w:r w:rsidR="00DE426A">
        <w:t xml:space="preserve">requiring customer payment for </w:t>
      </w:r>
      <w:r w:rsidR="00F54C06">
        <w:t>its</w:t>
      </w:r>
      <w:r w:rsidR="00DE426A">
        <w:t xml:space="preserve"> normal utility operations.</w:t>
      </w:r>
      <w:r w:rsidR="00EB58A8">
        <w:t xml:space="preserve"> </w:t>
      </w:r>
    </w:p>
    <w:p w:rsidR="00674B19" w:rsidP="00957C72" w:rsidRDefault="00674B19" w14:paraId="6D7E13D6" w14:textId="0A352DE9">
      <w:pPr>
        <w:pStyle w:val="Heading3"/>
      </w:pPr>
      <w:bookmarkStart w:name="_Toc220940201" w:id="72"/>
      <w:r>
        <w:t>Modifying LLP on a Limited Term, Ad</w:t>
      </w:r>
      <w:r w:rsidR="00957C72">
        <w:t> </w:t>
      </w:r>
      <w:r>
        <w:t>Hoc Basis</w:t>
      </w:r>
      <w:bookmarkEnd w:id="72"/>
    </w:p>
    <w:p w:rsidR="00674B19" w:rsidP="00674B19" w:rsidRDefault="00674B19" w14:paraId="18CBE17F" w14:textId="50139C27">
      <w:pPr>
        <w:pStyle w:val="Standard"/>
      </w:pPr>
      <w:r>
        <w:t xml:space="preserve">PG&amp;E will currently assess whether projected load, operational, and weather conditions allow for a FSC customer to temporarily increase the capacity </w:t>
      </w:r>
      <w:r>
        <w:lastRenderedPageBreak/>
        <w:t>values in their LLP.</w:t>
      </w:r>
      <w:r>
        <w:rPr>
          <w:rStyle w:val="FootnoteReference"/>
        </w:rPr>
        <w:footnoteReference w:id="105"/>
      </w:r>
      <w:r>
        <w:t xml:space="preserve"> This assessment occurs in response to a customer request corresponding to a fixed window of time, such as for a holiday peak, scheduled event, or special operational need. This assessment can only be conducted within the timeframe of a typical weather forecasting window, and is memorialized by a LLL that reflects the window of time and LLP values. There is no record of SCE providing this sort of assessment.</w:t>
      </w:r>
    </w:p>
    <w:p w:rsidR="00674B19" w:rsidP="00674B19" w:rsidRDefault="00674B19" w14:paraId="60967637" w14:textId="387CD4C7">
      <w:pPr>
        <w:pStyle w:val="Standard"/>
      </w:pPr>
      <w:r>
        <w:t xml:space="preserve">We find it reasonable to direct </w:t>
      </w:r>
      <w:r w:rsidR="009F36E5">
        <w:t xml:space="preserve">PG&amp;E and SCE </w:t>
      </w:r>
      <w:r>
        <w:t xml:space="preserve">to allow for an ad-hoc review of available capacity within the weather forecasting window, upon </w:t>
      </w:r>
      <w:r w:rsidR="006B723A">
        <w:t xml:space="preserve">customer </w:t>
      </w:r>
      <w:r>
        <w:t xml:space="preserve">request and payment </w:t>
      </w:r>
      <w:r w:rsidR="006A5B23">
        <w:t>by the customer of any additional expense incurred in performing such a review</w:t>
      </w:r>
      <w:r>
        <w:t>.</w:t>
      </w:r>
      <w:r w:rsidR="009213CE">
        <w:t xml:space="preserve"> PG&amp;E and SCE shall include a description of their process for requesting an ad</w:t>
      </w:r>
      <w:r w:rsidR="00AC19D5">
        <w:t>-hoc</w:t>
      </w:r>
      <w:r w:rsidR="009213CE">
        <w:t xml:space="preserve"> capacity review in the </w:t>
      </w:r>
      <w:r w:rsidR="00A730F8">
        <w:t>Implementation Advice Letter</w:t>
      </w:r>
      <w:r w:rsidR="009213CE">
        <w:t>.</w:t>
      </w:r>
    </w:p>
    <w:p w:rsidR="00F67455" w:rsidP="00957C72" w:rsidRDefault="007D5C6A" w14:paraId="14C5A69D" w14:textId="01B2677E">
      <w:pPr>
        <w:pStyle w:val="Heading2"/>
      </w:pPr>
      <w:bookmarkStart w:name="_Toc220940202" w:id="73"/>
      <w:r>
        <w:t xml:space="preserve">Customer Enrollment </w:t>
      </w:r>
      <w:r w:rsidR="00DD709A">
        <w:t>Utilization</w:t>
      </w:r>
      <w:r w:rsidR="00AC19D5">
        <w:t xml:space="preserve"> of a</w:t>
      </w:r>
      <w:r>
        <w:t xml:space="preserve"> S</w:t>
      </w:r>
      <w:r w:rsidR="002B654C">
        <w:t xml:space="preserve">tandard </w:t>
      </w:r>
      <w:r>
        <w:t>O</w:t>
      </w:r>
      <w:r w:rsidR="002B654C">
        <w:t>ffer</w:t>
      </w:r>
      <w:r>
        <w:t xml:space="preserve"> Shall </w:t>
      </w:r>
      <w:r w:rsidR="00C343ED">
        <w:t>N</w:t>
      </w:r>
      <w:r>
        <w:t xml:space="preserve">ot </w:t>
      </w:r>
      <w:r w:rsidR="00C343ED">
        <w:t>A</w:t>
      </w:r>
      <w:r>
        <w:t xml:space="preserve">ffect </w:t>
      </w:r>
      <w:r w:rsidR="00C343ED">
        <w:t>E</w:t>
      </w:r>
      <w:r w:rsidR="00B8283A">
        <w:t xml:space="preserve">nergization </w:t>
      </w:r>
      <w:r w:rsidR="00C343ED">
        <w:t>Q</w:t>
      </w:r>
      <w:r w:rsidR="00B8283A">
        <w:t xml:space="preserve">ueue </w:t>
      </w:r>
      <w:r w:rsidR="00C343ED">
        <w:t>P</w:t>
      </w:r>
      <w:r w:rsidR="00B8283A">
        <w:t>ositions</w:t>
      </w:r>
      <w:bookmarkEnd w:id="73"/>
    </w:p>
    <w:p w:rsidRPr="00B8283A" w:rsidR="00B8283A" w:rsidP="00B8283A" w:rsidRDefault="00B8283A" w14:paraId="0B85593F" w14:textId="30914483">
      <w:pPr>
        <w:pStyle w:val="Standard"/>
      </w:pPr>
      <w:r>
        <w:t>We clarify that</w:t>
      </w:r>
      <w:r w:rsidR="00377D44">
        <w:t xml:space="preserve"> </w:t>
      </w:r>
      <w:r w:rsidR="008464B0">
        <w:t xml:space="preserve">customers </w:t>
      </w:r>
      <w:r w:rsidR="00DD709A">
        <w:t>utilizing</w:t>
      </w:r>
      <w:r w:rsidR="008464B0">
        <w:t xml:space="preserve"> a S</w:t>
      </w:r>
      <w:r w:rsidR="00D924C2">
        <w:t xml:space="preserve">tandard </w:t>
      </w:r>
      <w:r w:rsidR="008464B0">
        <w:t>O</w:t>
      </w:r>
      <w:r w:rsidR="00D924C2">
        <w:t>ffer</w:t>
      </w:r>
      <w:r w:rsidR="0015503A">
        <w:t xml:space="preserve"> </w:t>
      </w:r>
      <w:r w:rsidR="008464B0">
        <w:t xml:space="preserve">shall not have any change in their energization queue positions and that the IOU shall </w:t>
      </w:r>
      <w:r w:rsidR="006A5B23">
        <w:t xml:space="preserve">not </w:t>
      </w:r>
      <w:r w:rsidR="00B04FFF">
        <w:t xml:space="preserve">change the prioritization of </w:t>
      </w:r>
      <w:r w:rsidRPr="0021187D" w:rsidR="00320FE4">
        <w:t xml:space="preserve">a </w:t>
      </w:r>
      <w:r w:rsidRPr="0021187D" w:rsidR="00B04FFF">
        <w:t>capacity</w:t>
      </w:r>
      <w:r w:rsidRPr="001B2FFD" w:rsidR="00B04FFF">
        <w:t xml:space="preserve"> project</w:t>
      </w:r>
      <w:r w:rsidR="00B04FFF">
        <w:t xml:space="preserve"> </w:t>
      </w:r>
      <w:r w:rsidR="00AB1C4F">
        <w:t>based on customer participation in a S</w:t>
      </w:r>
      <w:r w:rsidR="00BA57D8">
        <w:t xml:space="preserve">tandard </w:t>
      </w:r>
      <w:r w:rsidR="00AB1C4F">
        <w:t>O</w:t>
      </w:r>
      <w:r w:rsidR="00BA57D8">
        <w:t>ffer</w:t>
      </w:r>
      <w:r w:rsidR="00AB1C4F">
        <w:t>.</w:t>
      </w:r>
      <w:r w:rsidR="00C66444">
        <w:t xml:space="preserve"> As the Standard Offer is a bridging solution that is offered</w:t>
      </w:r>
      <w:r w:rsidR="00FF05B8">
        <w:t xml:space="preserve"> only</w:t>
      </w:r>
      <w:r w:rsidR="00C66444">
        <w:t xml:space="preserve"> while </w:t>
      </w:r>
      <w:r w:rsidR="00124C45">
        <w:t>the</w:t>
      </w:r>
      <w:r w:rsidR="00320FE4">
        <w:t xml:space="preserve"> capacity is constrained</w:t>
      </w:r>
      <w:r w:rsidR="000C7D87">
        <w:t xml:space="preserve">, it should not </w:t>
      </w:r>
      <w:r w:rsidR="00433689">
        <w:t>impac</w:t>
      </w:r>
      <w:r w:rsidR="00CD7405">
        <w:t>t</w:t>
      </w:r>
      <w:r w:rsidR="002E1CB2">
        <w:t xml:space="preserve"> the </w:t>
      </w:r>
      <w:r w:rsidR="002E4FF1">
        <w:t xml:space="preserve">customer </w:t>
      </w:r>
      <w:r w:rsidR="0098124A">
        <w:t>queue position</w:t>
      </w:r>
      <w:r w:rsidR="00103A38">
        <w:t xml:space="preserve"> or</w:t>
      </w:r>
      <w:r w:rsidR="00252AAD">
        <w:t xml:space="preserve"> </w:t>
      </w:r>
      <w:r w:rsidR="00756DC2">
        <w:t>the capacity</w:t>
      </w:r>
      <w:r w:rsidR="0098124A">
        <w:t xml:space="preserve"> </w:t>
      </w:r>
      <w:r w:rsidR="00313F06">
        <w:t>project prioritization.</w:t>
      </w:r>
    </w:p>
    <w:p w:rsidR="00674B19" w:rsidP="00957C72" w:rsidRDefault="00674B19" w14:paraId="0741F4D9" w14:textId="77777777">
      <w:pPr>
        <w:pStyle w:val="Heading1"/>
      </w:pPr>
      <w:bookmarkStart w:name="_Toc220940203" w:id="74"/>
      <w:r>
        <w:t>Standard Offer Flexible Service Connection Technical Elements</w:t>
      </w:r>
      <w:bookmarkEnd w:id="74"/>
    </w:p>
    <w:p w:rsidR="00B92A50" w:rsidP="00D61190" w:rsidRDefault="00FE4803" w14:paraId="20FDCC38" w14:textId="44F89C30">
      <w:pPr>
        <w:pStyle w:val="Standard"/>
      </w:pPr>
      <w:r>
        <w:t>California’s</w:t>
      </w:r>
      <w:r w:rsidR="00D32121">
        <w:t xml:space="preserve"> two FSC offerings </w:t>
      </w:r>
      <w:r w:rsidR="000A6198">
        <w:t>and</w:t>
      </w:r>
      <w:r w:rsidR="007C7582">
        <w:t xml:space="preserve"> the</w:t>
      </w:r>
      <w:r w:rsidR="000A6198">
        <w:t xml:space="preserve"> recent development of technical standards</w:t>
      </w:r>
      <w:r w:rsidR="003D00DF">
        <w:t xml:space="preserve"> provide </w:t>
      </w:r>
      <w:r w:rsidR="00D61190">
        <w:t>a baseline set of technical element</w:t>
      </w:r>
      <w:r w:rsidR="006A5B23">
        <w:t>s</w:t>
      </w:r>
      <w:r w:rsidR="00D61190">
        <w:t>.</w:t>
      </w:r>
      <w:r w:rsidR="005E7EAE">
        <w:t xml:space="preserve"> The guiding principles we </w:t>
      </w:r>
      <w:r w:rsidR="005E7EAE">
        <w:lastRenderedPageBreak/>
        <w:t>use in setting the</w:t>
      </w:r>
      <w:r w:rsidR="00B92A50">
        <w:t xml:space="preserve"> technical elements for the</w:t>
      </w:r>
      <w:r w:rsidR="005E7EAE">
        <w:t xml:space="preserve"> S</w:t>
      </w:r>
      <w:r w:rsidR="00CB2400">
        <w:t xml:space="preserve">tandard </w:t>
      </w:r>
      <w:r w:rsidR="005E7EAE">
        <w:t>O</w:t>
      </w:r>
      <w:r w:rsidR="00CB2400">
        <w:t>ffer</w:t>
      </w:r>
      <w:r w:rsidR="005E7EAE">
        <w:t xml:space="preserve"> are </w:t>
      </w:r>
      <w:r w:rsidR="006A5B23">
        <w:t xml:space="preserve">assuring </w:t>
      </w:r>
      <w:r w:rsidR="005E7EAE">
        <w:t>safety</w:t>
      </w:r>
      <w:r w:rsidR="006A5B23">
        <w:t xml:space="preserve"> </w:t>
      </w:r>
      <w:r w:rsidR="00C77895">
        <w:t>while</w:t>
      </w:r>
      <w:r w:rsidR="006A5B23">
        <w:t xml:space="preserve"> promoting</w:t>
      </w:r>
      <w:r w:rsidR="005E7EAE">
        <w:t xml:space="preserve"> speed and scale.</w:t>
      </w:r>
      <w:r w:rsidR="003D00DF">
        <w:t xml:space="preserve">  </w:t>
      </w:r>
    </w:p>
    <w:p w:rsidR="00D61190" w:rsidP="00D61190" w:rsidRDefault="00D61190" w14:paraId="6070E91B" w14:textId="3DF521F7">
      <w:pPr>
        <w:pStyle w:val="Standard"/>
      </w:pPr>
      <w:r>
        <w:t>PG&amp;E’s LLL and SCE’s LCMS offerings diverge in the approach that they take to ensure that enrolled customers remain within the IOU authorized capacity. SCE’s LCMS utilizes a</w:t>
      </w:r>
      <w:r w:rsidR="0045376A">
        <w:t xml:space="preserve"> more directive</w:t>
      </w:r>
      <w:r>
        <w:t xml:space="preserve"> approach, </w:t>
      </w:r>
      <w:r w:rsidR="2E12CFDA">
        <w:t>which requires</w:t>
      </w:r>
      <w:r w:rsidR="00512199">
        <w:t xml:space="preserve"> </w:t>
      </w:r>
      <w:r w:rsidR="004C693E">
        <w:t xml:space="preserve">SCE’s approval of both the </w:t>
      </w:r>
      <w:r w:rsidR="00296088">
        <w:t>equipment and system design</w:t>
      </w:r>
      <w:r w:rsidR="00296088">
        <w:rPr>
          <w:rStyle w:val="FootnoteReference"/>
        </w:rPr>
        <w:footnoteReference w:id="106"/>
      </w:r>
      <w:r w:rsidR="008005F6">
        <w:t xml:space="preserve"> </w:t>
      </w:r>
      <w:r w:rsidR="00750337">
        <w:t xml:space="preserve">and </w:t>
      </w:r>
      <w:r w:rsidR="004C5810">
        <w:t>commissioning</w:t>
      </w:r>
      <w:r w:rsidR="00576D0D">
        <w:t xml:space="preserve"> of the installed system</w:t>
      </w:r>
      <w:r w:rsidR="009F7E03">
        <w:t>,</w:t>
      </w:r>
      <w:r w:rsidR="009F7E03">
        <w:rPr>
          <w:rStyle w:val="FootnoteReference"/>
        </w:rPr>
        <w:footnoteReference w:id="107"/>
      </w:r>
      <w:r w:rsidR="0073084A">
        <w:t xml:space="preserve"> </w:t>
      </w:r>
      <w:r>
        <w:t xml:space="preserve">while PG&amp;E has </w:t>
      </w:r>
      <w:r w:rsidR="00EE44F9">
        <w:t xml:space="preserve">a </w:t>
      </w:r>
      <w:r w:rsidR="1B83E930">
        <w:t>more efficient approach</w:t>
      </w:r>
      <w:r w:rsidR="00EE44F9">
        <w:t xml:space="preserve">, </w:t>
      </w:r>
      <w:r w:rsidR="006C5BDB">
        <w:t>not imposing equipment requirements</w:t>
      </w:r>
      <w:r w:rsidR="00126473">
        <w:rPr>
          <w:rStyle w:val="FootnoteReference"/>
        </w:rPr>
        <w:footnoteReference w:id="108"/>
      </w:r>
      <w:r w:rsidR="006C5BDB">
        <w:t xml:space="preserve"> and </w:t>
      </w:r>
      <w:r w:rsidR="00EE44F9">
        <w:t xml:space="preserve">using </w:t>
      </w:r>
      <w:r w:rsidR="007C6563">
        <w:t>Advanced Metering Infrastructure (</w:t>
      </w:r>
      <w:r w:rsidR="008063C5">
        <w:t>AMI</w:t>
      </w:r>
      <w:r w:rsidR="007C6563">
        <w:t>)</w:t>
      </w:r>
      <w:r w:rsidR="008063C5">
        <w:t xml:space="preserve"> data to flag </w:t>
      </w:r>
      <w:r w:rsidR="00E92B23">
        <w:t>any excess power used by a customer</w:t>
      </w:r>
      <w:r w:rsidR="009D45C4">
        <w:t xml:space="preserve"> for later review and customer communications</w:t>
      </w:r>
      <w:r>
        <w:t>.</w:t>
      </w:r>
      <w:r w:rsidR="00126473">
        <w:rPr>
          <w:rStyle w:val="FootnoteReference"/>
        </w:rPr>
        <w:footnoteReference w:id="109"/>
      </w:r>
    </w:p>
    <w:p w:rsidR="00674B19" w:rsidP="00674B19" w:rsidRDefault="007C7582" w14:paraId="085AECA5" w14:textId="279BE0FF">
      <w:pPr>
        <w:pStyle w:val="Standard"/>
      </w:pPr>
      <w:r>
        <w:t xml:space="preserve">Our review of the record shows that </w:t>
      </w:r>
      <w:r w:rsidR="00E81AB6">
        <w:t xml:space="preserve">PG&amp;E’s </w:t>
      </w:r>
      <w:r w:rsidR="00126473">
        <w:t xml:space="preserve">more efficient </w:t>
      </w:r>
      <w:r w:rsidR="007E2C89">
        <w:t>“trust and verify”</w:t>
      </w:r>
      <w:r w:rsidR="007C6563">
        <w:t xml:space="preserve"> </w:t>
      </w:r>
      <w:r w:rsidR="00C969E2">
        <w:t>approach</w:t>
      </w:r>
      <w:r w:rsidR="00C969E2">
        <w:rPr>
          <w:rStyle w:val="FootnoteReference"/>
        </w:rPr>
        <w:footnoteReference w:id="110"/>
      </w:r>
      <w:r w:rsidR="00C969E2">
        <w:t xml:space="preserve"> </w:t>
      </w:r>
      <w:r w:rsidR="007E2C89">
        <w:t xml:space="preserve">has </w:t>
      </w:r>
      <w:r w:rsidR="00300C74">
        <w:t>safely</w:t>
      </w:r>
      <w:r w:rsidR="005E7EAE">
        <w:t xml:space="preserve"> </w:t>
      </w:r>
      <w:r w:rsidR="00300C74">
        <w:t>unlocked</w:t>
      </w:r>
      <w:r w:rsidR="005E7EAE">
        <w:t xml:space="preserve"> capacity</w:t>
      </w:r>
      <w:r w:rsidRPr="00674BA0" w:rsidR="00674BA0">
        <w:t xml:space="preserve"> </w:t>
      </w:r>
      <w:r w:rsidR="00674BA0">
        <w:t>at higher levels than SCE’s</w:t>
      </w:r>
      <w:r w:rsidR="006E6115">
        <w:t xml:space="preserve">. </w:t>
      </w:r>
    </w:p>
    <w:p w:rsidRPr="001C01C5" w:rsidR="0092436D" w:rsidP="00957C72" w:rsidRDefault="002E7A41" w14:paraId="561B8868" w14:textId="1AD5E51C">
      <w:pPr>
        <w:pStyle w:val="Heading2"/>
      </w:pPr>
      <w:bookmarkStart w:name="_Toc220940204" w:id="75"/>
      <w:r w:rsidRPr="001C01C5">
        <w:t xml:space="preserve">Method for Determining Customer </w:t>
      </w:r>
      <w:r w:rsidRPr="001C01C5" w:rsidR="006A0399">
        <w:t>Load in the Standard Offer</w:t>
      </w:r>
      <w:bookmarkEnd w:id="75"/>
    </w:p>
    <w:p w:rsidR="00755C98" w:rsidP="00B2454E" w:rsidRDefault="00755C98" w14:paraId="2C0998AE" w14:textId="22136AC9">
      <w:pPr>
        <w:pStyle w:val="Standard"/>
      </w:pPr>
      <w:r>
        <w:t>Both PG&amp;E</w:t>
      </w:r>
      <w:r w:rsidR="00CD338F">
        <w:rPr>
          <w:rStyle w:val="FootnoteReference"/>
        </w:rPr>
        <w:footnoteReference w:id="111"/>
      </w:r>
      <w:r>
        <w:t xml:space="preserve"> and SCE</w:t>
      </w:r>
      <w:r w:rsidR="003641B2">
        <w:rPr>
          <w:rStyle w:val="FootnoteReference"/>
        </w:rPr>
        <w:footnoteReference w:id="112"/>
      </w:r>
      <w:r>
        <w:t xml:space="preserve"> clarify that the process used for determining customer load is </w:t>
      </w:r>
      <w:r w:rsidR="00D332FE">
        <w:t>unchanged between</w:t>
      </w:r>
      <w:r w:rsidR="00E13CC0">
        <w:t xml:space="preserve"> the standard energization process and </w:t>
      </w:r>
      <w:r w:rsidR="00D332FE">
        <w:t>the</w:t>
      </w:r>
      <w:r w:rsidR="001F4D5D">
        <w:t xml:space="preserve"> </w:t>
      </w:r>
      <w:r w:rsidR="003641B2">
        <w:t xml:space="preserve">process used for </w:t>
      </w:r>
      <w:r w:rsidR="00E13CC0">
        <w:t>FSC offerings.</w:t>
      </w:r>
    </w:p>
    <w:p w:rsidR="00755C98" w:rsidP="000E4100" w:rsidRDefault="0052091D" w14:paraId="4EAB9498" w14:textId="3FE4AE19">
      <w:pPr>
        <w:pStyle w:val="Standard"/>
      </w:pPr>
      <w:r>
        <w:t xml:space="preserve">SCE </w:t>
      </w:r>
      <w:r w:rsidR="006071F2">
        <w:t>states that it</w:t>
      </w:r>
      <w:r w:rsidR="00B44E38">
        <w:t xml:space="preserve"> utilizes either a </w:t>
      </w:r>
      <w:r w:rsidR="0014540A">
        <w:t xml:space="preserve">detailed demand estimate schedule or other </w:t>
      </w:r>
      <w:r w:rsidR="00D35147">
        <w:t xml:space="preserve">methods </w:t>
      </w:r>
      <w:r w:rsidRPr="000E4100" w:rsidR="000E4100">
        <w:t xml:space="preserve">such as similar facilities or demand based on square footage for </w:t>
      </w:r>
      <w:r w:rsidRPr="000E4100" w:rsidR="000E4100">
        <w:lastRenderedPageBreak/>
        <w:t>determining the requested capacity level for a new project</w:t>
      </w:r>
      <w:r w:rsidR="00760ADC">
        <w:t>.</w:t>
      </w:r>
      <w:r w:rsidRPr="008D3A39" w:rsidR="008D3A39">
        <w:rPr>
          <w:rStyle w:val="FootnoteReference"/>
        </w:rPr>
        <w:t xml:space="preserve"> </w:t>
      </w:r>
      <w:r w:rsidR="008D3A39">
        <w:rPr>
          <w:rStyle w:val="FootnoteReference"/>
        </w:rPr>
        <w:footnoteReference w:id="113"/>
      </w:r>
      <w:r w:rsidR="00760ADC">
        <w:t xml:space="preserve"> PG&amp;E </w:t>
      </w:r>
      <w:r w:rsidR="00B10F06">
        <w:t xml:space="preserve">determines the </w:t>
      </w:r>
      <w:r w:rsidR="008D19F6">
        <w:t xml:space="preserve">load </w:t>
      </w:r>
      <w:r w:rsidR="00684774">
        <w:t>using h</w:t>
      </w:r>
      <w:r w:rsidR="00F526CB">
        <w:t>ist</w:t>
      </w:r>
      <w:r w:rsidR="00EB4203">
        <w:t>orical</w:t>
      </w:r>
      <w:r w:rsidR="002D3FAF">
        <w:t xml:space="preserve"> </w:t>
      </w:r>
      <w:r w:rsidR="00684774">
        <w:t xml:space="preserve">demand </w:t>
      </w:r>
      <w:r w:rsidR="002D3FAF">
        <w:t>from similar customers</w:t>
      </w:r>
      <w:r w:rsidR="00684774">
        <w:t>,</w:t>
      </w:r>
      <w:r w:rsidR="0021514F">
        <w:rPr>
          <w:rStyle w:val="FootnoteReference"/>
        </w:rPr>
        <w:footnoteReference w:id="114"/>
      </w:r>
      <w:r w:rsidR="00684774">
        <w:t xml:space="preserve"> </w:t>
      </w:r>
      <w:r w:rsidR="00805724">
        <w:t xml:space="preserve">matching </w:t>
      </w:r>
      <w:r w:rsidR="000E09CE">
        <w:t xml:space="preserve">customer provided profiles </w:t>
      </w:r>
      <w:r w:rsidR="00805724">
        <w:t>against</w:t>
      </w:r>
      <w:r w:rsidR="006A4ACC">
        <w:t xml:space="preserve"> forecasting</w:t>
      </w:r>
      <w:r w:rsidR="00805724">
        <w:t xml:space="preserve"> </w:t>
      </w:r>
      <w:r w:rsidR="00B734CB">
        <w:t>l</w:t>
      </w:r>
      <w:r w:rsidR="00805724">
        <w:t>oad</w:t>
      </w:r>
      <w:r w:rsidR="00B734CB">
        <w:t xml:space="preserve"> profiles,</w:t>
      </w:r>
      <w:r w:rsidR="00BD4A7F">
        <w:rPr>
          <w:rStyle w:val="FootnoteReference"/>
        </w:rPr>
        <w:footnoteReference w:id="115"/>
      </w:r>
      <w:r w:rsidR="00B734CB">
        <w:t xml:space="preserve"> or</w:t>
      </w:r>
      <w:r w:rsidR="00BC4001">
        <w:t xml:space="preserve"> load density (watts/square foot) for </w:t>
      </w:r>
      <w:r w:rsidR="009548E0">
        <w:t>similar occupancy types</w:t>
      </w:r>
      <w:r w:rsidR="00901156">
        <w:t>.</w:t>
      </w:r>
      <w:r w:rsidR="009548E0">
        <w:rPr>
          <w:rStyle w:val="FootnoteReference"/>
        </w:rPr>
        <w:footnoteReference w:id="116"/>
      </w:r>
      <w:r w:rsidR="00901156">
        <w:t xml:space="preserve"> </w:t>
      </w:r>
    </w:p>
    <w:p w:rsidRPr="006A7CD5" w:rsidR="00A3698E" w:rsidP="00957C72" w:rsidRDefault="00A3698E" w14:paraId="173BCC8B" w14:textId="77777777">
      <w:pPr>
        <w:pStyle w:val="Heading3"/>
      </w:pPr>
      <w:bookmarkStart w:name="_Toc220940205" w:id="76"/>
      <w:r>
        <w:t>Tariff Rules and Defined Terms</w:t>
      </w:r>
      <w:bookmarkEnd w:id="76"/>
    </w:p>
    <w:p w:rsidR="004C05CF" w:rsidP="009871A4" w:rsidRDefault="0066498E" w14:paraId="270B65F4" w14:textId="0FF1876A">
      <w:pPr>
        <w:pStyle w:val="Standard"/>
      </w:pPr>
      <w:r w:rsidRPr="006A5B23">
        <w:t>Each electrical IOUs maintains a</w:t>
      </w:r>
      <w:r w:rsidR="006A5B23">
        <w:t>n Electric</w:t>
      </w:r>
      <w:r w:rsidRPr="006A5B23">
        <w:t xml:space="preserve"> Tariff Rule 2 that provides a description of the types of service that are offered. </w:t>
      </w:r>
      <w:r w:rsidRPr="006A5B23" w:rsidR="00FE538A">
        <w:t>Rule 2 specifies the minimum and maximum levels of load appropriate to various service levels.</w:t>
      </w:r>
      <w:r w:rsidR="00A27DCF">
        <w:rPr>
          <w:rStyle w:val="FootnoteReference"/>
        </w:rPr>
        <w:footnoteReference w:id="117"/>
      </w:r>
      <w:r w:rsidRPr="006A5B23" w:rsidR="00FE538A">
        <w:t xml:space="preserve"> </w:t>
      </w:r>
      <w:r w:rsidR="00FE471D">
        <w:t xml:space="preserve">Parties note inconsistency between the IOUs’ Rule 2 discussion of load, with PG&amp;E defining </w:t>
      </w:r>
      <w:r w:rsidRPr="00A82B26" w:rsidR="00FE471D">
        <w:t>connected load and the other Large IOUs omitting the term.</w:t>
      </w:r>
      <w:r w:rsidR="00FE471D">
        <w:rPr>
          <w:rStyle w:val="FootnoteReference"/>
        </w:rPr>
        <w:footnoteReference w:id="118"/>
      </w:r>
      <w:r w:rsidR="00206D91">
        <w:t xml:space="preserve"> </w:t>
      </w:r>
      <w:r w:rsidR="003342B2">
        <w:t xml:space="preserve"> </w:t>
      </w:r>
      <w:r w:rsidR="00FE538A">
        <w:t xml:space="preserve">PG&amp;E describes </w:t>
      </w:r>
      <w:r w:rsidRPr="007059EE" w:rsidR="00FE471D">
        <w:t xml:space="preserve">connected load </w:t>
      </w:r>
      <w:r w:rsidR="00FE538A">
        <w:t>a</w:t>
      </w:r>
      <w:r w:rsidRPr="007059EE" w:rsidR="00FE471D">
        <w:t>s the sum of the rated capacities of all of the customer's</w:t>
      </w:r>
      <w:r w:rsidR="00FE471D">
        <w:t xml:space="preserve"> </w:t>
      </w:r>
      <w:r w:rsidRPr="007059EE" w:rsidR="00FE471D">
        <w:t>electric utilization equipment that is served through one metering point and that</w:t>
      </w:r>
      <w:r w:rsidRPr="00B0644F" w:rsidR="00FE471D">
        <w:t xml:space="preserve"> may be operated at the same time.</w:t>
      </w:r>
      <w:r w:rsidR="00FE538A">
        <w:rPr>
          <w:rStyle w:val="FootnoteReference"/>
        </w:rPr>
        <w:footnoteReference w:id="119"/>
      </w:r>
      <w:r w:rsidR="009871A4">
        <w:t xml:space="preserve"> The record does not indicate that connected load has any bearing on either PG&amp;E or SCE’s assessment of customer load.</w:t>
      </w:r>
    </w:p>
    <w:p w:rsidR="00FE471D" w:rsidP="00B2454E" w:rsidRDefault="004C05CF" w14:paraId="3CE25C50" w14:textId="753ED52F">
      <w:pPr>
        <w:pStyle w:val="Standard"/>
      </w:pPr>
      <w:r>
        <w:t xml:space="preserve">PG&amp;E clarifies that metered demand is the term that represents a reasonable expectation of the site load from equipment that will run </w:t>
      </w:r>
      <w:r>
        <w:lastRenderedPageBreak/>
        <w:t>simultaneously and is derived from the historical demand of similar customers.</w:t>
      </w:r>
      <w:r>
        <w:rPr>
          <w:rStyle w:val="FootnoteReference"/>
        </w:rPr>
        <w:footnoteReference w:id="120"/>
      </w:r>
      <w:r w:rsidR="00702F04">
        <w:t xml:space="preserve"> </w:t>
      </w:r>
      <w:r w:rsidR="00FE471D">
        <w:t>Metered demand is not the same as connected load.</w:t>
      </w:r>
      <w:r w:rsidR="000D10E8">
        <w:rPr>
          <w:rStyle w:val="FootnoteReference"/>
        </w:rPr>
        <w:footnoteReference w:id="121"/>
      </w:r>
      <w:r w:rsidR="00FE471D">
        <w:t xml:space="preserve"> </w:t>
      </w:r>
    </w:p>
    <w:p w:rsidR="006472AF" w:rsidP="00376AE2" w:rsidRDefault="00FE471D" w14:paraId="0F62BF12" w14:textId="56798E63">
      <w:pPr>
        <w:pStyle w:val="Standard"/>
      </w:pPr>
      <w:r>
        <w:t xml:space="preserve">Our understanding of the difference between connected load and metered </w:t>
      </w:r>
      <w:r w:rsidR="006472AF">
        <w:t>demand</w:t>
      </w:r>
      <w:r>
        <w:t xml:space="preserve"> is that connected load refers to the sum of all loads that are capable of </w:t>
      </w:r>
      <w:r w:rsidR="00EE2906">
        <w:t xml:space="preserve">being </w:t>
      </w:r>
      <w:r>
        <w:t>operat</w:t>
      </w:r>
      <w:r w:rsidR="00EE2906">
        <w:t>ed</w:t>
      </w:r>
      <w:r>
        <w:t xml:space="preserve"> simultaneously</w:t>
      </w:r>
      <w:r w:rsidR="00B605AA">
        <w:t xml:space="preserve"> while m</w:t>
      </w:r>
      <w:r>
        <w:t xml:space="preserve">etered </w:t>
      </w:r>
      <w:r w:rsidR="00964336">
        <w:t>demand</w:t>
      </w:r>
      <w:r>
        <w:t xml:space="preserve"> refers to an engineering judgement of the load</w:t>
      </w:r>
      <w:r w:rsidR="00376AE2">
        <w:t>s</w:t>
      </w:r>
      <w:r>
        <w:t xml:space="preserve"> that the electric meter will see as a result of the customer’s connected equipment. </w:t>
      </w:r>
      <w:r w:rsidR="00522387">
        <w:t xml:space="preserve">It is our understanding that metered demand is the parameter that </w:t>
      </w:r>
      <w:r w:rsidR="00376AE2">
        <w:t>PG&amp;E</w:t>
      </w:r>
      <w:r w:rsidR="00522387">
        <w:t xml:space="preserve"> compare</w:t>
      </w:r>
      <w:r w:rsidR="00376AE2">
        <w:t>s</w:t>
      </w:r>
      <w:r w:rsidR="00522387">
        <w:t xml:space="preserve"> to available capacity </w:t>
      </w:r>
      <w:r w:rsidR="00FA107A">
        <w:t xml:space="preserve">to determine whether the </w:t>
      </w:r>
      <w:r w:rsidR="00D676F1">
        <w:t>customer can be served with existing electrical infrastructure.</w:t>
      </w:r>
    </w:p>
    <w:p w:rsidR="005F09B1" w:rsidP="00376AE2" w:rsidRDefault="00EF697C" w14:paraId="4FE8D23D" w14:textId="7C536906">
      <w:pPr>
        <w:pStyle w:val="Standard"/>
      </w:pPr>
      <w:r>
        <w:t>The</w:t>
      </w:r>
      <w:r w:rsidR="005F09B1">
        <w:t xml:space="preserve"> record </w:t>
      </w:r>
      <w:r w:rsidR="003C1918">
        <w:t>describing</w:t>
      </w:r>
      <w:r w:rsidR="005F09B1">
        <w:t xml:space="preserve"> how </w:t>
      </w:r>
      <w:r w:rsidR="008E4433">
        <w:t xml:space="preserve">SCE and </w:t>
      </w:r>
      <w:r w:rsidR="005F09B1">
        <w:t xml:space="preserve">PG&amp;E </w:t>
      </w:r>
      <w:r w:rsidR="000B083A">
        <w:t>compute</w:t>
      </w:r>
      <w:r w:rsidR="005F09B1">
        <w:t xml:space="preserve"> </w:t>
      </w:r>
      <w:r w:rsidR="008E4433">
        <w:t xml:space="preserve">customer </w:t>
      </w:r>
      <w:r w:rsidR="005F09B1">
        <w:t xml:space="preserve">load </w:t>
      </w:r>
      <w:r w:rsidR="003E250C">
        <w:t xml:space="preserve">is underdeveloped. We find it reasonable that </w:t>
      </w:r>
      <w:r w:rsidR="00D06506">
        <w:t xml:space="preserve">SCE and PG&amp;E </w:t>
      </w:r>
      <w:r w:rsidR="00EC2DBB">
        <w:t>provide</w:t>
      </w:r>
      <w:r w:rsidR="00D06506">
        <w:t xml:space="preserve"> </w:t>
      </w:r>
      <w:r w:rsidR="00626D83">
        <w:t>a fulsome description of th</w:t>
      </w:r>
      <w:r w:rsidR="007C5051">
        <w:t>e load determination</w:t>
      </w:r>
      <w:r w:rsidR="00626D83">
        <w:t xml:space="preserve"> process </w:t>
      </w:r>
      <w:r w:rsidR="00EC2DBB">
        <w:t xml:space="preserve">and the </w:t>
      </w:r>
      <w:r w:rsidR="00626D83">
        <w:t>term</w:t>
      </w:r>
      <w:r w:rsidR="00EC2DBB">
        <w:t>inology</w:t>
      </w:r>
      <w:r w:rsidR="00626D83">
        <w:t xml:space="preserve"> necessary to</w:t>
      </w:r>
      <w:r w:rsidR="00EC2DBB">
        <w:t xml:space="preserve"> adequately describe the steps taken</w:t>
      </w:r>
      <w:r w:rsidR="00F60D3B">
        <w:t xml:space="preserve">. We direct SCE and PG&amp;E to include a fulsome description of the process used to </w:t>
      </w:r>
      <w:r w:rsidR="000B083A">
        <w:t>compute</w:t>
      </w:r>
      <w:r w:rsidR="00626D83">
        <w:t xml:space="preserve"> </w:t>
      </w:r>
      <w:r w:rsidR="000B083A">
        <w:t xml:space="preserve">customer load within the </w:t>
      </w:r>
      <w:r w:rsidR="00CC319F">
        <w:t xml:space="preserve">Implementation Advice </w:t>
      </w:r>
      <w:bookmarkStart w:name="_Hlk216438762" w:id="77"/>
      <w:r w:rsidR="00CC319F">
        <w:t>Letter</w:t>
      </w:r>
      <w:r w:rsidR="000B083A">
        <w:t xml:space="preserve"> and to update their electric </w:t>
      </w:r>
      <w:r w:rsidR="00B93E5C">
        <w:t>Tariff Rule</w:t>
      </w:r>
      <w:r w:rsidR="00733A96">
        <w:t>s</w:t>
      </w:r>
      <w:r w:rsidR="00B93E5C">
        <w:t xml:space="preserve"> to include definitions for the necessary terminology</w:t>
      </w:r>
      <w:r w:rsidRPr="004F57B7" w:rsidR="004F57B7">
        <w:t xml:space="preserve"> </w:t>
      </w:r>
      <w:r w:rsidR="004F57B7">
        <w:t>to accurately describe this process</w:t>
      </w:r>
      <w:bookmarkEnd w:id="77"/>
      <w:r w:rsidR="00B93E5C">
        <w:t xml:space="preserve">. If there are </w:t>
      </w:r>
      <w:r w:rsidR="0071726D">
        <w:t xml:space="preserve">differences in process or terminology, the description within the </w:t>
      </w:r>
      <w:r w:rsidR="00CC319F">
        <w:t>Implementation Advice Letter</w:t>
      </w:r>
      <w:r w:rsidR="0071726D">
        <w:t xml:space="preserve"> shall articulate with specificity those differences and the rationale that </w:t>
      </w:r>
      <w:r w:rsidR="00167A6F">
        <w:t>supports differing processes between the two IOUs.</w:t>
      </w:r>
      <w:r w:rsidR="00A96FBE">
        <w:t xml:space="preserve"> We encourage PG&amp;E and SCE to utilize common terminology and consistent processes </w:t>
      </w:r>
      <w:r w:rsidR="00CC319F">
        <w:t xml:space="preserve">within their Tariff Rule 2 </w:t>
      </w:r>
      <w:r w:rsidR="00A96FBE">
        <w:t>where possible.</w:t>
      </w:r>
    </w:p>
    <w:p w:rsidR="003D624E" w:rsidP="00957C72" w:rsidRDefault="002E7A41" w14:paraId="6ABA32D5" w14:textId="4C239011">
      <w:pPr>
        <w:pStyle w:val="Heading2"/>
      </w:pPr>
      <w:bookmarkStart w:name="_Toc220940206" w:id="78"/>
      <w:r>
        <w:lastRenderedPageBreak/>
        <w:t xml:space="preserve">Methods for </w:t>
      </w:r>
      <w:r w:rsidR="003472B1">
        <w:t xml:space="preserve">Determining </w:t>
      </w:r>
      <w:r>
        <w:t xml:space="preserve">Grid </w:t>
      </w:r>
      <w:r w:rsidR="003472B1">
        <w:t xml:space="preserve">Capacity </w:t>
      </w:r>
      <w:r w:rsidR="00433065">
        <w:t>in</w:t>
      </w:r>
      <w:r w:rsidR="003472B1">
        <w:t xml:space="preserve"> </w:t>
      </w:r>
      <w:r w:rsidR="00F12D81">
        <w:t>the Standard Offer</w:t>
      </w:r>
      <w:bookmarkEnd w:id="78"/>
    </w:p>
    <w:p w:rsidR="00DB706D" w:rsidP="00957C72" w:rsidRDefault="00DB706D" w14:paraId="4B8636A9" w14:textId="65C6B293">
      <w:pPr>
        <w:pStyle w:val="Heading3"/>
      </w:pPr>
      <w:bookmarkStart w:name="_Toc220940207" w:id="79"/>
      <w:r>
        <w:t xml:space="preserve">Lessons </w:t>
      </w:r>
      <w:r w:rsidR="002812C1">
        <w:t>L</w:t>
      </w:r>
      <w:r>
        <w:t>earned from L</w:t>
      </w:r>
      <w:r w:rsidR="003B4A66">
        <w:t xml:space="preserve">imited </w:t>
      </w:r>
      <w:r>
        <w:t>G</w:t>
      </w:r>
      <w:r w:rsidR="003B4A66">
        <w:t xml:space="preserve">eneration </w:t>
      </w:r>
      <w:r>
        <w:t>P</w:t>
      </w:r>
      <w:r w:rsidR="003B4A66">
        <w:t>rofile</w:t>
      </w:r>
      <w:bookmarkEnd w:id="79"/>
    </w:p>
    <w:p w:rsidRPr="00C248C3" w:rsidR="00433065" w:rsidP="00433065" w:rsidRDefault="003A5C8C" w14:paraId="56F31529" w14:textId="7EA17C1C">
      <w:pPr>
        <w:pStyle w:val="Standard"/>
      </w:pPr>
      <w:r>
        <w:t>The concept of Flexible Connection is</w:t>
      </w:r>
      <w:r w:rsidR="00330C66">
        <w:t xml:space="preserve"> allowing</w:t>
      </w:r>
      <w:r>
        <w:t xml:space="preserve"> the </w:t>
      </w:r>
      <w:r w:rsidR="007102D1">
        <w:t>customer</w:t>
      </w:r>
      <w:r w:rsidR="00330C66">
        <w:t xml:space="preserve"> to match their site’s</w:t>
      </w:r>
      <w:r w:rsidR="007102D1">
        <w:t xml:space="preserve"> power levels to the amount of power that the grid can safely </w:t>
      </w:r>
      <w:r w:rsidRPr="008011DA" w:rsidR="007102D1">
        <w:t>handle</w:t>
      </w:r>
      <w:r w:rsidRPr="008011DA" w:rsidR="00CA4CEB">
        <w:t xml:space="preserve">. </w:t>
      </w:r>
      <w:r w:rsidRPr="008011DA" w:rsidR="00433065">
        <w:t>While</w:t>
      </w:r>
      <w:r w:rsidR="00433065">
        <w:t xml:space="preserve"> parties generally supported leveraging the work that went into </w:t>
      </w:r>
      <w:r w:rsidRPr="00C248C3" w:rsidR="00433065">
        <w:t>developing Limited Generation Profiles (LGP), some expressed reservations that the existing LGP structures would be either overly prescriptive</w:t>
      </w:r>
      <w:r w:rsidRPr="00C248C3" w:rsidR="00433065">
        <w:rPr>
          <w:rStyle w:val="FootnoteReference"/>
        </w:rPr>
        <w:footnoteReference w:id="122"/>
      </w:r>
      <w:r w:rsidRPr="00C248C3" w:rsidR="00433065">
        <w:t xml:space="preserve"> or insufficiently granular.</w:t>
      </w:r>
      <w:r w:rsidRPr="00C248C3" w:rsidR="00433065">
        <w:rPr>
          <w:rStyle w:val="FootnoteReference"/>
        </w:rPr>
        <w:footnoteReference w:id="123"/>
      </w:r>
      <w:r w:rsidRPr="00C248C3" w:rsidR="00433065">
        <w:t xml:space="preserve"> </w:t>
      </w:r>
    </w:p>
    <w:p w:rsidRPr="00C248C3" w:rsidR="00433065" w:rsidP="00433065" w:rsidRDefault="00433065" w14:paraId="467FAA3A" w14:textId="77777777">
      <w:pPr>
        <w:pStyle w:val="Standard"/>
      </w:pPr>
      <w:r w:rsidRPr="00C248C3">
        <w:t>Other parties noted that the LGP construct may not be suitable for energization customer needs, noting that customers who will likely be interested in FSCs may not be prepared for the same level of complexity in their electricity tariffs as LGP customers</w:t>
      </w:r>
      <w:r w:rsidRPr="00C248C3">
        <w:rPr>
          <w:rStyle w:val="FootnoteReference"/>
        </w:rPr>
        <w:footnoteReference w:id="124"/>
      </w:r>
      <w:r w:rsidRPr="00C248C3">
        <w:t xml:space="preserve"> and suggesting that LLPs offer simpler options that accommodate a broader range of customer preferences and energy management strategies.</w:t>
      </w:r>
      <w:r w:rsidRPr="00C248C3">
        <w:rPr>
          <w:rStyle w:val="FootnoteReference"/>
        </w:rPr>
        <w:footnoteReference w:id="125"/>
      </w:r>
    </w:p>
    <w:p w:rsidR="00DB706D" w:rsidP="00193664" w:rsidRDefault="00433065" w14:paraId="3D50C04C" w14:textId="06856A55">
      <w:pPr>
        <w:pStyle w:val="Standard"/>
      </w:pPr>
      <w:r w:rsidRPr="00C248C3">
        <w:t>PG&amp;E recommended no reliance on the LGP record in R.17-07-007.</w:t>
      </w:r>
      <w:r w:rsidRPr="00C248C3">
        <w:rPr>
          <w:rStyle w:val="FootnoteReference"/>
        </w:rPr>
        <w:footnoteReference w:id="126"/>
      </w:r>
      <w:r w:rsidRPr="00C248C3">
        <w:t xml:space="preserve"> SCE noted that the LGP const</w:t>
      </w:r>
      <w:r>
        <w:t xml:space="preserve">ruct relies upon a mature and standardized series of screening processes that have no </w:t>
      </w:r>
      <w:r w:rsidR="00000F5A">
        <w:t xml:space="preserve">equivalent </w:t>
      </w:r>
      <w:r>
        <w:t xml:space="preserve">in </w:t>
      </w:r>
      <w:r w:rsidR="00A96FBE">
        <w:t>e</w:t>
      </w:r>
      <w:r>
        <w:t>nergization and expressed concern that using a similar process for FSCs could affect safety and reliability.</w:t>
      </w:r>
      <w:r>
        <w:rPr>
          <w:rStyle w:val="FootnoteReference"/>
        </w:rPr>
        <w:footnoteReference w:id="127"/>
      </w:r>
    </w:p>
    <w:p w:rsidR="00433065" w:rsidP="00433065" w:rsidRDefault="00E54A15" w14:paraId="09CA4F3D" w14:textId="03A13EC8">
      <w:pPr>
        <w:pStyle w:val="Standard"/>
      </w:pPr>
      <w:r>
        <w:lastRenderedPageBreak/>
        <w:t xml:space="preserve">We find party </w:t>
      </w:r>
      <w:r w:rsidR="00444877">
        <w:t xml:space="preserve">views on the lack of </w:t>
      </w:r>
      <w:r w:rsidR="00A157DE">
        <w:t xml:space="preserve">directly transferable lessons from the LGP </w:t>
      </w:r>
      <w:r w:rsidR="0062019F">
        <w:t xml:space="preserve">process convincing and do not rely upon </w:t>
      </w:r>
      <w:r w:rsidR="00FE2868">
        <w:t>any elements of the LGP</w:t>
      </w:r>
      <w:r w:rsidR="0062019F">
        <w:t xml:space="preserve"> process for the S</w:t>
      </w:r>
      <w:r w:rsidR="00831584">
        <w:t xml:space="preserve">tandard </w:t>
      </w:r>
      <w:r w:rsidR="0062019F">
        <w:t>O</w:t>
      </w:r>
      <w:r w:rsidR="00831584">
        <w:t>ffer</w:t>
      </w:r>
      <w:r w:rsidR="0062019F">
        <w:t>.</w:t>
      </w:r>
    </w:p>
    <w:p w:rsidR="002B2C95" w:rsidP="00957C72" w:rsidRDefault="002B2C95" w14:paraId="1BAD493A" w14:textId="1779F8F6">
      <w:pPr>
        <w:pStyle w:val="Heading3"/>
      </w:pPr>
      <w:bookmarkStart w:name="_Toc220940208" w:id="80"/>
      <w:r>
        <w:t xml:space="preserve">Utilization of the Load ICA </w:t>
      </w:r>
      <w:r w:rsidR="00337168">
        <w:t xml:space="preserve">Tool for </w:t>
      </w:r>
      <w:r w:rsidR="00C83DB2">
        <w:t xml:space="preserve">Standard Offer </w:t>
      </w:r>
      <w:r w:rsidR="00337168">
        <w:t>Capacity Values</w:t>
      </w:r>
      <w:bookmarkEnd w:id="80"/>
    </w:p>
    <w:p w:rsidR="00E02106" w:rsidP="00F12D81" w:rsidRDefault="00EB3E07" w14:paraId="586F7657" w14:textId="0165A818">
      <w:pPr>
        <w:pStyle w:val="Standard"/>
      </w:pPr>
      <w:r>
        <w:t>P</w:t>
      </w:r>
      <w:r w:rsidR="00304A18">
        <w:t xml:space="preserve">arties agreed that the Load ICA provided by PG&amp;E and SCE is not currently an </w:t>
      </w:r>
      <w:r w:rsidRPr="0062307B" w:rsidR="00304A18">
        <w:t>investment grade tool</w:t>
      </w:r>
      <w:r w:rsidRPr="0021187D" w:rsidR="00304A18">
        <w:rPr>
          <w:rStyle w:val="FootnoteReference"/>
          <w:sz w:val="24"/>
          <w:szCs w:val="24"/>
        </w:rPr>
        <w:footnoteReference w:id="128"/>
      </w:r>
      <w:r w:rsidRPr="0062307B" w:rsidR="00304A18">
        <w:t xml:space="preserve"> citing inherent limitations,</w:t>
      </w:r>
      <w:r w:rsidRPr="0021187D" w:rsidR="00304A18">
        <w:rPr>
          <w:rStyle w:val="FootnoteReference"/>
          <w:sz w:val="24"/>
          <w:szCs w:val="24"/>
        </w:rPr>
        <w:footnoteReference w:id="129"/>
      </w:r>
      <w:r w:rsidRPr="0062307B" w:rsidR="00304A18">
        <w:t xml:space="preserve"> a lack </w:t>
      </w:r>
      <w:r w:rsidR="00304A18">
        <w:t>of accuracy,</w:t>
      </w:r>
      <w:r w:rsidR="00304A18">
        <w:rPr>
          <w:rStyle w:val="FootnoteReference"/>
        </w:rPr>
        <w:footnoteReference w:id="130"/>
      </w:r>
      <w:r w:rsidR="00304A18">
        <w:t xml:space="preserve"> and a lack of incorporation into planning and screening processes.</w:t>
      </w:r>
      <w:r w:rsidR="00304A18">
        <w:rPr>
          <w:rStyle w:val="FootnoteReference"/>
        </w:rPr>
        <w:footnoteReference w:id="131"/>
      </w:r>
      <w:r w:rsidR="00E52145">
        <w:t xml:space="preserve"> </w:t>
      </w:r>
    </w:p>
    <w:p w:rsidRPr="00CE59A0" w:rsidR="00625BE6" w:rsidP="00625BE6" w:rsidRDefault="00625BE6" w14:paraId="0F34E679" w14:textId="572C03BC">
      <w:pPr>
        <w:pStyle w:val="Standard"/>
      </w:pPr>
      <w:r>
        <w:t xml:space="preserve">PG&amp;E and SCE </w:t>
      </w:r>
      <w:r w:rsidR="001B1025">
        <w:t xml:space="preserve">estimate </w:t>
      </w:r>
      <w:r>
        <w:t xml:space="preserve">the </w:t>
      </w:r>
      <w:r w:rsidR="00B814CC">
        <w:t>end of 2027</w:t>
      </w:r>
      <w:r>
        <w:rPr>
          <w:rStyle w:val="FootnoteReference"/>
        </w:rPr>
        <w:footnoteReference w:id="132"/>
      </w:r>
      <w:r>
        <w:t xml:space="preserve"> and fourth quarter of 2026, respectively, as the earliest point where they anticipate that the Load ICA will be ready for direct use in their planning and screening processes.</w:t>
      </w:r>
      <w:r>
        <w:rPr>
          <w:rStyle w:val="FootnoteReference"/>
        </w:rPr>
        <w:footnoteReference w:id="133"/>
      </w:r>
      <w:r>
        <w:t xml:space="preserve"> Both </w:t>
      </w:r>
      <w:r w:rsidR="0030430A">
        <w:t xml:space="preserve">PG&amp;E and SCE </w:t>
      </w:r>
      <w:r>
        <w:t xml:space="preserve">maintain that the design of the LLP is best addressed by having customers discuss options directly </w:t>
      </w:r>
      <w:r w:rsidRPr="00CE59A0">
        <w:t xml:space="preserve">with the IOU engineers. Other parties agree with this assessment, noting that </w:t>
      </w:r>
      <w:r w:rsidR="00FA6F36">
        <w:t>IOUs utilize their own internal data</w:t>
      </w:r>
      <w:r w:rsidR="00FA6F36">
        <w:rPr>
          <w:rStyle w:val="FootnoteReference"/>
        </w:rPr>
        <w:footnoteReference w:id="134"/>
      </w:r>
      <w:r w:rsidR="00FA6F36">
        <w:t xml:space="preserve"> and </w:t>
      </w:r>
      <w:r w:rsidRPr="00CE59A0">
        <w:t>the only consistent method to get up-to-date information is to submit and pay for a customer application.</w:t>
      </w:r>
      <w:r w:rsidRPr="00CE59A0">
        <w:rPr>
          <w:rStyle w:val="FootnoteReference"/>
        </w:rPr>
        <w:footnoteReference w:id="135"/>
      </w:r>
    </w:p>
    <w:p w:rsidR="00EA1F82" w:rsidP="00F12D81" w:rsidRDefault="00EA1F82" w14:paraId="60C2BCE6" w14:textId="4AF4BF68">
      <w:pPr>
        <w:pStyle w:val="Standard"/>
      </w:pPr>
      <w:r>
        <w:t xml:space="preserve">We find the party arguments convincing and do not </w:t>
      </w:r>
      <w:r w:rsidR="00D84F3C">
        <w:t>rely upon the Load ICA for S</w:t>
      </w:r>
      <w:r w:rsidR="00983B92">
        <w:t xml:space="preserve">tandard </w:t>
      </w:r>
      <w:r w:rsidR="00D84F3C">
        <w:t>O</w:t>
      </w:r>
      <w:r w:rsidR="00983B92">
        <w:t>ffer</w:t>
      </w:r>
      <w:r w:rsidR="00D84F3C">
        <w:t xml:space="preserve"> capacity values</w:t>
      </w:r>
      <w:r w:rsidR="008E00F8">
        <w:t xml:space="preserve"> at this t</w:t>
      </w:r>
      <w:r w:rsidR="00370051">
        <w:t>ime.</w:t>
      </w:r>
      <w:r w:rsidR="008E00F8">
        <w:t xml:space="preserve"> </w:t>
      </w:r>
    </w:p>
    <w:p w:rsidR="00337168" w:rsidP="00957C72" w:rsidRDefault="00C83DB2" w14:paraId="0041B3AB" w14:textId="7FC84178">
      <w:pPr>
        <w:pStyle w:val="Heading3"/>
      </w:pPr>
      <w:bookmarkStart w:name="_Toc220940209" w:id="81"/>
      <w:r>
        <w:lastRenderedPageBreak/>
        <w:t>Normal and Emergency Equipment Capacity</w:t>
      </w:r>
      <w:r w:rsidR="00BE037C">
        <w:t xml:space="preserve"> Ratings</w:t>
      </w:r>
      <w:bookmarkEnd w:id="81"/>
      <w:r w:rsidR="00BE037C">
        <w:t xml:space="preserve"> </w:t>
      </w:r>
    </w:p>
    <w:p w:rsidR="007032AF" w:rsidP="00625BE6" w:rsidRDefault="00625BE6" w14:paraId="3F8CDF12" w14:textId="32D454DC">
      <w:pPr>
        <w:pStyle w:val="Standard"/>
      </w:pPr>
      <w:r>
        <w:t xml:space="preserve">The components that make up the electric distribution grid each have a normal capacity rating and </w:t>
      </w:r>
      <w:r w:rsidR="00F97FC3">
        <w:t xml:space="preserve">an </w:t>
      </w:r>
      <w:r>
        <w:t>emergency capacity rating.</w:t>
      </w:r>
      <w:r w:rsidR="00FE763A">
        <w:rPr>
          <w:rStyle w:val="FootnoteReference"/>
        </w:rPr>
        <w:footnoteReference w:id="136"/>
      </w:r>
      <w:r>
        <w:t xml:space="preserve"> </w:t>
      </w:r>
      <w:r w:rsidRPr="00D6427D" w:rsidR="00454817">
        <w:t>A piece of equipment’s normal and emergency ratings convey how much power the</w:t>
      </w:r>
      <w:r w:rsidR="00454817">
        <w:t xml:space="preserve"> </w:t>
      </w:r>
      <w:r w:rsidRPr="00D6427D" w:rsidR="00454817">
        <w:t>equipment can nominally carry on an indefinite basis (normal rating) or on a short-term basis,</w:t>
      </w:r>
      <w:r w:rsidR="00454817">
        <w:t xml:space="preserve"> </w:t>
      </w:r>
      <w:r w:rsidRPr="00D6427D" w:rsidR="00454817">
        <w:t xml:space="preserve">e.g., several hours (emergency rating). </w:t>
      </w:r>
      <w:r w:rsidRPr="00CE05D4" w:rsidR="007032AF">
        <w:t>Using emergency ratings beyond the set time period could result in equipment damage</w:t>
      </w:r>
      <w:r w:rsidR="007032AF">
        <w:t xml:space="preserve">. </w:t>
      </w:r>
      <w:r w:rsidRPr="00D6427D" w:rsidR="008D2952">
        <w:t>As</w:t>
      </w:r>
      <w:r w:rsidR="008D2952">
        <w:t xml:space="preserve"> </w:t>
      </w:r>
      <w:r w:rsidRPr="00D6427D" w:rsidR="008D2952">
        <w:t>long as actual power stays below the emergency rating limits (for level and duration), the</w:t>
      </w:r>
      <w:r w:rsidR="008D2952">
        <w:t xml:space="preserve"> </w:t>
      </w:r>
      <w:r w:rsidRPr="00D6427D" w:rsidR="008D2952">
        <w:t>equipment will not be damaged</w:t>
      </w:r>
      <w:r w:rsidR="002019AF">
        <w:t>.</w:t>
      </w:r>
      <w:r w:rsidR="008D2952">
        <w:t xml:space="preserve"> </w:t>
      </w:r>
      <w:r>
        <w:t xml:space="preserve">The normal capacity is </w:t>
      </w:r>
      <w:r w:rsidR="00E615CA">
        <w:t xml:space="preserve">typically established by </w:t>
      </w:r>
      <w:r w:rsidR="00F15AA2">
        <w:t>its thermal capacity.</w:t>
      </w:r>
      <w:r w:rsidR="00F15AA2">
        <w:rPr>
          <w:rStyle w:val="FootnoteReference"/>
        </w:rPr>
        <w:footnoteReference w:id="137"/>
      </w:r>
      <w:r w:rsidR="00C57FEE">
        <w:t xml:space="preserve"> </w:t>
      </w:r>
    </w:p>
    <w:p w:rsidR="00BC14FB" w:rsidP="00625BE6" w:rsidRDefault="004026FA" w14:paraId="113DEFDE" w14:textId="7B7D0CA8">
      <w:pPr>
        <w:pStyle w:val="Standard"/>
      </w:pPr>
      <w:r>
        <w:t xml:space="preserve">The record of this proceeding is underdeveloped with respect to the methodology used by the IOUs to compute normal and emergency </w:t>
      </w:r>
      <w:r w:rsidR="000E0988">
        <w:t>ratings for</w:t>
      </w:r>
      <w:r w:rsidR="00C607E5">
        <w:t xml:space="preserve"> electrical distribution equipment.  PG&amp;E and SCE shall </w:t>
      </w:r>
      <w:r w:rsidR="003F580D">
        <w:t xml:space="preserve">explain how they determine the normal and emergency ratings, </w:t>
      </w:r>
      <w:r w:rsidR="005C719F">
        <w:t xml:space="preserve">articulate the duration of the emergency ratings, and </w:t>
      </w:r>
      <w:r w:rsidR="007E20DA">
        <w:t>include their normal and emergency rating standards</w:t>
      </w:r>
      <w:r w:rsidR="005C719F">
        <w:t xml:space="preserve"> for </w:t>
      </w:r>
      <w:r w:rsidR="0092245E">
        <w:t>relevant equipment (e.g., conductor, transformer, etc.)</w:t>
      </w:r>
      <w:r w:rsidR="00A63057">
        <w:t xml:space="preserve"> within the Implementation Advice Letter.</w:t>
      </w:r>
    </w:p>
    <w:p w:rsidR="00625BE6" w:rsidP="002019AF" w:rsidRDefault="00536C9D" w14:paraId="637C0C56" w14:textId="3C9771E8">
      <w:pPr>
        <w:pStyle w:val="Standard"/>
      </w:pPr>
      <w:r>
        <w:t>M</w:t>
      </w:r>
      <w:r w:rsidRPr="00D6427D">
        <w:t>uch of the time</w:t>
      </w:r>
      <w:r>
        <w:t>,</w:t>
      </w:r>
      <w:r w:rsidR="00DE76AD">
        <w:t xml:space="preserve"> the equipment runs cooler</w:t>
      </w:r>
      <w:r w:rsidR="00A92539">
        <w:t xml:space="preserve"> (e.g., weather below historical maximum temperatures, </w:t>
      </w:r>
      <w:r w:rsidR="00DB536E">
        <w:t>presence of wind</w:t>
      </w:r>
      <w:r w:rsidR="00A92539">
        <w:t>)</w:t>
      </w:r>
      <w:r>
        <w:t xml:space="preserve"> and</w:t>
      </w:r>
      <w:r w:rsidR="006A077D">
        <w:t xml:space="preserve"> the equipment has more actual capacity than its nominal normal rating</w:t>
      </w:r>
      <w:r w:rsidR="0025490C">
        <w:t xml:space="preserve">, making the normal ratings conservative. </w:t>
      </w:r>
      <w:r w:rsidRPr="00D6427D" w:rsidR="00D47725">
        <w:t>Even if conditions were</w:t>
      </w:r>
      <w:r w:rsidR="00D47725">
        <w:t xml:space="preserve"> </w:t>
      </w:r>
      <w:r w:rsidRPr="00D6427D" w:rsidR="00D47725">
        <w:t xml:space="preserve">such that the equipment’s normal rating equaled its </w:t>
      </w:r>
      <w:r w:rsidRPr="00D6427D" w:rsidR="00D47725">
        <w:lastRenderedPageBreak/>
        <w:t>actual, real-time rating, any exceedance of</w:t>
      </w:r>
      <w:r w:rsidR="00D47725">
        <w:t xml:space="preserve"> </w:t>
      </w:r>
      <w:r w:rsidRPr="00D6427D" w:rsidR="00D47725">
        <w:t>specified load limits would likely dip into the equipment’s emergency rating range for only a few</w:t>
      </w:r>
      <w:r w:rsidR="00D47725">
        <w:t xml:space="preserve"> </w:t>
      </w:r>
      <w:r w:rsidRPr="00D6427D" w:rsidR="00D47725">
        <w:t>hours</w:t>
      </w:r>
      <w:r w:rsidR="00D47725">
        <w:t>.</w:t>
      </w:r>
      <w:r w:rsidR="00425FE6">
        <w:rPr>
          <w:rStyle w:val="FootnoteReference"/>
        </w:rPr>
        <w:footnoteReference w:id="138"/>
      </w:r>
    </w:p>
    <w:p w:rsidRPr="00815109" w:rsidR="00815109" w:rsidP="00957C72" w:rsidRDefault="00815109" w14:paraId="57C9F3CD" w14:textId="77777777">
      <w:pPr>
        <w:pStyle w:val="Heading3"/>
      </w:pPr>
      <w:bookmarkStart w:name="_Toc220940210" w:id="82"/>
      <w:r w:rsidRPr="00815109">
        <w:t>Buffer Values on Normal Capacity Ratings</w:t>
      </w:r>
      <w:bookmarkEnd w:id="82"/>
    </w:p>
    <w:p w:rsidR="00625BE6" w:rsidP="00625BE6" w:rsidRDefault="00625BE6" w14:paraId="47285543" w14:textId="77777777">
      <w:pPr>
        <w:pStyle w:val="Standard"/>
      </w:pPr>
      <w:r>
        <w:t>Both SCE and PG&amp;</w:t>
      </w:r>
      <w:r w:rsidRPr="0059266E">
        <w:t>E assume that the controlled loads on a FSC site will remain within their LLP and assess</w:t>
      </w:r>
      <w:r>
        <w:t xml:space="preserve"> the capacity that is available to a site based upon the normal capacity of the most constrained electrical component. SCE diverges from PG&amp;E’s approach by adding an additional 5% reduction, or “buffer value”. SCE justifies this buffer due to the experimental </w:t>
      </w:r>
      <w:r w:rsidRPr="0006177F">
        <w:t>nature of the LCMS pilot</w:t>
      </w:r>
      <w:r>
        <w:t>, but is open to revisiting it in the future.</w:t>
      </w:r>
      <w:r>
        <w:rPr>
          <w:rStyle w:val="FootnoteReference"/>
        </w:rPr>
        <w:footnoteReference w:id="139"/>
      </w:r>
    </w:p>
    <w:p w:rsidR="00370051" w:rsidP="00F220B4" w:rsidRDefault="00F220B4" w14:paraId="261A65ED" w14:textId="008CFCDD">
      <w:pPr>
        <w:pStyle w:val="Standard"/>
      </w:pPr>
      <w:r>
        <w:t xml:space="preserve">Neither PG&amp;E </w:t>
      </w:r>
      <w:r w:rsidR="0027080E">
        <w:t>n</w:t>
      </w:r>
      <w:r>
        <w:t>or SCE are comfortable with increasing site capacity beyond their current practice of using normal capacity</w:t>
      </w:r>
      <w:r w:rsidR="006C2DD5">
        <w:t xml:space="preserve"> without a buffer</w:t>
      </w:r>
      <w:r>
        <w:t xml:space="preserve"> or applying a 5% buffer to normal capacity, respectively.</w:t>
      </w:r>
      <w:r>
        <w:rPr>
          <w:rStyle w:val="FootnoteReference"/>
        </w:rPr>
        <w:footnoteReference w:id="140"/>
      </w:r>
      <w:r>
        <w:t xml:space="preserve">  Non-IOU parties are unified in their desire for consistent standards on buffer values.</w:t>
      </w:r>
      <w:r>
        <w:rPr>
          <w:rStyle w:val="FootnoteReference"/>
        </w:rPr>
        <w:footnoteReference w:id="141"/>
      </w:r>
      <w:r>
        <w:t xml:space="preserve"> </w:t>
      </w:r>
    </w:p>
    <w:p w:rsidR="00F220B4" w:rsidP="00F220B4" w:rsidRDefault="00F220B4" w14:paraId="79319D6D" w14:textId="7A8E3EE6">
      <w:pPr>
        <w:pStyle w:val="Standard"/>
      </w:pPr>
      <w:r>
        <w:t xml:space="preserve">Multiple parties note the lack of </w:t>
      </w:r>
      <w:r w:rsidR="00491241">
        <w:t>any</w:t>
      </w:r>
      <w:r>
        <w:t xml:space="preserve"> issues presented</w:t>
      </w:r>
      <w:r w:rsidR="00945FE3">
        <w:t xml:space="preserve"> </w:t>
      </w:r>
      <w:r w:rsidR="005B6D7C">
        <w:t>by</w:t>
      </w:r>
      <w:r w:rsidR="00945FE3">
        <w:t xml:space="preserve"> the approximately 100</w:t>
      </w:r>
      <w:r w:rsidR="00957C72">
        <w:t> </w:t>
      </w:r>
      <w:r w:rsidR="00945FE3">
        <w:t>customers where PG&amp;E has used</w:t>
      </w:r>
      <w:r>
        <w:t xml:space="preserve"> equipment’s normal capacity ratings </w:t>
      </w:r>
      <w:r w:rsidR="00380DE7">
        <w:t xml:space="preserve">without an additional buffer </w:t>
      </w:r>
      <w:r>
        <w:t xml:space="preserve">and the fact that the majority of operating conditions allow for exceedance of normal capacity without thermal issue; as </w:t>
      </w:r>
      <w:r>
        <w:lastRenderedPageBreak/>
        <w:t>such, they request that no buffer value be allowed until concrete evidence and data are presented that substantiate the need for a buffer value.</w:t>
      </w:r>
      <w:r>
        <w:rPr>
          <w:rStyle w:val="FootnoteReference"/>
        </w:rPr>
        <w:footnoteReference w:id="142"/>
      </w:r>
    </w:p>
    <w:p w:rsidR="00F220B4" w:rsidP="00F220B4" w:rsidRDefault="00F220B4" w14:paraId="7D395B1C" w14:textId="08B8EF10">
      <w:pPr>
        <w:pStyle w:val="Standard"/>
      </w:pPr>
      <w:r>
        <w:t xml:space="preserve">We find it reasonable </w:t>
      </w:r>
      <w:r w:rsidR="001B3887">
        <w:t xml:space="preserve">to </w:t>
      </w:r>
      <w:r w:rsidR="002B2C95">
        <w:t>utiliz</w:t>
      </w:r>
      <w:r w:rsidR="009C6A0A">
        <w:t>e normal capacity ratings without a buffer value</w:t>
      </w:r>
      <w:r w:rsidR="005F6AEC">
        <w:t xml:space="preserve">. We direct </w:t>
      </w:r>
      <w:r w:rsidR="00B91CD3">
        <w:t xml:space="preserve">PG&amp;E and SCE </w:t>
      </w:r>
      <w:r w:rsidR="005F6AEC">
        <w:t xml:space="preserve">to utilize normal capacity ratings without a buffer value </w:t>
      </w:r>
      <w:r w:rsidR="00595D2C">
        <w:t xml:space="preserve">when </w:t>
      </w:r>
      <w:r w:rsidR="00370051">
        <w:t>determining</w:t>
      </w:r>
      <w:r w:rsidR="00691BEC">
        <w:t xml:space="preserve"> LLP capacity </w:t>
      </w:r>
      <w:r w:rsidR="00370051">
        <w:t>for</w:t>
      </w:r>
      <w:r w:rsidR="00691BEC">
        <w:t xml:space="preserve"> </w:t>
      </w:r>
      <w:r w:rsidR="001B3887">
        <w:t>the Standard Offer</w:t>
      </w:r>
      <w:r w:rsidR="00691BEC">
        <w:t>.</w:t>
      </w:r>
    </w:p>
    <w:p w:rsidR="00691BEC" w:rsidP="00957C72" w:rsidRDefault="00691BEC" w14:paraId="55449920" w14:textId="1DA05A42">
      <w:pPr>
        <w:pStyle w:val="Heading3"/>
      </w:pPr>
      <w:bookmarkStart w:name="_Toc220940211" w:id="83"/>
      <w:r>
        <w:t>Additional Limitations Imposed by Emergency Capacity Ratings</w:t>
      </w:r>
      <w:bookmarkEnd w:id="83"/>
    </w:p>
    <w:p w:rsidR="006E3B75" w:rsidP="00BE0CDB" w:rsidRDefault="00691BEC" w14:paraId="3771F05C" w14:textId="0BA5BA2B">
      <w:pPr>
        <w:pStyle w:val="Standard"/>
      </w:pPr>
      <w:r>
        <w:t xml:space="preserve">In addition to assessing normal equipment capacity, PG&amp;E evaluates the </w:t>
      </w:r>
      <w:r w:rsidR="00166204">
        <w:t>equipment</w:t>
      </w:r>
      <w:r>
        <w:t xml:space="preserve"> loading that would occur if the FSC customer failed to adequately control their load. PG&amp;E’s LLP is designed such</w:t>
      </w:r>
      <w:r w:rsidR="005865EB">
        <w:t xml:space="preserve"> that</w:t>
      </w:r>
      <w:r w:rsidR="00DD08DA">
        <w:t xml:space="preserve"> a</w:t>
      </w:r>
      <w:r w:rsidR="005865EB">
        <w:t xml:space="preserve"> customer’s</w:t>
      </w:r>
      <w:r w:rsidR="00DD08DA">
        <w:t xml:space="preserve"> </w:t>
      </w:r>
      <w:r w:rsidRPr="005865EB" w:rsidR="005865EB">
        <w:t>failure to comply might result in exceeding normal ratings but not emergency ratings</w:t>
      </w:r>
      <w:r>
        <w:t>.</w:t>
      </w:r>
      <w:r w:rsidR="00E4271D">
        <w:rPr>
          <w:rStyle w:val="FootnoteReference"/>
        </w:rPr>
        <w:footnoteReference w:id="143"/>
      </w:r>
    </w:p>
    <w:p w:rsidR="00686216" w:rsidP="00691BEC" w:rsidRDefault="00686216" w14:paraId="27D62629" w14:textId="40F32AD0">
      <w:pPr>
        <w:pStyle w:val="Standard"/>
      </w:pPr>
      <w:r>
        <w:t>We</w:t>
      </w:r>
      <w:r w:rsidR="00A43D5C">
        <w:t xml:space="preserve"> find </w:t>
      </w:r>
      <w:r w:rsidR="00333387">
        <w:t xml:space="preserve">it reasonable </w:t>
      </w:r>
      <w:r w:rsidR="001D5442">
        <w:t xml:space="preserve">for </w:t>
      </w:r>
      <w:r w:rsidR="00163C95">
        <w:t>PG&amp;E and SCE</w:t>
      </w:r>
      <w:r w:rsidR="001D5442">
        <w:t xml:space="preserve"> </w:t>
      </w:r>
      <w:r w:rsidR="00333387">
        <w:t xml:space="preserve">to assess the effect that </w:t>
      </w:r>
      <w:r w:rsidR="007C1235">
        <w:t xml:space="preserve">loss of control would have for those </w:t>
      </w:r>
      <w:r w:rsidR="00B54C63">
        <w:t xml:space="preserve">Standard Offer </w:t>
      </w:r>
      <w:r w:rsidR="007C1235">
        <w:t xml:space="preserve">customers who </w:t>
      </w:r>
      <w:r w:rsidR="003832DB">
        <w:t xml:space="preserve">are using manual or uncertified controls and </w:t>
      </w:r>
      <w:r w:rsidR="00554DEC">
        <w:t>have not installed protective devices</w:t>
      </w:r>
      <w:r w:rsidR="00EA52F4">
        <w:t>.</w:t>
      </w:r>
      <w:r w:rsidR="005F6AEC">
        <w:t xml:space="preserve"> </w:t>
      </w:r>
      <w:bookmarkStart w:name="_Hlk216439726" w:id="84"/>
      <w:r w:rsidR="005F6AEC">
        <w:t xml:space="preserve">We </w:t>
      </w:r>
      <w:r w:rsidR="00595D2C">
        <w:t xml:space="preserve">direct </w:t>
      </w:r>
      <w:r w:rsidR="00554DEC">
        <w:t xml:space="preserve">PG&amp;E and SCE </w:t>
      </w:r>
      <w:r w:rsidR="00595D2C">
        <w:t xml:space="preserve">to </w:t>
      </w:r>
      <w:r w:rsidR="00652010">
        <w:t xml:space="preserve">design their Standard Offer LLPs such that </w:t>
      </w:r>
      <w:r w:rsidR="00F10E7B">
        <w:t xml:space="preserve">IOU </w:t>
      </w:r>
      <w:r w:rsidR="00614941">
        <w:t xml:space="preserve">equipment will </w:t>
      </w:r>
      <w:r w:rsidR="00235403">
        <w:t xml:space="preserve">stay within </w:t>
      </w:r>
      <w:r w:rsidR="00195BE5">
        <w:t>their emergency capacity rating</w:t>
      </w:r>
      <w:r w:rsidR="00F1192A">
        <w:t xml:space="preserve"> if a customer </w:t>
      </w:r>
      <w:r w:rsidR="00D07194">
        <w:t xml:space="preserve">using manual or uncertified controls </w:t>
      </w:r>
      <w:r w:rsidR="00815090">
        <w:t>fails to control site load.</w:t>
      </w:r>
      <w:bookmarkEnd w:id="84"/>
    </w:p>
    <w:p w:rsidR="004B3B45" w:rsidP="00957C72" w:rsidRDefault="002864FD" w14:paraId="1EC457B3" w14:textId="7AFD5AA6">
      <w:pPr>
        <w:pStyle w:val="Heading2"/>
      </w:pPr>
      <w:bookmarkStart w:name="_Toc220940212" w:id="85"/>
      <w:r>
        <w:t xml:space="preserve">Technical </w:t>
      </w:r>
      <w:r w:rsidR="009C06FE">
        <w:t>Elements Related to Load Control</w:t>
      </w:r>
      <w:bookmarkEnd w:id="85"/>
    </w:p>
    <w:p w:rsidR="003B0EB5" w:rsidP="00957C72" w:rsidRDefault="005E5B43" w14:paraId="1FE38A6B" w14:textId="4CBF3D59">
      <w:pPr>
        <w:pStyle w:val="Heading3"/>
      </w:pPr>
      <w:bookmarkStart w:name="_Toc220940213" w:id="86"/>
      <w:r>
        <w:t>There is No Need for a Specific Technical</w:t>
      </w:r>
      <w:r w:rsidR="00DE104D">
        <w:t xml:space="preserve"> Load Control </w:t>
      </w:r>
      <w:r>
        <w:t>Solution</w:t>
      </w:r>
      <w:bookmarkEnd w:id="86"/>
    </w:p>
    <w:p w:rsidR="0082211F" w:rsidP="0082211F" w:rsidRDefault="0082211F" w14:paraId="616FF17F" w14:textId="657C0E67">
      <w:pPr>
        <w:pStyle w:val="Standard"/>
      </w:pPr>
      <w:r>
        <w:t xml:space="preserve">Multiple parties note that dictating a technical solution is unnecessary given that simple load scheduling may be sufficient and that dictation of a </w:t>
      </w:r>
      <w:r w:rsidR="005E5B43">
        <w:lastRenderedPageBreak/>
        <w:t>specific</w:t>
      </w:r>
      <w:r>
        <w:t xml:space="preserve"> technical solution may introduce costs that inequitably reduce the number of customers that could benefit from FSCs.</w:t>
      </w:r>
      <w:r>
        <w:rPr>
          <w:rStyle w:val="FootnoteReference"/>
        </w:rPr>
        <w:footnoteReference w:id="144"/>
      </w:r>
    </w:p>
    <w:p w:rsidR="00AC05AD" w:rsidP="00E9255A" w:rsidRDefault="009A0BF5" w14:paraId="454A7147" w14:textId="69722672">
      <w:pPr>
        <w:pStyle w:val="Standard"/>
      </w:pPr>
      <w:r>
        <w:t>SCE’s</w:t>
      </w:r>
      <w:r w:rsidR="00AC05AD">
        <w:t xml:space="preserve"> LCMS pilot require</w:t>
      </w:r>
      <w:r w:rsidR="00E05378">
        <w:t>d</w:t>
      </w:r>
      <w:r w:rsidR="00AC05AD">
        <w:t xml:space="preserve"> the installation of a SCE approved </w:t>
      </w:r>
      <w:bookmarkStart w:name="_Hlk216189902" w:id="87"/>
      <w:r w:rsidR="00AC05AD">
        <w:t>PCS</w:t>
      </w:r>
      <w:r w:rsidR="00FD12A1">
        <w:t>,</w:t>
      </w:r>
      <w:r w:rsidR="00057BDF">
        <w:t xml:space="preserve"> </w:t>
      </w:r>
      <w:bookmarkEnd w:id="87"/>
      <w:r w:rsidR="00057BDF">
        <w:t xml:space="preserve">approval of that </w:t>
      </w:r>
      <w:r w:rsidR="00C1778C">
        <w:t>system design, and</w:t>
      </w:r>
      <w:r w:rsidR="00FD12A1">
        <w:t xml:space="preserve"> commissioning of that system</w:t>
      </w:r>
      <w:r w:rsidR="00AC05AD">
        <w:t>.</w:t>
      </w:r>
      <w:r w:rsidR="00AC05AD">
        <w:rPr>
          <w:rStyle w:val="FootnoteReference"/>
        </w:rPr>
        <w:footnoteReference w:id="145"/>
      </w:r>
      <w:r w:rsidR="00AC05AD">
        <w:t xml:space="preserve"> Parties have indicated that the process of getting PCSs tested and approved has been lengthy and costly, and that SCE has moved</w:t>
      </w:r>
      <w:r w:rsidR="00AC05AD">
        <w:rPr>
          <w:rStyle w:val="FootnoteReference"/>
        </w:rPr>
        <w:footnoteReference w:id="146"/>
      </w:r>
      <w:r w:rsidR="00AC05AD">
        <w:t xml:space="preserve"> from a bespoke testing process for each PCS model to reliance upon equipment that has been certified to comply with the UL 3141 standard.</w:t>
      </w:r>
      <w:r w:rsidR="00AC05AD">
        <w:rPr>
          <w:rStyle w:val="FootnoteReference"/>
        </w:rPr>
        <w:footnoteReference w:id="147"/>
      </w:r>
      <w:r w:rsidR="00AC05AD">
        <w:t xml:space="preserve"> </w:t>
      </w:r>
      <w:r w:rsidR="00E9255A">
        <w:t xml:space="preserve">Further discussion of this standard is given in </w:t>
      </w:r>
      <w:r w:rsidR="00E31F22">
        <w:t>S</w:t>
      </w:r>
      <w:r w:rsidR="00E9255A">
        <w:t>ections</w:t>
      </w:r>
      <w:r w:rsidR="00CA4CEB">
        <w:t> </w:t>
      </w:r>
      <w:r w:rsidR="00E31F22">
        <w:t>6</w:t>
      </w:r>
      <w:r w:rsidR="00E9255A">
        <w:t>.3.3-</w:t>
      </w:r>
      <w:r w:rsidR="00E31F22">
        <w:t>6</w:t>
      </w:r>
      <w:r w:rsidR="00E9255A">
        <w:t>.3.5 below.</w:t>
      </w:r>
    </w:p>
    <w:p w:rsidR="001442BD" w:rsidP="00AC05AD" w:rsidRDefault="00AC05AD" w14:paraId="37492634" w14:textId="4C15BC61">
      <w:pPr>
        <w:pStyle w:val="Standard"/>
      </w:pPr>
      <w:r>
        <w:t>PG&amp;E’s LLL offering does not require automated controls</w:t>
      </w:r>
      <w:r w:rsidR="00943297">
        <w:t>.</w:t>
      </w:r>
      <w:r>
        <w:t xml:space="preserve"> While PG&amp;E reserves the right to deenergize </w:t>
      </w:r>
      <w:r w:rsidR="009C5508">
        <w:t>fac</w:t>
      </w:r>
      <w:r w:rsidR="00330DDA">
        <w:t>ilities</w:t>
      </w:r>
      <w:r w:rsidR="009C5508">
        <w:t xml:space="preserve"> </w:t>
      </w:r>
      <w:r>
        <w:t>that violate their load limit and levy charges equal to the cost of any damage incurred</w:t>
      </w:r>
      <w:r>
        <w:rPr>
          <w:rStyle w:val="FootnoteReference"/>
        </w:rPr>
        <w:footnoteReference w:id="148"/>
      </w:r>
      <w:r>
        <w:t xml:space="preserve">, it does not mandate any </w:t>
      </w:r>
      <w:r w:rsidR="001A23F0">
        <w:t xml:space="preserve">specific </w:t>
      </w:r>
      <w:r>
        <w:t>technical solution or commissioning</w:t>
      </w:r>
      <w:r w:rsidR="001A23F0">
        <w:t xml:space="preserve"> of the solution selected by the customer</w:t>
      </w:r>
      <w:r>
        <w:t xml:space="preserve">. </w:t>
      </w:r>
    </w:p>
    <w:p w:rsidR="00B6758E" w:rsidP="00B6758E" w:rsidRDefault="00166288" w14:paraId="5E1DDAD6" w14:textId="22C6E753">
      <w:pPr>
        <w:pStyle w:val="Standard"/>
      </w:pPr>
      <w:r>
        <w:t xml:space="preserve">PG&amp;E’s experience shows that </w:t>
      </w:r>
      <w:r w:rsidR="00E57685">
        <w:t xml:space="preserve">there is no need to dictate the method of load control </w:t>
      </w:r>
      <w:r w:rsidR="001C082B">
        <w:t xml:space="preserve">or require equipment commissioning </w:t>
      </w:r>
      <w:r w:rsidR="00E57685">
        <w:t>for the S</w:t>
      </w:r>
      <w:r w:rsidR="0003506B">
        <w:t xml:space="preserve">tandard </w:t>
      </w:r>
      <w:r w:rsidR="00E57685">
        <w:t>O</w:t>
      </w:r>
      <w:r w:rsidR="0003506B">
        <w:t>ffer</w:t>
      </w:r>
      <w:r w:rsidR="00E57685">
        <w:t xml:space="preserve">. </w:t>
      </w:r>
      <w:r w:rsidR="001A23F0">
        <w:t xml:space="preserve">We find </w:t>
      </w:r>
      <w:r w:rsidR="00D86C06">
        <w:t xml:space="preserve">it reasonable to allow </w:t>
      </w:r>
      <w:r w:rsidR="00707CA3">
        <w:t xml:space="preserve">Standard Offer </w:t>
      </w:r>
      <w:r w:rsidR="00D86C06">
        <w:t>customer</w:t>
      </w:r>
      <w:r w:rsidR="00E831DF">
        <w:t>s to</w:t>
      </w:r>
      <w:r w:rsidR="00D86C06">
        <w:t xml:space="preserve"> cho</w:t>
      </w:r>
      <w:r w:rsidR="00E831DF">
        <w:t>os</w:t>
      </w:r>
      <w:r w:rsidR="000D13F1">
        <w:t>e the method of load control that best meets their needs</w:t>
      </w:r>
      <w:r w:rsidR="00D86C06">
        <w:t>.</w:t>
      </w:r>
      <w:r w:rsidR="00E74914">
        <w:t xml:space="preserve"> We direct </w:t>
      </w:r>
      <w:r w:rsidR="00A75621">
        <w:t xml:space="preserve">PG&amp;E and SCE </w:t>
      </w:r>
      <w:r w:rsidR="00E74914">
        <w:t xml:space="preserve">to allow </w:t>
      </w:r>
      <w:r w:rsidR="002F7BEF">
        <w:t>customers to choose their preferred method of load control</w:t>
      </w:r>
      <w:r w:rsidR="000D46FD">
        <w:t xml:space="preserve"> and clarify that </w:t>
      </w:r>
      <w:r w:rsidR="002E0806">
        <w:lastRenderedPageBreak/>
        <w:t>PG&amp;E and SCE</w:t>
      </w:r>
      <w:r w:rsidR="002D0540">
        <w:t xml:space="preserve"> shall not require commissioning of the customer’s </w:t>
      </w:r>
      <w:r w:rsidR="00A93905">
        <w:t xml:space="preserve">chosen </w:t>
      </w:r>
      <w:r w:rsidR="002D0540">
        <w:t>solution</w:t>
      </w:r>
      <w:r w:rsidRPr="00B03030" w:rsidR="00B03030">
        <w:t xml:space="preserve"> </w:t>
      </w:r>
      <w:r w:rsidR="00B03030">
        <w:t>unless it includes an uncertified power control system and is requesting safe harbor</w:t>
      </w:r>
      <w:r w:rsidR="00281F39">
        <w:t xml:space="preserve"> </w:t>
      </w:r>
      <w:r w:rsidR="00B03030">
        <w:t>treatment</w:t>
      </w:r>
      <w:r w:rsidR="002D0540">
        <w:t>.</w:t>
      </w:r>
    </w:p>
    <w:p w:rsidR="003E7F5E" w:rsidP="00B6758E" w:rsidRDefault="000A3A02" w14:paraId="2670BA46" w14:textId="44176635">
      <w:pPr>
        <w:pStyle w:val="Standard"/>
      </w:pPr>
      <w:r>
        <w:t>PG&amp;E</w:t>
      </w:r>
      <w:r w:rsidR="006372B5">
        <w:t xml:space="preserve">’s LLL offering </w:t>
      </w:r>
      <w:r w:rsidR="00A37185">
        <w:t>reserve</w:t>
      </w:r>
      <w:r w:rsidR="006372B5">
        <w:t>s</w:t>
      </w:r>
      <w:r w:rsidR="00A37185">
        <w:t xml:space="preserve"> the right</w:t>
      </w:r>
      <w:r w:rsidR="001C6294">
        <w:rPr>
          <w:rStyle w:val="FootnoteReference"/>
        </w:rPr>
        <w:footnoteReference w:id="149"/>
      </w:r>
      <w:r w:rsidR="00A37185">
        <w:t xml:space="preserve"> to impose phy</w:t>
      </w:r>
      <w:r w:rsidR="000E1D02">
        <w:t>sical assurance or protective equipment.</w:t>
      </w:r>
      <w:r w:rsidR="00FB7F21">
        <w:t xml:space="preserve">  PG&amp;E shall include</w:t>
      </w:r>
      <w:r w:rsidR="006372B5">
        <w:t xml:space="preserve"> within the Implementation Advice Letter</w:t>
      </w:r>
      <w:r w:rsidR="00FB7F21">
        <w:t xml:space="preserve"> a description of the physical assurance and protective equipment that has been used </w:t>
      </w:r>
      <w:r w:rsidR="009D06C3">
        <w:t xml:space="preserve">in LLL projects, the circumstances that necessitated </w:t>
      </w:r>
      <w:r w:rsidR="006372B5">
        <w:t xml:space="preserve">its use, and the number of projects that have required either physical assurance or protective equipment. We anticipate that the </w:t>
      </w:r>
      <w:r w:rsidR="00C61307">
        <w:t>incidence of these measures in the Standard Offer will be comparable to th</w:t>
      </w:r>
      <w:r w:rsidR="00CC0A64">
        <w:t>at which has been experienced in the LLL offering</w:t>
      </w:r>
      <w:r w:rsidR="000B43C5">
        <w:t xml:space="preserve"> and direct the IOUs to maintain </w:t>
      </w:r>
      <w:r w:rsidR="00D6020E">
        <w:t xml:space="preserve">documentation on which sites needed such measures </w:t>
      </w:r>
      <w:r w:rsidR="00EC4AB2">
        <w:t>for</w:t>
      </w:r>
      <w:r w:rsidR="00D6020E">
        <w:t xml:space="preserve"> at least three </w:t>
      </w:r>
      <w:r w:rsidR="0003761B">
        <w:t>years.</w:t>
      </w:r>
      <w:r w:rsidR="00C61307">
        <w:t xml:space="preserve"> </w:t>
      </w:r>
    </w:p>
    <w:p w:rsidR="00943297" w:rsidP="00957C72" w:rsidRDefault="00943297" w14:paraId="519498B8" w14:textId="1AE39794">
      <w:pPr>
        <w:pStyle w:val="Heading3"/>
      </w:pPr>
      <w:bookmarkStart w:name="_Toc220940214" w:id="88"/>
      <w:r>
        <w:t>Compliance Can be Achieved by</w:t>
      </w:r>
      <w:r w:rsidR="00447EE2">
        <w:t xml:space="preserve"> Advanced Metering Infrastructure</w:t>
      </w:r>
      <w:r w:rsidR="00CB0FA7">
        <w:t>, Clear Liability,</w:t>
      </w:r>
      <w:r w:rsidR="00447EE2">
        <w:t xml:space="preserve"> and Cus</w:t>
      </w:r>
      <w:r w:rsidR="008E65B4">
        <w:t>tomer Education</w:t>
      </w:r>
      <w:bookmarkEnd w:id="88"/>
    </w:p>
    <w:p w:rsidR="008E65B4" w:rsidP="008E65B4" w:rsidRDefault="005B37F7" w14:paraId="12DB5F67" w14:textId="43A51140">
      <w:pPr>
        <w:pStyle w:val="Standard"/>
      </w:pPr>
      <w:r>
        <w:t>Compliance with capacity limits has historically been achieve</w:t>
      </w:r>
      <w:r w:rsidR="00A72F12">
        <w:t>d</w:t>
      </w:r>
      <w:r>
        <w:t xml:space="preserve"> by </w:t>
      </w:r>
      <w:r w:rsidR="00DD1372">
        <w:t xml:space="preserve">the IOU ensuring that </w:t>
      </w:r>
      <w:r w:rsidR="00031090">
        <w:t xml:space="preserve">the customer </w:t>
      </w:r>
      <w:r w:rsidR="005E3CA1">
        <w:t xml:space="preserve">equipment won’t </w:t>
      </w:r>
      <w:r w:rsidR="00031090">
        <w:t>draw more power than</w:t>
      </w:r>
      <w:r w:rsidR="005E3CA1">
        <w:t xml:space="preserve"> expected</w:t>
      </w:r>
      <w:r w:rsidR="00A72F12">
        <w:t>, utilizing</w:t>
      </w:r>
      <w:r w:rsidR="00625CC8">
        <w:t xml:space="preserve"> known</w:t>
      </w:r>
      <w:r w:rsidR="00A72F12">
        <w:t xml:space="preserve"> equipment sizing or protective relays. With </w:t>
      </w:r>
      <w:r w:rsidR="00927B5D">
        <w:t>its</w:t>
      </w:r>
      <w:r w:rsidR="00A72F12">
        <w:t xml:space="preserve"> LLL</w:t>
      </w:r>
      <w:r w:rsidR="00927B5D">
        <w:t xml:space="preserve"> offering</w:t>
      </w:r>
      <w:r w:rsidR="00A72F12">
        <w:t xml:space="preserve">, PG&amp;E </w:t>
      </w:r>
      <w:r w:rsidR="008E65B4">
        <w:t>instead utiliz</w:t>
      </w:r>
      <w:r w:rsidR="00A72F12">
        <w:t>es</w:t>
      </w:r>
      <w:r w:rsidR="008E65B4">
        <w:t xml:space="preserve"> an automated compliance tracking system that leverages the data provided by </w:t>
      </w:r>
      <w:r w:rsidR="00A9702F">
        <w:t>Advanced Metering Infrastructure (</w:t>
      </w:r>
      <w:r w:rsidR="008E65B4">
        <w:t>AMI</w:t>
      </w:r>
      <w:r w:rsidR="00A9702F">
        <w:t>)</w:t>
      </w:r>
      <w:r w:rsidR="008E65B4">
        <w:t xml:space="preserve"> to trigger a</w:t>
      </w:r>
      <w:r w:rsidR="0018540D">
        <w:t xml:space="preserve"> weekly</w:t>
      </w:r>
      <w:r w:rsidR="008E65B4">
        <w:t xml:space="preserve"> email message to its engineering staff if a customer exceeds their allotted capacity. The engineering staff then reviews historical data and contacts the customer if the data confirm that there has been an exceedance.</w:t>
      </w:r>
      <w:r w:rsidR="00CB0FA7">
        <w:t xml:space="preserve"> PG&amp;E reports </w:t>
      </w:r>
      <w:r w:rsidR="00CB0FA7">
        <w:lastRenderedPageBreak/>
        <w:t>that this arrangement has been su</w:t>
      </w:r>
      <w:r w:rsidR="00DC2716">
        <w:t>fficient</w:t>
      </w:r>
      <w:r w:rsidR="00CB0FA7">
        <w:t>,</w:t>
      </w:r>
      <w:r w:rsidRPr="008A1B4B" w:rsidR="008A1B4B">
        <w:rPr>
          <w:rStyle w:val="FootnoteReference"/>
        </w:rPr>
        <w:t xml:space="preserve"> </w:t>
      </w:r>
      <w:r w:rsidRPr="00907CBE" w:rsidR="008A1B4B">
        <w:rPr>
          <w:rStyle w:val="FootnoteReference"/>
        </w:rPr>
        <w:footnoteReference w:id="150"/>
      </w:r>
      <w:r w:rsidRPr="00907CBE" w:rsidR="00CB0FA7">
        <w:t xml:space="preserve"> </w:t>
      </w:r>
      <w:r w:rsidRPr="0021187D" w:rsidR="00CB0FA7">
        <w:t>noting</w:t>
      </w:r>
      <w:r w:rsidR="00CB0FA7">
        <w:t xml:space="preserve"> an infrequent need to contact customers and their subsequent adherence to the agreed upon LLP</w:t>
      </w:r>
      <w:r w:rsidR="00B47977">
        <w:t>.</w:t>
      </w:r>
      <w:r w:rsidR="00F10ADB">
        <w:rPr>
          <w:rStyle w:val="FootnoteReference"/>
        </w:rPr>
        <w:footnoteReference w:id="151"/>
      </w:r>
    </w:p>
    <w:p w:rsidR="00BD72AC" w:rsidP="00BD72AC" w:rsidRDefault="00BD72AC" w14:paraId="31E0ADC0" w14:textId="7D69E3DB">
      <w:pPr>
        <w:pStyle w:val="Standard"/>
      </w:pPr>
      <w:r>
        <w:t>PG&amp;E’s experience shows that customers respond to a clear articulation of liability if LLP values should be exceeded. We find it reasonable</w:t>
      </w:r>
      <w:r w:rsidR="00F80604">
        <w:t xml:space="preserve"> for </w:t>
      </w:r>
      <w:r w:rsidR="00BA3ADA">
        <w:t xml:space="preserve">PG&amp;E and SCE </w:t>
      </w:r>
      <w:r>
        <w:t>to hold S</w:t>
      </w:r>
      <w:r w:rsidR="00F80604">
        <w:t xml:space="preserve">tandard </w:t>
      </w:r>
      <w:r>
        <w:t>O</w:t>
      </w:r>
      <w:r w:rsidR="00F80604">
        <w:t>ffer</w:t>
      </w:r>
      <w:r>
        <w:t xml:space="preserve"> customers liable for damage to IOU equipment resulting from </w:t>
      </w:r>
      <w:r w:rsidR="00BA3ADA">
        <w:t xml:space="preserve">exceedance </w:t>
      </w:r>
      <w:r>
        <w:t>of the S</w:t>
      </w:r>
      <w:r w:rsidR="002829EC">
        <w:t xml:space="preserve">tandard </w:t>
      </w:r>
      <w:r>
        <w:t>O</w:t>
      </w:r>
      <w:r w:rsidR="002829EC">
        <w:t>ffer</w:t>
      </w:r>
      <w:r>
        <w:t xml:space="preserve"> LLP. We </w:t>
      </w:r>
      <w:bookmarkStart w:name="_Hlk216439891" w:id="89"/>
      <w:r>
        <w:t xml:space="preserve">direct </w:t>
      </w:r>
      <w:r w:rsidR="00BA3ADA">
        <w:t xml:space="preserve">PG&amp;E and SCE </w:t>
      </w:r>
      <w:r>
        <w:t>to incorporate provisions</w:t>
      </w:r>
      <w:r w:rsidR="008C71D1">
        <w:t xml:space="preserve"> in the Standard Offer</w:t>
      </w:r>
      <w:r>
        <w:t xml:space="preserve"> that clearly assign liability for damages</w:t>
      </w:r>
      <w:r w:rsidR="008C71D1">
        <w:t xml:space="preserve"> to IOU equipment</w:t>
      </w:r>
      <w:r>
        <w:t xml:space="preserve"> resulting from the exceedance of the approved LLP to the S</w:t>
      </w:r>
      <w:r w:rsidR="00060ADE">
        <w:t xml:space="preserve">tandard </w:t>
      </w:r>
      <w:r>
        <w:t>O</w:t>
      </w:r>
      <w:r w:rsidR="00060ADE">
        <w:t>ffer</w:t>
      </w:r>
      <w:r>
        <w:t xml:space="preserve"> customer.</w:t>
      </w:r>
      <w:bookmarkEnd w:id="89"/>
    </w:p>
    <w:p w:rsidR="00B47977" w:rsidP="008E65B4" w:rsidRDefault="00B47977" w14:paraId="424E156F" w14:textId="03E2326A">
      <w:pPr>
        <w:pStyle w:val="Standard"/>
      </w:pPr>
      <w:r>
        <w:t xml:space="preserve">We find </w:t>
      </w:r>
      <w:bookmarkStart w:name="_Hlk216440018" w:id="90"/>
      <w:r>
        <w:t xml:space="preserve">it reasonable </w:t>
      </w:r>
      <w:r w:rsidR="00BD72AC">
        <w:t xml:space="preserve">for </w:t>
      </w:r>
      <w:r w:rsidR="00482398">
        <w:t xml:space="preserve">PG&amp;E and SCE </w:t>
      </w:r>
      <w:r>
        <w:t>to utilize AMI infrastructure to monitor compliance</w:t>
      </w:r>
      <w:r w:rsidR="00BD72AC">
        <w:t xml:space="preserve"> with </w:t>
      </w:r>
      <w:r w:rsidR="00F12EEA">
        <w:t>Standard Offer</w:t>
      </w:r>
      <w:r w:rsidR="00BD72AC">
        <w:t xml:space="preserve"> LLPs</w:t>
      </w:r>
      <w:r w:rsidR="007177F4">
        <w:t xml:space="preserve">. </w:t>
      </w:r>
      <w:bookmarkEnd w:id="90"/>
      <w:r w:rsidR="007177F4">
        <w:t>We recognize that the email and manual review process</w:t>
      </w:r>
      <w:r w:rsidR="00DE373A">
        <w:t xml:space="preserve"> used by PG&amp;E</w:t>
      </w:r>
      <w:r w:rsidR="007177F4">
        <w:t xml:space="preserve"> may not </w:t>
      </w:r>
      <w:r w:rsidR="008A553E">
        <w:t xml:space="preserve">be ideal for achieving scale or compatible with different IOU </w:t>
      </w:r>
      <w:r w:rsidR="00E42184">
        <w:t xml:space="preserve">systems and find it reasonable to allow </w:t>
      </w:r>
      <w:r w:rsidR="00A76F53">
        <w:t xml:space="preserve">each </w:t>
      </w:r>
      <w:r w:rsidR="00E42184">
        <w:t xml:space="preserve">IOU </w:t>
      </w:r>
      <w:r w:rsidR="00B06334">
        <w:t>latitude to create di</w:t>
      </w:r>
      <w:r w:rsidR="00080D83">
        <w:t>vergent</w:t>
      </w:r>
      <w:r w:rsidR="00B06334">
        <w:t xml:space="preserve"> processes to </w:t>
      </w:r>
      <w:r w:rsidR="00BD72AC">
        <w:t xml:space="preserve">move from AMI data to </w:t>
      </w:r>
      <w:r w:rsidR="00DE373A">
        <w:t>customer notification</w:t>
      </w:r>
      <w:r w:rsidR="00B925B0">
        <w:t xml:space="preserve"> of Standard Offer LLP exceedance</w:t>
      </w:r>
      <w:r w:rsidR="00DE373A">
        <w:t>.</w:t>
      </w:r>
      <w:r w:rsidR="001A793C">
        <w:t xml:space="preserve"> We direct </w:t>
      </w:r>
      <w:r w:rsidR="00252A6F">
        <w:t xml:space="preserve">PG&amp;E and SCE </w:t>
      </w:r>
      <w:r w:rsidR="001A793C">
        <w:t xml:space="preserve">to utilize AMI data as the method for determining customer compliance with the </w:t>
      </w:r>
      <w:r w:rsidR="00F12EEA">
        <w:t>Standard Offer</w:t>
      </w:r>
      <w:r w:rsidR="001A793C">
        <w:t xml:space="preserve"> terms.</w:t>
      </w:r>
    </w:p>
    <w:p w:rsidR="00CB0FA7" w:rsidP="008E65B4" w:rsidRDefault="007A0D69" w14:paraId="3742C7C4" w14:textId="17B4AE9A">
      <w:pPr>
        <w:pStyle w:val="Standard"/>
      </w:pPr>
      <w:r>
        <w:t xml:space="preserve">We </w:t>
      </w:r>
      <w:r w:rsidR="0045241B">
        <w:t xml:space="preserve">find that the customer education approach taken by PG&amp;E is effective and </w:t>
      </w:r>
      <w:r w:rsidR="00144F65">
        <w:t xml:space="preserve">appropriately balances risk </w:t>
      </w:r>
      <w:r w:rsidR="0069546E">
        <w:t>with customer capabilities. We direct IOUs</w:t>
      </w:r>
      <w:r w:rsidR="00B821A4">
        <w:t xml:space="preserve"> to utilize customer education as the first remediation step </w:t>
      </w:r>
      <w:r w:rsidR="00141675">
        <w:t xml:space="preserve">if a customer should exceed their </w:t>
      </w:r>
      <w:r w:rsidR="00F12EEA">
        <w:t>Standard Offer</w:t>
      </w:r>
      <w:r w:rsidR="003B0760">
        <w:t xml:space="preserve"> LLP in a way that does not create a safety, reliability, or </w:t>
      </w:r>
      <w:r w:rsidR="00F9363C">
        <w:t>shortage of supply</w:t>
      </w:r>
      <w:r w:rsidR="003B0760">
        <w:t xml:space="preserve"> concern</w:t>
      </w:r>
      <w:r w:rsidR="00C16935">
        <w:t xml:space="preserve">. Nothing in this direction should be interpreted as </w:t>
      </w:r>
      <w:r w:rsidR="00C16935">
        <w:lastRenderedPageBreak/>
        <w:t>superseding the IOUs authority to enforce terms found in their Electric Tariff Rules 11 or 14.</w:t>
      </w:r>
    </w:p>
    <w:p w:rsidR="00283714" w:rsidP="00957C72" w:rsidRDefault="00283714" w14:paraId="546325DD" w14:textId="274C3273">
      <w:pPr>
        <w:pStyle w:val="Heading3"/>
      </w:pPr>
      <w:bookmarkStart w:name="_Toc220940215" w:id="91"/>
      <w:r>
        <w:t>Safe Harbor for Load Controlled by Certified or Approved Electronic Systems</w:t>
      </w:r>
      <w:bookmarkEnd w:id="91"/>
    </w:p>
    <w:p w:rsidR="006C329C" w:rsidP="008F0B19" w:rsidRDefault="00C85F8D" w14:paraId="1543BE39" w14:textId="28C819E8">
      <w:pPr>
        <w:pStyle w:val="Standard"/>
      </w:pPr>
      <w:r>
        <w:t>P</w:t>
      </w:r>
      <w:r w:rsidR="008F0B19">
        <w:t xml:space="preserve">arties do not agree </w:t>
      </w:r>
      <w:r w:rsidR="009E3DCD">
        <w:t>that there is a</w:t>
      </w:r>
      <w:r w:rsidR="008F0B19">
        <w:t xml:space="preserve"> need to impose specific technical solutions,</w:t>
      </w:r>
      <w:r>
        <w:t xml:space="preserve"> and PG&amp;E’s LLL experience has shown that </w:t>
      </w:r>
      <w:r w:rsidR="00EF5F47">
        <w:t>a</w:t>
      </w:r>
      <w:r w:rsidR="00A10E55">
        <w:t xml:space="preserve"> static FSC</w:t>
      </w:r>
      <w:r w:rsidR="00EF5F47">
        <w:t xml:space="preserve"> offering can be </w:t>
      </w:r>
      <w:r w:rsidR="00A6778D">
        <w:t xml:space="preserve">safely made </w:t>
      </w:r>
      <w:r w:rsidR="00EF5F47">
        <w:t xml:space="preserve">without </w:t>
      </w:r>
      <w:r w:rsidR="00A6778D">
        <w:t xml:space="preserve">requiring </w:t>
      </w:r>
      <w:r w:rsidR="00EF5F47">
        <w:t>specific technical solutions</w:t>
      </w:r>
      <w:r w:rsidR="005D4D45">
        <w:t xml:space="preserve">, provided that the IOU is </w:t>
      </w:r>
      <w:r w:rsidR="00AB553D">
        <w:t>permitted to curate</w:t>
      </w:r>
      <w:r w:rsidR="00331386">
        <w:t xml:space="preserve"> the population of participating customers</w:t>
      </w:r>
      <w:r w:rsidR="0032589A">
        <w:t xml:space="preserve"> and decline FSCs where grid conditions or customer characteristics pose heightened risk</w:t>
      </w:r>
      <w:r w:rsidR="00331386">
        <w:rPr>
          <w:rStyle w:val="FootnoteReference"/>
        </w:rPr>
        <w:footnoteReference w:id="152"/>
      </w:r>
      <w:r w:rsidR="00A6778D">
        <w:t>. As</w:t>
      </w:r>
      <w:r w:rsidR="008F0B19">
        <w:t xml:space="preserve"> there is consensus on which technical solution would be sufficient if </w:t>
      </w:r>
      <w:r w:rsidR="00A86A1F">
        <w:t xml:space="preserve">one were </w:t>
      </w:r>
      <w:r w:rsidR="00A838C6">
        <w:t>needed</w:t>
      </w:r>
      <w:r w:rsidR="00A6778D">
        <w:t xml:space="preserve">, we find </w:t>
      </w:r>
      <w:r w:rsidR="00AF20F5">
        <w:t xml:space="preserve">that </w:t>
      </w:r>
      <w:r w:rsidR="00031128">
        <w:t xml:space="preserve">providing a safe harbor for </w:t>
      </w:r>
      <w:r w:rsidR="00942DB8">
        <w:t xml:space="preserve">load controlled by </w:t>
      </w:r>
      <w:r w:rsidR="00031128">
        <w:t xml:space="preserve">systems using this solution is likely to </w:t>
      </w:r>
      <w:r w:rsidR="00F81C02">
        <w:t>reduce the administrative burden of providing a Standard Offer</w:t>
      </w:r>
      <w:r w:rsidR="00304E52">
        <w:t xml:space="preserve">. </w:t>
      </w:r>
      <w:r w:rsidR="00D14AC3">
        <w:t>Safe harbor treatment me</w:t>
      </w:r>
      <w:r w:rsidR="007B3EFA">
        <w:t xml:space="preserve">ans that controlled load </w:t>
      </w:r>
      <w:r w:rsidR="008A2157">
        <w:t xml:space="preserve">behind a certified or approved Power Control System </w:t>
      </w:r>
      <w:r w:rsidR="007B3EFA">
        <w:t>is not counted against</w:t>
      </w:r>
      <w:r w:rsidR="00BC5A73">
        <w:t xml:space="preserve"> the normal or emergency capacity ratings of IOU </w:t>
      </w:r>
      <w:r w:rsidR="00817846">
        <w:t>equipment.</w:t>
      </w:r>
      <w:r w:rsidR="007B3EFA">
        <w:t xml:space="preserve"> </w:t>
      </w:r>
      <w:r w:rsidR="00304E52">
        <w:t>Further</w:t>
      </w:r>
      <w:r w:rsidR="006C329C">
        <w:t xml:space="preserve">, providing this safe harbor </w:t>
      </w:r>
      <w:r w:rsidR="00F81C02">
        <w:t xml:space="preserve">is likely to increase the number of </w:t>
      </w:r>
      <w:r w:rsidR="00304E52">
        <w:t xml:space="preserve">customers that can be provided a Standard Offer, </w:t>
      </w:r>
      <w:r w:rsidR="006C329C">
        <w:t>given the finite engineering resources available for evaluating customer applications</w:t>
      </w:r>
      <w:r w:rsidR="008F0B19">
        <w:t xml:space="preserve">. </w:t>
      </w:r>
    </w:p>
    <w:p w:rsidR="00C8383F" w:rsidP="008F0B19" w:rsidRDefault="008F0B19" w14:paraId="17764F21" w14:textId="2E93A3A3">
      <w:pPr>
        <w:pStyle w:val="Standard"/>
      </w:pPr>
      <w:r>
        <w:t>The majority of parties state</w:t>
      </w:r>
      <w:r>
        <w:rPr>
          <w:rStyle w:val="FootnoteReference"/>
        </w:rPr>
        <w:footnoteReference w:id="153"/>
      </w:r>
      <w:r>
        <w:t xml:space="preserve"> that the installation of a PCS that has been certified by a </w:t>
      </w:r>
      <w:bookmarkStart w:name="_Hlk216190112" w:id="92"/>
      <w:r>
        <w:t xml:space="preserve">Nationally Recognized Test Lab (NRTL) </w:t>
      </w:r>
      <w:bookmarkEnd w:id="92"/>
      <w:r>
        <w:t xml:space="preserve">to comply with the second </w:t>
      </w:r>
      <w:r>
        <w:lastRenderedPageBreak/>
        <w:t>edition of the UL 3141 standard’s Power Import Limitation function (UL 3141</w:t>
      </w:r>
      <w:r w:rsidR="0021483B">
        <w:t xml:space="preserve"> PCS</w:t>
      </w:r>
      <w:r>
        <w:t xml:space="preserve">) is sufficient to ensure that customers operate within the power limits specified in their LLP. </w:t>
      </w:r>
      <w:r w:rsidR="00557011">
        <w:t xml:space="preserve">Given parties’ extensive response in support of the standard, we find it reasonable to rely upon UL 3141 PCS certification for load control. </w:t>
      </w:r>
      <w:r w:rsidR="00B01D46">
        <w:t xml:space="preserve">This reliance </w:t>
      </w:r>
      <w:r w:rsidR="00817846">
        <w:t>provides</w:t>
      </w:r>
      <w:r w:rsidR="00B01D46">
        <w:t xml:space="preserve"> a safe harbo</w:t>
      </w:r>
      <w:r w:rsidR="00CC207B">
        <w:t>r</w:t>
      </w:r>
      <w:r w:rsidR="000A009D">
        <w:t>.</w:t>
      </w:r>
      <w:r w:rsidR="00E1367B">
        <w:t xml:space="preserve"> </w:t>
      </w:r>
      <w:r w:rsidR="00557011">
        <w:t xml:space="preserve">We find </w:t>
      </w:r>
      <w:r w:rsidR="008A0AC4">
        <w:t xml:space="preserve">it reasonable </w:t>
      </w:r>
      <w:r w:rsidR="00557011">
        <w:t xml:space="preserve">that customer </w:t>
      </w:r>
      <w:r w:rsidR="008A0AC4">
        <w:t>load</w:t>
      </w:r>
      <w:r w:rsidR="00557011">
        <w:t xml:space="preserve"> installed under the control of a certified UL 3141 PCS </w:t>
      </w:r>
      <w:r w:rsidR="008A0AC4">
        <w:t>shall</w:t>
      </w:r>
      <w:r w:rsidR="00557011">
        <w:t xml:space="preserve"> not comprise an increase in connected or metered load provided that the UL 3141 PCS setpoint does not exceed the total amount of other connected or metered loads. We find that customer equipment installed within a UL 3141 PCS does not comprise a meaningful change in the amount or character of load for existing customers provided the customer stays within the previously authorized capacity.</w:t>
      </w:r>
      <w:r w:rsidRPr="00C36B0A" w:rsidR="00C36B0A">
        <w:t xml:space="preserve"> </w:t>
      </w:r>
    </w:p>
    <w:p w:rsidR="00557011" w:rsidP="008F0B19" w:rsidRDefault="001C1C27" w14:paraId="262F16E9" w14:textId="64439A96">
      <w:pPr>
        <w:pStyle w:val="Standard"/>
      </w:pPr>
      <w:r>
        <w:t xml:space="preserve">UL </w:t>
      </w:r>
      <w:r w:rsidR="00B80E12">
        <w:t>3141 provides a standardized format for scheduling LLP values.</w:t>
      </w:r>
      <w:r w:rsidR="00B503E0">
        <w:t xml:space="preserve"> </w:t>
      </w:r>
      <w:r w:rsidR="00C36B0A">
        <w:t xml:space="preserve">We find it reasonable to require that </w:t>
      </w:r>
      <w:r w:rsidR="002E0806">
        <w:t xml:space="preserve">PG&amp;E and </w:t>
      </w:r>
      <w:r w:rsidR="006C7B54">
        <w:t xml:space="preserve">SCE </w:t>
      </w:r>
      <w:r w:rsidR="00C36B0A">
        <w:t>provide the LLP values to the customer electronically, in the format specified by UL 3141 Edition two Annex A.</w:t>
      </w:r>
    </w:p>
    <w:p w:rsidR="00751DB6" w:rsidP="00F94A69" w:rsidRDefault="008F0B19" w14:paraId="4CDCC52D" w14:textId="7B894307">
      <w:pPr>
        <w:pStyle w:val="Standard"/>
      </w:pPr>
      <w:r>
        <w:t>Multiple parties</w:t>
      </w:r>
      <w:r>
        <w:rPr>
          <w:rStyle w:val="FootnoteReference"/>
        </w:rPr>
        <w:footnoteReference w:id="154"/>
      </w:r>
      <w:r>
        <w:t xml:space="preserve"> note that there may be cases in which a specific equipment is not available with a UL 3141 PCS and suggest that customers be allowed to use other mutually agreeable solutions such as uncertified PCSs, software controls, </w:t>
      </w:r>
      <w:bookmarkStart w:name="_Hlk216190147" w:id="93"/>
      <w:r>
        <w:t>Real-Time Automation Controllers (RTAC)</w:t>
      </w:r>
      <w:bookmarkEnd w:id="93"/>
      <w:r>
        <w:t xml:space="preserve">, and relays if </w:t>
      </w:r>
      <w:r w:rsidR="00AB1524">
        <w:t>the Standard Offer customer elects to</w:t>
      </w:r>
      <w:r>
        <w:t xml:space="preserve"> rely upon automated solutions.</w:t>
      </w:r>
      <w:r w:rsidRPr="00C36B0A" w:rsidR="00C36B0A">
        <w:t xml:space="preserve"> </w:t>
      </w:r>
      <w:r w:rsidR="00C36B0A">
        <w:t xml:space="preserve">We </w:t>
      </w:r>
      <w:r w:rsidR="00A66D21">
        <w:t>find this argument persuasi</w:t>
      </w:r>
      <w:r w:rsidR="008401EB">
        <w:t>ve and</w:t>
      </w:r>
      <w:r w:rsidR="00C36B0A">
        <w:t xml:space="preserve"> allow customers and utilities to use mutually agreeable solutions</w:t>
      </w:r>
      <w:r w:rsidR="008401EB">
        <w:t xml:space="preserve"> to</w:t>
      </w:r>
      <w:r w:rsidR="0012149D">
        <w:t xml:space="preserve"> </w:t>
      </w:r>
      <w:r w:rsidR="0057073B">
        <w:t>access safe harbor</w:t>
      </w:r>
      <w:r w:rsidR="00281F39">
        <w:t xml:space="preserve"> treatment</w:t>
      </w:r>
      <w:r w:rsidR="00C36B0A">
        <w:t xml:space="preserve"> when equipment with a UL 3141 PCS is unavailable or infeasible for the customer’s needs</w:t>
      </w:r>
      <w:r w:rsidR="00D666E4">
        <w:t>.</w:t>
      </w:r>
      <w:r w:rsidR="0057073B">
        <w:t xml:space="preserve"> It is reasonable to </w:t>
      </w:r>
      <w:r w:rsidR="00937BFC">
        <w:t xml:space="preserve">allow </w:t>
      </w:r>
      <w:r w:rsidR="00E81DEC">
        <w:t>PG&amp;E and SCE</w:t>
      </w:r>
      <w:r w:rsidR="007616AD">
        <w:t xml:space="preserve"> to require that uncertified </w:t>
      </w:r>
      <w:r w:rsidR="00964CAF">
        <w:t>power</w:t>
      </w:r>
      <w:r w:rsidR="00E81DEC">
        <w:t xml:space="preserve"> control </w:t>
      </w:r>
      <w:r w:rsidR="007616AD">
        <w:t xml:space="preserve">systems successfully undergo </w:t>
      </w:r>
      <w:r w:rsidR="00615DAA">
        <w:lastRenderedPageBreak/>
        <w:t xml:space="preserve">system commissioning </w:t>
      </w:r>
      <w:r w:rsidR="00E23CD3">
        <w:t xml:space="preserve">in order for their controlled load to be provided </w:t>
      </w:r>
      <w:r w:rsidR="00615DAA">
        <w:t>safe harbor treatment.</w:t>
      </w:r>
    </w:p>
    <w:p w:rsidR="007B13F3" w:rsidP="00957C72" w:rsidRDefault="00AC3760" w14:paraId="3DBF8AFB" w14:textId="112A010E">
      <w:pPr>
        <w:pStyle w:val="Heading3"/>
      </w:pPr>
      <w:bookmarkStart w:name="_Toc220940216" w:id="94"/>
      <w:r>
        <w:t xml:space="preserve">Availability of UL 3141 PCS </w:t>
      </w:r>
      <w:r w:rsidR="001674C3">
        <w:t>E</w:t>
      </w:r>
      <w:r>
        <w:t xml:space="preserve">nabled </w:t>
      </w:r>
      <w:r w:rsidR="001674C3">
        <w:t>E</w:t>
      </w:r>
      <w:r>
        <w:t>quipment</w:t>
      </w:r>
      <w:bookmarkEnd w:id="94"/>
    </w:p>
    <w:p w:rsidRPr="00AC3760" w:rsidR="00AC3760" w:rsidP="00AC3760" w:rsidRDefault="00FB5585" w14:paraId="4FA65BD5" w14:textId="2F6DAE62">
      <w:pPr>
        <w:pStyle w:val="Standard"/>
      </w:pPr>
      <w:r w:rsidRPr="00FB5585">
        <w:t>There is a consensus from parties responding to this ruling question that certified equipment is either currently available or planned to be available by mid-2025.</w:t>
      </w:r>
      <w:r>
        <w:rPr>
          <w:rStyle w:val="FootnoteReference"/>
        </w:rPr>
        <w:footnoteReference w:id="155"/>
      </w:r>
      <w:r w:rsidRPr="00FB5585">
        <w:t xml:space="preserve"> </w:t>
      </w:r>
      <w:r w:rsidR="00E9235E">
        <w:t xml:space="preserve"> </w:t>
      </w:r>
      <w:r w:rsidRPr="00FB5585">
        <w:t>IREC notes that Commission decision supporting the use of certified PCSs would be a crucial market driver and should help clarify ongoing confusion around standards for these applications.</w:t>
      </w:r>
      <w:r w:rsidR="005502CE">
        <w:t xml:space="preserve"> We</w:t>
      </w:r>
      <w:r w:rsidR="00164A62">
        <w:t xml:space="preserve"> find it reasonable to assume that </w:t>
      </w:r>
      <w:r w:rsidR="00F12EEA">
        <w:t>Standard Offer</w:t>
      </w:r>
      <w:r w:rsidR="00164A62">
        <w:t xml:space="preserve"> customers will be able to find UL 3141 PCS certified equipment for the majority of their needs.</w:t>
      </w:r>
    </w:p>
    <w:p w:rsidR="00694B92" w:rsidP="00957C72" w:rsidRDefault="0085378A" w14:paraId="12716011" w14:textId="45352387">
      <w:pPr>
        <w:pStyle w:val="Heading3"/>
      </w:pPr>
      <w:bookmarkStart w:name="_Toc220940217" w:id="95"/>
      <w:r>
        <w:t xml:space="preserve">Response Times for UL 3141 PCS </w:t>
      </w:r>
      <w:r w:rsidR="00931DB8">
        <w:t xml:space="preserve">or other </w:t>
      </w:r>
      <w:r w:rsidR="00D36A84">
        <w:t>M</w:t>
      </w:r>
      <w:r w:rsidR="00931DB8">
        <w:t xml:space="preserve">utually </w:t>
      </w:r>
      <w:r w:rsidR="00D36A84">
        <w:t>A</w:t>
      </w:r>
      <w:r w:rsidR="00931DB8">
        <w:t xml:space="preserve">greeable </w:t>
      </w:r>
      <w:r w:rsidR="00D36A84">
        <w:t>C</w:t>
      </w:r>
      <w:r w:rsidR="00931DB8">
        <w:t xml:space="preserve">ontrol </w:t>
      </w:r>
      <w:r w:rsidR="00D36A84">
        <w:t>S</w:t>
      </w:r>
      <w:r>
        <w:t>ystems</w:t>
      </w:r>
      <w:bookmarkEnd w:id="95"/>
    </w:p>
    <w:p w:rsidRPr="00D9096C" w:rsidR="00D9096C" w:rsidP="00D9096C" w:rsidRDefault="002E0992" w14:paraId="198D7810" w14:textId="16ABEC74">
      <w:pPr>
        <w:pStyle w:val="Standard"/>
      </w:pPr>
      <w:r w:rsidRPr="001C01C5">
        <w:t>Parties assert</w:t>
      </w:r>
      <w:r w:rsidRPr="001C01C5" w:rsidR="004E0FB4">
        <w:rPr>
          <w:rStyle w:val="FootnoteReference"/>
        </w:rPr>
        <w:footnoteReference w:id="156"/>
      </w:r>
      <w:r w:rsidRPr="001C01C5">
        <w:t xml:space="preserve"> that</w:t>
      </w:r>
      <w:r w:rsidRPr="001C01C5" w:rsidR="00A72A55">
        <w:t xml:space="preserve"> systems utilizing</w:t>
      </w:r>
      <w:r w:rsidRPr="001C01C5" w:rsidR="00711A31">
        <w:t xml:space="preserve"> standard</w:t>
      </w:r>
      <w:r w:rsidRPr="001C01C5">
        <w:t xml:space="preserve"> </w:t>
      </w:r>
      <w:r w:rsidRPr="001C01C5" w:rsidR="00E412D7">
        <w:t xml:space="preserve">UL </w:t>
      </w:r>
      <w:r w:rsidRPr="001C01C5" w:rsidR="00F35AF0">
        <w:t xml:space="preserve">3141 </w:t>
      </w:r>
      <w:r w:rsidRPr="001C01C5" w:rsidR="00A72A55">
        <w:t xml:space="preserve">PCS </w:t>
      </w:r>
      <w:r w:rsidRPr="001C01C5" w:rsidR="0057415B">
        <w:t xml:space="preserve">parameters </w:t>
      </w:r>
      <w:r w:rsidRPr="001C01C5" w:rsidR="0074293B">
        <w:t xml:space="preserve">for </w:t>
      </w:r>
      <w:r w:rsidRPr="001C01C5" w:rsidR="00A263CA">
        <w:t>response times</w:t>
      </w:r>
      <w:r w:rsidRPr="001C01C5" w:rsidR="00547B9F">
        <w:t xml:space="preserve"> have</w:t>
      </w:r>
      <w:r w:rsidRPr="001C01C5" w:rsidR="00D57EC5">
        <w:t xml:space="preserve"> a negligible effect on equipment lifespan, citing</w:t>
      </w:r>
      <w:r w:rsidRPr="001C01C5" w:rsidR="00F478BC">
        <w:t xml:space="preserve"> the findings of</w:t>
      </w:r>
      <w:r w:rsidRPr="001C01C5" w:rsidR="00D57EC5">
        <w:t xml:space="preserve"> </w:t>
      </w:r>
      <w:r w:rsidRPr="001C01C5" w:rsidR="008A2846">
        <w:t>federal re</w:t>
      </w:r>
      <w:r w:rsidRPr="001C01C5" w:rsidR="00F478BC">
        <w:t>search</w:t>
      </w:r>
      <w:r w:rsidR="00E9235E">
        <w:t>.</w:t>
      </w:r>
      <w:r w:rsidRPr="001C01C5" w:rsidR="00BB38E0">
        <w:rPr>
          <w:rStyle w:val="FootnoteReference"/>
        </w:rPr>
        <w:footnoteReference w:id="157"/>
      </w:r>
      <w:r w:rsidRPr="001C01C5" w:rsidR="008A2846">
        <w:t xml:space="preserve">  </w:t>
      </w:r>
      <w:r w:rsidRPr="001C01C5" w:rsidR="00945EC0">
        <w:t>We find th</w:t>
      </w:r>
      <w:r w:rsidRPr="001C01C5" w:rsidR="002066CE">
        <w:t xml:space="preserve">e party discussion and federal research </w:t>
      </w:r>
      <w:r w:rsidRPr="001C01C5" w:rsidR="005D0EFA">
        <w:t>convin</w:t>
      </w:r>
      <w:r w:rsidRPr="001C01C5" w:rsidR="00C02A58">
        <w:t xml:space="preserve">cing, and find that </w:t>
      </w:r>
      <w:r w:rsidRPr="001C01C5" w:rsidR="006C43DD">
        <w:t xml:space="preserve">UL 3141 </w:t>
      </w:r>
      <w:r w:rsidRPr="002A3478" w:rsidR="00085055">
        <w:t>parameters</w:t>
      </w:r>
      <w:r w:rsidRPr="0021187D" w:rsidR="002214B9">
        <w:rPr>
          <w:rStyle w:val="FootnoteReference"/>
        </w:rPr>
        <w:footnoteReference w:id="158"/>
      </w:r>
      <w:r w:rsidRPr="002A3478" w:rsidR="00085055">
        <w:t xml:space="preserve"> for</w:t>
      </w:r>
      <w:r w:rsidRPr="001C01C5" w:rsidR="00085055">
        <w:t xml:space="preserve"> </w:t>
      </w:r>
      <w:r w:rsidR="00707809">
        <w:t xml:space="preserve">power control system </w:t>
      </w:r>
      <w:r w:rsidRPr="001C01C5" w:rsidR="00085055">
        <w:t xml:space="preserve">response time </w:t>
      </w:r>
      <w:r w:rsidRPr="001C01C5" w:rsidR="00BF6E92">
        <w:t xml:space="preserve">are sufficient to </w:t>
      </w:r>
      <w:r w:rsidRPr="001C01C5" w:rsidR="00BE0C00">
        <w:t xml:space="preserve">prevent </w:t>
      </w:r>
      <w:r w:rsidRPr="001C01C5" w:rsidR="000A449F">
        <w:t xml:space="preserve">significant adverse impacts on </w:t>
      </w:r>
      <w:r w:rsidR="0082710A">
        <w:t xml:space="preserve">distribution </w:t>
      </w:r>
      <w:r w:rsidRPr="001C01C5" w:rsidR="000A449F">
        <w:t>equipment lifespan. We</w:t>
      </w:r>
      <w:r w:rsidRPr="001C01C5" w:rsidR="00855A4B">
        <w:t xml:space="preserve"> </w:t>
      </w:r>
      <w:r w:rsidRPr="001C01C5" w:rsidR="00D31CA7">
        <w:t xml:space="preserve">find it reasonable to use UL 3141 </w:t>
      </w:r>
      <w:r w:rsidR="00A57291">
        <w:t xml:space="preserve">power </w:t>
      </w:r>
      <w:r w:rsidR="00A57291">
        <w:lastRenderedPageBreak/>
        <w:t xml:space="preserve">control system </w:t>
      </w:r>
      <w:r w:rsidRPr="001C01C5" w:rsidR="005613D5">
        <w:t xml:space="preserve">response </w:t>
      </w:r>
      <w:r w:rsidRPr="001C01C5" w:rsidR="00D31CA7">
        <w:t xml:space="preserve">parameters </w:t>
      </w:r>
      <w:r w:rsidRPr="001C01C5" w:rsidR="00771673">
        <w:t>for the Standard Offer</w:t>
      </w:r>
      <w:r w:rsidRPr="001C01C5" w:rsidR="00081670">
        <w:t xml:space="preserve"> and direct any IOUs providing a Standard Offer to</w:t>
      </w:r>
      <w:r w:rsidRPr="001C01C5" w:rsidR="005613D5">
        <w:t xml:space="preserve"> apply these parameters to UL 3141 or mutually </w:t>
      </w:r>
      <w:r w:rsidRPr="001C01C5" w:rsidR="00E6398F">
        <w:t>agreeable PCS</w:t>
      </w:r>
      <w:r w:rsidRPr="001C01C5" w:rsidR="00EB326A">
        <w:t xml:space="preserve"> used to control site load.</w:t>
      </w:r>
      <w:r w:rsidRPr="001C01C5" w:rsidR="006C43DD">
        <w:t xml:space="preserve"> </w:t>
      </w:r>
    </w:p>
    <w:p w:rsidR="00283714" w:rsidP="00957C72" w:rsidRDefault="00E7733A" w14:paraId="543595DB" w14:textId="158C8616">
      <w:pPr>
        <w:pStyle w:val="Heading2"/>
      </w:pPr>
      <w:bookmarkStart w:name="_Toc220940218" w:id="96"/>
      <w:r>
        <w:t xml:space="preserve">Telemetry is Not Required for </w:t>
      </w:r>
      <w:r w:rsidR="0008247B">
        <w:t>Load Visibility</w:t>
      </w:r>
      <w:bookmarkEnd w:id="96"/>
    </w:p>
    <w:p w:rsidRPr="00231DEB" w:rsidR="00231DEB" w:rsidP="00231DEB" w:rsidRDefault="00C21AE6" w14:paraId="6533D827" w14:textId="6C54C1A6">
      <w:pPr>
        <w:pStyle w:val="Standard"/>
      </w:pPr>
      <w:r>
        <w:t xml:space="preserve">Telemetry </w:t>
      </w:r>
      <w:r w:rsidR="00A3676E">
        <w:t>is not required for PG&amp;E’s LLL offering</w:t>
      </w:r>
      <w:r w:rsidR="00C65F3A">
        <w:t xml:space="preserve">. </w:t>
      </w:r>
      <w:r w:rsidR="00E5655F">
        <w:t xml:space="preserve">Parties assert that </w:t>
      </w:r>
      <w:r w:rsidRPr="007469D2" w:rsidR="00E5655F">
        <w:t>FSC</w:t>
      </w:r>
      <w:r w:rsidR="00C34994">
        <w:t xml:space="preserve"> agreements (FSCA</w:t>
      </w:r>
      <w:r w:rsidRPr="007469D2" w:rsidR="00E5655F">
        <w:t>s</w:t>
      </w:r>
      <w:r w:rsidR="00C53159">
        <w:t>)</w:t>
      </w:r>
      <w:r w:rsidRPr="007469D2" w:rsidR="00E5655F">
        <w:t xml:space="preserve"> should be made at the meter level, where a facility interfaces with the utility, not behind-the-meter at the device level.</w:t>
      </w:r>
      <w:r w:rsidR="00E5655F">
        <w:rPr>
          <w:rStyle w:val="FootnoteReference"/>
        </w:rPr>
        <w:footnoteReference w:id="159"/>
      </w:r>
      <w:r w:rsidR="007610C9">
        <w:t xml:space="preserve"> </w:t>
      </w:r>
      <w:r w:rsidR="00231DEB">
        <w:t xml:space="preserve">PG&amp;E confirms that this </w:t>
      </w:r>
      <w:r w:rsidR="0027768D">
        <w:t>is consistent with their offering, stating that t</w:t>
      </w:r>
      <w:r w:rsidRPr="00231DEB" w:rsidR="00231DEB">
        <w:t>he Load Limit applies at the customer point of interconnection</w:t>
      </w:r>
      <w:r w:rsidR="0027768D">
        <w:t>.</w:t>
      </w:r>
      <w:r w:rsidR="0027768D">
        <w:rPr>
          <w:rStyle w:val="FootnoteReference"/>
        </w:rPr>
        <w:footnoteReference w:id="160"/>
      </w:r>
    </w:p>
    <w:p w:rsidR="00263416" w:rsidP="00263416" w:rsidRDefault="007610C9" w14:paraId="745FA344" w14:textId="121A38EF">
      <w:pPr>
        <w:pStyle w:val="Standard"/>
      </w:pPr>
      <w:r>
        <w:t xml:space="preserve">We </w:t>
      </w:r>
      <w:r w:rsidR="006B5A46">
        <w:t xml:space="preserve">find </w:t>
      </w:r>
      <w:r w:rsidR="003944BF">
        <w:t xml:space="preserve">party arguments and </w:t>
      </w:r>
      <w:r w:rsidR="000E2CD2">
        <w:t xml:space="preserve">the example provided by </w:t>
      </w:r>
      <w:r w:rsidR="003944BF">
        <w:t>PG&amp;E’s</w:t>
      </w:r>
      <w:r w:rsidR="00821886">
        <w:t xml:space="preserve"> years of successful</w:t>
      </w:r>
      <w:r w:rsidR="003944BF">
        <w:t xml:space="preserve"> </w:t>
      </w:r>
      <w:r w:rsidR="000E2CD2">
        <w:t xml:space="preserve">LLL </w:t>
      </w:r>
      <w:r w:rsidR="00324A8F">
        <w:t xml:space="preserve">operations </w:t>
      </w:r>
      <w:r w:rsidR="000E2CD2">
        <w:t>convincing</w:t>
      </w:r>
      <w:r w:rsidR="00103644">
        <w:t xml:space="preserve"> and direct that</w:t>
      </w:r>
      <w:r w:rsidR="002B5DCE">
        <w:t xml:space="preserve"> </w:t>
      </w:r>
      <w:r w:rsidR="006B5A46">
        <w:t>telemetry</w:t>
      </w:r>
      <w:r w:rsidR="00E47BC0">
        <w:t xml:space="preserve"> shall</w:t>
      </w:r>
      <w:r w:rsidR="006B5A46">
        <w:t xml:space="preserve"> not be required as a part of the </w:t>
      </w:r>
      <w:r w:rsidR="00F12EEA">
        <w:t>Standard Offer</w:t>
      </w:r>
      <w:r w:rsidR="00677CDE">
        <w:t>.</w:t>
      </w:r>
      <w:r w:rsidR="00865148">
        <w:t xml:space="preserve"> This </w:t>
      </w:r>
      <w:r w:rsidR="00E150EC">
        <w:t>finding does not alter the Rule 21</w:t>
      </w:r>
      <w:r w:rsidR="005A3D1F">
        <w:t xml:space="preserve"> </w:t>
      </w:r>
      <w:r w:rsidR="00656200">
        <w:t>requirement for telemetry on</w:t>
      </w:r>
      <w:r w:rsidR="005A3D1F">
        <w:t xml:space="preserve"> generation systems larger than 1 MW installed at a site taking service under the </w:t>
      </w:r>
      <w:r w:rsidR="00F12EEA">
        <w:t>Standard Offer</w:t>
      </w:r>
      <w:r w:rsidR="00656200">
        <w:t>.</w:t>
      </w:r>
    </w:p>
    <w:p w:rsidRPr="00974A3B" w:rsidR="00BB6A3B" w:rsidP="00957C72" w:rsidRDefault="00BB6A3B" w14:paraId="2049CFB9" w14:textId="6FBC9919">
      <w:pPr>
        <w:pStyle w:val="Heading1"/>
      </w:pPr>
      <w:bookmarkStart w:name="_Toc220940219" w:id="97"/>
      <w:r>
        <w:t>Process and Tariff Improvements Supporting the Standard Offer</w:t>
      </w:r>
      <w:bookmarkEnd w:id="97"/>
    </w:p>
    <w:p w:rsidR="00BB6A3B" w:rsidP="00BB6A3B" w:rsidRDefault="00BB6A3B" w14:paraId="4AB2C286" w14:textId="35EF0433">
      <w:pPr>
        <w:pStyle w:val="Standard"/>
      </w:pPr>
      <w:r>
        <w:t xml:space="preserve">The engineering evaluation that a Standard Offer FSCA is based upon is intended to be the first part of Energization Step 2 – Engineering and Design. </w:t>
      </w:r>
      <w:r w:rsidR="00C13C8B">
        <w:t>As this pathway was not contemplated when D.24-09-020 established timeline targets</w:t>
      </w:r>
      <w:r>
        <w:t xml:space="preserve">, we find it </w:t>
      </w:r>
      <w:r w:rsidR="008843FC">
        <w:t>reasonable</w:t>
      </w:r>
      <w:r>
        <w:t xml:space="preserve"> to establish targets for the completion of IOU dependent steps within </w:t>
      </w:r>
      <w:r w:rsidR="006229B2">
        <w:t xml:space="preserve">the Standard Offer </w:t>
      </w:r>
      <w:r>
        <w:t xml:space="preserve">and direct </w:t>
      </w:r>
      <w:r w:rsidR="002E0806">
        <w:t>PG&amp;E and SCE</w:t>
      </w:r>
      <w:r>
        <w:t xml:space="preserve"> to track their performance relative to these targets.</w:t>
      </w:r>
    </w:p>
    <w:p w:rsidRPr="0012705F" w:rsidR="00BB6A3B" w:rsidP="00957C72" w:rsidRDefault="00BB6A3B" w14:paraId="46DD721C" w14:textId="77777777">
      <w:pPr>
        <w:pStyle w:val="Heading2"/>
      </w:pPr>
      <w:bookmarkStart w:name="_Toc220940220" w:id="98"/>
      <w:r w:rsidRPr="0012705F">
        <w:lastRenderedPageBreak/>
        <w:t>Average Time Target for IOU Controlled Portions of the Standard Offer</w:t>
      </w:r>
      <w:bookmarkEnd w:id="98"/>
      <w:r w:rsidRPr="0012705F">
        <w:t xml:space="preserve"> </w:t>
      </w:r>
    </w:p>
    <w:p w:rsidR="00BB6A3B" w:rsidP="00BB6A3B" w:rsidRDefault="00BB6A3B" w14:paraId="386F776F" w14:textId="6E30B965">
      <w:pPr>
        <w:pStyle w:val="Standard"/>
      </w:pPr>
      <w:r>
        <w:t>The IOU portions of the Standard Offer process begin at the conclusion of Energization Step 1, when the customer application is deemed complete. PG&amp;E states that the process for conducting a preliminary capacity assessment is completed within 30 days.</w:t>
      </w:r>
      <w:r>
        <w:rPr>
          <w:rStyle w:val="FootnoteReference"/>
        </w:rPr>
        <w:footnoteReference w:id="161"/>
      </w:r>
      <w:r>
        <w:t xml:space="preserve"> The work to conduct a preliminary capacity assessment is substantively similar to that of the initial engineering evaluation process, with the engineering evaluation adding the need to compare customer load shape and load ramp value to that capacity. We find it reasonable to set the target timeline between </w:t>
      </w:r>
      <w:r w:rsidR="000B5A0C">
        <w:t>the customer application being deemed</w:t>
      </w:r>
      <w:r>
        <w:t xml:space="preserve"> complete and the initial customer load limit conversation to an average of 30 days.</w:t>
      </w:r>
    </w:p>
    <w:p w:rsidR="00BB6A3B" w:rsidP="00BB6A3B" w:rsidRDefault="00BB6A3B" w14:paraId="2745C04E" w14:textId="0C4664BB">
      <w:pPr>
        <w:pStyle w:val="Standard"/>
      </w:pPr>
      <w:r>
        <w:t>PG&amp;E notes that the process between the initial customer load limit conversation and final determination of load limits is iterative, including customer conversations. They state that this process can add up to 30 days of additional review time.</w:t>
      </w:r>
      <w:r>
        <w:rPr>
          <w:rStyle w:val="FootnoteReference"/>
        </w:rPr>
        <w:footnoteReference w:id="162"/>
      </w:r>
      <w:r w:rsidR="001716EC">
        <w:t xml:space="preserve"> </w:t>
      </w:r>
      <w:r w:rsidR="0027074D">
        <w:t xml:space="preserve">We encourage PG&amp;E and SCE to </w:t>
      </w:r>
      <w:r w:rsidR="00CB7CCB">
        <w:t xml:space="preserve">provide prompt replies and </w:t>
      </w:r>
      <w:r w:rsidR="00CD4703">
        <w:t xml:space="preserve">limit iterative discussions to those that will </w:t>
      </w:r>
      <w:r w:rsidR="00444F1E">
        <w:t>support the final determination of load limits.</w:t>
      </w:r>
      <w:r>
        <w:t xml:space="preserve"> We find it reasonable to set the target timeline between the final determination of load limits to the electronic delivery of the LLP schedule file and Standard Offer </w:t>
      </w:r>
      <w:r w:rsidR="003B1E6B">
        <w:t>agreement</w:t>
      </w:r>
      <w:r>
        <w:t xml:space="preserve"> to 15 days. We clarify that the time targets for the customer load limit conversation and the delivery of the LLP schedule file do not alter the timelines established in D.24-09-020.</w:t>
      </w:r>
    </w:p>
    <w:p w:rsidR="00BB6A3B" w:rsidP="00957C72" w:rsidRDefault="00BB6A3B" w14:paraId="39EF4827" w14:textId="77777777">
      <w:pPr>
        <w:pStyle w:val="Heading2"/>
      </w:pPr>
      <w:bookmarkStart w:name="_Toc220940221" w:id="99"/>
      <w:r>
        <w:t>Tariff Improvements</w:t>
      </w:r>
      <w:bookmarkEnd w:id="99"/>
    </w:p>
    <w:p w:rsidRPr="005F4E30" w:rsidR="00BB6A3B" w:rsidP="00CC7F78" w:rsidRDefault="00BB6A3B" w14:paraId="139ED829" w14:textId="5E087B4C">
      <w:pPr>
        <w:pStyle w:val="Standard"/>
      </w:pPr>
      <w:r>
        <w:t xml:space="preserve">Parties have </w:t>
      </w:r>
      <w:r w:rsidRPr="00AC099C">
        <w:t>advocated for the Commission to require the utilities to work</w:t>
      </w:r>
      <w:r w:rsidR="00CC7F78">
        <w:t xml:space="preserve"> </w:t>
      </w:r>
      <w:r w:rsidRPr="00AC099C">
        <w:t xml:space="preserve">with stakeholders </w:t>
      </w:r>
      <w:r>
        <w:t xml:space="preserve">through a working group process </w:t>
      </w:r>
      <w:r w:rsidRPr="00AC099C">
        <w:t xml:space="preserve">to formally define the </w:t>
      </w:r>
      <w:r w:rsidRPr="00AC099C">
        <w:lastRenderedPageBreak/>
        <w:t>detailed energization process in a tariff, similar to how</w:t>
      </w:r>
      <w:r>
        <w:t xml:space="preserve"> Tariff </w:t>
      </w:r>
      <w:r w:rsidRPr="00876048">
        <w:t>Rule 21 formally documents the end-to-end interconnection process</w:t>
      </w:r>
      <w:r>
        <w:t>.</w:t>
      </w:r>
      <w:r>
        <w:rPr>
          <w:rStyle w:val="FootnoteReference"/>
        </w:rPr>
        <w:footnoteReference w:id="163"/>
      </w:r>
      <w:r>
        <w:t xml:space="preserve"> Parties, however, recognize </w:t>
      </w:r>
      <w:r w:rsidRPr="005F4E30">
        <w:t>that this process may unnecessarily delay implementation of FSCs.</w:t>
      </w:r>
      <w:r w:rsidRPr="00B0642A">
        <w:rPr>
          <w:rStyle w:val="FootnoteReference"/>
        </w:rPr>
        <w:footnoteReference w:id="164"/>
      </w:r>
    </w:p>
    <w:p w:rsidRPr="00AC25E6" w:rsidR="00BB6A3B" w:rsidP="00BB6A3B" w:rsidRDefault="00BB6A3B" w14:paraId="4FD76101" w14:textId="471BBBD0">
      <w:pPr>
        <w:pStyle w:val="Standard"/>
        <w:rPr>
          <w:color w:val="BFBFBF" w:themeColor="background1" w:themeShade="BF"/>
        </w:rPr>
      </w:pPr>
      <w:r>
        <w:t xml:space="preserve">Parties further assert that </w:t>
      </w:r>
      <w:r w:rsidRPr="00D56B01">
        <w:t>in order to facilitate LLPs, it would be useful to incorporate definitions that separate nameplate capacity from import-limited applications</w:t>
      </w:r>
      <w:r w:rsidRPr="00D56B01">
        <w:rPr>
          <w:rStyle w:val="FootnoteReference"/>
        </w:rPr>
        <w:footnoteReference w:id="165"/>
      </w:r>
      <w:r>
        <w:t xml:space="preserve"> </w:t>
      </w:r>
      <w:r w:rsidRPr="008A1A4F">
        <w:t>and that load management systems such as UL 3141 certified systems can run normal operations without having capacity to service 100% of the nameplate load</w:t>
      </w:r>
      <w:r>
        <w:t>.</w:t>
      </w:r>
      <w:r w:rsidRPr="008A1A4F">
        <w:rPr>
          <w:rStyle w:val="FootnoteReference"/>
        </w:rPr>
        <w:footnoteReference w:id="166"/>
      </w:r>
    </w:p>
    <w:p w:rsidR="00EB6805" w:rsidP="00540B25" w:rsidRDefault="00BB6A3B" w14:paraId="7C34B9C8" w14:textId="77777777">
      <w:pPr>
        <w:pStyle w:val="Standard"/>
      </w:pPr>
      <w:r w:rsidRPr="00A82B26">
        <w:t xml:space="preserve">We find it reasonable to direct IOUs </w:t>
      </w:r>
      <w:r>
        <w:t xml:space="preserve">that </w:t>
      </w:r>
      <w:r w:rsidRPr="00A82B26">
        <w:t>provid</w:t>
      </w:r>
      <w:r>
        <w:t>e</w:t>
      </w:r>
      <w:r w:rsidRPr="00A82B26">
        <w:t xml:space="preserve"> a Standard Offer to align with PG&amp;E’s Rule 2 connected load language and to further define controlled load.</w:t>
      </w:r>
    </w:p>
    <w:p w:rsidR="00CC319F" w:rsidP="00BE0CDB" w:rsidRDefault="00BB6A3B" w14:paraId="55C63166" w14:textId="14232859">
      <w:pPr>
        <w:pStyle w:val="Standard"/>
      </w:pPr>
      <w:r w:rsidRPr="00162239">
        <w:t xml:space="preserve">We agree that development of a </w:t>
      </w:r>
      <w:r w:rsidR="00932DD2">
        <w:t>dedicated T</w:t>
      </w:r>
      <w:r w:rsidRPr="00162239">
        <w:t xml:space="preserve">ariff </w:t>
      </w:r>
      <w:r w:rsidR="00932DD2">
        <w:t>R</w:t>
      </w:r>
      <w:r w:rsidRPr="00162239">
        <w:t xml:space="preserve">ule for </w:t>
      </w:r>
      <w:r w:rsidR="00932DD2">
        <w:t xml:space="preserve">the </w:t>
      </w:r>
      <w:r w:rsidRPr="00162239">
        <w:t xml:space="preserve">Standard Offer is </w:t>
      </w:r>
      <w:r w:rsidRPr="00162239" w:rsidR="00162239">
        <w:t>i</w:t>
      </w:r>
      <w:r w:rsidRPr="00162239">
        <w:t>ncompatible with our direction in this decision for PG&amp;E and</w:t>
      </w:r>
      <w:r>
        <w:t xml:space="preserve"> SCE to implement the Standard Offer in the very near term. We instead direct that additional language regarding </w:t>
      </w:r>
      <w:r w:rsidRPr="00A82B26">
        <w:t xml:space="preserve">connected </w:t>
      </w:r>
      <w:r w:rsidR="0012534E">
        <w:t xml:space="preserve">and controlled </w:t>
      </w:r>
      <w:r w:rsidRPr="00A82B26">
        <w:t>load</w:t>
      </w:r>
      <w:r>
        <w:t xml:space="preserve"> be added to PG&amp;E’s Electric Tariff Rules and direct </w:t>
      </w:r>
      <w:r w:rsidR="00770588">
        <w:t>SCE</w:t>
      </w:r>
      <w:r>
        <w:t xml:space="preserve"> to revise </w:t>
      </w:r>
      <w:r w:rsidR="00770588">
        <w:t>its</w:t>
      </w:r>
      <w:r>
        <w:t xml:space="preserve"> Tariff Rules 2</w:t>
      </w:r>
      <w:r w:rsidR="00EB6805">
        <w:t xml:space="preserve"> and</w:t>
      </w:r>
      <w:r>
        <w:t xml:space="preserve"> 3</w:t>
      </w:r>
      <w:r w:rsidR="00847DB4">
        <w:t xml:space="preserve"> </w:t>
      </w:r>
      <w:r w:rsidR="00770588">
        <w:t>lang</w:t>
      </w:r>
      <w:r w:rsidR="00913212">
        <w:t xml:space="preserve">uage </w:t>
      </w:r>
      <w:r>
        <w:t>to be consistent with PG&amp;E’s Tariff Rules. This connected load language is detailed in Appendices D</w:t>
      </w:r>
      <w:r w:rsidR="002C67BD">
        <w:t xml:space="preserve"> and</w:t>
      </w:r>
      <w:r>
        <w:t xml:space="preserve"> E of this decision. PG&amp;E and SCE shall file a Tier 1 </w:t>
      </w:r>
      <w:r w:rsidR="009E7BE2">
        <w:t>AL</w:t>
      </w:r>
      <w:r w:rsidR="003728DB">
        <w:t xml:space="preserve"> </w:t>
      </w:r>
      <w:r w:rsidR="00AB1124">
        <w:t>consistent with this decision</w:t>
      </w:r>
      <w:r>
        <w:t xml:space="preserve"> modifying their Tariff Rule 2</w:t>
      </w:r>
      <w:r w:rsidR="00192D24">
        <w:t xml:space="preserve"> and</w:t>
      </w:r>
      <w:r>
        <w:t xml:space="preserve"> 3 language within 15 days of the </w:t>
      </w:r>
      <w:r w:rsidR="00BC5AEB">
        <w:t xml:space="preserve">issuance </w:t>
      </w:r>
      <w:r>
        <w:t>of this decision.</w:t>
      </w:r>
      <w:r w:rsidR="00192D24">
        <w:t xml:space="preserve"> </w:t>
      </w:r>
    </w:p>
    <w:p w:rsidR="00E023D1" w:rsidP="00957C72" w:rsidRDefault="00C52B19" w14:paraId="1F75A4AD" w14:textId="4DB5EAFB">
      <w:pPr>
        <w:pStyle w:val="Heading1"/>
      </w:pPr>
      <w:bookmarkStart w:name="_Toc220940222" w:id="100"/>
      <w:r>
        <w:lastRenderedPageBreak/>
        <w:t>Cost Tracking and</w:t>
      </w:r>
      <w:r w:rsidR="004A7D2B">
        <w:t xml:space="preserve"> </w:t>
      </w:r>
      <w:r w:rsidR="00E023D1">
        <w:t xml:space="preserve">Evaluation </w:t>
      </w:r>
      <w:r w:rsidR="00127552">
        <w:t>of</w:t>
      </w:r>
      <w:r w:rsidR="00E023D1">
        <w:t xml:space="preserve"> the Standard Offer</w:t>
      </w:r>
      <w:bookmarkEnd w:id="100"/>
    </w:p>
    <w:p w:rsidR="00E023D1" w:rsidP="00E023D1" w:rsidRDefault="00E023D1" w14:paraId="1F588E8C" w14:textId="4E63E1B8">
      <w:pPr>
        <w:pStyle w:val="Standard"/>
      </w:pPr>
      <w:r>
        <w:t xml:space="preserve">We </w:t>
      </w:r>
      <w:r w:rsidR="004859C2">
        <w:t xml:space="preserve">note </w:t>
      </w:r>
      <w:r>
        <w:t xml:space="preserve">that the record </w:t>
      </w:r>
      <w:r w:rsidR="005525C0">
        <w:t>is not sufficient</w:t>
      </w:r>
      <w:r>
        <w:t xml:space="preserve"> to evaluate </w:t>
      </w:r>
      <w:bookmarkStart w:name="_Hlk216444380" w:id="101"/>
      <w:r w:rsidR="00992E3B">
        <w:t xml:space="preserve">either </w:t>
      </w:r>
      <w:r>
        <w:t xml:space="preserve">the </w:t>
      </w:r>
      <w:r w:rsidR="006B4AAF">
        <w:t>project level</w:t>
      </w:r>
      <w:r w:rsidR="00992E3B">
        <w:t xml:space="preserve"> or program level</w:t>
      </w:r>
      <w:r w:rsidR="006B4AAF">
        <w:t xml:space="preserve"> </w:t>
      </w:r>
      <w:r>
        <w:t>cost eff</w:t>
      </w:r>
      <w:r w:rsidR="00E92337">
        <w:t>iciency</w:t>
      </w:r>
      <w:r>
        <w:t xml:space="preserve"> of the IOU offerings to date. </w:t>
      </w:r>
      <w:bookmarkEnd w:id="101"/>
      <w:r>
        <w:t xml:space="preserve">We further </w:t>
      </w:r>
      <w:r w:rsidR="001F23D9">
        <w:t xml:space="preserve">note </w:t>
      </w:r>
      <w:r>
        <w:t>that</w:t>
      </w:r>
      <w:r w:rsidR="007072D6">
        <w:t xml:space="preserve"> the level of</w:t>
      </w:r>
      <w:r>
        <w:t xml:space="preserve"> IOU record keeping </w:t>
      </w:r>
      <w:r w:rsidR="007072D6">
        <w:t xml:space="preserve">on current offerings would </w:t>
      </w:r>
      <w:r>
        <w:t xml:space="preserve">not </w:t>
      </w:r>
      <w:r w:rsidR="009F41C9">
        <w:t xml:space="preserve">be </w:t>
      </w:r>
      <w:r>
        <w:t xml:space="preserve">sufficient to </w:t>
      </w:r>
      <w:r w:rsidR="007C09EA">
        <w:t xml:space="preserve">assess whether all </w:t>
      </w:r>
      <w:r>
        <w:t xml:space="preserve">Standard Offer projects will be in the ratepayer interest. </w:t>
      </w:r>
      <w:r w:rsidR="006B4AAF">
        <w:t>The record does not reflect</w:t>
      </w:r>
      <w:r>
        <w:t xml:space="preserve"> the cost incurred in establishing or administering the FSC current offerings, amount of additional energy consumption enabled, or the hours in which that energy is being used. </w:t>
      </w:r>
      <w:r w:rsidR="001D29DC">
        <w:t xml:space="preserve">We find it reasonable to direct </w:t>
      </w:r>
      <w:r w:rsidR="0055623D">
        <w:t>PG&amp;E and SCE</w:t>
      </w:r>
      <w:r w:rsidR="001D29DC">
        <w:t xml:space="preserve"> to track the initial costs of establishing and the ongoing costs of administering the Standard Offer, as well as the additional energy consumption enabled for each customer at an hourly level</w:t>
      </w:r>
      <w:r w:rsidR="00AD2472">
        <w:t>.</w:t>
      </w:r>
    </w:p>
    <w:p w:rsidR="00E023D1" w:rsidP="00E023D1" w:rsidRDefault="00E023D1" w14:paraId="23615D83" w14:textId="63233C72">
      <w:pPr>
        <w:pStyle w:val="Standard"/>
      </w:pPr>
      <w:r>
        <w:t xml:space="preserve">In order to </w:t>
      </w:r>
      <w:r w:rsidR="004B561F">
        <w:t xml:space="preserve">provide a </w:t>
      </w:r>
      <w:r w:rsidR="006B4AAF">
        <w:t xml:space="preserve">future </w:t>
      </w:r>
      <w:r w:rsidR="004B561F">
        <w:t xml:space="preserve">basis for </w:t>
      </w:r>
      <w:r w:rsidR="000A7B35">
        <w:t>establishing and improving the cost-eff</w:t>
      </w:r>
      <w:r w:rsidR="00E92337">
        <w:t>i</w:t>
      </w:r>
      <w:r w:rsidR="000A7B35">
        <w:t>c</w:t>
      </w:r>
      <w:r w:rsidR="00297D08">
        <w:t>iency</w:t>
      </w:r>
      <w:r w:rsidR="000A7B35">
        <w:t xml:space="preserve"> of </w:t>
      </w:r>
      <w:r w:rsidR="004B561F">
        <w:t>the S</w:t>
      </w:r>
      <w:r w:rsidR="004346A1">
        <w:t xml:space="preserve">tandard </w:t>
      </w:r>
      <w:r w:rsidR="004B561F">
        <w:t>O</w:t>
      </w:r>
      <w:r w:rsidR="004346A1">
        <w:t>ffer</w:t>
      </w:r>
      <w:r w:rsidR="004B561F">
        <w:t>, we</w:t>
      </w:r>
      <w:r>
        <w:t xml:space="preserve"> direct </w:t>
      </w:r>
      <w:r w:rsidR="0055623D">
        <w:t>PG&amp;E and SCE</w:t>
      </w:r>
      <w:r>
        <w:t xml:space="preserve"> to track data at a sufficient level of granularity to </w:t>
      </w:r>
      <w:r w:rsidR="008656EF">
        <w:t xml:space="preserve">allow the Commission </w:t>
      </w:r>
      <w:r w:rsidR="006F2F8B">
        <w:t xml:space="preserve">to </w:t>
      </w:r>
      <w:r>
        <w:t>determine which</w:t>
      </w:r>
      <w:r w:rsidR="00AB6B19">
        <w:t xml:space="preserve"> individual </w:t>
      </w:r>
      <w:r>
        <w:t xml:space="preserve">projects </w:t>
      </w:r>
      <w:r w:rsidR="007C09EA">
        <w:t>are cost-efficient</w:t>
      </w:r>
      <w:r>
        <w:t xml:space="preserve">. </w:t>
      </w:r>
      <w:bookmarkStart w:name="_Hlk216445367" w:id="102"/>
      <w:r w:rsidR="00FD4E78">
        <w:t xml:space="preserve">This tracking, however, does not imply an obligation to </w:t>
      </w:r>
      <w:r w:rsidR="00FE3C21">
        <w:t xml:space="preserve">assure cost-efficiency at the project level; the IOUs are </w:t>
      </w:r>
      <w:r w:rsidR="00B21A0F">
        <w:t xml:space="preserve">instead </w:t>
      </w:r>
      <w:r w:rsidR="00FE3C21">
        <w:t xml:space="preserve">directed to use </w:t>
      </w:r>
      <w:r w:rsidR="00B21A0F">
        <w:t xml:space="preserve">their </w:t>
      </w:r>
      <w:r w:rsidR="00BB0B74">
        <w:t xml:space="preserve">discretion to </w:t>
      </w:r>
      <w:r w:rsidR="005E0B57">
        <w:t>aim for cost-efficiency across the entirety of the Standard Offer</w:t>
      </w:r>
      <w:r w:rsidR="00B21A0F">
        <w:t xml:space="preserve">. </w:t>
      </w:r>
      <w:r w:rsidR="00117CB9">
        <w:t xml:space="preserve">The </w:t>
      </w:r>
      <w:r w:rsidR="00F21BEC">
        <w:t xml:space="preserve">specific data fields and </w:t>
      </w:r>
      <w:r w:rsidR="0043282C">
        <w:t>levels of granularity</w:t>
      </w:r>
      <w:r w:rsidR="00AA241A">
        <w:t xml:space="preserve"> required to track costs and assess cost-</w:t>
      </w:r>
      <w:r w:rsidR="00E31F22">
        <w:t xml:space="preserve">efficiency </w:t>
      </w:r>
      <w:r w:rsidR="0043282C">
        <w:t xml:space="preserve">shall be </w:t>
      </w:r>
      <w:r w:rsidR="0049797E">
        <w:t>determined in consultation with</w:t>
      </w:r>
      <w:r w:rsidR="00F81158">
        <w:t xml:space="preserve"> </w:t>
      </w:r>
      <w:r w:rsidR="005F157A">
        <w:t>the Commission’s Energy</w:t>
      </w:r>
      <w:r w:rsidR="0049797E">
        <w:t xml:space="preserve"> Division prior to the filing of the </w:t>
      </w:r>
      <w:r w:rsidR="00CC319F">
        <w:t>Implementation Advice Letter</w:t>
      </w:r>
      <w:r w:rsidR="00FE68C7">
        <w:t xml:space="preserve">, and those </w:t>
      </w:r>
      <w:r w:rsidR="00B71BBA">
        <w:t xml:space="preserve">data shall be listed with specificity in the </w:t>
      </w:r>
      <w:r w:rsidR="00CC319F">
        <w:t>Implementation Advice Letter</w:t>
      </w:r>
      <w:r w:rsidR="00B71BBA">
        <w:t>.</w:t>
      </w:r>
      <w:r w:rsidR="005F157A">
        <w:t xml:space="preserve"> </w:t>
      </w:r>
    </w:p>
    <w:bookmarkEnd w:id="102"/>
    <w:p w:rsidR="00E023D1" w:rsidP="00BE0CDB" w:rsidRDefault="005C6C19" w14:paraId="35F1FCA2" w14:textId="61C0765A">
      <w:pPr>
        <w:pStyle w:val="Standard"/>
      </w:pPr>
      <w:r>
        <w:t xml:space="preserve">We direct </w:t>
      </w:r>
      <w:r w:rsidR="00D53F11">
        <w:t>PG&amp;E and SCE</w:t>
      </w:r>
      <w:r w:rsidR="004D34C0">
        <w:t xml:space="preserve"> to </w:t>
      </w:r>
      <w:r w:rsidR="00000B27">
        <w:t>file a report summarizing the costs</w:t>
      </w:r>
      <w:r w:rsidR="002B4F2C">
        <w:t xml:space="preserve">, additional energy consumption enabled, </w:t>
      </w:r>
      <w:r w:rsidR="006327D4">
        <w:t>assessment of</w:t>
      </w:r>
      <w:r w:rsidR="00AD0BF8">
        <w:t xml:space="preserve"> the Standard Offer’s</w:t>
      </w:r>
      <w:r w:rsidR="006327D4">
        <w:t xml:space="preserve"> cost-efficiency, </w:t>
      </w:r>
      <w:r w:rsidR="002B4F2C">
        <w:t xml:space="preserve">and an assessment of the effect </w:t>
      </w:r>
      <w:r w:rsidR="00744AFB">
        <w:t xml:space="preserve">the </w:t>
      </w:r>
      <w:r w:rsidR="00F12EEA">
        <w:t>Standard Offer</w:t>
      </w:r>
      <w:r w:rsidR="00744AFB">
        <w:t xml:space="preserve"> has had upon </w:t>
      </w:r>
      <w:r w:rsidR="001C66DD">
        <w:t xml:space="preserve">revenue </w:t>
      </w:r>
      <w:r w:rsidR="001C66DD">
        <w:lastRenderedPageBreak/>
        <w:t>requirements</w:t>
      </w:r>
      <w:r w:rsidR="00744AFB">
        <w:t xml:space="preserve">. </w:t>
      </w:r>
      <w:r w:rsidR="00C9767E">
        <w:t>As noted</w:t>
      </w:r>
      <w:r w:rsidR="00010DD9">
        <w:t xml:space="preserve"> in </w:t>
      </w:r>
      <w:r w:rsidR="00CA4CEB">
        <w:t>S</w:t>
      </w:r>
      <w:r w:rsidR="00010DD9">
        <w:t xml:space="preserve">ection </w:t>
      </w:r>
      <w:r w:rsidR="00481F01">
        <w:t>2.3.1</w:t>
      </w:r>
      <w:r w:rsidR="00C9767E">
        <w:t xml:space="preserve"> above, </w:t>
      </w:r>
      <w:r w:rsidR="005F034D">
        <w:t xml:space="preserve">the average duration of a LLL is approximately 3 years, and </w:t>
      </w:r>
      <w:r w:rsidR="00F24C49">
        <w:t xml:space="preserve">nearly all capacity upgrades for </w:t>
      </w:r>
      <w:r w:rsidR="009C7446">
        <w:t>known</w:t>
      </w:r>
      <w:r w:rsidR="00F24C49">
        <w:t xml:space="preserve"> LLL customers will be completed prior to 2029. </w:t>
      </w:r>
      <w:r w:rsidR="00744AFB">
        <w:t>This report shall be filed in this</w:t>
      </w:r>
      <w:r w:rsidR="00D355A1">
        <w:t xml:space="preserve"> proceeding, or its successor, no later than January 15, 2029.</w:t>
      </w:r>
    </w:p>
    <w:p w:rsidR="0003068F" w:rsidP="00957C72" w:rsidRDefault="0003068F" w14:paraId="17BEB1B9" w14:textId="7A06CBDD">
      <w:pPr>
        <w:pStyle w:val="Heading1"/>
      </w:pPr>
      <w:bookmarkStart w:name="_Toc220940223" w:id="103"/>
      <w:r>
        <w:t>Data Collection and Reporting Requirements</w:t>
      </w:r>
      <w:r w:rsidR="00AA241A">
        <w:t xml:space="preserve"> for Standard Offer Refinement</w:t>
      </w:r>
      <w:bookmarkEnd w:id="103"/>
    </w:p>
    <w:p w:rsidR="0003068F" w:rsidP="007E4812" w:rsidRDefault="002D7B92" w14:paraId="0B6F2F80" w14:textId="740ADC22">
      <w:pPr>
        <w:pStyle w:val="Standard"/>
      </w:pPr>
      <w:r>
        <w:t>PG&amp;E did not keep sufficient records about</w:t>
      </w:r>
      <w:r w:rsidR="002C1C56">
        <w:t xml:space="preserve"> FSC offerings</w:t>
      </w:r>
      <w:r>
        <w:t xml:space="preserve"> to address many of the questions in the Next Steps Ruling</w:t>
      </w:r>
      <w:r w:rsidR="002C1C56">
        <w:t>.</w:t>
      </w:r>
      <w:r w:rsidR="0053237C">
        <w:rPr>
          <w:rStyle w:val="FootnoteReference"/>
        </w:rPr>
        <w:footnoteReference w:id="167"/>
      </w:r>
      <w:r w:rsidR="002C1C56">
        <w:t xml:space="preserve"> </w:t>
      </w:r>
      <w:r w:rsidR="00F4206F">
        <w:t>Due to this insufficiency and based upon the LLL framework, the Commission’s Energy Division has formulated a preliminary list of data fields required to be tracked for future refinement of the Standard Offer.</w:t>
      </w:r>
      <w:r w:rsidR="00376A86">
        <w:t xml:space="preserve"> </w:t>
      </w:r>
      <w:r w:rsidR="002614E5">
        <w:t xml:space="preserve">The specific data provided by customers in their application, as well as the list </w:t>
      </w:r>
      <w:r w:rsidR="00270901">
        <w:t xml:space="preserve">of fields in </w:t>
      </w:r>
      <w:bookmarkStart w:name="_Hlk216442394" w:id="104"/>
      <w:r w:rsidR="00270901">
        <w:t xml:space="preserve">Appendix C, </w:t>
      </w:r>
      <w:bookmarkEnd w:id="104"/>
      <w:r w:rsidR="00270901">
        <w:t xml:space="preserve">provide a preliminary set of the data </w:t>
      </w:r>
      <w:r w:rsidR="008D5765">
        <w:t xml:space="preserve">whose </w:t>
      </w:r>
      <w:r w:rsidR="00633454">
        <w:t xml:space="preserve">collection </w:t>
      </w:r>
      <w:r w:rsidR="009C2FA6">
        <w:t>and reporting</w:t>
      </w:r>
      <w:r w:rsidR="008D5765">
        <w:t xml:space="preserve"> will</w:t>
      </w:r>
      <w:r w:rsidR="00270901">
        <w:t xml:space="preserve"> be required </w:t>
      </w:r>
      <w:r w:rsidR="009C2FA6">
        <w:t>to</w:t>
      </w:r>
      <w:r w:rsidR="00633454">
        <w:t xml:space="preserve"> assess performance and</w:t>
      </w:r>
      <w:r w:rsidR="009C2FA6">
        <w:t xml:space="preserve"> inform future refinement of the S</w:t>
      </w:r>
      <w:r w:rsidR="009732D8">
        <w:t>tandard Offer</w:t>
      </w:r>
      <w:r w:rsidR="00996475">
        <w:t>.</w:t>
      </w:r>
      <w:r w:rsidR="002C1C56">
        <w:t xml:space="preserve"> </w:t>
      </w:r>
      <w:r w:rsidR="008D1EA1">
        <w:t>PG&amp;E</w:t>
      </w:r>
      <w:r w:rsidR="00080F9D">
        <w:t xml:space="preserve"> and SCE shall</w:t>
      </w:r>
      <w:r w:rsidR="008D1EA1">
        <w:t xml:space="preserve"> </w:t>
      </w:r>
      <w:r w:rsidR="00597420">
        <w:t xml:space="preserve">consult with Commission’s Energy Division </w:t>
      </w:r>
      <w:r w:rsidR="00733F74">
        <w:t>on which data fields a</w:t>
      </w:r>
      <w:r w:rsidR="0036606B">
        <w:t>t</w:t>
      </w:r>
      <w:r w:rsidR="00733F74">
        <w:t xml:space="preserve"> </w:t>
      </w:r>
      <w:r w:rsidR="00461293">
        <w:t xml:space="preserve">what level of </w:t>
      </w:r>
      <w:r w:rsidR="00733F74">
        <w:t>granularity</w:t>
      </w:r>
      <w:r w:rsidR="0036606B">
        <w:t xml:space="preserve"> should </w:t>
      </w:r>
      <w:r w:rsidR="00BC10BB">
        <w:t>comprise the final list of data to be collected for the purposes of assessing and refining the Standard Offer</w:t>
      </w:r>
      <w:r w:rsidR="00DD2A25">
        <w:t>.</w:t>
      </w:r>
      <w:r w:rsidR="005A597B">
        <w:t xml:space="preserve"> This tracking </w:t>
      </w:r>
      <w:r w:rsidR="00553103">
        <w:t>is additional to</w:t>
      </w:r>
      <w:r w:rsidR="00597420">
        <w:t xml:space="preserve"> </w:t>
      </w:r>
      <w:r w:rsidR="002C1C56">
        <w:t>the</w:t>
      </w:r>
      <w:r w:rsidR="002A5877">
        <w:t xml:space="preserve"> </w:t>
      </w:r>
      <w:r w:rsidR="00FF0263">
        <w:t>specifi</w:t>
      </w:r>
      <w:r w:rsidR="00F23A03">
        <w:t>c</w:t>
      </w:r>
      <w:r w:rsidR="002C1C56">
        <w:t xml:space="preserve"> data fields</w:t>
      </w:r>
      <w:r w:rsidR="007F37F8">
        <w:t xml:space="preserve"> </w:t>
      </w:r>
      <w:r w:rsidR="000F500C">
        <w:t xml:space="preserve">initially </w:t>
      </w:r>
      <w:r w:rsidR="0076773E">
        <w:t>provided by the Customer</w:t>
      </w:r>
      <w:r w:rsidR="000F500C">
        <w:t xml:space="preserve"> </w:t>
      </w:r>
      <w:r w:rsidR="007F37F8">
        <w:t xml:space="preserve">for each </w:t>
      </w:r>
      <w:r w:rsidR="00F12EEA">
        <w:t>Standard Offer</w:t>
      </w:r>
      <w:r w:rsidR="002C1C56">
        <w:t xml:space="preserve"> and </w:t>
      </w:r>
      <w:r w:rsidR="005D41C5">
        <w:t xml:space="preserve">those </w:t>
      </w:r>
      <w:r w:rsidR="00363D70">
        <w:t xml:space="preserve">determined in consultation with </w:t>
      </w:r>
      <w:r w:rsidR="004126E1">
        <w:t xml:space="preserve">the Commission’s Energy Division </w:t>
      </w:r>
      <w:r w:rsidR="00554514">
        <w:t>for cost-</w:t>
      </w:r>
      <w:r w:rsidR="00E31F22">
        <w:t xml:space="preserve">efficiency </w:t>
      </w:r>
      <w:r w:rsidR="004126E1">
        <w:t xml:space="preserve">as </w:t>
      </w:r>
      <w:r w:rsidR="00AF08AE">
        <w:t xml:space="preserve">discussed in Section </w:t>
      </w:r>
      <w:r w:rsidR="0004087F">
        <w:t>Eight</w:t>
      </w:r>
      <w:r w:rsidR="00AF08AE">
        <w:t>.</w:t>
      </w:r>
      <w:r w:rsidR="002C1C56">
        <w:t xml:space="preserve"> </w:t>
      </w:r>
      <w:r w:rsidR="00F66873">
        <w:t xml:space="preserve">We find it reasonable for these data </w:t>
      </w:r>
      <w:r w:rsidR="005C1074">
        <w:t>to</w:t>
      </w:r>
      <w:r w:rsidR="00F123EE">
        <w:t xml:space="preserve"> be included with the Biannual reporting </w:t>
      </w:r>
      <w:bookmarkStart w:name="_Hlk216442204" w:id="105"/>
      <w:r w:rsidR="00F123EE">
        <w:t>directed in D.24-09-020</w:t>
      </w:r>
      <w:r w:rsidR="0054445A">
        <w:t xml:space="preserve">, starting with the </w:t>
      </w:r>
      <w:r w:rsidR="00C94850">
        <w:t>March 3</w:t>
      </w:r>
      <w:r w:rsidR="00A46878">
        <w:t>1</w:t>
      </w:r>
      <w:r w:rsidR="0054445A">
        <w:t>, 202</w:t>
      </w:r>
      <w:r w:rsidR="00C94850">
        <w:t>7</w:t>
      </w:r>
      <w:r w:rsidR="0054445A">
        <w:t xml:space="preserve"> report.</w:t>
      </w:r>
      <w:r w:rsidR="007162D7">
        <w:t xml:space="preserve"> </w:t>
      </w:r>
      <w:bookmarkEnd w:id="105"/>
      <w:r w:rsidR="00EC32F8">
        <w:t>We clarify that t</w:t>
      </w:r>
      <w:r w:rsidR="00A63E74">
        <w:t xml:space="preserve">he </w:t>
      </w:r>
      <w:r w:rsidR="00D978D0">
        <w:t xml:space="preserve">data fields to be included regarding the </w:t>
      </w:r>
      <w:r w:rsidR="00F12EEA">
        <w:t>Standard Offer</w:t>
      </w:r>
      <w:r w:rsidR="00D978D0">
        <w:t xml:space="preserve"> </w:t>
      </w:r>
      <w:r w:rsidR="00C127A2">
        <w:t xml:space="preserve">are subject to update via resolution as detailed in </w:t>
      </w:r>
      <w:r w:rsidR="00E31F22">
        <w:t xml:space="preserve">Section </w:t>
      </w:r>
      <w:r w:rsidR="000C531B">
        <w:t>10 of D.24-09-020.</w:t>
      </w:r>
    </w:p>
    <w:p w:rsidR="00B22DEE" w:rsidP="007E4812" w:rsidRDefault="005C34BF" w14:paraId="48166791" w14:textId="77777777">
      <w:pPr>
        <w:pStyle w:val="Standard"/>
      </w:pPr>
      <w:r>
        <w:lastRenderedPageBreak/>
        <w:t>SCE</w:t>
      </w:r>
      <w:r w:rsidR="000661BE">
        <w:t xml:space="preserve">’s LCMS pilot was intended to </w:t>
      </w:r>
      <w:r w:rsidR="00263274">
        <w:t xml:space="preserve">provide insight </w:t>
      </w:r>
      <w:r w:rsidR="00443DEE">
        <w:t xml:space="preserve">and information demonstrating </w:t>
      </w:r>
      <w:r w:rsidR="002C6E4F">
        <w:t>FSC</w:t>
      </w:r>
      <w:r w:rsidR="00F45359">
        <w:t xml:space="preserve"> ability to provide</w:t>
      </w:r>
      <w:r w:rsidR="002C6E4F">
        <w:t xml:space="preserve"> support for </w:t>
      </w:r>
      <w:r w:rsidR="009B0935">
        <w:t xml:space="preserve">distribution reliability and safety and </w:t>
      </w:r>
      <w:r w:rsidR="00BD1689">
        <w:t xml:space="preserve">to </w:t>
      </w:r>
      <w:r w:rsidR="009B0935">
        <w:t>reduce delays.</w:t>
      </w:r>
      <w:r w:rsidR="009B0935">
        <w:rPr>
          <w:rStyle w:val="FootnoteReference"/>
        </w:rPr>
        <w:footnoteReference w:id="168"/>
      </w:r>
      <w:r w:rsidR="00F45359">
        <w:t xml:space="preserve"> </w:t>
      </w:r>
      <w:r w:rsidR="0099552D">
        <w:t xml:space="preserve">In establishing this pilot, </w:t>
      </w:r>
      <w:r w:rsidR="00BD1689">
        <w:t xml:space="preserve">SCE provides a </w:t>
      </w:r>
      <w:r w:rsidR="006F70D0">
        <w:t xml:space="preserve">list of </w:t>
      </w:r>
      <w:r w:rsidR="00BC6204">
        <w:t xml:space="preserve">twelve </w:t>
      </w:r>
      <w:r w:rsidR="006F70D0">
        <w:t>program parameters</w:t>
      </w:r>
      <w:r w:rsidR="005C5C27">
        <w:t xml:space="preserve"> to be assessed at the conclusion of the two year pilot period.</w:t>
      </w:r>
      <w:r w:rsidR="00AF2BF4">
        <w:rPr>
          <w:rStyle w:val="FootnoteReference"/>
        </w:rPr>
        <w:footnoteReference w:id="169"/>
      </w:r>
      <w:r w:rsidR="000928AA">
        <w:t xml:space="preserve"> </w:t>
      </w:r>
      <w:r w:rsidR="00131ED8">
        <w:t xml:space="preserve">We find it reasonable for SCE to assess LCMS parameters and report on learnings from their implementation in the LCMS pilot. </w:t>
      </w:r>
    </w:p>
    <w:p w:rsidR="00855F96" w:rsidP="007E4812" w:rsidRDefault="00A34C76" w14:paraId="0FAA528C" w14:textId="136BA22A">
      <w:pPr>
        <w:pStyle w:val="Standard"/>
      </w:pPr>
      <w:r>
        <w:t xml:space="preserve">SCE </w:t>
      </w:r>
      <w:r w:rsidR="001F05E6">
        <w:t>articulates a list of pilot learnings that it intends t</w:t>
      </w:r>
      <w:r w:rsidR="00F63ECE">
        <w:t>o evaluate at the end of the LCMS pilot period.</w:t>
      </w:r>
      <w:r w:rsidR="00F63ECE">
        <w:rPr>
          <w:rStyle w:val="FootnoteReference"/>
        </w:rPr>
        <w:footnoteReference w:id="170"/>
      </w:r>
    </w:p>
    <w:p w:rsidRPr="00840BB7" w:rsidR="00840BB7" w:rsidP="00840BB7" w:rsidRDefault="000928AA" w14:paraId="7D28E9D4" w14:textId="20E0514F">
      <w:pPr>
        <w:pStyle w:val="Standard"/>
      </w:pPr>
      <w:r>
        <w:t xml:space="preserve">We direct SCE to </w:t>
      </w:r>
      <w:r w:rsidR="002021F3">
        <w:t xml:space="preserve">prepare and file a report assessing </w:t>
      </w:r>
      <w:r w:rsidR="006B4AAF">
        <w:t>learnings associated with the</w:t>
      </w:r>
      <w:r w:rsidR="00BC6204">
        <w:t xml:space="preserve"> parameters</w:t>
      </w:r>
      <w:r w:rsidR="00933344">
        <w:t xml:space="preserve"> </w:t>
      </w:r>
      <w:r w:rsidR="00F416E1">
        <w:t xml:space="preserve">identified at the establishment and conclusion of </w:t>
      </w:r>
      <w:r w:rsidR="00855F96">
        <w:t xml:space="preserve">its LCMS pilot, </w:t>
      </w:r>
      <w:r w:rsidR="006B4AAF">
        <w:t>in both this proceeding and in R.21-06-017</w:t>
      </w:r>
      <w:r w:rsidR="0087559F">
        <w:t xml:space="preserve">, by </w:t>
      </w:r>
      <w:r w:rsidR="00131ED8">
        <w:t xml:space="preserve">March </w:t>
      </w:r>
      <w:r w:rsidR="0087559F">
        <w:t>1, 2026</w:t>
      </w:r>
      <w:r w:rsidR="006B4AAF">
        <w:t>.</w:t>
      </w:r>
      <w:r w:rsidR="001A6FD9">
        <w:t xml:space="preserve"> SCE shall update t</w:t>
      </w:r>
      <w:r w:rsidR="002C39E2">
        <w:t>his report</w:t>
      </w:r>
      <w:r w:rsidR="003943BD">
        <w:t>,</w:t>
      </w:r>
      <w:r w:rsidR="002C39E2">
        <w:t xml:space="preserve"> </w:t>
      </w:r>
      <w:r w:rsidRPr="00840BB7" w:rsidR="003943BD">
        <w:t>no later than 90 days after the full energization of the final LCMS customer</w:t>
      </w:r>
      <w:r w:rsidR="0079685A">
        <w:t>,</w:t>
      </w:r>
      <w:r w:rsidR="003943BD">
        <w:t xml:space="preserve"> </w:t>
      </w:r>
      <w:r w:rsidR="002C39E2">
        <w:t>with learnings from the 1</w:t>
      </w:r>
      <w:r w:rsidR="002F4380">
        <w:t xml:space="preserve">3 customers authorized to continue within the LCMS pilot after January </w:t>
      </w:r>
      <w:r w:rsidR="00840BB7">
        <w:t>3, 2026</w:t>
      </w:r>
      <w:r w:rsidR="00A20AED">
        <w:t>.</w:t>
      </w:r>
    </w:p>
    <w:p w:rsidR="005C34BF" w:rsidP="007E4812" w:rsidRDefault="005C34BF" w14:paraId="39A100CC" w14:textId="259F6A12">
      <w:pPr>
        <w:pStyle w:val="Standard"/>
      </w:pPr>
    </w:p>
    <w:p w:rsidRPr="00D2198A" w:rsidR="00674B19" w:rsidP="00957C72" w:rsidRDefault="00674B19" w14:paraId="4BB90611" w14:textId="3DC61599">
      <w:pPr>
        <w:pStyle w:val="Heading1"/>
      </w:pPr>
      <w:bookmarkStart w:name="_Toc220940224" w:id="106"/>
      <w:r w:rsidRPr="00D2198A">
        <w:t>Pre</w:t>
      </w:r>
      <w:r w:rsidR="00CA27C0">
        <w:t>liminary</w:t>
      </w:r>
      <w:r w:rsidRPr="00D2198A">
        <w:t xml:space="preserve"> Capacity </w:t>
      </w:r>
      <w:r w:rsidR="001D656F">
        <w:t>Assessment</w:t>
      </w:r>
      <w:r w:rsidRPr="00D2198A">
        <w:t xml:space="preserve"> Process</w:t>
      </w:r>
      <w:bookmarkEnd w:id="106"/>
    </w:p>
    <w:p w:rsidR="00023C22" w:rsidP="00674B19" w:rsidRDefault="007F2380" w14:paraId="7DA4B33C" w14:textId="3A422D42">
      <w:pPr>
        <w:pStyle w:val="Standard"/>
      </w:pPr>
      <w:r>
        <w:t xml:space="preserve">Parties </w:t>
      </w:r>
      <w:r w:rsidR="00D97286">
        <w:t>propose</w:t>
      </w:r>
      <w:r w:rsidR="00FB1707">
        <w:t xml:space="preserve"> </w:t>
      </w:r>
      <w:r w:rsidR="006041C3">
        <w:t xml:space="preserve">that </w:t>
      </w:r>
      <w:r w:rsidR="00FB1707">
        <w:t xml:space="preserve">an additional action </w:t>
      </w:r>
      <w:r w:rsidR="006041C3">
        <w:t xml:space="preserve">to expedite energization would be to </w:t>
      </w:r>
      <w:r w:rsidR="00B22D46">
        <w:t>accelerate</w:t>
      </w:r>
      <w:r w:rsidR="00A22722">
        <w:t>, standardize,</w:t>
      </w:r>
      <w:r w:rsidR="00AA4118">
        <w:t xml:space="preserve"> and streamline the options a customer has to </w:t>
      </w:r>
      <w:r w:rsidR="00152209">
        <w:t xml:space="preserve">seek </w:t>
      </w:r>
      <w:r w:rsidR="00EE3CD4">
        <w:t xml:space="preserve">estimates of power availability before </w:t>
      </w:r>
      <w:r w:rsidR="00A7251B">
        <w:t>i</w:t>
      </w:r>
      <w:r w:rsidRPr="008E43B6" w:rsidR="008E43B6">
        <w:t xml:space="preserve">nvesting further in detailed </w:t>
      </w:r>
      <w:r w:rsidR="00A7251B">
        <w:t>a</w:t>
      </w:r>
      <w:r w:rsidRPr="00A7251B" w:rsidR="00A7251B">
        <w:t>pplications and studies</w:t>
      </w:r>
      <w:r w:rsidR="00A7251B">
        <w:t>.</w:t>
      </w:r>
      <w:r w:rsidR="00933E37">
        <w:rPr>
          <w:rStyle w:val="FootnoteReference"/>
        </w:rPr>
        <w:footnoteReference w:id="171"/>
      </w:r>
      <w:r w:rsidR="00E20C93">
        <w:t xml:space="preserve"> This </w:t>
      </w:r>
      <w:r w:rsidR="00CB57FC">
        <w:t xml:space="preserve">estimate </w:t>
      </w:r>
      <w:r w:rsidR="001D656F">
        <w:t xml:space="preserve">has been </w:t>
      </w:r>
      <w:r w:rsidR="00CB57FC">
        <w:t xml:space="preserve">referred to </w:t>
      </w:r>
      <w:r w:rsidR="001D656F">
        <w:t xml:space="preserve">by parties </w:t>
      </w:r>
      <w:r w:rsidR="00CB57FC">
        <w:t>as a “power check”</w:t>
      </w:r>
      <w:r w:rsidR="000D27B8">
        <w:t xml:space="preserve"> and is a separate </w:t>
      </w:r>
      <w:r w:rsidR="001B5B35">
        <w:t xml:space="preserve">process distinct from the </w:t>
      </w:r>
      <w:r w:rsidR="00094C1A">
        <w:t xml:space="preserve">eight </w:t>
      </w:r>
      <w:r w:rsidR="00B97BC0">
        <w:t xml:space="preserve">energization process </w:t>
      </w:r>
      <w:r w:rsidR="00DE49A4">
        <w:t xml:space="preserve">steps </w:t>
      </w:r>
      <w:r w:rsidR="00AA22DF">
        <w:t xml:space="preserve">set </w:t>
      </w:r>
      <w:r w:rsidR="00AA22DF">
        <w:lastRenderedPageBreak/>
        <w:t>forth in D.24-09-020</w:t>
      </w:r>
      <w:r w:rsidR="000D27B8">
        <w:t>.</w:t>
      </w:r>
      <w:r w:rsidR="00933E37">
        <w:t xml:space="preserve"> </w:t>
      </w:r>
      <w:r w:rsidR="005136BB">
        <w:t>To avoid confusion</w:t>
      </w:r>
      <w:r w:rsidRPr="004C7713" w:rsidR="004C7713">
        <w:t xml:space="preserve"> </w:t>
      </w:r>
      <w:r w:rsidR="004C7713">
        <w:t>between this process and the Step 2 activities</w:t>
      </w:r>
      <w:r w:rsidR="005136BB">
        <w:t xml:space="preserve">, </w:t>
      </w:r>
      <w:r w:rsidR="0001437F">
        <w:t xml:space="preserve">we will refer to </w:t>
      </w:r>
      <w:r w:rsidR="005136BB">
        <w:t xml:space="preserve">an estimate of capacity provided prior to </w:t>
      </w:r>
      <w:r w:rsidR="0001437F">
        <w:t>application as a preliminary capacity assessment</w:t>
      </w:r>
      <w:r w:rsidR="00290AF3">
        <w:t>, or Step 0</w:t>
      </w:r>
      <w:r w:rsidR="0001437F">
        <w:t>.</w:t>
      </w:r>
      <w:r w:rsidR="00113AE9">
        <w:t xml:space="preserve"> </w:t>
      </w:r>
      <w:r w:rsidR="00454A4D">
        <w:t xml:space="preserve">Consistent with current practice, </w:t>
      </w:r>
      <w:r w:rsidR="00113AE9">
        <w:t xml:space="preserve">Step 0 is not </w:t>
      </w:r>
      <w:r w:rsidR="00454A4D">
        <w:t>required unless requested by the customer</w:t>
      </w:r>
      <w:r w:rsidR="00EF3CE2">
        <w:t xml:space="preserve">, and the customer is responsible for the cost associated with </w:t>
      </w:r>
      <w:r w:rsidR="00C26B01">
        <w:t>this assessment.</w:t>
      </w:r>
      <w:r w:rsidR="00454A4D">
        <w:t xml:space="preserve"> </w:t>
      </w:r>
    </w:p>
    <w:p w:rsidR="00674B19" w:rsidP="00674B19" w:rsidRDefault="00D343C4" w14:paraId="142A8D59" w14:textId="20DB5878">
      <w:pPr>
        <w:pStyle w:val="Standard"/>
      </w:pPr>
      <w:r>
        <w:t xml:space="preserve">Parties note that there is a </w:t>
      </w:r>
      <w:r w:rsidR="003E6E45">
        <w:t xml:space="preserve">similar </w:t>
      </w:r>
      <w:r w:rsidR="00DE781E">
        <w:t>estimate</w:t>
      </w:r>
      <w:r>
        <w:t xml:space="preserve"> that the IOUs </w:t>
      </w:r>
      <w:r w:rsidR="006853C3">
        <w:t>perform</w:t>
      </w:r>
      <w:r>
        <w:t xml:space="preserve"> within</w:t>
      </w:r>
      <w:r w:rsidR="0019431E">
        <w:t xml:space="preserve"> </w:t>
      </w:r>
      <w:r w:rsidR="00B97BC0">
        <w:t xml:space="preserve">energization </w:t>
      </w:r>
      <w:r w:rsidR="00793353">
        <w:t>step 2</w:t>
      </w:r>
      <w:r w:rsidR="00D23D58">
        <w:t xml:space="preserve"> </w:t>
      </w:r>
      <w:r w:rsidR="00793353">
        <w:t>and articulate a range of customer costs</w:t>
      </w:r>
      <w:r w:rsidR="009254ED">
        <w:t xml:space="preserve"> between $110,000 and $470,000</w:t>
      </w:r>
      <w:r w:rsidR="00793353">
        <w:t xml:space="preserve"> that are </w:t>
      </w:r>
      <w:r w:rsidR="00125846">
        <w:t>regularly required</w:t>
      </w:r>
      <w:r w:rsidR="00296E02">
        <w:t xml:space="preserve"> </w:t>
      </w:r>
      <w:r w:rsidR="002E42B6">
        <w:t>to secure this estimate</w:t>
      </w:r>
      <w:r w:rsidR="008E3A2C">
        <w:t>.</w:t>
      </w:r>
      <w:r w:rsidRPr="009B07A5" w:rsidR="009B07A5">
        <w:rPr>
          <w:rStyle w:val="FootnoteReference"/>
        </w:rPr>
        <w:t xml:space="preserve"> </w:t>
      </w:r>
      <w:r w:rsidR="009B07A5">
        <w:rPr>
          <w:rStyle w:val="FootnoteReference"/>
        </w:rPr>
        <w:footnoteReference w:id="172"/>
      </w:r>
      <w:r w:rsidR="00004D0A">
        <w:t xml:space="preserve"> </w:t>
      </w:r>
      <w:r w:rsidR="000F410B">
        <w:t xml:space="preserve">Parties </w:t>
      </w:r>
      <w:r w:rsidR="00A51ECA">
        <w:t>assert that</w:t>
      </w:r>
      <w:r w:rsidR="00662FA8">
        <w:t xml:space="preserve"> a much less intensive </w:t>
      </w:r>
      <w:r w:rsidR="00F93293">
        <w:t>process could yield s</w:t>
      </w:r>
      <w:r w:rsidRPr="00F93293" w:rsidR="00F93293">
        <w:t>ufficient, preliminary, and necessary estimates.</w:t>
      </w:r>
      <w:r w:rsidR="00F93293">
        <w:rPr>
          <w:rStyle w:val="FootnoteReference"/>
        </w:rPr>
        <w:footnoteReference w:id="173"/>
      </w:r>
      <w:r w:rsidR="000F410B">
        <w:t xml:space="preserve"> </w:t>
      </w:r>
      <w:r w:rsidR="00681B32">
        <w:t xml:space="preserve">PACT also asserts that a </w:t>
      </w:r>
      <w:r w:rsidRPr="00753236" w:rsidR="00681B32">
        <w:t>FSC should be provided at the preliminary engineering phase</w:t>
      </w:r>
      <w:r w:rsidR="006F12E4">
        <w:t xml:space="preserve">, </w:t>
      </w:r>
      <w:r w:rsidRPr="00753236" w:rsidR="006F12E4">
        <w:t>before the customer submits a complete customer application</w:t>
      </w:r>
      <w:r w:rsidR="00681B32">
        <w:t>.</w:t>
      </w:r>
      <w:r w:rsidR="00681B32">
        <w:rPr>
          <w:rStyle w:val="FootnoteReference"/>
        </w:rPr>
        <w:footnoteReference w:id="174"/>
      </w:r>
      <w:r w:rsidR="00681B32">
        <w:t xml:space="preserve"> There is </w:t>
      </w:r>
      <w:r w:rsidR="00A110EA">
        <w:t xml:space="preserve">no </w:t>
      </w:r>
      <w:r w:rsidR="00B908EC">
        <w:t xml:space="preserve">indication that either PG&amp;E or SCE provide a LLP </w:t>
      </w:r>
      <w:r w:rsidR="006F12E4">
        <w:t xml:space="preserve">at </w:t>
      </w:r>
      <w:r w:rsidR="006A2B89">
        <w:t>Step 0, and we decline to make this a requirement of Step 0 at this time.</w:t>
      </w:r>
    </w:p>
    <w:p w:rsidR="00F93293" w:rsidP="00674B19" w:rsidRDefault="00FB73A1" w14:paraId="1AC91BC6" w14:textId="63669713">
      <w:pPr>
        <w:pStyle w:val="Standard"/>
      </w:pPr>
      <w:r>
        <w:t xml:space="preserve">SCE </w:t>
      </w:r>
      <w:r w:rsidR="007729D8">
        <w:t xml:space="preserve">notes </w:t>
      </w:r>
      <w:r w:rsidR="004C7E2F">
        <w:t xml:space="preserve">that there </w:t>
      </w:r>
      <w:r w:rsidR="0043090E">
        <w:t>a</w:t>
      </w:r>
      <w:r w:rsidR="00FC6E00">
        <w:t xml:space="preserve">re </w:t>
      </w:r>
      <w:r w:rsidR="0043090E">
        <w:t>a variety of online tools, including the</w:t>
      </w:r>
      <w:r w:rsidR="00A40B26">
        <w:t xml:space="preserve"> Load</w:t>
      </w:r>
      <w:r w:rsidR="0043090E">
        <w:t xml:space="preserve"> ICA, that customers</w:t>
      </w:r>
      <w:r w:rsidR="00AD6215">
        <w:t xml:space="preserve"> can use </w:t>
      </w:r>
      <w:r w:rsidR="005A463D">
        <w:t>to help them make informed decision</w:t>
      </w:r>
      <w:r w:rsidR="00BD7537">
        <w:t>s</w:t>
      </w:r>
      <w:r w:rsidR="005A463D">
        <w:t xml:space="preserve">. SCE further </w:t>
      </w:r>
      <w:r w:rsidR="007729D8">
        <w:t xml:space="preserve">notes </w:t>
      </w:r>
      <w:r w:rsidR="005A463D">
        <w:t>that</w:t>
      </w:r>
      <w:r w:rsidR="002B6677">
        <w:t xml:space="preserve"> customers can request</w:t>
      </w:r>
      <w:r w:rsidR="005A463D">
        <w:t xml:space="preserve"> an optional, </w:t>
      </w:r>
      <w:r w:rsidR="00513744">
        <w:t>fee-based</w:t>
      </w:r>
      <w:r w:rsidR="005A463D">
        <w:t xml:space="preserve"> power check engineering report</w:t>
      </w:r>
      <w:r w:rsidR="002B6677">
        <w:t>.</w:t>
      </w:r>
      <w:r w:rsidR="006A02CE">
        <w:rPr>
          <w:rStyle w:val="FootnoteReference"/>
        </w:rPr>
        <w:footnoteReference w:id="175"/>
      </w:r>
    </w:p>
    <w:p w:rsidR="002E33A7" w:rsidP="00976217" w:rsidRDefault="00487910" w14:paraId="40C41DC7" w14:textId="53D0EC24">
      <w:pPr>
        <w:pStyle w:val="Standard"/>
      </w:pPr>
      <w:r>
        <w:t xml:space="preserve">PG&amp;E notes that the elements </w:t>
      </w:r>
      <w:r w:rsidR="005C28B2">
        <w:t>articulate</w:t>
      </w:r>
      <w:r w:rsidR="00921A35">
        <w:t>d</w:t>
      </w:r>
      <w:r w:rsidR="005C28B2">
        <w:t xml:space="preserve"> for </w:t>
      </w:r>
      <w:r w:rsidR="00921A35">
        <w:t>a</w:t>
      </w:r>
      <w:r w:rsidR="005C28B2">
        <w:t xml:space="preserve"> “power check” process are very similar to PG&amp;E’s preliminary capacity assessment.</w:t>
      </w:r>
      <w:r w:rsidR="00C26B01">
        <w:rPr>
          <w:rStyle w:val="FootnoteReference"/>
        </w:rPr>
        <w:footnoteReference w:id="176"/>
      </w:r>
      <w:r w:rsidR="00DE0C16">
        <w:t xml:space="preserve"> </w:t>
      </w:r>
    </w:p>
    <w:p w:rsidR="00ED3CC6" w:rsidP="00ED3CC6" w:rsidRDefault="00ED3CC6" w14:paraId="7FEB39C8" w14:textId="71BE97A1">
      <w:pPr>
        <w:pStyle w:val="Standard"/>
      </w:pPr>
      <w:r>
        <w:lastRenderedPageBreak/>
        <w:t xml:space="preserve">The following </w:t>
      </w:r>
      <w:r w:rsidR="00346E82">
        <w:t>sub steps</w:t>
      </w:r>
      <w:r>
        <w:t xml:space="preserve"> are consistent across PG&amp;E’s</w:t>
      </w:r>
      <w:r>
        <w:rPr>
          <w:rStyle w:val="FootnoteReference"/>
        </w:rPr>
        <w:footnoteReference w:id="177"/>
      </w:r>
      <w:r>
        <w:t xml:space="preserve"> and SCE’s</w:t>
      </w:r>
      <w:r>
        <w:rPr>
          <w:rStyle w:val="FootnoteReference"/>
        </w:rPr>
        <w:footnoteReference w:id="178"/>
      </w:r>
      <w:r>
        <w:t xml:space="preserve"> existing processes and comprise a summary of the expected process under Step</w:t>
      </w:r>
      <w:r w:rsidR="008054EB">
        <w:t> </w:t>
      </w:r>
      <w:r>
        <w:t>0.</w:t>
      </w:r>
    </w:p>
    <w:p w:rsidR="00ED3CC6" w:rsidP="00ED3CC6" w:rsidRDefault="00ED3CC6" w14:paraId="7E149C9F" w14:textId="7613585F">
      <w:pPr>
        <w:pStyle w:val="Standard"/>
      </w:pPr>
      <w:r>
        <w:t>Sub</w:t>
      </w:r>
      <w:r w:rsidR="00BC5AEB">
        <w:t>-</w:t>
      </w:r>
      <w:r>
        <w:t>step A: Customer Preliminary Capacity Request</w:t>
      </w:r>
      <w:r w:rsidRPr="00A47B9E">
        <w:t xml:space="preserve"> (Customer Responsibility)</w:t>
      </w:r>
      <w:r>
        <w:t>: In this step, the customer will submit basic information, including but not limited to: expected connected load, service voltage, main breaker amp, connected load type and cut sheet, basic site map with point of connection identified, and customer preferred energization date. This is an optional step that may be appropriate for a customer to initiate when they are not ready to invest the time and resources in land procurement or a full design package without knowing that the capacity they need will be available on their desired timeline.</w:t>
      </w:r>
    </w:p>
    <w:p w:rsidR="00ED3CC6" w:rsidP="00ED3CC6" w:rsidRDefault="00ED3CC6" w14:paraId="77C98069" w14:textId="4623DD8E">
      <w:pPr>
        <w:pStyle w:val="Standard"/>
      </w:pPr>
      <w:r>
        <w:t>Sub</w:t>
      </w:r>
      <w:r w:rsidR="00BC5AEB">
        <w:t>-</w:t>
      </w:r>
      <w:r>
        <w:t>step B:</w:t>
      </w:r>
      <w:r w:rsidRPr="000611A3">
        <w:t xml:space="preserve"> Utility Preliminary Capacity Assessment (Utility Responsibility)</w:t>
      </w:r>
      <w:r>
        <w:t xml:space="preserve">: </w:t>
      </w:r>
      <w:r w:rsidRPr="007B26E7">
        <w:t>The utility responds to the Customer Preliminary Capacity Request</w:t>
      </w:r>
      <w:r>
        <w:t>,</w:t>
      </w:r>
      <w:r w:rsidRPr="007B26E7">
        <w:t xml:space="preserve"> providing an estimate</w:t>
      </w:r>
      <w:r>
        <w:t xml:space="preserve"> </w:t>
      </w:r>
      <w:r w:rsidRPr="007B26E7">
        <w:t>of capacity available</w:t>
      </w:r>
      <w:r>
        <w:t xml:space="preserve"> for the identified point of connection</w:t>
      </w:r>
      <w:r w:rsidRPr="007B26E7">
        <w:t xml:space="preserve"> at that time</w:t>
      </w:r>
      <w:r>
        <w:t>.</w:t>
      </w:r>
      <w:r w:rsidRPr="007B26E7">
        <w:t xml:space="preserve"> </w:t>
      </w:r>
      <w:r>
        <w:t>This step is done at the customer’s expense but is the utility’s responsibility. While a field visit may not be necessary to complete this step, it is ultimately up to the utility to determine what is required to provide an accurate estimate of capacity. Any values created for a LLP resulting from this sub</w:t>
      </w:r>
      <w:r w:rsidR="00D443D8">
        <w:t>-</w:t>
      </w:r>
      <w:r>
        <w:t xml:space="preserve">step </w:t>
      </w:r>
      <w:r w:rsidRPr="004D0C57">
        <w:t>would be subject to change pending final site design and utility conducted engineering studies as a part of Step 2 of the energization process.</w:t>
      </w:r>
    </w:p>
    <w:p w:rsidR="00FB6CD1" w:rsidP="00ED3CC6" w:rsidRDefault="00ED3CC6" w14:paraId="34DB0B83" w14:textId="37CBF2A0">
      <w:pPr>
        <w:pStyle w:val="Standard"/>
      </w:pPr>
      <w:r>
        <w:t>Preliminary capacity assessments are a common offering within the electric utility sector</w:t>
      </w:r>
      <w:r>
        <w:rPr>
          <w:rStyle w:val="FootnoteReference"/>
        </w:rPr>
        <w:footnoteReference w:id="179"/>
      </w:r>
      <w:r>
        <w:t xml:space="preserve"> and currently being offered by both utilities that will be </w:t>
      </w:r>
      <w:r>
        <w:lastRenderedPageBreak/>
        <w:t>implementing a Standard Offer</w:t>
      </w:r>
      <w:bookmarkStart w:name="_Hlk216443630" w:id="107"/>
      <w:r>
        <w:t xml:space="preserve">. We find it reasonable for </w:t>
      </w:r>
      <w:r w:rsidR="0088622D">
        <w:t>PG&amp;E and SCE</w:t>
      </w:r>
      <w:r>
        <w:t xml:space="preserve"> to also formalize their preliminary capacity assessment report</w:t>
      </w:r>
      <w:r w:rsidR="008054EB">
        <w:t>.</w:t>
      </w:r>
      <w:bookmarkEnd w:id="107"/>
      <w:r w:rsidR="003A2BCB">
        <w:t xml:space="preserve"> </w:t>
      </w:r>
    </w:p>
    <w:p w:rsidR="00ED3CC6" w:rsidP="00ED3CC6" w:rsidRDefault="00ED3CC6" w14:paraId="085037B4" w14:textId="6FE41B07">
      <w:pPr>
        <w:pStyle w:val="Standard"/>
      </w:pPr>
      <w:r>
        <w:t xml:space="preserve">We direct PG&amp;E and SCE, within </w:t>
      </w:r>
      <w:r w:rsidR="001453C7">
        <w:t>75</w:t>
      </w:r>
      <w:r>
        <w:t xml:space="preserve"> days of the </w:t>
      </w:r>
      <w:r w:rsidR="00BC5AEB">
        <w:t xml:space="preserve">issuance </w:t>
      </w:r>
      <w:r>
        <w:t xml:space="preserve">of this decision, to submit a Tier 2 advice letter (PCA </w:t>
      </w:r>
      <w:r w:rsidR="004A3635">
        <w:t>A</w:t>
      </w:r>
      <w:r>
        <w:t xml:space="preserve">dvice </w:t>
      </w:r>
      <w:r w:rsidR="004A3635">
        <w:t>L</w:t>
      </w:r>
      <w:r>
        <w:t xml:space="preserve">etter) that </w:t>
      </w:r>
      <w:r w:rsidR="003A2BCB">
        <w:t xml:space="preserve">both </w:t>
      </w:r>
      <w:r w:rsidR="00F853C7">
        <w:t xml:space="preserve">describes and </w:t>
      </w:r>
      <w:r>
        <w:t>formalizes their current preliminary capacity assessment processes</w:t>
      </w:r>
      <w:r w:rsidR="00F853C7">
        <w:t xml:space="preserve">. </w:t>
      </w:r>
      <w:r w:rsidR="004578C4">
        <w:t xml:space="preserve">Consistent with this decision, </w:t>
      </w:r>
      <w:r w:rsidR="00F853C7">
        <w:t>PG&amp;E and SCE shall, as a part of th</w:t>
      </w:r>
      <w:r w:rsidR="009A5D4E">
        <w:t>is advice letter, provide the name</w:t>
      </w:r>
      <w:r w:rsidR="000D5599">
        <w:t xml:space="preserve"> of their respective </w:t>
      </w:r>
      <w:r w:rsidR="00022A47">
        <w:t xml:space="preserve">assessment </w:t>
      </w:r>
      <w:r w:rsidR="000D5599">
        <w:t xml:space="preserve">processes, describe the </w:t>
      </w:r>
      <w:r w:rsidR="00EE2237">
        <w:t xml:space="preserve">analysis </w:t>
      </w:r>
      <w:r w:rsidR="00C64F27">
        <w:t xml:space="preserve">these </w:t>
      </w:r>
      <w:r w:rsidR="00113AE9">
        <w:t xml:space="preserve">processes </w:t>
      </w:r>
      <w:r w:rsidR="00EE2237">
        <w:t>perform to arrive at capacity estimates, and</w:t>
      </w:r>
      <w:r w:rsidR="00022A47">
        <w:t xml:space="preserve"> provide </w:t>
      </w:r>
      <w:r w:rsidR="00DB6362">
        <w:t xml:space="preserve">the </w:t>
      </w:r>
      <w:r w:rsidR="00022A47">
        <w:t xml:space="preserve">historical </w:t>
      </w:r>
      <w:r w:rsidR="00104D3B">
        <w:t xml:space="preserve">average </w:t>
      </w:r>
      <w:r w:rsidR="00022A47">
        <w:t>cost</w:t>
      </w:r>
      <w:r w:rsidR="00104D3B">
        <w:t xml:space="preserve"> to the c</w:t>
      </w:r>
      <w:r w:rsidR="00BD159B">
        <w:t>ustomer</w:t>
      </w:r>
      <w:r w:rsidR="0067030A">
        <w:t xml:space="preserve"> for performing these assessments</w:t>
      </w:r>
      <w:r w:rsidR="00BD159B">
        <w:t xml:space="preserve">. </w:t>
      </w:r>
      <w:r w:rsidR="00A16F12">
        <w:t>PG&amp;E and SCE shall formalize their respective processes</w:t>
      </w:r>
      <w:r w:rsidR="000D5599">
        <w:t xml:space="preserve"> </w:t>
      </w:r>
      <w:r w:rsidR="00FE054A">
        <w:t>by</w:t>
      </w:r>
      <w:r w:rsidR="00D039F2">
        <w:t xml:space="preserve"> providing a standard</w:t>
      </w:r>
      <w:r w:rsidR="00D57BDD">
        <w:t>ized</w:t>
      </w:r>
      <w:r w:rsidR="00D039F2">
        <w:t xml:space="preserve"> form </w:t>
      </w:r>
      <w:r w:rsidR="00AF5A39">
        <w:t>for</w:t>
      </w:r>
      <w:r w:rsidR="00095858">
        <w:t xml:space="preserve"> collect</w:t>
      </w:r>
      <w:r w:rsidR="00AF5A39">
        <w:t>ing</w:t>
      </w:r>
      <w:r w:rsidR="00095858">
        <w:t xml:space="preserve"> the re</w:t>
      </w:r>
      <w:r w:rsidR="009A34DF">
        <w:t>quired</w:t>
      </w:r>
      <w:r w:rsidR="00D57BDD">
        <w:t xml:space="preserve"> customer</w:t>
      </w:r>
      <w:r w:rsidR="009A34DF">
        <w:t xml:space="preserve"> information and a standard</w:t>
      </w:r>
      <w:r w:rsidR="00D57BDD">
        <w:t xml:space="preserve">ized </w:t>
      </w:r>
      <w:r w:rsidR="00BD6B60">
        <w:t xml:space="preserve">preliminary capacity assessment </w:t>
      </w:r>
      <w:r w:rsidR="00D57BDD">
        <w:t>report</w:t>
      </w:r>
      <w:r w:rsidR="008054EB">
        <w:t xml:space="preserve">. </w:t>
      </w:r>
      <w:r>
        <w:t xml:space="preserve">In formalizing their offerings, we encourage PG&amp;E and SCE to </w:t>
      </w:r>
      <w:bookmarkStart w:name="_Hlk216443715" w:id="108"/>
      <w:r>
        <w:t>align the proce</w:t>
      </w:r>
      <w:r w:rsidR="00454834">
        <w:t>ss</w:t>
      </w:r>
      <w:r>
        <w:t xml:space="preserve"> elements of their offering</w:t>
      </w:r>
      <w:r w:rsidR="00210C05">
        <w:t>s</w:t>
      </w:r>
      <w:r>
        <w:t xml:space="preserve"> to the extent practicable.</w:t>
      </w:r>
      <w:bookmarkEnd w:id="108"/>
      <w:r>
        <w:t xml:space="preserve"> PG&amp;E and SCE shall coordinate the format of their PCA </w:t>
      </w:r>
      <w:r w:rsidR="0079790C">
        <w:t>A</w:t>
      </w:r>
      <w:r>
        <w:t xml:space="preserve">dvice </w:t>
      </w:r>
      <w:r w:rsidR="0079790C">
        <w:t>L</w:t>
      </w:r>
      <w:r>
        <w:t xml:space="preserve">etter such that the process elements between the two IOUs can be easily compared and shall articulate the rationale for any divergence between the practices of the two IOUs. </w:t>
      </w:r>
    </w:p>
    <w:p w:rsidR="00ED3CC6" w:rsidP="00ED3CC6" w:rsidRDefault="00ED3CC6" w14:paraId="0875BC1A" w14:textId="1CEDD228">
      <w:pPr>
        <w:pStyle w:val="Standard"/>
      </w:pPr>
      <w:r>
        <w:t>The amount of time taken to provide this sort of assessment across the electrical utility sector is significantly shorter than the time taken by PG&amp;E and SCE.</w:t>
      </w:r>
      <w:r>
        <w:rPr>
          <w:rStyle w:val="FootnoteReference"/>
        </w:rPr>
        <w:footnoteReference w:id="180"/>
      </w:r>
      <w:r>
        <w:t xml:space="preserve">We find it reasonable to establish a target timeline of 30 days from when PG&amp;E and SCE receive a request </w:t>
      </w:r>
      <w:r w:rsidR="00723530">
        <w:t xml:space="preserve">for a preliminary capacity assessment </w:t>
      </w:r>
      <w:r>
        <w:t xml:space="preserve">until they provide the customer with the full preliminary capacity assessment results. We encourage PG&amp;E and SCE to pursue process efficiencies that will allow them to </w:t>
      </w:r>
      <w:r>
        <w:lastRenderedPageBreak/>
        <w:t>reduce the amount of time and money that is currently required to provide a preliminary capacity assessment</w:t>
      </w:r>
      <w:r w:rsidR="00626BBB">
        <w:t>.</w:t>
      </w:r>
      <w:r w:rsidR="00BE419C">
        <w:t xml:space="preserve"> </w:t>
      </w:r>
    </w:p>
    <w:p w:rsidR="00626BBB" w:rsidP="002947AA" w:rsidRDefault="00ED3CC6" w14:paraId="42CAF9D3" w14:textId="150B0E45">
      <w:pPr>
        <w:pStyle w:val="Standard"/>
      </w:pPr>
      <w:r>
        <w:t xml:space="preserve">The record of this proceeding does not articulate the specific data required for processing a preliminary capacity assessment request nor the specific data provided </w:t>
      </w:r>
      <w:r w:rsidR="00FB156E">
        <w:t xml:space="preserve">to </w:t>
      </w:r>
      <w:r>
        <w:t xml:space="preserve">the customer as a part of the preliminary capacity assessment report. Accordingly, we do not require reporting of specific data here, but direct PG&amp;E and SCE to work with the Commission’s Energy Division to identify the appropriate data fields and propose their reporting as a part of the PCA </w:t>
      </w:r>
      <w:r w:rsidR="00FB42F1">
        <w:t>A</w:t>
      </w:r>
      <w:r>
        <w:t xml:space="preserve">dvice </w:t>
      </w:r>
      <w:r w:rsidR="00FB42F1">
        <w:t>L</w:t>
      </w:r>
      <w:r>
        <w:t>etter.</w:t>
      </w:r>
      <w:r w:rsidRPr="00626BBB" w:rsidR="00626BBB">
        <w:t xml:space="preserve"> </w:t>
      </w:r>
      <w:r w:rsidR="0088478A">
        <w:t>We clarify that the data fields to be included regarding the PCA are subject to update via resolution as detailed in Section 10 of D.24-09-020.</w:t>
      </w:r>
    </w:p>
    <w:p w:rsidR="002947AA" w:rsidP="002947AA" w:rsidRDefault="00626BBB" w14:paraId="55B51535" w14:textId="642F2F9A">
      <w:pPr>
        <w:pStyle w:val="Standard"/>
      </w:pPr>
      <w:r>
        <w:t xml:space="preserve">We note that PG&amp;E is currently developing a tool that improves and standardizes data collection needed for automating </w:t>
      </w:r>
      <w:r w:rsidR="00A44D44">
        <w:t xml:space="preserve">load calculations and </w:t>
      </w:r>
      <w:r w:rsidR="00003CBF">
        <w:t>integrating Load ICA values.</w:t>
      </w:r>
      <w:r w:rsidR="007F4F5F">
        <w:t xml:space="preserve"> </w:t>
      </w:r>
      <w:r w:rsidR="00A93209">
        <w:t xml:space="preserve">It asserts that </w:t>
      </w:r>
      <w:r w:rsidR="00AF3619">
        <w:t xml:space="preserve">utilizing </w:t>
      </w:r>
      <w:r w:rsidR="007F4F5F">
        <w:t xml:space="preserve">this tool </w:t>
      </w:r>
      <w:r w:rsidR="00233CC3">
        <w:t xml:space="preserve">supports </w:t>
      </w:r>
      <w:r w:rsidR="00495601">
        <w:t>improved customer transparency, accelerated decision-</w:t>
      </w:r>
      <w:r w:rsidR="00820DB7">
        <w:t>making</w:t>
      </w:r>
      <w:r w:rsidR="00946B40">
        <w:t xml:space="preserve">, </w:t>
      </w:r>
      <w:r w:rsidR="006D4781">
        <w:t xml:space="preserve">and </w:t>
      </w:r>
      <w:r w:rsidR="00946B40">
        <w:t>optimization of resources</w:t>
      </w:r>
      <w:r w:rsidR="006D4781">
        <w:t>.</w:t>
      </w:r>
      <w:r w:rsidR="006D4781">
        <w:rPr>
          <w:rStyle w:val="FootnoteReference"/>
        </w:rPr>
        <w:footnoteReference w:id="181"/>
      </w:r>
      <w:r w:rsidR="006D4781">
        <w:t xml:space="preserve"> </w:t>
      </w:r>
      <w:r w:rsidR="00486C9E">
        <w:t xml:space="preserve">While these are compelling benefits, we note the </w:t>
      </w:r>
      <w:r w:rsidR="00BA3898">
        <w:t xml:space="preserve">party </w:t>
      </w:r>
      <w:r w:rsidR="00AF7B46">
        <w:t xml:space="preserve">discussion around the current state of </w:t>
      </w:r>
      <w:r w:rsidR="00BA3898">
        <w:t>the Load ICA</w:t>
      </w:r>
      <w:r w:rsidR="00647396">
        <w:t xml:space="preserve"> in Section 6.2.2</w:t>
      </w:r>
      <w:r w:rsidR="00F87FD3">
        <w:t xml:space="preserve"> does not currently support a reliance upon the ICA</w:t>
      </w:r>
      <w:r w:rsidR="00647396">
        <w:t>.</w:t>
      </w:r>
      <w:r w:rsidR="000E42AB">
        <w:t xml:space="preserve"> </w:t>
      </w:r>
      <w:r w:rsidR="00DD3AF2">
        <w:t xml:space="preserve">PG&amp;E and SCE are authorized to </w:t>
      </w:r>
      <w:r w:rsidR="00DA6DDF">
        <w:t xml:space="preserve">submit a Tier </w:t>
      </w:r>
      <w:r w:rsidR="00EE64CC">
        <w:t>2</w:t>
      </w:r>
      <w:r w:rsidR="00DA6DDF">
        <w:t xml:space="preserve"> advice letter </w:t>
      </w:r>
      <w:r w:rsidR="007418D7">
        <w:t xml:space="preserve">replacing the </w:t>
      </w:r>
      <w:r w:rsidR="00D32B10">
        <w:t xml:space="preserve">PCA </w:t>
      </w:r>
      <w:r w:rsidR="000D0A4A">
        <w:t xml:space="preserve">(PCA Replacement Advice Letter) </w:t>
      </w:r>
      <w:r w:rsidR="00C1630A">
        <w:t>for customers located on the primary network</w:t>
      </w:r>
      <w:r w:rsidR="00F54AA8">
        <w:t xml:space="preserve"> </w:t>
      </w:r>
      <w:r w:rsidR="007418D7">
        <w:t xml:space="preserve">with </w:t>
      </w:r>
      <w:r w:rsidR="00324687">
        <w:t>an</w:t>
      </w:r>
      <w:r w:rsidR="007418D7">
        <w:t xml:space="preserve"> ICA based</w:t>
      </w:r>
      <w:r w:rsidR="00324687">
        <w:t xml:space="preserve"> tool</w:t>
      </w:r>
      <w:r w:rsidR="00B01B92">
        <w:t xml:space="preserve"> </w:t>
      </w:r>
      <w:r w:rsidR="0026414E">
        <w:t>providing equivalent o</w:t>
      </w:r>
      <w:r w:rsidR="00F54AA8">
        <w:t>r</w:t>
      </w:r>
      <w:r w:rsidR="0026414E">
        <w:t xml:space="preserve"> greater functionality</w:t>
      </w:r>
      <w:r w:rsidR="00F54AA8">
        <w:t>. Th</w:t>
      </w:r>
      <w:r w:rsidR="00D633EC">
        <w:t xml:space="preserve">e </w:t>
      </w:r>
      <w:r w:rsidR="00A378FF">
        <w:t xml:space="preserve">PCA </w:t>
      </w:r>
      <w:r w:rsidR="00D633EC">
        <w:t xml:space="preserve">Replacement Advice Letter </w:t>
      </w:r>
      <w:r w:rsidR="000D0A4A">
        <w:t xml:space="preserve">shall not be submitted prior to the IOU’s </w:t>
      </w:r>
      <w:r w:rsidR="00FD79A3">
        <w:t xml:space="preserve">completion of </w:t>
      </w:r>
      <w:r w:rsidR="00B5187F">
        <w:t>that tool</w:t>
      </w:r>
      <w:r w:rsidR="000B0D5E">
        <w:t xml:space="preserve">, </w:t>
      </w:r>
      <w:r w:rsidR="00ED3667">
        <w:t>completion of</w:t>
      </w:r>
      <w:r w:rsidR="00177572">
        <w:t xml:space="preserve"> </w:t>
      </w:r>
      <w:r w:rsidR="000B0D5E">
        <w:t xml:space="preserve">the </w:t>
      </w:r>
      <w:r w:rsidR="006E19A0">
        <w:t xml:space="preserve">Load </w:t>
      </w:r>
      <w:r w:rsidR="000A107F">
        <w:t>ICA refinements</w:t>
      </w:r>
      <w:r w:rsidR="000D0A4A">
        <w:t>,</w:t>
      </w:r>
      <w:r w:rsidR="00C81658">
        <w:t xml:space="preserve"> and the </w:t>
      </w:r>
      <w:r w:rsidR="007A35E7">
        <w:t xml:space="preserve">completion of </w:t>
      </w:r>
      <w:r w:rsidR="000D0A4A">
        <w:t>its</w:t>
      </w:r>
      <w:r w:rsidR="007A35E7">
        <w:t xml:space="preserve"> </w:t>
      </w:r>
      <w:r w:rsidR="007F1117">
        <w:t xml:space="preserve">Load </w:t>
      </w:r>
      <w:r w:rsidR="007A35E7">
        <w:t xml:space="preserve">ICA </w:t>
      </w:r>
      <w:r w:rsidR="007F1117">
        <w:t>remediation</w:t>
      </w:r>
      <w:r w:rsidR="000A107F">
        <w:t xml:space="preserve"> </w:t>
      </w:r>
      <w:r w:rsidR="00183110">
        <w:t>plan</w:t>
      </w:r>
      <w:r w:rsidR="003C4EF8">
        <w:t>s</w:t>
      </w:r>
      <w:r w:rsidR="00183110">
        <w:t xml:space="preserve"> </w:t>
      </w:r>
      <w:r w:rsidR="00183110">
        <w:lastRenderedPageBreak/>
        <w:t xml:space="preserve">stemming from </w:t>
      </w:r>
      <w:r w:rsidR="000A107F">
        <w:t>D.</w:t>
      </w:r>
      <w:r w:rsidR="00EB3340">
        <w:t>2</w:t>
      </w:r>
      <w:r w:rsidR="00164C87">
        <w:t>4</w:t>
      </w:r>
      <w:r w:rsidR="00EB3340">
        <w:t>-10-03</w:t>
      </w:r>
      <w:r w:rsidR="00990DD1">
        <w:t>0</w:t>
      </w:r>
      <w:r w:rsidR="00430346">
        <w:t>.</w:t>
      </w:r>
      <w:r w:rsidR="00714AA7">
        <w:rPr>
          <w:rStyle w:val="FootnoteReference"/>
        </w:rPr>
        <w:footnoteReference w:id="182"/>
      </w:r>
      <w:r w:rsidR="00430346">
        <w:t xml:space="preserve"> The PCA </w:t>
      </w:r>
      <w:r w:rsidR="00C41606">
        <w:t xml:space="preserve">Replacement Advice Letter shall detail the alignment of the tool and </w:t>
      </w:r>
      <w:r w:rsidR="00DD1D9A">
        <w:t>PCA.</w:t>
      </w:r>
    </w:p>
    <w:p w:rsidR="002E33A7" w:rsidP="00957C72" w:rsidRDefault="00C30985" w14:paraId="14F1515D" w14:textId="0DC9E4CA">
      <w:pPr>
        <w:pStyle w:val="Heading2"/>
      </w:pPr>
      <w:bookmarkStart w:name="_Toc220940225" w:id="109"/>
      <w:r>
        <w:t xml:space="preserve">Alignment with </w:t>
      </w:r>
      <w:r w:rsidR="0020511A">
        <w:t>Interconnection Pre-Application Reports</w:t>
      </w:r>
      <w:bookmarkEnd w:id="109"/>
    </w:p>
    <w:p w:rsidRPr="0021187D" w:rsidR="00D22F73" w:rsidP="00912824" w:rsidRDefault="00D22F73" w14:paraId="6AB5DFEA" w14:textId="2581815D">
      <w:pPr>
        <w:pStyle w:val="Standard"/>
      </w:pPr>
      <w:r>
        <w:t>The Commission has long encouraged the utilities to work toward streamlining and integrating the processes for load and generation customers.</w:t>
      </w:r>
      <w:r w:rsidRPr="004300FA">
        <w:rPr>
          <w:rStyle w:val="FootnoteReference"/>
        </w:rPr>
        <w:t xml:space="preserve"> </w:t>
      </w:r>
      <w:r>
        <w:rPr>
          <w:rStyle w:val="FootnoteReference"/>
        </w:rPr>
        <w:footnoteReference w:id="183"/>
      </w:r>
      <w:r>
        <w:rPr>
          <w:rStyle w:val="FootnoteReference"/>
        </w:rPr>
        <w:t xml:space="preserve"> </w:t>
      </w:r>
      <w:r>
        <w:t>We note that the generation interconnection process has established pre-application report that uses similar data and processes to arrive at a reports similar to the Standard Offer preapplication capacity assessment, but at a fraction of the customer cost.</w:t>
      </w:r>
      <w:r>
        <w:rPr>
          <w:rStyle w:val="FootnoteReference"/>
        </w:rPr>
        <w:footnoteReference w:id="184"/>
      </w:r>
      <w:r>
        <w:t xml:space="preserve"> We </w:t>
      </w:r>
      <w:r w:rsidR="004026BF">
        <w:t xml:space="preserve">direct </w:t>
      </w:r>
      <w:r>
        <w:t xml:space="preserve">PG&amp;E and SCE to review the interconnection process as they identify preliminary capacity assessment efficiencies and to continue work toward offering customers a streamlined application process for both load and generation. </w:t>
      </w:r>
      <w:r w:rsidR="0046388B">
        <w:t xml:space="preserve">We also require that PG&amp;E and SCE explain why there is a cost difference between these two processes as a part of the advice letter that establishes the Preliminary Capacity Assessment. </w:t>
      </w:r>
      <w:r>
        <w:t xml:space="preserve">   </w:t>
      </w:r>
    </w:p>
    <w:p w:rsidRPr="0010750D" w:rsidR="00674B19" w:rsidP="00957C72" w:rsidRDefault="00674B19" w14:paraId="470AE7BF" w14:textId="20B30271">
      <w:pPr>
        <w:pStyle w:val="Heading1"/>
      </w:pPr>
      <w:bookmarkStart w:name="_Toc220940226" w:id="110"/>
      <w:r>
        <w:t>Timeline Pause due to Upstream Capacity Constraint</w:t>
      </w:r>
      <w:bookmarkEnd w:id="110"/>
    </w:p>
    <w:p w:rsidR="00C83BCC" w:rsidP="00520808" w:rsidRDefault="00520808" w14:paraId="623659AC" w14:textId="5DD9DD08">
      <w:pPr>
        <w:pStyle w:val="Standard"/>
      </w:pPr>
      <w:r>
        <w:t xml:space="preserve">Ordering </w:t>
      </w:r>
      <w:r w:rsidR="0097794F">
        <w:t>P</w:t>
      </w:r>
      <w:r>
        <w:t>aragraph 4 of D.24-09-020, consistent with Section 8 of that decision, directed IOUs to pause the energization target timelines once a customer has been notified that their request has triggered an upstream capacity upgrade. CALSTART argues that this direction was based on an insufficiently developed record and asserts that this policy will undermine energization timelines generally.</w:t>
      </w:r>
      <w:r>
        <w:rPr>
          <w:rStyle w:val="FootnoteReference"/>
        </w:rPr>
        <w:footnoteReference w:id="185"/>
      </w:r>
      <w:r>
        <w:t xml:space="preserve">  CALSTART states that while upstream upgrades can </w:t>
      </w:r>
      <w:r>
        <w:lastRenderedPageBreak/>
        <w:t>necessitate pauses, a new business project can and should resume in parallel, to coincide and coordinate with the expected completion of the capacity upgrade.</w:t>
      </w:r>
      <w:r>
        <w:rPr>
          <w:rStyle w:val="FootnoteReference"/>
        </w:rPr>
        <w:footnoteReference w:id="186"/>
      </w:r>
      <w:r>
        <w:t xml:space="preserve"> Section eight of D.24-09-020, however, does not require the large electric IOUs to pause the target timelines. Instead, </w:t>
      </w:r>
      <w:r w:rsidR="000861C8">
        <w:t>S</w:t>
      </w:r>
      <w:r>
        <w:t xml:space="preserve">ection </w:t>
      </w:r>
      <w:r w:rsidR="000861C8">
        <w:t>8</w:t>
      </w:r>
      <w:r>
        <w:t xml:space="preserve"> authorizes the large IOUs to pause the target timelines. We </w:t>
      </w:r>
      <w:r w:rsidR="002D7B92">
        <w:t xml:space="preserve">acknowledge </w:t>
      </w:r>
      <w:r>
        <w:t xml:space="preserve">that </w:t>
      </w:r>
      <w:r w:rsidRPr="00297CF6" w:rsidR="00297CF6">
        <w:t xml:space="preserve">there may be circumstances warranting continued </w:t>
      </w:r>
      <w:r w:rsidRPr="00297CF6" w:rsidR="00A25F6D">
        <w:t>work,</w:t>
      </w:r>
      <w:r w:rsidRPr="00297CF6" w:rsidR="00297CF6">
        <w:t xml:space="preserve"> but the record is underdeveloped</w:t>
      </w:r>
      <w:r w:rsidR="00297CF6">
        <w:t xml:space="preserve"> and lacking </w:t>
      </w:r>
      <w:r w:rsidRPr="00297CF6" w:rsidR="00297CF6">
        <w:t>precise criteria at this time. This is a topic ripe for further exploration in this proceeding.</w:t>
      </w:r>
    </w:p>
    <w:p w:rsidRPr="008D3252" w:rsidR="00674B19" w:rsidP="00520808" w:rsidRDefault="002D7B92" w14:paraId="2A1FDAEF" w14:textId="629C5A8C">
      <w:pPr>
        <w:pStyle w:val="Standard"/>
      </w:pPr>
      <w:bookmarkStart w:name="_Hlk216443875" w:id="111"/>
      <w:r>
        <w:t>Under D.24-09-020, the</w:t>
      </w:r>
      <w:r w:rsidR="00ED1510">
        <w:t xml:space="preserve"> </w:t>
      </w:r>
      <w:r>
        <w:t>L</w:t>
      </w:r>
      <w:r w:rsidR="00ED1510">
        <w:t xml:space="preserve">arge IOUs </w:t>
      </w:r>
      <w:r>
        <w:t xml:space="preserve">have the </w:t>
      </w:r>
      <w:r w:rsidR="0077212F">
        <w:t xml:space="preserve">discretion to </w:t>
      </w:r>
      <w:r w:rsidR="00C83BCC">
        <w:t xml:space="preserve">pause the </w:t>
      </w:r>
      <w:r w:rsidR="00973280">
        <w:t xml:space="preserve">target </w:t>
      </w:r>
      <w:r w:rsidR="00C83BCC">
        <w:t>timelines</w:t>
      </w:r>
      <w:r w:rsidR="00B42BB3">
        <w:t xml:space="preserve"> when the circumstances </w:t>
      </w:r>
      <w:r w:rsidR="002C0C99">
        <w:t xml:space="preserve">do not </w:t>
      </w:r>
      <w:r w:rsidR="00B42BB3">
        <w:t>warrant continued downstream project work</w:t>
      </w:r>
      <w:bookmarkEnd w:id="111"/>
      <w:r w:rsidR="00520808">
        <w:t>.</w:t>
      </w:r>
      <w:r w:rsidR="00B42BB3">
        <w:t xml:space="preserve"> </w:t>
      </w:r>
      <w:r w:rsidR="00520808">
        <w:t>In making this c</w:t>
      </w:r>
      <w:r w:rsidR="00B42BB3">
        <w:t>larification</w:t>
      </w:r>
      <w:r w:rsidR="00520808">
        <w:t xml:space="preserve">, we encourage the large IOUs to only pause the energization timelines in cases where the upstream capacity upgrade is the limiting factor preventing the customer from prompt energization. </w:t>
      </w:r>
    </w:p>
    <w:p w:rsidR="00603238" w:rsidP="00957C72" w:rsidRDefault="00603238" w14:paraId="7FD710B4" w14:textId="77777777">
      <w:pPr>
        <w:pStyle w:val="Heading1"/>
      </w:pPr>
      <w:bookmarkStart w:name="_Toc220940227" w:id="112"/>
      <w:bookmarkStart w:name="_Toc8123721" w:id="113"/>
      <w:r>
        <w:t>Summary of Public Comment</w:t>
      </w:r>
      <w:bookmarkEnd w:id="112"/>
    </w:p>
    <w:p w:rsidRPr="00764E2B" w:rsidR="00603238" w:rsidP="00BE0CDB" w:rsidRDefault="00603238" w14:paraId="7EC07896" w14:textId="7B3CAA76">
      <w:pPr>
        <w:pStyle w:val="Standard"/>
        <w:rPr>
          <w:rFonts w:ascii="Calibri" w:hAnsi="Calibri"/>
          <w:sz w:val="22"/>
        </w:rPr>
      </w:pPr>
      <w:r w:rsidRPr="00764E2B">
        <w:t xml:space="preserve">Rule 1.18 </w:t>
      </w:r>
      <w:r w:rsidR="0034446D">
        <w:t xml:space="preserve">of the Commission’s Rules of Practice and Procedure (Rules) </w:t>
      </w:r>
      <w:r w:rsidRPr="00764E2B">
        <w:t>allows any member of the public to submit written comment in any Commission proceeding using the “Public Comment” tab of the online Docket Card for that proceeding on the Commission’s website</w:t>
      </w:r>
      <w:r w:rsidR="008054EB">
        <w:t xml:space="preserve">. </w:t>
      </w:r>
      <w:r w:rsidRPr="00764E2B">
        <w:t>Rule 1.18(b) requires that relevant written comment submitted in a proceeding be summarized in the final decision issued in that proceeding.</w:t>
      </w:r>
    </w:p>
    <w:p w:rsidRPr="00603238" w:rsidR="00603238" w:rsidP="00603238" w:rsidRDefault="00AE47A2" w14:paraId="38DF02CF" w14:textId="22F11FA9">
      <w:pPr>
        <w:pStyle w:val="Standard"/>
      </w:pPr>
      <w:r>
        <w:t xml:space="preserve">Public comment </w:t>
      </w:r>
      <w:r w:rsidR="006D21DF">
        <w:t>was filed prior to the Next Steps ruling</w:t>
      </w:r>
      <w:r w:rsidR="007432F6">
        <w:t xml:space="preserve">; it was not in response to </w:t>
      </w:r>
      <w:r w:rsidR="00A47997">
        <w:t>this effort</w:t>
      </w:r>
      <w:r w:rsidR="00CA4CEB">
        <w:t xml:space="preserve">. </w:t>
      </w:r>
      <w:r w:rsidR="00A47997">
        <w:t xml:space="preserve">Relevant themes from public comment include the need to </w:t>
      </w:r>
      <w:r w:rsidR="00DD1D9B">
        <w:t>include</w:t>
      </w:r>
      <w:r w:rsidR="00C27A28">
        <w:t xml:space="preserve"> </w:t>
      </w:r>
      <w:r w:rsidR="00C66364">
        <w:t xml:space="preserve">alternative </w:t>
      </w:r>
      <w:r w:rsidR="00C27A28">
        <w:t xml:space="preserve">energization solutions </w:t>
      </w:r>
      <w:r w:rsidR="00114803">
        <w:t xml:space="preserve">for situations where existing infrastructure is insufficient to meet energy demand </w:t>
      </w:r>
      <w:r w:rsidR="00FD7825">
        <w:t xml:space="preserve">for fleet applications, and </w:t>
      </w:r>
      <w:r w:rsidR="00FD7825">
        <w:lastRenderedPageBreak/>
        <w:t xml:space="preserve">the need to provide options that </w:t>
      </w:r>
      <w:r w:rsidR="005A4869">
        <w:t>allow projects to move forward without a comprehensive project submission.</w:t>
      </w:r>
    </w:p>
    <w:p w:rsidRPr="001E321F" w:rsidR="005939A5" w:rsidP="00957C72" w:rsidRDefault="005939A5" w14:paraId="4E886AFF" w14:textId="79A4E4C9">
      <w:pPr>
        <w:pStyle w:val="Heading1"/>
      </w:pPr>
      <w:bookmarkStart w:name="_Toc8123723" w:id="114"/>
      <w:bookmarkStart w:name="_Toc220940228" w:id="115"/>
      <w:bookmarkEnd w:id="113"/>
      <w:r w:rsidRPr="001E321F">
        <w:t>Comments on Proposed Decision</w:t>
      </w:r>
      <w:bookmarkEnd w:id="114"/>
      <w:bookmarkEnd w:id="115"/>
    </w:p>
    <w:p w:rsidR="005939A5" w:rsidP="005C58FA" w:rsidRDefault="005C58FA" w14:paraId="081B3078" w14:textId="7C5F7E18">
      <w:pPr>
        <w:pStyle w:val="Standard"/>
      </w:pPr>
      <w:r w:rsidRPr="001E321F">
        <w:t xml:space="preserve">The proposed decision of </w:t>
      </w:r>
      <w:r w:rsidRPr="001E321F" w:rsidR="001E321F">
        <w:t>President</w:t>
      </w:r>
      <w:r w:rsidRPr="001E321F">
        <w:t xml:space="preserve"> </w:t>
      </w:r>
      <w:r w:rsidRPr="001E321F" w:rsidR="00794944">
        <w:t>Alice Reynolds</w:t>
      </w:r>
      <w:r w:rsidRPr="001E321F">
        <w:t xml:space="preserve"> in this matter was mailed to the parties in accordance with Section 311 of the</w:t>
      </w:r>
      <w:r>
        <w:t xml:space="preserve"> Public Utilities Code and comments were allowed under Rule 14.3</w:t>
      </w:r>
      <w:r w:rsidR="00CA4CEB">
        <w:t xml:space="preserve">. </w:t>
      </w:r>
      <w:r>
        <w:t xml:space="preserve">Comments were filed </w:t>
      </w:r>
      <w:r w:rsidR="00710F1E">
        <w:t xml:space="preserve">by </w:t>
      </w:r>
      <w:r w:rsidR="00ED714B">
        <w:t xml:space="preserve">CALSTART, EDF, </w:t>
      </w:r>
      <w:r w:rsidR="00E9191A">
        <w:t>SDG&amp;E, TURN, IREC</w:t>
      </w:r>
      <w:r w:rsidRPr="00714E22" w:rsidR="00E9191A">
        <w:t xml:space="preserve">, </w:t>
      </w:r>
      <w:r w:rsidRPr="00714E22" w:rsidR="005D59ED">
        <w:t>Cal Advocates</w:t>
      </w:r>
      <w:r w:rsidR="005D59ED">
        <w:t xml:space="preserve">, CalCCA, SCE, </w:t>
      </w:r>
      <w:r w:rsidR="00777155">
        <w:t xml:space="preserve">Enphase, </w:t>
      </w:r>
      <w:r w:rsidR="00710F1E">
        <w:t xml:space="preserve">PG&amp;E, </w:t>
      </w:r>
      <w:r w:rsidRPr="00714E22" w:rsidR="00714E22">
        <w:t>Advanced Energy United(</w:t>
      </w:r>
      <w:r w:rsidRPr="00714E22" w:rsidR="00C925F4">
        <w:t>AEU</w:t>
      </w:r>
      <w:r w:rsidRPr="00714E22" w:rsidR="00714E22">
        <w:t>)</w:t>
      </w:r>
      <w:r w:rsidRPr="00714E22" w:rsidR="00C925F4">
        <w:t>,</w:t>
      </w:r>
      <w:r w:rsidR="00C925F4">
        <w:t xml:space="preserve"> </w:t>
      </w:r>
      <w:r w:rsidR="00777155">
        <w:t>Clean Coalition</w:t>
      </w:r>
      <w:r w:rsidR="003D7FD5">
        <w:t>, and Emerald AI</w:t>
      </w:r>
      <w:r w:rsidR="00AA22B0">
        <w:t xml:space="preserve"> </w:t>
      </w:r>
      <w:r>
        <w:t xml:space="preserve">on </w:t>
      </w:r>
      <w:r w:rsidR="00AA22B0">
        <w:t>January 16, 2026</w:t>
      </w:r>
      <w:r>
        <w:t xml:space="preserve">, and reply comments were filed on </w:t>
      </w:r>
      <w:r w:rsidR="00A45654">
        <w:t>January 23, 2026</w:t>
      </w:r>
      <w:r>
        <w:t xml:space="preserve"> by</w:t>
      </w:r>
      <w:r w:rsidRPr="00450547" w:rsidR="00450547">
        <w:t xml:space="preserve"> </w:t>
      </w:r>
      <w:r w:rsidR="00450547">
        <w:t>CALSTART, EDF, SDG&amp;E, TURN, IREC</w:t>
      </w:r>
      <w:r w:rsidRPr="00714E22" w:rsidR="00450547">
        <w:t xml:space="preserve">, </w:t>
      </w:r>
      <w:r w:rsidR="00450547">
        <w:t>SCE, Enphase, PG&amp;E, Clean Coalition, and Emerald AI</w:t>
      </w:r>
      <w:r>
        <w:t>.</w:t>
      </w:r>
    </w:p>
    <w:p w:rsidR="00574C42" w:rsidP="005C58FA" w:rsidRDefault="00206BF3" w14:paraId="7A203D9A" w14:textId="3E90CA5D">
      <w:pPr>
        <w:pStyle w:val="Standard"/>
      </w:pPr>
      <w:r w:rsidRPr="00206BF3">
        <w:t xml:space="preserve">Pursuant to Rules 14.3(c) and 14.3(d), comments are required to focus on factual, legal, or technical errors in the Proposed Decision or the comments of the other parties with specific references to the record or applicable law. Comments that failed to do so were accorded no weight. Parties provided helpful comments on a wide range of issues, and all comments were considered carefully. In response to comments, the Proposed Decision has been revised to correct errors, clarify the decision, </w:t>
      </w:r>
      <w:r w:rsidR="00980C01">
        <w:t xml:space="preserve">and </w:t>
      </w:r>
      <w:r w:rsidRPr="00206BF3">
        <w:t xml:space="preserve">maintain consistency. </w:t>
      </w:r>
    </w:p>
    <w:p w:rsidRPr="005A6C0D" w:rsidR="007E2D16" w:rsidP="000235F2" w:rsidRDefault="00206BF3" w14:paraId="4E3073D1" w14:textId="76754E22">
      <w:pPr>
        <w:pStyle w:val="Standard"/>
      </w:pPr>
      <w:r w:rsidRPr="005A6C0D">
        <w:t xml:space="preserve">In its Opening Comments, PG&amp;E </w:t>
      </w:r>
      <w:r w:rsidRPr="005A6C0D" w:rsidR="00CA29DD">
        <w:t>clarifies</w:t>
      </w:r>
      <w:r w:rsidRPr="005A6C0D" w:rsidR="006F1175">
        <w:t xml:space="preserve"> that the present enrollment in LLL</w:t>
      </w:r>
      <w:r w:rsidRPr="005A6C0D" w:rsidR="00C13CBE">
        <w:t xml:space="preserve"> reflects a small, carefully curated population whose outcomes cannot be extrapolated to</w:t>
      </w:r>
      <w:r w:rsidRPr="005A6C0D" w:rsidR="007B34C0">
        <w:t xml:space="preserve"> all customer types and grid conditions.</w:t>
      </w:r>
      <w:r w:rsidRPr="005A6C0D" w:rsidR="007B34C0">
        <w:rPr>
          <w:rStyle w:val="FootnoteReference"/>
        </w:rPr>
        <w:footnoteReference w:id="187"/>
      </w:r>
      <w:r w:rsidRPr="005A6C0D" w:rsidR="007D2D25">
        <w:t xml:space="preserve"> </w:t>
      </w:r>
      <w:r w:rsidRPr="005A6C0D" w:rsidR="0093615D">
        <w:t xml:space="preserve">PG&amp;E further articulates some of the </w:t>
      </w:r>
      <w:r w:rsidRPr="005A6C0D" w:rsidR="00962E4E">
        <w:t>customer characteristics</w:t>
      </w:r>
      <w:r w:rsidRPr="005A6C0D" w:rsidR="00CA1430">
        <w:t xml:space="preserve"> (e.g., ability to control load shape)</w:t>
      </w:r>
      <w:r w:rsidRPr="005A6C0D" w:rsidR="00024D38">
        <w:t xml:space="preserve"> use</w:t>
      </w:r>
      <w:r w:rsidRPr="005A6C0D" w:rsidR="008A3995">
        <w:t>d</w:t>
      </w:r>
      <w:r w:rsidRPr="005A6C0D" w:rsidR="0093615D">
        <w:t xml:space="preserve"> for weighing whether a FSC is appropriate.</w:t>
      </w:r>
      <w:r w:rsidRPr="005A6C0D" w:rsidR="0093615D">
        <w:rPr>
          <w:rStyle w:val="FootnoteReference"/>
        </w:rPr>
        <w:footnoteReference w:id="188"/>
      </w:r>
      <w:r w:rsidRPr="005A6C0D" w:rsidR="0093615D">
        <w:t xml:space="preserve"> Accordingly, we direct </w:t>
      </w:r>
      <w:r w:rsidRPr="005A6C0D" w:rsidR="0093615D">
        <w:lastRenderedPageBreak/>
        <w:t>PG&amp;E to clarif</w:t>
      </w:r>
      <w:r w:rsidRPr="00B62302" w:rsidR="00991DD8">
        <w:t>y</w:t>
      </w:r>
      <w:r w:rsidRPr="005A6C0D" w:rsidR="0093615D">
        <w:t xml:space="preserve"> both the </w:t>
      </w:r>
      <w:r w:rsidRPr="005A6C0D" w:rsidR="00BB5BA6">
        <w:t xml:space="preserve">full set of </w:t>
      </w:r>
      <w:r w:rsidRPr="005A6C0D" w:rsidR="003E7F7B">
        <w:t>characteristics</w:t>
      </w:r>
      <w:r w:rsidRPr="005A6C0D" w:rsidR="0093615D">
        <w:t xml:space="preserve"> and the </w:t>
      </w:r>
      <w:r w:rsidRPr="00B62302" w:rsidR="007F4E1E">
        <w:t xml:space="preserve">evaluation </w:t>
      </w:r>
      <w:r w:rsidRPr="005A6C0D" w:rsidR="0093615D">
        <w:t>criteria</w:t>
      </w:r>
      <w:r w:rsidRPr="005A6C0D" w:rsidR="00CA1430">
        <w:t xml:space="preserve"> (e.g., </w:t>
      </w:r>
      <w:r w:rsidRPr="005A6C0D" w:rsidR="002E0A7E">
        <w:t xml:space="preserve">load can be </w:t>
      </w:r>
      <w:r w:rsidRPr="005A6C0D" w:rsidR="009E5F86">
        <w:t>reduce</w:t>
      </w:r>
      <w:r w:rsidRPr="005A6C0D" w:rsidR="002E0A7E">
        <w:t>d sufficiently during high demand periods)</w:t>
      </w:r>
      <w:r w:rsidRPr="005A6C0D" w:rsidR="0093615D">
        <w:t xml:space="preserve"> that have allowed it to curate the LLL enrollment and achieve successful outcomes. We direct PG&amp;E and SCE to include, within the Implementation Advice Letter, </w:t>
      </w:r>
      <w:r w:rsidRPr="005A6C0D" w:rsidR="00024D38">
        <w:t xml:space="preserve">the </w:t>
      </w:r>
      <w:r w:rsidRPr="005A6C0D" w:rsidR="00C802BD">
        <w:t>characteristics</w:t>
      </w:r>
      <w:r w:rsidRPr="005A6C0D" w:rsidR="00150BE9">
        <w:t xml:space="preserve"> and associated criteria that they will use to </w:t>
      </w:r>
      <w:r w:rsidRPr="005A6C0D" w:rsidR="00C41EA5">
        <w:t xml:space="preserve">select Standard Offer participants that </w:t>
      </w:r>
      <w:r w:rsidRPr="005A6C0D" w:rsidR="008334D6">
        <w:t>can achieve safe outcomes within the “trust and verify” framework</w:t>
      </w:r>
      <w:r w:rsidRPr="005A6C0D" w:rsidR="0093615D">
        <w:t>.</w:t>
      </w:r>
      <w:r w:rsidRPr="005A6C0D" w:rsidR="00BA2228">
        <w:t xml:space="preserve"> </w:t>
      </w:r>
      <w:r w:rsidRPr="005A6C0D" w:rsidR="001C1A88">
        <w:t xml:space="preserve">We further clarify that </w:t>
      </w:r>
      <w:r w:rsidRPr="005A6C0D" w:rsidR="000E0FDE">
        <w:t xml:space="preserve">IOUs will retain discretion in </w:t>
      </w:r>
      <w:r w:rsidRPr="005A6C0D" w:rsidR="00A5078F">
        <w:t>determining which</w:t>
      </w:r>
      <w:r w:rsidRPr="005A6C0D" w:rsidR="000E0FDE">
        <w:t xml:space="preserve"> </w:t>
      </w:r>
      <w:r w:rsidRPr="005A6C0D" w:rsidR="007A1E16">
        <w:t xml:space="preserve">customers </w:t>
      </w:r>
      <w:r w:rsidRPr="005A6C0D" w:rsidR="00A5078F">
        <w:t xml:space="preserve">are appropriate candidates </w:t>
      </w:r>
      <w:r w:rsidRPr="005A6C0D" w:rsidR="00401C90">
        <w:t xml:space="preserve">(i.e. can achieve safe outcomes within the framework) </w:t>
      </w:r>
      <w:r w:rsidRPr="005A6C0D" w:rsidR="007A1E16">
        <w:t xml:space="preserve">for the Standard Offer </w:t>
      </w:r>
      <w:r w:rsidRPr="005A6C0D" w:rsidR="00401C90">
        <w:t xml:space="preserve">via </w:t>
      </w:r>
      <w:r w:rsidRPr="005A6C0D" w:rsidR="00A5078F">
        <w:t xml:space="preserve">application of </w:t>
      </w:r>
      <w:r w:rsidRPr="005A6C0D" w:rsidR="00A66C02">
        <w:t>the</w:t>
      </w:r>
      <w:r w:rsidRPr="005A6C0D" w:rsidR="00401C90">
        <w:t xml:space="preserve"> </w:t>
      </w:r>
      <w:r w:rsidRPr="00B62302" w:rsidR="00C8435E">
        <w:t>characteristics</w:t>
      </w:r>
      <w:r w:rsidRPr="005A6C0D" w:rsidR="00401C90">
        <w:t xml:space="preserve"> and criteria</w:t>
      </w:r>
      <w:r w:rsidRPr="005A6C0D" w:rsidR="00A66C02">
        <w:t xml:space="preserve"> articulated in their Implementation Advice Letter.</w:t>
      </w:r>
      <w:r w:rsidRPr="00B62302" w:rsidR="00382989">
        <w:t xml:space="preserve"> Th</w:t>
      </w:r>
      <w:r w:rsidRPr="00B62302" w:rsidR="00B677E4">
        <w:t xml:space="preserve">e IOU </w:t>
      </w:r>
      <w:r w:rsidRPr="00B62302" w:rsidR="00382989">
        <w:t>discretion</w:t>
      </w:r>
      <w:r w:rsidRPr="00B62302" w:rsidR="00B677E4">
        <w:t xml:space="preserve"> in selecting </w:t>
      </w:r>
      <w:r w:rsidRPr="00B62302" w:rsidR="005130EC">
        <w:t xml:space="preserve">appropriate </w:t>
      </w:r>
      <w:r w:rsidRPr="00B62302" w:rsidR="006F7DCD">
        <w:t>participants</w:t>
      </w:r>
      <w:r w:rsidRPr="00B62302" w:rsidR="005130EC">
        <w:t xml:space="preserve"> for</w:t>
      </w:r>
      <w:r w:rsidRPr="00B62302" w:rsidR="006F7DCD">
        <w:t xml:space="preserve"> the Standard Offer</w:t>
      </w:r>
      <w:r w:rsidRPr="00B62302" w:rsidR="005130EC">
        <w:t xml:space="preserve"> </w:t>
      </w:r>
      <w:r w:rsidRPr="00B62302" w:rsidR="00F353FD">
        <w:t xml:space="preserve">enables customers discretion to control site load in a manner of their choosing without </w:t>
      </w:r>
      <w:r w:rsidRPr="00B62302" w:rsidR="00487D7C">
        <w:t>requiring IOU commissioning.</w:t>
      </w:r>
    </w:p>
    <w:p w:rsidRPr="00B62302" w:rsidR="00702A69" w:rsidP="00702A69" w:rsidRDefault="00702A69" w14:paraId="616281F6" w14:textId="0D437274">
      <w:pPr>
        <w:pStyle w:val="Standard"/>
      </w:pPr>
      <w:r w:rsidRPr="00B62302">
        <w:t xml:space="preserve">In </w:t>
      </w:r>
      <w:r w:rsidRPr="00B62302" w:rsidR="00AA2D14">
        <w:t>O</w:t>
      </w:r>
      <w:r w:rsidRPr="00B62302">
        <w:t xml:space="preserve">pening </w:t>
      </w:r>
      <w:r w:rsidRPr="00B62302" w:rsidR="00AA2D14">
        <w:t>C</w:t>
      </w:r>
      <w:r w:rsidRPr="00B62302">
        <w:t>omments</w:t>
      </w:r>
      <w:r w:rsidRPr="00B62302" w:rsidR="00AA2D14">
        <w:t>,</w:t>
      </w:r>
      <w:r w:rsidRPr="00B62302">
        <w:t xml:space="preserve"> both PG&amp;E and SCE request that the Commission defer implementation timelines. This decision </w:t>
      </w:r>
      <w:r w:rsidRPr="00B62302" w:rsidR="00A34420">
        <w:t>directs</w:t>
      </w:r>
      <w:r w:rsidRPr="00B62302">
        <w:t xml:space="preserve"> the creation of the Standard Offer and the Preliminary Capacity Assessment processes as formalizations of existing IOU processes, clearly articulated changes to rule language, or reporting consistent with the LCMS pilot proposal.</w:t>
      </w:r>
      <w:r w:rsidRPr="00B62302">
        <w:rPr>
          <w:rStyle w:val="FootnoteReference"/>
        </w:rPr>
        <w:footnoteReference w:id="189"/>
      </w:r>
      <w:r w:rsidRPr="00B62302">
        <w:t xml:space="preserve">  As such, we </w:t>
      </w:r>
      <w:r w:rsidRPr="00B62302" w:rsidR="00A34420">
        <w:t xml:space="preserve">largely </w:t>
      </w:r>
      <w:r w:rsidRPr="00B62302">
        <w:t>decline to alter the timelines established herein.</w:t>
      </w:r>
      <w:r w:rsidRPr="00B62302" w:rsidR="00A34420">
        <w:t xml:space="preserve"> </w:t>
      </w:r>
      <w:r w:rsidRPr="00B62302" w:rsidR="00EA15D3">
        <w:t xml:space="preserve">We </w:t>
      </w:r>
      <w:r w:rsidRPr="00B62302" w:rsidR="00400FBD">
        <w:t xml:space="preserve">find merit, however, </w:t>
      </w:r>
      <w:r w:rsidRPr="00A25F6D" w:rsidR="00A25F6D">
        <w:t>in SCE’s</w:t>
      </w:r>
      <w:r w:rsidRPr="00B62302" w:rsidR="00D013F5">
        <w:t xml:space="preserve"> argument</w:t>
      </w:r>
      <w:r w:rsidRPr="00B62302" w:rsidR="009D039D">
        <w:rPr>
          <w:rStyle w:val="FootnoteReference"/>
        </w:rPr>
        <w:footnoteReference w:id="190"/>
      </w:r>
      <w:r w:rsidRPr="00B62302" w:rsidR="00D013F5">
        <w:t xml:space="preserve"> that the learnings from the </w:t>
      </w:r>
      <w:r w:rsidRPr="00B62302" w:rsidR="00EA15D3">
        <w:t>LCMS report</w:t>
      </w:r>
      <w:r w:rsidRPr="00B62302" w:rsidR="00D013F5">
        <w:t xml:space="preserve"> should inform the </w:t>
      </w:r>
      <w:r w:rsidRPr="00B62302" w:rsidR="009D039D">
        <w:t>I</w:t>
      </w:r>
      <w:r w:rsidRPr="00B62302" w:rsidR="00DE451A">
        <w:t>m</w:t>
      </w:r>
      <w:r w:rsidRPr="00B62302" w:rsidR="009D039D">
        <w:t>pl</w:t>
      </w:r>
      <w:r w:rsidRPr="00B62302" w:rsidR="00DE451A">
        <w:t>e</w:t>
      </w:r>
      <w:r w:rsidRPr="00B62302" w:rsidR="009D039D">
        <w:t>me</w:t>
      </w:r>
      <w:r w:rsidRPr="00B62302" w:rsidR="00DE451A">
        <w:t xml:space="preserve">ntation Advice </w:t>
      </w:r>
      <w:r w:rsidRPr="00B62302" w:rsidR="009D039D">
        <w:t>L</w:t>
      </w:r>
      <w:r w:rsidRPr="00B62302" w:rsidR="00DE451A">
        <w:t xml:space="preserve">etter. </w:t>
      </w:r>
      <w:r w:rsidRPr="00B62302" w:rsidR="009D039D">
        <w:t xml:space="preserve">Accordingly, we </w:t>
      </w:r>
      <w:r w:rsidRPr="00B62302" w:rsidR="000A6079">
        <w:t>change the time for the Implementation Advice letter from 30 days</w:t>
      </w:r>
      <w:r w:rsidRPr="00B62302" w:rsidR="00875285">
        <w:t xml:space="preserve"> after</w:t>
      </w:r>
      <w:r w:rsidRPr="00B62302" w:rsidR="000A6079">
        <w:t xml:space="preserve"> to 60 day</w:t>
      </w:r>
      <w:r w:rsidRPr="00B62302" w:rsidR="006B0EE5">
        <w:t xml:space="preserve">s </w:t>
      </w:r>
      <w:r w:rsidRPr="00B62302" w:rsidR="00875285">
        <w:t>after</w:t>
      </w:r>
      <w:r w:rsidRPr="00B62302" w:rsidR="006B0EE5">
        <w:t xml:space="preserve"> decision </w:t>
      </w:r>
      <w:r w:rsidRPr="00B62302" w:rsidR="00875285">
        <w:t>issuance</w:t>
      </w:r>
      <w:r w:rsidRPr="00B62302" w:rsidR="006B0EE5">
        <w:t xml:space="preserve">, the time for the Preliminary Capacity Assessment Advice letter from </w:t>
      </w:r>
      <w:r w:rsidRPr="00B62302" w:rsidR="001224FC">
        <w:t>45 day</w:t>
      </w:r>
      <w:r w:rsidRPr="00B62302" w:rsidR="00CD4BFF">
        <w:t>s after</w:t>
      </w:r>
      <w:r w:rsidRPr="00B62302" w:rsidR="001224FC">
        <w:t xml:space="preserve"> to 75 days </w:t>
      </w:r>
      <w:r w:rsidRPr="00B62302" w:rsidR="001224FC">
        <w:lastRenderedPageBreak/>
        <w:t xml:space="preserve">after the </w:t>
      </w:r>
      <w:r w:rsidRPr="00B62302" w:rsidR="00CD4BFF">
        <w:t>issuance</w:t>
      </w:r>
      <w:r w:rsidRPr="00B62302" w:rsidR="001224FC">
        <w:t xml:space="preserve"> of this decision, and the initial reporting of data from this decision from the September 30, </w:t>
      </w:r>
      <w:r w:rsidRPr="00B62302" w:rsidR="00D91BD9">
        <w:t>2026 filing to the March 3</w:t>
      </w:r>
      <w:r w:rsidR="008D0F89">
        <w:rPr>
          <w:highlight w:val="yellow"/>
        </w:rPr>
        <w:t>1</w:t>
      </w:r>
      <w:r w:rsidRPr="00B62302" w:rsidR="00D91BD9">
        <w:t>, 2027 filing.</w:t>
      </w:r>
      <w:r w:rsidRPr="00B62302" w:rsidR="00DE451A">
        <w:t xml:space="preserve"> </w:t>
      </w:r>
    </w:p>
    <w:p w:rsidRPr="005A6C0D" w:rsidR="009420F8" w:rsidP="005C58FA" w:rsidRDefault="009420F8" w14:paraId="2C73BC63" w14:textId="76937B7E">
      <w:pPr>
        <w:pStyle w:val="Standard"/>
      </w:pPr>
      <w:r w:rsidRPr="005A6C0D">
        <w:t xml:space="preserve">In Opening Comments, PG&amp;E </w:t>
      </w:r>
      <w:r w:rsidRPr="005A6C0D" w:rsidR="004E0609">
        <w:t xml:space="preserve">asserts that </w:t>
      </w:r>
      <w:r w:rsidRPr="005A6C0D" w:rsidR="009D6517">
        <w:t xml:space="preserve">establishing </w:t>
      </w:r>
      <w:r w:rsidRPr="005A6C0D" w:rsidR="004E0609">
        <w:t xml:space="preserve">three uniform seasons </w:t>
      </w:r>
      <w:r w:rsidRPr="005A6C0D" w:rsidR="009D6517">
        <w:t>across PG&amp;E’s territories is inconsistent with</w:t>
      </w:r>
      <w:r w:rsidRPr="005A6C0D" w:rsidR="00091F3D">
        <w:t xml:space="preserve"> operational re</w:t>
      </w:r>
      <w:r w:rsidRPr="005A6C0D" w:rsidR="004D186D">
        <w:t>alities</w:t>
      </w:r>
      <w:r w:rsidRPr="005A6C0D" w:rsidR="002773B7">
        <w:rPr>
          <w:rStyle w:val="FootnoteReference"/>
        </w:rPr>
        <w:footnoteReference w:id="191"/>
      </w:r>
      <w:r w:rsidRPr="005A6C0D" w:rsidR="002773B7">
        <w:t xml:space="preserve"> </w:t>
      </w:r>
      <w:r w:rsidRPr="005A6C0D" w:rsidR="00024BD3">
        <w:t xml:space="preserve"> </w:t>
      </w:r>
      <w:r w:rsidRPr="005A6C0D" w:rsidR="002773B7">
        <w:t xml:space="preserve">and IREC recommends that the utilities be given flexibility to </w:t>
      </w:r>
      <w:r w:rsidRPr="005A6C0D" w:rsidR="000140F1">
        <w:t>define seasons based upon a customer’s location</w:t>
      </w:r>
      <w:r w:rsidRPr="005A6C0D" w:rsidR="004D186D">
        <w:t>.</w:t>
      </w:r>
      <w:r w:rsidRPr="005A6C0D" w:rsidR="000140F1">
        <w:rPr>
          <w:rStyle w:val="FootnoteReference"/>
        </w:rPr>
        <w:footnoteReference w:id="192"/>
      </w:r>
      <w:r w:rsidRPr="005A6C0D" w:rsidR="004E0609">
        <w:t xml:space="preserve"> </w:t>
      </w:r>
      <w:r w:rsidRPr="00B62302" w:rsidR="00F53FFC">
        <w:t xml:space="preserve">Other parties assert that the IOUs should be allowed to issue a single value FSC </w:t>
      </w:r>
      <w:r w:rsidRPr="00B62302" w:rsidR="00A9549A">
        <w:t>in order to avoid customer confusion.</w:t>
      </w:r>
      <w:r w:rsidRPr="00B62302" w:rsidR="00A9549A">
        <w:rPr>
          <w:rStyle w:val="FootnoteReference"/>
        </w:rPr>
        <w:footnoteReference w:id="193"/>
      </w:r>
      <w:r w:rsidRPr="00B62302" w:rsidR="00A9549A">
        <w:t xml:space="preserve"> </w:t>
      </w:r>
      <w:r w:rsidRPr="005A6C0D" w:rsidR="00A0015E">
        <w:t xml:space="preserve">We clarify that the requirement to establish </w:t>
      </w:r>
      <w:r w:rsidRPr="005A6C0D" w:rsidR="001D6586">
        <w:t xml:space="preserve">standard seasons </w:t>
      </w:r>
      <w:r w:rsidRPr="005A6C0D" w:rsidR="00C61465">
        <w:t xml:space="preserve">for the Standard Offer does not prevent the IOUs </w:t>
      </w:r>
      <w:r w:rsidRPr="005A6C0D" w:rsidR="009C285D">
        <w:t>from</w:t>
      </w:r>
      <w:r w:rsidRPr="005A6C0D" w:rsidR="00C61465">
        <w:t xml:space="preserve"> modify</w:t>
      </w:r>
      <w:r w:rsidRPr="005A6C0D" w:rsidR="00B55276">
        <w:t>ing</w:t>
      </w:r>
      <w:r w:rsidRPr="005A6C0D" w:rsidR="00C61465">
        <w:t xml:space="preserve"> the</w:t>
      </w:r>
      <w:r w:rsidRPr="005A6C0D" w:rsidR="00735538">
        <w:t xml:space="preserve"> </w:t>
      </w:r>
      <w:r w:rsidRPr="005A6C0D" w:rsidR="00C61465">
        <w:t>se</w:t>
      </w:r>
      <w:r w:rsidRPr="005A6C0D" w:rsidR="00FB077F">
        <w:t>ason’s</w:t>
      </w:r>
      <w:r w:rsidRPr="005A6C0D" w:rsidR="00C61465">
        <w:t xml:space="preserve"> dates if </w:t>
      </w:r>
      <w:r w:rsidRPr="005A6C0D" w:rsidR="00325263">
        <w:t xml:space="preserve">a customer’s constraints require different dates, </w:t>
      </w:r>
      <w:r w:rsidRPr="005A6C0D" w:rsidR="00113AD5">
        <w:t xml:space="preserve">clarify that the IOUs can provide a less granular profile at the customer’s request, and </w:t>
      </w:r>
      <w:r w:rsidRPr="005A6C0D" w:rsidR="00325263">
        <w:t xml:space="preserve">reiterate that the IOUs are </w:t>
      </w:r>
      <w:r w:rsidRPr="005A6C0D" w:rsidR="00490620">
        <w:t xml:space="preserve">free to provide a </w:t>
      </w:r>
      <w:r w:rsidRPr="005A6C0D" w:rsidR="00C66513">
        <w:t>higher</w:t>
      </w:r>
      <w:r w:rsidRPr="005A6C0D" w:rsidR="00490620">
        <w:t xml:space="preserve"> granularity than the bare minimum if site or grid conditions justify </w:t>
      </w:r>
      <w:r w:rsidRPr="005A6C0D" w:rsidR="00C66513">
        <w:t>it</w:t>
      </w:r>
      <w:r w:rsidRPr="005A6C0D" w:rsidR="00880E30">
        <w:t>.</w:t>
      </w:r>
      <w:r w:rsidRPr="005A6C0D" w:rsidR="004E0609">
        <w:t xml:space="preserve"> </w:t>
      </w:r>
    </w:p>
    <w:p w:rsidRPr="005A6C0D" w:rsidR="00E22C16" w:rsidP="005C58FA" w:rsidRDefault="004D3ECA" w14:paraId="1BFEB6A2" w14:textId="0FB0337F">
      <w:pPr>
        <w:pStyle w:val="Standard"/>
      </w:pPr>
      <w:r w:rsidRPr="005A6C0D">
        <w:t xml:space="preserve">In its Opening Comments, PG&amp;E </w:t>
      </w:r>
      <w:r w:rsidRPr="005A6C0D" w:rsidR="00A84D2E">
        <w:t>opposes the Preliminary Capacity Assessment as drafted due to (1) overlap with</w:t>
      </w:r>
      <w:r w:rsidRPr="005A6C0D" w:rsidR="002607EA">
        <w:t xml:space="preserve"> the ACE</w:t>
      </w:r>
      <w:r w:rsidRPr="005A6C0D" w:rsidR="00A84D2E">
        <w:t xml:space="preserve"> </w:t>
      </w:r>
      <w:r w:rsidRPr="005A6C0D" w:rsidR="00F1460E">
        <w:t xml:space="preserve">automation </w:t>
      </w:r>
      <w:r w:rsidRPr="005A6C0D" w:rsidR="002607EA">
        <w:t xml:space="preserve">initiative </w:t>
      </w:r>
      <w:r w:rsidRPr="005A6C0D" w:rsidR="00880E30">
        <w:t xml:space="preserve">currently </w:t>
      </w:r>
      <w:r w:rsidRPr="005A6C0D" w:rsidR="00F1460E">
        <w:t xml:space="preserve">underway and (2) duplication of </w:t>
      </w:r>
      <w:r w:rsidRPr="005A6C0D" w:rsidR="00363620">
        <w:t xml:space="preserve">application intake data collection and </w:t>
      </w:r>
      <w:r w:rsidRPr="005A6C0D" w:rsidR="00C91302">
        <w:t>validation</w:t>
      </w:r>
      <w:r w:rsidRPr="005A6C0D" w:rsidR="00B9672E">
        <w:t xml:space="preserve">. </w:t>
      </w:r>
      <w:r w:rsidRPr="005A6C0D" w:rsidR="00C91302">
        <w:t xml:space="preserve">We </w:t>
      </w:r>
      <w:r w:rsidRPr="005A6C0D" w:rsidR="00FB7B43">
        <w:t>note</w:t>
      </w:r>
      <w:r w:rsidRPr="005A6C0D" w:rsidR="00C91302">
        <w:t xml:space="preserve"> that there is not sufficient record to evaluate the alignment between the </w:t>
      </w:r>
      <w:r w:rsidRPr="005A6C0D" w:rsidR="00122618">
        <w:t>ACE</w:t>
      </w:r>
      <w:r w:rsidRPr="005A6C0D" w:rsidR="00882A29">
        <w:t xml:space="preserve"> and the PCA</w:t>
      </w:r>
      <w:r w:rsidRPr="00B62302" w:rsidR="0035454C">
        <w:t xml:space="preserve"> and provide a p</w:t>
      </w:r>
      <w:r w:rsidRPr="00B62302" w:rsidR="00844E31">
        <w:t xml:space="preserve">athway for </w:t>
      </w:r>
      <w:r w:rsidRPr="00B62302" w:rsidR="00DD1D9A">
        <w:t xml:space="preserve">providing this information and </w:t>
      </w:r>
      <w:r w:rsidRPr="00B62302" w:rsidR="00844E31">
        <w:t>transitioning to</w:t>
      </w:r>
      <w:r w:rsidRPr="00B62302" w:rsidR="00DD1D9A">
        <w:t xml:space="preserve"> the ACE if it can prov</w:t>
      </w:r>
      <w:r w:rsidRPr="00B62302" w:rsidR="00EA54DD">
        <w:t>ide equivalent or greater functionality</w:t>
      </w:r>
      <w:r w:rsidRPr="005A6C0D" w:rsidR="0024095F">
        <w:t xml:space="preserve">. Further, </w:t>
      </w:r>
      <w:r w:rsidRPr="005A6C0D" w:rsidR="00882A29">
        <w:t xml:space="preserve">the level of </w:t>
      </w:r>
      <w:r w:rsidRPr="005A6C0D" w:rsidR="001979D9">
        <w:t xml:space="preserve">IOU </w:t>
      </w:r>
      <w:r w:rsidRPr="005A6C0D" w:rsidR="00882A29">
        <w:t xml:space="preserve">diligence </w:t>
      </w:r>
      <w:r w:rsidRPr="00B62302" w:rsidR="0035454C">
        <w:t>appropriate</w:t>
      </w:r>
      <w:r w:rsidRPr="005A6C0D" w:rsidR="00882A29">
        <w:t xml:space="preserve"> </w:t>
      </w:r>
      <w:r w:rsidRPr="00B62302" w:rsidR="0035454C">
        <w:t>to provide</w:t>
      </w:r>
      <w:r w:rsidRPr="005A6C0D" w:rsidR="00882A29">
        <w:t xml:space="preserve"> a PCA differs from that required for </w:t>
      </w:r>
      <w:r w:rsidRPr="00B62302" w:rsidR="0035454C">
        <w:t xml:space="preserve">processing </w:t>
      </w:r>
      <w:r w:rsidRPr="005A6C0D" w:rsidR="00882A29">
        <w:t xml:space="preserve">a bona fide application. </w:t>
      </w:r>
    </w:p>
    <w:p w:rsidRPr="005A6C0D" w:rsidR="004D3ECA" w:rsidP="005C58FA" w:rsidRDefault="00882A29" w14:paraId="1CBDF3C4" w14:textId="513BD02D">
      <w:pPr>
        <w:pStyle w:val="Standard"/>
      </w:pPr>
      <w:r w:rsidRPr="005A6C0D">
        <w:lastRenderedPageBreak/>
        <w:t>Accordingly, we</w:t>
      </w:r>
      <w:r w:rsidRPr="005A6C0D" w:rsidR="007455DD">
        <w:t xml:space="preserve"> clarify that the IOU is not responsible for </w:t>
      </w:r>
      <w:r w:rsidRPr="005A6C0D" w:rsidR="0024095F">
        <w:t>confirming</w:t>
      </w:r>
      <w:r w:rsidRPr="005A6C0D" w:rsidR="001226A7">
        <w:t xml:space="preserve"> information provided by the customer in the PCA process; </w:t>
      </w:r>
      <w:r w:rsidRPr="005A6C0D" w:rsidR="0093128C">
        <w:t>the IOU’s</w:t>
      </w:r>
      <w:r w:rsidRPr="005A6C0D" w:rsidR="001226A7">
        <w:t xml:space="preserve"> role is to process the customer provided information and assess the </w:t>
      </w:r>
      <w:r w:rsidRPr="005A6C0D" w:rsidR="00C64F27">
        <w:t xml:space="preserve">currently available </w:t>
      </w:r>
      <w:r w:rsidRPr="005A6C0D" w:rsidR="001226A7">
        <w:t xml:space="preserve">capacity that would be available at that </w:t>
      </w:r>
      <w:r w:rsidRPr="005A6C0D" w:rsidR="00C64F27">
        <w:t>point on the grid</w:t>
      </w:r>
      <w:r w:rsidRPr="005A6C0D" w:rsidR="001226A7">
        <w:t xml:space="preserve"> </w:t>
      </w:r>
      <w:r w:rsidRPr="005A6C0D" w:rsidR="008A6B02">
        <w:t>based upon</w:t>
      </w:r>
      <w:r w:rsidRPr="005A6C0D" w:rsidR="001226A7">
        <w:t xml:space="preserve"> available information.</w:t>
      </w:r>
    </w:p>
    <w:p w:rsidRPr="005A6C0D" w:rsidR="00D36332" w:rsidP="00D36332" w:rsidRDefault="00FA2BE8" w14:paraId="06BF3D9F" w14:textId="5689D9C2">
      <w:pPr>
        <w:pStyle w:val="Standard"/>
      </w:pPr>
      <w:r w:rsidRPr="005A6C0D">
        <w:t xml:space="preserve">In </w:t>
      </w:r>
      <w:r w:rsidR="00856E72">
        <w:t>O</w:t>
      </w:r>
      <w:r w:rsidRPr="005A6C0D">
        <w:t xml:space="preserve">pening </w:t>
      </w:r>
      <w:r w:rsidR="00D61998">
        <w:t>C</w:t>
      </w:r>
      <w:r w:rsidRPr="005A6C0D">
        <w:t xml:space="preserve">omments, </w:t>
      </w:r>
      <w:r w:rsidRPr="00B62302" w:rsidR="00D36332">
        <w:t>PG&amp;E</w:t>
      </w:r>
      <w:r w:rsidRPr="005A6C0D">
        <w:t xml:space="preserve"> requests memorandum account tr</w:t>
      </w:r>
      <w:r w:rsidRPr="005A6C0D" w:rsidR="00364FEB">
        <w:t>acking</w:t>
      </w:r>
      <w:r w:rsidRPr="005A6C0D" w:rsidR="0024721D">
        <w:t xml:space="preserve"> for </w:t>
      </w:r>
      <w:r w:rsidRPr="005A6C0D" w:rsidR="00E710B9">
        <w:t xml:space="preserve">costs associated with </w:t>
      </w:r>
      <w:r w:rsidRPr="005A6C0D" w:rsidR="00A40165">
        <w:t xml:space="preserve">establishing and administering </w:t>
      </w:r>
      <w:r w:rsidRPr="005A6C0D" w:rsidR="00E710B9">
        <w:t>the</w:t>
      </w:r>
      <w:r w:rsidRPr="00B62302" w:rsidR="00D36332">
        <w:t xml:space="preserve"> </w:t>
      </w:r>
      <w:r w:rsidRPr="00B62302" w:rsidR="009F3524">
        <w:t>Standard Offer</w:t>
      </w:r>
      <w:r w:rsidRPr="005A6C0D" w:rsidR="00E710B9">
        <w:t>.</w:t>
      </w:r>
      <w:r w:rsidRPr="005A6C0D" w:rsidR="00E710B9">
        <w:rPr>
          <w:rStyle w:val="FootnoteReference"/>
        </w:rPr>
        <w:footnoteReference w:id="194"/>
      </w:r>
      <w:r w:rsidRPr="005A6C0D" w:rsidR="00452188">
        <w:t xml:space="preserve"> </w:t>
      </w:r>
      <w:r w:rsidRPr="005A6C0D" w:rsidR="00952D0F">
        <w:t xml:space="preserve">The </w:t>
      </w:r>
      <w:r w:rsidRPr="005A6C0D" w:rsidR="002D6845">
        <w:t xml:space="preserve">Standard Offer is </w:t>
      </w:r>
      <w:r w:rsidRPr="005A6C0D" w:rsidR="009F17E4">
        <w:t>largely a formalization of the LLL process.</w:t>
      </w:r>
      <w:r w:rsidRPr="005A6C0D" w:rsidR="00363762">
        <w:t xml:space="preserve"> E</w:t>
      </w:r>
      <w:r w:rsidRPr="005A6C0D" w:rsidR="003B3722">
        <w:t>DF</w:t>
      </w:r>
      <w:r w:rsidRPr="005A6C0D" w:rsidR="00487B42">
        <w:t xml:space="preserve"> ha</w:t>
      </w:r>
      <w:r w:rsidRPr="005A6C0D" w:rsidR="009A22C2">
        <w:t>s</w:t>
      </w:r>
      <w:r w:rsidRPr="005A6C0D" w:rsidR="00487B42">
        <w:t xml:space="preserve"> established</w:t>
      </w:r>
      <w:r w:rsidRPr="00B62302" w:rsidR="005F7731">
        <w:rPr>
          <w:rStyle w:val="FootnoteReference"/>
        </w:rPr>
        <w:footnoteReference w:id="195"/>
      </w:r>
      <w:r w:rsidRPr="005A6C0D" w:rsidR="00487B42">
        <w:t xml:space="preserve"> that PG&amp;E considers the </w:t>
      </w:r>
      <w:r w:rsidRPr="005A6C0D" w:rsidR="00D1586E">
        <w:t>cost ass</w:t>
      </w:r>
      <w:r w:rsidRPr="005A6C0D" w:rsidR="00452188">
        <w:t xml:space="preserve">ociated with the </w:t>
      </w:r>
      <w:r w:rsidRPr="005A6C0D" w:rsidR="00487B42">
        <w:t>continued use of LLL a</w:t>
      </w:r>
      <w:r w:rsidRPr="005A6C0D" w:rsidR="00452188">
        <w:t>s</w:t>
      </w:r>
      <w:r w:rsidRPr="005A6C0D" w:rsidR="00487B42">
        <w:t xml:space="preserve"> negligible</w:t>
      </w:r>
      <w:r w:rsidRPr="00B62302" w:rsidR="00174A00">
        <w:t xml:space="preserve">, and this agrees with PG&amp;E’s own </w:t>
      </w:r>
      <w:r w:rsidRPr="00B62302" w:rsidR="00711311">
        <w:t>assessment</w:t>
      </w:r>
      <w:r w:rsidRPr="00B62302" w:rsidR="00174A00">
        <w:t xml:space="preserve"> </w:t>
      </w:r>
      <w:r w:rsidRPr="00B62302" w:rsidR="00711311">
        <w:t>that these solutions have no or low cost.</w:t>
      </w:r>
      <w:r w:rsidRPr="00B62302" w:rsidR="00711311">
        <w:rPr>
          <w:rStyle w:val="FootnoteReference"/>
        </w:rPr>
        <w:footnoteReference w:id="196"/>
      </w:r>
      <w:r w:rsidRPr="005A6C0D" w:rsidR="00487B42">
        <w:t xml:space="preserve">  Accordingly, we do not </w:t>
      </w:r>
      <w:r w:rsidRPr="005A6C0D" w:rsidR="003E06A9">
        <w:t xml:space="preserve">provide authorization to record </w:t>
      </w:r>
      <w:r w:rsidRPr="00B62302" w:rsidR="00711311">
        <w:t>Standard Offer</w:t>
      </w:r>
      <w:r w:rsidRPr="005A6C0D" w:rsidR="003E06A9">
        <w:t xml:space="preserve"> costs within </w:t>
      </w:r>
      <w:r w:rsidRPr="005A6C0D" w:rsidR="003F528D">
        <w:t>memorandum accounts</w:t>
      </w:r>
      <w:r w:rsidRPr="005A6C0D" w:rsidR="003E06A9">
        <w:t>.</w:t>
      </w:r>
      <w:r w:rsidRPr="005A6C0D" w:rsidR="00D36332">
        <w:t xml:space="preserve"> </w:t>
      </w:r>
    </w:p>
    <w:p w:rsidR="00FA2BE8" w:rsidP="00CE18D6" w:rsidRDefault="00D36332" w14:paraId="7526B986" w14:textId="2B3A7362">
      <w:pPr>
        <w:pStyle w:val="Standard"/>
      </w:pPr>
      <w:r w:rsidRPr="005A6C0D">
        <w:t>In Opening Comments, PG&amp;E notes that utility discretion on whether to allow more than one customer to share unallocated capacity sho</w:t>
      </w:r>
      <w:r>
        <w:t>uld be retained, and that it is prepared to participate in a robust effort to develop procedures and safeguards that allow for such capacity sharing.</w:t>
      </w:r>
      <w:r>
        <w:rPr>
          <w:rStyle w:val="FootnoteReference"/>
        </w:rPr>
        <w:footnoteReference w:id="197"/>
      </w:r>
      <w:r>
        <w:t xml:space="preserve">  We clarify that whether to consider more than one customer for unallocated capacity as discussed in </w:t>
      </w:r>
      <w:r w:rsidR="001D28C5">
        <w:t>S</w:t>
      </w:r>
      <w:r>
        <w:t>ections 5.10.2-5.10.4 is at the IOU’s discretion and that the Commission’s Energy Division is authorized to lead an effort to develop safeguards and procedures</w:t>
      </w:r>
      <w:r w:rsidR="00D83080">
        <w:t xml:space="preserve"> </w:t>
      </w:r>
      <w:r w:rsidR="004D7B9F">
        <w:t>that allow for sharing of unallocated capacity</w:t>
      </w:r>
      <w:r>
        <w:t>.</w:t>
      </w:r>
    </w:p>
    <w:p w:rsidRPr="00B62302" w:rsidR="0021273B" w:rsidP="0021273B" w:rsidRDefault="0021273B" w14:paraId="23FB1A7D" w14:textId="6F8A889B">
      <w:pPr>
        <w:pStyle w:val="Standard"/>
      </w:pPr>
      <w:r w:rsidRPr="00B62302">
        <w:t xml:space="preserve">In Opening Comments, the Large IOUs request clarity that the Standard Offer will be provided as a Commission </w:t>
      </w:r>
      <w:r w:rsidRPr="00B62302" w:rsidR="00DF747B">
        <w:t>a</w:t>
      </w:r>
      <w:r w:rsidRPr="00B62302">
        <w:t>pproved form</w:t>
      </w:r>
      <w:r w:rsidRPr="00B62302" w:rsidR="00A74BB0">
        <w:t xml:space="preserve"> </w:t>
      </w:r>
      <w:r w:rsidRPr="00B62302">
        <w:t xml:space="preserve">that sets out the </w:t>
      </w:r>
      <w:r w:rsidRPr="00B62302">
        <w:lastRenderedPageBreak/>
        <w:t>agreement between the IOU and the customer</w:t>
      </w:r>
      <w:r w:rsidRPr="00B62302" w:rsidR="00EE4E28">
        <w:t>, rather than a tariff</w:t>
      </w:r>
      <w:r w:rsidRPr="00B62302">
        <w:t>. We provide</w:t>
      </w:r>
      <w:r w:rsidRPr="00B62302" w:rsidR="00EE4E28">
        <w:t xml:space="preserve"> the definition of a </w:t>
      </w:r>
      <w:r w:rsidRPr="00B62302" w:rsidR="00CC253A">
        <w:t>tariff, clarify that the Standard Offer will be provided</w:t>
      </w:r>
      <w:r w:rsidRPr="00B62302" w:rsidR="00867C71">
        <w:t xml:space="preserve"> via a Standard Form Agreement and </w:t>
      </w:r>
      <w:r w:rsidR="00C14911">
        <w:t xml:space="preserve">in so doing, be placed within a </w:t>
      </w:r>
      <w:r w:rsidR="00067996">
        <w:t>Commission approved tariff</w:t>
      </w:r>
      <w:r w:rsidRPr="00B62302" w:rsidR="00867C71">
        <w:t>, and provide</w:t>
      </w:r>
      <w:r w:rsidRPr="00B62302">
        <w:t xml:space="preserve"> this clarity throughout.</w:t>
      </w:r>
      <w:r w:rsidR="00166730">
        <w:t xml:space="preserve"> The Form Agreement should be adaptable as the IOUs learn more in implementation. Utilities may work in consultation with Energy Division to update the Standard Form Agreement via Tier 2 Advice Letters as necessary.</w:t>
      </w:r>
    </w:p>
    <w:p w:rsidRPr="005A6C0D" w:rsidR="001B6C7A" w:rsidP="005C58FA" w:rsidRDefault="001B6C7A" w14:paraId="2CFDAD66" w14:textId="6AE595AB">
      <w:pPr>
        <w:pStyle w:val="Standard"/>
      </w:pPr>
      <w:r>
        <w:t>In Opening Comments</w:t>
      </w:r>
      <w:r w:rsidR="00851AF1">
        <w:t xml:space="preserve">, </w:t>
      </w:r>
      <w:r w:rsidR="004712E4">
        <w:t xml:space="preserve">both </w:t>
      </w:r>
      <w:r w:rsidR="00851AF1">
        <w:t>PG&amp;E</w:t>
      </w:r>
      <w:r w:rsidR="004712E4">
        <w:rPr>
          <w:rStyle w:val="FootnoteReference"/>
        </w:rPr>
        <w:footnoteReference w:id="198"/>
      </w:r>
      <w:r w:rsidR="004712E4">
        <w:t xml:space="preserve"> and SCE</w:t>
      </w:r>
      <w:r w:rsidR="004712E4">
        <w:rPr>
          <w:rStyle w:val="FootnoteReference"/>
        </w:rPr>
        <w:footnoteReference w:id="199"/>
      </w:r>
      <w:r w:rsidR="00851AF1">
        <w:t xml:space="preserve"> express concern with </w:t>
      </w:r>
      <w:r w:rsidR="006B2172">
        <w:t>PCA reporting requirements and recommend developing a reporting</w:t>
      </w:r>
      <w:r w:rsidR="00D408BA">
        <w:t xml:space="preserve"> structure </w:t>
      </w:r>
      <w:r w:rsidR="00313DBC">
        <w:t>for Step 0 that is independent from the reporting associated with Steps 1-</w:t>
      </w:r>
      <w:r w:rsidR="00881CEA">
        <w:t>8.</w:t>
      </w:r>
      <w:r w:rsidR="00C10224">
        <w:t xml:space="preserve"> While we decline to </w:t>
      </w:r>
      <w:r w:rsidR="002B03FD">
        <w:t xml:space="preserve">direct a dedicated reporting structure </w:t>
      </w:r>
      <w:r w:rsidR="009E2915">
        <w:t xml:space="preserve">for Step 0, we clarify that the Commission’s Energy Division shall have </w:t>
      </w:r>
      <w:r w:rsidR="002C1E4E">
        <w:t>the discretion to</w:t>
      </w:r>
      <w:r w:rsidR="007B55A5">
        <w:t xml:space="preserve"> direct the IOUs in the</w:t>
      </w:r>
      <w:r w:rsidR="002C1E4E">
        <w:t xml:space="preserve"> </w:t>
      </w:r>
      <w:r w:rsidR="00344FEB">
        <w:t>estab</w:t>
      </w:r>
      <w:r w:rsidR="009A78D4">
        <w:t>lish</w:t>
      </w:r>
      <w:r w:rsidR="007B55A5">
        <w:t>ment</w:t>
      </w:r>
      <w:r w:rsidR="009A78D4">
        <w:t xml:space="preserve"> and </w:t>
      </w:r>
      <w:r w:rsidR="002C1E4E">
        <w:t>modif</w:t>
      </w:r>
      <w:r w:rsidR="007B55A5">
        <w:t>ication of</w:t>
      </w:r>
      <w:r w:rsidR="002C1E4E">
        <w:t xml:space="preserve"> the reportable</w:t>
      </w:r>
      <w:r w:rsidR="009A78D4">
        <w:t xml:space="preserve"> data</w:t>
      </w:r>
      <w:r w:rsidR="0045425D">
        <w:t xml:space="preserve"> </w:t>
      </w:r>
      <w:r w:rsidR="001D28C5">
        <w:t>fields</w:t>
      </w:r>
      <w:r w:rsidR="0021723A">
        <w:t>.</w:t>
      </w:r>
      <w:r w:rsidR="004B767D">
        <w:t xml:space="preserve"> </w:t>
      </w:r>
      <w:r w:rsidR="00D40245">
        <w:t>To</w:t>
      </w:r>
      <w:r w:rsidR="00991325">
        <w:t xml:space="preserve"> </w:t>
      </w:r>
      <w:r w:rsidR="007A535A">
        <w:t xml:space="preserve">allow for full discussion of required fields and </w:t>
      </w:r>
      <w:r w:rsidR="00B8696C">
        <w:t xml:space="preserve">in consideration of the time required to deploy </w:t>
      </w:r>
      <w:r w:rsidR="00B63CF0">
        <w:t>a new customer-facing interface,</w:t>
      </w:r>
      <w:r w:rsidR="00DE0651">
        <w:rPr>
          <w:rStyle w:val="FootnoteReference"/>
        </w:rPr>
        <w:footnoteReference w:id="200"/>
      </w:r>
      <w:r w:rsidR="00B63CF0">
        <w:t xml:space="preserve"> we modify the initial reporting date for PCA </w:t>
      </w:r>
      <w:r w:rsidRPr="00C321E1" w:rsidR="00B63CF0">
        <w:t>data</w:t>
      </w:r>
      <w:r w:rsidRPr="00C321E1" w:rsidR="00DE0651">
        <w:t xml:space="preserve"> </w:t>
      </w:r>
      <w:r w:rsidRPr="005A6C0D" w:rsidR="00DE0651">
        <w:t>to March</w:t>
      </w:r>
      <w:r w:rsidRPr="00B62302" w:rsidR="0023035A">
        <w:t xml:space="preserve"> 3</w:t>
      </w:r>
      <w:r w:rsidRPr="00B62302" w:rsidR="00C321E1">
        <w:t>1</w:t>
      </w:r>
      <w:r w:rsidRPr="00B62302" w:rsidR="0023035A">
        <w:t>,</w:t>
      </w:r>
      <w:r w:rsidRPr="005A6C0D" w:rsidR="00DE0651">
        <w:t xml:space="preserve"> 2027</w:t>
      </w:r>
      <w:r w:rsidRPr="005A6C0D" w:rsidR="000C3210">
        <w:t>.</w:t>
      </w:r>
    </w:p>
    <w:p w:rsidRPr="00C84C24" w:rsidR="00CA5258" w:rsidP="005C58FA" w:rsidRDefault="00CA5258" w14:paraId="1692EBF1" w14:textId="5615848B">
      <w:pPr>
        <w:pStyle w:val="Standard"/>
      </w:pPr>
      <w:r w:rsidRPr="005A6C0D">
        <w:t xml:space="preserve">In Opening Comments, both PG&amp;E and SCE </w:t>
      </w:r>
      <w:r w:rsidRPr="005A6C0D" w:rsidR="006878C4">
        <w:t>advocate for IOU discretion to apply more conservative assumptions or additional safeguards</w:t>
      </w:r>
      <w:r w:rsidRPr="00B62302" w:rsidR="00272F3D">
        <w:t xml:space="preserve"> within the Standard Offer</w:t>
      </w:r>
      <w:r w:rsidRPr="005A6C0D" w:rsidR="006878C4">
        <w:t>.</w:t>
      </w:r>
      <w:r w:rsidRPr="005A6C0D" w:rsidR="00816B34">
        <w:t xml:space="preserve"> W</w:t>
      </w:r>
      <w:r w:rsidRPr="00B62302" w:rsidR="005F7A18">
        <w:t>ith respect to more conservative assumptions, we reiterate that</w:t>
      </w:r>
      <w:r w:rsidRPr="005A6C0D" w:rsidR="00816B34">
        <w:t xml:space="preserve"> </w:t>
      </w:r>
      <w:r w:rsidRPr="00B62302" w:rsidR="00D97115">
        <w:t>except for nontariff or detariffed service, or a deviation, authorized by statute or Commission order, a utility shall serve its California customers only at rates and under conditions contained in its tariffs then in effect</w:t>
      </w:r>
      <w:r w:rsidR="00D54B7C">
        <w:t>,</w:t>
      </w:r>
      <w:r w:rsidRPr="00B62302" w:rsidR="00CE7B38">
        <w:rPr>
          <w:rStyle w:val="FootnoteReference"/>
        </w:rPr>
        <w:footnoteReference w:id="201"/>
      </w:r>
      <w:r w:rsidR="00D54B7C">
        <w:t xml:space="preserve"> and clarify that </w:t>
      </w:r>
      <w:r w:rsidR="008402FE">
        <w:t>more</w:t>
      </w:r>
      <w:r w:rsidR="00D54B7C">
        <w:t xml:space="preserve"> </w:t>
      </w:r>
      <w:r w:rsidR="00636A88">
        <w:lastRenderedPageBreak/>
        <w:t xml:space="preserve">conservative </w:t>
      </w:r>
      <w:r w:rsidR="00D54B7C">
        <w:t xml:space="preserve">assumptions and the </w:t>
      </w:r>
      <w:r w:rsidR="008402FE">
        <w:t>rational</w:t>
      </w:r>
      <w:r w:rsidR="00636A88">
        <w:t>e</w:t>
      </w:r>
      <w:r w:rsidR="00D54B7C">
        <w:t xml:space="preserve"> for</w:t>
      </w:r>
      <w:r w:rsidR="008402FE">
        <w:t xml:space="preserve"> requiring</w:t>
      </w:r>
      <w:r w:rsidR="00D54B7C">
        <w:t xml:space="preserve"> them can be proposed to the Commission as a deviation.</w:t>
      </w:r>
      <w:r w:rsidRPr="00B62302" w:rsidR="00D97115">
        <w:t xml:space="preserve"> W</w:t>
      </w:r>
      <w:r w:rsidR="00AF019A">
        <w:t xml:space="preserve">ith respect to </w:t>
      </w:r>
      <w:r w:rsidR="002C3611">
        <w:t>additional safeguards, w</w:t>
      </w:r>
      <w:r w:rsidRPr="00B62302" w:rsidR="00F608D7">
        <w:t xml:space="preserve">e </w:t>
      </w:r>
      <w:r w:rsidRPr="005A6C0D" w:rsidR="00816B34">
        <w:t xml:space="preserve">clarify the IOU discretion </w:t>
      </w:r>
      <w:r w:rsidRPr="00B62302" w:rsidR="00483064">
        <w:t xml:space="preserve">to apply additional safeguards </w:t>
      </w:r>
      <w:r w:rsidRPr="005A6C0D" w:rsidR="00816B34">
        <w:t xml:space="preserve">is retained under exceptional cases and subject to </w:t>
      </w:r>
      <w:r w:rsidRPr="005A6C0D" w:rsidR="00613A3D">
        <w:t>documentation requirements.</w:t>
      </w:r>
      <w:r w:rsidRPr="005A6C0D" w:rsidR="00483064">
        <w:t xml:space="preserve">  PG</w:t>
      </w:r>
      <w:r w:rsidRPr="00C84C24" w:rsidR="00483064">
        <w:t xml:space="preserve">&amp;E is directed, within the </w:t>
      </w:r>
      <w:r w:rsidRPr="00C84C24" w:rsidR="008B7E29">
        <w:t xml:space="preserve">Implementation Advice Letter, to quantify the number of LLL </w:t>
      </w:r>
      <w:r w:rsidRPr="00C84C24" w:rsidR="00A0205D">
        <w:t xml:space="preserve">sites </w:t>
      </w:r>
      <w:r w:rsidRPr="00C84C24" w:rsidR="00F95EEA">
        <w:t xml:space="preserve">to date </w:t>
      </w:r>
      <w:r w:rsidRPr="00C84C24" w:rsidR="00A0205D">
        <w:t>that have required additional safeguards</w:t>
      </w:r>
      <w:r w:rsidRPr="00C84C24" w:rsidR="00450165">
        <w:t xml:space="preserve"> and to describe, with specificity, </w:t>
      </w:r>
      <w:r w:rsidRPr="00C84C24" w:rsidR="00B96E14">
        <w:t xml:space="preserve">the conditions that necessitated </w:t>
      </w:r>
      <w:r w:rsidRPr="00C84C24" w:rsidR="0042467F">
        <w:t>t</w:t>
      </w:r>
      <w:r w:rsidRPr="00C84C24" w:rsidR="00FC4B55">
        <w:t>hose safeguards.</w:t>
      </w:r>
    </w:p>
    <w:p w:rsidRPr="00C84C24" w:rsidR="00FC2649" w:rsidP="005C58FA" w:rsidRDefault="00FC2649" w14:paraId="298AF6C1" w14:textId="654A0602">
      <w:pPr>
        <w:pStyle w:val="Standard"/>
      </w:pPr>
      <w:r w:rsidRPr="00C84C24">
        <w:t xml:space="preserve">In Opening Comments, SCE </w:t>
      </w:r>
      <w:r w:rsidRPr="00C84C24" w:rsidR="00E6036D">
        <w:t xml:space="preserve">requests that </w:t>
      </w:r>
      <w:r w:rsidRPr="00C84C24" w:rsidR="00313142">
        <w:t xml:space="preserve">the LCMS process be allowed to continue to serve customers on an interim basis until </w:t>
      </w:r>
      <w:r w:rsidRPr="00C84C24" w:rsidR="007D6C3C">
        <w:t>the Commission approves the Standard Offer.</w:t>
      </w:r>
      <w:r w:rsidRPr="00C84C24" w:rsidR="000B2D6D">
        <w:rPr>
          <w:rStyle w:val="FootnoteReference"/>
        </w:rPr>
        <w:footnoteReference w:id="202"/>
      </w:r>
      <w:r w:rsidRPr="00C84C24" w:rsidR="007D6C3C">
        <w:t xml:space="preserve"> We clarify that SCE is authorized to </w:t>
      </w:r>
      <w:r w:rsidRPr="00C84C24" w:rsidR="0052552C">
        <w:t>continue to serve</w:t>
      </w:r>
      <w:r w:rsidRPr="00C84C24" w:rsidR="009B65F2">
        <w:t xml:space="preserve"> </w:t>
      </w:r>
      <w:r w:rsidRPr="00C84C24" w:rsidR="00950F34">
        <w:t xml:space="preserve">the </w:t>
      </w:r>
      <w:r w:rsidRPr="00C84C24" w:rsidR="00A00B93">
        <w:t xml:space="preserve">specified </w:t>
      </w:r>
      <w:r w:rsidRPr="00C84C24" w:rsidR="009B65F2">
        <w:t>existing</w:t>
      </w:r>
      <w:r w:rsidRPr="00C84C24" w:rsidR="0052552C">
        <w:t xml:space="preserve"> LCMS customers </w:t>
      </w:r>
      <w:r w:rsidRPr="00C84C24" w:rsidR="000235F2">
        <w:t xml:space="preserve">under the terms of that pilot </w:t>
      </w:r>
      <w:r w:rsidRPr="00C84C24" w:rsidR="00FE2B2F">
        <w:t>until</w:t>
      </w:r>
      <w:r w:rsidRPr="00C84C24" w:rsidR="009B65F2">
        <w:t xml:space="preserve"> such time as</w:t>
      </w:r>
      <w:r w:rsidRPr="00C84C24" w:rsidR="00FE2B2F">
        <w:t xml:space="preserve"> the </w:t>
      </w:r>
      <w:r w:rsidRPr="00B62302" w:rsidR="00A00B93">
        <w:t>Implementation Advice Letter</w:t>
      </w:r>
      <w:r w:rsidRPr="00C84C24" w:rsidR="00D30E61">
        <w:t xml:space="preserve"> is approved.</w:t>
      </w:r>
    </w:p>
    <w:p w:rsidR="00D61998" w:rsidP="005C58FA" w:rsidRDefault="00D61998" w14:paraId="3A4C76D5" w14:textId="79C1ED64">
      <w:pPr>
        <w:pStyle w:val="Standard"/>
      </w:pPr>
      <w:r>
        <w:t>Multiple parties</w:t>
      </w:r>
      <w:r w:rsidR="007C0886">
        <w:rPr>
          <w:rStyle w:val="FootnoteReference"/>
        </w:rPr>
        <w:footnoteReference w:id="203"/>
      </w:r>
      <w:r>
        <w:t xml:space="preserve"> </w:t>
      </w:r>
      <w:r w:rsidR="00CB51C3">
        <w:t xml:space="preserve">advocate for </w:t>
      </w:r>
      <w:r w:rsidR="00FE3C2E">
        <w:t xml:space="preserve">the IOUs to evaluate </w:t>
      </w:r>
      <w:r w:rsidR="00BD6811">
        <w:t xml:space="preserve">cost efficiency </w:t>
      </w:r>
      <w:r w:rsidR="00B37B90">
        <w:t>of the Standard Offer as a whole rather than on per project basis</w:t>
      </w:r>
      <w:r w:rsidR="007622F7">
        <w:t xml:space="preserve">; we clarify that while data collection and retention is on a per project basis, </w:t>
      </w:r>
      <w:r w:rsidR="007B0342">
        <w:t xml:space="preserve">ratepayer benefits are a guiding principle and </w:t>
      </w:r>
      <w:r w:rsidR="007622F7">
        <w:t>cost efficiency should be</w:t>
      </w:r>
      <w:r w:rsidR="007B0342">
        <w:t xml:space="preserve"> assessed across all </w:t>
      </w:r>
      <w:r w:rsidR="00637E15">
        <w:t>Standard Offer participants and does not need to be computed on a per project basis.</w:t>
      </w:r>
      <w:r w:rsidR="007622F7">
        <w:t xml:space="preserve"> </w:t>
      </w:r>
    </w:p>
    <w:p w:rsidR="00856E72" w:rsidP="005C58FA" w:rsidRDefault="00950F34" w14:paraId="03AE612C" w14:textId="5605DF18">
      <w:pPr>
        <w:pStyle w:val="Standard"/>
      </w:pPr>
      <w:r w:rsidRPr="00C84C24">
        <w:t>Multiple parties</w:t>
      </w:r>
      <w:r w:rsidRPr="00C84C24">
        <w:rPr>
          <w:rStyle w:val="FootnoteReference"/>
        </w:rPr>
        <w:footnoteReference w:id="204"/>
      </w:r>
      <w:r w:rsidRPr="00C84C24">
        <w:t xml:space="preserve"> advocate for language changes in Rule 2; we amend the language accordingly</w:t>
      </w:r>
      <w:r w:rsidRPr="00B62302">
        <w:t>.</w:t>
      </w:r>
      <w:r w:rsidRPr="00B62302" w:rsidR="00C84C24">
        <w:t xml:space="preserve"> </w:t>
      </w:r>
    </w:p>
    <w:p w:rsidRPr="00B62302" w:rsidR="00E17B27" w:rsidP="005C58FA" w:rsidRDefault="00C84C24" w14:paraId="619C1988" w14:textId="7406EB65">
      <w:pPr>
        <w:pStyle w:val="Standard"/>
      </w:pPr>
      <w:r w:rsidRPr="00B62302">
        <w:lastRenderedPageBreak/>
        <w:t>Multiple parties</w:t>
      </w:r>
      <w:r w:rsidRPr="00B62302">
        <w:rPr>
          <w:rStyle w:val="FootnoteReference"/>
        </w:rPr>
        <w:footnoteReference w:id="205"/>
      </w:r>
      <w:r w:rsidRPr="00B62302">
        <w:t xml:space="preserve"> advocate for greater information with respect to normal and emergency ratings of distribution electric equipment; we direct its inclusion in the Implementation </w:t>
      </w:r>
      <w:r w:rsidR="007B5BC3">
        <w:t>A</w:t>
      </w:r>
      <w:r w:rsidRPr="00B62302">
        <w:t xml:space="preserve">dvice </w:t>
      </w:r>
      <w:r w:rsidR="007B5BC3">
        <w:t>L</w:t>
      </w:r>
      <w:r w:rsidRPr="00B62302">
        <w:t>etter.</w:t>
      </w:r>
    </w:p>
    <w:p w:rsidR="005939A5" w:rsidP="00957C72" w:rsidRDefault="005939A5" w14:paraId="161F1628" w14:textId="77777777">
      <w:pPr>
        <w:pStyle w:val="Heading1"/>
      </w:pPr>
      <w:bookmarkStart w:name="_Toc220313419" w:id="116"/>
      <w:bookmarkStart w:name="_Toc220416690" w:id="117"/>
      <w:bookmarkStart w:name="_Toc8123724" w:id="118"/>
      <w:bookmarkStart w:name="_Toc220940229" w:id="119"/>
      <w:bookmarkEnd w:id="116"/>
      <w:bookmarkEnd w:id="117"/>
      <w:r>
        <w:t>Assignment of Proceeding</w:t>
      </w:r>
      <w:bookmarkEnd w:id="118"/>
      <w:bookmarkEnd w:id="119"/>
    </w:p>
    <w:p w:rsidR="005939A5" w:rsidP="006E6574" w:rsidRDefault="006C448E" w14:paraId="41A1B69A" w14:textId="03129A88">
      <w:pPr>
        <w:pStyle w:val="Standard"/>
      </w:pPr>
      <w:r>
        <w:t>Alice Reynolds</w:t>
      </w:r>
      <w:r w:rsidR="005939A5">
        <w:t xml:space="preserve"> is the assigned Commissioner and </w:t>
      </w:r>
      <w:r w:rsidR="00836AD3">
        <w:t xml:space="preserve">Justin Regnier and </w:t>
      </w:r>
      <w:r w:rsidR="008E487C">
        <w:t>Andrew Dugowson</w:t>
      </w:r>
      <w:r w:rsidR="00836AD3">
        <w:t xml:space="preserve"> are</w:t>
      </w:r>
      <w:r w:rsidR="005939A5">
        <w:t xml:space="preserve"> the assigned Administrative Law Judge</w:t>
      </w:r>
      <w:r w:rsidR="00836AD3">
        <w:t>s</w:t>
      </w:r>
      <w:r w:rsidR="005939A5">
        <w:t xml:space="preserve"> in this proceeding.</w:t>
      </w:r>
    </w:p>
    <w:p w:rsidR="005939A5" w:rsidP="005939A5" w:rsidRDefault="005939A5" w14:paraId="73E70304" w14:textId="77777777">
      <w:pPr>
        <w:pStyle w:val="Dummy"/>
      </w:pPr>
      <w:bookmarkStart w:name="_Toc8123725" w:id="120"/>
      <w:bookmarkStart w:name="_Toc220940230" w:id="121"/>
      <w:r>
        <w:t>Findings of Fact</w:t>
      </w:r>
      <w:bookmarkEnd w:id="120"/>
      <w:bookmarkEnd w:id="121"/>
    </w:p>
    <w:p w:rsidR="00BE0CBA" w:rsidP="00753D64" w:rsidRDefault="00B26907" w14:paraId="2E31E345" w14:textId="744C86A0">
      <w:pPr>
        <w:pStyle w:val="FoF"/>
      </w:pPr>
      <w:r w:rsidRPr="00F94A69">
        <w:t xml:space="preserve">All responding parties </w:t>
      </w:r>
      <w:r w:rsidRPr="00F94A69" w:rsidR="00B768AA">
        <w:t xml:space="preserve">support </w:t>
      </w:r>
      <w:r w:rsidR="00BE0CBA">
        <w:t>establishing Standard Offer FSCs</w:t>
      </w:r>
      <w:r w:rsidRPr="008B0C3F" w:rsidR="00BE0CBA">
        <w:t xml:space="preserve"> </w:t>
      </w:r>
      <w:r w:rsidR="00BE0CBA">
        <w:t>delivering firm capacity</w:t>
      </w:r>
      <w:r w:rsidRPr="00CE5100" w:rsidR="00BE0CBA">
        <w:t xml:space="preserve"> </w:t>
      </w:r>
      <w:r w:rsidR="00BE0CBA">
        <w:t xml:space="preserve">in the near-term </w:t>
      </w:r>
      <w:r w:rsidRPr="00CE5100" w:rsidR="00BE0CBA">
        <w:t xml:space="preserve">to </w:t>
      </w:r>
      <w:r w:rsidR="00BE0CBA">
        <w:t>expedite</w:t>
      </w:r>
      <w:r w:rsidRPr="00CE5100" w:rsidR="00BE0CBA">
        <w:t xml:space="preserve"> energization </w:t>
      </w:r>
      <w:r w:rsidR="00BE0CBA">
        <w:t>when there are</w:t>
      </w:r>
      <w:r w:rsidRPr="00CE5100" w:rsidR="00BE0CBA">
        <w:t xml:space="preserve"> </w:t>
      </w:r>
      <w:r w:rsidR="00BE0CBA">
        <w:t>distribution</w:t>
      </w:r>
      <w:r w:rsidRPr="00CE5100" w:rsidR="00BE0CBA">
        <w:t xml:space="preserve"> capacity </w:t>
      </w:r>
      <w:r w:rsidR="00BE0CBA">
        <w:t>const</w:t>
      </w:r>
      <w:r w:rsidRPr="0032674E" w:rsidR="00BE0CBA">
        <w:t>raints</w:t>
      </w:r>
      <w:r w:rsidR="00BE0CBA">
        <w:t>.</w:t>
      </w:r>
    </w:p>
    <w:p w:rsidR="00707594" w:rsidP="00707594" w:rsidRDefault="00707594" w14:paraId="7AD0E2D9" w14:textId="3EF4E143">
      <w:pPr>
        <w:pStyle w:val="FoF"/>
      </w:pPr>
      <w:r w:rsidRPr="003D0FAD">
        <w:t xml:space="preserve">Customers from both PG&amp;E and SCE have experienced upstream distribution capacity constraints. </w:t>
      </w:r>
      <w:r>
        <w:t xml:space="preserve"> </w:t>
      </w:r>
    </w:p>
    <w:p w:rsidRPr="00F94A69" w:rsidR="00B768AA" w:rsidP="00E568EB" w:rsidRDefault="00E568EB" w14:paraId="37461EA8" w14:textId="3AA2BAC4">
      <w:pPr>
        <w:pStyle w:val="FoF"/>
      </w:pPr>
      <w:r>
        <w:t>SDG&amp;E and PacifiCorp customers</w:t>
      </w:r>
      <w:r w:rsidRPr="00C32FED">
        <w:t xml:space="preserve"> </w:t>
      </w:r>
      <w:r w:rsidRPr="00403D66">
        <w:t>are likely to encounter upstream</w:t>
      </w:r>
      <w:r>
        <w:t xml:space="preserve"> distribution</w:t>
      </w:r>
      <w:r w:rsidRPr="00403D66">
        <w:t xml:space="preserve"> capacity constraints</w:t>
      </w:r>
      <w:r>
        <w:t xml:space="preserve"> in the future.</w:t>
      </w:r>
    </w:p>
    <w:p w:rsidRPr="00F94A69" w:rsidR="006F4F4B" w:rsidP="00F94A69" w:rsidRDefault="00570B03" w14:paraId="160E683D" w14:textId="5DFCD814">
      <w:pPr>
        <w:pStyle w:val="FoF"/>
      </w:pPr>
      <w:r w:rsidRPr="00F94A69">
        <w:t>Both PG&amp;E and SCE have offered FSCs as an alternate pathway within energization Step 2.</w:t>
      </w:r>
    </w:p>
    <w:p w:rsidRPr="00F94A69" w:rsidR="00AF6EA4" w:rsidP="00F94A69" w:rsidRDefault="00AC2DC4" w14:paraId="14E97510" w14:textId="4F6F2945">
      <w:pPr>
        <w:pStyle w:val="FoF"/>
      </w:pPr>
      <w:r w:rsidRPr="00F94A69">
        <w:t xml:space="preserve">There are no directly transferable policy frameworks from other jurisdictions that can be used as a model for the Standard Offer </w:t>
      </w:r>
      <w:r w:rsidR="00864AB0">
        <w:t>FSC.</w:t>
      </w:r>
    </w:p>
    <w:p w:rsidRPr="00F94A69" w:rsidR="00970ADC" w:rsidP="00F94A69" w:rsidRDefault="00AF6EA4" w14:paraId="6C5D1F49" w14:textId="33BABE0F">
      <w:pPr>
        <w:pStyle w:val="FoF"/>
      </w:pPr>
      <w:r w:rsidRPr="00F94A69">
        <w:t xml:space="preserve">All </w:t>
      </w:r>
      <w:r w:rsidRPr="00F94A69" w:rsidR="008C6382">
        <w:t xml:space="preserve">currently offered </w:t>
      </w:r>
      <w:r w:rsidRPr="00F94A69" w:rsidR="00C9759F">
        <w:t>California FSCs</w:t>
      </w:r>
      <w:r w:rsidRPr="00F94A69" w:rsidR="008C6382">
        <w:t xml:space="preserve"> are bridging solutions </w:t>
      </w:r>
      <w:r w:rsidRPr="00F94A69" w:rsidR="00970ADC">
        <w:t>restricted to a single customer encountering a capacity constraint.</w:t>
      </w:r>
    </w:p>
    <w:p w:rsidRPr="00F94A69" w:rsidR="001516EA" w:rsidP="00F94A69" w:rsidRDefault="001C0001" w14:paraId="1103D5ED" w14:textId="0618C3A1">
      <w:pPr>
        <w:pStyle w:val="FoF"/>
      </w:pPr>
      <w:r w:rsidRPr="00F94A69">
        <w:t xml:space="preserve">PG&amp;E has </w:t>
      </w:r>
      <w:r w:rsidRPr="00F94A69" w:rsidR="001516EA">
        <w:t>issued</w:t>
      </w:r>
      <w:r w:rsidRPr="00F94A69">
        <w:t xml:space="preserve"> L</w:t>
      </w:r>
      <w:r w:rsidRPr="00F94A69" w:rsidR="00872433">
        <w:t>LL</w:t>
      </w:r>
      <w:r w:rsidR="00864AB0">
        <w:t>s</w:t>
      </w:r>
      <w:r w:rsidRPr="00F94A69" w:rsidR="00872433">
        <w:t xml:space="preserve"> as a non</w:t>
      </w:r>
      <w:r w:rsidR="008054EB">
        <w:noBreakHyphen/>
      </w:r>
      <w:r w:rsidRPr="00F94A69" w:rsidR="00872433">
        <w:t xml:space="preserve">tariffed </w:t>
      </w:r>
      <w:r w:rsidRPr="00F94A69" w:rsidR="001A7351">
        <w:t xml:space="preserve">FSC </w:t>
      </w:r>
      <w:r w:rsidRPr="00F94A69" w:rsidR="00872433">
        <w:t>option to over 100</w:t>
      </w:r>
      <w:r w:rsidR="008E487C">
        <w:t> </w:t>
      </w:r>
      <w:r w:rsidRPr="00F94A69" w:rsidR="00872433">
        <w:t xml:space="preserve">customers since </w:t>
      </w:r>
      <w:r w:rsidR="00864AB0">
        <w:t xml:space="preserve">July of </w:t>
      </w:r>
      <w:r w:rsidRPr="00F94A69" w:rsidR="00872433">
        <w:t>2023</w:t>
      </w:r>
      <w:r w:rsidRPr="00F94A69" w:rsidR="001516EA">
        <w:t>.</w:t>
      </w:r>
    </w:p>
    <w:p w:rsidRPr="00F94A69" w:rsidR="009D3FF7" w:rsidP="00F94A69" w:rsidRDefault="0032011E" w14:paraId="0920F47F" w14:textId="0020F6D1">
      <w:pPr>
        <w:pStyle w:val="FoF"/>
      </w:pPr>
      <w:r>
        <w:lastRenderedPageBreak/>
        <w:t xml:space="preserve">PG&amp;E’s LLLs for FSCs have </w:t>
      </w:r>
      <w:r w:rsidRPr="00F94A69" w:rsidR="009D3FF7">
        <w:t>average duration</w:t>
      </w:r>
      <w:r w:rsidR="009B3F1B">
        <w:t xml:space="preserve"> of approximately</w:t>
      </w:r>
      <w:r w:rsidRPr="00F94A69" w:rsidR="004C0BE5">
        <w:t xml:space="preserve"> </w:t>
      </w:r>
      <w:r w:rsidRPr="00F94A69" w:rsidR="00834F5C">
        <w:t>three</w:t>
      </w:r>
      <w:r w:rsidR="008E487C">
        <w:t> </w:t>
      </w:r>
      <w:r w:rsidRPr="00F94A69" w:rsidR="00834F5C">
        <w:t>years.</w:t>
      </w:r>
    </w:p>
    <w:p w:rsidRPr="00F94A69" w:rsidR="00AF6EA4" w:rsidP="00F94A69" w:rsidRDefault="001A48C5" w14:paraId="718BD863" w14:textId="22233958">
      <w:pPr>
        <w:pStyle w:val="FoF"/>
      </w:pPr>
      <w:r w:rsidRPr="00F94A69">
        <w:t xml:space="preserve">Nearly all </w:t>
      </w:r>
      <w:r w:rsidRPr="00F94A69" w:rsidR="002232A3">
        <w:t>capacity</w:t>
      </w:r>
      <w:r w:rsidRPr="00F94A69">
        <w:t xml:space="preserve"> upgrades</w:t>
      </w:r>
      <w:r w:rsidRPr="00F94A69" w:rsidR="002232A3">
        <w:t xml:space="preserve"> for known</w:t>
      </w:r>
      <w:r w:rsidR="008B436A">
        <w:t xml:space="preserve"> PG&amp;E</w:t>
      </w:r>
      <w:r w:rsidRPr="00F94A69" w:rsidR="002232A3">
        <w:t xml:space="preserve"> LLL customers</w:t>
      </w:r>
      <w:r w:rsidRPr="00F94A69">
        <w:t xml:space="preserve"> will be completed prior to 2029</w:t>
      </w:r>
      <w:r w:rsidRPr="00F94A69" w:rsidR="002232A3">
        <w:t>.</w:t>
      </w:r>
    </w:p>
    <w:p w:rsidRPr="00F94A69" w:rsidR="00AF6EA4" w:rsidP="00F94A69" w:rsidRDefault="00C10B89" w14:paraId="644FD103" w14:textId="7A875D0B">
      <w:pPr>
        <w:pStyle w:val="FoF"/>
      </w:pPr>
      <w:r w:rsidRPr="00F94A69">
        <w:t xml:space="preserve">SCE </w:t>
      </w:r>
      <w:r w:rsidR="00416947">
        <w:t>enrolled</w:t>
      </w:r>
      <w:r w:rsidR="00E03636">
        <w:t xml:space="preserve"> eight customers</w:t>
      </w:r>
      <w:r w:rsidR="00E90F7F">
        <w:t xml:space="preserve"> within</w:t>
      </w:r>
      <w:r w:rsidRPr="00F94A69" w:rsidR="001A7351">
        <w:t xml:space="preserve"> the</w:t>
      </w:r>
      <w:r w:rsidRPr="00F94A69" w:rsidR="00E47CCA">
        <w:t xml:space="preserve"> LCMS</w:t>
      </w:r>
      <w:r w:rsidRPr="00F94A69" w:rsidR="002D6932">
        <w:t xml:space="preserve"> pilot </w:t>
      </w:r>
      <w:r w:rsidRPr="00F94A69" w:rsidR="00E47CCA">
        <w:t xml:space="preserve">between </w:t>
      </w:r>
      <w:r w:rsidR="00E90F7F">
        <w:t>December</w:t>
      </w:r>
      <w:r w:rsidRPr="00F94A69" w:rsidR="00512E6E">
        <w:t xml:space="preserve"> </w:t>
      </w:r>
      <w:r w:rsidRPr="00F94A69" w:rsidR="00E47CCA">
        <w:t>202</w:t>
      </w:r>
      <w:r w:rsidRPr="00F94A69" w:rsidR="002232A3">
        <w:t>3</w:t>
      </w:r>
      <w:r w:rsidRPr="00F94A69" w:rsidR="002D6932">
        <w:t xml:space="preserve"> and 2025</w:t>
      </w:r>
      <w:r w:rsidRPr="00F94A69" w:rsidR="002232A3">
        <w:t>.</w:t>
      </w:r>
    </w:p>
    <w:p w:rsidRPr="00F94A69" w:rsidR="00AF6EA4" w:rsidP="00F94A69" w:rsidRDefault="003D7418" w14:paraId="1E37AAB7" w14:textId="10D0C5C3">
      <w:pPr>
        <w:pStyle w:val="FoF"/>
      </w:pPr>
      <w:r w:rsidRPr="00F94A69">
        <w:t xml:space="preserve">Static FSCs are a viable solution for customers whose IOU </w:t>
      </w:r>
      <w:r w:rsidRPr="00F94A69" w:rsidR="009372C2">
        <w:t xml:space="preserve">cannot meet their requested </w:t>
      </w:r>
      <w:r w:rsidRPr="00F94A69" w:rsidR="00D30651">
        <w:t>timeline</w:t>
      </w:r>
      <w:r w:rsidRPr="00F94A69" w:rsidR="00402665">
        <w:t xml:space="preserve"> due to an electrical capacity constraint.</w:t>
      </w:r>
    </w:p>
    <w:p w:rsidRPr="00F94A69" w:rsidR="005C352F" w:rsidP="00F94A69" w:rsidRDefault="005C352F" w14:paraId="33B4F76F" w14:textId="7C7A5FD5">
      <w:pPr>
        <w:pStyle w:val="FoF"/>
      </w:pPr>
      <w:r w:rsidRPr="00F94A69">
        <w:t xml:space="preserve">There is no demonstrated need to establish a Standard Offer dispute resolution </w:t>
      </w:r>
      <w:r w:rsidRPr="00F94A69" w:rsidR="008A3DFF">
        <w:t xml:space="preserve">process </w:t>
      </w:r>
      <w:r w:rsidRPr="00F94A69">
        <w:t>at this time.</w:t>
      </w:r>
    </w:p>
    <w:p w:rsidRPr="00F94A69" w:rsidR="00F62B7A" w:rsidP="00F94A69" w:rsidRDefault="00DA0B57" w14:paraId="006B9ED4" w14:textId="37603147">
      <w:pPr>
        <w:pStyle w:val="FoF"/>
      </w:pPr>
      <w:r w:rsidRPr="00F94A69">
        <w:t xml:space="preserve">It is likely </w:t>
      </w:r>
      <w:r w:rsidRPr="00F94A69" w:rsidR="009A0096">
        <w:t>that circumstances exist where electric capacity can safely be share</w:t>
      </w:r>
      <w:r w:rsidRPr="00F94A69" w:rsidR="00F51AFA">
        <w:t>d</w:t>
      </w:r>
      <w:r w:rsidRPr="00F94A69" w:rsidR="009A0096">
        <w:t xml:space="preserve"> between more than one customer located upon shared infrastructure.</w:t>
      </w:r>
    </w:p>
    <w:p w:rsidRPr="00F94A69" w:rsidR="0005515A" w:rsidP="00F94A69" w:rsidRDefault="0005515A" w14:paraId="3D9FE5E1" w14:textId="622BDF55">
      <w:pPr>
        <w:pStyle w:val="FoF"/>
      </w:pPr>
      <w:r w:rsidRPr="00F94A69">
        <w:t xml:space="preserve">Contacting customers to verify interest and ability to utilize the Standard Offering before performing </w:t>
      </w:r>
      <w:r w:rsidRPr="00F94A69" w:rsidR="00A65BAB">
        <w:t xml:space="preserve">a full engineering study </w:t>
      </w:r>
      <w:r w:rsidRPr="00F94A69">
        <w:t>has the benefit of conserving engineering resources.</w:t>
      </w:r>
    </w:p>
    <w:p w:rsidRPr="00F94A69" w:rsidR="00F51AFA" w:rsidP="00F94A69" w:rsidRDefault="00112932" w14:paraId="6435CC48" w14:textId="2C1C4DC6">
      <w:pPr>
        <w:pStyle w:val="FoF"/>
      </w:pPr>
      <w:r w:rsidRPr="00F94A69">
        <w:t>Limiting</w:t>
      </w:r>
      <w:r w:rsidRPr="00F94A69" w:rsidR="00F51AFA">
        <w:t xml:space="preserve"> the Standard Offer to customers who </w:t>
      </w:r>
      <w:r w:rsidRPr="00F94A69">
        <w:t>can be provided full capacity for all seasons within the year is overly restrictive.</w:t>
      </w:r>
    </w:p>
    <w:p w:rsidRPr="00F94A69" w:rsidR="007D477B" w:rsidP="00F94A69" w:rsidRDefault="007D477B" w14:paraId="3F40BD07" w14:textId="5D3B73B6">
      <w:pPr>
        <w:pStyle w:val="FoF"/>
      </w:pPr>
      <w:r w:rsidRPr="00F94A69">
        <w:t xml:space="preserve">Some customers </w:t>
      </w:r>
      <w:r w:rsidRPr="00F94A69" w:rsidR="00255578">
        <w:t>are more sensitive to a minimum daily quantity of energy than the</w:t>
      </w:r>
      <w:r w:rsidR="00B82645">
        <w:t>y</w:t>
      </w:r>
      <w:r w:rsidRPr="00F94A69" w:rsidR="00255578">
        <w:t xml:space="preserve"> are to a maximum level of capacity</w:t>
      </w:r>
      <w:r w:rsidRPr="00F94A69" w:rsidR="006C42EB">
        <w:t xml:space="preserve"> delivered within a FSC</w:t>
      </w:r>
      <w:r w:rsidRPr="00F94A69" w:rsidR="00255578">
        <w:t>.</w:t>
      </w:r>
    </w:p>
    <w:p w:rsidRPr="00F94A69" w:rsidR="00CD5CED" w:rsidP="00F94A69" w:rsidRDefault="00417C5F" w14:paraId="5650194E" w14:textId="56FC8925">
      <w:pPr>
        <w:pStyle w:val="FoF"/>
      </w:pPr>
      <w:r w:rsidRPr="00F94A69">
        <w:t xml:space="preserve">On site </w:t>
      </w:r>
      <w:r w:rsidRPr="00F94A69" w:rsidR="006D14F5">
        <w:t>photovoltaic generation without storage is appropriate to consider within the Standard Offer</w:t>
      </w:r>
      <w:r w:rsidRPr="00F94A69" w:rsidR="00E66023">
        <w:t xml:space="preserve"> engineering evaluation.</w:t>
      </w:r>
    </w:p>
    <w:p w:rsidRPr="00F94A69" w:rsidR="0005515A" w:rsidP="00F94A69" w:rsidRDefault="00645243" w14:paraId="189B6C76" w14:textId="3290C931">
      <w:pPr>
        <w:pStyle w:val="FoF"/>
      </w:pPr>
      <w:r w:rsidRPr="00F94A69">
        <w:t>Capacity curtailment within existing FSCs</w:t>
      </w:r>
      <w:r w:rsidRPr="00F94A69" w:rsidR="00CD5CED">
        <w:t xml:space="preserve"> has </w:t>
      </w:r>
      <w:r w:rsidRPr="00F94A69" w:rsidR="00A918EB">
        <w:t>only been reported in a</w:t>
      </w:r>
      <w:r w:rsidRPr="00F94A69" w:rsidR="00CD5CED">
        <w:t xml:space="preserve"> single instance</w:t>
      </w:r>
      <w:r w:rsidR="00CA072F">
        <w:t xml:space="preserve"> by SCE.</w:t>
      </w:r>
    </w:p>
    <w:p w:rsidRPr="00F94A69" w:rsidR="0005515A" w:rsidP="00F94A69" w:rsidRDefault="008E1B62" w14:paraId="69F85A35" w14:textId="0DAB6B17">
      <w:pPr>
        <w:pStyle w:val="FoF"/>
      </w:pPr>
      <w:r w:rsidRPr="00F94A69">
        <w:t xml:space="preserve">Both PG&amp;E and SCE are willing to perform </w:t>
      </w:r>
      <w:r w:rsidRPr="00F94A69" w:rsidR="00290E04">
        <w:t xml:space="preserve">an annual assessment of capacity for existing </w:t>
      </w:r>
      <w:r w:rsidRPr="00F94A69" w:rsidR="00465DFF">
        <w:t>FSC customers.</w:t>
      </w:r>
    </w:p>
    <w:p w:rsidRPr="00F94A69" w:rsidR="0005515A" w:rsidP="00F94A69" w:rsidRDefault="00B97F04" w14:paraId="339D12D3" w14:textId="020A1970">
      <w:pPr>
        <w:pStyle w:val="FoF"/>
      </w:pPr>
      <w:r w:rsidRPr="00F94A69">
        <w:lastRenderedPageBreak/>
        <w:t xml:space="preserve">PG&amp;E </w:t>
      </w:r>
      <w:r w:rsidRPr="00F94A69" w:rsidR="001D01F4">
        <w:t>currently assesses, within the timeframe of a typical weather forecasting window, whether projected load, operational, and weather conditions allow for a FSC customer to temporarily increase the capacity.</w:t>
      </w:r>
    </w:p>
    <w:p w:rsidRPr="00F94A69" w:rsidR="00C32E55" w:rsidP="00F94A69" w:rsidRDefault="00126473" w14:paraId="23639077" w14:textId="77777777">
      <w:pPr>
        <w:pStyle w:val="FoF"/>
      </w:pPr>
      <w:r w:rsidRPr="00F94A69">
        <w:t xml:space="preserve">PG&amp;E’s </w:t>
      </w:r>
      <w:r w:rsidRPr="00F94A69" w:rsidR="00EC35F1">
        <w:t xml:space="preserve">“trust and verify” approach to ensuring that enrolled customers remain within their </w:t>
      </w:r>
      <w:r w:rsidRPr="00F94A69" w:rsidR="0059417E">
        <w:t>agreed upon power levels has safely unlocked capacity</w:t>
      </w:r>
      <w:r w:rsidRPr="00F94A69" w:rsidR="00C56FF9">
        <w:t xml:space="preserve">, </w:t>
      </w:r>
      <w:r w:rsidRPr="00F94A69" w:rsidR="00C32E55">
        <w:t>providing a higher number of customers and level of unlocked capacity than SCE’s LCMS approach.</w:t>
      </w:r>
    </w:p>
    <w:p w:rsidRPr="00F94A69" w:rsidR="009C1DE4" w:rsidP="00F94A69" w:rsidRDefault="00B6381B" w14:paraId="76706D4B" w14:textId="69DA9999">
      <w:pPr>
        <w:pStyle w:val="FoF"/>
      </w:pPr>
      <w:r w:rsidRPr="00F94A69">
        <w:t xml:space="preserve">PG&amp;E and SCE use the same process for determining customer load irrespective of whether a customer is </w:t>
      </w:r>
      <w:r w:rsidRPr="00F94A69" w:rsidR="007E4940">
        <w:t xml:space="preserve">taking service under standard energization or </w:t>
      </w:r>
      <w:r w:rsidRPr="00F94A69" w:rsidR="009C1DE4">
        <w:t>under a FSC.</w:t>
      </w:r>
    </w:p>
    <w:p w:rsidRPr="00F94A69" w:rsidR="00E14360" w:rsidP="00F94A69" w:rsidRDefault="00E14360" w14:paraId="1F8EFA0D" w14:textId="77777777">
      <w:pPr>
        <w:pStyle w:val="FoF"/>
      </w:pPr>
      <w:r w:rsidRPr="00F94A69">
        <w:t>Both PG&amp;E and SCE assess the capacity that is available to a site based upon the normal capacity of the most constrained electrical component.</w:t>
      </w:r>
    </w:p>
    <w:p w:rsidRPr="00F94A69" w:rsidR="00E14360" w:rsidP="00F94A69" w:rsidRDefault="00E14360" w14:paraId="4B1B8F47" w14:textId="036E6922">
      <w:pPr>
        <w:pStyle w:val="FoF"/>
      </w:pPr>
      <w:r w:rsidRPr="00F94A69">
        <w:t>SCE reduces the normal capacity of the most constrained component by a 5% “buffer value” for FSC customers.</w:t>
      </w:r>
    </w:p>
    <w:p w:rsidRPr="00F94A69" w:rsidR="00C96A06" w:rsidP="00F94A69" w:rsidRDefault="00B54C63" w14:paraId="4A653F15" w14:textId="465557B3">
      <w:pPr>
        <w:pStyle w:val="FoF"/>
      </w:pPr>
      <w:r w:rsidRPr="00F94A69">
        <w:t xml:space="preserve">PG&amp;E’s LLP is designed such that a customer’s failure to comply </w:t>
      </w:r>
      <w:r w:rsidRPr="00F94A69" w:rsidR="00C13B33">
        <w:t>will not</w:t>
      </w:r>
      <w:r w:rsidRPr="00F94A69">
        <w:t xml:space="preserve"> result in exceeding electrical equipment’s emergency ratings</w:t>
      </w:r>
      <w:r w:rsidRPr="00F94A69" w:rsidR="002160DA">
        <w:t>.</w:t>
      </w:r>
    </w:p>
    <w:p w:rsidRPr="00F94A69" w:rsidR="00B57D07" w:rsidP="00F94A69" w:rsidRDefault="00B57D07" w14:paraId="17A1211B" w14:textId="0F7801D6">
      <w:pPr>
        <w:pStyle w:val="FoF"/>
      </w:pPr>
      <w:r w:rsidRPr="00F94A69">
        <w:t xml:space="preserve">There is no need to dictate the method of load control </w:t>
      </w:r>
      <w:r w:rsidRPr="00F94A69" w:rsidR="001C082B">
        <w:t xml:space="preserve">or require equipment commissioning </w:t>
      </w:r>
      <w:r w:rsidRPr="00F94A69">
        <w:t>for the Standard Offer.</w:t>
      </w:r>
    </w:p>
    <w:p w:rsidRPr="00F94A69" w:rsidR="00823BB4" w:rsidP="00F94A69" w:rsidRDefault="00482398" w14:paraId="6BF16BD9" w14:textId="53BE5117">
      <w:pPr>
        <w:pStyle w:val="FoF"/>
      </w:pPr>
      <w:r w:rsidRPr="00F94A69">
        <w:t xml:space="preserve">PG&amp;E’s </w:t>
      </w:r>
      <w:r w:rsidRPr="00F94A69" w:rsidR="00675266">
        <w:t xml:space="preserve">AMI based manual review and </w:t>
      </w:r>
      <w:r w:rsidRPr="00F94A69" w:rsidR="00A316B3">
        <w:t>customer notification may not be ideal for achieving scale.</w:t>
      </w:r>
    </w:p>
    <w:p w:rsidRPr="00F94A69" w:rsidR="003134D1" w:rsidP="00F94A69" w:rsidRDefault="00AF5FEB" w14:paraId="60EA95E2" w14:textId="77777777">
      <w:pPr>
        <w:pStyle w:val="FoF"/>
      </w:pPr>
      <w:r w:rsidRPr="00F94A69">
        <w:t>The customer education approach taken by PG&amp;E is effective and appropriately balances risk with customer capabilities</w:t>
      </w:r>
      <w:r w:rsidRPr="00F94A69" w:rsidR="003134D1">
        <w:t>.</w:t>
      </w:r>
    </w:p>
    <w:p w:rsidRPr="00F94A69" w:rsidR="006129AC" w:rsidP="00F94A69" w:rsidRDefault="006129AC" w14:paraId="50A0C0C2" w14:textId="77777777">
      <w:pPr>
        <w:pStyle w:val="FoF"/>
      </w:pPr>
      <w:r w:rsidRPr="00F94A69">
        <w:t>PG&amp;E’s LLL experience has shown that a static FSC offering can be safely made without requiring specific technical solutions.</w:t>
      </w:r>
    </w:p>
    <w:p w:rsidRPr="00F94A69" w:rsidR="00A51D17" w:rsidP="00F94A69" w:rsidRDefault="00A51D17" w14:paraId="358D9187" w14:textId="4FD7458A">
      <w:pPr>
        <w:pStyle w:val="FoF"/>
      </w:pPr>
      <w:r w:rsidRPr="00F94A69">
        <w:lastRenderedPageBreak/>
        <w:t>There is consensus</w:t>
      </w:r>
      <w:r w:rsidRPr="00F94A69" w:rsidR="00C16045">
        <w:t xml:space="preserve"> that a PCS</w:t>
      </w:r>
      <w:r w:rsidR="00955F17">
        <w:t xml:space="preserve"> </w:t>
      </w:r>
      <w:r w:rsidRPr="00F94A69" w:rsidR="00C16045">
        <w:t xml:space="preserve">certified to comply with </w:t>
      </w:r>
      <w:r w:rsidRPr="00F94A69" w:rsidR="0070774B">
        <w:t xml:space="preserve">the </w:t>
      </w:r>
      <w:r w:rsidRPr="00F94A69" w:rsidR="00C16045">
        <w:t>UL 3141</w:t>
      </w:r>
      <w:r w:rsidRPr="00F94A69" w:rsidR="0070774B">
        <w:t xml:space="preserve"> standard’s Power Import Limitation function is sufficient to </w:t>
      </w:r>
      <w:r w:rsidRPr="00F94A69" w:rsidR="00AE3E1D">
        <w:t>ensure that customers comply with their LLP.</w:t>
      </w:r>
    </w:p>
    <w:p w:rsidRPr="00F94A69" w:rsidR="006129AC" w:rsidP="00F94A69" w:rsidRDefault="006129AC" w14:paraId="576F66FC" w14:textId="4366D84A">
      <w:pPr>
        <w:pStyle w:val="FoF"/>
      </w:pPr>
      <w:r w:rsidRPr="00F94A69">
        <w:t xml:space="preserve">Providing a safe harbor for </w:t>
      </w:r>
      <w:r w:rsidRPr="00F94A69" w:rsidR="006969BB">
        <w:t>load controlled by</w:t>
      </w:r>
      <w:r w:rsidRPr="00F94A69">
        <w:t xml:space="preserve"> </w:t>
      </w:r>
      <w:r w:rsidRPr="00F94A69" w:rsidR="006969BB">
        <w:t>a</w:t>
      </w:r>
      <w:r w:rsidRPr="00F94A69" w:rsidR="00793AFF">
        <w:t xml:space="preserve"> UL 3141</w:t>
      </w:r>
      <w:r w:rsidRPr="00F94A69">
        <w:t xml:space="preserve"> </w:t>
      </w:r>
      <w:r w:rsidRPr="00F94A69" w:rsidR="00942DB8">
        <w:t>system</w:t>
      </w:r>
      <w:r w:rsidRPr="00F94A69">
        <w:t xml:space="preserve"> is likely to reduce the administrative burden of providing a Standard Offer</w:t>
      </w:r>
      <w:r w:rsidRPr="00F94A69" w:rsidR="008A0AC4">
        <w:t>.</w:t>
      </w:r>
    </w:p>
    <w:p w:rsidRPr="00F94A69" w:rsidR="008A0AC4" w:rsidP="00F94A69" w:rsidRDefault="00B80E12" w14:paraId="5574A259" w14:textId="0C392B1B">
      <w:pPr>
        <w:pStyle w:val="FoF"/>
      </w:pPr>
      <w:r>
        <w:t>UL 3141 provides a standardized format for scheduling LLP values.</w:t>
      </w:r>
      <w:r w:rsidRPr="00F94A69" w:rsidDel="00B80E12">
        <w:t xml:space="preserve"> </w:t>
      </w:r>
      <w:r w:rsidRPr="00F94A69" w:rsidR="00CC2B6E">
        <w:t>Standard Offer customers</w:t>
      </w:r>
      <w:r w:rsidRPr="00F94A69" w:rsidR="009B443F">
        <w:t xml:space="preserve"> should be able to find UL 3141 certified equipment for the majority of their needs.</w:t>
      </w:r>
    </w:p>
    <w:p w:rsidRPr="00F94A69" w:rsidR="0082710A" w:rsidP="00F94A69" w:rsidRDefault="000E300E" w14:paraId="06F5C1BD" w14:textId="77777777">
      <w:pPr>
        <w:pStyle w:val="FoF"/>
      </w:pPr>
      <w:r w:rsidRPr="00F94A69">
        <w:t xml:space="preserve"> </w:t>
      </w:r>
      <w:r w:rsidRPr="00F94A69" w:rsidR="00E65CE2">
        <w:t xml:space="preserve">UL 3141 </w:t>
      </w:r>
      <w:r w:rsidRPr="00F94A69" w:rsidR="0082710A">
        <w:t xml:space="preserve">standard </w:t>
      </w:r>
      <w:r w:rsidRPr="00F94A69" w:rsidR="00E65CE2">
        <w:t>parameters for response time are su</w:t>
      </w:r>
      <w:r w:rsidRPr="00F94A69" w:rsidR="0082710A">
        <w:t>fficient to prevent significant adverse impacts on distribution equipment lifespan.</w:t>
      </w:r>
    </w:p>
    <w:p w:rsidRPr="00F94A69" w:rsidR="008843FC" w:rsidP="00F94A69" w:rsidRDefault="008843FC" w14:paraId="3C608293" w14:textId="67B28895">
      <w:pPr>
        <w:pStyle w:val="FoF"/>
      </w:pPr>
      <w:r w:rsidRPr="00F94A69">
        <w:t>The work to conduct a preliminary capacity assessment is substantively similar to that of the initial engineering evaluation process, with the engineering evaluation adding the need to compare customer load shape and load ramp value to that capacity</w:t>
      </w:r>
      <w:r w:rsidR="00F3737A">
        <w:t>.</w:t>
      </w:r>
    </w:p>
    <w:p w:rsidRPr="00F94A69" w:rsidR="001716EC" w:rsidP="00F94A69" w:rsidRDefault="001716EC" w14:paraId="097D1ED5" w14:textId="4B42AF9F">
      <w:pPr>
        <w:pStyle w:val="FoF"/>
      </w:pPr>
      <w:r w:rsidRPr="00F94A69">
        <w:t>The time targets for the customer load limit conversation and the delivery of the LLP schedule file do not alter the timelines established in D.24-09-020.</w:t>
      </w:r>
    </w:p>
    <w:p w:rsidRPr="00F94A69" w:rsidR="00932DD2" w:rsidP="00F94A69" w:rsidRDefault="00932DD2" w14:paraId="387AF3DB" w14:textId="5ED867C9">
      <w:pPr>
        <w:pStyle w:val="FoF"/>
      </w:pPr>
      <w:r w:rsidRPr="00F94A69">
        <w:t>Development of a dedicated Tariff Rule for the Standard Offer is incompatible with PG&amp;E</w:t>
      </w:r>
      <w:r w:rsidRPr="00F94A69" w:rsidR="00387B12">
        <w:t>’s</w:t>
      </w:r>
      <w:r w:rsidRPr="00F94A69">
        <w:t xml:space="preserve"> and SCE</w:t>
      </w:r>
      <w:r w:rsidRPr="00F94A69" w:rsidR="00387B12">
        <w:t>’s ability</w:t>
      </w:r>
      <w:r w:rsidRPr="00F94A69">
        <w:t xml:space="preserve"> to implement the Standard Offer in the very near term.</w:t>
      </w:r>
    </w:p>
    <w:p w:rsidR="00F73959" w:rsidP="00F73959" w:rsidRDefault="00790CB2" w14:paraId="3BDD0F64" w14:textId="292B4625">
      <w:pPr>
        <w:pStyle w:val="FoF"/>
      </w:pPr>
      <w:r w:rsidRPr="00F94A69">
        <w:t xml:space="preserve">The level of IOU record keeping on current offerings </w:t>
      </w:r>
      <w:r>
        <w:t>is not</w:t>
      </w:r>
      <w:r w:rsidRPr="00F94A69">
        <w:t xml:space="preserve"> sufficient to </w:t>
      </w:r>
      <w:r>
        <w:t xml:space="preserve">assess either the project level or program level cost efficiency of the IOU offerings to </w:t>
      </w:r>
      <w:r w:rsidR="002759EC">
        <w:t>date.</w:t>
      </w:r>
    </w:p>
    <w:p w:rsidR="00F73959" w:rsidP="00F73959" w:rsidRDefault="00F73959" w14:paraId="2AA442CD" w14:textId="49373549">
      <w:pPr>
        <w:pStyle w:val="FoF"/>
      </w:pPr>
      <w:r>
        <w:t xml:space="preserve">In establishing the LCMS pilot, SCE provided a list of twelve program parameters to be </w:t>
      </w:r>
      <w:r w:rsidRPr="00BD382E">
        <w:t>assessed at the conclusion of the two</w:t>
      </w:r>
      <w:r w:rsidR="00790CB2">
        <w:t>-</w:t>
      </w:r>
      <w:r w:rsidRPr="00BD382E">
        <w:t>year pilot period.</w:t>
      </w:r>
    </w:p>
    <w:p w:rsidR="00790CB2" w:rsidP="00F73959" w:rsidRDefault="00E6366A" w14:paraId="06C42B32" w14:textId="1358A6FB">
      <w:pPr>
        <w:pStyle w:val="FoF"/>
      </w:pPr>
      <w:r>
        <w:t xml:space="preserve">In ruling responses, </w:t>
      </w:r>
      <w:r w:rsidR="00790CB2">
        <w:t xml:space="preserve">SCE </w:t>
      </w:r>
      <w:r>
        <w:t>provides</w:t>
      </w:r>
      <w:r w:rsidR="00790CB2">
        <w:t xml:space="preserve"> a list of pilot learnings that it intends to evaluate at the end of the LCMS pilot period</w:t>
      </w:r>
    </w:p>
    <w:p w:rsidR="00B82645" w:rsidP="00306C37" w:rsidRDefault="00F73959" w14:paraId="5A02183A" w14:textId="791DE84A">
      <w:pPr>
        <w:pStyle w:val="FoF"/>
      </w:pPr>
      <w:r>
        <w:lastRenderedPageBreak/>
        <w:t>Preliminary capacity assessments are a common offering within the electric utility sector.</w:t>
      </w:r>
    </w:p>
    <w:p w:rsidRPr="00F94A69" w:rsidR="003B401C" w:rsidP="00411481" w:rsidRDefault="003B401C" w14:paraId="67BDFBE5" w14:textId="7C2ECC62">
      <w:pPr>
        <w:pStyle w:val="FoF"/>
      </w:pPr>
      <w:r>
        <w:t xml:space="preserve">Section eight of D.24-09-020 authorizes the </w:t>
      </w:r>
      <w:r w:rsidR="008B47D1">
        <w:t>L</w:t>
      </w:r>
      <w:r>
        <w:t xml:space="preserve">arge IOUs to pause the target timelines. We acknowledge that </w:t>
      </w:r>
      <w:r w:rsidRPr="00297CF6">
        <w:t xml:space="preserve">there may be circumstances warranting continued </w:t>
      </w:r>
      <w:r w:rsidRPr="00297CF6" w:rsidR="002759EC">
        <w:t>work,</w:t>
      </w:r>
      <w:r w:rsidRPr="00297CF6">
        <w:t xml:space="preserve"> but the record is underdeveloped</w:t>
      </w:r>
      <w:r>
        <w:t xml:space="preserve"> and lacking </w:t>
      </w:r>
      <w:r w:rsidRPr="00297CF6">
        <w:t>precise criteria at this time.</w:t>
      </w:r>
    </w:p>
    <w:p w:rsidR="005939A5" w:rsidP="005939A5" w:rsidRDefault="005939A5" w14:paraId="5216D3FA" w14:textId="227DF3A8">
      <w:pPr>
        <w:pStyle w:val="Dummy"/>
      </w:pPr>
      <w:bookmarkStart w:name="_Toc8123726" w:id="122"/>
      <w:bookmarkStart w:name="_Toc220940231" w:id="123"/>
      <w:r>
        <w:t>Conclusions of Law</w:t>
      </w:r>
      <w:bookmarkEnd w:id="122"/>
      <w:bookmarkEnd w:id="123"/>
    </w:p>
    <w:p w:rsidRPr="001E2A62" w:rsidR="00932865" w:rsidP="001E2A62" w:rsidRDefault="00316C81" w14:paraId="50CF0273" w14:textId="0E97D8B4">
      <w:pPr>
        <w:pStyle w:val="CoL"/>
      </w:pPr>
      <w:r>
        <w:t xml:space="preserve">It is reasonable to direct </w:t>
      </w:r>
      <w:r w:rsidR="00B26ADC">
        <w:t>PG&amp;E and SCE to implement a tariffed Standard Offer FSC</w:t>
      </w:r>
      <w:r w:rsidR="00347019">
        <w:t xml:space="preserve"> </w:t>
      </w:r>
      <w:r w:rsidR="009E75D6">
        <w:t xml:space="preserve">Form Agreement </w:t>
      </w:r>
      <w:r w:rsidR="00347019">
        <w:t>as an alternate pathway within energization Step 2.</w:t>
      </w:r>
    </w:p>
    <w:p w:rsidR="00C7310E" w:rsidP="00C7310E" w:rsidRDefault="00C7310E" w14:paraId="5BD23E61" w14:textId="6B91A805">
      <w:pPr>
        <w:pStyle w:val="CoL"/>
      </w:pPr>
      <w:r>
        <w:t>It is reasonable to establish a tariffed Standard Offer F</w:t>
      </w:r>
      <w:r w:rsidR="00E31A15">
        <w:t>SC</w:t>
      </w:r>
      <w:r>
        <w:t xml:space="preserve"> based on practices currently used in PG&amp;E and SCE’s offerings</w:t>
      </w:r>
      <w:r w:rsidR="00864577">
        <w:t>.</w:t>
      </w:r>
    </w:p>
    <w:p w:rsidR="001858DB" w:rsidP="001858DB" w:rsidRDefault="001858DB" w14:paraId="6128C1BB" w14:textId="3032D238">
      <w:pPr>
        <w:pStyle w:val="CoL"/>
      </w:pPr>
      <w:r>
        <w:t>It is reasonable for the Standard Offer Agreement to be modified via a Tier 2 Advice Letter in consultation with Energy Division as needed.</w:t>
      </w:r>
    </w:p>
    <w:p w:rsidR="00B32D6F" w:rsidP="00C7310E" w:rsidRDefault="00C7310E" w14:paraId="46584D75" w14:textId="126C55EB">
      <w:pPr>
        <w:pStyle w:val="CoL"/>
      </w:pPr>
      <w:r>
        <w:t xml:space="preserve">It is reasonable to utilize practices from PG&amp;E’s </w:t>
      </w:r>
      <w:r w:rsidR="009D146B">
        <w:t xml:space="preserve">LLL </w:t>
      </w:r>
      <w:r>
        <w:t xml:space="preserve">offering </w:t>
      </w:r>
      <w:r w:rsidR="009D146B">
        <w:t xml:space="preserve">for the Standard Offer </w:t>
      </w:r>
      <w:r>
        <w:t>when there is divergence between PG&amp;E and SCE’s</w:t>
      </w:r>
      <w:r w:rsidR="009D146B">
        <w:t xml:space="preserve"> FSC</w:t>
      </w:r>
      <w:r>
        <w:t xml:space="preserve"> practices</w:t>
      </w:r>
      <w:r w:rsidR="00191A1A">
        <w:t>.</w:t>
      </w:r>
    </w:p>
    <w:p w:rsidR="00932865" w:rsidP="00C7310E" w:rsidRDefault="00B26ADC" w14:paraId="309DCD72" w14:textId="335F8C59">
      <w:pPr>
        <w:pStyle w:val="CoL"/>
      </w:pPr>
      <w:r>
        <w:t xml:space="preserve">It is reasonable to </w:t>
      </w:r>
      <w:r w:rsidR="00DC1C96">
        <w:t>model the Standard Offer</w:t>
      </w:r>
      <w:r w:rsidR="009D146B">
        <w:t xml:space="preserve"> FSC</w:t>
      </w:r>
      <w:r w:rsidR="00DC1C96">
        <w:t xml:space="preserve"> on PG&amp;E’s LLL offering</w:t>
      </w:r>
      <w:r w:rsidR="00495184">
        <w:t xml:space="preserve"> to the extent possible within SCE’s processes</w:t>
      </w:r>
      <w:r w:rsidR="00DC1C96">
        <w:t>.</w:t>
      </w:r>
    </w:p>
    <w:p w:rsidR="0067175B" w:rsidP="0067175B" w:rsidRDefault="0067175B" w14:paraId="2CA1C6EB" w14:textId="77777777">
      <w:pPr>
        <w:pStyle w:val="CoL"/>
      </w:pPr>
      <w:r>
        <w:t>It is reasonable to require the Standard Offer customer agreement</w:t>
      </w:r>
      <w:r w:rsidRPr="00C733F3">
        <w:t xml:space="preserve"> </w:t>
      </w:r>
      <w:r>
        <w:t xml:space="preserve">for both PG&amp;E and SCE to </w:t>
      </w:r>
      <w:r w:rsidRPr="00C733F3">
        <w:t>be modeled upon Scenario 2 of the LLL submitted as Attachment A of PG&amp;E’s May 30, 2025 response to the Transparency Ruling.</w:t>
      </w:r>
    </w:p>
    <w:p w:rsidR="0067175B" w:rsidP="0067175B" w:rsidRDefault="0067175B" w14:paraId="3422D6E9" w14:textId="77777777">
      <w:pPr>
        <w:pStyle w:val="CoL"/>
      </w:pPr>
      <w:r>
        <w:t>It is reasonable to authorize PG&amp;E</w:t>
      </w:r>
      <w:r w:rsidRPr="00CA2AF0">
        <w:t xml:space="preserve"> to continue utilizing its LLL offering for new and previously served customers until such time as the Standard Offer </w:t>
      </w:r>
    </w:p>
    <w:p w:rsidRPr="001E2A62" w:rsidR="00DC1C96" w:rsidP="0067175B" w:rsidRDefault="00DB4140" w14:paraId="6C09337A" w14:textId="01A7D23C">
      <w:pPr>
        <w:pStyle w:val="CoL"/>
      </w:pPr>
      <w:r>
        <w:t xml:space="preserve">It is reasonable to </w:t>
      </w:r>
      <w:r w:rsidR="00812D1F">
        <w:t>require that the Standard Offer</w:t>
      </w:r>
      <w:r w:rsidR="0067175B">
        <w:t xml:space="preserve"> FSC</w:t>
      </w:r>
      <w:r w:rsidR="00FA03A6">
        <w:t xml:space="preserve"> Form Agreement</w:t>
      </w:r>
      <w:r w:rsidR="00812D1F">
        <w:t xml:space="preserve"> be provided within a tariff.</w:t>
      </w:r>
    </w:p>
    <w:p w:rsidR="00876605" w:rsidP="00D44DB6" w:rsidRDefault="00876605" w14:paraId="20D84838" w14:textId="00C3ACB5">
      <w:pPr>
        <w:pStyle w:val="CoL"/>
      </w:pPr>
      <w:r>
        <w:lastRenderedPageBreak/>
        <w:t xml:space="preserve">It is reasonable to require that PG&amp;E and SCE </w:t>
      </w:r>
      <w:r w:rsidR="00B67FB4">
        <w:t xml:space="preserve">add information on the Standard Offer </w:t>
      </w:r>
      <w:r w:rsidR="0067175B">
        <w:t xml:space="preserve">FSC </w:t>
      </w:r>
      <w:r w:rsidR="00B67FB4">
        <w:t>to their service application</w:t>
      </w:r>
      <w:r w:rsidR="00082B3B">
        <w:t xml:space="preserve"> web page(s)</w:t>
      </w:r>
      <w:r w:rsidR="00B67FB4">
        <w:t>.</w:t>
      </w:r>
    </w:p>
    <w:p w:rsidR="00082B3B" w:rsidP="00082B3B" w:rsidRDefault="00082B3B" w14:paraId="44C3E688" w14:textId="77EB8167">
      <w:pPr>
        <w:pStyle w:val="CoL"/>
      </w:pPr>
      <w:r>
        <w:t xml:space="preserve">It is reasonable to require that PG&amp;E and SCE add a check box allowing the customer to indicate interest in the Standard Offer </w:t>
      </w:r>
      <w:r w:rsidR="0067175B">
        <w:t xml:space="preserve">FSC </w:t>
      </w:r>
      <w:r>
        <w:t>to their service application.</w:t>
      </w:r>
    </w:p>
    <w:p w:rsidR="00F76ACC" w:rsidP="00F76ACC" w:rsidRDefault="00F76ACC" w14:paraId="79737E3C" w14:textId="77777777">
      <w:pPr>
        <w:pStyle w:val="CoL"/>
      </w:pPr>
      <w:r>
        <w:t>It is reasonable to require PG&amp;E and SCE to identify the characteristics that cause a customer to be an ideal candidate for the Standard Offer FSC in the Implementation Advice Letter.</w:t>
      </w:r>
    </w:p>
    <w:p w:rsidR="00F76ACC" w:rsidP="00F76ACC" w:rsidRDefault="00F76ACC" w14:paraId="5EBECB91" w14:textId="2A63CEBA">
      <w:pPr>
        <w:pStyle w:val="CoL"/>
      </w:pPr>
      <w:r>
        <w:t xml:space="preserve">It is reasonable to require </w:t>
      </w:r>
      <w:r w:rsidRPr="00A733F9">
        <w:t xml:space="preserve">PG&amp;E and SCE </w:t>
      </w:r>
      <w:r>
        <w:t>to clarify in the Implementation Advice Letter that they will</w:t>
      </w:r>
      <w:r w:rsidRPr="00A733F9">
        <w:t xml:space="preserve"> provide a customer with a Standard Offer</w:t>
      </w:r>
      <w:r w:rsidR="00FA03A6">
        <w:t xml:space="preserve"> Form Agreement</w:t>
      </w:r>
      <w:r w:rsidRPr="00A733F9">
        <w:t xml:space="preserve"> upon their determination that there exists a LLP whose operation will result in a benefit to both the customer and to ratepayers.</w:t>
      </w:r>
    </w:p>
    <w:p w:rsidR="00876605" w:rsidP="00D44DB6" w:rsidRDefault="00FA3D9F" w14:paraId="00D19C55" w14:textId="47A5146F">
      <w:pPr>
        <w:pStyle w:val="CoL"/>
      </w:pPr>
      <w:r>
        <w:t>It is reasonable to require PG&amp;E and SCE to provide</w:t>
      </w:r>
      <w:r w:rsidR="001155B2">
        <w:t xml:space="preserve">, with specificity, information supporting any restriction on underground </w:t>
      </w:r>
      <w:r w:rsidR="00F76ACC">
        <w:t>components</w:t>
      </w:r>
      <w:r w:rsidR="001155B2">
        <w:t xml:space="preserve"> from the Standard Offer.</w:t>
      </w:r>
    </w:p>
    <w:p w:rsidR="00FC0C9D" w:rsidP="00D44DB6" w:rsidRDefault="00FC0C9D" w14:paraId="4D239184" w14:textId="230DB7A0">
      <w:pPr>
        <w:pStyle w:val="CoL"/>
      </w:pPr>
      <w:r>
        <w:t xml:space="preserve">It is reasonable to require IOUs to identify a minimum of </w:t>
      </w:r>
      <w:r w:rsidR="00A11D1B">
        <w:t xml:space="preserve">three </w:t>
      </w:r>
      <w:r>
        <w:t xml:space="preserve">seasons </w:t>
      </w:r>
      <w:r w:rsidR="00EB069E">
        <w:t>for</w:t>
      </w:r>
      <w:r>
        <w:t xml:space="preserve"> which </w:t>
      </w:r>
      <w:r w:rsidR="00EB069E">
        <w:t xml:space="preserve">they experience </w:t>
      </w:r>
      <w:r w:rsidR="00D65E83">
        <w:t>distinct operational conditions within their service territory</w:t>
      </w:r>
      <w:r w:rsidR="00A11D1B">
        <w:t>, and to provide at least two daily capacity values for each season</w:t>
      </w:r>
      <w:r w:rsidR="00D65E83">
        <w:t>.</w:t>
      </w:r>
    </w:p>
    <w:p w:rsidR="00CC5068" w:rsidP="00D44DB6" w:rsidRDefault="00CC5068" w14:paraId="1425F050" w14:textId="7BE43D43">
      <w:pPr>
        <w:pStyle w:val="CoL"/>
      </w:pPr>
      <w:r>
        <w:t>If an IOU already offers customer</w:t>
      </w:r>
      <w:r w:rsidR="005237D3">
        <w:t>s</w:t>
      </w:r>
      <w:r w:rsidR="004E5E8A">
        <w:t xml:space="preserve"> a</w:t>
      </w:r>
      <w:r w:rsidR="004D2D27">
        <w:t>n</w:t>
      </w:r>
      <w:r w:rsidR="004E5E8A">
        <w:t xml:space="preserve"> LLP</w:t>
      </w:r>
      <w:r>
        <w:t xml:space="preserve"> three or more seasons with two</w:t>
      </w:r>
      <w:r w:rsidR="008E487C">
        <w:t> </w:t>
      </w:r>
      <w:r>
        <w:t>or more daily values per season, then they already comply with the minimum granularity requirement.</w:t>
      </w:r>
    </w:p>
    <w:p w:rsidR="00876605" w:rsidP="00D44DB6" w:rsidRDefault="0088482C" w14:paraId="6AF905F6" w14:textId="3BD5CCFE">
      <w:pPr>
        <w:pStyle w:val="CoL"/>
      </w:pPr>
      <w:r>
        <w:t xml:space="preserve">It is reasonable to </w:t>
      </w:r>
      <w:r w:rsidR="00547BC1">
        <w:t xml:space="preserve">both </w:t>
      </w:r>
      <w:r>
        <w:t>require</w:t>
      </w:r>
      <w:r w:rsidR="00547BC1">
        <w:t xml:space="preserve"> a minimum level of granula</w:t>
      </w:r>
      <w:r w:rsidR="00A27F1D">
        <w:t>rity</w:t>
      </w:r>
      <w:r w:rsidR="007956F3">
        <w:t xml:space="preserve"> for </w:t>
      </w:r>
      <w:r w:rsidR="003A4008">
        <w:t>Standard Offer LLPs</w:t>
      </w:r>
      <w:r w:rsidR="00A27F1D">
        <w:t xml:space="preserve"> and provide IOU engineers the discretion to exceed this minimum when circumstances justify a more detailed </w:t>
      </w:r>
      <w:r w:rsidR="00D64FD3">
        <w:t>LLP</w:t>
      </w:r>
      <w:r w:rsidR="003A6EAA">
        <w:t>.</w:t>
      </w:r>
    </w:p>
    <w:p w:rsidR="00876605" w:rsidP="00D44DB6" w:rsidRDefault="00CD2636" w14:paraId="4DFB6491" w14:textId="25A2051B">
      <w:pPr>
        <w:pStyle w:val="CoL"/>
      </w:pPr>
      <w:r>
        <w:t xml:space="preserve">It is reasonable </w:t>
      </w:r>
      <w:r w:rsidR="00B0731B">
        <w:t xml:space="preserve">to require PG&amp;E and SCE to </w:t>
      </w:r>
      <w:r w:rsidR="006B6654">
        <w:t>give</w:t>
      </w:r>
      <w:r w:rsidR="008B7C69">
        <w:t xml:space="preserve"> customers the option to </w:t>
      </w:r>
      <w:r w:rsidR="006B6654">
        <w:t xml:space="preserve">request a </w:t>
      </w:r>
      <w:r w:rsidR="003D7B0A">
        <w:t xml:space="preserve">LLP with 24 annual values, provided that the technical </w:t>
      </w:r>
      <w:r w:rsidR="0021052C">
        <w:t xml:space="preserve">capability </w:t>
      </w:r>
      <w:r w:rsidR="0021052C">
        <w:lastRenderedPageBreak/>
        <w:t>exists</w:t>
      </w:r>
      <w:r w:rsidR="00DC7595">
        <w:t>, the IOU engineers believe it can be safely offered,</w:t>
      </w:r>
      <w:r w:rsidR="0021052C">
        <w:t xml:space="preserve"> and the customer </w:t>
      </w:r>
      <w:r w:rsidR="002B3CBE">
        <w:t>bears the cost of exercising this option.</w:t>
      </w:r>
    </w:p>
    <w:p w:rsidR="00667A1C" w:rsidP="00D44DB6" w:rsidRDefault="00F059E4" w14:paraId="16DC0983" w14:textId="42E15ABD">
      <w:pPr>
        <w:pStyle w:val="CoL"/>
      </w:pPr>
      <w:r>
        <w:t>It is reasonable to</w:t>
      </w:r>
      <w:r w:rsidR="00822EE8">
        <w:t xml:space="preserve"> require PG&amp;E and SCE</w:t>
      </w:r>
      <w:r>
        <w:t xml:space="preserve"> to maintain records</w:t>
      </w:r>
      <w:r w:rsidR="005A02F7">
        <w:t xml:space="preserve"> of their analysis of capacity constrained infrastructure</w:t>
      </w:r>
      <w:r w:rsidR="00871722">
        <w:t xml:space="preserve"> for at least </w:t>
      </w:r>
      <w:r w:rsidR="00854DE8">
        <w:t>3 years.</w:t>
      </w:r>
    </w:p>
    <w:p w:rsidR="00DD7F27" w:rsidP="00D44DB6" w:rsidRDefault="00DD7F27" w14:paraId="46E86C60" w14:textId="5A62E5B1">
      <w:pPr>
        <w:pStyle w:val="CoL"/>
      </w:pPr>
      <w:r>
        <w:t xml:space="preserve">It is reasonable to allow </w:t>
      </w:r>
      <w:r w:rsidR="002302C9">
        <w:t>the IOUs</w:t>
      </w:r>
      <w:r w:rsidR="00647F59">
        <w:t xml:space="preserve"> </w:t>
      </w:r>
      <w:r w:rsidR="00FB0132">
        <w:t>flexibility to equally consider more than one application</w:t>
      </w:r>
      <w:r w:rsidR="00AC23F7">
        <w:t xml:space="preserve"> if those applications were received within a </w:t>
      </w:r>
      <w:r w:rsidR="005E0A7F">
        <w:t xml:space="preserve">relatively concurrent </w:t>
      </w:r>
      <w:r w:rsidR="00AC23F7">
        <w:t>window of time.</w:t>
      </w:r>
    </w:p>
    <w:p w:rsidR="00EA3663" w:rsidP="00691521" w:rsidRDefault="007C7AE3" w14:paraId="65ADC07C" w14:textId="5FC8BDC7">
      <w:pPr>
        <w:pStyle w:val="CoL"/>
      </w:pPr>
      <w:r>
        <w:t>It is reasonable to leave the question of how to share capacity between customers to the IOUs’ discretion</w:t>
      </w:r>
      <w:r w:rsidR="00837EFC">
        <w:t xml:space="preserve"> in the Implementation Advice Letter, with the caveats that the IOUs must be transparent about their method for allocation of capacity, must not favor any customer class, and must not reduce the capacity of an existing Standard Offer to accommodate later applications</w:t>
      </w:r>
      <w:r>
        <w:t>.</w:t>
      </w:r>
    </w:p>
    <w:p w:rsidR="00C964F4" w:rsidP="00D44DB6" w:rsidRDefault="00C964F4" w14:paraId="49D02D88" w14:textId="6016C1EC">
      <w:pPr>
        <w:pStyle w:val="CoL"/>
      </w:pPr>
      <w:r>
        <w:t xml:space="preserve">It is reasonable to require PG&amp;E and SCE to verify customer interest in and ability to utilize </w:t>
      </w:r>
      <w:r w:rsidR="00C4249B">
        <w:t>a Standard Offer before performing a full engineering study.</w:t>
      </w:r>
    </w:p>
    <w:p w:rsidR="003E4F25" w:rsidP="003E4F25" w:rsidRDefault="003E4F25" w14:paraId="69D5F0BF" w14:textId="2D188918">
      <w:pPr>
        <w:pStyle w:val="CoL"/>
      </w:pPr>
      <w:r>
        <w:t xml:space="preserve">It is reasonable to direct PG&amp;E and SCE to extend the FSCA option to all customers where there is both a customer and ratepayer benefit, even if there is a period </w:t>
      </w:r>
      <w:r w:rsidR="00BC4A5D">
        <w:t>during</w:t>
      </w:r>
      <w:r>
        <w:t xml:space="preserve"> the year </w:t>
      </w:r>
      <w:r w:rsidR="00836279">
        <w:t>when</w:t>
      </w:r>
      <w:r>
        <w:t xml:space="preserve"> the customer cannot be provided their full requested demand.</w:t>
      </w:r>
    </w:p>
    <w:p w:rsidR="003E4F25" w:rsidP="003E4F25" w:rsidRDefault="003E4F25" w14:paraId="4F81C420" w14:textId="77777777">
      <w:pPr>
        <w:pStyle w:val="CoL"/>
      </w:pPr>
      <w:r w:rsidRPr="008022D2">
        <w:t>It is reasonable to direct PG&amp;E and SCE, in the Standard Offer pathway for Step 2, to (a) perform an engineering evaluation that compares customer load profile and load ramp to distribution capacity prior to performing a full power flow study, and (b) to contact the customer when this engineering evaluation identifies insufficient capacity and the customer application indicates interest in a FSC.</w:t>
      </w:r>
    </w:p>
    <w:p w:rsidR="00112932" w:rsidP="00D44DB6" w:rsidRDefault="00C85980" w14:paraId="00A1DA2F" w14:textId="21503251">
      <w:pPr>
        <w:pStyle w:val="CoL"/>
      </w:pPr>
      <w:r>
        <w:t xml:space="preserve">It is reasonable to require </w:t>
      </w:r>
      <w:r w:rsidR="003E4F25">
        <w:t xml:space="preserve">PG&amp;E and SCE </w:t>
      </w:r>
      <w:r>
        <w:t>to ask whether a Standard Offer customer would prefer optimization of their LLP for power or for energy.</w:t>
      </w:r>
    </w:p>
    <w:p w:rsidR="00525AEF" w:rsidP="00525AEF" w:rsidRDefault="00525AEF" w14:paraId="43A9A7D8" w14:textId="77777777">
      <w:pPr>
        <w:pStyle w:val="CoL"/>
      </w:pPr>
      <w:r>
        <w:lastRenderedPageBreak/>
        <w:t xml:space="preserve">It is </w:t>
      </w:r>
      <w:r w:rsidRPr="00DB10B9">
        <w:t xml:space="preserve">reasonable </w:t>
      </w:r>
      <w:r>
        <w:t>for</w:t>
      </w:r>
      <w:r w:rsidRPr="00DB10B9">
        <w:t xml:space="preserve"> the Standard Offer process consider on site generation as a part of its engineering evaluation whether it be existing or planned, non-exporting or exporting.</w:t>
      </w:r>
    </w:p>
    <w:p w:rsidR="00525AEF" w:rsidP="00525AEF" w:rsidRDefault="00525AEF" w14:paraId="5E98D226" w14:textId="4E44CACE">
      <w:pPr>
        <w:pStyle w:val="CoL"/>
      </w:pPr>
      <w:r w:rsidRPr="00DB10B9">
        <w:t xml:space="preserve">It is reasonable to direct PG&amp;E and SCE to incorporate the output of photovoltaics for customers without </w:t>
      </w:r>
      <w:r w:rsidRPr="00DB10B9" w:rsidR="00DB4D19">
        <w:t>onsite</w:t>
      </w:r>
      <w:r w:rsidRPr="00DB10B9">
        <w:t xml:space="preserve"> storage into their engineering evaluation</w:t>
      </w:r>
      <w:r w:rsidR="00D52D80">
        <w:t xml:space="preserve">, describe the process used for this incorporation, </w:t>
      </w:r>
      <w:r w:rsidRPr="00DB10B9">
        <w:t>and to continue working toward offering a single, streamlined process to customers requesting both load and generation.</w:t>
      </w:r>
    </w:p>
    <w:p w:rsidR="00B77615" w:rsidP="00D44DB6" w:rsidRDefault="00B77615" w14:paraId="00B814BD" w14:textId="1F334642">
      <w:pPr>
        <w:pStyle w:val="CoL"/>
      </w:pPr>
      <w:r>
        <w:t xml:space="preserve">It is reasonable </w:t>
      </w:r>
      <w:r w:rsidR="00996D8C">
        <w:t xml:space="preserve">to require </w:t>
      </w:r>
      <w:r w:rsidR="008E1B62">
        <w:t>PG&amp;E and SCE to collect and retain data for all curtailment incidents affecting Standard Offer customers</w:t>
      </w:r>
      <w:r w:rsidR="00DC7595">
        <w:t xml:space="preserve"> for at least </w:t>
      </w:r>
      <w:r w:rsidR="003D05A9">
        <w:t>three years</w:t>
      </w:r>
      <w:r w:rsidR="008E1B62">
        <w:t>.</w:t>
      </w:r>
    </w:p>
    <w:p w:rsidR="001D01F4" w:rsidP="00D44DB6" w:rsidRDefault="001D01F4" w14:paraId="264DAEA3" w14:textId="780DA790">
      <w:pPr>
        <w:pStyle w:val="CoL"/>
      </w:pPr>
      <w:r>
        <w:t xml:space="preserve">It is reasonable </w:t>
      </w:r>
      <w:r w:rsidR="008E06B8">
        <w:t xml:space="preserve">to direct </w:t>
      </w:r>
      <w:r>
        <w:t xml:space="preserve">PG&amp;E and SCE to </w:t>
      </w:r>
      <w:r w:rsidR="00930967">
        <w:t xml:space="preserve">allow for an annual review of capacity in the structure of the Standard Offer, upon </w:t>
      </w:r>
      <w:r w:rsidR="008E06B8">
        <w:t xml:space="preserve">customer </w:t>
      </w:r>
      <w:r w:rsidR="00930967">
        <w:t>request and payment by the customer of any additional expense incurred in performing such a review.</w:t>
      </w:r>
    </w:p>
    <w:p w:rsidR="00C0474D" w:rsidP="00D44DB6" w:rsidRDefault="00C0474D" w14:paraId="6B729492" w14:textId="3EE2389F">
      <w:pPr>
        <w:pStyle w:val="CoL"/>
      </w:pPr>
      <w:r>
        <w:t xml:space="preserve">It is reasonable </w:t>
      </w:r>
      <w:r w:rsidR="008E06B8">
        <w:t xml:space="preserve">to direct </w:t>
      </w:r>
      <w:r>
        <w:t xml:space="preserve">PG&amp;E and SCE to allow for an ad-hoc review of capacity in the structure of the Standard Offer, upon </w:t>
      </w:r>
      <w:r w:rsidR="008E06B8">
        <w:t xml:space="preserve">customer </w:t>
      </w:r>
      <w:r>
        <w:t>request and payment by the customer of any additional expense incurred in performing such a review</w:t>
      </w:r>
      <w:r w:rsidR="007C5051">
        <w:t>.</w:t>
      </w:r>
    </w:p>
    <w:p w:rsidR="007C5051" w:rsidP="00D44DB6" w:rsidRDefault="007C5051" w14:paraId="74CCCDF7" w14:textId="1ADD306B">
      <w:pPr>
        <w:pStyle w:val="CoL"/>
      </w:pPr>
      <w:r>
        <w:t xml:space="preserve">It is reasonable </w:t>
      </w:r>
      <w:r w:rsidR="00263FAB">
        <w:t xml:space="preserve">to require </w:t>
      </w:r>
      <w:r>
        <w:t>SCE and PG&amp;E</w:t>
      </w:r>
      <w:r w:rsidR="00263FAB">
        <w:t xml:space="preserve"> to</w:t>
      </w:r>
      <w:r>
        <w:t xml:space="preserve"> provide a fulsome description of the load determination process </w:t>
      </w:r>
      <w:r w:rsidR="00B21C77">
        <w:t>in the Implementation Advice Letter and to update their electric Tariff Rules to include definitions for the necessary terminology</w:t>
      </w:r>
      <w:r w:rsidRPr="004F57B7" w:rsidR="00B21C77">
        <w:t xml:space="preserve"> </w:t>
      </w:r>
      <w:r w:rsidR="00B21C77">
        <w:t>to accurately describe this process</w:t>
      </w:r>
      <w:r>
        <w:t>.</w:t>
      </w:r>
    </w:p>
    <w:p w:rsidR="00C96A06" w:rsidP="00D44DB6" w:rsidRDefault="005747F3" w14:paraId="4DE71F89" w14:textId="32972FB8">
      <w:pPr>
        <w:pStyle w:val="CoL"/>
      </w:pPr>
      <w:r>
        <w:t xml:space="preserve">It is reasonable to </w:t>
      </w:r>
      <w:r w:rsidR="00E10547">
        <w:t xml:space="preserve">direct PG&amp;E and SCE to </w:t>
      </w:r>
      <w:r w:rsidR="0078411D">
        <w:t xml:space="preserve">assess the capacity available to a site </w:t>
      </w:r>
      <w:r w:rsidR="00E10547">
        <w:t xml:space="preserve">for a Standard Offer </w:t>
      </w:r>
      <w:r w:rsidR="0078411D">
        <w:t>based on the normal capacity of the most constrained electrical component</w:t>
      </w:r>
      <w:r w:rsidRPr="001E2A62" w:rsidR="0078411D">
        <w:t xml:space="preserve"> </w:t>
      </w:r>
      <w:r w:rsidR="00C96A06">
        <w:t>without adding a buffer value.</w:t>
      </w:r>
    </w:p>
    <w:p w:rsidR="00C96A06" w:rsidP="00DA2BB1" w:rsidRDefault="00766D5B" w14:paraId="6127AC79" w14:textId="7E10BE35">
      <w:pPr>
        <w:pStyle w:val="CoL"/>
      </w:pPr>
      <w:r>
        <w:lastRenderedPageBreak/>
        <w:t xml:space="preserve">It is </w:t>
      </w:r>
      <w:r w:rsidR="00456EB6">
        <w:t xml:space="preserve">reasonable for PG&amp;E and SCE to assess the effect that loss of control would have for those Standard Offer customers who are using manual or uncertified controls and have </w:t>
      </w:r>
      <w:r w:rsidR="00554DEC">
        <w:t xml:space="preserve">not installed </w:t>
      </w:r>
      <w:r w:rsidR="00456EB6">
        <w:t>protective devices.</w:t>
      </w:r>
    </w:p>
    <w:p w:rsidR="00CA0844" w:rsidP="00CA0844" w:rsidRDefault="00CA0844" w14:paraId="4FEC7E13" w14:textId="77777777">
      <w:pPr>
        <w:pStyle w:val="CoL"/>
      </w:pPr>
      <w:r>
        <w:t>It is reasonable to direct PG&amp;E and SCE to design their Standard Offer LLPs such that IOU equipment will stay within their emergency capacity rating if a customer using manual or uncertified controls fails to control site load.</w:t>
      </w:r>
    </w:p>
    <w:p w:rsidR="00C96A06" w:rsidP="00D44DB6" w:rsidRDefault="001C082B" w14:paraId="762A951B" w14:textId="1A38BC92">
      <w:pPr>
        <w:pStyle w:val="CoL"/>
      </w:pPr>
      <w:r>
        <w:t xml:space="preserve">It is </w:t>
      </w:r>
      <w:r w:rsidR="00B57D07">
        <w:t>reasonable to allow</w:t>
      </w:r>
      <w:r>
        <w:t xml:space="preserve"> Standard Offer</w:t>
      </w:r>
      <w:r w:rsidR="00B57D07">
        <w:t xml:space="preserve"> customers to choose the method of load control that best meets their needs.</w:t>
      </w:r>
    </w:p>
    <w:p w:rsidR="00BA3ADA" w:rsidP="00D44DB6" w:rsidRDefault="00BA3ADA" w14:paraId="39A930B7" w14:textId="6A521B07">
      <w:pPr>
        <w:pStyle w:val="CoL"/>
      </w:pPr>
      <w:r>
        <w:t>It is</w:t>
      </w:r>
      <w:r w:rsidRPr="00BA3ADA">
        <w:t xml:space="preserve"> </w:t>
      </w:r>
      <w:r>
        <w:t xml:space="preserve">reasonable </w:t>
      </w:r>
      <w:r w:rsidR="00CA0844">
        <w:t xml:space="preserve">to direct </w:t>
      </w:r>
      <w:r>
        <w:t xml:space="preserve">PG&amp;E and SCE </w:t>
      </w:r>
      <w:r w:rsidR="00847934">
        <w:t xml:space="preserve">to incorporate provisions in the Standard Offer </w:t>
      </w:r>
      <w:r w:rsidR="00C1585A">
        <w:t xml:space="preserve">Form Agreement </w:t>
      </w:r>
      <w:r w:rsidR="00847934">
        <w:t>that clearly assign liability for damages to IOU equipment resulting from the exceedance of the approved LLP to the Standard Offer customer.</w:t>
      </w:r>
    </w:p>
    <w:p w:rsidR="00515BAF" w:rsidP="00515BAF" w:rsidRDefault="00515BAF" w14:paraId="0B192F00" w14:textId="6F640737">
      <w:pPr>
        <w:pStyle w:val="CoL"/>
      </w:pPr>
      <w:r>
        <w:t>It is reasonable to direct PG&amp;E and SCE to utilize AMI infrastructure as the default method used to monitor compliance with Standard Offer LLPs.</w:t>
      </w:r>
    </w:p>
    <w:p w:rsidR="00A316B3" w:rsidP="00D44DB6" w:rsidRDefault="00895128" w14:paraId="6AF76357" w14:textId="7C0DB6D6">
      <w:pPr>
        <w:pStyle w:val="CoL"/>
      </w:pPr>
      <w:r>
        <w:t xml:space="preserve">It is reasonable to allow </w:t>
      </w:r>
      <w:r w:rsidR="00A76F53">
        <w:t xml:space="preserve">each </w:t>
      </w:r>
      <w:r>
        <w:t xml:space="preserve">IOU latitude </w:t>
      </w:r>
      <w:r w:rsidR="00A76F53">
        <w:t xml:space="preserve">to create </w:t>
      </w:r>
      <w:r w:rsidR="00080D83">
        <w:t>divergent processes to move from AMI data to customer notification of Standard Offer LLP exceedance.</w:t>
      </w:r>
    </w:p>
    <w:p w:rsidR="00AF5FEB" w:rsidP="00D44DB6" w:rsidRDefault="00AF5FEB" w14:paraId="0DD5CA3B" w14:textId="36DC3054">
      <w:pPr>
        <w:pStyle w:val="CoL"/>
      </w:pPr>
      <w:r>
        <w:t>It is reasonable for PG&amp;E and SCE to utilize customer education as the first remediation step if a customer should exceed their Standard Offer LLP in a way that does not create a safety, reliability, or shortage of supply concern.</w:t>
      </w:r>
    </w:p>
    <w:p w:rsidR="00A240DA" w:rsidP="00D44DB6" w:rsidRDefault="00DD230F" w14:paraId="5A2ADE2B" w14:textId="26407B14">
      <w:pPr>
        <w:pStyle w:val="CoL"/>
      </w:pPr>
      <w:r>
        <w:t xml:space="preserve">It is reasonable to provide a safe harbor for load </w:t>
      </w:r>
      <w:r w:rsidR="00361E7E">
        <w:t>controlled by the power input limiting function of the UL 3141 standard</w:t>
      </w:r>
      <w:r w:rsidR="003653E8">
        <w:t>, relying on the UL 3141 PCS certification requirements</w:t>
      </w:r>
      <w:r w:rsidR="00361E7E">
        <w:t>.</w:t>
      </w:r>
    </w:p>
    <w:p w:rsidR="00CA25F4" w:rsidP="00D44DB6" w:rsidRDefault="00CA25F4" w14:paraId="75F6F2BA" w14:textId="742A6E48">
      <w:pPr>
        <w:pStyle w:val="CoL"/>
      </w:pPr>
      <w:r>
        <w:t xml:space="preserve">It is reasonable to require </w:t>
      </w:r>
      <w:r w:rsidR="008B47D1">
        <w:t>PG&amp;E and SCE</w:t>
      </w:r>
      <w:r>
        <w:t xml:space="preserve"> to provide the customer </w:t>
      </w:r>
      <w:r w:rsidR="00AD1DCE">
        <w:t xml:space="preserve">their </w:t>
      </w:r>
      <w:r>
        <w:t>LLP values electronically, in the format specified by UL 3141 Edition two Annex A.</w:t>
      </w:r>
    </w:p>
    <w:p w:rsidR="00361E7E" w:rsidP="00D44DB6" w:rsidRDefault="00361E7E" w14:paraId="6254958F" w14:textId="5FB50748">
      <w:pPr>
        <w:pStyle w:val="CoL"/>
      </w:pPr>
      <w:r>
        <w:lastRenderedPageBreak/>
        <w:t>It is reasonable to allow</w:t>
      </w:r>
      <w:r w:rsidR="003653E8">
        <w:t xml:space="preserve"> Standard Offer</w:t>
      </w:r>
      <w:r>
        <w:t xml:space="preserve"> </w:t>
      </w:r>
      <w:r w:rsidR="00960CD1">
        <w:t>customer</w:t>
      </w:r>
      <w:r w:rsidR="00AF6AF9">
        <w:t>s</w:t>
      </w:r>
      <w:r w:rsidR="00960CD1">
        <w:t xml:space="preserve"> </w:t>
      </w:r>
      <w:r w:rsidR="00DC138C">
        <w:t xml:space="preserve">to </w:t>
      </w:r>
      <w:r w:rsidR="00960CD1">
        <w:t>use uncertified power control solutions when equipment with a UL 3141 PCS is unavailable or infeasible for the customer’s needs.</w:t>
      </w:r>
    </w:p>
    <w:p w:rsidR="00A240DA" w:rsidP="00D44DB6" w:rsidRDefault="008A0AC4" w14:paraId="7C904E7A" w14:textId="45E11501">
      <w:pPr>
        <w:pStyle w:val="CoL"/>
      </w:pPr>
      <w:r>
        <w:t>It</w:t>
      </w:r>
      <w:r w:rsidR="00DC138C">
        <w:t xml:space="preserve"> is </w:t>
      </w:r>
      <w:r>
        <w:t xml:space="preserve">reasonable </w:t>
      </w:r>
      <w:r w:rsidR="00DC138C">
        <w:t xml:space="preserve">to require </w:t>
      </w:r>
      <w:r>
        <w:t>that</w:t>
      </w:r>
      <w:r w:rsidR="00DC138C">
        <w:t xml:space="preserve"> Standard Offer</w:t>
      </w:r>
      <w:r>
        <w:t xml:space="preserve"> customer load installed under the control of a certified UL 3141 PCS shall not comprise an increase in connected or metered load provided that the UL 3141 PCS setpoint does not exceed the total amount of other connected or metered loads.</w:t>
      </w:r>
    </w:p>
    <w:p w:rsidR="000A4F1D" w:rsidP="000A4F1D" w:rsidRDefault="00E23CD3" w14:paraId="357C6673" w14:textId="3D7D4651">
      <w:pPr>
        <w:pStyle w:val="CoL"/>
      </w:pPr>
      <w:r>
        <w:t xml:space="preserve">It is reasonable to </w:t>
      </w:r>
      <w:r w:rsidR="000A4F1D">
        <w:t xml:space="preserve">allow </w:t>
      </w:r>
      <w:r w:rsidR="00CF0AA0">
        <w:t xml:space="preserve">Standard Offer </w:t>
      </w:r>
      <w:r w:rsidR="000A4F1D">
        <w:t xml:space="preserve">customers and utilities to use mutually agreeable solutions to access safe harbor when equipment with a UL 3141 PCS is unavailable or infeasible for the customer’s needs. </w:t>
      </w:r>
    </w:p>
    <w:p w:rsidR="00A240DA" w:rsidP="00D44DB6" w:rsidRDefault="00E23CD3" w14:paraId="4979831B" w14:textId="40251B33">
      <w:pPr>
        <w:pStyle w:val="CoL"/>
      </w:pPr>
      <w:r>
        <w:t xml:space="preserve">It is reasonable to allow </w:t>
      </w:r>
      <w:r w:rsidR="00CF0AA0">
        <w:t xml:space="preserve">PG&amp;E and SCE </w:t>
      </w:r>
      <w:r>
        <w:t>to require that uncertified systems</w:t>
      </w:r>
      <w:r w:rsidR="00247E99">
        <w:t xml:space="preserve"> used by Standard Offer customers must</w:t>
      </w:r>
      <w:r>
        <w:t xml:space="preserve"> successfully undergo system commissioning in order for their controlled load to be provided safe harbor treatment.</w:t>
      </w:r>
    </w:p>
    <w:p w:rsidR="00A240DA" w:rsidP="00D44DB6" w:rsidRDefault="0082710A" w14:paraId="3C4361B7" w14:textId="105BCCD6">
      <w:pPr>
        <w:pStyle w:val="CoL"/>
      </w:pPr>
      <w:r>
        <w:t>It is reasonabl</w:t>
      </w:r>
      <w:r w:rsidR="005C239F">
        <w:t xml:space="preserve">e for IOUs providing a Standard Offer to apply the standard parameters for response time to UL 3141 or mutually agreeable </w:t>
      </w:r>
      <w:r w:rsidR="00252769">
        <w:t>PC</w:t>
      </w:r>
      <w:r w:rsidR="008424E5">
        <w:t>S</w:t>
      </w:r>
      <w:r w:rsidR="005C239F">
        <w:t xml:space="preserve"> used to </w:t>
      </w:r>
      <w:r w:rsidR="002B5DCE">
        <w:t>control site load.</w:t>
      </w:r>
    </w:p>
    <w:p w:rsidR="00C21E5E" w:rsidP="00C21E5E" w:rsidRDefault="00C21E5E" w14:paraId="48E8A6D8" w14:textId="77777777">
      <w:pPr>
        <w:pStyle w:val="CoL"/>
      </w:pPr>
      <w:r>
        <w:t>It is reasonable to not require telemetry as a part of the Standard Offer.</w:t>
      </w:r>
    </w:p>
    <w:p w:rsidR="00E47BC0" w:rsidP="00F41B3D" w:rsidRDefault="00C21E5E" w14:paraId="4D2539FB" w14:textId="32936646">
      <w:pPr>
        <w:pStyle w:val="CoL"/>
      </w:pPr>
      <w:r>
        <w:t xml:space="preserve">It is reasonable to require PG&amp;E and SCE to formalize their </w:t>
      </w:r>
      <w:r w:rsidR="00F3737A">
        <w:t xml:space="preserve">existing </w:t>
      </w:r>
      <w:r>
        <w:t>preliminary capacity assessment reports and</w:t>
      </w:r>
      <w:r w:rsidRPr="00A90613">
        <w:t xml:space="preserve"> </w:t>
      </w:r>
      <w:r>
        <w:t>align the process elements of their offerings to the extent practicable.</w:t>
      </w:r>
    </w:p>
    <w:p w:rsidR="00DC30DC" w:rsidP="00D44DB6" w:rsidRDefault="001567A9" w14:paraId="4100F97A" w14:textId="58B57C2B">
      <w:pPr>
        <w:pStyle w:val="CoL"/>
      </w:pPr>
      <w:r>
        <w:t>It is reasonable to set the target timeline between the customer application being deemed complete and the initial customer load limit conversation to an average of 30 days.</w:t>
      </w:r>
    </w:p>
    <w:p w:rsidR="008843FC" w:rsidP="00F94A69" w:rsidRDefault="008843FC" w14:paraId="7D2588B5" w14:textId="1F09660F">
      <w:pPr>
        <w:pStyle w:val="CoL"/>
      </w:pPr>
      <w:r>
        <w:lastRenderedPageBreak/>
        <w:t>It is reasonable to establish targets for the completion of IOU dependent steps within the Standard Offer and to track performance relative to these targets.</w:t>
      </w:r>
    </w:p>
    <w:p w:rsidR="00DC30DC" w:rsidP="00F94A69" w:rsidRDefault="003B1E6B" w14:paraId="680651D5" w14:textId="6A914F9D">
      <w:pPr>
        <w:pStyle w:val="CoL"/>
      </w:pPr>
      <w:r>
        <w:t>It is</w:t>
      </w:r>
      <w:r w:rsidRPr="003B1E6B">
        <w:t xml:space="preserve"> </w:t>
      </w:r>
      <w:r>
        <w:t xml:space="preserve">reasonable to set the target timeline between the final determination of load limits to the electronic delivery of the LLP schedule file and Standard Offer </w:t>
      </w:r>
      <w:r w:rsidR="00A30DCC">
        <w:t>Form A</w:t>
      </w:r>
      <w:r>
        <w:t>greement to 15 days</w:t>
      </w:r>
      <w:r w:rsidR="00D47A6D">
        <w:t>.</w:t>
      </w:r>
    </w:p>
    <w:p w:rsidR="00AD2472" w:rsidP="00F94A69" w:rsidRDefault="00AD2472" w14:paraId="1A857CA6" w14:textId="4F6976D7">
      <w:pPr>
        <w:pStyle w:val="CoL"/>
      </w:pPr>
      <w:r>
        <w:t xml:space="preserve">It is reasonable to direct </w:t>
      </w:r>
      <w:r w:rsidR="00804773">
        <w:t xml:space="preserve">PG&amp;E and SCE </w:t>
      </w:r>
      <w:r>
        <w:t>to track the initial costs of establishing and the ongoing costs of administering the Standard Offer, as well as the additional energy consumption enabled for each customer at an hourly level.</w:t>
      </w:r>
    </w:p>
    <w:p w:rsidR="00A76BBB" w:rsidP="002433F6" w:rsidRDefault="00855478" w14:paraId="5E9CE7FC" w14:textId="1C00E6F5">
      <w:pPr>
        <w:pStyle w:val="CoL"/>
      </w:pPr>
      <w:r>
        <w:t xml:space="preserve">It is reasonable </w:t>
      </w:r>
      <w:r w:rsidR="00804773">
        <w:t xml:space="preserve">to require </w:t>
      </w:r>
      <w:r>
        <w:t xml:space="preserve">PG&amp;E and SCE to </w:t>
      </w:r>
      <w:r w:rsidR="009A770A">
        <w:t xml:space="preserve">track data at a sufficient level of granularity to determine which individual projects </w:t>
      </w:r>
      <w:r w:rsidR="00A76BBB">
        <w:t>are cost-efficient and to include the specific data fields and levels of granularity for data tracking in the Implementation Advice Letter.</w:t>
      </w:r>
    </w:p>
    <w:p w:rsidR="001517F6" w:rsidP="001833D2" w:rsidRDefault="001517F6" w14:paraId="311BF10E" w14:textId="7BB67B7B">
      <w:pPr>
        <w:pStyle w:val="CoL"/>
      </w:pPr>
      <w:r>
        <w:t xml:space="preserve">It is reasonable </w:t>
      </w:r>
      <w:r w:rsidR="00A76BBB">
        <w:t xml:space="preserve">to require </w:t>
      </w:r>
      <w:r>
        <w:t xml:space="preserve">PG&amp;E and SCE to consult with the Commission’s Energy Division and include data useful to refining the Standard Offer in the biannual </w:t>
      </w:r>
      <w:r w:rsidR="006118F9">
        <w:t>reports required of them by D.24-09-020</w:t>
      </w:r>
      <w:r>
        <w:t>.</w:t>
      </w:r>
    </w:p>
    <w:p w:rsidR="001517F6" w:rsidP="001517F6" w:rsidRDefault="001517F6" w14:paraId="17FB62C8" w14:textId="77777777">
      <w:pPr>
        <w:pStyle w:val="CoL"/>
      </w:pPr>
      <w:r>
        <w:t>It is reasonable for SCE to assess LCMS parameters and report on learnings from their implementation in the LCMS pilot.</w:t>
      </w:r>
    </w:p>
    <w:p w:rsidR="001517F6" w:rsidP="001517F6" w:rsidRDefault="001517F6" w14:paraId="22094B14" w14:textId="77777777">
      <w:pPr>
        <w:pStyle w:val="CoL"/>
      </w:pPr>
      <w:r>
        <w:t>It is reasonable for PG&amp;E and SCE to formalize their informal preliminary capacity assessment reports within a tariffed offering.</w:t>
      </w:r>
    </w:p>
    <w:p w:rsidR="001517F6" w:rsidP="001517F6" w:rsidRDefault="001517F6" w14:paraId="1D9BDF1E" w14:textId="59920F7D">
      <w:pPr>
        <w:pStyle w:val="CoL"/>
      </w:pPr>
      <w:r>
        <w:t>It is reasonable to establish a target timeline of 30 days from when PG&amp;E and SCE receive a request until they provide the customer with the full preliminary capacity assessment results.</w:t>
      </w:r>
    </w:p>
    <w:p w:rsidR="00564396" w:rsidP="00564396" w:rsidRDefault="00564396" w14:paraId="5FE8ADAE" w14:textId="750822AD">
      <w:pPr>
        <w:pStyle w:val="CoL"/>
      </w:pPr>
      <w:r>
        <w:lastRenderedPageBreak/>
        <w:t>It is reasonable to clarify that, under D.24-09-020, the Large IOUs have the discretion to pause the target timelines when the circumstances do not warrant continued downstream project work.</w:t>
      </w:r>
    </w:p>
    <w:p w:rsidR="00BB0243" w:rsidP="00675BC4" w:rsidRDefault="005939A5" w14:paraId="02EC371A" w14:textId="77777777">
      <w:pPr>
        <w:pStyle w:val="Mainex"/>
        <w:spacing w:before="180"/>
      </w:pPr>
      <w:bookmarkStart w:name="_Toc220940232" w:id="124"/>
      <w:r>
        <w:t>O</w:t>
      </w:r>
      <w:r w:rsidR="00722850">
        <w:t>RDER</w:t>
      </w:r>
      <w:bookmarkEnd w:id="124"/>
    </w:p>
    <w:p w:rsidR="00BB0243" w:rsidP="000A6E05" w:rsidRDefault="00BB0243" w14:paraId="3B0AA3CE" w14:textId="77777777">
      <w:pPr>
        <w:keepNext/>
      </w:pPr>
      <w:r w:rsidRPr="00BB0243">
        <w:rPr>
          <w:b/>
        </w:rPr>
        <w:t>IT IS ORDERED</w:t>
      </w:r>
      <w:r>
        <w:t xml:space="preserve"> that:</w:t>
      </w:r>
    </w:p>
    <w:p w:rsidR="00932865" w:rsidP="001E2A62" w:rsidRDefault="0072080B" w14:paraId="223AFAFE" w14:textId="436B1A66">
      <w:pPr>
        <w:pStyle w:val="OP"/>
      </w:pPr>
      <w:r>
        <w:t>P</w:t>
      </w:r>
      <w:r w:rsidR="009E0EE2">
        <w:t xml:space="preserve">acific </w:t>
      </w:r>
      <w:r>
        <w:t>G</w:t>
      </w:r>
      <w:r w:rsidR="009E0EE2">
        <w:t xml:space="preserve">as </w:t>
      </w:r>
      <w:r w:rsidR="003E13AC">
        <w:t xml:space="preserve">and </w:t>
      </w:r>
      <w:r w:rsidR="00757478">
        <w:t>E</w:t>
      </w:r>
      <w:r w:rsidR="003E13AC">
        <w:t>lectric Company</w:t>
      </w:r>
      <w:r w:rsidR="00757478">
        <w:t xml:space="preserve"> and S</w:t>
      </w:r>
      <w:r w:rsidR="003E13AC">
        <w:t xml:space="preserve">outhern </w:t>
      </w:r>
      <w:r w:rsidR="00757478">
        <w:t>C</w:t>
      </w:r>
      <w:r w:rsidR="003E13AC">
        <w:t xml:space="preserve">alifornia </w:t>
      </w:r>
      <w:r w:rsidR="00757478">
        <w:t>E</w:t>
      </w:r>
      <w:r w:rsidR="003E13AC">
        <w:t>dison Company</w:t>
      </w:r>
      <w:r w:rsidR="00757478">
        <w:t xml:space="preserve"> shall file a</w:t>
      </w:r>
      <w:r w:rsidR="003E13AC">
        <w:t xml:space="preserve"> joint</w:t>
      </w:r>
      <w:r w:rsidR="00757478">
        <w:t xml:space="preserve"> Tier 2 Advice </w:t>
      </w:r>
      <w:r w:rsidR="009E7BE2">
        <w:t>L</w:t>
      </w:r>
      <w:r w:rsidR="00757478">
        <w:t xml:space="preserve">etter </w:t>
      </w:r>
      <w:r w:rsidR="00605428">
        <w:t xml:space="preserve">establishing a </w:t>
      </w:r>
      <w:r w:rsidR="00A30DCC">
        <w:t xml:space="preserve">tariffed </w:t>
      </w:r>
      <w:r w:rsidR="00605428">
        <w:t xml:space="preserve">Standard Offering Flexible Service Connection </w:t>
      </w:r>
      <w:r w:rsidR="00A30DCC">
        <w:t xml:space="preserve">Form Agreement </w:t>
      </w:r>
      <w:r w:rsidR="009E0EE2">
        <w:t xml:space="preserve">according to the direction provided in this decision </w:t>
      </w:r>
      <w:r w:rsidR="00757478">
        <w:t xml:space="preserve">within </w:t>
      </w:r>
      <w:r w:rsidR="00D91BD9">
        <w:t xml:space="preserve">60 </w:t>
      </w:r>
      <w:r w:rsidR="00477EF1">
        <w:t>d</w:t>
      </w:r>
      <w:r w:rsidR="00605428">
        <w:t>ays of</w:t>
      </w:r>
      <w:r w:rsidR="00C95A56">
        <w:t xml:space="preserve"> the issuance of</w:t>
      </w:r>
      <w:r w:rsidR="00605428">
        <w:t xml:space="preserve"> </w:t>
      </w:r>
      <w:r w:rsidR="009E0EE2">
        <w:t>this decision.</w:t>
      </w:r>
    </w:p>
    <w:p w:rsidR="003E4340" w:rsidP="00754B4E" w:rsidRDefault="00F94A69" w14:paraId="59F4E39D" w14:textId="0BC2782F">
      <w:pPr>
        <w:pStyle w:val="OP"/>
      </w:pPr>
      <w:r w:rsidRPr="00F94A69">
        <w:t xml:space="preserve">Pacific Gas and Electric Company and Southern California Edison Company </w:t>
      </w:r>
      <w:r w:rsidR="003E4340">
        <w:t xml:space="preserve">shall file a Tier 1 </w:t>
      </w:r>
      <w:r w:rsidR="009E7BE2">
        <w:t>Ad</w:t>
      </w:r>
      <w:r w:rsidR="003E4340">
        <w:t xml:space="preserve">vice </w:t>
      </w:r>
      <w:r w:rsidR="009E7BE2">
        <w:t>L</w:t>
      </w:r>
      <w:r w:rsidR="003E4340">
        <w:t xml:space="preserve">etter modifying their Tariff Rule 2 and 3 language </w:t>
      </w:r>
      <w:r w:rsidR="00BC5AEB">
        <w:t xml:space="preserve">as specified in the appendices to this decision </w:t>
      </w:r>
      <w:r w:rsidR="003E4340">
        <w:t xml:space="preserve">within 15 days of the </w:t>
      </w:r>
      <w:r w:rsidR="000863BC">
        <w:t xml:space="preserve">issuance </w:t>
      </w:r>
      <w:r w:rsidR="003E4340">
        <w:t xml:space="preserve">of this decision. </w:t>
      </w:r>
    </w:p>
    <w:p w:rsidR="0074580C" w:rsidP="0074580C" w:rsidRDefault="0074580C" w14:paraId="0236FD04" w14:textId="77777777">
      <w:pPr>
        <w:pStyle w:val="OP"/>
      </w:pPr>
      <w:r>
        <w:t>Pacific Gas and Electric Company and Southern California Edison shall file a Tier 2 Advice Letter to modify the Standard Form Agreement as necessary.</w:t>
      </w:r>
    </w:p>
    <w:p w:rsidR="00913212" w:rsidP="001E2A62" w:rsidRDefault="00F94A69" w14:paraId="2D6C8255" w14:textId="4CC175B2">
      <w:pPr>
        <w:pStyle w:val="OP"/>
      </w:pPr>
      <w:r w:rsidRPr="00F94A69">
        <w:t xml:space="preserve">Pacific Gas and Electric Company and Southern California Edison Company </w:t>
      </w:r>
      <w:r w:rsidR="00E03CED">
        <w:t xml:space="preserve">shall </w:t>
      </w:r>
      <w:r w:rsidR="00A528CB">
        <w:t xml:space="preserve">file, in this </w:t>
      </w:r>
      <w:r w:rsidR="004B382E">
        <w:t xml:space="preserve">proceeding </w:t>
      </w:r>
      <w:r w:rsidR="000863BC">
        <w:t>and any</w:t>
      </w:r>
      <w:r w:rsidR="004B382E">
        <w:t xml:space="preserve"> successor</w:t>
      </w:r>
      <w:r w:rsidRPr="003A46EF" w:rsidR="003A46EF">
        <w:t xml:space="preserve"> </w:t>
      </w:r>
      <w:r w:rsidR="000863BC">
        <w:t xml:space="preserve">proceeding </w:t>
      </w:r>
      <w:r w:rsidR="003A46EF">
        <w:t>by January</w:t>
      </w:r>
      <w:r w:rsidR="00675BC4">
        <w:t> </w:t>
      </w:r>
      <w:r w:rsidR="003A46EF">
        <w:t>15, 2029</w:t>
      </w:r>
      <w:r w:rsidR="004B382E">
        <w:t xml:space="preserve">, a report summarizing the costs, additional energy consumption enabled, assessment of the </w:t>
      </w:r>
      <w:r w:rsidR="009A7CD6">
        <w:t>Standard Offer Static Flexible Service Connection’s (</w:t>
      </w:r>
      <w:r w:rsidR="004B382E">
        <w:t>Standard Offer’s</w:t>
      </w:r>
      <w:r w:rsidR="009A7CD6">
        <w:t>)</w:t>
      </w:r>
      <w:r w:rsidR="004B382E">
        <w:t xml:space="preserve"> cost-efficiency, and a</w:t>
      </w:r>
      <w:r w:rsidR="007A71DB">
        <w:t xml:space="preserve"> quantitative</w:t>
      </w:r>
      <w:r w:rsidR="004B382E">
        <w:t xml:space="preserve"> assessment of the effect the Standard Offer has had upon </w:t>
      </w:r>
      <w:r w:rsidR="007A71DB">
        <w:t>its revenue</w:t>
      </w:r>
      <w:r w:rsidR="00797A4E">
        <w:t xml:space="preserve"> </w:t>
      </w:r>
      <w:r w:rsidR="00BE57F7">
        <w:t>requirement</w:t>
      </w:r>
      <w:r w:rsidR="004B382E">
        <w:t>.</w:t>
      </w:r>
    </w:p>
    <w:p w:rsidR="00C63910" w:rsidP="00C63910" w:rsidRDefault="00C63910" w14:paraId="4FF12A4D" w14:textId="08AE8783">
      <w:pPr>
        <w:pStyle w:val="OP"/>
      </w:pPr>
      <w:r>
        <w:t xml:space="preserve">Pacific Gas and Electric Company and Southern California Edison Company shall report on Standard Offer Flexible Service Connections (Standard Offer) data, as listed in Appendix C to this decision, </w:t>
      </w:r>
      <w:r w:rsidR="00FF06DC">
        <w:t xml:space="preserve">and </w:t>
      </w:r>
      <w:r w:rsidR="001C72F9">
        <w:t>Preliminary Capacity Assessment data as discussed in Section 10 of this decision,</w:t>
      </w:r>
      <w:r w:rsidR="00E24BB1">
        <w:t xml:space="preserve"> </w:t>
      </w:r>
      <w:r>
        <w:t xml:space="preserve">to inform future Standard Offer requirements in the biannual reports directed in </w:t>
      </w:r>
      <w:r>
        <w:lastRenderedPageBreak/>
        <w:t>D</w:t>
      </w:r>
      <w:r w:rsidR="00675BC4">
        <w:t>ecision </w:t>
      </w:r>
      <w:r>
        <w:t>24</w:t>
      </w:r>
      <w:r w:rsidR="00675BC4">
        <w:noBreakHyphen/>
      </w:r>
      <w:r>
        <w:t>09</w:t>
      </w:r>
      <w:r w:rsidR="00675BC4">
        <w:noBreakHyphen/>
      </w:r>
      <w:r>
        <w:t xml:space="preserve">020, starting with the </w:t>
      </w:r>
      <w:r w:rsidR="00D91BD9">
        <w:t xml:space="preserve">March </w:t>
      </w:r>
      <w:r>
        <w:t>3</w:t>
      </w:r>
      <w:r w:rsidR="005949FF">
        <w:t>1</w:t>
      </w:r>
      <w:r>
        <w:t>, 2026 report.  These utilities shall consult with the Commission’s Energy Division to finalize the list of Standard Offer data appropriate for inclusion in biannual reporting.</w:t>
      </w:r>
    </w:p>
    <w:p w:rsidR="00FA1EDB" w:rsidP="00FA1EDB" w:rsidRDefault="00FA1EDB" w14:paraId="71EC1A5F" w14:textId="2554AB5D">
      <w:pPr>
        <w:pStyle w:val="OP"/>
      </w:pPr>
      <w:r>
        <w:t>S</w:t>
      </w:r>
      <w:r w:rsidR="00C63910">
        <w:t>outhern California Edison Company</w:t>
      </w:r>
      <w:r>
        <w:t xml:space="preserve"> shall prepare and file a report assessing learnings from the </w:t>
      </w:r>
      <w:r w:rsidRPr="00675BC4" w:rsidR="00675BC4">
        <w:t xml:space="preserve">Load Control Management Study </w:t>
      </w:r>
      <w:r>
        <w:t xml:space="preserve">pilot within this </w:t>
      </w:r>
      <w:r w:rsidR="00E000B7">
        <w:t xml:space="preserve">proceeding </w:t>
      </w:r>
      <w:r>
        <w:t>and in R</w:t>
      </w:r>
      <w:r w:rsidR="00675BC4">
        <w:t>ulemaking </w:t>
      </w:r>
      <w:r>
        <w:t>21</w:t>
      </w:r>
      <w:r w:rsidR="00675BC4">
        <w:noBreakHyphen/>
      </w:r>
      <w:r>
        <w:t>06</w:t>
      </w:r>
      <w:r w:rsidR="00675BC4">
        <w:noBreakHyphen/>
      </w:r>
      <w:r>
        <w:t xml:space="preserve">017, by </w:t>
      </w:r>
      <w:r w:rsidR="00A404F2">
        <w:t xml:space="preserve">March </w:t>
      </w:r>
      <w:r>
        <w:t>1, 2026</w:t>
      </w:r>
      <w:r w:rsidR="0059446B">
        <w:t xml:space="preserve"> and update </w:t>
      </w:r>
      <w:r w:rsidR="00D90F64">
        <w:t>it as specified in Section 9</w:t>
      </w:r>
      <w:r>
        <w:t>.</w:t>
      </w:r>
    </w:p>
    <w:p w:rsidR="00CA3EF2" w:rsidP="00CA3EF2" w:rsidRDefault="00CA3EF2" w14:paraId="363F8D4E" w14:textId="65D835B3">
      <w:pPr>
        <w:pStyle w:val="OP"/>
      </w:pPr>
      <w:r>
        <w:t xml:space="preserve">Pacific Gas and Electric Company and Southern California Edison Company shall file, no later than </w:t>
      </w:r>
      <w:r w:rsidR="00D91BD9">
        <w:t xml:space="preserve">75 </w:t>
      </w:r>
      <w:r>
        <w:t xml:space="preserve">days from the issuance of this decision, a Tier 2 advice letter formalizing their preliminary capacity assessment offerings as directed in </w:t>
      </w:r>
      <w:r w:rsidR="009261C8">
        <w:t>S</w:t>
      </w:r>
      <w:r>
        <w:t xml:space="preserve">ection </w:t>
      </w:r>
      <w:r w:rsidR="009261C8">
        <w:t>T</w:t>
      </w:r>
      <w:r w:rsidR="00BE5E07">
        <w:t xml:space="preserve">en </w:t>
      </w:r>
      <w:r>
        <w:t>of this decision.</w:t>
      </w:r>
    </w:p>
    <w:p w:rsidR="00F6397D" w:rsidP="00F94A69" w:rsidRDefault="00E23CBB" w14:paraId="4BBBB4FE" w14:textId="2441DD81">
      <w:pPr>
        <w:pStyle w:val="OP"/>
        <w:keepNext/>
      </w:pPr>
      <w:r w:rsidRPr="001E2A62">
        <w:t>Rulemaking</w:t>
      </w:r>
      <w:r w:rsidR="00767B55">
        <w:t> </w:t>
      </w:r>
      <w:r w:rsidR="00A007FA">
        <w:t>24</w:t>
      </w:r>
      <w:r w:rsidRPr="001E2A62">
        <w:t>-</w:t>
      </w:r>
      <w:r w:rsidR="00A007FA">
        <w:t>01</w:t>
      </w:r>
      <w:r w:rsidRPr="001E2A62">
        <w:t>-</w:t>
      </w:r>
      <w:r w:rsidR="00A007FA">
        <w:t>018</w:t>
      </w:r>
      <w:r w:rsidRPr="001E2A62">
        <w:t xml:space="preserve"> </w:t>
      </w:r>
      <w:r w:rsidR="00A007FA">
        <w:t>remains open</w:t>
      </w:r>
      <w:r w:rsidRPr="001E2A62">
        <w:t>.</w:t>
      </w:r>
    </w:p>
    <w:p w:rsidR="008F0116" w:rsidP="00F94A69" w:rsidRDefault="008F0116" w14:paraId="7B1B627D" w14:textId="77777777">
      <w:pPr>
        <w:keepNext/>
      </w:pPr>
      <w:r>
        <w:t>This order is effective today.</w:t>
      </w:r>
    </w:p>
    <w:p w:rsidR="00AE7EEE" w:rsidP="00F94A69" w:rsidRDefault="008F0116" w14:paraId="1F578029" w14:textId="77777777">
      <w:pPr>
        <w:keepNext/>
      </w:pPr>
      <w:r>
        <w:t xml:space="preserve">Dated </w:t>
      </w:r>
      <w:r>
        <w:rPr>
          <w:u w:val="single"/>
        </w:rPr>
        <w:tab/>
      </w:r>
      <w:r>
        <w:rPr>
          <w:u w:val="single"/>
        </w:rPr>
        <w:tab/>
      </w:r>
      <w:r>
        <w:rPr>
          <w:u w:val="single"/>
        </w:rPr>
        <w:tab/>
      </w:r>
      <w:r>
        <w:rPr>
          <w:u w:val="single"/>
        </w:rPr>
        <w:tab/>
      </w:r>
      <w:r>
        <w:rPr>
          <w:u w:val="single"/>
        </w:rPr>
        <w:tab/>
      </w:r>
      <w:r>
        <w:t>, at Sa</w:t>
      </w:r>
      <w:r w:rsidR="00F94A69">
        <w:t>cramento,</w:t>
      </w:r>
      <w:r>
        <w:t xml:space="preserve"> California</w:t>
      </w:r>
    </w:p>
    <w:p w:rsidR="00F94A69" w:rsidP="00F94A69" w:rsidRDefault="00F94A69" w14:paraId="608E4BD4" w14:textId="77777777">
      <w:pPr>
        <w:keepNext/>
      </w:pPr>
    </w:p>
    <w:p w:rsidR="00F94A69" w:rsidP="00F94A69" w:rsidRDefault="00F94A69" w14:paraId="6F1C67A1" w14:textId="77777777">
      <w:pPr>
        <w:keepNext/>
      </w:pPr>
    </w:p>
    <w:p w:rsidR="00F94A69" w:rsidP="00F94A69" w:rsidRDefault="00F94A69" w14:paraId="065D5244" w14:textId="77777777">
      <w:pPr>
        <w:keepNext/>
      </w:pPr>
    </w:p>
    <w:p w:rsidR="00F94A69" w:rsidP="00816E05" w:rsidRDefault="00F94A69" w14:paraId="758B30ED" w14:textId="78DE3E18">
      <w:pPr>
        <w:sectPr w:rsidR="00F94A69" w:rsidSect="00767B55">
          <w:footerReference w:type="default" r:id="rId15"/>
          <w:pgSz w:w="12240" w:h="15840"/>
          <w:pgMar w:top="1728" w:right="1440" w:bottom="1440" w:left="1440" w:header="720" w:footer="720" w:gutter="0"/>
          <w:pgNumType w:start="2"/>
          <w:cols w:space="720"/>
          <w:docGrid w:linePitch="360"/>
        </w:sectPr>
      </w:pPr>
    </w:p>
    <w:p w:rsidR="00D7077C" w:rsidP="00767B55" w:rsidRDefault="00D7077C" w14:paraId="174E7B33" w14:textId="77777777">
      <w:pPr>
        <w:ind w:firstLine="0"/>
        <w:jc w:val="center"/>
      </w:pPr>
    </w:p>
    <w:p w:rsidR="00767B55" w:rsidP="00767B55" w:rsidRDefault="00767B55" w14:paraId="437C0AA6" w14:textId="77777777">
      <w:pPr>
        <w:ind w:firstLine="0"/>
        <w:jc w:val="center"/>
      </w:pPr>
    </w:p>
    <w:p w:rsidR="00767B55" w:rsidP="00767B55" w:rsidRDefault="00AE7EEE" w14:paraId="1D499974" w14:textId="0A5F6A47">
      <w:pPr>
        <w:spacing w:line="240" w:lineRule="auto"/>
        <w:ind w:firstLine="0"/>
        <w:jc w:val="center"/>
        <w:sectPr w:rsidR="00767B55" w:rsidSect="00767B55">
          <w:footerReference w:type="default" r:id="rId16"/>
          <w:pgSz w:w="12240" w:h="15840"/>
          <w:pgMar w:top="1728" w:right="1440" w:bottom="1440" w:left="1440" w:header="720" w:footer="720" w:gutter="0"/>
          <w:pgNumType w:start="2"/>
          <w:cols w:space="720"/>
          <w:docGrid w:linePitch="360"/>
        </w:sectPr>
      </w:pPr>
      <w:r>
        <w:t>APPENDIX</w:t>
      </w:r>
      <w:r w:rsidR="00D7077C">
        <w:t xml:space="preserve"> A:</w:t>
      </w:r>
      <w:r w:rsidR="00767B55">
        <w:br/>
      </w:r>
      <w:r w:rsidR="00D7077C">
        <w:t>Next Steps Effort Definitions</w:t>
      </w:r>
    </w:p>
    <w:p w:rsidRPr="00AE7EEE" w:rsidR="00DC5437" w:rsidP="00F94A69" w:rsidRDefault="00AE7EEE" w14:paraId="41BB3653" w14:textId="3EB2DDDD">
      <w:pPr>
        <w:spacing w:before="480" w:after="240"/>
        <w:ind w:firstLine="0"/>
        <w:jc w:val="center"/>
        <w:rPr>
          <w:b/>
          <w:bCs/>
          <w:u w:val="single"/>
        </w:rPr>
      </w:pPr>
      <w:r w:rsidRPr="00AE7EEE">
        <w:rPr>
          <w:b/>
          <w:bCs/>
          <w:u w:val="single"/>
        </w:rPr>
        <w:lastRenderedPageBreak/>
        <w:t>Next Steps Effort Definitions</w:t>
      </w:r>
    </w:p>
    <w:p w:rsidRPr="00385940" w:rsidR="0012794E" w:rsidP="00F41B3D" w:rsidRDefault="0012794E" w14:paraId="79144EAA" w14:textId="43A6D9B4">
      <w:pPr>
        <w:pStyle w:val="ListParagraph"/>
        <w:numPr>
          <w:ilvl w:val="0"/>
          <w:numId w:val="5"/>
        </w:numPr>
        <w:rPr>
          <w:rFonts w:eastAsia="Calibri" w:cs="Calibri"/>
        </w:rPr>
      </w:pPr>
      <w:r w:rsidRPr="00F41B3D">
        <w:rPr>
          <w:rFonts w:eastAsia="Calibri" w:cs="Calibri"/>
          <w:b/>
          <w:bCs/>
        </w:rPr>
        <w:t>Bridging Solution</w:t>
      </w:r>
      <w:r>
        <w:rPr>
          <w:rFonts w:eastAsia="Calibri" w:cs="Calibri"/>
        </w:rPr>
        <w:t xml:space="preserve"> is defined as</w:t>
      </w:r>
      <w:r w:rsidRPr="00C00B6F">
        <w:rPr>
          <w:rFonts w:eastAsia="Calibri" w:cs="Calibri"/>
        </w:rPr>
        <w:t xml:space="preserve"> </w:t>
      </w:r>
      <w:r w:rsidR="00B42078">
        <w:rPr>
          <w:rFonts w:eastAsia="Calibri" w:cs="Calibri"/>
        </w:rPr>
        <w:t>a t</w:t>
      </w:r>
      <w:r w:rsidRPr="00C00B6F">
        <w:rPr>
          <w:rFonts w:eastAsia="Calibri" w:cs="Calibri"/>
        </w:rPr>
        <w:t>emporary measure that allow</w:t>
      </w:r>
      <w:r w:rsidR="00B42078">
        <w:rPr>
          <w:rFonts w:eastAsia="Calibri" w:cs="Calibri"/>
        </w:rPr>
        <w:t>s</w:t>
      </w:r>
      <w:r w:rsidRPr="00C00B6F">
        <w:rPr>
          <w:rFonts w:eastAsia="Calibri" w:cs="Calibri"/>
        </w:rPr>
        <w:t xml:space="preserve"> a customer full or partial</w:t>
      </w:r>
      <w:r>
        <w:rPr>
          <w:rFonts w:eastAsia="Calibri" w:cs="Calibri"/>
        </w:rPr>
        <w:t xml:space="preserve"> </w:t>
      </w:r>
      <w:r w:rsidRPr="00C00B6F">
        <w:rPr>
          <w:rFonts w:eastAsia="Calibri" w:cs="Calibri"/>
        </w:rPr>
        <w:t xml:space="preserve">energization of new load earlier than otherwise possible </w:t>
      </w:r>
      <w:r>
        <w:rPr>
          <w:rFonts w:eastAsia="Calibri" w:cs="Calibri"/>
        </w:rPr>
        <w:t xml:space="preserve">when that customer is constrained by </w:t>
      </w:r>
      <w:r w:rsidRPr="00C00B6F">
        <w:rPr>
          <w:rFonts w:eastAsia="Calibri" w:cs="Calibri"/>
        </w:rPr>
        <w:t>capacity limitations.</w:t>
      </w:r>
    </w:p>
    <w:p w:rsidRPr="00CF6191" w:rsidR="00F02A96" w:rsidP="00F41B3D" w:rsidRDefault="00F02A96" w14:paraId="17399F33" w14:textId="329FDFD8">
      <w:pPr>
        <w:pStyle w:val="ListParagraph"/>
        <w:numPr>
          <w:ilvl w:val="0"/>
          <w:numId w:val="5"/>
        </w:numPr>
        <w:rPr>
          <w:rFonts w:eastAsia="Calibri" w:cs="Calibri"/>
        </w:rPr>
      </w:pPr>
      <w:r w:rsidRPr="00D10F19">
        <w:rPr>
          <w:b/>
          <w:bCs/>
        </w:rPr>
        <w:t>F</w:t>
      </w:r>
      <w:r>
        <w:rPr>
          <w:b/>
          <w:bCs/>
        </w:rPr>
        <w:t xml:space="preserve">lexible </w:t>
      </w:r>
      <w:r w:rsidRPr="00D10F19">
        <w:rPr>
          <w:b/>
          <w:bCs/>
        </w:rPr>
        <w:t>S</w:t>
      </w:r>
      <w:r>
        <w:rPr>
          <w:b/>
          <w:bCs/>
        </w:rPr>
        <w:t xml:space="preserve">ervice </w:t>
      </w:r>
      <w:r w:rsidRPr="00D10F19">
        <w:rPr>
          <w:b/>
          <w:bCs/>
        </w:rPr>
        <w:t>C</w:t>
      </w:r>
      <w:r>
        <w:rPr>
          <w:b/>
          <w:bCs/>
        </w:rPr>
        <w:t>onnection (FSC)</w:t>
      </w:r>
      <w:r w:rsidRPr="00D10F19">
        <w:t xml:space="preserve"> </w:t>
      </w:r>
      <w:r w:rsidRPr="00110F4B" w:rsidR="00CF6191">
        <w:rPr>
          <w:rFonts w:eastAsia="Calibri" w:cs="Calibri"/>
        </w:rPr>
        <w:t>is defined as a means of energizing new load to a utility's distribution system under specified import limits and operational conditions</w:t>
      </w:r>
      <w:r w:rsidR="00A61825">
        <w:rPr>
          <w:rFonts w:eastAsia="Calibri" w:cs="Calibri"/>
        </w:rPr>
        <w:t xml:space="preserve"> tha</w:t>
      </w:r>
      <w:r w:rsidR="0038686B">
        <w:rPr>
          <w:rFonts w:eastAsia="Calibri" w:cs="Calibri"/>
        </w:rPr>
        <w:t>t vary over time</w:t>
      </w:r>
      <w:r w:rsidRPr="00110F4B" w:rsidR="00CF6191">
        <w:rPr>
          <w:rFonts w:eastAsia="Calibri" w:cs="Calibri"/>
        </w:rPr>
        <w:t xml:space="preserve">. </w:t>
      </w:r>
      <w:r w:rsidRPr="00D10F19">
        <w:t xml:space="preserve"> </w:t>
      </w:r>
    </w:p>
    <w:p w:rsidRPr="00D10F19" w:rsidR="00F02A96" w:rsidP="00BE0CDB" w:rsidRDefault="00F02A96" w14:paraId="189D1DA1" w14:textId="458F14DF">
      <w:pPr>
        <w:pStyle w:val="Standard"/>
        <w:numPr>
          <w:ilvl w:val="0"/>
          <w:numId w:val="4"/>
        </w:numPr>
      </w:pPr>
      <w:r w:rsidRPr="00D10F19">
        <w:rPr>
          <w:b/>
          <w:bCs/>
        </w:rPr>
        <w:t xml:space="preserve">Flexible </w:t>
      </w:r>
      <w:r>
        <w:rPr>
          <w:b/>
          <w:bCs/>
        </w:rPr>
        <w:t>E</w:t>
      </w:r>
      <w:r w:rsidRPr="00D10F19">
        <w:rPr>
          <w:b/>
          <w:bCs/>
        </w:rPr>
        <w:t xml:space="preserve">nergization </w:t>
      </w:r>
      <w:r>
        <w:rPr>
          <w:b/>
          <w:bCs/>
        </w:rPr>
        <w:t>T</w:t>
      </w:r>
      <w:r w:rsidRPr="00D10F19">
        <w:rPr>
          <w:b/>
          <w:bCs/>
        </w:rPr>
        <w:t>ariff</w:t>
      </w:r>
      <w:r w:rsidR="0094715A">
        <w:rPr>
          <w:b/>
          <w:bCs/>
        </w:rPr>
        <w:t xml:space="preserve"> (FET)</w:t>
      </w:r>
      <w:r w:rsidRPr="00D10F19">
        <w:t xml:space="preserve"> </w:t>
      </w:r>
      <w:r>
        <w:t>is</w:t>
      </w:r>
      <w:r w:rsidRPr="00D10F19">
        <w:t xml:space="preserve"> the set of rules and requirements for expeditiously energizing new load to a utility's distribution system</w:t>
      </w:r>
      <w:r w:rsidR="00AE4988">
        <w:t xml:space="preserve"> under a</w:t>
      </w:r>
      <w:r w:rsidR="00471075">
        <w:t xml:space="preserve"> Flexible Service Connection</w:t>
      </w:r>
      <w:r w:rsidRPr="00D10F19">
        <w:t xml:space="preserve">. It includes some or all of the rules governing the energization process including Rule 2, Rule 15, and Rule 16, </w:t>
      </w:r>
      <w:r>
        <w:t>as well as the Electric Vehicle</w:t>
      </w:r>
      <w:r w:rsidRPr="00D10F19">
        <w:t xml:space="preserve"> Rule 29 and Rule 45. </w:t>
      </w:r>
    </w:p>
    <w:p w:rsidRPr="00D10F19" w:rsidR="00F02A96" w:rsidP="00BE0CDB" w:rsidRDefault="00F02A96" w14:paraId="5E866282" w14:textId="77777777">
      <w:pPr>
        <w:pStyle w:val="Standard"/>
        <w:numPr>
          <w:ilvl w:val="0"/>
          <w:numId w:val="4"/>
        </w:numPr>
      </w:pPr>
      <w:r w:rsidRPr="00D10F19">
        <w:rPr>
          <w:b/>
          <w:bCs/>
        </w:rPr>
        <w:t>Flexible Service</w:t>
      </w:r>
      <w:r>
        <w:rPr>
          <w:b/>
          <w:bCs/>
        </w:rPr>
        <w:t xml:space="preserve"> Connection</w:t>
      </w:r>
      <w:r w:rsidRPr="00D10F19">
        <w:rPr>
          <w:b/>
          <w:bCs/>
        </w:rPr>
        <w:t xml:space="preserve"> Agreement (FS</w:t>
      </w:r>
      <w:r>
        <w:rPr>
          <w:b/>
          <w:bCs/>
        </w:rPr>
        <w:t>C</w:t>
      </w:r>
      <w:r w:rsidRPr="00D10F19">
        <w:rPr>
          <w:b/>
          <w:bCs/>
        </w:rPr>
        <w:t xml:space="preserve">A) </w:t>
      </w:r>
      <w:r w:rsidRPr="00D10F19">
        <w:t>means a contract between a Distribution System Operator and a customer connecting load to the distribution system; th</w:t>
      </w:r>
      <w:r>
        <w:t>is</w:t>
      </w:r>
      <w:r w:rsidRPr="00D10F19">
        <w:t xml:space="preserve"> agreement </w:t>
      </w:r>
      <w:r>
        <w:t>articulates</w:t>
      </w:r>
      <w:r w:rsidRPr="00D10F19">
        <w:t xml:space="preserve"> limits </w:t>
      </w:r>
      <w:r>
        <w:t>on</w:t>
      </w:r>
      <w:r w:rsidRPr="00D10F19">
        <w:t xml:space="preserve"> the amount of</w:t>
      </w:r>
      <w:r>
        <w:t xml:space="preserve"> </w:t>
      </w:r>
      <w:r w:rsidRPr="00D10F19">
        <w:t>electricity</w:t>
      </w:r>
      <w:r>
        <w:t xml:space="preserve"> imported</w:t>
      </w:r>
      <w:r w:rsidRPr="00D10F19">
        <w:t xml:space="preserve"> from the distribution system</w:t>
      </w:r>
      <w:r>
        <w:t xml:space="preserve"> at specific times</w:t>
      </w:r>
      <w:r w:rsidRPr="00D10F19">
        <w:t>.</w:t>
      </w:r>
    </w:p>
    <w:p w:rsidRPr="00D10F19" w:rsidR="00F02A96" w:rsidP="00BE0CDB" w:rsidRDefault="00F02A96" w14:paraId="647DF7D5" w14:textId="77777777">
      <w:pPr>
        <w:pStyle w:val="Standard"/>
        <w:numPr>
          <w:ilvl w:val="0"/>
          <w:numId w:val="4"/>
        </w:numPr>
      </w:pPr>
      <w:r w:rsidRPr="00D10F19">
        <w:rPr>
          <w:b/>
          <w:bCs/>
        </w:rPr>
        <w:t>Limited Load Profile (LLP)</w:t>
      </w:r>
      <w:r w:rsidRPr="00D10F19">
        <w:t xml:space="preserve"> means a profile</w:t>
      </w:r>
      <w:r>
        <w:t xml:space="preserve">, </w:t>
      </w:r>
      <w:r w:rsidRPr="00D10F19">
        <w:t>or schedule</w:t>
      </w:r>
      <w:r>
        <w:t>,</w:t>
      </w:r>
      <w:r w:rsidRPr="00D10F19">
        <w:t xml:space="preserve"> to be attached to service agreements governing energization of loads. It contains information on the maximum </w:t>
      </w:r>
      <w:r>
        <w:t>power</w:t>
      </w:r>
      <w:r w:rsidRPr="00D10F19">
        <w:t xml:space="preserve"> that can be imported from the grid by the customer at any given time. </w:t>
      </w:r>
    </w:p>
    <w:p w:rsidR="00F02A96" w:rsidP="00BE0CDB" w:rsidRDefault="00F02A96" w14:paraId="4F9981B7" w14:textId="0C0AE22C">
      <w:pPr>
        <w:pStyle w:val="Standard"/>
        <w:numPr>
          <w:ilvl w:val="1"/>
          <w:numId w:val="4"/>
        </w:numPr>
      </w:pPr>
      <w:r w:rsidRPr="00BC7CD7">
        <w:rPr>
          <w:b/>
          <w:bCs/>
        </w:rPr>
        <w:t>Firm Capacity</w:t>
      </w:r>
      <w:r>
        <w:t xml:space="preserve"> is capacity that remains </w:t>
      </w:r>
      <w:r w:rsidR="00826533">
        <w:t>available</w:t>
      </w:r>
      <w:r>
        <w:t xml:space="preserve"> as long as the FSCA remains in place.</w:t>
      </w:r>
    </w:p>
    <w:p w:rsidRPr="00BC7CD7" w:rsidR="00F02A96" w:rsidP="00BE0CDB" w:rsidRDefault="00F02A96" w14:paraId="4F12336E" w14:textId="1CE50F35">
      <w:pPr>
        <w:pStyle w:val="Standard"/>
        <w:numPr>
          <w:ilvl w:val="1"/>
          <w:numId w:val="4"/>
        </w:numPr>
      </w:pPr>
      <w:r w:rsidRPr="000773BA">
        <w:rPr>
          <w:b/>
          <w:bCs/>
        </w:rPr>
        <w:lastRenderedPageBreak/>
        <w:t>Non-Firm Capacity</w:t>
      </w:r>
      <w:r w:rsidRPr="000773BA">
        <w:t xml:space="preserve"> is capacity </w:t>
      </w:r>
      <w:r>
        <w:t>that can change in response</w:t>
      </w:r>
      <w:r w:rsidRPr="0098739F">
        <w:t xml:space="preserve"> to</w:t>
      </w:r>
      <w:r w:rsidRPr="0098739F" w:rsidR="0098739F">
        <w:t xml:space="preserve"> </w:t>
      </w:r>
      <w:r w:rsidRPr="0098739F" w:rsidR="0098739F">
        <w:rPr>
          <w:rFonts w:eastAsia="Calibri" w:cs="Calibri"/>
        </w:rPr>
        <w:t>real-time or forecasted grid conditions as specified by</w:t>
      </w:r>
      <w:r w:rsidRPr="0098739F">
        <w:t xml:space="preserve"> </w:t>
      </w:r>
      <w:r>
        <w:t>provisions articulated in the FSCA.</w:t>
      </w:r>
    </w:p>
    <w:p w:rsidRPr="00BC7CD7" w:rsidR="00F02A96" w:rsidP="00BE0CDB" w:rsidRDefault="00F02A96" w14:paraId="084BD6A9" w14:textId="77777777">
      <w:pPr>
        <w:pStyle w:val="Standard"/>
        <w:numPr>
          <w:ilvl w:val="1"/>
          <w:numId w:val="4"/>
        </w:numPr>
      </w:pPr>
      <w:r w:rsidRPr="00D10F19">
        <w:rPr>
          <w:b/>
          <w:bCs/>
        </w:rPr>
        <w:t xml:space="preserve">A </w:t>
      </w:r>
      <w:r>
        <w:rPr>
          <w:b/>
          <w:bCs/>
        </w:rPr>
        <w:t>S</w:t>
      </w:r>
      <w:r w:rsidRPr="00D10F19">
        <w:rPr>
          <w:b/>
          <w:bCs/>
        </w:rPr>
        <w:t xml:space="preserve">tatic LLP </w:t>
      </w:r>
      <w:r w:rsidRPr="00D10F19">
        <w:t xml:space="preserve">is an LLP that </w:t>
      </w:r>
      <w:r>
        <w:t>provides firm capacity</w:t>
      </w:r>
      <w:r w:rsidRPr="00D10F19">
        <w:t xml:space="preserve">. It is established and agreed upon at the time </w:t>
      </w:r>
      <w:r>
        <w:t>the FSCA is established</w:t>
      </w:r>
      <w:r w:rsidRPr="00D10F19">
        <w:t xml:space="preserve"> and remains in place from year to year.</w:t>
      </w:r>
      <w:r w:rsidRPr="00D10F19">
        <w:rPr>
          <w:b/>
          <w:bCs/>
        </w:rPr>
        <w:t xml:space="preserve"> </w:t>
      </w:r>
    </w:p>
    <w:p w:rsidRPr="00D10F19" w:rsidR="00F02A96" w:rsidP="00BE0CDB" w:rsidRDefault="00F02A96" w14:paraId="6076C0BF" w14:textId="3290FAAE">
      <w:pPr>
        <w:pStyle w:val="Standard"/>
        <w:numPr>
          <w:ilvl w:val="0"/>
          <w:numId w:val="4"/>
        </w:numPr>
      </w:pPr>
      <w:r w:rsidRPr="00D10F19">
        <w:rPr>
          <w:b/>
          <w:bCs/>
        </w:rPr>
        <w:t xml:space="preserve">Flexible Service </w:t>
      </w:r>
      <w:r w:rsidRPr="00D10F19">
        <w:t xml:space="preserve">means the ability to import power at varying levels through time. </w:t>
      </w:r>
    </w:p>
    <w:p w:rsidRPr="00B3132B" w:rsidR="00F02A96" w:rsidP="00BE0CDB" w:rsidRDefault="00F02A96" w14:paraId="46CD57CC" w14:textId="3137AE71">
      <w:pPr>
        <w:pStyle w:val="Standard"/>
        <w:numPr>
          <w:ilvl w:val="0"/>
          <w:numId w:val="4"/>
        </w:numPr>
        <w:rPr>
          <w:b/>
          <w:bCs/>
        </w:rPr>
      </w:pPr>
      <w:r w:rsidRPr="00BC7CD7">
        <w:rPr>
          <w:b/>
          <w:bCs/>
        </w:rPr>
        <w:t>Power Control System</w:t>
      </w:r>
      <w:r w:rsidRPr="00BC7CD7">
        <w:t xml:space="preserve"> </w:t>
      </w:r>
      <w:r w:rsidR="00955F17">
        <w:rPr>
          <w:b/>
          <w:bCs/>
        </w:rPr>
        <w:t xml:space="preserve">(PCS) </w:t>
      </w:r>
      <w:r w:rsidRPr="00BC7CD7">
        <w:t xml:space="preserve">is a </w:t>
      </w:r>
      <w:r>
        <w:t>system that</w:t>
      </w:r>
      <w:r w:rsidRPr="00BC7CD7">
        <w:t xml:space="preserve"> monitors the output of power sources </w:t>
      </w:r>
      <w:r w:rsidR="00E1554F">
        <w:t xml:space="preserve">and/or </w:t>
      </w:r>
      <w:r w:rsidR="00851307">
        <w:t xml:space="preserve">power </w:t>
      </w:r>
      <w:r w:rsidR="00E1554F">
        <w:t xml:space="preserve">consumption of loads </w:t>
      </w:r>
      <w:r w:rsidRPr="00BC7CD7">
        <w:t>and regulates or limit</w:t>
      </w:r>
      <w:r>
        <w:t>s</w:t>
      </w:r>
      <w:r w:rsidRPr="00BC7CD7">
        <w:t xml:space="preserve"> current or power within predefined limits</w:t>
      </w:r>
      <w:r>
        <w:t>.</w:t>
      </w:r>
    </w:p>
    <w:p w:rsidR="00F02A96" w:rsidP="00BE0CDB" w:rsidRDefault="00F02A96" w14:paraId="4EAE02FA" w14:textId="354E6F7E">
      <w:pPr>
        <w:pStyle w:val="Standard"/>
        <w:numPr>
          <w:ilvl w:val="0"/>
          <w:numId w:val="4"/>
        </w:numPr>
      </w:pPr>
      <w:r w:rsidRPr="6DD8841B">
        <w:rPr>
          <w:b/>
          <w:bCs/>
        </w:rPr>
        <w:t>Uniform Load Integration Capacity Analysis (Load ICA)</w:t>
      </w:r>
      <w:r>
        <w:t xml:space="preserve"> </w:t>
      </w:r>
      <w:r w:rsidR="00A20C11">
        <w:t>is a tool used to calculate</w:t>
      </w:r>
      <w:r>
        <w:t xml:space="preserve"> grid modeling results that represent the maximum uniform power available to serve load at the point of interconnection without violating the thermal, voltage variation, and steady state voltage criteria. These results</w:t>
      </w:r>
      <w:r w:rsidR="00067526">
        <w:t xml:space="preserve"> from this tool</w:t>
      </w:r>
      <w:r>
        <w:t xml:space="preserve"> take the form of a set of power values that represent capacity available during different periods of time. </w:t>
      </w:r>
    </w:p>
    <w:p w:rsidR="00AE7EEE" w:rsidP="00B62302" w:rsidRDefault="00CA113C" w14:paraId="107BEE32" w14:textId="1228C98E">
      <w:pPr>
        <w:pStyle w:val="Standard"/>
        <w:ind w:left="720" w:firstLine="0"/>
        <w:sectPr w:rsidR="00AE7EEE" w:rsidSect="00AE7EEE">
          <w:footerReference w:type="default" r:id="rId17"/>
          <w:pgSz w:w="12240" w:h="15840"/>
          <w:pgMar w:top="1728" w:right="1440" w:bottom="1440" w:left="1440" w:header="720" w:footer="720" w:gutter="0"/>
          <w:pgNumType w:start="1"/>
          <w:cols w:space="720"/>
          <w:docGrid w:linePitch="360"/>
        </w:sectPr>
      </w:pPr>
      <w:r>
        <w:t>.</w:t>
      </w:r>
    </w:p>
    <w:p w:rsidR="002478B5" w:rsidP="00AE7EEE" w:rsidRDefault="002478B5" w14:paraId="78A28D37" w14:textId="77777777">
      <w:pPr>
        <w:ind w:firstLine="0"/>
        <w:jc w:val="center"/>
      </w:pPr>
    </w:p>
    <w:p w:rsidR="002478B5" w:rsidP="00AE7EEE" w:rsidRDefault="002478B5" w14:paraId="71DD8484" w14:textId="77777777">
      <w:pPr>
        <w:ind w:firstLine="0"/>
        <w:jc w:val="center"/>
      </w:pPr>
    </w:p>
    <w:p w:rsidR="00AE7EEE" w:rsidP="00AE7EEE" w:rsidRDefault="00AE7EEE" w14:paraId="4FD76001" w14:textId="707CD40A">
      <w:pPr>
        <w:spacing w:line="240" w:lineRule="auto"/>
        <w:ind w:firstLine="0"/>
        <w:jc w:val="center"/>
        <w:sectPr w:rsidR="00AE7EEE" w:rsidSect="00AE7EEE">
          <w:footerReference w:type="default" r:id="rId18"/>
          <w:pgSz w:w="12240" w:h="15840"/>
          <w:pgMar w:top="1728" w:right="1440" w:bottom="1440" w:left="1440" w:header="720" w:footer="720" w:gutter="0"/>
          <w:pgNumType w:start="1"/>
          <w:cols w:space="720"/>
          <w:docGrid w:linePitch="360"/>
        </w:sectPr>
      </w:pPr>
      <w:r w:rsidRPr="00AE7EEE">
        <w:t>APPENDIX B:</w:t>
      </w:r>
      <w:r w:rsidRPr="00AE7EEE">
        <w:br/>
      </w:r>
      <w:bookmarkStart w:name="_Hlk216120285" w:id="125"/>
      <w:r w:rsidR="00600362">
        <w:t>Minimum Topics to be Addressed on</w:t>
      </w:r>
      <w:r>
        <w:br/>
      </w:r>
      <w:r w:rsidR="00600362">
        <w:t>IOU Application Web Pages</w:t>
      </w:r>
      <w:bookmarkEnd w:id="125"/>
    </w:p>
    <w:p w:rsidRPr="00F94A69" w:rsidR="00600362" w:rsidP="00F94A69" w:rsidRDefault="00F94A69" w14:paraId="178CE268" w14:textId="48CD6098">
      <w:pPr>
        <w:spacing w:before="480" w:after="240" w:line="240" w:lineRule="auto"/>
        <w:ind w:firstLine="0"/>
        <w:jc w:val="center"/>
        <w:rPr>
          <w:b/>
          <w:bCs/>
          <w:u w:val="single"/>
        </w:rPr>
      </w:pPr>
      <w:r w:rsidRPr="00F94A69">
        <w:rPr>
          <w:b/>
          <w:bCs/>
          <w:u w:val="single"/>
        </w:rPr>
        <w:lastRenderedPageBreak/>
        <w:t>Minimum Topics to be Addressed on</w:t>
      </w:r>
      <w:r w:rsidRPr="00F94A69">
        <w:rPr>
          <w:b/>
          <w:bCs/>
          <w:u w:val="single"/>
        </w:rPr>
        <w:br/>
        <w:t>IOU Application Web Pages</w:t>
      </w:r>
    </w:p>
    <w:p w:rsidR="00600362" w:rsidP="00BE0CDB" w:rsidRDefault="00600362" w14:paraId="64FEB7E3" w14:textId="77777777">
      <w:pPr>
        <w:pStyle w:val="ListParagraph"/>
        <w:numPr>
          <w:ilvl w:val="0"/>
          <w:numId w:val="6"/>
        </w:numPr>
        <w:spacing w:after="160" w:line="240" w:lineRule="auto"/>
      </w:pPr>
      <w:r>
        <w:t>Information on the option and availability of the Preliminary Capacity Assessment</w:t>
      </w:r>
    </w:p>
    <w:p w:rsidR="00600362" w:rsidP="00BE0CDB" w:rsidRDefault="00600362" w14:paraId="1AE174A8" w14:textId="77777777">
      <w:pPr>
        <w:pStyle w:val="ListParagraph"/>
        <w:numPr>
          <w:ilvl w:val="0"/>
          <w:numId w:val="6"/>
        </w:numPr>
        <w:spacing w:after="160" w:line="240" w:lineRule="auto"/>
      </w:pPr>
      <w:r>
        <w:t>Description and definition of FSC</w:t>
      </w:r>
    </w:p>
    <w:p w:rsidR="00600362" w:rsidP="00BE0CDB" w:rsidRDefault="00600362" w14:paraId="564507CE" w14:textId="77777777">
      <w:pPr>
        <w:pStyle w:val="ListParagraph"/>
        <w:numPr>
          <w:ilvl w:val="0"/>
          <w:numId w:val="6"/>
        </w:numPr>
        <w:spacing w:after="160" w:line="240" w:lineRule="auto"/>
      </w:pPr>
      <w:r>
        <w:t>Description and definition of LLP</w:t>
      </w:r>
    </w:p>
    <w:p w:rsidR="00600362" w:rsidP="00BE0CDB" w:rsidRDefault="00600362" w14:paraId="31493B36" w14:textId="77777777">
      <w:pPr>
        <w:pStyle w:val="ListParagraph"/>
        <w:numPr>
          <w:ilvl w:val="1"/>
          <w:numId w:val="6"/>
        </w:numPr>
        <w:spacing w:after="160" w:line="240" w:lineRule="auto"/>
      </w:pPr>
      <w:r>
        <w:t>How does a utility design an LLP?</w:t>
      </w:r>
    </w:p>
    <w:p w:rsidR="00600362" w:rsidP="00BE0CDB" w:rsidRDefault="00600362" w14:paraId="61714422" w14:textId="77777777">
      <w:pPr>
        <w:pStyle w:val="ListParagraph"/>
        <w:numPr>
          <w:ilvl w:val="1"/>
          <w:numId w:val="6"/>
        </w:numPr>
        <w:spacing w:after="160" w:line="240" w:lineRule="auto"/>
      </w:pPr>
      <w:r>
        <w:t xml:space="preserve">What information can the customer provide in their application to indicate they may be a good candidate and may have flexibility during certain hours of the day? </w:t>
      </w:r>
    </w:p>
    <w:p w:rsidR="00600362" w:rsidP="00BE0CDB" w:rsidRDefault="00600362" w14:paraId="514FAB0F" w14:textId="77777777">
      <w:pPr>
        <w:pStyle w:val="ListParagraph"/>
        <w:numPr>
          <w:ilvl w:val="0"/>
          <w:numId w:val="6"/>
        </w:numPr>
        <w:spacing w:after="160" w:line="240" w:lineRule="auto"/>
      </w:pPr>
      <w:r>
        <w:t>Benefits to the customer</w:t>
      </w:r>
    </w:p>
    <w:p w:rsidR="00600362" w:rsidP="00BE0CDB" w:rsidRDefault="00600362" w14:paraId="78624F10" w14:textId="77777777">
      <w:pPr>
        <w:pStyle w:val="ListParagraph"/>
        <w:numPr>
          <w:ilvl w:val="0"/>
          <w:numId w:val="6"/>
        </w:numPr>
        <w:spacing w:after="160" w:line="240" w:lineRule="auto"/>
      </w:pPr>
      <w:r>
        <w:t>Impact on energization timeline</w:t>
      </w:r>
    </w:p>
    <w:p w:rsidR="00600362" w:rsidP="00BE0CDB" w:rsidRDefault="00600362" w14:paraId="6E80193D" w14:textId="77777777">
      <w:pPr>
        <w:pStyle w:val="ListParagraph"/>
        <w:numPr>
          <w:ilvl w:val="0"/>
          <w:numId w:val="6"/>
        </w:numPr>
        <w:spacing w:after="160" w:line="240" w:lineRule="auto"/>
      </w:pPr>
      <w:r>
        <w:t>Potential challenges to the customer (e.g., delay in full capacity, equipment, other associated costs)</w:t>
      </w:r>
    </w:p>
    <w:p w:rsidR="00600362" w:rsidP="00BE0CDB" w:rsidRDefault="00600362" w14:paraId="43551FE3" w14:textId="77777777">
      <w:pPr>
        <w:pStyle w:val="ListParagraph"/>
        <w:numPr>
          <w:ilvl w:val="1"/>
          <w:numId w:val="6"/>
        </w:numPr>
        <w:spacing w:after="160" w:line="240" w:lineRule="auto"/>
      </w:pPr>
      <w:r>
        <w:t>Estimation and description of customer side costs</w:t>
      </w:r>
    </w:p>
    <w:p w:rsidR="00600362" w:rsidP="00BE0CDB" w:rsidRDefault="00600362" w14:paraId="33B52281" w14:textId="77777777">
      <w:pPr>
        <w:pStyle w:val="ListParagraph"/>
        <w:numPr>
          <w:ilvl w:val="0"/>
          <w:numId w:val="6"/>
        </w:numPr>
        <w:spacing w:after="160" w:line="240" w:lineRule="auto"/>
      </w:pPr>
      <w:r>
        <w:t>Description of customers that make good candidates for FSC</w:t>
      </w:r>
    </w:p>
    <w:p w:rsidR="00600362" w:rsidP="00BE0CDB" w:rsidRDefault="00600362" w14:paraId="46F97CF0" w14:textId="77777777">
      <w:pPr>
        <w:pStyle w:val="ListParagraph"/>
        <w:numPr>
          <w:ilvl w:val="1"/>
          <w:numId w:val="6"/>
        </w:numPr>
        <w:spacing w:after="160" w:line="240" w:lineRule="auto"/>
      </w:pPr>
      <w:r>
        <w:t>Including technical requirements for participation</w:t>
      </w:r>
    </w:p>
    <w:p w:rsidR="00600362" w:rsidP="00BE0CDB" w:rsidRDefault="00600362" w14:paraId="6C3AE75D" w14:textId="77777777">
      <w:pPr>
        <w:pStyle w:val="ListParagraph"/>
        <w:numPr>
          <w:ilvl w:val="0"/>
          <w:numId w:val="6"/>
        </w:numPr>
        <w:spacing w:after="160" w:line="240" w:lineRule="auto"/>
      </w:pPr>
      <w:r>
        <w:t>A notice that not all customers will be eligible for FSC, and that final determination for eligibility is made by the utility.</w:t>
      </w:r>
    </w:p>
    <w:p w:rsidR="00600362" w:rsidP="00BE0CDB" w:rsidRDefault="00600362" w14:paraId="2ACAD55F" w14:textId="77777777">
      <w:pPr>
        <w:pStyle w:val="ListParagraph"/>
        <w:numPr>
          <w:ilvl w:val="0"/>
          <w:numId w:val="6"/>
        </w:numPr>
        <w:spacing w:after="160" w:line="240" w:lineRule="auto"/>
      </w:pPr>
      <w:r>
        <w:t>Description of how the utility will enroll customers in FSC</w:t>
      </w:r>
    </w:p>
    <w:p w:rsidR="00600362" w:rsidP="00BE0CDB" w:rsidRDefault="00600362" w14:paraId="42685748" w14:textId="77777777">
      <w:pPr>
        <w:pStyle w:val="ListParagraph"/>
        <w:numPr>
          <w:ilvl w:val="0"/>
          <w:numId w:val="6"/>
        </w:numPr>
        <w:spacing w:after="160" w:line="240" w:lineRule="auto"/>
      </w:pPr>
      <w:r>
        <w:t>Opportunity for LLP modifications</w:t>
      </w:r>
    </w:p>
    <w:p w:rsidR="00600362" w:rsidP="00BE0CDB" w:rsidRDefault="00600362" w14:paraId="37E940B8" w14:textId="77777777">
      <w:pPr>
        <w:pStyle w:val="ListParagraph"/>
        <w:numPr>
          <w:ilvl w:val="0"/>
          <w:numId w:val="6"/>
        </w:numPr>
        <w:spacing w:after="160" w:line="240" w:lineRule="auto"/>
      </w:pPr>
      <w:r>
        <w:t xml:space="preserve">Description of any other process details (including when/how a utility would terminate agreement, when/how a customer can terminate an agreement) </w:t>
      </w:r>
    </w:p>
    <w:p w:rsidR="00AE7EEE" w:rsidP="0021187D" w:rsidRDefault="00600362" w14:paraId="3F99D039" w14:textId="77777777">
      <w:pPr>
        <w:pStyle w:val="ListParagraph"/>
        <w:numPr>
          <w:ilvl w:val="0"/>
          <w:numId w:val="6"/>
        </w:numPr>
        <w:sectPr w:rsidR="00AE7EEE" w:rsidSect="00AE7EEE">
          <w:footerReference w:type="default" r:id="rId19"/>
          <w:pgSz w:w="12240" w:h="15840"/>
          <w:pgMar w:top="1728" w:right="1440" w:bottom="1440" w:left="1440" w:header="720" w:footer="720" w:gutter="0"/>
          <w:pgNumType w:start="1"/>
          <w:cols w:space="720"/>
          <w:docGrid w:linePitch="360"/>
        </w:sectPr>
      </w:pPr>
      <w:r>
        <w:t>Description of technologies (e.g., PCS) relevant to operating under a LLP and the types of customers that may benefit from the technology</w:t>
      </w:r>
    </w:p>
    <w:p w:rsidR="00A8692D" w:rsidP="00AE7EEE" w:rsidRDefault="00A8692D" w14:paraId="286016FA" w14:textId="77777777">
      <w:pPr>
        <w:ind w:firstLine="0"/>
        <w:jc w:val="center"/>
      </w:pPr>
    </w:p>
    <w:p w:rsidR="00A8692D" w:rsidP="00AE7EEE" w:rsidRDefault="00A8692D" w14:paraId="76D490BE" w14:textId="77777777">
      <w:pPr>
        <w:ind w:firstLine="0"/>
        <w:jc w:val="center"/>
      </w:pPr>
    </w:p>
    <w:p w:rsidR="00AE7EEE" w:rsidP="00AE7EEE" w:rsidRDefault="00AE7EEE" w14:paraId="3E60CD37" w14:textId="09455B82">
      <w:pPr>
        <w:spacing w:line="240" w:lineRule="auto"/>
        <w:ind w:firstLine="0"/>
        <w:jc w:val="center"/>
        <w:sectPr w:rsidR="00AE7EEE" w:rsidSect="00AE7EEE">
          <w:footerReference w:type="default" r:id="rId20"/>
          <w:pgSz w:w="12240" w:h="15840"/>
          <w:pgMar w:top="1728" w:right="1440" w:bottom="1440" w:left="1440" w:header="720" w:footer="720" w:gutter="0"/>
          <w:pgNumType w:start="1"/>
          <w:cols w:space="720"/>
          <w:docGrid w:linePitch="360"/>
        </w:sectPr>
      </w:pPr>
      <w:r>
        <w:t>APPENDIX C:</w:t>
      </w:r>
      <w:r>
        <w:br/>
      </w:r>
      <w:r w:rsidR="00C31783">
        <w:t xml:space="preserve">Minimum Data </w:t>
      </w:r>
      <w:r w:rsidR="00A8692D">
        <w:t>F</w:t>
      </w:r>
      <w:r w:rsidR="00C31783">
        <w:t xml:space="preserve">ields to </w:t>
      </w:r>
      <w:r w:rsidR="00A8692D">
        <w:t>be Tracked for</w:t>
      </w:r>
      <w:r w:rsidR="00F94A69">
        <w:br/>
      </w:r>
      <w:r w:rsidR="00A8692D">
        <w:t>Standard Offer Refinement</w:t>
      </w:r>
    </w:p>
    <w:p w:rsidRPr="00AE7EEE" w:rsidR="00A8692D" w:rsidP="00F94A69" w:rsidRDefault="00AE7EEE" w14:paraId="6A01FF17" w14:textId="26BFD48E">
      <w:pPr>
        <w:spacing w:before="480" w:after="240"/>
        <w:ind w:firstLine="0"/>
        <w:jc w:val="center"/>
        <w:rPr>
          <w:b/>
          <w:bCs/>
          <w:u w:val="single"/>
        </w:rPr>
      </w:pPr>
      <w:r w:rsidRPr="00AE7EEE">
        <w:rPr>
          <w:b/>
          <w:bCs/>
          <w:u w:val="single"/>
        </w:rPr>
        <w:lastRenderedPageBreak/>
        <w:t>Minimum Data Fields to be Tracked for Standard Offer Refinement</w:t>
      </w:r>
    </w:p>
    <w:p w:rsidR="005B0342" w:rsidP="00BE0CDB" w:rsidRDefault="005B0342" w14:paraId="1B3F2CF8" w14:textId="77777777">
      <w:pPr>
        <w:pStyle w:val="ListParagraph"/>
        <w:numPr>
          <w:ilvl w:val="0"/>
          <w:numId w:val="7"/>
        </w:numPr>
        <w:spacing w:after="160" w:line="240" w:lineRule="auto"/>
      </w:pPr>
      <w:r>
        <w:t>FSC status (offered, agreement signed, ongoing, concluded, cancelled)</w:t>
      </w:r>
    </w:p>
    <w:p w:rsidR="005B0342" w:rsidP="00BE0CDB" w:rsidRDefault="005B0342" w14:paraId="61ACDD04" w14:textId="77777777">
      <w:pPr>
        <w:pStyle w:val="ListParagraph"/>
        <w:numPr>
          <w:ilvl w:val="0"/>
          <w:numId w:val="7"/>
        </w:numPr>
        <w:spacing w:after="160" w:line="240" w:lineRule="auto"/>
      </w:pPr>
      <w:r>
        <w:t>Whether or not customer requested a Preliminary Capacity Assessment</w:t>
      </w:r>
    </w:p>
    <w:p w:rsidR="00BE6669" w:rsidP="00BE0CDB" w:rsidRDefault="00BE6669" w14:paraId="18F2AEF2" w14:textId="77777777">
      <w:pPr>
        <w:pStyle w:val="ListParagraph"/>
        <w:numPr>
          <w:ilvl w:val="0"/>
          <w:numId w:val="7"/>
        </w:numPr>
        <w:spacing w:after="160" w:line="240" w:lineRule="auto"/>
      </w:pPr>
      <w:r w:rsidRPr="00BE6669">
        <w:t>FSC agreement signed date</w:t>
      </w:r>
    </w:p>
    <w:p w:rsidR="00115C8E" w:rsidP="00BE0CDB" w:rsidRDefault="00BE6669" w14:paraId="168EA6AE" w14:textId="4DB90F05">
      <w:pPr>
        <w:pStyle w:val="ListParagraph"/>
        <w:numPr>
          <w:ilvl w:val="0"/>
          <w:numId w:val="7"/>
        </w:numPr>
        <w:spacing w:after="160" w:line="240" w:lineRule="auto"/>
      </w:pPr>
      <w:r w:rsidRPr="00BE6669">
        <w:t>FSC implemented date</w:t>
      </w:r>
    </w:p>
    <w:p w:rsidR="005B0342" w:rsidP="00BE0CDB" w:rsidRDefault="005B0342" w14:paraId="250F6E9C" w14:textId="77777777">
      <w:pPr>
        <w:pStyle w:val="ListParagraph"/>
        <w:numPr>
          <w:ilvl w:val="0"/>
          <w:numId w:val="7"/>
        </w:numPr>
        <w:spacing w:after="160" w:line="240" w:lineRule="auto"/>
      </w:pPr>
      <w:r>
        <w:t>Customer Load Connected (kW)</w:t>
      </w:r>
    </w:p>
    <w:p w:rsidR="00CD38DE" w:rsidP="00BE0CDB" w:rsidRDefault="00C65DB7" w14:paraId="583B3FFD" w14:textId="790BD66D">
      <w:pPr>
        <w:pStyle w:val="ListParagraph"/>
        <w:numPr>
          <w:ilvl w:val="0"/>
          <w:numId w:val="7"/>
        </w:numPr>
        <w:spacing w:after="160" w:line="240" w:lineRule="auto"/>
      </w:pPr>
      <w:r>
        <w:t xml:space="preserve">What </w:t>
      </w:r>
      <w:r w:rsidR="006500AD">
        <w:t xml:space="preserve">grid component </w:t>
      </w:r>
      <w:r w:rsidR="00AB1093">
        <w:t xml:space="preserve">led to the capacity constraint </w:t>
      </w:r>
    </w:p>
    <w:p w:rsidR="005346EE" w:rsidP="00BE0CDB" w:rsidRDefault="005346EE" w14:paraId="7CF56AD2" w14:textId="36FAA9B8">
      <w:pPr>
        <w:pStyle w:val="ListParagraph"/>
        <w:numPr>
          <w:ilvl w:val="0"/>
          <w:numId w:val="7"/>
        </w:numPr>
        <w:spacing w:after="160" w:line="240" w:lineRule="auto"/>
      </w:pPr>
      <w:r>
        <w:t>What amount of headroom was on the constrained grid compon</w:t>
      </w:r>
      <w:r w:rsidR="007267A8">
        <w:t>ent prior to the FSC</w:t>
      </w:r>
    </w:p>
    <w:p w:rsidR="005B0342" w:rsidP="00BE0CDB" w:rsidRDefault="005B0342" w14:paraId="65C613F1" w14:textId="77777777">
      <w:pPr>
        <w:pStyle w:val="ListParagraph"/>
        <w:numPr>
          <w:ilvl w:val="0"/>
          <w:numId w:val="7"/>
        </w:numPr>
        <w:spacing w:after="160" w:line="240" w:lineRule="auto"/>
      </w:pPr>
      <w:r>
        <w:t>FSC Agreement Signed Date</w:t>
      </w:r>
    </w:p>
    <w:p w:rsidR="005B0342" w:rsidP="00BE0CDB" w:rsidRDefault="00E7249B" w14:paraId="7AF7FED5" w14:textId="478F0DF9">
      <w:pPr>
        <w:pStyle w:val="ListParagraph"/>
        <w:numPr>
          <w:ilvl w:val="0"/>
          <w:numId w:val="7"/>
        </w:numPr>
        <w:spacing w:after="160" w:line="240" w:lineRule="auto"/>
      </w:pPr>
      <w:r>
        <w:t>FSC Customer Connected Date (if not already energized)</w:t>
      </w:r>
    </w:p>
    <w:p w:rsidR="005B0342" w:rsidP="00BE0CDB" w:rsidRDefault="005B0342" w14:paraId="0169BA23" w14:textId="77777777">
      <w:pPr>
        <w:pStyle w:val="ListParagraph"/>
        <w:numPr>
          <w:ilvl w:val="0"/>
          <w:numId w:val="7"/>
        </w:numPr>
        <w:spacing w:after="160" w:line="240" w:lineRule="auto"/>
      </w:pPr>
      <w:r>
        <w:t>Description of LLP by season or by specified dates</w:t>
      </w:r>
    </w:p>
    <w:p w:rsidR="005B0342" w:rsidP="00BE0CDB" w:rsidRDefault="00DF244E" w14:paraId="1AAB8AF4" w14:textId="68C5469F">
      <w:pPr>
        <w:pStyle w:val="ListParagraph"/>
        <w:numPr>
          <w:ilvl w:val="0"/>
          <w:numId w:val="7"/>
        </w:numPr>
        <w:spacing w:after="160" w:line="240" w:lineRule="auto"/>
      </w:pPr>
      <w:r>
        <w:t>PCS Installed (Y/N)</w:t>
      </w:r>
    </w:p>
    <w:p w:rsidR="00C6699F" w:rsidP="00600362" w:rsidRDefault="00C6699F" w14:paraId="03B5995C" w14:textId="77777777">
      <w:pPr>
        <w:sectPr w:rsidR="00C6699F" w:rsidSect="00AE7EEE">
          <w:footerReference w:type="default" r:id="rId21"/>
          <w:pgSz w:w="12240" w:h="15840"/>
          <w:pgMar w:top="1728" w:right="1440" w:bottom="1440" w:left="1440" w:header="720" w:footer="720" w:gutter="0"/>
          <w:pgNumType w:start="1"/>
          <w:cols w:space="720"/>
          <w:docGrid w:linePitch="360"/>
        </w:sectPr>
      </w:pPr>
    </w:p>
    <w:p w:rsidR="00B71937" w:rsidP="00AE7EEE" w:rsidRDefault="00B71937" w14:paraId="64006BA2" w14:textId="77777777">
      <w:pPr>
        <w:ind w:firstLine="0"/>
        <w:jc w:val="center"/>
      </w:pPr>
    </w:p>
    <w:p w:rsidR="002B052A" w:rsidP="00AE7EEE" w:rsidRDefault="002B052A" w14:paraId="0036D72A" w14:textId="77777777">
      <w:pPr>
        <w:ind w:firstLine="0"/>
        <w:jc w:val="center"/>
      </w:pPr>
    </w:p>
    <w:p w:rsidR="00AE7EEE" w:rsidP="00AE7EEE" w:rsidRDefault="00AE7EEE" w14:paraId="1996B4AF" w14:textId="138708BB">
      <w:pPr>
        <w:spacing w:line="240" w:lineRule="auto"/>
        <w:ind w:firstLine="0"/>
        <w:jc w:val="center"/>
        <w:sectPr w:rsidR="00AE7EEE" w:rsidSect="00AE7EEE">
          <w:footerReference w:type="default" r:id="rId22"/>
          <w:pgSz w:w="12240" w:h="15840"/>
          <w:pgMar w:top="1728" w:right="1440" w:bottom="1440" w:left="1440" w:header="720" w:footer="720" w:gutter="0"/>
          <w:pgNumType w:start="1"/>
          <w:cols w:space="720"/>
          <w:docGrid w:linePitch="360"/>
        </w:sectPr>
      </w:pPr>
      <w:r>
        <w:t>APPENDIX D:</w:t>
      </w:r>
      <w:r>
        <w:br/>
      </w:r>
      <w:r w:rsidRPr="00D36A84" w:rsidR="00D36A84">
        <w:t>PG&amp;E Tariff Rule 2 New Section H.7</w:t>
      </w:r>
    </w:p>
    <w:p w:rsidRPr="00F94A69" w:rsidR="008E7D0A" w:rsidP="00F94A69" w:rsidRDefault="00870626" w14:paraId="1C3F5DD8" w14:textId="41543F22">
      <w:pPr>
        <w:spacing w:before="480" w:after="240"/>
        <w:ind w:firstLine="0"/>
        <w:jc w:val="center"/>
        <w:rPr>
          <w:b/>
          <w:bCs/>
          <w:u w:val="single"/>
        </w:rPr>
      </w:pPr>
      <w:r>
        <w:rPr>
          <w:b/>
          <w:bCs/>
          <w:u w:val="single"/>
        </w:rPr>
        <w:lastRenderedPageBreak/>
        <w:t xml:space="preserve">PG&amp;E </w:t>
      </w:r>
      <w:r w:rsidRPr="00F94A69" w:rsidR="00F94A69">
        <w:rPr>
          <w:b/>
          <w:bCs/>
          <w:u w:val="single"/>
        </w:rPr>
        <w:t>Tariff Rule 2 Addition</w:t>
      </w:r>
      <w:r>
        <w:rPr>
          <w:b/>
          <w:bCs/>
          <w:u w:val="single"/>
        </w:rPr>
        <w:t xml:space="preserve"> – Section H.7</w:t>
      </w:r>
    </w:p>
    <w:p w:rsidR="00AE7EEE" w:rsidP="002B052A" w:rsidRDefault="002B052A" w14:paraId="7492C6C5" w14:textId="2AB602DC">
      <w:pPr>
        <w:sectPr w:rsidR="00AE7EEE" w:rsidSect="00AE7EEE">
          <w:footerReference w:type="default" r:id="rId23"/>
          <w:pgSz w:w="12240" w:h="15840"/>
          <w:pgMar w:top="1728" w:right="1440" w:bottom="1440" w:left="1440" w:header="720" w:footer="720" w:gutter="0"/>
          <w:pgNumType w:start="1"/>
          <w:cols w:space="720"/>
          <w:docGrid w:linePitch="360"/>
        </w:sectPr>
      </w:pPr>
      <w:r>
        <w:t>Where a customer has a portion of their electric utilization equipment installed within a power control system</w:t>
      </w:r>
      <w:r w:rsidR="009D062C">
        <w:t xml:space="preserve"> (PCS)</w:t>
      </w:r>
      <w:r>
        <w:t xml:space="preserve"> that is certified to the UL 3141 standard and whose power import limit</w:t>
      </w:r>
      <w:r w:rsidR="00B073A9">
        <w:t xml:space="preserve"> (PIL)</w:t>
      </w:r>
      <w:r>
        <w:t xml:space="preserve"> functionality has been verified through a </w:t>
      </w:r>
      <w:r w:rsidRPr="001C01C5" w:rsidR="00151D29">
        <w:t xml:space="preserve">Nationally Recognized Testing Laboratory </w:t>
      </w:r>
      <w:r w:rsidR="00151D29">
        <w:rPr>
          <w:b/>
          <w:bCs/>
        </w:rPr>
        <w:t>(</w:t>
      </w:r>
      <w:r>
        <w:t>NRTL</w:t>
      </w:r>
      <w:r w:rsidR="00151D29">
        <w:t>)</w:t>
      </w:r>
      <w:r>
        <w:t xml:space="preserve"> evaluation</w:t>
      </w:r>
      <w:r w:rsidR="00CF67DD">
        <w:t>,</w:t>
      </w:r>
      <w:r>
        <w:t xml:space="preserve"> </w:t>
      </w:r>
      <w:r w:rsidR="00B073A9">
        <w:t xml:space="preserve">the PIL </w:t>
      </w:r>
      <w:r>
        <w:t xml:space="preserve">references the point of common coupling, </w:t>
      </w:r>
      <w:r w:rsidR="00CF67DD">
        <w:t xml:space="preserve">and </w:t>
      </w:r>
      <w:r w:rsidR="004154FE">
        <w:t xml:space="preserve">the PCS limits power import into the facility </w:t>
      </w:r>
      <w:r w:rsidR="00B7308B">
        <w:t xml:space="preserve">such that it will not exceed the connected load of the remaining </w:t>
      </w:r>
      <w:r>
        <w:t>electric utilization equipment</w:t>
      </w:r>
      <w:r w:rsidR="00586946">
        <w:t>, that</w:t>
      </w:r>
      <w:r>
        <w:t xml:space="preserve"> is known as controlled load.  Controlled load shall not be </w:t>
      </w:r>
      <w:r w:rsidR="00FC07FE">
        <w:t xml:space="preserve">included </w:t>
      </w:r>
      <w:r>
        <w:t>in the computation of connected load</w:t>
      </w:r>
      <w:r w:rsidR="008E7D0A">
        <w:t xml:space="preserve"> or metered demand</w:t>
      </w:r>
      <w:r>
        <w:t>.</w:t>
      </w:r>
    </w:p>
    <w:p w:rsidR="009F675F" w:rsidP="00AE7EEE" w:rsidRDefault="009F675F" w14:paraId="168998BC" w14:textId="3DE05C8B">
      <w:pPr>
        <w:ind w:firstLine="0"/>
        <w:jc w:val="center"/>
      </w:pPr>
    </w:p>
    <w:p w:rsidR="00AF598F" w:rsidP="00AE7EEE" w:rsidRDefault="00AF598F" w14:paraId="69F88481" w14:textId="77777777">
      <w:pPr>
        <w:ind w:firstLine="0"/>
        <w:jc w:val="center"/>
      </w:pPr>
    </w:p>
    <w:p w:rsidR="00AE7EEE" w:rsidP="00AE7EEE" w:rsidRDefault="00F94A69" w14:paraId="7753AA2F" w14:textId="39FAE936">
      <w:pPr>
        <w:spacing w:line="240" w:lineRule="auto"/>
        <w:ind w:firstLine="0"/>
        <w:jc w:val="center"/>
        <w:sectPr w:rsidR="00AE7EEE" w:rsidSect="00AE7EEE">
          <w:footerReference w:type="default" r:id="rId24"/>
          <w:pgSz w:w="12240" w:h="15840"/>
          <w:pgMar w:top="1728" w:right="1440" w:bottom="1440" w:left="1440" w:header="720" w:footer="720" w:gutter="0"/>
          <w:pgNumType w:start="1"/>
          <w:cols w:space="720"/>
          <w:docGrid w:linePitch="360"/>
        </w:sectPr>
      </w:pPr>
      <w:r>
        <w:t xml:space="preserve">APPENDIX </w:t>
      </w:r>
      <w:r w:rsidR="00DC2CDF">
        <w:t>E</w:t>
      </w:r>
      <w:r w:rsidR="00AE7EEE">
        <w:t>:</w:t>
      </w:r>
      <w:r w:rsidR="00AE7EEE">
        <w:br/>
      </w:r>
      <w:r w:rsidR="00870626">
        <w:t xml:space="preserve">PG&amp;E </w:t>
      </w:r>
      <w:r w:rsidR="009F675F">
        <w:t>Tariff Rule 3</w:t>
      </w:r>
      <w:r w:rsidR="00143E1B">
        <w:t xml:space="preserve"> </w:t>
      </w:r>
      <w:r w:rsidR="0000663B">
        <w:t xml:space="preserve">Section C Language </w:t>
      </w:r>
      <w:r w:rsidR="00143E1B">
        <w:t>Addition</w:t>
      </w:r>
    </w:p>
    <w:p w:rsidRPr="00F94A69" w:rsidR="00AD0E33" w:rsidP="00F94A69" w:rsidRDefault="00F94A69" w14:paraId="7A1B8C12" w14:textId="6BA79D28">
      <w:pPr>
        <w:spacing w:before="480" w:after="240"/>
        <w:ind w:firstLine="0"/>
        <w:jc w:val="center"/>
        <w:rPr>
          <w:b/>
          <w:bCs/>
          <w:u w:val="single"/>
        </w:rPr>
      </w:pPr>
      <w:r w:rsidRPr="00F94A69">
        <w:rPr>
          <w:b/>
          <w:bCs/>
          <w:u w:val="single"/>
        </w:rPr>
        <w:lastRenderedPageBreak/>
        <w:t>Tariff Rule 3 Addition</w:t>
      </w:r>
    </w:p>
    <w:p w:rsidR="00AF598F" w:rsidP="002B052A" w:rsidRDefault="00F631A8" w14:paraId="3D90E83C" w14:textId="26327E14">
      <w:r>
        <w:t>Rule 3 Language (PG&amp;E Section C):</w:t>
      </w:r>
    </w:p>
    <w:p w:rsidRPr="00F631A8" w:rsidR="00F631A8" w:rsidP="00F631A8" w:rsidRDefault="00F631A8" w14:paraId="53D07F83" w14:textId="77777777">
      <w:r w:rsidRPr="00F631A8">
        <w:t>C. CHANGE OF CUSTOMER'S APPARATUS OR EQUIPMENT</w:t>
      </w:r>
    </w:p>
    <w:p w:rsidR="00572B1B" w:rsidP="00AE7EEE" w:rsidRDefault="00F631A8" w14:paraId="78E61E00" w14:textId="4FE4DD7D">
      <w:r w:rsidRPr="0021187D">
        <w:t>In the event that the customer shall make any material change either in the amount or</w:t>
      </w:r>
      <w:r w:rsidRPr="0021187D" w:rsidR="00C10DED">
        <w:t xml:space="preserve"> </w:t>
      </w:r>
      <w:r w:rsidRPr="0021187D">
        <w:t>character of the electric lamps, appliances or apparatus installed upon the premises to</w:t>
      </w:r>
      <w:r w:rsidRPr="0021187D" w:rsidR="00C10DED">
        <w:t xml:space="preserve"> </w:t>
      </w:r>
      <w:r w:rsidRPr="0021187D">
        <w:t>be supplied with electric energy, the customer shall immediately give PG&amp;E written</w:t>
      </w:r>
      <w:r w:rsidRPr="0021187D" w:rsidR="00C10DED">
        <w:t xml:space="preserve"> </w:t>
      </w:r>
      <w:r w:rsidRPr="0021187D">
        <w:t>notice of this fact.</w:t>
      </w:r>
      <w:r w:rsidR="00C10DED">
        <w:rPr>
          <w:u w:val="single"/>
        </w:rPr>
        <w:t xml:space="preserve"> </w:t>
      </w:r>
      <w:r w:rsidR="007B5A85">
        <w:rPr>
          <w:u w:val="single"/>
        </w:rPr>
        <w:t>Addition of</w:t>
      </w:r>
      <w:r w:rsidR="007436DA">
        <w:rPr>
          <w:u w:val="single"/>
        </w:rPr>
        <w:t xml:space="preserve"> Controlled Load</w:t>
      </w:r>
      <w:r w:rsidR="00A800EF">
        <w:rPr>
          <w:u w:val="single"/>
        </w:rPr>
        <w:t xml:space="preserve">, as defined in Rule 2 Section H.7, </w:t>
      </w:r>
      <w:r w:rsidR="00C05524">
        <w:rPr>
          <w:u w:val="single"/>
        </w:rPr>
        <w:t>does not constitute a material change</w:t>
      </w:r>
      <w:r w:rsidR="00152F46">
        <w:rPr>
          <w:u w:val="single"/>
        </w:rPr>
        <w:t xml:space="preserve"> for a customer utilizing dedicated secondary infrastructure</w:t>
      </w:r>
      <w:r w:rsidR="00FE6A41">
        <w:rPr>
          <w:u w:val="single"/>
        </w:rPr>
        <w:t>.</w:t>
      </w:r>
    </w:p>
    <w:sectPr w:rsidR="00572B1B" w:rsidSect="00AE7EEE">
      <w:footerReference w:type="default" r:id="rId25"/>
      <w:pgSz w:w="12240" w:h="15840"/>
      <w:pgMar w:top="1728" w:right="1440" w:bottom="1440" w:left="1440" w:header="720" w:footer="720" w:gutter="0"/>
      <w:pgNumType w:start="1"/>
      <w:cols w:space="720"/>
      <w:docGrid w:linePitch="360"/>
    </w:sectPr>
    <w:p>
      <w:r>
        <w:t xml:space="preserve"/>
      </w:r>
    </w:p>
    <w:p>
      <w:r>
        <w:t xml:space="preserve">Attachment 1: </w:t>
      </w:r>
    </w:p>
    <w:p>
      <w:hyperlink w:history="true" r:id="R2e5f4d8b74844b23">
        <w:r w:rsidRPr="00CB1292">
          <w:rPr>
            <w:rStyle w:val="Hyperlink"/>
            <w:color w:val="2E74B5" w:themeColor="accent1" w:themeShade="BF"/>
            <w:u w:val="single"/>
          </w:rPr>
          <w:t>REDLINE (REV. 1) R.24-01-018 DECISION ESTABLISHING A STANDARD OFFER.pdf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3856" w14:textId="77777777" w:rsidR="00386AF0" w:rsidRDefault="00386AF0" w:rsidP="0098138E">
      <w:pPr>
        <w:spacing w:line="240" w:lineRule="auto"/>
      </w:pPr>
      <w:r>
        <w:separator/>
      </w:r>
    </w:p>
  </w:endnote>
  <w:endnote w:type="continuationSeparator" w:id="0">
    <w:p w14:paraId="78DAE6FC" w14:textId="77777777" w:rsidR="00386AF0" w:rsidRDefault="00386AF0" w:rsidP="0098138E">
      <w:pPr>
        <w:spacing w:line="240" w:lineRule="auto"/>
      </w:pPr>
      <w:r>
        <w:continuationSeparator/>
      </w:r>
    </w:p>
  </w:endnote>
  <w:endnote w:type="continuationNotice" w:id="1">
    <w:p w14:paraId="1DE2F3D0" w14:textId="77777777" w:rsidR="00386AF0" w:rsidRDefault="00386A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B59F" w14:textId="12086C93" w:rsidR="00767B55" w:rsidRPr="00767B55" w:rsidRDefault="00000000" w:rsidP="00767B55">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B62302" w:rsidRPr="00B62302">
          <w:rPr>
            <w:sz w:val="16"/>
            <w:szCs w:val="16"/>
          </w:rPr>
          <w:t>597684025</w:t>
        </w:r>
        <w:r w:rsidR="00767B55">
          <w:rPr>
            <w:rFonts w:ascii="Arial" w:hAnsi="Arial" w:cs="Arial"/>
            <w:sz w:val="16"/>
            <w:szCs w:val="16"/>
          </w:rPr>
          <w:tab/>
        </w:r>
        <w:r w:rsidR="00767B55">
          <w:t xml:space="preserve">- </w:t>
        </w:r>
        <w:r w:rsidR="00767B55">
          <w:fldChar w:fldCharType="begin"/>
        </w:r>
        <w:r w:rsidR="00767B55">
          <w:instrText xml:space="preserve"> PAGE   \* MERGEFORMAT </w:instrText>
        </w:r>
        <w:r w:rsidR="00767B55">
          <w:fldChar w:fldCharType="separate"/>
        </w:r>
        <w:r w:rsidR="00767B55">
          <w:t>1</w:t>
        </w:r>
        <w:r w:rsidR="00767B55">
          <w:rPr>
            <w:noProof/>
          </w:rPr>
          <w:fldChar w:fldCharType="end"/>
        </w:r>
      </w:sdtContent>
    </w:sdt>
    <w:r w:rsidR="00767B55">
      <w:rPr>
        <w:noProof/>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BF1F" w14:textId="69D6E818" w:rsidR="00AE7EEE" w:rsidRPr="00AE7EEE" w:rsidRDefault="00AE7EEE" w:rsidP="00AE7EEE">
    <w:pPr>
      <w:spacing w:line="240" w:lineRule="auto"/>
      <w:ind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A558" w14:textId="1FD212F6" w:rsidR="00AE7EEE" w:rsidRPr="00AE7EEE" w:rsidRDefault="00AE7EEE" w:rsidP="00AE7EEE">
    <w:pPr>
      <w:spacing w:line="240" w:lineRule="auto"/>
      <w:ind w:firstLine="0"/>
      <w:jc w:val="center"/>
    </w:pPr>
    <w:r>
      <w:t>D-</w:t>
    </w:r>
    <w:sdt>
      <w:sdtPr>
        <w:id w:val="12594120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6F33" w14:textId="2E6CD14B" w:rsidR="00AE7EEE" w:rsidRPr="00AE7EEE" w:rsidRDefault="00AE7EEE" w:rsidP="00AE7EEE">
    <w:pPr>
      <w:spacing w:line="240" w:lineRule="auto"/>
      <w:ind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5E3C" w14:textId="7D1FC94A" w:rsidR="00AE7EEE" w:rsidRPr="00AE7EEE" w:rsidRDefault="00AE7EEE" w:rsidP="00AE7EEE">
    <w:pPr>
      <w:spacing w:line="240" w:lineRule="auto"/>
      <w:ind w:firstLine="0"/>
      <w:jc w:val="center"/>
    </w:pPr>
    <w:r>
      <w:t>E-</w:t>
    </w:r>
    <w:sdt>
      <w:sdtPr>
        <w:id w:val="-12740214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8731" w14:textId="77777777" w:rsidR="00E23CBB" w:rsidRDefault="00E23CBB" w:rsidP="00767B55">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BFA5" w14:textId="77777777" w:rsidR="00E23CBB" w:rsidRDefault="00E23CBB" w:rsidP="00767B55">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0411" w14:textId="643FE7CD" w:rsidR="00AE7EEE" w:rsidRPr="00AE7EEE" w:rsidRDefault="00AE7EEE" w:rsidP="00AE7EEE">
    <w:pPr>
      <w:pStyle w:val="Foote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75C4" w14:textId="134156DF" w:rsidR="00AE7EEE" w:rsidRDefault="00AE7EEE" w:rsidP="00767B55">
    <w:pPr>
      <w:spacing w:line="240" w:lineRule="auto"/>
      <w:ind w:firstLine="0"/>
      <w:jc w:val="center"/>
    </w:pPr>
    <w:r>
      <w:t>A-</w:t>
    </w:r>
    <w:sdt>
      <w:sdtPr>
        <w:id w:val="2872431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1D7A" w14:textId="589EE64E" w:rsidR="00AE7EEE" w:rsidRPr="00AE7EEE" w:rsidRDefault="00AE7EEE" w:rsidP="00AE7EE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F559" w14:textId="65E9628A" w:rsidR="00AE7EEE" w:rsidRPr="00AE7EEE" w:rsidRDefault="00AE7EEE" w:rsidP="00AE7EEE">
    <w:pPr>
      <w:spacing w:line="240" w:lineRule="auto"/>
      <w:ind w:firstLine="0"/>
      <w:jc w:val="center"/>
    </w:pPr>
    <w:r>
      <w:t>B-</w:t>
    </w:r>
    <w:sdt>
      <w:sdtPr>
        <w:id w:val="7250225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FF42" w14:textId="6AA2D440" w:rsidR="00AE7EEE" w:rsidRPr="00AE7EEE" w:rsidRDefault="00AE7EEE" w:rsidP="00AE7EEE">
    <w:pPr>
      <w:spacing w:line="240" w:lineRule="auto"/>
      <w:ind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C83" w14:textId="17BF0FB9" w:rsidR="00AE7EEE" w:rsidRPr="00AE7EEE" w:rsidRDefault="00AE7EEE" w:rsidP="00AE7EEE">
    <w:pPr>
      <w:spacing w:line="240" w:lineRule="auto"/>
      <w:ind w:firstLine="0"/>
      <w:jc w:val="center"/>
    </w:pPr>
    <w:r>
      <w:t>C-</w:t>
    </w:r>
    <w:sdt>
      <w:sdtPr>
        <w:id w:val="-7842720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29CB" w14:textId="77777777" w:rsidR="00386AF0" w:rsidRDefault="00386AF0" w:rsidP="00DF58E7">
      <w:pPr>
        <w:spacing w:line="240" w:lineRule="auto"/>
        <w:ind w:firstLine="0"/>
      </w:pPr>
      <w:r>
        <w:separator/>
      </w:r>
    </w:p>
  </w:footnote>
  <w:footnote w:type="continuationSeparator" w:id="0">
    <w:p w14:paraId="4D6B0667" w14:textId="77777777" w:rsidR="00386AF0" w:rsidRDefault="00386AF0" w:rsidP="00DF58E7">
      <w:pPr>
        <w:spacing w:line="240" w:lineRule="auto"/>
        <w:ind w:firstLine="0"/>
      </w:pPr>
      <w:r>
        <w:continuationSeparator/>
      </w:r>
    </w:p>
  </w:footnote>
  <w:footnote w:type="continuationNotice" w:id="1">
    <w:p w14:paraId="70C80CB1" w14:textId="77777777" w:rsidR="00386AF0" w:rsidRPr="00DF58E7" w:rsidRDefault="00386AF0" w:rsidP="00DF58E7">
      <w:pPr>
        <w:spacing w:line="240" w:lineRule="auto"/>
        <w:ind w:firstLine="0"/>
        <w:jc w:val="right"/>
        <w:rPr>
          <w:i/>
          <w:sz w:val="22"/>
        </w:rPr>
      </w:pPr>
      <w:r w:rsidRPr="00DF58E7">
        <w:rPr>
          <w:i/>
          <w:sz w:val="22"/>
        </w:rPr>
        <w:t>Footnote continued on next page.</w:t>
      </w:r>
    </w:p>
  </w:footnote>
  <w:footnote w:id="2">
    <w:p w14:paraId="7DCD6307" w14:textId="18C3356F" w:rsidR="00022516" w:rsidRDefault="00022516">
      <w:pPr>
        <w:pStyle w:val="FootnoteText"/>
      </w:pPr>
      <w:r>
        <w:rPr>
          <w:rStyle w:val="FootnoteReference"/>
        </w:rPr>
        <w:footnoteRef/>
      </w:r>
      <w:r>
        <w:t xml:space="preserve"> A Flexible Service Connection allows a customer who is waiting for an upgrade to use more power when the expected grid conditions indicate that it will be safe for them to use this power.</w:t>
      </w:r>
    </w:p>
  </w:footnote>
  <w:footnote w:id="3">
    <w:p w14:paraId="5A445423" w14:textId="7F87CA8B" w:rsidR="003E7EDC" w:rsidRPr="003E7EDC" w:rsidRDefault="003E7EDC">
      <w:pPr>
        <w:pStyle w:val="FootnoteText"/>
        <w:rPr>
          <w:lang w:val="en-ZW"/>
        </w:rPr>
      </w:pPr>
      <w:r>
        <w:rPr>
          <w:rStyle w:val="FootnoteReference"/>
        </w:rPr>
        <w:footnoteRef/>
      </w:r>
      <w:r>
        <w:t xml:space="preserve"> </w:t>
      </w:r>
      <w:r w:rsidR="00382641">
        <w:rPr>
          <w:lang w:val="en-ZW"/>
        </w:rPr>
        <w:t>D.24-10-030 Ordering Paragraph 18.</w:t>
      </w:r>
    </w:p>
  </w:footnote>
  <w:footnote w:id="4">
    <w:p w14:paraId="391A6CBC" w14:textId="73F367F0" w:rsidR="00E82B61" w:rsidRDefault="00E82B61">
      <w:pPr>
        <w:pStyle w:val="FootnoteText"/>
      </w:pPr>
      <w:r>
        <w:rPr>
          <w:rStyle w:val="FootnoteReference"/>
        </w:rPr>
        <w:footnoteRef/>
      </w:r>
      <w:r>
        <w:t xml:space="preserve"> </w:t>
      </w:r>
      <w:r w:rsidR="00374E51">
        <w:t xml:space="preserve">Bridging strategies are used by IOUs to </w:t>
      </w:r>
      <w:r w:rsidR="00996E81">
        <w:t xml:space="preserve">accommodate energization requests </w:t>
      </w:r>
      <w:r w:rsidR="009A405A">
        <w:t>until</w:t>
      </w:r>
      <w:r w:rsidR="00996E81">
        <w:t xml:space="preserve"> the</w:t>
      </w:r>
      <w:r w:rsidR="009A405A">
        <w:t xml:space="preserve"> grid</w:t>
      </w:r>
      <w:r w:rsidR="00996E81">
        <w:t xml:space="preserve"> upgrades trigger</w:t>
      </w:r>
      <w:r w:rsidR="009A405A">
        <w:t>ed by those requests can be performed.</w:t>
      </w:r>
    </w:p>
  </w:footnote>
  <w:footnote w:id="5">
    <w:p w14:paraId="06A646A1" w14:textId="22AA27BA" w:rsidR="00D71563" w:rsidRPr="00D71563" w:rsidRDefault="00D71563">
      <w:pPr>
        <w:pStyle w:val="FootnoteText"/>
        <w:rPr>
          <w:lang w:val="en-ZW"/>
        </w:rPr>
      </w:pPr>
      <w:r>
        <w:rPr>
          <w:rStyle w:val="FootnoteReference"/>
        </w:rPr>
        <w:footnoteRef/>
      </w:r>
      <w:r>
        <w:t xml:space="preserve"> </w:t>
      </w:r>
      <w:r w:rsidR="00D075FC">
        <w:rPr>
          <w:lang w:val="en-ZW"/>
        </w:rPr>
        <w:t>Next Steps Ruling at 4.</w:t>
      </w:r>
    </w:p>
  </w:footnote>
  <w:footnote w:id="6">
    <w:p w14:paraId="0E95D105" w14:textId="2EC97D23" w:rsidR="003F6F09" w:rsidRDefault="003F6F09">
      <w:pPr>
        <w:pStyle w:val="FootnoteText"/>
      </w:pPr>
      <w:r>
        <w:rPr>
          <w:rStyle w:val="FootnoteReference"/>
        </w:rPr>
        <w:footnoteRef/>
      </w:r>
      <w:r>
        <w:t xml:space="preserve"> </w:t>
      </w:r>
      <w:r>
        <w:rPr>
          <w:lang w:val="en-ZW"/>
        </w:rPr>
        <w:t>Next Steps Ruling at 3.</w:t>
      </w:r>
    </w:p>
  </w:footnote>
  <w:footnote w:id="7">
    <w:p w14:paraId="50DBCF4D" w14:textId="77777777" w:rsidR="008F1F8E" w:rsidRDefault="008F1F8E" w:rsidP="008F1F8E">
      <w:pPr>
        <w:pStyle w:val="FootnoteText"/>
      </w:pPr>
      <w:r>
        <w:rPr>
          <w:rStyle w:val="FootnoteReference"/>
        </w:rPr>
        <w:footnoteRef/>
      </w:r>
      <w:r>
        <w:t xml:space="preserve"> </w:t>
      </w:r>
      <w:r w:rsidRPr="00A53906">
        <w:t>EDF</w:t>
      </w:r>
      <w:r w:rsidRPr="00A53906">
        <w:rPr>
          <w:lang w:val="en-ZW"/>
        </w:rPr>
        <w:t xml:space="preserve"> Opening Comments on Next Steps Ruling</w:t>
      </w:r>
      <w:r w:rsidRPr="000C344F">
        <w:rPr>
          <w:lang w:val="en-ZW"/>
        </w:rPr>
        <w:t xml:space="preserve"> at 16, 19-20;</w:t>
      </w:r>
      <w:r w:rsidRPr="00A53906">
        <w:t xml:space="preserve"> NRDC </w:t>
      </w:r>
      <w:r w:rsidRPr="000C344F">
        <w:rPr>
          <w:lang w:val="en-ZW"/>
        </w:rPr>
        <w:t>Reply</w:t>
      </w:r>
      <w:r w:rsidRPr="00A53906">
        <w:rPr>
          <w:lang w:val="en-ZW"/>
        </w:rPr>
        <w:t xml:space="preserve"> Comments on Next Steps Ruling</w:t>
      </w:r>
      <w:r w:rsidRPr="000C344F">
        <w:rPr>
          <w:lang w:val="en-ZW"/>
        </w:rPr>
        <w:t xml:space="preserve"> at 4.</w:t>
      </w:r>
    </w:p>
  </w:footnote>
  <w:footnote w:id="8">
    <w:p w14:paraId="1BAC8D13" w14:textId="77777777" w:rsidR="008F1F8E" w:rsidRPr="00CC0888" w:rsidRDefault="008F1F8E" w:rsidP="008F1F8E">
      <w:pPr>
        <w:pStyle w:val="FootnoteText"/>
      </w:pPr>
      <w:r>
        <w:rPr>
          <w:rStyle w:val="FootnoteReference"/>
        </w:rPr>
        <w:footnoteRef/>
      </w:r>
      <w:r w:rsidRPr="00CC0888">
        <w:t xml:space="preserve"> EDF </w:t>
      </w:r>
      <w:r>
        <w:rPr>
          <w:lang w:val="en-ZW"/>
        </w:rPr>
        <w:t>Opening Comments on Next Steps Ruling</w:t>
      </w:r>
      <w:r w:rsidDel="00F8284E">
        <w:rPr>
          <w:lang w:val="en-ZW"/>
        </w:rPr>
        <w:t xml:space="preserve"> </w:t>
      </w:r>
      <w:r w:rsidRPr="00CC0888">
        <w:t xml:space="preserve">at 2, </w:t>
      </w:r>
      <w:r>
        <w:t>A</w:t>
      </w:r>
      <w:r w:rsidRPr="00CC0888">
        <w:t>ppendix A.</w:t>
      </w:r>
    </w:p>
  </w:footnote>
  <w:footnote w:id="9">
    <w:p w14:paraId="59C6FBE8" w14:textId="486697CD" w:rsidR="001A1F5D" w:rsidRDefault="001A1F5D" w:rsidP="001C7BBB">
      <w:pPr>
        <w:pStyle w:val="FootnoteText"/>
      </w:pPr>
      <w:r>
        <w:rPr>
          <w:rStyle w:val="FootnoteReference"/>
        </w:rPr>
        <w:footnoteRef/>
      </w:r>
      <w:r>
        <w:t xml:space="preserve"> </w:t>
      </w:r>
      <w:r w:rsidR="00BB691D">
        <w:t xml:space="preserve">PG&amp;E’s Electric Rule 1 defines tariffs as: </w:t>
      </w:r>
      <w:r w:rsidR="001C7BBB" w:rsidRPr="001C7BBB">
        <w:t>The entire body of effective rates, rentals, charges, and rules, collectively,</w:t>
      </w:r>
      <w:r w:rsidR="001C7BBB">
        <w:t xml:space="preserve"> </w:t>
      </w:r>
      <w:r w:rsidR="001C7BBB" w:rsidRPr="001C7BBB">
        <w:t>of PG&amp;E, including title page, preliminary statement, rate schedules, rules, sample</w:t>
      </w:r>
      <w:r w:rsidR="001C7BBB">
        <w:t xml:space="preserve"> </w:t>
      </w:r>
      <w:r w:rsidR="001C7BBB" w:rsidRPr="001C7BBB">
        <w:t>forms, service area maps, and list of contracts and deviations.</w:t>
      </w:r>
    </w:p>
  </w:footnote>
  <w:footnote w:id="10">
    <w:p w14:paraId="35AB152C" w14:textId="4F99C473" w:rsidR="00AF1C01" w:rsidRDefault="00AF1C01">
      <w:pPr>
        <w:pStyle w:val="FootnoteText"/>
      </w:pPr>
      <w:r>
        <w:rPr>
          <w:rStyle w:val="FootnoteReference"/>
        </w:rPr>
        <w:footnoteRef/>
      </w:r>
      <w:r>
        <w:t xml:space="preserve"> P</w:t>
      </w:r>
      <w:r w:rsidRPr="00AF1C01">
        <w:t>reliminary capacity assessments allow a customer to understand the level of electrical power available at a particular point on the grid</w:t>
      </w:r>
      <w:r>
        <w:t xml:space="preserve">. In its </w:t>
      </w:r>
      <w:r>
        <w:rPr>
          <w:lang w:val="en-ZW"/>
        </w:rPr>
        <w:t>Opening Comments on Next Steps Ruling</w:t>
      </w:r>
      <w:r w:rsidDel="00F8284E">
        <w:rPr>
          <w:lang w:val="en-ZW"/>
        </w:rPr>
        <w:t xml:space="preserve"> </w:t>
      </w:r>
      <w:r w:rsidRPr="00CC0888">
        <w:t>a</w:t>
      </w:r>
      <w:r w:rsidRPr="006F11F3">
        <w:t xml:space="preserve">t </w:t>
      </w:r>
      <w:r>
        <w:t xml:space="preserve">14, CALSTART </w:t>
      </w:r>
      <w:r w:rsidRPr="00AF1C01">
        <w:t>articulated inconsistencies in the provision of preliminary capacity assessments.</w:t>
      </w:r>
      <w:r>
        <w:t xml:space="preserve"> </w:t>
      </w:r>
    </w:p>
  </w:footnote>
  <w:footnote w:id="11">
    <w:p w14:paraId="1DF382AB" w14:textId="46F67569" w:rsidR="00AF1C01" w:rsidRDefault="00AF1C01">
      <w:pPr>
        <w:pStyle w:val="FootnoteText"/>
      </w:pPr>
      <w:r>
        <w:rPr>
          <w:rStyle w:val="FootnoteReference"/>
        </w:rPr>
        <w:footnoteRef/>
      </w:r>
      <w:r>
        <w:t xml:space="preserve"> Decision 24-09-020 established a process whereby Large IOUs pause the energization target timelines upon notification of the customer that an upstream capacity constraint has been identified.</w:t>
      </w:r>
    </w:p>
  </w:footnote>
  <w:footnote w:id="12">
    <w:p w14:paraId="0FC029CC" w14:textId="12DCB246" w:rsidR="00524B1B" w:rsidRDefault="00524B1B" w:rsidP="00524B1B">
      <w:pPr>
        <w:pStyle w:val="FootnoteText"/>
      </w:pPr>
      <w:r>
        <w:rPr>
          <w:rStyle w:val="FootnoteReference"/>
        </w:rPr>
        <w:footnoteRef/>
      </w:r>
      <w:r>
        <w:t xml:space="preserve"> Clean Coalition </w:t>
      </w:r>
      <w:r w:rsidR="005D1287">
        <w:rPr>
          <w:lang w:val="en-ZW"/>
        </w:rPr>
        <w:t>Opening Comments on Next Steps Ruling</w:t>
      </w:r>
      <w:r w:rsidR="005D1287" w:rsidDel="00F8284E">
        <w:rPr>
          <w:lang w:val="en-ZW"/>
        </w:rPr>
        <w:t xml:space="preserve"> </w:t>
      </w:r>
      <w:r w:rsidR="005D1287" w:rsidRPr="00CC0888">
        <w:t>a</w:t>
      </w:r>
      <w:r>
        <w:t xml:space="preserve">t 2; Enphase </w:t>
      </w:r>
      <w:r w:rsidR="005D1287">
        <w:rPr>
          <w:lang w:val="en-ZW"/>
        </w:rPr>
        <w:t>Opening Comments on Next Steps Ruling</w:t>
      </w:r>
      <w:r w:rsidR="005D1287" w:rsidDel="00F8284E">
        <w:rPr>
          <w:lang w:val="en-ZW"/>
        </w:rPr>
        <w:t xml:space="preserve"> </w:t>
      </w:r>
      <w:r w:rsidR="005D1287" w:rsidRPr="00CC0888">
        <w:t>a</w:t>
      </w:r>
      <w:r>
        <w:t>t 3-4; C</w:t>
      </w:r>
      <w:r w:rsidR="00D02EC9">
        <w:t>ritical Loop</w:t>
      </w:r>
      <w:r>
        <w:t xml:space="preserve"> </w:t>
      </w:r>
      <w:r w:rsidR="005D1287">
        <w:rPr>
          <w:lang w:val="en-ZW"/>
        </w:rPr>
        <w:t>Opening Comments on Next Steps Ruling</w:t>
      </w:r>
      <w:r w:rsidR="005D1287" w:rsidDel="00F8284E">
        <w:rPr>
          <w:lang w:val="en-ZW"/>
        </w:rPr>
        <w:t xml:space="preserve"> </w:t>
      </w:r>
      <w:r w:rsidR="005D1287" w:rsidRPr="00CC0888">
        <w:t>a</w:t>
      </w:r>
      <w:r>
        <w:t>t 4-6</w:t>
      </w:r>
      <w:r w:rsidR="008A29A0">
        <w:t>.</w:t>
      </w:r>
    </w:p>
  </w:footnote>
  <w:footnote w:id="13">
    <w:p w14:paraId="5A10336D" w14:textId="37AFE1CD" w:rsidR="00524B1B" w:rsidRPr="000C344F" w:rsidRDefault="00524B1B" w:rsidP="00524B1B">
      <w:pPr>
        <w:pStyle w:val="FootnoteText"/>
      </w:pPr>
      <w:r>
        <w:rPr>
          <w:rStyle w:val="FootnoteReference"/>
        </w:rPr>
        <w:footnoteRef/>
      </w:r>
      <w:r w:rsidRPr="000C344F">
        <w:t xml:space="preserve"> C</w:t>
      </w:r>
      <w:r w:rsidR="00D02EC9">
        <w:t>ritical Loop</w:t>
      </w:r>
      <w:r w:rsidRPr="000C344F">
        <w:t xml:space="preserve"> </w:t>
      </w:r>
      <w:r w:rsidR="005D1287">
        <w:rPr>
          <w:lang w:val="en-ZW"/>
        </w:rPr>
        <w:t>Opening Comments on Next Steps Ruling</w:t>
      </w:r>
      <w:r w:rsidR="005D1287" w:rsidDel="00F8284E">
        <w:rPr>
          <w:lang w:val="en-ZW"/>
        </w:rPr>
        <w:t xml:space="preserve"> </w:t>
      </w:r>
      <w:r w:rsidR="005D1287" w:rsidRPr="00CC0888">
        <w:t>a</w:t>
      </w:r>
      <w:r w:rsidRPr="000C344F">
        <w:t xml:space="preserve">t 4-6; TMH </w:t>
      </w:r>
      <w:r w:rsidR="005D1287">
        <w:rPr>
          <w:lang w:val="en-ZW"/>
        </w:rPr>
        <w:t>Opening Comments on Next Steps Ruling</w:t>
      </w:r>
      <w:r w:rsidR="005D1287" w:rsidDel="00F8284E">
        <w:rPr>
          <w:lang w:val="en-ZW"/>
        </w:rPr>
        <w:t xml:space="preserve"> </w:t>
      </w:r>
      <w:r w:rsidR="005D1287" w:rsidRPr="00CC0888">
        <w:t>a</w:t>
      </w:r>
      <w:r w:rsidRPr="000C344F">
        <w:t xml:space="preserve">t 7; Enphase </w:t>
      </w:r>
      <w:r w:rsidR="005D1287">
        <w:rPr>
          <w:lang w:val="en-ZW"/>
        </w:rPr>
        <w:t>Opening Comments on Next Steps Ruling</w:t>
      </w:r>
      <w:r w:rsidR="005D1287" w:rsidDel="00F8284E">
        <w:rPr>
          <w:lang w:val="en-ZW"/>
        </w:rPr>
        <w:t xml:space="preserve"> </w:t>
      </w:r>
      <w:r w:rsidR="005D1287" w:rsidRPr="00CC0888">
        <w:t>a</w:t>
      </w:r>
      <w:r w:rsidRPr="000C344F">
        <w:t>t 3-4</w:t>
      </w:r>
      <w:r w:rsidR="008A29A0">
        <w:t>.</w:t>
      </w:r>
    </w:p>
  </w:footnote>
  <w:footnote w:id="14">
    <w:p w14:paraId="205FEE0D" w14:textId="6773F9A4" w:rsidR="0073048A" w:rsidRPr="000C344F" w:rsidRDefault="0073048A" w:rsidP="0073048A">
      <w:pPr>
        <w:pStyle w:val="FootnoteText"/>
      </w:pPr>
      <w:r>
        <w:rPr>
          <w:rStyle w:val="FootnoteReference"/>
        </w:rPr>
        <w:footnoteRef/>
      </w:r>
      <w:r w:rsidRPr="000C344F">
        <w:t xml:space="preserve"> Enphase </w:t>
      </w:r>
      <w:r w:rsidR="005D1287">
        <w:rPr>
          <w:lang w:val="en-ZW"/>
        </w:rPr>
        <w:t>Opening Comments on Next Steps Ruling</w:t>
      </w:r>
      <w:r w:rsidR="005D1287" w:rsidDel="00F8284E">
        <w:rPr>
          <w:lang w:val="en-ZW"/>
        </w:rPr>
        <w:t xml:space="preserve"> </w:t>
      </w:r>
      <w:r w:rsidR="005D1287" w:rsidRPr="00CC0888">
        <w:t>a</w:t>
      </w:r>
      <w:r w:rsidRPr="000C344F">
        <w:t>t 3-4; EDF</w:t>
      </w:r>
      <w:r w:rsidR="005D1287">
        <w:t xml:space="preserve"> </w:t>
      </w:r>
      <w:r w:rsidR="005D1287">
        <w:rPr>
          <w:lang w:val="en-ZW"/>
        </w:rPr>
        <w:t>Opening Comments on Next Steps Ruling</w:t>
      </w:r>
      <w:r w:rsidR="005D1287" w:rsidDel="00F8284E">
        <w:rPr>
          <w:lang w:val="en-ZW"/>
        </w:rPr>
        <w:t xml:space="preserve"> </w:t>
      </w:r>
      <w:r w:rsidR="005D1287" w:rsidRPr="00CC0888">
        <w:t>a</w:t>
      </w:r>
      <w:r w:rsidRPr="000C344F">
        <w:t>t 8.</w:t>
      </w:r>
    </w:p>
  </w:footnote>
  <w:footnote w:id="15">
    <w:p w14:paraId="1B3C3E12" w14:textId="7DD38C2D" w:rsidR="0073048A" w:rsidRPr="000C344F" w:rsidRDefault="0073048A" w:rsidP="0073048A">
      <w:pPr>
        <w:pStyle w:val="FootnoteText"/>
      </w:pPr>
      <w:r>
        <w:rPr>
          <w:rStyle w:val="FootnoteReference"/>
        </w:rPr>
        <w:footnoteRef/>
      </w:r>
      <w:r w:rsidRPr="000C344F">
        <w:t xml:space="preserve"> Enphase </w:t>
      </w:r>
      <w:r w:rsidR="005D1287">
        <w:rPr>
          <w:lang w:val="en-ZW"/>
        </w:rPr>
        <w:t>Opening Comments on Next Steps Ruling</w:t>
      </w:r>
      <w:r w:rsidR="005D1287" w:rsidDel="00F8284E">
        <w:rPr>
          <w:lang w:val="en-ZW"/>
        </w:rPr>
        <w:t xml:space="preserve"> </w:t>
      </w:r>
      <w:r w:rsidR="005D1287" w:rsidRPr="00CC0888">
        <w:t>a</w:t>
      </w:r>
      <w:r w:rsidRPr="000C344F">
        <w:t>t 3-4; EDF</w:t>
      </w:r>
      <w:r w:rsidR="00DA37BD">
        <w:t xml:space="preserve"> </w:t>
      </w:r>
      <w:r w:rsidR="005D1287">
        <w:rPr>
          <w:lang w:val="en-ZW"/>
        </w:rPr>
        <w:t>Opening Comments on Next Steps Ruling</w:t>
      </w:r>
      <w:r w:rsidR="005D1287" w:rsidDel="00F8284E">
        <w:rPr>
          <w:lang w:val="en-ZW"/>
        </w:rPr>
        <w:t xml:space="preserve"> </w:t>
      </w:r>
      <w:r w:rsidR="005D1287" w:rsidRPr="00CC0888">
        <w:t>a</w:t>
      </w:r>
      <w:r w:rsidRPr="000C344F">
        <w:t xml:space="preserve">t 8; TMH </w:t>
      </w:r>
      <w:r w:rsidR="005D1287">
        <w:rPr>
          <w:lang w:val="en-ZW"/>
        </w:rPr>
        <w:t>Opening Comments on Next Steps Ruling</w:t>
      </w:r>
      <w:r w:rsidR="005D1287" w:rsidDel="00F8284E">
        <w:rPr>
          <w:lang w:val="en-ZW"/>
        </w:rPr>
        <w:t xml:space="preserve"> </w:t>
      </w:r>
      <w:r w:rsidR="005D1287" w:rsidRPr="00CC0888">
        <w:t>a</w:t>
      </w:r>
      <w:r w:rsidRPr="000C344F">
        <w:t>t 7.</w:t>
      </w:r>
    </w:p>
  </w:footnote>
  <w:footnote w:id="16">
    <w:p w14:paraId="7125E7BE" w14:textId="76649B3F" w:rsidR="0073048A" w:rsidRPr="000C344F" w:rsidRDefault="0073048A" w:rsidP="0073048A">
      <w:pPr>
        <w:pStyle w:val="FootnoteText"/>
      </w:pPr>
      <w:r>
        <w:rPr>
          <w:rStyle w:val="FootnoteReference"/>
        </w:rPr>
        <w:footnoteRef/>
      </w:r>
      <w:r w:rsidRPr="000C344F">
        <w:t xml:space="preserve"> Enphase </w:t>
      </w:r>
      <w:r w:rsidR="005D1287">
        <w:rPr>
          <w:lang w:val="en-ZW"/>
        </w:rPr>
        <w:t>Opening Comments on Next Steps Ruling</w:t>
      </w:r>
      <w:r w:rsidR="005D1287" w:rsidDel="00F8284E">
        <w:rPr>
          <w:lang w:val="en-ZW"/>
        </w:rPr>
        <w:t xml:space="preserve"> </w:t>
      </w:r>
      <w:r w:rsidR="005D1287" w:rsidRPr="00CC0888">
        <w:t>a</w:t>
      </w:r>
      <w:r w:rsidRPr="000C344F">
        <w:t xml:space="preserve">t 3-4; EDF </w:t>
      </w:r>
      <w:r w:rsidR="005D1287">
        <w:rPr>
          <w:lang w:val="en-ZW"/>
        </w:rPr>
        <w:t>Opening Comments on Next Steps Ruling</w:t>
      </w:r>
      <w:r w:rsidR="005D1287" w:rsidDel="00F8284E">
        <w:rPr>
          <w:lang w:val="en-ZW"/>
        </w:rPr>
        <w:t xml:space="preserve"> </w:t>
      </w:r>
      <w:r w:rsidR="005D1287" w:rsidRPr="00CC0888">
        <w:t>a</w:t>
      </w:r>
      <w:r w:rsidRPr="000C344F">
        <w:t>t 7.</w:t>
      </w:r>
    </w:p>
  </w:footnote>
  <w:footnote w:id="17">
    <w:p w14:paraId="56384E7F" w14:textId="66CE5822" w:rsidR="0073048A" w:rsidRPr="000C344F" w:rsidRDefault="0073048A" w:rsidP="0073048A">
      <w:pPr>
        <w:pStyle w:val="FootnoteText"/>
      </w:pPr>
      <w:r>
        <w:rPr>
          <w:rStyle w:val="FootnoteReference"/>
        </w:rPr>
        <w:footnoteRef/>
      </w:r>
      <w:r w:rsidRPr="000C344F">
        <w:t xml:space="preserve"> Enphase </w:t>
      </w:r>
      <w:r w:rsidR="005D1287">
        <w:rPr>
          <w:lang w:val="en-ZW"/>
        </w:rPr>
        <w:t>Opening Comments on Next Steps Ruling</w:t>
      </w:r>
      <w:r w:rsidR="005D1287" w:rsidDel="00F8284E">
        <w:rPr>
          <w:lang w:val="en-ZW"/>
        </w:rPr>
        <w:t xml:space="preserve"> </w:t>
      </w:r>
      <w:r w:rsidR="005D1287" w:rsidRPr="00CC0888">
        <w:t>a</w:t>
      </w:r>
      <w:r w:rsidRPr="000C344F">
        <w:t xml:space="preserve">t 3-4; EDF </w:t>
      </w:r>
      <w:r w:rsidR="005D1287">
        <w:rPr>
          <w:lang w:val="en-ZW"/>
        </w:rPr>
        <w:t>Opening Comments on Next Steps Ruling</w:t>
      </w:r>
      <w:r w:rsidR="005D1287" w:rsidDel="00F8284E">
        <w:rPr>
          <w:lang w:val="en-ZW"/>
        </w:rPr>
        <w:t xml:space="preserve"> </w:t>
      </w:r>
      <w:r w:rsidR="005D1287" w:rsidRPr="00CC0888">
        <w:t>a</w:t>
      </w:r>
      <w:r w:rsidRPr="000C344F">
        <w:t xml:space="preserve">t 6-7 TMH </w:t>
      </w:r>
      <w:r w:rsidR="0056506E">
        <w:rPr>
          <w:lang w:val="en-ZW"/>
        </w:rPr>
        <w:t>Opening Comments on Next Steps Ruling</w:t>
      </w:r>
      <w:r w:rsidR="0056506E" w:rsidDel="00F8284E">
        <w:rPr>
          <w:lang w:val="en-ZW"/>
        </w:rPr>
        <w:t xml:space="preserve"> </w:t>
      </w:r>
      <w:r w:rsidR="0056506E" w:rsidRPr="00CC0888">
        <w:t>a</w:t>
      </w:r>
      <w:r w:rsidRPr="000C344F">
        <w:t>t 8.</w:t>
      </w:r>
    </w:p>
  </w:footnote>
  <w:footnote w:id="18">
    <w:p w14:paraId="49283C52" w14:textId="71763C0D" w:rsidR="0073048A" w:rsidRDefault="0073048A" w:rsidP="0073048A">
      <w:pPr>
        <w:pStyle w:val="FootnoteText"/>
      </w:pPr>
      <w:r>
        <w:rPr>
          <w:rStyle w:val="FootnoteReference"/>
        </w:rPr>
        <w:footnoteRef/>
      </w:r>
      <w:r>
        <w:t xml:space="preserve"> C</w:t>
      </w:r>
      <w:r w:rsidR="00D02EC9">
        <w:t>ritical Loop</w:t>
      </w:r>
      <w:r>
        <w:t xml:space="preserve"> </w:t>
      </w:r>
      <w:r w:rsidR="0056506E">
        <w:rPr>
          <w:lang w:val="en-ZW"/>
        </w:rPr>
        <w:t>Opening Comments on Next Steps Ruling</w:t>
      </w:r>
      <w:r w:rsidR="0056506E" w:rsidDel="00F8284E">
        <w:rPr>
          <w:lang w:val="en-ZW"/>
        </w:rPr>
        <w:t xml:space="preserve"> </w:t>
      </w:r>
      <w:r w:rsidR="0056506E" w:rsidRPr="00CC0888">
        <w:t>a</w:t>
      </w:r>
      <w:r>
        <w:t>t 4-6</w:t>
      </w:r>
      <w:r w:rsidR="00DA37BD">
        <w:t>.</w:t>
      </w:r>
    </w:p>
  </w:footnote>
  <w:footnote w:id="19">
    <w:p w14:paraId="279EFBFE" w14:textId="548288D0" w:rsidR="0073048A" w:rsidRDefault="0073048A" w:rsidP="0073048A">
      <w:pPr>
        <w:pStyle w:val="FootnoteText"/>
      </w:pPr>
      <w:r>
        <w:rPr>
          <w:rStyle w:val="FootnoteReference"/>
        </w:rPr>
        <w:footnoteRef/>
      </w:r>
      <w:r>
        <w:t xml:space="preserve"> Critical Loop </w:t>
      </w:r>
      <w:r w:rsidR="0056506E">
        <w:rPr>
          <w:lang w:val="en-ZW"/>
        </w:rPr>
        <w:t>Opening Comments on Next Steps Ruling</w:t>
      </w:r>
      <w:r w:rsidR="0056506E" w:rsidDel="00F8284E">
        <w:rPr>
          <w:lang w:val="en-ZW"/>
        </w:rPr>
        <w:t xml:space="preserve"> </w:t>
      </w:r>
      <w:r w:rsidR="0056506E" w:rsidRPr="00CC0888">
        <w:t>a</w:t>
      </w:r>
      <w:r>
        <w:t>t 2.</w:t>
      </w:r>
    </w:p>
  </w:footnote>
  <w:footnote w:id="20">
    <w:p w14:paraId="335AF7D3" w14:textId="0E16AA95" w:rsidR="002E53CD" w:rsidRPr="009D3AAC" w:rsidRDefault="002E53CD" w:rsidP="002E53CD">
      <w:pPr>
        <w:pStyle w:val="FootnoteText"/>
        <w:rPr>
          <w:lang w:val="en-ZW"/>
        </w:rPr>
      </w:pPr>
      <w:r>
        <w:rPr>
          <w:rStyle w:val="FootnoteReference"/>
        </w:rPr>
        <w:footnoteRef/>
      </w:r>
      <w:r>
        <w:t xml:space="preserve"> </w:t>
      </w:r>
      <w:r w:rsidRPr="009D3AAC">
        <w:rPr>
          <w:lang w:val="en-ZW"/>
        </w:rPr>
        <w:t>VG</w:t>
      </w:r>
      <w:r w:rsidRPr="009D3AAC">
        <w:t xml:space="preserve">IC </w:t>
      </w:r>
      <w:r w:rsidR="0056506E">
        <w:rPr>
          <w:lang w:val="en-ZW"/>
        </w:rPr>
        <w:t>Opening Comments on Next Steps Ruling</w:t>
      </w:r>
      <w:r w:rsidR="0056506E" w:rsidDel="00F8284E">
        <w:rPr>
          <w:lang w:val="en-ZW"/>
        </w:rPr>
        <w:t xml:space="preserve"> </w:t>
      </w:r>
      <w:r w:rsidR="0056506E" w:rsidRPr="00CC0888">
        <w:t>a</w:t>
      </w:r>
      <w:r w:rsidR="0056506E">
        <w:t>t</w:t>
      </w:r>
      <w:r w:rsidR="00D43E95">
        <w:t xml:space="preserve"> </w:t>
      </w:r>
      <w:r>
        <w:t>6.</w:t>
      </w:r>
    </w:p>
  </w:footnote>
  <w:footnote w:id="21">
    <w:p w14:paraId="2AC1A5C8" w14:textId="4DDB7276" w:rsidR="007147B2" w:rsidRPr="002D0A29" w:rsidRDefault="007147B2">
      <w:pPr>
        <w:pStyle w:val="FootnoteText"/>
      </w:pPr>
      <w:r>
        <w:rPr>
          <w:rStyle w:val="FootnoteReference"/>
        </w:rPr>
        <w:footnoteRef/>
      </w:r>
      <w:r w:rsidRPr="002D0A29">
        <w:t xml:space="preserve"> PGE </w:t>
      </w:r>
      <w:r w:rsidR="0056506E">
        <w:rPr>
          <w:lang w:val="en-ZW"/>
        </w:rPr>
        <w:t>Opening Comments on Next Steps Ruling</w:t>
      </w:r>
      <w:r w:rsidR="0056506E" w:rsidDel="00F8284E">
        <w:rPr>
          <w:lang w:val="en-ZW"/>
        </w:rPr>
        <w:t xml:space="preserve"> </w:t>
      </w:r>
      <w:r w:rsidR="0056506E" w:rsidRPr="00CC0888">
        <w:t>a</w:t>
      </w:r>
      <w:r w:rsidR="0056506E">
        <w:t>t</w:t>
      </w:r>
      <w:r w:rsidR="00D43E95">
        <w:t xml:space="preserve"> </w:t>
      </w:r>
      <w:r w:rsidRPr="002D0A29">
        <w:t>2-3</w:t>
      </w:r>
      <w:r w:rsidR="00D43E95">
        <w:t>.</w:t>
      </w:r>
    </w:p>
  </w:footnote>
  <w:footnote w:id="22">
    <w:p w14:paraId="05AA970E" w14:textId="16F3F386" w:rsidR="0078737C" w:rsidRPr="000E2B5E" w:rsidRDefault="0078737C">
      <w:pPr>
        <w:pStyle w:val="FootnoteText"/>
      </w:pPr>
      <w:r>
        <w:rPr>
          <w:rStyle w:val="FootnoteReference"/>
        </w:rPr>
        <w:footnoteRef/>
      </w:r>
      <w:r>
        <w:t xml:space="preserve"> </w:t>
      </w:r>
      <w:r w:rsidR="005E3F8C" w:rsidRPr="002D0A29">
        <w:t xml:space="preserve">PGE </w:t>
      </w:r>
      <w:r w:rsidR="005E3F8C">
        <w:rPr>
          <w:lang w:val="en-ZW"/>
        </w:rPr>
        <w:t>Opening Comments on Next Steps Ruling</w:t>
      </w:r>
      <w:r w:rsidR="005E3F8C" w:rsidDel="00F8284E">
        <w:rPr>
          <w:lang w:val="en-ZW"/>
        </w:rPr>
        <w:t xml:space="preserve"> </w:t>
      </w:r>
      <w:r w:rsidR="005E3F8C" w:rsidRPr="00CC0888">
        <w:t>a</w:t>
      </w:r>
      <w:r w:rsidR="005E3F8C">
        <w:t xml:space="preserve">t </w:t>
      </w:r>
      <w:r w:rsidR="005E3F8C" w:rsidRPr="002D0A29">
        <w:t>2</w:t>
      </w:r>
      <w:r w:rsidR="005E3F8C">
        <w:t xml:space="preserve">, </w:t>
      </w:r>
      <w:r w:rsidR="000E2B5E">
        <w:t>S</w:t>
      </w:r>
      <w:r w:rsidR="000E2B5E" w:rsidRPr="000E2B5E">
        <w:t xml:space="preserve">CE Bridging Strategies </w:t>
      </w:r>
      <w:r w:rsidR="000E2B5E">
        <w:t>a</w:t>
      </w:r>
      <w:r w:rsidR="000E2B5E" w:rsidRPr="000E2B5E">
        <w:t>nd Solutions</w:t>
      </w:r>
      <w:r w:rsidR="000E2B5E">
        <w:t xml:space="preserve"> </w:t>
      </w:r>
      <w:r w:rsidR="000E2B5E" w:rsidRPr="000E2B5E">
        <w:t xml:space="preserve">report </w:t>
      </w:r>
      <w:r w:rsidR="000E2B5E" w:rsidRPr="002B51C8">
        <w:t>at 6-7.</w:t>
      </w:r>
    </w:p>
  </w:footnote>
  <w:footnote w:id="23">
    <w:p w14:paraId="4C4B95A4" w14:textId="77777777" w:rsidR="001B45D6" w:rsidRDefault="001B45D6" w:rsidP="001B45D6">
      <w:pPr>
        <w:pStyle w:val="FootnoteText"/>
      </w:pPr>
      <w:r w:rsidRPr="000E2B5E">
        <w:rPr>
          <w:rStyle w:val="FootnoteReference"/>
        </w:rPr>
        <w:footnoteRef/>
      </w:r>
      <w:r w:rsidRPr="000E2B5E">
        <w:t xml:space="preserve"> </w:t>
      </w:r>
      <w:r w:rsidRPr="002B51C8">
        <w:rPr>
          <w:lang w:val="en-ZW"/>
        </w:rPr>
        <w:t>Bridging solutions are also referred to as “bridge to wires” solutions throughout the record. These terms are functionally equivalent.</w:t>
      </w:r>
    </w:p>
  </w:footnote>
  <w:footnote w:id="24">
    <w:p w14:paraId="21A7268D" w14:textId="76B2852E" w:rsidR="00D96564" w:rsidRDefault="00D96564">
      <w:pPr>
        <w:pStyle w:val="FootnoteText"/>
      </w:pPr>
      <w:r>
        <w:rPr>
          <w:rStyle w:val="FootnoteReference"/>
        </w:rPr>
        <w:footnoteRef/>
      </w:r>
      <w:r>
        <w:t xml:space="preserve"> SCE </w:t>
      </w:r>
      <w:r w:rsidR="00AE070B">
        <w:t xml:space="preserve">June </w:t>
      </w:r>
      <w:r w:rsidR="00F86D55">
        <w:t>13, 2025 response to Transparency Ruling</w:t>
      </w:r>
      <w:r>
        <w:t xml:space="preserve"> at 3.</w:t>
      </w:r>
    </w:p>
  </w:footnote>
  <w:footnote w:id="25">
    <w:p w14:paraId="586BCB95" w14:textId="3947766E" w:rsidR="009336C8" w:rsidRPr="009336C8" w:rsidRDefault="009336C8">
      <w:pPr>
        <w:pStyle w:val="FootnoteText"/>
        <w:rPr>
          <w:lang w:val="en-ZW"/>
        </w:rPr>
      </w:pPr>
      <w:r>
        <w:rPr>
          <w:rStyle w:val="FootnoteReference"/>
        </w:rPr>
        <w:footnoteRef/>
      </w:r>
      <w:r>
        <w:t xml:space="preserve"> </w:t>
      </w:r>
      <w:r>
        <w:rPr>
          <w:lang w:val="en-ZW"/>
        </w:rPr>
        <w:t xml:space="preserve">PG&amp;E </w:t>
      </w:r>
      <w:r w:rsidR="00317BC9">
        <w:rPr>
          <w:lang w:val="en-ZW"/>
        </w:rPr>
        <w:t>Amended Clarified FSC Data Sheet.</w:t>
      </w:r>
    </w:p>
  </w:footnote>
  <w:footnote w:id="26">
    <w:p w14:paraId="7EBD6A96" w14:textId="1BA17F2D" w:rsidR="00100682" w:rsidRDefault="00100682">
      <w:pPr>
        <w:pStyle w:val="FootnoteText"/>
      </w:pPr>
      <w:r>
        <w:rPr>
          <w:rStyle w:val="FootnoteReference"/>
        </w:rPr>
        <w:footnoteRef/>
      </w:r>
      <w:r>
        <w:t xml:space="preserve"> </w:t>
      </w:r>
      <w:r w:rsidR="00701FAF">
        <w:t xml:space="preserve">IREC </w:t>
      </w:r>
      <w:r w:rsidR="00F66FCC">
        <w:rPr>
          <w:lang w:val="en-ZW"/>
        </w:rPr>
        <w:t>Opening Comments on Next Steps Ruling</w:t>
      </w:r>
      <w:r w:rsidR="00F66FCC" w:rsidDel="00F8284E">
        <w:rPr>
          <w:lang w:val="en-ZW"/>
        </w:rPr>
        <w:t xml:space="preserve"> </w:t>
      </w:r>
      <w:r w:rsidR="00C2686D">
        <w:t xml:space="preserve">at </w:t>
      </w:r>
      <w:r w:rsidR="001B06F5">
        <w:t>PGE</w:t>
      </w:r>
      <w:r w:rsidR="00A75DA6">
        <w:t xml:space="preserve"> </w:t>
      </w:r>
      <w:r w:rsidR="001B06F5">
        <w:t>1:</w:t>
      </w:r>
      <w:r w:rsidR="001C1D65">
        <w:t>067-068</w:t>
      </w:r>
      <w:r w:rsidR="00736D3D">
        <w:t>.</w:t>
      </w:r>
      <w:r w:rsidR="001B06F5">
        <w:t xml:space="preserve"> </w:t>
      </w:r>
    </w:p>
  </w:footnote>
  <w:footnote w:id="27">
    <w:p w14:paraId="74E2EC80" w14:textId="6F6415C1" w:rsidR="00670817" w:rsidRPr="00670817" w:rsidRDefault="00670817">
      <w:pPr>
        <w:pStyle w:val="FootnoteText"/>
        <w:rPr>
          <w:lang w:val="en-ZW"/>
        </w:rPr>
      </w:pPr>
      <w:r>
        <w:rPr>
          <w:rStyle w:val="FootnoteReference"/>
        </w:rPr>
        <w:footnoteRef/>
      </w:r>
      <w:r>
        <w:t xml:space="preserve"> </w:t>
      </w:r>
      <w:r>
        <w:rPr>
          <w:lang w:val="en-ZW"/>
        </w:rPr>
        <w:t>PG&amp;E Amended Clarified FSC Data Sheet.</w:t>
      </w:r>
    </w:p>
  </w:footnote>
  <w:footnote w:id="28">
    <w:p w14:paraId="2D03356B" w14:textId="71B92F26" w:rsidR="00675090" w:rsidRPr="00675090" w:rsidRDefault="00675090">
      <w:pPr>
        <w:pStyle w:val="FootnoteText"/>
        <w:rPr>
          <w:lang w:val="en-ZW"/>
        </w:rPr>
      </w:pPr>
      <w:r>
        <w:rPr>
          <w:rStyle w:val="FootnoteReference"/>
        </w:rPr>
        <w:footnoteRef/>
      </w:r>
      <w:r>
        <w:t xml:space="preserve"> </w:t>
      </w:r>
      <w:r>
        <w:rPr>
          <w:lang w:val="en-ZW"/>
        </w:rPr>
        <w:t>PG&amp;E Amended Clarified FSC Data Shee</w:t>
      </w:r>
      <w:r w:rsidR="00020051">
        <w:rPr>
          <w:lang w:val="en-ZW"/>
        </w:rPr>
        <w:t xml:space="preserve">t; </w:t>
      </w:r>
      <w:r w:rsidR="00020051">
        <w:t>SCE FSC Participant data</w:t>
      </w:r>
      <w:r w:rsidR="00736D3D" w:rsidRPr="00736D3D">
        <w:t xml:space="preserve"> for Topic 4 in Section</w:t>
      </w:r>
      <w:r w:rsidR="00D43E95">
        <w:t> </w:t>
      </w:r>
      <w:r w:rsidR="00736D3D" w:rsidRPr="00736D3D">
        <w:t>3.1</w:t>
      </w:r>
      <w:r w:rsidR="00020051">
        <w:t>.</w:t>
      </w:r>
    </w:p>
  </w:footnote>
  <w:footnote w:id="29">
    <w:p w14:paraId="669DFDB6" w14:textId="5F15AE97" w:rsidR="001F4E34" w:rsidRPr="001F4E34" w:rsidRDefault="001F4E34">
      <w:pPr>
        <w:pStyle w:val="FootnoteText"/>
        <w:rPr>
          <w:lang w:val="en-ZW"/>
        </w:rPr>
      </w:pPr>
      <w:r>
        <w:rPr>
          <w:rStyle w:val="FootnoteReference"/>
        </w:rPr>
        <w:footnoteRef/>
      </w:r>
      <w:r>
        <w:t xml:space="preserve"> </w:t>
      </w:r>
      <w:r>
        <w:rPr>
          <w:lang w:val="en-ZW"/>
        </w:rPr>
        <w:t xml:space="preserve">Enphase </w:t>
      </w:r>
      <w:r w:rsidR="00DD4A6C">
        <w:rPr>
          <w:lang w:val="en-ZW"/>
        </w:rPr>
        <w:t>Opening Comments on Next Steps Ruling</w:t>
      </w:r>
      <w:r w:rsidR="00DD4A6C" w:rsidDel="00F8284E">
        <w:rPr>
          <w:lang w:val="en-ZW"/>
        </w:rPr>
        <w:t xml:space="preserve"> </w:t>
      </w:r>
      <w:r w:rsidR="00DD4A6C" w:rsidRPr="00CC0888">
        <w:t>a</w:t>
      </w:r>
      <w:r w:rsidR="00DD4A6C">
        <w:t>t</w:t>
      </w:r>
      <w:r>
        <w:rPr>
          <w:lang w:val="en-ZW"/>
        </w:rPr>
        <w:t xml:space="preserve"> 5, citing AL 5138-E at 9.</w:t>
      </w:r>
    </w:p>
  </w:footnote>
  <w:footnote w:id="30">
    <w:p w14:paraId="2948D417" w14:textId="76C2E4C4" w:rsidR="00D16030" w:rsidRPr="00D16030" w:rsidRDefault="00D16030">
      <w:pPr>
        <w:pStyle w:val="FootnoteText"/>
        <w:rPr>
          <w:lang w:val="en-ZW"/>
        </w:rPr>
      </w:pPr>
      <w:r>
        <w:rPr>
          <w:rStyle w:val="FootnoteReference"/>
        </w:rPr>
        <w:footnoteRef/>
      </w:r>
      <w:r>
        <w:t xml:space="preserve"> SCE Transparency Ruling Re</w:t>
      </w:r>
      <w:r w:rsidR="00F86D55">
        <w:t>sponse</w:t>
      </w:r>
      <w:r w:rsidR="00245254">
        <w:t xml:space="preserve"> – SCE </w:t>
      </w:r>
      <w:r w:rsidR="00504C8F">
        <w:t>FSC Participant data</w:t>
      </w:r>
      <w:r w:rsidR="00736D3D" w:rsidRPr="00736D3D">
        <w:t xml:space="preserve"> for Topic 4 in Section 3.1</w:t>
      </w:r>
      <w:r w:rsidR="00D43E95">
        <w:t>.</w:t>
      </w:r>
    </w:p>
  </w:footnote>
  <w:footnote w:id="31">
    <w:p w14:paraId="19EA652A" w14:textId="3A9EE06D" w:rsidR="00693358" w:rsidRDefault="00693358" w:rsidP="00693358">
      <w:pPr>
        <w:pStyle w:val="FootnoteText"/>
      </w:pPr>
      <w:r>
        <w:rPr>
          <w:rStyle w:val="FootnoteReference"/>
        </w:rPr>
        <w:footnoteRef/>
      </w:r>
      <w:r>
        <w:t xml:space="preserve"> IREC </w:t>
      </w:r>
      <w:r w:rsidR="00DD4A6C">
        <w:rPr>
          <w:lang w:val="en-ZW"/>
        </w:rPr>
        <w:t>Opening Comments on Next Steps Ruling</w:t>
      </w:r>
      <w:r w:rsidR="00DD4A6C" w:rsidDel="00F8284E">
        <w:rPr>
          <w:lang w:val="en-ZW"/>
        </w:rPr>
        <w:t xml:space="preserve"> </w:t>
      </w:r>
      <w:r w:rsidR="00DD4A6C" w:rsidRPr="00CC0888">
        <w:t>a</w:t>
      </w:r>
      <w:r w:rsidR="00DD4A6C">
        <w:t xml:space="preserve">t </w:t>
      </w:r>
      <w:r w:rsidR="0086295E" w:rsidRPr="0086295E">
        <w:t>SCE 1:016</w:t>
      </w:r>
      <w:r w:rsidR="00552A93">
        <w:t>.</w:t>
      </w:r>
    </w:p>
  </w:footnote>
  <w:footnote w:id="32">
    <w:p w14:paraId="3627F223" w14:textId="20DE709C" w:rsidR="0056345A" w:rsidRPr="0056345A" w:rsidRDefault="0056345A">
      <w:pPr>
        <w:pStyle w:val="FootnoteText"/>
        <w:rPr>
          <w:lang w:val="en-ZW"/>
        </w:rPr>
      </w:pPr>
      <w:r>
        <w:rPr>
          <w:rStyle w:val="FootnoteReference"/>
        </w:rPr>
        <w:footnoteRef/>
      </w:r>
      <w:r>
        <w:t xml:space="preserve"> </w:t>
      </w:r>
      <w:r w:rsidR="001D2F3E">
        <w:rPr>
          <w:lang w:val="en-ZW"/>
        </w:rPr>
        <w:t>SCE Opening</w:t>
      </w:r>
      <w:r w:rsidR="008A7E4D">
        <w:rPr>
          <w:lang w:val="en-ZW"/>
        </w:rPr>
        <w:t xml:space="preserve"> Comments on Next Steps Ruling, at 1</w:t>
      </w:r>
      <w:r w:rsidR="004D3232">
        <w:rPr>
          <w:lang w:val="en-ZW"/>
        </w:rPr>
        <w:t>.</w:t>
      </w:r>
    </w:p>
  </w:footnote>
  <w:footnote w:id="33">
    <w:p w14:paraId="6D59C4FE" w14:textId="77777777" w:rsidR="006F620D" w:rsidRPr="00197E78" w:rsidRDefault="006F620D" w:rsidP="006F620D">
      <w:pPr>
        <w:pStyle w:val="FootnoteText"/>
        <w:rPr>
          <w:lang w:val="en-ZW"/>
        </w:rPr>
      </w:pPr>
      <w:r>
        <w:rPr>
          <w:rStyle w:val="FootnoteReference"/>
        </w:rPr>
        <w:footnoteRef/>
      </w:r>
      <w:r>
        <w:t xml:space="preserve"> </w:t>
      </w:r>
      <w:r>
        <w:rPr>
          <w:lang w:val="en-ZW"/>
        </w:rPr>
        <w:t>Transparency Ruling at 3.</w:t>
      </w:r>
    </w:p>
  </w:footnote>
  <w:footnote w:id="34">
    <w:p w14:paraId="1C70AB33" w14:textId="224EB0B9" w:rsidR="00F7199F" w:rsidRDefault="00F7199F" w:rsidP="00D43E95">
      <w:pPr>
        <w:pStyle w:val="FootnoteText"/>
      </w:pPr>
      <w:r>
        <w:rPr>
          <w:rStyle w:val="FootnoteReference"/>
        </w:rPr>
        <w:footnoteRef/>
      </w:r>
      <w:r>
        <w:t xml:space="preserve"> </w:t>
      </w:r>
      <w:r w:rsidR="00EC6785">
        <w:t>The Commission take</w:t>
      </w:r>
      <w:r w:rsidR="000B74FE">
        <w:t>s</w:t>
      </w:r>
      <w:r w:rsidR="00EC6785">
        <w:t xml:space="preserve"> official notice of  the November 3, 2025 Assigned Commissioner’s Ruling at 10-11, 16;</w:t>
      </w:r>
      <w:r w:rsidR="00E022A1" w:rsidRPr="00E022A1">
        <w:t xml:space="preserve"> </w:t>
      </w:r>
      <w:hyperlink r:id="rId1" w:history="1">
        <w:r w:rsidR="00E022A1" w:rsidRPr="00D43E95">
          <w:rPr>
            <w:rStyle w:val="Hyperlink"/>
          </w:rPr>
          <w:t>https://docs.cpuc.ca.gov/PublishedDocs/Efile/G000/M586/K143/586143237.PDF</w:t>
        </w:r>
      </w:hyperlink>
      <w:r w:rsidR="00EC6785">
        <w:t xml:space="preserve">, accessed on November 20, 2025. </w:t>
      </w:r>
    </w:p>
  </w:footnote>
  <w:footnote w:id="35">
    <w:p w14:paraId="264B30E2" w14:textId="43C35845" w:rsidR="00E22AF8" w:rsidRDefault="00E22AF8">
      <w:pPr>
        <w:pStyle w:val="FootnoteText"/>
      </w:pPr>
      <w:r>
        <w:rPr>
          <w:rStyle w:val="FootnoteReference"/>
        </w:rPr>
        <w:footnoteRef/>
      </w:r>
      <w:r>
        <w:t xml:space="preserve"> </w:t>
      </w:r>
      <w:r w:rsidR="000B74FE">
        <w:t xml:space="preserve">TURN PD Opening Comments at 1; </w:t>
      </w:r>
      <w:r>
        <w:t xml:space="preserve">TURN notes </w:t>
      </w:r>
      <w:r w:rsidR="002F7BB3">
        <w:t>that th</w:t>
      </w:r>
      <w:r w:rsidR="0085561B">
        <w:t>eir support is contingent on not imposing adverse impacts on other customers</w:t>
      </w:r>
    </w:p>
  </w:footnote>
  <w:footnote w:id="36">
    <w:p w14:paraId="20040081" w14:textId="34A27312" w:rsidR="00596A41" w:rsidRDefault="00596A41" w:rsidP="00596A41">
      <w:pPr>
        <w:pStyle w:val="FootnoteText"/>
      </w:pPr>
      <w:r>
        <w:rPr>
          <w:rStyle w:val="FootnoteReference"/>
        </w:rPr>
        <w:footnoteRef/>
      </w:r>
      <w:r>
        <w:t xml:space="preserve"> VGIC </w:t>
      </w:r>
      <w:r w:rsidR="00E022A1">
        <w:rPr>
          <w:lang w:val="en-ZW"/>
        </w:rPr>
        <w:t>Opening Comments on Next Steps Ruling</w:t>
      </w:r>
      <w:r w:rsidR="00E022A1" w:rsidDel="00F8284E">
        <w:rPr>
          <w:lang w:val="en-ZW"/>
        </w:rPr>
        <w:t xml:space="preserve"> </w:t>
      </w:r>
      <w:r w:rsidR="00E022A1" w:rsidRPr="00CC0888">
        <w:t>a</w:t>
      </w:r>
      <w:r w:rsidR="00E022A1">
        <w:t>t</w:t>
      </w:r>
      <w:r>
        <w:t xml:space="preserve"> 5-6; </w:t>
      </w:r>
      <w:r w:rsidR="00E022A1">
        <w:t xml:space="preserve">CALSTART </w:t>
      </w:r>
      <w:r w:rsidR="00E022A1">
        <w:rPr>
          <w:lang w:val="en-ZW"/>
        </w:rPr>
        <w:t>Reply Comments on Next Steps Ruling</w:t>
      </w:r>
      <w:r w:rsidR="00E022A1" w:rsidDel="00F8284E">
        <w:rPr>
          <w:lang w:val="en-ZW"/>
        </w:rPr>
        <w:t xml:space="preserve"> </w:t>
      </w:r>
      <w:r>
        <w:t xml:space="preserve">at </w:t>
      </w:r>
      <w:r w:rsidR="005F35C9">
        <w:t>2-</w:t>
      </w:r>
      <w:r w:rsidRPr="002C4721">
        <w:t>3</w:t>
      </w:r>
      <w:r w:rsidR="00937B4B" w:rsidRPr="002C4721">
        <w:t>;</w:t>
      </w:r>
      <w:r w:rsidR="00CF191A" w:rsidRPr="002C4721">
        <w:t xml:space="preserve"> </w:t>
      </w:r>
      <w:r w:rsidR="00CF191A" w:rsidRPr="002B51C8">
        <w:t xml:space="preserve">IREC </w:t>
      </w:r>
      <w:r w:rsidR="00937B4B" w:rsidRPr="002B51C8">
        <w:t xml:space="preserve">Comment </w:t>
      </w:r>
      <w:r w:rsidR="00D00102">
        <w:t>on Responses</w:t>
      </w:r>
      <w:r w:rsidR="00914698">
        <w:t xml:space="preserve"> to</w:t>
      </w:r>
      <w:r w:rsidR="00D00102">
        <w:t xml:space="preserve"> </w:t>
      </w:r>
      <w:r w:rsidR="00CF191A" w:rsidRPr="002B51C8">
        <w:t>T</w:t>
      </w:r>
      <w:r w:rsidR="0053237C" w:rsidRPr="002B51C8">
        <w:t>ransparency</w:t>
      </w:r>
      <w:r w:rsidR="00CF191A" w:rsidRPr="002B51C8">
        <w:t xml:space="preserve"> </w:t>
      </w:r>
      <w:r w:rsidR="0053237C" w:rsidRPr="002B51C8">
        <w:t>R</w:t>
      </w:r>
      <w:r w:rsidR="00CF191A" w:rsidRPr="002B51C8">
        <w:t>esponse</w:t>
      </w:r>
      <w:r w:rsidR="0053237C" w:rsidRPr="002B51C8">
        <w:t>s</w:t>
      </w:r>
      <w:r w:rsidR="00CF191A" w:rsidRPr="002B51C8">
        <w:t xml:space="preserve"> </w:t>
      </w:r>
      <w:r w:rsidR="0053237C" w:rsidRPr="002B51C8">
        <w:t>at 2</w:t>
      </w:r>
      <w:r w:rsidR="00D2204C">
        <w:t>, 5</w:t>
      </w:r>
      <w:r w:rsidR="0053237C" w:rsidRPr="002C4721">
        <w:t>;</w:t>
      </w:r>
      <w:r w:rsidR="00633D72" w:rsidRPr="00633D72">
        <w:t xml:space="preserve"> </w:t>
      </w:r>
      <w:r w:rsidR="00633D72">
        <w:t xml:space="preserve">EDF </w:t>
      </w:r>
      <w:r w:rsidR="00E022A1">
        <w:rPr>
          <w:lang w:val="en-ZW"/>
        </w:rPr>
        <w:t>Reply Comments on Next Steps Ruling</w:t>
      </w:r>
      <w:r w:rsidR="00E022A1" w:rsidDel="00F8284E">
        <w:rPr>
          <w:lang w:val="en-ZW"/>
        </w:rPr>
        <w:t xml:space="preserve"> </w:t>
      </w:r>
      <w:r w:rsidR="00E022A1" w:rsidRPr="00CC0888">
        <w:t>a</w:t>
      </w:r>
      <w:r w:rsidR="00E022A1">
        <w:t xml:space="preserve">t </w:t>
      </w:r>
      <w:r w:rsidR="00633D72">
        <w:t>2.</w:t>
      </w:r>
    </w:p>
  </w:footnote>
  <w:footnote w:id="37">
    <w:p w14:paraId="13A39D62" w14:textId="63C6324C" w:rsidR="00624259" w:rsidRDefault="00624259" w:rsidP="00624259">
      <w:pPr>
        <w:pStyle w:val="FootnoteText"/>
      </w:pPr>
      <w:r>
        <w:rPr>
          <w:rStyle w:val="FootnoteReference"/>
        </w:rPr>
        <w:footnoteRef/>
      </w:r>
      <w:r>
        <w:t xml:space="preserve"> PG&amp;E Bridging </w:t>
      </w:r>
      <w:r w:rsidR="00355699">
        <w:t>S</w:t>
      </w:r>
      <w:r>
        <w:t xml:space="preserve">olutions </w:t>
      </w:r>
      <w:r w:rsidR="00355699">
        <w:t xml:space="preserve">Strategies </w:t>
      </w:r>
      <w:r>
        <w:t xml:space="preserve">report at </w:t>
      </w:r>
      <w:r w:rsidR="002B291B">
        <w:t>8</w:t>
      </w:r>
      <w:r>
        <w:t>.</w:t>
      </w:r>
    </w:p>
  </w:footnote>
  <w:footnote w:id="38">
    <w:p w14:paraId="06D9711A" w14:textId="23B285F7" w:rsidR="00624259" w:rsidRDefault="00624259" w:rsidP="00624259">
      <w:pPr>
        <w:pStyle w:val="FootnoteText"/>
      </w:pPr>
      <w:r>
        <w:rPr>
          <w:rStyle w:val="FootnoteReference"/>
        </w:rPr>
        <w:footnoteRef/>
      </w:r>
      <w:r>
        <w:t xml:space="preserve"> SCE </w:t>
      </w:r>
      <w:r w:rsidR="001B0B55" w:rsidRPr="001B0B55">
        <w:t xml:space="preserve">Bridging Strategies </w:t>
      </w:r>
      <w:r w:rsidR="001B0B55">
        <w:t>a</w:t>
      </w:r>
      <w:r w:rsidR="001B0B55" w:rsidRPr="001B0B55">
        <w:t>nd Solutions</w:t>
      </w:r>
      <w:r w:rsidR="001B0B55" w:rsidRPr="001B0B55" w:rsidDel="00E022A1">
        <w:t xml:space="preserve"> </w:t>
      </w:r>
      <w:r>
        <w:t>report at 2.</w:t>
      </w:r>
    </w:p>
  </w:footnote>
  <w:footnote w:id="39">
    <w:p w14:paraId="4EB3E07B" w14:textId="30EF64F6" w:rsidR="005775F6" w:rsidRDefault="005775F6">
      <w:pPr>
        <w:pStyle w:val="FootnoteText"/>
      </w:pPr>
      <w:r>
        <w:rPr>
          <w:rStyle w:val="FootnoteReference"/>
        </w:rPr>
        <w:footnoteRef/>
      </w:r>
      <w:r>
        <w:t xml:space="preserve"> </w:t>
      </w:r>
      <w:r w:rsidR="001A0A6F">
        <w:rPr>
          <w:lang w:val="en-ZW"/>
        </w:rPr>
        <w:t>PG&amp;E Amended Clarified FSC Data Sheet</w:t>
      </w:r>
      <w:r w:rsidR="00561E5E">
        <w:rPr>
          <w:lang w:val="en-ZW"/>
        </w:rPr>
        <w:t xml:space="preserve">; </w:t>
      </w:r>
      <w:r w:rsidR="00561E5E" w:rsidRPr="00561E5E">
        <w:rPr>
          <w:lang w:val="en-ZW"/>
        </w:rPr>
        <w:t>SCE FSC Participant Data</w:t>
      </w:r>
      <w:r>
        <w:t>.</w:t>
      </w:r>
    </w:p>
  </w:footnote>
  <w:footnote w:id="40">
    <w:p w14:paraId="6E6B115B" w14:textId="021C87C2" w:rsidR="00C44DB6" w:rsidRDefault="00C44DB6" w:rsidP="00C44DB6">
      <w:pPr>
        <w:pStyle w:val="FootnoteText"/>
      </w:pPr>
      <w:r>
        <w:rPr>
          <w:rStyle w:val="FootnoteReference"/>
        </w:rPr>
        <w:footnoteRef/>
      </w:r>
      <w:r>
        <w:t xml:space="preserve"> </w:t>
      </w:r>
      <w:r w:rsidR="00355699">
        <w:rPr>
          <w:lang w:val="en-ZW"/>
        </w:rPr>
        <w:t xml:space="preserve">PG&amp;E Amended Clarified FSC Data Sheet; </w:t>
      </w:r>
      <w:r w:rsidR="00CF03AA" w:rsidRPr="00CF03AA">
        <w:t>SCE FSC Participant Data for Topic 4 in Section</w:t>
      </w:r>
      <w:r w:rsidR="00D43E95">
        <w:t> </w:t>
      </w:r>
      <w:r w:rsidR="00CF03AA" w:rsidRPr="00CF03AA">
        <w:t>3.1</w:t>
      </w:r>
      <w:r>
        <w:t>.</w:t>
      </w:r>
    </w:p>
  </w:footnote>
  <w:footnote w:id="41">
    <w:p w14:paraId="3E002E3F" w14:textId="6F21E2F6" w:rsidR="001F4F33" w:rsidRDefault="001F4F33" w:rsidP="001F4F33">
      <w:pPr>
        <w:pStyle w:val="FootnoteText"/>
      </w:pPr>
      <w:r>
        <w:rPr>
          <w:rStyle w:val="FootnoteReference"/>
        </w:rPr>
        <w:footnoteRef/>
      </w:r>
      <w:r>
        <w:t xml:space="preserve"> SDGE </w:t>
      </w:r>
      <w:r w:rsidR="00355699" w:rsidRPr="001B0B55">
        <w:t xml:space="preserve">Bridging Strategies </w:t>
      </w:r>
      <w:r w:rsidR="00355699">
        <w:t>a</w:t>
      </w:r>
      <w:r w:rsidR="00355699" w:rsidRPr="001B0B55">
        <w:t>nd Solutions</w:t>
      </w:r>
      <w:r w:rsidR="00355699" w:rsidRPr="001B0B55" w:rsidDel="00E022A1">
        <w:t xml:space="preserve"> </w:t>
      </w:r>
      <w:r>
        <w:t>report at A-7.</w:t>
      </w:r>
    </w:p>
  </w:footnote>
  <w:footnote w:id="42">
    <w:p w14:paraId="7927BF3E" w14:textId="567A9E9A" w:rsidR="00544155" w:rsidRDefault="00544155">
      <w:pPr>
        <w:pStyle w:val="FootnoteText"/>
      </w:pPr>
      <w:r>
        <w:rPr>
          <w:rStyle w:val="FootnoteReference"/>
        </w:rPr>
        <w:footnoteRef/>
      </w:r>
      <w:r>
        <w:t xml:space="preserve"> VGIC </w:t>
      </w:r>
      <w:r w:rsidR="00DD4A6C">
        <w:rPr>
          <w:lang w:val="en-ZW"/>
        </w:rPr>
        <w:t>Opening Comments on Next Steps Ruling</w:t>
      </w:r>
      <w:r w:rsidR="00DD4A6C" w:rsidDel="00F8284E">
        <w:rPr>
          <w:lang w:val="en-ZW"/>
        </w:rPr>
        <w:t xml:space="preserve"> </w:t>
      </w:r>
      <w:r w:rsidR="00DD4A6C" w:rsidRPr="00CC0888">
        <w:t>a</w:t>
      </w:r>
      <w:r w:rsidR="00DD4A6C">
        <w:t>t</w:t>
      </w:r>
      <w:r w:rsidR="00D43E95">
        <w:t xml:space="preserve"> </w:t>
      </w:r>
      <w:r>
        <w:t xml:space="preserve">5; PACT </w:t>
      </w:r>
      <w:r w:rsidR="00DD4A6C">
        <w:rPr>
          <w:lang w:val="en-ZW"/>
        </w:rPr>
        <w:t>Reply Comments on Next Steps Ruling</w:t>
      </w:r>
      <w:r w:rsidR="00DD4A6C" w:rsidDel="00F8284E">
        <w:rPr>
          <w:lang w:val="en-ZW"/>
        </w:rPr>
        <w:t xml:space="preserve"> </w:t>
      </w:r>
      <w:r w:rsidR="00DD4A6C" w:rsidRPr="00CC0888">
        <w:t>a</w:t>
      </w:r>
      <w:r w:rsidR="00DD4A6C">
        <w:t>t</w:t>
      </w:r>
      <w:r w:rsidR="00B95D8E">
        <w:t xml:space="preserve"> </w:t>
      </w:r>
      <w:r>
        <w:t xml:space="preserve">5; IREC </w:t>
      </w:r>
      <w:r w:rsidR="00CF03AA">
        <w:rPr>
          <w:lang w:val="en-ZW"/>
        </w:rPr>
        <w:t>Opening Comments on Next Steps Ruling</w:t>
      </w:r>
      <w:r w:rsidR="00CF03AA" w:rsidDel="00F8284E">
        <w:rPr>
          <w:lang w:val="en-ZW"/>
        </w:rPr>
        <w:t xml:space="preserve"> </w:t>
      </w:r>
      <w:r w:rsidR="00CF03AA" w:rsidRPr="00CC0888">
        <w:t>a</w:t>
      </w:r>
      <w:r w:rsidR="00CF03AA">
        <w:t>t</w:t>
      </w:r>
      <w:r w:rsidR="00DA37BD">
        <w:t xml:space="preserve"> </w:t>
      </w:r>
      <w:r>
        <w:t>21.</w:t>
      </w:r>
    </w:p>
  </w:footnote>
  <w:footnote w:id="43">
    <w:p w14:paraId="632E9C81" w14:textId="1F144227" w:rsidR="00C911EA" w:rsidRDefault="00C911EA" w:rsidP="00C911EA">
      <w:pPr>
        <w:pStyle w:val="FootnoteText"/>
      </w:pPr>
      <w:r>
        <w:rPr>
          <w:rStyle w:val="FootnoteReference"/>
        </w:rPr>
        <w:footnoteRef/>
      </w:r>
      <w:r>
        <w:t xml:space="preserve"> IREC </w:t>
      </w:r>
      <w:r w:rsidR="00DC4508">
        <w:rPr>
          <w:lang w:val="en-ZW"/>
        </w:rPr>
        <w:t>Opening Comments on Next Steps Ruling</w:t>
      </w:r>
      <w:r w:rsidR="00DC4508" w:rsidDel="00F8284E">
        <w:rPr>
          <w:lang w:val="en-ZW"/>
        </w:rPr>
        <w:t xml:space="preserve"> </w:t>
      </w:r>
      <w:r w:rsidR="00DC4508" w:rsidRPr="00CC0888">
        <w:t>a</w:t>
      </w:r>
      <w:r w:rsidR="00DC4508">
        <w:t>t</w:t>
      </w:r>
      <w:r w:rsidR="00D43E95">
        <w:t xml:space="preserve"> </w:t>
      </w:r>
      <w:r>
        <w:t>21.</w:t>
      </w:r>
    </w:p>
  </w:footnote>
  <w:footnote w:id="44">
    <w:p w14:paraId="486E5EED" w14:textId="1CC6D56C" w:rsidR="0076136A" w:rsidRDefault="0076136A">
      <w:pPr>
        <w:pStyle w:val="FootnoteText"/>
      </w:pPr>
      <w:r>
        <w:rPr>
          <w:rStyle w:val="FootnoteReference"/>
        </w:rPr>
        <w:footnoteRef/>
      </w:r>
      <w:r>
        <w:t xml:space="preserve"> TURN PD Opening Comments at 4.</w:t>
      </w:r>
    </w:p>
  </w:footnote>
  <w:footnote w:id="45">
    <w:p w14:paraId="372E1414" w14:textId="084A0D3B" w:rsidR="007C6139" w:rsidRDefault="007C6139" w:rsidP="007C6139">
      <w:pPr>
        <w:pStyle w:val="FootnoteText"/>
      </w:pPr>
      <w:r>
        <w:rPr>
          <w:rStyle w:val="FootnoteReference"/>
        </w:rPr>
        <w:footnoteRef/>
      </w:r>
      <w:r>
        <w:t xml:space="preserve"> </w:t>
      </w:r>
      <w:r w:rsidR="00D43E95">
        <w:t>CALSTART</w:t>
      </w:r>
      <w:r>
        <w:t xml:space="preserve"> </w:t>
      </w:r>
      <w:r w:rsidR="00DC4508">
        <w:rPr>
          <w:lang w:val="en-ZW"/>
        </w:rPr>
        <w:t>Reply Comments on Next Steps Ruling</w:t>
      </w:r>
      <w:r w:rsidR="00DC4508" w:rsidDel="00F8284E">
        <w:rPr>
          <w:lang w:val="en-ZW"/>
        </w:rPr>
        <w:t xml:space="preserve"> </w:t>
      </w:r>
      <w:r w:rsidR="00DC4508" w:rsidRPr="00CC0888">
        <w:t>a</w:t>
      </w:r>
      <w:r w:rsidR="00DC4508">
        <w:t>t</w:t>
      </w:r>
      <w:r>
        <w:t xml:space="preserve"> 7-8.</w:t>
      </w:r>
    </w:p>
  </w:footnote>
  <w:footnote w:id="46">
    <w:p w14:paraId="7EFD3000" w14:textId="67C3F465" w:rsidR="001B0F1A" w:rsidRDefault="001B0F1A">
      <w:pPr>
        <w:pStyle w:val="FootnoteText"/>
      </w:pPr>
      <w:r>
        <w:rPr>
          <w:rStyle w:val="FootnoteReference"/>
        </w:rPr>
        <w:footnoteRef/>
      </w:r>
      <w:r>
        <w:t xml:space="preserve"> If there is no open proceeding, parties are able to file a petition for rulemaking.</w:t>
      </w:r>
    </w:p>
  </w:footnote>
  <w:footnote w:id="47">
    <w:p w14:paraId="2CC79DFE" w14:textId="3A29992A" w:rsidR="005A27EA" w:rsidRPr="00D91758" w:rsidRDefault="005A27EA" w:rsidP="005A27EA">
      <w:pPr>
        <w:pStyle w:val="FootnoteText"/>
        <w:rPr>
          <w:lang w:val="en-ZW"/>
        </w:rPr>
      </w:pPr>
      <w:r>
        <w:rPr>
          <w:rStyle w:val="FootnoteReference"/>
        </w:rPr>
        <w:footnoteRef/>
      </w:r>
      <w:r>
        <w:t xml:space="preserve"> </w:t>
      </w:r>
      <w:r>
        <w:rPr>
          <w:lang w:val="en-ZW"/>
        </w:rPr>
        <w:t xml:space="preserve">CASMU </w:t>
      </w:r>
      <w:r w:rsidR="00DC4508">
        <w:rPr>
          <w:lang w:val="en-ZW"/>
        </w:rPr>
        <w:t>Opening Comments on Next Steps Ruling</w:t>
      </w:r>
      <w:r w:rsidR="00DC4508" w:rsidDel="00F8284E">
        <w:rPr>
          <w:lang w:val="en-ZW"/>
        </w:rPr>
        <w:t xml:space="preserve"> </w:t>
      </w:r>
      <w:r>
        <w:rPr>
          <w:lang w:val="en-ZW"/>
        </w:rPr>
        <w:t>at 2.</w:t>
      </w:r>
    </w:p>
  </w:footnote>
  <w:footnote w:id="48">
    <w:p w14:paraId="5684ECA4" w14:textId="77777777" w:rsidR="005D0E01" w:rsidRDefault="005D0E01" w:rsidP="005D0E01">
      <w:pPr>
        <w:pStyle w:val="FootnoteText"/>
      </w:pPr>
      <w:r>
        <w:rPr>
          <w:rStyle w:val="FootnoteReference"/>
        </w:rPr>
        <w:footnoteRef/>
      </w:r>
      <w:r>
        <w:t xml:space="preserve"> “LCMS” refers to the local autonomous offering unless the communications based option is specified.</w:t>
      </w:r>
    </w:p>
  </w:footnote>
  <w:footnote w:id="49">
    <w:p w14:paraId="283469D6" w14:textId="77777777" w:rsidR="003E607F" w:rsidRDefault="003E607F" w:rsidP="003E607F">
      <w:pPr>
        <w:pStyle w:val="FootnoteText"/>
      </w:pPr>
      <w:r>
        <w:rPr>
          <w:rStyle w:val="FootnoteReference"/>
        </w:rPr>
        <w:footnoteRef/>
      </w:r>
      <w:r>
        <w:t xml:space="preserve"> PG&amp;E PD Opening comments at 2.</w:t>
      </w:r>
    </w:p>
  </w:footnote>
  <w:footnote w:id="50">
    <w:p w14:paraId="4351AF57" w14:textId="77777777" w:rsidR="00537F13" w:rsidRDefault="00537F13" w:rsidP="00537F13">
      <w:pPr>
        <w:pStyle w:val="FootnoteText"/>
      </w:pPr>
      <w:r>
        <w:rPr>
          <w:rStyle w:val="FootnoteReference"/>
        </w:rPr>
        <w:footnoteRef/>
      </w:r>
      <w:r>
        <w:t xml:space="preserve"> SCE Advice Letters 5138-E and 5138-E-A. </w:t>
      </w:r>
    </w:p>
  </w:footnote>
  <w:footnote w:id="51">
    <w:p w14:paraId="3C4450E3" w14:textId="3B0F10C7" w:rsidR="00773F8E" w:rsidRDefault="00773F8E">
      <w:pPr>
        <w:pStyle w:val="FootnoteText"/>
      </w:pPr>
      <w:r>
        <w:rPr>
          <w:rStyle w:val="FootnoteReference"/>
        </w:rPr>
        <w:footnoteRef/>
      </w:r>
      <w:r>
        <w:t xml:space="preserve"> SCE PD Opening Comments</w:t>
      </w:r>
      <w:r w:rsidR="00DE3D34">
        <w:t xml:space="preserve"> at 6.</w:t>
      </w:r>
    </w:p>
  </w:footnote>
  <w:footnote w:id="52">
    <w:p w14:paraId="258CBFD7" w14:textId="5004640C" w:rsidR="00674B19" w:rsidRPr="004E360F" w:rsidRDefault="00674B19" w:rsidP="00674B19">
      <w:pPr>
        <w:pStyle w:val="FootnoteText"/>
        <w:rPr>
          <w:lang w:val="en-ZW"/>
        </w:rPr>
      </w:pPr>
      <w:r>
        <w:rPr>
          <w:rStyle w:val="FootnoteReference"/>
        </w:rPr>
        <w:footnoteRef/>
      </w:r>
      <w:r>
        <w:t xml:space="preserve"> </w:t>
      </w:r>
      <w:r>
        <w:rPr>
          <w:lang w:val="en-ZW"/>
        </w:rPr>
        <w:t>C</w:t>
      </w:r>
      <w:r w:rsidR="00DC4508">
        <w:rPr>
          <w:lang w:val="en-ZW"/>
        </w:rPr>
        <w:t xml:space="preserve">lean </w:t>
      </w:r>
      <w:r>
        <w:rPr>
          <w:lang w:val="en-ZW"/>
        </w:rPr>
        <w:t>C</w:t>
      </w:r>
      <w:r w:rsidR="00DC4508">
        <w:rPr>
          <w:lang w:val="en-ZW"/>
        </w:rPr>
        <w:t>oalition Opening Comments on Next Steps Ruling</w:t>
      </w:r>
      <w:r w:rsidR="00DC4508" w:rsidDel="00F8284E">
        <w:rPr>
          <w:lang w:val="en-ZW"/>
        </w:rPr>
        <w:t xml:space="preserve"> </w:t>
      </w:r>
      <w:r w:rsidR="00DC4508" w:rsidRPr="00CC0888">
        <w:t>a</w:t>
      </w:r>
      <w:r w:rsidR="00DC4508">
        <w:t>t</w:t>
      </w:r>
      <w:r>
        <w:rPr>
          <w:lang w:val="en-ZW"/>
        </w:rPr>
        <w:t xml:space="preserve"> 7.</w:t>
      </w:r>
    </w:p>
  </w:footnote>
  <w:footnote w:id="53">
    <w:p w14:paraId="23A8674F" w14:textId="537EFC98" w:rsidR="00674B19" w:rsidRPr="002B052A" w:rsidRDefault="00674B19" w:rsidP="00674B19">
      <w:pPr>
        <w:pStyle w:val="FootnoteText"/>
      </w:pPr>
      <w:r>
        <w:rPr>
          <w:rStyle w:val="FootnoteReference"/>
        </w:rPr>
        <w:footnoteRef/>
      </w:r>
      <w:r w:rsidRPr="002B052A">
        <w:t xml:space="preserve"> C</w:t>
      </w:r>
      <w:r w:rsidR="00FB34E9">
        <w:t xml:space="preserve">lean </w:t>
      </w:r>
      <w:r w:rsidRPr="002B052A">
        <w:t>C</w:t>
      </w:r>
      <w:r w:rsidR="00FB34E9">
        <w:t xml:space="preserve">oalition </w:t>
      </w:r>
      <w:r w:rsidR="00FB34E9">
        <w:rPr>
          <w:lang w:val="en-ZW"/>
        </w:rPr>
        <w:t>Opening Comments on Next Steps Ruling</w:t>
      </w:r>
      <w:r w:rsidR="00FB34E9" w:rsidDel="00F8284E">
        <w:rPr>
          <w:lang w:val="en-ZW"/>
        </w:rPr>
        <w:t xml:space="preserve"> </w:t>
      </w:r>
      <w:r w:rsidR="00FB34E9" w:rsidRPr="00CC0888">
        <w:t>a</w:t>
      </w:r>
      <w:r w:rsidR="00FB34E9">
        <w:t>t</w:t>
      </w:r>
      <w:r w:rsidRPr="002B052A">
        <w:t xml:space="preserve"> 7-9.</w:t>
      </w:r>
    </w:p>
  </w:footnote>
  <w:footnote w:id="54">
    <w:p w14:paraId="722FBEAB" w14:textId="49AD440F" w:rsidR="006E2A7F" w:rsidRDefault="006E2A7F" w:rsidP="006E2A7F">
      <w:pPr>
        <w:pStyle w:val="FootnoteText"/>
      </w:pPr>
      <w:r>
        <w:rPr>
          <w:rStyle w:val="FootnoteReference"/>
        </w:rPr>
        <w:footnoteRef/>
      </w:r>
      <w:r>
        <w:t xml:space="preserve"> PG&amp;E </w:t>
      </w:r>
      <w:r w:rsidR="00FB34E9">
        <w:rPr>
          <w:lang w:val="en-ZW"/>
        </w:rPr>
        <w:t>Opening Comments on Next Steps Ruling</w:t>
      </w:r>
      <w:r w:rsidR="00FB34E9" w:rsidDel="00F8284E">
        <w:rPr>
          <w:lang w:val="en-ZW"/>
        </w:rPr>
        <w:t xml:space="preserve"> </w:t>
      </w:r>
      <w:r w:rsidR="00FB34E9" w:rsidRPr="00CC0888">
        <w:t>a</w:t>
      </w:r>
      <w:r w:rsidR="00FB34E9">
        <w:t xml:space="preserve">t </w:t>
      </w:r>
      <w:r>
        <w:t>2.</w:t>
      </w:r>
    </w:p>
  </w:footnote>
  <w:footnote w:id="55">
    <w:p w14:paraId="2CB28A87" w14:textId="32929EE0" w:rsidR="006E2A7F" w:rsidRPr="00DD261E" w:rsidRDefault="006E2A7F" w:rsidP="006E2A7F">
      <w:pPr>
        <w:pStyle w:val="FootnoteText"/>
        <w:rPr>
          <w:lang w:val="en-ZW"/>
        </w:rPr>
      </w:pPr>
      <w:r>
        <w:rPr>
          <w:rStyle w:val="FootnoteReference"/>
        </w:rPr>
        <w:footnoteRef/>
      </w:r>
      <w:r>
        <w:t xml:space="preserve"> </w:t>
      </w:r>
      <w:r>
        <w:rPr>
          <w:lang w:val="en-ZW"/>
        </w:rPr>
        <w:t xml:space="preserve">TMH </w:t>
      </w:r>
      <w:r w:rsidR="00D3634D">
        <w:rPr>
          <w:lang w:val="en-ZW"/>
        </w:rPr>
        <w:t>Opening Comments on Next Steps Ruling</w:t>
      </w:r>
      <w:r w:rsidR="00D3634D" w:rsidDel="00F8284E">
        <w:rPr>
          <w:lang w:val="en-ZW"/>
        </w:rPr>
        <w:t xml:space="preserve"> </w:t>
      </w:r>
      <w:r w:rsidR="00D3634D" w:rsidRPr="00CC0888">
        <w:t>a</w:t>
      </w:r>
      <w:r w:rsidR="00D3634D">
        <w:t>t</w:t>
      </w:r>
      <w:r w:rsidR="00DA37BD">
        <w:t xml:space="preserve"> </w:t>
      </w:r>
      <w:r>
        <w:rPr>
          <w:lang w:val="en-ZW"/>
        </w:rPr>
        <w:t>13.</w:t>
      </w:r>
    </w:p>
  </w:footnote>
  <w:footnote w:id="56">
    <w:p w14:paraId="544C8DF1" w14:textId="3DE5C513" w:rsidR="003E3105" w:rsidRPr="004D7AC2" w:rsidRDefault="003E3105" w:rsidP="003E3105">
      <w:pPr>
        <w:pStyle w:val="FootnoteText"/>
        <w:rPr>
          <w:lang w:val="en-ZW"/>
        </w:rPr>
      </w:pPr>
      <w:r>
        <w:rPr>
          <w:rStyle w:val="FootnoteReference"/>
        </w:rPr>
        <w:footnoteRef/>
      </w:r>
      <w:r>
        <w:t xml:space="preserve"> </w:t>
      </w:r>
      <w:r>
        <w:rPr>
          <w:lang w:val="en-ZW"/>
        </w:rPr>
        <w:t xml:space="preserve">IREC </w:t>
      </w:r>
      <w:r w:rsidR="00D3634D">
        <w:rPr>
          <w:lang w:val="en-ZW"/>
        </w:rPr>
        <w:t>Opening Comments on Next Steps Ruling</w:t>
      </w:r>
      <w:r w:rsidR="00D3634D" w:rsidDel="00F8284E">
        <w:rPr>
          <w:lang w:val="en-ZW"/>
        </w:rPr>
        <w:t xml:space="preserve"> </w:t>
      </w:r>
      <w:r>
        <w:rPr>
          <w:lang w:val="en-ZW"/>
        </w:rPr>
        <w:t xml:space="preserve">at 28-9; </w:t>
      </w:r>
      <w:r w:rsidRPr="00EC1C24">
        <w:rPr>
          <w:lang w:val="en-ZW"/>
        </w:rPr>
        <w:t xml:space="preserve">SDG&amp;E </w:t>
      </w:r>
      <w:r w:rsidR="00D3634D">
        <w:rPr>
          <w:lang w:val="en-ZW"/>
        </w:rPr>
        <w:t>Opening Comments on Next Steps Ruling</w:t>
      </w:r>
      <w:r w:rsidR="00D3634D" w:rsidDel="00F8284E">
        <w:rPr>
          <w:lang w:val="en-ZW"/>
        </w:rPr>
        <w:t xml:space="preserve"> </w:t>
      </w:r>
      <w:r w:rsidRPr="00EC1C24">
        <w:rPr>
          <w:lang w:val="en-ZW"/>
        </w:rPr>
        <w:t xml:space="preserve">at </w:t>
      </w:r>
      <w:r>
        <w:rPr>
          <w:lang w:val="en-ZW"/>
        </w:rPr>
        <w:t xml:space="preserve">7; </w:t>
      </w:r>
      <w:r w:rsidRPr="00AA683F">
        <w:t xml:space="preserve">EDF </w:t>
      </w:r>
      <w:r w:rsidR="00D3634D">
        <w:rPr>
          <w:lang w:val="en-ZW"/>
        </w:rPr>
        <w:t>Opening Comments on Next Steps Ruling</w:t>
      </w:r>
      <w:r w:rsidR="00D3634D" w:rsidDel="00F8284E">
        <w:rPr>
          <w:lang w:val="en-ZW"/>
        </w:rPr>
        <w:t xml:space="preserve"> </w:t>
      </w:r>
      <w:r w:rsidR="00D3634D" w:rsidRPr="00CC0888">
        <w:t>a</w:t>
      </w:r>
      <w:r w:rsidR="00D3634D">
        <w:t>t</w:t>
      </w:r>
      <w:r w:rsidR="00DA37BD">
        <w:t xml:space="preserve"> </w:t>
      </w:r>
      <w:r w:rsidRPr="00AA683F">
        <w:t>16.</w:t>
      </w:r>
    </w:p>
  </w:footnote>
  <w:footnote w:id="57">
    <w:p w14:paraId="5DF1F501" w14:textId="0199EC2C" w:rsidR="00404102" w:rsidRDefault="00404102" w:rsidP="00404102">
      <w:pPr>
        <w:pStyle w:val="FootnoteText"/>
      </w:pPr>
      <w:r>
        <w:rPr>
          <w:rStyle w:val="FootnoteReference"/>
        </w:rPr>
        <w:footnoteRef/>
      </w:r>
      <w:r>
        <w:t xml:space="preserve"> PG&amp;E’s June 13, 2025 Res</w:t>
      </w:r>
      <w:r w:rsidR="009D68FC">
        <w:t>p</w:t>
      </w:r>
      <w:r>
        <w:t>onse to Transparency Ruling at 11.</w:t>
      </w:r>
    </w:p>
  </w:footnote>
  <w:footnote w:id="58">
    <w:p w14:paraId="7CD8FCBB" w14:textId="3F8B67E1" w:rsidR="00085605" w:rsidRDefault="00085605">
      <w:pPr>
        <w:pStyle w:val="FootnoteText"/>
      </w:pPr>
      <w:r>
        <w:rPr>
          <w:rStyle w:val="FootnoteReference"/>
        </w:rPr>
        <w:footnoteRef/>
      </w:r>
      <w:r>
        <w:t xml:space="preserve"> PG&amp;E PD Opening comments at 3.</w:t>
      </w:r>
    </w:p>
  </w:footnote>
  <w:footnote w:id="59">
    <w:p w14:paraId="72DE10DC" w14:textId="2EF04920" w:rsidR="009A3F22" w:rsidRDefault="009A3F22">
      <w:pPr>
        <w:pStyle w:val="FootnoteText"/>
      </w:pPr>
      <w:r>
        <w:rPr>
          <w:rStyle w:val="FootnoteReference"/>
        </w:rPr>
        <w:footnoteRef/>
      </w:r>
      <w:r>
        <w:t xml:space="preserve"> D.24-09-020 established 8 discrete steps in the energization process, </w:t>
      </w:r>
      <w:r w:rsidRPr="00D43E95">
        <w:rPr>
          <w:i/>
          <w:iCs/>
        </w:rPr>
        <w:t>see</w:t>
      </w:r>
      <w:r w:rsidR="004F68B8">
        <w:t xml:space="preserve"> D.24-09-020 at </w:t>
      </w:r>
      <w:r w:rsidR="00BF2F86">
        <w:t>24-26.</w:t>
      </w:r>
    </w:p>
  </w:footnote>
  <w:footnote w:id="60">
    <w:p w14:paraId="35E72991" w14:textId="57254750" w:rsidR="007D0FF7" w:rsidRPr="002B51C8" w:rsidRDefault="007D0FF7">
      <w:pPr>
        <w:pStyle w:val="FootnoteText"/>
      </w:pPr>
      <w:r w:rsidRPr="00140EA2">
        <w:rPr>
          <w:rStyle w:val="FootnoteReference"/>
        </w:rPr>
        <w:footnoteRef/>
      </w:r>
      <w:r w:rsidRPr="00140EA2">
        <w:t xml:space="preserve"> </w:t>
      </w:r>
      <w:r w:rsidRPr="002B51C8">
        <w:t>PG</w:t>
      </w:r>
      <w:r w:rsidR="00D43E95" w:rsidRPr="002B51C8">
        <w:t>&amp;</w:t>
      </w:r>
      <w:r w:rsidRPr="002B51C8">
        <w:t xml:space="preserve">E </w:t>
      </w:r>
      <w:r w:rsidR="005914B7" w:rsidRPr="00140EA2">
        <w:t xml:space="preserve">June 13, 2025 response to Transparency Ruling at </w:t>
      </w:r>
      <w:r w:rsidR="00E54C44" w:rsidRPr="00140EA2">
        <w:t>2-3</w:t>
      </w:r>
      <w:r w:rsidRPr="002B51C8">
        <w:t>.</w:t>
      </w:r>
    </w:p>
  </w:footnote>
  <w:footnote w:id="61">
    <w:p w14:paraId="69114B78" w14:textId="4C2DB6BB" w:rsidR="00C1604A" w:rsidRDefault="00C1604A">
      <w:pPr>
        <w:pStyle w:val="FootnoteText"/>
      </w:pPr>
      <w:r w:rsidRPr="002B51C8">
        <w:rPr>
          <w:rStyle w:val="FootnoteReference"/>
        </w:rPr>
        <w:footnoteRef/>
      </w:r>
      <w:r w:rsidRPr="002B51C8">
        <w:t xml:space="preserve"> </w:t>
      </w:r>
      <w:r w:rsidR="00097D29" w:rsidRPr="00140EA2">
        <w:t>SCE</w:t>
      </w:r>
      <w:r w:rsidR="005914B7" w:rsidRPr="00140EA2">
        <w:t xml:space="preserve"> June 13, 2025 response to Transparency </w:t>
      </w:r>
      <w:r w:rsidR="005914B7" w:rsidRPr="002B51C8">
        <w:t>Ruling at</w:t>
      </w:r>
      <w:r w:rsidR="00DA37BD" w:rsidRPr="002B51C8">
        <w:t xml:space="preserve"> </w:t>
      </w:r>
      <w:r w:rsidR="00140EA2" w:rsidRPr="002B51C8">
        <w:t>2-3</w:t>
      </w:r>
      <w:r w:rsidR="00097D29" w:rsidRPr="002B51C8">
        <w:t>.</w:t>
      </w:r>
    </w:p>
  </w:footnote>
  <w:footnote w:id="62">
    <w:p w14:paraId="7CA6F907" w14:textId="53D1F57B" w:rsidR="00635F46" w:rsidRDefault="00635F46">
      <w:pPr>
        <w:pStyle w:val="FootnoteText"/>
      </w:pPr>
      <w:r>
        <w:rPr>
          <w:rStyle w:val="FootnoteReference"/>
        </w:rPr>
        <w:footnoteRef/>
      </w:r>
      <w:r>
        <w:t xml:space="preserve"> </w:t>
      </w:r>
      <w:r w:rsidR="004F10C6">
        <w:t xml:space="preserve">CALSTART </w:t>
      </w:r>
      <w:r w:rsidR="009D68FC">
        <w:rPr>
          <w:lang w:val="en-ZW"/>
        </w:rPr>
        <w:t>Opening Comments on Next Steps Ruling</w:t>
      </w:r>
      <w:r w:rsidR="009D68FC" w:rsidDel="00F8284E">
        <w:rPr>
          <w:lang w:val="en-ZW"/>
        </w:rPr>
        <w:t xml:space="preserve"> </w:t>
      </w:r>
      <w:r w:rsidR="009D68FC" w:rsidRPr="00CC0888">
        <w:t>a</w:t>
      </w:r>
      <w:r w:rsidR="009D68FC">
        <w:t>t</w:t>
      </w:r>
      <w:r w:rsidR="00CE7ACB">
        <w:t xml:space="preserve"> </w:t>
      </w:r>
      <w:r w:rsidR="004F10C6" w:rsidRPr="00AA683F">
        <w:t>3, 13</w:t>
      </w:r>
      <w:r w:rsidR="009D68FC">
        <w:t>;</w:t>
      </w:r>
      <w:r w:rsidR="004F10C6">
        <w:t xml:space="preserve"> </w:t>
      </w:r>
      <w:r w:rsidR="004F10C6" w:rsidRPr="00AA683F">
        <w:t xml:space="preserve">EDF </w:t>
      </w:r>
      <w:r w:rsidR="009D68FC">
        <w:rPr>
          <w:lang w:val="en-ZW"/>
        </w:rPr>
        <w:t>Opening Comments on Next Steps Ruling</w:t>
      </w:r>
      <w:r w:rsidR="009D68FC" w:rsidDel="00F8284E">
        <w:rPr>
          <w:lang w:val="en-ZW"/>
        </w:rPr>
        <w:t xml:space="preserve"> </w:t>
      </w:r>
      <w:r w:rsidR="009D68FC" w:rsidRPr="00CC0888">
        <w:t>a</w:t>
      </w:r>
      <w:r w:rsidR="009D68FC">
        <w:t>t</w:t>
      </w:r>
      <w:r w:rsidR="004F10C6" w:rsidRPr="00AA683F">
        <w:t xml:space="preserve"> 16</w:t>
      </w:r>
      <w:r w:rsidR="004F10C6">
        <w:t>; C</w:t>
      </w:r>
      <w:r w:rsidR="008054EB">
        <w:t>a</w:t>
      </w:r>
      <w:r w:rsidR="004F10C6">
        <w:t xml:space="preserve">lCCA </w:t>
      </w:r>
      <w:r w:rsidR="009D68FC">
        <w:rPr>
          <w:lang w:val="en-ZW"/>
        </w:rPr>
        <w:t>Opening Comments on Next Steps Ruling</w:t>
      </w:r>
      <w:r w:rsidR="009D68FC" w:rsidDel="00F8284E">
        <w:rPr>
          <w:lang w:val="en-ZW"/>
        </w:rPr>
        <w:t xml:space="preserve"> </w:t>
      </w:r>
      <w:r w:rsidR="009D68FC" w:rsidRPr="00CC0888">
        <w:t>a</w:t>
      </w:r>
      <w:r w:rsidR="009D68FC">
        <w:t>t</w:t>
      </w:r>
      <w:r w:rsidR="00DA37BD">
        <w:t xml:space="preserve"> </w:t>
      </w:r>
      <w:r w:rsidR="004F10C6">
        <w:t>7</w:t>
      </w:r>
      <w:r w:rsidR="009D68FC">
        <w:t xml:space="preserve">; </w:t>
      </w:r>
      <w:r w:rsidR="0087071F">
        <w:t xml:space="preserve">TURN </w:t>
      </w:r>
      <w:r w:rsidR="0087071F">
        <w:rPr>
          <w:lang w:val="en-ZW"/>
        </w:rPr>
        <w:t>Reply Comments on Next Steps Ruling</w:t>
      </w:r>
      <w:r w:rsidR="0087071F" w:rsidDel="00F8284E">
        <w:rPr>
          <w:lang w:val="en-ZW"/>
        </w:rPr>
        <w:t xml:space="preserve"> </w:t>
      </w:r>
      <w:r w:rsidR="0087071F" w:rsidRPr="00CC0888">
        <w:t>a</w:t>
      </w:r>
      <w:r w:rsidR="0087071F">
        <w:t>t</w:t>
      </w:r>
      <w:r w:rsidR="0087071F" w:rsidRPr="00AA683F">
        <w:t xml:space="preserve"> </w:t>
      </w:r>
      <w:r w:rsidR="0087071F">
        <w:t>2</w:t>
      </w:r>
      <w:r w:rsidR="00780C3C">
        <w:t xml:space="preserve">; IREC </w:t>
      </w:r>
      <w:r w:rsidR="00780C3C">
        <w:rPr>
          <w:lang w:val="en-ZW"/>
        </w:rPr>
        <w:t>Reply Comments on Next Steps Ruling</w:t>
      </w:r>
      <w:r w:rsidR="00780C3C" w:rsidDel="00F8284E">
        <w:rPr>
          <w:lang w:val="en-ZW"/>
        </w:rPr>
        <w:t xml:space="preserve"> </w:t>
      </w:r>
      <w:r w:rsidR="00780C3C" w:rsidRPr="00CC0888">
        <w:t>a</w:t>
      </w:r>
      <w:r w:rsidR="00780C3C">
        <w:t>t</w:t>
      </w:r>
      <w:r w:rsidR="00780C3C" w:rsidRPr="00AA683F">
        <w:t xml:space="preserve"> </w:t>
      </w:r>
      <w:r w:rsidR="00780C3C">
        <w:t>25</w:t>
      </w:r>
      <w:r>
        <w:t>.</w:t>
      </w:r>
    </w:p>
  </w:footnote>
  <w:footnote w:id="63">
    <w:p w14:paraId="404A86D8" w14:textId="3FF39F4A" w:rsidR="00AD7950" w:rsidRDefault="00AD7950">
      <w:pPr>
        <w:pStyle w:val="FootnoteText"/>
      </w:pPr>
      <w:r>
        <w:rPr>
          <w:rStyle w:val="FootnoteReference"/>
        </w:rPr>
        <w:footnoteRef/>
      </w:r>
      <w:r>
        <w:t xml:space="preserve"> </w:t>
      </w:r>
      <w:r w:rsidR="005914B7">
        <w:t>PG&amp;E June 13, 2025 response to Transparency Rul</w:t>
      </w:r>
      <w:r w:rsidR="005914B7" w:rsidRPr="000E2B5E">
        <w:t xml:space="preserve">ing at </w:t>
      </w:r>
      <w:r w:rsidRPr="000E2B5E">
        <w:t>5</w:t>
      </w:r>
      <w:r w:rsidR="00E90BA3" w:rsidRPr="002B51C8">
        <w:t>.</w:t>
      </w:r>
    </w:p>
  </w:footnote>
  <w:footnote w:id="64">
    <w:p w14:paraId="547D4E42" w14:textId="0032BCF1" w:rsidR="003A4B35" w:rsidRDefault="003A4B35">
      <w:pPr>
        <w:pStyle w:val="FootnoteText"/>
      </w:pPr>
      <w:r>
        <w:rPr>
          <w:rStyle w:val="FootnoteReference"/>
        </w:rPr>
        <w:footnoteRef/>
      </w:r>
      <w:r>
        <w:t xml:space="preserve"> Transparency </w:t>
      </w:r>
      <w:r w:rsidR="004C0C8E">
        <w:t>R</w:t>
      </w:r>
      <w:r>
        <w:t>uling</w:t>
      </w:r>
      <w:r w:rsidR="007526B1">
        <w:t xml:space="preserve"> Section 3.2,</w:t>
      </w:r>
      <w:r>
        <w:t xml:space="preserve"> questions</w:t>
      </w:r>
      <w:r w:rsidR="007526B1">
        <w:t xml:space="preserve"> 1 and 2</w:t>
      </w:r>
      <w:r w:rsidR="00A75A78">
        <w:t>; Next Steps Rulin</w:t>
      </w:r>
      <w:r w:rsidR="00EA3A6C">
        <w:t>g question 10.</w:t>
      </w:r>
      <w:r>
        <w:t xml:space="preserve"> </w:t>
      </w:r>
    </w:p>
  </w:footnote>
  <w:footnote w:id="65">
    <w:p w14:paraId="4BD0A4FF" w14:textId="01035F65" w:rsidR="007C0134" w:rsidRDefault="007C0134">
      <w:pPr>
        <w:pStyle w:val="FootnoteText"/>
      </w:pPr>
      <w:r>
        <w:rPr>
          <w:rStyle w:val="FootnoteReference"/>
        </w:rPr>
        <w:footnoteRef/>
      </w:r>
      <w:r>
        <w:t xml:space="preserve"> </w:t>
      </w:r>
      <w:r w:rsidR="007F1025">
        <w:t xml:space="preserve">PG&amp;E June 13, 2025 response to Transparency Ruling at </w:t>
      </w:r>
      <w:r w:rsidR="00DB59D2">
        <w:t>2-3, 16;</w:t>
      </w:r>
      <w:r w:rsidR="00813C93">
        <w:t xml:space="preserve"> </w:t>
      </w:r>
      <w:r w:rsidR="00BE17C6">
        <w:t xml:space="preserve">SCE June 13, 2025 response to Transparency Ruling at 2-3; </w:t>
      </w:r>
      <w:r w:rsidR="00813C93">
        <w:t xml:space="preserve">SCE Reply </w:t>
      </w:r>
      <w:r w:rsidR="004F06C5">
        <w:rPr>
          <w:lang w:val="en-ZW"/>
        </w:rPr>
        <w:t>Comments on Next Steps Ruling</w:t>
      </w:r>
      <w:r w:rsidR="004F06C5" w:rsidDel="00F8284E">
        <w:rPr>
          <w:lang w:val="en-ZW"/>
        </w:rPr>
        <w:t xml:space="preserve"> </w:t>
      </w:r>
      <w:r w:rsidR="004F06C5" w:rsidRPr="00CC0888">
        <w:t>a</w:t>
      </w:r>
      <w:r w:rsidR="004F06C5">
        <w:t>t 8</w:t>
      </w:r>
      <w:r w:rsidR="00EF4E3B">
        <w:t>.</w:t>
      </w:r>
      <w:r w:rsidR="00DB59D2">
        <w:t xml:space="preserve"> </w:t>
      </w:r>
    </w:p>
  </w:footnote>
  <w:footnote w:id="66">
    <w:p w14:paraId="304E6385" w14:textId="5276D6C7" w:rsidR="00164C2F" w:rsidRDefault="00164C2F">
      <w:pPr>
        <w:pStyle w:val="FootnoteText"/>
      </w:pPr>
      <w:r>
        <w:rPr>
          <w:rStyle w:val="FootnoteReference"/>
        </w:rPr>
        <w:footnoteRef/>
      </w:r>
      <w:r>
        <w:t xml:space="preserve"> PG&amp;E PD Opening comments at 2</w:t>
      </w:r>
      <w:r w:rsidR="00F41E4B">
        <w:t>-3</w:t>
      </w:r>
      <w:r>
        <w:t>.</w:t>
      </w:r>
    </w:p>
  </w:footnote>
  <w:footnote w:id="67">
    <w:p w14:paraId="0C90B0BF" w14:textId="112ABBCE" w:rsidR="00ED446C" w:rsidRDefault="00ED446C">
      <w:pPr>
        <w:pStyle w:val="FootnoteText"/>
      </w:pPr>
      <w:r>
        <w:rPr>
          <w:rStyle w:val="FootnoteReference"/>
        </w:rPr>
        <w:footnoteRef/>
      </w:r>
      <w:r>
        <w:t xml:space="preserve"> This is also referred</w:t>
      </w:r>
      <w:r w:rsidR="00DC6A30">
        <w:t xml:space="preserve"> to as “customer operational maturity”.</w:t>
      </w:r>
    </w:p>
  </w:footnote>
  <w:footnote w:id="68">
    <w:p w14:paraId="0E901120" w14:textId="77777777" w:rsidR="00674B19" w:rsidRDefault="00674B19" w:rsidP="00674B19">
      <w:pPr>
        <w:pStyle w:val="FootnoteText"/>
      </w:pPr>
      <w:r>
        <w:rPr>
          <w:rStyle w:val="FootnoteReference"/>
        </w:rPr>
        <w:footnoteRef/>
      </w:r>
      <w:r>
        <w:t xml:space="preserve"> SCE June 13, 2025 Response to Transparency Ruling at 3.</w:t>
      </w:r>
    </w:p>
  </w:footnote>
  <w:footnote w:id="69">
    <w:p w14:paraId="2F4373BB" w14:textId="06D4932C" w:rsidR="0056770B" w:rsidRDefault="0056770B">
      <w:pPr>
        <w:pStyle w:val="FootnoteText"/>
      </w:pPr>
      <w:r>
        <w:rPr>
          <w:rStyle w:val="FootnoteReference"/>
        </w:rPr>
        <w:footnoteRef/>
      </w:r>
      <w:r>
        <w:t xml:space="preserve"> SCE FSC Participant Data</w:t>
      </w:r>
      <w:r w:rsidR="009D59FE">
        <w:t xml:space="preserve"> for topic 4 in </w:t>
      </w:r>
      <w:r w:rsidR="00CA4CEB">
        <w:t>section </w:t>
      </w:r>
      <w:r w:rsidR="009D59FE">
        <w:t>3.1</w:t>
      </w:r>
      <w:r>
        <w:t xml:space="preserve"> at cell S10.</w:t>
      </w:r>
    </w:p>
  </w:footnote>
  <w:footnote w:id="70">
    <w:p w14:paraId="1BE01DBE" w14:textId="65833F82" w:rsidR="0030711B" w:rsidRPr="000C344F" w:rsidRDefault="0030711B" w:rsidP="0030711B">
      <w:pPr>
        <w:pStyle w:val="FootnoteText"/>
      </w:pPr>
      <w:r>
        <w:rPr>
          <w:rStyle w:val="FootnoteReference"/>
        </w:rPr>
        <w:footnoteRef/>
      </w:r>
      <w:r w:rsidRPr="000C344F">
        <w:t xml:space="preserve"> C</w:t>
      </w:r>
      <w:r w:rsidR="009D68FC" w:rsidRPr="000C344F">
        <w:t xml:space="preserve">lean </w:t>
      </w:r>
      <w:r w:rsidRPr="000C344F">
        <w:t>C</w:t>
      </w:r>
      <w:r w:rsidR="009D68FC" w:rsidRPr="000C344F">
        <w:t xml:space="preserve">oalition </w:t>
      </w:r>
      <w:r w:rsidR="009D68FC">
        <w:rPr>
          <w:lang w:val="en-ZW"/>
        </w:rPr>
        <w:t>Opening Comments on Next Steps Ruling</w:t>
      </w:r>
      <w:r w:rsidR="009D68FC" w:rsidDel="00F8284E">
        <w:rPr>
          <w:lang w:val="en-ZW"/>
        </w:rPr>
        <w:t xml:space="preserve"> </w:t>
      </w:r>
      <w:r w:rsidR="009D68FC" w:rsidRPr="00CC0888">
        <w:t>a</w:t>
      </w:r>
      <w:r w:rsidR="009D68FC">
        <w:t>t</w:t>
      </w:r>
      <w:r w:rsidRPr="000C344F">
        <w:t xml:space="preserve"> </w:t>
      </w:r>
      <w:r w:rsidR="00086A96" w:rsidRPr="000C344F">
        <w:t xml:space="preserve">5, </w:t>
      </w:r>
      <w:r w:rsidRPr="000C344F">
        <w:t>12</w:t>
      </w:r>
      <w:r w:rsidR="00086A96" w:rsidRPr="000C344F">
        <w:t>.</w:t>
      </w:r>
    </w:p>
  </w:footnote>
  <w:footnote w:id="71">
    <w:p w14:paraId="5BB974B1" w14:textId="132754E1" w:rsidR="00FD7C74" w:rsidRPr="002B51C8" w:rsidRDefault="00FD7C74">
      <w:pPr>
        <w:pStyle w:val="FootnoteText"/>
      </w:pPr>
      <w:r>
        <w:rPr>
          <w:rStyle w:val="FootnoteReference"/>
        </w:rPr>
        <w:footnoteRef/>
      </w:r>
      <w:r w:rsidRPr="002B51C8">
        <w:t xml:space="preserve"> </w:t>
      </w:r>
      <w:r w:rsidR="001A2923" w:rsidRPr="002B51C8">
        <w:t>D.24-09-020 at 63.</w:t>
      </w:r>
    </w:p>
  </w:footnote>
  <w:footnote w:id="72">
    <w:p w14:paraId="7E86CA9B" w14:textId="56B8DD8A" w:rsidR="004E0011" w:rsidRDefault="004E0011" w:rsidP="004E0011">
      <w:pPr>
        <w:pStyle w:val="FootnoteText"/>
      </w:pPr>
      <w:r>
        <w:rPr>
          <w:rStyle w:val="FootnoteReference"/>
        </w:rPr>
        <w:footnoteRef/>
      </w:r>
      <w:r>
        <w:t xml:space="preserve"> </w:t>
      </w:r>
      <w:r w:rsidRPr="004267BF">
        <w:t xml:space="preserve">Enphase </w:t>
      </w:r>
      <w:r w:rsidR="009D68FC">
        <w:rPr>
          <w:lang w:val="en-ZW"/>
        </w:rPr>
        <w:t>Opening Comments on Next Steps Ruling</w:t>
      </w:r>
      <w:r w:rsidR="009D68FC" w:rsidDel="00F8284E">
        <w:rPr>
          <w:lang w:val="en-ZW"/>
        </w:rPr>
        <w:t xml:space="preserve"> </w:t>
      </w:r>
      <w:r w:rsidR="009D68FC" w:rsidRPr="00CC0888">
        <w:t>a</w:t>
      </w:r>
      <w:r w:rsidR="009D68FC">
        <w:t>t</w:t>
      </w:r>
      <w:r w:rsidR="001674C3">
        <w:t xml:space="preserve"> </w:t>
      </w:r>
      <w:r w:rsidRPr="004267BF">
        <w:t>3</w:t>
      </w:r>
      <w:r>
        <w:t xml:space="preserve">; </w:t>
      </w:r>
      <w:r w:rsidR="004A3603">
        <w:t>PG&amp;E</w:t>
      </w:r>
      <w:r w:rsidR="004A3603" w:rsidRPr="004267BF">
        <w:t xml:space="preserve"> </w:t>
      </w:r>
      <w:r w:rsidR="004A3603">
        <w:rPr>
          <w:lang w:val="en-ZW"/>
        </w:rPr>
        <w:t>Opening Comments on Next Steps Ruling</w:t>
      </w:r>
      <w:r w:rsidR="004A3603" w:rsidDel="00F8284E">
        <w:rPr>
          <w:lang w:val="en-ZW"/>
        </w:rPr>
        <w:t xml:space="preserve"> </w:t>
      </w:r>
      <w:r w:rsidR="004A3603" w:rsidRPr="004A3603">
        <w:t>at 7</w:t>
      </w:r>
      <w:r w:rsidRPr="002B51C8">
        <w:t>.</w:t>
      </w:r>
    </w:p>
  </w:footnote>
  <w:footnote w:id="73">
    <w:p w14:paraId="2D43E366" w14:textId="4B6FD5E0" w:rsidR="00757724" w:rsidRDefault="00757724" w:rsidP="00757724">
      <w:pPr>
        <w:pStyle w:val="FootnoteText"/>
      </w:pPr>
      <w:r>
        <w:rPr>
          <w:rStyle w:val="FootnoteReference"/>
        </w:rPr>
        <w:footnoteRef/>
      </w:r>
      <w:r>
        <w:t xml:space="preserve"> PG&amp;E amended FSC Data sheet; Data Dictionary tab, cells B20-B24</w:t>
      </w:r>
      <w:r w:rsidR="00D43E95">
        <w:t>.</w:t>
      </w:r>
    </w:p>
  </w:footnote>
  <w:footnote w:id="74">
    <w:p w14:paraId="207797F3" w14:textId="60EF8853" w:rsidR="00757724" w:rsidRDefault="00757724" w:rsidP="00757724">
      <w:pPr>
        <w:pStyle w:val="FootnoteText"/>
      </w:pPr>
      <w:r>
        <w:rPr>
          <w:rStyle w:val="FootnoteReference"/>
        </w:rPr>
        <w:footnoteRef/>
      </w:r>
      <w:r>
        <w:t xml:space="preserve"> PG&amp;E </w:t>
      </w:r>
      <w:r w:rsidR="00CF03AA">
        <w:t xml:space="preserve">Bridging Solutions Strategies </w:t>
      </w:r>
      <w:r>
        <w:t>report at 2-3.</w:t>
      </w:r>
    </w:p>
  </w:footnote>
  <w:footnote w:id="75">
    <w:p w14:paraId="443C7679" w14:textId="0672AEFA" w:rsidR="003B35AA" w:rsidRPr="00BB5242" w:rsidRDefault="003B35AA">
      <w:pPr>
        <w:pStyle w:val="FootnoteText"/>
      </w:pPr>
      <w:r>
        <w:rPr>
          <w:rStyle w:val="FootnoteReference"/>
        </w:rPr>
        <w:footnoteRef/>
      </w:r>
      <w:r>
        <w:t xml:space="preserve"> </w:t>
      </w:r>
      <w:r w:rsidR="00BB5242">
        <w:t>EDF</w:t>
      </w:r>
      <w:r w:rsidR="009D68FC">
        <w:t xml:space="preserve"> </w:t>
      </w:r>
      <w:r w:rsidR="009D68FC">
        <w:rPr>
          <w:lang w:val="en-ZW"/>
        </w:rPr>
        <w:t>Opening Comments on Next Steps Ruling</w:t>
      </w:r>
      <w:r w:rsidR="00BB5242">
        <w:t xml:space="preserve"> at 10</w:t>
      </w:r>
      <w:r w:rsidR="004146B3">
        <w:t>; I</w:t>
      </w:r>
      <w:r w:rsidR="00BB5242" w:rsidRPr="00BB5242">
        <w:t xml:space="preserve">REC </w:t>
      </w:r>
      <w:r w:rsidR="004146B3">
        <w:rPr>
          <w:lang w:val="en-ZW"/>
        </w:rPr>
        <w:t xml:space="preserve">Opening Comments on Next Steps Ruling </w:t>
      </w:r>
      <w:r w:rsidR="00BB5242" w:rsidRPr="00BB5242">
        <w:t>at 14, PAO</w:t>
      </w:r>
      <w:r w:rsidR="004146B3">
        <w:t xml:space="preserve"> </w:t>
      </w:r>
      <w:r w:rsidR="004146B3">
        <w:rPr>
          <w:lang w:val="en-ZW"/>
        </w:rPr>
        <w:t>Opening Comments on Next Steps Ruling</w:t>
      </w:r>
      <w:r w:rsidR="004146B3" w:rsidDel="00F8284E">
        <w:rPr>
          <w:lang w:val="en-ZW"/>
        </w:rPr>
        <w:t xml:space="preserve"> </w:t>
      </w:r>
      <w:r w:rsidR="004146B3" w:rsidRPr="00CC0888">
        <w:t>a</w:t>
      </w:r>
      <w:r w:rsidR="004146B3">
        <w:t>t</w:t>
      </w:r>
      <w:r w:rsidR="00BB5242" w:rsidRPr="00BB5242">
        <w:t xml:space="preserve"> 5, V</w:t>
      </w:r>
      <w:r w:rsidR="00512030">
        <w:t>G</w:t>
      </w:r>
      <w:r w:rsidR="00BB5242" w:rsidRPr="0021187D">
        <w:t>IC</w:t>
      </w:r>
      <w:r w:rsidR="00512030">
        <w:t xml:space="preserve"> </w:t>
      </w:r>
      <w:r w:rsidR="00512030">
        <w:rPr>
          <w:lang w:val="en-ZW"/>
        </w:rPr>
        <w:t>Opening Comments on Next Steps Ruling</w:t>
      </w:r>
      <w:r w:rsidR="00BB5242" w:rsidRPr="0021187D">
        <w:t xml:space="preserve"> a</w:t>
      </w:r>
      <w:r w:rsidR="00BB5242">
        <w:t>t 8-9,10</w:t>
      </w:r>
      <w:r w:rsidR="00CD6C8D">
        <w:t xml:space="preserve">; Reply – </w:t>
      </w:r>
      <w:r w:rsidR="00D43E95">
        <w:t>CALSTART</w:t>
      </w:r>
      <w:r w:rsidR="00CD6C8D">
        <w:t xml:space="preserve"> </w:t>
      </w:r>
      <w:r w:rsidR="00512030">
        <w:rPr>
          <w:lang w:val="en-ZW"/>
        </w:rPr>
        <w:t>Reply Comments on Next Steps Ruling</w:t>
      </w:r>
      <w:r w:rsidR="00512030" w:rsidDel="00F8284E">
        <w:rPr>
          <w:lang w:val="en-ZW"/>
        </w:rPr>
        <w:t xml:space="preserve"> </w:t>
      </w:r>
      <w:r w:rsidR="00CD6C8D">
        <w:t xml:space="preserve">at 5, </w:t>
      </w:r>
      <w:r w:rsidR="00512030">
        <w:t xml:space="preserve">IREC </w:t>
      </w:r>
      <w:r w:rsidR="00512030">
        <w:rPr>
          <w:lang w:val="en-ZW"/>
        </w:rPr>
        <w:t>Reply Comments on Next Steps Ruling</w:t>
      </w:r>
      <w:r w:rsidR="00512030" w:rsidDel="00F8284E">
        <w:rPr>
          <w:lang w:val="en-ZW"/>
        </w:rPr>
        <w:t xml:space="preserve"> </w:t>
      </w:r>
      <w:r w:rsidR="00CD6C8D">
        <w:t>at 3.</w:t>
      </w:r>
      <w:r w:rsidR="00BB5242">
        <w:t xml:space="preserve"> </w:t>
      </w:r>
    </w:p>
  </w:footnote>
  <w:footnote w:id="76">
    <w:p w14:paraId="114D9EA9" w14:textId="2ED5E541" w:rsidR="00EE2741" w:rsidRDefault="00EE2741">
      <w:pPr>
        <w:pStyle w:val="FootnoteText"/>
      </w:pPr>
      <w:r>
        <w:rPr>
          <w:rStyle w:val="FootnoteReference"/>
        </w:rPr>
        <w:footnoteRef/>
      </w:r>
      <w:r>
        <w:t xml:space="preserve"> P</w:t>
      </w:r>
      <w:r w:rsidR="0073269F">
        <w:t>G&amp;E Amended Clarified FSC Data Sheet</w:t>
      </w:r>
      <w:r w:rsidR="004F26E2">
        <w:t>, Data Dictionary tab cell B4</w:t>
      </w:r>
      <w:r w:rsidR="005B307F">
        <w:t>.</w:t>
      </w:r>
    </w:p>
  </w:footnote>
  <w:footnote w:id="77">
    <w:p w14:paraId="3397B8F6" w14:textId="0D17D94B" w:rsidR="00CD5EAD" w:rsidRDefault="00CD5EAD">
      <w:pPr>
        <w:pStyle w:val="FootnoteText"/>
      </w:pPr>
      <w:r>
        <w:rPr>
          <w:rStyle w:val="FootnoteReference"/>
        </w:rPr>
        <w:footnoteRef/>
      </w:r>
      <w:r>
        <w:t xml:space="preserve"> </w:t>
      </w:r>
      <w:r w:rsidR="009E2ACE">
        <w:t xml:space="preserve">EDF </w:t>
      </w:r>
      <w:r w:rsidR="009E2ACE">
        <w:rPr>
          <w:lang w:val="en-ZW"/>
        </w:rPr>
        <w:t>Opening Comments on Next Steps Ruling</w:t>
      </w:r>
      <w:r w:rsidR="009E2ACE">
        <w:t xml:space="preserve"> at 11; TURN </w:t>
      </w:r>
      <w:r w:rsidR="009E2ACE">
        <w:rPr>
          <w:lang w:val="en-ZW"/>
        </w:rPr>
        <w:t>Opening Comments on Next Steps Ruling</w:t>
      </w:r>
      <w:r w:rsidR="009E2ACE">
        <w:t xml:space="preserve"> at 3</w:t>
      </w:r>
      <w:r>
        <w:t>.</w:t>
      </w:r>
    </w:p>
  </w:footnote>
  <w:footnote w:id="78">
    <w:p w14:paraId="77C477C2" w14:textId="20744A24" w:rsidR="00546A34" w:rsidRDefault="00546A34">
      <w:pPr>
        <w:pStyle w:val="FootnoteText"/>
      </w:pPr>
      <w:r>
        <w:rPr>
          <w:rStyle w:val="FootnoteReference"/>
        </w:rPr>
        <w:footnoteRef/>
      </w:r>
      <w:r w:rsidR="004A3603">
        <w:t xml:space="preserve"> </w:t>
      </w:r>
      <w:r w:rsidR="006E5A08">
        <w:t xml:space="preserve">PG&amp;E June 13, 2025 Response to Transparency Ruling at 3; </w:t>
      </w:r>
      <w:r w:rsidR="00540C65">
        <w:t xml:space="preserve">SCE </w:t>
      </w:r>
      <w:r w:rsidR="00540C65">
        <w:rPr>
          <w:lang w:val="en-ZW"/>
        </w:rPr>
        <w:t>Opening Comments on Next Steps Ruling</w:t>
      </w:r>
      <w:r w:rsidR="00540C65" w:rsidDel="00F8284E">
        <w:rPr>
          <w:lang w:val="en-ZW"/>
        </w:rPr>
        <w:t xml:space="preserve"> </w:t>
      </w:r>
      <w:r w:rsidR="00540C65" w:rsidRPr="00CC0888">
        <w:t>a</w:t>
      </w:r>
      <w:r w:rsidR="00540C65">
        <w:t xml:space="preserve">t 14; </w:t>
      </w:r>
      <w:r w:rsidR="00C45334">
        <w:t xml:space="preserve">SDG&amp;E </w:t>
      </w:r>
      <w:r w:rsidR="00C45334">
        <w:rPr>
          <w:lang w:val="en-ZW"/>
        </w:rPr>
        <w:t>Opening Comments on Next Steps Ruling</w:t>
      </w:r>
      <w:r w:rsidR="00C45334" w:rsidDel="00F8284E">
        <w:rPr>
          <w:lang w:val="en-ZW"/>
        </w:rPr>
        <w:t xml:space="preserve"> </w:t>
      </w:r>
      <w:r w:rsidR="00C45334" w:rsidRPr="00CC0888">
        <w:t>a</w:t>
      </w:r>
      <w:r w:rsidR="00C45334">
        <w:t xml:space="preserve">t </w:t>
      </w:r>
      <w:r w:rsidR="003277FC">
        <w:t>6.</w:t>
      </w:r>
    </w:p>
  </w:footnote>
  <w:footnote w:id="79">
    <w:p w14:paraId="6D7F73C5" w14:textId="6BA15857" w:rsidR="000543DA" w:rsidRDefault="000543DA">
      <w:pPr>
        <w:pStyle w:val="FootnoteText"/>
      </w:pPr>
      <w:r>
        <w:rPr>
          <w:rStyle w:val="FootnoteReference"/>
        </w:rPr>
        <w:footnoteRef/>
      </w:r>
      <w:r>
        <w:t xml:space="preserve"> CALSTART Comment on Responses to Transparency Ruling at </w:t>
      </w:r>
      <w:r w:rsidR="004546AA">
        <w:t>Attachment A</w:t>
      </w:r>
      <w:r w:rsidR="00A7107A">
        <w:t xml:space="preserve">, response to </w:t>
      </w:r>
      <w:r w:rsidR="00A7107A" w:rsidRPr="00A7107A">
        <w:t>Calstart_002-Q001</w:t>
      </w:r>
      <w:r>
        <w:t>.</w:t>
      </w:r>
    </w:p>
  </w:footnote>
  <w:footnote w:id="80">
    <w:p w14:paraId="095A5E7C" w14:textId="11A8DE64" w:rsidR="00F05081" w:rsidRDefault="00F05081">
      <w:pPr>
        <w:pStyle w:val="FootnoteText"/>
      </w:pPr>
      <w:r>
        <w:rPr>
          <w:rStyle w:val="FootnoteReference"/>
        </w:rPr>
        <w:footnoteRef/>
      </w:r>
      <w:r>
        <w:t xml:space="preserve"> Enphase </w:t>
      </w:r>
      <w:r>
        <w:rPr>
          <w:lang w:val="en-ZW"/>
        </w:rPr>
        <w:t>Opening Comments on Next Steps Ruling</w:t>
      </w:r>
      <w:r w:rsidDel="00F8284E">
        <w:rPr>
          <w:lang w:val="en-ZW"/>
        </w:rPr>
        <w:t xml:space="preserve"> </w:t>
      </w:r>
      <w:r w:rsidRPr="00CC0888">
        <w:t>a</w:t>
      </w:r>
      <w:r>
        <w:t>t 11.</w:t>
      </w:r>
    </w:p>
  </w:footnote>
  <w:footnote w:id="81">
    <w:p w14:paraId="08C0EBF9" w14:textId="284D11B5" w:rsidR="00214288" w:rsidRDefault="00214288" w:rsidP="00214288">
      <w:pPr>
        <w:pStyle w:val="FootnoteText"/>
      </w:pPr>
      <w:r>
        <w:rPr>
          <w:rStyle w:val="FootnoteReference"/>
        </w:rPr>
        <w:footnoteRef/>
      </w:r>
      <w:r>
        <w:t xml:space="preserve"> </w:t>
      </w:r>
      <w:r w:rsidR="00E13E22" w:rsidRPr="00E13E22">
        <w:t xml:space="preserve"> </w:t>
      </w:r>
      <w:r w:rsidR="00E13E22">
        <w:t xml:space="preserve">Enphase </w:t>
      </w:r>
      <w:r w:rsidR="00E13E22">
        <w:rPr>
          <w:lang w:val="en-ZW"/>
        </w:rPr>
        <w:t>Opening Comments on Next Steps Ruling</w:t>
      </w:r>
      <w:r w:rsidR="00E13E22" w:rsidDel="00F8284E">
        <w:rPr>
          <w:lang w:val="en-ZW"/>
        </w:rPr>
        <w:t xml:space="preserve"> </w:t>
      </w:r>
      <w:r w:rsidR="00E13E22" w:rsidRPr="00CC0888">
        <w:t>a</w:t>
      </w:r>
      <w:r w:rsidR="00E13E22">
        <w:t xml:space="preserve">t </w:t>
      </w:r>
      <w:r w:rsidR="00B92B4D">
        <w:t>5</w:t>
      </w:r>
      <w:r w:rsidR="00E13E22">
        <w:t>; EDF Reply</w:t>
      </w:r>
      <w:r w:rsidR="00E13E22">
        <w:rPr>
          <w:lang w:val="en-ZW"/>
        </w:rPr>
        <w:t xml:space="preserve"> Comments on Next Steps Ruling</w:t>
      </w:r>
      <w:r w:rsidR="00E13E22" w:rsidDel="00F8284E">
        <w:rPr>
          <w:lang w:val="en-ZW"/>
        </w:rPr>
        <w:t xml:space="preserve"> </w:t>
      </w:r>
      <w:r w:rsidR="00E13E22" w:rsidRPr="00CC0888">
        <w:t>a</w:t>
      </w:r>
      <w:r w:rsidR="00E13E22">
        <w:t>t</w:t>
      </w:r>
      <w:r w:rsidR="00B92B4D">
        <w:t xml:space="preserve"> 8</w:t>
      </w:r>
      <w:r w:rsidR="00E13E22">
        <w:t>; VGIC Reply</w:t>
      </w:r>
      <w:r w:rsidR="00E13E22">
        <w:rPr>
          <w:lang w:val="en-ZW"/>
        </w:rPr>
        <w:t xml:space="preserve"> Comments on Next Steps Ruling</w:t>
      </w:r>
      <w:r w:rsidR="00E13E22" w:rsidDel="00F8284E">
        <w:rPr>
          <w:lang w:val="en-ZW"/>
        </w:rPr>
        <w:t xml:space="preserve"> </w:t>
      </w:r>
      <w:r w:rsidR="00E13E22" w:rsidRPr="00CC0888">
        <w:t>a</w:t>
      </w:r>
      <w:r w:rsidR="00E13E22">
        <w:t xml:space="preserve">t </w:t>
      </w:r>
      <w:r w:rsidR="00B92B4D">
        <w:t>6</w:t>
      </w:r>
      <w:r w:rsidR="004A3603">
        <w:t>.</w:t>
      </w:r>
    </w:p>
  </w:footnote>
  <w:footnote w:id="82">
    <w:p w14:paraId="6B16C9F8" w14:textId="061DC585" w:rsidR="00F53BC6" w:rsidRDefault="00F53BC6" w:rsidP="00F53BC6">
      <w:pPr>
        <w:pStyle w:val="FootnoteText"/>
      </w:pPr>
      <w:r>
        <w:rPr>
          <w:rStyle w:val="FootnoteReference"/>
        </w:rPr>
        <w:footnoteRef/>
      </w:r>
      <w:r>
        <w:t xml:space="preserve"> </w:t>
      </w:r>
      <w:r w:rsidR="008C4183">
        <w:t xml:space="preserve">PG&amp;E </w:t>
      </w:r>
      <w:r w:rsidR="00222086">
        <w:t xml:space="preserve">June 13, 2025 response to Transparency Ruling at </w:t>
      </w:r>
      <w:r w:rsidR="008C4183">
        <w:t>2</w:t>
      </w:r>
      <w:r w:rsidR="00A16DE4">
        <w:t>.</w:t>
      </w:r>
    </w:p>
  </w:footnote>
  <w:footnote w:id="83">
    <w:p w14:paraId="37C1B5B3" w14:textId="77777777" w:rsidR="00365D47" w:rsidRDefault="00365D47" w:rsidP="00365D47">
      <w:pPr>
        <w:pStyle w:val="FootnoteText"/>
      </w:pPr>
      <w:r>
        <w:rPr>
          <w:rStyle w:val="FootnoteReference"/>
        </w:rPr>
        <w:footnoteRef/>
      </w:r>
      <w:r>
        <w:t xml:space="preserve"> SCE June 13, 2025 response to Transparency Ruling at 2.</w:t>
      </w:r>
    </w:p>
  </w:footnote>
  <w:footnote w:id="84">
    <w:p w14:paraId="7F618BC5" w14:textId="17776DAF" w:rsidR="005579FC" w:rsidRDefault="005579FC">
      <w:pPr>
        <w:pStyle w:val="FootnoteText"/>
      </w:pPr>
      <w:r>
        <w:rPr>
          <w:rStyle w:val="FootnoteReference"/>
        </w:rPr>
        <w:footnoteRef/>
      </w:r>
      <w:r>
        <w:t xml:space="preserve"> SCE </w:t>
      </w:r>
      <w:r w:rsidR="0056770B">
        <w:t xml:space="preserve">FSC </w:t>
      </w:r>
      <w:r>
        <w:t xml:space="preserve">Participant Data at </w:t>
      </w:r>
      <w:r w:rsidR="00062201">
        <w:t>cell P7.</w:t>
      </w:r>
    </w:p>
  </w:footnote>
  <w:footnote w:id="85">
    <w:p w14:paraId="1335B59F" w14:textId="7C89FB2E" w:rsidR="00A526FD" w:rsidRDefault="00A526FD">
      <w:pPr>
        <w:pStyle w:val="FootnoteText"/>
      </w:pPr>
      <w:r>
        <w:rPr>
          <w:rStyle w:val="FootnoteReference"/>
        </w:rPr>
        <w:footnoteRef/>
      </w:r>
      <w:r>
        <w:t xml:space="preserve"> SCE June 13, 2025 response to Transparency Ruling at 2.</w:t>
      </w:r>
    </w:p>
  </w:footnote>
  <w:footnote w:id="86">
    <w:p w14:paraId="73D8B7E3" w14:textId="5072D869" w:rsidR="00B714F6" w:rsidRDefault="00B714F6">
      <w:pPr>
        <w:pStyle w:val="FootnoteText"/>
      </w:pPr>
      <w:r>
        <w:rPr>
          <w:rStyle w:val="FootnoteReference"/>
        </w:rPr>
        <w:footnoteRef/>
      </w:r>
      <w:r>
        <w:t xml:space="preserve"> TMH </w:t>
      </w:r>
      <w:r w:rsidR="00EC2E54">
        <w:rPr>
          <w:lang w:val="en-ZW"/>
        </w:rPr>
        <w:t>Opening Comments on Next Steps Ruling</w:t>
      </w:r>
      <w:r w:rsidR="00EC2E54" w:rsidDel="00F8284E">
        <w:rPr>
          <w:lang w:val="en-ZW"/>
        </w:rPr>
        <w:t xml:space="preserve"> </w:t>
      </w:r>
      <w:r>
        <w:t xml:space="preserve">at </w:t>
      </w:r>
      <w:r w:rsidR="00865F92">
        <w:t>9.</w:t>
      </w:r>
    </w:p>
  </w:footnote>
  <w:footnote w:id="87">
    <w:p w14:paraId="0BFA6013" w14:textId="2FAD234C" w:rsidR="00674B19" w:rsidRPr="004D40A9" w:rsidRDefault="00674B19" w:rsidP="00674B19">
      <w:pPr>
        <w:pStyle w:val="FootnoteText"/>
        <w:rPr>
          <w:lang w:val="en-ZW"/>
        </w:rPr>
      </w:pPr>
      <w:r>
        <w:rPr>
          <w:rStyle w:val="FootnoteReference"/>
        </w:rPr>
        <w:footnoteRef/>
      </w:r>
      <w:r>
        <w:t xml:space="preserve"> </w:t>
      </w:r>
      <w:r w:rsidR="00897698">
        <w:t xml:space="preserve">PG&amp;E’s June 13, 2025 Response to Transparency Ruling at 6; </w:t>
      </w:r>
      <w:r w:rsidR="002B0C50">
        <w:t>PG&amp;E’s June 13, 2025 Response to Transparency Ruling at 4-5</w:t>
      </w:r>
      <w:r>
        <w:rPr>
          <w:lang w:val="en-ZW"/>
        </w:rPr>
        <w:t>.</w:t>
      </w:r>
    </w:p>
  </w:footnote>
  <w:footnote w:id="88">
    <w:p w14:paraId="1F4477C5" w14:textId="77777777" w:rsidR="00674B19" w:rsidRPr="004B25EC" w:rsidRDefault="00674B19" w:rsidP="00674B19">
      <w:pPr>
        <w:pStyle w:val="FootnoteText"/>
        <w:rPr>
          <w:lang w:val="en-ZW"/>
        </w:rPr>
      </w:pPr>
      <w:r>
        <w:rPr>
          <w:rStyle w:val="FootnoteReference"/>
        </w:rPr>
        <w:footnoteRef/>
      </w:r>
      <w:r>
        <w:t xml:space="preserve"> </w:t>
      </w:r>
      <w:r>
        <w:rPr>
          <w:lang w:val="en-ZW"/>
        </w:rPr>
        <w:t>PG&amp;E June 13, 2025 Response to Transparency Ruling at 6.</w:t>
      </w:r>
    </w:p>
  </w:footnote>
  <w:footnote w:id="89">
    <w:p w14:paraId="20B38341" w14:textId="0825D551" w:rsidR="00674B19" w:rsidRPr="0060630D" w:rsidRDefault="00674B19" w:rsidP="00674B19">
      <w:pPr>
        <w:pStyle w:val="FootnoteText"/>
        <w:rPr>
          <w:lang w:val="en-ZW"/>
        </w:rPr>
      </w:pPr>
      <w:r>
        <w:rPr>
          <w:rStyle w:val="FootnoteReference"/>
        </w:rPr>
        <w:footnoteRef/>
      </w:r>
      <w:r>
        <w:t xml:space="preserve"> </w:t>
      </w:r>
      <w:r>
        <w:rPr>
          <w:lang w:val="en-ZW"/>
        </w:rPr>
        <w:t xml:space="preserve">IREC </w:t>
      </w:r>
      <w:r w:rsidR="00EC2E54">
        <w:rPr>
          <w:lang w:val="en-ZW"/>
        </w:rPr>
        <w:t>Opening Comments on Next Steps Ruling</w:t>
      </w:r>
      <w:r w:rsidR="00EC2E54" w:rsidDel="00F8284E">
        <w:rPr>
          <w:lang w:val="en-ZW"/>
        </w:rPr>
        <w:t xml:space="preserve"> </w:t>
      </w:r>
      <w:r w:rsidR="00EC2E54" w:rsidRPr="00CC0888">
        <w:t>a</w:t>
      </w:r>
      <w:r w:rsidR="00EC2E54">
        <w:t>t</w:t>
      </w:r>
      <w:r w:rsidR="00762812">
        <w:t xml:space="preserve"> </w:t>
      </w:r>
      <w:r>
        <w:rPr>
          <w:lang w:val="en-ZW"/>
        </w:rPr>
        <w:t xml:space="preserve">14; </w:t>
      </w:r>
      <w:r>
        <w:t xml:space="preserve">EDF </w:t>
      </w:r>
      <w:r w:rsidR="00EC2E54">
        <w:rPr>
          <w:lang w:val="en-ZW"/>
        </w:rPr>
        <w:t>Opening Comments on Next Steps Ruling</w:t>
      </w:r>
      <w:r w:rsidR="00EC2E54" w:rsidDel="00F8284E">
        <w:rPr>
          <w:lang w:val="en-ZW"/>
        </w:rPr>
        <w:t xml:space="preserve"> </w:t>
      </w:r>
      <w:r w:rsidR="00EC2E54" w:rsidRPr="00CC0888">
        <w:t>a</w:t>
      </w:r>
      <w:r w:rsidR="00EC2E54">
        <w:t>t</w:t>
      </w:r>
      <w:r w:rsidR="00BC2E8A">
        <w:t xml:space="preserve"> </w:t>
      </w:r>
      <w:r>
        <w:t>13.</w:t>
      </w:r>
    </w:p>
  </w:footnote>
  <w:footnote w:id="90">
    <w:p w14:paraId="21BF216B" w14:textId="7E47D9E1" w:rsidR="00674B19" w:rsidRPr="00272215" w:rsidRDefault="00674B19" w:rsidP="00674B19">
      <w:pPr>
        <w:pStyle w:val="FootnoteText"/>
        <w:rPr>
          <w:lang w:val="en-ZW"/>
        </w:rPr>
      </w:pPr>
      <w:r>
        <w:rPr>
          <w:rStyle w:val="FootnoteReference"/>
        </w:rPr>
        <w:footnoteRef/>
      </w:r>
      <w:r>
        <w:t xml:space="preserve"> </w:t>
      </w:r>
      <w:r>
        <w:rPr>
          <w:lang w:val="en-ZW"/>
        </w:rPr>
        <w:t>C</w:t>
      </w:r>
      <w:r w:rsidR="00EC2E54">
        <w:rPr>
          <w:lang w:val="en-ZW"/>
        </w:rPr>
        <w:t xml:space="preserve">ritical </w:t>
      </w:r>
      <w:r>
        <w:rPr>
          <w:lang w:val="en-ZW"/>
        </w:rPr>
        <w:t>L</w:t>
      </w:r>
      <w:r w:rsidR="00EC2E54">
        <w:rPr>
          <w:lang w:val="en-ZW"/>
        </w:rPr>
        <w:t>oop</w:t>
      </w:r>
      <w:r>
        <w:rPr>
          <w:lang w:val="en-ZW"/>
        </w:rPr>
        <w:t xml:space="preserve"> </w:t>
      </w:r>
      <w:r w:rsidR="00EC2E54">
        <w:rPr>
          <w:lang w:val="en-ZW"/>
        </w:rPr>
        <w:t>Opening Comments on Next Steps Ruling</w:t>
      </w:r>
      <w:r w:rsidR="00EC2E54" w:rsidDel="00F8284E">
        <w:rPr>
          <w:lang w:val="en-ZW"/>
        </w:rPr>
        <w:t xml:space="preserve"> </w:t>
      </w:r>
      <w:r w:rsidR="00EC2E54" w:rsidRPr="00CC0888">
        <w:t>a</w:t>
      </w:r>
      <w:r w:rsidR="00EC2E54">
        <w:t>t</w:t>
      </w:r>
      <w:r w:rsidR="00BC2E8A">
        <w:t xml:space="preserve"> </w:t>
      </w:r>
      <w:r>
        <w:rPr>
          <w:lang w:val="en-ZW"/>
        </w:rPr>
        <w:t>5.</w:t>
      </w:r>
    </w:p>
  </w:footnote>
  <w:footnote w:id="91">
    <w:p w14:paraId="3C71C051" w14:textId="6993DF07" w:rsidR="00674B19" w:rsidRPr="00272215" w:rsidRDefault="00674B19" w:rsidP="00674B19">
      <w:pPr>
        <w:pStyle w:val="FootnoteText"/>
        <w:rPr>
          <w:lang w:val="en-ZW"/>
        </w:rPr>
      </w:pPr>
      <w:r>
        <w:rPr>
          <w:rStyle w:val="FootnoteReference"/>
        </w:rPr>
        <w:footnoteRef/>
      </w:r>
      <w:r>
        <w:t xml:space="preserve"> </w:t>
      </w:r>
      <w:r w:rsidR="000945A8">
        <w:t>EDF</w:t>
      </w:r>
      <w:r w:rsidR="00762812" w:rsidRPr="00762812">
        <w:rPr>
          <w:lang w:val="en-ZW"/>
        </w:rPr>
        <w:t xml:space="preserve"> </w:t>
      </w:r>
      <w:r w:rsidR="00762812">
        <w:rPr>
          <w:lang w:val="en-ZW"/>
        </w:rPr>
        <w:t>Opening Comments on Next Steps Ruling</w:t>
      </w:r>
      <w:r w:rsidR="00762812" w:rsidDel="00F8284E">
        <w:rPr>
          <w:lang w:val="en-ZW"/>
        </w:rPr>
        <w:t xml:space="preserve"> </w:t>
      </w:r>
      <w:r w:rsidR="00762812" w:rsidRPr="00CC0888">
        <w:t>a</w:t>
      </w:r>
      <w:r w:rsidR="00762812">
        <w:t xml:space="preserve">t </w:t>
      </w:r>
      <w:r w:rsidR="00762812">
        <w:rPr>
          <w:lang w:val="en-ZW"/>
        </w:rPr>
        <w:t>16</w:t>
      </w:r>
      <w:r w:rsidR="00762812">
        <w:rPr>
          <w:color w:val="00B0F0"/>
          <w:sz w:val="24"/>
          <w:szCs w:val="24"/>
        </w:rPr>
        <w:t>.</w:t>
      </w:r>
    </w:p>
  </w:footnote>
  <w:footnote w:id="92">
    <w:p w14:paraId="72EBB0F9" w14:textId="77777777" w:rsidR="00674B19" w:rsidRDefault="00674B19" w:rsidP="00674B19">
      <w:pPr>
        <w:pStyle w:val="FootnoteText"/>
      </w:pPr>
      <w:r>
        <w:rPr>
          <w:rStyle w:val="FootnoteReference"/>
        </w:rPr>
        <w:footnoteRef/>
      </w:r>
      <w:r>
        <w:t xml:space="preserve"> Resolution E-5165 at Ordering Paragraph 2.</w:t>
      </w:r>
    </w:p>
  </w:footnote>
  <w:footnote w:id="93">
    <w:p w14:paraId="56F14095" w14:textId="77777777" w:rsidR="00674B19" w:rsidRPr="00A760EC" w:rsidRDefault="00674B19" w:rsidP="00674B19">
      <w:pPr>
        <w:pStyle w:val="FootnoteText"/>
        <w:rPr>
          <w:lang w:val="en-ZW"/>
        </w:rPr>
      </w:pPr>
      <w:r>
        <w:rPr>
          <w:rStyle w:val="FootnoteReference"/>
        </w:rPr>
        <w:footnoteRef/>
      </w:r>
      <w:r>
        <w:t xml:space="preserve"> </w:t>
      </w:r>
      <w:r>
        <w:rPr>
          <w:lang w:val="en-ZW"/>
        </w:rPr>
        <w:t>PG&amp;E May 30 response to Transparency Ruling at Attachment A.</w:t>
      </w:r>
    </w:p>
  </w:footnote>
  <w:footnote w:id="94">
    <w:p w14:paraId="0047855A" w14:textId="3AD44624" w:rsidR="00674B19" w:rsidRPr="00CE5611" w:rsidRDefault="00674B19" w:rsidP="00674B19">
      <w:pPr>
        <w:pStyle w:val="FootnoteText"/>
        <w:rPr>
          <w:lang w:val="en-ZW"/>
        </w:rPr>
      </w:pPr>
      <w:r>
        <w:rPr>
          <w:rStyle w:val="FootnoteReference"/>
        </w:rPr>
        <w:footnoteRef/>
      </w:r>
      <w:r>
        <w:t xml:space="preserve"> </w:t>
      </w:r>
      <w:r w:rsidR="00C00A15">
        <w:t>SCE</w:t>
      </w:r>
      <w:r w:rsidR="00944F3F">
        <w:t xml:space="preserve"> </w:t>
      </w:r>
      <w:r w:rsidR="0009474F">
        <w:t xml:space="preserve">Advice Letter </w:t>
      </w:r>
      <w:r w:rsidR="000D1822">
        <w:t>5138-E at 9.</w:t>
      </w:r>
    </w:p>
  </w:footnote>
  <w:footnote w:id="95">
    <w:p w14:paraId="52D36C6A" w14:textId="77777777" w:rsidR="00674B19" w:rsidRPr="009263C8" w:rsidRDefault="00674B19" w:rsidP="00674B19">
      <w:pPr>
        <w:pStyle w:val="FootnoteText"/>
        <w:rPr>
          <w:lang w:val="en-ZW"/>
        </w:rPr>
      </w:pPr>
      <w:r>
        <w:rPr>
          <w:rStyle w:val="FootnoteReference"/>
        </w:rPr>
        <w:footnoteRef/>
      </w:r>
      <w:r>
        <w:t xml:space="preserve"> </w:t>
      </w:r>
      <w:r>
        <w:rPr>
          <w:lang w:val="en-ZW"/>
        </w:rPr>
        <w:t>PG&amp;E May 30 response to Transparency Ruling at Attachment A.</w:t>
      </w:r>
    </w:p>
  </w:footnote>
  <w:footnote w:id="96">
    <w:p w14:paraId="13F30A7C" w14:textId="78AF579A" w:rsidR="00674B19" w:rsidRPr="00236BAC" w:rsidRDefault="00674B19" w:rsidP="00674B19">
      <w:pPr>
        <w:pStyle w:val="FootnoteText"/>
        <w:rPr>
          <w:lang w:val="en-ZW"/>
        </w:rPr>
      </w:pPr>
      <w:r>
        <w:rPr>
          <w:rStyle w:val="FootnoteReference"/>
        </w:rPr>
        <w:footnoteRef/>
      </w:r>
      <w:r w:rsidRPr="00236BAC">
        <w:rPr>
          <w:lang w:val="en-ZW"/>
        </w:rPr>
        <w:t xml:space="preserve"> IREC </w:t>
      </w:r>
      <w:r w:rsidR="001B7F42">
        <w:rPr>
          <w:lang w:val="en-ZW"/>
        </w:rPr>
        <w:t>Opening Comments on Next Steps Ruling</w:t>
      </w:r>
      <w:r w:rsidR="001B7F42" w:rsidDel="00F8284E">
        <w:rPr>
          <w:lang w:val="en-ZW"/>
        </w:rPr>
        <w:t xml:space="preserve"> </w:t>
      </w:r>
      <w:r w:rsidRPr="00236BAC">
        <w:rPr>
          <w:lang w:val="en-ZW"/>
        </w:rPr>
        <w:t>at 17</w:t>
      </w:r>
      <w:r w:rsidR="001B7F42">
        <w:rPr>
          <w:lang w:val="en-ZW"/>
        </w:rPr>
        <w:t>,</w:t>
      </w:r>
      <w:r>
        <w:rPr>
          <w:lang w:val="en-ZW"/>
        </w:rPr>
        <w:t xml:space="preserve"> 31</w:t>
      </w:r>
      <w:r w:rsidRPr="00236BAC">
        <w:rPr>
          <w:lang w:val="en-ZW"/>
        </w:rPr>
        <w:t xml:space="preserve">; </w:t>
      </w:r>
      <w:r>
        <w:rPr>
          <w:lang w:val="en-ZW"/>
        </w:rPr>
        <w:t xml:space="preserve">EDF </w:t>
      </w:r>
      <w:r w:rsidR="001B7F42">
        <w:rPr>
          <w:lang w:val="en-ZW"/>
        </w:rPr>
        <w:t>Opening Comments on Next Steps Ruling</w:t>
      </w:r>
      <w:r w:rsidR="001B7F42" w:rsidDel="00F8284E">
        <w:rPr>
          <w:lang w:val="en-ZW"/>
        </w:rPr>
        <w:t xml:space="preserve"> </w:t>
      </w:r>
      <w:r>
        <w:rPr>
          <w:lang w:val="en-ZW"/>
        </w:rPr>
        <w:t xml:space="preserve">at 10 and 14; PACT </w:t>
      </w:r>
      <w:r w:rsidR="001B7F42">
        <w:rPr>
          <w:lang w:val="en-ZW"/>
        </w:rPr>
        <w:t>Opening Comments on Next Steps Ruling</w:t>
      </w:r>
      <w:r w:rsidR="00D43E95">
        <w:rPr>
          <w:lang w:val="en-ZW"/>
        </w:rPr>
        <w:t xml:space="preserve"> </w:t>
      </w:r>
      <w:r>
        <w:rPr>
          <w:lang w:val="en-ZW"/>
        </w:rPr>
        <w:t>at 12.</w:t>
      </w:r>
    </w:p>
  </w:footnote>
  <w:footnote w:id="97">
    <w:p w14:paraId="256675EC" w14:textId="68DFF3A5" w:rsidR="00283895" w:rsidRPr="000C344F" w:rsidRDefault="00283895">
      <w:pPr>
        <w:pStyle w:val="FootnoteText"/>
        <w:rPr>
          <w:highlight w:val="yellow"/>
        </w:rPr>
      </w:pPr>
      <w:r>
        <w:rPr>
          <w:rStyle w:val="FootnoteReference"/>
        </w:rPr>
        <w:footnoteRef/>
      </w:r>
      <w:r>
        <w:t xml:space="preserve"> </w:t>
      </w:r>
      <w:r w:rsidR="00D7749B">
        <w:t xml:space="preserve">PG&amp;E Tariff Rule </w:t>
      </w:r>
      <w:r w:rsidR="00D7749B" w:rsidRPr="00422B7B">
        <w:t>11</w:t>
      </w:r>
      <w:r w:rsidR="00D7749B" w:rsidRPr="002B51C8">
        <w:t xml:space="preserve"> </w:t>
      </w:r>
      <w:r w:rsidR="00684B54" w:rsidRPr="002B51C8">
        <w:t>at 9-12</w:t>
      </w:r>
      <w:r w:rsidR="00381AA8" w:rsidRPr="002B51C8">
        <w:t>.</w:t>
      </w:r>
    </w:p>
  </w:footnote>
  <w:footnote w:id="98">
    <w:p w14:paraId="30A7F814" w14:textId="7292F48E" w:rsidR="00BE5E95" w:rsidRDefault="00BE5E95">
      <w:pPr>
        <w:pStyle w:val="FootnoteText"/>
      </w:pPr>
      <w:r w:rsidRPr="002B51C8">
        <w:rPr>
          <w:rStyle w:val="FootnoteReference"/>
        </w:rPr>
        <w:footnoteRef/>
      </w:r>
      <w:r w:rsidRPr="002B51C8">
        <w:t xml:space="preserve"> </w:t>
      </w:r>
      <w:r w:rsidR="00652E87" w:rsidRPr="00422B7B">
        <w:t>PG&amp;E Tariff Rule 1</w:t>
      </w:r>
      <w:r w:rsidR="00381AA8" w:rsidRPr="00422B7B">
        <w:t>4</w:t>
      </w:r>
      <w:r w:rsidR="00652E87" w:rsidRPr="002B51C8">
        <w:t xml:space="preserve"> at 1-2</w:t>
      </w:r>
      <w:r w:rsidRPr="002B51C8">
        <w:t>.</w:t>
      </w:r>
    </w:p>
  </w:footnote>
  <w:footnote w:id="99">
    <w:p w14:paraId="6DE5EF17" w14:textId="3A38EE9B" w:rsidR="00674B19" w:rsidRDefault="00674B19" w:rsidP="00674B19">
      <w:pPr>
        <w:pStyle w:val="FootnoteText"/>
      </w:pPr>
      <w:r>
        <w:rPr>
          <w:rStyle w:val="FootnoteReference"/>
        </w:rPr>
        <w:footnoteRef/>
      </w:r>
      <w:r>
        <w:t xml:space="preserve"> </w:t>
      </w:r>
      <w:r>
        <w:rPr>
          <w:lang w:val="en-ZW"/>
        </w:rPr>
        <w:t xml:space="preserve">Enphase </w:t>
      </w:r>
      <w:r w:rsidR="001B7F42">
        <w:rPr>
          <w:lang w:val="en-ZW"/>
        </w:rPr>
        <w:t>Opening Comments on Next Steps Ruling</w:t>
      </w:r>
      <w:r w:rsidR="001B7F42" w:rsidDel="00F8284E">
        <w:rPr>
          <w:lang w:val="en-ZW"/>
        </w:rPr>
        <w:t xml:space="preserve"> </w:t>
      </w:r>
      <w:r w:rsidR="001B7F42" w:rsidRPr="00CC0888">
        <w:t>a</w:t>
      </w:r>
      <w:r w:rsidR="001B7F42">
        <w:t>t</w:t>
      </w:r>
      <w:r>
        <w:rPr>
          <w:lang w:val="en-ZW"/>
        </w:rPr>
        <w:t xml:space="preserve">6-7; EDF </w:t>
      </w:r>
      <w:r w:rsidR="001B7F42">
        <w:rPr>
          <w:lang w:val="en-ZW"/>
        </w:rPr>
        <w:t>Opening Comments on Next Steps Ruling</w:t>
      </w:r>
      <w:r w:rsidR="001B7F42" w:rsidDel="00F8284E">
        <w:rPr>
          <w:lang w:val="en-ZW"/>
        </w:rPr>
        <w:t xml:space="preserve"> </w:t>
      </w:r>
      <w:r w:rsidR="001B7F42" w:rsidRPr="00CC0888">
        <w:t>a</w:t>
      </w:r>
      <w:r w:rsidR="001B7F42">
        <w:t>t</w:t>
      </w:r>
      <w:r w:rsidR="00D43E95">
        <w:t xml:space="preserve"> </w:t>
      </w:r>
      <w:r>
        <w:rPr>
          <w:lang w:val="en-ZW"/>
        </w:rPr>
        <w:t>10</w:t>
      </w:r>
      <w:r w:rsidR="00D43E95">
        <w:rPr>
          <w:lang w:val="en-ZW"/>
        </w:rPr>
        <w:t>.</w:t>
      </w:r>
    </w:p>
  </w:footnote>
  <w:footnote w:id="100">
    <w:p w14:paraId="0EB53060" w14:textId="352689D9" w:rsidR="00EE13E9" w:rsidRDefault="00EE13E9">
      <w:pPr>
        <w:pStyle w:val="FootnoteText"/>
      </w:pPr>
      <w:r>
        <w:rPr>
          <w:rStyle w:val="FootnoteReference"/>
        </w:rPr>
        <w:footnoteRef/>
      </w:r>
      <w:r>
        <w:t xml:space="preserve"> </w:t>
      </w:r>
      <w:r w:rsidR="006530DA">
        <w:t xml:space="preserve">EDF </w:t>
      </w:r>
      <w:r w:rsidR="001B7F42">
        <w:rPr>
          <w:lang w:val="en-ZW"/>
        </w:rPr>
        <w:t>Opening Comments on Next Steps Ruling</w:t>
      </w:r>
      <w:r w:rsidR="001B7F42" w:rsidDel="00F8284E">
        <w:rPr>
          <w:lang w:val="en-ZW"/>
        </w:rPr>
        <w:t xml:space="preserve"> </w:t>
      </w:r>
      <w:r w:rsidR="001B7F42" w:rsidRPr="00CC0888">
        <w:t>a</w:t>
      </w:r>
      <w:r w:rsidR="001B7F42">
        <w:t>t</w:t>
      </w:r>
      <w:r w:rsidR="00D43E95">
        <w:t xml:space="preserve"> </w:t>
      </w:r>
      <w:r w:rsidR="006530DA">
        <w:t>17.</w:t>
      </w:r>
    </w:p>
  </w:footnote>
  <w:footnote w:id="101">
    <w:p w14:paraId="46FFB8F7" w14:textId="0ABCCFD8" w:rsidR="00942DD2" w:rsidRDefault="00942DD2">
      <w:pPr>
        <w:pStyle w:val="FootnoteText"/>
      </w:pPr>
      <w:r>
        <w:rPr>
          <w:rStyle w:val="FootnoteReference"/>
        </w:rPr>
        <w:footnoteRef/>
      </w:r>
      <w:r>
        <w:t xml:space="preserve"> </w:t>
      </w:r>
      <w:r w:rsidRPr="00A71047">
        <w:t xml:space="preserve">SCE </w:t>
      </w:r>
      <w:r w:rsidR="00222086" w:rsidRPr="002B51C8">
        <w:t>June 13, 2025</w:t>
      </w:r>
      <w:r w:rsidR="00222086" w:rsidRPr="00A71047">
        <w:t xml:space="preserve"> </w:t>
      </w:r>
      <w:r w:rsidR="00222086" w:rsidRPr="00D95137">
        <w:t>response to Transparency Ruling at</w:t>
      </w:r>
      <w:r w:rsidR="00222086" w:rsidRPr="00A71047">
        <w:t xml:space="preserve"> </w:t>
      </w:r>
      <w:r w:rsidR="00D95137">
        <w:t>7</w:t>
      </w:r>
      <w:r w:rsidRPr="00A71047">
        <w:t>.</w:t>
      </w:r>
    </w:p>
  </w:footnote>
  <w:footnote w:id="102">
    <w:p w14:paraId="03D619B7" w14:textId="6F6146FF" w:rsidR="00A54520" w:rsidRDefault="00A54520">
      <w:pPr>
        <w:pStyle w:val="FootnoteText"/>
      </w:pPr>
      <w:r>
        <w:rPr>
          <w:rStyle w:val="FootnoteReference"/>
        </w:rPr>
        <w:footnoteRef/>
      </w:r>
      <w:r>
        <w:t xml:space="preserve"> </w:t>
      </w:r>
      <w:r w:rsidRPr="002B51C8">
        <w:t>P</w:t>
      </w:r>
      <w:r w:rsidR="00D43E95" w:rsidRPr="002B51C8">
        <w:t>ub</w:t>
      </w:r>
      <w:r w:rsidR="00762812" w:rsidRPr="002B51C8">
        <w:t>lic</w:t>
      </w:r>
      <w:r w:rsidR="00D43E95" w:rsidRPr="002B51C8">
        <w:t xml:space="preserve"> Util</w:t>
      </w:r>
      <w:r w:rsidR="00762812" w:rsidRPr="002B51C8">
        <w:t>ities</w:t>
      </w:r>
      <w:r w:rsidR="00D43E95" w:rsidRPr="002B51C8">
        <w:t xml:space="preserve"> Code S</w:t>
      </w:r>
      <w:r w:rsidRPr="002B51C8">
        <w:t>ection</w:t>
      </w:r>
      <w:r w:rsidR="00D43E95" w:rsidRPr="002B51C8">
        <w:t> </w:t>
      </w:r>
      <w:r w:rsidRPr="002B51C8">
        <w:t>453</w:t>
      </w:r>
      <w:r>
        <w:t>.</w:t>
      </w:r>
    </w:p>
  </w:footnote>
  <w:footnote w:id="103">
    <w:p w14:paraId="4013905A" w14:textId="01ED9EB3" w:rsidR="00421DFD" w:rsidRDefault="00421DFD">
      <w:pPr>
        <w:pStyle w:val="FootnoteText"/>
      </w:pPr>
      <w:r>
        <w:rPr>
          <w:rStyle w:val="FootnoteReference"/>
        </w:rPr>
        <w:footnoteRef/>
      </w:r>
      <w:r>
        <w:t xml:space="preserve"> </w:t>
      </w:r>
      <w:r w:rsidR="00B77851">
        <w:t>PG&amp;E June 13, 2025 response to Transparency Ruling at 5</w:t>
      </w:r>
      <w:r>
        <w:t>.</w:t>
      </w:r>
    </w:p>
  </w:footnote>
  <w:footnote w:id="104">
    <w:p w14:paraId="7F27F8BC" w14:textId="2B2A235B" w:rsidR="00DC71EA" w:rsidRDefault="00DC71EA">
      <w:pPr>
        <w:pStyle w:val="FootnoteText"/>
      </w:pPr>
      <w:r>
        <w:rPr>
          <w:rStyle w:val="FootnoteReference"/>
        </w:rPr>
        <w:footnoteRef/>
      </w:r>
      <w:r>
        <w:t xml:space="preserve"> Normal utility operations refers to activities that the IOU would undertake in the absence of </w:t>
      </w:r>
      <w:r w:rsidR="00B667F0">
        <w:t xml:space="preserve">a </w:t>
      </w:r>
      <w:r w:rsidR="00967504">
        <w:t>customer electing to take service under a FSC.</w:t>
      </w:r>
    </w:p>
  </w:footnote>
  <w:footnote w:id="105">
    <w:p w14:paraId="29124077" w14:textId="77777777" w:rsidR="00674B19" w:rsidRDefault="00674B19" w:rsidP="00674B19">
      <w:pPr>
        <w:pStyle w:val="FootnoteText"/>
      </w:pPr>
      <w:r>
        <w:rPr>
          <w:rStyle w:val="FootnoteReference"/>
        </w:rPr>
        <w:footnoteRef/>
      </w:r>
      <w:r>
        <w:t xml:space="preserve"> PG&amp;E June 13, 2025 response to Transparency Ruling at 5-6.</w:t>
      </w:r>
    </w:p>
  </w:footnote>
  <w:footnote w:id="106">
    <w:p w14:paraId="47797BA0" w14:textId="23EABB5D" w:rsidR="00296088" w:rsidRDefault="00296088">
      <w:pPr>
        <w:pStyle w:val="FootnoteText"/>
      </w:pPr>
      <w:r>
        <w:rPr>
          <w:rStyle w:val="FootnoteReference"/>
        </w:rPr>
        <w:footnoteRef/>
      </w:r>
      <w:r>
        <w:t xml:space="preserve"> </w:t>
      </w:r>
      <w:r w:rsidR="007C3D2C">
        <w:t>SCE Form 16-332 at 1</w:t>
      </w:r>
      <w:r w:rsidR="00A95179">
        <w:t>.</w:t>
      </w:r>
    </w:p>
  </w:footnote>
  <w:footnote w:id="107">
    <w:p w14:paraId="0903D64E" w14:textId="206EC03C" w:rsidR="009F7E03" w:rsidRPr="00D332FE" w:rsidRDefault="009F7E03">
      <w:pPr>
        <w:pStyle w:val="FootnoteText"/>
      </w:pPr>
      <w:r>
        <w:rPr>
          <w:rStyle w:val="FootnoteReference"/>
        </w:rPr>
        <w:footnoteRef/>
      </w:r>
      <w:r w:rsidRPr="00D332FE">
        <w:t xml:space="preserve"> </w:t>
      </w:r>
      <w:r w:rsidRPr="00DC6C5C">
        <w:t xml:space="preserve">SCE </w:t>
      </w:r>
      <w:r w:rsidR="000D1822" w:rsidRPr="002B51C8">
        <w:rPr>
          <w:lang w:val="en-ZW"/>
        </w:rPr>
        <w:t>Opening Comments</w:t>
      </w:r>
      <w:r w:rsidR="000D1822" w:rsidRPr="00DC6C5C">
        <w:rPr>
          <w:lang w:val="en-ZW"/>
        </w:rPr>
        <w:t xml:space="preserve"> on Next</w:t>
      </w:r>
      <w:r w:rsidR="000D1822">
        <w:rPr>
          <w:lang w:val="en-ZW"/>
        </w:rPr>
        <w:t xml:space="preserve"> Steps Ruling</w:t>
      </w:r>
      <w:r w:rsidR="000D1822" w:rsidDel="00F8284E">
        <w:rPr>
          <w:lang w:val="en-ZW"/>
        </w:rPr>
        <w:t xml:space="preserve"> </w:t>
      </w:r>
      <w:r w:rsidR="00F15F91" w:rsidRPr="00D332FE">
        <w:t xml:space="preserve">at </w:t>
      </w:r>
      <w:r w:rsidR="00DC6C5C">
        <w:t xml:space="preserve">5, </w:t>
      </w:r>
      <w:r w:rsidR="00F15F91" w:rsidRPr="00D332FE">
        <w:t>12.</w:t>
      </w:r>
    </w:p>
  </w:footnote>
  <w:footnote w:id="108">
    <w:p w14:paraId="5C25ED78" w14:textId="28FBA986" w:rsidR="00126473" w:rsidRDefault="00126473">
      <w:pPr>
        <w:pStyle w:val="FootnoteText"/>
      </w:pPr>
      <w:r>
        <w:rPr>
          <w:rStyle w:val="FootnoteReference"/>
        </w:rPr>
        <w:footnoteRef/>
      </w:r>
      <w:r>
        <w:t xml:space="preserve"> </w:t>
      </w:r>
      <w:r w:rsidR="0018070B" w:rsidRPr="001B7F42">
        <w:t xml:space="preserve">PG&amp;E </w:t>
      </w:r>
      <w:r w:rsidR="0018070B">
        <w:rPr>
          <w:lang w:val="en-ZW"/>
        </w:rPr>
        <w:t>Opening Comments on Next Steps Ruling</w:t>
      </w:r>
      <w:r w:rsidR="0018070B" w:rsidDel="00F8284E">
        <w:rPr>
          <w:lang w:val="en-ZW"/>
        </w:rPr>
        <w:t xml:space="preserve"> </w:t>
      </w:r>
      <w:r w:rsidR="0018070B" w:rsidRPr="00CC0888">
        <w:t>a</w:t>
      </w:r>
      <w:r w:rsidR="0018070B">
        <w:t>t</w:t>
      </w:r>
      <w:r w:rsidR="0018070B" w:rsidRPr="001B7F42">
        <w:t xml:space="preserve"> </w:t>
      </w:r>
      <w:r w:rsidR="0018070B">
        <w:t>8</w:t>
      </w:r>
      <w:r w:rsidR="0018070B" w:rsidRPr="001B7F42">
        <w:t>.</w:t>
      </w:r>
    </w:p>
  </w:footnote>
  <w:footnote w:id="109">
    <w:p w14:paraId="0883BAF5" w14:textId="59A33C11" w:rsidR="00126473" w:rsidRDefault="00126473">
      <w:pPr>
        <w:pStyle w:val="FootnoteText"/>
      </w:pPr>
      <w:r>
        <w:rPr>
          <w:rStyle w:val="FootnoteReference"/>
        </w:rPr>
        <w:footnoteRef/>
      </w:r>
      <w:r>
        <w:t xml:space="preserve"> </w:t>
      </w:r>
      <w:r w:rsidR="005168B5" w:rsidRPr="00A95179">
        <w:t xml:space="preserve">PGE </w:t>
      </w:r>
      <w:r w:rsidR="005168B5">
        <w:t>June 13, 2025 response to Transparency Ruling at 10</w:t>
      </w:r>
      <w:r>
        <w:t>.</w:t>
      </w:r>
    </w:p>
  </w:footnote>
  <w:footnote w:id="110">
    <w:p w14:paraId="010B5BFD" w14:textId="75E79BD2" w:rsidR="00C969E2" w:rsidRPr="001B7F42" w:rsidRDefault="00C969E2" w:rsidP="00C969E2">
      <w:pPr>
        <w:pStyle w:val="FootnoteText"/>
      </w:pPr>
      <w:r>
        <w:rPr>
          <w:rStyle w:val="FootnoteReference"/>
        </w:rPr>
        <w:footnoteRef/>
      </w:r>
      <w:r w:rsidRPr="001B7F42">
        <w:t xml:space="preserve"> PG&amp;E </w:t>
      </w:r>
      <w:r w:rsidR="001B7F42">
        <w:rPr>
          <w:lang w:val="en-ZW"/>
        </w:rPr>
        <w:t>Opening Comments on Next Steps Ruling</w:t>
      </w:r>
      <w:r w:rsidR="001B7F42" w:rsidDel="00F8284E">
        <w:rPr>
          <w:lang w:val="en-ZW"/>
        </w:rPr>
        <w:t xml:space="preserve"> </w:t>
      </w:r>
      <w:r w:rsidR="001B7F42" w:rsidRPr="00CC0888">
        <w:t>a</w:t>
      </w:r>
      <w:r w:rsidR="001B7F42">
        <w:t>t</w:t>
      </w:r>
      <w:r w:rsidRPr="001B7F42">
        <w:t xml:space="preserve"> 4.</w:t>
      </w:r>
    </w:p>
  </w:footnote>
  <w:footnote w:id="111">
    <w:p w14:paraId="57E0334B" w14:textId="4A1CB5FC" w:rsidR="00CD338F" w:rsidRPr="00A95179" w:rsidRDefault="00CD338F">
      <w:pPr>
        <w:pStyle w:val="FootnoteText"/>
      </w:pPr>
      <w:r>
        <w:rPr>
          <w:rStyle w:val="FootnoteReference"/>
        </w:rPr>
        <w:footnoteRef/>
      </w:r>
      <w:r w:rsidRPr="00A95179">
        <w:t xml:space="preserve"> PGE </w:t>
      </w:r>
      <w:r w:rsidR="00A95179">
        <w:t xml:space="preserve">June 13, 2025 response to Transparency Ruling at </w:t>
      </w:r>
      <w:r w:rsidR="00DF75D7" w:rsidRPr="00A95179">
        <w:t>7.</w:t>
      </w:r>
    </w:p>
  </w:footnote>
  <w:footnote w:id="112">
    <w:p w14:paraId="0FE5C3A0" w14:textId="77777777" w:rsidR="003641B2" w:rsidRDefault="003641B2" w:rsidP="003641B2">
      <w:pPr>
        <w:pStyle w:val="FootnoteText"/>
      </w:pPr>
      <w:r>
        <w:rPr>
          <w:rStyle w:val="FootnoteReference"/>
        </w:rPr>
        <w:footnoteRef/>
      </w:r>
      <w:r>
        <w:t xml:space="preserve"> SCE’s June 13, 2025 Response to Transparency Ruling at 5.</w:t>
      </w:r>
    </w:p>
  </w:footnote>
  <w:footnote w:id="113">
    <w:p w14:paraId="126CB31D" w14:textId="3D678DA8" w:rsidR="008D3A39" w:rsidRDefault="008D3A39" w:rsidP="008D3A39">
      <w:pPr>
        <w:pStyle w:val="FootnoteText"/>
      </w:pPr>
      <w:r>
        <w:rPr>
          <w:rStyle w:val="FootnoteReference"/>
        </w:rPr>
        <w:footnoteRef/>
      </w:r>
      <w:r>
        <w:t xml:space="preserve"> </w:t>
      </w:r>
      <w:r w:rsidR="000E4100">
        <w:t xml:space="preserve">SCE’s May </w:t>
      </w:r>
      <w:r w:rsidR="00FF6B23">
        <w:t>30</w:t>
      </w:r>
      <w:r w:rsidR="000E4100">
        <w:t xml:space="preserve">, 2025 Response to Transparency Ruling at </w:t>
      </w:r>
      <w:r w:rsidR="00FF6B23">
        <w:t>2-3</w:t>
      </w:r>
      <w:r w:rsidR="000E4100">
        <w:t>.</w:t>
      </w:r>
    </w:p>
  </w:footnote>
  <w:footnote w:id="114">
    <w:p w14:paraId="466EC4B7" w14:textId="24EAE562" w:rsidR="0021514F" w:rsidRDefault="0021514F">
      <w:pPr>
        <w:pStyle w:val="FootnoteText"/>
      </w:pPr>
      <w:r>
        <w:rPr>
          <w:rStyle w:val="FootnoteReference"/>
        </w:rPr>
        <w:footnoteRef/>
      </w:r>
      <w:r>
        <w:t xml:space="preserve"> PG&amp;E </w:t>
      </w:r>
      <w:r w:rsidR="00A95179">
        <w:t xml:space="preserve">June 13, 2025 response to Transparency Ruling at </w:t>
      </w:r>
      <w:r w:rsidR="002651DA">
        <w:t>7.</w:t>
      </w:r>
    </w:p>
  </w:footnote>
  <w:footnote w:id="115">
    <w:p w14:paraId="3329DA54" w14:textId="66442F77" w:rsidR="00BD4A7F" w:rsidRDefault="00BD4A7F">
      <w:pPr>
        <w:pStyle w:val="FootnoteText"/>
      </w:pPr>
      <w:r>
        <w:rPr>
          <w:rStyle w:val="FootnoteReference"/>
        </w:rPr>
        <w:footnoteRef/>
      </w:r>
      <w:r>
        <w:t xml:space="preserve"> </w:t>
      </w:r>
      <w:r w:rsidR="004373CB" w:rsidRPr="00A95179">
        <w:t xml:space="preserve">PGE </w:t>
      </w:r>
      <w:r w:rsidR="004373CB">
        <w:t>June 13, 2025 response to Transparency Ruling at 3</w:t>
      </w:r>
      <w:r w:rsidR="00D43E95">
        <w:t>.</w:t>
      </w:r>
    </w:p>
  </w:footnote>
  <w:footnote w:id="116">
    <w:p w14:paraId="7F17516A" w14:textId="441A8695" w:rsidR="009548E0" w:rsidRDefault="009548E0">
      <w:pPr>
        <w:pStyle w:val="FootnoteText"/>
      </w:pPr>
      <w:r>
        <w:rPr>
          <w:rStyle w:val="FootnoteReference"/>
        </w:rPr>
        <w:footnoteRef/>
      </w:r>
      <w:r>
        <w:t xml:space="preserve"> PG&amp;E </w:t>
      </w:r>
      <w:r w:rsidR="00A95179">
        <w:t xml:space="preserve">June 13, 2025 response to Transparency Ruling at </w:t>
      </w:r>
      <w:r>
        <w:t>7.</w:t>
      </w:r>
    </w:p>
  </w:footnote>
  <w:footnote w:id="117">
    <w:p w14:paraId="3DF03FF6" w14:textId="2A8E66DA" w:rsidR="00A27DCF" w:rsidRDefault="00A27DCF">
      <w:pPr>
        <w:pStyle w:val="FootnoteText"/>
      </w:pPr>
      <w:r>
        <w:rPr>
          <w:rStyle w:val="FootnoteReference"/>
        </w:rPr>
        <w:footnoteRef/>
      </w:r>
      <w:r>
        <w:t xml:space="preserve"> </w:t>
      </w:r>
      <w:r w:rsidR="00A95179">
        <w:t xml:space="preserve">PG&amp;E Tariff </w:t>
      </w:r>
      <w:r>
        <w:t xml:space="preserve">Rule 2 at </w:t>
      </w:r>
      <w:r w:rsidR="000C1B14">
        <w:t>8-</w:t>
      </w:r>
      <w:r w:rsidR="006E66EB">
        <w:t>9.</w:t>
      </w:r>
      <w:r>
        <w:t xml:space="preserve"> </w:t>
      </w:r>
    </w:p>
  </w:footnote>
  <w:footnote w:id="118">
    <w:p w14:paraId="7FF67EA2" w14:textId="60DDD985" w:rsidR="00FE471D" w:rsidRPr="001404DD" w:rsidRDefault="00FE471D" w:rsidP="00FE471D">
      <w:pPr>
        <w:pStyle w:val="FootnoteText"/>
      </w:pPr>
      <w:r>
        <w:rPr>
          <w:rStyle w:val="FootnoteReference"/>
        </w:rPr>
        <w:footnoteRef/>
      </w:r>
      <w:r w:rsidRPr="001404DD">
        <w:t xml:space="preserve"> EDF </w:t>
      </w:r>
      <w:r w:rsidR="001B7F42">
        <w:rPr>
          <w:lang w:val="en-ZW"/>
        </w:rPr>
        <w:t>Opening Comments on Next Steps Ruling</w:t>
      </w:r>
      <w:r w:rsidR="001B7F42" w:rsidDel="00F8284E">
        <w:rPr>
          <w:lang w:val="en-ZW"/>
        </w:rPr>
        <w:t xml:space="preserve"> </w:t>
      </w:r>
      <w:r w:rsidRPr="00966271">
        <w:t>at</w:t>
      </w:r>
      <w:r>
        <w:t xml:space="preserve"> 16</w:t>
      </w:r>
      <w:r w:rsidR="008A67B2">
        <w:t xml:space="preserve">; Enphase </w:t>
      </w:r>
      <w:r w:rsidR="00DA787D">
        <w:rPr>
          <w:lang w:val="en-ZW"/>
        </w:rPr>
        <w:t>Opening Comments on Next Steps Ruling</w:t>
      </w:r>
      <w:r w:rsidR="00DA787D" w:rsidDel="00F8284E">
        <w:rPr>
          <w:lang w:val="en-ZW"/>
        </w:rPr>
        <w:t xml:space="preserve"> </w:t>
      </w:r>
      <w:r w:rsidR="00DA787D" w:rsidRPr="00CC0888">
        <w:t>a</w:t>
      </w:r>
      <w:r w:rsidR="00DA787D">
        <w:t>t</w:t>
      </w:r>
      <w:r w:rsidR="008A67B2">
        <w:t xml:space="preserve"> 5.</w:t>
      </w:r>
    </w:p>
  </w:footnote>
  <w:footnote w:id="119">
    <w:p w14:paraId="2EA32D82" w14:textId="68581371" w:rsidR="00FE538A" w:rsidRDefault="00FE538A">
      <w:pPr>
        <w:pStyle w:val="FootnoteText"/>
      </w:pPr>
      <w:r>
        <w:rPr>
          <w:rStyle w:val="FootnoteReference"/>
        </w:rPr>
        <w:footnoteRef/>
      </w:r>
      <w:r>
        <w:t xml:space="preserve"> PG&amp;E Rule </w:t>
      </w:r>
      <w:r w:rsidRPr="00A220E3">
        <w:t xml:space="preserve">2 at </w:t>
      </w:r>
      <w:r w:rsidR="00A220E3" w:rsidRPr="00A220E3">
        <w:t>20</w:t>
      </w:r>
      <w:r w:rsidRPr="00A220E3">
        <w:t>.</w:t>
      </w:r>
    </w:p>
  </w:footnote>
  <w:footnote w:id="120">
    <w:p w14:paraId="5F4F04B6" w14:textId="77777777" w:rsidR="004C05CF" w:rsidRDefault="004C05CF" w:rsidP="004C05CF">
      <w:pPr>
        <w:pStyle w:val="FootnoteText"/>
      </w:pPr>
      <w:r>
        <w:rPr>
          <w:rStyle w:val="FootnoteReference"/>
        </w:rPr>
        <w:footnoteRef/>
      </w:r>
      <w:r>
        <w:t xml:space="preserve"> PG&amp;E’s June 13, 2025 Response to Transparency Ruling at 6-7.</w:t>
      </w:r>
    </w:p>
  </w:footnote>
  <w:footnote w:id="121">
    <w:p w14:paraId="1BDEFAAB" w14:textId="2FD0A602" w:rsidR="000D10E8" w:rsidRDefault="000D10E8">
      <w:pPr>
        <w:pStyle w:val="FootnoteText"/>
      </w:pPr>
      <w:r>
        <w:rPr>
          <w:rStyle w:val="FootnoteReference"/>
        </w:rPr>
        <w:footnoteRef/>
      </w:r>
      <w:r>
        <w:t xml:space="preserve"> PG&amp;E</w:t>
      </w:r>
      <w:r w:rsidR="006B01A8">
        <w:t>’s June 13, 2025 Response to Transparency Ruling at 6, fn 2.</w:t>
      </w:r>
    </w:p>
  </w:footnote>
  <w:footnote w:id="122">
    <w:p w14:paraId="12747864" w14:textId="70903E75" w:rsidR="00433065" w:rsidRPr="0090727C" w:rsidRDefault="00433065" w:rsidP="00433065">
      <w:pPr>
        <w:pStyle w:val="FootnoteText"/>
        <w:rPr>
          <w:lang w:val="en-ZW"/>
        </w:rPr>
      </w:pPr>
      <w:r>
        <w:rPr>
          <w:rStyle w:val="FootnoteReference"/>
        </w:rPr>
        <w:footnoteRef/>
      </w:r>
      <w:r>
        <w:t xml:space="preserve"> </w:t>
      </w:r>
      <w:r>
        <w:rPr>
          <w:lang w:val="en-ZW"/>
        </w:rPr>
        <w:t xml:space="preserve">EDF </w:t>
      </w:r>
      <w:r w:rsidR="00DA787D">
        <w:rPr>
          <w:lang w:val="en-ZW"/>
        </w:rPr>
        <w:t>Opening Comments on Next Steps Ruling</w:t>
      </w:r>
      <w:r w:rsidR="00D43E95">
        <w:rPr>
          <w:lang w:val="en-ZW"/>
        </w:rPr>
        <w:t xml:space="preserve"> </w:t>
      </w:r>
      <w:r>
        <w:rPr>
          <w:lang w:val="en-ZW"/>
        </w:rPr>
        <w:t>at 9-10.</w:t>
      </w:r>
    </w:p>
  </w:footnote>
  <w:footnote w:id="123">
    <w:p w14:paraId="193B5FEF" w14:textId="493AD665" w:rsidR="00433065" w:rsidRPr="00F26B79" w:rsidRDefault="00433065" w:rsidP="00433065">
      <w:pPr>
        <w:pStyle w:val="FootnoteText"/>
        <w:rPr>
          <w:lang w:val="en-ZW"/>
        </w:rPr>
      </w:pPr>
      <w:r>
        <w:rPr>
          <w:rStyle w:val="FootnoteReference"/>
        </w:rPr>
        <w:footnoteRef/>
      </w:r>
      <w:r>
        <w:t xml:space="preserve"> </w:t>
      </w:r>
      <w:r>
        <w:rPr>
          <w:lang w:val="en-ZW"/>
        </w:rPr>
        <w:t>C</w:t>
      </w:r>
      <w:r w:rsidR="00DA787D">
        <w:rPr>
          <w:lang w:val="en-ZW"/>
        </w:rPr>
        <w:t xml:space="preserve">lean </w:t>
      </w:r>
      <w:r>
        <w:rPr>
          <w:lang w:val="en-ZW"/>
        </w:rPr>
        <w:t>C</w:t>
      </w:r>
      <w:r w:rsidR="00DA787D">
        <w:rPr>
          <w:lang w:val="en-ZW"/>
        </w:rPr>
        <w:t>oalition Opening Comments on Next Steps Ruling</w:t>
      </w:r>
      <w:r w:rsidR="00DA787D" w:rsidDel="00F8284E">
        <w:rPr>
          <w:lang w:val="en-ZW"/>
        </w:rPr>
        <w:t xml:space="preserve"> </w:t>
      </w:r>
      <w:r>
        <w:rPr>
          <w:lang w:val="en-ZW"/>
        </w:rPr>
        <w:t>at 5.</w:t>
      </w:r>
    </w:p>
  </w:footnote>
  <w:footnote w:id="124">
    <w:p w14:paraId="15DC11DE" w14:textId="68B90BC8" w:rsidR="00433065" w:rsidRPr="00FE1E14" w:rsidRDefault="00433065" w:rsidP="00433065">
      <w:pPr>
        <w:pStyle w:val="FootnoteText"/>
        <w:rPr>
          <w:lang w:val="en-ZW"/>
        </w:rPr>
      </w:pPr>
      <w:r>
        <w:rPr>
          <w:rStyle w:val="FootnoteReference"/>
        </w:rPr>
        <w:footnoteRef/>
      </w:r>
      <w:r>
        <w:t xml:space="preserve"> </w:t>
      </w:r>
      <w:r>
        <w:rPr>
          <w:lang w:val="en-ZW"/>
        </w:rPr>
        <w:t xml:space="preserve">EDF </w:t>
      </w:r>
      <w:r w:rsidR="00DA787D">
        <w:rPr>
          <w:lang w:val="en-ZW"/>
        </w:rPr>
        <w:t>Opening Comments on Next Steps Ruling</w:t>
      </w:r>
      <w:r w:rsidR="00DA787D" w:rsidDel="00F8284E">
        <w:rPr>
          <w:lang w:val="en-ZW"/>
        </w:rPr>
        <w:t xml:space="preserve"> </w:t>
      </w:r>
      <w:r w:rsidR="00DA787D" w:rsidRPr="00CC0888">
        <w:t>a</w:t>
      </w:r>
      <w:r w:rsidR="00DA787D">
        <w:t>t</w:t>
      </w:r>
      <w:r w:rsidR="00D43E95">
        <w:t xml:space="preserve"> </w:t>
      </w:r>
      <w:r>
        <w:rPr>
          <w:lang w:val="en-ZW"/>
        </w:rPr>
        <w:t>16.</w:t>
      </w:r>
    </w:p>
  </w:footnote>
  <w:footnote w:id="125">
    <w:p w14:paraId="36A63469" w14:textId="32D89C9E" w:rsidR="00433065" w:rsidRPr="0090727C" w:rsidRDefault="00433065" w:rsidP="00433065">
      <w:pPr>
        <w:pStyle w:val="FootnoteText"/>
        <w:rPr>
          <w:lang w:val="en-ZW"/>
        </w:rPr>
      </w:pPr>
      <w:r>
        <w:rPr>
          <w:rStyle w:val="FootnoteReference"/>
        </w:rPr>
        <w:footnoteRef/>
      </w:r>
      <w:r>
        <w:t xml:space="preserve"> </w:t>
      </w:r>
      <w:r>
        <w:rPr>
          <w:lang w:val="en-ZW"/>
        </w:rPr>
        <w:t xml:space="preserve">EDF </w:t>
      </w:r>
      <w:r w:rsidR="00DA787D">
        <w:rPr>
          <w:lang w:val="en-ZW"/>
        </w:rPr>
        <w:t>Opening Comments on Next Steps Ruling</w:t>
      </w:r>
      <w:r w:rsidR="00DA787D" w:rsidDel="00F8284E">
        <w:rPr>
          <w:lang w:val="en-ZW"/>
        </w:rPr>
        <w:t xml:space="preserve"> </w:t>
      </w:r>
      <w:r>
        <w:rPr>
          <w:lang w:val="en-ZW"/>
        </w:rPr>
        <w:t>at 9-10.</w:t>
      </w:r>
    </w:p>
  </w:footnote>
  <w:footnote w:id="126">
    <w:p w14:paraId="213573EB" w14:textId="39EEB5BC" w:rsidR="00433065" w:rsidRPr="00000F5A" w:rsidRDefault="00433065" w:rsidP="00433065">
      <w:pPr>
        <w:pStyle w:val="FootnoteText"/>
        <w:rPr>
          <w:lang w:val="en-ZW"/>
        </w:rPr>
      </w:pPr>
      <w:r>
        <w:rPr>
          <w:rStyle w:val="FootnoteReference"/>
        </w:rPr>
        <w:footnoteRef/>
      </w:r>
      <w:r>
        <w:t xml:space="preserve"> </w:t>
      </w:r>
      <w:r>
        <w:rPr>
          <w:lang w:val="en-ZW"/>
        </w:rPr>
        <w:t xml:space="preserve">PGE </w:t>
      </w:r>
      <w:r w:rsidR="00DA787D">
        <w:rPr>
          <w:lang w:val="en-ZW"/>
        </w:rPr>
        <w:t xml:space="preserve">Opening Comments on Next Steps </w:t>
      </w:r>
      <w:r w:rsidR="00DA787D" w:rsidRPr="00000F5A">
        <w:rPr>
          <w:lang w:val="en-ZW"/>
        </w:rPr>
        <w:t>Ruling</w:t>
      </w:r>
      <w:r w:rsidR="00DA787D" w:rsidRPr="00000F5A" w:rsidDel="00F8284E">
        <w:rPr>
          <w:lang w:val="en-ZW"/>
        </w:rPr>
        <w:t xml:space="preserve"> </w:t>
      </w:r>
      <w:r w:rsidR="00DA787D" w:rsidRPr="002B51C8">
        <w:t>at</w:t>
      </w:r>
      <w:r w:rsidR="00BC2E8A" w:rsidRPr="002B51C8">
        <w:t xml:space="preserve"> </w:t>
      </w:r>
      <w:r w:rsidR="00C73159" w:rsidRPr="002B51C8">
        <w:t>6-7</w:t>
      </w:r>
      <w:r w:rsidR="00BC2E8A" w:rsidRPr="002B51C8">
        <w:t>.</w:t>
      </w:r>
    </w:p>
  </w:footnote>
  <w:footnote w:id="127">
    <w:p w14:paraId="1AACB4B2" w14:textId="15BEAECA" w:rsidR="00433065" w:rsidRPr="00935A3E" w:rsidRDefault="00433065" w:rsidP="00433065">
      <w:pPr>
        <w:pStyle w:val="FootnoteText"/>
        <w:rPr>
          <w:lang w:val="en-ZW"/>
        </w:rPr>
      </w:pPr>
      <w:r w:rsidRPr="00000F5A">
        <w:rPr>
          <w:rStyle w:val="FootnoteReference"/>
        </w:rPr>
        <w:footnoteRef/>
      </w:r>
      <w:r w:rsidRPr="00000F5A">
        <w:t xml:space="preserve"> </w:t>
      </w:r>
      <w:r w:rsidRPr="00000F5A">
        <w:rPr>
          <w:lang w:val="en-ZW"/>
        </w:rPr>
        <w:t xml:space="preserve">SCE </w:t>
      </w:r>
      <w:r w:rsidR="00DA787D" w:rsidRPr="00000F5A">
        <w:rPr>
          <w:lang w:val="en-ZW"/>
        </w:rPr>
        <w:t>Opening Comments on Next Steps Ruling</w:t>
      </w:r>
      <w:r w:rsidR="00DA787D" w:rsidRPr="00000F5A" w:rsidDel="00F8284E">
        <w:rPr>
          <w:lang w:val="en-ZW"/>
        </w:rPr>
        <w:t xml:space="preserve"> </w:t>
      </w:r>
      <w:r w:rsidR="00DA787D" w:rsidRPr="002B51C8">
        <w:t>at</w:t>
      </w:r>
      <w:r w:rsidR="00BC2E8A" w:rsidRPr="002B51C8">
        <w:t xml:space="preserve"> </w:t>
      </w:r>
      <w:r w:rsidR="00000F5A" w:rsidRPr="002B51C8">
        <w:t>9</w:t>
      </w:r>
      <w:r w:rsidR="002E2BAC" w:rsidRPr="002B51C8">
        <w:t>-10</w:t>
      </w:r>
      <w:r w:rsidR="00BC2E8A" w:rsidRPr="002B51C8">
        <w:t>.</w:t>
      </w:r>
    </w:p>
  </w:footnote>
  <w:footnote w:id="128">
    <w:p w14:paraId="75683FBE" w14:textId="4A82236A" w:rsidR="00304A18" w:rsidRPr="00EA36F4" w:rsidRDefault="00304A18" w:rsidP="00304A18">
      <w:pPr>
        <w:pStyle w:val="FootnoteText"/>
        <w:rPr>
          <w:lang w:val="en-ZW"/>
        </w:rPr>
      </w:pPr>
      <w:r>
        <w:rPr>
          <w:rStyle w:val="FootnoteReference"/>
        </w:rPr>
        <w:footnoteRef/>
      </w:r>
      <w:r>
        <w:t xml:space="preserve"> </w:t>
      </w:r>
      <w:r>
        <w:rPr>
          <w:lang w:val="en-ZW"/>
        </w:rPr>
        <w:t xml:space="preserve">PACT </w:t>
      </w:r>
      <w:r w:rsidR="00504902">
        <w:rPr>
          <w:lang w:val="en-ZW"/>
        </w:rPr>
        <w:t>Opening Comments on Next Steps Ruling</w:t>
      </w:r>
      <w:r w:rsidR="00504902" w:rsidDel="00F8284E">
        <w:rPr>
          <w:lang w:val="en-ZW"/>
        </w:rPr>
        <w:t xml:space="preserve"> </w:t>
      </w:r>
      <w:r>
        <w:rPr>
          <w:lang w:val="en-ZW"/>
        </w:rPr>
        <w:t>at</w:t>
      </w:r>
      <w:r w:rsidR="001112DE">
        <w:rPr>
          <w:lang w:val="en-ZW"/>
        </w:rPr>
        <w:t xml:space="preserve"> </w:t>
      </w:r>
      <w:r>
        <w:rPr>
          <w:lang w:val="en-ZW"/>
        </w:rPr>
        <w:t>8.</w:t>
      </w:r>
    </w:p>
  </w:footnote>
  <w:footnote w:id="129">
    <w:p w14:paraId="4739B1AA" w14:textId="6C2F13D0" w:rsidR="00304A18" w:rsidRPr="009E1F11" w:rsidRDefault="00304A18" w:rsidP="00304A18">
      <w:pPr>
        <w:pStyle w:val="FootnoteText"/>
        <w:rPr>
          <w:lang w:val="en-ZW"/>
        </w:rPr>
      </w:pPr>
      <w:r>
        <w:rPr>
          <w:rStyle w:val="FootnoteReference"/>
        </w:rPr>
        <w:footnoteRef/>
      </w:r>
      <w:r>
        <w:t xml:space="preserve"> </w:t>
      </w:r>
      <w:r>
        <w:rPr>
          <w:lang w:val="en-ZW"/>
        </w:rPr>
        <w:t>IR</w:t>
      </w:r>
      <w:r w:rsidR="00C00A15">
        <w:rPr>
          <w:lang w:val="en-ZW"/>
        </w:rPr>
        <w:t>E</w:t>
      </w:r>
      <w:r>
        <w:rPr>
          <w:lang w:val="en-ZW"/>
        </w:rPr>
        <w:t xml:space="preserve">C </w:t>
      </w:r>
      <w:r w:rsidR="00504902">
        <w:rPr>
          <w:lang w:val="en-ZW"/>
        </w:rPr>
        <w:t xml:space="preserve">Opening Comments on Next Steps Ruling </w:t>
      </w:r>
      <w:r>
        <w:rPr>
          <w:lang w:val="en-ZW"/>
        </w:rPr>
        <w:t>at 19</w:t>
      </w:r>
      <w:r w:rsidR="00D43E95">
        <w:rPr>
          <w:lang w:val="en-ZW"/>
        </w:rPr>
        <w:t>.</w:t>
      </w:r>
      <w:r>
        <w:rPr>
          <w:lang w:val="en-ZW"/>
        </w:rPr>
        <w:t xml:space="preserve"> </w:t>
      </w:r>
    </w:p>
  </w:footnote>
  <w:footnote w:id="130">
    <w:p w14:paraId="0B618EB1" w14:textId="6517F88A" w:rsidR="00304A18" w:rsidRPr="00B22E03" w:rsidRDefault="00304A18" w:rsidP="00304A18">
      <w:pPr>
        <w:pStyle w:val="FootnoteText"/>
        <w:rPr>
          <w:lang w:val="en-ZW"/>
        </w:rPr>
      </w:pPr>
      <w:r>
        <w:rPr>
          <w:rStyle w:val="FootnoteReference"/>
        </w:rPr>
        <w:footnoteRef/>
      </w:r>
      <w:r>
        <w:t xml:space="preserve"> </w:t>
      </w:r>
      <w:r w:rsidR="00F143AF" w:rsidRPr="002B51C8">
        <w:t>IREC</w:t>
      </w:r>
      <w:r w:rsidR="00F143AF" w:rsidRPr="002B51C8">
        <w:rPr>
          <w:lang w:val="en-ZW"/>
        </w:rPr>
        <w:t xml:space="preserve"> </w:t>
      </w:r>
      <w:r w:rsidR="00F143AF" w:rsidRPr="0023227F">
        <w:rPr>
          <w:lang w:val="en-ZW"/>
        </w:rPr>
        <w:t>Opening Comments on Next Steps Ruling</w:t>
      </w:r>
      <w:r w:rsidR="00F143AF" w:rsidRPr="0023227F" w:rsidDel="00F8284E">
        <w:rPr>
          <w:lang w:val="en-ZW"/>
        </w:rPr>
        <w:t xml:space="preserve"> </w:t>
      </w:r>
      <w:r w:rsidR="00F143AF" w:rsidRPr="002B51C8">
        <w:rPr>
          <w:lang w:val="en-ZW"/>
        </w:rPr>
        <w:t>at 21-23.</w:t>
      </w:r>
    </w:p>
  </w:footnote>
  <w:footnote w:id="131">
    <w:p w14:paraId="38ABDE2A" w14:textId="23ED4D39" w:rsidR="00304A18" w:rsidRPr="00304199" w:rsidRDefault="00304A18" w:rsidP="00304A18">
      <w:pPr>
        <w:pStyle w:val="FootnoteText"/>
        <w:rPr>
          <w:lang w:val="en-ZW"/>
        </w:rPr>
      </w:pPr>
      <w:r>
        <w:rPr>
          <w:rStyle w:val="FootnoteReference"/>
        </w:rPr>
        <w:footnoteRef/>
      </w:r>
      <w:r>
        <w:t xml:space="preserve"> </w:t>
      </w:r>
      <w:r w:rsidRPr="00441992">
        <w:rPr>
          <w:lang w:val="en-ZW"/>
        </w:rPr>
        <w:t xml:space="preserve">PGE </w:t>
      </w:r>
      <w:r w:rsidR="00504902">
        <w:rPr>
          <w:lang w:val="en-ZW"/>
        </w:rPr>
        <w:t>Opening Comments on Next Steps Ruling</w:t>
      </w:r>
      <w:r w:rsidR="00504902" w:rsidDel="00F8284E">
        <w:rPr>
          <w:lang w:val="en-ZW"/>
        </w:rPr>
        <w:t xml:space="preserve"> </w:t>
      </w:r>
      <w:r w:rsidRPr="00441992">
        <w:rPr>
          <w:lang w:val="en-ZW"/>
        </w:rPr>
        <w:t xml:space="preserve">at </w:t>
      </w:r>
      <w:r>
        <w:rPr>
          <w:lang w:val="en-ZW"/>
        </w:rPr>
        <w:t xml:space="preserve">7; </w:t>
      </w:r>
      <w:r w:rsidRPr="005B508A">
        <w:rPr>
          <w:lang w:val="en-ZW"/>
        </w:rPr>
        <w:t>VG</w:t>
      </w:r>
      <w:r w:rsidRPr="005B508A">
        <w:t xml:space="preserve">IC </w:t>
      </w:r>
      <w:r w:rsidR="00504902">
        <w:rPr>
          <w:lang w:val="en-ZW"/>
        </w:rPr>
        <w:t>Opening Comments on Next Steps Ruling</w:t>
      </w:r>
      <w:r w:rsidR="00504902" w:rsidDel="00F8284E">
        <w:rPr>
          <w:lang w:val="en-ZW"/>
        </w:rPr>
        <w:t xml:space="preserve"> </w:t>
      </w:r>
      <w:r w:rsidRPr="005B508A">
        <w:t xml:space="preserve">at </w:t>
      </w:r>
      <w:r>
        <w:t>12.</w:t>
      </w:r>
      <w:r>
        <w:rPr>
          <w:lang w:val="en-ZW"/>
        </w:rPr>
        <w:t xml:space="preserve"> </w:t>
      </w:r>
    </w:p>
  </w:footnote>
  <w:footnote w:id="132">
    <w:p w14:paraId="30292762" w14:textId="07C05460" w:rsidR="00625BE6" w:rsidRPr="001E0D7D" w:rsidRDefault="00625BE6" w:rsidP="00625BE6">
      <w:pPr>
        <w:pStyle w:val="FootnoteText"/>
        <w:rPr>
          <w:lang w:val="en-ZW"/>
        </w:rPr>
      </w:pPr>
      <w:r w:rsidRPr="0023227F">
        <w:rPr>
          <w:rStyle w:val="FootnoteReference"/>
        </w:rPr>
        <w:footnoteRef/>
      </w:r>
      <w:r w:rsidRPr="0023227F">
        <w:t xml:space="preserve"> </w:t>
      </w:r>
      <w:r w:rsidR="008C7306" w:rsidRPr="002B51C8">
        <w:rPr>
          <w:lang w:val="en-ZW"/>
        </w:rPr>
        <w:t xml:space="preserve">PG&amp;E </w:t>
      </w:r>
      <w:r w:rsidR="00504902" w:rsidRPr="0023227F">
        <w:rPr>
          <w:lang w:val="en-ZW"/>
        </w:rPr>
        <w:t>Opening Comments on Next Steps Ruling</w:t>
      </w:r>
      <w:r w:rsidR="00504902" w:rsidRPr="0023227F" w:rsidDel="00F8284E">
        <w:rPr>
          <w:lang w:val="en-ZW"/>
        </w:rPr>
        <w:t xml:space="preserve"> </w:t>
      </w:r>
      <w:r w:rsidR="00B814CC" w:rsidRPr="002B51C8">
        <w:rPr>
          <w:lang w:val="en-ZW"/>
        </w:rPr>
        <w:t xml:space="preserve">at </w:t>
      </w:r>
      <w:r w:rsidR="008C7306" w:rsidRPr="002B51C8">
        <w:rPr>
          <w:lang w:val="en-ZW"/>
        </w:rPr>
        <w:t>8</w:t>
      </w:r>
      <w:r w:rsidRPr="002B51C8">
        <w:rPr>
          <w:lang w:val="en-ZW"/>
        </w:rPr>
        <w:t>.</w:t>
      </w:r>
    </w:p>
  </w:footnote>
  <w:footnote w:id="133">
    <w:p w14:paraId="35D89E90" w14:textId="04146B95" w:rsidR="00625BE6" w:rsidRPr="003F30B8" w:rsidRDefault="00625BE6" w:rsidP="00625BE6">
      <w:pPr>
        <w:pStyle w:val="FootnoteText"/>
        <w:rPr>
          <w:lang w:val="en-ZW"/>
        </w:rPr>
      </w:pPr>
      <w:r>
        <w:rPr>
          <w:rStyle w:val="FootnoteReference"/>
        </w:rPr>
        <w:footnoteRef/>
      </w:r>
      <w:r>
        <w:t xml:space="preserve"> </w:t>
      </w:r>
      <w:r w:rsidRPr="00441992">
        <w:rPr>
          <w:lang w:val="en-ZW"/>
        </w:rPr>
        <w:t xml:space="preserve">PGE </w:t>
      </w:r>
      <w:r w:rsidR="00504902">
        <w:rPr>
          <w:lang w:val="en-ZW"/>
        </w:rPr>
        <w:t>Opening Comments on Next Steps Ruling</w:t>
      </w:r>
      <w:r w:rsidR="00504902" w:rsidDel="00F8284E">
        <w:rPr>
          <w:lang w:val="en-ZW"/>
        </w:rPr>
        <w:t xml:space="preserve"> </w:t>
      </w:r>
      <w:r w:rsidR="00504902" w:rsidRPr="00CC0888">
        <w:t>a</w:t>
      </w:r>
      <w:r w:rsidR="00504902">
        <w:t>t</w:t>
      </w:r>
      <w:r w:rsidR="0023227F">
        <w:t xml:space="preserve"> </w:t>
      </w:r>
      <w:r>
        <w:rPr>
          <w:lang w:val="en-ZW"/>
        </w:rPr>
        <w:t xml:space="preserve">7; </w:t>
      </w:r>
      <w:r w:rsidRPr="005B508A">
        <w:rPr>
          <w:lang w:val="en-ZW"/>
        </w:rPr>
        <w:t>VG</w:t>
      </w:r>
      <w:r w:rsidRPr="005B508A">
        <w:t xml:space="preserve">IC </w:t>
      </w:r>
      <w:r w:rsidR="00504902">
        <w:rPr>
          <w:lang w:val="en-ZW"/>
        </w:rPr>
        <w:t>Opening Comments on Next Steps Ruling</w:t>
      </w:r>
      <w:r w:rsidR="00504902" w:rsidDel="00F8284E">
        <w:rPr>
          <w:lang w:val="en-ZW"/>
        </w:rPr>
        <w:t xml:space="preserve"> </w:t>
      </w:r>
      <w:r w:rsidR="00504902" w:rsidRPr="00CC0888">
        <w:t>a</w:t>
      </w:r>
      <w:r w:rsidR="00504902">
        <w:t>t</w:t>
      </w:r>
      <w:r w:rsidR="00D43E95">
        <w:t xml:space="preserve"> </w:t>
      </w:r>
      <w:r>
        <w:t>12.</w:t>
      </w:r>
    </w:p>
  </w:footnote>
  <w:footnote w:id="134">
    <w:p w14:paraId="0FD484FD" w14:textId="74AD05A8" w:rsidR="00FA6F36" w:rsidRPr="004053D2" w:rsidRDefault="00FA6F36" w:rsidP="00FA6F36">
      <w:pPr>
        <w:pStyle w:val="FootnoteText"/>
      </w:pPr>
      <w:r>
        <w:rPr>
          <w:rStyle w:val="FootnoteReference"/>
        </w:rPr>
        <w:footnoteRef/>
      </w:r>
      <w:r>
        <w:t xml:space="preserve"> </w:t>
      </w:r>
      <w:r w:rsidRPr="004053D2">
        <w:t xml:space="preserve">VGIC </w:t>
      </w:r>
      <w:r w:rsidR="00504902" w:rsidRPr="004053D2">
        <w:rPr>
          <w:lang w:val="en-ZW"/>
        </w:rPr>
        <w:t>Opening Comments on Next Steps Ruling</w:t>
      </w:r>
      <w:r w:rsidR="00504902" w:rsidRPr="004053D2" w:rsidDel="00F8284E">
        <w:rPr>
          <w:lang w:val="en-ZW"/>
        </w:rPr>
        <w:t xml:space="preserve"> </w:t>
      </w:r>
      <w:r w:rsidR="00504902" w:rsidRPr="004053D2">
        <w:t>at</w:t>
      </w:r>
      <w:r w:rsidR="00BC2E8A" w:rsidRPr="004053D2">
        <w:t xml:space="preserve"> </w:t>
      </w:r>
      <w:r w:rsidRPr="004053D2">
        <w:t>11.</w:t>
      </w:r>
    </w:p>
  </w:footnote>
  <w:footnote w:id="135">
    <w:p w14:paraId="5247CA7C" w14:textId="0B9016E8" w:rsidR="00625BE6" w:rsidRPr="00CE59A0" w:rsidRDefault="00625BE6" w:rsidP="00625BE6">
      <w:pPr>
        <w:pStyle w:val="FootnoteText"/>
        <w:rPr>
          <w:lang w:val="en-ZW"/>
        </w:rPr>
      </w:pPr>
      <w:r w:rsidRPr="004053D2">
        <w:rPr>
          <w:rStyle w:val="FootnoteReference"/>
        </w:rPr>
        <w:footnoteRef/>
      </w:r>
      <w:r w:rsidRPr="004053D2">
        <w:t xml:space="preserve"> </w:t>
      </w:r>
      <w:r w:rsidRPr="002B51C8">
        <w:rPr>
          <w:lang w:val="en-ZW"/>
        </w:rPr>
        <w:t xml:space="preserve">Clean </w:t>
      </w:r>
      <w:r w:rsidR="00252769" w:rsidRPr="002B51C8">
        <w:rPr>
          <w:lang w:val="en-ZW"/>
        </w:rPr>
        <w:t>C</w:t>
      </w:r>
      <w:r w:rsidRPr="002B51C8">
        <w:rPr>
          <w:lang w:val="en-ZW"/>
        </w:rPr>
        <w:t xml:space="preserve">oalition </w:t>
      </w:r>
      <w:r w:rsidR="004053D2" w:rsidRPr="004053D2">
        <w:rPr>
          <w:lang w:val="en-ZW"/>
        </w:rPr>
        <w:t>Opening Comments on Next Steps Ruling</w:t>
      </w:r>
      <w:r w:rsidR="004053D2" w:rsidRPr="004053D2" w:rsidDel="00F8284E">
        <w:rPr>
          <w:lang w:val="en-ZW"/>
        </w:rPr>
        <w:t xml:space="preserve"> </w:t>
      </w:r>
      <w:r w:rsidR="004053D2" w:rsidRPr="004053D2">
        <w:t>at 4</w:t>
      </w:r>
      <w:r w:rsidR="004053D2" w:rsidRPr="004053D2">
        <w:rPr>
          <w:lang w:val="en-ZW"/>
        </w:rPr>
        <w:t>.</w:t>
      </w:r>
    </w:p>
  </w:footnote>
  <w:footnote w:id="136">
    <w:p w14:paraId="4947E6E2" w14:textId="17588ADF" w:rsidR="00FE763A" w:rsidRDefault="00FE763A">
      <w:pPr>
        <w:pStyle w:val="FootnoteText"/>
      </w:pPr>
      <w:r>
        <w:rPr>
          <w:rStyle w:val="FootnoteReference"/>
        </w:rPr>
        <w:footnoteRef/>
      </w:r>
      <w:r>
        <w:t xml:space="preserve"> </w:t>
      </w:r>
      <w:r>
        <w:rPr>
          <w:lang w:val="en-ZW"/>
        </w:rPr>
        <w:t xml:space="preserve">PG&amp;E </w:t>
      </w:r>
      <w:r>
        <w:t xml:space="preserve">June 13, 2025 Response to Transparency Ruling </w:t>
      </w:r>
      <w:r>
        <w:rPr>
          <w:lang w:val="en-ZW"/>
        </w:rPr>
        <w:t xml:space="preserve">at </w:t>
      </w:r>
      <w:r>
        <w:t>3</w:t>
      </w:r>
      <w:r w:rsidR="00D47725">
        <w:t>.</w:t>
      </w:r>
    </w:p>
  </w:footnote>
  <w:footnote w:id="137">
    <w:p w14:paraId="435E9879" w14:textId="032EBEA7" w:rsidR="00F15AA2" w:rsidRDefault="00F15AA2">
      <w:pPr>
        <w:pStyle w:val="FootnoteText"/>
      </w:pPr>
      <w:r>
        <w:rPr>
          <w:rStyle w:val="FootnoteReference"/>
        </w:rPr>
        <w:footnoteRef/>
      </w:r>
      <w:r>
        <w:t xml:space="preserve"> </w:t>
      </w:r>
      <w:r w:rsidR="00FD044D">
        <w:t>IREC</w:t>
      </w:r>
      <w:r w:rsidR="00FE763A">
        <w:t xml:space="preserve"> Comment on Responses to Transparency Ruling at 8.</w:t>
      </w:r>
    </w:p>
  </w:footnote>
  <w:footnote w:id="138">
    <w:p w14:paraId="7727A5FB" w14:textId="155E31BC" w:rsidR="00425FE6" w:rsidRDefault="00425FE6">
      <w:pPr>
        <w:pStyle w:val="FootnoteText"/>
      </w:pPr>
      <w:r>
        <w:rPr>
          <w:rStyle w:val="FootnoteReference"/>
        </w:rPr>
        <w:footnoteRef/>
      </w:r>
      <w:r>
        <w:t xml:space="preserve"> IREC Comment on Responses to Transparency Ruling at 8.</w:t>
      </w:r>
    </w:p>
  </w:footnote>
  <w:footnote w:id="139">
    <w:p w14:paraId="715BC9F9" w14:textId="0CCC471C" w:rsidR="00625BE6" w:rsidRPr="00600364" w:rsidRDefault="00625BE6" w:rsidP="00625BE6">
      <w:pPr>
        <w:pStyle w:val="FootnoteText"/>
        <w:rPr>
          <w:lang w:val="en-ZW"/>
        </w:rPr>
      </w:pPr>
      <w:r>
        <w:rPr>
          <w:rStyle w:val="FootnoteReference"/>
        </w:rPr>
        <w:footnoteRef/>
      </w:r>
      <w:r>
        <w:t xml:space="preserve"> </w:t>
      </w:r>
      <w:r>
        <w:rPr>
          <w:lang w:val="en-ZW"/>
        </w:rPr>
        <w:t>CALSTART opening comments on</w:t>
      </w:r>
      <w:r w:rsidR="00914698">
        <w:t xml:space="preserve"> Responses to</w:t>
      </w:r>
      <w:r>
        <w:rPr>
          <w:lang w:val="en-ZW"/>
        </w:rPr>
        <w:t xml:space="preserve"> Transparency ruling at 21, citing SCE response to CALSTART-001, Question 02.</w:t>
      </w:r>
    </w:p>
  </w:footnote>
  <w:footnote w:id="140">
    <w:p w14:paraId="3ABEF6B0" w14:textId="1F2592D6" w:rsidR="00F220B4" w:rsidRPr="008B04BF" w:rsidRDefault="00F220B4" w:rsidP="00F220B4">
      <w:pPr>
        <w:pStyle w:val="FootnoteText"/>
        <w:rPr>
          <w:lang w:val="en-ZW"/>
        </w:rPr>
      </w:pPr>
      <w:r>
        <w:rPr>
          <w:rStyle w:val="FootnoteReference"/>
        </w:rPr>
        <w:footnoteRef/>
      </w:r>
      <w:r>
        <w:t xml:space="preserve"> </w:t>
      </w:r>
      <w:r w:rsidR="00BE0B25">
        <w:rPr>
          <w:lang w:val="en-ZW"/>
        </w:rPr>
        <w:t xml:space="preserve">PG&amp;E </w:t>
      </w:r>
      <w:r w:rsidR="00474099">
        <w:t xml:space="preserve">June 13, 2025 </w:t>
      </w:r>
      <w:r w:rsidR="00D43E95">
        <w:t>R</w:t>
      </w:r>
      <w:r w:rsidR="00474099">
        <w:t xml:space="preserve">esponse to Transparency Ruling </w:t>
      </w:r>
      <w:r w:rsidR="00BE0B25">
        <w:rPr>
          <w:lang w:val="en-ZW"/>
        </w:rPr>
        <w:t xml:space="preserve">at </w:t>
      </w:r>
      <w:r w:rsidR="00056E5D">
        <w:rPr>
          <w:lang w:val="en-ZW"/>
        </w:rPr>
        <w:t>9</w:t>
      </w:r>
      <w:r w:rsidR="00474099">
        <w:rPr>
          <w:lang w:val="en-ZW"/>
        </w:rPr>
        <w:t>;</w:t>
      </w:r>
      <w:r w:rsidR="00056E5D">
        <w:rPr>
          <w:lang w:val="en-ZW"/>
        </w:rPr>
        <w:t xml:space="preserve"> SCE </w:t>
      </w:r>
      <w:r w:rsidR="00474099">
        <w:t xml:space="preserve">June 13, 2025 </w:t>
      </w:r>
      <w:r w:rsidR="00D43E95">
        <w:t>R</w:t>
      </w:r>
      <w:r w:rsidR="00474099">
        <w:t xml:space="preserve">esponse to Transparency Ruling </w:t>
      </w:r>
      <w:r w:rsidR="00056E5D">
        <w:rPr>
          <w:lang w:val="en-ZW"/>
        </w:rPr>
        <w:t>at 7</w:t>
      </w:r>
      <w:r w:rsidR="00474099">
        <w:rPr>
          <w:lang w:val="en-ZW"/>
        </w:rPr>
        <w:t>.</w:t>
      </w:r>
    </w:p>
  </w:footnote>
  <w:footnote w:id="141">
    <w:p w14:paraId="4B0A863E" w14:textId="10357160" w:rsidR="00F220B4" w:rsidRPr="008B04BF" w:rsidRDefault="00F220B4" w:rsidP="00F220B4">
      <w:pPr>
        <w:pStyle w:val="FootnoteText"/>
        <w:rPr>
          <w:lang w:val="en-ZW"/>
        </w:rPr>
      </w:pPr>
      <w:r>
        <w:rPr>
          <w:rStyle w:val="FootnoteReference"/>
        </w:rPr>
        <w:footnoteRef/>
      </w:r>
      <w:r>
        <w:t xml:space="preserve"> </w:t>
      </w:r>
      <w:r>
        <w:rPr>
          <w:lang w:val="en-ZW"/>
        </w:rPr>
        <w:t>CalCCA</w:t>
      </w:r>
      <w:r w:rsidR="009B5339" w:rsidRPr="009B5339">
        <w:t xml:space="preserve"> </w:t>
      </w:r>
      <w:r w:rsidR="009B5339" w:rsidRPr="008C2820">
        <w:t>Comments on Responses to Transparency Ruling</w:t>
      </w:r>
      <w:r>
        <w:rPr>
          <w:lang w:val="en-ZW"/>
        </w:rPr>
        <w:t xml:space="preserve"> </w:t>
      </w:r>
      <w:r w:rsidR="009B5339">
        <w:rPr>
          <w:lang w:val="en-ZW"/>
        </w:rPr>
        <w:t xml:space="preserve">at ii.3.8-10; </w:t>
      </w:r>
      <w:r w:rsidR="00CC195D">
        <w:t>CALSTART</w:t>
      </w:r>
      <w:r w:rsidR="009B5339" w:rsidRPr="008C2820">
        <w:t xml:space="preserve"> Comments on Responses to Transparency Ruling </w:t>
      </w:r>
      <w:r w:rsidR="00CC195D">
        <w:t xml:space="preserve">20-21; </w:t>
      </w:r>
      <w:r w:rsidR="00896800" w:rsidRPr="008C2820">
        <w:t xml:space="preserve">IREC Comments on Responses to Transparency </w:t>
      </w:r>
      <w:r w:rsidR="00896800" w:rsidRPr="00465FD9">
        <w:t>Ruling at 7-9.</w:t>
      </w:r>
    </w:p>
  </w:footnote>
  <w:footnote w:id="142">
    <w:p w14:paraId="6DCCDD39" w14:textId="3FB6BC1D" w:rsidR="00F220B4" w:rsidRPr="00F50018" w:rsidRDefault="00F220B4" w:rsidP="00F220B4">
      <w:pPr>
        <w:pStyle w:val="FootnoteText"/>
        <w:rPr>
          <w:lang w:val="en-ZW"/>
        </w:rPr>
      </w:pPr>
      <w:r>
        <w:rPr>
          <w:rStyle w:val="FootnoteReference"/>
        </w:rPr>
        <w:footnoteRef/>
      </w:r>
      <w:r>
        <w:t xml:space="preserve"> IREC </w:t>
      </w:r>
      <w:r w:rsidR="00DB5EDA">
        <w:rPr>
          <w:lang w:val="en-ZW"/>
        </w:rPr>
        <w:t>Opening Comments on Next Steps Ruling</w:t>
      </w:r>
      <w:r w:rsidR="00DB5EDA" w:rsidDel="00F8284E">
        <w:rPr>
          <w:lang w:val="en-ZW"/>
        </w:rPr>
        <w:t xml:space="preserve"> </w:t>
      </w:r>
      <w:r w:rsidR="00DB5EDA" w:rsidRPr="00CC0888">
        <w:t>a</w:t>
      </w:r>
      <w:r w:rsidR="00DB5EDA">
        <w:t>t</w:t>
      </w:r>
      <w:r w:rsidR="00BF1F28">
        <w:t xml:space="preserve"> </w:t>
      </w:r>
      <w:r>
        <w:rPr>
          <w:lang w:val="en-ZW"/>
        </w:rPr>
        <w:t>18</w:t>
      </w:r>
      <w:r w:rsidR="00890A82">
        <w:rPr>
          <w:lang w:val="en-ZW"/>
        </w:rPr>
        <w:t xml:space="preserve">; </w:t>
      </w:r>
      <w:r w:rsidR="0073722C">
        <w:t>PAO</w:t>
      </w:r>
      <w:r w:rsidR="0073722C" w:rsidRPr="008C2820">
        <w:t xml:space="preserve"> Comments on Responses to Transparency </w:t>
      </w:r>
      <w:r w:rsidR="0073722C" w:rsidRPr="00465FD9">
        <w:t xml:space="preserve">Ruling at </w:t>
      </w:r>
      <w:r w:rsidR="0073722C">
        <w:t>2.</w:t>
      </w:r>
    </w:p>
  </w:footnote>
  <w:footnote w:id="143">
    <w:p w14:paraId="14D9222C" w14:textId="7C374232" w:rsidR="00E4271D" w:rsidRDefault="00E4271D">
      <w:pPr>
        <w:pStyle w:val="FootnoteText"/>
      </w:pPr>
      <w:r>
        <w:rPr>
          <w:rStyle w:val="FootnoteReference"/>
        </w:rPr>
        <w:footnoteRef/>
      </w:r>
      <w:r>
        <w:t xml:space="preserve"> </w:t>
      </w:r>
      <w:r w:rsidR="004331B3">
        <w:t>PG</w:t>
      </w:r>
      <w:r w:rsidR="00AC57DA">
        <w:t>&amp;</w:t>
      </w:r>
      <w:r w:rsidR="004331B3">
        <w:t>E</w:t>
      </w:r>
      <w:r w:rsidR="00AC57DA">
        <w:t xml:space="preserve"> June 13, 2025 response to Transparency Ruling</w:t>
      </w:r>
      <w:r w:rsidR="004331B3">
        <w:t xml:space="preserve"> at 8-9.</w:t>
      </w:r>
    </w:p>
  </w:footnote>
  <w:footnote w:id="144">
    <w:p w14:paraId="265FFA19" w14:textId="4DB07E12" w:rsidR="0082211F" w:rsidRPr="00910763" w:rsidRDefault="0082211F" w:rsidP="0082211F">
      <w:pPr>
        <w:pStyle w:val="FootnoteText"/>
        <w:rPr>
          <w:lang w:val="en-ZW"/>
        </w:rPr>
      </w:pPr>
      <w:r>
        <w:rPr>
          <w:rStyle w:val="FootnoteReference"/>
        </w:rPr>
        <w:footnoteRef/>
      </w:r>
      <w:r>
        <w:t xml:space="preserve"> </w:t>
      </w:r>
      <w:r>
        <w:rPr>
          <w:lang w:val="en-ZW"/>
        </w:rPr>
        <w:t>P</w:t>
      </w:r>
      <w:r w:rsidR="00DB5EDA">
        <w:rPr>
          <w:lang w:val="en-ZW"/>
        </w:rPr>
        <w:t>ACT</w:t>
      </w:r>
      <w:r w:rsidR="00D43E95">
        <w:rPr>
          <w:lang w:val="en-ZW"/>
        </w:rPr>
        <w:t xml:space="preserve"> </w:t>
      </w:r>
      <w:r w:rsidR="00DB5EDA">
        <w:rPr>
          <w:lang w:val="en-ZW"/>
        </w:rPr>
        <w:t>Opening Comments on Next Steps Ruling</w:t>
      </w:r>
      <w:r w:rsidR="00DB5EDA" w:rsidDel="00F8284E">
        <w:rPr>
          <w:lang w:val="en-ZW"/>
        </w:rPr>
        <w:t xml:space="preserve"> </w:t>
      </w:r>
      <w:r w:rsidR="00DB5EDA" w:rsidRPr="00CC0888">
        <w:t>a</w:t>
      </w:r>
      <w:r w:rsidR="00DB5EDA">
        <w:t>t</w:t>
      </w:r>
      <w:r>
        <w:rPr>
          <w:lang w:val="en-ZW"/>
        </w:rPr>
        <w:t xml:space="preserve"> at 4. </w:t>
      </w:r>
      <w:r w:rsidRPr="006E027C">
        <w:rPr>
          <w:lang w:val="en-ZW"/>
        </w:rPr>
        <w:t xml:space="preserve">PGE </w:t>
      </w:r>
      <w:r w:rsidR="00DB5EDA">
        <w:rPr>
          <w:lang w:val="en-ZW"/>
        </w:rPr>
        <w:t>Opening Comments on Next Steps Ruling</w:t>
      </w:r>
      <w:r w:rsidR="00D43E95">
        <w:rPr>
          <w:lang w:val="en-ZW"/>
        </w:rPr>
        <w:t xml:space="preserve"> </w:t>
      </w:r>
      <w:r w:rsidRPr="006E027C">
        <w:rPr>
          <w:lang w:val="en-ZW"/>
        </w:rPr>
        <w:t xml:space="preserve">at </w:t>
      </w:r>
      <w:r>
        <w:rPr>
          <w:lang w:val="en-ZW"/>
        </w:rPr>
        <w:t>8</w:t>
      </w:r>
      <w:r w:rsidR="00D43E95">
        <w:rPr>
          <w:lang w:val="en-ZW"/>
        </w:rPr>
        <w:t>.</w:t>
      </w:r>
    </w:p>
  </w:footnote>
  <w:footnote w:id="145">
    <w:p w14:paraId="128A94EC" w14:textId="2EC194EE" w:rsidR="00AC05AD" w:rsidRPr="00924080" w:rsidRDefault="00AC05AD" w:rsidP="00AC05AD">
      <w:pPr>
        <w:pStyle w:val="FootnoteText"/>
        <w:rPr>
          <w:lang w:val="en-ZW"/>
        </w:rPr>
      </w:pPr>
      <w:r>
        <w:rPr>
          <w:rStyle w:val="FootnoteReference"/>
        </w:rPr>
        <w:footnoteRef/>
      </w:r>
      <w:r>
        <w:t xml:space="preserve"> </w:t>
      </w:r>
      <w:r w:rsidR="00927F49">
        <w:t>SCE Form 16-332 at 1-2</w:t>
      </w:r>
      <w:r w:rsidR="00C1778C">
        <w:rPr>
          <w:lang w:val="en-ZW"/>
        </w:rPr>
        <w:t>.</w:t>
      </w:r>
    </w:p>
  </w:footnote>
  <w:footnote w:id="146">
    <w:p w14:paraId="697FD0A3" w14:textId="537B448D" w:rsidR="00AC05AD" w:rsidRPr="001C01C5" w:rsidRDefault="00AC05AD" w:rsidP="00AC05AD">
      <w:pPr>
        <w:pStyle w:val="FootnoteText"/>
      </w:pPr>
      <w:r>
        <w:rPr>
          <w:rStyle w:val="FootnoteReference"/>
        </w:rPr>
        <w:footnoteRef/>
      </w:r>
      <w:r w:rsidRPr="004C2AA3">
        <w:t xml:space="preserve"> </w:t>
      </w:r>
      <w:r w:rsidRPr="001C01C5">
        <w:t xml:space="preserve">SCE </w:t>
      </w:r>
      <w:r w:rsidR="00DB5EDA">
        <w:rPr>
          <w:lang w:val="en-ZW"/>
        </w:rPr>
        <w:t xml:space="preserve">Opening </w:t>
      </w:r>
      <w:r w:rsidR="00DB5EDA" w:rsidRPr="00793E2B">
        <w:rPr>
          <w:lang w:val="en-ZW"/>
        </w:rPr>
        <w:t>Comments on Next Steps Ruling</w:t>
      </w:r>
      <w:r w:rsidR="00DB5EDA" w:rsidRPr="00793E2B" w:rsidDel="00F8284E">
        <w:rPr>
          <w:lang w:val="en-ZW"/>
        </w:rPr>
        <w:t xml:space="preserve"> </w:t>
      </w:r>
      <w:r w:rsidR="00DB5EDA" w:rsidRPr="00793E2B">
        <w:t>at</w:t>
      </w:r>
      <w:r w:rsidR="005E7019">
        <w:t xml:space="preserve"> </w:t>
      </w:r>
      <w:r w:rsidRPr="00793E2B">
        <w:t xml:space="preserve">11; </w:t>
      </w:r>
      <w:r w:rsidR="000714EA" w:rsidRPr="00793E2B">
        <w:t xml:space="preserve">CALSTART </w:t>
      </w:r>
      <w:r w:rsidR="000714EA" w:rsidRPr="00793E2B">
        <w:rPr>
          <w:lang w:val="en-ZW"/>
        </w:rPr>
        <w:t>Opening Comments on Next Steps Ruling</w:t>
      </w:r>
      <w:r w:rsidR="000714EA" w:rsidRPr="00793E2B" w:rsidDel="00F8284E">
        <w:rPr>
          <w:lang w:val="en-ZW"/>
        </w:rPr>
        <w:t xml:space="preserve"> </w:t>
      </w:r>
      <w:r w:rsidR="000714EA" w:rsidRPr="00793E2B">
        <w:t xml:space="preserve">at </w:t>
      </w:r>
      <w:r w:rsidRPr="002B51C8">
        <w:t>11</w:t>
      </w:r>
      <w:r w:rsidR="00D43E95" w:rsidRPr="00793E2B">
        <w:t>.</w:t>
      </w:r>
    </w:p>
  </w:footnote>
  <w:footnote w:id="147">
    <w:p w14:paraId="6773F22D" w14:textId="025384A6" w:rsidR="00AC05AD" w:rsidRPr="00AF39D8" w:rsidRDefault="00AC05AD" w:rsidP="00AC05AD">
      <w:pPr>
        <w:pStyle w:val="FootnoteText"/>
        <w:rPr>
          <w:lang w:val="en-ZW"/>
        </w:rPr>
      </w:pPr>
      <w:r>
        <w:rPr>
          <w:rStyle w:val="FootnoteReference"/>
        </w:rPr>
        <w:footnoteRef/>
      </w:r>
      <w:r>
        <w:t xml:space="preserve"> </w:t>
      </w:r>
      <w:r>
        <w:rPr>
          <w:lang w:val="en-ZW"/>
        </w:rPr>
        <w:t xml:space="preserve">SCE </w:t>
      </w:r>
      <w:r w:rsidR="009A0DA6">
        <w:rPr>
          <w:lang w:val="en-ZW"/>
        </w:rPr>
        <w:t>Opening Comments on Next Steps Ruling</w:t>
      </w:r>
      <w:r w:rsidR="009A0DA6" w:rsidDel="00F8284E">
        <w:rPr>
          <w:lang w:val="en-ZW"/>
        </w:rPr>
        <w:t xml:space="preserve"> </w:t>
      </w:r>
      <w:r w:rsidR="009A0DA6" w:rsidRPr="00CC0888">
        <w:t>a</w:t>
      </w:r>
      <w:r w:rsidR="009A0DA6">
        <w:t>t</w:t>
      </w:r>
      <w:r>
        <w:rPr>
          <w:lang w:val="en-ZW"/>
        </w:rPr>
        <w:t xml:space="preserve"> 7, “</w:t>
      </w:r>
      <w:r w:rsidRPr="00FF2117">
        <w:t>UL 3141 Issue #2 was published in October 2024 and now serves as the national standard for certification of PCS</w:t>
      </w:r>
      <w:r>
        <w:t>”.</w:t>
      </w:r>
    </w:p>
  </w:footnote>
  <w:footnote w:id="148">
    <w:p w14:paraId="3E917949" w14:textId="77777777" w:rsidR="00AC05AD" w:rsidRPr="00C35A08" w:rsidRDefault="00AC05AD" w:rsidP="00AC05AD">
      <w:pPr>
        <w:pStyle w:val="FootnoteText"/>
        <w:rPr>
          <w:lang w:val="en-ZW"/>
        </w:rPr>
      </w:pPr>
      <w:r>
        <w:rPr>
          <w:rStyle w:val="FootnoteReference"/>
        </w:rPr>
        <w:footnoteRef/>
      </w:r>
      <w:r>
        <w:t xml:space="preserve"> </w:t>
      </w:r>
      <w:r>
        <w:rPr>
          <w:lang w:val="en-ZW"/>
        </w:rPr>
        <w:t>PG&amp;E May 30 response to Transparency Ruling at Attachment A.</w:t>
      </w:r>
    </w:p>
  </w:footnote>
  <w:footnote w:id="149">
    <w:p w14:paraId="355829DB" w14:textId="5DD0CA86" w:rsidR="001C6294" w:rsidRDefault="001C6294">
      <w:pPr>
        <w:pStyle w:val="FootnoteText"/>
      </w:pPr>
      <w:r w:rsidRPr="00760F4E">
        <w:rPr>
          <w:rStyle w:val="FootnoteReference"/>
        </w:rPr>
        <w:footnoteRef/>
      </w:r>
      <w:r w:rsidRPr="00760F4E">
        <w:t xml:space="preserve"> PG&amp;E May 30, 2025 response to Transparency Ruling at </w:t>
      </w:r>
      <w:r w:rsidR="00637948" w:rsidRPr="00760F4E">
        <w:t xml:space="preserve">2 and </w:t>
      </w:r>
      <w:r w:rsidR="00637948" w:rsidRPr="008C334A">
        <w:t>Attachment A</w:t>
      </w:r>
      <w:r w:rsidR="00DB4EB3" w:rsidRPr="00B62302">
        <w:t xml:space="preserve"> page</w:t>
      </w:r>
      <w:r w:rsidR="00760F4E" w:rsidRPr="00B62302">
        <w:t xml:space="preserve"> </w:t>
      </w:r>
      <w:r w:rsidR="00DB4EB3" w:rsidRPr="00B62302">
        <w:t>1</w:t>
      </w:r>
      <w:r w:rsidR="00637948" w:rsidRPr="008C334A">
        <w:t xml:space="preserve">, </w:t>
      </w:r>
      <w:r w:rsidR="00271F40" w:rsidRPr="008C334A">
        <w:t xml:space="preserve">PG&amp;E </w:t>
      </w:r>
      <w:r w:rsidR="00271F40" w:rsidRPr="00471B52">
        <w:t>amended FSC Data sheet; Data Dictionary tab</w:t>
      </w:r>
      <w:r w:rsidR="00271F40" w:rsidRPr="00B62302">
        <w:t xml:space="preserve"> </w:t>
      </w:r>
      <w:r w:rsidR="00231419" w:rsidRPr="00B62302">
        <w:t>cell B43</w:t>
      </w:r>
      <w:r w:rsidR="002A7B16" w:rsidRPr="00B62302">
        <w:t>.</w:t>
      </w:r>
    </w:p>
  </w:footnote>
  <w:footnote w:id="150">
    <w:p w14:paraId="4802E2DD" w14:textId="42AE5642" w:rsidR="008A1B4B" w:rsidRPr="00E4142E" w:rsidRDefault="008A1B4B" w:rsidP="008A1B4B">
      <w:pPr>
        <w:pStyle w:val="FootnoteText"/>
      </w:pPr>
      <w:r>
        <w:rPr>
          <w:rStyle w:val="FootnoteReference"/>
        </w:rPr>
        <w:footnoteRef/>
      </w:r>
      <w:r w:rsidRPr="00E4142E">
        <w:t xml:space="preserve"> PG&amp;E </w:t>
      </w:r>
      <w:r w:rsidR="0032205C">
        <w:t>June 13, 2025 response to Transparency Ruling</w:t>
      </w:r>
      <w:r w:rsidRPr="00E4142E">
        <w:t xml:space="preserve"> at 10</w:t>
      </w:r>
      <w:r w:rsidR="00BC2E8A">
        <w:t>.</w:t>
      </w:r>
    </w:p>
  </w:footnote>
  <w:footnote w:id="151">
    <w:p w14:paraId="256027EC" w14:textId="01035DC9" w:rsidR="00F10ADB" w:rsidRDefault="00F10ADB">
      <w:pPr>
        <w:pStyle w:val="FootnoteText"/>
      </w:pPr>
      <w:r>
        <w:rPr>
          <w:rStyle w:val="FootnoteReference"/>
        </w:rPr>
        <w:footnoteRef/>
      </w:r>
      <w:r>
        <w:t xml:space="preserve"> PG&amp;E amended FSC Data sheet; </w:t>
      </w:r>
      <w:r w:rsidR="006C64C2">
        <w:t>Data Dictionary tab, cell B48.</w:t>
      </w:r>
    </w:p>
  </w:footnote>
  <w:footnote w:id="152">
    <w:p w14:paraId="3F11D62A" w14:textId="1022F9C4" w:rsidR="00331386" w:rsidRDefault="00331386">
      <w:pPr>
        <w:pStyle w:val="FootnoteText"/>
      </w:pPr>
      <w:r>
        <w:rPr>
          <w:rStyle w:val="FootnoteReference"/>
        </w:rPr>
        <w:footnoteRef/>
      </w:r>
      <w:r>
        <w:t xml:space="preserve"> PG&amp;E PD Opening comments at </w:t>
      </w:r>
      <w:r w:rsidR="0024286F">
        <w:t>2</w:t>
      </w:r>
      <w:r>
        <w:t>.</w:t>
      </w:r>
    </w:p>
  </w:footnote>
  <w:footnote w:id="153">
    <w:p w14:paraId="3BEFA033" w14:textId="35300170" w:rsidR="008F0B19" w:rsidRPr="00426ACB" w:rsidRDefault="008F0B19" w:rsidP="008F0B19">
      <w:pPr>
        <w:pStyle w:val="FootnoteText"/>
        <w:rPr>
          <w:lang w:val="en-ZW"/>
        </w:rPr>
      </w:pPr>
      <w:r>
        <w:rPr>
          <w:rStyle w:val="FootnoteReference"/>
        </w:rPr>
        <w:footnoteRef/>
      </w:r>
      <w:r>
        <w:t xml:space="preserve"> </w:t>
      </w:r>
      <w:r>
        <w:rPr>
          <w:lang w:val="en-ZW"/>
        </w:rPr>
        <w:t xml:space="preserve">AAI </w:t>
      </w:r>
      <w:r w:rsidR="00DF7E39">
        <w:rPr>
          <w:lang w:val="en-ZW"/>
        </w:rPr>
        <w:t>Opening Comments on Next Steps Ruling</w:t>
      </w:r>
      <w:r w:rsidR="00DF7E39" w:rsidDel="00F8284E">
        <w:rPr>
          <w:lang w:val="en-ZW"/>
        </w:rPr>
        <w:t xml:space="preserve"> </w:t>
      </w:r>
      <w:r w:rsidR="00DF7E39" w:rsidRPr="00CC0888">
        <w:t>a</w:t>
      </w:r>
      <w:r w:rsidR="00DF7E39">
        <w:t>t</w:t>
      </w:r>
      <w:r>
        <w:rPr>
          <w:lang w:val="en-ZW"/>
        </w:rPr>
        <w:t xml:space="preserve"> 4, C</w:t>
      </w:r>
      <w:r w:rsidR="00252769">
        <w:rPr>
          <w:lang w:val="en-ZW"/>
        </w:rPr>
        <w:t>ALSTART</w:t>
      </w:r>
      <w:r>
        <w:rPr>
          <w:lang w:val="en-ZW"/>
        </w:rPr>
        <w:t xml:space="preserve"> </w:t>
      </w:r>
      <w:r w:rsidR="00DF7E39">
        <w:rPr>
          <w:lang w:val="en-ZW"/>
        </w:rPr>
        <w:t>Opening Comments on Next Steps Ruling</w:t>
      </w:r>
      <w:r w:rsidR="00DF7E39" w:rsidDel="00F8284E">
        <w:rPr>
          <w:lang w:val="en-ZW"/>
        </w:rPr>
        <w:t xml:space="preserve"> </w:t>
      </w:r>
      <w:r w:rsidR="00DF7E39" w:rsidRPr="00CC0888">
        <w:t>a</w:t>
      </w:r>
      <w:r w:rsidR="00DF7E39">
        <w:t>t</w:t>
      </w:r>
      <w:r>
        <w:rPr>
          <w:lang w:val="en-ZW"/>
        </w:rPr>
        <w:t xml:space="preserve"> 10; SDG&amp;E </w:t>
      </w:r>
      <w:r w:rsidR="009D4E10">
        <w:rPr>
          <w:lang w:val="en-ZW"/>
        </w:rPr>
        <w:t>Opening Comments on Next Steps Ruling</w:t>
      </w:r>
      <w:r w:rsidR="009D4E10" w:rsidDel="00F8284E">
        <w:rPr>
          <w:lang w:val="en-ZW"/>
        </w:rPr>
        <w:t xml:space="preserve"> </w:t>
      </w:r>
      <w:r w:rsidR="009D4E10" w:rsidRPr="00CC0888">
        <w:t>a</w:t>
      </w:r>
      <w:r w:rsidR="009D4E10">
        <w:t>t</w:t>
      </w:r>
      <w:r>
        <w:rPr>
          <w:lang w:val="en-ZW"/>
        </w:rPr>
        <w:t xml:space="preserve"> at 4; EDF </w:t>
      </w:r>
      <w:r w:rsidR="009D4E10">
        <w:rPr>
          <w:lang w:val="en-ZW"/>
        </w:rPr>
        <w:t>Opening Comments on Next Steps Ruling</w:t>
      </w:r>
      <w:r w:rsidR="009D4E10" w:rsidDel="00F8284E">
        <w:rPr>
          <w:lang w:val="en-ZW"/>
        </w:rPr>
        <w:t xml:space="preserve"> </w:t>
      </w:r>
      <w:r>
        <w:rPr>
          <w:lang w:val="en-ZW"/>
        </w:rPr>
        <w:t xml:space="preserve">at 12; Enphase </w:t>
      </w:r>
      <w:r w:rsidR="009D4E10">
        <w:rPr>
          <w:lang w:val="en-ZW"/>
        </w:rPr>
        <w:t>Opening Comments on Next Steps Ruling</w:t>
      </w:r>
      <w:r w:rsidR="00D43E95">
        <w:rPr>
          <w:lang w:val="en-ZW"/>
        </w:rPr>
        <w:t xml:space="preserve"> </w:t>
      </w:r>
      <w:r>
        <w:rPr>
          <w:lang w:val="en-ZW"/>
        </w:rPr>
        <w:t xml:space="preserve">at 4.; CL </w:t>
      </w:r>
      <w:r w:rsidR="009D4E10">
        <w:rPr>
          <w:lang w:val="en-ZW"/>
        </w:rPr>
        <w:t>Opening Comments on Next Steps Ruling</w:t>
      </w:r>
      <w:r w:rsidR="009D4E10" w:rsidDel="00F8284E">
        <w:rPr>
          <w:lang w:val="en-ZW"/>
        </w:rPr>
        <w:t xml:space="preserve"> </w:t>
      </w:r>
      <w:r w:rsidR="009D4E10" w:rsidRPr="00CC0888">
        <w:t>a</w:t>
      </w:r>
      <w:r w:rsidR="009D4E10">
        <w:t>t</w:t>
      </w:r>
      <w:r>
        <w:rPr>
          <w:lang w:val="en-ZW"/>
        </w:rPr>
        <w:t xml:space="preserve"> 3.</w:t>
      </w:r>
      <w:r w:rsidRPr="00AF45D5">
        <w:rPr>
          <w:lang w:val="en-ZW"/>
        </w:rPr>
        <w:t xml:space="preserve"> </w:t>
      </w:r>
      <w:r>
        <w:rPr>
          <w:lang w:val="en-ZW"/>
        </w:rPr>
        <w:t xml:space="preserve">TMH </w:t>
      </w:r>
      <w:r w:rsidR="009D4E10">
        <w:rPr>
          <w:lang w:val="en-ZW"/>
        </w:rPr>
        <w:t>Opening Comments on Next Steps Ruling</w:t>
      </w:r>
      <w:r w:rsidR="009D4E10" w:rsidDel="00F8284E">
        <w:rPr>
          <w:lang w:val="en-ZW"/>
        </w:rPr>
        <w:t xml:space="preserve"> </w:t>
      </w:r>
      <w:r w:rsidR="009D4E10" w:rsidRPr="00CC0888">
        <w:t>a</w:t>
      </w:r>
      <w:r w:rsidR="009D4E10">
        <w:t>t</w:t>
      </w:r>
      <w:r>
        <w:rPr>
          <w:lang w:val="en-ZW"/>
        </w:rPr>
        <w:t xml:space="preserve"> 10.; PACT </w:t>
      </w:r>
      <w:r w:rsidR="009D4E10">
        <w:rPr>
          <w:lang w:val="en-ZW"/>
        </w:rPr>
        <w:t>Opening Comments on Next Steps Ruling</w:t>
      </w:r>
      <w:r w:rsidR="009D4E10" w:rsidDel="00F8284E">
        <w:rPr>
          <w:lang w:val="en-ZW"/>
        </w:rPr>
        <w:t xml:space="preserve"> </w:t>
      </w:r>
      <w:r w:rsidR="009D4E10" w:rsidRPr="00CC0888">
        <w:t>a</w:t>
      </w:r>
      <w:r w:rsidR="009D4E10">
        <w:t>t</w:t>
      </w:r>
      <w:r w:rsidR="00BC2E8A">
        <w:t xml:space="preserve"> </w:t>
      </w:r>
      <w:r>
        <w:rPr>
          <w:lang w:val="en-ZW"/>
        </w:rPr>
        <w:t xml:space="preserve">9.; </w:t>
      </w:r>
      <w:r w:rsidRPr="00006719">
        <w:rPr>
          <w:lang w:val="en-ZW"/>
        </w:rPr>
        <w:t xml:space="preserve">SCE </w:t>
      </w:r>
      <w:r w:rsidR="009D4E10">
        <w:rPr>
          <w:lang w:val="en-ZW"/>
        </w:rPr>
        <w:t>Opening Comments on Next Steps Ruling</w:t>
      </w:r>
      <w:r w:rsidR="009D4E10" w:rsidDel="00F8284E">
        <w:rPr>
          <w:lang w:val="en-ZW"/>
        </w:rPr>
        <w:t xml:space="preserve"> </w:t>
      </w:r>
      <w:r w:rsidR="009D4E10" w:rsidRPr="00CC0888">
        <w:t>a</w:t>
      </w:r>
      <w:r w:rsidR="009D4E10">
        <w:t>t</w:t>
      </w:r>
      <w:r w:rsidR="00D43E95">
        <w:t xml:space="preserve"> </w:t>
      </w:r>
      <w:r>
        <w:rPr>
          <w:lang w:val="en-ZW"/>
        </w:rPr>
        <w:t xml:space="preserve">11.; </w:t>
      </w:r>
      <w:r w:rsidRPr="0032536E">
        <w:rPr>
          <w:lang w:val="en-ZW"/>
        </w:rPr>
        <w:t>VG</w:t>
      </w:r>
      <w:r w:rsidRPr="0032536E">
        <w:t xml:space="preserve">IC </w:t>
      </w:r>
      <w:r w:rsidR="009D4E10">
        <w:rPr>
          <w:lang w:val="en-ZW"/>
        </w:rPr>
        <w:t>Opening Comments on Next Steps Ruling</w:t>
      </w:r>
      <w:r w:rsidR="009D4E10" w:rsidDel="00F8284E">
        <w:rPr>
          <w:lang w:val="en-ZW"/>
        </w:rPr>
        <w:t xml:space="preserve"> </w:t>
      </w:r>
      <w:r w:rsidR="009D4E10" w:rsidRPr="00CC0888">
        <w:t>a</w:t>
      </w:r>
      <w:r w:rsidR="009D4E10">
        <w:t>t</w:t>
      </w:r>
      <w:r w:rsidR="00D43E95">
        <w:t xml:space="preserve"> </w:t>
      </w:r>
      <w:r>
        <w:t>13.</w:t>
      </w:r>
    </w:p>
  </w:footnote>
  <w:footnote w:id="154">
    <w:p w14:paraId="72E1A841" w14:textId="669E42CB" w:rsidR="008F0B19" w:rsidRPr="00AF45D5" w:rsidRDefault="008F0B19" w:rsidP="008F0B19">
      <w:pPr>
        <w:pStyle w:val="FootnoteText"/>
        <w:rPr>
          <w:lang w:val="en-ZW"/>
        </w:rPr>
      </w:pPr>
      <w:r>
        <w:rPr>
          <w:rStyle w:val="FootnoteReference"/>
        </w:rPr>
        <w:footnoteRef/>
      </w:r>
      <w:r>
        <w:t xml:space="preserve"> </w:t>
      </w:r>
      <w:r>
        <w:rPr>
          <w:lang w:val="en-ZW"/>
        </w:rPr>
        <w:t xml:space="preserve">AAI </w:t>
      </w:r>
      <w:r w:rsidR="009D4E10">
        <w:rPr>
          <w:lang w:val="en-ZW"/>
        </w:rPr>
        <w:t>Opening Comments on Next Steps Ruling</w:t>
      </w:r>
      <w:r w:rsidR="009D4E10" w:rsidDel="00F8284E">
        <w:rPr>
          <w:lang w:val="en-ZW"/>
        </w:rPr>
        <w:t xml:space="preserve"> </w:t>
      </w:r>
      <w:r w:rsidR="009D4E10" w:rsidRPr="00CC0888">
        <w:t>a</w:t>
      </w:r>
      <w:r w:rsidR="009D4E10">
        <w:t>t</w:t>
      </w:r>
      <w:r w:rsidR="00D90C42">
        <w:t xml:space="preserve"> </w:t>
      </w:r>
      <w:r>
        <w:rPr>
          <w:lang w:val="en-ZW"/>
        </w:rPr>
        <w:t xml:space="preserve">4, IREC </w:t>
      </w:r>
      <w:r w:rsidR="009D4E10">
        <w:rPr>
          <w:lang w:val="en-ZW"/>
        </w:rPr>
        <w:t>Opening Comments on Next Steps Ruling</w:t>
      </w:r>
      <w:r w:rsidR="009D4E10" w:rsidDel="00F8284E">
        <w:rPr>
          <w:lang w:val="en-ZW"/>
        </w:rPr>
        <w:t xml:space="preserve"> </w:t>
      </w:r>
      <w:r>
        <w:rPr>
          <w:lang w:val="en-ZW"/>
        </w:rPr>
        <w:t>at 25.</w:t>
      </w:r>
    </w:p>
  </w:footnote>
  <w:footnote w:id="155">
    <w:p w14:paraId="3531E9C7" w14:textId="3B01CA1D" w:rsidR="00FB5585" w:rsidRDefault="00FB5585">
      <w:pPr>
        <w:pStyle w:val="FootnoteText"/>
      </w:pPr>
      <w:r>
        <w:rPr>
          <w:rStyle w:val="FootnoteReference"/>
        </w:rPr>
        <w:footnoteRef/>
      </w:r>
      <w:r>
        <w:t xml:space="preserve"> </w:t>
      </w:r>
      <w:r w:rsidR="00AC21E6">
        <w:t xml:space="preserve">CALSTART </w:t>
      </w:r>
      <w:r w:rsidR="00AC21E6">
        <w:rPr>
          <w:lang w:val="en-ZW"/>
        </w:rPr>
        <w:t>Opening Comments on Next Steps Ruling</w:t>
      </w:r>
      <w:r w:rsidR="00AC21E6" w:rsidDel="00F8284E">
        <w:rPr>
          <w:lang w:val="en-ZW"/>
        </w:rPr>
        <w:t xml:space="preserve"> </w:t>
      </w:r>
      <w:r w:rsidR="00AC21E6" w:rsidRPr="00CC0888">
        <w:t>a</w:t>
      </w:r>
      <w:r w:rsidR="00AC21E6">
        <w:t>t 11</w:t>
      </w:r>
      <w:r w:rsidR="00AC21E6" w:rsidRPr="00AA683F">
        <w:t>,</w:t>
      </w:r>
      <w:r w:rsidR="00AC21E6">
        <w:t xml:space="preserve"> </w:t>
      </w:r>
      <w:r w:rsidR="000D3F10">
        <w:t>Critical Loop</w:t>
      </w:r>
      <w:r w:rsidR="00AC21E6">
        <w:t xml:space="preserve"> </w:t>
      </w:r>
      <w:r w:rsidR="00AC21E6">
        <w:rPr>
          <w:lang w:val="en-ZW"/>
        </w:rPr>
        <w:t>Opening Comments on Next Steps Ruling</w:t>
      </w:r>
      <w:r w:rsidR="00AC21E6" w:rsidDel="00F8284E">
        <w:rPr>
          <w:lang w:val="en-ZW"/>
        </w:rPr>
        <w:t xml:space="preserve"> </w:t>
      </w:r>
      <w:r w:rsidR="00AC21E6" w:rsidRPr="00CC0888">
        <w:t>a</w:t>
      </w:r>
      <w:r w:rsidR="00AC21E6">
        <w:t xml:space="preserve">t </w:t>
      </w:r>
      <w:r w:rsidR="000D3F10">
        <w:t>4</w:t>
      </w:r>
      <w:r w:rsidR="00AC21E6" w:rsidRPr="00AA683F">
        <w:t>,</w:t>
      </w:r>
      <w:r w:rsidR="000D3F10">
        <w:t xml:space="preserve"> Enphase </w:t>
      </w:r>
      <w:r w:rsidR="000D3F10">
        <w:rPr>
          <w:lang w:val="en-ZW"/>
        </w:rPr>
        <w:t>Opening Comments on Next Steps Ruling</w:t>
      </w:r>
      <w:r w:rsidR="000D3F10" w:rsidDel="00F8284E">
        <w:rPr>
          <w:lang w:val="en-ZW"/>
        </w:rPr>
        <w:t xml:space="preserve"> </w:t>
      </w:r>
      <w:r w:rsidR="000D3F10" w:rsidRPr="00CC0888">
        <w:t>a</w:t>
      </w:r>
      <w:r w:rsidR="000D3F10">
        <w:t>t 4</w:t>
      </w:r>
      <w:r w:rsidR="000D3F10" w:rsidRPr="00AA683F">
        <w:t>,</w:t>
      </w:r>
      <w:r w:rsidR="000D3F10">
        <w:t xml:space="preserve"> PACT </w:t>
      </w:r>
      <w:r w:rsidR="000D3F10">
        <w:rPr>
          <w:lang w:val="en-ZW"/>
        </w:rPr>
        <w:t>Opening Comments on Next Steps Ruling</w:t>
      </w:r>
      <w:r w:rsidR="000D3F10" w:rsidDel="00F8284E">
        <w:rPr>
          <w:lang w:val="en-ZW"/>
        </w:rPr>
        <w:t xml:space="preserve"> </w:t>
      </w:r>
      <w:r w:rsidR="000D3F10" w:rsidRPr="00CC0888">
        <w:t>a</w:t>
      </w:r>
      <w:r w:rsidR="000D3F10">
        <w:t>t 9</w:t>
      </w:r>
      <w:r w:rsidR="000D3F10" w:rsidRPr="00AA683F">
        <w:t>,</w:t>
      </w:r>
      <w:r w:rsidR="004D7267">
        <w:t xml:space="preserve"> SDG&amp;E </w:t>
      </w:r>
      <w:r w:rsidR="004D7267">
        <w:rPr>
          <w:lang w:val="en-ZW"/>
        </w:rPr>
        <w:t>Opening Comments on Next Steps Ruling</w:t>
      </w:r>
      <w:r w:rsidR="004D7267" w:rsidDel="00F8284E">
        <w:rPr>
          <w:lang w:val="en-ZW"/>
        </w:rPr>
        <w:t xml:space="preserve"> </w:t>
      </w:r>
      <w:r w:rsidR="004D7267" w:rsidRPr="00CC0888">
        <w:t>a</w:t>
      </w:r>
      <w:r w:rsidR="004D7267">
        <w:t>t 5</w:t>
      </w:r>
      <w:r w:rsidR="004D7267" w:rsidRPr="00AA683F">
        <w:t>,</w:t>
      </w:r>
      <w:r w:rsidR="004D7267">
        <w:t xml:space="preserve"> Enphase Reply</w:t>
      </w:r>
      <w:r w:rsidR="004D7267">
        <w:rPr>
          <w:lang w:val="en-ZW"/>
        </w:rPr>
        <w:t xml:space="preserve"> Comments on Next Steps Ruling</w:t>
      </w:r>
      <w:r w:rsidR="004D7267" w:rsidDel="00F8284E">
        <w:rPr>
          <w:lang w:val="en-ZW"/>
        </w:rPr>
        <w:t xml:space="preserve"> </w:t>
      </w:r>
      <w:r w:rsidR="004D7267" w:rsidRPr="00CC0888">
        <w:t>a</w:t>
      </w:r>
      <w:r w:rsidR="004D7267">
        <w:t xml:space="preserve">t </w:t>
      </w:r>
      <w:r w:rsidR="004D6749">
        <w:t>4</w:t>
      </w:r>
      <w:r w:rsidR="004D7267" w:rsidRPr="00AA683F">
        <w:t>,</w:t>
      </w:r>
      <w:r w:rsidR="004D6749">
        <w:t xml:space="preserve"> IREC </w:t>
      </w:r>
      <w:r w:rsidR="004D6749">
        <w:rPr>
          <w:lang w:val="en-ZW"/>
        </w:rPr>
        <w:t>Opening Comments on Next Steps Ruling</w:t>
      </w:r>
      <w:r w:rsidR="004D6749" w:rsidDel="00F8284E">
        <w:rPr>
          <w:lang w:val="en-ZW"/>
        </w:rPr>
        <w:t xml:space="preserve"> </w:t>
      </w:r>
      <w:r w:rsidR="004D6749" w:rsidRPr="00CC0888">
        <w:t>a</w:t>
      </w:r>
      <w:r w:rsidR="004D6749">
        <w:t>t 19.</w:t>
      </w:r>
    </w:p>
  </w:footnote>
  <w:footnote w:id="156">
    <w:p w14:paraId="1489B84E" w14:textId="60777CDD" w:rsidR="004E0FB4" w:rsidRDefault="004E0FB4">
      <w:pPr>
        <w:pStyle w:val="FootnoteText"/>
      </w:pPr>
      <w:r>
        <w:rPr>
          <w:rStyle w:val="FootnoteReference"/>
        </w:rPr>
        <w:footnoteRef/>
      </w:r>
      <w:r>
        <w:t xml:space="preserve"> Enphase </w:t>
      </w:r>
      <w:r w:rsidR="009D4E10">
        <w:rPr>
          <w:lang w:val="en-ZW"/>
        </w:rPr>
        <w:t>Opening Comments on Next Steps Ruling</w:t>
      </w:r>
      <w:r w:rsidR="009D4E10" w:rsidDel="00F8284E">
        <w:rPr>
          <w:lang w:val="en-ZW"/>
        </w:rPr>
        <w:t xml:space="preserve"> </w:t>
      </w:r>
      <w:r w:rsidR="009D4E10" w:rsidRPr="00CC0888">
        <w:t>a</w:t>
      </w:r>
      <w:r w:rsidR="009D4E10">
        <w:t>t</w:t>
      </w:r>
      <w:r w:rsidR="008D620C">
        <w:t xml:space="preserve"> </w:t>
      </w:r>
      <w:r w:rsidR="00E96576" w:rsidRPr="00827F66">
        <w:t>6</w:t>
      </w:r>
      <w:r w:rsidR="00100BB0" w:rsidRPr="00827F66">
        <w:t xml:space="preserve">; </w:t>
      </w:r>
      <w:r w:rsidR="00100BB0" w:rsidRPr="0021187D">
        <w:t>IREC</w:t>
      </w:r>
      <w:r w:rsidR="00D942D3" w:rsidRPr="0021187D">
        <w:t xml:space="preserve"> </w:t>
      </w:r>
      <w:r w:rsidR="009D4E10">
        <w:rPr>
          <w:lang w:val="en-ZW"/>
        </w:rPr>
        <w:t>Reply Comments on Next Steps Ruling</w:t>
      </w:r>
      <w:r w:rsidR="009D4E10" w:rsidDel="00F8284E">
        <w:rPr>
          <w:lang w:val="en-ZW"/>
        </w:rPr>
        <w:t xml:space="preserve"> </w:t>
      </w:r>
      <w:r w:rsidR="009D4E10" w:rsidRPr="00CC0888">
        <w:t>a</w:t>
      </w:r>
      <w:r w:rsidR="009D4E10">
        <w:t>t</w:t>
      </w:r>
      <w:r w:rsidR="00D43E95">
        <w:t xml:space="preserve"> </w:t>
      </w:r>
      <w:r w:rsidR="00D942D3" w:rsidRPr="0021187D">
        <w:t>17-18</w:t>
      </w:r>
      <w:r w:rsidR="0029132D">
        <w:t>.</w:t>
      </w:r>
    </w:p>
  </w:footnote>
  <w:footnote w:id="157">
    <w:p w14:paraId="7D588DA6" w14:textId="71DA84F2" w:rsidR="00BB38E0" w:rsidRPr="001C01C5" w:rsidRDefault="00BB38E0" w:rsidP="00BB38E0">
      <w:pPr>
        <w:pStyle w:val="FootnoteText"/>
        <w:rPr>
          <w:highlight w:val="green"/>
        </w:rPr>
      </w:pPr>
      <w:r>
        <w:rPr>
          <w:rStyle w:val="FootnoteReference"/>
        </w:rPr>
        <w:footnoteRef/>
      </w:r>
      <w:r>
        <w:t xml:space="preserve"> </w:t>
      </w:r>
      <w:r w:rsidR="00672C31">
        <w:t>The Commission take</w:t>
      </w:r>
      <w:r w:rsidR="005E01FE">
        <w:t>s</w:t>
      </w:r>
      <w:r w:rsidR="00672C31">
        <w:t xml:space="preserve"> </w:t>
      </w:r>
      <w:r w:rsidR="00672C31" w:rsidRPr="002A3478">
        <w:t xml:space="preserve">official notice of the </w:t>
      </w:r>
      <w:r w:rsidR="00672C31" w:rsidRPr="0021187D">
        <w:t xml:space="preserve">Pacific Northwest National Laboratory, </w:t>
      </w:r>
      <w:r w:rsidR="00672C31" w:rsidRPr="0021187D">
        <w:rPr>
          <w:i/>
          <w:iCs/>
        </w:rPr>
        <w:t>Evaluating the Thermal Impacts of Inadvertent Export on Service Transformers</w:t>
      </w:r>
      <w:r w:rsidR="00672C31" w:rsidRPr="0021187D">
        <w:t>, at 17 (Oct. 2024).</w:t>
      </w:r>
      <w:r w:rsidR="00672C31" w:rsidRPr="002A3478">
        <w:t xml:space="preserve"> </w:t>
      </w:r>
    </w:p>
  </w:footnote>
  <w:footnote w:id="158">
    <w:p w14:paraId="3006CB24" w14:textId="224B1D7E" w:rsidR="002214B9" w:rsidRPr="00D17455" w:rsidRDefault="002214B9">
      <w:pPr>
        <w:pStyle w:val="FootnoteText"/>
      </w:pPr>
      <w:r w:rsidRPr="0021187D">
        <w:rPr>
          <w:rStyle w:val="FootnoteReference"/>
        </w:rPr>
        <w:footnoteRef/>
      </w:r>
      <w:r w:rsidRPr="0021187D">
        <w:t xml:space="preserve"> </w:t>
      </w:r>
      <w:r w:rsidR="003E74BE" w:rsidRPr="003E74BE">
        <w:t>T</w:t>
      </w:r>
      <w:r w:rsidR="001E58FD" w:rsidRPr="002A3478">
        <w:t>he Commission take</w:t>
      </w:r>
      <w:r w:rsidR="005E01FE">
        <w:t>s</w:t>
      </w:r>
      <w:r w:rsidR="001E58FD" w:rsidRPr="002A3478">
        <w:t xml:space="preserve"> official notice of the </w:t>
      </w:r>
      <w:r w:rsidR="001E58FD" w:rsidRPr="0021187D">
        <w:t>UL 3141 Second Edition Standard</w:t>
      </w:r>
      <w:r w:rsidR="005E01FE">
        <w:t>,</w:t>
      </w:r>
      <w:r w:rsidR="001E58FD" w:rsidRPr="0021187D">
        <w:t xml:space="preserve"> at 8.2.3.</w:t>
      </w:r>
      <w:r w:rsidR="001E58FD" w:rsidRPr="002A3478">
        <w:t xml:space="preserve"> </w:t>
      </w:r>
    </w:p>
  </w:footnote>
  <w:footnote w:id="159">
    <w:p w14:paraId="6255AEC3" w14:textId="530D6D5E" w:rsidR="00E5655F" w:rsidRPr="001C01C5" w:rsidRDefault="00E5655F" w:rsidP="00E5655F">
      <w:pPr>
        <w:pStyle w:val="FootnoteText"/>
      </w:pPr>
      <w:r>
        <w:rPr>
          <w:rStyle w:val="FootnoteReference"/>
        </w:rPr>
        <w:footnoteRef/>
      </w:r>
      <w:r w:rsidRPr="00D17455">
        <w:t xml:space="preserve"> </w:t>
      </w:r>
      <w:r w:rsidRPr="001C01C5">
        <w:t>C</w:t>
      </w:r>
      <w:r w:rsidR="009D4E10">
        <w:t xml:space="preserve">lean </w:t>
      </w:r>
      <w:r w:rsidRPr="001C01C5">
        <w:t>C</w:t>
      </w:r>
      <w:r w:rsidR="009D4E10">
        <w:t>oalition</w:t>
      </w:r>
      <w:r w:rsidRPr="001C01C5">
        <w:t xml:space="preserve"> </w:t>
      </w:r>
      <w:r w:rsidR="009D4E10">
        <w:rPr>
          <w:lang w:val="en-ZW"/>
        </w:rPr>
        <w:t>Opening Comments on Next Steps Ruling</w:t>
      </w:r>
      <w:r w:rsidR="009D4E10" w:rsidDel="00F8284E">
        <w:rPr>
          <w:lang w:val="en-ZW"/>
        </w:rPr>
        <w:t xml:space="preserve"> </w:t>
      </w:r>
      <w:r w:rsidR="009D4E10" w:rsidRPr="00CC0888">
        <w:t>a</w:t>
      </w:r>
      <w:r w:rsidR="009D4E10">
        <w:t>t</w:t>
      </w:r>
      <w:r w:rsidR="00D43E95">
        <w:t xml:space="preserve"> </w:t>
      </w:r>
      <w:r w:rsidRPr="001C01C5">
        <w:t>12.</w:t>
      </w:r>
    </w:p>
  </w:footnote>
  <w:footnote w:id="160">
    <w:p w14:paraId="46E69972" w14:textId="0542266B" w:rsidR="00BB6A3B" w:rsidRDefault="0027768D">
      <w:pPr>
        <w:pStyle w:val="FootnoteText"/>
      </w:pPr>
      <w:r>
        <w:rPr>
          <w:rStyle w:val="FootnoteReference"/>
        </w:rPr>
        <w:footnoteRef/>
      </w:r>
      <w:r>
        <w:t xml:space="preserve"> </w:t>
      </w:r>
      <w:r w:rsidR="00BE6F5F">
        <w:t xml:space="preserve">PG&amp;E June 13, 2025 response to </w:t>
      </w:r>
      <w:r w:rsidR="00520968">
        <w:t>T</w:t>
      </w:r>
      <w:r w:rsidR="00BE6F5F">
        <w:t xml:space="preserve">ransparency </w:t>
      </w:r>
      <w:r w:rsidR="00520968">
        <w:t>R</w:t>
      </w:r>
      <w:r w:rsidR="00BE6F5F">
        <w:t xml:space="preserve">uling at </w:t>
      </w:r>
      <w:r w:rsidR="00655104">
        <w:t>2.</w:t>
      </w:r>
    </w:p>
  </w:footnote>
  <w:footnote w:id="161">
    <w:p w14:paraId="25DC8864" w14:textId="77777777" w:rsidR="00BB6A3B" w:rsidRDefault="00BB6A3B" w:rsidP="00BB6A3B">
      <w:pPr>
        <w:pStyle w:val="FootnoteText"/>
      </w:pPr>
      <w:r>
        <w:rPr>
          <w:rStyle w:val="FootnoteReference"/>
        </w:rPr>
        <w:footnoteRef/>
      </w:r>
      <w:r>
        <w:t xml:space="preserve"> PG&amp;E June 13, 2025 response to Transparency Ruling at 16.</w:t>
      </w:r>
    </w:p>
  </w:footnote>
  <w:footnote w:id="162">
    <w:p w14:paraId="18693388" w14:textId="50493E64" w:rsidR="00BB6A3B" w:rsidRDefault="00BB6A3B" w:rsidP="00BB6A3B">
      <w:pPr>
        <w:pStyle w:val="FootnoteText"/>
      </w:pPr>
      <w:r>
        <w:rPr>
          <w:rStyle w:val="FootnoteReference"/>
        </w:rPr>
        <w:footnoteRef/>
      </w:r>
      <w:r>
        <w:t xml:space="preserve"> PG&amp;E’s June 13, 2025 re</w:t>
      </w:r>
      <w:r w:rsidR="0012534E">
        <w:t>s</w:t>
      </w:r>
      <w:r>
        <w:t>ponse to Transparency Ruling at 17.</w:t>
      </w:r>
    </w:p>
  </w:footnote>
  <w:footnote w:id="163">
    <w:p w14:paraId="16EA9BA9" w14:textId="4EB37BCC" w:rsidR="00BB6A3B" w:rsidRDefault="00BB6A3B" w:rsidP="00BB6A3B">
      <w:pPr>
        <w:pStyle w:val="FootnoteText"/>
      </w:pPr>
      <w:r>
        <w:rPr>
          <w:rStyle w:val="FootnoteReference"/>
        </w:rPr>
        <w:footnoteRef/>
      </w:r>
      <w:r>
        <w:t xml:space="preserve"> </w:t>
      </w:r>
      <w:r w:rsidRPr="0014629C">
        <w:t>Opening Comments of IREC on the Commissioner’s Scoping</w:t>
      </w:r>
      <w:r>
        <w:t xml:space="preserve"> </w:t>
      </w:r>
      <w:r w:rsidRPr="0014629C">
        <w:t xml:space="preserve">Memo and Ruling, at </w:t>
      </w:r>
      <w:r>
        <w:t>5</w:t>
      </w:r>
      <w:r w:rsidRPr="0014629C">
        <w:t>-7</w:t>
      </w:r>
      <w:r>
        <w:t>.</w:t>
      </w:r>
    </w:p>
  </w:footnote>
  <w:footnote w:id="164">
    <w:p w14:paraId="41625F29" w14:textId="56A122F7" w:rsidR="00BB6A3B" w:rsidRDefault="00BB6A3B" w:rsidP="00BB6A3B">
      <w:pPr>
        <w:pStyle w:val="FootnoteText"/>
      </w:pPr>
      <w:r>
        <w:rPr>
          <w:rStyle w:val="FootnoteReference"/>
        </w:rPr>
        <w:footnoteRef/>
      </w:r>
      <w:r>
        <w:t xml:space="preserve"> IREC </w:t>
      </w:r>
      <w:r w:rsidR="00FE763A">
        <w:t xml:space="preserve">Comment on Responses to Transparency Ruling </w:t>
      </w:r>
      <w:r>
        <w:t>at 11.</w:t>
      </w:r>
    </w:p>
  </w:footnote>
  <w:footnote w:id="165">
    <w:p w14:paraId="1BEBE669" w14:textId="4529895D" w:rsidR="00BB6A3B" w:rsidRPr="00966271" w:rsidRDefault="00BB6A3B" w:rsidP="00BB6A3B">
      <w:pPr>
        <w:pStyle w:val="FootnoteText"/>
      </w:pPr>
      <w:r>
        <w:rPr>
          <w:rStyle w:val="FootnoteReference"/>
        </w:rPr>
        <w:footnoteRef/>
      </w:r>
      <w:r w:rsidRPr="0012220B">
        <w:t xml:space="preserve"> IREC </w:t>
      </w:r>
      <w:r w:rsidR="003354E2">
        <w:rPr>
          <w:lang w:val="en-ZW"/>
        </w:rPr>
        <w:t>Opening Comments on Next Steps Ruling</w:t>
      </w:r>
      <w:r w:rsidR="003354E2" w:rsidDel="00F8284E">
        <w:rPr>
          <w:lang w:val="en-ZW"/>
        </w:rPr>
        <w:t xml:space="preserve"> </w:t>
      </w:r>
      <w:r w:rsidR="003354E2" w:rsidRPr="00CC0888">
        <w:t>a</w:t>
      </w:r>
      <w:r w:rsidR="003354E2">
        <w:t>t</w:t>
      </w:r>
      <w:r w:rsidR="00D43E95">
        <w:t xml:space="preserve"> </w:t>
      </w:r>
      <w:r w:rsidRPr="00966271">
        <w:t>29.</w:t>
      </w:r>
    </w:p>
  </w:footnote>
  <w:footnote w:id="166">
    <w:p w14:paraId="43F2FA2C" w14:textId="658782EF" w:rsidR="00BB6A3B" w:rsidRPr="003318D2" w:rsidRDefault="00BB6A3B" w:rsidP="00BB6A3B">
      <w:pPr>
        <w:pStyle w:val="FootnoteText"/>
        <w:rPr>
          <w:lang w:val="en-ZW"/>
        </w:rPr>
      </w:pPr>
      <w:r>
        <w:rPr>
          <w:rStyle w:val="FootnoteReference"/>
        </w:rPr>
        <w:footnoteRef/>
      </w:r>
      <w:r>
        <w:t xml:space="preserve"> </w:t>
      </w:r>
      <w:r>
        <w:rPr>
          <w:lang w:val="en-ZW"/>
        </w:rPr>
        <w:t xml:space="preserve">PACT </w:t>
      </w:r>
      <w:r w:rsidR="003354E2">
        <w:rPr>
          <w:lang w:val="en-ZW"/>
        </w:rPr>
        <w:t>Opening Comments on Next Steps Ruling</w:t>
      </w:r>
      <w:r w:rsidR="003354E2" w:rsidDel="00F8284E">
        <w:rPr>
          <w:lang w:val="en-ZW"/>
        </w:rPr>
        <w:t xml:space="preserve"> </w:t>
      </w:r>
      <w:r w:rsidR="003354E2" w:rsidRPr="00CC0888">
        <w:t>a</w:t>
      </w:r>
      <w:r w:rsidR="003354E2">
        <w:t>t</w:t>
      </w:r>
      <w:r w:rsidR="00D43E95">
        <w:t xml:space="preserve"> </w:t>
      </w:r>
      <w:r>
        <w:rPr>
          <w:lang w:val="en-ZW"/>
        </w:rPr>
        <w:t>11.</w:t>
      </w:r>
    </w:p>
  </w:footnote>
  <w:footnote w:id="167">
    <w:p w14:paraId="4947B2F3" w14:textId="2B9FEC3D" w:rsidR="0053237C" w:rsidRDefault="0053237C">
      <w:pPr>
        <w:pStyle w:val="FootnoteText"/>
      </w:pPr>
      <w:r>
        <w:rPr>
          <w:rStyle w:val="FootnoteReference"/>
        </w:rPr>
        <w:footnoteRef/>
      </w:r>
      <w:r>
        <w:t xml:space="preserve"> EDF Comment on Responses to Transparency</w:t>
      </w:r>
      <w:r w:rsidR="002C4721">
        <w:t xml:space="preserve"> Ruling at 2.</w:t>
      </w:r>
    </w:p>
  </w:footnote>
  <w:footnote w:id="168">
    <w:p w14:paraId="06F7CE51" w14:textId="293A020B" w:rsidR="009B0935" w:rsidRDefault="009B0935">
      <w:pPr>
        <w:pStyle w:val="FootnoteText"/>
      </w:pPr>
      <w:r>
        <w:rPr>
          <w:rStyle w:val="FootnoteReference"/>
        </w:rPr>
        <w:footnoteRef/>
      </w:r>
      <w:r>
        <w:t xml:space="preserve"> </w:t>
      </w:r>
      <w:r w:rsidR="006F5CE0">
        <w:t>SCE Advice 5138-E at 3.</w:t>
      </w:r>
    </w:p>
  </w:footnote>
  <w:footnote w:id="169">
    <w:p w14:paraId="0309C109" w14:textId="408F3E45" w:rsidR="00AF2BF4" w:rsidRDefault="00AF2BF4">
      <w:pPr>
        <w:pStyle w:val="FootnoteText"/>
      </w:pPr>
      <w:r>
        <w:rPr>
          <w:rStyle w:val="FootnoteReference"/>
        </w:rPr>
        <w:footnoteRef/>
      </w:r>
      <w:r>
        <w:t xml:space="preserve"> SCE Advice 5138-E at 8.</w:t>
      </w:r>
    </w:p>
  </w:footnote>
  <w:footnote w:id="170">
    <w:p w14:paraId="2338E386" w14:textId="6356414A" w:rsidR="00F63ECE" w:rsidRDefault="00F63ECE">
      <w:pPr>
        <w:pStyle w:val="FootnoteText"/>
      </w:pPr>
      <w:r>
        <w:rPr>
          <w:rStyle w:val="FootnoteReference"/>
        </w:rPr>
        <w:footnoteRef/>
      </w:r>
      <w:r>
        <w:t xml:space="preserve"> SCE </w:t>
      </w:r>
      <w:r>
        <w:rPr>
          <w:lang w:val="en-ZW"/>
        </w:rPr>
        <w:t>Opening Comments on Next Steps Ruling</w:t>
      </w:r>
      <w:r w:rsidDel="00F8284E">
        <w:rPr>
          <w:lang w:val="en-ZW"/>
        </w:rPr>
        <w:t xml:space="preserve"> </w:t>
      </w:r>
      <w:r w:rsidRPr="00CC0888">
        <w:t>a</w:t>
      </w:r>
      <w:r>
        <w:t>t</w:t>
      </w:r>
      <w:r w:rsidR="00754B4E">
        <w:t xml:space="preserve"> 15.</w:t>
      </w:r>
    </w:p>
  </w:footnote>
  <w:footnote w:id="171">
    <w:p w14:paraId="6CF20E2C" w14:textId="7EC7401C" w:rsidR="00933E37" w:rsidRPr="002B052A" w:rsidRDefault="00933E37" w:rsidP="00933E37">
      <w:pPr>
        <w:pStyle w:val="FootnoteText"/>
      </w:pPr>
      <w:r>
        <w:rPr>
          <w:rStyle w:val="FootnoteReference"/>
        </w:rPr>
        <w:footnoteRef/>
      </w:r>
      <w:r w:rsidRPr="002B052A">
        <w:t xml:space="preserve"> CA</w:t>
      </w:r>
      <w:r w:rsidR="00211741">
        <w:t>LSTART</w:t>
      </w:r>
      <w:r w:rsidRPr="002B052A">
        <w:t xml:space="preserve"> </w:t>
      </w:r>
      <w:r w:rsidR="00FE763A">
        <w:t xml:space="preserve">Comment on Responses to Transparency Ruling </w:t>
      </w:r>
      <w:r>
        <w:t>at 2-3.</w:t>
      </w:r>
      <w:r w:rsidR="009236D6">
        <w:t xml:space="preserve"> C</w:t>
      </w:r>
      <w:r w:rsidR="003354E2">
        <w:t>ALSTART</w:t>
      </w:r>
      <w:r w:rsidR="009236D6">
        <w:t xml:space="preserve"> </w:t>
      </w:r>
      <w:r w:rsidR="003354E2">
        <w:rPr>
          <w:lang w:val="en-ZW"/>
        </w:rPr>
        <w:t>Opening Comments on Next Steps Ruling</w:t>
      </w:r>
      <w:r w:rsidR="00BC2E8A">
        <w:rPr>
          <w:lang w:val="en-ZW"/>
        </w:rPr>
        <w:t xml:space="preserve"> </w:t>
      </w:r>
      <w:r w:rsidR="009236D6">
        <w:t>at 5.</w:t>
      </w:r>
    </w:p>
  </w:footnote>
  <w:footnote w:id="172">
    <w:p w14:paraId="0CD75130" w14:textId="10CD1892" w:rsidR="009B07A5" w:rsidRDefault="009B07A5" w:rsidP="009B07A5">
      <w:pPr>
        <w:pStyle w:val="FootnoteText"/>
      </w:pPr>
      <w:r>
        <w:rPr>
          <w:rStyle w:val="FootnoteReference"/>
        </w:rPr>
        <w:footnoteRef/>
      </w:r>
      <w:r>
        <w:t xml:space="preserve"> </w:t>
      </w:r>
      <w:r w:rsidR="00DC5758">
        <w:t>CALSTART Comment on Responses to Transparency Ruling at 9.</w:t>
      </w:r>
    </w:p>
  </w:footnote>
  <w:footnote w:id="173">
    <w:p w14:paraId="724193D3" w14:textId="273452F6" w:rsidR="00F93293" w:rsidRDefault="00F93293" w:rsidP="00F93293">
      <w:pPr>
        <w:pStyle w:val="FootnoteText"/>
      </w:pPr>
      <w:r>
        <w:rPr>
          <w:rStyle w:val="FootnoteReference"/>
        </w:rPr>
        <w:footnoteRef/>
      </w:r>
      <w:r>
        <w:t xml:space="preserve"> </w:t>
      </w:r>
      <w:r w:rsidRPr="002B052A">
        <w:t>CA</w:t>
      </w:r>
      <w:r w:rsidR="00211741">
        <w:t>LSTART</w:t>
      </w:r>
      <w:r w:rsidRPr="002B052A">
        <w:t xml:space="preserve"> </w:t>
      </w:r>
      <w:r w:rsidR="00FE763A">
        <w:t xml:space="preserve">Comment on Responses to Transparency Ruling </w:t>
      </w:r>
      <w:r>
        <w:t>at 8-9.</w:t>
      </w:r>
    </w:p>
  </w:footnote>
  <w:footnote w:id="174">
    <w:p w14:paraId="615891FC" w14:textId="49FA96C5" w:rsidR="00681B32" w:rsidRPr="002B052A" w:rsidRDefault="00681B32" w:rsidP="00681B32">
      <w:pPr>
        <w:pStyle w:val="FootnoteText"/>
      </w:pPr>
      <w:r>
        <w:rPr>
          <w:rStyle w:val="FootnoteReference"/>
        </w:rPr>
        <w:footnoteRef/>
      </w:r>
      <w:r w:rsidRPr="002B052A">
        <w:t xml:space="preserve"> PACT </w:t>
      </w:r>
      <w:r w:rsidR="003354E2">
        <w:rPr>
          <w:lang w:val="en-ZW"/>
        </w:rPr>
        <w:t>Opening Comments on Next Steps Ruling</w:t>
      </w:r>
      <w:r w:rsidR="003354E2" w:rsidDel="00F8284E">
        <w:rPr>
          <w:lang w:val="en-ZW"/>
        </w:rPr>
        <w:t xml:space="preserve"> </w:t>
      </w:r>
      <w:r w:rsidR="003354E2" w:rsidRPr="00CC0888">
        <w:t>a</w:t>
      </w:r>
      <w:r w:rsidR="003354E2">
        <w:t>t</w:t>
      </w:r>
      <w:r w:rsidR="00BC2E8A">
        <w:t xml:space="preserve"> </w:t>
      </w:r>
      <w:r w:rsidRPr="002B052A">
        <w:t>12.</w:t>
      </w:r>
    </w:p>
  </w:footnote>
  <w:footnote w:id="175">
    <w:p w14:paraId="582575CF" w14:textId="690FF4E7" w:rsidR="006A02CE" w:rsidRDefault="006A02CE">
      <w:pPr>
        <w:pStyle w:val="FootnoteText"/>
      </w:pPr>
      <w:r>
        <w:rPr>
          <w:rStyle w:val="FootnoteReference"/>
        </w:rPr>
        <w:footnoteRef/>
      </w:r>
      <w:r>
        <w:t xml:space="preserve"> SCE </w:t>
      </w:r>
      <w:r w:rsidR="00520968">
        <w:t xml:space="preserve">June 13, 2025 response to Transparency Ruling </w:t>
      </w:r>
      <w:r>
        <w:t xml:space="preserve">at </w:t>
      </w:r>
      <w:r w:rsidR="000F1D09">
        <w:t>9-10</w:t>
      </w:r>
      <w:r w:rsidR="0001437F">
        <w:t>.</w:t>
      </w:r>
    </w:p>
  </w:footnote>
  <w:footnote w:id="176">
    <w:p w14:paraId="11000FE6" w14:textId="6BF45867" w:rsidR="00C26B01" w:rsidRDefault="00C26B01">
      <w:pPr>
        <w:pStyle w:val="FootnoteText"/>
      </w:pPr>
      <w:r>
        <w:rPr>
          <w:rStyle w:val="FootnoteReference"/>
        </w:rPr>
        <w:footnoteRef/>
      </w:r>
      <w:r>
        <w:t xml:space="preserve"> </w:t>
      </w:r>
      <w:r w:rsidR="001C5F14">
        <w:t>PG&amp;E</w:t>
      </w:r>
      <w:r w:rsidR="001C5F14" w:rsidRPr="006C38A8">
        <w:t xml:space="preserve"> </w:t>
      </w:r>
      <w:r w:rsidR="001C5F14">
        <w:t>June 13, 2025 response to Transparency Ruling at 14</w:t>
      </w:r>
      <w:r w:rsidRPr="00B62302">
        <w:rPr>
          <w:highlight w:val="yellow"/>
        </w:rPr>
        <w:t>.</w:t>
      </w:r>
    </w:p>
  </w:footnote>
  <w:footnote w:id="177">
    <w:p w14:paraId="3A09EEA9" w14:textId="24332234" w:rsidR="00ED3CC6" w:rsidRDefault="00ED3CC6" w:rsidP="00ED3CC6">
      <w:pPr>
        <w:pStyle w:val="FootnoteText"/>
      </w:pPr>
      <w:r>
        <w:rPr>
          <w:rStyle w:val="FootnoteReference"/>
        </w:rPr>
        <w:footnoteRef/>
      </w:r>
      <w:r>
        <w:t xml:space="preserve"> PG&amp;E</w:t>
      </w:r>
      <w:r w:rsidR="006C38A8" w:rsidRPr="006C38A8">
        <w:t xml:space="preserve"> </w:t>
      </w:r>
      <w:r w:rsidR="006C38A8">
        <w:t xml:space="preserve">June 13, 2025 response to Transparency Ruling </w:t>
      </w:r>
      <w:r>
        <w:t>at 14.</w:t>
      </w:r>
    </w:p>
  </w:footnote>
  <w:footnote w:id="178">
    <w:p w14:paraId="2A1589AF" w14:textId="58B3E806" w:rsidR="00ED3CC6" w:rsidRDefault="00ED3CC6" w:rsidP="00ED3CC6">
      <w:pPr>
        <w:pStyle w:val="FootnoteText"/>
      </w:pPr>
      <w:r>
        <w:rPr>
          <w:rStyle w:val="FootnoteReference"/>
        </w:rPr>
        <w:footnoteRef/>
      </w:r>
      <w:r>
        <w:t xml:space="preserve"> SCE</w:t>
      </w:r>
      <w:r w:rsidR="006C38A8">
        <w:t xml:space="preserve"> June 13, 2025 response to Transparency Ruling </w:t>
      </w:r>
      <w:r>
        <w:t>at 8.</w:t>
      </w:r>
    </w:p>
  </w:footnote>
  <w:footnote w:id="179">
    <w:p w14:paraId="174FD292" w14:textId="0D6547D5" w:rsidR="00ED3CC6" w:rsidRDefault="00ED3CC6" w:rsidP="00ED3CC6">
      <w:pPr>
        <w:pStyle w:val="FootnoteText"/>
      </w:pPr>
      <w:r>
        <w:rPr>
          <w:rStyle w:val="FootnoteReference"/>
        </w:rPr>
        <w:footnoteRef/>
      </w:r>
      <w:r>
        <w:t xml:space="preserve"> </w:t>
      </w:r>
      <w:r w:rsidR="00C102E1">
        <w:t>CALSTART</w:t>
      </w:r>
      <w:r w:rsidR="00C102E1" w:rsidRPr="0012220B">
        <w:t xml:space="preserve"> </w:t>
      </w:r>
      <w:r w:rsidR="00C102E1">
        <w:rPr>
          <w:lang w:val="en-ZW"/>
        </w:rPr>
        <w:t>Opening Comments on Next Steps Ruling</w:t>
      </w:r>
      <w:r w:rsidR="00C102E1" w:rsidDel="00F8284E">
        <w:rPr>
          <w:lang w:val="en-ZW"/>
        </w:rPr>
        <w:t xml:space="preserve"> </w:t>
      </w:r>
      <w:r w:rsidR="00C102E1" w:rsidRPr="00CC0888">
        <w:t>a</w:t>
      </w:r>
      <w:r w:rsidR="00C102E1">
        <w:t xml:space="preserve">t </w:t>
      </w:r>
      <w:r w:rsidR="00757656">
        <w:t>14.</w:t>
      </w:r>
    </w:p>
  </w:footnote>
  <w:footnote w:id="180">
    <w:p w14:paraId="6C4DF644" w14:textId="01815FD2" w:rsidR="00ED3CC6" w:rsidRDefault="00ED3CC6" w:rsidP="00ED3CC6">
      <w:pPr>
        <w:pStyle w:val="FootnoteText"/>
      </w:pPr>
      <w:r>
        <w:rPr>
          <w:rStyle w:val="FootnoteReference"/>
        </w:rPr>
        <w:footnoteRef/>
      </w:r>
      <w:r>
        <w:t xml:space="preserve"> CALSTART June 28, 2024 reply comments to ALJ ruling at 4-5, </w:t>
      </w:r>
      <w:r w:rsidR="008E3DBD">
        <w:t xml:space="preserve">CALSTART </w:t>
      </w:r>
      <w:r>
        <w:t xml:space="preserve">comments on </w:t>
      </w:r>
      <w:r w:rsidR="00901D70">
        <w:t xml:space="preserve">Responses to </w:t>
      </w:r>
      <w:r>
        <w:t xml:space="preserve">Transparency ruling at 5, PG&amp;E </w:t>
      </w:r>
      <w:r w:rsidR="00DD4A6C" w:rsidRPr="00623F64">
        <w:t xml:space="preserve">June 13, 2025 response to Transparency Ruling </w:t>
      </w:r>
      <w:r w:rsidRPr="00623F64">
        <w:t xml:space="preserve">at 16, </w:t>
      </w:r>
      <w:r w:rsidRPr="002B51C8">
        <w:t>and SCE</w:t>
      </w:r>
      <w:r w:rsidR="00DD4A6C" w:rsidRPr="002B51C8">
        <w:t xml:space="preserve"> </w:t>
      </w:r>
      <w:r w:rsidR="00DD4A6C" w:rsidRPr="00623F64">
        <w:t>June 13, 2025 response to Transparency Ruling at</w:t>
      </w:r>
      <w:r w:rsidR="00623F64" w:rsidRPr="00623F64">
        <w:t xml:space="preserve"> 11.</w:t>
      </w:r>
    </w:p>
  </w:footnote>
  <w:footnote w:id="181">
    <w:p w14:paraId="1F44EB5D" w14:textId="3FA686D5" w:rsidR="006D4781" w:rsidRPr="00A342C7" w:rsidRDefault="006D4781" w:rsidP="006D4781">
      <w:pPr>
        <w:pStyle w:val="FootnoteText"/>
      </w:pPr>
      <w:r>
        <w:rPr>
          <w:rStyle w:val="FootnoteReference"/>
        </w:rPr>
        <w:footnoteRef/>
      </w:r>
      <w:r w:rsidRPr="00A342C7">
        <w:t xml:space="preserve"> </w:t>
      </w:r>
      <w:r w:rsidR="00A342C7" w:rsidRPr="00A342C7">
        <w:t>PG&amp;E PD Op</w:t>
      </w:r>
      <w:r w:rsidR="00A342C7" w:rsidRPr="00B62302">
        <w:t>ening Co</w:t>
      </w:r>
      <w:r w:rsidR="00A342C7">
        <w:t>mments at</w:t>
      </w:r>
      <w:r w:rsidR="004D0836">
        <w:t xml:space="preserve"> 7-9, Advice Letter 7490-E</w:t>
      </w:r>
      <w:r w:rsidR="00486C9E">
        <w:t>.</w:t>
      </w:r>
    </w:p>
  </w:footnote>
  <w:footnote w:id="182">
    <w:p w14:paraId="06D5EF5C" w14:textId="34311AD5" w:rsidR="00714AA7" w:rsidRDefault="00714AA7">
      <w:pPr>
        <w:pStyle w:val="FootnoteText"/>
      </w:pPr>
      <w:r>
        <w:rPr>
          <w:rStyle w:val="FootnoteReference"/>
        </w:rPr>
        <w:footnoteRef/>
      </w:r>
      <w:r>
        <w:t xml:space="preserve"> </w:t>
      </w:r>
      <w:r w:rsidR="0033457F">
        <w:t>D.24-10-030 at 165</w:t>
      </w:r>
      <w:r w:rsidR="003C4EF8">
        <w:t>-167</w:t>
      </w:r>
      <w:r w:rsidR="0033457F">
        <w:t>.</w:t>
      </w:r>
    </w:p>
  </w:footnote>
  <w:footnote w:id="183">
    <w:p w14:paraId="7A59FA12" w14:textId="48C5BB3D" w:rsidR="00D22F73" w:rsidRPr="00A342C7" w:rsidRDefault="00D22F73" w:rsidP="00D22F73">
      <w:pPr>
        <w:pStyle w:val="FootnoteText"/>
      </w:pPr>
      <w:r>
        <w:rPr>
          <w:rStyle w:val="FootnoteReference"/>
        </w:rPr>
        <w:footnoteRef/>
      </w:r>
      <w:r w:rsidRPr="00A342C7">
        <w:t xml:space="preserve"> Resolution E-5165 at </w:t>
      </w:r>
      <w:r w:rsidR="00BC2E8A" w:rsidRPr="00A342C7">
        <w:t>O</w:t>
      </w:r>
      <w:r w:rsidRPr="00A342C7">
        <w:t xml:space="preserve">rdering </w:t>
      </w:r>
      <w:r w:rsidR="00BC2E8A" w:rsidRPr="00A342C7">
        <w:t>P</w:t>
      </w:r>
      <w:r w:rsidRPr="00A342C7">
        <w:t>aragraph 2.</w:t>
      </w:r>
    </w:p>
  </w:footnote>
  <w:footnote w:id="184">
    <w:p w14:paraId="68DB6EB6" w14:textId="77777777" w:rsidR="00D22F73" w:rsidRDefault="00D22F73" w:rsidP="00D22F73">
      <w:pPr>
        <w:pStyle w:val="FootnoteText"/>
      </w:pPr>
      <w:r>
        <w:rPr>
          <w:rStyle w:val="FootnoteReference"/>
        </w:rPr>
        <w:footnoteRef/>
      </w:r>
      <w:r>
        <w:t xml:space="preserve"> PG&amp;E Electric Tariff Rule 21 at 49-50.</w:t>
      </w:r>
    </w:p>
  </w:footnote>
  <w:footnote w:id="185">
    <w:p w14:paraId="0F584EC0" w14:textId="05FEA8F6" w:rsidR="00520808" w:rsidRDefault="00520808" w:rsidP="00520808">
      <w:pPr>
        <w:pStyle w:val="FootnoteText"/>
      </w:pPr>
      <w:r>
        <w:rPr>
          <w:rStyle w:val="FootnoteReference"/>
        </w:rPr>
        <w:footnoteRef/>
      </w:r>
      <w:r>
        <w:t xml:space="preserve"> </w:t>
      </w:r>
      <w:r w:rsidR="008D620C">
        <w:rPr>
          <w:lang w:val="en-ZW"/>
        </w:rPr>
        <w:t>CALSTART</w:t>
      </w:r>
      <w:r w:rsidR="008D620C" w:rsidRPr="009B5339">
        <w:t xml:space="preserve"> </w:t>
      </w:r>
      <w:r w:rsidR="008D620C" w:rsidRPr="008C2820">
        <w:t>Comments on Responses to Transparency Ruling</w:t>
      </w:r>
      <w:r w:rsidR="008D620C">
        <w:rPr>
          <w:lang w:val="en-ZW"/>
        </w:rPr>
        <w:t xml:space="preserve"> at 17</w:t>
      </w:r>
    </w:p>
  </w:footnote>
  <w:footnote w:id="186">
    <w:p w14:paraId="49D1E687" w14:textId="0B3DF78F" w:rsidR="00520808" w:rsidRDefault="00520808" w:rsidP="00520808">
      <w:pPr>
        <w:pStyle w:val="FootnoteText"/>
      </w:pPr>
      <w:r>
        <w:rPr>
          <w:rStyle w:val="FootnoteReference"/>
        </w:rPr>
        <w:footnoteRef/>
      </w:r>
      <w:r>
        <w:t xml:space="preserve"> </w:t>
      </w:r>
      <w:r w:rsidR="008D620C">
        <w:rPr>
          <w:lang w:val="en-ZW"/>
        </w:rPr>
        <w:t>CALSTART</w:t>
      </w:r>
      <w:r w:rsidR="008D620C" w:rsidRPr="009B5339">
        <w:t xml:space="preserve"> </w:t>
      </w:r>
      <w:r w:rsidR="008D620C" w:rsidRPr="008C2820">
        <w:t>Comments on Responses to Transparency Ruling</w:t>
      </w:r>
      <w:r w:rsidR="008D620C">
        <w:rPr>
          <w:lang w:val="en-ZW"/>
        </w:rPr>
        <w:t xml:space="preserve"> at 17</w:t>
      </w:r>
      <w:r w:rsidR="00D43E95">
        <w:t>.</w:t>
      </w:r>
    </w:p>
  </w:footnote>
  <w:footnote w:id="187">
    <w:p w14:paraId="296DB190" w14:textId="5E31275C" w:rsidR="007B34C0" w:rsidRDefault="007B34C0">
      <w:pPr>
        <w:pStyle w:val="FootnoteText"/>
      </w:pPr>
      <w:r>
        <w:rPr>
          <w:rStyle w:val="FootnoteReference"/>
        </w:rPr>
        <w:footnoteRef/>
      </w:r>
      <w:r>
        <w:t xml:space="preserve"> PG&amp;E PD Opening comments at 2.</w:t>
      </w:r>
    </w:p>
  </w:footnote>
  <w:footnote w:id="188">
    <w:p w14:paraId="32802ABA" w14:textId="77777777" w:rsidR="0093615D" w:rsidRDefault="0093615D" w:rsidP="0093615D">
      <w:pPr>
        <w:pStyle w:val="FootnoteText"/>
      </w:pPr>
      <w:r>
        <w:rPr>
          <w:rStyle w:val="FootnoteReference"/>
        </w:rPr>
        <w:footnoteRef/>
      </w:r>
      <w:r>
        <w:t xml:space="preserve"> PG&amp;E PD Opening comments at 2.</w:t>
      </w:r>
    </w:p>
  </w:footnote>
  <w:footnote w:id="189">
    <w:p w14:paraId="1B209F39" w14:textId="1100F876" w:rsidR="00702A69" w:rsidRDefault="00702A69" w:rsidP="00702A69">
      <w:pPr>
        <w:pStyle w:val="FootnoteText"/>
      </w:pPr>
      <w:r>
        <w:rPr>
          <w:rStyle w:val="FootnoteReference"/>
        </w:rPr>
        <w:footnoteRef/>
      </w:r>
      <w:r>
        <w:t xml:space="preserve"> </w:t>
      </w:r>
      <w:r w:rsidRPr="00B62302">
        <w:t xml:space="preserve">SCE AL </w:t>
      </w:r>
      <w:r w:rsidR="00674971" w:rsidRPr="00B62302">
        <w:t>5138-E</w:t>
      </w:r>
      <w:r w:rsidR="00EA1C47">
        <w:t>, passim</w:t>
      </w:r>
      <w:r w:rsidRPr="00B62302">
        <w:t>.</w:t>
      </w:r>
    </w:p>
  </w:footnote>
  <w:footnote w:id="190">
    <w:p w14:paraId="3A13DBD7" w14:textId="4CB3596D" w:rsidR="009D039D" w:rsidRDefault="009D039D">
      <w:pPr>
        <w:pStyle w:val="FootnoteText"/>
      </w:pPr>
      <w:r>
        <w:rPr>
          <w:rStyle w:val="FootnoteReference"/>
        </w:rPr>
        <w:footnoteRef/>
      </w:r>
      <w:r>
        <w:t xml:space="preserve"> SCE PD Opening Comments at 8.</w:t>
      </w:r>
    </w:p>
  </w:footnote>
  <w:footnote w:id="191">
    <w:p w14:paraId="7BCB24E9" w14:textId="7192BFAC" w:rsidR="002773B7" w:rsidRDefault="002773B7" w:rsidP="002773B7">
      <w:pPr>
        <w:pStyle w:val="FootnoteText"/>
      </w:pPr>
      <w:r>
        <w:rPr>
          <w:rStyle w:val="FootnoteReference"/>
        </w:rPr>
        <w:footnoteRef/>
      </w:r>
      <w:r>
        <w:t xml:space="preserve"> PG&amp;E PD Opening </w:t>
      </w:r>
      <w:r w:rsidR="00C50157">
        <w:t>C</w:t>
      </w:r>
      <w:r>
        <w:t>omments at 6.</w:t>
      </w:r>
    </w:p>
  </w:footnote>
  <w:footnote w:id="192">
    <w:p w14:paraId="0B1DAF8B" w14:textId="09D6E168" w:rsidR="000140F1" w:rsidRDefault="000140F1">
      <w:pPr>
        <w:pStyle w:val="FootnoteText"/>
      </w:pPr>
      <w:r>
        <w:rPr>
          <w:rStyle w:val="FootnoteReference"/>
        </w:rPr>
        <w:footnoteRef/>
      </w:r>
      <w:r>
        <w:t xml:space="preserve"> IREC PD Opening </w:t>
      </w:r>
      <w:r w:rsidR="00C50157">
        <w:t>C</w:t>
      </w:r>
      <w:r>
        <w:t>omments at 13.</w:t>
      </w:r>
    </w:p>
  </w:footnote>
  <w:footnote w:id="193">
    <w:p w14:paraId="12F58D15" w14:textId="00B20014" w:rsidR="00A9549A" w:rsidRDefault="00A9549A">
      <w:pPr>
        <w:pStyle w:val="FootnoteText"/>
      </w:pPr>
      <w:r>
        <w:rPr>
          <w:rStyle w:val="FootnoteReference"/>
        </w:rPr>
        <w:footnoteRef/>
      </w:r>
      <w:r>
        <w:t xml:space="preserve"> </w:t>
      </w:r>
      <w:r w:rsidR="00153590" w:rsidRPr="0066543E">
        <w:t xml:space="preserve">EDF </w:t>
      </w:r>
      <w:r w:rsidR="00CE149C" w:rsidRPr="00CE149C">
        <w:t xml:space="preserve">PD </w:t>
      </w:r>
      <w:r w:rsidR="00153590" w:rsidRPr="00CE149C">
        <w:t>Opening</w:t>
      </w:r>
      <w:r w:rsidR="00CE149C" w:rsidRPr="00CE149C">
        <w:t xml:space="preserve"> Comments</w:t>
      </w:r>
      <w:r w:rsidR="00153590" w:rsidRPr="00CE149C">
        <w:t xml:space="preserve"> at 3-4, IREC </w:t>
      </w:r>
      <w:r w:rsidR="00CE149C" w:rsidRPr="00CE149C">
        <w:t>PD Reply Comments at</w:t>
      </w:r>
      <w:r w:rsidR="00153590" w:rsidRPr="00CE149C">
        <w:t xml:space="preserve"> 4, Emerald AI</w:t>
      </w:r>
      <w:r w:rsidR="00CE149C" w:rsidRPr="00B62302">
        <w:t xml:space="preserve"> </w:t>
      </w:r>
      <w:r w:rsidR="00CE149C" w:rsidRPr="00CE149C">
        <w:t xml:space="preserve">PD Reply Comments </w:t>
      </w:r>
      <w:r w:rsidR="00153590" w:rsidRPr="00CE149C">
        <w:t>at 7</w:t>
      </w:r>
      <w:r w:rsidR="00CE149C" w:rsidRPr="00B62302">
        <w:t>.</w:t>
      </w:r>
    </w:p>
  </w:footnote>
  <w:footnote w:id="194">
    <w:p w14:paraId="6E91AE8C" w14:textId="65CD1A60" w:rsidR="00E710B9" w:rsidRDefault="00E710B9">
      <w:pPr>
        <w:pStyle w:val="FootnoteText"/>
      </w:pPr>
      <w:r>
        <w:rPr>
          <w:rStyle w:val="FootnoteReference"/>
        </w:rPr>
        <w:footnoteRef/>
      </w:r>
      <w:r>
        <w:t xml:space="preserve"> PG&amp;E PD Opening Comments at </w:t>
      </w:r>
      <w:r w:rsidR="00EF3A87">
        <w:t>Appendix A</w:t>
      </w:r>
      <w:r w:rsidR="00952D0F">
        <w:t>,</w:t>
      </w:r>
      <w:r w:rsidR="00181066">
        <w:t xml:space="preserve"> page </w:t>
      </w:r>
      <w:r>
        <w:t>4.</w:t>
      </w:r>
    </w:p>
  </w:footnote>
  <w:footnote w:id="195">
    <w:p w14:paraId="04A72D10" w14:textId="77777777" w:rsidR="005F7731" w:rsidRDefault="005F7731" w:rsidP="005F7731">
      <w:pPr>
        <w:pStyle w:val="FootnoteText"/>
      </w:pPr>
      <w:r>
        <w:rPr>
          <w:rStyle w:val="FootnoteReference"/>
        </w:rPr>
        <w:footnoteRef/>
      </w:r>
      <w:r>
        <w:t xml:space="preserve"> EDF PD Opening Comments at 4.</w:t>
      </w:r>
    </w:p>
  </w:footnote>
  <w:footnote w:id="196">
    <w:p w14:paraId="181317A2" w14:textId="6BB7711F" w:rsidR="00711311" w:rsidRDefault="00711311">
      <w:pPr>
        <w:pStyle w:val="FootnoteText"/>
      </w:pPr>
      <w:r>
        <w:rPr>
          <w:rStyle w:val="FootnoteReference"/>
        </w:rPr>
        <w:footnoteRef/>
      </w:r>
      <w:r>
        <w:t xml:space="preserve"> PG&amp;E Bridging Strategies Report at 8.</w:t>
      </w:r>
    </w:p>
  </w:footnote>
  <w:footnote w:id="197">
    <w:p w14:paraId="3F3B6E9B" w14:textId="092A52D3" w:rsidR="00D36332" w:rsidRDefault="00D36332" w:rsidP="00D36332">
      <w:pPr>
        <w:pStyle w:val="FootnoteText"/>
      </w:pPr>
      <w:r>
        <w:rPr>
          <w:rStyle w:val="FootnoteReference"/>
        </w:rPr>
        <w:footnoteRef/>
      </w:r>
      <w:r>
        <w:t xml:space="preserve"> PG&amp;E PD Opening </w:t>
      </w:r>
      <w:r w:rsidR="00172991">
        <w:t>C</w:t>
      </w:r>
      <w:r>
        <w:t>omments at 6-7.</w:t>
      </w:r>
    </w:p>
  </w:footnote>
  <w:footnote w:id="198">
    <w:p w14:paraId="4CF0931E" w14:textId="08A006EC" w:rsidR="004712E4" w:rsidRDefault="004712E4" w:rsidP="004712E4">
      <w:pPr>
        <w:pStyle w:val="FootnoteText"/>
      </w:pPr>
      <w:r>
        <w:rPr>
          <w:rStyle w:val="FootnoteReference"/>
        </w:rPr>
        <w:footnoteRef/>
      </w:r>
      <w:r>
        <w:t xml:space="preserve"> PG&amp;E PD Opening </w:t>
      </w:r>
      <w:r w:rsidR="006A71EE">
        <w:t>C</w:t>
      </w:r>
      <w:r>
        <w:t>omments at 9.</w:t>
      </w:r>
    </w:p>
  </w:footnote>
  <w:footnote w:id="199">
    <w:p w14:paraId="49F633B2" w14:textId="669BE71E" w:rsidR="004712E4" w:rsidRDefault="004712E4">
      <w:pPr>
        <w:pStyle w:val="FootnoteText"/>
      </w:pPr>
      <w:r>
        <w:rPr>
          <w:rStyle w:val="FootnoteReference"/>
        </w:rPr>
        <w:footnoteRef/>
      </w:r>
      <w:r>
        <w:t xml:space="preserve"> SCE PD Opening </w:t>
      </w:r>
      <w:r w:rsidR="006A71EE">
        <w:t>C</w:t>
      </w:r>
      <w:r>
        <w:t>omments at 2.</w:t>
      </w:r>
    </w:p>
  </w:footnote>
  <w:footnote w:id="200">
    <w:p w14:paraId="2C87563B" w14:textId="11ECF033" w:rsidR="00DE0651" w:rsidRDefault="00DE0651">
      <w:pPr>
        <w:pStyle w:val="FootnoteText"/>
      </w:pPr>
      <w:r>
        <w:rPr>
          <w:rStyle w:val="FootnoteReference"/>
        </w:rPr>
        <w:footnoteRef/>
      </w:r>
      <w:r>
        <w:t xml:space="preserve"> PG&amp;E PD Opening </w:t>
      </w:r>
      <w:r w:rsidR="006A71EE">
        <w:t>C</w:t>
      </w:r>
      <w:r>
        <w:t>omments at 9.</w:t>
      </w:r>
    </w:p>
  </w:footnote>
  <w:footnote w:id="201">
    <w:p w14:paraId="15164DFD" w14:textId="2C5F7AC4" w:rsidR="00CE7B38" w:rsidRDefault="00CE7B38">
      <w:pPr>
        <w:pStyle w:val="FootnoteText"/>
      </w:pPr>
      <w:r>
        <w:rPr>
          <w:rStyle w:val="FootnoteReference"/>
        </w:rPr>
        <w:footnoteRef/>
      </w:r>
      <w:r>
        <w:t xml:space="preserve"> General Order 96b</w:t>
      </w:r>
      <w:r w:rsidR="00C84C24">
        <w:t>, General Rule 9.2.1.</w:t>
      </w:r>
    </w:p>
  </w:footnote>
  <w:footnote w:id="202">
    <w:p w14:paraId="12D80EBE" w14:textId="111BE204" w:rsidR="000B2D6D" w:rsidRDefault="000B2D6D">
      <w:pPr>
        <w:pStyle w:val="FootnoteText"/>
      </w:pPr>
      <w:r>
        <w:rPr>
          <w:rStyle w:val="FootnoteReference"/>
        </w:rPr>
        <w:footnoteRef/>
      </w:r>
      <w:r>
        <w:t xml:space="preserve"> PG&amp;E PD Opening </w:t>
      </w:r>
      <w:r w:rsidR="006A71EE">
        <w:t>C</w:t>
      </w:r>
      <w:r>
        <w:t>omments at iii</w:t>
      </w:r>
      <w:r w:rsidR="00986585">
        <w:t>, 6</w:t>
      </w:r>
      <w:r>
        <w:t>.</w:t>
      </w:r>
    </w:p>
  </w:footnote>
  <w:footnote w:id="203">
    <w:p w14:paraId="01A33B4A" w14:textId="42A6A858" w:rsidR="007C0886" w:rsidRDefault="007C0886">
      <w:pPr>
        <w:pStyle w:val="FootnoteText"/>
      </w:pPr>
      <w:r>
        <w:rPr>
          <w:rStyle w:val="FootnoteReference"/>
        </w:rPr>
        <w:footnoteRef/>
      </w:r>
      <w:r>
        <w:t xml:space="preserve"> </w:t>
      </w:r>
      <w:r w:rsidR="00637E15">
        <w:t>IREC PD Reply Comments</w:t>
      </w:r>
      <w:r w:rsidR="00637E15" w:rsidRPr="0066543E">
        <w:t xml:space="preserve"> at</w:t>
      </w:r>
      <w:r w:rsidR="004872F0">
        <w:t xml:space="preserve"> </w:t>
      </w:r>
      <w:r w:rsidR="008458A7">
        <w:t>5</w:t>
      </w:r>
      <w:r w:rsidR="004872F0">
        <w:t xml:space="preserve">4, </w:t>
      </w:r>
      <w:r w:rsidR="00DE63BD">
        <w:t>EDF PD Opening Comments</w:t>
      </w:r>
      <w:r w:rsidR="00DE63BD" w:rsidRPr="0066543E">
        <w:t xml:space="preserve"> at</w:t>
      </w:r>
      <w:r w:rsidR="00DE63BD">
        <w:t xml:space="preserve"> 3</w:t>
      </w:r>
      <w:r w:rsidR="004709B0">
        <w:t>-4</w:t>
      </w:r>
      <w:r w:rsidR="00DE63BD">
        <w:t xml:space="preserve">, </w:t>
      </w:r>
      <w:r w:rsidR="0014352F">
        <w:t>Clean Coalition PD Reply Comments</w:t>
      </w:r>
      <w:r w:rsidR="0014352F" w:rsidRPr="0066543E">
        <w:t xml:space="preserve"> at</w:t>
      </w:r>
      <w:r w:rsidR="0014352F">
        <w:t xml:space="preserve"> 4.</w:t>
      </w:r>
    </w:p>
  </w:footnote>
  <w:footnote w:id="204">
    <w:p w14:paraId="20A3FF9C" w14:textId="3A03EA0F" w:rsidR="00950F34" w:rsidRDefault="00950F34">
      <w:pPr>
        <w:pStyle w:val="FootnoteText"/>
      </w:pPr>
      <w:r>
        <w:rPr>
          <w:rStyle w:val="FootnoteReference"/>
        </w:rPr>
        <w:footnoteRef/>
      </w:r>
      <w:r w:rsidR="00247ACA">
        <w:t>PG&amp;E</w:t>
      </w:r>
      <w:r>
        <w:t xml:space="preserve"> </w:t>
      </w:r>
      <w:r w:rsidR="00247ACA">
        <w:t xml:space="preserve">PD </w:t>
      </w:r>
      <w:r w:rsidR="00997788">
        <w:t xml:space="preserve">Opening </w:t>
      </w:r>
      <w:r w:rsidR="00247ACA">
        <w:t>Comments</w:t>
      </w:r>
      <w:r w:rsidR="00247ACA" w:rsidRPr="0066543E">
        <w:t xml:space="preserve"> at</w:t>
      </w:r>
      <w:r w:rsidR="00997788">
        <w:t xml:space="preserve"> 4-5, </w:t>
      </w:r>
      <w:r w:rsidR="00A53FDB">
        <w:t>SCE PD Opening Comments</w:t>
      </w:r>
      <w:r w:rsidR="00A53FDB" w:rsidRPr="0066543E">
        <w:t xml:space="preserve"> at</w:t>
      </w:r>
      <w:r w:rsidR="00A53FDB">
        <w:t xml:space="preserve"> 13-14,</w:t>
      </w:r>
      <w:r w:rsidR="0028077C">
        <w:t xml:space="preserve"> Enphase PD Opening Comments</w:t>
      </w:r>
      <w:r w:rsidR="0028077C" w:rsidRPr="0066543E">
        <w:t xml:space="preserve"> at</w:t>
      </w:r>
      <w:r w:rsidR="0028077C">
        <w:t xml:space="preserve"> 8 and 10, </w:t>
      </w:r>
      <w:r w:rsidR="000C5F6B">
        <w:t>IREC PD Opening Comments</w:t>
      </w:r>
      <w:r w:rsidR="000C5F6B" w:rsidRPr="0066543E">
        <w:t xml:space="preserve"> at</w:t>
      </w:r>
      <w:r w:rsidR="000C5F6B">
        <w:t xml:space="preserve"> 15.</w:t>
      </w:r>
    </w:p>
  </w:footnote>
  <w:footnote w:id="205">
    <w:p w14:paraId="32B69E9F" w14:textId="0B31EC2F" w:rsidR="00C84C24" w:rsidRPr="009F37E8" w:rsidRDefault="00C84C24" w:rsidP="00C84C24">
      <w:pPr>
        <w:pStyle w:val="FootnoteText"/>
      </w:pPr>
      <w:r w:rsidRPr="009F37E8">
        <w:rPr>
          <w:rStyle w:val="FootnoteReference"/>
        </w:rPr>
        <w:footnoteRef/>
      </w:r>
      <w:r w:rsidRPr="009F37E8">
        <w:t xml:space="preserve"> </w:t>
      </w:r>
      <w:r w:rsidRPr="00B62302">
        <w:t>IREC</w:t>
      </w:r>
      <w:r w:rsidR="00371B92" w:rsidRPr="009F37E8">
        <w:t xml:space="preserve"> PD Opening Comments at 6-7,</w:t>
      </w:r>
      <w:r w:rsidRPr="00B62302">
        <w:t xml:space="preserve"> EDF </w:t>
      </w:r>
      <w:r w:rsidR="009F37E8" w:rsidRPr="009F37E8">
        <w:t>PD Reply Comments at</w:t>
      </w:r>
      <w:r w:rsidRPr="00B62302">
        <w:t xml:space="preserve"> 2.</w:t>
      </w:r>
    </w:p>
    <w:p w14:paraId="22F011E1" w14:textId="77777777" w:rsidR="00C84C24" w:rsidRDefault="00C84C24" w:rsidP="00C84C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813" w14:textId="77777777" w:rsidR="00767B55" w:rsidRPr="00767B55" w:rsidRDefault="00767B55" w:rsidP="00767B5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0EF3" w14:textId="70709DF1" w:rsidR="00E23CBB" w:rsidRDefault="00767B55" w:rsidP="00EE4315">
    <w:pPr>
      <w:pStyle w:val="Header"/>
      <w:tabs>
        <w:tab w:val="clear" w:pos="4680"/>
      </w:tabs>
      <w:ind w:firstLine="0"/>
      <w:rPr>
        <w:b/>
      </w:rPr>
    </w:pPr>
    <w:r>
      <w:t>R.24-01-018  COM/ARD/jnf</w:t>
    </w:r>
    <w:r w:rsidR="00B62302">
      <w:t>/sgu</w:t>
    </w:r>
    <w:r w:rsidR="00E23CBB">
      <w:tab/>
    </w:r>
    <w:r w:rsidR="00E23CBB">
      <w:rPr>
        <w:b/>
      </w:rPr>
      <w:t>PROPOSED DECISION</w:t>
    </w:r>
    <w:r w:rsidR="00B62302">
      <w:rPr>
        <w:b/>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8F9CE01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8F9CE01C"/>
    <w:numStyleLink w:val="FoFCoLOP"/>
  </w:abstractNum>
  <w:abstractNum w:abstractNumId="3" w15:restartNumberingAfterBreak="0">
    <w:nsid w:val="21FB58FE"/>
    <w:multiLevelType w:val="multilevel"/>
    <w:tmpl w:val="3C526EDE"/>
    <w:numStyleLink w:val="Headings"/>
  </w:abstractNum>
  <w:abstractNum w:abstractNumId="4" w15:restartNumberingAfterBreak="0">
    <w:nsid w:val="23EB301B"/>
    <w:multiLevelType w:val="multilevel"/>
    <w:tmpl w:val="5D946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50F51D01"/>
    <w:multiLevelType w:val="hybridMultilevel"/>
    <w:tmpl w:val="0C184416"/>
    <w:lvl w:ilvl="0" w:tplc="8FB214AA">
      <w:numFmt w:val="bullet"/>
      <w:lvlText w:val="-"/>
      <w:lvlJc w:val="left"/>
      <w:pPr>
        <w:ind w:left="1080" w:hanging="360"/>
      </w:pPr>
      <w:rPr>
        <w:rFonts w:ascii="Book Antiqua" w:eastAsiaTheme="minorHAnsi" w:hAnsi="Book Antiqu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656A8F"/>
    <w:multiLevelType w:val="hybridMultilevel"/>
    <w:tmpl w:val="FFFFFFFF"/>
    <w:lvl w:ilvl="0" w:tplc="68D6352C">
      <w:numFmt w:val="bullet"/>
      <w:lvlText w:val=""/>
      <w:lvlJc w:val="left"/>
      <w:pPr>
        <w:ind w:left="720" w:hanging="360"/>
      </w:pPr>
      <w:rPr>
        <w:rFonts w:ascii="Symbol" w:hAnsi="Symbol" w:hint="default"/>
      </w:rPr>
    </w:lvl>
    <w:lvl w:ilvl="1" w:tplc="3D36B1C0">
      <w:start w:val="1"/>
      <w:numFmt w:val="bullet"/>
      <w:lvlText w:val="o"/>
      <w:lvlJc w:val="left"/>
      <w:pPr>
        <w:ind w:left="1440" w:hanging="360"/>
      </w:pPr>
      <w:rPr>
        <w:rFonts w:ascii="Courier New" w:hAnsi="Courier New" w:hint="default"/>
      </w:rPr>
    </w:lvl>
    <w:lvl w:ilvl="2" w:tplc="C62AB62E">
      <w:start w:val="1"/>
      <w:numFmt w:val="bullet"/>
      <w:lvlText w:val=""/>
      <w:lvlJc w:val="left"/>
      <w:pPr>
        <w:ind w:left="2160" w:hanging="360"/>
      </w:pPr>
      <w:rPr>
        <w:rFonts w:ascii="Wingdings" w:hAnsi="Wingdings" w:hint="default"/>
      </w:rPr>
    </w:lvl>
    <w:lvl w:ilvl="3" w:tplc="A67ED8CA">
      <w:start w:val="1"/>
      <w:numFmt w:val="bullet"/>
      <w:lvlText w:val=""/>
      <w:lvlJc w:val="left"/>
      <w:pPr>
        <w:ind w:left="2880" w:hanging="360"/>
      </w:pPr>
      <w:rPr>
        <w:rFonts w:ascii="Symbol" w:hAnsi="Symbol" w:hint="default"/>
      </w:rPr>
    </w:lvl>
    <w:lvl w:ilvl="4" w:tplc="38E05052">
      <w:start w:val="1"/>
      <w:numFmt w:val="bullet"/>
      <w:lvlText w:val="o"/>
      <w:lvlJc w:val="left"/>
      <w:pPr>
        <w:ind w:left="3600" w:hanging="360"/>
      </w:pPr>
      <w:rPr>
        <w:rFonts w:ascii="Courier New" w:hAnsi="Courier New" w:hint="default"/>
      </w:rPr>
    </w:lvl>
    <w:lvl w:ilvl="5" w:tplc="E42ADF00">
      <w:start w:val="1"/>
      <w:numFmt w:val="bullet"/>
      <w:lvlText w:val=""/>
      <w:lvlJc w:val="left"/>
      <w:pPr>
        <w:ind w:left="4320" w:hanging="360"/>
      </w:pPr>
      <w:rPr>
        <w:rFonts w:ascii="Wingdings" w:hAnsi="Wingdings" w:hint="default"/>
      </w:rPr>
    </w:lvl>
    <w:lvl w:ilvl="6" w:tplc="C57CD864">
      <w:start w:val="1"/>
      <w:numFmt w:val="bullet"/>
      <w:lvlText w:val=""/>
      <w:lvlJc w:val="left"/>
      <w:pPr>
        <w:ind w:left="5040" w:hanging="360"/>
      </w:pPr>
      <w:rPr>
        <w:rFonts w:ascii="Symbol" w:hAnsi="Symbol" w:hint="default"/>
      </w:rPr>
    </w:lvl>
    <w:lvl w:ilvl="7" w:tplc="29A647EC">
      <w:start w:val="1"/>
      <w:numFmt w:val="bullet"/>
      <w:lvlText w:val="o"/>
      <w:lvlJc w:val="left"/>
      <w:pPr>
        <w:ind w:left="5760" w:hanging="360"/>
      </w:pPr>
      <w:rPr>
        <w:rFonts w:ascii="Courier New" w:hAnsi="Courier New" w:hint="default"/>
      </w:rPr>
    </w:lvl>
    <w:lvl w:ilvl="8" w:tplc="B7BA143E">
      <w:start w:val="1"/>
      <w:numFmt w:val="bullet"/>
      <w:lvlText w:val=""/>
      <w:lvlJc w:val="left"/>
      <w:pPr>
        <w:ind w:left="6480" w:hanging="360"/>
      </w:pPr>
      <w:rPr>
        <w:rFonts w:ascii="Wingdings" w:hAnsi="Wingdings" w:hint="default"/>
      </w:rPr>
    </w:lvl>
  </w:abstractNum>
  <w:abstractNum w:abstractNumId="8" w15:restartNumberingAfterBreak="0">
    <w:nsid w:val="59D042D7"/>
    <w:multiLevelType w:val="multilevel"/>
    <w:tmpl w:val="8F9CE01C"/>
    <w:numStyleLink w:val="FoFCoLOP"/>
  </w:abstractNum>
  <w:abstractNum w:abstractNumId="9" w15:restartNumberingAfterBreak="0">
    <w:nsid w:val="61A25780"/>
    <w:multiLevelType w:val="multilevel"/>
    <w:tmpl w:val="3C526EDE"/>
    <w:numStyleLink w:val="Headings"/>
  </w:abstractNum>
  <w:abstractNum w:abstractNumId="10" w15:restartNumberingAfterBreak="0">
    <w:nsid w:val="686C525E"/>
    <w:multiLevelType w:val="hybridMultilevel"/>
    <w:tmpl w:val="E3607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9A0AFE"/>
    <w:multiLevelType w:val="multilevel"/>
    <w:tmpl w:val="8F9CE01C"/>
    <w:numStyleLink w:val="FoFCoLOP"/>
  </w:abstractNum>
  <w:abstractNum w:abstractNumId="13" w15:restartNumberingAfterBreak="0">
    <w:nsid w:val="7D3935CE"/>
    <w:multiLevelType w:val="hybridMultilevel"/>
    <w:tmpl w:val="674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74137">
    <w:abstractNumId w:val="1"/>
  </w:num>
  <w:num w:numId="2" w16cid:durableId="973756952">
    <w:abstractNumId w:val="5"/>
  </w:num>
  <w:num w:numId="3" w16cid:durableId="816924040">
    <w:abstractNumId w:val="0"/>
  </w:num>
  <w:num w:numId="4" w16cid:durableId="2061514498">
    <w:abstractNumId w:val="7"/>
  </w:num>
  <w:num w:numId="5" w16cid:durableId="879590895">
    <w:abstractNumId w:val="4"/>
  </w:num>
  <w:num w:numId="6" w16cid:durableId="1447656458">
    <w:abstractNumId w:val="10"/>
  </w:num>
  <w:num w:numId="7" w16cid:durableId="852454363">
    <w:abstractNumId w:val="13"/>
  </w:num>
  <w:num w:numId="8" w16cid:durableId="1717702304">
    <w:abstractNumId w:val="2"/>
    <w:lvlOverride w:ilvl="0">
      <w:lvl w:ilvl="0">
        <w:start w:val="1"/>
        <w:numFmt w:val="decimal"/>
        <w:pStyle w:val="CoL"/>
        <w:lvlText w:val="%1."/>
        <w:lvlJc w:val="right"/>
        <w:pPr>
          <w:ind w:left="0" w:firstLine="540"/>
        </w:pPr>
        <w:rPr>
          <w:rFonts w:hint="default"/>
        </w:rPr>
      </w:lvl>
    </w:lvlOverride>
  </w:num>
  <w:num w:numId="9" w16cid:durableId="114639361">
    <w:abstractNumId w:val="8"/>
    <w:lvlOverride w:ilvl="0">
      <w:lvl w:ilvl="0">
        <w:start w:val="1"/>
        <w:numFmt w:val="decimal"/>
        <w:pStyle w:val="FoF"/>
        <w:lvlText w:val="%1."/>
        <w:lvlJc w:val="right"/>
        <w:pPr>
          <w:ind w:left="0" w:firstLine="540"/>
        </w:pPr>
        <w:rPr>
          <w:rFonts w:hint="default"/>
        </w:rPr>
      </w:lvl>
    </w:lvlOverride>
  </w:num>
  <w:num w:numId="10" w16cid:durableId="974219645">
    <w:abstractNumId w:val="9"/>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num>
  <w:num w:numId="11" w16cid:durableId="1089234748">
    <w:abstractNumId w:val="12"/>
  </w:num>
  <w:num w:numId="12" w16cid:durableId="1898543446">
    <w:abstractNumId w:val="8"/>
  </w:num>
  <w:num w:numId="13" w16cid:durableId="701521005">
    <w:abstractNumId w:val="2"/>
  </w:num>
  <w:num w:numId="14" w16cid:durableId="1760327020">
    <w:abstractNumId w:val="11"/>
  </w:num>
  <w:num w:numId="15" w16cid:durableId="291985460">
    <w:abstractNumId w:val="3"/>
  </w:num>
  <w:num w:numId="16" w16cid:durableId="1714382259">
    <w:abstractNumId w:val="9"/>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322"/>
          </w:tabs>
          <w:ind w:left="232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7" w16cid:durableId="942223720">
    <w:abstractNumId w:val="9"/>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num>
  <w:num w:numId="18" w16cid:durableId="2026129958">
    <w:abstractNumId w:val="9"/>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num>
  <w:num w:numId="19" w16cid:durableId="1888451608">
    <w:abstractNumId w:val="9"/>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num>
  <w:num w:numId="20" w16cid:durableId="80971366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26"/>
    <w:rsid w:val="000001B0"/>
    <w:rsid w:val="00000874"/>
    <w:rsid w:val="000009B1"/>
    <w:rsid w:val="00000B07"/>
    <w:rsid w:val="00000B27"/>
    <w:rsid w:val="00000CAC"/>
    <w:rsid w:val="00000F5A"/>
    <w:rsid w:val="00000F6A"/>
    <w:rsid w:val="00001741"/>
    <w:rsid w:val="00001751"/>
    <w:rsid w:val="0000183B"/>
    <w:rsid w:val="00002383"/>
    <w:rsid w:val="00002530"/>
    <w:rsid w:val="00002A09"/>
    <w:rsid w:val="00002AA7"/>
    <w:rsid w:val="00002C0D"/>
    <w:rsid w:val="00003130"/>
    <w:rsid w:val="00003149"/>
    <w:rsid w:val="000031CB"/>
    <w:rsid w:val="0000324C"/>
    <w:rsid w:val="0000340A"/>
    <w:rsid w:val="00003501"/>
    <w:rsid w:val="0000387F"/>
    <w:rsid w:val="00003923"/>
    <w:rsid w:val="00003CBF"/>
    <w:rsid w:val="00003D80"/>
    <w:rsid w:val="00003E98"/>
    <w:rsid w:val="00003EFE"/>
    <w:rsid w:val="00004020"/>
    <w:rsid w:val="00004032"/>
    <w:rsid w:val="0000404E"/>
    <w:rsid w:val="0000417E"/>
    <w:rsid w:val="0000444E"/>
    <w:rsid w:val="00004590"/>
    <w:rsid w:val="00004AC7"/>
    <w:rsid w:val="00004D0A"/>
    <w:rsid w:val="00004DC6"/>
    <w:rsid w:val="000050E9"/>
    <w:rsid w:val="000051F3"/>
    <w:rsid w:val="00005C8F"/>
    <w:rsid w:val="00005EC2"/>
    <w:rsid w:val="00006091"/>
    <w:rsid w:val="00006428"/>
    <w:rsid w:val="000065EA"/>
    <w:rsid w:val="0000663B"/>
    <w:rsid w:val="00006719"/>
    <w:rsid w:val="00006B66"/>
    <w:rsid w:val="00006F80"/>
    <w:rsid w:val="000073E2"/>
    <w:rsid w:val="000074F8"/>
    <w:rsid w:val="0000793F"/>
    <w:rsid w:val="00007B50"/>
    <w:rsid w:val="00007EDC"/>
    <w:rsid w:val="000102B6"/>
    <w:rsid w:val="000103E9"/>
    <w:rsid w:val="0001046B"/>
    <w:rsid w:val="00010DD9"/>
    <w:rsid w:val="00010E8C"/>
    <w:rsid w:val="000115A7"/>
    <w:rsid w:val="00011A43"/>
    <w:rsid w:val="00011CD5"/>
    <w:rsid w:val="0001225A"/>
    <w:rsid w:val="00012434"/>
    <w:rsid w:val="0001256F"/>
    <w:rsid w:val="000125F8"/>
    <w:rsid w:val="00012A7A"/>
    <w:rsid w:val="00012C2B"/>
    <w:rsid w:val="00013BBF"/>
    <w:rsid w:val="00013F76"/>
    <w:rsid w:val="00014031"/>
    <w:rsid w:val="000140F1"/>
    <w:rsid w:val="00014222"/>
    <w:rsid w:val="0001437F"/>
    <w:rsid w:val="000144BF"/>
    <w:rsid w:val="0001490C"/>
    <w:rsid w:val="00014ACE"/>
    <w:rsid w:val="00015020"/>
    <w:rsid w:val="000157CF"/>
    <w:rsid w:val="0001587B"/>
    <w:rsid w:val="00015B6A"/>
    <w:rsid w:val="00015E28"/>
    <w:rsid w:val="00015F42"/>
    <w:rsid w:val="0001653D"/>
    <w:rsid w:val="00016D9E"/>
    <w:rsid w:val="0001736C"/>
    <w:rsid w:val="00017DC8"/>
    <w:rsid w:val="00020051"/>
    <w:rsid w:val="000203E3"/>
    <w:rsid w:val="000207FD"/>
    <w:rsid w:val="00020D57"/>
    <w:rsid w:val="000210B3"/>
    <w:rsid w:val="0002125B"/>
    <w:rsid w:val="000212BC"/>
    <w:rsid w:val="000214E3"/>
    <w:rsid w:val="000219F6"/>
    <w:rsid w:val="00021EB3"/>
    <w:rsid w:val="0002224F"/>
    <w:rsid w:val="00022516"/>
    <w:rsid w:val="00022873"/>
    <w:rsid w:val="000228BA"/>
    <w:rsid w:val="000229F2"/>
    <w:rsid w:val="00022A47"/>
    <w:rsid w:val="00022D2D"/>
    <w:rsid w:val="000231DD"/>
    <w:rsid w:val="000235F2"/>
    <w:rsid w:val="00023787"/>
    <w:rsid w:val="00023C22"/>
    <w:rsid w:val="0002434F"/>
    <w:rsid w:val="0002465A"/>
    <w:rsid w:val="000247A1"/>
    <w:rsid w:val="000248CD"/>
    <w:rsid w:val="00024BD3"/>
    <w:rsid w:val="00024D38"/>
    <w:rsid w:val="00024EE5"/>
    <w:rsid w:val="000251AB"/>
    <w:rsid w:val="0002522F"/>
    <w:rsid w:val="00025393"/>
    <w:rsid w:val="00025DB3"/>
    <w:rsid w:val="000261BC"/>
    <w:rsid w:val="0002620C"/>
    <w:rsid w:val="00026587"/>
    <w:rsid w:val="00026C02"/>
    <w:rsid w:val="00026E53"/>
    <w:rsid w:val="00026EF9"/>
    <w:rsid w:val="000270E6"/>
    <w:rsid w:val="0002751C"/>
    <w:rsid w:val="00027A82"/>
    <w:rsid w:val="00027F0A"/>
    <w:rsid w:val="000303B5"/>
    <w:rsid w:val="0003068F"/>
    <w:rsid w:val="000308E6"/>
    <w:rsid w:val="00030969"/>
    <w:rsid w:val="00030B4E"/>
    <w:rsid w:val="00030DEC"/>
    <w:rsid w:val="00031090"/>
    <w:rsid w:val="00031128"/>
    <w:rsid w:val="00031253"/>
    <w:rsid w:val="000312E1"/>
    <w:rsid w:val="00031592"/>
    <w:rsid w:val="00031DA4"/>
    <w:rsid w:val="00031F52"/>
    <w:rsid w:val="000324A0"/>
    <w:rsid w:val="000325AB"/>
    <w:rsid w:val="00032881"/>
    <w:rsid w:val="00032D26"/>
    <w:rsid w:val="00032F37"/>
    <w:rsid w:val="00033135"/>
    <w:rsid w:val="000332B3"/>
    <w:rsid w:val="000337E3"/>
    <w:rsid w:val="00033B68"/>
    <w:rsid w:val="00033B89"/>
    <w:rsid w:val="00033BC8"/>
    <w:rsid w:val="00033C7C"/>
    <w:rsid w:val="00034068"/>
    <w:rsid w:val="000341DF"/>
    <w:rsid w:val="000343DC"/>
    <w:rsid w:val="0003465C"/>
    <w:rsid w:val="0003506B"/>
    <w:rsid w:val="00035310"/>
    <w:rsid w:val="0003535F"/>
    <w:rsid w:val="000354D9"/>
    <w:rsid w:val="0003552B"/>
    <w:rsid w:val="000356C6"/>
    <w:rsid w:val="000361BB"/>
    <w:rsid w:val="00036A64"/>
    <w:rsid w:val="00036D19"/>
    <w:rsid w:val="000371BF"/>
    <w:rsid w:val="0003727B"/>
    <w:rsid w:val="0003761B"/>
    <w:rsid w:val="0003799B"/>
    <w:rsid w:val="00037BA4"/>
    <w:rsid w:val="00037DE7"/>
    <w:rsid w:val="0004014E"/>
    <w:rsid w:val="00040196"/>
    <w:rsid w:val="0004087F"/>
    <w:rsid w:val="0004088A"/>
    <w:rsid w:val="00040BD8"/>
    <w:rsid w:val="0004107B"/>
    <w:rsid w:val="0004112F"/>
    <w:rsid w:val="000411B0"/>
    <w:rsid w:val="000413DD"/>
    <w:rsid w:val="000413F5"/>
    <w:rsid w:val="00041AF9"/>
    <w:rsid w:val="00041E16"/>
    <w:rsid w:val="00041E45"/>
    <w:rsid w:val="0004262E"/>
    <w:rsid w:val="0004290A"/>
    <w:rsid w:val="00042A54"/>
    <w:rsid w:val="00042D3F"/>
    <w:rsid w:val="0004330F"/>
    <w:rsid w:val="00043371"/>
    <w:rsid w:val="00043405"/>
    <w:rsid w:val="00043488"/>
    <w:rsid w:val="00043A2D"/>
    <w:rsid w:val="00043AC7"/>
    <w:rsid w:val="00043BB4"/>
    <w:rsid w:val="000440C5"/>
    <w:rsid w:val="000440E5"/>
    <w:rsid w:val="00044340"/>
    <w:rsid w:val="00044341"/>
    <w:rsid w:val="0004485D"/>
    <w:rsid w:val="0004494B"/>
    <w:rsid w:val="00044CE7"/>
    <w:rsid w:val="00044FB7"/>
    <w:rsid w:val="000457C9"/>
    <w:rsid w:val="000457E2"/>
    <w:rsid w:val="00045AC1"/>
    <w:rsid w:val="00045D81"/>
    <w:rsid w:val="000460A0"/>
    <w:rsid w:val="0004637E"/>
    <w:rsid w:val="00046414"/>
    <w:rsid w:val="0004648E"/>
    <w:rsid w:val="00046954"/>
    <w:rsid w:val="00046ADF"/>
    <w:rsid w:val="00046CC4"/>
    <w:rsid w:val="00047646"/>
    <w:rsid w:val="0004771F"/>
    <w:rsid w:val="000477AE"/>
    <w:rsid w:val="000477D3"/>
    <w:rsid w:val="00047D6C"/>
    <w:rsid w:val="00050089"/>
    <w:rsid w:val="00050238"/>
    <w:rsid w:val="000502AE"/>
    <w:rsid w:val="000505D2"/>
    <w:rsid w:val="00050660"/>
    <w:rsid w:val="000509D7"/>
    <w:rsid w:val="00050B79"/>
    <w:rsid w:val="00050CE6"/>
    <w:rsid w:val="00050CFB"/>
    <w:rsid w:val="00050DB0"/>
    <w:rsid w:val="000516CB"/>
    <w:rsid w:val="0005177D"/>
    <w:rsid w:val="000518EA"/>
    <w:rsid w:val="00051928"/>
    <w:rsid w:val="00051DA1"/>
    <w:rsid w:val="00051DB2"/>
    <w:rsid w:val="00052004"/>
    <w:rsid w:val="00052399"/>
    <w:rsid w:val="00053160"/>
    <w:rsid w:val="0005380C"/>
    <w:rsid w:val="00053A32"/>
    <w:rsid w:val="00053AD3"/>
    <w:rsid w:val="00053F27"/>
    <w:rsid w:val="00054095"/>
    <w:rsid w:val="000543DA"/>
    <w:rsid w:val="00054A03"/>
    <w:rsid w:val="00054AB0"/>
    <w:rsid w:val="00054B8C"/>
    <w:rsid w:val="00054D86"/>
    <w:rsid w:val="00054E21"/>
    <w:rsid w:val="000550BC"/>
    <w:rsid w:val="0005515A"/>
    <w:rsid w:val="0005527E"/>
    <w:rsid w:val="00055481"/>
    <w:rsid w:val="00056A54"/>
    <w:rsid w:val="00056E5D"/>
    <w:rsid w:val="00057AA8"/>
    <w:rsid w:val="00057BDF"/>
    <w:rsid w:val="00060209"/>
    <w:rsid w:val="00060244"/>
    <w:rsid w:val="00060387"/>
    <w:rsid w:val="00060824"/>
    <w:rsid w:val="00060ADE"/>
    <w:rsid w:val="00060D8E"/>
    <w:rsid w:val="00060FE9"/>
    <w:rsid w:val="00061270"/>
    <w:rsid w:val="0006177F"/>
    <w:rsid w:val="00061970"/>
    <w:rsid w:val="00061B07"/>
    <w:rsid w:val="00061B58"/>
    <w:rsid w:val="00062201"/>
    <w:rsid w:val="000633F1"/>
    <w:rsid w:val="0006346F"/>
    <w:rsid w:val="00063566"/>
    <w:rsid w:val="000638CB"/>
    <w:rsid w:val="00063B6C"/>
    <w:rsid w:val="000643E3"/>
    <w:rsid w:val="000647CC"/>
    <w:rsid w:val="000647E4"/>
    <w:rsid w:val="00064865"/>
    <w:rsid w:val="00064B83"/>
    <w:rsid w:val="00064DA4"/>
    <w:rsid w:val="00065029"/>
    <w:rsid w:val="000651EE"/>
    <w:rsid w:val="00065332"/>
    <w:rsid w:val="00065B33"/>
    <w:rsid w:val="0006604E"/>
    <w:rsid w:val="00066100"/>
    <w:rsid w:val="000661BE"/>
    <w:rsid w:val="00066294"/>
    <w:rsid w:val="00066379"/>
    <w:rsid w:val="000667D7"/>
    <w:rsid w:val="00066997"/>
    <w:rsid w:val="00066A79"/>
    <w:rsid w:val="000671DC"/>
    <w:rsid w:val="00067526"/>
    <w:rsid w:val="00067996"/>
    <w:rsid w:val="00067BBF"/>
    <w:rsid w:val="000707BC"/>
    <w:rsid w:val="00070A56"/>
    <w:rsid w:val="00070E3D"/>
    <w:rsid w:val="0007115A"/>
    <w:rsid w:val="000714EA"/>
    <w:rsid w:val="000715F8"/>
    <w:rsid w:val="00071610"/>
    <w:rsid w:val="00071BC9"/>
    <w:rsid w:val="0007255E"/>
    <w:rsid w:val="000727F6"/>
    <w:rsid w:val="0007319E"/>
    <w:rsid w:val="000737D2"/>
    <w:rsid w:val="00073CAF"/>
    <w:rsid w:val="00074080"/>
    <w:rsid w:val="00074254"/>
    <w:rsid w:val="000742AD"/>
    <w:rsid w:val="00074470"/>
    <w:rsid w:val="00074922"/>
    <w:rsid w:val="00074CEF"/>
    <w:rsid w:val="00074CF4"/>
    <w:rsid w:val="0007532E"/>
    <w:rsid w:val="000753CF"/>
    <w:rsid w:val="00075576"/>
    <w:rsid w:val="00075D93"/>
    <w:rsid w:val="00075F1B"/>
    <w:rsid w:val="00076251"/>
    <w:rsid w:val="000765B9"/>
    <w:rsid w:val="000765CC"/>
    <w:rsid w:val="000768E3"/>
    <w:rsid w:val="00076F56"/>
    <w:rsid w:val="00076F65"/>
    <w:rsid w:val="00076FB1"/>
    <w:rsid w:val="00077151"/>
    <w:rsid w:val="00077175"/>
    <w:rsid w:val="00077239"/>
    <w:rsid w:val="00080D83"/>
    <w:rsid w:val="00080F9D"/>
    <w:rsid w:val="000812DE"/>
    <w:rsid w:val="00081670"/>
    <w:rsid w:val="0008245B"/>
    <w:rsid w:val="0008247B"/>
    <w:rsid w:val="0008271A"/>
    <w:rsid w:val="0008286B"/>
    <w:rsid w:val="0008287C"/>
    <w:rsid w:val="000829B4"/>
    <w:rsid w:val="000829E6"/>
    <w:rsid w:val="00082ADC"/>
    <w:rsid w:val="00082B3B"/>
    <w:rsid w:val="00082B4E"/>
    <w:rsid w:val="00082C7A"/>
    <w:rsid w:val="00083048"/>
    <w:rsid w:val="0008307C"/>
    <w:rsid w:val="000832F9"/>
    <w:rsid w:val="000833BC"/>
    <w:rsid w:val="00083734"/>
    <w:rsid w:val="000837D9"/>
    <w:rsid w:val="00083C27"/>
    <w:rsid w:val="0008405A"/>
    <w:rsid w:val="00084483"/>
    <w:rsid w:val="0008454F"/>
    <w:rsid w:val="000845F3"/>
    <w:rsid w:val="00085055"/>
    <w:rsid w:val="0008508E"/>
    <w:rsid w:val="000850D9"/>
    <w:rsid w:val="00085139"/>
    <w:rsid w:val="000851E6"/>
    <w:rsid w:val="00085605"/>
    <w:rsid w:val="00085A34"/>
    <w:rsid w:val="000861C8"/>
    <w:rsid w:val="000863BC"/>
    <w:rsid w:val="00086A96"/>
    <w:rsid w:val="00086D66"/>
    <w:rsid w:val="00086D7F"/>
    <w:rsid w:val="00086DE1"/>
    <w:rsid w:val="000874AA"/>
    <w:rsid w:val="00087633"/>
    <w:rsid w:val="00087B2E"/>
    <w:rsid w:val="000903EC"/>
    <w:rsid w:val="00090875"/>
    <w:rsid w:val="0009117F"/>
    <w:rsid w:val="00091716"/>
    <w:rsid w:val="00091924"/>
    <w:rsid w:val="00091D8A"/>
    <w:rsid w:val="00091E4B"/>
    <w:rsid w:val="00091F3D"/>
    <w:rsid w:val="000920EE"/>
    <w:rsid w:val="00092776"/>
    <w:rsid w:val="000928AA"/>
    <w:rsid w:val="000929A4"/>
    <w:rsid w:val="00092A62"/>
    <w:rsid w:val="00093287"/>
    <w:rsid w:val="000932AE"/>
    <w:rsid w:val="000932B7"/>
    <w:rsid w:val="0009354D"/>
    <w:rsid w:val="00093721"/>
    <w:rsid w:val="00093876"/>
    <w:rsid w:val="0009393F"/>
    <w:rsid w:val="00093D4D"/>
    <w:rsid w:val="00093DCD"/>
    <w:rsid w:val="00093E3A"/>
    <w:rsid w:val="00094443"/>
    <w:rsid w:val="000945A8"/>
    <w:rsid w:val="00094706"/>
    <w:rsid w:val="0009474F"/>
    <w:rsid w:val="00094C1A"/>
    <w:rsid w:val="00095076"/>
    <w:rsid w:val="000953F2"/>
    <w:rsid w:val="00095580"/>
    <w:rsid w:val="00095858"/>
    <w:rsid w:val="000959C7"/>
    <w:rsid w:val="00095B78"/>
    <w:rsid w:val="00095C13"/>
    <w:rsid w:val="00096ABD"/>
    <w:rsid w:val="00097216"/>
    <w:rsid w:val="000973C8"/>
    <w:rsid w:val="00097BF3"/>
    <w:rsid w:val="00097C0D"/>
    <w:rsid w:val="00097D29"/>
    <w:rsid w:val="000A009D"/>
    <w:rsid w:val="000A01A8"/>
    <w:rsid w:val="000A05E4"/>
    <w:rsid w:val="000A07A2"/>
    <w:rsid w:val="000A07FC"/>
    <w:rsid w:val="000A0B21"/>
    <w:rsid w:val="000A0EBF"/>
    <w:rsid w:val="000A107F"/>
    <w:rsid w:val="000A1183"/>
    <w:rsid w:val="000A1AA9"/>
    <w:rsid w:val="000A1D96"/>
    <w:rsid w:val="000A1E44"/>
    <w:rsid w:val="000A240B"/>
    <w:rsid w:val="000A2664"/>
    <w:rsid w:val="000A2934"/>
    <w:rsid w:val="000A2AA9"/>
    <w:rsid w:val="000A2C8E"/>
    <w:rsid w:val="000A2CCA"/>
    <w:rsid w:val="000A2E17"/>
    <w:rsid w:val="000A3363"/>
    <w:rsid w:val="000A3566"/>
    <w:rsid w:val="000A386D"/>
    <w:rsid w:val="000A3A02"/>
    <w:rsid w:val="000A3A22"/>
    <w:rsid w:val="000A3BEF"/>
    <w:rsid w:val="000A3CBB"/>
    <w:rsid w:val="000A449F"/>
    <w:rsid w:val="000A48CB"/>
    <w:rsid w:val="000A4985"/>
    <w:rsid w:val="000A4DB2"/>
    <w:rsid w:val="000A4F1D"/>
    <w:rsid w:val="000A539E"/>
    <w:rsid w:val="000A5476"/>
    <w:rsid w:val="000A56F2"/>
    <w:rsid w:val="000A5851"/>
    <w:rsid w:val="000A5C51"/>
    <w:rsid w:val="000A6079"/>
    <w:rsid w:val="000A6198"/>
    <w:rsid w:val="000A633B"/>
    <w:rsid w:val="000A68B7"/>
    <w:rsid w:val="000A6A12"/>
    <w:rsid w:val="000A6A60"/>
    <w:rsid w:val="000A6B5F"/>
    <w:rsid w:val="000A6E05"/>
    <w:rsid w:val="000A72AE"/>
    <w:rsid w:val="000A7B35"/>
    <w:rsid w:val="000B0136"/>
    <w:rsid w:val="000B01F2"/>
    <w:rsid w:val="000B0438"/>
    <w:rsid w:val="000B051D"/>
    <w:rsid w:val="000B05B1"/>
    <w:rsid w:val="000B083A"/>
    <w:rsid w:val="000B0D5E"/>
    <w:rsid w:val="000B0DB8"/>
    <w:rsid w:val="000B1223"/>
    <w:rsid w:val="000B12FA"/>
    <w:rsid w:val="000B162B"/>
    <w:rsid w:val="000B1779"/>
    <w:rsid w:val="000B1AAE"/>
    <w:rsid w:val="000B1E32"/>
    <w:rsid w:val="000B2114"/>
    <w:rsid w:val="000B28B5"/>
    <w:rsid w:val="000B2B58"/>
    <w:rsid w:val="000B2D6D"/>
    <w:rsid w:val="000B2DC8"/>
    <w:rsid w:val="000B2FCB"/>
    <w:rsid w:val="000B30F5"/>
    <w:rsid w:val="000B3331"/>
    <w:rsid w:val="000B34C0"/>
    <w:rsid w:val="000B35A7"/>
    <w:rsid w:val="000B35C3"/>
    <w:rsid w:val="000B3601"/>
    <w:rsid w:val="000B3637"/>
    <w:rsid w:val="000B399F"/>
    <w:rsid w:val="000B3ECD"/>
    <w:rsid w:val="000B40B5"/>
    <w:rsid w:val="000B43C5"/>
    <w:rsid w:val="000B445A"/>
    <w:rsid w:val="000B4E3F"/>
    <w:rsid w:val="000B542F"/>
    <w:rsid w:val="000B56A2"/>
    <w:rsid w:val="000B585A"/>
    <w:rsid w:val="000B5A0C"/>
    <w:rsid w:val="000B5A9E"/>
    <w:rsid w:val="000B5F85"/>
    <w:rsid w:val="000B646B"/>
    <w:rsid w:val="000B66B3"/>
    <w:rsid w:val="000B67FE"/>
    <w:rsid w:val="000B6953"/>
    <w:rsid w:val="000B6D5A"/>
    <w:rsid w:val="000B6D67"/>
    <w:rsid w:val="000B6DB5"/>
    <w:rsid w:val="000B6FFA"/>
    <w:rsid w:val="000B74FE"/>
    <w:rsid w:val="000B7C12"/>
    <w:rsid w:val="000B7D1E"/>
    <w:rsid w:val="000C044C"/>
    <w:rsid w:val="000C084D"/>
    <w:rsid w:val="000C08BF"/>
    <w:rsid w:val="000C08D2"/>
    <w:rsid w:val="000C0B27"/>
    <w:rsid w:val="000C0CF1"/>
    <w:rsid w:val="000C1102"/>
    <w:rsid w:val="000C1625"/>
    <w:rsid w:val="000C18B3"/>
    <w:rsid w:val="000C19BF"/>
    <w:rsid w:val="000C1A03"/>
    <w:rsid w:val="000C1B14"/>
    <w:rsid w:val="000C1BA0"/>
    <w:rsid w:val="000C1CE6"/>
    <w:rsid w:val="000C1D62"/>
    <w:rsid w:val="000C2265"/>
    <w:rsid w:val="000C239A"/>
    <w:rsid w:val="000C2402"/>
    <w:rsid w:val="000C27F1"/>
    <w:rsid w:val="000C27F5"/>
    <w:rsid w:val="000C2AA4"/>
    <w:rsid w:val="000C2B03"/>
    <w:rsid w:val="000C2C8E"/>
    <w:rsid w:val="000C3190"/>
    <w:rsid w:val="000C3210"/>
    <w:rsid w:val="000C328D"/>
    <w:rsid w:val="000C344F"/>
    <w:rsid w:val="000C3577"/>
    <w:rsid w:val="000C3B9A"/>
    <w:rsid w:val="000C3CF9"/>
    <w:rsid w:val="000C3D50"/>
    <w:rsid w:val="000C43DF"/>
    <w:rsid w:val="000C44C5"/>
    <w:rsid w:val="000C458E"/>
    <w:rsid w:val="000C4740"/>
    <w:rsid w:val="000C49AF"/>
    <w:rsid w:val="000C4BC7"/>
    <w:rsid w:val="000C4FA5"/>
    <w:rsid w:val="000C50BE"/>
    <w:rsid w:val="000C515C"/>
    <w:rsid w:val="000C531B"/>
    <w:rsid w:val="000C55D7"/>
    <w:rsid w:val="000C55EE"/>
    <w:rsid w:val="000C57F0"/>
    <w:rsid w:val="000C5964"/>
    <w:rsid w:val="000C5E59"/>
    <w:rsid w:val="000C5F54"/>
    <w:rsid w:val="000C5F6B"/>
    <w:rsid w:val="000C60C9"/>
    <w:rsid w:val="000C6181"/>
    <w:rsid w:val="000C65D1"/>
    <w:rsid w:val="000C66B5"/>
    <w:rsid w:val="000C67FF"/>
    <w:rsid w:val="000C6FFA"/>
    <w:rsid w:val="000C70B5"/>
    <w:rsid w:val="000C752C"/>
    <w:rsid w:val="000C761A"/>
    <w:rsid w:val="000C76E8"/>
    <w:rsid w:val="000C7A15"/>
    <w:rsid w:val="000C7A3F"/>
    <w:rsid w:val="000C7D85"/>
    <w:rsid w:val="000C7D87"/>
    <w:rsid w:val="000C7ECD"/>
    <w:rsid w:val="000D0033"/>
    <w:rsid w:val="000D01A3"/>
    <w:rsid w:val="000D0207"/>
    <w:rsid w:val="000D07B2"/>
    <w:rsid w:val="000D0A34"/>
    <w:rsid w:val="000D0A4A"/>
    <w:rsid w:val="000D0D12"/>
    <w:rsid w:val="000D0E6E"/>
    <w:rsid w:val="000D10E8"/>
    <w:rsid w:val="000D13F1"/>
    <w:rsid w:val="000D15B7"/>
    <w:rsid w:val="000D15FA"/>
    <w:rsid w:val="000D17EC"/>
    <w:rsid w:val="000D1822"/>
    <w:rsid w:val="000D18BD"/>
    <w:rsid w:val="000D1C4C"/>
    <w:rsid w:val="000D1CAC"/>
    <w:rsid w:val="000D1D0F"/>
    <w:rsid w:val="000D1DFC"/>
    <w:rsid w:val="000D25A8"/>
    <w:rsid w:val="000D27B8"/>
    <w:rsid w:val="000D2862"/>
    <w:rsid w:val="000D2CC8"/>
    <w:rsid w:val="000D2E36"/>
    <w:rsid w:val="000D2F82"/>
    <w:rsid w:val="000D31EA"/>
    <w:rsid w:val="000D32FB"/>
    <w:rsid w:val="000D386B"/>
    <w:rsid w:val="000D3EEA"/>
    <w:rsid w:val="000D3F10"/>
    <w:rsid w:val="000D43AD"/>
    <w:rsid w:val="000D46FD"/>
    <w:rsid w:val="000D482E"/>
    <w:rsid w:val="000D4A52"/>
    <w:rsid w:val="000D4CE3"/>
    <w:rsid w:val="000D4E3C"/>
    <w:rsid w:val="000D4EC2"/>
    <w:rsid w:val="000D4FCB"/>
    <w:rsid w:val="000D5036"/>
    <w:rsid w:val="000D5150"/>
    <w:rsid w:val="000D5211"/>
    <w:rsid w:val="000D5277"/>
    <w:rsid w:val="000D5599"/>
    <w:rsid w:val="000D5D4B"/>
    <w:rsid w:val="000D60E8"/>
    <w:rsid w:val="000D6157"/>
    <w:rsid w:val="000D6304"/>
    <w:rsid w:val="000D64D2"/>
    <w:rsid w:val="000D66C6"/>
    <w:rsid w:val="000D6920"/>
    <w:rsid w:val="000D69E8"/>
    <w:rsid w:val="000D6B7C"/>
    <w:rsid w:val="000D6BA2"/>
    <w:rsid w:val="000D717D"/>
    <w:rsid w:val="000D7790"/>
    <w:rsid w:val="000D780F"/>
    <w:rsid w:val="000D7B85"/>
    <w:rsid w:val="000D7DD9"/>
    <w:rsid w:val="000D7EEA"/>
    <w:rsid w:val="000E0556"/>
    <w:rsid w:val="000E06E6"/>
    <w:rsid w:val="000E0988"/>
    <w:rsid w:val="000E09CE"/>
    <w:rsid w:val="000E0A76"/>
    <w:rsid w:val="000E0A99"/>
    <w:rsid w:val="000E0B83"/>
    <w:rsid w:val="000E0FDE"/>
    <w:rsid w:val="000E1072"/>
    <w:rsid w:val="000E12C7"/>
    <w:rsid w:val="000E12F2"/>
    <w:rsid w:val="000E136C"/>
    <w:rsid w:val="000E16F6"/>
    <w:rsid w:val="000E19EC"/>
    <w:rsid w:val="000E1AD5"/>
    <w:rsid w:val="000E1C5C"/>
    <w:rsid w:val="000E1C5F"/>
    <w:rsid w:val="000E1D02"/>
    <w:rsid w:val="000E1E33"/>
    <w:rsid w:val="000E1E66"/>
    <w:rsid w:val="000E25AB"/>
    <w:rsid w:val="000E270A"/>
    <w:rsid w:val="000E2B5E"/>
    <w:rsid w:val="000E2CD2"/>
    <w:rsid w:val="000E2D83"/>
    <w:rsid w:val="000E2FA7"/>
    <w:rsid w:val="000E300E"/>
    <w:rsid w:val="000E3693"/>
    <w:rsid w:val="000E3E2A"/>
    <w:rsid w:val="000E4100"/>
    <w:rsid w:val="000E41B4"/>
    <w:rsid w:val="000E42AB"/>
    <w:rsid w:val="000E4C53"/>
    <w:rsid w:val="000E5351"/>
    <w:rsid w:val="000E542F"/>
    <w:rsid w:val="000E55B8"/>
    <w:rsid w:val="000E55E2"/>
    <w:rsid w:val="000E5889"/>
    <w:rsid w:val="000E5A7B"/>
    <w:rsid w:val="000E5E39"/>
    <w:rsid w:val="000E5F90"/>
    <w:rsid w:val="000E5FFD"/>
    <w:rsid w:val="000E661B"/>
    <w:rsid w:val="000E6927"/>
    <w:rsid w:val="000E6DB5"/>
    <w:rsid w:val="000E6E7F"/>
    <w:rsid w:val="000E71B8"/>
    <w:rsid w:val="000E75B8"/>
    <w:rsid w:val="000F019C"/>
    <w:rsid w:val="000F041D"/>
    <w:rsid w:val="000F048D"/>
    <w:rsid w:val="000F0628"/>
    <w:rsid w:val="000F0F3E"/>
    <w:rsid w:val="000F0FBC"/>
    <w:rsid w:val="000F1030"/>
    <w:rsid w:val="000F11C1"/>
    <w:rsid w:val="000F19D1"/>
    <w:rsid w:val="000F1B7B"/>
    <w:rsid w:val="000F1C59"/>
    <w:rsid w:val="000F1D09"/>
    <w:rsid w:val="000F2350"/>
    <w:rsid w:val="000F23C8"/>
    <w:rsid w:val="000F2DD0"/>
    <w:rsid w:val="000F30DA"/>
    <w:rsid w:val="000F39CB"/>
    <w:rsid w:val="000F3B9A"/>
    <w:rsid w:val="000F3FEE"/>
    <w:rsid w:val="000F410B"/>
    <w:rsid w:val="000F4197"/>
    <w:rsid w:val="000F4553"/>
    <w:rsid w:val="000F471E"/>
    <w:rsid w:val="000F48B3"/>
    <w:rsid w:val="000F48C6"/>
    <w:rsid w:val="000F49E4"/>
    <w:rsid w:val="000F4A02"/>
    <w:rsid w:val="000F4E69"/>
    <w:rsid w:val="000F4E91"/>
    <w:rsid w:val="000F500C"/>
    <w:rsid w:val="000F5118"/>
    <w:rsid w:val="000F5255"/>
    <w:rsid w:val="000F5C8A"/>
    <w:rsid w:val="000F5D1F"/>
    <w:rsid w:val="000F5EB8"/>
    <w:rsid w:val="000F612E"/>
    <w:rsid w:val="000F630D"/>
    <w:rsid w:val="000F666C"/>
    <w:rsid w:val="000F66DF"/>
    <w:rsid w:val="000F6A0B"/>
    <w:rsid w:val="000F6B21"/>
    <w:rsid w:val="000F7083"/>
    <w:rsid w:val="000F7259"/>
    <w:rsid w:val="000F73D1"/>
    <w:rsid w:val="000F7766"/>
    <w:rsid w:val="000F7E04"/>
    <w:rsid w:val="000F7EED"/>
    <w:rsid w:val="0010013D"/>
    <w:rsid w:val="001001D4"/>
    <w:rsid w:val="00100682"/>
    <w:rsid w:val="0010090D"/>
    <w:rsid w:val="00100BB0"/>
    <w:rsid w:val="00100E7C"/>
    <w:rsid w:val="00101053"/>
    <w:rsid w:val="0010112C"/>
    <w:rsid w:val="001019C1"/>
    <w:rsid w:val="001019F2"/>
    <w:rsid w:val="00101B4A"/>
    <w:rsid w:val="001022E1"/>
    <w:rsid w:val="001022F1"/>
    <w:rsid w:val="00102676"/>
    <w:rsid w:val="00102DA9"/>
    <w:rsid w:val="0010306B"/>
    <w:rsid w:val="001033A6"/>
    <w:rsid w:val="0010342F"/>
    <w:rsid w:val="00103644"/>
    <w:rsid w:val="00103699"/>
    <w:rsid w:val="001036AB"/>
    <w:rsid w:val="00103765"/>
    <w:rsid w:val="00103827"/>
    <w:rsid w:val="00103892"/>
    <w:rsid w:val="001039D4"/>
    <w:rsid w:val="00103A38"/>
    <w:rsid w:val="00103CCD"/>
    <w:rsid w:val="00104039"/>
    <w:rsid w:val="001047B4"/>
    <w:rsid w:val="00104ACE"/>
    <w:rsid w:val="00104B95"/>
    <w:rsid w:val="00104D3B"/>
    <w:rsid w:val="00105529"/>
    <w:rsid w:val="00105599"/>
    <w:rsid w:val="00105641"/>
    <w:rsid w:val="00105D75"/>
    <w:rsid w:val="001065B6"/>
    <w:rsid w:val="001068D2"/>
    <w:rsid w:val="001069F3"/>
    <w:rsid w:val="00106A33"/>
    <w:rsid w:val="00106C0D"/>
    <w:rsid w:val="00107341"/>
    <w:rsid w:val="0010750D"/>
    <w:rsid w:val="00107526"/>
    <w:rsid w:val="00107952"/>
    <w:rsid w:val="00110421"/>
    <w:rsid w:val="00110915"/>
    <w:rsid w:val="001112B1"/>
    <w:rsid w:val="001112DE"/>
    <w:rsid w:val="00111393"/>
    <w:rsid w:val="00111446"/>
    <w:rsid w:val="00111973"/>
    <w:rsid w:val="00111AE6"/>
    <w:rsid w:val="00111BEF"/>
    <w:rsid w:val="00111CCF"/>
    <w:rsid w:val="00111E9C"/>
    <w:rsid w:val="001121A2"/>
    <w:rsid w:val="0011222A"/>
    <w:rsid w:val="00112599"/>
    <w:rsid w:val="00112932"/>
    <w:rsid w:val="0011298B"/>
    <w:rsid w:val="00112A5A"/>
    <w:rsid w:val="00113184"/>
    <w:rsid w:val="0011359E"/>
    <w:rsid w:val="0011375C"/>
    <w:rsid w:val="0011384E"/>
    <w:rsid w:val="00113AD5"/>
    <w:rsid w:val="00113AE9"/>
    <w:rsid w:val="00113BF2"/>
    <w:rsid w:val="0011427A"/>
    <w:rsid w:val="00114803"/>
    <w:rsid w:val="00114E1C"/>
    <w:rsid w:val="00114F98"/>
    <w:rsid w:val="001150B7"/>
    <w:rsid w:val="00115135"/>
    <w:rsid w:val="001153DF"/>
    <w:rsid w:val="001154D8"/>
    <w:rsid w:val="001155B2"/>
    <w:rsid w:val="001158E0"/>
    <w:rsid w:val="00115C8E"/>
    <w:rsid w:val="00115E10"/>
    <w:rsid w:val="0011636C"/>
    <w:rsid w:val="00116681"/>
    <w:rsid w:val="0011677D"/>
    <w:rsid w:val="00117009"/>
    <w:rsid w:val="0011714B"/>
    <w:rsid w:val="001172AD"/>
    <w:rsid w:val="00117306"/>
    <w:rsid w:val="00117738"/>
    <w:rsid w:val="0011778E"/>
    <w:rsid w:val="001179A4"/>
    <w:rsid w:val="00117C8D"/>
    <w:rsid w:val="00117CB9"/>
    <w:rsid w:val="00117D51"/>
    <w:rsid w:val="0012072F"/>
    <w:rsid w:val="00120B00"/>
    <w:rsid w:val="00120B23"/>
    <w:rsid w:val="00121089"/>
    <w:rsid w:val="0012135B"/>
    <w:rsid w:val="0012149D"/>
    <w:rsid w:val="00121597"/>
    <w:rsid w:val="00121C66"/>
    <w:rsid w:val="00121DAF"/>
    <w:rsid w:val="00121E4B"/>
    <w:rsid w:val="0012220B"/>
    <w:rsid w:val="0012221F"/>
    <w:rsid w:val="001224FC"/>
    <w:rsid w:val="00122549"/>
    <w:rsid w:val="00122618"/>
    <w:rsid w:val="001226A7"/>
    <w:rsid w:val="00122D6D"/>
    <w:rsid w:val="00123017"/>
    <w:rsid w:val="001230BB"/>
    <w:rsid w:val="001230D5"/>
    <w:rsid w:val="0012317A"/>
    <w:rsid w:val="00123449"/>
    <w:rsid w:val="001242C7"/>
    <w:rsid w:val="001245E1"/>
    <w:rsid w:val="00124C45"/>
    <w:rsid w:val="00124CA6"/>
    <w:rsid w:val="00124D3C"/>
    <w:rsid w:val="00124E04"/>
    <w:rsid w:val="00124E94"/>
    <w:rsid w:val="0012534E"/>
    <w:rsid w:val="001256EA"/>
    <w:rsid w:val="00125846"/>
    <w:rsid w:val="00126473"/>
    <w:rsid w:val="00126AFC"/>
    <w:rsid w:val="0012705F"/>
    <w:rsid w:val="00127552"/>
    <w:rsid w:val="0012794E"/>
    <w:rsid w:val="00127A6F"/>
    <w:rsid w:val="00127F71"/>
    <w:rsid w:val="00130245"/>
    <w:rsid w:val="00130794"/>
    <w:rsid w:val="001311D2"/>
    <w:rsid w:val="0013122E"/>
    <w:rsid w:val="001312BA"/>
    <w:rsid w:val="00131AF5"/>
    <w:rsid w:val="00131B1F"/>
    <w:rsid w:val="00131ED8"/>
    <w:rsid w:val="001326D2"/>
    <w:rsid w:val="00132B9E"/>
    <w:rsid w:val="001330E0"/>
    <w:rsid w:val="001332A5"/>
    <w:rsid w:val="001332C2"/>
    <w:rsid w:val="00133442"/>
    <w:rsid w:val="0013345F"/>
    <w:rsid w:val="001334FD"/>
    <w:rsid w:val="0013358B"/>
    <w:rsid w:val="001336CD"/>
    <w:rsid w:val="00133928"/>
    <w:rsid w:val="00134322"/>
    <w:rsid w:val="001345FA"/>
    <w:rsid w:val="0013466F"/>
    <w:rsid w:val="00134D2B"/>
    <w:rsid w:val="00135402"/>
    <w:rsid w:val="00135414"/>
    <w:rsid w:val="00135435"/>
    <w:rsid w:val="00135E83"/>
    <w:rsid w:val="00136384"/>
    <w:rsid w:val="00136A56"/>
    <w:rsid w:val="00136CEF"/>
    <w:rsid w:val="00136F7E"/>
    <w:rsid w:val="00137477"/>
    <w:rsid w:val="001375F8"/>
    <w:rsid w:val="00137914"/>
    <w:rsid w:val="001379F0"/>
    <w:rsid w:val="00137D4B"/>
    <w:rsid w:val="00140069"/>
    <w:rsid w:val="00140135"/>
    <w:rsid w:val="00140136"/>
    <w:rsid w:val="0014021A"/>
    <w:rsid w:val="001404DD"/>
    <w:rsid w:val="0014052F"/>
    <w:rsid w:val="001408CA"/>
    <w:rsid w:val="00140A37"/>
    <w:rsid w:val="00140EA2"/>
    <w:rsid w:val="0014102E"/>
    <w:rsid w:val="001413D0"/>
    <w:rsid w:val="0014155A"/>
    <w:rsid w:val="00141675"/>
    <w:rsid w:val="0014186E"/>
    <w:rsid w:val="00141B4F"/>
    <w:rsid w:val="00141C5E"/>
    <w:rsid w:val="0014251F"/>
    <w:rsid w:val="00142ABF"/>
    <w:rsid w:val="00142AF3"/>
    <w:rsid w:val="00142C35"/>
    <w:rsid w:val="00142DA3"/>
    <w:rsid w:val="00142E0C"/>
    <w:rsid w:val="00142EB0"/>
    <w:rsid w:val="00142F17"/>
    <w:rsid w:val="0014352F"/>
    <w:rsid w:val="00143535"/>
    <w:rsid w:val="001435B1"/>
    <w:rsid w:val="00143737"/>
    <w:rsid w:val="00143974"/>
    <w:rsid w:val="001439A3"/>
    <w:rsid w:val="00143E1B"/>
    <w:rsid w:val="001440F8"/>
    <w:rsid w:val="001442BD"/>
    <w:rsid w:val="00144448"/>
    <w:rsid w:val="001449A1"/>
    <w:rsid w:val="00144E87"/>
    <w:rsid w:val="00144F65"/>
    <w:rsid w:val="00145170"/>
    <w:rsid w:val="0014531B"/>
    <w:rsid w:val="001453C7"/>
    <w:rsid w:val="001453D3"/>
    <w:rsid w:val="0014540A"/>
    <w:rsid w:val="00145907"/>
    <w:rsid w:val="00145CFD"/>
    <w:rsid w:val="00145F3C"/>
    <w:rsid w:val="00145FA9"/>
    <w:rsid w:val="0014629C"/>
    <w:rsid w:val="001462A0"/>
    <w:rsid w:val="0014724D"/>
    <w:rsid w:val="00147711"/>
    <w:rsid w:val="00147809"/>
    <w:rsid w:val="00147D01"/>
    <w:rsid w:val="00150102"/>
    <w:rsid w:val="0015070E"/>
    <w:rsid w:val="00150BE9"/>
    <w:rsid w:val="001516EA"/>
    <w:rsid w:val="001517F6"/>
    <w:rsid w:val="001519BB"/>
    <w:rsid w:val="00151D29"/>
    <w:rsid w:val="00152209"/>
    <w:rsid w:val="00152354"/>
    <w:rsid w:val="00152A7A"/>
    <w:rsid w:val="00152F46"/>
    <w:rsid w:val="00153117"/>
    <w:rsid w:val="00153590"/>
    <w:rsid w:val="0015361E"/>
    <w:rsid w:val="00153EE1"/>
    <w:rsid w:val="00153F60"/>
    <w:rsid w:val="00154ACE"/>
    <w:rsid w:val="00154CA6"/>
    <w:rsid w:val="00154D6A"/>
    <w:rsid w:val="0015503A"/>
    <w:rsid w:val="00155130"/>
    <w:rsid w:val="001552CE"/>
    <w:rsid w:val="001554ED"/>
    <w:rsid w:val="00155A0E"/>
    <w:rsid w:val="00155B1D"/>
    <w:rsid w:val="00155F69"/>
    <w:rsid w:val="00156564"/>
    <w:rsid w:val="0015678F"/>
    <w:rsid w:val="001567A9"/>
    <w:rsid w:val="001567D0"/>
    <w:rsid w:val="00156811"/>
    <w:rsid w:val="00156AF1"/>
    <w:rsid w:val="00156C01"/>
    <w:rsid w:val="00156C78"/>
    <w:rsid w:val="001579DB"/>
    <w:rsid w:val="00157FFE"/>
    <w:rsid w:val="0016034F"/>
    <w:rsid w:val="00160359"/>
    <w:rsid w:val="00160895"/>
    <w:rsid w:val="00160DAC"/>
    <w:rsid w:val="00161430"/>
    <w:rsid w:val="00161839"/>
    <w:rsid w:val="00161CAE"/>
    <w:rsid w:val="00161F58"/>
    <w:rsid w:val="00162119"/>
    <w:rsid w:val="0016214B"/>
    <w:rsid w:val="00162239"/>
    <w:rsid w:val="00162411"/>
    <w:rsid w:val="00162515"/>
    <w:rsid w:val="001629A4"/>
    <w:rsid w:val="00162BC0"/>
    <w:rsid w:val="001632B3"/>
    <w:rsid w:val="001632E8"/>
    <w:rsid w:val="001632FF"/>
    <w:rsid w:val="00163B5A"/>
    <w:rsid w:val="00163C95"/>
    <w:rsid w:val="00163FC5"/>
    <w:rsid w:val="00164395"/>
    <w:rsid w:val="001644DE"/>
    <w:rsid w:val="00164660"/>
    <w:rsid w:val="00164A62"/>
    <w:rsid w:val="00164B99"/>
    <w:rsid w:val="00164C2F"/>
    <w:rsid w:val="00164C87"/>
    <w:rsid w:val="00164D7C"/>
    <w:rsid w:val="00164E37"/>
    <w:rsid w:val="0016506E"/>
    <w:rsid w:val="0016543C"/>
    <w:rsid w:val="001658E1"/>
    <w:rsid w:val="00165A8A"/>
    <w:rsid w:val="00165B75"/>
    <w:rsid w:val="00165FAB"/>
    <w:rsid w:val="00166054"/>
    <w:rsid w:val="00166204"/>
    <w:rsid w:val="00166288"/>
    <w:rsid w:val="00166623"/>
    <w:rsid w:val="00166730"/>
    <w:rsid w:val="001668D3"/>
    <w:rsid w:val="00166ACD"/>
    <w:rsid w:val="00166DBE"/>
    <w:rsid w:val="001674C3"/>
    <w:rsid w:val="00167A6F"/>
    <w:rsid w:val="00167C3B"/>
    <w:rsid w:val="001707B2"/>
    <w:rsid w:val="001714BD"/>
    <w:rsid w:val="00171558"/>
    <w:rsid w:val="001716EC"/>
    <w:rsid w:val="00171A09"/>
    <w:rsid w:val="00171A0D"/>
    <w:rsid w:val="00172163"/>
    <w:rsid w:val="001722F2"/>
    <w:rsid w:val="00172718"/>
    <w:rsid w:val="00172991"/>
    <w:rsid w:val="00172F71"/>
    <w:rsid w:val="00173312"/>
    <w:rsid w:val="001734F4"/>
    <w:rsid w:val="0017359C"/>
    <w:rsid w:val="0017372D"/>
    <w:rsid w:val="00173736"/>
    <w:rsid w:val="001739BF"/>
    <w:rsid w:val="00173BD0"/>
    <w:rsid w:val="00173DEC"/>
    <w:rsid w:val="00173FDC"/>
    <w:rsid w:val="00174133"/>
    <w:rsid w:val="00174166"/>
    <w:rsid w:val="0017424E"/>
    <w:rsid w:val="001742FB"/>
    <w:rsid w:val="0017433B"/>
    <w:rsid w:val="0017459A"/>
    <w:rsid w:val="001745D9"/>
    <w:rsid w:val="00174878"/>
    <w:rsid w:val="00174A00"/>
    <w:rsid w:val="00174EBB"/>
    <w:rsid w:val="00175811"/>
    <w:rsid w:val="001758AE"/>
    <w:rsid w:val="00175C0D"/>
    <w:rsid w:val="00176814"/>
    <w:rsid w:val="00176C6A"/>
    <w:rsid w:val="00177563"/>
    <w:rsid w:val="00177572"/>
    <w:rsid w:val="0017771A"/>
    <w:rsid w:val="00177C2E"/>
    <w:rsid w:val="00177E04"/>
    <w:rsid w:val="0018070B"/>
    <w:rsid w:val="00180757"/>
    <w:rsid w:val="0018091E"/>
    <w:rsid w:val="00180DE9"/>
    <w:rsid w:val="00180E36"/>
    <w:rsid w:val="00180FE5"/>
    <w:rsid w:val="00181066"/>
    <w:rsid w:val="001811A2"/>
    <w:rsid w:val="00181472"/>
    <w:rsid w:val="00181678"/>
    <w:rsid w:val="00181B95"/>
    <w:rsid w:val="00181EB6"/>
    <w:rsid w:val="00182310"/>
    <w:rsid w:val="00183110"/>
    <w:rsid w:val="001837B7"/>
    <w:rsid w:val="00183808"/>
    <w:rsid w:val="00183E60"/>
    <w:rsid w:val="0018406A"/>
    <w:rsid w:val="00184472"/>
    <w:rsid w:val="00184714"/>
    <w:rsid w:val="00184877"/>
    <w:rsid w:val="00184A8F"/>
    <w:rsid w:val="00184CCB"/>
    <w:rsid w:val="00184CE0"/>
    <w:rsid w:val="00184D1F"/>
    <w:rsid w:val="00184D45"/>
    <w:rsid w:val="0018514A"/>
    <w:rsid w:val="0018540D"/>
    <w:rsid w:val="001857F8"/>
    <w:rsid w:val="001858DB"/>
    <w:rsid w:val="00185D23"/>
    <w:rsid w:val="00186103"/>
    <w:rsid w:val="00186451"/>
    <w:rsid w:val="001864F2"/>
    <w:rsid w:val="00186580"/>
    <w:rsid w:val="0018675A"/>
    <w:rsid w:val="001870B1"/>
    <w:rsid w:val="00187488"/>
    <w:rsid w:val="00187774"/>
    <w:rsid w:val="00187AF0"/>
    <w:rsid w:val="00187BA6"/>
    <w:rsid w:val="00187E95"/>
    <w:rsid w:val="00190196"/>
    <w:rsid w:val="0019070D"/>
    <w:rsid w:val="00190769"/>
    <w:rsid w:val="001907D2"/>
    <w:rsid w:val="00190944"/>
    <w:rsid w:val="00190B4B"/>
    <w:rsid w:val="00190FC0"/>
    <w:rsid w:val="00191277"/>
    <w:rsid w:val="00191571"/>
    <w:rsid w:val="001915BE"/>
    <w:rsid w:val="00191663"/>
    <w:rsid w:val="00191749"/>
    <w:rsid w:val="00191885"/>
    <w:rsid w:val="0019198A"/>
    <w:rsid w:val="00191A1A"/>
    <w:rsid w:val="00191CBD"/>
    <w:rsid w:val="00191D2C"/>
    <w:rsid w:val="001923FE"/>
    <w:rsid w:val="001924E8"/>
    <w:rsid w:val="001927B8"/>
    <w:rsid w:val="00192D24"/>
    <w:rsid w:val="00192EBD"/>
    <w:rsid w:val="00193230"/>
    <w:rsid w:val="00193296"/>
    <w:rsid w:val="00193655"/>
    <w:rsid w:val="00193664"/>
    <w:rsid w:val="00193749"/>
    <w:rsid w:val="00193AEF"/>
    <w:rsid w:val="0019431E"/>
    <w:rsid w:val="0019498F"/>
    <w:rsid w:val="00194B26"/>
    <w:rsid w:val="00195506"/>
    <w:rsid w:val="0019555F"/>
    <w:rsid w:val="00195BE5"/>
    <w:rsid w:val="001968C0"/>
    <w:rsid w:val="00196AB2"/>
    <w:rsid w:val="00196C05"/>
    <w:rsid w:val="00196C0B"/>
    <w:rsid w:val="001971D6"/>
    <w:rsid w:val="00197940"/>
    <w:rsid w:val="001979D9"/>
    <w:rsid w:val="00197E78"/>
    <w:rsid w:val="00197F4E"/>
    <w:rsid w:val="001A0550"/>
    <w:rsid w:val="001A07C5"/>
    <w:rsid w:val="001A0A6D"/>
    <w:rsid w:val="001A0A6F"/>
    <w:rsid w:val="001A0BAA"/>
    <w:rsid w:val="001A0FB2"/>
    <w:rsid w:val="001A131B"/>
    <w:rsid w:val="001A14FD"/>
    <w:rsid w:val="001A15F3"/>
    <w:rsid w:val="001A1711"/>
    <w:rsid w:val="001A192B"/>
    <w:rsid w:val="001A1A16"/>
    <w:rsid w:val="001A1B2C"/>
    <w:rsid w:val="001A1F5D"/>
    <w:rsid w:val="001A206A"/>
    <w:rsid w:val="001A23A2"/>
    <w:rsid w:val="001A23F0"/>
    <w:rsid w:val="001A2923"/>
    <w:rsid w:val="001A29A8"/>
    <w:rsid w:val="001A2C5D"/>
    <w:rsid w:val="001A2F03"/>
    <w:rsid w:val="001A39CD"/>
    <w:rsid w:val="001A3B52"/>
    <w:rsid w:val="001A3CE3"/>
    <w:rsid w:val="001A40BE"/>
    <w:rsid w:val="001A40F3"/>
    <w:rsid w:val="001A4822"/>
    <w:rsid w:val="001A48C5"/>
    <w:rsid w:val="001A493E"/>
    <w:rsid w:val="001A49D1"/>
    <w:rsid w:val="001A4B01"/>
    <w:rsid w:val="001A562B"/>
    <w:rsid w:val="001A6223"/>
    <w:rsid w:val="001A6468"/>
    <w:rsid w:val="001A66DC"/>
    <w:rsid w:val="001A6807"/>
    <w:rsid w:val="001A69DA"/>
    <w:rsid w:val="001A6CC7"/>
    <w:rsid w:val="001A6E2E"/>
    <w:rsid w:val="001A6EEC"/>
    <w:rsid w:val="001A6FD9"/>
    <w:rsid w:val="001A7351"/>
    <w:rsid w:val="001A7489"/>
    <w:rsid w:val="001A7780"/>
    <w:rsid w:val="001A77A2"/>
    <w:rsid w:val="001A793C"/>
    <w:rsid w:val="001A7B78"/>
    <w:rsid w:val="001A7D37"/>
    <w:rsid w:val="001A7E8F"/>
    <w:rsid w:val="001B05D6"/>
    <w:rsid w:val="001B06F5"/>
    <w:rsid w:val="001B0847"/>
    <w:rsid w:val="001B093E"/>
    <w:rsid w:val="001B0B55"/>
    <w:rsid w:val="001B0DD9"/>
    <w:rsid w:val="001B0E16"/>
    <w:rsid w:val="001B0F1A"/>
    <w:rsid w:val="001B1025"/>
    <w:rsid w:val="001B115C"/>
    <w:rsid w:val="001B1616"/>
    <w:rsid w:val="001B16A2"/>
    <w:rsid w:val="001B1F7B"/>
    <w:rsid w:val="001B1FEE"/>
    <w:rsid w:val="001B2138"/>
    <w:rsid w:val="001B2441"/>
    <w:rsid w:val="001B2528"/>
    <w:rsid w:val="001B2745"/>
    <w:rsid w:val="001B2B4E"/>
    <w:rsid w:val="001B2FE9"/>
    <w:rsid w:val="001B2FFD"/>
    <w:rsid w:val="001B332F"/>
    <w:rsid w:val="001B354F"/>
    <w:rsid w:val="001B375D"/>
    <w:rsid w:val="001B3887"/>
    <w:rsid w:val="001B3C29"/>
    <w:rsid w:val="001B3DE6"/>
    <w:rsid w:val="001B3EFD"/>
    <w:rsid w:val="001B4132"/>
    <w:rsid w:val="001B4281"/>
    <w:rsid w:val="001B450F"/>
    <w:rsid w:val="001B45D6"/>
    <w:rsid w:val="001B4971"/>
    <w:rsid w:val="001B4A5C"/>
    <w:rsid w:val="001B4A94"/>
    <w:rsid w:val="001B50E5"/>
    <w:rsid w:val="001B528C"/>
    <w:rsid w:val="001B5500"/>
    <w:rsid w:val="001B5900"/>
    <w:rsid w:val="001B5B35"/>
    <w:rsid w:val="001B5B85"/>
    <w:rsid w:val="001B6386"/>
    <w:rsid w:val="001B6788"/>
    <w:rsid w:val="001B688A"/>
    <w:rsid w:val="001B6A33"/>
    <w:rsid w:val="001B6C7A"/>
    <w:rsid w:val="001B713B"/>
    <w:rsid w:val="001B7196"/>
    <w:rsid w:val="001B730D"/>
    <w:rsid w:val="001B7A08"/>
    <w:rsid w:val="001B7F32"/>
    <w:rsid w:val="001B7F42"/>
    <w:rsid w:val="001C0001"/>
    <w:rsid w:val="001C01C5"/>
    <w:rsid w:val="001C0714"/>
    <w:rsid w:val="001C07C3"/>
    <w:rsid w:val="001C082B"/>
    <w:rsid w:val="001C0AE6"/>
    <w:rsid w:val="001C0BA5"/>
    <w:rsid w:val="001C0E24"/>
    <w:rsid w:val="001C1013"/>
    <w:rsid w:val="001C12A9"/>
    <w:rsid w:val="001C147F"/>
    <w:rsid w:val="001C19B6"/>
    <w:rsid w:val="001C1A88"/>
    <w:rsid w:val="001C1AFA"/>
    <w:rsid w:val="001C1C27"/>
    <w:rsid w:val="001C1CC5"/>
    <w:rsid w:val="001C1D65"/>
    <w:rsid w:val="001C1D97"/>
    <w:rsid w:val="001C2408"/>
    <w:rsid w:val="001C27B1"/>
    <w:rsid w:val="001C2ABA"/>
    <w:rsid w:val="001C2BA3"/>
    <w:rsid w:val="001C2BDE"/>
    <w:rsid w:val="001C2C68"/>
    <w:rsid w:val="001C2DB8"/>
    <w:rsid w:val="001C3347"/>
    <w:rsid w:val="001C359C"/>
    <w:rsid w:val="001C363F"/>
    <w:rsid w:val="001C3649"/>
    <w:rsid w:val="001C383D"/>
    <w:rsid w:val="001C3853"/>
    <w:rsid w:val="001C390A"/>
    <w:rsid w:val="001C3A50"/>
    <w:rsid w:val="001C3B25"/>
    <w:rsid w:val="001C3B45"/>
    <w:rsid w:val="001C3D6E"/>
    <w:rsid w:val="001C3F85"/>
    <w:rsid w:val="001C4457"/>
    <w:rsid w:val="001C4903"/>
    <w:rsid w:val="001C5030"/>
    <w:rsid w:val="001C5289"/>
    <w:rsid w:val="001C52F7"/>
    <w:rsid w:val="001C560B"/>
    <w:rsid w:val="001C5637"/>
    <w:rsid w:val="001C5CFF"/>
    <w:rsid w:val="001C5D15"/>
    <w:rsid w:val="001C5F14"/>
    <w:rsid w:val="001C6294"/>
    <w:rsid w:val="001C66DD"/>
    <w:rsid w:val="001C6757"/>
    <w:rsid w:val="001C69F4"/>
    <w:rsid w:val="001C6B65"/>
    <w:rsid w:val="001C6D58"/>
    <w:rsid w:val="001C6D7F"/>
    <w:rsid w:val="001C72EE"/>
    <w:rsid w:val="001C72F9"/>
    <w:rsid w:val="001C7388"/>
    <w:rsid w:val="001C7BBB"/>
    <w:rsid w:val="001C7C62"/>
    <w:rsid w:val="001D00A2"/>
    <w:rsid w:val="001D01F4"/>
    <w:rsid w:val="001D083D"/>
    <w:rsid w:val="001D0863"/>
    <w:rsid w:val="001D0891"/>
    <w:rsid w:val="001D0994"/>
    <w:rsid w:val="001D1A36"/>
    <w:rsid w:val="001D1B0B"/>
    <w:rsid w:val="001D20B9"/>
    <w:rsid w:val="001D2276"/>
    <w:rsid w:val="001D23B5"/>
    <w:rsid w:val="001D28C5"/>
    <w:rsid w:val="001D291B"/>
    <w:rsid w:val="001D29DC"/>
    <w:rsid w:val="001D2B17"/>
    <w:rsid w:val="001D2CCE"/>
    <w:rsid w:val="001D2F3E"/>
    <w:rsid w:val="001D34C7"/>
    <w:rsid w:val="001D3691"/>
    <w:rsid w:val="001D3B04"/>
    <w:rsid w:val="001D3FD6"/>
    <w:rsid w:val="001D439B"/>
    <w:rsid w:val="001D44AC"/>
    <w:rsid w:val="001D4872"/>
    <w:rsid w:val="001D4F3E"/>
    <w:rsid w:val="001D512C"/>
    <w:rsid w:val="001D5442"/>
    <w:rsid w:val="001D5BB2"/>
    <w:rsid w:val="001D6384"/>
    <w:rsid w:val="001D6405"/>
    <w:rsid w:val="001D656F"/>
    <w:rsid w:val="001D6586"/>
    <w:rsid w:val="001D6769"/>
    <w:rsid w:val="001D6A01"/>
    <w:rsid w:val="001D73FA"/>
    <w:rsid w:val="001D7950"/>
    <w:rsid w:val="001D7C35"/>
    <w:rsid w:val="001E0089"/>
    <w:rsid w:val="001E0197"/>
    <w:rsid w:val="001E0375"/>
    <w:rsid w:val="001E07A7"/>
    <w:rsid w:val="001E0C3B"/>
    <w:rsid w:val="001E0D65"/>
    <w:rsid w:val="001E0D7D"/>
    <w:rsid w:val="001E137A"/>
    <w:rsid w:val="001E139F"/>
    <w:rsid w:val="001E1890"/>
    <w:rsid w:val="001E1B8D"/>
    <w:rsid w:val="001E21D8"/>
    <w:rsid w:val="001E249C"/>
    <w:rsid w:val="001E26AA"/>
    <w:rsid w:val="001E26DA"/>
    <w:rsid w:val="001E2A62"/>
    <w:rsid w:val="001E2F85"/>
    <w:rsid w:val="001E321F"/>
    <w:rsid w:val="001E3736"/>
    <w:rsid w:val="001E38CB"/>
    <w:rsid w:val="001E3CE8"/>
    <w:rsid w:val="001E4139"/>
    <w:rsid w:val="001E4406"/>
    <w:rsid w:val="001E44CA"/>
    <w:rsid w:val="001E44D4"/>
    <w:rsid w:val="001E49DF"/>
    <w:rsid w:val="001E4B5A"/>
    <w:rsid w:val="001E4E8E"/>
    <w:rsid w:val="001E4EA7"/>
    <w:rsid w:val="001E58FD"/>
    <w:rsid w:val="001E5BEF"/>
    <w:rsid w:val="001E607A"/>
    <w:rsid w:val="001E63C3"/>
    <w:rsid w:val="001E65CA"/>
    <w:rsid w:val="001E664B"/>
    <w:rsid w:val="001E67EC"/>
    <w:rsid w:val="001E6859"/>
    <w:rsid w:val="001E688A"/>
    <w:rsid w:val="001E6969"/>
    <w:rsid w:val="001E6DA6"/>
    <w:rsid w:val="001E72AF"/>
    <w:rsid w:val="001E73C2"/>
    <w:rsid w:val="001E7736"/>
    <w:rsid w:val="001E7890"/>
    <w:rsid w:val="001E7DAD"/>
    <w:rsid w:val="001E7E20"/>
    <w:rsid w:val="001F02CD"/>
    <w:rsid w:val="001F03B8"/>
    <w:rsid w:val="001F05E6"/>
    <w:rsid w:val="001F1028"/>
    <w:rsid w:val="001F113E"/>
    <w:rsid w:val="001F1846"/>
    <w:rsid w:val="001F1B0B"/>
    <w:rsid w:val="001F2243"/>
    <w:rsid w:val="001F23D9"/>
    <w:rsid w:val="001F26F9"/>
    <w:rsid w:val="001F2819"/>
    <w:rsid w:val="001F2859"/>
    <w:rsid w:val="001F2BDF"/>
    <w:rsid w:val="001F30C0"/>
    <w:rsid w:val="001F37DD"/>
    <w:rsid w:val="001F3C80"/>
    <w:rsid w:val="001F3CF8"/>
    <w:rsid w:val="001F3D48"/>
    <w:rsid w:val="001F440D"/>
    <w:rsid w:val="001F4723"/>
    <w:rsid w:val="001F4785"/>
    <w:rsid w:val="001F47AA"/>
    <w:rsid w:val="001F49A7"/>
    <w:rsid w:val="001F49FA"/>
    <w:rsid w:val="001F4D5D"/>
    <w:rsid w:val="001F4E34"/>
    <w:rsid w:val="001F4F33"/>
    <w:rsid w:val="001F5116"/>
    <w:rsid w:val="001F537F"/>
    <w:rsid w:val="001F595D"/>
    <w:rsid w:val="001F5FA9"/>
    <w:rsid w:val="001F6111"/>
    <w:rsid w:val="001F641D"/>
    <w:rsid w:val="001F656E"/>
    <w:rsid w:val="001F6592"/>
    <w:rsid w:val="001F6A98"/>
    <w:rsid w:val="001F6B78"/>
    <w:rsid w:val="001F6E40"/>
    <w:rsid w:val="001F6FDB"/>
    <w:rsid w:val="001F7365"/>
    <w:rsid w:val="001F74DF"/>
    <w:rsid w:val="001F75D4"/>
    <w:rsid w:val="001F77FB"/>
    <w:rsid w:val="001F7B1D"/>
    <w:rsid w:val="001F7BD6"/>
    <w:rsid w:val="001F7FC7"/>
    <w:rsid w:val="002000FB"/>
    <w:rsid w:val="00200433"/>
    <w:rsid w:val="00200895"/>
    <w:rsid w:val="00200C84"/>
    <w:rsid w:val="00201834"/>
    <w:rsid w:val="002019AF"/>
    <w:rsid w:val="00201AF2"/>
    <w:rsid w:val="00201DF5"/>
    <w:rsid w:val="00201E9B"/>
    <w:rsid w:val="002021F3"/>
    <w:rsid w:val="002027BE"/>
    <w:rsid w:val="0020296F"/>
    <w:rsid w:val="00202FF8"/>
    <w:rsid w:val="002033AA"/>
    <w:rsid w:val="002038D6"/>
    <w:rsid w:val="00203A53"/>
    <w:rsid w:val="00203A7F"/>
    <w:rsid w:val="00204283"/>
    <w:rsid w:val="002043EC"/>
    <w:rsid w:val="00204482"/>
    <w:rsid w:val="00204776"/>
    <w:rsid w:val="002048F0"/>
    <w:rsid w:val="00204AE1"/>
    <w:rsid w:val="00204D2E"/>
    <w:rsid w:val="00204E93"/>
    <w:rsid w:val="0020511A"/>
    <w:rsid w:val="00205A6F"/>
    <w:rsid w:val="0020625F"/>
    <w:rsid w:val="0020626F"/>
    <w:rsid w:val="002066CE"/>
    <w:rsid w:val="00206794"/>
    <w:rsid w:val="00206A32"/>
    <w:rsid w:val="00206BF3"/>
    <w:rsid w:val="00206D91"/>
    <w:rsid w:val="002075B2"/>
    <w:rsid w:val="00207E2A"/>
    <w:rsid w:val="00210138"/>
    <w:rsid w:val="0021052C"/>
    <w:rsid w:val="00210B3C"/>
    <w:rsid w:val="00210C05"/>
    <w:rsid w:val="002114A4"/>
    <w:rsid w:val="00211735"/>
    <w:rsid w:val="00211741"/>
    <w:rsid w:val="0021187D"/>
    <w:rsid w:val="00211CC2"/>
    <w:rsid w:val="0021273B"/>
    <w:rsid w:val="002128D8"/>
    <w:rsid w:val="0021296F"/>
    <w:rsid w:val="002129E5"/>
    <w:rsid w:val="00212CF0"/>
    <w:rsid w:val="00212EF2"/>
    <w:rsid w:val="002130DE"/>
    <w:rsid w:val="0021357D"/>
    <w:rsid w:val="00213B30"/>
    <w:rsid w:val="00213C77"/>
    <w:rsid w:val="00213D48"/>
    <w:rsid w:val="00213D54"/>
    <w:rsid w:val="00213EF1"/>
    <w:rsid w:val="00214288"/>
    <w:rsid w:val="00214323"/>
    <w:rsid w:val="00214343"/>
    <w:rsid w:val="0021483B"/>
    <w:rsid w:val="00214959"/>
    <w:rsid w:val="00215115"/>
    <w:rsid w:val="0021511B"/>
    <w:rsid w:val="0021514F"/>
    <w:rsid w:val="002151CF"/>
    <w:rsid w:val="0021561F"/>
    <w:rsid w:val="00215C1A"/>
    <w:rsid w:val="00215C2A"/>
    <w:rsid w:val="00215DB2"/>
    <w:rsid w:val="00215F0C"/>
    <w:rsid w:val="00216036"/>
    <w:rsid w:val="0021604F"/>
    <w:rsid w:val="002160DA"/>
    <w:rsid w:val="002166CB"/>
    <w:rsid w:val="00216A81"/>
    <w:rsid w:val="00216DE4"/>
    <w:rsid w:val="0021702D"/>
    <w:rsid w:val="002170A8"/>
    <w:rsid w:val="0021723A"/>
    <w:rsid w:val="0021728E"/>
    <w:rsid w:val="00217681"/>
    <w:rsid w:val="0021785C"/>
    <w:rsid w:val="00217DC2"/>
    <w:rsid w:val="00220192"/>
    <w:rsid w:val="00220820"/>
    <w:rsid w:val="00220B9C"/>
    <w:rsid w:val="00220CF9"/>
    <w:rsid w:val="00220D12"/>
    <w:rsid w:val="00220FE3"/>
    <w:rsid w:val="00221208"/>
    <w:rsid w:val="002214B9"/>
    <w:rsid w:val="00221545"/>
    <w:rsid w:val="0022156D"/>
    <w:rsid w:val="00221584"/>
    <w:rsid w:val="002216BE"/>
    <w:rsid w:val="002219A9"/>
    <w:rsid w:val="00221C62"/>
    <w:rsid w:val="00221EA0"/>
    <w:rsid w:val="00222086"/>
    <w:rsid w:val="002224DE"/>
    <w:rsid w:val="00222919"/>
    <w:rsid w:val="00222A0D"/>
    <w:rsid w:val="00222B58"/>
    <w:rsid w:val="00222C08"/>
    <w:rsid w:val="00222CB8"/>
    <w:rsid w:val="0022306C"/>
    <w:rsid w:val="002232A3"/>
    <w:rsid w:val="00223601"/>
    <w:rsid w:val="00223606"/>
    <w:rsid w:val="0022366F"/>
    <w:rsid w:val="0022397E"/>
    <w:rsid w:val="00223982"/>
    <w:rsid w:val="00223AA0"/>
    <w:rsid w:val="00223C82"/>
    <w:rsid w:val="00223CED"/>
    <w:rsid w:val="00224BD4"/>
    <w:rsid w:val="00224E7C"/>
    <w:rsid w:val="00224F7B"/>
    <w:rsid w:val="00224FF1"/>
    <w:rsid w:val="0022525A"/>
    <w:rsid w:val="00225C3D"/>
    <w:rsid w:val="002264FF"/>
    <w:rsid w:val="002267A3"/>
    <w:rsid w:val="00226848"/>
    <w:rsid w:val="00226BBD"/>
    <w:rsid w:val="00226EE0"/>
    <w:rsid w:val="00226FE7"/>
    <w:rsid w:val="002274D5"/>
    <w:rsid w:val="00227534"/>
    <w:rsid w:val="00227E25"/>
    <w:rsid w:val="00230213"/>
    <w:rsid w:val="002302C9"/>
    <w:rsid w:val="0023035A"/>
    <w:rsid w:val="0023090E"/>
    <w:rsid w:val="00230FE9"/>
    <w:rsid w:val="002312F9"/>
    <w:rsid w:val="002313FB"/>
    <w:rsid w:val="00231419"/>
    <w:rsid w:val="00231B09"/>
    <w:rsid w:val="00231C44"/>
    <w:rsid w:val="00231DEB"/>
    <w:rsid w:val="00231F52"/>
    <w:rsid w:val="0023227F"/>
    <w:rsid w:val="00232F5C"/>
    <w:rsid w:val="00232F61"/>
    <w:rsid w:val="00233371"/>
    <w:rsid w:val="00233372"/>
    <w:rsid w:val="00233468"/>
    <w:rsid w:val="00233A44"/>
    <w:rsid w:val="00233CC3"/>
    <w:rsid w:val="00233CE0"/>
    <w:rsid w:val="00233D8D"/>
    <w:rsid w:val="00233F7C"/>
    <w:rsid w:val="00234766"/>
    <w:rsid w:val="002347D1"/>
    <w:rsid w:val="00234846"/>
    <w:rsid w:val="00234E3D"/>
    <w:rsid w:val="0023505E"/>
    <w:rsid w:val="002353E7"/>
    <w:rsid w:val="00235403"/>
    <w:rsid w:val="00235650"/>
    <w:rsid w:val="002356DF"/>
    <w:rsid w:val="0023587A"/>
    <w:rsid w:val="00235CDE"/>
    <w:rsid w:val="002360B2"/>
    <w:rsid w:val="00236223"/>
    <w:rsid w:val="00236259"/>
    <w:rsid w:val="0023646E"/>
    <w:rsid w:val="00236493"/>
    <w:rsid w:val="0023653F"/>
    <w:rsid w:val="00236852"/>
    <w:rsid w:val="00236BAC"/>
    <w:rsid w:val="00236F40"/>
    <w:rsid w:val="00237105"/>
    <w:rsid w:val="002371BF"/>
    <w:rsid w:val="002378D5"/>
    <w:rsid w:val="00237960"/>
    <w:rsid w:val="00237C4F"/>
    <w:rsid w:val="00240679"/>
    <w:rsid w:val="00240808"/>
    <w:rsid w:val="00240847"/>
    <w:rsid w:val="00240952"/>
    <w:rsid w:val="0024095F"/>
    <w:rsid w:val="002414E8"/>
    <w:rsid w:val="002419E0"/>
    <w:rsid w:val="00241A6E"/>
    <w:rsid w:val="0024286F"/>
    <w:rsid w:val="002428AC"/>
    <w:rsid w:val="002428D7"/>
    <w:rsid w:val="00242CCC"/>
    <w:rsid w:val="00242EC3"/>
    <w:rsid w:val="00242ED0"/>
    <w:rsid w:val="0024314C"/>
    <w:rsid w:val="0024323D"/>
    <w:rsid w:val="002435EA"/>
    <w:rsid w:val="0024395F"/>
    <w:rsid w:val="00243AED"/>
    <w:rsid w:val="00243DC0"/>
    <w:rsid w:val="00243F94"/>
    <w:rsid w:val="00244062"/>
    <w:rsid w:val="002442CA"/>
    <w:rsid w:val="00244637"/>
    <w:rsid w:val="002448C3"/>
    <w:rsid w:val="00244A7F"/>
    <w:rsid w:val="00244FA8"/>
    <w:rsid w:val="00245254"/>
    <w:rsid w:val="002456E8"/>
    <w:rsid w:val="002456F3"/>
    <w:rsid w:val="00245B6C"/>
    <w:rsid w:val="00245CE1"/>
    <w:rsid w:val="00245F25"/>
    <w:rsid w:val="0024663E"/>
    <w:rsid w:val="002466EC"/>
    <w:rsid w:val="002467DF"/>
    <w:rsid w:val="002471C2"/>
    <w:rsid w:val="0024721D"/>
    <w:rsid w:val="00247477"/>
    <w:rsid w:val="00247572"/>
    <w:rsid w:val="002476A1"/>
    <w:rsid w:val="002478B5"/>
    <w:rsid w:val="002478EF"/>
    <w:rsid w:val="00247949"/>
    <w:rsid w:val="002479CA"/>
    <w:rsid w:val="002479F6"/>
    <w:rsid w:val="00247ACA"/>
    <w:rsid w:val="00247B04"/>
    <w:rsid w:val="00247D6C"/>
    <w:rsid w:val="00247E99"/>
    <w:rsid w:val="00250972"/>
    <w:rsid w:val="00250CF4"/>
    <w:rsid w:val="00250E9B"/>
    <w:rsid w:val="00250F31"/>
    <w:rsid w:val="00251672"/>
    <w:rsid w:val="002523F3"/>
    <w:rsid w:val="00252769"/>
    <w:rsid w:val="0025278B"/>
    <w:rsid w:val="00252855"/>
    <w:rsid w:val="00252A6F"/>
    <w:rsid w:val="00252AAD"/>
    <w:rsid w:val="00252B94"/>
    <w:rsid w:val="00253147"/>
    <w:rsid w:val="002533C9"/>
    <w:rsid w:val="002533F6"/>
    <w:rsid w:val="00253918"/>
    <w:rsid w:val="00253942"/>
    <w:rsid w:val="00253959"/>
    <w:rsid w:val="0025398A"/>
    <w:rsid w:val="002539CE"/>
    <w:rsid w:val="00253AAA"/>
    <w:rsid w:val="00253F75"/>
    <w:rsid w:val="00254221"/>
    <w:rsid w:val="0025490C"/>
    <w:rsid w:val="00254CC4"/>
    <w:rsid w:val="00254D43"/>
    <w:rsid w:val="00254F41"/>
    <w:rsid w:val="00255418"/>
    <w:rsid w:val="00255421"/>
    <w:rsid w:val="00255578"/>
    <w:rsid w:val="0025577B"/>
    <w:rsid w:val="00255891"/>
    <w:rsid w:val="00255C06"/>
    <w:rsid w:val="00255C3C"/>
    <w:rsid w:val="00255E83"/>
    <w:rsid w:val="002561DD"/>
    <w:rsid w:val="002567D5"/>
    <w:rsid w:val="00256932"/>
    <w:rsid w:val="0025693A"/>
    <w:rsid w:val="00256BD6"/>
    <w:rsid w:val="0025713B"/>
    <w:rsid w:val="002576E5"/>
    <w:rsid w:val="002576EF"/>
    <w:rsid w:val="0025773E"/>
    <w:rsid w:val="00257AAD"/>
    <w:rsid w:val="00257B4D"/>
    <w:rsid w:val="00260645"/>
    <w:rsid w:val="00260719"/>
    <w:rsid w:val="002607EA"/>
    <w:rsid w:val="00260832"/>
    <w:rsid w:val="00261070"/>
    <w:rsid w:val="0026111D"/>
    <w:rsid w:val="002614E5"/>
    <w:rsid w:val="0026168C"/>
    <w:rsid w:val="002616D0"/>
    <w:rsid w:val="002619E5"/>
    <w:rsid w:val="00262178"/>
    <w:rsid w:val="0026253C"/>
    <w:rsid w:val="002627FA"/>
    <w:rsid w:val="00262AD8"/>
    <w:rsid w:val="00263274"/>
    <w:rsid w:val="00263416"/>
    <w:rsid w:val="00263692"/>
    <w:rsid w:val="00263703"/>
    <w:rsid w:val="00263A92"/>
    <w:rsid w:val="00263D89"/>
    <w:rsid w:val="00263FAB"/>
    <w:rsid w:val="00264016"/>
    <w:rsid w:val="002640B1"/>
    <w:rsid w:val="0026414E"/>
    <w:rsid w:val="0026429B"/>
    <w:rsid w:val="0026473A"/>
    <w:rsid w:val="0026487C"/>
    <w:rsid w:val="00264B14"/>
    <w:rsid w:val="00264CAD"/>
    <w:rsid w:val="00264DA9"/>
    <w:rsid w:val="002651DA"/>
    <w:rsid w:val="002655FA"/>
    <w:rsid w:val="00265828"/>
    <w:rsid w:val="00266229"/>
    <w:rsid w:val="002664C4"/>
    <w:rsid w:val="00266626"/>
    <w:rsid w:val="0026684B"/>
    <w:rsid w:val="00266919"/>
    <w:rsid w:val="00266FC9"/>
    <w:rsid w:val="00267CC0"/>
    <w:rsid w:val="00267E50"/>
    <w:rsid w:val="0027014E"/>
    <w:rsid w:val="00270241"/>
    <w:rsid w:val="00270329"/>
    <w:rsid w:val="00270440"/>
    <w:rsid w:val="0027074D"/>
    <w:rsid w:val="0027080E"/>
    <w:rsid w:val="00270901"/>
    <w:rsid w:val="00270903"/>
    <w:rsid w:val="00270B65"/>
    <w:rsid w:val="002710FE"/>
    <w:rsid w:val="00271531"/>
    <w:rsid w:val="0027164A"/>
    <w:rsid w:val="002716BD"/>
    <w:rsid w:val="002716ED"/>
    <w:rsid w:val="00271EBD"/>
    <w:rsid w:val="00271F40"/>
    <w:rsid w:val="00271FEE"/>
    <w:rsid w:val="00271FF3"/>
    <w:rsid w:val="00272093"/>
    <w:rsid w:val="0027217B"/>
    <w:rsid w:val="00272215"/>
    <w:rsid w:val="002723A1"/>
    <w:rsid w:val="00272F3D"/>
    <w:rsid w:val="00272F88"/>
    <w:rsid w:val="00273112"/>
    <w:rsid w:val="0027338A"/>
    <w:rsid w:val="00274028"/>
    <w:rsid w:val="002747DD"/>
    <w:rsid w:val="0027495E"/>
    <w:rsid w:val="00274A12"/>
    <w:rsid w:val="00274C3D"/>
    <w:rsid w:val="00274D47"/>
    <w:rsid w:val="00274F7C"/>
    <w:rsid w:val="0027524C"/>
    <w:rsid w:val="002755B5"/>
    <w:rsid w:val="002759C7"/>
    <w:rsid w:val="002759EC"/>
    <w:rsid w:val="00275A85"/>
    <w:rsid w:val="00276763"/>
    <w:rsid w:val="002767F0"/>
    <w:rsid w:val="0027688A"/>
    <w:rsid w:val="00276E8A"/>
    <w:rsid w:val="00276FD1"/>
    <w:rsid w:val="002773B7"/>
    <w:rsid w:val="00277557"/>
    <w:rsid w:val="0027768D"/>
    <w:rsid w:val="002776DB"/>
    <w:rsid w:val="00277C52"/>
    <w:rsid w:val="0028022A"/>
    <w:rsid w:val="00280326"/>
    <w:rsid w:val="0028077C"/>
    <w:rsid w:val="00281156"/>
    <w:rsid w:val="002812C1"/>
    <w:rsid w:val="00281398"/>
    <w:rsid w:val="00281A9D"/>
    <w:rsid w:val="00281B62"/>
    <w:rsid w:val="00281BC8"/>
    <w:rsid w:val="00281CE7"/>
    <w:rsid w:val="00281F39"/>
    <w:rsid w:val="0028232B"/>
    <w:rsid w:val="00282653"/>
    <w:rsid w:val="002826E5"/>
    <w:rsid w:val="00282923"/>
    <w:rsid w:val="002829EC"/>
    <w:rsid w:val="00282A98"/>
    <w:rsid w:val="00282D19"/>
    <w:rsid w:val="002836A5"/>
    <w:rsid w:val="00283714"/>
    <w:rsid w:val="00283895"/>
    <w:rsid w:val="002838A0"/>
    <w:rsid w:val="0028397F"/>
    <w:rsid w:val="00284141"/>
    <w:rsid w:val="00284789"/>
    <w:rsid w:val="00284A8F"/>
    <w:rsid w:val="00284AE9"/>
    <w:rsid w:val="00284B47"/>
    <w:rsid w:val="00284D6E"/>
    <w:rsid w:val="00284D8D"/>
    <w:rsid w:val="0028505A"/>
    <w:rsid w:val="002859D0"/>
    <w:rsid w:val="00285EFB"/>
    <w:rsid w:val="00285FD2"/>
    <w:rsid w:val="002860F8"/>
    <w:rsid w:val="002863F7"/>
    <w:rsid w:val="002864FD"/>
    <w:rsid w:val="00286570"/>
    <w:rsid w:val="00286707"/>
    <w:rsid w:val="0028678F"/>
    <w:rsid w:val="00286917"/>
    <w:rsid w:val="00286D68"/>
    <w:rsid w:val="00286F76"/>
    <w:rsid w:val="00287076"/>
    <w:rsid w:val="00287101"/>
    <w:rsid w:val="002871E6"/>
    <w:rsid w:val="002879A0"/>
    <w:rsid w:val="00287B40"/>
    <w:rsid w:val="00287BC5"/>
    <w:rsid w:val="00287C5A"/>
    <w:rsid w:val="00287F6F"/>
    <w:rsid w:val="00290018"/>
    <w:rsid w:val="002903D2"/>
    <w:rsid w:val="00290AF3"/>
    <w:rsid w:val="00290D2D"/>
    <w:rsid w:val="00290D89"/>
    <w:rsid w:val="00290E04"/>
    <w:rsid w:val="0029132D"/>
    <w:rsid w:val="00291525"/>
    <w:rsid w:val="00291710"/>
    <w:rsid w:val="00291847"/>
    <w:rsid w:val="00291DEB"/>
    <w:rsid w:val="00291FF6"/>
    <w:rsid w:val="00292FF9"/>
    <w:rsid w:val="002934F8"/>
    <w:rsid w:val="00293B0B"/>
    <w:rsid w:val="00293DEE"/>
    <w:rsid w:val="00293E33"/>
    <w:rsid w:val="00293FFD"/>
    <w:rsid w:val="00294216"/>
    <w:rsid w:val="00294234"/>
    <w:rsid w:val="002947AA"/>
    <w:rsid w:val="002947AC"/>
    <w:rsid w:val="002947C1"/>
    <w:rsid w:val="00294ACE"/>
    <w:rsid w:val="00294B56"/>
    <w:rsid w:val="0029503C"/>
    <w:rsid w:val="00295155"/>
    <w:rsid w:val="0029542F"/>
    <w:rsid w:val="00295A9F"/>
    <w:rsid w:val="00295BBF"/>
    <w:rsid w:val="00295F9D"/>
    <w:rsid w:val="00296088"/>
    <w:rsid w:val="002966D5"/>
    <w:rsid w:val="00296CB1"/>
    <w:rsid w:val="00296D9F"/>
    <w:rsid w:val="00296DAB"/>
    <w:rsid w:val="00296E02"/>
    <w:rsid w:val="00296E62"/>
    <w:rsid w:val="00296F34"/>
    <w:rsid w:val="0029725C"/>
    <w:rsid w:val="0029777C"/>
    <w:rsid w:val="00297A93"/>
    <w:rsid w:val="00297CF6"/>
    <w:rsid w:val="00297D08"/>
    <w:rsid w:val="002A00C9"/>
    <w:rsid w:val="002A07BE"/>
    <w:rsid w:val="002A0A55"/>
    <w:rsid w:val="002A0B5D"/>
    <w:rsid w:val="002A0BD3"/>
    <w:rsid w:val="002A144D"/>
    <w:rsid w:val="002A146F"/>
    <w:rsid w:val="002A1A63"/>
    <w:rsid w:val="002A1B45"/>
    <w:rsid w:val="002A1D1D"/>
    <w:rsid w:val="002A3478"/>
    <w:rsid w:val="002A397D"/>
    <w:rsid w:val="002A3A69"/>
    <w:rsid w:val="002A4244"/>
    <w:rsid w:val="002A4340"/>
    <w:rsid w:val="002A43F2"/>
    <w:rsid w:val="002A4597"/>
    <w:rsid w:val="002A47D7"/>
    <w:rsid w:val="002A489C"/>
    <w:rsid w:val="002A495A"/>
    <w:rsid w:val="002A495D"/>
    <w:rsid w:val="002A49A1"/>
    <w:rsid w:val="002A4A8C"/>
    <w:rsid w:val="002A4D22"/>
    <w:rsid w:val="002A579E"/>
    <w:rsid w:val="002A57BD"/>
    <w:rsid w:val="002A5877"/>
    <w:rsid w:val="002A5A01"/>
    <w:rsid w:val="002A5C87"/>
    <w:rsid w:val="002A5D04"/>
    <w:rsid w:val="002A6DB1"/>
    <w:rsid w:val="002A74D6"/>
    <w:rsid w:val="002A756A"/>
    <w:rsid w:val="002A7B16"/>
    <w:rsid w:val="002A7E85"/>
    <w:rsid w:val="002B038D"/>
    <w:rsid w:val="002B03FD"/>
    <w:rsid w:val="002B052A"/>
    <w:rsid w:val="002B054A"/>
    <w:rsid w:val="002B05C6"/>
    <w:rsid w:val="002B063C"/>
    <w:rsid w:val="002B07BA"/>
    <w:rsid w:val="002B091A"/>
    <w:rsid w:val="002B0BDF"/>
    <w:rsid w:val="002B0C50"/>
    <w:rsid w:val="002B0D33"/>
    <w:rsid w:val="002B1A82"/>
    <w:rsid w:val="002B1FAF"/>
    <w:rsid w:val="002B2233"/>
    <w:rsid w:val="002B270F"/>
    <w:rsid w:val="002B291B"/>
    <w:rsid w:val="002B2944"/>
    <w:rsid w:val="002B2C95"/>
    <w:rsid w:val="002B2EBA"/>
    <w:rsid w:val="002B316A"/>
    <w:rsid w:val="002B35B8"/>
    <w:rsid w:val="002B3654"/>
    <w:rsid w:val="002B3940"/>
    <w:rsid w:val="002B3CBE"/>
    <w:rsid w:val="002B3CEA"/>
    <w:rsid w:val="002B3D96"/>
    <w:rsid w:val="002B4270"/>
    <w:rsid w:val="002B446E"/>
    <w:rsid w:val="002B4A1B"/>
    <w:rsid w:val="002B4DBE"/>
    <w:rsid w:val="002B4DF6"/>
    <w:rsid w:val="002B4F29"/>
    <w:rsid w:val="002B4F2C"/>
    <w:rsid w:val="002B51C8"/>
    <w:rsid w:val="002B5375"/>
    <w:rsid w:val="002B545F"/>
    <w:rsid w:val="002B5833"/>
    <w:rsid w:val="002B58AA"/>
    <w:rsid w:val="002B58D7"/>
    <w:rsid w:val="002B5A69"/>
    <w:rsid w:val="002B5C78"/>
    <w:rsid w:val="002B5DCE"/>
    <w:rsid w:val="002B654C"/>
    <w:rsid w:val="002B6597"/>
    <w:rsid w:val="002B6677"/>
    <w:rsid w:val="002B7370"/>
    <w:rsid w:val="002B73C3"/>
    <w:rsid w:val="002B7657"/>
    <w:rsid w:val="002B7689"/>
    <w:rsid w:val="002B7ABA"/>
    <w:rsid w:val="002B7B60"/>
    <w:rsid w:val="002B7BE6"/>
    <w:rsid w:val="002C0444"/>
    <w:rsid w:val="002C04BD"/>
    <w:rsid w:val="002C06AE"/>
    <w:rsid w:val="002C0C99"/>
    <w:rsid w:val="002C0D19"/>
    <w:rsid w:val="002C0D36"/>
    <w:rsid w:val="002C0F7D"/>
    <w:rsid w:val="002C1248"/>
    <w:rsid w:val="002C1348"/>
    <w:rsid w:val="002C146C"/>
    <w:rsid w:val="002C1574"/>
    <w:rsid w:val="002C1A01"/>
    <w:rsid w:val="002C1BD3"/>
    <w:rsid w:val="002C1C56"/>
    <w:rsid w:val="002C1E4E"/>
    <w:rsid w:val="002C202E"/>
    <w:rsid w:val="002C21A1"/>
    <w:rsid w:val="002C22AC"/>
    <w:rsid w:val="002C3184"/>
    <w:rsid w:val="002C322B"/>
    <w:rsid w:val="002C3611"/>
    <w:rsid w:val="002C3796"/>
    <w:rsid w:val="002C39E2"/>
    <w:rsid w:val="002C3B36"/>
    <w:rsid w:val="002C3E90"/>
    <w:rsid w:val="002C416D"/>
    <w:rsid w:val="002C4619"/>
    <w:rsid w:val="002C4721"/>
    <w:rsid w:val="002C4953"/>
    <w:rsid w:val="002C4A49"/>
    <w:rsid w:val="002C4F84"/>
    <w:rsid w:val="002C5296"/>
    <w:rsid w:val="002C5710"/>
    <w:rsid w:val="002C57F1"/>
    <w:rsid w:val="002C59B0"/>
    <w:rsid w:val="002C5AE4"/>
    <w:rsid w:val="002C5D86"/>
    <w:rsid w:val="002C603A"/>
    <w:rsid w:val="002C61A6"/>
    <w:rsid w:val="002C63D1"/>
    <w:rsid w:val="002C65AF"/>
    <w:rsid w:val="002C674E"/>
    <w:rsid w:val="002C67BD"/>
    <w:rsid w:val="002C686C"/>
    <w:rsid w:val="002C690F"/>
    <w:rsid w:val="002C6A3F"/>
    <w:rsid w:val="002C6C28"/>
    <w:rsid w:val="002C6C5D"/>
    <w:rsid w:val="002C6E4F"/>
    <w:rsid w:val="002C7011"/>
    <w:rsid w:val="002C7213"/>
    <w:rsid w:val="002C7514"/>
    <w:rsid w:val="002C7B2D"/>
    <w:rsid w:val="002C7FE9"/>
    <w:rsid w:val="002D0097"/>
    <w:rsid w:val="002D02F4"/>
    <w:rsid w:val="002D032A"/>
    <w:rsid w:val="002D0540"/>
    <w:rsid w:val="002D060F"/>
    <w:rsid w:val="002D09FC"/>
    <w:rsid w:val="002D0A29"/>
    <w:rsid w:val="002D0DC5"/>
    <w:rsid w:val="002D10A1"/>
    <w:rsid w:val="002D10E7"/>
    <w:rsid w:val="002D12EC"/>
    <w:rsid w:val="002D1538"/>
    <w:rsid w:val="002D1C54"/>
    <w:rsid w:val="002D2011"/>
    <w:rsid w:val="002D2693"/>
    <w:rsid w:val="002D2A5A"/>
    <w:rsid w:val="002D3725"/>
    <w:rsid w:val="002D384C"/>
    <w:rsid w:val="002D3AAD"/>
    <w:rsid w:val="002D3D92"/>
    <w:rsid w:val="002D3FAF"/>
    <w:rsid w:val="002D4A71"/>
    <w:rsid w:val="002D4C0B"/>
    <w:rsid w:val="002D4EFD"/>
    <w:rsid w:val="002D51FE"/>
    <w:rsid w:val="002D5A1A"/>
    <w:rsid w:val="002D5B0E"/>
    <w:rsid w:val="002D5B97"/>
    <w:rsid w:val="002D5D21"/>
    <w:rsid w:val="002D6496"/>
    <w:rsid w:val="002D6653"/>
    <w:rsid w:val="002D6845"/>
    <w:rsid w:val="002D6932"/>
    <w:rsid w:val="002D6BC4"/>
    <w:rsid w:val="002D7522"/>
    <w:rsid w:val="002D775E"/>
    <w:rsid w:val="002D78BC"/>
    <w:rsid w:val="002D7B92"/>
    <w:rsid w:val="002E0038"/>
    <w:rsid w:val="002E06A5"/>
    <w:rsid w:val="002E0806"/>
    <w:rsid w:val="002E0924"/>
    <w:rsid w:val="002E0992"/>
    <w:rsid w:val="002E0A7E"/>
    <w:rsid w:val="002E0DFE"/>
    <w:rsid w:val="002E124A"/>
    <w:rsid w:val="002E1499"/>
    <w:rsid w:val="002E18EA"/>
    <w:rsid w:val="002E1AB4"/>
    <w:rsid w:val="002E1CB2"/>
    <w:rsid w:val="002E1E6B"/>
    <w:rsid w:val="002E1F31"/>
    <w:rsid w:val="002E218E"/>
    <w:rsid w:val="002E2191"/>
    <w:rsid w:val="002E2BAC"/>
    <w:rsid w:val="002E2E6A"/>
    <w:rsid w:val="002E306F"/>
    <w:rsid w:val="002E33A7"/>
    <w:rsid w:val="002E3547"/>
    <w:rsid w:val="002E3C70"/>
    <w:rsid w:val="002E3E9F"/>
    <w:rsid w:val="002E42B6"/>
    <w:rsid w:val="002E48CD"/>
    <w:rsid w:val="002E4F49"/>
    <w:rsid w:val="002E4FF1"/>
    <w:rsid w:val="002E5233"/>
    <w:rsid w:val="002E53CD"/>
    <w:rsid w:val="002E55F3"/>
    <w:rsid w:val="002E5625"/>
    <w:rsid w:val="002E5668"/>
    <w:rsid w:val="002E58C4"/>
    <w:rsid w:val="002E5BD3"/>
    <w:rsid w:val="002E5E06"/>
    <w:rsid w:val="002E6856"/>
    <w:rsid w:val="002E6B98"/>
    <w:rsid w:val="002E6DA6"/>
    <w:rsid w:val="002E6DDB"/>
    <w:rsid w:val="002E716D"/>
    <w:rsid w:val="002E7321"/>
    <w:rsid w:val="002E7485"/>
    <w:rsid w:val="002E7A41"/>
    <w:rsid w:val="002F0645"/>
    <w:rsid w:val="002F0DC6"/>
    <w:rsid w:val="002F131C"/>
    <w:rsid w:val="002F1498"/>
    <w:rsid w:val="002F16B0"/>
    <w:rsid w:val="002F17BE"/>
    <w:rsid w:val="002F19B4"/>
    <w:rsid w:val="002F1BBA"/>
    <w:rsid w:val="002F1FA7"/>
    <w:rsid w:val="002F2738"/>
    <w:rsid w:val="002F2AC1"/>
    <w:rsid w:val="002F3401"/>
    <w:rsid w:val="002F36C3"/>
    <w:rsid w:val="002F3771"/>
    <w:rsid w:val="002F39DF"/>
    <w:rsid w:val="002F4131"/>
    <w:rsid w:val="002F4380"/>
    <w:rsid w:val="002F4844"/>
    <w:rsid w:val="002F4F83"/>
    <w:rsid w:val="002F5807"/>
    <w:rsid w:val="002F5A8C"/>
    <w:rsid w:val="002F5F24"/>
    <w:rsid w:val="002F6141"/>
    <w:rsid w:val="002F6228"/>
    <w:rsid w:val="002F626A"/>
    <w:rsid w:val="002F6272"/>
    <w:rsid w:val="002F6348"/>
    <w:rsid w:val="002F64E0"/>
    <w:rsid w:val="002F6862"/>
    <w:rsid w:val="002F6C8F"/>
    <w:rsid w:val="002F6EBB"/>
    <w:rsid w:val="002F71F6"/>
    <w:rsid w:val="002F7BB3"/>
    <w:rsid w:val="002F7BEF"/>
    <w:rsid w:val="002F7E70"/>
    <w:rsid w:val="002F7EAB"/>
    <w:rsid w:val="003000B2"/>
    <w:rsid w:val="003005A0"/>
    <w:rsid w:val="0030082F"/>
    <w:rsid w:val="00300C74"/>
    <w:rsid w:val="00300E28"/>
    <w:rsid w:val="0030132F"/>
    <w:rsid w:val="003019C3"/>
    <w:rsid w:val="00301DF4"/>
    <w:rsid w:val="00301E38"/>
    <w:rsid w:val="00302340"/>
    <w:rsid w:val="0030263C"/>
    <w:rsid w:val="00302DAC"/>
    <w:rsid w:val="00302DC5"/>
    <w:rsid w:val="003032B4"/>
    <w:rsid w:val="0030333C"/>
    <w:rsid w:val="003034E5"/>
    <w:rsid w:val="00303705"/>
    <w:rsid w:val="00303736"/>
    <w:rsid w:val="00303C97"/>
    <w:rsid w:val="00303D09"/>
    <w:rsid w:val="00304199"/>
    <w:rsid w:val="0030430A"/>
    <w:rsid w:val="0030439B"/>
    <w:rsid w:val="00304956"/>
    <w:rsid w:val="00304A18"/>
    <w:rsid w:val="00304E52"/>
    <w:rsid w:val="003050A0"/>
    <w:rsid w:val="00305548"/>
    <w:rsid w:val="00305694"/>
    <w:rsid w:val="00305735"/>
    <w:rsid w:val="00305921"/>
    <w:rsid w:val="00305ACA"/>
    <w:rsid w:val="003062C1"/>
    <w:rsid w:val="00306C37"/>
    <w:rsid w:val="00307073"/>
    <w:rsid w:val="0030709A"/>
    <w:rsid w:val="0030711B"/>
    <w:rsid w:val="00307303"/>
    <w:rsid w:val="0030732E"/>
    <w:rsid w:val="003073A7"/>
    <w:rsid w:val="00307482"/>
    <w:rsid w:val="0030762E"/>
    <w:rsid w:val="00307DD9"/>
    <w:rsid w:val="003101C0"/>
    <w:rsid w:val="0031035B"/>
    <w:rsid w:val="00310678"/>
    <w:rsid w:val="00311185"/>
    <w:rsid w:val="00311379"/>
    <w:rsid w:val="003114C1"/>
    <w:rsid w:val="00311BE6"/>
    <w:rsid w:val="00311BF5"/>
    <w:rsid w:val="0031292F"/>
    <w:rsid w:val="00312935"/>
    <w:rsid w:val="00312A4A"/>
    <w:rsid w:val="00312C4E"/>
    <w:rsid w:val="00313142"/>
    <w:rsid w:val="00313180"/>
    <w:rsid w:val="003134D1"/>
    <w:rsid w:val="00313DBC"/>
    <w:rsid w:val="00313F06"/>
    <w:rsid w:val="00314ABD"/>
    <w:rsid w:val="00314AD1"/>
    <w:rsid w:val="00314DEC"/>
    <w:rsid w:val="00314E9F"/>
    <w:rsid w:val="00315027"/>
    <w:rsid w:val="00315310"/>
    <w:rsid w:val="00315A6B"/>
    <w:rsid w:val="00315A97"/>
    <w:rsid w:val="00315D01"/>
    <w:rsid w:val="00316071"/>
    <w:rsid w:val="0031632E"/>
    <w:rsid w:val="00316ADC"/>
    <w:rsid w:val="00316C05"/>
    <w:rsid w:val="00316C81"/>
    <w:rsid w:val="00316F1C"/>
    <w:rsid w:val="00317358"/>
    <w:rsid w:val="0031799E"/>
    <w:rsid w:val="00317A3B"/>
    <w:rsid w:val="00317BC9"/>
    <w:rsid w:val="00317FD6"/>
    <w:rsid w:val="0032011E"/>
    <w:rsid w:val="003201FD"/>
    <w:rsid w:val="00320247"/>
    <w:rsid w:val="0032025D"/>
    <w:rsid w:val="0032028D"/>
    <w:rsid w:val="0032029D"/>
    <w:rsid w:val="0032040F"/>
    <w:rsid w:val="003207BB"/>
    <w:rsid w:val="00320859"/>
    <w:rsid w:val="00320966"/>
    <w:rsid w:val="00320FE4"/>
    <w:rsid w:val="0032108A"/>
    <w:rsid w:val="0032147A"/>
    <w:rsid w:val="003214A7"/>
    <w:rsid w:val="00321658"/>
    <w:rsid w:val="00321ACB"/>
    <w:rsid w:val="00321CEE"/>
    <w:rsid w:val="0032203D"/>
    <w:rsid w:val="0032205C"/>
    <w:rsid w:val="0032215C"/>
    <w:rsid w:val="003225B9"/>
    <w:rsid w:val="0032274A"/>
    <w:rsid w:val="0032284B"/>
    <w:rsid w:val="0032295F"/>
    <w:rsid w:val="003230D7"/>
    <w:rsid w:val="00323207"/>
    <w:rsid w:val="0032321F"/>
    <w:rsid w:val="003239D9"/>
    <w:rsid w:val="00323BE7"/>
    <w:rsid w:val="00323FD4"/>
    <w:rsid w:val="00323FFD"/>
    <w:rsid w:val="00324120"/>
    <w:rsid w:val="0032426D"/>
    <w:rsid w:val="0032455A"/>
    <w:rsid w:val="00324687"/>
    <w:rsid w:val="00324856"/>
    <w:rsid w:val="00324888"/>
    <w:rsid w:val="00324A8F"/>
    <w:rsid w:val="00324D4D"/>
    <w:rsid w:val="00325263"/>
    <w:rsid w:val="0032536E"/>
    <w:rsid w:val="0032579B"/>
    <w:rsid w:val="0032589A"/>
    <w:rsid w:val="00325A61"/>
    <w:rsid w:val="00325AA2"/>
    <w:rsid w:val="00325CC7"/>
    <w:rsid w:val="00326183"/>
    <w:rsid w:val="003262A1"/>
    <w:rsid w:val="0032638F"/>
    <w:rsid w:val="0032674E"/>
    <w:rsid w:val="00326864"/>
    <w:rsid w:val="00326BC6"/>
    <w:rsid w:val="00326BF0"/>
    <w:rsid w:val="00326E88"/>
    <w:rsid w:val="003270F0"/>
    <w:rsid w:val="003277FC"/>
    <w:rsid w:val="00327A40"/>
    <w:rsid w:val="00327D7C"/>
    <w:rsid w:val="00327E26"/>
    <w:rsid w:val="00330B22"/>
    <w:rsid w:val="00330C66"/>
    <w:rsid w:val="00330DDA"/>
    <w:rsid w:val="00330E92"/>
    <w:rsid w:val="0033133B"/>
    <w:rsid w:val="00331386"/>
    <w:rsid w:val="003318D2"/>
    <w:rsid w:val="00331930"/>
    <w:rsid w:val="00331BED"/>
    <w:rsid w:val="00331D74"/>
    <w:rsid w:val="003321FD"/>
    <w:rsid w:val="00332693"/>
    <w:rsid w:val="003327DA"/>
    <w:rsid w:val="00332F6A"/>
    <w:rsid w:val="0033303E"/>
    <w:rsid w:val="00333387"/>
    <w:rsid w:val="00333452"/>
    <w:rsid w:val="003338E2"/>
    <w:rsid w:val="00333C3F"/>
    <w:rsid w:val="00333C6F"/>
    <w:rsid w:val="00333EA2"/>
    <w:rsid w:val="0033413E"/>
    <w:rsid w:val="003342A6"/>
    <w:rsid w:val="003342B0"/>
    <w:rsid w:val="003342B2"/>
    <w:rsid w:val="0033457F"/>
    <w:rsid w:val="00334AA0"/>
    <w:rsid w:val="00334B56"/>
    <w:rsid w:val="00334CAE"/>
    <w:rsid w:val="003354E2"/>
    <w:rsid w:val="00335F17"/>
    <w:rsid w:val="00336508"/>
    <w:rsid w:val="00336596"/>
    <w:rsid w:val="003369EC"/>
    <w:rsid w:val="00337168"/>
    <w:rsid w:val="003374C6"/>
    <w:rsid w:val="00337A1A"/>
    <w:rsid w:val="0034034E"/>
    <w:rsid w:val="00340749"/>
    <w:rsid w:val="003408DC"/>
    <w:rsid w:val="00340D20"/>
    <w:rsid w:val="00340E25"/>
    <w:rsid w:val="00340F30"/>
    <w:rsid w:val="003417CC"/>
    <w:rsid w:val="00342830"/>
    <w:rsid w:val="00343003"/>
    <w:rsid w:val="00343053"/>
    <w:rsid w:val="00343607"/>
    <w:rsid w:val="0034387E"/>
    <w:rsid w:val="00343ABC"/>
    <w:rsid w:val="00343C88"/>
    <w:rsid w:val="00343E5C"/>
    <w:rsid w:val="0034446D"/>
    <w:rsid w:val="003446AC"/>
    <w:rsid w:val="00344D3F"/>
    <w:rsid w:val="00344DBA"/>
    <w:rsid w:val="00344F03"/>
    <w:rsid w:val="00344FB8"/>
    <w:rsid w:val="00344FEB"/>
    <w:rsid w:val="003451A8"/>
    <w:rsid w:val="00345307"/>
    <w:rsid w:val="00345662"/>
    <w:rsid w:val="0034577F"/>
    <w:rsid w:val="0034583F"/>
    <w:rsid w:val="00345A7C"/>
    <w:rsid w:val="00345DA0"/>
    <w:rsid w:val="00346194"/>
    <w:rsid w:val="00346218"/>
    <w:rsid w:val="003465F6"/>
    <w:rsid w:val="0034666D"/>
    <w:rsid w:val="00346841"/>
    <w:rsid w:val="00346850"/>
    <w:rsid w:val="003469B4"/>
    <w:rsid w:val="00346E82"/>
    <w:rsid w:val="00346FA0"/>
    <w:rsid w:val="00347019"/>
    <w:rsid w:val="003472B1"/>
    <w:rsid w:val="00347DC5"/>
    <w:rsid w:val="00350AF5"/>
    <w:rsid w:val="00351014"/>
    <w:rsid w:val="00351152"/>
    <w:rsid w:val="00351448"/>
    <w:rsid w:val="003519D8"/>
    <w:rsid w:val="00351C4C"/>
    <w:rsid w:val="00351EC5"/>
    <w:rsid w:val="00351FF0"/>
    <w:rsid w:val="00352045"/>
    <w:rsid w:val="003525F9"/>
    <w:rsid w:val="00352D6D"/>
    <w:rsid w:val="00352F8D"/>
    <w:rsid w:val="00352F99"/>
    <w:rsid w:val="00353103"/>
    <w:rsid w:val="003533D1"/>
    <w:rsid w:val="00353535"/>
    <w:rsid w:val="003537A5"/>
    <w:rsid w:val="00353A24"/>
    <w:rsid w:val="00353D28"/>
    <w:rsid w:val="00353E13"/>
    <w:rsid w:val="0035454C"/>
    <w:rsid w:val="00354752"/>
    <w:rsid w:val="00354955"/>
    <w:rsid w:val="00355699"/>
    <w:rsid w:val="0035614E"/>
    <w:rsid w:val="00356477"/>
    <w:rsid w:val="003566A2"/>
    <w:rsid w:val="00356A2F"/>
    <w:rsid w:val="00356C77"/>
    <w:rsid w:val="00356E2D"/>
    <w:rsid w:val="003573E9"/>
    <w:rsid w:val="003578E1"/>
    <w:rsid w:val="0035790E"/>
    <w:rsid w:val="00357F91"/>
    <w:rsid w:val="0036017B"/>
    <w:rsid w:val="003608A3"/>
    <w:rsid w:val="00360A6D"/>
    <w:rsid w:val="00360D2A"/>
    <w:rsid w:val="00360DBC"/>
    <w:rsid w:val="00360E0B"/>
    <w:rsid w:val="00360F8C"/>
    <w:rsid w:val="003614B5"/>
    <w:rsid w:val="003619B8"/>
    <w:rsid w:val="003619C8"/>
    <w:rsid w:val="00361C8A"/>
    <w:rsid w:val="00361D08"/>
    <w:rsid w:val="00361E7E"/>
    <w:rsid w:val="00362220"/>
    <w:rsid w:val="00362755"/>
    <w:rsid w:val="00362804"/>
    <w:rsid w:val="00362C4B"/>
    <w:rsid w:val="00362D26"/>
    <w:rsid w:val="00362E1A"/>
    <w:rsid w:val="00363198"/>
    <w:rsid w:val="00363620"/>
    <w:rsid w:val="00363762"/>
    <w:rsid w:val="0036390B"/>
    <w:rsid w:val="00363D70"/>
    <w:rsid w:val="00363F65"/>
    <w:rsid w:val="003641B2"/>
    <w:rsid w:val="00364B51"/>
    <w:rsid w:val="00364CA9"/>
    <w:rsid w:val="00364CCB"/>
    <w:rsid w:val="00364D6D"/>
    <w:rsid w:val="00364EB1"/>
    <w:rsid w:val="00364FEB"/>
    <w:rsid w:val="003652EF"/>
    <w:rsid w:val="003653E8"/>
    <w:rsid w:val="0036556B"/>
    <w:rsid w:val="00365BCB"/>
    <w:rsid w:val="00365D47"/>
    <w:rsid w:val="00365DA9"/>
    <w:rsid w:val="00365DF1"/>
    <w:rsid w:val="00365EB2"/>
    <w:rsid w:val="0036606B"/>
    <w:rsid w:val="003665FC"/>
    <w:rsid w:val="00366925"/>
    <w:rsid w:val="00366B08"/>
    <w:rsid w:val="00366E57"/>
    <w:rsid w:val="0036727A"/>
    <w:rsid w:val="00367466"/>
    <w:rsid w:val="00367838"/>
    <w:rsid w:val="00370051"/>
    <w:rsid w:val="00370252"/>
    <w:rsid w:val="00370D7C"/>
    <w:rsid w:val="003711FE"/>
    <w:rsid w:val="0037162C"/>
    <w:rsid w:val="003718D2"/>
    <w:rsid w:val="00371B92"/>
    <w:rsid w:val="00371C6F"/>
    <w:rsid w:val="00372340"/>
    <w:rsid w:val="00372497"/>
    <w:rsid w:val="00372684"/>
    <w:rsid w:val="003728DB"/>
    <w:rsid w:val="0037290A"/>
    <w:rsid w:val="00372D6E"/>
    <w:rsid w:val="00372F4E"/>
    <w:rsid w:val="00373106"/>
    <w:rsid w:val="00373213"/>
    <w:rsid w:val="00373B93"/>
    <w:rsid w:val="00373C88"/>
    <w:rsid w:val="00373F2C"/>
    <w:rsid w:val="00373FC6"/>
    <w:rsid w:val="00374297"/>
    <w:rsid w:val="003744B8"/>
    <w:rsid w:val="003746BD"/>
    <w:rsid w:val="00374AC5"/>
    <w:rsid w:val="00374E07"/>
    <w:rsid w:val="00374E51"/>
    <w:rsid w:val="00375052"/>
    <w:rsid w:val="003750EA"/>
    <w:rsid w:val="003750FB"/>
    <w:rsid w:val="003751A7"/>
    <w:rsid w:val="003751BE"/>
    <w:rsid w:val="003754ED"/>
    <w:rsid w:val="00375E26"/>
    <w:rsid w:val="00375FE0"/>
    <w:rsid w:val="00376142"/>
    <w:rsid w:val="003761DE"/>
    <w:rsid w:val="003764B1"/>
    <w:rsid w:val="00376765"/>
    <w:rsid w:val="00376865"/>
    <w:rsid w:val="00376A86"/>
    <w:rsid w:val="00376AE2"/>
    <w:rsid w:val="00376E15"/>
    <w:rsid w:val="00376F27"/>
    <w:rsid w:val="00376FB8"/>
    <w:rsid w:val="003770B0"/>
    <w:rsid w:val="00377D44"/>
    <w:rsid w:val="00380CD1"/>
    <w:rsid w:val="00380DE7"/>
    <w:rsid w:val="003811C9"/>
    <w:rsid w:val="0038122E"/>
    <w:rsid w:val="00381453"/>
    <w:rsid w:val="00381538"/>
    <w:rsid w:val="00381AA8"/>
    <w:rsid w:val="00381CB8"/>
    <w:rsid w:val="0038231B"/>
    <w:rsid w:val="003823E7"/>
    <w:rsid w:val="00382641"/>
    <w:rsid w:val="00382647"/>
    <w:rsid w:val="00382989"/>
    <w:rsid w:val="00382C15"/>
    <w:rsid w:val="00382FE6"/>
    <w:rsid w:val="003832DB"/>
    <w:rsid w:val="003833AE"/>
    <w:rsid w:val="00383479"/>
    <w:rsid w:val="00383F40"/>
    <w:rsid w:val="00384092"/>
    <w:rsid w:val="0038422D"/>
    <w:rsid w:val="0038458A"/>
    <w:rsid w:val="0038460A"/>
    <w:rsid w:val="003847F8"/>
    <w:rsid w:val="003848EA"/>
    <w:rsid w:val="00384EB8"/>
    <w:rsid w:val="0038500B"/>
    <w:rsid w:val="003851F3"/>
    <w:rsid w:val="00385716"/>
    <w:rsid w:val="00385741"/>
    <w:rsid w:val="00385C05"/>
    <w:rsid w:val="0038651F"/>
    <w:rsid w:val="00386566"/>
    <w:rsid w:val="003867FF"/>
    <w:rsid w:val="0038686B"/>
    <w:rsid w:val="00386AF0"/>
    <w:rsid w:val="00386DF7"/>
    <w:rsid w:val="00386F6B"/>
    <w:rsid w:val="00386F7E"/>
    <w:rsid w:val="0038737E"/>
    <w:rsid w:val="0038794D"/>
    <w:rsid w:val="00387B12"/>
    <w:rsid w:val="003900B6"/>
    <w:rsid w:val="0039013E"/>
    <w:rsid w:val="003905AB"/>
    <w:rsid w:val="003908A8"/>
    <w:rsid w:val="00390BCA"/>
    <w:rsid w:val="00390C32"/>
    <w:rsid w:val="00390FAF"/>
    <w:rsid w:val="00390FD0"/>
    <w:rsid w:val="00391301"/>
    <w:rsid w:val="00391F99"/>
    <w:rsid w:val="00391FF9"/>
    <w:rsid w:val="0039201C"/>
    <w:rsid w:val="00392057"/>
    <w:rsid w:val="0039222A"/>
    <w:rsid w:val="00392278"/>
    <w:rsid w:val="003927F1"/>
    <w:rsid w:val="0039296C"/>
    <w:rsid w:val="0039321B"/>
    <w:rsid w:val="003935D5"/>
    <w:rsid w:val="00393758"/>
    <w:rsid w:val="00393F1E"/>
    <w:rsid w:val="003943BD"/>
    <w:rsid w:val="003944BF"/>
    <w:rsid w:val="00394656"/>
    <w:rsid w:val="003946D0"/>
    <w:rsid w:val="00394BC2"/>
    <w:rsid w:val="00394CFE"/>
    <w:rsid w:val="00394D0E"/>
    <w:rsid w:val="00394D3A"/>
    <w:rsid w:val="00394F70"/>
    <w:rsid w:val="003951A2"/>
    <w:rsid w:val="00395EEE"/>
    <w:rsid w:val="00396473"/>
    <w:rsid w:val="0039660E"/>
    <w:rsid w:val="00396CE3"/>
    <w:rsid w:val="00396F6D"/>
    <w:rsid w:val="003970F1"/>
    <w:rsid w:val="0039728B"/>
    <w:rsid w:val="0039762D"/>
    <w:rsid w:val="00397902"/>
    <w:rsid w:val="00397A52"/>
    <w:rsid w:val="00397DB1"/>
    <w:rsid w:val="003A02CA"/>
    <w:rsid w:val="003A089E"/>
    <w:rsid w:val="003A08F7"/>
    <w:rsid w:val="003A0C03"/>
    <w:rsid w:val="003A13AA"/>
    <w:rsid w:val="003A142C"/>
    <w:rsid w:val="003A1CE7"/>
    <w:rsid w:val="003A1E23"/>
    <w:rsid w:val="003A1E49"/>
    <w:rsid w:val="003A1F90"/>
    <w:rsid w:val="003A28C2"/>
    <w:rsid w:val="003A2A85"/>
    <w:rsid w:val="003A2B39"/>
    <w:rsid w:val="003A2BCB"/>
    <w:rsid w:val="003A2E52"/>
    <w:rsid w:val="003A2E78"/>
    <w:rsid w:val="003A33D2"/>
    <w:rsid w:val="003A3612"/>
    <w:rsid w:val="003A3877"/>
    <w:rsid w:val="003A38F0"/>
    <w:rsid w:val="003A3D39"/>
    <w:rsid w:val="003A3DAA"/>
    <w:rsid w:val="003A4008"/>
    <w:rsid w:val="003A40A4"/>
    <w:rsid w:val="003A46CD"/>
    <w:rsid w:val="003A46EF"/>
    <w:rsid w:val="003A4B35"/>
    <w:rsid w:val="003A4DF5"/>
    <w:rsid w:val="003A4F90"/>
    <w:rsid w:val="003A5119"/>
    <w:rsid w:val="003A545A"/>
    <w:rsid w:val="003A5619"/>
    <w:rsid w:val="003A5673"/>
    <w:rsid w:val="003A57CD"/>
    <w:rsid w:val="003A58C6"/>
    <w:rsid w:val="003A5C8C"/>
    <w:rsid w:val="003A5D3A"/>
    <w:rsid w:val="003A5D64"/>
    <w:rsid w:val="003A6177"/>
    <w:rsid w:val="003A6658"/>
    <w:rsid w:val="003A6EAA"/>
    <w:rsid w:val="003A71F8"/>
    <w:rsid w:val="003A73BC"/>
    <w:rsid w:val="003A74F1"/>
    <w:rsid w:val="003A7DFE"/>
    <w:rsid w:val="003A7EB3"/>
    <w:rsid w:val="003A7FC8"/>
    <w:rsid w:val="003B0760"/>
    <w:rsid w:val="003B0876"/>
    <w:rsid w:val="003B0C91"/>
    <w:rsid w:val="003B0D0D"/>
    <w:rsid w:val="003B0EB5"/>
    <w:rsid w:val="003B1010"/>
    <w:rsid w:val="003B17E2"/>
    <w:rsid w:val="003B1DAD"/>
    <w:rsid w:val="003B1E6B"/>
    <w:rsid w:val="003B2649"/>
    <w:rsid w:val="003B2D83"/>
    <w:rsid w:val="003B2E43"/>
    <w:rsid w:val="003B2F16"/>
    <w:rsid w:val="003B3371"/>
    <w:rsid w:val="003B35AA"/>
    <w:rsid w:val="003B35CF"/>
    <w:rsid w:val="003B3722"/>
    <w:rsid w:val="003B378C"/>
    <w:rsid w:val="003B398C"/>
    <w:rsid w:val="003B3B54"/>
    <w:rsid w:val="003B3BA8"/>
    <w:rsid w:val="003B3E69"/>
    <w:rsid w:val="003B401C"/>
    <w:rsid w:val="003B4862"/>
    <w:rsid w:val="003B4A66"/>
    <w:rsid w:val="003B5018"/>
    <w:rsid w:val="003B5259"/>
    <w:rsid w:val="003B5C48"/>
    <w:rsid w:val="003B5C7F"/>
    <w:rsid w:val="003B6433"/>
    <w:rsid w:val="003B66EF"/>
    <w:rsid w:val="003B68EC"/>
    <w:rsid w:val="003B6C66"/>
    <w:rsid w:val="003B6D95"/>
    <w:rsid w:val="003B71AA"/>
    <w:rsid w:val="003B7574"/>
    <w:rsid w:val="003B7791"/>
    <w:rsid w:val="003B7A14"/>
    <w:rsid w:val="003B7B3C"/>
    <w:rsid w:val="003B7FF0"/>
    <w:rsid w:val="003C0043"/>
    <w:rsid w:val="003C02AC"/>
    <w:rsid w:val="003C074B"/>
    <w:rsid w:val="003C08C9"/>
    <w:rsid w:val="003C0B08"/>
    <w:rsid w:val="003C0BA6"/>
    <w:rsid w:val="003C0E62"/>
    <w:rsid w:val="003C10F4"/>
    <w:rsid w:val="003C14C7"/>
    <w:rsid w:val="003C1887"/>
    <w:rsid w:val="003C1898"/>
    <w:rsid w:val="003C1918"/>
    <w:rsid w:val="003C1D00"/>
    <w:rsid w:val="003C2431"/>
    <w:rsid w:val="003C2583"/>
    <w:rsid w:val="003C304F"/>
    <w:rsid w:val="003C3116"/>
    <w:rsid w:val="003C3288"/>
    <w:rsid w:val="003C33A7"/>
    <w:rsid w:val="003C34F4"/>
    <w:rsid w:val="003C3A78"/>
    <w:rsid w:val="003C3EB3"/>
    <w:rsid w:val="003C3EEB"/>
    <w:rsid w:val="003C451E"/>
    <w:rsid w:val="003C45B7"/>
    <w:rsid w:val="003C4611"/>
    <w:rsid w:val="003C4AB5"/>
    <w:rsid w:val="003C4B08"/>
    <w:rsid w:val="003C4E1A"/>
    <w:rsid w:val="003C4EF8"/>
    <w:rsid w:val="003C5596"/>
    <w:rsid w:val="003C5997"/>
    <w:rsid w:val="003C5C7F"/>
    <w:rsid w:val="003C5CB8"/>
    <w:rsid w:val="003C5FD4"/>
    <w:rsid w:val="003C6198"/>
    <w:rsid w:val="003C6531"/>
    <w:rsid w:val="003C6BF6"/>
    <w:rsid w:val="003C7091"/>
    <w:rsid w:val="003C7120"/>
    <w:rsid w:val="003C795A"/>
    <w:rsid w:val="003C7BC5"/>
    <w:rsid w:val="003D00DF"/>
    <w:rsid w:val="003D022A"/>
    <w:rsid w:val="003D036B"/>
    <w:rsid w:val="003D039E"/>
    <w:rsid w:val="003D05A9"/>
    <w:rsid w:val="003D06E4"/>
    <w:rsid w:val="003D0C34"/>
    <w:rsid w:val="003D1008"/>
    <w:rsid w:val="003D1136"/>
    <w:rsid w:val="003D1277"/>
    <w:rsid w:val="003D133C"/>
    <w:rsid w:val="003D148E"/>
    <w:rsid w:val="003D1581"/>
    <w:rsid w:val="003D18B4"/>
    <w:rsid w:val="003D1B20"/>
    <w:rsid w:val="003D1D88"/>
    <w:rsid w:val="003D20B9"/>
    <w:rsid w:val="003D24F5"/>
    <w:rsid w:val="003D25DD"/>
    <w:rsid w:val="003D28CE"/>
    <w:rsid w:val="003D2B27"/>
    <w:rsid w:val="003D2E9D"/>
    <w:rsid w:val="003D2E9E"/>
    <w:rsid w:val="003D3307"/>
    <w:rsid w:val="003D3C92"/>
    <w:rsid w:val="003D3EF5"/>
    <w:rsid w:val="003D4104"/>
    <w:rsid w:val="003D4199"/>
    <w:rsid w:val="003D421C"/>
    <w:rsid w:val="003D4EA1"/>
    <w:rsid w:val="003D50B7"/>
    <w:rsid w:val="003D5360"/>
    <w:rsid w:val="003D5A74"/>
    <w:rsid w:val="003D60AF"/>
    <w:rsid w:val="003D60E0"/>
    <w:rsid w:val="003D61CB"/>
    <w:rsid w:val="003D624E"/>
    <w:rsid w:val="003D6311"/>
    <w:rsid w:val="003D656B"/>
    <w:rsid w:val="003D66CF"/>
    <w:rsid w:val="003D6C32"/>
    <w:rsid w:val="003D6E1D"/>
    <w:rsid w:val="003D732B"/>
    <w:rsid w:val="003D7418"/>
    <w:rsid w:val="003D7993"/>
    <w:rsid w:val="003D7B0A"/>
    <w:rsid w:val="003D7D01"/>
    <w:rsid w:val="003D7FD5"/>
    <w:rsid w:val="003E035A"/>
    <w:rsid w:val="003E06A9"/>
    <w:rsid w:val="003E0FBD"/>
    <w:rsid w:val="003E13AC"/>
    <w:rsid w:val="003E1DF3"/>
    <w:rsid w:val="003E2053"/>
    <w:rsid w:val="003E211D"/>
    <w:rsid w:val="003E241B"/>
    <w:rsid w:val="003E250C"/>
    <w:rsid w:val="003E296A"/>
    <w:rsid w:val="003E3088"/>
    <w:rsid w:val="003E3105"/>
    <w:rsid w:val="003E34FC"/>
    <w:rsid w:val="003E3671"/>
    <w:rsid w:val="003E38CE"/>
    <w:rsid w:val="003E39C7"/>
    <w:rsid w:val="003E3C9A"/>
    <w:rsid w:val="003E4340"/>
    <w:rsid w:val="003E441F"/>
    <w:rsid w:val="003E46E5"/>
    <w:rsid w:val="003E4998"/>
    <w:rsid w:val="003E4D5F"/>
    <w:rsid w:val="003E4F25"/>
    <w:rsid w:val="003E55B1"/>
    <w:rsid w:val="003E607F"/>
    <w:rsid w:val="003E608F"/>
    <w:rsid w:val="003E6886"/>
    <w:rsid w:val="003E6A4A"/>
    <w:rsid w:val="003E6BDC"/>
    <w:rsid w:val="003E6E45"/>
    <w:rsid w:val="003E6FBA"/>
    <w:rsid w:val="003E6FEE"/>
    <w:rsid w:val="003E735A"/>
    <w:rsid w:val="003E74BE"/>
    <w:rsid w:val="003E74CC"/>
    <w:rsid w:val="003E75D1"/>
    <w:rsid w:val="003E76FE"/>
    <w:rsid w:val="003E7773"/>
    <w:rsid w:val="003E77AB"/>
    <w:rsid w:val="003E78A7"/>
    <w:rsid w:val="003E7929"/>
    <w:rsid w:val="003E7AED"/>
    <w:rsid w:val="003E7EDC"/>
    <w:rsid w:val="003E7F5E"/>
    <w:rsid w:val="003E7F7B"/>
    <w:rsid w:val="003F02EE"/>
    <w:rsid w:val="003F069A"/>
    <w:rsid w:val="003F06A5"/>
    <w:rsid w:val="003F09F5"/>
    <w:rsid w:val="003F0C02"/>
    <w:rsid w:val="003F1069"/>
    <w:rsid w:val="003F143B"/>
    <w:rsid w:val="003F1643"/>
    <w:rsid w:val="003F1743"/>
    <w:rsid w:val="003F1878"/>
    <w:rsid w:val="003F1AE2"/>
    <w:rsid w:val="003F1EC1"/>
    <w:rsid w:val="003F2203"/>
    <w:rsid w:val="003F264A"/>
    <w:rsid w:val="003F27AB"/>
    <w:rsid w:val="003F2DBD"/>
    <w:rsid w:val="003F2ED1"/>
    <w:rsid w:val="003F30B8"/>
    <w:rsid w:val="003F3349"/>
    <w:rsid w:val="003F349A"/>
    <w:rsid w:val="003F35CD"/>
    <w:rsid w:val="003F41F8"/>
    <w:rsid w:val="003F4329"/>
    <w:rsid w:val="003F432B"/>
    <w:rsid w:val="003F433B"/>
    <w:rsid w:val="003F4379"/>
    <w:rsid w:val="003F4395"/>
    <w:rsid w:val="003F46F0"/>
    <w:rsid w:val="003F4EE2"/>
    <w:rsid w:val="003F50A7"/>
    <w:rsid w:val="003F528D"/>
    <w:rsid w:val="003F580D"/>
    <w:rsid w:val="003F5BDD"/>
    <w:rsid w:val="003F62B3"/>
    <w:rsid w:val="003F6842"/>
    <w:rsid w:val="003F6B3F"/>
    <w:rsid w:val="003F6E0D"/>
    <w:rsid w:val="003F6F09"/>
    <w:rsid w:val="003F7FFA"/>
    <w:rsid w:val="00400271"/>
    <w:rsid w:val="004008CC"/>
    <w:rsid w:val="00400BCF"/>
    <w:rsid w:val="00400CAC"/>
    <w:rsid w:val="00400EDA"/>
    <w:rsid w:val="00400EE7"/>
    <w:rsid w:val="00400FBD"/>
    <w:rsid w:val="0040133D"/>
    <w:rsid w:val="00401A4B"/>
    <w:rsid w:val="00401C90"/>
    <w:rsid w:val="00401E95"/>
    <w:rsid w:val="00402665"/>
    <w:rsid w:val="004026BF"/>
    <w:rsid w:val="004026FA"/>
    <w:rsid w:val="00402A8B"/>
    <w:rsid w:val="00403443"/>
    <w:rsid w:val="00403512"/>
    <w:rsid w:val="00403D2C"/>
    <w:rsid w:val="00403D66"/>
    <w:rsid w:val="00404102"/>
    <w:rsid w:val="004043D5"/>
    <w:rsid w:val="004045D9"/>
    <w:rsid w:val="004045DB"/>
    <w:rsid w:val="00404706"/>
    <w:rsid w:val="004047B8"/>
    <w:rsid w:val="004049DF"/>
    <w:rsid w:val="00404C5F"/>
    <w:rsid w:val="00404D75"/>
    <w:rsid w:val="004053D2"/>
    <w:rsid w:val="004056A2"/>
    <w:rsid w:val="00405DC0"/>
    <w:rsid w:val="004060C3"/>
    <w:rsid w:val="0040622E"/>
    <w:rsid w:val="00406671"/>
    <w:rsid w:val="004067C4"/>
    <w:rsid w:val="0040689A"/>
    <w:rsid w:val="00406924"/>
    <w:rsid w:val="00407134"/>
    <w:rsid w:val="00407870"/>
    <w:rsid w:val="00407EF3"/>
    <w:rsid w:val="00407FA9"/>
    <w:rsid w:val="00410321"/>
    <w:rsid w:val="00410360"/>
    <w:rsid w:val="00410F95"/>
    <w:rsid w:val="00411021"/>
    <w:rsid w:val="0041116D"/>
    <w:rsid w:val="00411214"/>
    <w:rsid w:val="00411481"/>
    <w:rsid w:val="004115C7"/>
    <w:rsid w:val="004115E4"/>
    <w:rsid w:val="00411B05"/>
    <w:rsid w:val="00412534"/>
    <w:rsid w:val="004126E1"/>
    <w:rsid w:val="004126FB"/>
    <w:rsid w:val="00412BC7"/>
    <w:rsid w:val="00412C83"/>
    <w:rsid w:val="00412E8A"/>
    <w:rsid w:val="00412F89"/>
    <w:rsid w:val="00412FBA"/>
    <w:rsid w:val="0041387F"/>
    <w:rsid w:val="004138A4"/>
    <w:rsid w:val="00413AAC"/>
    <w:rsid w:val="0041409B"/>
    <w:rsid w:val="004141A4"/>
    <w:rsid w:val="004146B3"/>
    <w:rsid w:val="00414B84"/>
    <w:rsid w:val="004154FE"/>
    <w:rsid w:val="004155AC"/>
    <w:rsid w:val="00415C5B"/>
    <w:rsid w:val="004164AC"/>
    <w:rsid w:val="004164D2"/>
    <w:rsid w:val="004167EF"/>
    <w:rsid w:val="00416947"/>
    <w:rsid w:val="00416E2A"/>
    <w:rsid w:val="00417149"/>
    <w:rsid w:val="004171F9"/>
    <w:rsid w:val="004172E7"/>
    <w:rsid w:val="004175A0"/>
    <w:rsid w:val="004176FA"/>
    <w:rsid w:val="0041775A"/>
    <w:rsid w:val="0041797E"/>
    <w:rsid w:val="00417B13"/>
    <w:rsid w:val="00417C5F"/>
    <w:rsid w:val="00417F6A"/>
    <w:rsid w:val="00420569"/>
    <w:rsid w:val="004205F0"/>
    <w:rsid w:val="00421121"/>
    <w:rsid w:val="004211CF"/>
    <w:rsid w:val="004214F8"/>
    <w:rsid w:val="00421898"/>
    <w:rsid w:val="00421DFD"/>
    <w:rsid w:val="00421E67"/>
    <w:rsid w:val="0042214B"/>
    <w:rsid w:val="004223BA"/>
    <w:rsid w:val="0042243E"/>
    <w:rsid w:val="0042256B"/>
    <w:rsid w:val="004225F6"/>
    <w:rsid w:val="004226CB"/>
    <w:rsid w:val="00422B7B"/>
    <w:rsid w:val="00422CEE"/>
    <w:rsid w:val="00423802"/>
    <w:rsid w:val="00423BB0"/>
    <w:rsid w:val="00423C10"/>
    <w:rsid w:val="00423D32"/>
    <w:rsid w:val="004244EC"/>
    <w:rsid w:val="0042453D"/>
    <w:rsid w:val="0042467F"/>
    <w:rsid w:val="00424744"/>
    <w:rsid w:val="00424E21"/>
    <w:rsid w:val="00424EB8"/>
    <w:rsid w:val="00424FC7"/>
    <w:rsid w:val="00425084"/>
    <w:rsid w:val="0042524A"/>
    <w:rsid w:val="00425691"/>
    <w:rsid w:val="00425FE6"/>
    <w:rsid w:val="00426014"/>
    <w:rsid w:val="0042608D"/>
    <w:rsid w:val="004261AF"/>
    <w:rsid w:val="00426471"/>
    <w:rsid w:val="004268C1"/>
    <w:rsid w:val="00426AB8"/>
    <w:rsid w:val="00426ACB"/>
    <w:rsid w:val="00426EA1"/>
    <w:rsid w:val="004278C9"/>
    <w:rsid w:val="00430346"/>
    <w:rsid w:val="004304A7"/>
    <w:rsid w:val="0043090E"/>
    <w:rsid w:val="00430A80"/>
    <w:rsid w:val="00430FC4"/>
    <w:rsid w:val="00431092"/>
    <w:rsid w:val="00431A48"/>
    <w:rsid w:val="00431DF8"/>
    <w:rsid w:val="00431E28"/>
    <w:rsid w:val="0043282C"/>
    <w:rsid w:val="0043289C"/>
    <w:rsid w:val="00432E92"/>
    <w:rsid w:val="00433065"/>
    <w:rsid w:val="004331B3"/>
    <w:rsid w:val="00433492"/>
    <w:rsid w:val="00433641"/>
    <w:rsid w:val="00433689"/>
    <w:rsid w:val="00433D2E"/>
    <w:rsid w:val="00433D41"/>
    <w:rsid w:val="00434067"/>
    <w:rsid w:val="004342FF"/>
    <w:rsid w:val="004346A1"/>
    <w:rsid w:val="00434CC0"/>
    <w:rsid w:val="00434DCB"/>
    <w:rsid w:val="00434FA0"/>
    <w:rsid w:val="00435194"/>
    <w:rsid w:val="004356DC"/>
    <w:rsid w:val="00435B42"/>
    <w:rsid w:val="00436064"/>
    <w:rsid w:val="00436145"/>
    <w:rsid w:val="00436550"/>
    <w:rsid w:val="00436583"/>
    <w:rsid w:val="004367B3"/>
    <w:rsid w:val="00436962"/>
    <w:rsid w:val="004373CB"/>
    <w:rsid w:val="00437A86"/>
    <w:rsid w:val="00437BD2"/>
    <w:rsid w:val="00440A29"/>
    <w:rsid w:val="00440A97"/>
    <w:rsid w:val="00440AB7"/>
    <w:rsid w:val="00440C72"/>
    <w:rsid w:val="00440DC0"/>
    <w:rsid w:val="0044136D"/>
    <w:rsid w:val="00441780"/>
    <w:rsid w:val="00441992"/>
    <w:rsid w:val="00441B23"/>
    <w:rsid w:val="00441C88"/>
    <w:rsid w:val="0044237C"/>
    <w:rsid w:val="004423C9"/>
    <w:rsid w:val="00442601"/>
    <w:rsid w:val="00442629"/>
    <w:rsid w:val="004426DC"/>
    <w:rsid w:val="00442848"/>
    <w:rsid w:val="00442A87"/>
    <w:rsid w:val="00442D85"/>
    <w:rsid w:val="00442EEC"/>
    <w:rsid w:val="004430CB"/>
    <w:rsid w:val="0044324A"/>
    <w:rsid w:val="00443394"/>
    <w:rsid w:val="0044354B"/>
    <w:rsid w:val="00443632"/>
    <w:rsid w:val="00443DEE"/>
    <w:rsid w:val="0044410D"/>
    <w:rsid w:val="00444877"/>
    <w:rsid w:val="00444F1E"/>
    <w:rsid w:val="0044523E"/>
    <w:rsid w:val="0044578C"/>
    <w:rsid w:val="00445A65"/>
    <w:rsid w:val="00445E47"/>
    <w:rsid w:val="0044617E"/>
    <w:rsid w:val="00446451"/>
    <w:rsid w:val="004465FF"/>
    <w:rsid w:val="00446813"/>
    <w:rsid w:val="0044693F"/>
    <w:rsid w:val="00446CA1"/>
    <w:rsid w:val="00446CBC"/>
    <w:rsid w:val="0044716E"/>
    <w:rsid w:val="00447CFC"/>
    <w:rsid w:val="00447E10"/>
    <w:rsid w:val="00447EE2"/>
    <w:rsid w:val="00447F7B"/>
    <w:rsid w:val="00450165"/>
    <w:rsid w:val="00450547"/>
    <w:rsid w:val="0045098E"/>
    <w:rsid w:val="00450CDC"/>
    <w:rsid w:val="00450F06"/>
    <w:rsid w:val="00451046"/>
    <w:rsid w:val="004511FE"/>
    <w:rsid w:val="004512CE"/>
    <w:rsid w:val="004513D6"/>
    <w:rsid w:val="00451446"/>
    <w:rsid w:val="00451A86"/>
    <w:rsid w:val="00451AEF"/>
    <w:rsid w:val="00451B27"/>
    <w:rsid w:val="00452188"/>
    <w:rsid w:val="0045241B"/>
    <w:rsid w:val="0045257E"/>
    <w:rsid w:val="00452710"/>
    <w:rsid w:val="00452A98"/>
    <w:rsid w:val="00452CFD"/>
    <w:rsid w:val="00453179"/>
    <w:rsid w:val="004532D6"/>
    <w:rsid w:val="00453621"/>
    <w:rsid w:val="0045376A"/>
    <w:rsid w:val="0045380C"/>
    <w:rsid w:val="00453865"/>
    <w:rsid w:val="00453A60"/>
    <w:rsid w:val="00453B9A"/>
    <w:rsid w:val="00453C44"/>
    <w:rsid w:val="00453D84"/>
    <w:rsid w:val="004540FF"/>
    <w:rsid w:val="0045415F"/>
    <w:rsid w:val="0045425D"/>
    <w:rsid w:val="004546AA"/>
    <w:rsid w:val="00454817"/>
    <w:rsid w:val="00454834"/>
    <w:rsid w:val="00454A4D"/>
    <w:rsid w:val="00454B5D"/>
    <w:rsid w:val="00454BD1"/>
    <w:rsid w:val="00454C82"/>
    <w:rsid w:val="00455810"/>
    <w:rsid w:val="00455E5B"/>
    <w:rsid w:val="00455FB8"/>
    <w:rsid w:val="00456055"/>
    <w:rsid w:val="00456303"/>
    <w:rsid w:val="00456357"/>
    <w:rsid w:val="00456375"/>
    <w:rsid w:val="0045655A"/>
    <w:rsid w:val="004565C0"/>
    <w:rsid w:val="00456645"/>
    <w:rsid w:val="0045689E"/>
    <w:rsid w:val="00456EB6"/>
    <w:rsid w:val="00456F57"/>
    <w:rsid w:val="00457043"/>
    <w:rsid w:val="0045708C"/>
    <w:rsid w:val="00457160"/>
    <w:rsid w:val="00457399"/>
    <w:rsid w:val="0045746E"/>
    <w:rsid w:val="00457879"/>
    <w:rsid w:val="004578C4"/>
    <w:rsid w:val="00457A49"/>
    <w:rsid w:val="00457E50"/>
    <w:rsid w:val="00460102"/>
    <w:rsid w:val="004606FB"/>
    <w:rsid w:val="00460701"/>
    <w:rsid w:val="00460769"/>
    <w:rsid w:val="0046078B"/>
    <w:rsid w:val="00460B7D"/>
    <w:rsid w:val="00460B9C"/>
    <w:rsid w:val="00460BF7"/>
    <w:rsid w:val="00461153"/>
    <w:rsid w:val="004611AE"/>
    <w:rsid w:val="00461293"/>
    <w:rsid w:val="004612C6"/>
    <w:rsid w:val="0046131E"/>
    <w:rsid w:val="00461379"/>
    <w:rsid w:val="0046137B"/>
    <w:rsid w:val="004616BF"/>
    <w:rsid w:val="00461EC4"/>
    <w:rsid w:val="00462275"/>
    <w:rsid w:val="00462E72"/>
    <w:rsid w:val="00463547"/>
    <w:rsid w:val="0046388B"/>
    <w:rsid w:val="00463901"/>
    <w:rsid w:val="00463CAA"/>
    <w:rsid w:val="00463E7F"/>
    <w:rsid w:val="004641B7"/>
    <w:rsid w:val="00464312"/>
    <w:rsid w:val="00464663"/>
    <w:rsid w:val="004649FE"/>
    <w:rsid w:val="00464E11"/>
    <w:rsid w:val="004652FD"/>
    <w:rsid w:val="00465329"/>
    <w:rsid w:val="004653B8"/>
    <w:rsid w:val="00465ADC"/>
    <w:rsid w:val="00465DFF"/>
    <w:rsid w:val="00465FD9"/>
    <w:rsid w:val="004663AE"/>
    <w:rsid w:val="004666D7"/>
    <w:rsid w:val="00466B80"/>
    <w:rsid w:val="004678B9"/>
    <w:rsid w:val="00467ABD"/>
    <w:rsid w:val="00467B58"/>
    <w:rsid w:val="00467BC0"/>
    <w:rsid w:val="00467C9A"/>
    <w:rsid w:val="004700B2"/>
    <w:rsid w:val="004701FE"/>
    <w:rsid w:val="00470543"/>
    <w:rsid w:val="004709B0"/>
    <w:rsid w:val="00470AA1"/>
    <w:rsid w:val="00471075"/>
    <w:rsid w:val="004712E4"/>
    <w:rsid w:val="00471685"/>
    <w:rsid w:val="00471694"/>
    <w:rsid w:val="00471740"/>
    <w:rsid w:val="00471A72"/>
    <w:rsid w:val="00471B52"/>
    <w:rsid w:val="00472737"/>
    <w:rsid w:val="004728B8"/>
    <w:rsid w:val="004728D7"/>
    <w:rsid w:val="0047305D"/>
    <w:rsid w:val="00473142"/>
    <w:rsid w:val="0047366F"/>
    <w:rsid w:val="00473C71"/>
    <w:rsid w:val="00474099"/>
    <w:rsid w:val="004743C1"/>
    <w:rsid w:val="0047468E"/>
    <w:rsid w:val="004748AC"/>
    <w:rsid w:val="00474962"/>
    <w:rsid w:val="00474B0E"/>
    <w:rsid w:val="00474BA1"/>
    <w:rsid w:val="00474E78"/>
    <w:rsid w:val="0047517E"/>
    <w:rsid w:val="004751C0"/>
    <w:rsid w:val="00475D7E"/>
    <w:rsid w:val="004761D1"/>
    <w:rsid w:val="00476471"/>
    <w:rsid w:val="00476513"/>
    <w:rsid w:val="00476C4F"/>
    <w:rsid w:val="004770A2"/>
    <w:rsid w:val="00477124"/>
    <w:rsid w:val="00477142"/>
    <w:rsid w:val="00477304"/>
    <w:rsid w:val="004774C0"/>
    <w:rsid w:val="004775C0"/>
    <w:rsid w:val="00477D71"/>
    <w:rsid w:val="00477EF1"/>
    <w:rsid w:val="004802BA"/>
    <w:rsid w:val="0048045F"/>
    <w:rsid w:val="00480489"/>
    <w:rsid w:val="00480977"/>
    <w:rsid w:val="00480B4E"/>
    <w:rsid w:val="00480C56"/>
    <w:rsid w:val="00480CB0"/>
    <w:rsid w:val="00480F4E"/>
    <w:rsid w:val="0048108A"/>
    <w:rsid w:val="0048134D"/>
    <w:rsid w:val="004815C7"/>
    <w:rsid w:val="00481C63"/>
    <w:rsid w:val="00481CD5"/>
    <w:rsid w:val="00481F01"/>
    <w:rsid w:val="00481FB9"/>
    <w:rsid w:val="00482398"/>
    <w:rsid w:val="0048249D"/>
    <w:rsid w:val="00482760"/>
    <w:rsid w:val="004828A4"/>
    <w:rsid w:val="00483064"/>
    <w:rsid w:val="00483395"/>
    <w:rsid w:val="004833DE"/>
    <w:rsid w:val="0048340F"/>
    <w:rsid w:val="004835BF"/>
    <w:rsid w:val="00483603"/>
    <w:rsid w:val="0048368D"/>
    <w:rsid w:val="00483AC1"/>
    <w:rsid w:val="00483D95"/>
    <w:rsid w:val="004845C3"/>
    <w:rsid w:val="0048483A"/>
    <w:rsid w:val="00484E43"/>
    <w:rsid w:val="00484FEE"/>
    <w:rsid w:val="00485004"/>
    <w:rsid w:val="0048557B"/>
    <w:rsid w:val="004858BF"/>
    <w:rsid w:val="004859C2"/>
    <w:rsid w:val="00485E10"/>
    <w:rsid w:val="00485E65"/>
    <w:rsid w:val="00486736"/>
    <w:rsid w:val="00486BEA"/>
    <w:rsid w:val="00486C9E"/>
    <w:rsid w:val="004870A8"/>
    <w:rsid w:val="004872F0"/>
    <w:rsid w:val="00487910"/>
    <w:rsid w:val="00487AB2"/>
    <w:rsid w:val="00487B42"/>
    <w:rsid w:val="00487B4D"/>
    <w:rsid w:val="00487D7C"/>
    <w:rsid w:val="00487DE9"/>
    <w:rsid w:val="004902C5"/>
    <w:rsid w:val="004902CF"/>
    <w:rsid w:val="004904D5"/>
    <w:rsid w:val="00490604"/>
    <w:rsid w:val="00490620"/>
    <w:rsid w:val="004906ED"/>
    <w:rsid w:val="0049087C"/>
    <w:rsid w:val="004910B8"/>
    <w:rsid w:val="004910CB"/>
    <w:rsid w:val="00491241"/>
    <w:rsid w:val="0049147D"/>
    <w:rsid w:val="0049151B"/>
    <w:rsid w:val="00491F00"/>
    <w:rsid w:val="00492036"/>
    <w:rsid w:val="00492391"/>
    <w:rsid w:val="004928AC"/>
    <w:rsid w:val="0049297E"/>
    <w:rsid w:val="00492CD6"/>
    <w:rsid w:val="00492F2F"/>
    <w:rsid w:val="00493C35"/>
    <w:rsid w:val="00493C9A"/>
    <w:rsid w:val="00494096"/>
    <w:rsid w:val="00494929"/>
    <w:rsid w:val="00494C7E"/>
    <w:rsid w:val="00494CB6"/>
    <w:rsid w:val="00494D2A"/>
    <w:rsid w:val="00494EF2"/>
    <w:rsid w:val="00495179"/>
    <w:rsid w:val="00495184"/>
    <w:rsid w:val="004954A6"/>
    <w:rsid w:val="00495601"/>
    <w:rsid w:val="004959A3"/>
    <w:rsid w:val="004961EE"/>
    <w:rsid w:val="004961FC"/>
    <w:rsid w:val="0049641B"/>
    <w:rsid w:val="00496984"/>
    <w:rsid w:val="00496A0B"/>
    <w:rsid w:val="00496BA6"/>
    <w:rsid w:val="00496D5A"/>
    <w:rsid w:val="00497198"/>
    <w:rsid w:val="004972CB"/>
    <w:rsid w:val="0049746B"/>
    <w:rsid w:val="0049797E"/>
    <w:rsid w:val="004979A0"/>
    <w:rsid w:val="004979A1"/>
    <w:rsid w:val="00497B11"/>
    <w:rsid w:val="00497FD4"/>
    <w:rsid w:val="004A00AA"/>
    <w:rsid w:val="004A083C"/>
    <w:rsid w:val="004A0A59"/>
    <w:rsid w:val="004A0A69"/>
    <w:rsid w:val="004A0D6E"/>
    <w:rsid w:val="004A0F78"/>
    <w:rsid w:val="004A1213"/>
    <w:rsid w:val="004A141D"/>
    <w:rsid w:val="004A14D6"/>
    <w:rsid w:val="004A170C"/>
    <w:rsid w:val="004A1878"/>
    <w:rsid w:val="004A1EAD"/>
    <w:rsid w:val="004A210F"/>
    <w:rsid w:val="004A226D"/>
    <w:rsid w:val="004A22EE"/>
    <w:rsid w:val="004A2BB6"/>
    <w:rsid w:val="004A2F8F"/>
    <w:rsid w:val="004A2FFF"/>
    <w:rsid w:val="004A3603"/>
    <w:rsid w:val="004A3635"/>
    <w:rsid w:val="004A391A"/>
    <w:rsid w:val="004A3B25"/>
    <w:rsid w:val="004A3D9D"/>
    <w:rsid w:val="004A3EFB"/>
    <w:rsid w:val="004A423B"/>
    <w:rsid w:val="004A42F4"/>
    <w:rsid w:val="004A4393"/>
    <w:rsid w:val="004A47BE"/>
    <w:rsid w:val="004A48B4"/>
    <w:rsid w:val="004A4A11"/>
    <w:rsid w:val="004A4F13"/>
    <w:rsid w:val="004A536D"/>
    <w:rsid w:val="004A5984"/>
    <w:rsid w:val="004A5DB5"/>
    <w:rsid w:val="004A62B1"/>
    <w:rsid w:val="004A631D"/>
    <w:rsid w:val="004A6603"/>
    <w:rsid w:val="004A69B8"/>
    <w:rsid w:val="004A6B42"/>
    <w:rsid w:val="004A6E39"/>
    <w:rsid w:val="004A6FDF"/>
    <w:rsid w:val="004A7545"/>
    <w:rsid w:val="004A78DF"/>
    <w:rsid w:val="004A7D2B"/>
    <w:rsid w:val="004A7DCF"/>
    <w:rsid w:val="004B0049"/>
    <w:rsid w:val="004B00D6"/>
    <w:rsid w:val="004B0238"/>
    <w:rsid w:val="004B0674"/>
    <w:rsid w:val="004B06CF"/>
    <w:rsid w:val="004B08C5"/>
    <w:rsid w:val="004B0E50"/>
    <w:rsid w:val="004B0EDB"/>
    <w:rsid w:val="004B1392"/>
    <w:rsid w:val="004B16C5"/>
    <w:rsid w:val="004B1EC6"/>
    <w:rsid w:val="004B2407"/>
    <w:rsid w:val="004B25EC"/>
    <w:rsid w:val="004B292E"/>
    <w:rsid w:val="004B2B6A"/>
    <w:rsid w:val="004B31B9"/>
    <w:rsid w:val="004B3204"/>
    <w:rsid w:val="004B34EA"/>
    <w:rsid w:val="004B36C7"/>
    <w:rsid w:val="004B37FE"/>
    <w:rsid w:val="004B382E"/>
    <w:rsid w:val="004B3844"/>
    <w:rsid w:val="004B3B45"/>
    <w:rsid w:val="004B4079"/>
    <w:rsid w:val="004B42F3"/>
    <w:rsid w:val="004B45E1"/>
    <w:rsid w:val="004B4664"/>
    <w:rsid w:val="004B4C8C"/>
    <w:rsid w:val="004B4CAB"/>
    <w:rsid w:val="004B5161"/>
    <w:rsid w:val="004B5229"/>
    <w:rsid w:val="004B52D3"/>
    <w:rsid w:val="004B5494"/>
    <w:rsid w:val="004B561F"/>
    <w:rsid w:val="004B580F"/>
    <w:rsid w:val="004B589E"/>
    <w:rsid w:val="004B598F"/>
    <w:rsid w:val="004B5FA7"/>
    <w:rsid w:val="004B6200"/>
    <w:rsid w:val="004B6787"/>
    <w:rsid w:val="004B6910"/>
    <w:rsid w:val="004B6A59"/>
    <w:rsid w:val="004B6E5D"/>
    <w:rsid w:val="004B7081"/>
    <w:rsid w:val="004B75A9"/>
    <w:rsid w:val="004B767D"/>
    <w:rsid w:val="004B7CD9"/>
    <w:rsid w:val="004C0037"/>
    <w:rsid w:val="004C027F"/>
    <w:rsid w:val="004C053D"/>
    <w:rsid w:val="004C05CF"/>
    <w:rsid w:val="004C0BE5"/>
    <w:rsid w:val="004C0C8E"/>
    <w:rsid w:val="004C0EAC"/>
    <w:rsid w:val="004C0EC3"/>
    <w:rsid w:val="004C0F56"/>
    <w:rsid w:val="004C1197"/>
    <w:rsid w:val="004C1794"/>
    <w:rsid w:val="004C1971"/>
    <w:rsid w:val="004C203C"/>
    <w:rsid w:val="004C21E5"/>
    <w:rsid w:val="004C22D2"/>
    <w:rsid w:val="004C2407"/>
    <w:rsid w:val="004C268E"/>
    <w:rsid w:val="004C2AA3"/>
    <w:rsid w:val="004C2AB6"/>
    <w:rsid w:val="004C2CA4"/>
    <w:rsid w:val="004C2D2C"/>
    <w:rsid w:val="004C3009"/>
    <w:rsid w:val="004C32B6"/>
    <w:rsid w:val="004C3B15"/>
    <w:rsid w:val="004C3B1E"/>
    <w:rsid w:val="004C4218"/>
    <w:rsid w:val="004C4428"/>
    <w:rsid w:val="004C4445"/>
    <w:rsid w:val="004C448C"/>
    <w:rsid w:val="004C4FFE"/>
    <w:rsid w:val="004C5121"/>
    <w:rsid w:val="004C51BA"/>
    <w:rsid w:val="004C552D"/>
    <w:rsid w:val="004C5810"/>
    <w:rsid w:val="004C6298"/>
    <w:rsid w:val="004C6400"/>
    <w:rsid w:val="004C693E"/>
    <w:rsid w:val="004C6B2C"/>
    <w:rsid w:val="004C6EDC"/>
    <w:rsid w:val="004C703C"/>
    <w:rsid w:val="004C722C"/>
    <w:rsid w:val="004C7280"/>
    <w:rsid w:val="004C7713"/>
    <w:rsid w:val="004C7925"/>
    <w:rsid w:val="004C7A2B"/>
    <w:rsid w:val="004C7BC9"/>
    <w:rsid w:val="004C7D3A"/>
    <w:rsid w:val="004C7DDD"/>
    <w:rsid w:val="004C7E2F"/>
    <w:rsid w:val="004C7FE7"/>
    <w:rsid w:val="004D0262"/>
    <w:rsid w:val="004D061F"/>
    <w:rsid w:val="004D06A4"/>
    <w:rsid w:val="004D0836"/>
    <w:rsid w:val="004D0CD8"/>
    <w:rsid w:val="004D0E9E"/>
    <w:rsid w:val="004D0EFC"/>
    <w:rsid w:val="004D10DA"/>
    <w:rsid w:val="004D1529"/>
    <w:rsid w:val="004D16EE"/>
    <w:rsid w:val="004D171D"/>
    <w:rsid w:val="004D1779"/>
    <w:rsid w:val="004D186D"/>
    <w:rsid w:val="004D1B2D"/>
    <w:rsid w:val="004D1D4E"/>
    <w:rsid w:val="004D1DDB"/>
    <w:rsid w:val="004D1F94"/>
    <w:rsid w:val="004D25A6"/>
    <w:rsid w:val="004D290E"/>
    <w:rsid w:val="004D2C24"/>
    <w:rsid w:val="004D2D27"/>
    <w:rsid w:val="004D3232"/>
    <w:rsid w:val="004D34C0"/>
    <w:rsid w:val="004D3869"/>
    <w:rsid w:val="004D3ECA"/>
    <w:rsid w:val="004D40A9"/>
    <w:rsid w:val="004D46D6"/>
    <w:rsid w:val="004D4BD9"/>
    <w:rsid w:val="004D4EE3"/>
    <w:rsid w:val="004D5695"/>
    <w:rsid w:val="004D5E62"/>
    <w:rsid w:val="004D6068"/>
    <w:rsid w:val="004D65FB"/>
    <w:rsid w:val="004D6749"/>
    <w:rsid w:val="004D676F"/>
    <w:rsid w:val="004D6888"/>
    <w:rsid w:val="004D68D0"/>
    <w:rsid w:val="004D6925"/>
    <w:rsid w:val="004D69A2"/>
    <w:rsid w:val="004D6B3A"/>
    <w:rsid w:val="004D6DC2"/>
    <w:rsid w:val="004D6F70"/>
    <w:rsid w:val="004D71F2"/>
    <w:rsid w:val="004D7267"/>
    <w:rsid w:val="004D7299"/>
    <w:rsid w:val="004D72EC"/>
    <w:rsid w:val="004D7AC2"/>
    <w:rsid w:val="004D7AD2"/>
    <w:rsid w:val="004D7B9F"/>
    <w:rsid w:val="004D7BC9"/>
    <w:rsid w:val="004D7C81"/>
    <w:rsid w:val="004E0011"/>
    <w:rsid w:val="004E00C7"/>
    <w:rsid w:val="004E01C3"/>
    <w:rsid w:val="004E02FB"/>
    <w:rsid w:val="004E0609"/>
    <w:rsid w:val="004E0984"/>
    <w:rsid w:val="004E0BA7"/>
    <w:rsid w:val="004E0FB4"/>
    <w:rsid w:val="004E1143"/>
    <w:rsid w:val="004E1349"/>
    <w:rsid w:val="004E14BF"/>
    <w:rsid w:val="004E1C00"/>
    <w:rsid w:val="004E1DD1"/>
    <w:rsid w:val="004E1F02"/>
    <w:rsid w:val="004E22A6"/>
    <w:rsid w:val="004E27DF"/>
    <w:rsid w:val="004E2BCD"/>
    <w:rsid w:val="004E2C8D"/>
    <w:rsid w:val="004E3356"/>
    <w:rsid w:val="004E360F"/>
    <w:rsid w:val="004E373B"/>
    <w:rsid w:val="004E39E5"/>
    <w:rsid w:val="004E3D59"/>
    <w:rsid w:val="004E40D5"/>
    <w:rsid w:val="004E43CA"/>
    <w:rsid w:val="004E4B28"/>
    <w:rsid w:val="004E4DC7"/>
    <w:rsid w:val="004E4DCF"/>
    <w:rsid w:val="004E4E3A"/>
    <w:rsid w:val="004E50E1"/>
    <w:rsid w:val="004E5583"/>
    <w:rsid w:val="004E5E8A"/>
    <w:rsid w:val="004E6078"/>
    <w:rsid w:val="004E61B9"/>
    <w:rsid w:val="004E63E2"/>
    <w:rsid w:val="004E67AA"/>
    <w:rsid w:val="004E67B8"/>
    <w:rsid w:val="004E67BC"/>
    <w:rsid w:val="004E6A30"/>
    <w:rsid w:val="004E6E10"/>
    <w:rsid w:val="004E729A"/>
    <w:rsid w:val="004E7B68"/>
    <w:rsid w:val="004F06C5"/>
    <w:rsid w:val="004F10C6"/>
    <w:rsid w:val="004F12CE"/>
    <w:rsid w:val="004F152B"/>
    <w:rsid w:val="004F1947"/>
    <w:rsid w:val="004F1B9A"/>
    <w:rsid w:val="004F1BCC"/>
    <w:rsid w:val="004F1DCA"/>
    <w:rsid w:val="004F2427"/>
    <w:rsid w:val="004F26E2"/>
    <w:rsid w:val="004F30BD"/>
    <w:rsid w:val="004F3C20"/>
    <w:rsid w:val="004F3ECC"/>
    <w:rsid w:val="004F4736"/>
    <w:rsid w:val="004F4E7C"/>
    <w:rsid w:val="004F4F69"/>
    <w:rsid w:val="004F5364"/>
    <w:rsid w:val="004F570F"/>
    <w:rsid w:val="004F57B7"/>
    <w:rsid w:val="004F5E4E"/>
    <w:rsid w:val="004F5F82"/>
    <w:rsid w:val="004F633E"/>
    <w:rsid w:val="004F63F7"/>
    <w:rsid w:val="004F652F"/>
    <w:rsid w:val="004F65A9"/>
    <w:rsid w:val="004F6873"/>
    <w:rsid w:val="004F6877"/>
    <w:rsid w:val="004F68A4"/>
    <w:rsid w:val="004F68B8"/>
    <w:rsid w:val="004F6C9D"/>
    <w:rsid w:val="004F6F30"/>
    <w:rsid w:val="004F7513"/>
    <w:rsid w:val="004F7673"/>
    <w:rsid w:val="004F76F0"/>
    <w:rsid w:val="004F797F"/>
    <w:rsid w:val="005001E3"/>
    <w:rsid w:val="005008AD"/>
    <w:rsid w:val="005008B9"/>
    <w:rsid w:val="005008D0"/>
    <w:rsid w:val="0050094E"/>
    <w:rsid w:val="00500A92"/>
    <w:rsid w:val="00500C97"/>
    <w:rsid w:val="00500D57"/>
    <w:rsid w:val="0050104D"/>
    <w:rsid w:val="005015D6"/>
    <w:rsid w:val="005018A8"/>
    <w:rsid w:val="00501CF5"/>
    <w:rsid w:val="00501D79"/>
    <w:rsid w:val="0050238D"/>
    <w:rsid w:val="005025CC"/>
    <w:rsid w:val="005026E1"/>
    <w:rsid w:val="0050283C"/>
    <w:rsid w:val="0050291D"/>
    <w:rsid w:val="00502D65"/>
    <w:rsid w:val="00502FA5"/>
    <w:rsid w:val="0050449C"/>
    <w:rsid w:val="0050486F"/>
    <w:rsid w:val="00504902"/>
    <w:rsid w:val="00504C8F"/>
    <w:rsid w:val="0050524E"/>
    <w:rsid w:val="005053FE"/>
    <w:rsid w:val="005054F1"/>
    <w:rsid w:val="00505611"/>
    <w:rsid w:val="00505A39"/>
    <w:rsid w:val="00506254"/>
    <w:rsid w:val="0050670B"/>
    <w:rsid w:val="005070A5"/>
    <w:rsid w:val="00507185"/>
    <w:rsid w:val="00507390"/>
    <w:rsid w:val="00507435"/>
    <w:rsid w:val="005074E9"/>
    <w:rsid w:val="0051033B"/>
    <w:rsid w:val="005103BF"/>
    <w:rsid w:val="0051064F"/>
    <w:rsid w:val="00510782"/>
    <w:rsid w:val="005108BE"/>
    <w:rsid w:val="005108DE"/>
    <w:rsid w:val="00510D7C"/>
    <w:rsid w:val="00510DE9"/>
    <w:rsid w:val="0051145C"/>
    <w:rsid w:val="0051179F"/>
    <w:rsid w:val="00511C54"/>
    <w:rsid w:val="00512030"/>
    <w:rsid w:val="00512155"/>
    <w:rsid w:val="00512199"/>
    <w:rsid w:val="005121A9"/>
    <w:rsid w:val="005122B8"/>
    <w:rsid w:val="005129BD"/>
    <w:rsid w:val="00512E6E"/>
    <w:rsid w:val="005130EC"/>
    <w:rsid w:val="00513166"/>
    <w:rsid w:val="00513358"/>
    <w:rsid w:val="00513628"/>
    <w:rsid w:val="005136BB"/>
    <w:rsid w:val="00513744"/>
    <w:rsid w:val="00513E42"/>
    <w:rsid w:val="00514EB0"/>
    <w:rsid w:val="00515006"/>
    <w:rsid w:val="00515067"/>
    <w:rsid w:val="00515BAF"/>
    <w:rsid w:val="00515CC9"/>
    <w:rsid w:val="005168B5"/>
    <w:rsid w:val="00516D79"/>
    <w:rsid w:val="00516DCD"/>
    <w:rsid w:val="0051727A"/>
    <w:rsid w:val="005174A0"/>
    <w:rsid w:val="00517BC7"/>
    <w:rsid w:val="00517CC3"/>
    <w:rsid w:val="00520606"/>
    <w:rsid w:val="00520808"/>
    <w:rsid w:val="0052091D"/>
    <w:rsid w:val="00520968"/>
    <w:rsid w:val="00520DE0"/>
    <w:rsid w:val="005217B0"/>
    <w:rsid w:val="00521919"/>
    <w:rsid w:val="00521B5B"/>
    <w:rsid w:val="00521CA0"/>
    <w:rsid w:val="0052203F"/>
    <w:rsid w:val="00522238"/>
    <w:rsid w:val="00522387"/>
    <w:rsid w:val="00522EAB"/>
    <w:rsid w:val="005237D3"/>
    <w:rsid w:val="005238D1"/>
    <w:rsid w:val="00523987"/>
    <w:rsid w:val="00523AAD"/>
    <w:rsid w:val="00524055"/>
    <w:rsid w:val="00524077"/>
    <w:rsid w:val="005240BF"/>
    <w:rsid w:val="005245F6"/>
    <w:rsid w:val="00524609"/>
    <w:rsid w:val="00524B1B"/>
    <w:rsid w:val="00524C3A"/>
    <w:rsid w:val="0052552C"/>
    <w:rsid w:val="00525AEF"/>
    <w:rsid w:val="00525CB7"/>
    <w:rsid w:val="00525EE9"/>
    <w:rsid w:val="00525F82"/>
    <w:rsid w:val="005266F3"/>
    <w:rsid w:val="00526BA6"/>
    <w:rsid w:val="00526E61"/>
    <w:rsid w:val="00527382"/>
    <w:rsid w:val="00527B3F"/>
    <w:rsid w:val="00527CD5"/>
    <w:rsid w:val="00527E7E"/>
    <w:rsid w:val="00527F3B"/>
    <w:rsid w:val="0053028C"/>
    <w:rsid w:val="0053039A"/>
    <w:rsid w:val="0053098A"/>
    <w:rsid w:val="005309B6"/>
    <w:rsid w:val="00530A71"/>
    <w:rsid w:val="00530D76"/>
    <w:rsid w:val="00530D99"/>
    <w:rsid w:val="0053133D"/>
    <w:rsid w:val="00531417"/>
    <w:rsid w:val="00531BC2"/>
    <w:rsid w:val="00531C79"/>
    <w:rsid w:val="00531D59"/>
    <w:rsid w:val="00531E17"/>
    <w:rsid w:val="00531F3C"/>
    <w:rsid w:val="0053237C"/>
    <w:rsid w:val="005323D4"/>
    <w:rsid w:val="00532639"/>
    <w:rsid w:val="005327D6"/>
    <w:rsid w:val="00532914"/>
    <w:rsid w:val="00532E8D"/>
    <w:rsid w:val="0053340F"/>
    <w:rsid w:val="0053383D"/>
    <w:rsid w:val="00533C92"/>
    <w:rsid w:val="005345BF"/>
    <w:rsid w:val="005346EE"/>
    <w:rsid w:val="00535634"/>
    <w:rsid w:val="005357F4"/>
    <w:rsid w:val="00535841"/>
    <w:rsid w:val="00535890"/>
    <w:rsid w:val="00535EB2"/>
    <w:rsid w:val="00536234"/>
    <w:rsid w:val="00536790"/>
    <w:rsid w:val="005369E3"/>
    <w:rsid w:val="00536C9D"/>
    <w:rsid w:val="005376A5"/>
    <w:rsid w:val="00537BB5"/>
    <w:rsid w:val="00537EEF"/>
    <w:rsid w:val="00537F13"/>
    <w:rsid w:val="005402D6"/>
    <w:rsid w:val="00540714"/>
    <w:rsid w:val="00540746"/>
    <w:rsid w:val="005408DE"/>
    <w:rsid w:val="00540B25"/>
    <w:rsid w:val="00540C65"/>
    <w:rsid w:val="00540DB5"/>
    <w:rsid w:val="00540EE7"/>
    <w:rsid w:val="0054171C"/>
    <w:rsid w:val="00541A81"/>
    <w:rsid w:val="00541BE6"/>
    <w:rsid w:val="00541D0E"/>
    <w:rsid w:val="0054209A"/>
    <w:rsid w:val="005424A3"/>
    <w:rsid w:val="0054313D"/>
    <w:rsid w:val="005438E2"/>
    <w:rsid w:val="00543B17"/>
    <w:rsid w:val="00544155"/>
    <w:rsid w:val="0054445A"/>
    <w:rsid w:val="00544C29"/>
    <w:rsid w:val="00545114"/>
    <w:rsid w:val="00545250"/>
    <w:rsid w:val="005454AF"/>
    <w:rsid w:val="00545A6A"/>
    <w:rsid w:val="00545E99"/>
    <w:rsid w:val="00546064"/>
    <w:rsid w:val="00546819"/>
    <w:rsid w:val="00546902"/>
    <w:rsid w:val="00546A34"/>
    <w:rsid w:val="00546AB1"/>
    <w:rsid w:val="00546B63"/>
    <w:rsid w:val="00546F96"/>
    <w:rsid w:val="00546FB4"/>
    <w:rsid w:val="00547B9F"/>
    <w:rsid w:val="00547BC1"/>
    <w:rsid w:val="005502CE"/>
    <w:rsid w:val="00550316"/>
    <w:rsid w:val="00550466"/>
    <w:rsid w:val="005508E0"/>
    <w:rsid w:val="00550C0E"/>
    <w:rsid w:val="005510D6"/>
    <w:rsid w:val="00551200"/>
    <w:rsid w:val="00551781"/>
    <w:rsid w:val="00552264"/>
    <w:rsid w:val="005525C0"/>
    <w:rsid w:val="005526CD"/>
    <w:rsid w:val="005526FE"/>
    <w:rsid w:val="005527D8"/>
    <w:rsid w:val="005529F4"/>
    <w:rsid w:val="00552A93"/>
    <w:rsid w:val="00552D4A"/>
    <w:rsid w:val="00552D9A"/>
    <w:rsid w:val="00552E44"/>
    <w:rsid w:val="005530AB"/>
    <w:rsid w:val="00553103"/>
    <w:rsid w:val="005531A7"/>
    <w:rsid w:val="005532B0"/>
    <w:rsid w:val="005533E7"/>
    <w:rsid w:val="0055350D"/>
    <w:rsid w:val="00553608"/>
    <w:rsid w:val="00553EEC"/>
    <w:rsid w:val="005540A4"/>
    <w:rsid w:val="005542AE"/>
    <w:rsid w:val="00554514"/>
    <w:rsid w:val="00554526"/>
    <w:rsid w:val="005546C4"/>
    <w:rsid w:val="005547CC"/>
    <w:rsid w:val="00554807"/>
    <w:rsid w:val="005548B1"/>
    <w:rsid w:val="0055491E"/>
    <w:rsid w:val="00554DEC"/>
    <w:rsid w:val="00554F51"/>
    <w:rsid w:val="00555185"/>
    <w:rsid w:val="005554A6"/>
    <w:rsid w:val="0055589A"/>
    <w:rsid w:val="00555A62"/>
    <w:rsid w:val="00555EF7"/>
    <w:rsid w:val="00555F49"/>
    <w:rsid w:val="0055623D"/>
    <w:rsid w:val="00556742"/>
    <w:rsid w:val="00556887"/>
    <w:rsid w:val="0055697C"/>
    <w:rsid w:val="00557011"/>
    <w:rsid w:val="005570D5"/>
    <w:rsid w:val="005575EC"/>
    <w:rsid w:val="005579FC"/>
    <w:rsid w:val="00557CCE"/>
    <w:rsid w:val="00557D75"/>
    <w:rsid w:val="005600FC"/>
    <w:rsid w:val="0056013E"/>
    <w:rsid w:val="00560455"/>
    <w:rsid w:val="0056065C"/>
    <w:rsid w:val="00560670"/>
    <w:rsid w:val="00560725"/>
    <w:rsid w:val="00560803"/>
    <w:rsid w:val="0056080B"/>
    <w:rsid w:val="005608C2"/>
    <w:rsid w:val="00560F1F"/>
    <w:rsid w:val="00561297"/>
    <w:rsid w:val="005613D5"/>
    <w:rsid w:val="0056148B"/>
    <w:rsid w:val="00561677"/>
    <w:rsid w:val="00561737"/>
    <w:rsid w:val="005619A0"/>
    <w:rsid w:val="00561AA2"/>
    <w:rsid w:val="00561E5E"/>
    <w:rsid w:val="005621CC"/>
    <w:rsid w:val="00562448"/>
    <w:rsid w:val="00562720"/>
    <w:rsid w:val="00562BB9"/>
    <w:rsid w:val="00562C55"/>
    <w:rsid w:val="00563316"/>
    <w:rsid w:val="0056345A"/>
    <w:rsid w:val="00563601"/>
    <w:rsid w:val="005636F9"/>
    <w:rsid w:val="00563A95"/>
    <w:rsid w:val="00563C09"/>
    <w:rsid w:val="00563C41"/>
    <w:rsid w:val="00564199"/>
    <w:rsid w:val="00564240"/>
    <w:rsid w:val="00564296"/>
    <w:rsid w:val="00564396"/>
    <w:rsid w:val="00564823"/>
    <w:rsid w:val="005649A7"/>
    <w:rsid w:val="00564DC9"/>
    <w:rsid w:val="00564E5A"/>
    <w:rsid w:val="00564EBD"/>
    <w:rsid w:val="0056506E"/>
    <w:rsid w:val="005650DD"/>
    <w:rsid w:val="00565346"/>
    <w:rsid w:val="005655D2"/>
    <w:rsid w:val="0056565A"/>
    <w:rsid w:val="0056569E"/>
    <w:rsid w:val="00565A64"/>
    <w:rsid w:val="00565BCD"/>
    <w:rsid w:val="00565EEF"/>
    <w:rsid w:val="00565FC7"/>
    <w:rsid w:val="0056643D"/>
    <w:rsid w:val="00566BF8"/>
    <w:rsid w:val="00567035"/>
    <w:rsid w:val="0056726F"/>
    <w:rsid w:val="00567300"/>
    <w:rsid w:val="00567424"/>
    <w:rsid w:val="0056770B"/>
    <w:rsid w:val="00567B6D"/>
    <w:rsid w:val="0057010A"/>
    <w:rsid w:val="005701FC"/>
    <w:rsid w:val="0057073B"/>
    <w:rsid w:val="005707D8"/>
    <w:rsid w:val="0057096B"/>
    <w:rsid w:val="00570B03"/>
    <w:rsid w:val="00570D29"/>
    <w:rsid w:val="0057106A"/>
    <w:rsid w:val="00571309"/>
    <w:rsid w:val="00571A72"/>
    <w:rsid w:val="00571AA9"/>
    <w:rsid w:val="00571B42"/>
    <w:rsid w:val="005723A0"/>
    <w:rsid w:val="00572789"/>
    <w:rsid w:val="00572B1B"/>
    <w:rsid w:val="00572E42"/>
    <w:rsid w:val="00572EE7"/>
    <w:rsid w:val="00573001"/>
    <w:rsid w:val="00573674"/>
    <w:rsid w:val="00573751"/>
    <w:rsid w:val="00573ADE"/>
    <w:rsid w:val="00573BDC"/>
    <w:rsid w:val="00573C48"/>
    <w:rsid w:val="00574126"/>
    <w:rsid w:val="0057415B"/>
    <w:rsid w:val="005747F3"/>
    <w:rsid w:val="0057480E"/>
    <w:rsid w:val="00574C42"/>
    <w:rsid w:val="00574DF5"/>
    <w:rsid w:val="00574E74"/>
    <w:rsid w:val="00575412"/>
    <w:rsid w:val="00575990"/>
    <w:rsid w:val="00575D84"/>
    <w:rsid w:val="0057647B"/>
    <w:rsid w:val="0057648D"/>
    <w:rsid w:val="00576545"/>
    <w:rsid w:val="005765E3"/>
    <w:rsid w:val="00576793"/>
    <w:rsid w:val="00576D0D"/>
    <w:rsid w:val="00576FB3"/>
    <w:rsid w:val="0057731C"/>
    <w:rsid w:val="005775F6"/>
    <w:rsid w:val="00577DA8"/>
    <w:rsid w:val="00577DF8"/>
    <w:rsid w:val="005802D5"/>
    <w:rsid w:val="00580414"/>
    <w:rsid w:val="005809E5"/>
    <w:rsid w:val="00580E83"/>
    <w:rsid w:val="0058158C"/>
    <w:rsid w:val="005815FF"/>
    <w:rsid w:val="0058161B"/>
    <w:rsid w:val="00581823"/>
    <w:rsid w:val="0058199E"/>
    <w:rsid w:val="00581ADB"/>
    <w:rsid w:val="00581CDB"/>
    <w:rsid w:val="00581D94"/>
    <w:rsid w:val="00582199"/>
    <w:rsid w:val="0058228A"/>
    <w:rsid w:val="00582672"/>
    <w:rsid w:val="00582AE3"/>
    <w:rsid w:val="00582B21"/>
    <w:rsid w:val="00582C40"/>
    <w:rsid w:val="00582C65"/>
    <w:rsid w:val="005833FA"/>
    <w:rsid w:val="0058348E"/>
    <w:rsid w:val="00583861"/>
    <w:rsid w:val="00583FBA"/>
    <w:rsid w:val="0058420B"/>
    <w:rsid w:val="0058479C"/>
    <w:rsid w:val="00584A81"/>
    <w:rsid w:val="00584D8C"/>
    <w:rsid w:val="00584F6D"/>
    <w:rsid w:val="0058523B"/>
    <w:rsid w:val="00585390"/>
    <w:rsid w:val="00585AAC"/>
    <w:rsid w:val="005860FE"/>
    <w:rsid w:val="0058614B"/>
    <w:rsid w:val="005865EB"/>
    <w:rsid w:val="00586946"/>
    <w:rsid w:val="0058719C"/>
    <w:rsid w:val="00587717"/>
    <w:rsid w:val="0059042C"/>
    <w:rsid w:val="00590D03"/>
    <w:rsid w:val="005910D0"/>
    <w:rsid w:val="00591343"/>
    <w:rsid w:val="005913C0"/>
    <w:rsid w:val="005914B7"/>
    <w:rsid w:val="005915C7"/>
    <w:rsid w:val="00591807"/>
    <w:rsid w:val="005921C2"/>
    <w:rsid w:val="00592468"/>
    <w:rsid w:val="00592572"/>
    <w:rsid w:val="0059266E"/>
    <w:rsid w:val="00592758"/>
    <w:rsid w:val="0059283A"/>
    <w:rsid w:val="00592A5D"/>
    <w:rsid w:val="00592F35"/>
    <w:rsid w:val="0059312E"/>
    <w:rsid w:val="005939A5"/>
    <w:rsid w:val="00593DBB"/>
    <w:rsid w:val="00593F3E"/>
    <w:rsid w:val="0059417E"/>
    <w:rsid w:val="0059446B"/>
    <w:rsid w:val="00594789"/>
    <w:rsid w:val="0059480B"/>
    <w:rsid w:val="005949FF"/>
    <w:rsid w:val="00594BE3"/>
    <w:rsid w:val="005952A7"/>
    <w:rsid w:val="00595428"/>
    <w:rsid w:val="005955B2"/>
    <w:rsid w:val="0059562C"/>
    <w:rsid w:val="00595C96"/>
    <w:rsid w:val="00595D2C"/>
    <w:rsid w:val="00595EF9"/>
    <w:rsid w:val="00595EFC"/>
    <w:rsid w:val="00596322"/>
    <w:rsid w:val="0059666E"/>
    <w:rsid w:val="0059674D"/>
    <w:rsid w:val="00596A41"/>
    <w:rsid w:val="00596B5B"/>
    <w:rsid w:val="00596D21"/>
    <w:rsid w:val="00596FBD"/>
    <w:rsid w:val="00596FEF"/>
    <w:rsid w:val="00597420"/>
    <w:rsid w:val="0059763C"/>
    <w:rsid w:val="00597C07"/>
    <w:rsid w:val="00597C0A"/>
    <w:rsid w:val="005A007A"/>
    <w:rsid w:val="005A0171"/>
    <w:rsid w:val="005A02D4"/>
    <w:rsid w:val="005A02F7"/>
    <w:rsid w:val="005A04C9"/>
    <w:rsid w:val="005A057F"/>
    <w:rsid w:val="005A0AA1"/>
    <w:rsid w:val="005A0C9A"/>
    <w:rsid w:val="005A0D73"/>
    <w:rsid w:val="005A0DEC"/>
    <w:rsid w:val="005A0E8C"/>
    <w:rsid w:val="005A148C"/>
    <w:rsid w:val="005A17B6"/>
    <w:rsid w:val="005A1E57"/>
    <w:rsid w:val="005A27EA"/>
    <w:rsid w:val="005A308E"/>
    <w:rsid w:val="005A31B1"/>
    <w:rsid w:val="005A3427"/>
    <w:rsid w:val="005A34AE"/>
    <w:rsid w:val="005A3912"/>
    <w:rsid w:val="005A39EF"/>
    <w:rsid w:val="005A3BAB"/>
    <w:rsid w:val="005A3D1F"/>
    <w:rsid w:val="005A4192"/>
    <w:rsid w:val="005A463D"/>
    <w:rsid w:val="005A4869"/>
    <w:rsid w:val="005A4FF3"/>
    <w:rsid w:val="005A52C5"/>
    <w:rsid w:val="005A54C2"/>
    <w:rsid w:val="005A558F"/>
    <w:rsid w:val="005A597B"/>
    <w:rsid w:val="005A5A52"/>
    <w:rsid w:val="005A61D2"/>
    <w:rsid w:val="005A6528"/>
    <w:rsid w:val="005A681B"/>
    <w:rsid w:val="005A6839"/>
    <w:rsid w:val="005A6C0D"/>
    <w:rsid w:val="005A70B0"/>
    <w:rsid w:val="005A75EC"/>
    <w:rsid w:val="005A7809"/>
    <w:rsid w:val="005A7D4F"/>
    <w:rsid w:val="005A7D52"/>
    <w:rsid w:val="005A7E33"/>
    <w:rsid w:val="005B0342"/>
    <w:rsid w:val="005B0925"/>
    <w:rsid w:val="005B0CB9"/>
    <w:rsid w:val="005B11BF"/>
    <w:rsid w:val="005B157F"/>
    <w:rsid w:val="005B1811"/>
    <w:rsid w:val="005B1F8E"/>
    <w:rsid w:val="005B204F"/>
    <w:rsid w:val="005B2157"/>
    <w:rsid w:val="005B221F"/>
    <w:rsid w:val="005B240D"/>
    <w:rsid w:val="005B2D17"/>
    <w:rsid w:val="005B307F"/>
    <w:rsid w:val="005B35EC"/>
    <w:rsid w:val="005B37F7"/>
    <w:rsid w:val="005B405F"/>
    <w:rsid w:val="005B44E9"/>
    <w:rsid w:val="005B475C"/>
    <w:rsid w:val="005B4825"/>
    <w:rsid w:val="005B483F"/>
    <w:rsid w:val="005B484D"/>
    <w:rsid w:val="005B4909"/>
    <w:rsid w:val="005B495E"/>
    <w:rsid w:val="005B4BC0"/>
    <w:rsid w:val="005B4D2C"/>
    <w:rsid w:val="005B5003"/>
    <w:rsid w:val="005B508A"/>
    <w:rsid w:val="005B538C"/>
    <w:rsid w:val="005B566B"/>
    <w:rsid w:val="005B5A1A"/>
    <w:rsid w:val="005B5A76"/>
    <w:rsid w:val="005B5FF2"/>
    <w:rsid w:val="005B6082"/>
    <w:rsid w:val="005B6405"/>
    <w:rsid w:val="005B6849"/>
    <w:rsid w:val="005B68EB"/>
    <w:rsid w:val="005B6A4D"/>
    <w:rsid w:val="005B6D7C"/>
    <w:rsid w:val="005B7492"/>
    <w:rsid w:val="005B75BD"/>
    <w:rsid w:val="005B75E3"/>
    <w:rsid w:val="005B7742"/>
    <w:rsid w:val="005B7B71"/>
    <w:rsid w:val="005C01E4"/>
    <w:rsid w:val="005C0369"/>
    <w:rsid w:val="005C07DC"/>
    <w:rsid w:val="005C07F3"/>
    <w:rsid w:val="005C0A9F"/>
    <w:rsid w:val="005C0FB6"/>
    <w:rsid w:val="005C0FBF"/>
    <w:rsid w:val="005C1074"/>
    <w:rsid w:val="005C1202"/>
    <w:rsid w:val="005C146A"/>
    <w:rsid w:val="005C154D"/>
    <w:rsid w:val="005C1A41"/>
    <w:rsid w:val="005C1BCE"/>
    <w:rsid w:val="005C1BD6"/>
    <w:rsid w:val="005C1E76"/>
    <w:rsid w:val="005C1EBC"/>
    <w:rsid w:val="005C1EC6"/>
    <w:rsid w:val="005C239F"/>
    <w:rsid w:val="005C2483"/>
    <w:rsid w:val="005C24D9"/>
    <w:rsid w:val="005C26C6"/>
    <w:rsid w:val="005C2732"/>
    <w:rsid w:val="005C28B2"/>
    <w:rsid w:val="005C34BF"/>
    <w:rsid w:val="005C34E0"/>
    <w:rsid w:val="005C352F"/>
    <w:rsid w:val="005C355C"/>
    <w:rsid w:val="005C36D3"/>
    <w:rsid w:val="005C38E4"/>
    <w:rsid w:val="005C3AB4"/>
    <w:rsid w:val="005C3BCB"/>
    <w:rsid w:val="005C3E75"/>
    <w:rsid w:val="005C4399"/>
    <w:rsid w:val="005C440F"/>
    <w:rsid w:val="005C464E"/>
    <w:rsid w:val="005C49E3"/>
    <w:rsid w:val="005C50BA"/>
    <w:rsid w:val="005C5316"/>
    <w:rsid w:val="005C58FA"/>
    <w:rsid w:val="005C5A07"/>
    <w:rsid w:val="005C5B7A"/>
    <w:rsid w:val="005C5C27"/>
    <w:rsid w:val="005C5C65"/>
    <w:rsid w:val="005C60F0"/>
    <w:rsid w:val="005C6558"/>
    <w:rsid w:val="005C664E"/>
    <w:rsid w:val="005C676E"/>
    <w:rsid w:val="005C6C19"/>
    <w:rsid w:val="005C70B6"/>
    <w:rsid w:val="005C719F"/>
    <w:rsid w:val="005C7436"/>
    <w:rsid w:val="005C747E"/>
    <w:rsid w:val="005C78CE"/>
    <w:rsid w:val="005C79D8"/>
    <w:rsid w:val="005C7DF1"/>
    <w:rsid w:val="005D09D3"/>
    <w:rsid w:val="005D0A34"/>
    <w:rsid w:val="005D0B78"/>
    <w:rsid w:val="005D0BFB"/>
    <w:rsid w:val="005D0C7D"/>
    <w:rsid w:val="005D0E01"/>
    <w:rsid w:val="005D0EFA"/>
    <w:rsid w:val="005D11EB"/>
    <w:rsid w:val="005D1287"/>
    <w:rsid w:val="005D1571"/>
    <w:rsid w:val="005D1A2B"/>
    <w:rsid w:val="005D1B0C"/>
    <w:rsid w:val="005D1DDF"/>
    <w:rsid w:val="005D1F2A"/>
    <w:rsid w:val="005D209F"/>
    <w:rsid w:val="005D22DE"/>
    <w:rsid w:val="005D2425"/>
    <w:rsid w:val="005D2841"/>
    <w:rsid w:val="005D2D04"/>
    <w:rsid w:val="005D2D53"/>
    <w:rsid w:val="005D2D59"/>
    <w:rsid w:val="005D34F4"/>
    <w:rsid w:val="005D3E0D"/>
    <w:rsid w:val="005D4053"/>
    <w:rsid w:val="005D41C5"/>
    <w:rsid w:val="005D442B"/>
    <w:rsid w:val="005D44D8"/>
    <w:rsid w:val="005D482C"/>
    <w:rsid w:val="005D4CCA"/>
    <w:rsid w:val="005D4D45"/>
    <w:rsid w:val="005D4EA6"/>
    <w:rsid w:val="005D5108"/>
    <w:rsid w:val="005D5268"/>
    <w:rsid w:val="005D52D8"/>
    <w:rsid w:val="005D59ED"/>
    <w:rsid w:val="005D60C2"/>
    <w:rsid w:val="005D60E9"/>
    <w:rsid w:val="005D63AA"/>
    <w:rsid w:val="005D6A03"/>
    <w:rsid w:val="005D74B5"/>
    <w:rsid w:val="005D7662"/>
    <w:rsid w:val="005D76C8"/>
    <w:rsid w:val="005D7A14"/>
    <w:rsid w:val="005D7E20"/>
    <w:rsid w:val="005E01BA"/>
    <w:rsid w:val="005E01FE"/>
    <w:rsid w:val="005E089A"/>
    <w:rsid w:val="005E09FE"/>
    <w:rsid w:val="005E0A7F"/>
    <w:rsid w:val="005E0B57"/>
    <w:rsid w:val="005E0B7D"/>
    <w:rsid w:val="005E0FA7"/>
    <w:rsid w:val="005E0FB3"/>
    <w:rsid w:val="005E1AC0"/>
    <w:rsid w:val="005E1B7A"/>
    <w:rsid w:val="005E1BBB"/>
    <w:rsid w:val="005E1E7C"/>
    <w:rsid w:val="005E2137"/>
    <w:rsid w:val="005E23A6"/>
    <w:rsid w:val="005E246C"/>
    <w:rsid w:val="005E2B01"/>
    <w:rsid w:val="005E2C7C"/>
    <w:rsid w:val="005E34A4"/>
    <w:rsid w:val="005E3757"/>
    <w:rsid w:val="005E3A29"/>
    <w:rsid w:val="005E3B1F"/>
    <w:rsid w:val="005E3CA1"/>
    <w:rsid w:val="005E3F8C"/>
    <w:rsid w:val="005E437E"/>
    <w:rsid w:val="005E4389"/>
    <w:rsid w:val="005E4652"/>
    <w:rsid w:val="005E4C10"/>
    <w:rsid w:val="005E4CCE"/>
    <w:rsid w:val="005E56E2"/>
    <w:rsid w:val="005E58D4"/>
    <w:rsid w:val="005E5992"/>
    <w:rsid w:val="005E5B43"/>
    <w:rsid w:val="005E6358"/>
    <w:rsid w:val="005E669F"/>
    <w:rsid w:val="005E680D"/>
    <w:rsid w:val="005E683D"/>
    <w:rsid w:val="005E68B9"/>
    <w:rsid w:val="005E6966"/>
    <w:rsid w:val="005E6EE3"/>
    <w:rsid w:val="005E7019"/>
    <w:rsid w:val="005E70CE"/>
    <w:rsid w:val="005E72DD"/>
    <w:rsid w:val="005E7841"/>
    <w:rsid w:val="005E7E4D"/>
    <w:rsid w:val="005E7EAE"/>
    <w:rsid w:val="005E7F11"/>
    <w:rsid w:val="005E7FD4"/>
    <w:rsid w:val="005F005D"/>
    <w:rsid w:val="005F034D"/>
    <w:rsid w:val="005F0561"/>
    <w:rsid w:val="005F09B1"/>
    <w:rsid w:val="005F0CC0"/>
    <w:rsid w:val="005F142B"/>
    <w:rsid w:val="005F1515"/>
    <w:rsid w:val="005F157A"/>
    <w:rsid w:val="005F188D"/>
    <w:rsid w:val="005F1F77"/>
    <w:rsid w:val="005F2195"/>
    <w:rsid w:val="005F225E"/>
    <w:rsid w:val="005F2B81"/>
    <w:rsid w:val="005F3425"/>
    <w:rsid w:val="005F342E"/>
    <w:rsid w:val="005F3551"/>
    <w:rsid w:val="005F35B9"/>
    <w:rsid w:val="005F35C9"/>
    <w:rsid w:val="005F38BE"/>
    <w:rsid w:val="005F3925"/>
    <w:rsid w:val="005F3966"/>
    <w:rsid w:val="005F39A7"/>
    <w:rsid w:val="005F3C8F"/>
    <w:rsid w:val="005F3E0B"/>
    <w:rsid w:val="005F40F7"/>
    <w:rsid w:val="005F4486"/>
    <w:rsid w:val="005F4A0B"/>
    <w:rsid w:val="005F4AC3"/>
    <w:rsid w:val="005F4D4A"/>
    <w:rsid w:val="005F4E30"/>
    <w:rsid w:val="005F547B"/>
    <w:rsid w:val="005F551E"/>
    <w:rsid w:val="005F55D1"/>
    <w:rsid w:val="005F5999"/>
    <w:rsid w:val="005F5AC7"/>
    <w:rsid w:val="005F5B6F"/>
    <w:rsid w:val="005F63A7"/>
    <w:rsid w:val="005F63AE"/>
    <w:rsid w:val="005F68B5"/>
    <w:rsid w:val="005F6988"/>
    <w:rsid w:val="005F6AD1"/>
    <w:rsid w:val="005F6AEC"/>
    <w:rsid w:val="005F6C25"/>
    <w:rsid w:val="005F6CBF"/>
    <w:rsid w:val="005F6F9D"/>
    <w:rsid w:val="005F7731"/>
    <w:rsid w:val="005F7A18"/>
    <w:rsid w:val="005F7CEA"/>
    <w:rsid w:val="00600362"/>
    <w:rsid w:val="00600364"/>
    <w:rsid w:val="006005E0"/>
    <w:rsid w:val="00600F98"/>
    <w:rsid w:val="00601848"/>
    <w:rsid w:val="006018C3"/>
    <w:rsid w:val="00601C29"/>
    <w:rsid w:val="00601CA1"/>
    <w:rsid w:val="00601D93"/>
    <w:rsid w:val="00601E3F"/>
    <w:rsid w:val="006020C1"/>
    <w:rsid w:val="006025E3"/>
    <w:rsid w:val="00602D81"/>
    <w:rsid w:val="00602EA8"/>
    <w:rsid w:val="00602F59"/>
    <w:rsid w:val="0060303B"/>
    <w:rsid w:val="00603238"/>
    <w:rsid w:val="0060349A"/>
    <w:rsid w:val="006034EF"/>
    <w:rsid w:val="006036F3"/>
    <w:rsid w:val="00603857"/>
    <w:rsid w:val="00603AC3"/>
    <w:rsid w:val="00603B4D"/>
    <w:rsid w:val="00603BA0"/>
    <w:rsid w:val="00603EAE"/>
    <w:rsid w:val="006041C3"/>
    <w:rsid w:val="006043F8"/>
    <w:rsid w:val="00604AE6"/>
    <w:rsid w:val="00604E10"/>
    <w:rsid w:val="00605428"/>
    <w:rsid w:val="00605A6E"/>
    <w:rsid w:val="0060630D"/>
    <w:rsid w:val="006064F3"/>
    <w:rsid w:val="00606633"/>
    <w:rsid w:val="0060679C"/>
    <w:rsid w:val="00606965"/>
    <w:rsid w:val="00606AB8"/>
    <w:rsid w:val="006070C9"/>
    <w:rsid w:val="006071AA"/>
    <w:rsid w:val="006071F2"/>
    <w:rsid w:val="006074A5"/>
    <w:rsid w:val="006074C1"/>
    <w:rsid w:val="00607599"/>
    <w:rsid w:val="00607994"/>
    <w:rsid w:val="00607A16"/>
    <w:rsid w:val="00607AF3"/>
    <w:rsid w:val="00610032"/>
    <w:rsid w:val="0061041A"/>
    <w:rsid w:val="00610E61"/>
    <w:rsid w:val="00611290"/>
    <w:rsid w:val="006114CD"/>
    <w:rsid w:val="006118F9"/>
    <w:rsid w:val="00611BAE"/>
    <w:rsid w:val="00611EA6"/>
    <w:rsid w:val="006121C8"/>
    <w:rsid w:val="00612457"/>
    <w:rsid w:val="00612596"/>
    <w:rsid w:val="00612685"/>
    <w:rsid w:val="0061270B"/>
    <w:rsid w:val="0061286D"/>
    <w:rsid w:val="006129AC"/>
    <w:rsid w:val="00612A96"/>
    <w:rsid w:val="006137D0"/>
    <w:rsid w:val="00613A3D"/>
    <w:rsid w:val="00613A8C"/>
    <w:rsid w:val="00613DB4"/>
    <w:rsid w:val="006146A1"/>
    <w:rsid w:val="00614941"/>
    <w:rsid w:val="00614D79"/>
    <w:rsid w:val="00614D9A"/>
    <w:rsid w:val="00615596"/>
    <w:rsid w:val="00615602"/>
    <w:rsid w:val="006156C3"/>
    <w:rsid w:val="006156FF"/>
    <w:rsid w:val="00615798"/>
    <w:rsid w:val="00615CDC"/>
    <w:rsid w:val="00615DAA"/>
    <w:rsid w:val="006165DB"/>
    <w:rsid w:val="00616F46"/>
    <w:rsid w:val="0061744D"/>
    <w:rsid w:val="00617557"/>
    <w:rsid w:val="00617695"/>
    <w:rsid w:val="006176BB"/>
    <w:rsid w:val="00617B58"/>
    <w:rsid w:val="00617CDB"/>
    <w:rsid w:val="00617D54"/>
    <w:rsid w:val="00617D9D"/>
    <w:rsid w:val="0062019F"/>
    <w:rsid w:val="006202B0"/>
    <w:rsid w:val="006207A4"/>
    <w:rsid w:val="00620A3B"/>
    <w:rsid w:val="00620C07"/>
    <w:rsid w:val="00620E31"/>
    <w:rsid w:val="006212A5"/>
    <w:rsid w:val="00621376"/>
    <w:rsid w:val="0062181C"/>
    <w:rsid w:val="00621C07"/>
    <w:rsid w:val="00621E2C"/>
    <w:rsid w:val="006229B2"/>
    <w:rsid w:val="00622A68"/>
    <w:rsid w:val="00622FF1"/>
    <w:rsid w:val="0062307B"/>
    <w:rsid w:val="0062361F"/>
    <w:rsid w:val="006238B4"/>
    <w:rsid w:val="006238D0"/>
    <w:rsid w:val="00623D76"/>
    <w:rsid w:val="00623DB3"/>
    <w:rsid w:val="00623F64"/>
    <w:rsid w:val="00624259"/>
    <w:rsid w:val="006242A4"/>
    <w:rsid w:val="0062435D"/>
    <w:rsid w:val="00624705"/>
    <w:rsid w:val="00624715"/>
    <w:rsid w:val="0062472F"/>
    <w:rsid w:val="00624959"/>
    <w:rsid w:val="00624CC4"/>
    <w:rsid w:val="00624D6E"/>
    <w:rsid w:val="00624F3A"/>
    <w:rsid w:val="00625071"/>
    <w:rsid w:val="00625750"/>
    <w:rsid w:val="00625BE6"/>
    <w:rsid w:val="00625C38"/>
    <w:rsid w:val="00625CC8"/>
    <w:rsid w:val="00626BBB"/>
    <w:rsid w:val="00626CD7"/>
    <w:rsid w:val="00626D83"/>
    <w:rsid w:val="00627185"/>
    <w:rsid w:val="00627243"/>
    <w:rsid w:val="006275F3"/>
    <w:rsid w:val="00627C5D"/>
    <w:rsid w:val="00630028"/>
    <w:rsid w:val="006300D4"/>
    <w:rsid w:val="00630649"/>
    <w:rsid w:val="00630886"/>
    <w:rsid w:val="0063092A"/>
    <w:rsid w:val="00630A0B"/>
    <w:rsid w:val="00630A4B"/>
    <w:rsid w:val="00630C4F"/>
    <w:rsid w:val="00631C62"/>
    <w:rsid w:val="006320DB"/>
    <w:rsid w:val="00632207"/>
    <w:rsid w:val="006325FD"/>
    <w:rsid w:val="006327D4"/>
    <w:rsid w:val="00632DDC"/>
    <w:rsid w:val="00633454"/>
    <w:rsid w:val="0063369D"/>
    <w:rsid w:val="00633D72"/>
    <w:rsid w:val="00633DE9"/>
    <w:rsid w:val="0063490B"/>
    <w:rsid w:val="0063491C"/>
    <w:rsid w:val="00634A14"/>
    <w:rsid w:val="00634A9B"/>
    <w:rsid w:val="00634D5E"/>
    <w:rsid w:val="00634E86"/>
    <w:rsid w:val="0063502D"/>
    <w:rsid w:val="006352C6"/>
    <w:rsid w:val="00635BB9"/>
    <w:rsid w:val="00635EEA"/>
    <w:rsid w:val="00635F46"/>
    <w:rsid w:val="00635FD6"/>
    <w:rsid w:val="00635FF8"/>
    <w:rsid w:val="00636299"/>
    <w:rsid w:val="00636840"/>
    <w:rsid w:val="006368AE"/>
    <w:rsid w:val="006369B6"/>
    <w:rsid w:val="00636A88"/>
    <w:rsid w:val="006370DC"/>
    <w:rsid w:val="006372B5"/>
    <w:rsid w:val="006373EA"/>
    <w:rsid w:val="00637700"/>
    <w:rsid w:val="00637948"/>
    <w:rsid w:val="00637E15"/>
    <w:rsid w:val="0064022E"/>
    <w:rsid w:val="00640697"/>
    <w:rsid w:val="0064081A"/>
    <w:rsid w:val="00640A8C"/>
    <w:rsid w:val="00640D59"/>
    <w:rsid w:val="00640EBA"/>
    <w:rsid w:val="00640F95"/>
    <w:rsid w:val="006411D5"/>
    <w:rsid w:val="0064157E"/>
    <w:rsid w:val="006416EE"/>
    <w:rsid w:val="00641A5C"/>
    <w:rsid w:val="00641EA7"/>
    <w:rsid w:val="0064234C"/>
    <w:rsid w:val="0064236F"/>
    <w:rsid w:val="00642414"/>
    <w:rsid w:val="00642677"/>
    <w:rsid w:val="00642DA4"/>
    <w:rsid w:val="00642DE4"/>
    <w:rsid w:val="00642F74"/>
    <w:rsid w:val="0064313D"/>
    <w:rsid w:val="00643B07"/>
    <w:rsid w:val="00643D9B"/>
    <w:rsid w:val="00643E2C"/>
    <w:rsid w:val="00643F1E"/>
    <w:rsid w:val="0064403B"/>
    <w:rsid w:val="006444D0"/>
    <w:rsid w:val="00644CD2"/>
    <w:rsid w:val="00644D53"/>
    <w:rsid w:val="00645243"/>
    <w:rsid w:val="00645435"/>
    <w:rsid w:val="00645999"/>
    <w:rsid w:val="006463B7"/>
    <w:rsid w:val="006464C8"/>
    <w:rsid w:val="006466B5"/>
    <w:rsid w:val="006470CF"/>
    <w:rsid w:val="0064723D"/>
    <w:rsid w:val="006472AF"/>
    <w:rsid w:val="00647396"/>
    <w:rsid w:val="00647DD4"/>
    <w:rsid w:val="00647F59"/>
    <w:rsid w:val="006500AD"/>
    <w:rsid w:val="0065099D"/>
    <w:rsid w:val="00651077"/>
    <w:rsid w:val="00651101"/>
    <w:rsid w:val="00651816"/>
    <w:rsid w:val="00651EA7"/>
    <w:rsid w:val="00652010"/>
    <w:rsid w:val="00652595"/>
    <w:rsid w:val="00652904"/>
    <w:rsid w:val="00652E87"/>
    <w:rsid w:val="00652ECC"/>
    <w:rsid w:val="00652F24"/>
    <w:rsid w:val="00652FC8"/>
    <w:rsid w:val="006530DA"/>
    <w:rsid w:val="006530EA"/>
    <w:rsid w:val="006531B7"/>
    <w:rsid w:val="00653CD8"/>
    <w:rsid w:val="00653E36"/>
    <w:rsid w:val="00653F47"/>
    <w:rsid w:val="0065407B"/>
    <w:rsid w:val="006541AF"/>
    <w:rsid w:val="00654EDE"/>
    <w:rsid w:val="00654F09"/>
    <w:rsid w:val="00655104"/>
    <w:rsid w:val="006554FE"/>
    <w:rsid w:val="00655620"/>
    <w:rsid w:val="0065580B"/>
    <w:rsid w:val="0065582B"/>
    <w:rsid w:val="00655924"/>
    <w:rsid w:val="00656200"/>
    <w:rsid w:val="00656258"/>
    <w:rsid w:val="00656982"/>
    <w:rsid w:val="00656A99"/>
    <w:rsid w:val="00656EB7"/>
    <w:rsid w:val="00656F2D"/>
    <w:rsid w:val="0065773A"/>
    <w:rsid w:val="006578BD"/>
    <w:rsid w:val="00657BE1"/>
    <w:rsid w:val="00660122"/>
    <w:rsid w:val="006603BE"/>
    <w:rsid w:val="0066052C"/>
    <w:rsid w:val="006606F6"/>
    <w:rsid w:val="00660B25"/>
    <w:rsid w:val="0066187F"/>
    <w:rsid w:val="00661AFE"/>
    <w:rsid w:val="0066208B"/>
    <w:rsid w:val="0066254D"/>
    <w:rsid w:val="00662FA8"/>
    <w:rsid w:val="00663E44"/>
    <w:rsid w:val="00663FE3"/>
    <w:rsid w:val="006640AC"/>
    <w:rsid w:val="00664196"/>
    <w:rsid w:val="006642F8"/>
    <w:rsid w:val="0066498A"/>
    <w:rsid w:val="0066498E"/>
    <w:rsid w:val="00664B17"/>
    <w:rsid w:val="00665045"/>
    <w:rsid w:val="006650E4"/>
    <w:rsid w:val="00665307"/>
    <w:rsid w:val="0066543E"/>
    <w:rsid w:val="0066549D"/>
    <w:rsid w:val="00665831"/>
    <w:rsid w:val="00665961"/>
    <w:rsid w:val="00665CFA"/>
    <w:rsid w:val="00665E68"/>
    <w:rsid w:val="00666354"/>
    <w:rsid w:val="006664AF"/>
    <w:rsid w:val="00666E65"/>
    <w:rsid w:val="006674E0"/>
    <w:rsid w:val="00667700"/>
    <w:rsid w:val="006677D9"/>
    <w:rsid w:val="00667A1C"/>
    <w:rsid w:val="00667AD4"/>
    <w:rsid w:val="0067018E"/>
    <w:rsid w:val="0067020D"/>
    <w:rsid w:val="0067030A"/>
    <w:rsid w:val="00670532"/>
    <w:rsid w:val="0067071D"/>
    <w:rsid w:val="00670817"/>
    <w:rsid w:val="006716D4"/>
    <w:rsid w:val="0067175B"/>
    <w:rsid w:val="006718A0"/>
    <w:rsid w:val="0067208D"/>
    <w:rsid w:val="006720A8"/>
    <w:rsid w:val="0067210C"/>
    <w:rsid w:val="00672195"/>
    <w:rsid w:val="006722CB"/>
    <w:rsid w:val="00672829"/>
    <w:rsid w:val="00672977"/>
    <w:rsid w:val="00672A11"/>
    <w:rsid w:val="00672ABC"/>
    <w:rsid w:val="00672C31"/>
    <w:rsid w:val="00672C8E"/>
    <w:rsid w:val="006734F5"/>
    <w:rsid w:val="0067430A"/>
    <w:rsid w:val="00674897"/>
    <w:rsid w:val="00674971"/>
    <w:rsid w:val="00674B19"/>
    <w:rsid w:val="00674B7A"/>
    <w:rsid w:val="00674BA0"/>
    <w:rsid w:val="00674C04"/>
    <w:rsid w:val="00674F0F"/>
    <w:rsid w:val="0067506C"/>
    <w:rsid w:val="00675090"/>
    <w:rsid w:val="00675266"/>
    <w:rsid w:val="0067530D"/>
    <w:rsid w:val="00675BC4"/>
    <w:rsid w:val="00675C51"/>
    <w:rsid w:val="006762C5"/>
    <w:rsid w:val="0067648D"/>
    <w:rsid w:val="00676543"/>
    <w:rsid w:val="0067670E"/>
    <w:rsid w:val="00676951"/>
    <w:rsid w:val="00676A56"/>
    <w:rsid w:val="00676E0F"/>
    <w:rsid w:val="00676F41"/>
    <w:rsid w:val="006771BA"/>
    <w:rsid w:val="0067756E"/>
    <w:rsid w:val="0067794F"/>
    <w:rsid w:val="00677A5C"/>
    <w:rsid w:val="00677CDE"/>
    <w:rsid w:val="00677DBA"/>
    <w:rsid w:val="0068068B"/>
    <w:rsid w:val="00680D49"/>
    <w:rsid w:val="00680F19"/>
    <w:rsid w:val="006810B6"/>
    <w:rsid w:val="00681444"/>
    <w:rsid w:val="00681B32"/>
    <w:rsid w:val="00681C46"/>
    <w:rsid w:val="0068207B"/>
    <w:rsid w:val="00682349"/>
    <w:rsid w:val="006828EF"/>
    <w:rsid w:val="00683177"/>
    <w:rsid w:val="006833C5"/>
    <w:rsid w:val="0068362D"/>
    <w:rsid w:val="006838FA"/>
    <w:rsid w:val="006839EB"/>
    <w:rsid w:val="00683B2C"/>
    <w:rsid w:val="0068462F"/>
    <w:rsid w:val="00684774"/>
    <w:rsid w:val="00684A35"/>
    <w:rsid w:val="00684B36"/>
    <w:rsid w:val="00684B54"/>
    <w:rsid w:val="00684C60"/>
    <w:rsid w:val="00684C9A"/>
    <w:rsid w:val="006850DE"/>
    <w:rsid w:val="006853C3"/>
    <w:rsid w:val="00685610"/>
    <w:rsid w:val="00686207"/>
    <w:rsid w:val="00686216"/>
    <w:rsid w:val="00686565"/>
    <w:rsid w:val="006865DF"/>
    <w:rsid w:val="006869B3"/>
    <w:rsid w:val="00686ED8"/>
    <w:rsid w:val="00687013"/>
    <w:rsid w:val="00687661"/>
    <w:rsid w:val="006878C4"/>
    <w:rsid w:val="00687AE7"/>
    <w:rsid w:val="00687DDA"/>
    <w:rsid w:val="00687F4D"/>
    <w:rsid w:val="00690A95"/>
    <w:rsid w:val="00690E5E"/>
    <w:rsid w:val="00691033"/>
    <w:rsid w:val="00691521"/>
    <w:rsid w:val="00691570"/>
    <w:rsid w:val="00691629"/>
    <w:rsid w:val="00691769"/>
    <w:rsid w:val="006919BA"/>
    <w:rsid w:val="00691BEC"/>
    <w:rsid w:val="00691CA1"/>
    <w:rsid w:val="00691F64"/>
    <w:rsid w:val="00692162"/>
    <w:rsid w:val="006925D7"/>
    <w:rsid w:val="006927CC"/>
    <w:rsid w:val="00692890"/>
    <w:rsid w:val="006928A2"/>
    <w:rsid w:val="00692F74"/>
    <w:rsid w:val="006931F8"/>
    <w:rsid w:val="00693358"/>
    <w:rsid w:val="006935A7"/>
    <w:rsid w:val="0069416C"/>
    <w:rsid w:val="00694224"/>
    <w:rsid w:val="00694502"/>
    <w:rsid w:val="006949FE"/>
    <w:rsid w:val="00694B58"/>
    <w:rsid w:val="00694B92"/>
    <w:rsid w:val="00694CF7"/>
    <w:rsid w:val="00694ECD"/>
    <w:rsid w:val="0069500D"/>
    <w:rsid w:val="00695075"/>
    <w:rsid w:val="00695141"/>
    <w:rsid w:val="0069525A"/>
    <w:rsid w:val="0069546E"/>
    <w:rsid w:val="00695537"/>
    <w:rsid w:val="00695AD9"/>
    <w:rsid w:val="006964A6"/>
    <w:rsid w:val="00696514"/>
    <w:rsid w:val="00696609"/>
    <w:rsid w:val="006969BB"/>
    <w:rsid w:val="00696E1C"/>
    <w:rsid w:val="006972F9"/>
    <w:rsid w:val="006979B8"/>
    <w:rsid w:val="00697C8A"/>
    <w:rsid w:val="006A014B"/>
    <w:rsid w:val="006A02CE"/>
    <w:rsid w:val="006A0399"/>
    <w:rsid w:val="006A053E"/>
    <w:rsid w:val="006A077D"/>
    <w:rsid w:val="006A117C"/>
    <w:rsid w:val="006A120A"/>
    <w:rsid w:val="006A1A3C"/>
    <w:rsid w:val="006A1C11"/>
    <w:rsid w:val="006A1F02"/>
    <w:rsid w:val="006A2B89"/>
    <w:rsid w:val="006A2C28"/>
    <w:rsid w:val="006A2EB5"/>
    <w:rsid w:val="006A313E"/>
    <w:rsid w:val="006A396B"/>
    <w:rsid w:val="006A3CA4"/>
    <w:rsid w:val="006A3DA7"/>
    <w:rsid w:val="006A3FD8"/>
    <w:rsid w:val="006A4272"/>
    <w:rsid w:val="006A4A3F"/>
    <w:rsid w:val="006A4ACC"/>
    <w:rsid w:val="006A4C49"/>
    <w:rsid w:val="006A57DD"/>
    <w:rsid w:val="006A5857"/>
    <w:rsid w:val="006A5B23"/>
    <w:rsid w:val="006A5C05"/>
    <w:rsid w:val="006A6C2D"/>
    <w:rsid w:val="006A6DB3"/>
    <w:rsid w:val="006A6E61"/>
    <w:rsid w:val="006A71EE"/>
    <w:rsid w:val="006A76ED"/>
    <w:rsid w:val="006A7CD5"/>
    <w:rsid w:val="006A7CF4"/>
    <w:rsid w:val="006B0181"/>
    <w:rsid w:val="006B01A8"/>
    <w:rsid w:val="006B0E03"/>
    <w:rsid w:val="006B0EE5"/>
    <w:rsid w:val="006B12E5"/>
    <w:rsid w:val="006B19E0"/>
    <w:rsid w:val="006B1D98"/>
    <w:rsid w:val="006B20BC"/>
    <w:rsid w:val="006B2172"/>
    <w:rsid w:val="006B2491"/>
    <w:rsid w:val="006B2518"/>
    <w:rsid w:val="006B28E2"/>
    <w:rsid w:val="006B2C53"/>
    <w:rsid w:val="006B2DEC"/>
    <w:rsid w:val="006B3785"/>
    <w:rsid w:val="006B3E78"/>
    <w:rsid w:val="006B3F24"/>
    <w:rsid w:val="006B40E2"/>
    <w:rsid w:val="006B46FA"/>
    <w:rsid w:val="006B49A9"/>
    <w:rsid w:val="006B4A08"/>
    <w:rsid w:val="006B4A13"/>
    <w:rsid w:val="006B4A6B"/>
    <w:rsid w:val="006B4AAF"/>
    <w:rsid w:val="006B4F2B"/>
    <w:rsid w:val="006B4FD1"/>
    <w:rsid w:val="006B5546"/>
    <w:rsid w:val="006B5665"/>
    <w:rsid w:val="006B5A46"/>
    <w:rsid w:val="006B5AAE"/>
    <w:rsid w:val="006B5DA4"/>
    <w:rsid w:val="006B6306"/>
    <w:rsid w:val="006B6654"/>
    <w:rsid w:val="006B66E4"/>
    <w:rsid w:val="006B677E"/>
    <w:rsid w:val="006B6C4C"/>
    <w:rsid w:val="006B71BB"/>
    <w:rsid w:val="006B723A"/>
    <w:rsid w:val="006B7826"/>
    <w:rsid w:val="006B7A4D"/>
    <w:rsid w:val="006B7B9C"/>
    <w:rsid w:val="006B7E14"/>
    <w:rsid w:val="006C0849"/>
    <w:rsid w:val="006C117B"/>
    <w:rsid w:val="006C12B6"/>
    <w:rsid w:val="006C12FA"/>
    <w:rsid w:val="006C1AF1"/>
    <w:rsid w:val="006C1F10"/>
    <w:rsid w:val="006C23D9"/>
    <w:rsid w:val="006C26B5"/>
    <w:rsid w:val="006C2C45"/>
    <w:rsid w:val="006C2DC6"/>
    <w:rsid w:val="006C2DD5"/>
    <w:rsid w:val="006C2DF0"/>
    <w:rsid w:val="006C2F62"/>
    <w:rsid w:val="006C315E"/>
    <w:rsid w:val="006C31D5"/>
    <w:rsid w:val="006C3241"/>
    <w:rsid w:val="006C329C"/>
    <w:rsid w:val="006C3326"/>
    <w:rsid w:val="006C33D0"/>
    <w:rsid w:val="006C34D3"/>
    <w:rsid w:val="006C38A8"/>
    <w:rsid w:val="006C3FCC"/>
    <w:rsid w:val="006C4048"/>
    <w:rsid w:val="006C4177"/>
    <w:rsid w:val="006C42EB"/>
    <w:rsid w:val="006C43DD"/>
    <w:rsid w:val="006C448E"/>
    <w:rsid w:val="006C4593"/>
    <w:rsid w:val="006C468D"/>
    <w:rsid w:val="006C4A1B"/>
    <w:rsid w:val="006C4FC5"/>
    <w:rsid w:val="006C5292"/>
    <w:rsid w:val="006C5608"/>
    <w:rsid w:val="006C5BDB"/>
    <w:rsid w:val="006C5E61"/>
    <w:rsid w:val="006C61D6"/>
    <w:rsid w:val="006C64C2"/>
    <w:rsid w:val="006C6DD9"/>
    <w:rsid w:val="006C6DDA"/>
    <w:rsid w:val="006C7132"/>
    <w:rsid w:val="006C790B"/>
    <w:rsid w:val="006C7A24"/>
    <w:rsid w:val="006C7B54"/>
    <w:rsid w:val="006D01EF"/>
    <w:rsid w:val="006D08DB"/>
    <w:rsid w:val="006D096A"/>
    <w:rsid w:val="006D0AE1"/>
    <w:rsid w:val="006D0AEB"/>
    <w:rsid w:val="006D0DD9"/>
    <w:rsid w:val="006D13D0"/>
    <w:rsid w:val="006D14F5"/>
    <w:rsid w:val="006D16BF"/>
    <w:rsid w:val="006D1862"/>
    <w:rsid w:val="006D21DF"/>
    <w:rsid w:val="006D252E"/>
    <w:rsid w:val="006D263D"/>
    <w:rsid w:val="006D274D"/>
    <w:rsid w:val="006D30B0"/>
    <w:rsid w:val="006D3330"/>
    <w:rsid w:val="006D343D"/>
    <w:rsid w:val="006D34D5"/>
    <w:rsid w:val="006D3798"/>
    <w:rsid w:val="006D3A9F"/>
    <w:rsid w:val="006D3AF9"/>
    <w:rsid w:val="006D3BC2"/>
    <w:rsid w:val="006D3F0A"/>
    <w:rsid w:val="006D4606"/>
    <w:rsid w:val="006D4781"/>
    <w:rsid w:val="006D5E19"/>
    <w:rsid w:val="006D5F44"/>
    <w:rsid w:val="006D60FD"/>
    <w:rsid w:val="006D637A"/>
    <w:rsid w:val="006D642F"/>
    <w:rsid w:val="006D6510"/>
    <w:rsid w:val="006D6637"/>
    <w:rsid w:val="006D6740"/>
    <w:rsid w:val="006D67F5"/>
    <w:rsid w:val="006D6B29"/>
    <w:rsid w:val="006D6EF0"/>
    <w:rsid w:val="006D71D4"/>
    <w:rsid w:val="006D7217"/>
    <w:rsid w:val="006D7741"/>
    <w:rsid w:val="006D7756"/>
    <w:rsid w:val="006E00B1"/>
    <w:rsid w:val="006E027C"/>
    <w:rsid w:val="006E032D"/>
    <w:rsid w:val="006E0544"/>
    <w:rsid w:val="006E0ACD"/>
    <w:rsid w:val="006E0AD4"/>
    <w:rsid w:val="006E0BAC"/>
    <w:rsid w:val="006E12F3"/>
    <w:rsid w:val="006E1549"/>
    <w:rsid w:val="006E1601"/>
    <w:rsid w:val="006E19A0"/>
    <w:rsid w:val="006E1FF7"/>
    <w:rsid w:val="006E200A"/>
    <w:rsid w:val="006E2478"/>
    <w:rsid w:val="006E2674"/>
    <w:rsid w:val="006E2A7F"/>
    <w:rsid w:val="006E2BA7"/>
    <w:rsid w:val="006E3761"/>
    <w:rsid w:val="006E3A1E"/>
    <w:rsid w:val="006E3B75"/>
    <w:rsid w:val="006E3BA8"/>
    <w:rsid w:val="006E3E81"/>
    <w:rsid w:val="006E3F55"/>
    <w:rsid w:val="006E46A8"/>
    <w:rsid w:val="006E4ED1"/>
    <w:rsid w:val="006E50ED"/>
    <w:rsid w:val="006E5542"/>
    <w:rsid w:val="006E58A4"/>
    <w:rsid w:val="006E5A08"/>
    <w:rsid w:val="006E5BB6"/>
    <w:rsid w:val="006E5E28"/>
    <w:rsid w:val="006E5E49"/>
    <w:rsid w:val="006E5F34"/>
    <w:rsid w:val="006E6115"/>
    <w:rsid w:val="006E6364"/>
    <w:rsid w:val="006E6574"/>
    <w:rsid w:val="006E65B2"/>
    <w:rsid w:val="006E65F3"/>
    <w:rsid w:val="006E66EB"/>
    <w:rsid w:val="006E69BE"/>
    <w:rsid w:val="006E69C6"/>
    <w:rsid w:val="006E6DBB"/>
    <w:rsid w:val="006E7187"/>
    <w:rsid w:val="006E760C"/>
    <w:rsid w:val="006E76A0"/>
    <w:rsid w:val="006E7809"/>
    <w:rsid w:val="006F008C"/>
    <w:rsid w:val="006F01D9"/>
    <w:rsid w:val="006F0760"/>
    <w:rsid w:val="006F07A9"/>
    <w:rsid w:val="006F0BAF"/>
    <w:rsid w:val="006F1175"/>
    <w:rsid w:val="006F12E4"/>
    <w:rsid w:val="006F18F3"/>
    <w:rsid w:val="006F1B4F"/>
    <w:rsid w:val="006F1FE9"/>
    <w:rsid w:val="006F2029"/>
    <w:rsid w:val="006F253E"/>
    <w:rsid w:val="006F2F8B"/>
    <w:rsid w:val="006F336F"/>
    <w:rsid w:val="006F342D"/>
    <w:rsid w:val="006F388A"/>
    <w:rsid w:val="006F3E64"/>
    <w:rsid w:val="006F3F2A"/>
    <w:rsid w:val="006F3F48"/>
    <w:rsid w:val="006F3FE5"/>
    <w:rsid w:val="006F40EF"/>
    <w:rsid w:val="006F4669"/>
    <w:rsid w:val="006F48B7"/>
    <w:rsid w:val="006F49DF"/>
    <w:rsid w:val="006F4F4B"/>
    <w:rsid w:val="006F53DC"/>
    <w:rsid w:val="006F5758"/>
    <w:rsid w:val="006F5B50"/>
    <w:rsid w:val="006F5C9C"/>
    <w:rsid w:val="006F5CE0"/>
    <w:rsid w:val="006F61F9"/>
    <w:rsid w:val="006F620D"/>
    <w:rsid w:val="006F6462"/>
    <w:rsid w:val="006F675E"/>
    <w:rsid w:val="006F6AD0"/>
    <w:rsid w:val="006F6E77"/>
    <w:rsid w:val="006F70D0"/>
    <w:rsid w:val="006F729C"/>
    <w:rsid w:val="006F7DA1"/>
    <w:rsid w:val="006F7DCD"/>
    <w:rsid w:val="006F7E4A"/>
    <w:rsid w:val="00700E86"/>
    <w:rsid w:val="00701217"/>
    <w:rsid w:val="007016ED"/>
    <w:rsid w:val="00701871"/>
    <w:rsid w:val="00701CE7"/>
    <w:rsid w:val="00701FAF"/>
    <w:rsid w:val="0070226D"/>
    <w:rsid w:val="00702938"/>
    <w:rsid w:val="00702A08"/>
    <w:rsid w:val="00702A69"/>
    <w:rsid w:val="00702F04"/>
    <w:rsid w:val="00703250"/>
    <w:rsid w:val="007032AF"/>
    <w:rsid w:val="0070377B"/>
    <w:rsid w:val="007037D1"/>
    <w:rsid w:val="00703959"/>
    <w:rsid w:val="00703D50"/>
    <w:rsid w:val="00703D9B"/>
    <w:rsid w:val="0070440A"/>
    <w:rsid w:val="0070458F"/>
    <w:rsid w:val="0070463B"/>
    <w:rsid w:val="00704EDE"/>
    <w:rsid w:val="0070506E"/>
    <w:rsid w:val="00705137"/>
    <w:rsid w:val="007051A4"/>
    <w:rsid w:val="0070527D"/>
    <w:rsid w:val="007059CE"/>
    <w:rsid w:val="00705ADC"/>
    <w:rsid w:val="00705F87"/>
    <w:rsid w:val="007063F4"/>
    <w:rsid w:val="00706EA4"/>
    <w:rsid w:val="007071B9"/>
    <w:rsid w:val="007071DF"/>
    <w:rsid w:val="0070720F"/>
    <w:rsid w:val="007072D6"/>
    <w:rsid w:val="0070736D"/>
    <w:rsid w:val="007073E8"/>
    <w:rsid w:val="00707594"/>
    <w:rsid w:val="0070774B"/>
    <w:rsid w:val="00707809"/>
    <w:rsid w:val="00707CA3"/>
    <w:rsid w:val="00707D84"/>
    <w:rsid w:val="007102D1"/>
    <w:rsid w:val="007106DB"/>
    <w:rsid w:val="00710B06"/>
    <w:rsid w:val="00710F1E"/>
    <w:rsid w:val="00711311"/>
    <w:rsid w:val="0071138D"/>
    <w:rsid w:val="00711518"/>
    <w:rsid w:val="0071198D"/>
    <w:rsid w:val="00711A31"/>
    <w:rsid w:val="00711CF8"/>
    <w:rsid w:val="0071306F"/>
    <w:rsid w:val="0071310C"/>
    <w:rsid w:val="0071392F"/>
    <w:rsid w:val="007139DE"/>
    <w:rsid w:val="00713E45"/>
    <w:rsid w:val="00713F76"/>
    <w:rsid w:val="0071469A"/>
    <w:rsid w:val="00714796"/>
    <w:rsid w:val="007147B2"/>
    <w:rsid w:val="00714A73"/>
    <w:rsid w:val="00714AA7"/>
    <w:rsid w:val="00714ADE"/>
    <w:rsid w:val="00714C69"/>
    <w:rsid w:val="00714CF2"/>
    <w:rsid w:val="00714E22"/>
    <w:rsid w:val="007150A0"/>
    <w:rsid w:val="007152CC"/>
    <w:rsid w:val="007154BE"/>
    <w:rsid w:val="007156B9"/>
    <w:rsid w:val="00715B56"/>
    <w:rsid w:val="00715DE3"/>
    <w:rsid w:val="007162D7"/>
    <w:rsid w:val="007163C5"/>
    <w:rsid w:val="00716446"/>
    <w:rsid w:val="007164C5"/>
    <w:rsid w:val="0071680A"/>
    <w:rsid w:val="00716F0F"/>
    <w:rsid w:val="007170F3"/>
    <w:rsid w:val="0071726D"/>
    <w:rsid w:val="007177F3"/>
    <w:rsid w:val="007177F4"/>
    <w:rsid w:val="00720466"/>
    <w:rsid w:val="00720709"/>
    <w:rsid w:val="0072080B"/>
    <w:rsid w:val="00720817"/>
    <w:rsid w:val="007210D0"/>
    <w:rsid w:val="00721293"/>
    <w:rsid w:val="007215E2"/>
    <w:rsid w:val="0072168C"/>
    <w:rsid w:val="00721A54"/>
    <w:rsid w:val="00721CE7"/>
    <w:rsid w:val="0072244E"/>
    <w:rsid w:val="00722510"/>
    <w:rsid w:val="007225B3"/>
    <w:rsid w:val="00722790"/>
    <w:rsid w:val="00722850"/>
    <w:rsid w:val="007228A2"/>
    <w:rsid w:val="00722B0A"/>
    <w:rsid w:val="007232F2"/>
    <w:rsid w:val="00723530"/>
    <w:rsid w:val="007235BB"/>
    <w:rsid w:val="00723E66"/>
    <w:rsid w:val="00723FFA"/>
    <w:rsid w:val="00724099"/>
    <w:rsid w:val="007240E8"/>
    <w:rsid w:val="0072439C"/>
    <w:rsid w:val="007243E1"/>
    <w:rsid w:val="007243EE"/>
    <w:rsid w:val="007245C5"/>
    <w:rsid w:val="007248F0"/>
    <w:rsid w:val="00724937"/>
    <w:rsid w:val="00724BCD"/>
    <w:rsid w:val="00724C7D"/>
    <w:rsid w:val="0072506E"/>
    <w:rsid w:val="0072519C"/>
    <w:rsid w:val="00725566"/>
    <w:rsid w:val="00725784"/>
    <w:rsid w:val="0072580D"/>
    <w:rsid w:val="00725A78"/>
    <w:rsid w:val="00725DA9"/>
    <w:rsid w:val="00725FF5"/>
    <w:rsid w:val="007267A8"/>
    <w:rsid w:val="007267A9"/>
    <w:rsid w:val="00726AF9"/>
    <w:rsid w:val="00726EAD"/>
    <w:rsid w:val="00726FBD"/>
    <w:rsid w:val="007271F7"/>
    <w:rsid w:val="007277CB"/>
    <w:rsid w:val="00730192"/>
    <w:rsid w:val="007303D8"/>
    <w:rsid w:val="0073048A"/>
    <w:rsid w:val="0073084A"/>
    <w:rsid w:val="00731301"/>
    <w:rsid w:val="0073145F"/>
    <w:rsid w:val="00731688"/>
    <w:rsid w:val="00731C1A"/>
    <w:rsid w:val="00731C3F"/>
    <w:rsid w:val="00731D05"/>
    <w:rsid w:val="00731D18"/>
    <w:rsid w:val="0073269F"/>
    <w:rsid w:val="00732723"/>
    <w:rsid w:val="0073275F"/>
    <w:rsid w:val="00732E96"/>
    <w:rsid w:val="0073327E"/>
    <w:rsid w:val="0073353F"/>
    <w:rsid w:val="007337B4"/>
    <w:rsid w:val="007339BE"/>
    <w:rsid w:val="00733A96"/>
    <w:rsid w:val="00733F74"/>
    <w:rsid w:val="00734958"/>
    <w:rsid w:val="00734A7C"/>
    <w:rsid w:val="00735346"/>
    <w:rsid w:val="00735447"/>
    <w:rsid w:val="00735538"/>
    <w:rsid w:val="007355DD"/>
    <w:rsid w:val="0073577D"/>
    <w:rsid w:val="00735A91"/>
    <w:rsid w:val="00735AD3"/>
    <w:rsid w:val="00735C33"/>
    <w:rsid w:val="0073630A"/>
    <w:rsid w:val="007363A9"/>
    <w:rsid w:val="007366B8"/>
    <w:rsid w:val="00736706"/>
    <w:rsid w:val="00736D2B"/>
    <w:rsid w:val="00736D3D"/>
    <w:rsid w:val="00736F19"/>
    <w:rsid w:val="00736FBF"/>
    <w:rsid w:val="0073722C"/>
    <w:rsid w:val="00737367"/>
    <w:rsid w:val="00737C0D"/>
    <w:rsid w:val="00740153"/>
    <w:rsid w:val="0074015F"/>
    <w:rsid w:val="007401CD"/>
    <w:rsid w:val="00740418"/>
    <w:rsid w:val="00740486"/>
    <w:rsid w:val="007407FE"/>
    <w:rsid w:val="007415BF"/>
    <w:rsid w:val="007415DE"/>
    <w:rsid w:val="007418D7"/>
    <w:rsid w:val="00741D7D"/>
    <w:rsid w:val="00741D86"/>
    <w:rsid w:val="00741D94"/>
    <w:rsid w:val="0074216B"/>
    <w:rsid w:val="007422DB"/>
    <w:rsid w:val="0074244A"/>
    <w:rsid w:val="0074293B"/>
    <w:rsid w:val="00742AB2"/>
    <w:rsid w:val="00742E45"/>
    <w:rsid w:val="00742F5C"/>
    <w:rsid w:val="007430F3"/>
    <w:rsid w:val="007432F6"/>
    <w:rsid w:val="00743379"/>
    <w:rsid w:val="007436DA"/>
    <w:rsid w:val="00743947"/>
    <w:rsid w:val="0074398E"/>
    <w:rsid w:val="00743E38"/>
    <w:rsid w:val="0074455C"/>
    <w:rsid w:val="0074468A"/>
    <w:rsid w:val="007446E1"/>
    <w:rsid w:val="007447AF"/>
    <w:rsid w:val="00744AFB"/>
    <w:rsid w:val="0074501E"/>
    <w:rsid w:val="007451BB"/>
    <w:rsid w:val="007452C7"/>
    <w:rsid w:val="007455DD"/>
    <w:rsid w:val="0074580C"/>
    <w:rsid w:val="00745D6D"/>
    <w:rsid w:val="00745E06"/>
    <w:rsid w:val="00746137"/>
    <w:rsid w:val="0074627F"/>
    <w:rsid w:val="007464CF"/>
    <w:rsid w:val="00746532"/>
    <w:rsid w:val="00746835"/>
    <w:rsid w:val="007469D2"/>
    <w:rsid w:val="00746EC6"/>
    <w:rsid w:val="0074707D"/>
    <w:rsid w:val="007472C1"/>
    <w:rsid w:val="00747416"/>
    <w:rsid w:val="00750337"/>
    <w:rsid w:val="0075069B"/>
    <w:rsid w:val="00750816"/>
    <w:rsid w:val="00750D25"/>
    <w:rsid w:val="00750D51"/>
    <w:rsid w:val="00750E78"/>
    <w:rsid w:val="0075187B"/>
    <w:rsid w:val="00751DB6"/>
    <w:rsid w:val="00752287"/>
    <w:rsid w:val="00752341"/>
    <w:rsid w:val="0075255A"/>
    <w:rsid w:val="007526B1"/>
    <w:rsid w:val="00752D36"/>
    <w:rsid w:val="00752DF0"/>
    <w:rsid w:val="00752E6D"/>
    <w:rsid w:val="00752F37"/>
    <w:rsid w:val="00753065"/>
    <w:rsid w:val="00753236"/>
    <w:rsid w:val="00753252"/>
    <w:rsid w:val="00753867"/>
    <w:rsid w:val="00753BC2"/>
    <w:rsid w:val="00753CA1"/>
    <w:rsid w:val="00754024"/>
    <w:rsid w:val="00754117"/>
    <w:rsid w:val="00754B4E"/>
    <w:rsid w:val="00754C6A"/>
    <w:rsid w:val="007552DE"/>
    <w:rsid w:val="007555CB"/>
    <w:rsid w:val="007557F3"/>
    <w:rsid w:val="00755C81"/>
    <w:rsid w:val="00755C98"/>
    <w:rsid w:val="00755F9A"/>
    <w:rsid w:val="00755FF9"/>
    <w:rsid w:val="007562E0"/>
    <w:rsid w:val="007568A2"/>
    <w:rsid w:val="00756D2B"/>
    <w:rsid w:val="00756DC2"/>
    <w:rsid w:val="00757478"/>
    <w:rsid w:val="007575D7"/>
    <w:rsid w:val="0075763E"/>
    <w:rsid w:val="00757656"/>
    <w:rsid w:val="00757724"/>
    <w:rsid w:val="00757865"/>
    <w:rsid w:val="007578B2"/>
    <w:rsid w:val="00757CE1"/>
    <w:rsid w:val="00757CFA"/>
    <w:rsid w:val="007600FE"/>
    <w:rsid w:val="00760359"/>
    <w:rsid w:val="00760443"/>
    <w:rsid w:val="00760ADC"/>
    <w:rsid w:val="00760B67"/>
    <w:rsid w:val="00760E24"/>
    <w:rsid w:val="00760F4E"/>
    <w:rsid w:val="007610C9"/>
    <w:rsid w:val="0076136A"/>
    <w:rsid w:val="007616AD"/>
    <w:rsid w:val="00761D07"/>
    <w:rsid w:val="00761D83"/>
    <w:rsid w:val="00761F0A"/>
    <w:rsid w:val="00761F83"/>
    <w:rsid w:val="00762164"/>
    <w:rsid w:val="007622F7"/>
    <w:rsid w:val="00762812"/>
    <w:rsid w:val="00762892"/>
    <w:rsid w:val="00762A74"/>
    <w:rsid w:val="00762BCC"/>
    <w:rsid w:val="00762DD0"/>
    <w:rsid w:val="00762E00"/>
    <w:rsid w:val="00763330"/>
    <w:rsid w:val="0076367B"/>
    <w:rsid w:val="00763BE4"/>
    <w:rsid w:val="00763D55"/>
    <w:rsid w:val="00763E6E"/>
    <w:rsid w:val="0076405A"/>
    <w:rsid w:val="00764370"/>
    <w:rsid w:val="00764410"/>
    <w:rsid w:val="0076441B"/>
    <w:rsid w:val="00764736"/>
    <w:rsid w:val="00764892"/>
    <w:rsid w:val="00764E2B"/>
    <w:rsid w:val="00765164"/>
    <w:rsid w:val="007651F3"/>
    <w:rsid w:val="007655E4"/>
    <w:rsid w:val="00765687"/>
    <w:rsid w:val="007656AB"/>
    <w:rsid w:val="007657C1"/>
    <w:rsid w:val="00765BD1"/>
    <w:rsid w:val="0076602B"/>
    <w:rsid w:val="007665F7"/>
    <w:rsid w:val="0076664F"/>
    <w:rsid w:val="00766D5B"/>
    <w:rsid w:val="00767299"/>
    <w:rsid w:val="0076773E"/>
    <w:rsid w:val="0076786B"/>
    <w:rsid w:val="00767B55"/>
    <w:rsid w:val="00767CDA"/>
    <w:rsid w:val="00767DB2"/>
    <w:rsid w:val="00767DB8"/>
    <w:rsid w:val="00767EF6"/>
    <w:rsid w:val="00770116"/>
    <w:rsid w:val="00770333"/>
    <w:rsid w:val="00770588"/>
    <w:rsid w:val="007706E7"/>
    <w:rsid w:val="00770979"/>
    <w:rsid w:val="00770A52"/>
    <w:rsid w:val="00770ADE"/>
    <w:rsid w:val="00770BC9"/>
    <w:rsid w:val="00770D94"/>
    <w:rsid w:val="00770E66"/>
    <w:rsid w:val="007712C0"/>
    <w:rsid w:val="00771673"/>
    <w:rsid w:val="00771756"/>
    <w:rsid w:val="00771E0D"/>
    <w:rsid w:val="00771E39"/>
    <w:rsid w:val="00772079"/>
    <w:rsid w:val="0077212F"/>
    <w:rsid w:val="00772995"/>
    <w:rsid w:val="007729D8"/>
    <w:rsid w:val="00772A82"/>
    <w:rsid w:val="00772EDE"/>
    <w:rsid w:val="007730E8"/>
    <w:rsid w:val="0077365C"/>
    <w:rsid w:val="007739D7"/>
    <w:rsid w:val="00773EF6"/>
    <w:rsid w:val="00773F8E"/>
    <w:rsid w:val="007741D8"/>
    <w:rsid w:val="00774ADC"/>
    <w:rsid w:val="0077542B"/>
    <w:rsid w:val="007755C5"/>
    <w:rsid w:val="00775862"/>
    <w:rsid w:val="00775B04"/>
    <w:rsid w:val="00775B2E"/>
    <w:rsid w:val="00775BB0"/>
    <w:rsid w:val="00775D16"/>
    <w:rsid w:val="00776013"/>
    <w:rsid w:val="00776644"/>
    <w:rsid w:val="00776849"/>
    <w:rsid w:val="0077693B"/>
    <w:rsid w:val="00776B6F"/>
    <w:rsid w:val="00776C0A"/>
    <w:rsid w:val="00776C3B"/>
    <w:rsid w:val="00777155"/>
    <w:rsid w:val="0077755F"/>
    <w:rsid w:val="00777D47"/>
    <w:rsid w:val="007801C9"/>
    <w:rsid w:val="00780498"/>
    <w:rsid w:val="00780697"/>
    <w:rsid w:val="00780B58"/>
    <w:rsid w:val="00780C1D"/>
    <w:rsid w:val="00780C3C"/>
    <w:rsid w:val="007810FF"/>
    <w:rsid w:val="00781754"/>
    <w:rsid w:val="007818A0"/>
    <w:rsid w:val="007818D3"/>
    <w:rsid w:val="0078192F"/>
    <w:rsid w:val="00781A84"/>
    <w:rsid w:val="007823B2"/>
    <w:rsid w:val="00782608"/>
    <w:rsid w:val="007828BD"/>
    <w:rsid w:val="007829C0"/>
    <w:rsid w:val="00782B50"/>
    <w:rsid w:val="00782E6B"/>
    <w:rsid w:val="00782EE4"/>
    <w:rsid w:val="0078329C"/>
    <w:rsid w:val="00783315"/>
    <w:rsid w:val="007838AF"/>
    <w:rsid w:val="007840EB"/>
    <w:rsid w:val="0078411D"/>
    <w:rsid w:val="00784132"/>
    <w:rsid w:val="00784170"/>
    <w:rsid w:val="00784B2B"/>
    <w:rsid w:val="00785188"/>
    <w:rsid w:val="007851AD"/>
    <w:rsid w:val="007851C9"/>
    <w:rsid w:val="0078557B"/>
    <w:rsid w:val="00785FD4"/>
    <w:rsid w:val="0078609A"/>
    <w:rsid w:val="0078610E"/>
    <w:rsid w:val="00786481"/>
    <w:rsid w:val="00786683"/>
    <w:rsid w:val="0078668D"/>
    <w:rsid w:val="007867AA"/>
    <w:rsid w:val="00786B35"/>
    <w:rsid w:val="00786B6E"/>
    <w:rsid w:val="00787041"/>
    <w:rsid w:val="0078737C"/>
    <w:rsid w:val="0078740A"/>
    <w:rsid w:val="007878D0"/>
    <w:rsid w:val="00790408"/>
    <w:rsid w:val="00790676"/>
    <w:rsid w:val="007906D2"/>
    <w:rsid w:val="00790CB2"/>
    <w:rsid w:val="00790D0E"/>
    <w:rsid w:val="00790FFA"/>
    <w:rsid w:val="0079109B"/>
    <w:rsid w:val="0079119E"/>
    <w:rsid w:val="007912B5"/>
    <w:rsid w:val="00791384"/>
    <w:rsid w:val="007915EA"/>
    <w:rsid w:val="007917F4"/>
    <w:rsid w:val="00792232"/>
    <w:rsid w:val="0079247C"/>
    <w:rsid w:val="007925B0"/>
    <w:rsid w:val="00793155"/>
    <w:rsid w:val="00793353"/>
    <w:rsid w:val="007939E2"/>
    <w:rsid w:val="007939EA"/>
    <w:rsid w:val="00793A82"/>
    <w:rsid w:val="00793AFF"/>
    <w:rsid w:val="00793BFB"/>
    <w:rsid w:val="00793D41"/>
    <w:rsid w:val="00793E2B"/>
    <w:rsid w:val="00793EA0"/>
    <w:rsid w:val="007942A9"/>
    <w:rsid w:val="00794944"/>
    <w:rsid w:val="00794C2E"/>
    <w:rsid w:val="00795164"/>
    <w:rsid w:val="00795191"/>
    <w:rsid w:val="0079552D"/>
    <w:rsid w:val="007956F3"/>
    <w:rsid w:val="00795828"/>
    <w:rsid w:val="00795854"/>
    <w:rsid w:val="00795971"/>
    <w:rsid w:val="00795A17"/>
    <w:rsid w:val="00795BAF"/>
    <w:rsid w:val="00795F24"/>
    <w:rsid w:val="0079685A"/>
    <w:rsid w:val="00796939"/>
    <w:rsid w:val="007969F6"/>
    <w:rsid w:val="00796EBB"/>
    <w:rsid w:val="0079714F"/>
    <w:rsid w:val="007972D0"/>
    <w:rsid w:val="00797585"/>
    <w:rsid w:val="00797601"/>
    <w:rsid w:val="00797894"/>
    <w:rsid w:val="0079790C"/>
    <w:rsid w:val="00797929"/>
    <w:rsid w:val="00797946"/>
    <w:rsid w:val="00797A4E"/>
    <w:rsid w:val="00797D08"/>
    <w:rsid w:val="00797F7D"/>
    <w:rsid w:val="007A00A4"/>
    <w:rsid w:val="007A0D69"/>
    <w:rsid w:val="007A1D10"/>
    <w:rsid w:val="007A1DEA"/>
    <w:rsid w:val="007A1E16"/>
    <w:rsid w:val="007A1F87"/>
    <w:rsid w:val="007A22DD"/>
    <w:rsid w:val="007A28D5"/>
    <w:rsid w:val="007A2993"/>
    <w:rsid w:val="007A29B8"/>
    <w:rsid w:val="007A2F14"/>
    <w:rsid w:val="007A35E7"/>
    <w:rsid w:val="007A37AC"/>
    <w:rsid w:val="007A3CAD"/>
    <w:rsid w:val="007A3EF1"/>
    <w:rsid w:val="007A406D"/>
    <w:rsid w:val="007A43D4"/>
    <w:rsid w:val="007A43E3"/>
    <w:rsid w:val="007A48E5"/>
    <w:rsid w:val="007A4927"/>
    <w:rsid w:val="007A4A1F"/>
    <w:rsid w:val="007A4BC6"/>
    <w:rsid w:val="007A4ECE"/>
    <w:rsid w:val="007A4F3F"/>
    <w:rsid w:val="007A51E6"/>
    <w:rsid w:val="007A5267"/>
    <w:rsid w:val="007A535A"/>
    <w:rsid w:val="007A5D89"/>
    <w:rsid w:val="007A62B0"/>
    <w:rsid w:val="007A63C3"/>
    <w:rsid w:val="007A65CB"/>
    <w:rsid w:val="007A66D0"/>
    <w:rsid w:val="007A6B77"/>
    <w:rsid w:val="007A6D00"/>
    <w:rsid w:val="007A71DB"/>
    <w:rsid w:val="007A7250"/>
    <w:rsid w:val="007A7742"/>
    <w:rsid w:val="007A77C6"/>
    <w:rsid w:val="007A78DA"/>
    <w:rsid w:val="007A7C70"/>
    <w:rsid w:val="007A7CC8"/>
    <w:rsid w:val="007A7DC0"/>
    <w:rsid w:val="007B0136"/>
    <w:rsid w:val="007B0342"/>
    <w:rsid w:val="007B0A52"/>
    <w:rsid w:val="007B0ADA"/>
    <w:rsid w:val="007B0C0D"/>
    <w:rsid w:val="007B0D24"/>
    <w:rsid w:val="007B0E5A"/>
    <w:rsid w:val="007B10EC"/>
    <w:rsid w:val="007B1241"/>
    <w:rsid w:val="007B13F3"/>
    <w:rsid w:val="007B1425"/>
    <w:rsid w:val="007B1818"/>
    <w:rsid w:val="007B18F9"/>
    <w:rsid w:val="007B1F10"/>
    <w:rsid w:val="007B240B"/>
    <w:rsid w:val="007B2B92"/>
    <w:rsid w:val="007B2B9A"/>
    <w:rsid w:val="007B2DCB"/>
    <w:rsid w:val="007B30E4"/>
    <w:rsid w:val="007B311B"/>
    <w:rsid w:val="007B34C0"/>
    <w:rsid w:val="007B3591"/>
    <w:rsid w:val="007B39E7"/>
    <w:rsid w:val="007B3BC1"/>
    <w:rsid w:val="007B3ECD"/>
    <w:rsid w:val="007B3EFA"/>
    <w:rsid w:val="007B43AE"/>
    <w:rsid w:val="007B4559"/>
    <w:rsid w:val="007B49D5"/>
    <w:rsid w:val="007B4C46"/>
    <w:rsid w:val="007B5505"/>
    <w:rsid w:val="007B55A5"/>
    <w:rsid w:val="007B5A85"/>
    <w:rsid w:val="007B5BC3"/>
    <w:rsid w:val="007B5D1C"/>
    <w:rsid w:val="007B5DE9"/>
    <w:rsid w:val="007B6021"/>
    <w:rsid w:val="007B665A"/>
    <w:rsid w:val="007B66E5"/>
    <w:rsid w:val="007B682B"/>
    <w:rsid w:val="007B6D26"/>
    <w:rsid w:val="007B6D55"/>
    <w:rsid w:val="007B7056"/>
    <w:rsid w:val="007B728C"/>
    <w:rsid w:val="007B7498"/>
    <w:rsid w:val="007B758B"/>
    <w:rsid w:val="007B7715"/>
    <w:rsid w:val="007B785A"/>
    <w:rsid w:val="007B79C0"/>
    <w:rsid w:val="007B79E6"/>
    <w:rsid w:val="007B7A8E"/>
    <w:rsid w:val="007B7BC5"/>
    <w:rsid w:val="007B7FE6"/>
    <w:rsid w:val="007C00DD"/>
    <w:rsid w:val="007C0134"/>
    <w:rsid w:val="007C031C"/>
    <w:rsid w:val="007C0886"/>
    <w:rsid w:val="007C08B6"/>
    <w:rsid w:val="007C09EA"/>
    <w:rsid w:val="007C1235"/>
    <w:rsid w:val="007C131B"/>
    <w:rsid w:val="007C187B"/>
    <w:rsid w:val="007C1D6F"/>
    <w:rsid w:val="007C2429"/>
    <w:rsid w:val="007C26D1"/>
    <w:rsid w:val="007C2719"/>
    <w:rsid w:val="007C325E"/>
    <w:rsid w:val="007C360F"/>
    <w:rsid w:val="007C371F"/>
    <w:rsid w:val="007C395D"/>
    <w:rsid w:val="007C3D09"/>
    <w:rsid w:val="007C3D2C"/>
    <w:rsid w:val="007C3EB0"/>
    <w:rsid w:val="007C41B1"/>
    <w:rsid w:val="007C4212"/>
    <w:rsid w:val="007C4296"/>
    <w:rsid w:val="007C45A1"/>
    <w:rsid w:val="007C46B0"/>
    <w:rsid w:val="007C4C6B"/>
    <w:rsid w:val="007C4D04"/>
    <w:rsid w:val="007C4F58"/>
    <w:rsid w:val="007C5051"/>
    <w:rsid w:val="007C53B2"/>
    <w:rsid w:val="007C54C2"/>
    <w:rsid w:val="007C56A8"/>
    <w:rsid w:val="007C56D5"/>
    <w:rsid w:val="007C5A0C"/>
    <w:rsid w:val="007C5AC1"/>
    <w:rsid w:val="007C5BAE"/>
    <w:rsid w:val="007C5BDF"/>
    <w:rsid w:val="007C5C40"/>
    <w:rsid w:val="007C5F74"/>
    <w:rsid w:val="007C6139"/>
    <w:rsid w:val="007C6563"/>
    <w:rsid w:val="007C66EB"/>
    <w:rsid w:val="007C6A56"/>
    <w:rsid w:val="007C6B69"/>
    <w:rsid w:val="007C6C55"/>
    <w:rsid w:val="007C7006"/>
    <w:rsid w:val="007C708A"/>
    <w:rsid w:val="007C7231"/>
    <w:rsid w:val="007C73DF"/>
    <w:rsid w:val="007C7582"/>
    <w:rsid w:val="007C77EB"/>
    <w:rsid w:val="007C78D2"/>
    <w:rsid w:val="007C7958"/>
    <w:rsid w:val="007C7975"/>
    <w:rsid w:val="007C7AE3"/>
    <w:rsid w:val="007C7C74"/>
    <w:rsid w:val="007D04FD"/>
    <w:rsid w:val="007D05F7"/>
    <w:rsid w:val="007D0678"/>
    <w:rsid w:val="007D099E"/>
    <w:rsid w:val="007D0C38"/>
    <w:rsid w:val="007D0FF7"/>
    <w:rsid w:val="007D1335"/>
    <w:rsid w:val="007D1379"/>
    <w:rsid w:val="007D1645"/>
    <w:rsid w:val="007D1B58"/>
    <w:rsid w:val="007D1E15"/>
    <w:rsid w:val="007D1EE8"/>
    <w:rsid w:val="007D2D25"/>
    <w:rsid w:val="007D3C5B"/>
    <w:rsid w:val="007D3CDA"/>
    <w:rsid w:val="007D3DB0"/>
    <w:rsid w:val="007D477B"/>
    <w:rsid w:val="007D4BD7"/>
    <w:rsid w:val="007D4D31"/>
    <w:rsid w:val="007D4E45"/>
    <w:rsid w:val="007D5C6A"/>
    <w:rsid w:val="007D5D61"/>
    <w:rsid w:val="007D5F42"/>
    <w:rsid w:val="007D5F49"/>
    <w:rsid w:val="007D6767"/>
    <w:rsid w:val="007D6895"/>
    <w:rsid w:val="007D6C3C"/>
    <w:rsid w:val="007D6D03"/>
    <w:rsid w:val="007D6EE2"/>
    <w:rsid w:val="007D6FF7"/>
    <w:rsid w:val="007D7217"/>
    <w:rsid w:val="007D791C"/>
    <w:rsid w:val="007D79AD"/>
    <w:rsid w:val="007D7BC3"/>
    <w:rsid w:val="007D7C3D"/>
    <w:rsid w:val="007D7E96"/>
    <w:rsid w:val="007D7EE7"/>
    <w:rsid w:val="007E03CF"/>
    <w:rsid w:val="007E05FE"/>
    <w:rsid w:val="007E0779"/>
    <w:rsid w:val="007E0BC0"/>
    <w:rsid w:val="007E0E03"/>
    <w:rsid w:val="007E0FEE"/>
    <w:rsid w:val="007E12D6"/>
    <w:rsid w:val="007E12D9"/>
    <w:rsid w:val="007E12FF"/>
    <w:rsid w:val="007E1336"/>
    <w:rsid w:val="007E143F"/>
    <w:rsid w:val="007E1FC5"/>
    <w:rsid w:val="007E201E"/>
    <w:rsid w:val="007E20DA"/>
    <w:rsid w:val="007E273F"/>
    <w:rsid w:val="007E2B2D"/>
    <w:rsid w:val="007E2C89"/>
    <w:rsid w:val="007E2D16"/>
    <w:rsid w:val="007E30C7"/>
    <w:rsid w:val="007E393D"/>
    <w:rsid w:val="007E3C07"/>
    <w:rsid w:val="007E4812"/>
    <w:rsid w:val="007E4940"/>
    <w:rsid w:val="007E4B40"/>
    <w:rsid w:val="007E4E0C"/>
    <w:rsid w:val="007E5155"/>
    <w:rsid w:val="007E52E0"/>
    <w:rsid w:val="007E5D37"/>
    <w:rsid w:val="007E6493"/>
    <w:rsid w:val="007E64D6"/>
    <w:rsid w:val="007E6B94"/>
    <w:rsid w:val="007E6C78"/>
    <w:rsid w:val="007E6EAE"/>
    <w:rsid w:val="007E6ECD"/>
    <w:rsid w:val="007E704D"/>
    <w:rsid w:val="007E788F"/>
    <w:rsid w:val="007E7C59"/>
    <w:rsid w:val="007E7CD0"/>
    <w:rsid w:val="007F02FD"/>
    <w:rsid w:val="007F0558"/>
    <w:rsid w:val="007F065F"/>
    <w:rsid w:val="007F0700"/>
    <w:rsid w:val="007F0FA9"/>
    <w:rsid w:val="007F1025"/>
    <w:rsid w:val="007F1117"/>
    <w:rsid w:val="007F1603"/>
    <w:rsid w:val="007F1B58"/>
    <w:rsid w:val="007F1C29"/>
    <w:rsid w:val="007F1CE4"/>
    <w:rsid w:val="007F2017"/>
    <w:rsid w:val="007F204B"/>
    <w:rsid w:val="007F2380"/>
    <w:rsid w:val="007F2544"/>
    <w:rsid w:val="007F29A9"/>
    <w:rsid w:val="007F2A05"/>
    <w:rsid w:val="007F2E82"/>
    <w:rsid w:val="007F318A"/>
    <w:rsid w:val="007F3318"/>
    <w:rsid w:val="007F37F8"/>
    <w:rsid w:val="007F3845"/>
    <w:rsid w:val="007F39C6"/>
    <w:rsid w:val="007F3C77"/>
    <w:rsid w:val="007F3D8E"/>
    <w:rsid w:val="007F3ED2"/>
    <w:rsid w:val="007F4041"/>
    <w:rsid w:val="007F4327"/>
    <w:rsid w:val="007F4BEF"/>
    <w:rsid w:val="007F4C92"/>
    <w:rsid w:val="007F4E1E"/>
    <w:rsid w:val="007F4F3C"/>
    <w:rsid w:val="007F4F5F"/>
    <w:rsid w:val="007F5144"/>
    <w:rsid w:val="007F565D"/>
    <w:rsid w:val="007F56C1"/>
    <w:rsid w:val="007F5A0D"/>
    <w:rsid w:val="007F5EA8"/>
    <w:rsid w:val="007F627F"/>
    <w:rsid w:val="007F64F2"/>
    <w:rsid w:val="007F6788"/>
    <w:rsid w:val="007F6E81"/>
    <w:rsid w:val="007F7055"/>
    <w:rsid w:val="007F71C8"/>
    <w:rsid w:val="007F7622"/>
    <w:rsid w:val="007F79C6"/>
    <w:rsid w:val="007F7DD8"/>
    <w:rsid w:val="00800007"/>
    <w:rsid w:val="00800177"/>
    <w:rsid w:val="008005F6"/>
    <w:rsid w:val="00800747"/>
    <w:rsid w:val="0080090C"/>
    <w:rsid w:val="00800AD7"/>
    <w:rsid w:val="00800F50"/>
    <w:rsid w:val="00801050"/>
    <w:rsid w:val="0080116B"/>
    <w:rsid w:val="008011DA"/>
    <w:rsid w:val="00801BBF"/>
    <w:rsid w:val="00801C66"/>
    <w:rsid w:val="00801EEB"/>
    <w:rsid w:val="00801EFE"/>
    <w:rsid w:val="008021D7"/>
    <w:rsid w:val="00802341"/>
    <w:rsid w:val="00802374"/>
    <w:rsid w:val="00802430"/>
    <w:rsid w:val="008024F8"/>
    <w:rsid w:val="008028A5"/>
    <w:rsid w:val="00803600"/>
    <w:rsid w:val="0080390E"/>
    <w:rsid w:val="00803DAE"/>
    <w:rsid w:val="00803DC7"/>
    <w:rsid w:val="00804119"/>
    <w:rsid w:val="0080424E"/>
    <w:rsid w:val="0080473C"/>
    <w:rsid w:val="00804773"/>
    <w:rsid w:val="0080492B"/>
    <w:rsid w:val="008049D9"/>
    <w:rsid w:val="00804B8B"/>
    <w:rsid w:val="0080527B"/>
    <w:rsid w:val="008054EB"/>
    <w:rsid w:val="00805594"/>
    <w:rsid w:val="00805724"/>
    <w:rsid w:val="00805D7F"/>
    <w:rsid w:val="00806266"/>
    <w:rsid w:val="008062AF"/>
    <w:rsid w:val="008063C5"/>
    <w:rsid w:val="008065A0"/>
    <w:rsid w:val="00806719"/>
    <w:rsid w:val="008070AB"/>
    <w:rsid w:val="0080748B"/>
    <w:rsid w:val="008077F1"/>
    <w:rsid w:val="00807A35"/>
    <w:rsid w:val="00807C07"/>
    <w:rsid w:val="00807F9F"/>
    <w:rsid w:val="00810186"/>
    <w:rsid w:val="00810562"/>
    <w:rsid w:val="00811296"/>
    <w:rsid w:val="00812192"/>
    <w:rsid w:val="00812D1F"/>
    <w:rsid w:val="00812D7C"/>
    <w:rsid w:val="00812ECD"/>
    <w:rsid w:val="00812F58"/>
    <w:rsid w:val="00813595"/>
    <w:rsid w:val="008137E8"/>
    <w:rsid w:val="00813B44"/>
    <w:rsid w:val="00813C93"/>
    <w:rsid w:val="00814AF1"/>
    <w:rsid w:val="00814C78"/>
    <w:rsid w:val="00814C94"/>
    <w:rsid w:val="00814E58"/>
    <w:rsid w:val="00815090"/>
    <w:rsid w:val="00815109"/>
    <w:rsid w:val="008157A6"/>
    <w:rsid w:val="008159CF"/>
    <w:rsid w:val="008159FF"/>
    <w:rsid w:val="00815DE4"/>
    <w:rsid w:val="00815F78"/>
    <w:rsid w:val="0081620F"/>
    <w:rsid w:val="0081673F"/>
    <w:rsid w:val="00816B34"/>
    <w:rsid w:val="00816E05"/>
    <w:rsid w:val="00816F12"/>
    <w:rsid w:val="00817846"/>
    <w:rsid w:val="008179F0"/>
    <w:rsid w:val="00817BFB"/>
    <w:rsid w:val="00817E7F"/>
    <w:rsid w:val="00820149"/>
    <w:rsid w:val="00820534"/>
    <w:rsid w:val="0082078F"/>
    <w:rsid w:val="00820AA9"/>
    <w:rsid w:val="00820DB7"/>
    <w:rsid w:val="00820E2B"/>
    <w:rsid w:val="00820EEA"/>
    <w:rsid w:val="00820F51"/>
    <w:rsid w:val="00820F7F"/>
    <w:rsid w:val="008210B6"/>
    <w:rsid w:val="008217F1"/>
    <w:rsid w:val="00821886"/>
    <w:rsid w:val="00821992"/>
    <w:rsid w:val="00821A3B"/>
    <w:rsid w:val="00821AB9"/>
    <w:rsid w:val="00821E42"/>
    <w:rsid w:val="0082211F"/>
    <w:rsid w:val="00822482"/>
    <w:rsid w:val="00822DA8"/>
    <w:rsid w:val="00822EE8"/>
    <w:rsid w:val="00822F42"/>
    <w:rsid w:val="0082348F"/>
    <w:rsid w:val="008236FE"/>
    <w:rsid w:val="00823BB2"/>
    <w:rsid w:val="00823BB4"/>
    <w:rsid w:val="00823E96"/>
    <w:rsid w:val="008245D4"/>
    <w:rsid w:val="00824E24"/>
    <w:rsid w:val="00824E95"/>
    <w:rsid w:val="00825440"/>
    <w:rsid w:val="008254A2"/>
    <w:rsid w:val="008258F1"/>
    <w:rsid w:val="00825CB7"/>
    <w:rsid w:val="00826533"/>
    <w:rsid w:val="008265C1"/>
    <w:rsid w:val="0082666E"/>
    <w:rsid w:val="00826D51"/>
    <w:rsid w:val="00826D8E"/>
    <w:rsid w:val="00827062"/>
    <w:rsid w:val="0082707C"/>
    <w:rsid w:val="008270F3"/>
    <w:rsid w:val="0082710A"/>
    <w:rsid w:val="00827208"/>
    <w:rsid w:val="00827F66"/>
    <w:rsid w:val="00827FC0"/>
    <w:rsid w:val="00830304"/>
    <w:rsid w:val="008306A1"/>
    <w:rsid w:val="0083083B"/>
    <w:rsid w:val="008310D7"/>
    <w:rsid w:val="00831584"/>
    <w:rsid w:val="008315B1"/>
    <w:rsid w:val="00831696"/>
    <w:rsid w:val="0083189E"/>
    <w:rsid w:val="008319C2"/>
    <w:rsid w:val="00831A73"/>
    <w:rsid w:val="00831BCC"/>
    <w:rsid w:val="0083241C"/>
    <w:rsid w:val="00832622"/>
    <w:rsid w:val="00832847"/>
    <w:rsid w:val="00833470"/>
    <w:rsid w:val="00833479"/>
    <w:rsid w:val="008334D6"/>
    <w:rsid w:val="0083360C"/>
    <w:rsid w:val="008336C0"/>
    <w:rsid w:val="008339BB"/>
    <w:rsid w:val="008339E1"/>
    <w:rsid w:val="00833FCC"/>
    <w:rsid w:val="008344C7"/>
    <w:rsid w:val="00834A7C"/>
    <w:rsid w:val="00834B9B"/>
    <w:rsid w:val="00834C67"/>
    <w:rsid w:val="00834F5C"/>
    <w:rsid w:val="008358D2"/>
    <w:rsid w:val="0083598E"/>
    <w:rsid w:val="00835A41"/>
    <w:rsid w:val="00835EC4"/>
    <w:rsid w:val="008360D6"/>
    <w:rsid w:val="008361E8"/>
    <w:rsid w:val="00836279"/>
    <w:rsid w:val="008365B2"/>
    <w:rsid w:val="00836617"/>
    <w:rsid w:val="00836819"/>
    <w:rsid w:val="008368BF"/>
    <w:rsid w:val="008369E8"/>
    <w:rsid w:val="00836AD3"/>
    <w:rsid w:val="00836BA0"/>
    <w:rsid w:val="00836D52"/>
    <w:rsid w:val="00836E88"/>
    <w:rsid w:val="008377AB"/>
    <w:rsid w:val="008379B0"/>
    <w:rsid w:val="00837CF6"/>
    <w:rsid w:val="00837EFC"/>
    <w:rsid w:val="008401EB"/>
    <w:rsid w:val="008402FE"/>
    <w:rsid w:val="008403A9"/>
    <w:rsid w:val="00840610"/>
    <w:rsid w:val="00840721"/>
    <w:rsid w:val="0084086D"/>
    <w:rsid w:val="00840BB7"/>
    <w:rsid w:val="00840DCA"/>
    <w:rsid w:val="00841C8C"/>
    <w:rsid w:val="00842229"/>
    <w:rsid w:val="00842354"/>
    <w:rsid w:val="0084240E"/>
    <w:rsid w:val="008424E5"/>
    <w:rsid w:val="00842692"/>
    <w:rsid w:val="00842751"/>
    <w:rsid w:val="00842811"/>
    <w:rsid w:val="008428D4"/>
    <w:rsid w:val="00842C41"/>
    <w:rsid w:val="00842F47"/>
    <w:rsid w:val="00843683"/>
    <w:rsid w:val="0084374A"/>
    <w:rsid w:val="00843A9C"/>
    <w:rsid w:val="00844200"/>
    <w:rsid w:val="00844E31"/>
    <w:rsid w:val="008458A7"/>
    <w:rsid w:val="00845B9D"/>
    <w:rsid w:val="00845EDB"/>
    <w:rsid w:val="00845FF3"/>
    <w:rsid w:val="00846129"/>
    <w:rsid w:val="008464B0"/>
    <w:rsid w:val="0084668F"/>
    <w:rsid w:val="00846C2E"/>
    <w:rsid w:val="00847934"/>
    <w:rsid w:val="00847B56"/>
    <w:rsid w:val="00847DB4"/>
    <w:rsid w:val="00850A8E"/>
    <w:rsid w:val="00850F83"/>
    <w:rsid w:val="008512DF"/>
    <w:rsid w:val="00851307"/>
    <w:rsid w:val="008516CA"/>
    <w:rsid w:val="00851AB4"/>
    <w:rsid w:val="00851AF1"/>
    <w:rsid w:val="00851C90"/>
    <w:rsid w:val="00852A9C"/>
    <w:rsid w:val="00852D7A"/>
    <w:rsid w:val="0085318D"/>
    <w:rsid w:val="008533CD"/>
    <w:rsid w:val="0085378A"/>
    <w:rsid w:val="00853977"/>
    <w:rsid w:val="00853F28"/>
    <w:rsid w:val="00854351"/>
    <w:rsid w:val="00854541"/>
    <w:rsid w:val="00854723"/>
    <w:rsid w:val="00854DE2"/>
    <w:rsid w:val="00854DE8"/>
    <w:rsid w:val="008552A2"/>
    <w:rsid w:val="00855478"/>
    <w:rsid w:val="008555D4"/>
    <w:rsid w:val="0085561B"/>
    <w:rsid w:val="00855A4B"/>
    <w:rsid w:val="00855A5D"/>
    <w:rsid w:val="00855F96"/>
    <w:rsid w:val="00856460"/>
    <w:rsid w:val="008569BF"/>
    <w:rsid w:val="00856C5E"/>
    <w:rsid w:val="00856E72"/>
    <w:rsid w:val="00856E90"/>
    <w:rsid w:val="00857361"/>
    <w:rsid w:val="008577EA"/>
    <w:rsid w:val="00857EE7"/>
    <w:rsid w:val="00857F2D"/>
    <w:rsid w:val="00860459"/>
    <w:rsid w:val="00860B4F"/>
    <w:rsid w:val="00860C93"/>
    <w:rsid w:val="00861776"/>
    <w:rsid w:val="00861A85"/>
    <w:rsid w:val="00861AA8"/>
    <w:rsid w:val="00861FA7"/>
    <w:rsid w:val="0086230A"/>
    <w:rsid w:val="008626D4"/>
    <w:rsid w:val="00862760"/>
    <w:rsid w:val="00862910"/>
    <w:rsid w:val="0086293A"/>
    <w:rsid w:val="0086295E"/>
    <w:rsid w:val="0086299C"/>
    <w:rsid w:val="00862B04"/>
    <w:rsid w:val="00862D16"/>
    <w:rsid w:val="00863343"/>
    <w:rsid w:val="00863B57"/>
    <w:rsid w:val="00863DF5"/>
    <w:rsid w:val="00863E93"/>
    <w:rsid w:val="00864177"/>
    <w:rsid w:val="0086419A"/>
    <w:rsid w:val="00864373"/>
    <w:rsid w:val="00864577"/>
    <w:rsid w:val="0086472A"/>
    <w:rsid w:val="0086484B"/>
    <w:rsid w:val="00864AB0"/>
    <w:rsid w:val="0086500F"/>
    <w:rsid w:val="00865148"/>
    <w:rsid w:val="008652D6"/>
    <w:rsid w:val="008654A8"/>
    <w:rsid w:val="0086562D"/>
    <w:rsid w:val="008656EF"/>
    <w:rsid w:val="00865941"/>
    <w:rsid w:val="00865DBE"/>
    <w:rsid w:val="00865DC8"/>
    <w:rsid w:val="00865F92"/>
    <w:rsid w:val="00866C8F"/>
    <w:rsid w:val="00867084"/>
    <w:rsid w:val="008670BD"/>
    <w:rsid w:val="008673DD"/>
    <w:rsid w:val="008673E4"/>
    <w:rsid w:val="008678EC"/>
    <w:rsid w:val="00867C71"/>
    <w:rsid w:val="00870008"/>
    <w:rsid w:val="008700F3"/>
    <w:rsid w:val="0087023B"/>
    <w:rsid w:val="00870318"/>
    <w:rsid w:val="00870626"/>
    <w:rsid w:val="0087071F"/>
    <w:rsid w:val="008707C4"/>
    <w:rsid w:val="00870A89"/>
    <w:rsid w:val="00870FE8"/>
    <w:rsid w:val="008716DD"/>
    <w:rsid w:val="008716FC"/>
    <w:rsid w:val="00871722"/>
    <w:rsid w:val="00871F79"/>
    <w:rsid w:val="008722C6"/>
    <w:rsid w:val="00872433"/>
    <w:rsid w:val="008724F6"/>
    <w:rsid w:val="00873AB1"/>
    <w:rsid w:val="00873B0E"/>
    <w:rsid w:val="00873D27"/>
    <w:rsid w:val="00873D3F"/>
    <w:rsid w:val="00873FA6"/>
    <w:rsid w:val="00874184"/>
    <w:rsid w:val="00874693"/>
    <w:rsid w:val="008746FD"/>
    <w:rsid w:val="00874A15"/>
    <w:rsid w:val="00874F7F"/>
    <w:rsid w:val="00875285"/>
    <w:rsid w:val="0087538B"/>
    <w:rsid w:val="0087559F"/>
    <w:rsid w:val="008755BA"/>
    <w:rsid w:val="0087599E"/>
    <w:rsid w:val="00875C29"/>
    <w:rsid w:val="00876048"/>
    <w:rsid w:val="008760B1"/>
    <w:rsid w:val="00876137"/>
    <w:rsid w:val="00876151"/>
    <w:rsid w:val="008762C3"/>
    <w:rsid w:val="00876605"/>
    <w:rsid w:val="00876DF4"/>
    <w:rsid w:val="00877052"/>
    <w:rsid w:val="008770CE"/>
    <w:rsid w:val="008771FC"/>
    <w:rsid w:val="0087735A"/>
    <w:rsid w:val="008773C8"/>
    <w:rsid w:val="00877537"/>
    <w:rsid w:val="008776B3"/>
    <w:rsid w:val="00877B6F"/>
    <w:rsid w:val="00877D01"/>
    <w:rsid w:val="00877FC3"/>
    <w:rsid w:val="008800CD"/>
    <w:rsid w:val="00880247"/>
    <w:rsid w:val="008805C5"/>
    <w:rsid w:val="008808C9"/>
    <w:rsid w:val="00880E30"/>
    <w:rsid w:val="00880E82"/>
    <w:rsid w:val="00880EBB"/>
    <w:rsid w:val="008811A7"/>
    <w:rsid w:val="00881CEA"/>
    <w:rsid w:val="00881FFA"/>
    <w:rsid w:val="00882224"/>
    <w:rsid w:val="00882A29"/>
    <w:rsid w:val="008831CA"/>
    <w:rsid w:val="0088324B"/>
    <w:rsid w:val="00883963"/>
    <w:rsid w:val="00883A67"/>
    <w:rsid w:val="00883B62"/>
    <w:rsid w:val="00884015"/>
    <w:rsid w:val="0088418B"/>
    <w:rsid w:val="0088421C"/>
    <w:rsid w:val="0088435F"/>
    <w:rsid w:val="008843D2"/>
    <w:rsid w:val="008843FC"/>
    <w:rsid w:val="0088478A"/>
    <w:rsid w:val="0088482C"/>
    <w:rsid w:val="0088488F"/>
    <w:rsid w:val="00884ACF"/>
    <w:rsid w:val="00884BF3"/>
    <w:rsid w:val="00884BFF"/>
    <w:rsid w:val="00884D93"/>
    <w:rsid w:val="00885265"/>
    <w:rsid w:val="00885755"/>
    <w:rsid w:val="00885771"/>
    <w:rsid w:val="00885870"/>
    <w:rsid w:val="008859D2"/>
    <w:rsid w:val="00885E40"/>
    <w:rsid w:val="00886184"/>
    <w:rsid w:val="0088622D"/>
    <w:rsid w:val="00887944"/>
    <w:rsid w:val="00887CD9"/>
    <w:rsid w:val="00890298"/>
    <w:rsid w:val="008902B5"/>
    <w:rsid w:val="0089054D"/>
    <w:rsid w:val="00890939"/>
    <w:rsid w:val="00890A82"/>
    <w:rsid w:val="00890EBC"/>
    <w:rsid w:val="00891229"/>
    <w:rsid w:val="0089173F"/>
    <w:rsid w:val="008917E2"/>
    <w:rsid w:val="008918EA"/>
    <w:rsid w:val="00892703"/>
    <w:rsid w:val="00892840"/>
    <w:rsid w:val="00892949"/>
    <w:rsid w:val="00892A20"/>
    <w:rsid w:val="00892CD0"/>
    <w:rsid w:val="00892FB6"/>
    <w:rsid w:val="00893012"/>
    <w:rsid w:val="00893641"/>
    <w:rsid w:val="00893907"/>
    <w:rsid w:val="00893C52"/>
    <w:rsid w:val="00893C5F"/>
    <w:rsid w:val="00893CEA"/>
    <w:rsid w:val="008940D5"/>
    <w:rsid w:val="008945F1"/>
    <w:rsid w:val="00894882"/>
    <w:rsid w:val="00894A31"/>
    <w:rsid w:val="00895128"/>
    <w:rsid w:val="00895485"/>
    <w:rsid w:val="00895674"/>
    <w:rsid w:val="008956BE"/>
    <w:rsid w:val="008956F9"/>
    <w:rsid w:val="00895F42"/>
    <w:rsid w:val="008961A5"/>
    <w:rsid w:val="008961B5"/>
    <w:rsid w:val="00896587"/>
    <w:rsid w:val="00896800"/>
    <w:rsid w:val="00896B5A"/>
    <w:rsid w:val="00896E86"/>
    <w:rsid w:val="00897055"/>
    <w:rsid w:val="008975BD"/>
    <w:rsid w:val="0089765E"/>
    <w:rsid w:val="00897685"/>
    <w:rsid w:val="00897698"/>
    <w:rsid w:val="008979CB"/>
    <w:rsid w:val="00897A0A"/>
    <w:rsid w:val="00897F15"/>
    <w:rsid w:val="008A03FB"/>
    <w:rsid w:val="008A0782"/>
    <w:rsid w:val="008A08BF"/>
    <w:rsid w:val="008A095D"/>
    <w:rsid w:val="008A0AC4"/>
    <w:rsid w:val="008A0BF9"/>
    <w:rsid w:val="008A109D"/>
    <w:rsid w:val="008A13EE"/>
    <w:rsid w:val="008A179F"/>
    <w:rsid w:val="008A191E"/>
    <w:rsid w:val="008A1A4F"/>
    <w:rsid w:val="008A1B4B"/>
    <w:rsid w:val="008A2157"/>
    <w:rsid w:val="008A21DC"/>
    <w:rsid w:val="008A246B"/>
    <w:rsid w:val="008A2846"/>
    <w:rsid w:val="008A292E"/>
    <w:rsid w:val="008A29A0"/>
    <w:rsid w:val="008A3188"/>
    <w:rsid w:val="008A334D"/>
    <w:rsid w:val="008A3995"/>
    <w:rsid w:val="008A3B00"/>
    <w:rsid w:val="008A3DFF"/>
    <w:rsid w:val="008A4570"/>
    <w:rsid w:val="008A4634"/>
    <w:rsid w:val="008A4671"/>
    <w:rsid w:val="008A47A0"/>
    <w:rsid w:val="008A49EB"/>
    <w:rsid w:val="008A5390"/>
    <w:rsid w:val="008A553E"/>
    <w:rsid w:val="008A55A1"/>
    <w:rsid w:val="008A55BE"/>
    <w:rsid w:val="008A5887"/>
    <w:rsid w:val="008A5B0A"/>
    <w:rsid w:val="008A6291"/>
    <w:rsid w:val="008A64DF"/>
    <w:rsid w:val="008A675A"/>
    <w:rsid w:val="008A67B2"/>
    <w:rsid w:val="008A6830"/>
    <w:rsid w:val="008A6B02"/>
    <w:rsid w:val="008A6ECF"/>
    <w:rsid w:val="008A7071"/>
    <w:rsid w:val="008A7E4D"/>
    <w:rsid w:val="008B0203"/>
    <w:rsid w:val="008B04BF"/>
    <w:rsid w:val="008B050B"/>
    <w:rsid w:val="008B05CB"/>
    <w:rsid w:val="008B0864"/>
    <w:rsid w:val="008B1106"/>
    <w:rsid w:val="008B118E"/>
    <w:rsid w:val="008B123D"/>
    <w:rsid w:val="008B13AB"/>
    <w:rsid w:val="008B175A"/>
    <w:rsid w:val="008B1EE2"/>
    <w:rsid w:val="008B2971"/>
    <w:rsid w:val="008B2988"/>
    <w:rsid w:val="008B2A5A"/>
    <w:rsid w:val="008B2ADA"/>
    <w:rsid w:val="008B2CD2"/>
    <w:rsid w:val="008B348C"/>
    <w:rsid w:val="008B3F2F"/>
    <w:rsid w:val="008B4301"/>
    <w:rsid w:val="008B436A"/>
    <w:rsid w:val="008B4443"/>
    <w:rsid w:val="008B446B"/>
    <w:rsid w:val="008B47D1"/>
    <w:rsid w:val="008B4A84"/>
    <w:rsid w:val="008B4B87"/>
    <w:rsid w:val="008B4EB2"/>
    <w:rsid w:val="008B509E"/>
    <w:rsid w:val="008B542D"/>
    <w:rsid w:val="008B585A"/>
    <w:rsid w:val="008B5AC3"/>
    <w:rsid w:val="008B61CA"/>
    <w:rsid w:val="008B62A3"/>
    <w:rsid w:val="008B639A"/>
    <w:rsid w:val="008B673A"/>
    <w:rsid w:val="008B6A35"/>
    <w:rsid w:val="008B7137"/>
    <w:rsid w:val="008B7753"/>
    <w:rsid w:val="008B78CE"/>
    <w:rsid w:val="008B7B47"/>
    <w:rsid w:val="008B7C69"/>
    <w:rsid w:val="008B7E29"/>
    <w:rsid w:val="008C0103"/>
    <w:rsid w:val="008C019D"/>
    <w:rsid w:val="008C0255"/>
    <w:rsid w:val="008C0997"/>
    <w:rsid w:val="008C0A3C"/>
    <w:rsid w:val="008C0A49"/>
    <w:rsid w:val="008C0DA4"/>
    <w:rsid w:val="008C0FFB"/>
    <w:rsid w:val="008C12D6"/>
    <w:rsid w:val="008C1732"/>
    <w:rsid w:val="008C19B0"/>
    <w:rsid w:val="008C1ED0"/>
    <w:rsid w:val="008C2698"/>
    <w:rsid w:val="008C2820"/>
    <w:rsid w:val="008C2A5A"/>
    <w:rsid w:val="008C2F7B"/>
    <w:rsid w:val="008C307F"/>
    <w:rsid w:val="008C334A"/>
    <w:rsid w:val="008C35C3"/>
    <w:rsid w:val="008C3613"/>
    <w:rsid w:val="008C3985"/>
    <w:rsid w:val="008C39CE"/>
    <w:rsid w:val="008C39CF"/>
    <w:rsid w:val="008C3A03"/>
    <w:rsid w:val="008C3CB7"/>
    <w:rsid w:val="008C3EA6"/>
    <w:rsid w:val="008C4183"/>
    <w:rsid w:val="008C43B9"/>
    <w:rsid w:val="008C4814"/>
    <w:rsid w:val="008C53D0"/>
    <w:rsid w:val="008C5708"/>
    <w:rsid w:val="008C5DA6"/>
    <w:rsid w:val="008C5E4B"/>
    <w:rsid w:val="008C6382"/>
    <w:rsid w:val="008C690F"/>
    <w:rsid w:val="008C6B80"/>
    <w:rsid w:val="008C71D1"/>
    <w:rsid w:val="008C7306"/>
    <w:rsid w:val="008C7413"/>
    <w:rsid w:val="008C7622"/>
    <w:rsid w:val="008C794D"/>
    <w:rsid w:val="008D03FB"/>
    <w:rsid w:val="008D05DE"/>
    <w:rsid w:val="008D0728"/>
    <w:rsid w:val="008D082D"/>
    <w:rsid w:val="008D09F9"/>
    <w:rsid w:val="008D0DB5"/>
    <w:rsid w:val="008D0F89"/>
    <w:rsid w:val="008D108A"/>
    <w:rsid w:val="008D108C"/>
    <w:rsid w:val="008D16B7"/>
    <w:rsid w:val="008D19F6"/>
    <w:rsid w:val="008D1EA1"/>
    <w:rsid w:val="008D2178"/>
    <w:rsid w:val="008D2377"/>
    <w:rsid w:val="008D2675"/>
    <w:rsid w:val="008D2952"/>
    <w:rsid w:val="008D2E33"/>
    <w:rsid w:val="008D3252"/>
    <w:rsid w:val="008D3283"/>
    <w:rsid w:val="008D3389"/>
    <w:rsid w:val="008D338D"/>
    <w:rsid w:val="008D3735"/>
    <w:rsid w:val="008D37B6"/>
    <w:rsid w:val="008D3A39"/>
    <w:rsid w:val="008D3EBA"/>
    <w:rsid w:val="008D4204"/>
    <w:rsid w:val="008D43F2"/>
    <w:rsid w:val="008D4CA5"/>
    <w:rsid w:val="008D51F3"/>
    <w:rsid w:val="008D526A"/>
    <w:rsid w:val="008D5425"/>
    <w:rsid w:val="008D54DE"/>
    <w:rsid w:val="008D54F0"/>
    <w:rsid w:val="008D5560"/>
    <w:rsid w:val="008D5765"/>
    <w:rsid w:val="008D5D6B"/>
    <w:rsid w:val="008D620C"/>
    <w:rsid w:val="008D62B5"/>
    <w:rsid w:val="008D66BD"/>
    <w:rsid w:val="008D68D9"/>
    <w:rsid w:val="008D69B7"/>
    <w:rsid w:val="008D71A1"/>
    <w:rsid w:val="008D7D0C"/>
    <w:rsid w:val="008D7E2B"/>
    <w:rsid w:val="008E00F8"/>
    <w:rsid w:val="008E01D8"/>
    <w:rsid w:val="008E068D"/>
    <w:rsid w:val="008E06B8"/>
    <w:rsid w:val="008E071F"/>
    <w:rsid w:val="008E0C0B"/>
    <w:rsid w:val="008E0DC1"/>
    <w:rsid w:val="008E10AB"/>
    <w:rsid w:val="008E18F8"/>
    <w:rsid w:val="008E1A58"/>
    <w:rsid w:val="008E1B62"/>
    <w:rsid w:val="008E2138"/>
    <w:rsid w:val="008E23A5"/>
    <w:rsid w:val="008E23C1"/>
    <w:rsid w:val="008E27B4"/>
    <w:rsid w:val="008E27C1"/>
    <w:rsid w:val="008E2A26"/>
    <w:rsid w:val="008E2F39"/>
    <w:rsid w:val="008E2FB5"/>
    <w:rsid w:val="008E30E9"/>
    <w:rsid w:val="008E3A2C"/>
    <w:rsid w:val="008E3CC1"/>
    <w:rsid w:val="008E3CE9"/>
    <w:rsid w:val="008E3DBD"/>
    <w:rsid w:val="008E438F"/>
    <w:rsid w:val="008E43B6"/>
    <w:rsid w:val="008E43BE"/>
    <w:rsid w:val="008E43F5"/>
    <w:rsid w:val="008E4433"/>
    <w:rsid w:val="008E4780"/>
    <w:rsid w:val="008E487C"/>
    <w:rsid w:val="008E4AD4"/>
    <w:rsid w:val="008E56DE"/>
    <w:rsid w:val="008E5BC0"/>
    <w:rsid w:val="008E5EE7"/>
    <w:rsid w:val="008E6058"/>
    <w:rsid w:val="008E62F3"/>
    <w:rsid w:val="008E65B4"/>
    <w:rsid w:val="008E6A22"/>
    <w:rsid w:val="008E6ABA"/>
    <w:rsid w:val="008E6AE6"/>
    <w:rsid w:val="008E6B05"/>
    <w:rsid w:val="008E6B51"/>
    <w:rsid w:val="008E6D09"/>
    <w:rsid w:val="008E6F87"/>
    <w:rsid w:val="008E75A6"/>
    <w:rsid w:val="008E76F9"/>
    <w:rsid w:val="008E7A6D"/>
    <w:rsid w:val="008E7D0A"/>
    <w:rsid w:val="008E7F6D"/>
    <w:rsid w:val="008F0116"/>
    <w:rsid w:val="008F017B"/>
    <w:rsid w:val="008F038A"/>
    <w:rsid w:val="008F06ED"/>
    <w:rsid w:val="008F081C"/>
    <w:rsid w:val="008F0A80"/>
    <w:rsid w:val="008F0B19"/>
    <w:rsid w:val="008F0B8A"/>
    <w:rsid w:val="008F0C6E"/>
    <w:rsid w:val="008F0E5F"/>
    <w:rsid w:val="008F1193"/>
    <w:rsid w:val="008F11E8"/>
    <w:rsid w:val="008F13AE"/>
    <w:rsid w:val="008F1404"/>
    <w:rsid w:val="008F143D"/>
    <w:rsid w:val="008F147A"/>
    <w:rsid w:val="008F1879"/>
    <w:rsid w:val="008F1CF5"/>
    <w:rsid w:val="008F1D1D"/>
    <w:rsid w:val="008F1E28"/>
    <w:rsid w:val="008F1E7B"/>
    <w:rsid w:val="008F1E8E"/>
    <w:rsid w:val="008F1F8E"/>
    <w:rsid w:val="008F27C4"/>
    <w:rsid w:val="008F2BA6"/>
    <w:rsid w:val="008F2C7E"/>
    <w:rsid w:val="008F30D3"/>
    <w:rsid w:val="008F3195"/>
    <w:rsid w:val="008F34FC"/>
    <w:rsid w:val="008F351A"/>
    <w:rsid w:val="008F3747"/>
    <w:rsid w:val="008F3EE7"/>
    <w:rsid w:val="008F426E"/>
    <w:rsid w:val="008F4929"/>
    <w:rsid w:val="008F4A32"/>
    <w:rsid w:val="008F4B55"/>
    <w:rsid w:val="008F528A"/>
    <w:rsid w:val="008F55AF"/>
    <w:rsid w:val="008F6541"/>
    <w:rsid w:val="008F67D7"/>
    <w:rsid w:val="008F699F"/>
    <w:rsid w:val="008F6AF3"/>
    <w:rsid w:val="008F6D59"/>
    <w:rsid w:val="008F6E48"/>
    <w:rsid w:val="008F6FAA"/>
    <w:rsid w:val="008F7288"/>
    <w:rsid w:val="008F7996"/>
    <w:rsid w:val="008F7D8E"/>
    <w:rsid w:val="008F7F2D"/>
    <w:rsid w:val="008F7F9B"/>
    <w:rsid w:val="00900126"/>
    <w:rsid w:val="009001B6"/>
    <w:rsid w:val="00900531"/>
    <w:rsid w:val="0090072E"/>
    <w:rsid w:val="00900A5F"/>
    <w:rsid w:val="00900CC4"/>
    <w:rsid w:val="00901156"/>
    <w:rsid w:val="0090158E"/>
    <w:rsid w:val="00901BBD"/>
    <w:rsid w:val="00901CE7"/>
    <w:rsid w:val="00901D70"/>
    <w:rsid w:val="00902039"/>
    <w:rsid w:val="00902324"/>
    <w:rsid w:val="0090271F"/>
    <w:rsid w:val="00902956"/>
    <w:rsid w:val="009029E6"/>
    <w:rsid w:val="00902DB3"/>
    <w:rsid w:val="009032D9"/>
    <w:rsid w:val="0090361A"/>
    <w:rsid w:val="00903682"/>
    <w:rsid w:val="00903EED"/>
    <w:rsid w:val="00904B4A"/>
    <w:rsid w:val="00904BE3"/>
    <w:rsid w:val="009050D9"/>
    <w:rsid w:val="0090533B"/>
    <w:rsid w:val="00905377"/>
    <w:rsid w:val="00905764"/>
    <w:rsid w:val="009059F8"/>
    <w:rsid w:val="00905FEC"/>
    <w:rsid w:val="0090623D"/>
    <w:rsid w:val="0090654C"/>
    <w:rsid w:val="009068FA"/>
    <w:rsid w:val="0090703F"/>
    <w:rsid w:val="009070DD"/>
    <w:rsid w:val="0090725B"/>
    <w:rsid w:val="0090727C"/>
    <w:rsid w:val="00907306"/>
    <w:rsid w:val="009074B5"/>
    <w:rsid w:val="009077AD"/>
    <w:rsid w:val="00907889"/>
    <w:rsid w:val="00907CBE"/>
    <w:rsid w:val="00910763"/>
    <w:rsid w:val="009108DE"/>
    <w:rsid w:val="00910956"/>
    <w:rsid w:val="00910C35"/>
    <w:rsid w:val="00910D10"/>
    <w:rsid w:val="00910D67"/>
    <w:rsid w:val="00911105"/>
    <w:rsid w:val="00911861"/>
    <w:rsid w:val="00912132"/>
    <w:rsid w:val="00912472"/>
    <w:rsid w:val="00912533"/>
    <w:rsid w:val="00912654"/>
    <w:rsid w:val="009127EE"/>
    <w:rsid w:val="00912824"/>
    <w:rsid w:val="00912980"/>
    <w:rsid w:val="00912A95"/>
    <w:rsid w:val="00913212"/>
    <w:rsid w:val="0091329F"/>
    <w:rsid w:val="009137F8"/>
    <w:rsid w:val="00913F2E"/>
    <w:rsid w:val="00914235"/>
    <w:rsid w:val="009142D4"/>
    <w:rsid w:val="00914698"/>
    <w:rsid w:val="009147E9"/>
    <w:rsid w:val="0091497E"/>
    <w:rsid w:val="00914BF1"/>
    <w:rsid w:val="00915237"/>
    <w:rsid w:val="009152D6"/>
    <w:rsid w:val="009152FA"/>
    <w:rsid w:val="0091562D"/>
    <w:rsid w:val="009157D4"/>
    <w:rsid w:val="00916C4E"/>
    <w:rsid w:val="00916D50"/>
    <w:rsid w:val="00916EFC"/>
    <w:rsid w:val="0091704D"/>
    <w:rsid w:val="0091753F"/>
    <w:rsid w:val="00917D1B"/>
    <w:rsid w:val="00917E3D"/>
    <w:rsid w:val="00917EFC"/>
    <w:rsid w:val="00917F57"/>
    <w:rsid w:val="00920254"/>
    <w:rsid w:val="00920611"/>
    <w:rsid w:val="00920662"/>
    <w:rsid w:val="00920D84"/>
    <w:rsid w:val="00920D9A"/>
    <w:rsid w:val="00920F80"/>
    <w:rsid w:val="009211BC"/>
    <w:rsid w:val="009211E5"/>
    <w:rsid w:val="009213CE"/>
    <w:rsid w:val="00921A35"/>
    <w:rsid w:val="00921C99"/>
    <w:rsid w:val="009220C3"/>
    <w:rsid w:val="009222CE"/>
    <w:rsid w:val="0092245E"/>
    <w:rsid w:val="009224B8"/>
    <w:rsid w:val="0092251F"/>
    <w:rsid w:val="00922C8F"/>
    <w:rsid w:val="00922E2D"/>
    <w:rsid w:val="009233CA"/>
    <w:rsid w:val="0092367B"/>
    <w:rsid w:val="009236D6"/>
    <w:rsid w:val="00923AAD"/>
    <w:rsid w:val="00923C7A"/>
    <w:rsid w:val="00923DD9"/>
    <w:rsid w:val="00923F24"/>
    <w:rsid w:val="00924080"/>
    <w:rsid w:val="0092436B"/>
    <w:rsid w:val="0092436D"/>
    <w:rsid w:val="00924C48"/>
    <w:rsid w:val="00924E30"/>
    <w:rsid w:val="0092532E"/>
    <w:rsid w:val="009254ED"/>
    <w:rsid w:val="00925530"/>
    <w:rsid w:val="00925B07"/>
    <w:rsid w:val="009260EF"/>
    <w:rsid w:val="009261C8"/>
    <w:rsid w:val="00926257"/>
    <w:rsid w:val="009263C8"/>
    <w:rsid w:val="0092678B"/>
    <w:rsid w:val="00926EB5"/>
    <w:rsid w:val="00926EBA"/>
    <w:rsid w:val="009273CE"/>
    <w:rsid w:val="00927AA2"/>
    <w:rsid w:val="00927B5D"/>
    <w:rsid w:val="00927DBC"/>
    <w:rsid w:val="00927ED5"/>
    <w:rsid w:val="00927F49"/>
    <w:rsid w:val="00927FC0"/>
    <w:rsid w:val="0093054F"/>
    <w:rsid w:val="00930967"/>
    <w:rsid w:val="009309BC"/>
    <w:rsid w:val="00930A4B"/>
    <w:rsid w:val="00930DDF"/>
    <w:rsid w:val="0093128C"/>
    <w:rsid w:val="0093165E"/>
    <w:rsid w:val="009317F7"/>
    <w:rsid w:val="009319A0"/>
    <w:rsid w:val="00931D64"/>
    <w:rsid w:val="00931DB8"/>
    <w:rsid w:val="00932010"/>
    <w:rsid w:val="009322F6"/>
    <w:rsid w:val="0093244D"/>
    <w:rsid w:val="009324AF"/>
    <w:rsid w:val="0093269E"/>
    <w:rsid w:val="00932865"/>
    <w:rsid w:val="00932DAF"/>
    <w:rsid w:val="00932DD2"/>
    <w:rsid w:val="00933212"/>
    <w:rsid w:val="00933344"/>
    <w:rsid w:val="0093335F"/>
    <w:rsid w:val="0093352E"/>
    <w:rsid w:val="009336C8"/>
    <w:rsid w:val="00933715"/>
    <w:rsid w:val="00933785"/>
    <w:rsid w:val="0093390C"/>
    <w:rsid w:val="00933E37"/>
    <w:rsid w:val="00934036"/>
    <w:rsid w:val="00934304"/>
    <w:rsid w:val="0093476B"/>
    <w:rsid w:val="009347B6"/>
    <w:rsid w:val="009349D4"/>
    <w:rsid w:val="00934B59"/>
    <w:rsid w:val="00934FC2"/>
    <w:rsid w:val="00935457"/>
    <w:rsid w:val="0093574F"/>
    <w:rsid w:val="00935A3E"/>
    <w:rsid w:val="00935A6C"/>
    <w:rsid w:val="009360AA"/>
    <w:rsid w:val="00936151"/>
    <w:rsid w:val="0093615D"/>
    <w:rsid w:val="0093617E"/>
    <w:rsid w:val="009362A3"/>
    <w:rsid w:val="009363D4"/>
    <w:rsid w:val="009365F9"/>
    <w:rsid w:val="00936A8E"/>
    <w:rsid w:val="00936C0C"/>
    <w:rsid w:val="009372C2"/>
    <w:rsid w:val="009377EC"/>
    <w:rsid w:val="00937AC5"/>
    <w:rsid w:val="00937B4B"/>
    <w:rsid w:val="00937BFC"/>
    <w:rsid w:val="00940935"/>
    <w:rsid w:val="00941383"/>
    <w:rsid w:val="00941456"/>
    <w:rsid w:val="009417CA"/>
    <w:rsid w:val="00941851"/>
    <w:rsid w:val="00941F35"/>
    <w:rsid w:val="009420F8"/>
    <w:rsid w:val="009422F7"/>
    <w:rsid w:val="0094251B"/>
    <w:rsid w:val="009425CF"/>
    <w:rsid w:val="00942B04"/>
    <w:rsid w:val="00942DB8"/>
    <w:rsid w:val="00942DD2"/>
    <w:rsid w:val="00942DEB"/>
    <w:rsid w:val="00943297"/>
    <w:rsid w:val="009438A2"/>
    <w:rsid w:val="009440E3"/>
    <w:rsid w:val="00944199"/>
    <w:rsid w:val="009442DC"/>
    <w:rsid w:val="009445D0"/>
    <w:rsid w:val="009449F8"/>
    <w:rsid w:val="00944A3D"/>
    <w:rsid w:val="00944AA3"/>
    <w:rsid w:val="00944F2B"/>
    <w:rsid w:val="00944F3F"/>
    <w:rsid w:val="009450C6"/>
    <w:rsid w:val="009450F2"/>
    <w:rsid w:val="0094581C"/>
    <w:rsid w:val="0094594A"/>
    <w:rsid w:val="00945EC0"/>
    <w:rsid w:val="00945FE3"/>
    <w:rsid w:val="009461F1"/>
    <w:rsid w:val="009463CA"/>
    <w:rsid w:val="00946743"/>
    <w:rsid w:val="0094689D"/>
    <w:rsid w:val="00946A19"/>
    <w:rsid w:val="00946B40"/>
    <w:rsid w:val="0094710D"/>
    <w:rsid w:val="00947136"/>
    <w:rsid w:val="0094715A"/>
    <w:rsid w:val="009479AB"/>
    <w:rsid w:val="00947B85"/>
    <w:rsid w:val="00950276"/>
    <w:rsid w:val="009504AA"/>
    <w:rsid w:val="00950627"/>
    <w:rsid w:val="009507F2"/>
    <w:rsid w:val="00950895"/>
    <w:rsid w:val="009508F3"/>
    <w:rsid w:val="0095095B"/>
    <w:rsid w:val="00950C59"/>
    <w:rsid w:val="00950EE2"/>
    <w:rsid w:val="00950F13"/>
    <w:rsid w:val="00950F34"/>
    <w:rsid w:val="00951DD5"/>
    <w:rsid w:val="00951EAD"/>
    <w:rsid w:val="00952504"/>
    <w:rsid w:val="00952917"/>
    <w:rsid w:val="0095291E"/>
    <w:rsid w:val="00952D0F"/>
    <w:rsid w:val="00952F09"/>
    <w:rsid w:val="009538AD"/>
    <w:rsid w:val="00953A8F"/>
    <w:rsid w:val="0095410D"/>
    <w:rsid w:val="009548E0"/>
    <w:rsid w:val="00954C15"/>
    <w:rsid w:val="00954C42"/>
    <w:rsid w:val="009553AE"/>
    <w:rsid w:val="009554F8"/>
    <w:rsid w:val="009556B5"/>
    <w:rsid w:val="00955B4F"/>
    <w:rsid w:val="00955D7D"/>
    <w:rsid w:val="00955DA7"/>
    <w:rsid w:val="00955F17"/>
    <w:rsid w:val="00956226"/>
    <w:rsid w:val="00956673"/>
    <w:rsid w:val="00956DAD"/>
    <w:rsid w:val="00956E1E"/>
    <w:rsid w:val="00957039"/>
    <w:rsid w:val="0095726A"/>
    <w:rsid w:val="009574FC"/>
    <w:rsid w:val="009575A9"/>
    <w:rsid w:val="009576B0"/>
    <w:rsid w:val="0095774A"/>
    <w:rsid w:val="0095785C"/>
    <w:rsid w:val="00957929"/>
    <w:rsid w:val="00957C72"/>
    <w:rsid w:val="00957EA9"/>
    <w:rsid w:val="00957F18"/>
    <w:rsid w:val="009603A3"/>
    <w:rsid w:val="009603B1"/>
    <w:rsid w:val="0096061B"/>
    <w:rsid w:val="00960687"/>
    <w:rsid w:val="009606DD"/>
    <w:rsid w:val="00960CD1"/>
    <w:rsid w:val="00960DBE"/>
    <w:rsid w:val="00961011"/>
    <w:rsid w:val="009610FB"/>
    <w:rsid w:val="00961180"/>
    <w:rsid w:val="00961206"/>
    <w:rsid w:val="0096133E"/>
    <w:rsid w:val="009616A4"/>
    <w:rsid w:val="00961A5E"/>
    <w:rsid w:val="009622B8"/>
    <w:rsid w:val="009622BE"/>
    <w:rsid w:val="009622C4"/>
    <w:rsid w:val="0096243B"/>
    <w:rsid w:val="009628BF"/>
    <w:rsid w:val="00962DB3"/>
    <w:rsid w:val="00962E4E"/>
    <w:rsid w:val="00962F0C"/>
    <w:rsid w:val="00963166"/>
    <w:rsid w:val="00963FFD"/>
    <w:rsid w:val="00964336"/>
    <w:rsid w:val="00964CAF"/>
    <w:rsid w:val="00964EA8"/>
    <w:rsid w:val="00964F8F"/>
    <w:rsid w:val="009652E0"/>
    <w:rsid w:val="009652E2"/>
    <w:rsid w:val="00965691"/>
    <w:rsid w:val="00965AE2"/>
    <w:rsid w:val="00965FA3"/>
    <w:rsid w:val="0096607E"/>
    <w:rsid w:val="00966083"/>
    <w:rsid w:val="009662C1"/>
    <w:rsid w:val="0096659B"/>
    <w:rsid w:val="009665CC"/>
    <w:rsid w:val="009667F1"/>
    <w:rsid w:val="00966837"/>
    <w:rsid w:val="00966BAA"/>
    <w:rsid w:val="00966C03"/>
    <w:rsid w:val="00966CC4"/>
    <w:rsid w:val="00966F52"/>
    <w:rsid w:val="0096704E"/>
    <w:rsid w:val="00967126"/>
    <w:rsid w:val="00967484"/>
    <w:rsid w:val="00967504"/>
    <w:rsid w:val="00967663"/>
    <w:rsid w:val="009678F6"/>
    <w:rsid w:val="00967C2D"/>
    <w:rsid w:val="00967C33"/>
    <w:rsid w:val="00967DC1"/>
    <w:rsid w:val="00967EAC"/>
    <w:rsid w:val="00967F98"/>
    <w:rsid w:val="009700BA"/>
    <w:rsid w:val="00970ADC"/>
    <w:rsid w:val="00970C99"/>
    <w:rsid w:val="00970FCA"/>
    <w:rsid w:val="00971093"/>
    <w:rsid w:val="0097123A"/>
    <w:rsid w:val="009712BE"/>
    <w:rsid w:val="009717CD"/>
    <w:rsid w:val="0097190E"/>
    <w:rsid w:val="00971A24"/>
    <w:rsid w:val="009724BB"/>
    <w:rsid w:val="009729CE"/>
    <w:rsid w:val="00972C89"/>
    <w:rsid w:val="00973175"/>
    <w:rsid w:val="00973280"/>
    <w:rsid w:val="009732D8"/>
    <w:rsid w:val="009733F1"/>
    <w:rsid w:val="009738DA"/>
    <w:rsid w:val="00973D37"/>
    <w:rsid w:val="00973D7E"/>
    <w:rsid w:val="00973DC0"/>
    <w:rsid w:val="00973F71"/>
    <w:rsid w:val="0097438C"/>
    <w:rsid w:val="00974A3B"/>
    <w:rsid w:val="00974EF8"/>
    <w:rsid w:val="00974F04"/>
    <w:rsid w:val="009759C8"/>
    <w:rsid w:val="00975E3F"/>
    <w:rsid w:val="00975EEB"/>
    <w:rsid w:val="00976217"/>
    <w:rsid w:val="00976241"/>
    <w:rsid w:val="0097635E"/>
    <w:rsid w:val="00976881"/>
    <w:rsid w:val="0097717C"/>
    <w:rsid w:val="0097794F"/>
    <w:rsid w:val="00977AB9"/>
    <w:rsid w:val="00980284"/>
    <w:rsid w:val="009802C4"/>
    <w:rsid w:val="0098093D"/>
    <w:rsid w:val="00980B97"/>
    <w:rsid w:val="00980BD7"/>
    <w:rsid w:val="00980C01"/>
    <w:rsid w:val="00980CCC"/>
    <w:rsid w:val="0098124A"/>
    <w:rsid w:val="0098136A"/>
    <w:rsid w:val="0098138E"/>
    <w:rsid w:val="00981C63"/>
    <w:rsid w:val="00982162"/>
    <w:rsid w:val="00982725"/>
    <w:rsid w:val="00982DD4"/>
    <w:rsid w:val="00982F5C"/>
    <w:rsid w:val="0098326D"/>
    <w:rsid w:val="009832EB"/>
    <w:rsid w:val="009833C0"/>
    <w:rsid w:val="0098369B"/>
    <w:rsid w:val="009838FF"/>
    <w:rsid w:val="009839D0"/>
    <w:rsid w:val="00983B0F"/>
    <w:rsid w:val="00983B92"/>
    <w:rsid w:val="00983C77"/>
    <w:rsid w:val="00983D41"/>
    <w:rsid w:val="00983EE4"/>
    <w:rsid w:val="00984295"/>
    <w:rsid w:val="009843EA"/>
    <w:rsid w:val="009845A0"/>
    <w:rsid w:val="009847D8"/>
    <w:rsid w:val="00984C00"/>
    <w:rsid w:val="00984E7D"/>
    <w:rsid w:val="00985067"/>
    <w:rsid w:val="0098524C"/>
    <w:rsid w:val="0098536A"/>
    <w:rsid w:val="00985726"/>
    <w:rsid w:val="00985A7F"/>
    <w:rsid w:val="009862EA"/>
    <w:rsid w:val="0098655A"/>
    <w:rsid w:val="00986585"/>
    <w:rsid w:val="00986713"/>
    <w:rsid w:val="009867AE"/>
    <w:rsid w:val="00986C97"/>
    <w:rsid w:val="00986DD8"/>
    <w:rsid w:val="00986F04"/>
    <w:rsid w:val="0098702A"/>
    <w:rsid w:val="009871A4"/>
    <w:rsid w:val="0098727E"/>
    <w:rsid w:val="0098739F"/>
    <w:rsid w:val="009873E6"/>
    <w:rsid w:val="00987510"/>
    <w:rsid w:val="00987624"/>
    <w:rsid w:val="00987813"/>
    <w:rsid w:val="00990825"/>
    <w:rsid w:val="00990A0A"/>
    <w:rsid w:val="00990DD1"/>
    <w:rsid w:val="00991325"/>
    <w:rsid w:val="00991A68"/>
    <w:rsid w:val="00991DC7"/>
    <w:rsid w:val="00991DD8"/>
    <w:rsid w:val="0099252A"/>
    <w:rsid w:val="00992CD2"/>
    <w:rsid w:val="00992D60"/>
    <w:rsid w:val="00992E3B"/>
    <w:rsid w:val="00992F21"/>
    <w:rsid w:val="00992FA5"/>
    <w:rsid w:val="00993147"/>
    <w:rsid w:val="0099349E"/>
    <w:rsid w:val="00993E2D"/>
    <w:rsid w:val="00994600"/>
    <w:rsid w:val="00994645"/>
    <w:rsid w:val="00994AEC"/>
    <w:rsid w:val="00995077"/>
    <w:rsid w:val="0099509E"/>
    <w:rsid w:val="0099552D"/>
    <w:rsid w:val="009959F7"/>
    <w:rsid w:val="00995C7E"/>
    <w:rsid w:val="00995F57"/>
    <w:rsid w:val="009961A6"/>
    <w:rsid w:val="0099641F"/>
    <w:rsid w:val="00996475"/>
    <w:rsid w:val="0099681F"/>
    <w:rsid w:val="0099684A"/>
    <w:rsid w:val="00996B9A"/>
    <w:rsid w:val="00996D8C"/>
    <w:rsid w:val="00996E81"/>
    <w:rsid w:val="00996EBF"/>
    <w:rsid w:val="009976C7"/>
    <w:rsid w:val="00997788"/>
    <w:rsid w:val="00997887"/>
    <w:rsid w:val="00997B27"/>
    <w:rsid w:val="00997C2A"/>
    <w:rsid w:val="00997C41"/>
    <w:rsid w:val="009A0096"/>
    <w:rsid w:val="009A0822"/>
    <w:rsid w:val="009A0BF5"/>
    <w:rsid w:val="009A0DA6"/>
    <w:rsid w:val="009A1645"/>
    <w:rsid w:val="009A16F6"/>
    <w:rsid w:val="009A1785"/>
    <w:rsid w:val="009A18DF"/>
    <w:rsid w:val="009A1EEB"/>
    <w:rsid w:val="009A1F9F"/>
    <w:rsid w:val="009A22C2"/>
    <w:rsid w:val="009A2333"/>
    <w:rsid w:val="009A25F8"/>
    <w:rsid w:val="009A34DF"/>
    <w:rsid w:val="009A3584"/>
    <w:rsid w:val="009A3AAC"/>
    <w:rsid w:val="009A3F22"/>
    <w:rsid w:val="009A405A"/>
    <w:rsid w:val="009A4122"/>
    <w:rsid w:val="009A4671"/>
    <w:rsid w:val="009A4AD5"/>
    <w:rsid w:val="009A4E30"/>
    <w:rsid w:val="009A519A"/>
    <w:rsid w:val="009A57AE"/>
    <w:rsid w:val="009A5D4E"/>
    <w:rsid w:val="009A5E6F"/>
    <w:rsid w:val="009A5EB1"/>
    <w:rsid w:val="009A61E8"/>
    <w:rsid w:val="009A6201"/>
    <w:rsid w:val="009A65A5"/>
    <w:rsid w:val="009A6A1C"/>
    <w:rsid w:val="009A6B3A"/>
    <w:rsid w:val="009A6E36"/>
    <w:rsid w:val="009A6EC1"/>
    <w:rsid w:val="009A769F"/>
    <w:rsid w:val="009A76B2"/>
    <w:rsid w:val="009A770A"/>
    <w:rsid w:val="009A78D4"/>
    <w:rsid w:val="009A790B"/>
    <w:rsid w:val="009A7A46"/>
    <w:rsid w:val="009A7CD6"/>
    <w:rsid w:val="009A7E2C"/>
    <w:rsid w:val="009B021F"/>
    <w:rsid w:val="009B07A5"/>
    <w:rsid w:val="009B0935"/>
    <w:rsid w:val="009B0A8F"/>
    <w:rsid w:val="009B0BBC"/>
    <w:rsid w:val="009B0E88"/>
    <w:rsid w:val="009B11D4"/>
    <w:rsid w:val="009B1C28"/>
    <w:rsid w:val="009B1D1F"/>
    <w:rsid w:val="009B1E40"/>
    <w:rsid w:val="009B22A0"/>
    <w:rsid w:val="009B2430"/>
    <w:rsid w:val="009B2447"/>
    <w:rsid w:val="009B2557"/>
    <w:rsid w:val="009B27B4"/>
    <w:rsid w:val="009B2833"/>
    <w:rsid w:val="009B2B8B"/>
    <w:rsid w:val="009B2D73"/>
    <w:rsid w:val="009B31B5"/>
    <w:rsid w:val="009B333F"/>
    <w:rsid w:val="009B363A"/>
    <w:rsid w:val="009B394F"/>
    <w:rsid w:val="009B3E41"/>
    <w:rsid w:val="009B3F1B"/>
    <w:rsid w:val="009B443F"/>
    <w:rsid w:val="009B460C"/>
    <w:rsid w:val="009B461C"/>
    <w:rsid w:val="009B4750"/>
    <w:rsid w:val="009B4AB9"/>
    <w:rsid w:val="009B5339"/>
    <w:rsid w:val="009B5485"/>
    <w:rsid w:val="009B6105"/>
    <w:rsid w:val="009B6293"/>
    <w:rsid w:val="009B659C"/>
    <w:rsid w:val="009B65F2"/>
    <w:rsid w:val="009B680C"/>
    <w:rsid w:val="009B6DAF"/>
    <w:rsid w:val="009B6F8E"/>
    <w:rsid w:val="009B70A0"/>
    <w:rsid w:val="009B70F3"/>
    <w:rsid w:val="009B71E8"/>
    <w:rsid w:val="009B736C"/>
    <w:rsid w:val="009B7454"/>
    <w:rsid w:val="009B74EA"/>
    <w:rsid w:val="009B75DB"/>
    <w:rsid w:val="009C007F"/>
    <w:rsid w:val="009C06FE"/>
    <w:rsid w:val="009C0750"/>
    <w:rsid w:val="009C0920"/>
    <w:rsid w:val="009C0DE8"/>
    <w:rsid w:val="009C120F"/>
    <w:rsid w:val="009C1237"/>
    <w:rsid w:val="009C1377"/>
    <w:rsid w:val="009C153C"/>
    <w:rsid w:val="009C1A5E"/>
    <w:rsid w:val="009C1DE4"/>
    <w:rsid w:val="009C1DF7"/>
    <w:rsid w:val="009C1F73"/>
    <w:rsid w:val="009C20A5"/>
    <w:rsid w:val="009C222A"/>
    <w:rsid w:val="009C285D"/>
    <w:rsid w:val="009C2975"/>
    <w:rsid w:val="009C2C33"/>
    <w:rsid w:val="009C2F59"/>
    <w:rsid w:val="009C2FA6"/>
    <w:rsid w:val="009C3077"/>
    <w:rsid w:val="009C30AB"/>
    <w:rsid w:val="009C37DE"/>
    <w:rsid w:val="009C3A15"/>
    <w:rsid w:val="009C3B3A"/>
    <w:rsid w:val="009C3CD9"/>
    <w:rsid w:val="009C3D27"/>
    <w:rsid w:val="009C3FF6"/>
    <w:rsid w:val="009C40A7"/>
    <w:rsid w:val="009C4619"/>
    <w:rsid w:val="009C479B"/>
    <w:rsid w:val="009C4A9B"/>
    <w:rsid w:val="009C4B73"/>
    <w:rsid w:val="009C4DC9"/>
    <w:rsid w:val="009C4F59"/>
    <w:rsid w:val="009C5218"/>
    <w:rsid w:val="009C5240"/>
    <w:rsid w:val="009C53EF"/>
    <w:rsid w:val="009C54E9"/>
    <w:rsid w:val="009C5508"/>
    <w:rsid w:val="009C5A13"/>
    <w:rsid w:val="009C6007"/>
    <w:rsid w:val="009C6059"/>
    <w:rsid w:val="009C6144"/>
    <w:rsid w:val="009C62CC"/>
    <w:rsid w:val="009C6502"/>
    <w:rsid w:val="009C67CF"/>
    <w:rsid w:val="009C69B2"/>
    <w:rsid w:val="009C6A0A"/>
    <w:rsid w:val="009C6D2D"/>
    <w:rsid w:val="009C72EC"/>
    <w:rsid w:val="009C7446"/>
    <w:rsid w:val="009C7526"/>
    <w:rsid w:val="009C76B4"/>
    <w:rsid w:val="009C7BB5"/>
    <w:rsid w:val="009C7BC9"/>
    <w:rsid w:val="009C7BD0"/>
    <w:rsid w:val="009D01E0"/>
    <w:rsid w:val="009D0374"/>
    <w:rsid w:val="009D039D"/>
    <w:rsid w:val="009D062C"/>
    <w:rsid w:val="009D06C3"/>
    <w:rsid w:val="009D093E"/>
    <w:rsid w:val="009D0D9D"/>
    <w:rsid w:val="009D0DAC"/>
    <w:rsid w:val="009D13ED"/>
    <w:rsid w:val="009D146B"/>
    <w:rsid w:val="009D15A7"/>
    <w:rsid w:val="009D1815"/>
    <w:rsid w:val="009D217F"/>
    <w:rsid w:val="009D21AD"/>
    <w:rsid w:val="009D24BB"/>
    <w:rsid w:val="009D2692"/>
    <w:rsid w:val="009D296C"/>
    <w:rsid w:val="009D3523"/>
    <w:rsid w:val="009D3AAC"/>
    <w:rsid w:val="009D3C6B"/>
    <w:rsid w:val="009D3DF3"/>
    <w:rsid w:val="009D3F0F"/>
    <w:rsid w:val="009D3FF7"/>
    <w:rsid w:val="009D4001"/>
    <w:rsid w:val="009D45C4"/>
    <w:rsid w:val="009D48CF"/>
    <w:rsid w:val="009D499F"/>
    <w:rsid w:val="009D4A0E"/>
    <w:rsid w:val="009D4C94"/>
    <w:rsid w:val="009D4D87"/>
    <w:rsid w:val="009D4E10"/>
    <w:rsid w:val="009D4E28"/>
    <w:rsid w:val="009D5196"/>
    <w:rsid w:val="009D55BC"/>
    <w:rsid w:val="009D57CC"/>
    <w:rsid w:val="009D59FE"/>
    <w:rsid w:val="009D5F30"/>
    <w:rsid w:val="009D6517"/>
    <w:rsid w:val="009D651C"/>
    <w:rsid w:val="009D68FC"/>
    <w:rsid w:val="009D6912"/>
    <w:rsid w:val="009D76A4"/>
    <w:rsid w:val="009D772C"/>
    <w:rsid w:val="009D7861"/>
    <w:rsid w:val="009D7895"/>
    <w:rsid w:val="009E068E"/>
    <w:rsid w:val="009E06F3"/>
    <w:rsid w:val="009E073D"/>
    <w:rsid w:val="009E08AF"/>
    <w:rsid w:val="009E09E1"/>
    <w:rsid w:val="009E0A65"/>
    <w:rsid w:val="009E0CF9"/>
    <w:rsid w:val="009E0DBE"/>
    <w:rsid w:val="009E0EE2"/>
    <w:rsid w:val="009E101A"/>
    <w:rsid w:val="009E12C4"/>
    <w:rsid w:val="009E1C18"/>
    <w:rsid w:val="009E1F11"/>
    <w:rsid w:val="009E2022"/>
    <w:rsid w:val="009E213C"/>
    <w:rsid w:val="009E21AF"/>
    <w:rsid w:val="009E2795"/>
    <w:rsid w:val="009E2858"/>
    <w:rsid w:val="009E2915"/>
    <w:rsid w:val="009E2ACE"/>
    <w:rsid w:val="009E3DCD"/>
    <w:rsid w:val="009E44A9"/>
    <w:rsid w:val="009E45B1"/>
    <w:rsid w:val="009E4AA1"/>
    <w:rsid w:val="009E594D"/>
    <w:rsid w:val="009E5EF4"/>
    <w:rsid w:val="009E5F86"/>
    <w:rsid w:val="009E6052"/>
    <w:rsid w:val="009E64F3"/>
    <w:rsid w:val="009E6BCE"/>
    <w:rsid w:val="009E6FD4"/>
    <w:rsid w:val="009E700B"/>
    <w:rsid w:val="009E73DD"/>
    <w:rsid w:val="009E756C"/>
    <w:rsid w:val="009E75D6"/>
    <w:rsid w:val="009E7A8C"/>
    <w:rsid w:val="009E7BE2"/>
    <w:rsid w:val="009E7C7F"/>
    <w:rsid w:val="009E7CC0"/>
    <w:rsid w:val="009E7CC3"/>
    <w:rsid w:val="009E7E9C"/>
    <w:rsid w:val="009F0006"/>
    <w:rsid w:val="009F02EA"/>
    <w:rsid w:val="009F0484"/>
    <w:rsid w:val="009F04D1"/>
    <w:rsid w:val="009F087A"/>
    <w:rsid w:val="009F09AE"/>
    <w:rsid w:val="009F0A77"/>
    <w:rsid w:val="009F0C1A"/>
    <w:rsid w:val="009F17E4"/>
    <w:rsid w:val="009F1AC4"/>
    <w:rsid w:val="009F1F2A"/>
    <w:rsid w:val="009F2409"/>
    <w:rsid w:val="009F2528"/>
    <w:rsid w:val="009F2BC9"/>
    <w:rsid w:val="009F2EEB"/>
    <w:rsid w:val="009F2F4A"/>
    <w:rsid w:val="009F32CA"/>
    <w:rsid w:val="009F33A1"/>
    <w:rsid w:val="009F3524"/>
    <w:rsid w:val="009F36E5"/>
    <w:rsid w:val="009F37E8"/>
    <w:rsid w:val="009F3B7F"/>
    <w:rsid w:val="009F3E56"/>
    <w:rsid w:val="009F401D"/>
    <w:rsid w:val="009F41C9"/>
    <w:rsid w:val="009F48A0"/>
    <w:rsid w:val="009F4EC4"/>
    <w:rsid w:val="009F5CC3"/>
    <w:rsid w:val="009F5DC3"/>
    <w:rsid w:val="009F5E50"/>
    <w:rsid w:val="009F6158"/>
    <w:rsid w:val="009F63DA"/>
    <w:rsid w:val="009F6454"/>
    <w:rsid w:val="009F675F"/>
    <w:rsid w:val="009F78E3"/>
    <w:rsid w:val="009F7BD3"/>
    <w:rsid w:val="009F7E03"/>
    <w:rsid w:val="00A0015E"/>
    <w:rsid w:val="00A0050A"/>
    <w:rsid w:val="00A007F0"/>
    <w:rsid w:val="00A007FA"/>
    <w:rsid w:val="00A00906"/>
    <w:rsid w:val="00A00B93"/>
    <w:rsid w:val="00A00C9F"/>
    <w:rsid w:val="00A017B8"/>
    <w:rsid w:val="00A0190D"/>
    <w:rsid w:val="00A01ABE"/>
    <w:rsid w:val="00A01D25"/>
    <w:rsid w:val="00A0205D"/>
    <w:rsid w:val="00A021FA"/>
    <w:rsid w:val="00A024CF"/>
    <w:rsid w:val="00A02737"/>
    <w:rsid w:val="00A02D8B"/>
    <w:rsid w:val="00A03154"/>
    <w:rsid w:val="00A0363D"/>
    <w:rsid w:val="00A03745"/>
    <w:rsid w:val="00A04BF7"/>
    <w:rsid w:val="00A04C21"/>
    <w:rsid w:val="00A05082"/>
    <w:rsid w:val="00A051B0"/>
    <w:rsid w:val="00A05241"/>
    <w:rsid w:val="00A052F4"/>
    <w:rsid w:val="00A055C4"/>
    <w:rsid w:val="00A05658"/>
    <w:rsid w:val="00A05E33"/>
    <w:rsid w:val="00A06AE5"/>
    <w:rsid w:val="00A070AA"/>
    <w:rsid w:val="00A072D7"/>
    <w:rsid w:val="00A07908"/>
    <w:rsid w:val="00A07A5F"/>
    <w:rsid w:val="00A07BE4"/>
    <w:rsid w:val="00A07CBD"/>
    <w:rsid w:val="00A07EA3"/>
    <w:rsid w:val="00A100A0"/>
    <w:rsid w:val="00A10235"/>
    <w:rsid w:val="00A1027A"/>
    <w:rsid w:val="00A1030C"/>
    <w:rsid w:val="00A1049A"/>
    <w:rsid w:val="00A104BE"/>
    <w:rsid w:val="00A10A88"/>
    <w:rsid w:val="00A10E55"/>
    <w:rsid w:val="00A10F57"/>
    <w:rsid w:val="00A110EA"/>
    <w:rsid w:val="00A11141"/>
    <w:rsid w:val="00A1193A"/>
    <w:rsid w:val="00A11D1B"/>
    <w:rsid w:val="00A11FA7"/>
    <w:rsid w:val="00A120B8"/>
    <w:rsid w:val="00A124B4"/>
    <w:rsid w:val="00A12781"/>
    <w:rsid w:val="00A128FE"/>
    <w:rsid w:val="00A12904"/>
    <w:rsid w:val="00A12EC3"/>
    <w:rsid w:val="00A13B40"/>
    <w:rsid w:val="00A1401D"/>
    <w:rsid w:val="00A14631"/>
    <w:rsid w:val="00A1467D"/>
    <w:rsid w:val="00A14CF0"/>
    <w:rsid w:val="00A153F7"/>
    <w:rsid w:val="00A156F0"/>
    <w:rsid w:val="00A157DE"/>
    <w:rsid w:val="00A15A5D"/>
    <w:rsid w:val="00A15CA8"/>
    <w:rsid w:val="00A15D8F"/>
    <w:rsid w:val="00A16039"/>
    <w:rsid w:val="00A16415"/>
    <w:rsid w:val="00A16608"/>
    <w:rsid w:val="00A166AE"/>
    <w:rsid w:val="00A16A54"/>
    <w:rsid w:val="00A16DE4"/>
    <w:rsid w:val="00A16F12"/>
    <w:rsid w:val="00A17000"/>
    <w:rsid w:val="00A172DF"/>
    <w:rsid w:val="00A17499"/>
    <w:rsid w:val="00A1778C"/>
    <w:rsid w:val="00A177D3"/>
    <w:rsid w:val="00A17CE0"/>
    <w:rsid w:val="00A200D6"/>
    <w:rsid w:val="00A202F7"/>
    <w:rsid w:val="00A204B2"/>
    <w:rsid w:val="00A204D1"/>
    <w:rsid w:val="00A2067A"/>
    <w:rsid w:val="00A20AED"/>
    <w:rsid w:val="00A20BB4"/>
    <w:rsid w:val="00A20BBC"/>
    <w:rsid w:val="00A20C11"/>
    <w:rsid w:val="00A20E55"/>
    <w:rsid w:val="00A20E7E"/>
    <w:rsid w:val="00A213CD"/>
    <w:rsid w:val="00A214FF"/>
    <w:rsid w:val="00A21DC8"/>
    <w:rsid w:val="00A220E3"/>
    <w:rsid w:val="00A22139"/>
    <w:rsid w:val="00A223FD"/>
    <w:rsid w:val="00A22460"/>
    <w:rsid w:val="00A22722"/>
    <w:rsid w:val="00A22CE1"/>
    <w:rsid w:val="00A2334F"/>
    <w:rsid w:val="00A23663"/>
    <w:rsid w:val="00A23B25"/>
    <w:rsid w:val="00A23D48"/>
    <w:rsid w:val="00A24069"/>
    <w:rsid w:val="00A240DA"/>
    <w:rsid w:val="00A2448F"/>
    <w:rsid w:val="00A24BDE"/>
    <w:rsid w:val="00A24D41"/>
    <w:rsid w:val="00A252EA"/>
    <w:rsid w:val="00A257B1"/>
    <w:rsid w:val="00A25B2C"/>
    <w:rsid w:val="00A25F6D"/>
    <w:rsid w:val="00A2602D"/>
    <w:rsid w:val="00A263CA"/>
    <w:rsid w:val="00A268EA"/>
    <w:rsid w:val="00A26BB4"/>
    <w:rsid w:val="00A26E2A"/>
    <w:rsid w:val="00A26E64"/>
    <w:rsid w:val="00A2711E"/>
    <w:rsid w:val="00A27140"/>
    <w:rsid w:val="00A27862"/>
    <w:rsid w:val="00A27A6F"/>
    <w:rsid w:val="00A27DCF"/>
    <w:rsid w:val="00A27F1D"/>
    <w:rsid w:val="00A30269"/>
    <w:rsid w:val="00A30417"/>
    <w:rsid w:val="00A30536"/>
    <w:rsid w:val="00A30855"/>
    <w:rsid w:val="00A30DCC"/>
    <w:rsid w:val="00A311AF"/>
    <w:rsid w:val="00A31344"/>
    <w:rsid w:val="00A316B3"/>
    <w:rsid w:val="00A3170D"/>
    <w:rsid w:val="00A3186D"/>
    <w:rsid w:val="00A31DD2"/>
    <w:rsid w:val="00A32769"/>
    <w:rsid w:val="00A32A22"/>
    <w:rsid w:val="00A33103"/>
    <w:rsid w:val="00A33633"/>
    <w:rsid w:val="00A33DF9"/>
    <w:rsid w:val="00A33E9B"/>
    <w:rsid w:val="00A341A0"/>
    <w:rsid w:val="00A341B6"/>
    <w:rsid w:val="00A342C7"/>
    <w:rsid w:val="00A343A6"/>
    <w:rsid w:val="00A34420"/>
    <w:rsid w:val="00A34A78"/>
    <w:rsid w:val="00A34AA3"/>
    <w:rsid w:val="00A34AB5"/>
    <w:rsid w:val="00A34AF3"/>
    <w:rsid w:val="00A34C76"/>
    <w:rsid w:val="00A34F48"/>
    <w:rsid w:val="00A34FE5"/>
    <w:rsid w:val="00A3573E"/>
    <w:rsid w:val="00A358E1"/>
    <w:rsid w:val="00A35BBA"/>
    <w:rsid w:val="00A3676E"/>
    <w:rsid w:val="00A3698E"/>
    <w:rsid w:val="00A369E5"/>
    <w:rsid w:val="00A36A87"/>
    <w:rsid w:val="00A36AB8"/>
    <w:rsid w:val="00A37185"/>
    <w:rsid w:val="00A378FF"/>
    <w:rsid w:val="00A37917"/>
    <w:rsid w:val="00A37F6B"/>
    <w:rsid w:val="00A37FF4"/>
    <w:rsid w:val="00A40165"/>
    <w:rsid w:val="00A404F2"/>
    <w:rsid w:val="00A407DA"/>
    <w:rsid w:val="00A40B26"/>
    <w:rsid w:val="00A40CDF"/>
    <w:rsid w:val="00A416A1"/>
    <w:rsid w:val="00A41A37"/>
    <w:rsid w:val="00A41A3E"/>
    <w:rsid w:val="00A41DCD"/>
    <w:rsid w:val="00A41E18"/>
    <w:rsid w:val="00A42287"/>
    <w:rsid w:val="00A422F1"/>
    <w:rsid w:val="00A42306"/>
    <w:rsid w:val="00A42406"/>
    <w:rsid w:val="00A42447"/>
    <w:rsid w:val="00A425DE"/>
    <w:rsid w:val="00A42664"/>
    <w:rsid w:val="00A4293A"/>
    <w:rsid w:val="00A429B7"/>
    <w:rsid w:val="00A42CE2"/>
    <w:rsid w:val="00A42F84"/>
    <w:rsid w:val="00A436E7"/>
    <w:rsid w:val="00A43731"/>
    <w:rsid w:val="00A43D5C"/>
    <w:rsid w:val="00A43E56"/>
    <w:rsid w:val="00A43EE7"/>
    <w:rsid w:val="00A444A8"/>
    <w:rsid w:val="00A44A60"/>
    <w:rsid w:val="00A44BFB"/>
    <w:rsid w:val="00A44D44"/>
    <w:rsid w:val="00A44E8D"/>
    <w:rsid w:val="00A45091"/>
    <w:rsid w:val="00A451F2"/>
    <w:rsid w:val="00A4554E"/>
    <w:rsid w:val="00A45637"/>
    <w:rsid w:val="00A45644"/>
    <w:rsid w:val="00A45654"/>
    <w:rsid w:val="00A456C6"/>
    <w:rsid w:val="00A45BB4"/>
    <w:rsid w:val="00A45BD1"/>
    <w:rsid w:val="00A45C75"/>
    <w:rsid w:val="00A45C7D"/>
    <w:rsid w:val="00A45E09"/>
    <w:rsid w:val="00A46300"/>
    <w:rsid w:val="00A46878"/>
    <w:rsid w:val="00A46BB0"/>
    <w:rsid w:val="00A46D58"/>
    <w:rsid w:val="00A46EA8"/>
    <w:rsid w:val="00A47997"/>
    <w:rsid w:val="00A47A37"/>
    <w:rsid w:val="00A5030B"/>
    <w:rsid w:val="00A50315"/>
    <w:rsid w:val="00A50421"/>
    <w:rsid w:val="00A504A9"/>
    <w:rsid w:val="00A5078F"/>
    <w:rsid w:val="00A51190"/>
    <w:rsid w:val="00A511A8"/>
    <w:rsid w:val="00A5120A"/>
    <w:rsid w:val="00A5150A"/>
    <w:rsid w:val="00A51D17"/>
    <w:rsid w:val="00A51D70"/>
    <w:rsid w:val="00A51ECA"/>
    <w:rsid w:val="00A51F05"/>
    <w:rsid w:val="00A5201B"/>
    <w:rsid w:val="00A52560"/>
    <w:rsid w:val="00A52680"/>
    <w:rsid w:val="00A526FD"/>
    <w:rsid w:val="00A528CB"/>
    <w:rsid w:val="00A53451"/>
    <w:rsid w:val="00A53906"/>
    <w:rsid w:val="00A53FDB"/>
    <w:rsid w:val="00A540A7"/>
    <w:rsid w:val="00A540F5"/>
    <w:rsid w:val="00A5422A"/>
    <w:rsid w:val="00A54520"/>
    <w:rsid w:val="00A5458B"/>
    <w:rsid w:val="00A54602"/>
    <w:rsid w:val="00A54757"/>
    <w:rsid w:val="00A54916"/>
    <w:rsid w:val="00A549A3"/>
    <w:rsid w:val="00A54B6B"/>
    <w:rsid w:val="00A54D7E"/>
    <w:rsid w:val="00A54DB0"/>
    <w:rsid w:val="00A54F73"/>
    <w:rsid w:val="00A5566E"/>
    <w:rsid w:val="00A55870"/>
    <w:rsid w:val="00A55944"/>
    <w:rsid w:val="00A559EA"/>
    <w:rsid w:val="00A55ACD"/>
    <w:rsid w:val="00A55DE3"/>
    <w:rsid w:val="00A55E21"/>
    <w:rsid w:val="00A55FE6"/>
    <w:rsid w:val="00A56136"/>
    <w:rsid w:val="00A567C9"/>
    <w:rsid w:val="00A567E9"/>
    <w:rsid w:val="00A5723E"/>
    <w:rsid w:val="00A57291"/>
    <w:rsid w:val="00A5753A"/>
    <w:rsid w:val="00A57968"/>
    <w:rsid w:val="00A579A6"/>
    <w:rsid w:val="00A579AD"/>
    <w:rsid w:val="00A579D3"/>
    <w:rsid w:val="00A601E3"/>
    <w:rsid w:val="00A603D3"/>
    <w:rsid w:val="00A607B5"/>
    <w:rsid w:val="00A61507"/>
    <w:rsid w:val="00A61716"/>
    <w:rsid w:val="00A61825"/>
    <w:rsid w:val="00A61AC7"/>
    <w:rsid w:val="00A61C4D"/>
    <w:rsid w:val="00A622A7"/>
    <w:rsid w:val="00A63057"/>
    <w:rsid w:val="00A63575"/>
    <w:rsid w:val="00A638A1"/>
    <w:rsid w:val="00A63B0B"/>
    <w:rsid w:val="00A63E74"/>
    <w:rsid w:val="00A646CD"/>
    <w:rsid w:val="00A64ABA"/>
    <w:rsid w:val="00A64F1B"/>
    <w:rsid w:val="00A650AC"/>
    <w:rsid w:val="00A654D0"/>
    <w:rsid w:val="00A65772"/>
    <w:rsid w:val="00A659FD"/>
    <w:rsid w:val="00A65BAB"/>
    <w:rsid w:val="00A65CFB"/>
    <w:rsid w:val="00A65E6A"/>
    <w:rsid w:val="00A65EE0"/>
    <w:rsid w:val="00A66005"/>
    <w:rsid w:val="00A66151"/>
    <w:rsid w:val="00A665E6"/>
    <w:rsid w:val="00A6660D"/>
    <w:rsid w:val="00A66C02"/>
    <w:rsid w:val="00A66C6A"/>
    <w:rsid w:val="00A66D21"/>
    <w:rsid w:val="00A66E69"/>
    <w:rsid w:val="00A66FAA"/>
    <w:rsid w:val="00A6706B"/>
    <w:rsid w:val="00A673D8"/>
    <w:rsid w:val="00A6778D"/>
    <w:rsid w:val="00A67E38"/>
    <w:rsid w:val="00A7049B"/>
    <w:rsid w:val="00A706FE"/>
    <w:rsid w:val="00A7096A"/>
    <w:rsid w:val="00A70AC1"/>
    <w:rsid w:val="00A70E46"/>
    <w:rsid w:val="00A70F54"/>
    <w:rsid w:val="00A71001"/>
    <w:rsid w:val="00A71047"/>
    <w:rsid w:val="00A7107A"/>
    <w:rsid w:val="00A7116F"/>
    <w:rsid w:val="00A716F1"/>
    <w:rsid w:val="00A717A6"/>
    <w:rsid w:val="00A71906"/>
    <w:rsid w:val="00A71AA2"/>
    <w:rsid w:val="00A721D0"/>
    <w:rsid w:val="00A722F3"/>
    <w:rsid w:val="00A7251B"/>
    <w:rsid w:val="00A72A55"/>
    <w:rsid w:val="00A72B62"/>
    <w:rsid w:val="00A72F12"/>
    <w:rsid w:val="00A72FB8"/>
    <w:rsid w:val="00A730F8"/>
    <w:rsid w:val="00A734BC"/>
    <w:rsid w:val="00A73BFE"/>
    <w:rsid w:val="00A73C68"/>
    <w:rsid w:val="00A73FA8"/>
    <w:rsid w:val="00A73FD8"/>
    <w:rsid w:val="00A74217"/>
    <w:rsid w:val="00A744E4"/>
    <w:rsid w:val="00A7475D"/>
    <w:rsid w:val="00A74887"/>
    <w:rsid w:val="00A7496D"/>
    <w:rsid w:val="00A74BB0"/>
    <w:rsid w:val="00A74EE3"/>
    <w:rsid w:val="00A7506A"/>
    <w:rsid w:val="00A751E8"/>
    <w:rsid w:val="00A753FD"/>
    <w:rsid w:val="00A75621"/>
    <w:rsid w:val="00A75824"/>
    <w:rsid w:val="00A75A78"/>
    <w:rsid w:val="00A75AC4"/>
    <w:rsid w:val="00A75C6C"/>
    <w:rsid w:val="00A75C82"/>
    <w:rsid w:val="00A75DA6"/>
    <w:rsid w:val="00A760EC"/>
    <w:rsid w:val="00A765D0"/>
    <w:rsid w:val="00A76BBB"/>
    <w:rsid w:val="00A76C1F"/>
    <w:rsid w:val="00A76D8F"/>
    <w:rsid w:val="00A76F53"/>
    <w:rsid w:val="00A76FA6"/>
    <w:rsid w:val="00A772E3"/>
    <w:rsid w:val="00A77720"/>
    <w:rsid w:val="00A800EF"/>
    <w:rsid w:val="00A804BE"/>
    <w:rsid w:val="00A805D1"/>
    <w:rsid w:val="00A80E5E"/>
    <w:rsid w:val="00A8106A"/>
    <w:rsid w:val="00A8108B"/>
    <w:rsid w:val="00A810A7"/>
    <w:rsid w:val="00A812AF"/>
    <w:rsid w:val="00A814B1"/>
    <w:rsid w:val="00A81771"/>
    <w:rsid w:val="00A81864"/>
    <w:rsid w:val="00A818A7"/>
    <w:rsid w:val="00A81935"/>
    <w:rsid w:val="00A81964"/>
    <w:rsid w:val="00A81E26"/>
    <w:rsid w:val="00A81EDC"/>
    <w:rsid w:val="00A82252"/>
    <w:rsid w:val="00A82656"/>
    <w:rsid w:val="00A82AB9"/>
    <w:rsid w:val="00A82B26"/>
    <w:rsid w:val="00A82B94"/>
    <w:rsid w:val="00A82CB2"/>
    <w:rsid w:val="00A82EA5"/>
    <w:rsid w:val="00A83481"/>
    <w:rsid w:val="00A836EA"/>
    <w:rsid w:val="00A837CD"/>
    <w:rsid w:val="00A838C6"/>
    <w:rsid w:val="00A83BB6"/>
    <w:rsid w:val="00A83E82"/>
    <w:rsid w:val="00A83FAA"/>
    <w:rsid w:val="00A840F6"/>
    <w:rsid w:val="00A84123"/>
    <w:rsid w:val="00A84299"/>
    <w:rsid w:val="00A84334"/>
    <w:rsid w:val="00A84588"/>
    <w:rsid w:val="00A84742"/>
    <w:rsid w:val="00A8479F"/>
    <w:rsid w:val="00A847A7"/>
    <w:rsid w:val="00A84ABE"/>
    <w:rsid w:val="00A84AD9"/>
    <w:rsid w:val="00A84CA0"/>
    <w:rsid w:val="00A84D2E"/>
    <w:rsid w:val="00A84E80"/>
    <w:rsid w:val="00A84EEC"/>
    <w:rsid w:val="00A8550D"/>
    <w:rsid w:val="00A85AA9"/>
    <w:rsid w:val="00A85D27"/>
    <w:rsid w:val="00A85EED"/>
    <w:rsid w:val="00A8659F"/>
    <w:rsid w:val="00A8692D"/>
    <w:rsid w:val="00A86A1F"/>
    <w:rsid w:val="00A86E97"/>
    <w:rsid w:val="00A86FEC"/>
    <w:rsid w:val="00A876F4"/>
    <w:rsid w:val="00A8774B"/>
    <w:rsid w:val="00A8777E"/>
    <w:rsid w:val="00A90291"/>
    <w:rsid w:val="00A90442"/>
    <w:rsid w:val="00A90BEC"/>
    <w:rsid w:val="00A90DD3"/>
    <w:rsid w:val="00A91185"/>
    <w:rsid w:val="00A916AF"/>
    <w:rsid w:val="00A918EB"/>
    <w:rsid w:val="00A91CC2"/>
    <w:rsid w:val="00A92351"/>
    <w:rsid w:val="00A92539"/>
    <w:rsid w:val="00A92749"/>
    <w:rsid w:val="00A92A47"/>
    <w:rsid w:val="00A92C7A"/>
    <w:rsid w:val="00A92D0D"/>
    <w:rsid w:val="00A93209"/>
    <w:rsid w:val="00A93595"/>
    <w:rsid w:val="00A93905"/>
    <w:rsid w:val="00A93DAF"/>
    <w:rsid w:val="00A9431C"/>
    <w:rsid w:val="00A94A88"/>
    <w:rsid w:val="00A94F34"/>
    <w:rsid w:val="00A95179"/>
    <w:rsid w:val="00A951A5"/>
    <w:rsid w:val="00A953BC"/>
    <w:rsid w:val="00A9541C"/>
    <w:rsid w:val="00A9549A"/>
    <w:rsid w:val="00A9581B"/>
    <w:rsid w:val="00A95D7C"/>
    <w:rsid w:val="00A95DAE"/>
    <w:rsid w:val="00A961E9"/>
    <w:rsid w:val="00A96A96"/>
    <w:rsid w:val="00A96CD8"/>
    <w:rsid w:val="00A96E89"/>
    <w:rsid w:val="00A96FBE"/>
    <w:rsid w:val="00A9702F"/>
    <w:rsid w:val="00A97202"/>
    <w:rsid w:val="00A973C0"/>
    <w:rsid w:val="00A97432"/>
    <w:rsid w:val="00AA0064"/>
    <w:rsid w:val="00AA02E1"/>
    <w:rsid w:val="00AA05BB"/>
    <w:rsid w:val="00AA062E"/>
    <w:rsid w:val="00AA0C9A"/>
    <w:rsid w:val="00AA0DC5"/>
    <w:rsid w:val="00AA0DDA"/>
    <w:rsid w:val="00AA182D"/>
    <w:rsid w:val="00AA1D4B"/>
    <w:rsid w:val="00AA1F99"/>
    <w:rsid w:val="00AA225E"/>
    <w:rsid w:val="00AA22B0"/>
    <w:rsid w:val="00AA22DF"/>
    <w:rsid w:val="00AA2312"/>
    <w:rsid w:val="00AA241A"/>
    <w:rsid w:val="00AA2D14"/>
    <w:rsid w:val="00AA31C4"/>
    <w:rsid w:val="00AA3484"/>
    <w:rsid w:val="00AA3709"/>
    <w:rsid w:val="00AA37FB"/>
    <w:rsid w:val="00AA3FBD"/>
    <w:rsid w:val="00AA404E"/>
    <w:rsid w:val="00AA4118"/>
    <w:rsid w:val="00AA41AD"/>
    <w:rsid w:val="00AA4205"/>
    <w:rsid w:val="00AA4436"/>
    <w:rsid w:val="00AA48F2"/>
    <w:rsid w:val="00AA4AC0"/>
    <w:rsid w:val="00AA50E0"/>
    <w:rsid w:val="00AA51C4"/>
    <w:rsid w:val="00AA5233"/>
    <w:rsid w:val="00AA5395"/>
    <w:rsid w:val="00AA5C30"/>
    <w:rsid w:val="00AA5F90"/>
    <w:rsid w:val="00AA6323"/>
    <w:rsid w:val="00AA63BD"/>
    <w:rsid w:val="00AA65BB"/>
    <w:rsid w:val="00AA6C84"/>
    <w:rsid w:val="00AA6D6B"/>
    <w:rsid w:val="00AA74B9"/>
    <w:rsid w:val="00AA7928"/>
    <w:rsid w:val="00AA79DF"/>
    <w:rsid w:val="00AB0192"/>
    <w:rsid w:val="00AB02C8"/>
    <w:rsid w:val="00AB0563"/>
    <w:rsid w:val="00AB07E5"/>
    <w:rsid w:val="00AB0D0B"/>
    <w:rsid w:val="00AB0E8D"/>
    <w:rsid w:val="00AB1093"/>
    <w:rsid w:val="00AB1124"/>
    <w:rsid w:val="00AB1222"/>
    <w:rsid w:val="00AB1524"/>
    <w:rsid w:val="00AB15DF"/>
    <w:rsid w:val="00AB1C4F"/>
    <w:rsid w:val="00AB232D"/>
    <w:rsid w:val="00AB28FD"/>
    <w:rsid w:val="00AB2AFE"/>
    <w:rsid w:val="00AB3581"/>
    <w:rsid w:val="00AB3905"/>
    <w:rsid w:val="00AB3ACC"/>
    <w:rsid w:val="00AB3EDB"/>
    <w:rsid w:val="00AB3FD6"/>
    <w:rsid w:val="00AB4051"/>
    <w:rsid w:val="00AB4372"/>
    <w:rsid w:val="00AB44FB"/>
    <w:rsid w:val="00AB4A8A"/>
    <w:rsid w:val="00AB4DC2"/>
    <w:rsid w:val="00AB5297"/>
    <w:rsid w:val="00AB52C1"/>
    <w:rsid w:val="00AB53CE"/>
    <w:rsid w:val="00AB553D"/>
    <w:rsid w:val="00AB5AF7"/>
    <w:rsid w:val="00AB5B19"/>
    <w:rsid w:val="00AB5D8D"/>
    <w:rsid w:val="00AB5DB3"/>
    <w:rsid w:val="00AB5E81"/>
    <w:rsid w:val="00AB6472"/>
    <w:rsid w:val="00AB698B"/>
    <w:rsid w:val="00AB6B19"/>
    <w:rsid w:val="00AB6C37"/>
    <w:rsid w:val="00AB6E0A"/>
    <w:rsid w:val="00AB75B4"/>
    <w:rsid w:val="00AB7629"/>
    <w:rsid w:val="00AB7875"/>
    <w:rsid w:val="00AB7BA2"/>
    <w:rsid w:val="00AB7E23"/>
    <w:rsid w:val="00AB7E91"/>
    <w:rsid w:val="00AC029C"/>
    <w:rsid w:val="00AC03A4"/>
    <w:rsid w:val="00AC05AD"/>
    <w:rsid w:val="00AC099C"/>
    <w:rsid w:val="00AC0BB1"/>
    <w:rsid w:val="00AC0BFB"/>
    <w:rsid w:val="00AC0C7A"/>
    <w:rsid w:val="00AC1078"/>
    <w:rsid w:val="00AC1387"/>
    <w:rsid w:val="00AC18D4"/>
    <w:rsid w:val="00AC19D5"/>
    <w:rsid w:val="00AC1A81"/>
    <w:rsid w:val="00AC1B68"/>
    <w:rsid w:val="00AC1F7D"/>
    <w:rsid w:val="00AC2068"/>
    <w:rsid w:val="00AC21E6"/>
    <w:rsid w:val="00AC2281"/>
    <w:rsid w:val="00AC23F7"/>
    <w:rsid w:val="00AC25E6"/>
    <w:rsid w:val="00AC2787"/>
    <w:rsid w:val="00AC27E2"/>
    <w:rsid w:val="00AC2991"/>
    <w:rsid w:val="00AC2DC4"/>
    <w:rsid w:val="00AC32A9"/>
    <w:rsid w:val="00AC3760"/>
    <w:rsid w:val="00AC38E9"/>
    <w:rsid w:val="00AC39AD"/>
    <w:rsid w:val="00AC3DC3"/>
    <w:rsid w:val="00AC3E51"/>
    <w:rsid w:val="00AC41E4"/>
    <w:rsid w:val="00AC4356"/>
    <w:rsid w:val="00AC4499"/>
    <w:rsid w:val="00AC459C"/>
    <w:rsid w:val="00AC46C5"/>
    <w:rsid w:val="00AC483C"/>
    <w:rsid w:val="00AC4A89"/>
    <w:rsid w:val="00AC4C47"/>
    <w:rsid w:val="00AC4F4A"/>
    <w:rsid w:val="00AC5748"/>
    <w:rsid w:val="00AC57DA"/>
    <w:rsid w:val="00AC58E8"/>
    <w:rsid w:val="00AC58F7"/>
    <w:rsid w:val="00AC5BA7"/>
    <w:rsid w:val="00AC5D59"/>
    <w:rsid w:val="00AC6568"/>
    <w:rsid w:val="00AC65D4"/>
    <w:rsid w:val="00AC6708"/>
    <w:rsid w:val="00AC68EE"/>
    <w:rsid w:val="00AC6CE3"/>
    <w:rsid w:val="00AC6D86"/>
    <w:rsid w:val="00AC7699"/>
    <w:rsid w:val="00AC7914"/>
    <w:rsid w:val="00AC79AA"/>
    <w:rsid w:val="00AC7CD4"/>
    <w:rsid w:val="00AC7D3F"/>
    <w:rsid w:val="00AD0224"/>
    <w:rsid w:val="00AD0235"/>
    <w:rsid w:val="00AD0459"/>
    <w:rsid w:val="00AD0BF8"/>
    <w:rsid w:val="00AD0E33"/>
    <w:rsid w:val="00AD145A"/>
    <w:rsid w:val="00AD1846"/>
    <w:rsid w:val="00AD1A3D"/>
    <w:rsid w:val="00AD1ACD"/>
    <w:rsid w:val="00AD1D85"/>
    <w:rsid w:val="00AD1DCE"/>
    <w:rsid w:val="00AD1EFA"/>
    <w:rsid w:val="00AD2472"/>
    <w:rsid w:val="00AD26DD"/>
    <w:rsid w:val="00AD2A08"/>
    <w:rsid w:val="00AD2B9A"/>
    <w:rsid w:val="00AD2CA2"/>
    <w:rsid w:val="00AD2EBF"/>
    <w:rsid w:val="00AD3135"/>
    <w:rsid w:val="00AD32E1"/>
    <w:rsid w:val="00AD378A"/>
    <w:rsid w:val="00AD39B1"/>
    <w:rsid w:val="00AD3BCD"/>
    <w:rsid w:val="00AD3C7A"/>
    <w:rsid w:val="00AD457D"/>
    <w:rsid w:val="00AD45F7"/>
    <w:rsid w:val="00AD48CD"/>
    <w:rsid w:val="00AD4C9B"/>
    <w:rsid w:val="00AD5507"/>
    <w:rsid w:val="00AD55CA"/>
    <w:rsid w:val="00AD5F20"/>
    <w:rsid w:val="00AD61B1"/>
    <w:rsid w:val="00AD6215"/>
    <w:rsid w:val="00AD6431"/>
    <w:rsid w:val="00AD64C6"/>
    <w:rsid w:val="00AD6B52"/>
    <w:rsid w:val="00AD72F5"/>
    <w:rsid w:val="00AD767B"/>
    <w:rsid w:val="00AD7950"/>
    <w:rsid w:val="00AD7A69"/>
    <w:rsid w:val="00AD7ACF"/>
    <w:rsid w:val="00AE0142"/>
    <w:rsid w:val="00AE0610"/>
    <w:rsid w:val="00AE070B"/>
    <w:rsid w:val="00AE0C13"/>
    <w:rsid w:val="00AE10ED"/>
    <w:rsid w:val="00AE1140"/>
    <w:rsid w:val="00AE1383"/>
    <w:rsid w:val="00AE13D7"/>
    <w:rsid w:val="00AE14F1"/>
    <w:rsid w:val="00AE28FC"/>
    <w:rsid w:val="00AE2BE2"/>
    <w:rsid w:val="00AE2C6D"/>
    <w:rsid w:val="00AE3034"/>
    <w:rsid w:val="00AE30C8"/>
    <w:rsid w:val="00AE33D9"/>
    <w:rsid w:val="00AE3CF6"/>
    <w:rsid w:val="00AE3E1D"/>
    <w:rsid w:val="00AE47A2"/>
    <w:rsid w:val="00AE4988"/>
    <w:rsid w:val="00AE4A45"/>
    <w:rsid w:val="00AE4AAA"/>
    <w:rsid w:val="00AE4E13"/>
    <w:rsid w:val="00AE52B5"/>
    <w:rsid w:val="00AE56F8"/>
    <w:rsid w:val="00AE5C42"/>
    <w:rsid w:val="00AE5C6F"/>
    <w:rsid w:val="00AE5D08"/>
    <w:rsid w:val="00AE5D2F"/>
    <w:rsid w:val="00AE60D8"/>
    <w:rsid w:val="00AE6419"/>
    <w:rsid w:val="00AE64DD"/>
    <w:rsid w:val="00AE6569"/>
    <w:rsid w:val="00AE6986"/>
    <w:rsid w:val="00AE6D63"/>
    <w:rsid w:val="00AE6E2C"/>
    <w:rsid w:val="00AE716E"/>
    <w:rsid w:val="00AE7508"/>
    <w:rsid w:val="00AE79E2"/>
    <w:rsid w:val="00AE7C28"/>
    <w:rsid w:val="00AE7C59"/>
    <w:rsid w:val="00AE7EEE"/>
    <w:rsid w:val="00AF00A5"/>
    <w:rsid w:val="00AF00BC"/>
    <w:rsid w:val="00AF019A"/>
    <w:rsid w:val="00AF0493"/>
    <w:rsid w:val="00AF08AE"/>
    <w:rsid w:val="00AF09EE"/>
    <w:rsid w:val="00AF0E52"/>
    <w:rsid w:val="00AF114B"/>
    <w:rsid w:val="00AF199F"/>
    <w:rsid w:val="00AF1AEB"/>
    <w:rsid w:val="00AF1C01"/>
    <w:rsid w:val="00AF1EED"/>
    <w:rsid w:val="00AF20F5"/>
    <w:rsid w:val="00AF26A3"/>
    <w:rsid w:val="00AF2BF4"/>
    <w:rsid w:val="00AF3125"/>
    <w:rsid w:val="00AF3544"/>
    <w:rsid w:val="00AF3619"/>
    <w:rsid w:val="00AF3875"/>
    <w:rsid w:val="00AF39D8"/>
    <w:rsid w:val="00AF3B53"/>
    <w:rsid w:val="00AF45D5"/>
    <w:rsid w:val="00AF4AA6"/>
    <w:rsid w:val="00AF4D6D"/>
    <w:rsid w:val="00AF4E4E"/>
    <w:rsid w:val="00AF5151"/>
    <w:rsid w:val="00AF5936"/>
    <w:rsid w:val="00AF598F"/>
    <w:rsid w:val="00AF59A0"/>
    <w:rsid w:val="00AF5A39"/>
    <w:rsid w:val="00AF5FEB"/>
    <w:rsid w:val="00AF6045"/>
    <w:rsid w:val="00AF6654"/>
    <w:rsid w:val="00AF6AF9"/>
    <w:rsid w:val="00AF6D7E"/>
    <w:rsid w:val="00AF6E13"/>
    <w:rsid w:val="00AF6E6D"/>
    <w:rsid w:val="00AF6EA4"/>
    <w:rsid w:val="00AF7031"/>
    <w:rsid w:val="00AF70F5"/>
    <w:rsid w:val="00AF71CC"/>
    <w:rsid w:val="00AF71ED"/>
    <w:rsid w:val="00AF78C9"/>
    <w:rsid w:val="00AF7B46"/>
    <w:rsid w:val="00AF7DA3"/>
    <w:rsid w:val="00AF7E5C"/>
    <w:rsid w:val="00B002EC"/>
    <w:rsid w:val="00B00C12"/>
    <w:rsid w:val="00B00DD1"/>
    <w:rsid w:val="00B00DED"/>
    <w:rsid w:val="00B010AC"/>
    <w:rsid w:val="00B0193D"/>
    <w:rsid w:val="00B01B07"/>
    <w:rsid w:val="00B01B92"/>
    <w:rsid w:val="00B01D46"/>
    <w:rsid w:val="00B01F42"/>
    <w:rsid w:val="00B01F7E"/>
    <w:rsid w:val="00B02227"/>
    <w:rsid w:val="00B02538"/>
    <w:rsid w:val="00B026FD"/>
    <w:rsid w:val="00B02904"/>
    <w:rsid w:val="00B02A0B"/>
    <w:rsid w:val="00B02B12"/>
    <w:rsid w:val="00B02D47"/>
    <w:rsid w:val="00B02EEC"/>
    <w:rsid w:val="00B02F02"/>
    <w:rsid w:val="00B02F33"/>
    <w:rsid w:val="00B03030"/>
    <w:rsid w:val="00B03741"/>
    <w:rsid w:val="00B03B78"/>
    <w:rsid w:val="00B03C45"/>
    <w:rsid w:val="00B0482B"/>
    <w:rsid w:val="00B04C2D"/>
    <w:rsid w:val="00B04C3F"/>
    <w:rsid w:val="00B04FFF"/>
    <w:rsid w:val="00B0518B"/>
    <w:rsid w:val="00B05295"/>
    <w:rsid w:val="00B053C9"/>
    <w:rsid w:val="00B05CE5"/>
    <w:rsid w:val="00B0604E"/>
    <w:rsid w:val="00B0632F"/>
    <w:rsid w:val="00B06334"/>
    <w:rsid w:val="00B0642A"/>
    <w:rsid w:val="00B06817"/>
    <w:rsid w:val="00B072B8"/>
    <w:rsid w:val="00B0731B"/>
    <w:rsid w:val="00B073A9"/>
    <w:rsid w:val="00B07B49"/>
    <w:rsid w:val="00B1019C"/>
    <w:rsid w:val="00B10368"/>
    <w:rsid w:val="00B107A3"/>
    <w:rsid w:val="00B1081A"/>
    <w:rsid w:val="00B10A79"/>
    <w:rsid w:val="00B10B48"/>
    <w:rsid w:val="00B10E56"/>
    <w:rsid w:val="00B10EB1"/>
    <w:rsid w:val="00B10F06"/>
    <w:rsid w:val="00B10FC5"/>
    <w:rsid w:val="00B11231"/>
    <w:rsid w:val="00B115FF"/>
    <w:rsid w:val="00B12312"/>
    <w:rsid w:val="00B12B18"/>
    <w:rsid w:val="00B12FD2"/>
    <w:rsid w:val="00B132D0"/>
    <w:rsid w:val="00B1362D"/>
    <w:rsid w:val="00B139E1"/>
    <w:rsid w:val="00B139F6"/>
    <w:rsid w:val="00B13E87"/>
    <w:rsid w:val="00B14038"/>
    <w:rsid w:val="00B142AA"/>
    <w:rsid w:val="00B14381"/>
    <w:rsid w:val="00B1464D"/>
    <w:rsid w:val="00B14CB7"/>
    <w:rsid w:val="00B14E68"/>
    <w:rsid w:val="00B15163"/>
    <w:rsid w:val="00B15C5D"/>
    <w:rsid w:val="00B15C5F"/>
    <w:rsid w:val="00B15E50"/>
    <w:rsid w:val="00B16682"/>
    <w:rsid w:val="00B16683"/>
    <w:rsid w:val="00B16C2A"/>
    <w:rsid w:val="00B16C91"/>
    <w:rsid w:val="00B16CF7"/>
    <w:rsid w:val="00B16E7F"/>
    <w:rsid w:val="00B16F46"/>
    <w:rsid w:val="00B17133"/>
    <w:rsid w:val="00B1714E"/>
    <w:rsid w:val="00B17344"/>
    <w:rsid w:val="00B17346"/>
    <w:rsid w:val="00B17F1F"/>
    <w:rsid w:val="00B206DC"/>
    <w:rsid w:val="00B2081A"/>
    <w:rsid w:val="00B20E79"/>
    <w:rsid w:val="00B20E97"/>
    <w:rsid w:val="00B21631"/>
    <w:rsid w:val="00B21683"/>
    <w:rsid w:val="00B21A0F"/>
    <w:rsid w:val="00B21AA3"/>
    <w:rsid w:val="00B21B13"/>
    <w:rsid w:val="00B21C77"/>
    <w:rsid w:val="00B21D5B"/>
    <w:rsid w:val="00B21DD0"/>
    <w:rsid w:val="00B22985"/>
    <w:rsid w:val="00B22A72"/>
    <w:rsid w:val="00B22AC2"/>
    <w:rsid w:val="00B22B5A"/>
    <w:rsid w:val="00B22D46"/>
    <w:rsid w:val="00B22DEE"/>
    <w:rsid w:val="00B22E03"/>
    <w:rsid w:val="00B22F73"/>
    <w:rsid w:val="00B22FFA"/>
    <w:rsid w:val="00B23071"/>
    <w:rsid w:val="00B23B99"/>
    <w:rsid w:val="00B23CDF"/>
    <w:rsid w:val="00B23E30"/>
    <w:rsid w:val="00B23EBF"/>
    <w:rsid w:val="00B2454E"/>
    <w:rsid w:val="00B24648"/>
    <w:rsid w:val="00B246D7"/>
    <w:rsid w:val="00B24A08"/>
    <w:rsid w:val="00B24FCB"/>
    <w:rsid w:val="00B25ADB"/>
    <w:rsid w:val="00B25D46"/>
    <w:rsid w:val="00B25D60"/>
    <w:rsid w:val="00B26639"/>
    <w:rsid w:val="00B26907"/>
    <w:rsid w:val="00B26ADC"/>
    <w:rsid w:val="00B26B98"/>
    <w:rsid w:val="00B26CD3"/>
    <w:rsid w:val="00B26F8C"/>
    <w:rsid w:val="00B27003"/>
    <w:rsid w:val="00B27067"/>
    <w:rsid w:val="00B27286"/>
    <w:rsid w:val="00B273EF"/>
    <w:rsid w:val="00B2740E"/>
    <w:rsid w:val="00B27BE2"/>
    <w:rsid w:val="00B27F08"/>
    <w:rsid w:val="00B27F2E"/>
    <w:rsid w:val="00B30202"/>
    <w:rsid w:val="00B302FA"/>
    <w:rsid w:val="00B303AF"/>
    <w:rsid w:val="00B3087D"/>
    <w:rsid w:val="00B30D88"/>
    <w:rsid w:val="00B30DFE"/>
    <w:rsid w:val="00B30F0A"/>
    <w:rsid w:val="00B3109D"/>
    <w:rsid w:val="00B310E5"/>
    <w:rsid w:val="00B3113B"/>
    <w:rsid w:val="00B31181"/>
    <w:rsid w:val="00B3129B"/>
    <w:rsid w:val="00B3167A"/>
    <w:rsid w:val="00B3182C"/>
    <w:rsid w:val="00B31BE8"/>
    <w:rsid w:val="00B31E53"/>
    <w:rsid w:val="00B31EDE"/>
    <w:rsid w:val="00B32012"/>
    <w:rsid w:val="00B3253E"/>
    <w:rsid w:val="00B325F0"/>
    <w:rsid w:val="00B325F1"/>
    <w:rsid w:val="00B326C1"/>
    <w:rsid w:val="00B327E4"/>
    <w:rsid w:val="00B329FE"/>
    <w:rsid w:val="00B32D6F"/>
    <w:rsid w:val="00B33526"/>
    <w:rsid w:val="00B33D33"/>
    <w:rsid w:val="00B34664"/>
    <w:rsid w:val="00B34683"/>
    <w:rsid w:val="00B34794"/>
    <w:rsid w:val="00B34BB2"/>
    <w:rsid w:val="00B34D21"/>
    <w:rsid w:val="00B34F62"/>
    <w:rsid w:val="00B3517B"/>
    <w:rsid w:val="00B352F4"/>
    <w:rsid w:val="00B35912"/>
    <w:rsid w:val="00B35AF5"/>
    <w:rsid w:val="00B35C15"/>
    <w:rsid w:val="00B35C97"/>
    <w:rsid w:val="00B35F77"/>
    <w:rsid w:val="00B35FC8"/>
    <w:rsid w:val="00B363A6"/>
    <w:rsid w:val="00B365AE"/>
    <w:rsid w:val="00B3661A"/>
    <w:rsid w:val="00B3785A"/>
    <w:rsid w:val="00B37B90"/>
    <w:rsid w:val="00B37BD1"/>
    <w:rsid w:val="00B37C96"/>
    <w:rsid w:val="00B40856"/>
    <w:rsid w:val="00B409B2"/>
    <w:rsid w:val="00B409C4"/>
    <w:rsid w:val="00B41119"/>
    <w:rsid w:val="00B411DA"/>
    <w:rsid w:val="00B414C5"/>
    <w:rsid w:val="00B4185B"/>
    <w:rsid w:val="00B41E6D"/>
    <w:rsid w:val="00B42078"/>
    <w:rsid w:val="00B42475"/>
    <w:rsid w:val="00B42B2C"/>
    <w:rsid w:val="00B42BB3"/>
    <w:rsid w:val="00B4366C"/>
    <w:rsid w:val="00B43A9B"/>
    <w:rsid w:val="00B43E56"/>
    <w:rsid w:val="00B44045"/>
    <w:rsid w:val="00B441F5"/>
    <w:rsid w:val="00B44292"/>
    <w:rsid w:val="00B4475E"/>
    <w:rsid w:val="00B44C5D"/>
    <w:rsid w:val="00B44D4B"/>
    <w:rsid w:val="00B44E38"/>
    <w:rsid w:val="00B452A0"/>
    <w:rsid w:val="00B457DD"/>
    <w:rsid w:val="00B45A4D"/>
    <w:rsid w:val="00B45ABC"/>
    <w:rsid w:val="00B465CD"/>
    <w:rsid w:val="00B469B9"/>
    <w:rsid w:val="00B46A54"/>
    <w:rsid w:val="00B46C29"/>
    <w:rsid w:val="00B472D2"/>
    <w:rsid w:val="00B47605"/>
    <w:rsid w:val="00B47627"/>
    <w:rsid w:val="00B476A3"/>
    <w:rsid w:val="00B47771"/>
    <w:rsid w:val="00B47977"/>
    <w:rsid w:val="00B47E32"/>
    <w:rsid w:val="00B47E34"/>
    <w:rsid w:val="00B47F8B"/>
    <w:rsid w:val="00B503E0"/>
    <w:rsid w:val="00B5073B"/>
    <w:rsid w:val="00B50A60"/>
    <w:rsid w:val="00B50ED5"/>
    <w:rsid w:val="00B50F7B"/>
    <w:rsid w:val="00B511EB"/>
    <w:rsid w:val="00B51201"/>
    <w:rsid w:val="00B517D5"/>
    <w:rsid w:val="00B5187F"/>
    <w:rsid w:val="00B523A3"/>
    <w:rsid w:val="00B52C78"/>
    <w:rsid w:val="00B532AC"/>
    <w:rsid w:val="00B53324"/>
    <w:rsid w:val="00B53339"/>
    <w:rsid w:val="00B5341F"/>
    <w:rsid w:val="00B5349A"/>
    <w:rsid w:val="00B536CE"/>
    <w:rsid w:val="00B537EB"/>
    <w:rsid w:val="00B5397E"/>
    <w:rsid w:val="00B53A4E"/>
    <w:rsid w:val="00B53B02"/>
    <w:rsid w:val="00B5479A"/>
    <w:rsid w:val="00B54864"/>
    <w:rsid w:val="00B54998"/>
    <w:rsid w:val="00B549FC"/>
    <w:rsid w:val="00B54C63"/>
    <w:rsid w:val="00B54C94"/>
    <w:rsid w:val="00B54E9A"/>
    <w:rsid w:val="00B55276"/>
    <w:rsid w:val="00B552DF"/>
    <w:rsid w:val="00B553D4"/>
    <w:rsid w:val="00B55559"/>
    <w:rsid w:val="00B555CC"/>
    <w:rsid w:val="00B55779"/>
    <w:rsid w:val="00B5581C"/>
    <w:rsid w:val="00B55DC1"/>
    <w:rsid w:val="00B56917"/>
    <w:rsid w:val="00B57259"/>
    <w:rsid w:val="00B57D07"/>
    <w:rsid w:val="00B60134"/>
    <w:rsid w:val="00B6032A"/>
    <w:rsid w:val="00B60421"/>
    <w:rsid w:val="00B605AA"/>
    <w:rsid w:val="00B606EA"/>
    <w:rsid w:val="00B60777"/>
    <w:rsid w:val="00B60BD3"/>
    <w:rsid w:val="00B613D0"/>
    <w:rsid w:val="00B615B8"/>
    <w:rsid w:val="00B616D6"/>
    <w:rsid w:val="00B61C1C"/>
    <w:rsid w:val="00B61D39"/>
    <w:rsid w:val="00B61EA2"/>
    <w:rsid w:val="00B61FD3"/>
    <w:rsid w:val="00B6228D"/>
    <w:rsid w:val="00B62302"/>
    <w:rsid w:val="00B62909"/>
    <w:rsid w:val="00B630A3"/>
    <w:rsid w:val="00B63574"/>
    <w:rsid w:val="00B6381B"/>
    <w:rsid w:val="00B63CF0"/>
    <w:rsid w:val="00B64078"/>
    <w:rsid w:val="00B640B3"/>
    <w:rsid w:val="00B6426B"/>
    <w:rsid w:val="00B643AB"/>
    <w:rsid w:val="00B644BD"/>
    <w:rsid w:val="00B647A2"/>
    <w:rsid w:val="00B654D1"/>
    <w:rsid w:val="00B65574"/>
    <w:rsid w:val="00B6561B"/>
    <w:rsid w:val="00B656C2"/>
    <w:rsid w:val="00B65927"/>
    <w:rsid w:val="00B65947"/>
    <w:rsid w:val="00B65BAD"/>
    <w:rsid w:val="00B66368"/>
    <w:rsid w:val="00B666FB"/>
    <w:rsid w:val="00B667AD"/>
    <w:rsid w:val="00B667F0"/>
    <w:rsid w:val="00B668CF"/>
    <w:rsid w:val="00B66D7B"/>
    <w:rsid w:val="00B67223"/>
    <w:rsid w:val="00B6725A"/>
    <w:rsid w:val="00B67449"/>
    <w:rsid w:val="00B674DA"/>
    <w:rsid w:val="00B67526"/>
    <w:rsid w:val="00B6758E"/>
    <w:rsid w:val="00B677E4"/>
    <w:rsid w:val="00B67C5B"/>
    <w:rsid w:val="00B67C9C"/>
    <w:rsid w:val="00B67FB4"/>
    <w:rsid w:val="00B70768"/>
    <w:rsid w:val="00B710CB"/>
    <w:rsid w:val="00B712A7"/>
    <w:rsid w:val="00B712D1"/>
    <w:rsid w:val="00B71403"/>
    <w:rsid w:val="00B714F6"/>
    <w:rsid w:val="00B7160D"/>
    <w:rsid w:val="00B71937"/>
    <w:rsid w:val="00B71BBA"/>
    <w:rsid w:val="00B7233B"/>
    <w:rsid w:val="00B725E9"/>
    <w:rsid w:val="00B7280C"/>
    <w:rsid w:val="00B728B5"/>
    <w:rsid w:val="00B72A52"/>
    <w:rsid w:val="00B7308B"/>
    <w:rsid w:val="00B73235"/>
    <w:rsid w:val="00B73438"/>
    <w:rsid w:val="00B734CB"/>
    <w:rsid w:val="00B73A98"/>
    <w:rsid w:val="00B73C21"/>
    <w:rsid w:val="00B74126"/>
    <w:rsid w:val="00B741E2"/>
    <w:rsid w:val="00B7450C"/>
    <w:rsid w:val="00B74883"/>
    <w:rsid w:val="00B748FA"/>
    <w:rsid w:val="00B749A7"/>
    <w:rsid w:val="00B74C43"/>
    <w:rsid w:val="00B75948"/>
    <w:rsid w:val="00B75D96"/>
    <w:rsid w:val="00B75E20"/>
    <w:rsid w:val="00B76410"/>
    <w:rsid w:val="00B765CD"/>
    <w:rsid w:val="00B768AA"/>
    <w:rsid w:val="00B76A4C"/>
    <w:rsid w:val="00B76B5D"/>
    <w:rsid w:val="00B76E53"/>
    <w:rsid w:val="00B76E67"/>
    <w:rsid w:val="00B7746D"/>
    <w:rsid w:val="00B774BB"/>
    <w:rsid w:val="00B77615"/>
    <w:rsid w:val="00B77708"/>
    <w:rsid w:val="00B77851"/>
    <w:rsid w:val="00B801FB"/>
    <w:rsid w:val="00B802DB"/>
    <w:rsid w:val="00B80462"/>
    <w:rsid w:val="00B8059C"/>
    <w:rsid w:val="00B807B3"/>
    <w:rsid w:val="00B808B4"/>
    <w:rsid w:val="00B808C7"/>
    <w:rsid w:val="00B80A9B"/>
    <w:rsid w:val="00B80D5B"/>
    <w:rsid w:val="00B80E12"/>
    <w:rsid w:val="00B8105C"/>
    <w:rsid w:val="00B81260"/>
    <w:rsid w:val="00B814CC"/>
    <w:rsid w:val="00B81687"/>
    <w:rsid w:val="00B81791"/>
    <w:rsid w:val="00B81840"/>
    <w:rsid w:val="00B81952"/>
    <w:rsid w:val="00B81997"/>
    <w:rsid w:val="00B81A99"/>
    <w:rsid w:val="00B81EB6"/>
    <w:rsid w:val="00B81EDD"/>
    <w:rsid w:val="00B821A4"/>
    <w:rsid w:val="00B82645"/>
    <w:rsid w:val="00B82796"/>
    <w:rsid w:val="00B8283A"/>
    <w:rsid w:val="00B82A10"/>
    <w:rsid w:val="00B82BF5"/>
    <w:rsid w:val="00B82F69"/>
    <w:rsid w:val="00B830E0"/>
    <w:rsid w:val="00B834DA"/>
    <w:rsid w:val="00B83811"/>
    <w:rsid w:val="00B83826"/>
    <w:rsid w:val="00B83B66"/>
    <w:rsid w:val="00B83EE1"/>
    <w:rsid w:val="00B84295"/>
    <w:rsid w:val="00B84839"/>
    <w:rsid w:val="00B8484E"/>
    <w:rsid w:val="00B85410"/>
    <w:rsid w:val="00B857FA"/>
    <w:rsid w:val="00B85AB4"/>
    <w:rsid w:val="00B85EFF"/>
    <w:rsid w:val="00B85FEB"/>
    <w:rsid w:val="00B8614D"/>
    <w:rsid w:val="00B861F7"/>
    <w:rsid w:val="00B86221"/>
    <w:rsid w:val="00B865AA"/>
    <w:rsid w:val="00B8696C"/>
    <w:rsid w:val="00B8698E"/>
    <w:rsid w:val="00B86B7D"/>
    <w:rsid w:val="00B86CB4"/>
    <w:rsid w:val="00B86E3D"/>
    <w:rsid w:val="00B86E45"/>
    <w:rsid w:val="00B87110"/>
    <w:rsid w:val="00B87C90"/>
    <w:rsid w:val="00B905DF"/>
    <w:rsid w:val="00B9060F"/>
    <w:rsid w:val="00B90644"/>
    <w:rsid w:val="00B908EC"/>
    <w:rsid w:val="00B91845"/>
    <w:rsid w:val="00B918B3"/>
    <w:rsid w:val="00B91B69"/>
    <w:rsid w:val="00B91B9B"/>
    <w:rsid w:val="00B91CD3"/>
    <w:rsid w:val="00B91DFF"/>
    <w:rsid w:val="00B92004"/>
    <w:rsid w:val="00B925B0"/>
    <w:rsid w:val="00B92A50"/>
    <w:rsid w:val="00B92B4D"/>
    <w:rsid w:val="00B92BFC"/>
    <w:rsid w:val="00B931B5"/>
    <w:rsid w:val="00B93826"/>
    <w:rsid w:val="00B93984"/>
    <w:rsid w:val="00B93E5C"/>
    <w:rsid w:val="00B94462"/>
    <w:rsid w:val="00B94F91"/>
    <w:rsid w:val="00B953DA"/>
    <w:rsid w:val="00B95506"/>
    <w:rsid w:val="00B956D1"/>
    <w:rsid w:val="00B95774"/>
    <w:rsid w:val="00B95D8E"/>
    <w:rsid w:val="00B95E62"/>
    <w:rsid w:val="00B96220"/>
    <w:rsid w:val="00B96322"/>
    <w:rsid w:val="00B964AF"/>
    <w:rsid w:val="00B9665A"/>
    <w:rsid w:val="00B9672E"/>
    <w:rsid w:val="00B9677B"/>
    <w:rsid w:val="00B967D3"/>
    <w:rsid w:val="00B96DE9"/>
    <w:rsid w:val="00B96E14"/>
    <w:rsid w:val="00B9703B"/>
    <w:rsid w:val="00B97604"/>
    <w:rsid w:val="00B976F3"/>
    <w:rsid w:val="00B97873"/>
    <w:rsid w:val="00B97B58"/>
    <w:rsid w:val="00B97BC0"/>
    <w:rsid w:val="00B97D02"/>
    <w:rsid w:val="00B97E70"/>
    <w:rsid w:val="00B97F04"/>
    <w:rsid w:val="00BA042D"/>
    <w:rsid w:val="00BA0818"/>
    <w:rsid w:val="00BA0943"/>
    <w:rsid w:val="00BA09DA"/>
    <w:rsid w:val="00BA0B48"/>
    <w:rsid w:val="00BA0B7C"/>
    <w:rsid w:val="00BA0FF2"/>
    <w:rsid w:val="00BA141D"/>
    <w:rsid w:val="00BA15DA"/>
    <w:rsid w:val="00BA17B4"/>
    <w:rsid w:val="00BA1DDA"/>
    <w:rsid w:val="00BA1F0B"/>
    <w:rsid w:val="00BA220F"/>
    <w:rsid w:val="00BA2228"/>
    <w:rsid w:val="00BA2363"/>
    <w:rsid w:val="00BA25F8"/>
    <w:rsid w:val="00BA2A7A"/>
    <w:rsid w:val="00BA2DE7"/>
    <w:rsid w:val="00BA30D1"/>
    <w:rsid w:val="00BA325D"/>
    <w:rsid w:val="00BA35E4"/>
    <w:rsid w:val="00BA3898"/>
    <w:rsid w:val="00BA3ADA"/>
    <w:rsid w:val="00BA3DC5"/>
    <w:rsid w:val="00BA41C7"/>
    <w:rsid w:val="00BA43D0"/>
    <w:rsid w:val="00BA468E"/>
    <w:rsid w:val="00BA4B3C"/>
    <w:rsid w:val="00BA4C4D"/>
    <w:rsid w:val="00BA542E"/>
    <w:rsid w:val="00BA5478"/>
    <w:rsid w:val="00BA57D8"/>
    <w:rsid w:val="00BA5A2F"/>
    <w:rsid w:val="00BA5E47"/>
    <w:rsid w:val="00BA5F2A"/>
    <w:rsid w:val="00BA6142"/>
    <w:rsid w:val="00BA66DA"/>
    <w:rsid w:val="00BA6BDB"/>
    <w:rsid w:val="00BA6E11"/>
    <w:rsid w:val="00BA729A"/>
    <w:rsid w:val="00BA742F"/>
    <w:rsid w:val="00BA7783"/>
    <w:rsid w:val="00BA77F0"/>
    <w:rsid w:val="00BA7AE9"/>
    <w:rsid w:val="00BA7B64"/>
    <w:rsid w:val="00BB01B5"/>
    <w:rsid w:val="00BB0243"/>
    <w:rsid w:val="00BB02BA"/>
    <w:rsid w:val="00BB0372"/>
    <w:rsid w:val="00BB090A"/>
    <w:rsid w:val="00BB0B74"/>
    <w:rsid w:val="00BB0CFC"/>
    <w:rsid w:val="00BB22D0"/>
    <w:rsid w:val="00BB24C9"/>
    <w:rsid w:val="00BB267B"/>
    <w:rsid w:val="00BB2800"/>
    <w:rsid w:val="00BB2CED"/>
    <w:rsid w:val="00BB31CB"/>
    <w:rsid w:val="00BB38E0"/>
    <w:rsid w:val="00BB3936"/>
    <w:rsid w:val="00BB3E1E"/>
    <w:rsid w:val="00BB46D3"/>
    <w:rsid w:val="00BB473D"/>
    <w:rsid w:val="00BB4EFE"/>
    <w:rsid w:val="00BB5242"/>
    <w:rsid w:val="00BB55F5"/>
    <w:rsid w:val="00BB5BA6"/>
    <w:rsid w:val="00BB620D"/>
    <w:rsid w:val="00BB641C"/>
    <w:rsid w:val="00BB6696"/>
    <w:rsid w:val="00BB691D"/>
    <w:rsid w:val="00BB6A3B"/>
    <w:rsid w:val="00BB6AFD"/>
    <w:rsid w:val="00BB7139"/>
    <w:rsid w:val="00BB74A0"/>
    <w:rsid w:val="00BB75B6"/>
    <w:rsid w:val="00BB77F6"/>
    <w:rsid w:val="00BB7935"/>
    <w:rsid w:val="00BB7DC5"/>
    <w:rsid w:val="00BC023F"/>
    <w:rsid w:val="00BC051C"/>
    <w:rsid w:val="00BC0B62"/>
    <w:rsid w:val="00BC0DE6"/>
    <w:rsid w:val="00BC1032"/>
    <w:rsid w:val="00BC10BB"/>
    <w:rsid w:val="00BC14FB"/>
    <w:rsid w:val="00BC1846"/>
    <w:rsid w:val="00BC18A6"/>
    <w:rsid w:val="00BC231F"/>
    <w:rsid w:val="00BC259E"/>
    <w:rsid w:val="00BC28F0"/>
    <w:rsid w:val="00BC2981"/>
    <w:rsid w:val="00BC2A59"/>
    <w:rsid w:val="00BC2AAE"/>
    <w:rsid w:val="00BC2AC5"/>
    <w:rsid w:val="00BC2C23"/>
    <w:rsid w:val="00BC2D8B"/>
    <w:rsid w:val="00BC2E8A"/>
    <w:rsid w:val="00BC2FDD"/>
    <w:rsid w:val="00BC307E"/>
    <w:rsid w:val="00BC323D"/>
    <w:rsid w:val="00BC3449"/>
    <w:rsid w:val="00BC3458"/>
    <w:rsid w:val="00BC3852"/>
    <w:rsid w:val="00BC3D36"/>
    <w:rsid w:val="00BC4001"/>
    <w:rsid w:val="00BC4103"/>
    <w:rsid w:val="00BC4466"/>
    <w:rsid w:val="00BC4A5D"/>
    <w:rsid w:val="00BC4F15"/>
    <w:rsid w:val="00BC5232"/>
    <w:rsid w:val="00BC53F6"/>
    <w:rsid w:val="00BC59EB"/>
    <w:rsid w:val="00BC5A73"/>
    <w:rsid w:val="00BC5AEB"/>
    <w:rsid w:val="00BC5B72"/>
    <w:rsid w:val="00BC5EE8"/>
    <w:rsid w:val="00BC5F3D"/>
    <w:rsid w:val="00BC6204"/>
    <w:rsid w:val="00BC65A2"/>
    <w:rsid w:val="00BC6910"/>
    <w:rsid w:val="00BC6C90"/>
    <w:rsid w:val="00BC6F08"/>
    <w:rsid w:val="00BC7179"/>
    <w:rsid w:val="00BC71B6"/>
    <w:rsid w:val="00BC7661"/>
    <w:rsid w:val="00BC785E"/>
    <w:rsid w:val="00BC7BD8"/>
    <w:rsid w:val="00BC7F4B"/>
    <w:rsid w:val="00BD09F2"/>
    <w:rsid w:val="00BD0AB8"/>
    <w:rsid w:val="00BD125B"/>
    <w:rsid w:val="00BD159B"/>
    <w:rsid w:val="00BD1689"/>
    <w:rsid w:val="00BD19D2"/>
    <w:rsid w:val="00BD19E0"/>
    <w:rsid w:val="00BD1E1F"/>
    <w:rsid w:val="00BD21E7"/>
    <w:rsid w:val="00BD29B0"/>
    <w:rsid w:val="00BD2A81"/>
    <w:rsid w:val="00BD2CAE"/>
    <w:rsid w:val="00BD3008"/>
    <w:rsid w:val="00BD3268"/>
    <w:rsid w:val="00BD380C"/>
    <w:rsid w:val="00BD3DC0"/>
    <w:rsid w:val="00BD4010"/>
    <w:rsid w:val="00BD41F5"/>
    <w:rsid w:val="00BD4253"/>
    <w:rsid w:val="00BD4269"/>
    <w:rsid w:val="00BD44B9"/>
    <w:rsid w:val="00BD45BF"/>
    <w:rsid w:val="00BD4891"/>
    <w:rsid w:val="00BD4A7F"/>
    <w:rsid w:val="00BD4C5B"/>
    <w:rsid w:val="00BD4CAA"/>
    <w:rsid w:val="00BD4F97"/>
    <w:rsid w:val="00BD5C7D"/>
    <w:rsid w:val="00BD6140"/>
    <w:rsid w:val="00BD6247"/>
    <w:rsid w:val="00BD6811"/>
    <w:rsid w:val="00BD6B60"/>
    <w:rsid w:val="00BD6C11"/>
    <w:rsid w:val="00BD72AC"/>
    <w:rsid w:val="00BD7449"/>
    <w:rsid w:val="00BD7537"/>
    <w:rsid w:val="00BD7542"/>
    <w:rsid w:val="00BD75C1"/>
    <w:rsid w:val="00BD7928"/>
    <w:rsid w:val="00BD7F89"/>
    <w:rsid w:val="00BE01F7"/>
    <w:rsid w:val="00BE037C"/>
    <w:rsid w:val="00BE05E7"/>
    <w:rsid w:val="00BE0B25"/>
    <w:rsid w:val="00BE0C00"/>
    <w:rsid w:val="00BE0CBA"/>
    <w:rsid w:val="00BE0CDB"/>
    <w:rsid w:val="00BE108E"/>
    <w:rsid w:val="00BE1164"/>
    <w:rsid w:val="00BE157F"/>
    <w:rsid w:val="00BE166D"/>
    <w:rsid w:val="00BE172B"/>
    <w:rsid w:val="00BE17C6"/>
    <w:rsid w:val="00BE17E1"/>
    <w:rsid w:val="00BE1921"/>
    <w:rsid w:val="00BE192C"/>
    <w:rsid w:val="00BE2016"/>
    <w:rsid w:val="00BE2569"/>
    <w:rsid w:val="00BE2AEE"/>
    <w:rsid w:val="00BE317A"/>
    <w:rsid w:val="00BE3254"/>
    <w:rsid w:val="00BE3394"/>
    <w:rsid w:val="00BE3471"/>
    <w:rsid w:val="00BE3492"/>
    <w:rsid w:val="00BE3788"/>
    <w:rsid w:val="00BE37A0"/>
    <w:rsid w:val="00BE38C3"/>
    <w:rsid w:val="00BE4107"/>
    <w:rsid w:val="00BE419C"/>
    <w:rsid w:val="00BE42DE"/>
    <w:rsid w:val="00BE44BB"/>
    <w:rsid w:val="00BE44C1"/>
    <w:rsid w:val="00BE4B7C"/>
    <w:rsid w:val="00BE4D3E"/>
    <w:rsid w:val="00BE4FD0"/>
    <w:rsid w:val="00BE50AA"/>
    <w:rsid w:val="00BE5132"/>
    <w:rsid w:val="00BE5214"/>
    <w:rsid w:val="00BE55B2"/>
    <w:rsid w:val="00BE5781"/>
    <w:rsid w:val="00BE57F7"/>
    <w:rsid w:val="00BE5843"/>
    <w:rsid w:val="00BE596F"/>
    <w:rsid w:val="00BE59B4"/>
    <w:rsid w:val="00BE5DEA"/>
    <w:rsid w:val="00BE5E07"/>
    <w:rsid w:val="00BE5E95"/>
    <w:rsid w:val="00BE61B8"/>
    <w:rsid w:val="00BE6669"/>
    <w:rsid w:val="00BE6900"/>
    <w:rsid w:val="00BE6966"/>
    <w:rsid w:val="00BE6AAE"/>
    <w:rsid w:val="00BE6B5A"/>
    <w:rsid w:val="00BE6F4A"/>
    <w:rsid w:val="00BE6F5F"/>
    <w:rsid w:val="00BE7458"/>
    <w:rsid w:val="00BE7CE4"/>
    <w:rsid w:val="00BE7E6E"/>
    <w:rsid w:val="00BF030D"/>
    <w:rsid w:val="00BF0667"/>
    <w:rsid w:val="00BF0791"/>
    <w:rsid w:val="00BF0A94"/>
    <w:rsid w:val="00BF0D26"/>
    <w:rsid w:val="00BF1215"/>
    <w:rsid w:val="00BF15CE"/>
    <w:rsid w:val="00BF1764"/>
    <w:rsid w:val="00BF177C"/>
    <w:rsid w:val="00BF1903"/>
    <w:rsid w:val="00BF1A2E"/>
    <w:rsid w:val="00BF1A99"/>
    <w:rsid w:val="00BF1CEF"/>
    <w:rsid w:val="00BF1E8D"/>
    <w:rsid w:val="00BF1F28"/>
    <w:rsid w:val="00BF207B"/>
    <w:rsid w:val="00BF22FB"/>
    <w:rsid w:val="00BF2D53"/>
    <w:rsid w:val="00BF2F86"/>
    <w:rsid w:val="00BF313D"/>
    <w:rsid w:val="00BF347D"/>
    <w:rsid w:val="00BF36DC"/>
    <w:rsid w:val="00BF3B0D"/>
    <w:rsid w:val="00BF3EF9"/>
    <w:rsid w:val="00BF47EC"/>
    <w:rsid w:val="00BF4909"/>
    <w:rsid w:val="00BF513E"/>
    <w:rsid w:val="00BF5697"/>
    <w:rsid w:val="00BF575D"/>
    <w:rsid w:val="00BF5EF5"/>
    <w:rsid w:val="00BF6398"/>
    <w:rsid w:val="00BF68FB"/>
    <w:rsid w:val="00BF6B5B"/>
    <w:rsid w:val="00BF6E92"/>
    <w:rsid w:val="00BF77F3"/>
    <w:rsid w:val="00BF7A5E"/>
    <w:rsid w:val="00BF7B7F"/>
    <w:rsid w:val="00BF7EC3"/>
    <w:rsid w:val="00C0001B"/>
    <w:rsid w:val="00C0019A"/>
    <w:rsid w:val="00C00206"/>
    <w:rsid w:val="00C0020C"/>
    <w:rsid w:val="00C0023E"/>
    <w:rsid w:val="00C00A15"/>
    <w:rsid w:val="00C00E44"/>
    <w:rsid w:val="00C01464"/>
    <w:rsid w:val="00C01D1D"/>
    <w:rsid w:val="00C01F60"/>
    <w:rsid w:val="00C02048"/>
    <w:rsid w:val="00C02436"/>
    <w:rsid w:val="00C02508"/>
    <w:rsid w:val="00C025B3"/>
    <w:rsid w:val="00C026BD"/>
    <w:rsid w:val="00C02A58"/>
    <w:rsid w:val="00C0352A"/>
    <w:rsid w:val="00C044EC"/>
    <w:rsid w:val="00C04628"/>
    <w:rsid w:val="00C0474D"/>
    <w:rsid w:val="00C04AFB"/>
    <w:rsid w:val="00C04C7B"/>
    <w:rsid w:val="00C04FF0"/>
    <w:rsid w:val="00C05058"/>
    <w:rsid w:val="00C0508D"/>
    <w:rsid w:val="00C05172"/>
    <w:rsid w:val="00C05188"/>
    <w:rsid w:val="00C051C2"/>
    <w:rsid w:val="00C05524"/>
    <w:rsid w:val="00C057CB"/>
    <w:rsid w:val="00C05881"/>
    <w:rsid w:val="00C058D9"/>
    <w:rsid w:val="00C05D89"/>
    <w:rsid w:val="00C05F5A"/>
    <w:rsid w:val="00C06063"/>
    <w:rsid w:val="00C06339"/>
    <w:rsid w:val="00C064C5"/>
    <w:rsid w:val="00C06E64"/>
    <w:rsid w:val="00C07B18"/>
    <w:rsid w:val="00C07B5A"/>
    <w:rsid w:val="00C07C3D"/>
    <w:rsid w:val="00C07E44"/>
    <w:rsid w:val="00C07F8D"/>
    <w:rsid w:val="00C1003A"/>
    <w:rsid w:val="00C10224"/>
    <w:rsid w:val="00C102E1"/>
    <w:rsid w:val="00C1034A"/>
    <w:rsid w:val="00C103F8"/>
    <w:rsid w:val="00C103FD"/>
    <w:rsid w:val="00C10B5F"/>
    <w:rsid w:val="00C10B89"/>
    <w:rsid w:val="00C10BEA"/>
    <w:rsid w:val="00C10CB8"/>
    <w:rsid w:val="00C10D9A"/>
    <w:rsid w:val="00C10DED"/>
    <w:rsid w:val="00C11053"/>
    <w:rsid w:val="00C1168E"/>
    <w:rsid w:val="00C119EF"/>
    <w:rsid w:val="00C11DE4"/>
    <w:rsid w:val="00C11E96"/>
    <w:rsid w:val="00C1242C"/>
    <w:rsid w:val="00C125ED"/>
    <w:rsid w:val="00C12717"/>
    <w:rsid w:val="00C127A2"/>
    <w:rsid w:val="00C12BE9"/>
    <w:rsid w:val="00C131E3"/>
    <w:rsid w:val="00C135D5"/>
    <w:rsid w:val="00C1375E"/>
    <w:rsid w:val="00C13B33"/>
    <w:rsid w:val="00C13C8B"/>
    <w:rsid w:val="00C13CBE"/>
    <w:rsid w:val="00C13F25"/>
    <w:rsid w:val="00C143B3"/>
    <w:rsid w:val="00C1461C"/>
    <w:rsid w:val="00C14911"/>
    <w:rsid w:val="00C15194"/>
    <w:rsid w:val="00C15398"/>
    <w:rsid w:val="00C1585A"/>
    <w:rsid w:val="00C15AD5"/>
    <w:rsid w:val="00C16045"/>
    <w:rsid w:val="00C1604A"/>
    <w:rsid w:val="00C160E8"/>
    <w:rsid w:val="00C1619E"/>
    <w:rsid w:val="00C1630A"/>
    <w:rsid w:val="00C166F8"/>
    <w:rsid w:val="00C16935"/>
    <w:rsid w:val="00C16C2C"/>
    <w:rsid w:val="00C17070"/>
    <w:rsid w:val="00C17246"/>
    <w:rsid w:val="00C173BD"/>
    <w:rsid w:val="00C17517"/>
    <w:rsid w:val="00C1778C"/>
    <w:rsid w:val="00C17FEE"/>
    <w:rsid w:val="00C20390"/>
    <w:rsid w:val="00C2072C"/>
    <w:rsid w:val="00C2074C"/>
    <w:rsid w:val="00C20791"/>
    <w:rsid w:val="00C20A92"/>
    <w:rsid w:val="00C21603"/>
    <w:rsid w:val="00C217F5"/>
    <w:rsid w:val="00C218E3"/>
    <w:rsid w:val="00C21AE6"/>
    <w:rsid w:val="00C21E5E"/>
    <w:rsid w:val="00C22304"/>
    <w:rsid w:val="00C223E3"/>
    <w:rsid w:val="00C22583"/>
    <w:rsid w:val="00C2260D"/>
    <w:rsid w:val="00C2261E"/>
    <w:rsid w:val="00C229D9"/>
    <w:rsid w:val="00C22C2F"/>
    <w:rsid w:val="00C22F46"/>
    <w:rsid w:val="00C22FF7"/>
    <w:rsid w:val="00C2304D"/>
    <w:rsid w:val="00C230A1"/>
    <w:rsid w:val="00C232C3"/>
    <w:rsid w:val="00C2377D"/>
    <w:rsid w:val="00C23888"/>
    <w:rsid w:val="00C238C2"/>
    <w:rsid w:val="00C23AB1"/>
    <w:rsid w:val="00C23C8A"/>
    <w:rsid w:val="00C242DE"/>
    <w:rsid w:val="00C24359"/>
    <w:rsid w:val="00C248C3"/>
    <w:rsid w:val="00C25364"/>
    <w:rsid w:val="00C257FB"/>
    <w:rsid w:val="00C25A56"/>
    <w:rsid w:val="00C25B08"/>
    <w:rsid w:val="00C25CCA"/>
    <w:rsid w:val="00C25ECD"/>
    <w:rsid w:val="00C25EE8"/>
    <w:rsid w:val="00C26314"/>
    <w:rsid w:val="00C263B4"/>
    <w:rsid w:val="00C265B1"/>
    <w:rsid w:val="00C2686D"/>
    <w:rsid w:val="00C26B01"/>
    <w:rsid w:val="00C26B1A"/>
    <w:rsid w:val="00C26BED"/>
    <w:rsid w:val="00C26E44"/>
    <w:rsid w:val="00C26F36"/>
    <w:rsid w:val="00C26F38"/>
    <w:rsid w:val="00C26F3C"/>
    <w:rsid w:val="00C27030"/>
    <w:rsid w:val="00C2703F"/>
    <w:rsid w:val="00C27241"/>
    <w:rsid w:val="00C273BB"/>
    <w:rsid w:val="00C27A20"/>
    <w:rsid w:val="00C27A28"/>
    <w:rsid w:val="00C27D66"/>
    <w:rsid w:val="00C30985"/>
    <w:rsid w:val="00C309CE"/>
    <w:rsid w:val="00C30D72"/>
    <w:rsid w:val="00C30EDE"/>
    <w:rsid w:val="00C30F66"/>
    <w:rsid w:val="00C3114D"/>
    <w:rsid w:val="00C3133F"/>
    <w:rsid w:val="00C31783"/>
    <w:rsid w:val="00C3185A"/>
    <w:rsid w:val="00C31A9C"/>
    <w:rsid w:val="00C31F2C"/>
    <w:rsid w:val="00C32018"/>
    <w:rsid w:val="00C321E1"/>
    <w:rsid w:val="00C32A8C"/>
    <w:rsid w:val="00C32ABD"/>
    <w:rsid w:val="00C32E55"/>
    <w:rsid w:val="00C32FED"/>
    <w:rsid w:val="00C3310B"/>
    <w:rsid w:val="00C3318F"/>
    <w:rsid w:val="00C333E9"/>
    <w:rsid w:val="00C3341B"/>
    <w:rsid w:val="00C336F8"/>
    <w:rsid w:val="00C33931"/>
    <w:rsid w:val="00C33ECF"/>
    <w:rsid w:val="00C33ED7"/>
    <w:rsid w:val="00C340E8"/>
    <w:rsid w:val="00C343ED"/>
    <w:rsid w:val="00C344DE"/>
    <w:rsid w:val="00C34581"/>
    <w:rsid w:val="00C348DB"/>
    <w:rsid w:val="00C34994"/>
    <w:rsid w:val="00C349DB"/>
    <w:rsid w:val="00C34C0D"/>
    <w:rsid w:val="00C35202"/>
    <w:rsid w:val="00C3558E"/>
    <w:rsid w:val="00C356A3"/>
    <w:rsid w:val="00C357D2"/>
    <w:rsid w:val="00C35A08"/>
    <w:rsid w:val="00C36215"/>
    <w:rsid w:val="00C3627E"/>
    <w:rsid w:val="00C3663A"/>
    <w:rsid w:val="00C36B0A"/>
    <w:rsid w:val="00C37F2C"/>
    <w:rsid w:val="00C40328"/>
    <w:rsid w:val="00C4048E"/>
    <w:rsid w:val="00C409AF"/>
    <w:rsid w:val="00C413D7"/>
    <w:rsid w:val="00C41505"/>
    <w:rsid w:val="00C41606"/>
    <w:rsid w:val="00C419AE"/>
    <w:rsid w:val="00C41EA5"/>
    <w:rsid w:val="00C42108"/>
    <w:rsid w:val="00C4249B"/>
    <w:rsid w:val="00C425AC"/>
    <w:rsid w:val="00C42651"/>
    <w:rsid w:val="00C42932"/>
    <w:rsid w:val="00C42E84"/>
    <w:rsid w:val="00C42FA2"/>
    <w:rsid w:val="00C430E4"/>
    <w:rsid w:val="00C432EA"/>
    <w:rsid w:val="00C43553"/>
    <w:rsid w:val="00C43C57"/>
    <w:rsid w:val="00C43E4E"/>
    <w:rsid w:val="00C440C0"/>
    <w:rsid w:val="00C44DB6"/>
    <w:rsid w:val="00C45173"/>
    <w:rsid w:val="00C451D7"/>
    <w:rsid w:val="00C45334"/>
    <w:rsid w:val="00C4549F"/>
    <w:rsid w:val="00C45675"/>
    <w:rsid w:val="00C45684"/>
    <w:rsid w:val="00C45A12"/>
    <w:rsid w:val="00C45FA3"/>
    <w:rsid w:val="00C46275"/>
    <w:rsid w:val="00C46804"/>
    <w:rsid w:val="00C46E84"/>
    <w:rsid w:val="00C474B9"/>
    <w:rsid w:val="00C50157"/>
    <w:rsid w:val="00C50B83"/>
    <w:rsid w:val="00C50BFE"/>
    <w:rsid w:val="00C517EE"/>
    <w:rsid w:val="00C519E9"/>
    <w:rsid w:val="00C51DC8"/>
    <w:rsid w:val="00C520A6"/>
    <w:rsid w:val="00C52A0B"/>
    <w:rsid w:val="00C52B19"/>
    <w:rsid w:val="00C52E72"/>
    <w:rsid w:val="00C52E9A"/>
    <w:rsid w:val="00C53159"/>
    <w:rsid w:val="00C532CC"/>
    <w:rsid w:val="00C534DF"/>
    <w:rsid w:val="00C53713"/>
    <w:rsid w:val="00C5384C"/>
    <w:rsid w:val="00C53B4C"/>
    <w:rsid w:val="00C53B9F"/>
    <w:rsid w:val="00C53E27"/>
    <w:rsid w:val="00C53E48"/>
    <w:rsid w:val="00C544EF"/>
    <w:rsid w:val="00C54570"/>
    <w:rsid w:val="00C54839"/>
    <w:rsid w:val="00C54FE3"/>
    <w:rsid w:val="00C5524D"/>
    <w:rsid w:val="00C55550"/>
    <w:rsid w:val="00C55A90"/>
    <w:rsid w:val="00C56469"/>
    <w:rsid w:val="00C56692"/>
    <w:rsid w:val="00C56776"/>
    <w:rsid w:val="00C56866"/>
    <w:rsid w:val="00C568AA"/>
    <w:rsid w:val="00C56A0C"/>
    <w:rsid w:val="00C56FF9"/>
    <w:rsid w:val="00C57440"/>
    <w:rsid w:val="00C57F51"/>
    <w:rsid w:val="00C57FEE"/>
    <w:rsid w:val="00C600B9"/>
    <w:rsid w:val="00C60323"/>
    <w:rsid w:val="00C60397"/>
    <w:rsid w:val="00C607E5"/>
    <w:rsid w:val="00C60896"/>
    <w:rsid w:val="00C61083"/>
    <w:rsid w:val="00C61307"/>
    <w:rsid w:val="00C61465"/>
    <w:rsid w:val="00C6198A"/>
    <w:rsid w:val="00C61A48"/>
    <w:rsid w:val="00C61CD7"/>
    <w:rsid w:val="00C61DB8"/>
    <w:rsid w:val="00C62115"/>
    <w:rsid w:val="00C624F2"/>
    <w:rsid w:val="00C62A3D"/>
    <w:rsid w:val="00C62A98"/>
    <w:rsid w:val="00C63910"/>
    <w:rsid w:val="00C63976"/>
    <w:rsid w:val="00C63C24"/>
    <w:rsid w:val="00C63D48"/>
    <w:rsid w:val="00C6457D"/>
    <w:rsid w:val="00C64645"/>
    <w:rsid w:val="00C64F27"/>
    <w:rsid w:val="00C64FEA"/>
    <w:rsid w:val="00C657A1"/>
    <w:rsid w:val="00C6592A"/>
    <w:rsid w:val="00C65DB7"/>
    <w:rsid w:val="00C65DD9"/>
    <w:rsid w:val="00C65F3A"/>
    <w:rsid w:val="00C66364"/>
    <w:rsid w:val="00C66444"/>
    <w:rsid w:val="00C66513"/>
    <w:rsid w:val="00C667D1"/>
    <w:rsid w:val="00C6683D"/>
    <w:rsid w:val="00C6696F"/>
    <w:rsid w:val="00C6699F"/>
    <w:rsid w:val="00C66C36"/>
    <w:rsid w:val="00C66CCA"/>
    <w:rsid w:val="00C66CFF"/>
    <w:rsid w:val="00C672B2"/>
    <w:rsid w:val="00C673D0"/>
    <w:rsid w:val="00C67687"/>
    <w:rsid w:val="00C67D83"/>
    <w:rsid w:val="00C7032E"/>
    <w:rsid w:val="00C706A7"/>
    <w:rsid w:val="00C70855"/>
    <w:rsid w:val="00C70BF5"/>
    <w:rsid w:val="00C7105D"/>
    <w:rsid w:val="00C7119A"/>
    <w:rsid w:val="00C717BA"/>
    <w:rsid w:val="00C71FEC"/>
    <w:rsid w:val="00C722C5"/>
    <w:rsid w:val="00C7271E"/>
    <w:rsid w:val="00C72836"/>
    <w:rsid w:val="00C72D55"/>
    <w:rsid w:val="00C72FF2"/>
    <w:rsid w:val="00C7310E"/>
    <w:rsid w:val="00C73159"/>
    <w:rsid w:val="00C733F3"/>
    <w:rsid w:val="00C73462"/>
    <w:rsid w:val="00C73963"/>
    <w:rsid w:val="00C745CE"/>
    <w:rsid w:val="00C74E7F"/>
    <w:rsid w:val="00C75016"/>
    <w:rsid w:val="00C750C2"/>
    <w:rsid w:val="00C75209"/>
    <w:rsid w:val="00C75AAE"/>
    <w:rsid w:val="00C75EDF"/>
    <w:rsid w:val="00C7628A"/>
    <w:rsid w:val="00C76B60"/>
    <w:rsid w:val="00C77895"/>
    <w:rsid w:val="00C77A77"/>
    <w:rsid w:val="00C77CB8"/>
    <w:rsid w:val="00C77DD5"/>
    <w:rsid w:val="00C77FCA"/>
    <w:rsid w:val="00C80290"/>
    <w:rsid w:val="00C802BD"/>
    <w:rsid w:val="00C80E7F"/>
    <w:rsid w:val="00C80F00"/>
    <w:rsid w:val="00C81658"/>
    <w:rsid w:val="00C81A8C"/>
    <w:rsid w:val="00C81B59"/>
    <w:rsid w:val="00C81BFF"/>
    <w:rsid w:val="00C8210F"/>
    <w:rsid w:val="00C82A2F"/>
    <w:rsid w:val="00C82F32"/>
    <w:rsid w:val="00C83347"/>
    <w:rsid w:val="00C8383F"/>
    <w:rsid w:val="00C83BCC"/>
    <w:rsid w:val="00C83DB2"/>
    <w:rsid w:val="00C8435E"/>
    <w:rsid w:val="00C8471E"/>
    <w:rsid w:val="00C84963"/>
    <w:rsid w:val="00C84B67"/>
    <w:rsid w:val="00C84C24"/>
    <w:rsid w:val="00C85147"/>
    <w:rsid w:val="00C851BB"/>
    <w:rsid w:val="00C854B6"/>
    <w:rsid w:val="00C8562F"/>
    <w:rsid w:val="00C858E6"/>
    <w:rsid w:val="00C85980"/>
    <w:rsid w:val="00C85F8D"/>
    <w:rsid w:val="00C85F90"/>
    <w:rsid w:val="00C860CC"/>
    <w:rsid w:val="00C86396"/>
    <w:rsid w:val="00C864C3"/>
    <w:rsid w:val="00C866B3"/>
    <w:rsid w:val="00C8684B"/>
    <w:rsid w:val="00C86A49"/>
    <w:rsid w:val="00C86EFF"/>
    <w:rsid w:val="00C86F9F"/>
    <w:rsid w:val="00C8717A"/>
    <w:rsid w:val="00C87246"/>
    <w:rsid w:val="00C8735C"/>
    <w:rsid w:val="00C878D5"/>
    <w:rsid w:val="00C87AF5"/>
    <w:rsid w:val="00C90075"/>
    <w:rsid w:val="00C9033B"/>
    <w:rsid w:val="00C9039C"/>
    <w:rsid w:val="00C9045D"/>
    <w:rsid w:val="00C90561"/>
    <w:rsid w:val="00C9060E"/>
    <w:rsid w:val="00C9082E"/>
    <w:rsid w:val="00C908A0"/>
    <w:rsid w:val="00C90D2B"/>
    <w:rsid w:val="00C90D3C"/>
    <w:rsid w:val="00C90DBA"/>
    <w:rsid w:val="00C91172"/>
    <w:rsid w:val="00C911EA"/>
    <w:rsid w:val="00C91302"/>
    <w:rsid w:val="00C91335"/>
    <w:rsid w:val="00C913A1"/>
    <w:rsid w:val="00C913B1"/>
    <w:rsid w:val="00C91469"/>
    <w:rsid w:val="00C915A4"/>
    <w:rsid w:val="00C918A2"/>
    <w:rsid w:val="00C91FB7"/>
    <w:rsid w:val="00C920DF"/>
    <w:rsid w:val="00C920E1"/>
    <w:rsid w:val="00C9243C"/>
    <w:rsid w:val="00C925F4"/>
    <w:rsid w:val="00C92B80"/>
    <w:rsid w:val="00C92B9E"/>
    <w:rsid w:val="00C92BCF"/>
    <w:rsid w:val="00C92DFE"/>
    <w:rsid w:val="00C93234"/>
    <w:rsid w:val="00C938E2"/>
    <w:rsid w:val="00C940E6"/>
    <w:rsid w:val="00C941AE"/>
    <w:rsid w:val="00C941F7"/>
    <w:rsid w:val="00C946D0"/>
    <w:rsid w:val="00C94802"/>
    <w:rsid w:val="00C94850"/>
    <w:rsid w:val="00C94C20"/>
    <w:rsid w:val="00C955C7"/>
    <w:rsid w:val="00C9574F"/>
    <w:rsid w:val="00C95989"/>
    <w:rsid w:val="00C95A56"/>
    <w:rsid w:val="00C95D01"/>
    <w:rsid w:val="00C964D1"/>
    <w:rsid w:val="00C964F4"/>
    <w:rsid w:val="00C96723"/>
    <w:rsid w:val="00C96936"/>
    <w:rsid w:val="00C969E2"/>
    <w:rsid w:val="00C96A06"/>
    <w:rsid w:val="00C96E39"/>
    <w:rsid w:val="00C9753E"/>
    <w:rsid w:val="00C9759F"/>
    <w:rsid w:val="00C9767E"/>
    <w:rsid w:val="00C9773C"/>
    <w:rsid w:val="00C978CE"/>
    <w:rsid w:val="00CA0089"/>
    <w:rsid w:val="00CA044F"/>
    <w:rsid w:val="00CA072F"/>
    <w:rsid w:val="00CA0844"/>
    <w:rsid w:val="00CA0CE2"/>
    <w:rsid w:val="00CA0D40"/>
    <w:rsid w:val="00CA0DDF"/>
    <w:rsid w:val="00CA0ECB"/>
    <w:rsid w:val="00CA1089"/>
    <w:rsid w:val="00CA113C"/>
    <w:rsid w:val="00CA118B"/>
    <w:rsid w:val="00CA1194"/>
    <w:rsid w:val="00CA1430"/>
    <w:rsid w:val="00CA161E"/>
    <w:rsid w:val="00CA1E6E"/>
    <w:rsid w:val="00CA2516"/>
    <w:rsid w:val="00CA25F4"/>
    <w:rsid w:val="00CA27AA"/>
    <w:rsid w:val="00CA27C0"/>
    <w:rsid w:val="00CA27E0"/>
    <w:rsid w:val="00CA28C6"/>
    <w:rsid w:val="00CA29DD"/>
    <w:rsid w:val="00CA2AF0"/>
    <w:rsid w:val="00CA2FFF"/>
    <w:rsid w:val="00CA3045"/>
    <w:rsid w:val="00CA32DE"/>
    <w:rsid w:val="00CA34E7"/>
    <w:rsid w:val="00CA3710"/>
    <w:rsid w:val="00CA3861"/>
    <w:rsid w:val="00CA3923"/>
    <w:rsid w:val="00CA3A63"/>
    <w:rsid w:val="00CA3BAB"/>
    <w:rsid w:val="00CA3EF2"/>
    <w:rsid w:val="00CA3FD2"/>
    <w:rsid w:val="00CA3FF1"/>
    <w:rsid w:val="00CA459A"/>
    <w:rsid w:val="00CA4CEB"/>
    <w:rsid w:val="00CA4DAF"/>
    <w:rsid w:val="00CA50D3"/>
    <w:rsid w:val="00CA50D7"/>
    <w:rsid w:val="00CA5258"/>
    <w:rsid w:val="00CA533F"/>
    <w:rsid w:val="00CA5A46"/>
    <w:rsid w:val="00CA6346"/>
    <w:rsid w:val="00CA6CB9"/>
    <w:rsid w:val="00CA6DBC"/>
    <w:rsid w:val="00CA6F71"/>
    <w:rsid w:val="00CA72DE"/>
    <w:rsid w:val="00CA748E"/>
    <w:rsid w:val="00CA76F9"/>
    <w:rsid w:val="00CA7769"/>
    <w:rsid w:val="00CA7951"/>
    <w:rsid w:val="00CA7A33"/>
    <w:rsid w:val="00CA7F94"/>
    <w:rsid w:val="00CB058E"/>
    <w:rsid w:val="00CB07A8"/>
    <w:rsid w:val="00CB0BF4"/>
    <w:rsid w:val="00CB0F15"/>
    <w:rsid w:val="00CB0FA7"/>
    <w:rsid w:val="00CB12CD"/>
    <w:rsid w:val="00CB17A3"/>
    <w:rsid w:val="00CB17DD"/>
    <w:rsid w:val="00CB1D5B"/>
    <w:rsid w:val="00CB1FD7"/>
    <w:rsid w:val="00CB23B5"/>
    <w:rsid w:val="00CB2400"/>
    <w:rsid w:val="00CB3055"/>
    <w:rsid w:val="00CB327B"/>
    <w:rsid w:val="00CB3503"/>
    <w:rsid w:val="00CB3615"/>
    <w:rsid w:val="00CB3671"/>
    <w:rsid w:val="00CB36C2"/>
    <w:rsid w:val="00CB3887"/>
    <w:rsid w:val="00CB3B65"/>
    <w:rsid w:val="00CB3CAA"/>
    <w:rsid w:val="00CB4E23"/>
    <w:rsid w:val="00CB5052"/>
    <w:rsid w:val="00CB50B9"/>
    <w:rsid w:val="00CB51C3"/>
    <w:rsid w:val="00CB57FC"/>
    <w:rsid w:val="00CB5E57"/>
    <w:rsid w:val="00CB719B"/>
    <w:rsid w:val="00CB7A9A"/>
    <w:rsid w:val="00CB7BCA"/>
    <w:rsid w:val="00CB7BD5"/>
    <w:rsid w:val="00CB7C3F"/>
    <w:rsid w:val="00CB7CA8"/>
    <w:rsid w:val="00CB7CCB"/>
    <w:rsid w:val="00CB7E98"/>
    <w:rsid w:val="00CC03A8"/>
    <w:rsid w:val="00CC03D9"/>
    <w:rsid w:val="00CC07A8"/>
    <w:rsid w:val="00CC07CB"/>
    <w:rsid w:val="00CC087F"/>
    <w:rsid w:val="00CC0888"/>
    <w:rsid w:val="00CC094E"/>
    <w:rsid w:val="00CC0A64"/>
    <w:rsid w:val="00CC0AC5"/>
    <w:rsid w:val="00CC0BFC"/>
    <w:rsid w:val="00CC0E26"/>
    <w:rsid w:val="00CC0F8D"/>
    <w:rsid w:val="00CC0FEA"/>
    <w:rsid w:val="00CC10FC"/>
    <w:rsid w:val="00CC1523"/>
    <w:rsid w:val="00CC195D"/>
    <w:rsid w:val="00CC207B"/>
    <w:rsid w:val="00CC22E6"/>
    <w:rsid w:val="00CC253A"/>
    <w:rsid w:val="00CC2616"/>
    <w:rsid w:val="00CC28E0"/>
    <w:rsid w:val="00CC2974"/>
    <w:rsid w:val="00CC2B2A"/>
    <w:rsid w:val="00CC2B6E"/>
    <w:rsid w:val="00CC2E39"/>
    <w:rsid w:val="00CC319F"/>
    <w:rsid w:val="00CC36E5"/>
    <w:rsid w:val="00CC3D35"/>
    <w:rsid w:val="00CC3DD1"/>
    <w:rsid w:val="00CC4631"/>
    <w:rsid w:val="00CC46BF"/>
    <w:rsid w:val="00CC4AC1"/>
    <w:rsid w:val="00CC4D32"/>
    <w:rsid w:val="00CC4E68"/>
    <w:rsid w:val="00CC4EBC"/>
    <w:rsid w:val="00CC5068"/>
    <w:rsid w:val="00CC55BF"/>
    <w:rsid w:val="00CC5689"/>
    <w:rsid w:val="00CC59D5"/>
    <w:rsid w:val="00CC5CAA"/>
    <w:rsid w:val="00CC612F"/>
    <w:rsid w:val="00CC6A99"/>
    <w:rsid w:val="00CC71B6"/>
    <w:rsid w:val="00CC7842"/>
    <w:rsid w:val="00CC7C2D"/>
    <w:rsid w:val="00CC7F78"/>
    <w:rsid w:val="00CD0109"/>
    <w:rsid w:val="00CD01DB"/>
    <w:rsid w:val="00CD0801"/>
    <w:rsid w:val="00CD2254"/>
    <w:rsid w:val="00CD2636"/>
    <w:rsid w:val="00CD2E0B"/>
    <w:rsid w:val="00CD2F28"/>
    <w:rsid w:val="00CD31E0"/>
    <w:rsid w:val="00CD337E"/>
    <w:rsid w:val="00CD338F"/>
    <w:rsid w:val="00CD36EA"/>
    <w:rsid w:val="00CD3742"/>
    <w:rsid w:val="00CD38DE"/>
    <w:rsid w:val="00CD3C92"/>
    <w:rsid w:val="00CD3CF9"/>
    <w:rsid w:val="00CD40CA"/>
    <w:rsid w:val="00CD4336"/>
    <w:rsid w:val="00CD4676"/>
    <w:rsid w:val="00CD46E3"/>
    <w:rsid w:val="00CD4703"/>
    <w:rsid w:val="00CD4BFF"/>
    <w:rsid w:val="00CD505C"/>
    <w:rsid w:val="00CD5314"/>
    <w:rsid w:val="00CD58C2"/>
    <w:rsid w:val="00CD5A64"/>
    <w:rsid w:val="00CD5ABD"/>
    <w:rsid w:val="00CD5B18"/>
    <w:rsid w:val="00CD5CED"/>
    <w:rsid w:val="00CD5E5B"/>
    <w:rsid w:val="00CD5EAD"/>
    <w:rsid w:val="00CD688E"/>
    <w:rsid w:val="00CD696C"/>
    <w:rsid w:val="00CD6985"/>
    <w:rsid w:val="00CD6C8D"/>
    <w:rsid w:val="00CD7311"/>
    <w:rsid w:val="00CD7405"/>
    <w:rsid w:val="00CD76F1"/>
    <w:rsid w:val="00CD77D6"/>
    <w:rsid w:val="00CD7EC8"/>
    <w:rsid w:val="00CE05D4"/>
    <w:rsid w:val="00CE0837"/>
    <w:rsid w:val="00CE08DA"/>
    <w:rsid w:val="00CE0D6D"/>
    <w:rsid w:val="00CE0D86"/>
    <w:rsid w:val="00CE100A"/>
    <w:rsid w:val="00CE114E"/>
    <w:rsid w:val="00CE149C"/>
    <w:rsid w:val="00CE16C4"/>
    <w:rsid w:val="00CE17F1"/>
    <w:rsid w:val="00CE18D6"/>
    <w:rsid w:val="00CE2360"/>
    <w:rsid w:val="00CE2543"/>
    <w:rsid w:val="00CE2A18"/>
    <w:rsid w:val="00CE2AD7"/>
    <w:rsid w:val="00CE3106"/>
    <w:rsid w:val="00CE319E"/>
    <w:rsid w:val="00CE31DC"/>
    <w:rsid w:val="00CE31E2"/>
    <w:rsid w:val="00CE3341"/>
    <w:rsid w:val="00CE3688"/>
    <w:rsid w:val="00CE40F1"/>
    <w:rsid w:val="00CE4357"/>
    <w:rsid w:val="00CE43B0"/>
    <w:rsid w:val="00CE5100"/>
    <w:rsid w:val="00CE5259"/>
    <w:rsid w:val="00CE54B9"/>
    <w:rsid w:val="00CE554E"/>
    <w:rsid w:val="00CE5583"/>
    <w:rsid w:val="00CE5611"/>
    <w:rsid w:val="00CE5982"/>
    <w:rsid w:val="00CE59A0"/>
    <w:rsid w:val="00CE5E6E"/>
    <w:rsid w:val="00CE5F33"/>
    <w:rsid w:val="00CE5FDD"/>
    <w:rsid w:val="00CE61C9"/>
    <w:rsid w:val="00CE6B9E"/>
    <w:rsid w:val="00CE6E79"/>
    <w:rsid w:val="00CE702D"/>
    <w:rsid w:val="00CE726D"/>
    <w:rsid w:val="00CE7437"/>
    <w:rsid w:val="00CE76C3"/>
    <w:rsid w:val="00CE77C9"/>
    <w:rsid w:val="00CE79E6"/>
    <w:rsid w:val="00CE7ACB"/>
    <w:rsid w:val="00CE7B38"/>
    <w:rsid w:val="00CE7BD8"/>
    <w:rsid w:val="00CE7F20"/>
    <w:rsid w:val="00CF012C"/>
    <w:rsid w:val="00CF0381"/>
    <w:rsid w:val="00CF03AA"/>
    <w:rsid w:val="00CF0675"/>
    <w:rsid w:val="00CF099C"/>
    <w:rsid w:val="00CF0AA0"/>
    <w:rsid w:val="00CF0AA9"/>
    <w:rsid w:val="00CF0BFE"/>
    <w:rsid w:val="00CF0DFF"/>
    <w:rsid w:val="00CF0F96"/>
    <w:rsid w:val="00CF1408"/>
    <w:rsid w:val="00CF191A"/>
    <w:rsid w:val="00CF1B9C"/>
    <w:rsid w:val="00CF1D68"/>
    <w:rsid w:val="00CF226E"/>
    <w:rsid w:val="00CF2271"/>
    <w:rsid w:val="00CF24C2"/>
    <w:rsid w:val="00CF2A94"/>
    <w:rsid w:val="00CF2FF5"/>
    <w:rsid w:val="00CF30F1"/>
    <w:rsid w:val="00CF31E5"/>
    <w:rsid w:val="00CF3241"/>
    <w:rsid w:val="00CF3867"/>
    <w:rsid w:val="00CF3BCA"/>
    <w:rsid w:val="00CF4744"/>
    <w:rsid w:val="00CF4B92"/>
    <w:rsid w:val="00CF52EA"/>
    <w:rsid w:val="00CF53D0"/>
    <w:rsid w:val="00CF5CC4"/>
    <w:rsid w:val="00CF5D91"/>
    <w:rsid w:val="00CF6191"/>
    <w:rsid w:val="00CF63AF"/>
    <w:rsid w:val="00CF643B"/>
    <w:rsid w:val="00CF67DD"/>
    <w:rsid w:val="00CF6C47"/>
    <w:rsid w:val="00CF6E87"/>
    <w:rsid w:val="00CF705C"/>
    <w:rsid w:val="00CF73F1"/>
    <w:rsid w:val="00CF7876"/>
    <w:rsid w:val="00D00102"/>
    <w:rsid w:val="00D002D3"/>
    <w:rsid w:val="00D00977"/>
    <w:rsid w:val="00D009C0"/>
    <w:rsid w:val="00D00AA3"/>
    <w:rsid w:val="00D0129B"/>
    <w:rsid w:val="00D013F5"/>
    <w:rsid w:val="00D0149C"/>
    <w:rsid w:val="00D01569"/>
    <w:rsid w:val="00D015CF"/>
    <w:rsid w:val="00D01B2F"/>
    <w:rsid w:val="00D01C6F"/>
    <w:rsid w:val="00D01C74"/>
    <w:rsid w:val="00D01D94"/>
    <w:rsid w:val="00D01F2C"/>
    <w:rsid w:val="00D02AD4"/>
    <w:rsid w:val="00D02E1A"/>
    <w:rsid w:val="00D02EC9"/>
    <w:rsid w:val="00D031FD"/>
    <w:rsid w:val="00D035D4"/>
    <w:rsid w:val="00D03760"/>
    <w:rsid w:val="00D039F2"/>
    <w:rsid w:val="00D03ACE"/>
    <w:rsid w:val="00D0437B"/>
    <w:rsid w:val="00D0485F"/>
    <w:rsid w:val="00D0504E"/>
    <w:rsid w:val="00D05056"/>
    <w:rsid w:val="00D052C8"/>
    <w:rsid w:val="00D053CE"/>
    <w:rsid w:val="00D05905"/>
    <w:rsid w:val="00D05A41"/>
    <w:rsid w:val="00D05FF1"/>
    <w:rsid w:val="00D060C2"/>
    <w:rsid w:val="00D06219"/>
    <w:rsid w:val="00D06506"/>
    <w:rsid w:val="00D06671"/>
    <w:rsid w:val="00D06B61"/>
    <w:rsid w:val="00D07194"/>
    <w:rsid w:val="00D071B9"/>
    <w:rsid w:val="00D0721C"/>
    <w:rsid w:val="00D075FC"/>
    <w:rsid w:val="00D07732"/>
    <w:rsid w:val="00D0796B"/>
    <w:rsid w:val="00D07F54"/>
    <w:rsid w:val="00D07F64"/>
    <w:rsid w:val="00D07F73"/>
    <w:rsid w:val="00D10725"/>
    <w:rsid w:val="00D11432"/>
    <w:rsid w:val="00D115F1"/>
    <w:rsid w:val="00D117DF"/>
    <w:rsid w:val="00D11BA2"/>
    <w:rsid w:val="00D11BBD"/>
    <w:rsid w:val="00D11C03"/>
    <w:rsid w:val="00D12152"/>
    <w:rsid w:val="00D125D5"/>
    <w:rsid w:val="00D12C0B"/>
    <w:rsid w:val="00D12E81"/>
    <w:rsid w:val="00D130A3"/>
    <w:rsid w:val="00D131CC"/>
    <w:rsid w:val="00D132D3"/>
    <w:rsid w:val="00D1396D"/>
    <w:rsid w:val="00D13AA2"/>
    <w:rsid w:val="00D13BFB"/>
    <w:rsid w:val="00D13FB6"/>
    <w:rsid w:val="00D14466"/>
    <w:rsid w:val="00D145C0"/>
    <w:rsid w:val="00D145DC"/>
    <w:rsid w:val="00D14844"/>
    <w:rsid w:val="00D14AC3"/>
    <w:rsid w:val="00D14C70"/>
    <w:rsid w:val="00D14D4B"/>
    <w:rsid w:val="00D15603"/>
    <w:rsid w:val="00D15862"/>
    <w:rsid w:val="00D1586E"/>
    <w:rsid w:val="00D15A06"/>
    <w:rsid w:val="00D15F37"/>
    <w:rsid w:val="00D16030"/>
    <w:rsid w:val="00D1609E"/>
    <w:rsid w:val="00D1658D"/>
    <w:rsid w:val="00D167F9"/>
    <w:rsid w:val="00D1696D"/>
    <w:rsid w:val="00D16D46"/>
    <w:rsid w:val="00D16DE1"/>
    <w:rsid w:val="00D17450"/>
    <w:rsid w:val="00D17455"/>
    <w:rsid w:val="00D17D26"/>
    <w:rsid w:val="00D17E27"/>
    <w:rsid w:val="00D200B9"/>
    <w:rsid w:val="00D201CA"/>
    <w:rsid w:val="00D20204"/>
    <w:rsid w:val="00D2041C"/>
    <w:rsid w:val="00D2055C"/>
    <w:rsid w:val="00D206CE"/>
    <w:rsid w:val="00D20754"/>
    <w:rsid w:val="00D20FF9"/>
    <w:rsid w:val="00D2102D"/>
    <w:rsid w:val="00D21115"/>
    <w:rsid w:val="00D2111B"/>
    <w:rsid w:val="00D212F4"/>
    <w:rsid w:val="00D2177D"/>
    <w:rsid w:val="00D2192D"/>
    <w:rsid w:val="00D2198A"/>
    <w:rsid w:val="00D21A64"/>
    <w:rsid w:val="00D2204C"/>
    <w:rsid w:val="00D2267B"/>
    <w:rsid w:val="00D228DF"/>
    <w:rsid w:val="00D22A99"/>
    <w:rsid w:val="00D22CC0"/>
    <w:rsid w:val="00D22F73"/>
    <w:rsid w:val="00D22FC2"/>
    <w:rsid w:val="00D23D58"/>
    <w:rsid w:val="00D23E72"/>
    <w:rsid w:val="00D2417E"/>
    <w:rsid w:val="00D24C23"/>
    <w:rsid w:val="00D24CD7"/>
    <w:rsid w:val="00D2551D"/>
    <w:rsid w:val="00D25ADE"/>
    <w:rsid w:val="00D25BB3"/>
    <w:rsid w:val="00D262DD"/>
    <w:rsid w:val="00D26A6F"/>
    <w:rsid w:val="00D26A73"/>
    <w:rsid w:val="00D26A9C"/>
    <w:rsid w:val="00D26D56"/>
    <w:rsid w:val="00D26E2C"/>
    <w:rsid w:val="00D27005"/>
    <w:rsid w:val="00D272BF"/>
    <w:rsid w:val="00D27462"/>
    <w:rsid w:val="00D2796E"/>
    <w:rsid w:val="00D27B34"/>
    <w:rsid w:val="00D27F15"/>
    <w:rsid w:val="00D30651"/>
    <w:rsid w:val="00D30721"/>
    <w:rsid w:val="00D30A61"/>
    <w:rsid w:val="00D30D0A"/>
    <w:rsid w:val="00D30E61"/>
    <w:rsid w:val="00D30EE5"/>
    <w:rsid w:val="00D31613"/>
    <w:rsid w:val="00D31A18"/>
    <w:rsid w:val="00D31CA7"/>
    <w:rsid w:val="00D31D06"/>
    <w:rsid w:val="00D31FED"/>
    <w:rsid w:val="00D3203A"/>
    <w:rsid w:val="00D32121"/>
    <w:rsid w:val="00D32959"/>
    <w:rsid w:val="00D32A48"/>
    <w:rsid w:val="00D32A70"/>
    <w:rsid w:val="00D32B10"/>
    <w:rsid w:val="00D32E17"/>
    <w:rsid w:val="00D32F5A"/>
    <w:rsid w:val="00D332FE"/>
    <w:rsid w:val="00D33424"/>
    <w:rsid w:val="00D334E8"/>
    <w:rsid w:val="00D33677"/>
    <w:rsid w:val="00D338F1"/>
    <w:rsid w:val="00D33B15"/>
    <w:rsid w:val="00D33EF6"/>
    <w:rsid w:val="00D343C4"/>
    <w:rsid w:val="00D343FD"/>
    <w:rsid w:val="00D346F3"/>
    <w:rsid w:val="00D348BB"/>
    <w:rsid w:val="00D348C9"/>
    <w:rsid w:val="00D34B10"/>
    <w:rsid w:val="00D34BFF"/>
    <w:rsid w:val="00D34E22"/>
    <w:rsid w:val="00D350C0"/>
    <w:rsid w:val="00D35134"/>
    <w:rsid w:val="00D35147"/>
    <w:rsid w:val="00D355A1"/>
    <w:rsid w:val="00D355D7"/>
    <w:rsid w:val="00D357CB"/>
    <w:rsid w:val="00D3587A"/>
    <w:rsid w:val="00D358C6"/>
    <w:rsid w:val="00D35915"/>
    <w:rsid w:val="00D3613B"/>
    <w:rsid w:val="00D36332"/>
    <w:rsid w:val="00D3634D"/>
    <w:rsid w:val="00D3673E"/>
    <w:rsid w:val="00D3698B"/>
    <w:rsid w:val="00D36A84"/>
    <w:rsid w:val="00D36CA5"/>
    <w:rsid w:val="00D36F89"/>
    <w:rsid w:val="00D3734C"/>
    <w:rsid w:val="00D37579"/>
    <w:rsid w:val="00D37780"/>
    <w:rsid w:val="00D37C72"/>
    <w:rsid w:val="00D37CFC"/>
    <w:rsid w:val="00D37FB4"/>
    <w:rsid w:val="00D40245"/>
    <w:rsid w:val="00D40507"/>
    <w:rsid w:val="00D40653"/>
    <w:rsid w:val="00D4071C"/>
    <w:rsid w:val="00D408BA"/>
    <w:rsid w:val="00D409A3"/>
    <w:rsid w:val="00D40BCA"/>
    <w:rsid w:val="00D40D05"/>
    <w:rsid w:val="00D412EF"/>
    <w:rsid w:val="00D41AB0"/>
    <w:rsid w:val="00D41F90"/>
    <w:rsid w:val="00D42014"/>
    <w:rsid w:val="00D4215F"/>
    <w:rsid w:val="00D4224B"/>
    <w:rsid w:val="00D4248B"/>
    <w:rsid w:val="00D42799"/>
    <w:rsid w:val="00D42ADE"/>
    <w:rsid w:val="00D42E7C"/>
    <w:rsid w:val="00D42FFB"/>
    <w:rsid w:val="00D43122"/>
    <w:rsid w:val="00D43146"/>
    <w:rsid w:val="00D43297"/>
    <w:rsid w:val="00D437BD"/>
    <w:rsid w:val="00D43B70"/>
    <w:rsid w:val="00D43E95"/>
    <w:rsid w:val="00D443D8"/>
    <w:rsid w:val="00D44722"/>
    <w:rsid w:val="00D449E1"/>
    <w:rsid w:val="00D44DB6"/>
    <w:rsid w:val="00D45300"/>
    <w:rsid w:val="00D4582B"/>
    <w:rsid w:val="00D45AEE"/>
    <w:rsid w:val="00D46336"/>
    <w:rsid w:val="00D465EE"/>
    <w:rsid w:val="00D46F16"/>
    <w:rsid w:val="00D47319"/>
    <w:rsid w:val="00D473E1"/>
    <w:rsid w:val="00D47725"/>
    <w:rsid w:val="00D47A6D"/>
    <w:rsid w:val="00D47B15"/>
    <w:rsid w:val="00D47BB5"/>
    <w:rsid w:val="00D47D36"/>
    <w:rsid w:val="00D50119"/>
    <w:rsid w:val="00D501CD"/>
    <w:rsid w:val="00D504BF"/>
    <w:rsid w:val="00D50771"/>
    <w:rsid w:val="00D509A9"/>
    <w:rsid w:val="00D50F2B"/>
    <w:rsid w:val="00D51267"/>
    <w:rsid w:val="00D51D60"/>
    <w:rsid w:val="00D5234D"/>
    <w:rsid w:val="00D52583"/>
    <w:rsid w:val="00D5269B"/>
    <w:rsid w:val="00D52D80"/>
    <w:rsid w:val="00D52E7C"/>
    <w:rsid w:val="00D53038"/>
    <w:rsid w:val="00D530B3"/>
    <w:rsid w:val="00D53CF1"/>
    <w:rsid w:val="00D53E03"/>
    <w:rsid w:val="00D53F11"/>
    <w:rsid w:val="00D54AC9"/>
    <w:rsid w:val="00D54B7C"/>
    <w:rsid w:val="00D54C16"/>
    <w:rsid w:val="00D54CA4"/>
    <w:rsid w:val="00D54CE0"/>
    <w:rsid w:val="00D54F1F"/>
    <w:rsid w:val="00D5591F"/>
    <w:rsid w:val="00D55C24"/>
    <w:rsid w:val="00D55F55"/>
    <w:rsid w:val="00D5615D"/>
    <w:rsid w:val="00D56419"/>
    <w:rsid w:val="00D5663B"/>
    <w:rsid w:val="00D56B01"/>
    <w:rsid w:val="00D56E12"/>
    <w:rsid w:val="00D57067"/>
    <w:rsid w:val="00D57BDD"/>
    <w:rsid w:val="00D57E9A"/>
    <w:rsid w:val="00D57EC5"/>
    <w:rsid w:val="00D6020E"/>
    <w:rsid w:val="00D6063B"/>
    <w:rsid w:val="00D60A2C"/>
    <w:rsid w:val="00D60B90"/>
    <w:rsid w:val="00D60BA1"/>
    <w:rsid w:val="00D60BF4"/>
    <w:rsid w:val="00D60D48"/>
    <w:rsid w:val="00D60E52"/>
    <w:rsid w:val="00D6105B"/>
    <w:rsid w:val="00D6106D"/>
    <w:rsid w:val="00D61190"/>
    <w:rsid w:val="00D61571"/>
    <w:rsid w:val="00D616D1"/>
    <w:rsid w:val="00D61998"/>
    <w:rsid w:val="00D61B19"/>
    <w:rsid w:val="00D62080"/>
    <w:rsid w:val="00D621C8"/>
    <w:rsid w:val="00D6240E"/>
    <w:rsid w:val="00D62770"/>
    <w:rsid w:val="00D62EE9"/>
    <w:rsid w:val="00D6337E"/>
    <w:rsid w:val="00D633EC"/>
    <w:rsid w:val="00D63632"/>
    <w:rsid w:val="00D638BD"/>
    <w:rsid w:val="00D63B04"/>
    <w:rsid w:val="00D63BF4"/>
    <w:rsid w:val="00D63DE2"/>
    <w:rsid w:val="00D63F4E"/>
    <w:rsid w:val="00D63FB5"/>
    <w:rsid w:val="00D640BE"/>
    <w:rsid w:val="00D640FF"/>
    <w:rsid w:val="00D6415E"/>
    <w:rsid w:val="00D6427D"/>
    <w:rsid w:val="00D642B7"/>
    <w:rsid w:val="00D64374"/>
    <w:rsid w:val="00D644A6"/>
    <w:rsid w:val="00D648C7"/>
    <w:rsid w:val="00D64DC9"/>
    <w:rsid w:val="00D64DEC"/>
    <w:rsid w:val="00D64FD3"/>
    <w:rsid w:val="00D6514B"/>
    <w:rsid w:val="00D652B6"/>
    <w:rsid w:val="00D65357"/>
    <w:rsid w:val="00D65768"/>
    <w:rsid w:val="00D65AD2"/>
    <w:rsid w:val="00D65E05"/>
    <w:rsid w:val="00D65E83"/>
    <w:rsid w:val="00D65E88"/>
    <w:rsid w:val="00D661FA"/>
    <w:rsid w:val="00D6621B"/>
    <w:rsid w:val="00D666E4"/>
    <w:rsid w:val="00D66999"/>
    <w:rsid w:val="00D66E6F"/>
    <w:rsid w:val="00D67341"/>
    <w:rsid w:val="00D674B5"/>
    <w:rsid w:val="00D676F1"/>
    <w:rsid w:val="00D70087"/>
    <w:rsid w:val="00D70201"/>
    <w:rsid w:val="00D7029E"/>
    <w:rsid w:val="00D7077C"/>
    <w:rsid w:val="00D708FE"/>
    <w:rsid w:val="00D70C02"/>
    <w:rsid w:val="00D710CD"/>
    <w:rsid w:val="00D71345"/>
    <w:rsid w:val="00D71563"/>
    <w:rsid w:val="00D72561"/>
    <w:rsid w:val="00D729D1"/>
    <w:rsid w:val="00D72E50"/>
    <w:rsid w:val="00D73507"/>
    <w:rsid w:val="00D73795"/>
    <w:rsid w:val="00D737C1"/>
    <w:rsid w:val="00D73944"/>
    <w:rsid w:val="00D7395E"/>
    <w:rsid w:val="00D73F0E"/>
    <w:rsid w:val="00D742B4"/>
    <w:rsid w:val="00D74763"/>
    <w:rsid w:val="00D74B03"/>
    <w:rsid w:val="00D74D78"/>
    <w:rsid w:val="00D7562F"/>
    <w:rsid w:val="00D75833"/>
    <w:rsid w:val="00D7589B"/>
    <w:rsid w:val="00D75ADA"/>
    <w:rsid w:val="00D75FF3"/>
    <w:rsid w:val="00D764BB"/>
    <w:rsid w:val="00D767C0"/>
    <w:rsid w:val="00D768C9"/>
    <w:rsid w:val="00D76A05"/>
    <w:rsid w:val="00D76C54"/>
    <w:rsid w:val="00D76FC3"/>
    <w:rsid w:val="00D7720E"/>
    <w:rsid w:val="00D7749B"/>
    <w:rsid w:val="00D778DB"/>
    <w:rsid w:val="00D77DEF"/>
    <w:rsid w:val="00D77ECB"/>
    <w:rsid w:val="00D77F43"/>
    <w:rsid w:val="00D80B4D"/>
    <w:rsid w:val="00D8161D"/>
    <w:rsid w:val="00D81CDB"/>
    <w:rsid w:val="00D82378"/>
    <w:rsid w:val="00D829DF"/>
    <w:rsid w:val="00D82A43"/>
    <w:rsid w:val="00D82EB7"/>
    <w:rsid w:val="00D82F0E"/>
    <w:rsid w:val="00D82F2C"/>
    <w:rsid w:val="00D82F54"/>
    <w:rsid w:val="00D83012"/>
    <w:rsid w:val="00D83080"/>
    <w:rsid w:val="00D83310"/>
    <w:rsid w:val="00D842AB"/>
    <w:rsid w:val="00D84391"/>
    <w:rsid w:val="00D844E7"/>
    <w:rsid w:val="00D84509"/>
    <w:rsid w:val="00D84747"/>
    <w:rsid w:val="00D84E48"/>
    <w:rsid w:val="00D84F3C"/>
    <w:rsid w:val="00D85166"/>
    <w:rsid w:val="00D851AF"/>
    <w:rsid w:val="00D85396"/>
    <w:rsid w:val="00D8550F"/>
    <w:rsid w:val="00D85B00"/>
    <w:rsid w:val="00D863E6"/>
    <w:rsid w:val="00D86686"/>
    <w:rsid w:val="00D8683A"/>
    <w:rsid w:val="00D86A5E"/>
    <w:rsid w:val="00D86B3B"/>
    <w:rsid w:val="00D86C06"/>
    <w:rsid w:val="00D86E86"/>
    <w:rsid w:val="00D87156"/>
    <w:rsid w:val="00D87477"/>
    <w:rsid w:val="00D8763A"/>
    <w:rsid w:val="00D876B7"/>
    <w:rsid w:val="00D87A69"/>
    <w:rsid w:val="00D87D0F"/>
    <w:rsid w:val="00D87D6B"/>
    <w:rsid w:val="00D87F67"/>
    <w:rsid w:val="00D9096C"/>
    <w:rsid w:val="00D90BC1"/>
    <w:rsid w:val="00D90BDD"/>
    <w:rsid w:val="00D90C42"/>
    <w:rsid w:val="00D90F64"/>
    <w:rsid w:val="00D913FE"/>
    <w:rsid w:val="00D9156B"/>
    <w:rsid w:val="00D91758"/>
    <w:rsid w:val="00D918C0"/>
    <w:rsid w:val="00D91BD9"/>
    <w:rsid w:val="00D91CFD"/>
    <w:rsid w:val="00D921BD"/>
    <w:rsid w:val="00D924C2"/>
    <w:rsid w:val="00D92641"/>
    <w:rsid w:val="00D9269C"/>
    <w:rsid w:val="00D92785"/>
    <w:rsid w:val="00D9289C"/>
    <w:rsid w:val="00D9302A"/>
    <w:rsid w:val="00D932F5"/>
    <w:rsid w:val="00D9360C"/>
    <w:rsid w:val="00D938E4"/>
    <w:rsid w:val="00D93BB7"/>
    <w:rsid w:val="00D93D1E"/>
    <w:rsid w:val="00D93F1D"/>
    <w:rsid w:val="00D941C3"/>
    <w:rsid w:val="00D94257"/>
    <w:rsid w:val="00D942D3"/>
    <w:rsid w:val="00D95137"/>
    <w:rsid w:val="00D951D7"/>
    <w:rsid w:val="00D95725"/>
    <w:rsid w:val="00D9583A"/>
    <w:rsid w:val="00D959DF"/>
    <w:rsid w:val="00D96564"/>
    <w:rsid w:val="00D96757"/>
    <w:rsid w:val="00D968BC"/>
    <w:rsid w:val="00D96C29"/>
    <w:rsid w:val="00D96C42"/>
    <w:rsid w:val="00D97015"/>
    <w:rsid w:val="00D97115"/>
    <w:rsid w:val="00D971DF"/>
    <w:rsid w:val="00D97286"/>
    <w:rsid w:val="00D97408"/>
    <w:rsid w:val="00D97680"/>
    <w:rsid w:val="00D978D0"/>
    <w:rsid w:val="00D97D1F"/>
    <w:rsid w:val="00D97EB3"/>
    <w:rsid w:val="00DA000C"/>
    <w:rsid w:val="00DA0065"/>
    <w:rsid w:val="00DA0088"/>
    <w:rsid w:val="00DA056A"/>
    <w:rsid w:val="00DA0982"/>
    <w:rsid w:val="00DA0B57"/>
    <w:rsid w:val="00DA0E72"/>
    <w:rsid w:val="00DA11A2"/>
    <w:rsid w:val="00DA15C6"/>
    <w:rsid w:val="00DA1A43"/>
    <w:rsid w:val="00DA2294"/>
    <w:rsid w:val="00DA2781"/>
    <w:rsid w:val="00DA2C0D"/>
    <w:rsid w:val="00DA30BE"/>
    <w:rsid w:val="00DA34B5"/>
    <w:rsid w:val="00DA37BD"/>
    <w:rsid w:val="00DA3F72"/>
    <w:rsid w:val="00DA4043"/>
    <w:rsid w:val="00DA419A"/>
    <w:rsid w:val="00DA4947"/>
    <w:rsid w:val="00DA4BE6"/>
    <w:rsid w:val="00DA4C1B"/>
    <w:rsid w:val="00DA4D7A"/>
    <w:rsid w:val="00DA4F95"/>
    <w:rsid w:val="00DA53B0"/>
    <w:rsid w:val="00DA5A4E"/>
    <w:rsid w:val="00DA5BE7"/>
    <w:rsid w:val="00DA60C9"/>
    <w:rsid w:val="00DA60E9"/>
    <w:rsid w:val="00DA623F"/>
    <w:rsid w:val="00DA62B0"/>
    <w:rsid w:val="00DA6719"/>
    <w:rsid w:val="00DA692A"/>
    <w:rsid w:val="00DA6DDF"/>
    <w:rsid w:val="00DA7193"/>
    <w:rsid w:val="00DA71DF"/>
    <w:rsid w:val="00DA772E"/>
    <w:rsid w:val="00DA787D"/>
    <w:rsid w:val="00DA7B5D"/>
    <w:rsid w:val="00DB00A3"/>
    <w:rsid w:val="00DB03E9"/>
    <w:rsid w:val="00DB0528"/>
    <w:rsid w:val="00DB05D5"/>
    <w:rsid w:val="00DB0A09"/>
    <w:rsid w:val="00DB0AEA"/>
    <w:rsid w:val="00DB0B1E"/>
    <w:rsid w:val="00DB0E5F"/>
    <w:rsid w:val="00DB1220"/>
    <w:rsid w:val="00DB1A34"/>
    <w:rsid w:val="00DB1A37"/>
    <w:rsid w:val="00DB1ADE"/>
    <w:rsid w:val="00DB2100"/>
    <w:rsid w:val="00DB2274"/>
    <w:rsid w:val="00DB2647"/>
    <w:rsid w:val="00DB2743"/>
    <w:rsid w:val="00DB28E6"/>
    <w:rsid w:val="00DB34CB"/>
    <w:rsid w:val="00DB3513"/>
    <w:rsid w:val="00DB35AA"/>
    <w:rsid w:val="00DB35D9"/>
    <w:rsid w:val="00DB368F"/>
    <w:rsid w:val="00DB37ED"/>
    <w:rsid w:val="00DB3AFD"/>
    <w:rsid w:val="00DB40BD"/>
    <w:rsid w:val="00DB4130"/>
    <w:rsid w:val="00DB4140"/>
    <w:rsid w:val="00DB4481"/>
    <w:rsid w:val="00DB46A5"/>
    <w:rsid w:val="00DB46EE"/>
    <w:rsid w:val="00DB470A"/>
    <w:rsid w:val="00DB49B6"/>
    <w:rsid w:val="00DB4D19"/>
    <w:rsid w:val="00DB4EB3"/>
    <w:rsid w:val="00DB4F7C"/>
    <w:rsid w:val="00DB5310"/>
    <w:rsid w:val="00DB536E"/>
    <w:rsid w:val="00DB53D5"/>
    <w:rsid w:val="00DB58F6"/>
    <w:rsid w:val="00DB593E"/>
    <w:rsid w:val="00DB59D2"/>
    <w:rsid w:val="00DB5EDA"/>
    <w:rsid w:val="00DB604D"/>
    <w:rsid w:val="00DB609F"/>
    <w:rsid w:val="00DB6362"/>
    <w:rsid w:val="00DB65FD"/>
    <w:rsid w:val="00DB6746"/>
    <w:rsid w:val="00DB706D"/>
    <w:rsid w:val="00DB74F0"/>
    <w:rsid w:val="00DB7624"/>
    <w:rsid w:val="00DB7774"/>
    <w:rsid w:val="00DC030A"/>
    <w:rsid w:val="00DC03D5"/>
    <w:rsid w:val="00DC03ED"/>
    <w:rsid w:val="00DC03F7"/>
    <w:rsid w:val="00DC04C0"/>
    <w:rsid w:val="00DC052D"/>
    <w:rsid w:val="00DC0653"/>
    <w:rsid w:val="00DC09FD"/>
    <w:rsid w:val="00DC0B2A"/>
    <w:rsid w:val="00DC0DE6"/>
    <w:rsid w:val="00DC1014"/>
    <w:rsid w:val="00DC101D"/>
    <w:rsid w:val="00DC1050"/>
    <w:rsid w:val="00DC1250"/>
    <w:rsid w:val="00DC138C"/>
    <w:rsid w:val="00DC1945"/>
    <w:rsid w:val="00DC1A7F"/>
    <w:rsid w:val="00DC1C96"/>
    <w:rsid w:val="00DC1CF1"/>
    <w:rsid w:val="00DC2716"/>
    <w:rsid w:val="00DC272B"/>
    <w:rsid w:val="00DC27CA"/>
    <w:rsid w:val="00DC2A4A"/>
    <w:rsid w:val="00DC2CDF"/>
    <w:rsid w:val="00DC30DC"/>
    <w:rsid w:val="00DC34E6"/>
    <w:rsid w:val="00DC367E"/>
    <w:rsid w:val="00DC3690"/>
    <w:rsid w:val="00DC3B4E"/>
    <w:rsid w:val="00DC4022"/>
    <w:rsid w:val="00DC4508"/>
    <w:rsid w:val="00DC452E"/>
    <w:rsid w:val="00DC5437"/>
    <w:rsid w:val="00DC545D"/>
    <w:rsid w:val="00DC5476"/>
    <w:rsid w:val="00DC5746"/>
    <w:rsid w:val="00DC5758"/>
    <w:rsid w:val="00DC5BB5"/>
    <w:rsid w:val="00DC601A"/>
    <w:rsid w:val="00DC605B"/>
    <w:rsid w:val="00DC6104"/>
    <w:rsid w:val="00DC6167"/>
    <w:rsid w:val="00DC6273"/>
    <w:rsid w:val="00DC63D1"/>
    <w:rsid w:val="00DC6A30"/>
    <w:rsid w:val="00DC6C5C"/>
    <w:rsid w:val="00DC6DAB"/>
    <w:rsid w:val="00DC6FB1"/>
    <w:rsid w:val="00DC71EA"/>
    <w:rsid w:val="00DC7595"/>
    <w:rsid w:val="00DC75F0"/>
    <w:rsid w:val="00DC7C98"/>
    <w:rsid w:val="00DC7D9D"/>
    <w:rsid w:val="00DD03EB"/>
    <w:rsid w:val="00DD0421"/>
    <w:rsid w:val="00DD081B"/>
    <w:rsid w:val="00DD0830"/>
    <w:rsid w:val="00DD08DA"/>
    <w:rsid w:val="00DD0B2B"/>
    <w:rsid w:val="00DD0DA8"/>
    <w:rsid w:val="00DD11D0"/>
    <w:rsid w:val="00DD1372"/>
    <w:rsid w:val="00DD1379"/>
    <w:rsid w:val="00DD1415"/>
    <w:rsid w:val="00DD150B"/>
    <w:rsid w:val="00DD1D58"/>
    <w:rsid w:val="00DD1D9A"/>
    <w:rsid w:val="00DD1D9B"/>
    <w:rsid w:val="00DD1FF0"/>
    <w:rsid w:val="00DD21B1"/>
    <w:rsid w:val="00DD230F"/>
    <w:rsid w:val="00DD23F5"/>
    <w:rsid w:val="00DD2559"/>
    <w:rsid w:val="00DD261E"/>
    <w:rsid w:val="00DD292B"/>
    <w:rsid w:val="00DD2A25"/>
    <w:rsid w:val="00DD2B85"/>
    <w:rsid w:val="00DD3126"/>
    <w:rsid w:val="00DD3763"/>
    <w:rsid w:val="00DD3AF2"/>
    <w:rsid w:val="00DD3C32"/>
    <w:rsid w:val="00DD3E1E"/>
    <w:rsid w:val="00DD46B6"/>
    <w:rsid w:val="00DD47CA"/>
    <w:rsid w:val="00DD48B3"/>
    <w:rsid w:val="00DD4A6C"/>
    <w:rsid w:val="00DD4BA7"/>
    <w:rsid w:val="00DD5559"/>
    <w:rsid w:val="00DD5EEF"/>
    <w:rsid w:val="00DD63AC"/>
    <w:rsid w:val="00DD6932"/>
    <w:rsid w:val="00DD6A74"/>
    <w:rsid w:val="00DD6D20"/>
    <w:rsid w:val="00DD6F35"/>
    <w:rsid w:val="00DD7017"/>
    <w:rsid w:val="00DD709A"/>
    <w:rsid w:val="00DD795C"/>
    <w:rsid w:val="00DD7F27"/>
    <w:rsid w:val="00DE019A"/>
    <w:rsid w:val="00DE02BF"/>
    <w:rsid w:val="00DE0519"/>
    <w:rsid w:val="00DE0651"/>
    <w:rsid w:val="00DE06A9"/>
    <w:rsid w:val="00DE099F"/>
    <w:rsid w:val="00DE0C16"/>
    <w:rsid w:val="00DE0EB5"/>
    <w:rsid w:val="00DE1019"/>
    <w:rsid w:val="00DE104D"/>
    <w:rsid w:val="00DE13A2"/>
    <w:rsid w:val="00DE2868"/>
    <w:rsid w:val="00DE29EC"/>
    <w:rsid w:val="00DE34A6"/>
    <w:rsid w:val="00DE373A"/>
    <w:rsid w:val="00DE3774"/>
    <w:rsid w:val="00DE3D34"/>
    <w:rsid w:val="00DE3DDE"/>
    <w:rsid w:val="00DE407E"/>
    <w:rsid w:val="00DE426A"/>
    <w:rsid w:val="00DE451A"/>
    <w:rsid w:val="00DE491B"/>
    <w:rsid w:val="00DE49A4"/>
    <w:rsid w:val="00DE507F"/>
    <w:rsid w:val="00DE58CF"/>
    <w:rsid w:val="00DE5D04"/>
    <w:rsid w:val="00DE6045"/>
    <w:rsid w:val="00DE6362"/>
    <w:rsid w:val="00DE63BD"/>
    <w:rsid w:val="00DE6E5F"/>
    <w:rsid w:val="00DE736A"/>
    <w:rsid w:val="00DE76AD"/>
    <w:rsid w:val="00DE781E"/>
    <w:rsid w:val="00DF0215"/>
    <w:rsid w:val="00DF03C6"/>
    <w:rsid w:val="00DF03FA"/>
    <w:rsid w:val="00DF0404"/>
    <w:rsid w:val="00DF0665"/>
    <w:rsid w:val="00DF0938"/>
    <w:rsid w:val="00DF13B7"/>
    <w:rsid w:val="00DF1460"/>
    <w:rsid w:val="00DF17D9"/>
    <w:rsid w:val="00DF244E"/>
    <w:rsid w:val="00DF2827"/>
    <w:rsid w:val="00DF2C88"/>
    <w:rsid w:val="00DF30C2"/>
    <w:rsid w:val="00DF382A"/>
    <w:rsid w:val="00DF4227"/>
    <w:rsid w:val="00DF4BE4"/>
    <w:rsid w:val="00DF523A"/>
    <w:rsid w:val="00DF528F"/>
    <w:rsid w:val="00DF52FB"/>
    <w:rsid w:val="00DF561C"/>
    <w:rsid w:val="00DF58E7"/>
    <w:rsid w:val="00DF5EAB"/>
    <w:rsid w:val="00DF6351"/>
    <w:rsid w:val="00DF6589"/>
    <w:rsid w:val="00DF660B"/>
    <w:rsid w:val="00DF68DA"/>
    <w:rsid w:val="00DF7136"/>
    <w:rsid w:val="00DF7164"/>
    <w:rsid w:val="00DF7291"/>
    <w:rsid w:val="00DF747B"/>
    <w:rsid w:val="00DF75D7"/>
    <w:rsid w:val="00DF7A47"/>
    <w:rsid w:val="00DF7AC3"/>
    <w:rsid w:val="00DF7DA9"/>
    <w:rsid w:val="00DF7E39"/>
    <w:rsid w:val="00E000B7"/>
    <w:rsid w:val="00E00646"/>
    <w:rsid w:val="00E00C35"/>
    <w:rsid w:val="00E012F0"/>
    <w:rsid w:val="00E01448"/>
    <w:rsid w:val="00E01703"/>
    <w:rsid w:val="00E01E5A"/>
    <w:rsid w:val="00E02106"/>
    <w:rsid w:val="00E022A1"/>
    <w:rsid w:val="00E023D1"/>
    <w:rsid w:val="00E0258A"/>
    <w:rsid w:val="00E02A05"/>
    <w:rsid w:val="00E02ECF"/>
    <w:rsid w:val="00E03636"/>
    <w:rsid w:val="00E0369B"/>
    <w:rsid w:val="00E036E7"/>
    <w:rsid w:val="00E03B96"/>
    <w:rsid w:val="00E03CED"/>
    <w:rsid w:val="00E043B7"/>
    <w:rsid w:val="00E044B7"/>
    <w:rsid w:val="00E0454F"/>
    <w:rsid w:val="00E04684"/>
    <w:rsid w:val="00E04761"/>
    <w:rsid w:val="00E05378"/>
    <w:rsid w:val="00E0560C"/>
    <w:rsid w:val="00E058F5"/>
    <w:rsid w:val="00E059D5"/>
    <w:rsid w:val="00E05C5F"/>
    <w:rsid w:val="00E06091"/>
    <w:rsid w:val="00E064EC"/>
    <w:rsid w:val="00E0699A"/>
    <w:rsid w:val="00E06B1A"/>
    <w:rsid w:val="00E07E45"/>
    <w:rsid w:val="00E10192"/>
    <w:rsid w:val="00E10406"/>
    <w:rsid w:val="00E10547"/>
    <w:rsid w:val="00E107D3"/>
    <w:rsid w:val="00E10A11"/>
    <w:rsid w:val="00E10E1A"/>
    <w:rsid w:val="00E10F2A"/>
    <w:rsid w:val="00E111BB"/>
    <w:rsid w:val="00E11268"/>
    <w:rsid w:val="00E113F6"/>
    <w:rsid w:val="00E1185D"/>
    <w:rsid w:val="00E11876"/>
    <w:rsid w:val="00E11C54"/>
    <w:rsid w:val="00E11D88"/>
    <w:rsid w:val="00E11F16"/>
    <w:rsid w:val="00E120F3"/>
    <w:rsid w:val="00E12238"/>
    <w:rsid w:val="00E1287C"/>
    <w:rsid w:val="00E12CEA"/>
    <w:rsid w:val="00E13079"/>
    <w:rsid w:val="00E130E5"/>
    <w:rsid w:val="00E130FF"/>
    <w:rsid w:val="00E1367B"/>
    <w:rsid w:val="00E137E2"/>
    <w:rsid w:val="00E13AF8"/>
    <w:rsid w:val="00E13C32"/>
    <w:rsid w:val="00E13C92"/>
    <w:rsid w:val="00E13CC0"/>
    <w:rsid w:val="00E13E22"/>
    <w:rsid w:val="00E140E2"/>
    <w:rsid w:val="00E14360"/>
    <w:rsid w:val="00E14778"/>
    <w:rsid w:val="00E14CAF"/>
    <w:rsid w:val="00E14D78"/>
    <w:rsid w:val="00E14FAC"/>
    <w:rsid w:val="00E150EC"/>
    <w:rsid w:val="00E15183"/>
    <w:rsid w:val="00E154B6"/>
    <w:rsid w:val="00E1554F"/>
    <w:rsid w:val="00E15757"/>
    <w:rsid w:val="00E15A0C"/>
    <w:rsid w:val="00E15EFC"/>
    <w:rsid w:val="00E15FE1"/>
    <w:rsid w:val="00E16137"/>
    <w:rsid w:val="00E16176"/>
    <w:rsid w:val="00E1669A"/>
    <w:rsid w:val="00E16B26"/>
    <w:rsid w:val="00E16D2E"/>
    <w:rsid w:val="00E16E6A"/>
    <w:rsid w:val="00E170E0"/>
    <w:rsid w:val="00E17265"/>
    <w:rsid w:val="00E173DC"/>
    <w:rsid w:val="00E17B27"/>
    <w:rsid w:val="00E17C41"/>
    <w:rsid w:val="00E201B1"/>
    <w:rsid w:val="00E20246"/>
    <w:rsid w:val="00E20589"/>
    <w:rsid w:val="00E208DD"/>
    <w:rsid w:val="00E20C93"/>
    <w:rsid w:val="00E21010"/>
    <w:rsid w:val="00E2102C"/>
    <w:rsid w:val="00E210A5"/>
    <w:rsid w:val="00E220A9"/>
    <w:rsid w:val="00E224AA"/>
    <w:rsid w:val="00E22AF8"/>
    <w:rsid w:val="00E22C16"/>
    <w:rsid w:val="00E22F32"/>
    <w:rsid w:val="00E23127"/>
    <w:rsid w:val="00E23383"/>
    <w:rsid w:val="00E236E0"/>
    <w:rsid w:val="00E23975"/>
    <w:rsid w:val="00E23AD7"/>
    <w:rsid w:val="00E23CBB"/>
    <w:rsid w:val="00E23CC4"/>
    <w:rsid w:val="00E23CD3"/>
    <w:rsid w:val="00E23E91"/>
    <w:rsid w:val="00E23FFF"/>
    <w:rsid w:val="00E24259"/>
    <w:rsid w:val="00E2455E"/>
    <w:rsid w:val="00E24888"/>
    <w:rsid w:val="00E24BB1"/>
    <w:rsid w:val="00E24C91"/>
    <w:rsid w:val="00E24FBD"/>
    <w:rsid w:val="00E25180"/>
    <w:rsid w:val="00E254C1"/>
    <w:rsid w:val="00E25501"/>
    <w:rsid w:val="00E25774"/>
    <w:rsid w:val="00E258AA"/>
    <w:rsid w:val="00E25E51"/>
    <w:rsid w:val="00E2678B"/>
    <w:rsid w:val="00E268C9"/>
    <w:rsid w:val="00E26A1B"/>
    <w:rsid w:val="00E26DC9"/>
    <w:rsid w:val="00E26DCA"/>
    <w:rsid w:val="00E26E5B"/>
    <w:rsid w:val="00E26E7F"/>
    <w:rsid w:val="00E277D9"/>
    <w:rsid w:val="00E27E4A"/>
    <w:rsid w:val="00E304F6"/>
    <w:rsid w:val="00E30939"/>
    <w:rsid w:val="00E30D08"/>
    <w:rsid w:val="00E31938"/>
    <w:rsid w:val="00E319C1"/>
    <w:rsid w:val="00E31A15"/>
    <w:rsid w:val="00E31BA4"/>
    <w:rsid w:val="00E31D2F"/>
    <w:rsid w:val="00E31D6F"/>
    <w:rsid w:val="00E31E73"/>
    <w:rsid w:val="00E31F22"/>
    <w:rsid w:val="00E31FDC"/>
    <w:rsid w:val="00E32412"/>
    <w:rsid w:val="00E32A95"/>
    <w:rsid w:val="00E32CFB"/>
    <w:rsid w:val="00E32DE3"/>
    <w:rsid w:val="00E32E3B"/>
    <w:rsid w:val="00E3307B"/>
    <w:rsid w:val="00E340E2"/>
    <w:rsid w:val="00E34A00"/>
    <w:rsid w:val="00E35318"/>
    <w:rsid w:val="00E357C7"/>
    <w:rsid w:val="00E35BDA"/>
    <w:rsid w:val="00E35FBE"/>
    <w:rsid w:val="00E362D4"/>
    <w:rsid w:val="00E36381"/>
    <w:rsid w:val="00E36AF1"/>
    <w:rsid w:val="00E36E72"/>
    <w:rsid w:val="00E37B59"/>
    <w:rsid w:val="00E37CCA"/>
    <w:rsid w:val="00E401FE"/>
    <w:rsid w:val="00E40319"/>
    <w:rsid w:val="00E407E7"/>
    <w:rsid w:val="00E40948"/>
    <w:rsid w:val="00E40DBB"/>
    <w:rsid w:val="00E41024"/>
    <w:rsid w:val="00E411D3"/>
    <w:rsid w:val="00E412D7"/>
    <w:rsid w:val="00E4142E"/>
    <w:rsid w:val="00E415A8"/>
    <w:rsid w:val="00E41651"/>
    <w:rsid w:val="00E41A08"/>
    <w:rsid w:val="00E41B3D"/>
    <w:rsid w:val="00E42184"/>
    <w:rsid w:val="00E42234"/>
    <w:rsid w:val="00E4271D"/>
    <w:rsid w:val="00E42759"/>
    <w:rsid w:val="00E42983"/>
    <w:rsid w:val="00E42CDE"/>
    <w:rsid w:val="00E42FA6"/>
    <w:rsid w:val="00E4301F"/>
    <w:rsid w:val="00E432DA"/>
    <w:rsid w:val="00E432EB"/>
    <w:rsid w:val="00E432F6"/>
    <w:rsid w:val="00E4363A"/>
    <w:rsid w:val="00E44628"/>
    <w:rsid w:val="00E44956"/>
    <w:rsid w:val="00E44B99"/>
    <w:rsid w:val="00E44FA8"/>
    <w:rsid w:val="00E44FD7"/>
    <w:rsid w:val="00E45618"/>
    <w:rsid w:val="00E45A50"/>
    <w:rsid w:val="00E45C59"/>
    <w:rsid w:val="00E45D4C"/>
    <w:rsid w:val="00E45E72"/>
    <w:rsid w:val="00E46427"/>
    <w:rsid w:val="00E46A7D"/>
    <w:rsid w:val="00E474A8"/>
    <w:rsid w:val="00E474C5"/>
    <w:rsid w:val="00E47569"/>
    <w:rsid w:val="00E476B0"/>
    <w:rsid w:val="00E47BC0"/>
    <w:rsid w:val="00E47CCA"/>
    <w:rsid w:val="00E47FF5"/>
    <w:rsid w:val="00E50ABF"/>
    <w:rsid w:val="00E50E1A"/>
    <w:rsid w:val="00E51660"/>
    <w:rsid w:val="00E5183C"/>
    <w:rsid w:val="00E51CF8"/>
    <w:rsid w:val="00E51F6D"/>
    <w:rsid w:val="00E52145"/>
    <w:rsid w:val="00E52161"/>
    <w:rsid w:val="00E52430"/>
    <w:rsid w:val="00E52CBF"/>
    <w:rsid w:val="00E52D70"/>
    <w:rsid w:val="00E5317E"/>
    <w:rsid w:val="00E53438"/>
    <w:rsid w:val="00E537DA"/>
    <w:rsid w:val="00E53FCE"/>
    <w:rsid w:val="00E5425D"/>
    <w:rsid w:val="00E545C8"/>
    <w:rsid w:val="00E54800"/>
    <w:rsid w:val="00E54A15"/>
    <w:rsid w:val="00E54C44"/>
    <w:rsid w:val="00E54CAE"/>
    <w:rsid w:val="00E54DAE"/>
    <w:rsid w:val="00E55B06"/>
    <w:rsid w:val="00E55EB0"/>
    <w:rsid w:val="00E561ED"/>
    <w:rsid w:val="00E56269"/>
    <w:rsid w:val="00E5655F"/>
    <w:rsid w:val="00E567FB"/>
    <w:rsid w:val="00E5686E"/>
    <w:rsid w:val="00E5689E"/>
    <w:rsid w:val="00E568EB"/>
    <w:rsid w:val="00E56C7E"/>
    <w:rsid w:val="00E56DDF"/>
    <w:rsid w:val="00E5720A"/>
    <w:rsid w:val="00E5749F"/>
    <w:rsid w:val="00E57685"/>
    <w:rsid w:val="00E579CC"/>
    <w:rsid w:val="00E57B17"/>
    <w:rsid w:val="00E6036D"/>
    <w:rsid w:val="00E603A2"/>
    <w:rsid w:val="00E60654"/>
    <w:rsid w:val="00E60E02"/>
    <w:rsid w:val="00E61468"/>
    <w:rsid w:val="00E615CA"/>
    <w:rsid w:val="00E61808"/>
    <w:rsid w:val="00E618B6"/>
    <w:rsid w:val="00E62015"/>
    <w:rsid w:val="00E620F4"/>
    <w:rsid w:val="00E623E6"/>
    <w:rsid w:val="00E62428"/>
    <w:rsid w:val="00E624FB"/>
    <w:rsid w:val="00E6267E"/>
    <w:rsid w:val="00E6290F"/>
    <w:rsid w:val="00E62D61"/>
    <w:rsid w:val="00E62EB2"/>
    <w:rsid w:val="00E63182"/>
    <w:rsid w:val="00E63534"/>
    <w:rsid w:val="00E63551"/>
    <w:rsid w:val="00E6366A"/>
    <w:rsid w:val="00E638FD"/>
    <w:rsid w:val="00E6398F"/>
    <w:rsid w:val="00E63DA0"/>
    <w:rsid w:val="00E64609"/>
    <w:rsid w:val="00E64723"/>
    <w:rsid w:val="00E64BF5"/>
    <w:rsid w:val="00E64FD6"/>
    <w:rsid w:val="00E6506C"/>
    <w:rsid w:val="00E652BA"/>
    <w:rsid w:val="00E659B0"/>
    <w:rsid w:val="00E65AEA"/>
    <w:rsid w:val="00E65BB5"/>
    <w:rsid w:val="00E65CE2"/>
    <w:rsid w:val="00E66023"/>
    <w:rsid w:val="00E66118"/>
    <w:rsid w:val="00E66154"/>
    <w:rsid w:val="00E665DC"/>
    <w:rsid w:val="00E669D6"/>
    <w:rsid w:val="00E67A15"/>
    <w:rsid w:val="00E67A57"/>
    <w:rsid w:val="00E67A79"/>
    <w:rsid w:val="00E67D8F"/>
    <w:rsid w:val="00E701A7"/>
    <w:rsid w:val="00E702E8"/>
    <w:rsid w:val="00E70466"/>
    <w:rsid w:val="00E70D3F"/>
    <w:rsid w:val="00E70F14"/>
    <w:rsid w:val="00E710B9"/>
    <w:rsid w:val="00E710D2"/>
    <w:rsid w:val="00E71393"/>
    <w:rsid w:val="00E71619"/>
    <w:rsid w:val="00E71AD6"/>
    <w:rsid w:val="00E71AE7"/>
    <w:rsid w:val="00E71BD5"/>
    <w:rsid w:val="00E71EBB"/>
    <w:rsid w:val="00E7249B"/>
    <w:rsid w:val="00E725FC"/>
    <w:rsid w:val="00E728C5"/>
    <w:rsid w:val="00E73039"/>
    <w:rsid w:val="00E7304E"/>
    <w:rsid w:val="00E73271"/>
    <w:rsid w:val="00E736E8"/>
    <w:rsid w:val="00E7388D"/>
    <w:rsid w:val="00E73CBC"/>
    <w:rsid w:val="00E73F40"/>
    <w:rsid w:val="00E74678"/>
    <w:rsid w:val="00E74914"/>
    <w:rsid w:val="00E755CB"/>
    <w:rsid w:val="00E75694"/>
    <w:rsid w:val="00E767C0"/>
    <w:rsid w:val="00E76BC4"/>
    <w:rsid w:val="00E7733A"/>
    <w:rsid w:val="00E77377"/>
    <w:rsid w:val="00E77571"/>
    <w:rsid w:val="00E77701"/>
    <w:rsid w:val="00E77AB2"/>
    <w:rsid w:val="00E77BB7"/>
    <w:rsid w:val="00E80027"/>
    <w:rsid w:val="00E80837"/>
    <w:rsid w:val="00E809E4"/>
    <w:rsid w:val="00E81A27"/>
    <w:rsid w:val="00E81AB6"/>
    <w:rsid w:val="00E81DEC"/>
    <w:rsid w:val="00E81F32"/>
    <w:rsid w:val="00E8213D"/>
    <w:rsid w:val="00E825C5"/>
    <w:rsid w:val="00E82B1D"/>
    <w:rsid w:val="00E82B61"/>
    <w:rsid w:val="00E82BB4"/>
    <w:rsid w:val="00E831DF"/>
    <w:rsid w:val="00E83286"/>
    <w:rsid w:val="00E8345A"/>
    <w:rsid w:val="00E8370E"/>
    <w:rsid w:val="00E8390F"/>
    <w:rsid w:val="00E83D61"/>
    <w:rsid w:val="00E83E02"/>
    <w:rsid w:val="00E8414E"/>
    <w:rsid w:val="00E8417A"/>
    <w:rsid w:val="00E84251"/>
    <w:rsid w:val="00E8430D"/>
    <w:rsid w:val="00E84387"/>
    <w:rsid w:val="00E845C5"/>
    <w:rsid w:val="00E846A4"/>
    <w:rsid w:val="00E849FC"/>
    <w:rsid w:val="00E84D8C"/>
    <w:rsid w:val="00E84EB6"/>
    <w:rsid w:val="00E84F7A"/>
    <w:rsid w:val="00E857B8"/>
    <w:rsid w:val="00E859C2"/>
    <w:rsid w:val="00E859F3"/>
    <w:rsid w:val="00E85AC1"/>
    <w:rsid w:val="00E85B50"/>
    <w:rsid w:val="00E85D49"/>
    <w:rsid w:val="00E85FA1"/>
    <w:rsid w:val="00E86526"/>
    <w:rsid w:val="00E8657D"/>
    <w:rsid w:val="00E8681C"/>
    <w:rsid w:val="00E86B9A"/>
    <w:rsid w:val="00E86CE6"/>
    <w:rsid w:val="00E86F77"/>
    <w:rsid w:val="00E87484"/>
    <w:rsid w:val="00E87708"/>
    <w:rsid w:val="00E878C3"/>
    <w:rsid w:val="00E87FC1"/>
    <w:rsid w:val="00E9032B"/>
    <w:rsid w:val="00E904F7"/>
    <w:rsid w:val="00E90A0E"/>
    <w:rsid w:val="00E90BA3"/>
    <w:rsid w:val="00E90C70"/>
    <w:rsid w:val="00E90E92"/>
    <w:rsid w:val="00E90F7F"/>
    <w:rsid w:val="00E91351"/>
    <w:rsid w:val="00E9191A"/>
    <w:rsid w:val="00E91D37"/>
    <w:rsid w:val="00E91F0A"/>
    <w:rsid w:val="00E9208B"/>
    <w:rsid w:val="00E921E6"/>
    <w:rsid w:val="00E92337"/>
    <w:rsid w:val="00E9235E"/>
    <w:rsid w:val="00E92381"/>
    <w:rsid w:val="00E923E0"/>
    <w:rsid w:val="00E9255A"/>
    <w:rsid w:val="00E92605"/>
    <w:rsid w:val="00E9279C"/>
    <w:rsid w:val="00E92B23"/>
    <w:rsid w:val="00E92BF5"/>
    <w:rsid w:val="00E92C9F"/>
    <w:rsid w:val="00E9301D"/>
    <w:rsid w:val="00E930B3"/>
    <w:rsid w:val="00E933F3"/>
    <w:rsid w:val="00E9389C"/>
    <w:rsid w:val="00E94965"/>
    <w:rsid w:val="00E94A6B"/>
    <w:rsid w:val="00E94CF8"/>
    <w:rsid w:val="00E95914"/>
    <w:rsid w:val="00E95A3A"/>
    <w:rsid w:val="00E95A8D"/>
    <w:rsid w:val="00E95D78"/>
    <w:rsid w:val="00E96433"/>
    <w:rsid w:val="00E9643D"/>
    <w:rsid w:val="00E9656E"/>
    <w:rsid w:val="00E96576"/>
    <w:rsid w:val="00E96632"/>
    <w:rsid w:val="00E968B4"/>
    <w:rsid w:val="00E96DD2"/>
    <w:rsid w:val="00E97027"/>
    <w:rsid w:val="00E97210"/>
    <w:rsid w:val="00E9727B"/>
    <w:rsid w:val="00E97611"/>
    <w:rsid w:val="00EA0E86"/>
    <w:rsid w:val="00EA15D3"/>
    <w:rsid w:val="00EA179F"/>
    <w:rsid w:val="00EA18A5"/>
    <w:rsid w:val="00EA1C47"/>
    <w:rsid w:val="00EA1F82"/>
    <w:rsid w:val="00EA1FF1"/>
    <w:rsid w:val="00EA20F8"/>
    <w:rsid w:val="00EA2A7E"/>
    <w:rsid w:val="00EA2B0D"/>
    <w:rsid w:val="00EA31CA"/>
    <w:rsid w:val="00EA3663"/>
    <w:rsid w:val="00EA36C6"/>
    <w:rsid w:val="00EA36F4"/>
    <w:rsid w:val="00EA3820"/>
    <w:rsid w:val="00EA3A6C"/>
    <w:rsid w:val="00EA4253"/>
    <w:rsid w:val="00EA4DC0"/>
    <w:rsid w:val="00EA517B"/>
    <w:rsid w:val="00EA52EF"/>
    <w:rsid w:val="00EA52F4"/>
    <w:rsid w:val="00EA54DD"/>
    <w:rsid w:val="00EA557C"/>
    <w:rsid w:val="00EA55BA"/>
    <w:rsid w:val="00EA5801"/>
    <w:rsid w:val="00EA60C3"/>
    <w:rsid w:val="00EA6143"/>
    <w:rsid w:val="00EA6680"/>
    <w:rsid w:val="00EA6A86"/>
    <w:rsid w:val="00EA6ADE"/>
    <w:rsid w:val="00EA6B60"/>
    <w:rsid w:val="00EA6C0F"/>
    <w:rsid w:val="00EA6E08"/>
    <w:rsid w:val="00EA6F09"/>
    <w:rsid w:val="00EA7119"/>
    <w:rsid w:val="00EA7323"/>
    <w:rsid w:val="00EA739C"/>
    <w:rsid w:val="00EA747E"/>
    <w:rsid w:val="00EA7E9E"/>
    <w:rsid w:val="00EA7F06"/>
    <w:rsid w:val="00EB0134"/>
    <w:rsid w:val="00EB02A8"/>
    <w:rsid w:val="00EB069E"/>
    <w:rsid w:val="00EB09C4"/>
    <w:rsid w:val="00EB0F59"/>
    <w:rsid w:val="00EB0FAE"/>
    <w:rsid w:val="00EB1573"/>
    <w:rsid w:val="00EB1756"/>
    <w:rsid w:val="00EB1C27"/>
    <w:rsid w:val="00EB2115"/>
    <w:rsid w:val="00EB2541"/>
    <w:rsid w:val="00EB2BD1"/>
    <w:rsid w:val="00EB2BD2"/>
    <w:rsid w:val="00EB2E15"/>
    <w:rsid w:val="00EB31C9"/>
    <w:rsid w:val="00EB326A"/>
    <w:rsid w:val="00EB3340"/>
    <w:rsid w:val="00EB36AE"/>
    <w:rsid w:val="00EB3CC2"/>
    <w:rsid w:val="00EB3CC7"/>
    <w:rsid w:val="00EB3E07"/>
    <w:rsid w:val="00EB3FC4"/>
    <w:rsid w:val="00EB4203"/>
    <w:rsid w:val="00EB4297"/>
    <w:rsid w:val="00EB43A8"/>
    <w:rsid w:val="00EB46C1"/>
    <w:rsid w:val="00EB4813"/>
    <w:rsid w:val="00EB483D"/>
    <w:rsid w:val="00EB4E66"/>
    <w:rsid w:val="00EB5147"/>
    <w:rsid w:val="00EB51E6"/>
    <w:rsid w:val="00EB5660"/>
    <w:rsid w:val="00EB58A8"/>
    <w:rsid w:val="00EB58D3"/>
    <w:rsid w:val="00EB5EBF"/>
    <w:rsid w:val="00EB5F60"/>
    <w:rsid w:val="00EB6805"/>
    <w:rsid w:val="00EB6C77"/>
    <w:rsid w:val="00EB710A"/>
    <w:rsid w:val="00EB7256"/>
    <w:rsid w:val="00EB77FF"/>
    <w:rsid w:val="00EC03E0"/>
    <w:rsid w:val="00EC042C"/>
    <w:rsid w:val="00EC04DD"/>
    <w:rsid w:val="00EC0656"/>
    <w:rsid w:val="00EC06A4"/>
    <w:rsid w:val="00EC06B0"/>
    <w:rsid w:val="00EC06F5"/>
    <w:rsid w:val="00EC092B"/>
    <w:rsid w:val="00EC09E9"/>
    <w:rsid w:val="00EC0D7B"/>
    <w:rsid w:val="00EC14AF"/>
    <w:rsid w:val="00EC1834"/>
    <w:rsid w:val="00EC1A06"/>
    <w:rsid w:val="00EC1AE3"/>
    <w:rsid w:val="00EC1BA6"/>
    <w:rsid w:val="00EC1C24"/>
    <w:rsid w:val="00EC1CC1"/>
    <w:rsid w:val="00EC1ECE"/>
    <w:rsid w:val="00EC213D"/>
    <w:rsid w:val="00EC21E1"/>
    <w:rsid w:val="00EC22A5"/>
    <w:rsid w:val="00EC2416"/>
    <w:rsid w:val="00EC2BCF"/>
    <w:rsid w:val="00EC2C56"/>
    <w:rsid w:val="00EC2DBB"/>
    <w:rsid w:val="00EC2E2C"/>
    <w:rsid w:val="00EC2E54"/>
    <w:rsid w:val="00EC2FED"/>
    <w:rsid w:val="00EC30F9"/>
    <w:rsid w:val="00EC3107"/>
    <w:rsid w:val="00EC32F8"/>
    <w:rsid w:val="00EC33C6"/>
    <w:rsid w:val="00EC35F1"/>
    <w:rsid w:val="00EC3C26"/>
    <w:rsid w:val="00EC3C2F"/>
    <w:rsid w:val="00EC3DB6"/>
    <w:rsid w:val="00EC3EAA"/>
    <w:rsid w:val="00EC4502"/>
    <w:rsid w:val="00EC4A3E"/>
    <w:rsid w:val="00EC4AB2"/>
    <w:rsid w:val="00EC4E1D"/>
    <w:rsid w:val="00EC5282"/>
    <w:rsid w:val="00EC5332"/>
    <w:rsid w:val="00EC5712"/>
    <w:rsid w:val="00EC5924"/>
    <w:rsid w:val="00EC5C1B"/>
    <w:rsid w:val="00EC5FFE"/>
    <w:rsid w:val="00EC611F"/>
    <w:rsid w:val="00EC633E"/>
    <w:rsid w:val="00EC6401"/>
    <w:rsid w:val="00EC66CC"/>
    <w:rsid w:val="00EC677E"/>
    <w:rsid w:val="00EC6785"/>
    <w:rsid w:val="00EC682C"/>
    <w:rsid w:val="00EC683A"/>
    <w:rsid w:val="00EC6DAA"/>
    <w:rsid w:val="00EC736F"/>
    <w:rsid w:val="00EC7405"/>
    <w:rsid w:val="00EC7B5C"/>
    <w:rsid w:val="00ED087E"/>
    <w:rsid w:val="00ED10A5"/>
    <w:rsid w:val="00ED1130"/>
    <w:rsid w:val="00ED12F6"/>
    <w:rsid w:val="00ED1510"/>
    <w:rsid w:val="00ED164F"/>
    <w:rsid w:val="00ED1C77"/>
    <w:rsid w:val="00ED1FAC"/>
    <w:rsid w:val="00ED20BB"/>
    <w:rsid w:val="00ED2F66"/>
    <w:rsid w:val="00ED3218"/>
    <w:rsid w:val="00ED3577"/>
    <w:rsid w:val="00ED3667"/>
    <w:rsid w:val="00ED3688"/>
    <w:rsid w:val="00ED3CC6"/>
    <w:rsid w:val="00ED40EE"/>
    <w:rsid w:val="00ED4100"/>
    <w:rsid w:val="00ED446C"/>
    <w:rsid w:val="00ED4CB0"/>
    <w:rsid w:val="00ED4D10"/>
    <w:rsid w:val="00ED4D53"/>
    <w:rsid w:val="00ED4E0D"/>
    <w:rsid w:val="00ED5038"/>
    <w:rsid w:val="00ED530C"/>
    <w:rsid w:val="00ED5725"/>
    <w:rsid w:val="00ED5845"/>
    <w:rsid w:val="00ED60DD"/>
    <w:rsid w:val="00ED6739"/>
    <w:rsid w:val="00ED67F5"/>
    <w:rsid w:val="00ED6937"/>
    <w:rsid w:val="00ED6C5F"/>
    <w:rsid w:val="00ED7031"/>
    <w:rsid w:val="00ED714B"/>
    <w:rsid w:val="00ED7A14"/>
    <w:rsid w:val="00ED7AD1"/>
    <w:rsid w:val="00ED7C48"/>
    <w:rsid w:val="00ED7E15"/>
    <w:rsid w:val="00ED7F93"/>
    <w:rsid w:val="00EE0091"/>
    <w:rsid w:val="00EE046F"/>
    <w:rsid w:val="00EE05D6"/>
    <w:rsid w:val="00EE091E"/>
    <w:rsid w:val="00EE09B0"/>
    <w:rsid w:val="00EE0C41"/>
    <w:rsid w:val="00EE0E84"/>
    <w:rsid w:val="00EE1105"/>
    <w:rsid w:val="00EE13C8"/>
    <w:rsid w:val="00EE13E9"/>
    <w:rsid w:val="00EE14D6"/>
    <w:rsid w:val="00EE16DA"/>
    <w:rsid w:val="00EE16EF"/>
    <w:rsid w:val="00EE1717"/>
    <w:rsid w:val="00EE1AE1"/>
    <w:rsid w:val="00EE1C85"/>
    <w:rsid w:val="00EE2237"/>
    <w:rsid w:val="00EE2741"/>
    <w:rsid w:val="00EE2906"/>
    <w:rsid w:val="00EE2A2A"/>
    <w:rsid w:val="00EE3060"/>
    <w:rsid w:val="00EE35CC"/>
    <w:rsid w:val="00EE372A"/>
    <w:rsid w:val="00EE399B"/>
    <w:rsid w:val="00EE3CD4"/>
    <w:rsid w:val="00EE430B"/>
    <w:rsid w:val="00EE4315"/>
    <w:rsid w:val="00EE44F9"/>
    <w:rsid w:val="00EE47F8"/>
    <w:rsid w:val="00EE4AC1"/>
    <w:rsid w:val="00EE4BA0"/>
    <w:rsid w:val="00EE4E28"/>
    <w:rsid w:val="00EE4ED3"/>
    <w:rsid w:val="00EE51E5"/>
    <w:rsid w:val="00EE52E0"/>
    <w:rsid w:val="00EE5455"/>
    <w:rsid w:val="00EE55A6"/>
    <w:rsid w:val="00EE55EF"/>
    <w:rsid w:val="00EE5C04"/>
    <w:rsid w:val="00EE5CF6"/>
    <w:rsid w:val="00EE5DE5"/>
    <w:rsid w:val="00EE5F54"/>
    <w:rsid w:val="00EE64CC"/>
    <w:rsid w:val="00EE6B3F"/>
    <w:rsid w:val="00EE72D4"/>
    <w:rsid w:val="00EE771E"/>
    <w:rsid w:val="00EE7A98"/>
    <w:rsid w:val="00EE7C10"/>
    <w:rsid w:val="00EE7F69"/>
    <w:rsid w:val="00EF0054"/>
    <w:rsid w:val="00EF07DD"/>
    <w:rsid w:val="00EF0904"/>
    <w:rsid w:val="00EF1928"/>
    <w:rsid w:val="00EF19CA"/>
    <w:rsid w:val="00EF1A3A"/>
    <w:rsid w:val="00EF1B7D"/>
    <w:rsid w:val="00EF1C23"/>
    <w:rsid w:val="00EF1ED5"/>
    <w:rsid w:val="00EF2574"/>
    <w:rsid w:val="00EF2A07"/>
    <w:rsid w:val="00EF2D2A"/>
    <w:rsid w:val="00EF2E1A"/>
    <w:rsid w:val="00EF2E2F"/>
    <w:rsid w:val="00EF3177"/>
    <w:rsid w:val="00EF3444"/>
    <w:rsid w:val="00EF3A4D"/>
    <w:rsid w:val="00EF3A87"/>
    <w:rsid w:val="00EF3CE2"/>
    <w:rsid w:val="00EF4312"/>
    <w:rsid w:val="00EF4E3B"/>
    <w:rsid w:val="00EF4F8C"/>
    <w:rsid w:val="00EF55BA"/>
    <w:rsid w:val="00EF571D"/>
    <w:rsid w:val="00EF5862"/>
    <w:rsid w:val="00EF59FD"/>
    <w:rsid w:val="00EF5B00"/>
    <w:rsid w:val="00EF5B75"/>
    <w:rsid w:val="00EF5CD3"/>
    <w:rsid w:val="00EF5F09"/>
    <w:rsid w:val="00EF5F47"/>
    <w:rsid w:val="00EF6925"/>
    <w:rsid w:val="00EF697C"/>
    <w:rsid w:val="00EF6F4D"/>
    <w:rsid w:val="00EF71AC"/>
    <w:rsid w:val="00EF77CE"/>
    <w:rsid w:val="00F00187"/>
    <w:rsid w:val="00F001CF"/>
    <w:rsid w:val="00F0040E"/>
    <w:rsid w:val="00F00537"/>
    <w:rsid w:val="00F008AC"/>
    <w:rsid w:val="00F00A31"/>
    <w:rsid w:val="00F00B72"/>
    <w:rsid w:val="00F0103C"/>
    <w:rsid w:val="00F01496"/>
    <w:rsid w:val="00F018DD"/>
    <w:rsid w:val="00F021B0"/>
    <w:rsid w:val="00F02A96"/>
    <w:rsid w:val="00F036CA"/>
    <w:rsid w:val="00F03AB7"/>
    <w:rsid w:val="00F03C00"/>
    <w:rsid w:val="00F03E78"/>
    <w:rsid w:val="00F03FDB"/>
    <w:rsid w:val="00F04277"/>
    <w:rsid w:val="00F0437A"/>
    <w:rsid w:val="00F04C9D"/>
    <w:rsid w:val="00F04E84"/>
    <w:rsid w:val="00F05081"/>
    <w:rsid w:val="00F051ED"/>
    <w:rsid w:val="00F055F3"/>
    <w:rsid w:val="00F05916"/>
    <w:rsid w:val="00F05936"/>
    <w:rsid w:val="00F059E4"/>
    <w:rsid w:val="00F05A58"/>
    <w:rsid w:val="00F05DAE"/>
    <w:rsid w:val="00F06414"/>
    <w:rsid w:val="00F06859"/>
    <w:rsid w:val="00F06D41"/>
    <w:rsid w:val="00F071C2"/>
    <w:rsid w:val="00F0744F"/>
    <w:rsid w:val="00F0792E"/>
    <w:rsid w:val="00F0799B"/>
    <w:rsid w:val="00F07AE4"/>
    <w:rsid w:val="00F10277"/>
    <w:rsid w:val="00F1032F"/>
    <w:rsid w:val="00F1037D"/>
    <w:rsid w:val="00F10ADB"/>
    <w:rsid w:val="00F10C80"/>
    <w:rsid w:val="00F10E7B"/>
    <w:rsid w:val="00F1116F"/>
    <w:rsid w:val="00F1192A"/>
    <w:rsid w:val="00F11B9D"/>
    <w:rsid w:val="00F11C92"/>
    <w:rsid w:val="00F11EE6"/>
    <w:rsid w:val="00F12118"/>
    <w:rsid w:val="00F12315"/>
    <w:rsid w:val="00F123EE"/>
    <w:rsid w:val="00F124DC"/>
    <w:rsid w:val="00F12D81"/>
    <w:rsid w:val="00F12EEA"/>
    <w:rsid w:val="00F13291"/>
    <w:rsid w:val="00F132CA"/>
    <w:rsid w:val="00F13521"/>
    <w:rsid w:val="00F142B9"/>
    <w:rsid w:val="00F143AF"/>
    <w:rsid w:val="00F143B6"/>
    <w:rsid w:val="00F1460E"/>
    <w:rsid w:val="00F146D2"/>
    <w:rsid w:val="00F147E5"/>
    <w:rsid w:val="00F14F17"/>
    <w:rsid w:val="00F14F78"/>
    <w:rsid w:val="00F15181"/>
    <w:rsid w:val="00F15AA2"/>
    <w:rsid w:val="00F15D29"/>
    <w:rsid w:val="00F15F91"/>
    <w:rsid w:val="00F1616F"/>
    <w:rsid w:val="00F161BB"/>
    <w:rsid w:val="00F1623A"/>
    <w:rsid w:val="00F16441"/>
    <w:rsid w:val="00F16AB2"/>
    <w:rsid w:val="00F16B7F"/>
    <w:rsid w:val="00F16C4A"/>
    <w:rsid w:val="00F16D26"/>
    <w:rsid w:val="00F16F35"/>
    <w:rsid w:val="00F16F9D"/>
    <w:rsid w:val="00F170EC"/>
    <w:rsid w:val="00F172F8"/>
    <w:rsid w:val="00F172FA"/>
    <w:rsid w:val="00F17346"/>
    <w:rsid w:val="00F173BA"/>
    <w:rsid w:val="00F17536"/>
    <w:rsid w:val="00F1799C"/>
    <w:rsid w:val="00F17E96"/>
    <w:rsid w:val="00F17FF9"/>
    <w:rsid w:val="00F202D7"/>
    <w:rsid w:val="00F20844"/>
    <w:rsid w:val="00F21243"/>
    <w:rsid w:val="00F213E8"/>
    <w:rsid w:val="00F21759"/>
    <w:rsid w:val="00F217F1"/>
    <w:rsid w:val="00F21BEC"/>
    <w:rsid w:val="00F21E7F"/>
    <w:rsid w:val="00F220B4"/>
    <w:rsid w:val="00F222AB"/>
    <w:rsid w:val="00F223B0"/>
    <w:rsid w:val="00F22529"/>
    <w:rsid w:val="00F225B2"/>
    <w:rsid w:val="00F225F1"/>
    <w:rsid w:val="00F22B02"/>
    <w:rsid w:val="00F2339A"/>
    <w:rsid w:val="00F23497"/>
    <w:rsid w:val="00F235C3"/>
    <w:rsid w:val="00F239B2"/>
    <w:rsid w:val="00F23A03"/>
    <w:rsid w:val="00F23BFC"/>
    <w:rsid w:val="00F23CAE"/>
    <w:rsid w:val="00F23EE2"/>
    <w:rsid w:val="00F24353"/>
    <w:rsid w:val="00F243EB"/>
    <w:rsid w:val="00F24585"/>
    <w:rsid w:val="00F24591"/>
    <w:rsid w:val="00F24C49"/>
    <w:rsid w:val="00F25088"/>
    <w:rsid w:val="00F2509E"/>
    <w:rsid w:val="00F25424"/>
    <w:rsid w:val="00F25472"/>
    <w:rsid w:val="00F25752"/>
    <w:rsid w:val="00F258E5"/>
    <w:rsid w:val="00F25E95"/>
    <w:rsid w:val="00F25FE3"/>
    <w:rsid w:val="00F2608B"/>
    <w:rsid w:val="00F260DC"/>
    <w:rsid w:val="00F262CE"/>
    <w:rsid w:val="00F2630E"/>
    <w:rsid w:val="00F2639E"/>
    <w:rsid w:val="00F263F9"/>
    <w:rsid w:val="00F265A4"/>
    <w:rsid w:val="00F26AD1"/>
    <w:rsid w:val="00F26B79"/>
    <w:rsid w:val="00F26ED3"/>
    <w:rsid w:val="00F27227"/>
    <w:rsid w:val="00F27389"/>
    <w:rsid w:val="00F2739F"/>
    <w:rsid w:val="00F276E2"/>
    <w:rsid w:val="00F27980"/>
    <w:rsid w:val="00F279B9"/>
    <w:rsid w:val="00F3020B"/>
    <w:rsid w:val="00F30263"/>
    <w:rsid w:val="00F302DB"/>
    <w:rsid w:val="00F30773"/>
    <w:rsid w:val="00F30B8F"/>
    <w:rsid w:val="00F3136C"/>
    <w:rsid w:val="00F313C3"/>
    <w:rsid w:val="00F316BB"/>
    <w:rsid w:val="00F31936"/>
    <w:rsid w:val="00F31D4A"/>
    <w:rsid w:val="00F32003"/>
    <w:rsid w:val="00F32244"/>
    <w:rsid w:val="00F322A8"/>
    <w:rsid w:val="00F32521"/>
    <w:rsid w:val="00F32619"/>
    <w:rsid w:val="00F32ACD"/>
    <w:rsid w:val="00F32B3B"/>
    <w:rsid w:val="00F32B5A"/>
    <w:rsid w:val="00F33888"/>
    <w:rsid w:val="00F3398E"/>
    <w:rsid w:val="00F339BB"/>
    <w:rsid w:val="00F33A41"/>
    <w:rsid w:val="00F33E9E"/>
    <w:rsid w:val="00F3424C"/>
    <w:rsid w:val="00F34511"/>
    <w:rsid w:val="00F3453B"/>
    <w:rsid w:val="00F34F40"/>
    <w:rsid w:val="00F353FD"/>
    <w:rsid w:val="00F35904"/>
    <w:rsid w:val="00F35AF0"/>
    <w:rsid w:val="00F35C41"/>
    <w:rsid w:val="00F35D01"/>
    <w:rsid w:val="00F35E39"/>
    <w:rsid w:val="00F35EB1"/>
    <w:rsid w:val="00F35F51"/>
    <w:rsid w:val="00F362EA"/>
    <w:rsid w:val="00F36658"/>
    <w:rsid w:val="00F371A9"/>
    <w:rsid w:val="00F3737A"/>
    <w:rsid w:val="00F37463"/>
    <w:rsid w:val="00F3746F"/>
    <w:rsid w:val="00F37876"/>
    <w:rsid w:val="00F37A63"/>
    <w:rsid w:val="00F40375"/>
    <w:rsid w:val="00F40418"/>
    <w:rsid w:val="00F404AA"/>
    <w:rsid w:val="00F40E62"/>
    <w:rsid w:val="00F41034"/>
    <w:rsid w:val="00F416E1"/>
    <w:rsid w:val="00F41763"/>
    <w:rsid w:val="00F41B3D"/>
    <w:rsid w:val="00F41E4B"/>
    <w:rsid w:val="00F4201A"/>
    <w:rsid w:val="00F4206F"/>
    <w:rsid w:val="00F4211F"/>
    <w:rsid w:val="00F42B66"/>
    <w:rsid w:val="00F42B84"/>
    <w:rsid w:val="00F43262"/>
    <w:rsid w:val="00F43367"/>
    <w:rsid w:val="00F44684"/>
    <w:rsid w:val="00F44C67"/>
    <w:rsid w:val="00F4534A"/>
    <w:rsid w:val="00F45359"/>
    <w:rsid w:val="00F45803"/>
    <w:rsid w:val="00F460FB"/>
    <w:rsid w:val="00F465DB"/>
    <w:rsid w:val="00F466B3"/>
    <w:rsid w:val="00F46B70"/>
    <w:rsid w:val="00F47554"/>
    <w:rsid w:val="00F476DA"/>
    <w:rsid w:val="00F478BC"/>
    <w:rsid w:val="00F47AC9"/>
    <w:rsid w:val="00F50018"/>
    <w:rsid w:val="00F50045"/>
    <w:rsid w:val="00F504A3"/>
    <w:rsid w:val="00F50977"/>
    <w:rsid w:val="00F50AC5"/>
    <w:rsid w:val="00F50BC5"/>
    <w:rsid w:val="00F510D8"/>
    <w:rsid w:val="00F51AFA"/>
    <w:rsid w:val="00F51CDC"/>
    <w:rsid w:val="00F524BF"/>
    <w:rsid w:val="00F526CB"/>
    <w:rsid w:val="00F527E3"/>
    <w:rsid w:val="00F52932"/>
    <w:rsid w:val="00F529D9"/>
    <w:rsid w:val="00F53229"/>
    <w:rsid w:val="00F532FF"/>
    <w:rsid w:val="00F53882"/>
    <w:rsid w:val="00F53BC6"/>
    <w:rsid w:val="00F53F34"/>
    <w:rsid w:val="00F53FFC"/>
    <w:rsid w:val="00F54146"/>
    <w:rsid w:val="00F544F6"/>
    <w:rsid w:val="00F546CD"/>
    <w:rsid w:val="00F54991"/>
    <w:rsid w:val="00F54AA8"/>
    <w:rsid w:val="00F54C06"/>
    <w:rsid w:val="00F55457"/>
    <w:rsid w:val="00F55734"/>
    <w:rsid w:val="00F5578E"/>
    <w:rsid w:val="00F557A7"/>
    <w:rsid w:val="00F559C5"/>
    <w:rsid w:val="00F55B26"/>
    <w:rsid w:val="00F55EA3"/>
    <w:rsid w:val="00F5625C"/>
    <w:rsid w:val="00F56BF6"/>
    <w:rsid w:val="00F577E9"/>
    <w:rsid w:val="00F57C81"/>
    <w:rsid w:val="00F60558"/>
    <w:rsid w:val="00F606BB"/>
    <w:rsid w:val="00F607F9"/>
    <w:rsid w:val="00F60803"/>
    <w:rsid w:val="00F6080B"/>
    <w:rsid w:val="00F608D7"/>
    <w:rsid w:val="00F60A38"/>
    <w:rsid w:val="00F60D17"/>
    <w:rsid w:val="00F60D3B"/>
    <w:rsid w:val="00F60DC4"/>
    <w:rsid w:val="00F60F9C"/>
    <w:rsid w:val="00F61805"/>
    <w:rsid w:val="00F6187D"/>
    <w:rsid w:val="00F61926"/>
    <w:rsid w:val="00F61C7E"/>
    <w:rsid w:val="00F61F2E"/>
    <w:rsid w:val="00F62559"/>
    <w:rsid w:val="00F62676"/>
    <w:rsid w:val="00F62B7A"/>
    <w:rsid w:val="00F62F49"/>
    <w:rsid w:val="00F631A8"/>
    <w:rsid w:val="00F6397D"/>
    <w:rsid w:val="00F63BD3"/>
    <w:rsid w:val="00F63CC9"/>
    <w:rsid w:val="00F63D45"/>
    <w:rsid w:val="00F63ECE"/>
    <w:rsid w:val="00F643DE"/>
    <w:rsid w:val="00F6473F"/>
    <w:rsid w:val="00F6489E"/>
    <w:rsid w:val="00F64954"/>
    <w:rsid w:val="00F64CE2"/>
    <w:rsid w:val="00F64DF9"/>
    <w:rsid w:val="00F64E0D"/>
    <w:rsid w:val="00F64F13"/>
    <w:rsid w:val="00F651D2"/>
    <w:rsid w:val="00F6528F"/>
    <w:rsid w:val="00F6529B"/>
    <w:rsid w:val="00F65585"/>
    <w:rsid w:val="00F659F8"/>
    <w:rsid w:val="00F65B19"/>
    <w:rsid w:val="00F65CC8"/>
    <w:rsid w:val="00F65D1D"/>
    <w:rsid w:val="00F65EB3"/>
    <w:rsid w:val="00F66873"/>
    <w:rsid w:val="00F668CB"/>
    <w:rsid w:val="00F66E90"/>
    <w:rsid w:val="00F66FCC"/>
    <w:rsid w:val="00F67455"/>
    <w:rsid w:val="00F67B4D"/>
    <w:rsid w:val="00F67E6C"/>
    <w:rsid w:val="00F67EDD"/>
    <w:rsid w:val="00F70499"/>
    <w:rsid w:val="00F7098E"/>
    <w:rsid w:val="00F70D38"/>
    <w:rsid w:val="00F710B7"/>
    <w:rsid w:val="00F7199F"/>
    <w:rsid w:val="00F71A7E"/>
    <w:rsid w:val="00F720B9"/>
    <w:rsid w:val="00F722B2"/>
    <w:rsid w:val="00F72684"/>
    <w:rsid w:val="00F7293E"/>
    <w:rsid w:val="00F72F9F"/>
    <w:rsid w:val="00F73135"/>
    <w:rsid w:val="00F737F8"/>
    <w:rsid w:val="00F73811"/>
    <w:rsid w:val="00F73897"/>
    <w:rsid w:val="00F73959"/>
    <w:rsid w:val="00F73A67"/>
    <w:rsid w:val="00F73B55"/>
    <w:rsid w:val="00F73D70"/>
    <w:rsid w:val="00F73FEC"/>
    <w:rsid w:val="00F742A9"/>
    <w:rsid w:val="00F742F1"/>
    <w:rsid w:val="00F743A8"/>
    <w:rsid w:val="00F74629"/>
    <w:rsid w:val="00F748C8"/>
    <w:rsid w:val="00F74BD8"/>
    <w:rsid w:val="00F75CFD"/>
    <w:rsid w:val="00F761A5"/>
    <w:rsid w:val="00F7637C"/>
    <w:rsid w:val="00F76650"/>
    <w:rsid w:val="00F76ACC"/>
    <w:rsid w:val="00F77199"/>
    <w:rsid w:val="00F772C5"/>
    <w:rsid w:val="00F77462"/>
    <w:rsid w:val="00F7779C"/>
    <w:rsid w:val="00F77891"/>
    <w:rsid w:val="00F7797A"/>
    <w:rsid w:val="00F77C3B"/>
    <w:rsid w:val="00F803E0"/>
    <w:rsid w:val="00F80604"/>
    <w:rsid w:val="00F80625"/>
    <w:rsid w:val="00F80DB7"/>
    <w:rsid w:val="00F80DF2"/>
    <w:rsid w:val="00F8102D"/>
    <w:rsid w:val="00F81158"/>
    <w:rsid w:val="00F812A2"/>
    <w:rsid w:val="00F816B0"/>
    <w:rsid w:val="00F8199B"/>
    <w:rsid w:val="00F81C02"/>
    <w:rsid w:val="00F81E74"/>
    <w:rsid w:val="00F821B7"/>
    <w:rsid w:val="00F822DB"/>
    <w:rsid w:val="00F828A3"/>
    <w:rsid w:val="00F82AD8"/>
    <w:rsid w:val="00F82AF4"/>
    <w:rsid w:val="00F82FA2"/>
    <w:rsid w:val="00F8316D"/>
    <w:rsid w:val="00F83368"/>
    <w:rsid w:val="00F8338C"/>
    <w:rsid w:val="00F83796"/>
    <w:rsid w:val="00F83AE9"/>
    <w:rsid w:val="00F83C49"/>
    <w:rsid w:val="00F83EC4"/>
    <w:rsid w:val="00F83F3A"/>
    <w:rsid w:val="00F84393"/>
    <w:rsid w:val="00F84686"/>
    <w:rsid w:val="00F84788"/>
    <w:rsid w:val="00F848BB"/>
    <w:rsid w:val="00F84BA8"/>
    <w:rsid w:val="00F84C88"/>
    <w:rsid w:val="00F84CC3"/>
    <w:rsid w:val="00F85015"/>
    <w:rsid w:val="00F8510B"/>
    <w:rsid w:val="00F8527A"/>
    <w:rsid w:val="00F852A6"/>
    <w:rsid w:val="00F853C7"/>
    <w:rsid w:val="00F86D55"/>
    <w:rsid w:val="00F87959"/>
    <w:rsid w:val="00F87BF9"/>
    <w:rsid w:val="00F87FD3"/>
    <w:rsid w:val="00F9028B"/>
    <w:rsid w:val="00F9042A"/>
    <w:rsid w:val="00F90608"/>
    <w:rsid w:val="00F9074F"/>
    <w:rsid w:val="00F90B67"/>
    <w:rsid w:val="00F90C14"/>
    <w:rsid w:val="00F911F0"/>
    <w:rsid w:val="00F917CB"/>
    <w:rsid w:val="00F9187B"/>
    <w:rsid w:val="00F91FA2"/>
    <w:rsid w:val="00F92385"/>
    <w:rsid w:val="00F925BD"/>
    <w:rsid w:val="00F927B0"/>
    <w:rsid w:val="00F9314B"/>
    <w:rsid w:val="00F93293"/>
    <w:rsid w:val="00F9363C"/>
    <w:rsid w:val="00F93B63"/>
    <w:rsid w:val="00F93C8C"/>
    <w:rsid w:val="00F93C96"/>
    <w:rsid w:val="00F93E46"/>
    <w:rsid w:val="00F93EEF"/>
    <w:rsid w:val="00F94137"/>
    <w:rsid w:val="00F941BD"/>
    <w:rsid w:val="00F94373"/>
    <w:rsid w:val="00F946FF"/>
    <w:rsid w:val="00F94A3A"/>
    <w:rsid w:val="00F94A69"/>
    <w:rsid w:val="00F94F60"/>
    <w:rsid w:val="00F9507B"/>
    <w:rsid w:val="00F9515B"/>
    <w:rsid w:val="00F956E3"/>
    <w:rsid w:val="00F956F2"/>
    <w:rsid w:val="00F958F9"/>
    <w:rsid w:val="00F95A59"/>
    <w:rsid w:val="00F95B05"/>
    <w:rsid w:val="00F95BFF"/>
    <w:rsid w:val="00F95DA2"/>
    <w:rsid w:val="00F95EEA"/>
    <w:rsid w:val="00F95FD3"/>
    <w:rsid w:val="00F960EF"/>
    <w:rsid w:val="00F96262"/>
    <w:rsid w:val="00F9640E"/>
    <w:rsid w:val="00F967F2"/>
    <w:rsid w:val="00F96C3F"/>
    <w:rsid w:val="00F97072"/>
    <w:rsid w:val="00F97140"/>
    <w:rsid w:val="00F97448"/>
    <w:rsid w:val="00F974A7"/>
    <w:rsid w:val="00F975AC"/>
    <w:rsid w:val="00F976C7"/>
    <w:rsid w:val="00F97B90"/>
    <w:rsid w:val="00F97CD3"/>
    <w:rsid w:val="00F97FC3"/>
    <w:rsid w:val="00FA03A6"/>
    <w:rsid w:val="00FA064F"/>
    <w:rsid w:val="00FA107A"/>
    <w:rsid w:val="00FA1B4F"/>
    <w:rsid w:val="00FA1BB1"/>
    <w:rsid w:val="00FA1D9E"/>
    <w:rsid w:val="00FA1EDB"/>
    <w:rsid w:val="00FA21F3"/>
    <w:rsid w:val="00FA2315"/>
    <w:rsid w:val="00FA25B4"/>
    <w:rsid w:val="00FA2752"/>
    <w:rsid w:val="00FA2A5F"/>
    <w:rsid w:val="00FA2BE8"/>
    <w:rsid w:val="00FA2F30"/>
    <w:rsid w:val="00FA31CF"/>
    <w:rsid w:val="00FA3422"/>
    <w:rsid w:val="00FA34D6"/>
    <w:rsid w:val="00FA353D"/>
    <w:rsid w:val="00FA35CD"/>
    <w:rsid w:val="00FA36C3"/>
    <w:rsid w:val="00FA3706"/>
    <w:rsid w:val="00FA3D9F"/>
    <w:rsid w:val="00FA4392"/>
    <w:rsid w:val="00FA43F3"/>
    <w:rsid w:val="00FA4CDA"/>
    <w:rsid w:val="00FA54EF"/>
    <w:rsid w:val="00FA54F4"/>
    <w:rsid w:val="00FA557A"/>
    <w:rsid w:val="00FA5DCB"/>
    <w:rsid w:val="00FA5EE7"/>
    <w:rsid w:val="00FA5EF4"/>
    <w:rsid w:val="00FA666D"/>
    <w:rsid w:val="00FA66A9"/>
    <w:rsid w:val="00FA6D07"/>
    <w:rsid w:val="00FA6D8D"/>
    <w:rsid w:val="00FA6F36"/>
    <w:rsid w:val="00FA7C8C"/>
    <w:rsid w:val="00FB0132"/>
    <w:rsid w:val="00FB021C"/>
    <w:rsid w:val="00FB073D"/>
    <w:rsid w:val="00FB077F"/>
    <w:rsid w:val="00FB09C1"/>
    <w:rsid w:val="00FB0E2D"/>
    <w:rsid w:val="00FB156E"/>
    <w:rsid w:val="00FB15BF"/>
    <w:rsid w:val="00FB1707"/>
    <w:rsid w:val="00FB1894"/>
    <w:rsid w:val="00FB1AD7"/>
    <w:rsid w:val="00FB1BAE"/>
    <w:rsid w:val="00FB1BC1"/>
    <w:rsid w:val="00FB1DDF"/>
    <w:rsid w:val="00FB23D6"/>
    <w:rsid w:val="00FB2487"/>
    <w:rsid w:val="00FB2489"/>
    <w:rsid w:val="00FB2CDA"/>
    <w:rsid w:val="00FB3183"/>
    <w:rsid w:val="00FB34D2"/>
    <w:rsid w:val="00FB34E9"/>
    <w:rsid w:val="00FB3585"/>
    <w:rsid w:val="00FB37A9"/>
    <w:rsid w:val="00FB3878"/>
    <w:rsid w:val="00FB399B"/>
    <w:rsid w:val="00FB3BAD"/>
    <w:rsid w:val="00FB3BEA"/>
    <w:rsid w:val="00FB3CE0"/>
    <w:rsid w:val="00FB3F83"/>
    <w:rsid w:val="00FB42F1"/>
    <w:rsid w:val="00FB44F1"/>
    <w:rsid w:val="00FB51B1"/>
    <w:rsid w:val="00FB535B"/>
    <w:rsid w:val="00FB54E2"/>
    <w:rsid w:val="00FB5585"/>
    <w:rsid w:val="00FB55CB"/>
    <w:rsid w:val="00FB5688"/>
    <w:rsid w:val="00FB64BA"/>
    <w:rsid w:val="00FB66C3"/>
    <w:rsid w:val="00FB6A3C"/>
    <w:rsid w:val="00FB6B8D"/>
    <w:rsid w:val="00FB6CD1"/>
    <w:rsid w:val="00FB6D4A"/>
    <w:rsid w:val="00FB6F7D"/>
    <w:rsid w:val="00FB6FF3"/>
    <w:rsid w:val="00FB729B"/>
    <w:rsid w:val="00FB73A1"/>
    <w:rsid w:val="00FB7647"/>
    <w:rsid w:val="00FB789E"/>
    <w:rsid w:val="00FB7A11"/>
    <w:rsid w:val="00FB7B43"/>
    <w:rsid w:val="00FB7F21"/>
    <w:rsid w:val="00FC0593"/>
    <w:rsid w:val="00FC07FE"/>
    <w:rsid w:val="00FC0C9D"/>
    <w:rsid w:val="00FC0DE5"/>
    <w:rsid w:val="00FC1225"/>
    <w:rsid w:val="00FC1764"/>
    <w:rsid w:val="00FC1FB8"/>
    <w:rsid w:val="00FC20FD"/>
    <w:rsid w:val="00FC239C"/>
    <w:rsid w:val="00FC23EE"/>
    <w:rsid w:val="00FC2649"/>
    <w:rsid w:val="00FC2C89"/>
    <w:rsid w:val="00FC2D9E"/>
    <w:rsid w:val="00FC32D0"/>
    <w:rsid w:val="00FC4160"/>
    <w:rsid w:val="00FC44A8"/>
    <w:rsid w:val="00FC4663"/>
    <w:rsid w:val="00FC47F9"/>
    <w:rsid w:val="00FC4B55"/>
    <w:rsid w:val="00FC4C9D"/>
    <w:rsid w:val="00FC5AB7"/>
    <w:rsid w:val="00FC5E1A"/>
    <w:rsid w:val="00FC6037"/>
    <w:rsid w:val="00FC651D"/>
    <w:rsid w:val="00FC6686"/>
    <w:rsid w:val="00FC66F4"/>
    <w:rsid w:val="00FC67E1"/>
    <w:rsid w:val="00FC6A6C"/>
    <w:rsid w:val="00FC6B6F"/>
    <w:rsid w:val="00FC6CD9"/>
    <w:rsid w:val="00FC6E00"/>
    <w:rsid w:val="00FC6E29"/>
    <w:rsid w:val="00FC6F6E"/>
    <w:rsid w:val="00FC70CA"/>
    <w:rsid w:val="00FC70F4"/>
    <w:rsid w:val="00FC72D5"/>
    <w:rsid w:val="00FC77D8"/>
    <w:rsid w:val="00FC787A"/>
    <w:rsid w:val="00FC7974"/>
    <w:rsid w:val="00FC7A98"/>
    <w:rsid w:val="00FC7D91"/>
    <w:rsid w:val="00FD00BA"/>
    <w:rsid w:val="00FD01D5"/>
    <w:rsid w:val="00FD0372"/>
    <w:rsid w:val="00FD044D"/>
    <w:rsid w:val="00FD0D84"/>
    <w:rsid w:val="00FD0E0D"/>
    <w:rsid w:val="00FD1120"/>
    <w:rsid w:val="00FD12A1"/>
    <w:rsid w:val="00FD1AEC"/>
    <w:rsid w:val="00FD1B8A"/>
    <w:rsid w:val="00FD1C59"/>
    <w:rsid w:val="00FD1CB4"/>
    <w:rsid w:val="00FD1CF1"/>
    <w:rsid w:val="00FD1DAB"/>
    <w:rsid w:val="00FD1FDB"/>
    <w:rsid w:val="00FD20A1"/>
    <w:rsid w:val="00FD231B"/>
    <w:rsid w:val="00FD25CE"/>
    <w:rsid w:val="00FD26B9"/>
    <w:rsid w:val="00FD2C8F"/>
    <w:rsid w:val="00FD2DC5"/>
    <w:rsid w:val="00FD2E85"/>
    <w:rsid w:val="00FD3120"/>
    <w:rsid w:val="00FD3258"/>
    <w:rsid w:val="00FD377D"/>
    <w:rsid w:val="00FD395E"/>
    <w:rsid w:val="00FD44E4"/>
    <w:rsid w:val="00FD48DD"/>
    <w:rsid w:val="00FD4E29"/>
    <w:rsid w:val="00FD4E78"/>
    <w:rsid w:val="00FD524D"/>
    <w:rsid w:val="00FD5555"/>
    <w:rsid w:val="00FD5858"/>
    <w:rsid w:val="00FD5F50"/>
    <w:rsid w:val="00FD605B"/>
    <w:rsid w:val="00FD618C"/>
    <w:rsid w:val="00FD6345"/>
    <w:rsid w:val="00FD64D6"/>
    <w:rsid w:val="00FD6820"/>
    <w:rsid w:val="00FD68E6"/>
    <w:rsid w:val="00FD6CEC"/>
    <w:rsid w:val="00FD6E0C"/>
    <w:rsid w:val="00FD6E65"/>
    <w:rsid w:val="00FD70F5"/>
    <w:rsid w:val="00FD7196"/>
    <w:rsid w:val="00FD7647"/>
    <w:rsid w:val="00FD7671"/>
    <w:rsid w:val="00FD76AE"/>
    <w:rsid w:val="00FD77BD"/>
    <w:rsid w:val="00FD7825"/>
    <w:rsid w:val="00FD78EF"/>
    <w:rsid w:val="00FD79A3"/>
    <w:rsid w:val="00FD7C74"/>
    <w:rsid w:val="00FD7CFA"/>
    <w:rsid w:val="00FE054A"/>
    <w:rsid w:val="00FE0BE4"/>
    <w:rsid w:val="00FE0F51"/>
    <w:rsid w:val="00FE1038"/>
    <w:rsid w:val="00FE11BD"/>
    <w:rsid w:val="00FE18ED"/>
    <w:rsid w:val="00FE1E14"/>
    <w:rsid w:val="00FE1EA0"/>
    <w:rsid w:val="00FE1F33"/>
    <w:rsid w:val="00FE2351"/>
    <w:rsid w:val="00FE26F3"/>
    <w:rsid w:val="00FE2791"/>
    <w:rsid w:val="00FE2868"/>
    <w:rsid w:val="00FE2894"/>
    <w:rsid w:val="00FE2B2F"/>
    <w:rsid w:val="00FE2C40"/>
    <w:rsid w:val="00FE2EEC"/>
    <w:rsid w:val="00FE3373"/>
    <w:rsid w:val="00FE337D"/>
    <w:rsid w:val="00FE34A1"/>
    <w:rsid w:val="00FE3C21"/>
    <w:rsid w:val="00FE3C2E"/>
    <w:rsid w:val="00FE3FCA"/>
    <w:rsid w:val="00FE4139"/>
    <w:rsid w:val="00FE471D"/>
    <w:rsid w:val="00FE4803"/>
    <w:rsid w:val="00FE4CAB"/>
    <w:rsid w:val="00FE4E93"/>
    <w:rsid w:val="00FE5095"/>
    <w:rsid w:val="00FE51A5"/>
    <w:rsid w:val="00FE522C"/>
    <w:rsid w:val="00FE538A"/>
    <w:rsid w:val="00FE542E"/>
    <w:rsid w:val="00FE5580"/>
    <w:rsid w:val="00FE5771"/>
    <w:rsid w:val="00FE57DE"/>
    <w:rsid w:val="00FE5E07"/>
    <w:rsid w:val="00FE6068"/>
    <w:rsid w:val="00FE68C7"/>
    <w:rsid w:val="00FE6A41"/>
    <w:rsid w:val="00FE6A8B"/>
    <w:rsid w:val="00FE6C32"/>
    <w:rsid w:val="00FE7007"/>
    <w:rsid w:val="00FE7063"/>
    <w:rsid w:val="00FE707F"/>
    <w:rsid w:val="00FE70B4"/>
    <w:rsid w:val="00FE70D1"/>
    <w:rsid w:val="00FE71F2"/>
    <w:rsid w:val="00FE7396"/>
    <w:rsid w:val="00FE763A"/>
    <w:rsid w:val="00FE7651"/>
    <w:rsid w:val="00FE7C81"/>
    <w:rsid w:val="00FE7DA5"/>
    <w:rsid w:val="00FF0093"/>
    <w:rsid w:val="00FF0227"/>
    <w:rsid w:val="00FF0263"/>
    <w:rsid w:val="00FF04B5"/>
    <w:rsid w:val="00FF05B8"/>
    <w:rsid w:val="00FF06DC"/>
    <w:rsid w:val="00FF0837"/>
    <w:rsid w:val="00FF110C"/>
    <w:rsid w:val="00FF1130"/>
    <w:rsid w:val="00FF1954"/>
    <w:rsid w:val="00FF1A0D"/>
    <w:rsid w:val="00FF1BB0"/>
    <w:rsid w:val="00FF2117"/>
    <w:rsid w:val="00FF21FB"/>
    <w:rsid w:val="00FF251A"/>
    <w:rsid w:val="00FF2628"/>
    <w:rsid w:val="00FF32A5"/>
    <w:rsid w:val="00FF332D"/>
    <w:rsid w:val="00FF3A1F"/>
    <w:rsid w:val="00FF3EDD"/>
    <w:rsid w:val="00FF40FE"/>
    <w:rsid w:val="00FF4539"/>
    <w:rsid w:val="00FF47FB"/>
    <w:rsid w:val="00FF4AF2"/>
    <w:rsid w:val="00FF4CAB"/>
    <w:rsid w:val="00FF4DDC"/>
    <w:rsid w:val="00FF5212"/>
    <w:rsid w:val="00FF5316"/>
    <w:rsid w:val="00FF5742"/>
    <w:rsid w:val="00FF5D01"/>
    <w:rsid w:val="00FF5D11"/>
    <w:rsid w:val="00FF5F35"/>
    <w:rsid w:val="00FF6107"/>
    <w:rsid w:val="00FF6710"/>
    <w:rsid w:val="00FF67B0"/>
    <w:rsid w:val="00FF67BA"/>
    <w:rsid w:val="00FF6B23"/>
    <w:rsid w:val="00FF72BE"/>
    <w:rsid w:val="00FF743E"/>
    <w:rsid w:val="00FF7677"/>
    <w:rsid w:val="00FF7DBF"/>
    <w:rsid w:val="00FF7FC4"/>
    <w:rsid w:val="01DFF857"/>
    <w:rsid w:val="02C6F2BF"/>
    <w:rsid w:val="034B0A40"/>
    <w:rsid w:val="0388616F"/>
    <w:rsid w:val="04200B18"/>
    <w:rsid w:val="05998ACA"/>
    <w:rsid w:val="0611307A"/>
    <w:rsid w:val="0640CB78"/>
    <w:rsid w:val="0658DEE5"/>
    <w:rsid w:val="06AEF588"/>
    <w:rsid w:val="06C8F038"/>
    <w:rsid w:val="06EEA5F0"/>
    <w:rsid w:val="070BC8EA"/>
    <w:rsid w:val="0727F496"/>
    <w:rsid w:val="078A4C62"/>
    <w:rsid w:val="07ABFF40"/>
    <w:rsid w:val="0882E94F"/>
    <w:rsid w:val="08DECFF1"/>
    <w:rsid w:val="0AD2F89A"/>
    <w:rsid w:val="0B443D5D"/>
    <w:rsid w:val="0CB6071A"/>
    <w:rsid w:val="0D81A111"/>
    <w:rsid w:val="0E4A5045"/>
    <w:rsid w:val="0ECA5DC8"/>
    <w:rsid w:val="0EE7D9FB"/>
    <w:rsid w:val="1126F4F4"/>
    <w:rsid w:val="11906A7A"/>
    <w:rsid w:val="1225EE73"/>
    <w:rsid w:val="13117BC4"/>
    <w:rsid w:val="14468E87"/>
    <w:rsid w:val="163C2B1A"/>
    <w:rsid w:val="1673DF90"/>
    <w:rsid w:val="17681C47"/>
    <w:rsid w:val="1922F79C"/>
    <w:rsid w:val="19B58266"/>
    <w:rsid w:val="1A7D30FA"/>
    <w:rsid w:val="1AFABBFD"/>
    <w:rsid w:val="1B83E930"/>
    <w:rsid w:val="1E249E80"/>
    <w:rsid w:val="1E856DB0"/>
    <w:rsid w:val="1F6C141E"/>
    <w:rsid w:val="1F799690"/>
    <w:rsid w:val="2093129C"/>
    <w:rsid w:val="2131595A"/>
    <w:rsid w:val="2176B595"/>
    <w:rsid w:val="21AF5E53"/>
    <w:rsid w:val="21C92827"/>
    <w:rsid w:val="232C242E"/>
    <w:rsid w:val="23625C9F"/>
    <w:rsid w:val="23B65312"/>
    <w:rsid w:val="23D452AD"/>
    <w:rsid w:val="24490762"/>
    <w:rsid w:val="254893E3"/>
    <w:rsid w:val="2564A3F8"/>
    <w:rsid w:val="256BAB99"/>
    <w:rsid w:val="25C51C44"/>
    <w:rsid w:val="268210F0"/>
    <w:rsid w:val="26A8D4AA"/>
    <w:rsid w:val="26E6AD7F"/>
    <w:rsid w:val="272C01A1"/>
    <w:rsid w:val="2760705D"/>
    <w:rsid w:val="2777B482"/>
    <w:rsid w:val="293D1FB9"/>
    <w:rsid w:val="29780694"/>
    <w:rsid w:val="29A5F1FC"/>
    <w:rsid w:val="2A234ABE"/>
    <w:rsid w:val="2A325D18"/>
    <w:rsid w:val="2B4C830F"/>
    <w:rsid w:val="2CA85557"/>
    <w:rsid w:val="2CEC658A"/>
    <w:rsid w:val="2D6BF362"/>
    <w:rsid w:val="2E12CFDA"/>
    <w:rsid w:val="308A8D57"/>
    <w:rsid w:val="320CCC7A"/>
    <w:rsid w:val="3343E727"/>
    <w:rsid w:val="33CF633C"/>
    <w:rsid w:val="346D9337"/>
    <w:rsid w:val="34DFA18B"/>
    <w:rsid w:val="3519489A"/>
    <w:rsid w:val="355BD2E2"/>
    <w:rsid w:val="359C45FB"/>
    <w:rsid w:val="35C36A32"/>
    <w:rsid w:val="365EAC71"/>
    <w:rsid w:val="36EFD613"/>
    <w:rsid w:val="377BFFF3"/>
    <w:rsid w:val="3A483554"/>
    <w:rsid w:val="3AC1FCF9"/>
    <w:rsid w:val="3B1F5B5A"/>
    <w:rsid w:val="3B6E5E9F"/>
    <w:rsid w:val="3C1F9590"/>
    <w:rsid w:val="3C4ED7BB"/>
    <w:rsid w:val="3CCBC9F0"/>
    <w:rsid w:val="3D05F4C2"/>
    <w:rsid w:val="3D1B454D"/>
    <w:rsid w:val="3E34BE2C"/>
    <w:rsid w:val="3F2BD594"/>
    <w:rsid w:val="3F40B12A"/>
    <w:rsid w:val="400C08CA"/>
    <w:rsid w:val="40AD861D"/>
    <w:rsid w:val="41DEB325"/>
    <w:rsid w:val="43263641"/>
    <w:rsid w:val="43478453"/>
    <w:rsid w:val="440C15EF"/>
    <w:rsid w:val="448E9D4A"/>
    <w:rsid w:val="44CD19BB"/>
    <w:rsid w:val="450D9518"/>
    <w:rsid w:val="455C499C"/>
    <w:rsid w:val="46320B1E"/>
    <w:rsid w:val="468C7208"/>
    <w:rsid w:val="487A7D2A"/>
    <w:rsid w:val="4ABCCC27"/>
    <w:rsid w:val="4BDA655C"/>
    <w:rsid w:val="4C75EB7F"/>
    <w:rsid w:val="4D11A7ED"/>
    <w:rsid w:val="4D71BC15"/>
    <w:rsid w:val="4DB51551"/>
    <w:rsid w:val="4E962F2D"/>
    <w:rsid w:val="4EFD3E35"/>
    <w:rsid w:val="4F751DCC"/>
    <w:rsid w:val="4FBACA48"/>
    <w:rsid w:val="5041AD5D"/>
    <w:rsid w:val="50C39625"/>
    <w:rsid w:val="50D648AD"/>
    <w:rsid w:val="518A5C5F"/>
    <w:rsid w:val="51E1E5A8"/>
    <w:rsid w:val="52FC4BB4"/>
    <w:rsid w:val="5429BB43"/>
    <w:rsid w:val="54365C2E"/>
    <w:rsid w:val="55FD4821"/>
    <w:rsid w:val="5643E420"/>
    <w:rsid w:val="569E8C29"/>
    <w:rsid w:val="56CFB5EF"/>
    <w:rsid w:val="579BB2D5"/>
    <w:rsid w:val="57BA35F8"/>
    <w:rsid w:val="58C085E3"/>
    <w:rsid w:val="5A36F6EC"/>
    <w:rsid w:val="5B77822E"/>
    <w:rsid w:val="5C75EF56"/>
    <w:rsid w:val="5D431B11"/>
    <w:rsid w:val="5D913BD8"/>
    <w:rsid w:val="5E9B2DE9"/>
    <w:rsid w:val="6007DDC2"/>
    <w:rsid w:val="60552B65"/>
    <w:rsid w:val="62149C85"/>
    <w:rsid w:val="6324F2FA"/>
    <w:rsid w:val="63A343A7"/>
    <w:rsid w:val="64095A99"/>
    <w:rsid w:val="645B0DC4"/>
    <w:rsid w:val="6497B386"/>
    <w:rsid w:val="64C22E0B"/>
    <w:rsid w:val="64D438E2"/>
    <w:rsid w:val="64F50141"/>
    <w:rsid w:val="667FC5CC"/>
    <w:rsid w:val="66B71888"/>
    <w:rsid w:val="6833009D"/>
    <w:rsid w:val="6892FD84"/>
    <w:rsid w:val="68ED610A"/>
    <w:rsid w:val="69843DFF"/>
    <w:rsid w:val="69C47141"/>
    <w:rsid w:val="6B49E708"/>
    <w:rsid w:val="6BE2AD84"/>
    <w:rsid w:val="6C64277E"/>
    <w:rsid w:val="6CEB0EA2"/>
    <w:rsid w:val="6DD8841B"/>
    <w:rsid w:val="6E049620"/>
    <w:rsid w:val="6E588DA3"/>
    <w:rsid w:val="6ED42EEE"/>
    <w:rsid w:val="705B5540"/>
    <w:rsid w:val="70DEFDB0"/>
    <w:rsid w:val="70E25610"/>
    <w:rsid w:val="70FF8B18"/>
    <w:rsid w:val="71277BC8"/>
    <w:rsid w:val="7147BFFA"/>
    <w:rsid w:val="730600BD"/>
    <w:rsid w:val="73A7BF9D"/>
    <w:rsid w:val="73B09527"/>
    <w:rsid w:val="740A022B"/>
    <w:rsid w:val="741EF7BE"/>
    <w:rsid w:val="74D17E53"/>
    <w:rsid w:val="75CBBF88"/>
    <w:rsid w:val="76C872F8"/>
    <w:rsid w:val="77638ABE"/>
    <w:rsid w:val="77D7DAF0"/>
    <w:rsid w:val="78B2713B"/>
    <w:rsid w:val="78D524AA"/>
    <w:rsid w:val="78E0C201"/>
    <w:rsid w:val="7A144E6B"/>
    <w:rsid w:val="7A36739A"/>
    <w:rsid w:val="7A37B83D"/>
    <w:rsid w:val="7AD22537"/>
    <w:rsid w:val="7B15A11E"/>
    <w:rsid w:val="7B5E2614"/>
    <w:rsid w:val="7B90BDD8"/>
    <w:rsid w:val="7BF23E14"/>
    <w:rsid w:val="7C06C4F4"/>
    <w:rsid w:val="7C786653"/>
    <w:rsid w:val="7D52C0B9"/>
    <w:rsid w:val="7E147752"/>
    <w:rsid w:val="7E46C9BB"/>
    <w:rsid w:val="7E4C2504"/>
    <w:rsid w:val="7ECA7F64"/>
    <w:rsid w:val="7EE71171"/>
    <w:rsid w:val="7EE891D0"/>
    <w:rsid w:val="7FF2E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044B"/>
  <w15:chartTrackingRefBased/>
  <w15:docId w15:val="{F4D0819D-59DF-43B2-BD63-5E78C151883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4100"/>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57C72"/>
    <w:pPr>
      <w:numPr>
        <w:numId w:val="10"/>
      </w:numPr>
      <w:ind w:right="2880"/>
    </w:pPr>
    <w:rPr>
      <w:rFonts w:eastAsiaTheme="majorEastAsia" w:cstheme="majorBidi"/>
      <w:szCs w:val="32"/>
    </w:rPr>
  </w:style>
  <w:style w:type="paragraph" w:styleId="Heading2">
    <w:name w:val="heading 2"/>
    <w:basedOn w:val="Dummy"/>
    <w:next w:val="Standard"/>
    <w:link w:val="Heading2Char"/>
    <w:uiPriority w:val="4"/>
    <w:qFormat/>
    <w:rsid w:val="00957C72"/>
    <w:pPr>
      <w:numPr>
        <w:ilvl w:val="1"/>
        <w:numId w:val="10"/>
      </w:numPr>
      <w:ind w:right="2880"/>
      <w:outlineLvl w:val="1"/>
    </w:pPr>
  </w:style>
  <w:style w:type="paragraph" w:styleId="Heading3">
    <w:name w:val="heading 3"/>
    <w:basedOn w:val="Dummy"/>
    <w:next w:val="Standard"/>
    <w:link w:val="Heading3Char"/>
    <w:uiPriority w:val="4"/>
    <w:qFormat/>
    <w:rsid w:val="00957C72"/>
    <w:pPr>
      <w:numPr>
        <w:ilvl w:val="2"/>
        <w:numId w:val="10"/>
      </w:numPr>
      <w:ind w:right="2880"/>
      <w:outlineLvl w:val="2"/>
    </w:pPr>
    <w:rPr>
      <w:rFonts w:eastAsiaTheme="majorEastAsia" w:cstheme="majorBidi"/>
      <w:szCs w:val="24"/>
    </w:rPr>
  </w:style>
  <w:style w:type="paragraph" w:styleId="Heading4">
    <w:name w:val="heading 4"/>
    <w:basedOn w:val="Dummy"/>
    <w:next w:val="Standard"/>
    <w:link w:val="Heading4Char"/>
    <w:uiPriority w:val="4"/>
    <w:rsid w:val="00B834DA"/>
    <w:pPr>
      <w:numPr>
        <w:ilvl w:val="3"/>
        <w:numId w:val="10"/>
      </w:numPr>
      <w:ind w:right="2160"/>
      <w:outlineLvl w:val="3"/>
    </w:pPr>
    <w:rPr>
      <w:rFonts w:eastAsiaTheme="majorEastAsia" w:cstheme="majorBidi"/>
      <w:iCs/>
    </w:rPr>
  </w:style>
  <w:style w:type="paragraph" w:styleId="Heading5">
    <w:name w:val="heading 5"/>
    <w:basedOn w:val="Dummy"/>
    <w:next w:val="Standard"/>
    <w:link w:val="Heading5Char"/>
    <w:uiPriority w:val="4"/>
    <w:rsid w:val="00B834DA"/>
    <w:pPr>
      <w:numPr>
        <w:ilvl w:val="4"/>
        <w:numId w:val="10"/>
      </w:numPr>
      <w:ind w:right="2160"/>
      <w:outlineLvl w:val="4"/>
    </w:pPr>
    <w:rPr>
      <w:rFonts w:eastAsiaTheme="majorEastAsia" w:cstheme="majorBidi"/>
    </w:rPr>
  </w:style>
  <w:style w:type="paragraph" w:styleId="Heading6">
    <w:name w:val="heading 6"/>
    <w:basedOn w:val="Dummy"/>
    <w:next w:val="Standard"/>
    <w:link w:val="Heading6Char"/>
    <w:uiPriority w:val="4"/>
    <w:rsid w:val="00B834DA"/>
    <w:pPr>
      <w:numPr>
        <w:ilvl w:val="5"/>
        <w:numId w:val="10"/>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57C72"/>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B834D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57C72"/>
    <w:rPr>
      <w:rFonts w:ascii="Arial" w:hAnsi="Arial" w:cs="Arial"/>
      <w:b/>
      <w:sz w:val="26"/>
      <w:szCs w:val="26"/>
    </w:rPr>
  </w:style>
  <w:style w:type="character" w:customStyle="1" w:styleId="Heading3Char">
    <w:name w:val="Heading 3 Char"/>
    <w:basedOn w:val="DefaultParagraphFont"/>
    <w:link w:val="Heading3"/>
    <w:uiPriority w:val="4"/>
    <w:rsid w:val="00957C72"/>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B834DA"/>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B834DA"/>
    <w:rPr>
      <w:rFonts w:ascii="Arial" w:eastAsiaTheme="majorEastAsia" w:hAnsi="Arial" w:cstheme="majorBidi"/>
      <w:b/>
      <w:sz w:val="26"/>
      <w:szCs w:val="26"/>
    </w:rPr>
  </w:style>
  <w:style w:type="paragraph" w:customStyle="1" w:styleId="Main">
    <w:name w:val="Main"/>
    <w:next w:val="Normal"/>
    <w:uiPriority w:val="19"/>
    <w:rsid w:val="00B834D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B834DA"/>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B834DA"/>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B834DA"/>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B834DA"/>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B834DA"/>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B834DA"/>
    <w:pPr>
      <w:numPr>
        <w:numId w:val="9"/>
      </w:numPr>
    </w:pPr>
  </w:style>
  <w:style w:type="paragraph" w:customStyle="1" w:styleId="CoL">
    <w:name w:val="CoL"/>
    <w:basedOn w:val="Standard"/>
    <w:uiPriority w:val="7"/>
    <w:qFormat/>
    <w:rsid w:val="00B834DA"/>
    <w:pPr>
      <w:numPr>
        <w:numId w:val="8"/>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B834DA"/>
    <w:pPr>
      <w:numPr>
        <w:numId w:val="11"/>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2"/>
      </w:numPr>
    </w:pPr>
  </w:style>
  <w:style w:type="paragraph" w:customStyle="1" w:styleId="Standard">
    <w:name w:val="Standard"/>
    <w:basedOn w:val="Normal"/>
    <w:qFormat/>
    <w:rsid w:val="00B834DA"/>
  </w:style>
  <w:style w:type="paragraph" w:customStyle="1" w:styleId="ListAlpha">
    <w:name w:val="List Alpha"/>
    <w:basedOn w:val="Standard"/>
    <w:uiPriority w:val="4"/>
    <w:qFormat/>
    <w:rsid w:val="000E270A"/>
    <w:pPr>
      <w:numPr>
        <w:ilvl w:val="7"/>
        <w:numId w:val="10"/>
      </w:numPr>
      <w:spacing w:after="120" w:line="240" w:lineRule="auto"/>
    </w:pPr>
  </w:style>
  <w:style w:type="paragraph" w:styleId="ListBullet">
    <w:name w:val="List Bullet"/>
    <w:basedOn w:val="Standard"/>
    <w:uiPriority w:val="4"/>
    <w:qFormat/>
    <w:rsid w:val="001F2819"/>
    <w:pPr>
      <w:numPr>
        <w:numId w:val="3"/>
      </w:numPr>
      <w:tabs>
        <w:tab w:val="clear" w:pos="360"/>
      </w:tabs>
      <w:spacing w:after="120" w:line="240" w:lineRule="auto"/>
      <w:ind w:left="1080"/>
    </w:pPr>
  </w:style>
  <w:style w:type="character" w:customStyle="1" w:styleId="Heading6Char">
    <w:name w:val="Heading 6 Char"/>
    <w:basedOn w:val="DefaultParagraphFont"/>
    <w:link w:val="Heading6"/>
    <w:uiPriority w:val="4"/>
    <w:rsid w:val="00B834DA"/>
    <w:rPr>
      <w:rFonts w:ascii="Arial" w:eastAsiaTheme="majorEastAsia" w:hAnsi="Arial" w:cstheme="majorBidi"/>
      <w:b/>
      <w:sz w:val="26"/>
      <w:szCs w:val="26"/>
    </w:rPr>
  </w:style>
  <w:style w:type="paragraph" w:styleId="TOC4">
    <w:name w:val="toc 4"/>
    <w:basedOn w:val="Normal"/>
    <w:next w:val="Normal"/>
    <w:autoRedefine/>
    <w:uiPriority w:val="39"/>
    <w:unhideWhenUsed/>
    <w:rsid w:val="00B834DA"/>
    <w:pPr>
      <w:spacing w:line="240" w:lineRule="auto"/>
      <w:ind w:left="1728" w:right="720" w:hanging="1080"/>
    </w:pPr>
  </w:style>
  <w:style w:type="paragraph" w:styleId="TOC5">
    <w:name w:val="toc 5"/>
    <w:basedOn w:val="Normal"/>
    <w:next w:val="Normal"/>
    <w:autoRedefine/>
    <w:uiPriority w:val="39"/>
    <w:unhideWhenUsed/>
    <w:rsid w:val="00B834DA"/>
    <w:pPr>
      <w:spacing w:line="240" w:lineRule="auto"/>
      <w:ind w:left="2160" w:right="720" w:hanging="1296"/>
    </w:pPr>
  </w:style>
  <w:style w:type="paragraph" w:styleId="TOC6">
    <w:name w:val="toc 6"/>
    <w:basedOn w:val="Normal"/>
    <w:next w:val="Normal"/>
    <w:autoRedefine/>
    <w:uiPriority w:val="39"/>
    <w:unhideWhenUsed/>
    <w:rsid w:val="00B834DA"/>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0"/>
      </w:numPr>
      <w:spacing w:after="120" w:line="240" w:lineRule="auto"/>
    </w:pPr>
  </w:style>
  <w:style w:type="character" w:styleId="CommentReference">
    <w:name w:val="annotation reference"/>
    <w:basedOn w:val="DefaultParagraphFont"/>
    <w:uiPriority w:val="99"/>
    <w:semiHidden/>
    <w:unhideWhenUsed/>
    <w:rsid w:val="00F97B90"/>
    <w:rPr>
      <w:sz w:val="16"/>
      <w:szCs w:val="16"/>
    </w:rPr>
  </w:style>
  <w:style w:type="paragraph" w:styleId="CommentText">
    <w:name w:val="annotation text"/>
    <w:basedOn w:val="Normal"/>
    <w:link w:val="CommentTextChar"/>
    <w:uiPriority w:val="99"/>
    <w:unhideWhenUsed/>
    <w:rsid w:val="00F97B90"/>
    <w:pPr>
      <w:spacing w:line="240" w:lineRule="auto"/>
    </w:pPr>
    <w:rPr>
      <w:sz w:val="20"/>
      <w:szCs w:val="20"/>
    </w:rPr>
  </w:style>
  <w:style w:type="character" w:customStyle="1" w:styleId="CommentTextChar">
    <w:name w:val="Comment Text Char"/>
    <w:basedOn w:val="DefaultParagraphFont"/>
    <w:link w:val="CommentText"/>
    <w:uiPriority w:val="99"/>
    <w:rsid w:val="00F97B90"/>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F97B90"/>
    <w:rPr>
      <w:b/>
      <w:bCs/>
    </w:rPr>
  </w:style>
  <w:style w:type="character" w:customStyle="1" w:styleId="CommentSubjectChar">
    <w:name w:val="Comment Subject Char"/>
    <w:basedOn w:val="CommentTextChar"/>
    <w:link w:val="CommentSubject"/>
    <w:uiPriority w:val="99"/>
    <w:semiHidden/>
    <w:rsid w:val="00F97B90"/>
    <w:rPr>
      <w:rFonts w:ascii="Book Antiqua" w:hAnsi="Book Antiqua"/>
      <w:b/>
      <w:bCs/>
      <w:sz w:val="20"/>
      <w:szCs w:val="20"/>
    </w:rPr>
  </w:style>
  <w:style w:type="paragraph" w:styleId="ListParagraph">
    <w:name w:val="List Paragraph"/>
    <w:basedOn w:val="Normal"/>
    <w:uiPriority w:val="34"/>
    <w:qFormat/>
    <w:rsid w:val="00A20E7E"/>
    <w:pPr>
      <w:ind w:left="720"/>
      <w:contextualSpacing/>
    </w:pPr>
  </w:style>
  <w:style w:type="paragraph" w:styleId="TOC7">
    <w:name w:val="toc 7"/>
    <w:basedOn w:val="Normal"/>
    <w:next w:val="Normal"/>
    <w:autoRedefine/>
    <w:uiPriority w:val="39"/>
    <w:unhideWhenUsed/>
    <w:rsid w:val="00985067"/>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985067"/>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985067"/>
    <w:rPr>
      <w:color w:val="605E5C"/>
      <w:shd w:val="clear" w:color="auto" w:fill="E1DFDD"/>
    </w:rPr>
  </w:style>
  <w:style w:type="paragraph" w:styleId="Revision">
    <w:name w:val="Revision"/>
    <w:hidden/>
    <w:uiPriority w:val="99"/>
    <w:semiHidden/>
    <w:rsid w:val="00C61CD7"/>
    <w:pPr>
      <w:spacing w:after="0" w:line="240" w:lineRule="auto"/>
    </w:pPr>
    <w:rPr>
      <w:rFonts w:ascii="Book Antiqua" w:hAnsi="Book Antiqua"/>
      <w:sz w:val="26"/>
    </w:rPr>
  </w:style>
  <w:style w:type="paragraph" w:styleId="EndnoteText">
    <w:name w:val="endnote text"/>
    <w:basedOn w:val="Normal"/>
    <w:link w:val="EndnoteTextChar"/>
    <w:uiPriority w:val="99"/>
    <w:semiHidden/>
    <w:unhideWhenUsed/>
    <w:rsid w:val="00797946"/>
    <w:pPr>
      <w:spacing w:line="240" w:lineRule="auto"/>
    </w:pPr>
    <w:rPr>
      <w:sz w:val="20"/>
      <w:szCs w:val="20"/>
    </w:rPr>
  </w:style>
  <w:style w:type="character" w:customStyle="1" w:styleId="EndnoteTextChar">
    <w:name w:val="Endnote Text Char"/>
    <w:basedOn w:val="DefaultParagraphFont"/>
    <w:link w:val="EndnoteText"/>
    <w:uiPriority w:val="99"/>
    <w:semiHidden/>
    <w:rsid w:val="00797946"/>
    <w:rPr>
      <w:rFonts w:ascii="Book Antiqua" w:hAnsi="Book Antiqua"/>
      <w:sz w:val="20"/>
      <w:szCs w:val="20"/>
    </w:rPr>
  </w:style>
  <w:style w:type="character" w:styleId="EndnoteReference">
    <w:name w:val="endnote reference"/>
    <w:basedOn w:val="DefaultParagraphFont"/>
    <w:uiPriority w:val="99"/>
    <w:semiHidden/>
    <w:unhideWhenUsed/>
    <w:rsid w:val="00797946"/>
    <w:rPr>
      <w:vertAlign w:val="superscript"/>
    </w:rPr>
  </w:style>
  <w:style w:type="paragraph" w:customStyle="1" w:styleId="Default">
    <w:name w:val="Default"/>
    <w:rsid w:val="00DC4022"/>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AF78C9"/>
    <w:rPr>
      <w:color w:val="2B579A"/>
      <w:shd w:val="clear" w:color="auto" w:fill="E1DFDD"/>
    </w:rPr>
  </w:style>
  <w:style w:type="paragraph" w:customStyle="1" w:styleId="PDTitle">
    <w:name w:val="PD Title"/>
    <w:basedOn w:val="Dummy"/>
    <w:rsid w:val="00B834DA"/>
    <w:pPr>
      <w:spacing w:after="240"/>
      <w:jc w:val="center"/>
    </w:pPr>
    <w:rPr>
      <w:caps/>
    </w:rPr>
  </w:style>
  <w:style w:type="paragraph" w:styleId="NormalWeb">
    <w:name w:val="Normal (Web)"/>
    <w:basedOn w:val="Normal"/>
    <w:uiPriority w:val="99"/>
    <w:semiHidden/>
    <w:unhideWhenUsed/>
    <w:rsid w:val="00840B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6.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9.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5.xml" Id="rId17" /><Relationship Type="http://schemas.openxmlformats.org/officeDocument/2006/relationships/footer" Target="footer13.xml" Id="rId25"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footer" Target="footer8.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12.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11.xml" Id="rId23" /><Relationship Type="http://schemas.openxmlformats.org/officeDocument/2006/relationships/endnotes" Target="endnotes.xml" Id="rId10" /><Relationship Type="http://schemas.openxmlformats.org/officeDocument/2006/relationships/footer" Target="footer7.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10.xml" Id="rId22" /><Relationship Type="http://schemas.openxmlformats.org/officeDocument/2006/relationships/theme" Target="theme/theme1.xml" Id="rId27" /><Relationship Type="http://schemas.openxmlformats.org/officeDocument/2006/relationships/hyperlink" Target="https://docs.cpuc.ca.gov/PublishedDocs/Published/G000/M597/K708/597708381.pdf" TargetMode="External" Id="R2e5f4d8b74844b23" /></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586/K143/5861432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92</ap:Pages>
  <ap:Words>19017</ap:Words>
  <ap:Characters>108398</ap:Characters>
  <ap:Application>Microsoft Office Word</ap:Application>
  <ap:DocSecurity>0</ap:DocSecurity>
  <ap:Lines>903</ap:Lines>
  <ap:Paragraphs>254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127161</ap:CharactersWithSpaces>
  <ap:SharedDoc>false</ap:SharedDoc>
  <ap:HLinks>
    <vt:vector baseType="variant" size="396">
      <vt:variant>
        <vt:i4>1310768</vt:i4>
      </vt:variant>
      <vt:variant>
        <vt:i4>386</vt:i4>
      </vt:variant>
      <vt:variant>
        <vt:i4>0</vt:i4>
      </vt:variant>
      <vt:variant>
        <vt:i4>5</vt:i4>
      </vt:variant>
      <vt:variant>
        <vt:lpwstr/>
      </vt:variant>
      <vt:variant>
        <vt:lpwstr>_Toc217464324</vt:lpwstr>
      </vt:variant>
      <vt:variant>
        <vt:i4>1310768</vt:i4>
      </vt:variant>
      <vt:variant>
        <vt:i4>380</vt:i4>
      </vt:variant>
      <vt:variant>
        <vt:i4>0</vt:i4>
      </vt:variant>
      <vt:variant>
        <vt:i4>5</vt:i4>
      </vt:variant>
      <vt:variant>
        <vt:lpwstr/>
      </vt:variant>
      <vt:variant>
        <vt:lpwstr>_Toc217464323</vt:lpwstr>
      </vt:variant>
      <vt:variant>
        <vt:i4>1310768</vt:i4>
      </vt:variant>
      <vt:variant>
        <vt:i4>374</vt:i4>
      </vt:variant>
      <vt:variant>
        <vt:i4>0</vt:i4>
      </vt:variant>
      <vt:variant>
        <vt:i4>5</vt:i4>
      </vt:variant>
      <vt:variant>
        <vt:lpwstr/>
      </vt:variant>
      <vt:variant>
        <vt:lpwstr>_Toc217464322</vt:lpwstr>
      </vt:variant>
      <vt:variant>
        <vt:i4>1310768</vt:i4>
      </vt:variant>
      <vt:variant>
        <vt:i4>368</vt:i4>
      </vt:variant>
      <vt:variant>
        <vt:i4>0</vt:i4>
      </vt:variant>
      <vt:variant>
        <vt:i4>5</vt:i4>
      </vt:variant>
      <vt:variant>
        <vt:lpwstr/>
      </vt:variant>
      <vt:variant>
        <vt:lpwstr>_Toc217464321</vt:lpwstr>
      </vt:variant>
      <vt:variant>
        <vt:i4>1310768</vt:i4>
      </vt:variant>
      <vt:variant>
        <vt:i4>362</vt:i4>
      </vt:variant>
      <vt:variant>
        <vt:i4>0</vt:i4>
      </vt:variant>
      <vt:variant>
        <vt:i4>5</vt:i4>
      </vt:variant>
      <vt:variant>
        <vt:lpwstr/>
      </vt:variant>
      <vt:variant>
        <vt:lpwstr>_Toc217464320</vt:lpwstr>
      </vt:variant>
      <vt:variant>
        <vt:i4>1507376</vt:i4>
      </vt:variant>
      <vt:variant>
        <vt:i4>356</vt:i4>
      </vt:variant>
      <vt:variant>
        <vt:i4>0</vt:i4>
      </vt:variant>
      <vt:variant>
        <vt:i4>5</vt:i4>
      </vt:variant>
      <vt:variant>
        <vt:lpwstr/>
      </vt:variant>
      <vt:variant>
        <vt:lpwstr>_Toc217464319</vt:lpwstr>
      </vt:variant>
      <vt:variant>
        <vt:i4>1507376</vt:i4>
      </vt:variant>
      <vt:variant>
        <vt:i4>350</vt:i4>
      </vt:variant>
      <vt:variant>
        <vt:i4>0</vt:i4>
      </vt:variant>
      <vt:variant>
        <vt:i4>5</vt:i4>
      </vt:variant>
      <vt:variant>
        <vt:lpwstr/>
      </vt:variant>
      <vt:variant>
        <vt:lpwstr>_Toc217464318</vt:lpwstr>
      </vt:variant>
      <vt:variant>
        <vt:i4>1507376</vt:i4>
      </vt:variant>
      <vt:variant>
        <vt:i4>344</vt:i4>
      </vt:variant>
      <vt:variant>
        <vt:i4>0</vt:i4>
      </vt:variant>
      <vt:variant>
        <vt:i4>5</vt:i4>
      </vt:variant>
      <vt:variant>
        <vt:lpwstr/>
      </vt:variant>
      <vt:variant>
        <vt:lpwstr>_Toc217464317</vt:lpwstr>
      </vt:variant>
      <vt:variant>
        <vt:i4>1507376</vt:i4>
      </vt:variant>
      <vt:variant>
        <vt:i4>338</vt:i4>
      </vt:variant>
      <vt:variant>
        <vt:i4>0</vt:i4>
      </vt:variant>
      <vt:variant>
        <vt:i4>5</vt:i4>
      </vt:variant>
      <vt:variant>
        <vt:lpwstr/>
      </vt:variant>
      <vt:variant>
        <vt:lpwstr>_Toc217464316</vt:lpwstr>
      </vt:variant>
      <vt:variant>
        <vt:i4>1507376</vt:i4>
      </vt:variant>
      <vt:variant>
        <vt:i4>332</vt:i4>
      </vt:variant>
      <vt:variant>
        <vt:i4>0</vt:i4>
      </vt:variant>
      <vt:variant>
        <vt:i4>5</vt:i4>
      </vt:variant>
      <vt:variant>
        <vt:lpwstr/>
      </vt:variant>
      <vt:variant>
        <vt:lpwstr>_Toc217464315</vt:lpwstr>
      </vt:variant>
      <vt:variant>
        <vt:i4>1507376</vt:i4>
      </vt:variant>
      <vt:variant>
        <vt:i4>326</vt:i4>
      </vt:variant>
      <vt:variant>
        <vt:i4>0</vt:i4>
      </vt:variant>
      <vt:variant>
        <vt:i4>5</vt:i4>
      </vt:variant>
      <vt:variant>
        <vt:lpwstr/>
      </vt:variant>
      <vt:variant>
        <vt:lpwstr>_Toc217464314</vt:lpwstr>
      </vt:variant>
      <vt:variant>
        <vt:i4>1507376</vt:i4>
      </vt:variant>
      <vt:variant>
        <vt:i4>320</vt:i4>
      </vt:variant>
      <vt:variant>
        <vt:i4>0</vt:i4>
      </vt:variant>
      <vt:variant>
        <vt:i4>5</vt:i4>
      </vt:variant>
      <vt:variant>
        <vt:lpwstr/>
      </vt:variant>
      <vt:variant>
        <vt:lpwstr>_Toc217464313</vt:lpwstr>
      </vt:variant>
      <vt:variant>
        <vt:i4>1507376</vt:i4>
      </vt:variant>
      <vt:variant>
        <vt:i4>314</vt:i4>
      </vt:variant>
      <vt:variant>
        <vt:i4>0</vt:i4>
      </vt:variant>
      <vt:variant>
        <vt:i4>5</vt:i4>
      </vt:variant>
      <vt:variant>
        <vt:lpwstr/>
      </vt:variant>
      <vt:variant>
        <vt:lpwstr>_Toc217464312</vt:lpwstr>
      </vt:variant>
      <vt:variant>
        <vt:i4>1507376</vt:i4>
      </vt:variant>
      <vt:variant>
        <vt:i4>308</vt:i4>
      </vt:variant>
      <vt:variant>
        <vt:i4>0</vt:i4>
      </vt:variant>
      <vt:variant>
        <vt:i4>5</vt:i4>
      </vt:variant>
      <vt:variant>
        <vt:lpwstr/>
      </vt:variant>
      <vt:variant>
        <vt:lpwstr>_Toc217464311</vt:lpwstr>
      </vt:variant>
      <vt:variant>
        <vt:i4>1507376</vt:i4>
      </vt:variant>
      <vt:variant>
        <vt:i4>302</vt:i4>
      </vt:variant>
      <vt:variant>
        <vt:i4>0</vt:i4>
      </vt:variant>
      <vt:variant>
        <vt:i4>5</vt:i4>
      </vt:variant>
      <vt:variant>
        <vt:lpwstr/>
      </vt:variant>
      <vt:variant>
        <vt:lpwstr>_Toc217464310</vt:lpwstr>
      </vt:variant>
      <vt:variant>
        <vt:i4>1441840</vt:i4>
      </vt:variant>
      <vt:variant>
        <vt:i4>296</vt:i4>
      </vt:variant>
      <vt:variant>
        <vt:i4>0</vt:i4>
      </vt:variant>
      <vt:variant>
        <vt:i4>5</vt:i4>
      </vt:variant>
      <vt:variant>
        <vt:lpwstr/>
      </vt:variant>
      <vt:variant>
        <vt:lpwstr>_Toc217464309</vt:lpwstr>
      </vt:variant>
      <vt:variant>
        <vt:i4>1441840</vt:i4>
      </vt:variant>
      <vt:variant>
        <vt:i4>290</vt:i4>
      </vt:variant>
      <vt:variant>
        <vt:i4>0</vt:i4>
      </vt:variant>
      <vt:variant>
        <vt:i4>5</vt:i4>
      </vt:variant>
      <vt:variant>
        <vt:lpwstr/>
      </vt:variant>
      <vt:variant>
        <vt:lpwstr>_Toc217464308</vt:lpwstr>
      </vt:variant>
      <vt:variant>
        <vt:i4>1441840</vt:i4>
      </vt:variant>
      <vt:variant>
        <vt:i4>284</vt:i4>
      </vt:variant>
      <vt:variant>
        <vt:i4>0</vt:i4>
      </vt:variant>
      <vt:variant>
        <vt:i4>5</vt:i4>
      </vt:variant>
      <vt:variant>
        <vt:lpwstr/>
      </vt:variant>
      <vt:variant>
        <vt:lpwstr>_Toc217464307</vt:lpwstr>
      </vt:variant>
      <vt:variant>
        <vt:i4>1441840</vt:i4>
      </vt:variant>
      <vt:variant>
        <vt:i4>278</vt:i4>
      </vt:variant>
      <vt:variant>
        <vt:i4>0</vt:i4>
      </vt:variant>
      <vt:variant>
        <vt:i4>5</vt:i4>
      </vt:variant>
      <vt:variant>
        <vt:lpwstr/>
      </vt:variant>
      <vt:variant>
        <vt:lpwstr>_Toc217464306</vt:lpwstr>
      </vt:variant>
      <vt:variant>
        <vt:i4>1441840</vt:i4>
      </vt:variant>
      <vt:variant>
        <vt:i4>272</vt:i4>
      </vt:variant>
      <vt:variant>
        <vt:i4>0</vt:i4>
      </vt:variant>
      <vt:variant>
        <vt:i4>5</vt:i4>
      </vt:variant>
      <vt:variant>
        <vt:lpwstr/>
      </vt:variant>
      <vt:variant>
        <vt:lpwstr>_Toc217464305</vt:lpwstr>
      </vt:variant>
      <vt:variant>
        <vt:i4>1441840</vt:i4>
      </vt:variant>
      <vt:variant>
        <vt:i4>266</vt:i4>
      </vt:variant>
      <vt:variant>
        <vt:i4>0</vt:i4>
      </vt:variant>
      <vt:variant>
        <vt:i4>5</vt:i4>
      </vt:variant>
      <vt:variant>
        <vt:lpwstr/>
      </vt:variant>
      <vt:variant>
        <vt:lpwstr>_Toc217464304</vt:lpwstr>
      </vt:variant>
      <vt:variant>
        <vt:i4>1441840</vt:i4>
      </vt:variant>
      <vt:variant>
        <vt:i4>260</vt:i4>
      </vt:variant>
      <vt:variant>
        <vt:i4>0</vt:i4>
      </vt:variant>
      <vt:variant>
        <vt:i4>5</vt:i4>
      </vt:variant>
      <vt:variant>
        <vt:lpwstr/>
      </vt:variant>
      <vt:variant>
        <vt:lpwstr>_Toc217464303</vt:lpwstr>
      </vt:variant>
      <vt:variant>
        <vt:i4>1441840</vt:i4>
      </vt:variant>
      <vt:variant>
        <vt:i4>254</vt:i4>
      </vt:variant>
      <vt:variant>
        <vt:i4>0</vt:i4>
      </vt:variant>
      <vt:variant>
        <vt:i4>5</vt:i4>
      </vt:variant>
      <vt:variant>
        <vt:lpwstr/>
      </vt:variant>
      <vt:variant>
        <vt:lpwstr>_Toc217464302</vt:lpwstr>
      </vt:variant>
      <vt:variant>
        <vt:i4>1441840</vt:i4>
      </vt:variant>
      <vt:variant>
        <vt:i4>248</vt:i4>
      </vt:variant>
      <vt:variant>
        <vt:i4>0</vt:i4>
      </vt:variant>
      <vt:variant>
        <vt:i4>5</vt:i4>
      </vt:variant>
      <vt:variant>
        <vt:lpwstr/>
      </vt:variant>
      <vt:variant>
        <vt:lpwstr>_Toc217464301</vt:lpwstr>
      </vt:variant>
      <vt:variant>
        <vt:i4>1441840</vt:i4>
      </vt:variant>
      <vt:variant>
        <vt:i4>242</vt:i4>
      </vt:variant>
      <vt:variant>
        <vt:i4>0</vt:i4>
      </vt:variant>
      <vt:variant>
        <vt:i4>5</vt:i4>
      </vt:variant>
      <vt:variant>
        <vt:lpwstr/>
      </vt:variant>
      <vt:variant>
        <vt:lpwstr>_Toc217464300</vt:lpwstr>
      </vt:variant>
      <vt:variant>
        <vt:i4>2031665</vt:i4>
      </vt:variant>
      <vt:variant>
        <vt:i4>236</vt:i4>
      </vt:variant>
      <vt:variant>
        <vt:i4>0</vt:i4>
      </vt:variant>
      <vt:variant>
        <vt:i4>5</vt:i4>
      </vt:variant>
      <vt:variant>
        <vt:lpwstr/>
      </vt:variant>
      <vt:variant>
        <vt:lpwstr>_Toc217464299</vt:lpwstr>
      </vt:variant>
      <vt:variant>
        <vt:i4>2031665</vt:i4>
      </vt:variant>
      <vt:variant>
        <vt:i4>230</vt:i4>
      </vt:variant>
      <vt:variant>
        <vt:i4>0</vt:i4>
      </vt:variant>
      <vt:variant>
        <vt:i4>5</vt:i4>
      </vt:variant>
      <vt:variant>
        <vt:lpwstr/>
      </vt:variant>
      <vt:variant>
        <vt:lpwstr>_Toc217464298</vt:lpwstr>
      </vt:variant>
      <vt:variant>
        <vt:i4>2031665</vt:i4>
      </vt:variant>
      <vt:variant>
        <vt:i4>224</vt:i4>
      </vt:variant>
      <vt:variant>
        <vt:i4>0</vt:i4>
      </vt:variant>
      <vt:variant>
        <vt:i4>5</vt:i4>
      </vt:variant>
      <vt:variant>
        <vt:lpwstr/>
      </vt:variant>
      <vt:variant>
        <vt:lpwstr>_Toc217464297</vt:lpwstr>
      </vt:variant>
      <vt:variant>
        <vt:i4>2031665</vt:i4>
      </vt:variant>
      <vt:variant>
        <vt:i4>218</vt:i4>
      </vt:variant>
      <vt:variant>
        <vt:i4>0</vt:i4>
      </vt:variant>
      <vt:variant>
        <vt:i4>5</vt:i4>
      </vt:variant>
      <vt:variant>
        <vt:lpwstr/>
      </vt:variant>
      <vt:variant>
        <vt:lpwstr>_Toc217464296</vt:lpwstr>
      </vt:variant>
      <vt:variant>
        <vt:i4>2031665</vt:i4>
      </vt:variant>
      <vt:variant>
        <vt:i4>212</vt:i4>
      </vt:variant>
      <vt:variant>
        <vt:i4>0</vt:i4>
      </vt:variant>
      <vt:variant>
        <vt:i4>5</vt:i4>
      </vt:variant>
      <vt:variant>
        <vt:lpwstr/>
      </vt:variant>
      <vt:variant>
        <vt:lpwstr>_Toc217464295</vt:lpwstr>
      </vt:variant>
      <vt:variant>
        <vt:i4>2031665</vt:i4>
      </vt:variant>
      <vt:variant>
        <vt:i4>206</vt:i4>
      </vt:variant>
      <vt:variant>
        <vt:i4>0</vt:i4>
      </vt:variant>
      <vt:variant>
        <vt:i4>5</vt:i4>
      </vt:variant>
      <vt:variant>
        <vt:lpwstr/>
      </vt:variant>
      <vt:variant>
        <vt:lpwstr>_Toc217464294</vt:lpwstr>
      </vt:variant>
      <vt:variant>
        <vt:i4>2031665</vt:i4>
      </vt:variant>
      <vt:variant>
        <vt:i4>200</vt:i4>
      </vt:variant>
      <vt:variant>
        <vt:i4>0</vt:i4>
      </vt:variant>
      <vt:variant>
        <vt:i4>5</vt:i4>
      </vt:variant>
      <vt:variant>
        <vt:lpwstr/>
      </vt:variant>
      <vt:variant>
        <vt:lpwstr>_Toc217464293</vt:lpwstr>
      </vt:variant>
      <vt:variant>
        <vt:i4>2031665</vt:i4>
      </vt:variant>
      <vt:variant>
        <vt:i4>194</vt:i4>
      </vt:variant>
      <vt:variant>
        <vt:i4>0</vt:i4>
      </vt:variant>
      <vt:variant>
        <vt:i4>5</vt:i4>
      </vt:variant>
      <vt:variant>
        <vt:lpwstr/>
      </vt:variant>
      <vt:variant>
        <vt:lpwstr>_Toc217464292</vt:lpwstr>
      </vt:variant>
      <vt:variant>
        <vt:i4>2031665</vt:i4>
      </vt:variant>
      <vt:variant>
        <vt:i4>188</vt:i4>
      </vt:variant>
      <vt:variant>
        <vt:i4>0</vt:i4>
      </vt:variant>
      <vt:variant>
        <vt:i4>5</vt:i4>
      </vt:variant>
      <vt:variant>
        <vt:lpwstr/>
      </vt:variant>
      <vt:variant>
        <vt:lpwstr>_Toc217464291</vt:lpwstr>
      </vt:variant>
      <vt:variant>
        <vt:i4>2031665</vt:i4>
      </vt:variant>
      <vt:variant>
        <vt:i4>182</vt:i4>
      </vt:variant>
      <vt:variant>
        <vt:i4>0</vt:i4>
      </vt:variant>
      <vt:variant>
        <vt:i4>5</vt:i4>
      </vt:variant>
      <vt:variant>
        <vt:lpwstr/>
      </vt:variant>
      <vt:variant>
        <vt:lpwstr>_Toc217464290</vt:lpwstr>
      </vt:variant>
      <vt:variant>
        <vt:i4>1966129</vt:i4>
      </vt:variant>
      <vt:variant>
        <vt:i4>176</vt:i4>
      </vt:variant>
      <vt:variant>
        <vt:i4>0</vt:i4>
      </vt:variant>
      <vt:variant>
        <vt:i4>5</vt:i4>
      </vt:variant>
      <vt:variant>
        <vt:lpwstr/>
      </vt:variant>
      <vt:variant>
        <vt:lpwstr>_Toc217464289</vt:lpwstr>
      </vt:variant>
      <vt:variant>
        <vt:i4>1966129</vt:i4>
      </vt:variant>
      <vt:variant>
        <vt:i4>170</vt:i4>
      </vt:variant>
      <vt:variant>
        <vt:i4>0</vt:i4>
      </vt:variant>
      <vt:variant>
        <vt:i4>5</vt:i4>
      </vt:variant>
      <vt:variant>
        <vt:lpwstr/>
      </vt:variant>
      <vt:variant>
        <vt:lpwstr>_Toc217464288</vt:lpwstr>
      </vt:variant>
      <vt:variant>
        <vt:i4>1966129</vt:i4>
      </vt:variant>
      <vt:variant>
        <vt:i4>164</vt:i4>
      </vt:variant>
      <vt:variant>
        <vt:i4>0</vt:i4>
      </vt:variant>
      <vt:variant>
        <vt:i4>5</vt:i4>
      </vt:variant>
      <vt:variant>
        <vt:lpwstr/>
      </vt:variant>
      <vt:variant>
        <vt:lpwstr>_Toc217464287</vt:lpwstr>
      </vt:variant>
      <vt:variant>
        <vt:i4>1966129</vt:i4>
      </vt:variant>
      <vt:variant>
        <vt:i4>158</vt:i4>
      </vt:variant>
      <vt:variant>
        <vt:i4>0</vt:i4>
      </vt:variant>
      <vt:variant>
        <vt:i4>5</vt:i4>
      </vt:variant>
      <vt:variant>
        <vt:lpwstr/>
      </vt:variant>
      <vt:variant>
        <vt:lpwstr>_Toc217464286</vt:lpwstr>
      </vt:variant>
      <vt:variant>
        <vt:i4>1966129</vt:i4>
      </vt:variant>
      <vt:variant>
        <vt:i4>152</vt:i4>
      </vt:variant>
      <vt:variant>
        <vt:i4>0</vt:i4>
      </vt:variant>
      <vt:variant>
        <vt:i4>5</vt:i4>
      </vt:variant>
      <vt:variant>
        <vt:lpwstr/>
      </vt:variant>
      <vt:variant>
        <vt:lpwstr>_Toc217464285</vt:lpwstr>
      </vt:variant>
      <vt:variant>
        <vt:i4>1966129</vt:i4>
      </vt:variant>
      <vt:variant>
        <vt:i4>146</vt:i4>
      </vt:variant>
      <vt:variant>
        <vt:i4>0</vt:i4>
      </vt:variant>
      <vt:variant>
        <vt:i4>5</vt:i4>
      </vt:variant>
      <vt:variant>
        <vt:lpwstr/>
      </vt:variant>
      <vt:variant>
        <vt:lpwstr>_Toc217464284</vt:lpwstr>
      </vt:variant>
      <vt:variant>
        <vt:i4>1966129</vt:i4>
      </vt:variant>
      <vt:variant>
        <vt:i4>140</vt:i4>
      </vt:variant>
      <vt:variant>
        <vt:i4>0</vt:i4>
      </vt:variant>
      <vt:variant>
        <vt:i4>5</vt:i4>
      </vt:variant>
      <vt:variant>
        <vt:lpwstr/>
      </vt:variant>
      <vt:variant>
        <vt:lpwstr>_Toc217464283</vt:lpwstr>
      </vt:variant>
      <vt:variant>
        <vt:i4>1966129</vt:i4>
      </vt:variant>
      <vt:variant>
        <vt:i4>134</vt:i4>
      </vt:variant>
      <vt:variant>
        <vt:i4>0</vt:i4>
      </vt:variant>
      <vt:variant>
        <vt:i4>5</vt:i4>
      </vt:variant>
      <vt:variant>
        <vt:lpwstr/>
      </vt:variant>
      <vt:variant>
        <vt:lpwstr>_Toc217464282</vt:lpwstr>
      </vt:variant>
      <vt:variant>
        <vt:i4>1966129</vt:i4>
      </vt:variant>
      <vt:variant>
        <vt:i4>128</vt:i4>
      </vt:variant>
      <vt:variant>
        <vt:i4>0</vt:i4>
      </vt:variant>
      <vt:variant>
        <vt:i4>5</vt:i4>
      </vt:variant>
      <vt:variant>
        <vt:lpwstr/>
      </vt:variant>
      <vt:variant>
        <vt:lpwstr>_Toc217464281</vt:lpwstr>
      </vt:variant>
      <vt:variant>
        <vt:i4>1966129</vt:i4>
      </vt:variant>
      <vt:variant>
        <vt:i4>122</vt:i4>
      </vt:variant>
      <vt:variant>
        <vt:i4>0</vt:i4>
      </vt:variant>
      <vt:variant>
        <vt:i4>5</vt:i4>
      </vt:variant>
      <vt:variant>
        <vt:lpwstr/>
      </vt:variant>
      <vt:variant>
        <vt:lpwstr>_Toc217464280</vt:lpwstr>
      </vt:variant>
      <vt:variant>
        <vt:i4>1114161</vt:i4>
      </vt:variant>
      <vt:variant>
        <vt:i4>116</vt:i4>
      </vt:variant>
      <vt:variant>
        <vt:i4>0</vt:i4>
      </vt:variant>
      <vt:variant>
        <vt:i4>5</vt:i4>
      </vt:variant>
      <vt:variant>
        <vt:lpwstr/>
      </vt:variant>
      <vt:variant>
        <vt:lpwstr>_Toc217464279</vt:lpwstr>
      </vt:variant>
      <vt:variant>
        <vt:i4>1114161</vt:i4>
      </vt:variant>
      <vt:variant>
        <vt:i4>110</vt:i4>
      </vt:variant>
      <vt:variant>
        <vt:i4>0</vt:i4>
      </vt:variant>
      <vt:variant>
        <vt:i4>5</vt:i4>
      </vt:variant>
      <vt:variant>
        <vt:lpwstr/>
      </vt:variant>
      <vt:variant>
        <vt:lpwstr>_Toc217464278</vt:lpwstr>
      </vt:variant>
      <vt:variant>
        <vt:i4>1114161</vt:i4>
      </vt:variant>
      <vt:variant>
        <vt:i4>104</vt:i4>
      </vt:variant>
      <vt:variant>
        <vt:i4>0</vt:i4>
      </vt:variant>
      <vt:variant>
        <vt:i4>5</vt:i4>
      </vt:variant>
      <vt:variant>
        <vt:lpwstr/>
      </vt:variant>
      <vt:variant>
        <vt:lpwstr>_Toc217464277</vt:lpwstr>
      </vt:variant>
      <vt:variant>
        <vt:i4>1114161</vt:i4>
      </vt:variant>
      <vt:variant>
        <vt:i4>98</vt:i4>
      </vt:variant>
      <vt:variant>
        <vt:i4>0</vt:i4>
      </vt:variant>
      <vt:variant>
        <vt:i4>5</vt:i4>
      </vt:variant>
      <vt:variant>
        <vt:lpwstr/>
      </vt:variant>
      <vt:variant>
        <vt:lpwstr>_Toc217464276</vt:lpwstr>
      </vt:variant>
      <vt:variant>
        <vt:i4>1114161</vt:i4>
      </vt:variant>
      <vt:variant>
        <vt:i4>92</vt:i4>
      </vt:variant>
      <vt:variant>
        <vt:i4>0</vt:i4>
      </vt:variant>
      <vt:variant>
        <vt:i4>5</vt:i4>
      </vt:variant>
      <vt:variant>
        <vt:lpwstr/>
      </vt:variant>
      <vt:variant>
        <vt:lpwstr>_Toc217464275</vt:lpwstr>
      </vt:variant>
      <vt:variant>
        <vt:i4>1114161</vt:i4>
      </vt:variant>
      <vt:variant>
        <vt:i4>86</vt:i4>
      </vt:variant>
      <vt:variant>
        <vt:i4>0</vt:i4>
      </vt:variant>
      <vt:variant>
        <vt:i4>5</vt:i4>
      </vt:variant>
      <vt:variant>
        <vt:lpwstr/>
      </vt:variant>
      <vt:variant>
        <vt:lpwstr>_Toc217464274</vt:lpwstr>
      </vt:variant>
      <vt:variant>
        <vt:i4>1114161</vt:i4>
      </vt:variant>
      <vt:variant>
        <vt:i4>80</vt:i4>
      </vt:variant>
      <vt:variant>
        <vt:i4>0</vt:i4>
      </vt:variant>
      <vt:variant>
        <vt:i4>5</vt:i4>
      </vt:variant>
      <vt:variant>
        <vt:lpwstr/>
      </vt:variant>
      <vt:variant>
        <vt:lpwstr>_Toc217464273</vt:lpwstr>
      </vt:variant>
      <vt:variant>
        <vt:i4>1114161</vt:i4>
      </vt:variant>
      <vt:variant>
        <vt:i4>74</vt:i4>
      </vt:variant>
      <vt:variant>
        <vt:i4>0</vt:i4>
      </vt:variant>
      <vt:variant>
        <vt:i4>5</vt:i4>
      </vt:variant>
      <vt:variant>
        <vt:lpwstr/>
      </vt:variant>
      <vt:variant>
        <vt:lpwstr>_Toc217464272</vt:lpwstr>
      </vt:variant>
      <vt:variant>
        <vt:i4>1114161</vt:i4>
      </vt:variant>
      <vt:variant>
        <vt:i4>68</vt:i4>
      </vt:variant>
      <vt:variant>
        <vt:i4>0</vt:i4>
      </vt:variant>
      <vt:variant>
        <vt:i4>5</vt:i4>
      </vt:variant>
      <vt:variant>
        <vt:lpwstr/>
      </vt:variant>
      <vt:variant>
        <vt:lpwstr>_Toc217464271</vt:lpwstr>
      </vt:variant>
      <vt:variant>
        <vt:i4>1114161</vt:i4>
      </vt:variant>
      <vt:variant>
        <vt:i4>62</vt:i4>
      </vt:variant>
      <vt:variant>
        <vt:i4>0</vt:i4>
      </vt:variant>
      <vt:variant>
        <vt:i4>5</vt:i4>
      </vt:variant>
      <vt:variant>
        <vt:lpwstr/>
      </vt:variant>
      <vt:variant>
        <vt:lpwstr>_Toc217464270</vt:lpwstr>
      </vt:variant>
      <vt:variant>
        <vt:i4>1048625</vt:i4>
      </vt:variant>
      <vt:variant>
        <vt:i4>56</vt:i4>
      </vt:variant>
      <vt:variant>
        <vt:i4>0</vt:i4>
      </vt:variant>
      <vt:variant>
        <vt:i4>5</vt:i4>
      </vt:variant>
      <vt:variant>
        <vt:lpwstr/>
      </vt:variant>
      <vt:variant>
        <vt:lpwstr>_Toc217464269</vt:lpwstr>
      </vt:variant>
      <vt:variant>
        <vt:i4>1048625</vt:i4>
      </vt:variant>
      <vt:variant>
        <vt:i4>50</vt:i4>
      </vt:variant>
      <vt:variant>
        <vt:i4>0</vt:i4>
      </vt:variant>
      <vt:variant>
        <vt:i4>5</vt:i4>
      </vt:variant>
      <vt:variant>
        <vt:lpwstr/>
      </vt:variant>
      <vt:variant>
        <vt:lpwstr>_Toc217464268</vt:lpwstr>
      </vt:variant>
      <vt:variant>
        <vt:i4>1048625</vt:i4>
      </vt:variant>
      <vt:variant>
        <vt:i4>44</vt:i4>
      </vt:variant>
      <vt:variant>
        <vt:i4>0</vt:i4>
      </vt:variant>
      <vt:variant>
        <vt:i4>5</vt:i4>
      </vt:variant>
      <vt:variant>
        <vt:lpwstr/>
      </vt:variant>
      <vt:variant>
        <vt:lpwstr>_Toc217464267</vt:lpwstr>
      </vt:variant>
      <vt:variant>
        <vt:i4>1048625</vt:i4>
      </vt:variant>
      <vt:variant>
        <vt:i4>38</vt:i4>
      </vt:variant>
      <vt:variant>
        <vt:i4>0</vt:i4>
      </vt:variant>
      <vt:variant>
        <vt:i4>5</vt:i4>
      </vt:variant>
      <vt:variant>
        <vt:lpwstr/>
      </vt:variant>
      <vt:variant>
        <vt:lpwstr>_Toc217464266</vt:lpwstr>
      </vt:variant>
      <vt:variant>
        <vt:i4>1048625</vt:i4>
      </vt:variant>
      <vt:variant>
        <vt:i4>32</vt:i4>
      </vt:variant>
      <vt:variant>
        <vt:i4>0</vt:i4>
      </vt:variant>
      <vt:variant>
        <vt:i4>5</vt:i4>
      </vt:variant>
      <vt:variant>
        <vt:lpwstr/>
      </vt:variant>
      <vt:variant>
        <vt:lpwstr>_Toc217464265</vt:lpwstr>
      </vt:variant>
      <vt:variant>
        <vt:i4>1048625</vt:i4>
      </vt:variant>
      <vt:variant>
        <vt:i4>26</vt:i4>
      </vt:variant>
      <vt:variant>
        <vt:i4>0</vt:i4>
      </vt:variant>
      <vt:variant>
        <vt:i4>5</vt:i4>
      </vt:variant>
      <vt:variant>
        <vt:lpwstr/>
      </vt:variant>
      <vt:variant>
        <vt:lpwstr>_Toc217464264</vt:lpwstr>
      </vt:variant>
      <vt:variant>
        <vt:i4>1048625</vt:i4>
      </vt:variant>
      <vt:variant>
        <vt:i4>20</vt:i4>
      </vt:variant>
      <vt:variant>
        <vt:i4>0</vt:i4>
      </vt:variant>
      <vt:variant>
        <vt:i4>5</vt:i4>
      </vt:variant>
      <vt:variant>
        <vt:lpwstr/>
      </vt:variant>
      <vt:variant>
        <vt:lpwstr>_Toc217464263</vt:lpwstr>
      </vt:variant>
      <vt:variant>
        <vt:i4>1048625</vt:i4>
      </vt:variant>
      <vt:variant>
        <vt:i4>14</vt:i4>
      </vt:variant>
      <vt:variant>
        <vt:i4>0</vt:i4>
      </vt:variant>
      <vt:variant>
        <vt:i4>5</vt:i4>
      </vt:variant>
      <vt:variant>
        <vt:lpwstr/>
      </vt:variant>
      <vt:variant>
        <vt:lpwstr>_Toc217464262</vt:lpwstr>
      </vt:variant>
      <vt:variant>
        <vt:i4>1048625</vt:i4>
      </vt:variant>
      <vt:variant>
        <vt:i4>8</vt:i4>
      </vt:variant>
      <vt:variant>
        <vt:i4>0</vt:i4>
      </vt:variant>
      <vt:variant>
        <vt:i4>5</vt:i4>
      </vt:variant>
      <vt:variant>
        <vt:lpwstr/>
      </vt:variant>
      <vt:variant>
        <vt:lpwstr>_Toc217464261</vt:lpwstr>
      </vt:variant>
      <vt:variant>
        <vt:i4>1048625</vt:i4>
      </vt:variant>
      <vt:variant>
        <vt:i4>2</vt:i4>
      </vt:variant>
      <vt:variant>
        <vt:i4>0</vt:i4>
      </vt:variant>
      <vt:variant>
        <vt:i4>5</vt:i4>
      </vt:variant>
      <vt:variant>
        <vt:lpwstr/>
      </vt:variant>
      <vt:variant>
        <vt:lpwstr>_Toc217464260</vt:lpwstr>
      </vt:variant>
      <vt:variant>
        <vt:i4>983119</vt:i4>
      </vt:variant>
      <vt:variant>
        <vt:i4>0</vt:i4>
      </vt:variant>
      <vt:variant>
        <vt:i4>0</vt:i4>
      </vt:variant>
      <vt:variant>
        <vt:i4>5</vt:i4>
      </vt:variant>
      <vt:variant>
        <vt:lpwstr>https://docs.cpuc.ca.gov/PublishedDocs/Efile/G000/M586/K143/586143237.PDF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2025-12-12T14:48:00Z</cp:lastPrinted>
  <dcterms:created xsi:type="dcterms:W3CDTF">2026-02-03T10:21:06Z</dcterms:created>
  <dcterms:modified xsi:type="dcterms:W3CDTF">2026-02-03T10:21:06Z</dcterms:modified>
</cp:coreProperties>
</file>