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EE7" w:rsidP="009051C1" w:rsidRDefault="002E1EE7" w14:paraId="00E32CEC" w14:textId="5F8D21FB">
      <w:pPr>
        <w:suppressAutoHyphens/>
        <w:rPr>
          <w:b/>
          <w:bCs/>
          <w:color w:val="000000"/>
        </w:rPr>
      </w:pPr>
      <w:r>
        <w:rPr>
          <w:color w:val="000000"/>
        </w:rPr>
        <w:t>ALJ/CR2</w:t>
      </w:r>
      <w:r w:rsidR="00B30949">
        <w:rPr>
          <w:color w:val="000000"/>
        </w:rPr>
        <w:t>/</w:t>
      </w:r>
      <w:r w:rsidR="00B81A16">
        <w:rPr>
          <w:color w:val="000000"/>
        </w:rPr>
        <w:t>JF2</w:t>
      </w:r>
      <w:r>
        <w:rPr>
          <w:color w:val="000000"/>
        </w:rPr>
        <w:t>/cg7</w:t>
      </w:r>
      <w:r>
        <w:rPr>
          <w:color w:val="000000"/>
        </w:rPr>
        <w:tab/>
      </w:r>
      <w:r>
        <w:rPr>
          <w:color w:val="000000"/>
        </w:rPr>
        <w:tab/>
      </w:r>
      <w:r w:rsidR="009051C1">
        <w:rPr>
          <w:color w:val="000000"/>
        </w:rPr>
        <w:tab/>
      </w:r>
      <w:r w:rsidR="009051C1">
        <w:rPr>
          <w:color w:val="000000"/>
        </w:rPr>
        <w:tab/>
      </w:r>
      <w:r w:rsidR="009051C1">
        <w:rPr>
          <w:color w:val="000000"/>
        </w:rPr>
        <w:tab/>
      </w:r>
      <w:r w:rsidR="009051C1">
        <w:rPr>
          <w:color w:val="000000"/>
        </w:rPr>
        <w:tab/>
      </w:r>
      <w:r w:rsidR="009051C1">
        <w:rPr>
          <w:b/>
          <w:bCs/>
          <w:color w:val="000000"/>
        </w:rPr>
        <w:t>Date of Issuance 02/06/2026</w:t>
      </w:r>
    </w:p>
    <w:p w:rsidR="005548CD" w:rsidP="005548CD" w:rsidRDefault="005548CD" w14:paraId="4519CF3B" w14:textId="77777777">
      <w:pPr>
        <w:suppressAutoHyphens/>
        <w:rPr>
          <w:color w:val="000000" w:themeColor="text1"/>
        </w:rPr>
      </w:pPr>
    </w:p>
    <w:p w:rsidR="005548CD" w:rsidRDefault="005548CD" w14:paraId="3A275528" w14:textId="77777777">
      <w:pPr>
        <w:suppressAutoHyphens/>
        <w:rPr>
          <w:color w:val="000000"/>
        </w:rPr>
      </w:pPr>
    </w:p>
    <w:p w:rsidRPr="007F620E" w:rsidR="00A92D0B" w:rsidRDefault="00A92D0B" w14:paraId="5BDA9FD4" w14:textId="494D17D0">
      <w:pPr>
        <w:suppressAutoHyphens/>
        <w:rPr>
          <w:color w:val="000000"/>
        </w:rPr>
      </w:pPr>
      <w:r w:rsidRPr="007F620E">
        <w:rPr>
          <w:color w:val="000000"/>
        </w:rPr>
        <w:t xml:space="preserve">Decision </w:t>
      </w:r>
      <w:r w:rsidRPr="009051C1" w:rsidR="009051C1">
        <w:rPr>
          <w:color w:val="000000"/>
          <w:u w:val="single"/>
        </w:rPr>
        <w:t>26-02-</w:t>
      </w:r>
      <w:proofErr w:type="gramStart"/>
      <w:r w:rsidRPr="009051C1" w:rsidR="009051C1">
        <w:rPr>
          <w:color w:val="000000"/>
          <w:u w:val="single"/>
        </w:rPr>
        <w:t>022</w:t>
      </w:r>
      <w:r w:rsidR="009051C1">
        <w:rPr>
          <w:color w:val="000000"/>
        </w:rPr>
        <w:t xml:space="preserve">  February</w:t>
      </w:r>
      <w:proofErr w:type="gramEnd"/>
      <w:r w:rsidR="009051C1">
        <w:rPr>
          <w:color w:val="000000"/>
        </w:rPr>
        <w:t xml:space="preserve"> 5, 2026</w:t>
      </w:r>
    </w:p>
    <w:p w:rsidRPr="007F620E" w:rsidR="00A92D0B" w:rsidP="00337661" w:rsidRDefault="00A92D0B" w14:paraId="6D327C87" w14:textId="77777777">
      <w:pPr>
        <w:pStyle w:val="titlebar"/>
        <w:jc w:val="left"/>
        <w:rPr>
          <w:rFonts w:ascii="Times New Roman" w:hAnsi="Times New Roman"/>
          <w:color w:val="000000"/>
          <w:sz w:val="24"/>
          <w:szCs w:val="24"/>
        </w:rPr>
      </w:pPr>
    </w:p>
    <w:p w:rsidRPr="007F620E" w:rsidR="00A92D0B" w:rsidP="00337661" w:rsidRDefault="00A92D0B" w14:paraId="44E03231" w14:textId="77777777">
      <w:pPr>
        <w:pStyle w:val="titlebar"/>
        <w:jc w:val="left"/>
        <w:rPr>
          <w:rFonts w:ascii="Times New Roman" w:hAnsi="Times New Roman"/>
          <w:color w:val="000000"/>
          <w:sz w:val="24"/>
          <w:szCs w:val="24"/>
        </w:rPr>
      </w:pPr>
    </w:p>
    <w:p w:rsidRPr="007F620E" w:rsidR="00A92D0B" w:rsidRDefault="00A92D0B" w14:paraId="67F2520C" w14:textId="77777777">
      <w:pPr>
        <w:pStyle w:val="titlebar"/>
        <w:rPr>
          <w:rFonts w:ascii="Times New Roman" w:hAnsi="Times New Roman"/>
          <w:color w:val="000000"/>
          <w:sz w:val="24"/>
          <w:szCs w:val="24"/>
        </w:rPr>
      </w:pPr>
      <w:r w:rsidRPr="007F620E">
        <w:rPr>
          <w:rFonts w:ascii="Times New Roman" w:hAnsi="Times New Roman"/>
          <w:color w:val="000000"/>
          <w:sz w:val="24"/>
          <w:szCs w:val="24"/>
        </w:rPr>
        <w:t>BEFORE THE PUBLIC UTILITIES COMMISSION OF THE STATE OF CALIFORNIA</w:t>
      </w:r>
    </w:p>
    <w:p w:rsidR="00A92D0B" w:rsidRDefault="00A92D0B" w14:paraId="564284CD" w14:textId="77777777">
      <w:pPr>
        <w:suppressAutoHyphens/>
        <w:rPr>
          <w:color w:val="000000"/>
        </w:rPr>
      </w:pPr>
    </w:p>
    <w:p w:rsidRPr="007F620E" w:rsidR="00D158A6" w:rsidRDefault="00D158A6" w14:paraId="2D511C1D" w14:textId="77777777">
      <w:pPr>
        <w:suppressAutoHyphens/>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870"/>
      </w:tblGrid>
      <w:tr w:rsidRPr="007F620E" w:rsidR="00773E76" w:rsidTr="00D91647" w14:paraId="3942D7B4" w14:textId="77777777">
        <w:tc>
          <w:tcPr>
            <w:tcW w:w="5958" w:type="dxa"/>
            <w:tcBorders>
              <w:top w:val="nil"/>
              <w:left w:val="nil"/>
              <w:right w:val="single" w:color="auto" w:sz="4" w:space="0"/>
            </w:tcBorders>
          </w:tcPr>
          <w:p w:rsidR="00D158A6" w:rsidP="00773E76" w:rsidRDefault="00D158A6" w14:paraId="18570BA8" w14:textId="77777777"/>
          <w:p w:rsidRPr="00F51479" w:rsidR="00773E76" w:rsidP="00773E76" w:rsidRDefault="00D158A6" w14:paraId="47850BD9" w14:textId="29BED0A5">
            <w:pPr>
              <w:rPr>
                <w:color w:val="000000"/>
              </w:rPr>
            </w:pPr>
            <w:r w:rsidRPr="00D158A6">
              <w:t>Implementing Senate Bill 846 Concerning Potential Extension of Diablo Canyon Power Plant Operations.</w:t>
            </w:r>
          </w:p>
        </w:tc>
        <w:tc>
          <w:tcPr>
            <w:tcW w:w="3870" w:type="dxa"/>
            <w:tcBorders>
              <w:top w:val="nil"/>
              <w:left w:val="single" w:color="auto" w:sz="4" w:space="0"/>
              <w:bottom w:val="nil"/>
              <w:right w:val="nil"/>
            </w:tcBorders>
          </w:tcPr>
          <w:p w:rsidRPr="00770F01" w:rsidR="00773E76" w:rsidP="00773E76" w:rsidRDefault="00773E76" w14:paraId="0066CA57" w14:textId="77777777"/>
          <w:p w:rsidRPr="00F4331A" w:rsidR="00214B0D" w:rsidP="00214B0D" w:rsidRDefault="00214B0D" w14:paraId="18E2B905" w14:textId="77777777">
            <w:pPr>
              <w:widowControl w:val="0"/>
              <w:autoSpaceDE w:val="0"/>
              <w:autoSpaceDN w:val="0"/>
              <w:adjustRightInd w:val="0"/>
              <w:jc w:val="center"/>
            </w:pPr>
            <w:r w:rsidRPr="00F4331A">
              <w:t>Rulemaking 23-01-007</w:t>
            </w:r>
          </w:p>
          <w:p w:rsidRPr="00F4331A" w:rsidR="00214B0D" w:rsidP="00214B0D" w:rsidRDefault="00214B0D" w14:paraId="4CE0B3C1" w14:textId="77777777">
            <w:pPr>
              <w:widowControl w:val="0"/>
              <w:autoSpaceDE w:val="0"/>
              <w:autoSpaceDN w:val="0"/>
              <w:adjustRightInd w:val="0"/>
              <w:jc w:val="center"/>
            </w:pPr>
            <w:r w:rsidRPr="00F4331A">
              <w:t>(Filed January 12, 2023)</w:t>
            </w:r>
          </w:p>
          <w:p w:rsidRPr="00F51479" w:rsidR="00773E76" w:rsidP="00773E76" w:rsidRDefault="00773E76" w14:paraId="7EC7277D" w14:textId="7D820781">
            <w:pPr>
              <w:jc w:val="center"/>
              <w:rPr>
                <w:color w:val="000000"/>
              </w:rPr>
            </w:pPr>
          </w:p>
        </w:tc>
      </w:tr>
    </w:tbl>
    <w:p w:rsidRPr="007F620E" w:rsidR="00FC72B7" w:rsidRDefault="00FC72B7" w14:paraId="5459E071" w14:textId="77777777">
      <w:pPr>
        <w:jc w:val="center"/>
        <w:rPr>
          <w:b/>
          <w:color w:val="000000"/>
        </w:rPr>
      </w:pPr>
    </w:p>
    <w:p w:rsidR="006D133C" w:rsidP="006D133C" w:rsidRDefault="001B4461" w14:paraId="39DF0F20" w14:textId="1E2EA16F">
      <w:pPr>
        <w:ind w:left="720"/>
        <w:jc w:val="center"/>
        <w:rPr>
          <w:b/>
        </w:rPr>
      </w:pPr>
      <w:r w:rsidRPr="005B09B5">
        <w:rPr>
          <w:b/>
        </w:rPr>
        <w:t xml:space="preserve">DECISION GRANTING COMPENSATION TO </w:t>
      </w:r>
      <w:r w:rsidRPr="005B09B5">
        <w:rPr>
          <w:b/>
          <w:bCs/>
        </w:rPr>
        <w:t>THE UTILI</w:t>
      </w:r>
      <w:r w:rsidR="00BA4964">
        <w:rPr>
          <w:b/>
          <w:bCs/>
        </w:rPr>
        <w:t>T</w:t>
      </w:r>
      <w:r w:rsidRPr="005B09B5">
        <w:rPr>
          <w:b/>
          <w:bCs/>
        </w:rPr>
        <w:t>Y REFORM NETWORK</w:t>
      </w:r>
      <w:r w:rsidRPr="005B09B5">
        <w:rPr>
          <w:b/>
        </w:rPr>
        <w:t xml:space="preserve"> FOR SUBSTANTIAL CONTRIBUTION </w:t>
      </w:r>
    </w:p>
    <w:p w:rsidRPr="006D133C" w:rsidR="00374FD1" w:rsidP="006D133C" w:rsidRDefault="001B4461" w14:paraId="7DD45571" w14:textId="74A004A4">
      <w:pPr>
        <w:ind w:left="720"/>
        <w:jc w:val="center"/>
        <w:rPr>
          <w:b/>
          <w:bCs/>
        </w:rPr>
      </w:pPr>
      <w:r w:rsidRPr="005B09B5">
        <w:rPr>
          <w:b/>
        </w:rPr>
        <w:t xml:space="preserve">TO DECISION (D.) </w:t>
      </w:r>
      <w:r>
        <w:rPr>
          <w:b/>
        </w:rPr>
        <w:t>25-06-002</w:t>
      </w:r>
    </w:p>
    <w:tbl>
      <w:tblPr>
        <w:tblpPr w:leftFromText="180" w:rightFromText="180" w:vertAnchor="text" w:horzAnchor="margin" w:tblpY="192"/>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6"/>
        <w:gridCol w:w="5712"/>
      </w:tblGrid>
      <w:tr w:rsidRPr="007F620E" w:rsidR="001D0A1A" w:rsidTr="001D0A1A" w14:paraId="6FBC6AD5" w14:textId="77777777">
        <w:tc>
          <w:tcPr>
            <w:tcW w:w="4116" w:type="dxa"/>
          </w:tcPr>
          <w:p w:rsidRPr="00691528" w:rsidR="001D0A1A" w:rsidP="001D0A1A" w:rsidRDefault="001D0A1A" w14:paraId="12A23E14" w14:textId="77777777">
            <w:pPr>
              <w:tabs>
                <w:tab w:val="left" w:pos="1620"/>
                <w:tab w:val="right" w:pos="4500"/>
              </w:tabs>
              <w:spacing w:before="120"/>
              <w:rPr>
                <w:color w:val="000000"/>
              </w:rPr>
            </w:pPr>
            <w:r w:rsidRPr="007F620E">
              <w:rPr>
                <w:b/>
                <w:color w:val="000000"/>
              </w:rPr>
              <w:t>Intervenor:</w:t>
            </w:r>
            <w:r>
              <w:rPr>
                <w:b/>
                <w:color w:val="000000"/>
              </w:rPr>
              <w:t xml:space="preserve"> </w:t>
            </w:r>
            <w:r w:rsidRPr="00B22BD8">
              <w:rPr>
                <w:bCs/>
                <w:color w:val="000000"/>
              </w:rPr>
              <w:t>The Utility Reform Network</w:t>
            </w:r>
          </w:p>
        </w:tc>
        <w:tc>
          <w:tcPr>
            <w:tcW w:w="5712" w:type="dxa"/>
          </w:tcPr>
          <w:p w:rsidRPr="007F620E" w:rsidR="001D0A1A" w:rsidP="001D0A1A" w:rsidRDefault="001D0A1A" w14:paraId="75343AB0" w14:textId="77777777">
            <w:pPr>
              <w:tabs>
                <w:tab w:val="left" w:pos="1872"/>
                <w:tab w:val="right" w:pos="3672"/>
              </w:tabs>
              <w:spacing w:before="120"/>
              <w:rPr>
                <w:b/>
                <w:color w:val="000000"/>
              </w:rPr>
            </w:pPr>
            <w:r w:rsidRPr="007F620E">
              <w:rPr>
                <w:b/>
                <w:color w:val="000000"/>
              </w:rPr>
              <w:t>For contribution to Decision</w:t>
            </w:r>
            <w:r>
              <w:rPr>
                <w:b/>
                <w:color w:val="000000"/>
              </w:rPr>
              <w:t xml:space="preserve"> </w:t>
            </w:r>
            <w:r w:rsidRPr="007F620E">
              <w:rPr>
                <w:b/>
                <w:color w:val="000000"/>
              </w:rPr>
              <w:t xml:space="preserve">(D.) </w:t>
            </w:r>
            <w:r>
              <w:rPr>
                <w:b/>
                <w:color w:val="000000"/>
              </w:rPr>
              <w:t>25-06-002</w:t>
            </w:r>
          </w:p>
        </w:tc>
      </w:tr>
      <w:tr w:rsidRPr="007F620E" w:rsidR="001D0A1A" w:rsidTr="001D0A1A" w14:paraId="37491F5A" w14:textId="77777777">
        <w:tc>
          <w:tcPr>
            <w:tcW w:w="4116" w:type="dxa"/>
          </w:tcPr>
          <w:p w:rsidRPr="007F620E" w:rsidR="001D0A1A" w:rsidP="001D0A1A" w:rsidRDefault="001D0A1A" w14:paraId="2A5B5D66" w14:textId="77777777">
            <w:pPr>
              <w:tabs>
                <w:tab w:val="left" w:pos="1620"/>
                <w:tab w:val="right" w:pos="4500"/>
              </w:tabs>
              <w:spacing w:before="120"/>
              <w:rPr>
                <w:b/>
                <w:color w:val="000000"/>
                <w:u w:val="single"/>
              </w:rPr>
            </w:pPr>
            <w:r w:rsidRPr="007F620E">
              <w:rPr>
                <w:b/>
                <w:color w:val="000000"/>
              </w:rPr>
              <w:t xml:space="preserve">Claimed: </w:t>
            </w:r>
            <w:r>
              <w:rPr>
                <w:b/>
                <w:color w:val="000000"/>
              </w:rPr>
              <w:t xml:space="preserve"> </w:t>
            </w:r>
            <w:r w:rsidRPr="00B22BD8">
              <w:rPr>
                <w:bCs/>
                <w:color w:val="000000"/>
              </w:rPr>
              <w:t>$56,463.75</w:t>
            </w:r>
          </w:p>
        </w:tc>
        <w:tc>
          <w:tcPr>
            <w:tcW w:w="5712" w:type="dxa"/>
            <w:tcBorders>
              <w:bottom w:val="single" w:color="auto" w:sz="4" w:space="0"/>
            </w:tcBorders>
          </w:tcPr>
          <w:p w:rsidRPr="007F620E" w:rsidR="001D0A1A" w:rsidP="001D0A1A" w:rsidRDefault="001D0A1A" w14:paraId="0E1ADAD0" w14:textId="77777777">
            <w:pPr>
              <w:tabs>
                <w:tab w:val="left" w:pos="1872"/>
                <w:tab w:val="right" w:pos="3672"/>
              </w:tabs>
              <w:spacing w:before="120"/>
              <w:rPr>
                <w:b/>
                <w:color w:val="000000"/>
                <w:u w:val="single"/>
              </w:rPr>
            </w:pPr>
            <w:r w:rsidRPr="007F620E">
              <w:rPr>
                <w:b/>
                <w:color w:val="000000"/>
              </w:rPr>
              <w:t xml:space="preserve">Awarded: </w:t>
            </w:r>
            <w:r w:rsidRPr="00B22BD8">
              <w:rPr>
                <w:bCs/>
                <w:color w:val="000000"/>
              </w:rPr>
              <w:t xml:space="preserve"> $</w:t>
            </w:r>
            <w:r w:rsidRPr="00B22BD8">
              <w:rPr>
                <w:bCs/>
                <w:iCs/>
                <w:color w:val="000000"/>
              </w:rPr>
              <w:t>54,093.75</w:t>
            </w:r>
          </w:p>
        </w:tc>
      </w:tr>
      <w:tr w:rsidRPr="007F620E" w:rsidR="001D0A1A" w:rsidTr="001D0A1A" w14:paraId="79183785" w14:textId="77777777">
        <w:tc>
          <w:tcPr>
            <w:tcW w:w="4116" w:type="dxa"/>
          </w:tcPr>
          <w:p w:rsidRPr="00691528" w:rsidR="001D0A1A" w:rsidP="001D0A1A" w:rsidRDefault="001D0A1A" w14:paraId="0B44859B" w14:textId="77777777">
            <w:pPr>
              <w:tabs>
                <w:tab w:val="left" w:pos="3060"/>
                <w:tab w:val="right" w:pos="4500"/>
              </w:tabs>
              <w:spacing w:before="120"/>
              <w:rPr>
                <w:color w:val="000000"/>
                <w:u w:val="single"/>
              </w:rPr>
            </w:pPr>
            <w:r w:rsidRPr="007F620E">
              <w:rPr>
                <w:b/>
                <w:color w:val="000000"/>
              </w:rPr>
              <w:t xml:space="preserve">Assigned Commissioner: </w:t>
            </w:r>
            <w:r>
              <w:rPr>
                <w:b/>
                <w:color w:val="000000"/>
              </w:rPr>
              <w:t xml:space="preserve"> </w:t>
            </w:r>
            <w:r w:rsidRPr="00B22BD8">
              <w:rPr>
                <w:bCs/>
                <w:color w:val="000000"/>
              </w:rPr>
              <w:t>Karen Douglas</w:t>
            </w:r>
          </w:p>
        </w:tc>
        <w:tc>
          <w:tcPr>
            <w:tcW w:w="5712" w:type="dxa"/>
          </w:tcPr>
          <w:p w:rsidRPr="00691528" w:rsidR="001D0A1A" w:rsidP="001D0A1A" w:rsidRDefault="001D0A1A" w14:paraId="5EC650D7" w14:textId="77777777">
            <w:pPr>
              <w:tabs>
                <w:tab w:val="left" w:pos="1872"/>
                <w:tab w:val="right" w:pos="3672"/>
              </w:tabs>
              <w:spacing w:before="120"/>
              <w:rPr>
                <w:color w:val="000000"/>
                <w:u w:val="single"/>
              </w:rPr>
            </w:pPr>
            <w:r w:rsidRPr="007F620E">
              <w:rPr>
                <w:b/>
                <w:color w:val="000000"/>
              </w:rPr>
              <w:t xml:space="preserve">Assigned ALJ: </w:t>
            </w:r>
            <w:proofErr w:type="spellStart"/>
            <w:r w:rsidRPr="00B22BD8">
              <w:rPr>
                <w:bCs/>
                <w:color w:val="000000"/>
              </w:rPr>
              <w:t>Nilgun</w:t>
            </w:r>
            <w:proofErr w:type="spellEnd"/>
            <w:r w:rsidRPr="00B22BD8">
              <w:rPr>
                <w:bCs/>
                <w:color w:val="000000"/>
              </w:rPr>
              <w:t xml:space="preserve"> </w:t>
            </w:r>
            <w:proofErr w:type="spellStart"/>
            <w:r w:rsidRPr="00B22BD8">
              <w:rPr>
                <w:bCs/>
                <w:color w:val="000000"/>
              </w:rPr>
              <w:t>Atamturk</w:t>
            </w:r>
            <w:proofErr w:type="spellEnd"/>
          </w:p>
        </w:tc>
      </w:tr>
    </w:tbl>
    <w:p w:rsidR="006B1FAE" w:rsidP="00691528" w:rsidRDefault="006B1FAE" w14:paraId="1814E3E8" w14:textId="77777777">
      <w:pPr>
        <w:jc w:val="center"/>
        <w:rPr>
          <w:b/>
          <w:color w:val="000000"/>
        </w:rPr>
      </w:pPr>
    </w:p>
    <w:p w:rsidR="00691528" w:rsidP="001D0A1A" w:rsidRDefault="00A92D0B" w14:paraId="3CEED871" w14:textId="0DBC9E63">
      <w:pPr>
        <w:ind w:firstLine="720"/>
        <w:jc w:val="center"/>
        <w:rPr>
          <w:b/>
          <w:color w:val="000000"/>
        </w:rPr>
      </w:pPr>
      <w:r w:rsidRPr="007F620E">
        <w:rPr>
          <w:b/>
          <w:color w:val="000000"/>
        </w:rPr>
        <w:t>PART I</w:t>
      </w:r>
      <w:proofErr w:type="gramStart"/>
      <w:r w:rsidRPr="007F620E">
        <w:rPr>
          <w:b/>
          <w:color w:val="000000"/>
        </w:rPr>
        <w:t>:  PROCEDURAL</w:t>
      </w:r>
      <w:proofErr w:type="gramEnd"/>
      <w:r w:rsidRPr="007F620E">
        <w:rPr>
          <w:b/>
          <w:color w:val="000000"/>
        </w:rPr>
        <w:t xml:space="preserve"> ISSUES</w:t>
      </w:r>
    </w:p>
    <w:p w:rsidRPr="007F620E" w:rsidR="00A92D0B" w:rsidRDefault="00A92D0B" w14:paraId="37AA25BD" w14:textId="77777777">
      <w:pPr>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004E34"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F66EA0" w:rsidR="00CF4959" w:rsidRDefault="00F66EA0" w14:paraId="3E82D48E" w14:textId="1B521CF3">
            <w:pPr>
              <w:rPr>
                <w:color w:val="000000"/>
              </w:rPr>
            </w:pPr>
            <w:r w:rsidRPr="00F66EA0">
              <w:rPr>
                <w:color w:val="000000"/>
                <w:u w:val="single"/>
              </w:rPr>
              <w:t>D.</w:t>
            </w:r>
            <w:r w:rsidR="00527276">
              <w:rPr>
                <w:color w:val="000000"/>
                <w:u w:val="single"/>
              </w:rPr>
              <w:t>25-06-002</w:t>
            </w:r>
          </w:p>
          <w:p w:rsidRPr="00C83AD9" w:rsidR="00C83AD9" w:rsidP="00C83AD9" w:rsidRDefault="00527276" w14:paraId="67B8ECAA" w14:textId="2678B601">
            <w:pPr>
              <w:pStyle w:val="NormalWeb"/>
            </w:pPr>
            <w:r>
              <w:t xml:space="preserve">Considers party proposals on Phase 2 issues and makes determinations regarding the general framework and definitions for the use of surplus performance-based fees. Directs PG&amp;E to consider affordability as a guiding principle when developing and implementing its Volumetric </w:t>
            </w:r>
            <w:r w:rsidR="00743367">
              <w:t xml:space="preserve">Performance </w:t>
            </w:r>
            <w:r>
              <w:t xml:space="preserve">Fee </w:t>
            </w:r>
            <w:r w:rsidR="00743367">
              <w:t xml:space="preserve">(VPF) </w:t>
            </w:r>
            <w:r>
              <w:t>Spending plan. Approves data templates for reporting on spending. Requires PG&amp;E to estimate the number of customers benefiting from each VPF project.</w:t>
            </w:r>
          </w:p>
        </w:tc>
      </w:tr>
    </w:tbl>
    <w:p w:rsidRPr="007F620E" w:rsidR="00A92D0B" w:rsidRDefault="00A92D0B" w14:paraId="3627CBB7" w14:textId="77777777">
      <w:pPr>
        <w:rPr>
          <w:color w:val="000000"/>
        </w:rPr>
      </w:pPr>
    </w:p>
    <w:p w:rsidRPr="007F620E" w:rsidR="00A92D0B" w:rsidRDefault="005A63D4" w14:paraId="2FBF046C" w14:textId="77777777">
      <w:pPr>
        <w:numPr>
          <w:ilvl w:val="0"/>
          <w:numId w:val="5"/>
        </w:numPr>
        <w:rPr>
          <w:b/>
          <w:color w:val="000000"/>
        </w:rPr>
      </w:pPr>
      <w:r w:rsidRPr="007F620E">
        <w:rPr>
          <w:b/>
          <w:color w:val="000000"/>
        </w:rPr>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p w:rsidRPr="007F620E" w:rsidR="00A92D0B" w:rsidRDefault="00A92D0B" w14:paraId="4E196E03" w14:textId="77777777">
      <w:pPr>
        <w:tabs>
          <w:tab w:val="left" w:pos="360"/>
        </w:tabs>
        <w:rPr>
          <w:color w:val="000000"/>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40"/>
        <w:gridCol w:w="2340"/>
        <w:gridCol w:w="2515"/>
      </w:tblGrid>
      <w:tr w:rsidRPr="007F620E" w:rsidR="00A92D0B" w:rsidTr="00337661" w14:paraId="640CF70A" w14:textId="77777777">
        <w:tc>
          <w:tcPr>
            <w:tcW w:w="5040" w:type="dxa"/>
            <w:tcBorders>
              <w:bottom w:val="single" w:color="auto" w:sz="4" w:space="0"/>
            </w:tcBorders>
          </w:tcPr>
          <w:p w:rsidRPr="007F620E" w:rsidR="00A92D0B" w:rsidP="00A92D0B" w:rsidRDefault="00A92D0B" w14:paraId="409E4D92" w14:textId="77777777">
            <w:pPr>
              <w:tabs>
                <w:tab w:val="left" w:pos="360"/>
              </w:tabs>
              <w:spacing w:before="120"/>
              <w:jc w:val="center"/>
              <w:rPr>
                <w:color w:val="000000"/>
              </w:rPr>
            </w:pPr>
          </w:p>
        </w:tc>
        <w:tc>
          <w:tcPr>
            <w:tcW w:w="2340" w:type="dxa"/>
            <w:tcBorders>
              <w:bottom w:val="single" w:color="auto" w:sz="4" w:space="0"/>
            </w:tcBorders>
          </w:tcPr>
          <w:p w:rsidRPr="007F620E" w:rsidR="00A92D0B" w:rsidP="00A92D0B" w:rsidRDefault="005A63D4" w14:paraId="1412A3C6" w14:textId="77777777">
            <w:pPr>
              <w:tabs>
                <w:tab w:val="left" w:pos="360"/>
              </w:tabs>
              <w:spacing w:before="120"/>
              <w:jc w:val="center"/>
              <w:rPr>
                <w:b/>
                <w:color w:val="000000"/>
              </w:rPr>
            </w:pPr>
            <w:r w:rsidRPr="007F620E">
              <w:rPr>
                <w:b/>
                <w:color w:val="000000"/>
              </w:rPr>
              <w:t>Intervenor</w:t>
            </w:r>
          </w:p>
        </w:tc>
        <w:tc>
          <w:tcPr>
            <w:tcW w:w="2515" w:type="dxa"/>
            <w:tcBorders>
              <w:bottom w:val="single" w:color="auto" w:sz="4" w:space="0"/>
            </w:tcBorders>
          </w:tcPr>
          <w:p w:rsidRPr="007F620E" w:rsidR="00A92D0B" w:rsidP="0081626F" w:rsidRDefault="00A92D0B" w14:paraId="2A218C38" w14:textId="386C9A6A">
            <w:pPr>
              <w:tabs>
                <w:tab w:val="left" w:pos="360"/>
              </w:tabs>
              <w:spacing w:before="120"/>
              <w:jc w:val="center"/>
              <w:rPr>
                <w:b/>
                <w:color w:val="000000"/>
              </w:rPr>
            </w:pPr>
            <w:r w:rsidRPr="007F620E">
              <w:rPr>
                <w:b/>
                <w:color w:val="000000"/>
              </w:rPr>
              <w:t xml:space="preserve">CPUC </w:t>
            </w:r>
            <w:r w:rsidR="0081626F">
              <w:rPr>
                <w:b/>
                <w:color w:val="000000"/>
              </w:rPr>
              <w:t>Verification</w:t>
            </w:r>
          </w:p>
        </w:tc>
      </w:tr>
      <w:tr w:rsidRPr="007F620E" w:rsidR="00A92D0B" w:rsidTr="00337661" w14:paraId="7D83D00D" w14:textId="77777777">
        <w:tc>
          <w:tcPr>
            <w:tcW w:w="989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A92D0B" w:rsidRDefault="00A92D0B" w14:paraId="606E2B66" w14:textId="77777777">
            <w:pPr>
              <w:tabs>
                <w:tab w:val="left" w:pos="360"/>
              </w:tabs>
              <w:spacing w:before="60"/>
              <w:jc w:val="center"/>
              <w:rPr>
                <w:b/>
              </w:rPr>
            </w:pPr>
            <w:r w:rsidRPr="007F620E">
              <w:rPr>
                <w:b/>
              </w:rPr>
              <w:t>Timely filing of notice of intent to claim compensation (NOI) (§ 1804(a)):</w:t>
            </w:r>
          </w:p>
        </w:tc>
      </w:tr>
      <w:tr w:rsidRPr="007F620E" w:rsidR="00A92D0B" w:rsidTr="00337661" w14:paraId="160E284A" w14:textId="77777777">
        <w:tc>
          <w:tcPr>
            <w:tcW w:w="5040" w:type="dxa"/>
            <w:tcBorders>
              <w:top w:val="single" w:color="auto" w:sz="4" w:space="0"/>
            </w:tcBorders>
          </w:tcPr>
          <w:p w:rsidRPr="007F620E" w:rsidR="00A92D0B" w:rsidP="00ED6B6B" w:rsidRDefault="00FC72B7" w14:paraId="44D1876C" w14:textId="1EC21886">
            <w:pPr>
              <w:tabs>
                <w:tab w:val="left" w:pos="360"/>
              </w:tabs>
              <w:spacing w:before="120"/>
              <w:ind w:left="360" w:hanging="360"/>
              <w:rPr>
                <w:color w:val="000000"/>
              </w:rPr>
            </w:pPr>
            <w:r w:rsidRPr="007F620E">
              <w:rPr>
                <w:color w:val="000000"/>
              </w:rPr>
              <w:lastRenderedPageBreak/>
              <w:t xml:space="preserve"> </w:t>
            </w:r>
            <w:r w:rsidRPr="007F620E" w:rsidR="00A92D0B">
              <w:rPr>
                <w:color w:val="000000"/>
              </w:rPr>
              <w:t>1</w:t>
            </w:r>
            <w:r w:rsidRPr="007F620E" w:rsidR="00D158A6">
              <w:rPr>
                <w:color w:val="000000"/>
              </w:rPr>
              <w:t>. Date</w:t>
            </w:r>
            <w:r w:rsidRPr="007F620E" w:rsidR="00A92D0B">
              <w:rPr>
                <w:color w:val="000000"/>
              </w:rPr>
              <w:t xml:space="preserve"> of Prehearing Conference:</w:t>
            </w:r>
          </w:p>
        </w:tc>
        <w:tc>
          <w:tcPr>
            <w:tcW w:w="2340" w:type="dxa"/>
            <w:tcBorders>
              <w:top w:val="single" w:color="auto" w:sz="4" w:space="0"/>
            </w:tcBorders>
          </w:tcPr>
          <w:p w:rsidRPr="007F620E" w:rsidR="00A92D0B" w:rsidP="00136099" w:rsidRDefault="00D92541" w14:paraId="35450816" w14:textId="61201E5E">
            <w:pPr>
              <w:keepNext/>
              <w:keepLines/>
              <w:tabs>
                <w:tab w:val="left" w:pos="360"/>
              </w:tabs>
              <w:spacing w:before="120"/>
              <w:ind w:left="360" w:hanging="360"/>
              <w:jc w:val="center"/>
              <w:rPr>
                <w:color w:val="000000"/>
              </w:rPr>
            </w:pPr>
            <w:r>
              <w:rPr>
                <w:color w:val="000000"/>
              </w:rPr>
              <w:t>3/17/2023</w:t>
            </w:r>
          </w:p>
        </w:tc>
        <w:tc>
          <w:tcPr>
            <w:tcW w:w="2515" w:type="dxa"/>
            <w:tcBorders>
              <w:top w:val="single" w:color="auto" w:sz="4" w:space="0"/>
            </w:tcBorders>
          </w:tcPr>
          <w:p w:rsidRPr="007F620E" w:rsidR="00A92D0B" w:rsidP="009A62F6" w:rsidRDefault="003C3D0B" w14:paraId="34540344" w14:textId="5373AC27">
            <w:pPr>
              <w:tabs>
                <w:tab w:val="left" w:pos="360"/>
              </w:tabs>
              <w:spacing w:before="120"/>
              <w:jc w:val="both"/>
              <w:rPr>
                <w:color w:val="000000"/>
              </w:rPr>
            </w:pPr>
            <w:r>
              <w:rPr>
                <w:color w:val="000000"/>
              </w:rPr>
              <w:t>Verified</w:t>
            </w:r>
          </w:p>
        </w:tc>
      </w:tr>
      <w:tr w:rsidRPr="007F620E" w:rsidR="00A92D0B" w:rsidTr="00337661" w14:paraId="24C85564" w14:textId="77777777">
        <w:tc>
          <w:tcPr>
            <w:tcW w:w="5040" w:type="dxa"/>
          </w:tcPr>
          <w:p w:rsidRPr="007F620E" w:rsidR="00A92D0B" w:rsidP="00915118" w:rsidRDefault="00FC72B7" w14:paraId="382C5788" w14:textId="77777777">
            <w:pPr>
              <w:tabs>
                <w:tab w:val="left" w:pos="360"/>
              </w:tabs>
              <w:spacing w:before="120"/>
              <w:ind w:left="360" w:hanging="360"/>
              <w:rPr>
                <w:color w:val="000000"/>
              </w:rPr>
            </w:pPr>
            <w:r w:rsidRPr="007F620E">
              <w:rPr>
                <w:color w:val="000000"/>
              </w:rPr>
              <w:t xml:space="preserve"> </w:t>
            </w:r>
            <w:r w:rsidRPr="007F620E" w:rsidR="00A92D0B">
              <w:rPr>
                <w:color w:val="000000"/>
              </w:rPr>
              <w:t>2</w:t>
            </w:r>
            <w:proofErr w:type="gramStart"/>
            <w:r w:rsidRPr="007F620E" w:rsidR="00A92D0B">
              <w:rPr>
                <w:color w:val="000000"/>
              </w:rPr>
              <w:t>.  Other</w:t>
            </w:r>
            <w:proofErr w:type="gramEnd"/>
            <w:r w:rsidRPr="007F620E" w:rsidR="00A92D0B">
              <w:rPr>
                <w:color w:val="000000"/>
              </w:rPr>
              <w:t xml:space="preserve"> </w:t>
            </w:r>
            <w:r w:rsidRPr="007F620E" w:rsidR="00A319DE">
              <w:rPr>
                <w:color w:val="000000"/>
              </w:rPr>
              <w:t>s</w:t>
            </w:r>
            <w:r w:rsidRPr="007F620E" w:rsidR="00A92D0B">
              <w:rPr>
                <w:color w:val="000000"/>
              </w:rPr>
              <w:t xml:space="preserve">pecified </w:t>
            </w:r>
            <w:r w:rsidRPr="007F620E" w:rsidR="00A319DE">
              <w:rPr>
                <w:color w:val="000000"/>
              </w:rPr>
              <w:t>d</w:t>
            </w:r>
            <w:r w:rsidRPr="007F620E" w:rsidR="00A92D0B">
              <w:rPr>
                <w:color w:val="000000"/>
              </w:rPr>
              <w:t>ate for NOI:</w:t>
            </w:r>
          </w:p>
        </w:tc>
        <w:tc>
          <w:tcPr>
            <w:tcW w:w="2340" w:type="dxa"/>
          </w:tcPr>
          <w:p w:rsidRPr="007F620E" w:rsidR="00A92D0B" w:rsidP="00136099" w:rsidRDefault="007112D4" w14:paraId="1826BC2C" w14:textId="67235B2A">
            <w:pPr>
              <w:keepNext/>
              <w:keepLines/>
              <w:tabs>
                <w:tab w:val="left" w:pos="360"/>
              </w:tabs>
              <w:spacing w:before="120"/>
              <w:ind w:left="360" w:hanging="360"/>
              <w:jc w:val="center"/>
              <w:rPr>
                <w:color w:val="000000"/>
              </w:rPr>
            </w:pPr>
            <w:r>
              <w:rPr>
                <w:color w:val="000000"/>
              </w:rPr>
              <w:t>See comment #1</w:t>
            </w:r>
          </w:p>
        </w:tc>
        <w:tc>
          <w:tcPr>
            <w:tcW w:w="2515" w:type="dxa"/>
          </w:tcPr>
          <w:p w:rsidRPr="007F620E" w:rsidR="00A92D0B" w:rsidP="009A62F6" w:rsidRDefault="00A92D0B" w14:paraId="210DAD91" w14:textId="77777777">
            <w:pPr>
              <w:tabs>
                <w:tab w:val="left" w:pos="360"/>
              </w:tabs>
              <w:spacing w:before="120"/>
              <w:jc w:val="both"/>
              <w:rPr>
                <w:color w:val="000000"/>
              </w:rPr>
            </w:pPr>
          </w:p>
        </w:tc>
      </w:tr>
      <w:tr w:rsidRPr="007F620E" w:rsidR="00A92D0B" w:rsidTr="00337661" w14:paraId="4836EEA6" w14:textId="77777777">
        <w:tc>
          <w:tcPr>
            <w:tcW w:w="5040" w:type="dxa"/>
          </w:tcPr>
          <w:p w:rsidRPr="007F620E" w:rsidR="00A92D0B" w:rsidP="00915118" w:rsidRDefault="00FC72B7" w14:paraId="34809C45" w14:textId="77777777">
            <w:pPr>
              <w:tabs>
                <w:tab w:val="left" w:pos="360"/>
              </w:tabs>
              <w:spacing w:before="120"/>
              <w:ind w:left="360" w:hanging="360"/>
              <w:rPr>
                <w:color w:val="000000"/>
              </w:rPr>
            </w:pPr>
            <w:r w:rsidRPr="007F620E">
              <w:rPr>
                <w:color w:val="000000"/>
              </w:rPr>
              <w:t xml:space="preserve"> </w:t>
            </w:r>
            <w:r w:rsidRPr="007F620E" w:rsidR="00A92D0B">
              <w:rPr>
                <w:color w:val="000000"/>
              </w:rPr>
              <w:t>3</w:t>
            </w:r>
            <w:proofErr w:type="gramStart"/>
            <w:r w:rsidRPr="007F620E" w:rsidR="00A92D0B">
              <w:rPr>
                <w:color w:val="000000"/>
              </w:rPr>
              <w:t>.  Date</w:t>
            </w:r>
            <w:proofErr w:type="gramEnd"/>
            <w:r w:rsidRPr="007F620E" w:rsidR="00A92D0B">
              <w:rPr>
                <w:color w:val="000000"/>
              </w:rPr>
              <w:t xml:space="preserve"> NOI </w:t>
            </w:r>
            <w:r w:rsidRPr="007F620E" w:rsidR="00A319DE">
              <w:rPr>
                <w:color w:val="000000"/>
              </w:rPr>
              <w:t>f</w:t>
            </w:r>
            <w:r w:rsidRPr="007F620E" w:rsidR="00A92D0B">
              <w:rPr>
                <w:color w:val="000000"/>
              </w:rPr>
              <w:t>iled:</w:t>
            </w:r>
          </w:p>
        </w:tc>
        <w:tc>
          <w:tcPr>
            <w:tcW w:w="2340" w:type="dxa"/>
            <w:tcBorders>
              <w:bottom w:val="single" w:color="auto" w:sz="4" w:space="0"/>
            </w:tcBorders>
          </w:tcPr>
          <w:p w:rsidRPr="007F620E" w:rsidR="00A92D0B" w:rsidP="00136099" w:rsidRDefault="00C85169" w14:paraId="44F7CCB9" w14:textId="72C1A775">
            <w:pPr>
              <w:keepNext/>
              <w:keepLines/>
              <w:tabs>
                <w:tab w:val="left" w:pos="360"/>
              </w:tabs>
              <w:spacing w:before="120"/>
              <w:ind w:left="360" w:hanging="360"/>
              <w:jc w:val="center"/>
              <w:rPr>
                <w:color w:val="000000"/>
              </w:rPr>
            </w:pPr>
            <w:r>
              <w:rPr>
                <w:color w:val="000000"/>
              </w:rPr>
              <w:t>3/0</w:t>
            </w:r>
            <w:r w:rsidR="00D92541">
              <w:rPr>
                <w:color w:val="000000"/>
              </w:rPr>
              <w:t>8</w:t>
            </w:r>
            <w:r w:rsidR="00136099">
              <w:rPr>
                <w:color w:val="000000"/>
              </w:rPr>
              <w:t>/20</w:t>
            </w:r>
            <w:r>
              <w:rPr>
                <w:color w:val="000000"/>
              </w:rPr>
              <w:t>2</w:t>
            </w:r>
            <w:r w:rsidR="00D92541">
              <w:rPr>
                <w:color w:val="000000"/>
              </w:rPr>
              <w:t>3</w:t>
            </w:r>
          </w:p>
        </w:tc>
        <w:tc>
          <w:tcPr>
            <w:tcW w:w="2515" w:type="dxa"/>
            <w:tcBorders>
              <w:bottom w:val="single" w:color="auto" w:sz="4" w:space="0"/>
            </w:tcBorders>
          </w:tcPr>
          <w:p w:rsidRPr="007F620E" w:rsidR="00A92D0B" w:rsidP="00376FC5" w:rsidRDefault="003C3D0B" w14:paraId="71759DE3" w14:textId="43F5F3E7">
            <w:pPr>
              <w:tabs>
                <w:tab w:val="left" w:pos="360"/>
              </w:tabs>
              <w:spacing w:before="120"/>
              <w:rPr>
                <w:color w:val="000000"/>
              </w:rPr>
            </w:pPr>
            <w:r>
              <w:rPr>
                <w:color w:val="000000"/>
              </w:rPr>
              <w:t>Verified</w:t>
            </w:r>
            <w:r w:rsidR="00376FC5">
              <w:rPr>
                <w:color w:val="000000"/>
              </w:rPr>
              <w:t xml:space="preserve">; second NOI filed on 7/2/2024 as directed by </w:t>
            </w:r>
            <w:r w:rsidRPr="00376FC5" w:rsidR="00376FC5">
              <w:rPr>
                <w:color w:val="000000"/>
              </w:rPr>
              <w:t>Amended Scoping Memo</w:t>
            </w:r>
            <w:r w:rsidR="00376FC5">
              <w:rPr>
                <w:color w:val="000000"/>
              </w:rPr>
              <w:t xml:space="preserve"> </w:t>
            </w:r>
            <w:r w:rsidRPr="00376FC5" w:rsidR="00376FC5">
              <w:rPr>
                <w:color w:val="000000"/>
              </w:rPr>
              <w:t xml:space="preserve">and Ruling for Phase 2 of </w:t>
            </w:r>
            <w:r w:rsidR="00F0449C">
              <w:rPr>
                <w:color w:val="000000"/>
              </w:rPr>
              <w:t>R.23-01-007</w:t>
            </w:r>
            <w:r w:rsidR="00376FC5">
              <w:rPr>
                <w:color w:val="000000"/>
              </w:rPr>
              <w:t>, issued on 6/25/2024.</w:t>
            </w:r>
          </w:p>
        </w:tc>
      </w:tr>
      <w:tr w:rsidRPr="007F620E" w:rsidR="00A92D0B" w:rsidTr="00337661" w14:paraId="22BBCDE3" w14:textId="77777777">
        <w:tc>
          <w:tcPr>
            <w:tcW w:w="7380" w:type="dxa"/>
            <w:gridSpan w:val="2"/>
            <w:tcBorders>
              <w:bottom w:val="single" w:color="auto" w:sz="4" w:space="0"/>
            </w:tcBorders>
          </w:tcPr>
          <w:p w:rsidRPr="007F620E" w:rsidR="00A92D0B" w:rsidP="00A92D0B" w:rsidRDefault="00FC72B7" w14:paraId="7E6E2068" w14:textId="77777777">
            <w:pPr>
              <w:tabs>
                <w:tab w:val="left" w:pos="360"/>
              </w:tabs>
              <w:spacing w:before="120"/>
              <w:ind w:left="360" w:hanging="360"/>
              <w:rPr>
                <w:color w:val="000000"/>
              </w:rPr>
            </w:pPr>
            <w:r w:rsidRPr="007F620E">
              <w:rPr>
                <w:color w:val="000000"/>
              </w:rPr>
              <w:t xml:space="preserve"> </w:t>
            </w:r>
            <w:r w:rsidRPr="007F620E" w:rsidR="00A92D0B">
              <w:rPr>
                <w:color w:val="000000"/>
              </w:rPr>
              <w:t>4</w:t>
            </w:r>
            <w:proofErr w:type="gramStart"/>
            <w:r w:rsidRPr="007F620E" w:rsidR="00A92D0B">
              <w:rPr>
                <w:color w:val="000000"/>
              </w:rPr>
              <w:t xml:space="preserve">. </w:t>
            </w:r>
            <w:r w:rsidRPr="007F620E">
              <w:rPr>
                <w:color w:val="000000"/>
              </w:rPr>
              <w:t xml:space="preserve"> </w:t>
            </w:r>
            <w:r w:rsidRPr="007F620E" w:rsidR="00A92D0B">
              <w:rPr>
                <w:color w:val="000000"/>
              </w:rPr>
              <w:t>Was</w:t>
            </w:r>
            <w:proofErr w:type="gramEnd"/>
            <w:r w:rsidRPr="007F620E" w:rsidR="00A92D0B">
              <w:rPr>
                <w:color w:val="000000"/>
              </w:rPr>
              <w:t xml:space="preserve"> the NOI timely filed?</w:t>
            </w:r>
          </w:p>
        </w:tc>
        <w:tc>
          <w:tcPr>
            <w:tcW w:w="2515" w:type="dxa"/>
            <w:tcBorders>
              <w:bottom w:val="single" w:color="auto" w:sz="4" w:space="0"/>
            </w:tcBorders>
          </w:tcPr>
          <w:p w:rsidRPr="007F620E" w:rsidR="00A92D0B" w:rsidP="00A92D0B" w:rsidRDefault="003C3D0B" w14:paraId="61DE2845" w14:textId="12794AC7">
            <w:pPr>
              <w:tabs>
                <w:tab w:val="left" w:pos="360"/>
              </w:tabs>
              <w:spacing w:before="120"/>
              <w:rPr>
                <w:color w:val="000000"/>
              </w:rPr>
            </w:pPr>
            <w:r>
              <w:rPr>
                <w:color w:val="000000"/>
              </w:rPr>
              <w:t>Yes</w:t>
            </w:r>
          </w:p>
        </w:tc>
      </w:tr>
      <w:tr w:rsidRPr="007F620E" w:rsidR="00A92D0B" w:rsidTr="00337661" w14:paraId="4CD7D46A" w14:textId="77777777">
        <w:tc>
          <w:tcPr>
            <w:tcW w:w="989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ED6B6B" w:rsidRDefault="00A92D0B" w14:paraId="19D649BF" w14:textId="77777777">
            <w:pPr>
              <w:keepNext/>
              <w:keepLines/>
              <w:tabs>
                <w:tab w:val="left" w:pos="360"/>
              </w:tabs>
              <w:spacing w:before="60"/>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 xml:space="preserve">status (§ 1802(b) or eligible local government entity </w:t>
            </w:r>
            <w:r w:rsidR="00ED6B6B">
              <w:rPr>
                <w:b/>
                <w:color w:val="000000"/>
              </w:rPr>
              <w:t>status</w:t>
            </w:r>
            <w:r w:rsidRPr="007F620E" w:rsidR="00F63C29">
              <w:rPr>
                <w:b/>
                <w:color w:val="000000"/>
              </w:rPr>
              <w:br/>
              <w:t>(§§ 1802(d), 1802.4)</w:t>
            </w:r>
            <w:r w:rsidRPr="007F620E">
              <w:rPr>
                <w:b/>
                <w:color w:val="000000"/>
              </w:rPr>
              <w:t>:</w:t>
            </w:r>
          </w:p>
        </w:tc>
      </w:tr>
      <w:tr w:rsidRPr="007F620E" w:rsidR="00A92D0B" w:rsidTr="00337661" w14:paraId="259EC227" w14:textId="77777777">
        <w:tc>
          <w:tcPr>
            <w:tcW w:w="5040" w:type="dxa"/>
            <w:tcBorders>
              <w:top w:val="single" w:color="auto" w:sz="4" w:space="0"/>
            </w:tcBorders>
          </w:tcPr>
          <w:p w:rsidRPr="007F620E" w:rsidR="00A92D0B" w:rsidP="007E71C3" w:rsidRDefault="00FC72B7" w14:paraId="0EFCD0E9" w14:textId="77777777">
            <w:pPr>
              <w:keepNext/>
              <w:keepLines/>
              <w:spacing w:before="120"/>
              <w:ind w:left="360" w:hanging="360"/>
              <w:rPr>
                <w:color w:val="000000"/>
              </w:rPr>
            </w:pPr>
            <w:r w:rsidRPr="007F620E">
              <w:rPr>
                <w:color w:val="000000"/>
              </w:rPr>
              <w:t xml:space="preserve"> </w:t>
            </w:r>
            <w:r w:rsidRPr="007F620E" w:rsidR="00A92D0B">
              <w:rPr>
                <w:color w:val="000000"/>
              </w:rPr>
              <w:t>5</w:t>
            </w:r>
            <w:proofErr w:type="gramStart"/>
            <w:r w:rsidRPr="007F620E" w:rsidR="00A92D0B">
              <w:rPr>
                <w:color w:val="000000"/>
              </w:rPr>
              <w:t>.  Based</w:t>
            </w:r>
            <w:proofErr w:type="gramEnd"/>
            <w:r w:rsidRPr="007F620E" w:rsidR="00A92D0B">
              <w:rPr>
                <w:color w:val="000000"/>
              </w:rPr>
              <w:t xml:space="preserve"> on ALJ ruling issued in proceeding </w:t>
            </w:r>
            <w:r w:rsidRPr="007F620E" w:rsidR="00E3786F">
              <w:rPr>
                <w:color w:val="000000"/>
              </w:rPr>
              <w:t xml:space="preserve">  </w:t>
            </w:r>
            <w:r w:rsidRPr="007F620E" w:rsidR="00A92D0B">
              <w:rPr>
                <w:color w:val="000000"/>
              </w:rPr>
              <w:t>number:</w:t>
            </w:r>
          </w:p>
        </w:tc>
        <w:tc>
          <w:tcPr>
            <w:tcW w:w="2340" w:type="dxa"/>
            <w:tcBorders>
              <w:top w:val="single" w:color="auto" w:sz="4" w:space="0"/>
            </w:tcBorders>
          </w:tcPr>
          <w:p w:rsidRPr="007F620E" w:rsidR="00A92D0B" w:rsidP="00136099" w:rsidRDefault="00C85169" w14:paraId="13E72B6D" w14:textId="2E3C01B7">
            <w:pPr>
              <w:keepNext/>
              <w:keepLines/>
              <w:tabs>
                <w:tab w:val="left" w:pos="360"/>
              </w:tabs>
              <w:spacing w:before="120"/>
              <w:ind w:left="360" w:hanging="360"/>
              <w:jc w:val="center"/>
              <w:rPr>
                <w:color w:val="000000"/>
              </w:rPr>
            </w:pPr>
            <w:r>
              <w:rPr>
                <w:color w:val="000000"/>
              </w:rPr>
              <w:t>A.21-12-007</w:t>
            </w:r>
          </w:p>
        </w:tc>
        <w:tc>
          <w:tcPr>
            <w:tcW w:w="2515" w:type="dxa"/>
            <w:tcBorders>
              <w:top w:val="single" w:color="auto" w:sz="4" w:space="0"/>
            </w:tcBorders>
          </w:tcPr>
          <w:p w:rsidRPr="007F620E" w:rsidR="00A92D0B" w:rsidP="007E71C3" w:rsidRDefault="003C3D0B" w14:paraId="2679B197" w14:textId="2F547893">
            <w:pPr>
              <w:keepNext/>
              <w:keepLines/>
              <w:tabs>
                <w:tab w:val="left" w:pos="360"/>
              </w:tabs>
              <w:spacing w:before="120"/>
              <w:rPr>
                <w:color w:val="000000"/>
              </w:rPr>
            </w:pPr>
            <w:r>
              <w:rPr>
                <w:color w:val="000000"/>
              </w:rPr>
              <w:t>Verified</w:t>
            </w:r>
          </w:p>
        </w:tc>
      </w:tr>
      <w:tr w:rsidRPr="007F620E" w:rsidR="00A92D0B" w:rsidTr="00337661" w14:paraId="4E0FB3B6" w14:textId="77777777">
        <w:tc>
          <w:tcPr>
            <w:tcW w:w="5040" w:type="dxa"/>
          </w:tcPr>
          <w:p w:rsidRPr="007F620E" w:rsidR="00A92D0B" w:rsidP="00FC72B7" w:rsidRDefault="00FC72B7" w14:paraId="568B12E8" w14:textId="77777777">
            <w:pPr>
              <w:tabs>
                <w:tab w:val="left" w:pos="360"/>
              </w:tabs>
              <w:spacing w:before="120"/>
              <w:ind w:left="360" w:hanging="360"/>
              <w:rPr>
                <w:color w:val="000000"/>
              </w:rPr>
            </w:pPr>
            <w:r w:rsidRPr="007F620E">
              <w:rPr>
                <w:color w:val="000000"/>
              </w:rPr>
              <w:t xml:space="preserve"> </w:t>
            </w:r>
            <w:r w:rsidRPr="007F620E" w:rsidR="00A92D0B">
              <w:rPr>
                <w:color w:val="000000"/>
              </w:rPr>
              <w:t>6</w:t>
            </w:r>
            <w:proofErr w:type="gramStart"/>
            <w:r w:rsidRPr="007F620E" w:rsidR="00A92D0B">
              <w:rPr>
                <w:color w:val="000000"/>
              </w:rPr>
              <w:t>.  Date</w:t>
            </w:r>
            <w:proofErr w:type="gramEnd"/>
            <w:r w:rsidRPr="007F620E" w:rsidR="00A92D0B">
              <w:rPr>
                <w:color w:val="000000"/>
              </w:rPr>
              <w:t xml:space="preserve"> of ALJ ruling:</w:t>
            </w:r>
          </w:p>
        </w:tc>
        <w:tc>
          <w:tcPr>
            <w:tcW w:w="2340" w:type="dxa"/>
          </w:tcPr>
          <w:p w:rsidRPr="007F620E" w:rsidR="00A92D0B" w:rsidP="00136099" w:rsidRDefault="00C85169" w14:paraId="306125B9" w14:textId="089FEEBC">
            <w:pPr>
              <w:tabs>
                <w:tab w:val="left" w:pos="360"/>
              </w:tabs>
              <w:spacing w:before="120"/>
              <w:ind w:left="360" w:hanging="360"/>
              <w:jc w:val="center"/>
              <w:rPr>
                <w:color w:val="000000"/>
              </w:rPr>
            </w:pPr>
            <w:r>
              <w:rPr>
                <w:color w:val="000000"/>
              </w:rPr>
              <w:t>05/31/2022</w:t>
            </w:r>
          </w:p>
        </w:tc>
        <w:tc>
          <w:tcPr>
            <w:tcW w:w="2515" w:type="dxa"/>
          </w:tcPr>
          <w:p w:rsidRPr="007F620E" w:rsidR="00A92D0B" w:rsidP="00A92D0B" w:rsidRDefault="003C3D0B" w14:paraId="19F10313" w14:textId="577286E7">
            <w:pPr>
              <w:tabs>
                <w:tab w:val="left" w:pos="360"/>
              </w:tabs>
              <w:spacing w:before="120"/>
              <w:rPr>
                <w:color w:val="000000"/>
              </w:rPr>
            </w:pPr>
            <w:r>
              <w:rPr>
                <w:color w:val="000000"/>
              </w:rPr>
              <w:t>Verified</w:t>
            </w:r>
          </w:p>
        </w:tc>
      </w:tr>
      <w:tr w:rsidRPr="007F620E" w:rsidR="00A92D0B" w:rsidTr="00337661" w14:paraId="7F6C1E54" w14:textId="77777777">
        <w:tc>
          <w:tcPr>
            <w:tcW w:w="5040" w:type="dxa"/>
          </w:tcPr>
          <w:p w:rsidRPr="007F620E" w:rsidR="00A92D0B" w:rsidP="00FC72B7" w:rsidRDefault="00FC72B7" w14:paraId="4B6E35B7" w14:textId="77777777">
            <w:pPr>
              <w:tabs>
                <w:tab w:val="left" w:pos="360"/>
              </w:tabs>
              <w:spacing w:before="120"/>
              <w:ind w:left="360" w:hanging="360"/>
              <w:rPr>
                <w:color w:val="000000"/>
              </w:rPr>
            </w:pPr>
            <w:r w:rsidRPr="007F620E">
              <w:rPr>
                <w:color w:val="000000"/>
              </w:rPr>
              <w:t xml:space="preserve"> </w:t>
            </w:r>
            <w:r w:rsidRPr="007F620E" w:rsidR="00A92D0B">
              <w:rPr>
                <w:color w:val="000000"/>
              </w:rPr>
              <w:t>7</w:t>
            </w:r>
            <w:proofErr w:type="gramStart"/>
            <w:r w:rsidRPr="007F620E" w:rsidR="00A92D0B">
              <w:rPr>
                <w:color w:val="000000"/>
              </w:rPr>
              <w:t>.  Based</w:t>
            </w:r>
            <w:proofErr w:type="gramEnd"/>
            <w:r w:rsidRPr="007F620E" w:rsidR="00A92D0B">
              <w:rPr>
                <w:color w:val="000000"/>
              </w:rPr>
              <w:t xml:space="preserve"> on another CPUC determination (specify):</w:t>
            </w:r>
          </w:p>
        </w:tc>
        <w:tc>
          <w:tcPr>
            <w:tcW w:w="2340" w:type="dxa"/>
            <w:tcBorders>
              <w:bottom w:val="single" w:color="auto" w:sz="4" w:space="0"/>
            </w:tcBorders>
          </w:tcPr>
          <w:p w:rsidRPr="007F620E" w:rsidR="00A92D0B" w:rsidP="00A92D0B" w:rsidRDefault="00A92D0B" w14:paraId="5E0F9D32" w14:textId="77777777">
            <w:pPr>
              <w:tabs>
                <w:tab w:val="left" w:pos="360"/>
              </w:tabs>
              <w:spacing w:before="120"/>
              <w:ind w:left="360" w:hanging="360"/>
              <w:rPr>
                <w:color w:val="000000"/>
              </w:rPr>
            </w:pPr>
          </w:p>
        </w:tc>
        <w:tc>
          <w:tcPr>
            <w:tcW w:w="2515" w:type="dxa"/>
            <w:tcBorders>
              <w:bottom w:val="single" w:color="auto" w:sz="4" w:space="0"/>
            </w:tcBorders>
          </w:tcPr>
          <w:p w:rsidRPr="007F620E" w:rsidR="00A92D0B" w:rsidP="00A92D0B" w:rsidRDefault="00A92D0B" w14:paraId="180E80B3" w14:textId="77777777">
            <w:pPr>
              <w:tabs>
                <w:tab w:val="left" w:pos="360"/>
              </w:tabs>
              <w:spacing w:before="120"/>
              <w:rPr>
                <w:color w:val="000000"/>
              </w:rPr>
            </w:pPr>
          </w:p>
        </w:tc>
      </w:tr>
      <w:tr w:rsidRPr="007F620E" w:rsidR="00A92D0B" w:rsidTr="00337661" w14:paraId="397CC4AD" w14:textId="77777777">
        <w:tc>
          <w:tcPr>
            <w:tcW w:w="7380" w:type="dxa"/>
            <w:gridSpan w:val="2"/>
            <w:tcBorders>
              <w:bottom w:val="single" w:color="auto" w:sz="4" w:space="0"/>
            </w:tcBorders>
          </w:tcPr>
          <w:p w:rsidRPr="007F620E" w:rsidR="00A92D0B" w:rsidP="00ED6B6B" w:rsidRDefault="00FC72B7" w14:paraId="71D46B68" w14:textId="77777777">
            <w:pPr>
              <w:tabs>
                <w:tab w:val="left" w:pos="360"/>
              </w:tabs>
              <w:spacing w:before="120"/>
              <w:ind w:left="360" w:hanging="360"/>
              <w:rPr>
                <w:color w:val="000000"/>
              </w:rPr>
            </w:pPr>
            <w:r w:rsidRPr="007F620E">
              <w:rPr>
                <w:color w:val="000000"/>
              </w:rPr>
              <w:t xml:space="preserve"> </w:t>
            </w:r>
            <w:r w:rsidRPr="007F620E" w:rsidR="00A92D0B">
              <w:rPr>
                <w:color w:val="000000"/>
              </w:rPr>
              <w:t>8</w:t>
            </w:r>
            <w:proofErr w:type="gramStart"/>
            <w:r w:rsidRPr="007F620E" w:rsidR="00A92D0B">
              <w:rPr>
                <w:color w:val="000000"/>
              </w:rPr>
              <w:t xml:space="preserve">. </w:t>
            </w:r>
            <w:r w:rsidRPr="007F620E">
              <w:rPr>
                <w:color w:val="000000"/>
              </w:rPr>
              <w:t xml:space="preserve"> </w:t>
            </w:r>
            <w:r w:rsidRPr="007F620E" w:rsidR="00A92D0B">
              <w:rPr>
                <w:color w:val="000000"/>
              </w:rPr>
              <w:t>Has</w:t>
            </w:r>
            <w:proofErr w:type="gramEnd"/>
            <w:r w:rsidRPr="007F620E" w:rsidR="00A92D0B">
              <w:rPr>
                <w:color w:val="000000"/>
              </w:rPr>
              <w:t xml:space="preserve"> the </w:t>
            </w:r>
            <w:r w:rsidRPr="007F620E" w:rsidR="005A63D4">
              <w:rPr>
                <w:color w:val="000000"/>
              </w:rPr>
              <w:t xml:space="preserve">Intervenor </w:t>
            </w:r>
            <w:r w:rsidRPr="007F620E" w:rsidR="00A92D0B">
              <w:rPr>
                <w:color w:val="000000"/>
              </w:rPr>
              <w:t xml:space="preserve">demonstrated </w:t>
            </w:r>
            <w:r w:rsidRPr="00ED6B6B" w:rsidR="00A92D0B">
              <w:t>customer</w:t>
            </w:r>
            <w:r w:rsidRPr="007F620E" w:rsidR="00A92D0B">
              <w:rPr>
                <w:color w:val="000000"/>
              </w:rPr>
              <w:t xml:space="preserve"> </w:t>
            </w:r>
            <w:r w:rsidR="00ED6B6B">
              <w:rPr>
                <w:color w:val="000000"/>
              </w:rPr>
              <w:t>status or eligible government entity status</w:t>
            </w:r>
            <w:r w:rsidRPr="007F620E" w:rsidR="00A92D0B">
              <w:rPr>
                <w:color w:val="000000"/>
              </w:rPr>
              <w:t>?</w:t>
            </w:r>
          </w:p>
        </w:tc>
        <w:tc>
          <w:tcPr>
            <w:tcW w:w="2515" w:type="dxa"/>
            <w:tcBorders>
              <w:bottom w:val="single" w:color="auto" w:sz="4" w:space="0"/>
            </w:tcBorders>
          </w:tcPr>
          <w:p w:rsidRPr="007F620E" w:rsidR="00A92D0B" w:rsidP="00A92D0B" w:rsidRDefault="003C3D0B" w14:paraId="7D296E63" w14:textId="57D45BE9">
            <w:pPr>
              <w:tabs>
                <w:tab w:val="left" w:pos="360"/>
              </w:tabs>
              <w:spacing w:before="120"/>
              <w:rPr>
                <w:color w:val="000000"/>
              </w:rPr>
            </w:pPr>
            <w:r>
              <w:rPr>
                <w:color w:val="000000"/>
              </w:rPr>
              <w:t>Yes</w:t>
            </w:r>
          </w:p>
        </w:tc>
      </w:tr>
      <w:tr w:rsidRPr="007F620E" w:rsidR="00A92D0B" w:rsidTr="00337661" w14:paraId="33231C71" w14:textId="77777777">
        <w:tc>
          <w:tcPr>
            <w:tcW w:w="989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ED6B6B" w:rsidRDefault="00A92D0B" w14:paraId="0291EC4E" w14:textId="77777777">
            <w:pPr>
              <w:tabs>
                <w:tab w:val="left" w:pos="360"/>
              </w:tabs>
              <w:spacing w:before="60"/>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136099" w:rsidTr="00337661" w14:paraId="77F91856" w14:textId="77777777">
        <w:tc>
          <w:tcPr>
            <w:tcW w:w="5040" w:type="dxa"/>
            <w:tcBorders>
              <w:top w:val="single" w:color="auto" w:sz="4" w:space="0"/>
            </w:tcBorders>
          </w:tcPr>
          <w:p w:rsidRPr="007F620E" w:rsidR="00136099" w:rsidP="00136099" w:rsidRDefault="00136099" w14:paraId="6506E60E" w14:textId="77777777">
            <w:pPr>
              <w:tabs>
                <w:tab w:val="left" w:pos="315"/>
              </w:tabs>
              <w:spacing w:before="120"/>
              <w:ind w:left="360" w:hanging="360"/>
              <w:rPr>
                <w:color w:val="000000"/>
              </w:rPr>
            </w:pPr>
            <w:r w:rsidRPr="007F620E">
              <w:rPr>
                <w:color w:val="000000"/>
              </w:rPr>
              <w:t xml:space="preserve"> 9.  Based on ALJ ruling issued in proceeding number:</w:t>
            </w:r>
          </w:p>
        </w:tc>
        <w:tc>
          <w:tcPr>
            <w:tcW w:w="2340" w:type="dxa"/>
            <w:tcBorders>
              <w:top w:val="single" w:color="auto" w:sz="4" w:space="0"/>
            </w:tcBorders>
          </w:tcPr>
          <w:p w:rsidRPr="007F620E" w:rsidR="00136099" w:rsidP="00136099" w:rsidRDefault="00C85169" w14:paraId="54B4911C" w14:textId="25560FF4">
            <w:pPr>
              <w:tabs>
                <w:tab w:val="left" w:pos="360"/>
              </w:tabs>
              <w:spacing w:before="120"/>
              <w:ind w:hanging="108"/>
              <w:jc w:val="center"/>
              <w:rPr>
                <w:color w:val="000000"/>
              </w:rPr>
            </w:pPr>
            <w:r>
              <w:rPr>
                <w:color w:val="000000"/>
              </w:rPr>
              <w:t>A.21-12-007</w:t>
            </w:r>
          </w:p>
        </w:tc>
        <w:tc>
          <w:tcPr>
            <w:tcW w:w="2515" w:type="dxa"/>
            <w:tcBorders>
              <w:top w:val="single" w:color="auto" w:sz="4" w:space="0"/>
            </w:tcBorders>
          </w:tcPr>
          <w:p w:rsidRPr="007F620E" w:rsidR="00136099" w:rsidP="00136099" w:rsidRDefault="003C3D0B" w14:paraId="2E2FB9D6" w14:textId="4D48FB25">
            <w:pPr>
              <w:tabs>
                <w:tab w:val="left" w:pos="360"/>
              </w:tabs>
              <w:spacing w:before="120"/>
              <w:rPr>
                <w:color w:val="000000"/>
              </w:rPr>
            </w:pPr>
            <w:r>
              <w:rPr>
                <w:color w:val="000000"/>
              </w:rPr>
              <w:t>Verified</w:t>
            </w:r>
          </w:p>
        </w:tc>
      </w:tr>
      <w:tr w:rsidRPr="007F620E" w:rsidR="00136099" w:rsidTr="00337661" w14:paraId="4AD750C1" w14:textId="77777777">
        <w:tc>
          <w:tcPr>
            <w:tcW w:w="5040" w:type="dxa"/>
          </w:tcPr>
          <w:p w:rsidRPr="007F620E" w:rsidR="00136099" w:rsidP="00136099" w:rsidRDefault="00136099" w14:paraId="2A279407" w14:textId="77777777">
            <w:pPr>
              <w:tabs>
                <w:tab w:val="left" w:pos="315"/>
              </w:tabs>
              <w:spacing w:before="120"/>
              <w:ind w:left="360" w:hanging="360"/>
              <w:rPr>
                <w:color w:val="000000"/>
              </w:rPr>
            </w:pPr>
            <w:r w:rsidRPr="007F620E">
              <w:rPr>
                <w:color w:val="000000"/>
              </w:rPr>
              <w:t>10</w:t>
            </w:r>
            <w:proofErr w:type="gramStart"/>
            <w:r w:rsidRPr="007F620E">
              <w:rPr>
                <w:color w:val="000000"/>
              </w:rPr>
              <w:t>.</w:t>
            </w:r>
            <w:r w:rsidRPr="007F620E">
              <w:rPr>
                <w:color w:val="000000"/>
              </w:rPr>
              <w:tab/>
              <w:t xml:space="preserve"> Date</w:t>
            </w:r>
            <w:proofErr w:type="gramEnd"/>
            <w:r w:rsidRPr="007F620E">
              <w:rPr>
                <w:color w:val="000000"/>
              </w:rPr>
              <w:t xml:space="preserve"> of ALJ ruling:</w:t>
            </w:r>
          </w:p>
        </w:tc>
        <w:tc>
          <w:tcPr>
            <w:tcW w:w="2340" w:type="dxa"/>
          </w:tcPr>
          <w:p w:rsidRPr="007F620E" w:rsidR="00136099" w:rsidP="00136099" w:rsidRDefault="00C85169" w14:paraId="4B66A2E4" w14:textId="22B37BF9">
            <w:pPr>
              <w:tabs>
                <w:tab w:val="left" w:pos="360"/>
              </w:tabs>
              <w:spacing w:before="120"/>
              <w:ind w:hanging="108"/>
              <w:jc w:val="center"/>
              <w:rPr>
                <w:color w:val="000000"/>
              </w:rPr>
            </w:pPr>
            <w:r>
              <w:rPr>
                <w:color w:val="000000"/>
              </w:rPr>
              <w:t>05/31/2022</w:t>
            </w:r>
          </w:p>
        </w:tc>
        <w:tc>
          <w:tcPr>
            <w:tcW w:w="2515" w:type="dxa"/>
          </w:tcPr>
          <w:p w:rsidRPr="007F620E" w:rsidR="00136099" w:rsidP="00136099" w:rsidRDefault="003C3D0B" w14:paraId="3B83D035" w14:textId="0659DC35">
            <w:pPr>
              <w:tabs>
                <w:tab w:val="left" w:pos="360"/>
              </w:tabs>
              <w:spacing w:before="120"/>
              <w:rPr>
                <w:color w:val="000000"/>
              </w:rPr>
            </w:pPr>
            <w:r>
              <w:rPr>
                <w:color w:val="000000"/>
              </w:rPr>
              <w:t>Verified</w:t>
            </w:r>
          </w:p>
        </w:tc>
      </w:tr>
      <w:tr w:rsidRPr="007F620E" w:rsidR="00136099" w:rsidTr="00337661" w14:paraId="7C183C5E" w14:textId="77777777">
        <w:tc>
          <w:tcPr>
            <w:tcW w:w="5040" w:type="dxa"/>
          </w:tcPr>
          <w:p w:rsidRPr="007F620E" w:rsidR="00136099" w:rsidP="00136099" w:rsidRDefault="00136099" w14:paraId="4141CB3D" w14:textId="77777777">
            <w:pPr>
              <w:tabs>
                <w:tab w:val="left" w:pos="315"/>
              </w:tabs>
              <w:spacing w:before="120"/>
              <w:ind w:left="360" w:hanging="360"/>
              <w:rPr>
                <w:color w:val="000000"/>
              </w:rPr>
            </w:pPr>
            <w:r w:rsidRPr="007F620E">
              <w:rPr>
                <w:color w:val="000000"/>
              </w:rPr>
              <w:t>11. Based on another CPUC determination (specify):</w:t>
            </w:r>
          </w:p>
        </w:tc>
        <w:tc>
          <w:tcPr>
            <w:tcW w:w="2340" w:type="dxa"/>
          </w:tcPr>
          <w:p w:rsidRPr="007F620E" w:rsidR="00136099" w:rsidP="00136099" w:rsidRDefault="00136099" w14:paraId="141EB5CF" w14:textId="77777777">
            <w:pPr>
              <w:tabs>
                <w:tab w:val="left" w:pos="360"/>
              </w:tabs>
              <w:spacing w:before="120"/>
              <w:ind w:hanging="360"/>
              <w:rPr>
                <w:color w:val="000000"/>
              </w:rPr>
            </w:pPr>
          </w:p>
        </w:tc>
        <w:tc>
          <w:tcPr>
            <w:tcW w:w="2515" w:type="dxa"/>
          </w:tcPr>
          <w:p w:rsidRPr="007F620E" w:rsidR="00136099" w:rsidP="00136099" w:rsidRDefault="00136099" w14:paraId="79318715" w14:textId="77777777">
            <w:pPr>
              <w:tabs>
                <w:tab w:val="left" w:pos="360"/>
              </w:tabs>
              <w:spacing w:before="120"/>
              <w:rPr>
                <w:color w:val="000000"/>
              </w:rPr>
            </w:pPr>
          </w:p>
        </w:tc>
      </w:tr>
      <w:tr w:rsidRPr="007F620E" w:rsidR="00136099" w:rsidTr="00337661" w14:paraId="4E8D20BF" w14:textId="77777777">
        <w:tc>
          <w:tcPr>
            <w:tcW w:w="7380" w:type="dxa"/>
            <w:gridSpan w:val="2"/>
            <w:tcBorders>
              <w:bottom w:val="single" w:color="auto" w:sz="4" w:space="0"/>
            </w:tcBorders>
          </w:tcPr>
          <w:p w:rsidRPr="007F620E" w:rsidR="00136099" w:rsidP="00136099" w:rsidRDefault="00136099" w14:paraId="48D0D936" w14:textId="77777777">
            <w:pPr>
              <w:tabs>
                <w:tab w:val="left" w:pos="360"/>
              </w:tabs>
              <w:spacing w:before="120"/>
              <w:ind w:hanging="360"/>
              <w:rPr>
                <w:color w:val="000000"/>
              </w:rPr>
            </w:pPr>
            <w:r>
              <w:rPr>
                <w:color w:val="000000"/>
              </w:rPr>
              <w:t>12</w:t>
            </w:r>
            <w:r w:rsidRPr="007F620E">
              <w:rPr>
                <w:color w:val="000000"/>
              </w:rPr>
              <w:t xml:space="preserve"> 12.  Has the Intervenor demonstrated significant financial hardship?</w:t>
            </w:r>
          </w:p>
        </w:tc>
        <w:tc>
          <w:tcPr>
            <w:tcW w:w="2515" w:type="dxa"/>
            <w:tcBorders>
              <w:bottom w:val="single" w:color="auto" w:sz="4" w:space="0"/>
            </w:tcBorders>
          </w:tcPr>
          <w:p w:rsidRPr="007F620E" w:rsidR="00136099" w:rsidP="00136099" w:rsidRDefault="003C3D0B" w14:paraId="0F29B839" w14:textId="30416AEB">
            <w:pPr>
              <w:tabs>
                <w:tab w:val="left" w:pos="360"/>
              </w:tabs>
              <w:spacing w:before="120"/>
              <w:rPr>
                <w:color w:val="000000"/>
              </w:rPr>
            </w:pPr>
            <w:r>
              <w:rPr>
                <w:color w:val="000000"/>
              </w:rPr>
              <w:t>Yes</w:t>
            </w:r>
          </w:p>
        </w:tc>
      </w:tr>
    </w:tbl>
    <w:p w:rsidR="00BE400D" w:rsidRDefault="00BE400D" w14:paraId="39F272F2" w14:textId="77777777">
      <w:r>
        <w:br w:type="page"/>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40"/>
        <w:gridCol w:w="2340"/>
        <w:gridCol w:w="2340"/>
      </w:tblGrid>
      <w:tr w:rsidRPr="007F620E" w:rsidR="00136099" w:rsidTr="00180E8C" w14:paraId="60D4FD5C" w14:textId="77777777">
        <w:tc>
          <w:tcPr>
            <w:tcW w:w="972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136099" w:rsidP="00136099" w:rsidRDefault="00136099" w14:paraId="172E2884" w14:textId="6462B624">
            <w:pPr>
              <w:tabs>
                <w:tab w:val="left" w:pos="360"/>
              </w:tabs>
              <w:spacing w:before="60"/>
              <w:jc w:val="center"/>
              <w:rPr>
                <w:color w:val="000000"/>
              </w:rPr>
            </w:pPr>
            <w:r w:rsidRPr="007F620E">
              <w:rPr>
                <w:b/>
                <w:color w:val="000000"/>
              </w:rPr>
              <w:lastRenderedPageBreak/>
              <w:t>Timely request for compensation (§ 1804(c)):</w:t>
            </w:r>
          </w:p>
        </w:tc>
      </w:tr>
      <w:tr w:rsidRPr="007F620E" w:rsidR="00136099" w:rsidTr="003C3D0B" w14:paraId="3E7938B0" w14:textId="77777777">
        <w:tc>
          <w:tcPr>
            <w:tcW w:w="5040" w:type="dxa"/>
            <w:tcBorders>
              <w:top w:val="single" w:color="auto" w:sz="4" w:space="0"/>
            </w:tcBorders>
          </w:tcPr>
          <w:p w:rsidRPr="007F620E" w:rsidR="00136099" w:rsidP="00136099" w:rsidRDefault="00136099" w14:paraId="66088F1B" w14:textId="77777777">
            <w:pPr>
              <w:keepNext/>
              <w:tabs>
                <w:tab w:val="left" w:pos="612"/>
              </w:tabs>
              <w:spacing w:before="120"/>
              <w:ind w:left="360" w:hanging="360"/>
              <w:rPr>
                <w:color w:val="000000"/>
              </w:rPr>
            </w:pPr>
            <w:r w:rsidRPr="007F620E">
              <w:rPr>
                <w:color w:val="000000"/>
              </w:rPr>
              <w:t>13</w:t>
            </w:r>
            <w:proofErr w:type="gramStart"/>
            <w:r w:rsidRPr="007F620E">
              <w:rPr>
                <w:color w:val="000000"/>
              </w:rPr>
              <w:t>.  Identify</w:t>
            </w:r>
            <w:proofErr w:type="gramEnd"/>
            <w:r w:rsidRPr="007F620E">
              <w:rPr>
                <w:color w:val="000000"/>
              </w:rPr>
              <w:t xml:space="preserve"> Final Decision:</w:t>
            </w:r>
          </w:p>
        </w:tc>
        <w:tc>
          <w:tcPr>
            <w:tcW w:w="2340" w:type="dxa"/>
            <w:tcBorders>
              <w:top w:val="single" w:color="auto" w:sz="4" w:space="0"/>
            </w:tcBorders>
          </w:tcPr>
          <w:p w:rsidRPr="007F620E" w:rsidR="00136099" w:rsidP="00136099" w:rsidRDefault="00136099" w14:paraId="7166F318" w14:textId="0F611E69">
            <w:pPr>
              <w:tabs>
                <w:tab w:val="left" w:pos="360"/>
              </w:tabs>
              <w:spacing w:before="120"/>
              <w:jc w:val="center"/>
              <w:rPr>
                <w:color w:val="000000"/>
              </w:rPr>
            </w:pPr>
            <w:r>
              <w:rPr>
                <w:color w:val="000000"/>
              </w:rPr>
              <w:t>D.</w:t>
            </w:r>
            <w:r w:rsidR="008D068B">
              <w:rPr>
                <w:color w:val="000000"/>
              </w:rPr>
              <w:t>2</w:t>
            </w:r>
            <w:r w:rsidR="00527276">
              <w:rPr>
                <w:color w:val="000000"/>
              </w:rPr>
              <w:t>5</w:t>
            </w:r>
            <w:r w:rsidR="008D068B">
              <w:rPr>
                <w:color w:val="000000"/>
              </w:rPr>
              <w:t>-</w:t>
            </w:r>
            <w:r w:rsidR="00527276">
              <w:rPr>
                <w:color w:val="000000"/>
              </w:rPr>
              <w:t>06</w:t>
            </w:r>
            <w:r w:rsidR="008D068B">
              <w:rPr>
                <w:color w:val="000000"/>
              </w:rPr>
              <w:t>-0</w:t>
            </w:r>
            <w:r w:rsidR="00527276">
              <w:rPr>
                <w:color w:val="000000"/>
              </w:rPr>
              <w:t>02</w:t>
            </w:r>
          </w:p>
        </w:tc>
        <w:tc>
          <w:tcPr>
            <w:tcW w:w="2340" w:type="dxa"/>
            <w:tcBorders>
              <w:top w:val="single" w:color="auto" w:sz="4" w:space="0"/>
            </w:tcBorders>
          </w:tcPr>
          <w:p w:rsidRPr="007F620E" w:rsidR="00136099" w:rsidP="00136099" w:rsidRDefault="003C3D0B" w14:paraId="1588DC54" w14:textId="68036D35">
            <w:pPr>
              <w:tabs>
                <w:tab w:val="left" w:pos="360"/>
              </w:tabs>
              <w:spacing w:before="120"/>
              <w:rPr>
                <w:color w:val="000000"/>
              </w:rPr>
            </w:pPr>
            <w:r>
              <w:rPr>
                <w:color w:val="000000"/>
              </w:rPr>
              <w:t>Verified</w:t>
            </w:r>
          </w:p>
        </w:tc>
      </w:tr>
      <w:tr w:rsidRPr="007F620E" w:rsidR="00136099" w:rsidTr="003C3D0B" w14:paraId="6360DE59" w14:textId="77777777">
        <w:tc>
          <w:tcPr>
            <w:tcW w:w="5040" w:type="dxa"/>
          </w:tcPr>
          <w:p w:rsidRPr="007F620E" w:rsidR="00136099" w:rsidP="00136099" w:rsidRDefault="00136099" w14:paraId="4B809E4A" w14:textId="77777777">
            <w:pPr>
              <w:keepNext/>
              <w:tabs>
                <w:tab w:val="left" w:pos="612"/>
              </w:tabs>
              <w:spacing w:before="120"/>
              <w:ind w:left="360" w:hanging="360"/>
              <w:rPr>
                <w:color w:val="000000"/>
              </w:rPr>
            </w:pPr>
            <w:r w:rsidRPr="007F620E">
              <w:rPr>
                <w:color w:val="000000"/>
              </w:rPr>
              <w:t>14</w:t>
            </w:r>
            <w:proofErr w:type="gramStart"/>
            <w:r w:rsidRPr="007F620E">
              <w:rPr>
                <w:color w:val="000000"/>
              </w:rPr>
              <w:t>.  Date</w:t>
            </w:r>
            <w:proofErr w:type="gramEnd"/>
            <w:r w:rsidRPr="007F620E">
              <w:rPr>
                <w:color w:val="000000"/>
              </w:rPr>
              <w:t xml:space="preserve"> of issuance of Final Order or Decision:    </w:t>
            </w:r>
          </w:p>
        </w:tc>
        <w:tc>
          <w:tcPr>
            <w:tcW w:w="2340" w:type="dxa"/>
          </w:tcPr>
          <w:p w:rsidRPr="007F620E" w:rsidR="00136099" w:rsidP="00136099" w:rsidRDefault="00527276" w14:paraId="20455B5F" w14:textId="4BA94765">
            <w:pPr>
              <w:tabs>
                <w:tab w:val="left" w:pos="360"/>
              </w:tabs>
              <w:spacing w:before="120"/>
              <w:jc w:val="center"/>
              <w:rPr>
                <w:color w:val="000000"/>
              </w:rPr>
            </w:pPr>
            <w:r>
              <w:rPr>
                <w:color w:val="000000"/>
              </w:rPr>
              <w:t>6/20/2025</w:t>
            </w:r>
          </w:p>
        </w:tc>
        <w:tc>
          <w:tcPr>
            <w:tcW w:w="2340" w:type="dxa"/>
          </w:tcPr>
          <w:p w:rsidRPr="007F620E" w:rsidR="00136099" w:rsidP="00136099" w:rsidRDefault="003C3D0B" w14:paraId="1FCF00DD" w14:textId="016BCC9D">
            <w:pPr>
              <w:tabs>
                <w:tab w:val="left" w:pos="360"/>
              </w:tabs>
              <w:spacing w:before="120"/>
              <w:rPr>
                <w:color w:val="000000"/>
              </w:rPr>
            </w:pPr>
            <w:r>
              <w:rPr>
                <w:color w:val="000000"/>
              </w:rPr>
              <w:t>Verified</w:t>
            </w:r>
          </w:p>
        </w:tc>
      </w:tr>
      <w:tr w:rsidRPr="007F620E" w:rsidR="00136099" w:rsidTr="003C3D0B" w14:paraId="723259E3" w14:textId="77777777">
        <w:tc>
          <w:tcPr>
            <w:tcW w:w="5040" w:type="dxa"/>
          </w:tcPr>
          <w:p w:rsidRPr="007F620E" w:rsidR="00136099" w:rsidP="00136099" w:rsidRDefault="00136099" w14:paraId="163EE1CA" w14:textId="77777777">
            <w:pPr>
              <w:keepNext/>
              <w:tabs>
                <w:tab w:val="left" w:pos="612"/>
              </w:tabs>
              <w:spacing w:before="120"/>
              <w:ind w:left="360" w:hanging="360"/>
              <w:rPr>
                <w:color w:val="000000"/>
              </w:rPr>
            </w:pPr>
            <w:r w:rsidRPr="007F620E">
              <w:rPr>
                <w:color w:val="000000"/>
              </w:rPr>
              <w:t>15</w:t>
            </w:r>
            <w:proofErr w:type="gramStart"/>
            <w:r w:rsidRPr="007F620E">
              <w:rPr>
                <w:color w:val="000000"/>
              </w:rPr>
              <w:t>.  File</w:t>
            </w:r>
            <w:proofErr w:type="gramEnd"/>
            <w:r w:rsidRPr="007F620E">
              <w:rPr>
                <w:color w:val="000000"/>
              </w:rPr>
              <w:t xml:space="preserve"> date of compensation request:</w:t>
            </w:r>
          </w:p>
        </w:tc>
        <w:tc>
          <w:tcPr>
            <w:tcW w:w="2340" w:type="dxa"/>
          </w:tcPr>
          <w:p w:rsidRPr="007F620E" w:rsidR="00136099" w:rsidP="00527276" w:rsidRDefault="00527276" w14:paraId="0568B39D" w14:textId="4871520A">
            <w:pPr>
              <w:tabs>
                <w:tab w:val="left" w:pos="360"/>
              </w:tabs>
              <w:spacing w:before="120"/>
              <w:jc w:val="center"/>
              <w:rPr>
                <w:color w:val="000000"/>
              </w:rPr>
            </w:pPr>
            <w:r>
              <w:rPr>
                <w:color w:val="000000"/>
              </w:rPr>
              <w:t>8/15/2025</w:t>
            </w:r>
          </w:p>
        </w:tc>
        <w:tc>
          <w:tcPr>
            <w:tcW w:w="2340" w:type="dxa"/>
          </w:tcPr>
          <w:p w:rsidRPr="007F620E" w:rsidR="00136099" w:rsidP="00136099" w:rsidRDefault="003C3D0B" w14:paraId="1CBF4E7A" w14:textId="65CFB947">
            <w:pPr>
              <w:tabs>
                <w:tab w:val="left" w:pos="360"/>
              </w:tabs>
              <w:spacing w:before="120"/>
              <w:rPr>
                <w:color w:val="000000"/>
              </w:rPr>
            </w:pPr>
            <w:r>
              <w:rPr>
                <w:color w:val="000000"/>
              </w:rPr>
              <w:t>Verified</w:t>
            </w:r>
          </w:p>
        </w:tc>
      </w:tr>
      <w:tr w:rsidRPr="007F620E" w:rsidR="00136099" w:rsidTr="00180E8C" w14:paraId="406BCA3A" w14:textId="77777777">
        <w:tc>
          <w:tcPr>
            <w:tcW w:w="7380" w:type="dxa"/>
            <w:gridSpan w:val="2"/>
          </w:tcPr>
          <w:p w:rsidRPr="007F620E" w:rsidR="00136099" w:rsidP="00136099" w:rsidRDefault="00136099" w14:paraId="10AF42D1" w14:textId="77777777">
            <w:pPr>
              <w:tabs>
                <w:tab w:val="left" w:pos="360"/>
              </w:tabs>
              <w:spacing w:before="120"/>
              <w:ind w:left="360" w:hanging="360"/>
              <w:rPr>
                <w:color w:val="000000"/>
              </w:rPr>
            </w:pPr>
            <w:r w:rsidRPr="007F620E">
              <w:rPr>
                <w:color w:val="000000"/>
              </w:rPr>
              <w:t>16. Was the request for compensation timely?</w:t>
            </w:r>
          </w:p>
        </w:tc>
        <w:tc>
          <w:tcPr>
            <w:tcW w:w="2340" w:type="dxa"/>
          </w:tcPr>
          <w:p w:rsidRPr="007F620E" w:rsidR="00136099" w:rsidP="00136099" w:rsidRDefault="003C3D0B" w14:paraId="2EA30E63" w14:textId="05095D5B">
            <w:pPr>
              <w:tabs>
                <w:tab w:val="left" w:pos="360"/>
              </w:tabs>
              <w:spacing w:before="120"/>
              <w:rPr>
                <w:color w:val="000000"/>
              </w:rPr>
            </w:pPr>
            <w:r>
              <w:rPr>
                <w:color w:val="000000"/>
              </w:rPr>
              <w:t>Yes</w:t>
            </w:r>
          </w:p>
        </w:tc>
      </w:tr>
    </w:tbl>
    <w:p w:rsidRPr="007F620E" w:rsidR="00A92D0B" w:rsidRDefault="00A92D0B" w14:paraId="0239D9E2" w14:textId="77777777">
      <w:pPr>
        <w:tabs>
          <w:tab w:val="left" w:pos="360"/>
        </w:tabs>
        <w:rPr>
          <w:b/>
          <w:color w:val="000000"/>
        </w:rPr>
      </w:pPr>
    </w:p>
    <w:p w:rsidRPr="007F620E" w:rsidR="00A92D0B" w:rsidRDefault="00A92D0B" w14:paraId="0068592B" w14:textId="79857781">
      <w:pPr>
        <w:numPr>
          <w:ilvl w:val="0"/>
          <w:numId w:val="5"/>
        </w:numPr>
        <w:rPr>
          <w:b/>
          <w:color w:val="000000"/>
        </w:rPr>
      </w:pPr>
      <w:r w:rsidRPr="007F620E">
        <w:rPr>
          <w:b/>
          <w:color w:val="000000"/>
        </w:rPr>
        <w:t>Additional Comments on Part I</w:t>
      </w:r>
      <w:r w:rsidR="00C02649">
        <w:rPr>
          <w:b/>
          <w:color w:val="000000"/>
        </w:rPr>
        <w:t>:</w:t>
      </w:r>
      <w:r w:rsidRPr="007F620E">
        <w:rPr>
          <w:b/>
          <w:color w:val="000000"/>
        </w:rPr>
        <w:t xml:space="preserve"> </w:t>
      </w:r>
    </w:p>
    <w:p w:rsidRPr="007F620E" w:rsidR="00A92D0B" w:rsidRDefault="00A92D0B" w14:paraId="3E318497" w14:textId="77777777">
      <w:pPr>
        <w:tabs>
          <w:tab w:val="left" w:pos="360"/>
        </w:tabs>
        <w:rPr>
          <w:color w:val="000000"/>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2"/>
        <w:gridCol w:w="3896"/>
        <w:gridCol w:w="4950"/>
      </w:tblGrid>
      <w:tr w:rsidRPr="007F620E" w:rsidR="003C608A" w:rsidTr="003B6A1B" w14:paraId="046F77BA" w14:textId="77777777">
        <w:trPr>
          <w:trHeight w:val="589"/>
        </w:trPr>
        <w:tc>
          <w:tcPr>
            <w:tcW w:w="892" w:type="dxa"/>
            <w:tcBorders>
              <w:bottom w:val="single" w:color="auto" w:sz="4" w:space="0"/>
            </w:tcBorders>
            <w:shd w:val="clear" w:color="auto" w:fill="D9D9D9" w:themeFill="background1" w:themeFillShade="D9"/>
          </w:tcPr>
          <w:p w:rsidRPr="007F620E" w:rsidR="003C608A" w:rsidP="00A92D0B" w:rsidRDefault="003C608A" w14:paraId="0CB867A6" w14:textId="77777777">
            <w:pPr>
              <w:tabs>
                <w:tab w:val="left" w:pos="360"/>
              </w:tabs>
              <w:spacing w:before="120"/>
              <w:jc w:val="center"/>
              <w:rPr>
                <w:b/>
                <w:color w:val="000000"/>
              </w:rPr>
            </w:pPr>
            <w:r w:rsidRPr="007F620E">
              <w:rPr>
                <w:b/>
                <w:color w:val="000000"/>
              </w:rPr>
              <w:t>#</w:t>
            </w:r>
          </w:p>
        </w:tc>
        <w:tc>
          <w:tcPr>
            <w:tcW w:w="3896" w:type="dxa"/>
            <w:tcBorders>
              <w:bottom w:val="single" w:color="auto" w:sz="4" w:space="0"/>
            </w:tcBorders>
            <w:shd w:val="clear" w:color="auto" w:fill="D9D9D9" w:themeFill="background1" w:themeFillShade="D9"/>
          </w:tcPr>
          <w:p w:rsidRPr="007F620E" w:rsidR="003C608A" w:rsidP="00A92D0B" w:rsidRDefault="003C608A" w14:paraId="196D09DF" w14:textId="77777777">
            <w:pPr>
              <w:tabs>
                <w:tab w:val="left" w:pos="360"/>
              </w:tabs>
              <w:spacing w:before="120"/>
              <w:jc w:val="center"/>
              <w:rPr>
                <w:b/>
                <w:color w:val="000000"/>
              </w:rPr>
            </w:pPr>
            <w:r w:rsidRPr="007F620E">
              <w:rPr>
                <w:b/>
                <w:color w:val="000000"/>
              </w:rPr>
              <w:t>Intervenor’s Comment(s)</w:t>
            </w:r>
          </w:p>
        </w:tc>
        <w:tc>
          <w:tcPr>
            <w:tcW w:w="4950" w:type="dxa"/>
            <w:shd w:val="clear" w:color="auto" w:fill="D9D9D9" w:themeFill="background1" w:themeFillShade="D9"/>
          </w:tcPr>
          <w:p w:rsidRPr="007F620E" w:rsidR="003C608A" w:rsidP="00A92D0B" w:rsidRDefault="003C608A" w14:paraId="07207D31" w14:textId="77777777">
            <w:pPr>
              <w:tabs>
                <w:tab w:val="left" w:pos="360"/>
              </w:tabs>
              <w:spacing w:before="120"/>
              <w:jc w:val="center"/>
              <w:rPr>
                <w:b/>
                <w:color w:val="000000"/>
              </w:rPr>
            </w:pPr>
            <w:r w:rsidRPr="007F620E">
              <w:rPr>
                <w:b/>
                <w:color w:val="000000"/>
              </w:rPr>
              <w:t>CPUC Discussion</w:t>
            </w:r>
          </w:p>
        </w:tc>
      </w:tr>
      <w:tr w:rsidRPr="007F620E" w:rsidR="003C608A" w:rsidTr="003C3D0B" w14:paraId="1C6180A4" w14:textId="77777777">
        <w:trPr>
          <w:trHeight w:val="67"/>
        </w:trPr>
        <w:tc>
          <w:tcPr>
            <w:tcW w:w="892" w:type="dxa"/>
          </w:tcPr>
          <w:p w:rsidRPr="007F620E" w:rsidR="003C608A" w:rsidP="00A92D0B" w:rsidRDefault="00964140" w14:paraId="4350D384" w14:textId="7AFDE469">
            <w:pPr>
              <w:tabs>
                <w:tab w:val="left" w:pos="360"/>
              </w:tabs>
              <w:spacing w:before="120"/>
              <w:rPr>
                <w:color w:val="000000"/>
              </w:rPr>
            </w:pPr>
            <w:r>
              <w:rPr>
                <w:color w:val="000000"/>
              </w:rPr>
              <w:t>1</w:t>
            </w:r>
          </w:p>
        </w:tc>
        <w:tc>
          <w:tcPr>
            <w:tcW w:w="3896" w:type="dxa"/>
          </w:tcPr>
          <w:p w:rsidRPr="007F620E" w:rsidR="003C608A" w:rsidP="00A92D0B" w:rsidRDefault="00D92541" w14:paraId="0ECF4A98" w14:textId="3289CCE6">
            <w:pPr>
              <w:tabs>
                <w:tab w:val="left" w:pos="360"/>
              </w:tabs>
              <w:spacing w:before="120"/>
              <w:rPr>
                <w:color w:val="000000"/>
              </w:rPr>
            </w:pPr>
            <w:r w:rsidRPr="00F4331A">
              <w:t>The Order Instituting Rulemaking states “</w:t>
            </w:r>
            <w:r w:rsidRPr="00F4331A">
              <w:rPr>
                <w:rStyle w:val="markedcontent"/>
              </w:rPr>
              <w:t xml:space="preserve">Any party that expects to claim intervenor compensation for its participation in this Rulemaking must file its notice of intent to claim intervenor compensation within 30 days of the deadline for filing of reply comments, except that notice may be filed within 30 days of a prehearing conference in the event that one is held.” (Ordering Paragraph 11) The deadline for filing reply comments was March 6, </w:t>
            </w:r>
            <w:proofErr w:type="gramStart"/>
            <w:r w:rsidRPr="00F4331A">
              <w:rPr>
                <w:rStyle w:val="markedcontent"/>
              </w:rPr>
              <w:t>2023</w:t>
            </w:r>
            <w:proofErr w:type="gramEnd"/>
            <w:r>
              <w:rPr>
                <w:rStyle w:val="markedcontent"/>
              </w:rPr>
              <w:t xml:space="preserve"> and TURN’s Notice of Intent was filed on March 8</w:t>
            </w:r>
            <w:r w:rsidR="00635DED">
              <w:rPr>
                <w:rStyle w:val="markedcontent"/>
              </w:rPr>
              <w:t>, 2023</w:t>
            </w:r>
            <w:r>
              <w:rPr>
                <w:rStyle w:val="markedcontent"/>
              </w:rPr>
              <w:t>.</w:t>
            </w:r>
          </w:p>
        </w:tc>
        <w:tc>
          <w:tcPr>
            <w:tcW w:w="4950" w:type="dxa"/>
          </w:tcPr>
          <w:p w:rsidRPr="007F620E" w:rsidR="003C608A" w:rsidP="00A92D0B" w:rsidRDefault="003C3D0B" w14:paraId="416D6250" w14:textId="3813D6FF">
            <w:pPr>
              <w:tabs>
                <w:tab w:val="left" w:pos="360"/>
              </w:tabs>
              <w:spacing w:before="120"/>
              <w:rPr>
                <w:color w:val="000000"/>
              </w:rPr>
            </w:pPr>
            <w:r>
              <w:rPr>
                <w:color w:val="000000"/>
              </w:rPr>
              <w:t>Noted</w:t>
            </w:r>
          </w:p>
        </w:tc>
      </w:tr>
    </w:tbl>
    <w:p w:rsidR="0047548B" w:rsidRDefault="0047548B" w14:paraId="7E9C67DA" w14:textId="38114C7C">
      <w:pPr>
        <w:rPr>
          <w:b/>
          <w:color w:val="000000"/>
        </w:rPr>
      </w:pPr>
    </w:p>
    <w:p w:rsidR="003B6A1B" w:rsidP="00691528" w:rsidRDefault="00A92D0B" w14:paraId="501B5F3D" w14:textId="1C72E3DD">
      <w:pPr>
        <w:jc w:val="center"/>
        <w:rPr>
          <w:b/>
          <w:color w:val="000000"/>
        </w:rPr>
      </w:pPr>
      <w:r w:rsidRPr="007F620E">
        <w:rPr>
          <w:b/>
          <w:color w:val="000000"/>
        </w:rPr>
        <w:t>PART II</w:t>
      </w:r>
      <w:proofErr w:type="gramStart"/>
      <w:r w:rsidRPr="007F620E">
        <w:rPr>
          <w:b/>
          <w:color w:val="000000"/>
        </w:rPr>
        <w:t>:  SUBSTANTIAL</w:t>
      </w:r>
      <w:proofErr w:type="gramEnd"/>
      <w:r w:rsidRPr="007F620E">
        <w:rPr>
          <w:b/>
          <w:color w:val="000000"/>
        </w:rPr>
        <w:t xml:space="preserve"> CONTRIBUTION</w:t>
      </w:r>
    </w:p>
    <w:p w:rsidRPr="007F620E" w:rsidR="00A92D0B" w:rsidRDefault="00A92D0B" w14:paraId="341C0F1E" w14:textId="77777777">
      <w:pPr>
        <w:rPr>
          <w:color w:val="000000"/>
        </w:rPr>
      </w:pPr>
    </w:p>
    <w:p w:rsidRPr="00004E34" w:rsidR="00FE3BAE" w:rsidP="009476DA" w:rsidRDefault="00D075B1" w14:paraId="54593213" w14:textId="4C400723">
      <w:pPr>
        <w:numPr>
          <w:ilvl w:val="0"/>
          <w:numId w:val="1"/>
        </w:numPr>
        <w:tabs>
          <w:tab w:val="clear" w:pos="900"/>
          <w:tab w:val="num" w:pos="360"/>
        </w:tabs>
        <w:spacing w:after="120"/>
        <w:ind w:left="360"/>
        <w:rPr>
          <w:b/>
          <w:color w:val="000000"/>
        </w:rPr>
      </w:pPr>
      <w:r w:rsidRPr="00004E34">
        <w:rPr>
          <w:b/>
          <w:color w:val="000000"/>
        </w:rPr>
        <w:t xml:space="preserve">Did the </w:t>
      </w:r>
      <w:r w:rsidRPr="00004E34" w:rsidR="005A63D4">
        <w:rPr>
          <w:b/>
          <w:color w:val="000000"/>
        </w:rPr>
        <w:t>Intervenor</w:t>
      </w:r>
      <w:r w:rsidRPr="00004E34">
        <w:rPr>
          <w:b/>
          <w:color w:val="000000"/>
        </w:rPr>
        <w:t xml:space="preserve"> substantially contribute to the final decision</w:t>
      </w:r>
      <w:r w:rsidRPr="00004E34" w:rsidR="00A92D0B">
        <w:rPr>
          <w:b/>
          <w:color w:val="000000"/>
        </w:rPr>
        <w:t xml:space="preserve"> (</w:t>
      </w:r>
      <w:r w:rsidRPr="00004E34" w:rsidR="00A92D0B">
        <w:rPr>
          <w:b/>
          <w:i/>
          <w:color w:val="000000"/>
        </w:rPr>
        <w:t>see</w:t>
      </w:r>
      <w:r w:rsidRPr="00004E34" w:rsidR="00A92D0B">
        <w:rPr>
          <w:b/>
          <w:color w:val="000000"/>
        </w:rPr>
        <w:t xml:space="preserve"> § 1802(</w:t>
      </w:r>
      <w:r w:rsidRPr="00004E34" w:rsidR="00ED6B6B">
        <w:rPr>
          <w:b/>
          <w:color w:val="000000"/>
        </w:rPr>
        <w:t>j</w:t>
      </w:r>
      <w:r w:rsidRPr="00004E34" w:rsidR="00A92D0B">
        <w:rPr>
          <w:b/>
          <w:color w:val="000000"/>
        </w:rPr>
        <w:t xml:space="preserve">), </w:t>
      </w:r>
      <w:r w:rsidRPr="00004E34" w:rsidR="001E77CF">
        <w:rPr>
          <w:b/>
          <w:color w:val="000000"/>
        </w:rPr>
        <w:br/>
      </w:r>
      <w:r w:rsidRPr="00004E34" w:rsidR="00A92D0B">
        <w:rPr>
          <w:b/>
          <w:color w:val="000000"/>
        </w:rPr>
        <w:t>§ 1803(a)</w:t>
      </w:r>
      <w:r w:rsidRPr="00004E34" w:rsidR="00F30DA8">
        <w:rPr>
          <w:b/>
          <w:color w:val="000000"/>
        </w:rPr>
        <w:t>,</w:t>
      </w:r>
      <w:r w:rsidRPr="00004E34" w:rsidR="00A92D0B">
        <w:rPr>
          <w:b/>
          <w:color w:val="000000"/>
        </w:rPr>
        <w:t xml:space="preserve"> </w:t>
      </w:r>
      <w:r w:rsidRPr="00004E34" w:rsidR="00ED6B6B">
        <w:rPr>
          <w:b/>
          <w:color w:val="000000"/>
        </w:rPr>
        <w:t xml:space="preserve">1803.1(a) </w:t>
      </w:r>
      <w:r w:rsidRPr="00004E34" w:rsidR="00F30DA8">
        <w:rPr>
          <w:b/>
          <w:color w:val="000000"/>
        </w:rPr>
        <w:t>and</w:t>
      </w:r>
      <w:r w:rsidRPr="00004E34" w:rsidR="00A92D0B">
        <w:rPr>
          <w:b/>
          <w:color w:val="000000"/>
        </w:rPr>
        <w:t xml:space="preserve"> D.98-04-059)</w:t>
      </w:r>
      <w:r w:rsidRPr="00004E34" w:rsidR="00C02649">
        <w:rPr>
          <w:b/>
          <w:color w:val="000000"/>
        </w:rPr>
        <w:t>:</w:t>
      </w:r>
      <w:r w:rsidRPr="00004E34"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8"/>
        <w:gridCol w:w="4140"/>
        <w:gridCol w:w="2340"/>
      </w:tblGrid>
      <w:tr w:rsidRPr="007F620E" w:rsidR="00A92D0B" w:rsidTr="00B00BCD" w14:paraId="67755362" w14:textId="77777777">
        <w:tc>
          <w:tcPr>
            <w:tcW w:w="3258" w:type="dxa"/>
            <w:tcBorders>
              <w:bottom w:val="single" w:color="auto" w:sz="4" w:space="0"/>
            </w:tcBorders>
            <w:shd w:val="pct12" w:color="auto" w:fill="auto"/>
          </w:tcPr>
          <w:p w:rsidRPr="007F620E" w:rsidR="00A92D0B" w:rsidP="00A92D0B" w:rsidRDefault="00D075B1" w14:paraId="7CE2E5BB" w14:textId="77777777">
            <w:pPr>
              <w:spacing w:before="120"/>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tcPr>
          <w:p w:rsidRPr="007F620E" w:rsidR="00A92D0B" w:rsidP="00D075B1" w:rsidRDefault="00A92D0B" w14:paraId="2794272E" w14:textId="77777777">
            <w:pPr>
              <w:spacing w:before="120"/>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tcPr>
          <w:p w:rsidRPr="007F620E" w:rsidR="00A92D0B" w:rsidP="00A92D0B" w:rsidRDefault="00D075B1" w14:paraId="79AFC714" w14:textId="77777777">
            <w:pPr>
              <w:spacing w:before="120"/>
              <w:jc w:val="center"/>
              <w:rPr>
                <w:b/>
                <w:color w:val="000000"/>
              </w:rPr>
            </w:pPr>
            <w:r w:rsidRPr="007F620E">
              <w:rPr>
                <w:b/>
                <w:color w:val="000000"/>
              </w:rPr>
              <w:t>CPUC Discussion</w:t>
            </w:r>
          </w:p>
        </w:tc>
      </w:tr>
      <w:tr w:rsidRPr="007F620E" w:rsidR="00BC7A19" w:rsidTr="006020AD" w14:paraId="549C5746" w14:textId="77777777">
        <w:tc>
          <w:tcPr>
            <w:tcW w:w="3258" w:type="dxa"/>
          </w:tcPr>
          <w:p w:rsidRPr="00BC7A19" w:rsidR="00BC7A19" w:rsidP="00205B01" w:rsidRDefault="00BC7A19" w14:paraId="3AE1099D" w14:textId="6D9AED19">
            <w:pPr>
              <w:spacing w:before="100" w:beforeAutospacing="1" w:after="100" w:afterAutospacing="1"/>
              <w:rPr>
                <w:b/>
                <w:color w:val="000000"/>
              </w:rPr>
            </w:pPr>
            <w:r w:rsidRPr="00BC7A19">
              <w:rPr>
                <w:b/>
                <w:color w:val="000000"/>
              </w:rPr>
              <w:t xml:space="preserve">1. </w:t>
            </w:r>
            <w:r w:rsidR="00C7013A">
              <w:rPr>
                <w:b/>
                <w:color w:val="000000"/>
              </w:rPr>
              <w:t>FRAMEWORK</w:t>
            </w:r>
            <w:r w:rsidR="002845EF">
              <w:rPr>
                <w:b/>
                <w:color w:val="000000"/>
              </w:rPr>
              <w:t xml:space="preserve"> / </w:t>
            </w:r>
            <w:r w:rsidR="00C2409E">
              <w:rPr>
                <w:b/>
                <w:color w:val="000000"/>
              </w:rPr>
              <w:t>Submission of VPF Spending Plans via Application</w:t>
            </w:r>
          </w:p>
          <w:p w:rsidR="002845EF" w:rsidP="00205B01" w:rsidRDefault="00BC7A19" w14:paraId="358E7FB9" w14:textId="5D982717">
            <w:pPr>
              <w:spacing w:before="100" w:beforeAutospacing="1" w:after="100" w:afterAutospacing="1"/>
              <w:rPr>
                <w:bCs/>
                <w:color w:val="000000"/>
              </w:rPr>
            </w:pPr>
            <w:r w:rsidRPr="00BC7A19">
              <w:rPr>
                <w:bCs/>
                <w:color w:val="000000"/>
              </w:rPr>
              <w:t xml:space="preserve">TURN urged the Commission to </w:t>
            </w:r>
            <w:r w:rsidR="002845EF">
              <w:rPr>
                <w:bCs/>
                <w:color w:val="000000"/>
              </w:rPr>
              <w:t xml:space="preserve">reject PG&amp;E’s proposal to use an Advice Letter for proposing VPF spending plans and reporting on recorded expenditures. TURN argued </w:t>
            </w:r>
            <w:r w:rsidR="002845EF">
              <w:rPr>
                <w:bCs/>
                <w:color w:val="000000"/>
              </w:rPr>
              <w:lastRenderedPageBreak/>
              <w:t>that the Advice Letter process is inappropriate because it would deny parties due process and prevent meaningful Commission review.</w:t>
            </w:r>
          </w:p>
          <w:p w:rsidRPr="00BC7A19" w:rsidR="00BC7A19" w:rsidP="00205B01" w:rsidRDefault="002845EF" w14:paraId="7273DC89" w14:textId="4F39A4ED">
            <w:pPr>
              <w:spacing w:before="100" w:beforeAutospacing="1" w:after="100" w:afterAutospacing="1"/>
              <w:rPr>
                <w:bCs/>
                <w:color w:val="000000"/>
              </w:rPr>
            </w:pPr>
            <w:r>
              <w:rPr>
                <w:bCs/>
                <w:color w:val="000000"/>
              </w:rPr>
              <w:t>The Decision upholds the prior determinations (from D.23-12-036 and D.24-12-033) that VPF spending plans and reporting should occur through an annual application.</w:t>
            </w:r>
          </w:p>
        </w:tc>
        <w:tc>
          <w:tcPr>
            <w:tcW w:w="4140" w:type="dxa"/>
          </w:tcPr>
          <w:p w:rsidRPr="00BC7A19" w:rsidR="00BC7A19" w:rsidP="00A92D0B" w:rsidRDefault="00BC7A19" w14:paraId="7FBFA3BF" w14:textId="77777777">
            <w:pPr>
              <w:spacing w:before="120"/>
              <w:rPr>
                <w:color w:val="000000"/>
                <w:u w:val="single"/>
              </w:rPr>
            </w:pPr>
          </w:p>
          <w:p w:rsidR="009920CE" w:rsidP="00A92D0B" w:rsidRDefault="009920CE" w14:paraId="4DE9B595" w14:textId="77777777">
            <w:pPr>
              <w:spacing w:before="120"/>
              <w:rPr>
                <w:color w:val="000000"/>
                <w:u w:val="single"/>
              </w:rPr>
            </w:pPr>
          </w:p>
          <w:p w:rsidR="007B6D90" w:rsidP="00A92D0B" w:rsidRDefault="007B6D90" w14:paraId="5D81E9B8" w14:textId="77777777">
            <w:pPr>
              <w:spacing w:before="120"/>
              <w:rPr>
                <w:color w:val="000000"/>
                <w:u w:val="single"/>
              </w:rPr>
            </w:pPr>
          </w:p>
          <w:p w:rsidR="002845EF" w:rsidP="00A92D0B" w:rsidRDefault="002845EF" w14:paraId="7A25AA3A" w14:textId="7DC9F7CB">
            <w:pPr>
              <w:spacing w:before="120"/>
              <w:rPr>
                <w:color w:val="000000"/>
                <w:u w:val="single"/>
              </w:rPr>
            </w:pPr>
            <w:r>
              <w:rPr>
                <w:color w:val="000000"/>
                <w:u w:val="single"/>
              </w:rPr>
              <w:t>TURN opening comments on Proposals for the Use of Volumetric Performance Fees, September 19, 2024, pages 7-8</w:t>
            </w:r>
          </w:p>
          <w:p w:rsidRPr="00BC7A19" w:rsidR="002845EF" w:rsidP="00A92D0B" w:rsidRDefault="002845EF" w14:paraId="474CD688" w14:textId="07F5C225">
            <w:pPr>
              <w:spacing w:before="120"/>
              <w:rPr>
                <w:color w:val="000000"/>
                <w:u w:val="single"/>
              </w:rPr>
            </w:pPr>
            <w:r>
              <w:rPr>
                <w:color w:val="000000"/>
                <w:u w:val="single"/>
              </w:rPr>
              <w:lastRenderedPageBreak/>
              <w:t>TURN reply comments on Proposals for the Use of Volumetric Performance Fees, October 3, 2024, pages 18-21</w:t>
            </w:r>
          </w:p>
          <w:p w:rsidRPr="00BC7A19" w:rsidR="00BC7A19" w:rsidP="00A92D0B" w:rsidRDefault="00BC7A19" w14:paraId="42DC0575" w14:textId="77777777">
            <w:pPr>
              <w:spacing w:before="120"/>
              <w:rPr>
                <w:color w:val="000000"/>
                <w:u w:val="single"/>
              </w:rPr>
            </w:pPr>
          </w:p>
          <w:p w:rsidRPr="00BC7A19" w:rsidR="00BC7A19" w:rsidP="00BC7A19" w:rsidRDefault="00BC7A19" w14:paraId="72DA6AF2" w14:textId="77777777">
            <w:pPr>
              <w:pStyle w:val="NormalWeb"/>
              <w:rPr>
                <w:sz w:val="22"/>
                <w:szCs w:val="22"/>
              </w:rPr>
            </w:pPr>
          </w:p>
          <w:p w:rsidR="00913369" w:rsidP="00BC7A19" w:rsidRDefault="00913369" w14:paraId="55273E31" w14:textId="77777777">
            <w:pPr>
              <w:pStyle w:val="NormalWeb"/>
              <w:rPr>
                <w:u w:val="single"/>
              </w:rPr>
            </w:pPr>
          </w:p>
          <w:p w:rsidR="002845EF" w:rsidP="002845EF" w:rsidRDefault="002845EF" w14:paraId="34D929EE" w14:textId="77777777">
            <w:pPr>
              <w:pStyle w:val="NormalWeb"/>
              <w:rPr>
                <w:u w:val="single"/>
              </w:rPr>
            </w:pPr>
          </w:p>
          <w:p w:rsidRPr="00BC7A19" w:rsidR="00BC7A19" w:rsidP="002845EF" w:rsidRDefault="002845EF" w14:paraId="61E066EF" w14:textId="6DE08E2E">
            <w:pPr>
              <w:pStyle w:val="NormalWeb"/>
              <w:rPr>
                <w:color w:val="000000"/>
                <w:u w:val="single"/>
              </w:rPr>
            </w:pPr>
            <w:r>
              <w:rPr>
                <w:u w:val="single"/>
              </w:rPr>
              <w:t>D. 25-06-002, pages 8-9, Conclusion of Law 1.</w:t>
            </w:r>
          </w:p>
        </w:tc>
        <w:tc>
          <w:tcPr>
            <w:tcW w:w="2340" w:type="dxa"/>
          </w:tcPr>
          <w:p w:rsidRPr="007F620E" w:rsidR="00BC7A19" w:rsidP="00A92D0B" w:rsidRDefault="006020AD" w14:paraId="78D9BFB4" w14:textId="33EC7B25">
            <w:pPr>
              <w:spacing w:before="120"/>
              <w:rPr>
                <w:color w:val="000000"/>
              </w:rPr>
            </w:pPr>
            <w:r>
              <w:rPr>
                <w:color w:val="000000"/>
              </w:rPr>
              <w:lastRenderedPageBreak/>
              <w:t>Verified</w:t>
            </w:r>
          </w:p>
        </w:tc>
      </w:tr>
      <w:tr w:rsidRPr="007F620E" w:rsidR="004940F7" w:rsidTr="006020AD" w14:paraId="592A034E" w14:textId="77777777">
        <w:tc>
          <w:tcPr>
            <w:tcW w:w="3258" w:type="dxa"/>
          </w:tcPr>
          <w:p w:rsidR="004940F7" w:rsidP="00205B01" w:rsidRDefault="00EE6F3F" w14:paraId="311054C6" w14:textId="0A5DAD40">
            <w:pPr>
              <w:spacing w:before="100" w:beforeAutospacing="1" w:after="100" w:afterAutospacing="1"/>
              <w:rPr>
                <w:b/>
                <w:color w:val="000000"/>
              </w:rPr>
            </w:pPr>
            <w:r>
              <w:rPr>
                <w:b/>
                <w:color w:val="000000"/>
              </w:rPr>
              <w:t>2</w:t>
            </w:r>
            <w:r w:rsidR="004940F7">
              <w:rPr>
                <w:b/>
                <w:color w:val="000000"/>
              </w:rPr>
              <w:t xml:space="preserve">. </w:t>
            </w:r>
            <w:r w:rsidR="00283F49">
              <w:rPr>
                <w:b/>
                <w:color w:val="000000"/>
              </w:rPr>
              <w:t xml:space="preserve">FRAMEWORK / </w:t>
            </w:r>
            <w:r w:rsidR="00DD7DB3">
              <w:rPr>
                <w:b/>
                <w:color w:val="000000"/>
              </w:rPr>
              <w:t>Escalation rate for VPFs</w:t>
            </w:r>
          </w:p>
          <w:p w:rsidR="00DD7DB3" w:rsidP="00205B01" w:rsidRDefault="00F63FEA" w14:paraId="4B2CC37A" w14:textId="55EF0A42">
            <w:pPr>
              <w:spacing w:before="100" w:beforeAutospacing="1" w:after="100" w:afterAutospacing="1"/>
              <w:rPr>
                <w:bCs/>
                <w:color w:val="000000"/>
              </w:rPr>
            </w:pPr>
            <w:r>
              <w:rPr>
                <w:bCs/>
                <w:color w:val="000000"/>
              </w:rPr>
              <w:t>TURN opposed SBUA’s proposal to escalate VPFs at 3% annually through 2030. TURN noted that the labor escalator relied upon by SBUA to support this rate is inappropriate and that changes in generation are more important to overall collections. TURN also explained that the escalator would raise VPFs above levels proposed by PG&amp;E.</w:t>
            </w:r>
          </w:p>
          <w:p w:rsidRPr="00C7021A" w:rsidR="00C7021A" w:rsidP="00205B01" w:rsidRDefault="00DD7DB3" w14:paraId="303FB6F4" w14:textId="1ACC8DA9">
            <w:pPr>
              <w:spacing w:before="100" w:beforeAutospacing="1" w:after="100" w:afterAutospacing="1"/>
              <w:rPr>
                <w:bCs/>
                <w:color w:val="000000"/>
              </w:rPr>
            </w:pPr>
            <w:r>
              <w:rPr>
                <w:bCs/>
                <w:color w:val="000000"/>
              </w:rPr>
              <w:t>The Decision agrees with TURN’s “valid concerns about SBUA’s proposal” and rejects the proposed escalation methodology.</w:t>
            </w:r>
          </w:p>
        </w:tc>
        <w:tc>
          <w:tcPr>
            <w:tcW w:w="4140" w:type="dxa"/>
          </w:tcPr>
          <w:p w:rsidR="004940F7" w:rsidP="00A92D0B" w:rsidRDefault="004940F7" w14:paraId="4BA0D9AF" w14:textId="77777777">
            <w:pPr>
              <w:spacing w:before="120"/>
              <w:rPr>
                <w:color w:val="000000"/>
                <w:u w:val="single"/>
              </w:rPr>
            </w:pPr>
          </w:p>
          <w:p w:rsidR="00CC6E42" w:rsidP="00A92D0B" w:rsidRDefault="00CC6E42" w14:paraId="4BA33312" w14:textId="77777777">
            <w:pPr>
              <w:spacing w:before="120"/>
              <w:rPr>
                <w:color w:val="000000"/>
                <w:u w:val="single"/>
              </w:rPr>
            </w:pPr>
          </w:p>
          <w:p w:rsidR="00D62CF7" w:rsidP="00ED5C66" w:rsidRDefault="00D62CF7" w14:paraId="6BB685D5" w14:textId="77777777">
            <w:pPr>
              <w:spacing w:before="120"/>
              <w:rPr>
                <w:color w:val="000000"/>
                <w:u w:val="single"/>
              </w:rPr>
            </w:pPr>
          </w:p>
          <w:p w:rsidR="00F63FEA" w:rsidP="00F63FEA" w:rsidRDefault="00F63FEA" w14:paraId="3BBE8466" w14:textId="2AB3E41E">
            <w:pPr>
              <w:spacing w:before="120"/>
              <w:rPr>
                <w:color w:val="000000"/>
                <w:u w:val="single"/>
              </w:rPr>
            </w:pPr>
            <w:r>
              <w:rPr>
                <w:color w:val="000000"/>
                <w:u w:val="single"/>
              </w:rPr>
              <w:t>TURN opening comments on Proposals for the Use of Volumetric Performance Fees, September 19, 2024, pages 1-2</w:t>
            </w:r>
          </w:p>
          <w:p w:rsidR="00283F49" w:rsidP="00ED5C66" w:rsidRDefault="00283F49" w14:paraId="60BE281B" w14:textId="77777777">
            <w:pPr>
              <w:spacing w:before="120"/>
              <w:rPr>
                <w:color w:val="000000"/>
                <w:u w:val="single"/>
              </w:rPr>
            </w:pPr>
          </w:p>
          <w:p w:rsidR="007B6D90" w:rsidP="00ED5C66" w:rsidRDefault="007B6D90" w14:paraId="26AC182D" w14:textId="77777777">
            <w:pPr>
              <w:spacing w:before="120"/>
              <w:rPr>
                <w:color w:val="000000"/>
                <w:u w:val="single"/>
              </w:rPr>
            </w:pPr>
          </w:p>
          <w:p w:rsidR="007B6D90" w:rsidP="00ED5C66" w:rsidRDefault="007B6D90" w14:paraId="28D8FE4E" w14:textId="77777777">
            <w:pPr>
              <w:spacing w:before="120"/>
              <w:rPr>
                <w:color w:val="000000"/>
                <w:u w:val="single"/>
              </w:rPr>
            </w:pPr>
          </w:p>
          <w:p w:rsidR="007B6D90" w:rsidP="00ED5C66" w:rsidRDefault="007B6D90" w14:paraId="5E9BA8D0" w14:textId="77777777">
            <w:pPr>
              <w:spacing w:before="120"/>
              <w:rPr>
                <w:color w:val="000000"/>
                <w:u w:val="single"/>
              </w:rPr>
            </w:pPr>
          </w:p>
          <w:p w:rsidR="007B6D90" w:rsidP="00ED5C66" w:rsidRDefault="007B6D90" w14:paraId="0FC626B2" w14:textId="77777777">
            <w:pPr>
              <w:spacing w:before="120"/>
              <w:rPr>
                <w:color w:val="000000"/>
                <w:u w:val="single"/>
              </w:rPr>
            </w:pPr>
          </w:p>
          <w:p w:rsidR="007B6D90" w:rsidP="00ED5C66" w:rsidRDefault="007B6D90" w14:paraId="5689F507" w14:textId="77777777">
            <w:pPr>
              <w:spacing w:before="120"/>
              <w:rPr>
                <w:color w:val="000000"/>
                <w:u w:val="single"/>
              </w:rPr>
            </w:pPr>
          </w:p>
          <w:p w:rsidR="007B6D90" w:rsidP="00ED5C66" w:rsidRDefault="007B6D90" w14:paraId="15B53554" w14:textId="77777777">
            <w:pPr>
              <w:spacing w:before="120"/>
              <w:rPr>
                <w:color w:val="000000"/>
                <w:u w:val="single"/>
              </w:rPr>
            </w:pPr>
          </w:p>
          <w:p w:rsidRPr="00BC37EB" w:rsidR="00283F49" w:rsidP="00283F49" w:rsidRDefault="00283F49" w14:paraId="6FB0B116" w14:textId="349222E3">
            <w:pPr>
              <w:spacing w:before="120"/>
              <w:rPr>
                <w:color w:val="000000"/>
                <w:u w:val="single"/>
              </w:rPr>
            </w:pPr>
            <w:r>
              <w:rPr>
                <w:u w:val="single"/>
              </w:rPr>
              <w:t>D. 25-06-002, pages 17-19</w:t>
            </w:r>
          </w:p>
          <w:p w:rsidRPr="00BC37EB" w:rsidR="00CC6E42" w:rsidP="00A92D0B" w:rsidRDefault="00CC6E42" w14:paraId="175A826A" w14:textId="68867BE5">
            <w:pPr>
              <w:spacing w:before="120"/>
              <w:rPr>
                <w:color w:val="000000"/>
                <w:u w:val="single"/>
              </w:rPr>
            </w:pPr>
          </w:p>
        </w:tc>
        <w:tc>
          <w:tcPr>
            <w:tcW w:w="2340" w:type="dxa"/>
          </w:tcPr>
          <w:p w:rsidRPr="007F620E" w:rsidR="004940F7" w:rsidP="00A92D0B" w:rsidRDefault="006020AD" w14:paraId="0649D2D6" w14:textId="613A8231">
            <w:pPr>
              <w:spacing w:before="120"/>
              <w:rPr>
                <w:color w:val="000000"/>
              </w:rPr>
            </w:pPr>
            <w:r>
              <w:rPr>
                <w:color w:val="000000"/>
              </w:rPr>
              <w:t>Verified</w:t>
            </w:r>
          </w:p>
        </w:tc>
      </w:tr>
      <w:tr w:rsidRPr="007F620E" w:rsidR="004940F7" w:rsidTr="00525CD2" w14:paraId="3D0C28A2" w14:textId="77777777">
        <w:tc>
          <w:tcPr>
            <w:tcW w:w="3258" w:type="dxa"/>
          </w:tcPr>
          <w:p w:rsidR="004940F7" w:rsidP="00205B01" w:rsidRDefault="00EE6F3F" w14:paraId="72582BCC" w14:textId="4641C1FF">
            <w:pPr>
              <w:spacing w:before="100" w:beforeAutospacing="1" w:after="100" w:afterAutospacing="1"/>
              <w:rPr>
                <w:b/>
                <w:color w:val="000000"/>
              </w:rPr>
            </w:pPr>
            <w:r>
              <w:rPr>
                <w:b/>
                <w:color w:val="000000"/>
              </w:rPr>
              <w:t>3</w:t>
            </w:r>
            <w:r w:rsidR="004940F7">
              <w:rPr>
                <w:b/>
                <w:color w:val="000000"/>
              </w:rPr>
              <w:t xml:space="preserve">. </w:t>
            </w:r>
            <w:r w:rsidR="00712B6C">
              <w:rPr>
                <w:b/>
                <w:color w:val="000000"/>
              </w:rPr>
              <w:t>FRAMEWORK</w:t>
            </w:r>
            <w:r w:rsidR="004940F7">
              <w:rPr>
                <w:b/>
                <w:color w:val="000000"/>
              </w:rPr>
              <w:t xml:space="preserve"> / </w:t>
            </w:r>
            <w:r w:rsidR="00E93804">
              <w:rPr>
                <w:b/>
                <w:color w:val="000000"/>
              </w:rPr>
              <w:t xml:space="preserve">SBUA </w:t>
            </w:r>
            <w:r w:rsidR="003C680D">
              <w:rPr>
                <w:b/>
                <w:color w:val="000000"/>
              </w:rPr>
              <w:t>proposals</w:t>
            </w:r>
          </w:p>
          <w:p w:rsidRPr="00820400" w:rsidR="00E93804" w:rsidP="00205B01" w:rsidRDefault="00820400" w14:paraId="634D620C" w14:textId="4EEEDA79">
            <w:pPr>
              <w:spacing w:before="100" w:beforeAutospacing="1" w:after="100" w:afterAutospacing="1"/>
              <w:rPr>
                <w:bCs/>
                <w:color w:val="000000"/>
              </w:rPr>
            </w:pPr>
            <w:r>
              <w:rPr>
                <w:bCs/>
                <w:color w:val="000000"/>
              </w:rPr>
              <w:t xml:space="preserve">TURN urged the Commission to reject several SBUA </w:t>
            </w:r>
            <w:r w:rsidR="00273A85">
              <w:rPr>
                <w:bCs/>
                <w:color w:val="000000"/>
              </w:rPr>
              <w:t xml:space="preserve">VPF </w:t>
            </w:r>
            <w:r>
              <w:rPr>
                <w:bCs/>
                <w:color w:val="000000"/>
              </w:rPr>
              <w:t xml:space="preserve">proposals including the treatment of VPFs as “pre-tax earnings” and the use of VPFs to support building decarbonization by small businesses.  </w:t>
            </w:r>
          </w:p>
          <w:p w:rsidRPr="00AC6D45" w:rsidR="00AC6D45" w:rsidP="00205B01" w:rsidRDefault="00E93804" w14:paraId="447326B5" w14:textId="3F61FF7A">
            <w:pPr>
              <w:spacing w:before="100" w:beforeAutospacing="1" w:after="100" w:afterAutospacing="1"/>
              <w:rPr>
                <w:bCs/>
                <w:color w:val="000000"/>
              </w:rPr>
            </w:pPr>
            <w:r>
              <w:rPr>
                <w:bCs/>
                <w:color w:val="000000"/>
              </w:rPr>
              <w:lastRenderedPageBreak/>
              <w:t>The Decision “agrees with TURN’s and CUE’s comments on SBUA’s proposal and declines to adopt SBUA’s recommendations.” (page 28) Specifically, the Decision states that “The Commission agrees with TURN” that VPFs should not be treated as pre-tax earnings. The Decision also finds an “insufficient justification” for prioritizing VPFs to support behind-the-meter solar and building decarbonization.</w:t>
            </w:r>
          </w:p>
        </w:tc>
        <w:tc>
          <w:tcPr>
            <w:tcW w:w="4140" w:type="dxa"/>
          </w:tcPr>
          <w:p w:rsidR="004940F7" w:rsidP="00A92D0B" w:rsidRDefault="004940F7" w14:paraId="1DF1AEFD" w14:textId="77777777">
            <w:pPr>
              <w:spacing w:before="120"/>
              <w:rPr>
                <w:color w:val="000000"/>
                <w:u w:val="single"/>
              </w:rPr>
            </w:pPr>
          </w:p>
          <w:p w:rsidR="00AC6D45" w:rsidP="00A92D0B" w:rsidRDefault="00AC6D45" w14:paraId="46513D1B" w14:textId="77777777">
            <w:pPr>
              <w:spacing w:before="120"/>
              <w:rPr>
                <w:color w:val="000000"/>
                <w:u w:val="single"/>
              </w:rPr>
            </w:pPr>
          </w:p>
          <w:p w:rsidR="00AC6D45" w:rsidP="00A92D0B" w:rsidRDefault="00AC6D45" w14:paraId="2435B232" w14:textId="77777777">
            <w:pPr>
              <w:spacing w:before="120"/>
              <w:rPr>
                <w:color w:val="000000"/>
                <w:u w:val="single"/>
              </w:rPr>
            </w:pPr>
          </w:p>
          <w:p w:rsidR="00820400" w:rsidP="00820400" w:rsidRDefault="00820400" w14:paraId="7B5E7913" w14:textId="188BF9C1">
            <w:pPr>
              <w:spacing w:before="120"/>
              <w:rPr>
                <w:color w:val="000000"/>
                <w:u w:val="single"/>
              </w:rPr>
            </w:pPr>
            <w:r>
              <w:rPr>
                <w:color w:val="000000"/>
                <w:u w:val="single"/>
              </w:rPr>
              <w:t>TURN opening comments on Proposals for the Use of Volumetric Performance Fees, September 19, 2024, pages 2-4</w:t>
            </w:r>
          </w:p>
          <w:p w:rsidR="00213EC0" w:rsidP="00A92D0B" w:rsidRDefault="00213EC0" w14:paraId="008189A3" w14:textId="77777777">
            <w:pPr>
              <w:spacing w:before="120"/>
              <w:rPr>
                <w:color w:val="000000"/>
                <w:u w:val="single"/>
              </w:rPr>
            </w:pPr>
          </w:p>
          <w:p w:rsidR="00271529" w:rsidP="00A92D0B" w:rsidRDefault="00271529" w14:paraId="139EF437" w14:textId="77777777">
            <w:pPr>
              <w:spacing w:before="120"/>
              <w:rPr>
                <w:color w:val="000000"/>
                <w:u w:val="single"/>
              </w:rPr>
            </w:pPr>
          </w:p>
          <w:p w:rsidR="00205B01" w:rsidP="00A92D0B" w:rsidRDefault="00205B01" w14:paraId="6E88BDB4" w14:textId="77777777">
            <w:pPr>
              <w:spacing w:before="120"/>
              <w:rPr>
                <w:color w:val="000000"/>
                <w:u w:val="single"/>
              </w:rPr>
            </w:pPr>
          </w:p>
          <w:p w:rsidR="00271529" w:rsidP="00A92D0B" w:rsidRDefault="00271529" w14:paraId="5C856EC2" w14:textId="77777777">
            <w:pPr>
              <w:spacing w:before="120"/>
              <w:rPr>
                <w:color w:val="000000"/>
                <w:u w:val="single"/>
              </w:rPr>
            </w:pPr>
          </w:p>
          <w:p w:rsidRPr="00BC37EB" w:rsidR="00E93804" w:rsidP="00E93804" w:rsidRDefault="00E93804" w14:paraId="212BB019" w14:textId="6414516F">
            <w:pPr>
              <w:spacing w:before="120"/>
              <w:rPr>
                <w:color w:val="000000"/>
                <w:u w:val="single"/>
              </w:rPr>
            </w:pPr>
            <w:r>
              <w:rPr>
                <w:u w:val="single"/>
              </w:rPr>
              <w:t>D. 25-06-002, pages 28-29</w:t>
            </w:r>
          </w:p>
          <w:p w:rsidRPr="00AC6D45" w:rsidR="00271529" w:rsidP="00A92D0B" w:rsidRDefault="00271529" w14:paraId="10A0BD08" w14:textId="18097F36">
            <w:pPr>
              <w:spacing w:before="120"/>
              <w:rPr>
                <w:color w:val="000000"/>
                <w:u w:val="single"/>
              </w:rPr>
            </w:pPr>
          </w:p>
        </w:tc>
        <w:tc>
          <w:tcPr>
            <w:tcW w:w="2340" w:type="dxa"/>
          </w:tcPr>
          <w:p w:rsidRPr="007F620E" w:rsidR="004940F7" w:rsidP="00A92D0B" w:rsidRDefault="00525CD2" w14:paraId="01809621" w14:textId="0636F537">
            <w:pPr>
              <w:spacing w:before="120"/>
              <w:rPr>
                <w:color w:val="000000"/>
              </w:rPr>
            </w:pPr>
            <w:r>
              <w:rPr>
                <w:color w:val="000000"/>
              </w:rPr>
              <w:lastRenderedPageBreak/>
              <w:t>Verified</w:t>
            </w:r>
          </w:p>
        </w:tc>
      </w:tr>
      <w:tr w:rsidRPr="007F620E" w:rsidR="006C5A0C" w:rsidTr="001B584C" w14:paraId="2EC36C61" w14:textId="77777777">
        <w:tc>
          <w:tcPr>
            <w:tcW w:w="3258" w:type="dxa"/>
          </w:tcPr>
          <w:p w:rsidR="006C5A0C" w:rsidP="00205B01" w:rsidRDefault="00EE6F3F" w14:paraId="27DE10A3" w14:textId="1228C9D7">
            <w:pPr>
              <w:spacing w:before="100" w:beforeAutospacing="1" w:after="100" w:afterAutospacing="1"/>
              <w:rPr>
                <w:b/>
                <w:color w:val="000000"/>
              </w:rPr>
            </w:pPr>
            <w:r>
              <w:rPr>
                <w:b/>
                <w:color w:val="000000"/>
              </w:rPr>
              <w:t>4</w:t>
            </w:r>
            <w:r w:rsidR="006C5A0C">
              <w:rPr>
                <w:b/>
                <w:color w:val="000000"/>
              </w:rPr>
              <w:t xml:space="preserve">. </w:t>
            </w:r>
            <w:r w:rsidR="00740616">
              <w:rPr>
                <w:b/>
                <w:color w:val="000000"/>
              </w:rPr>
              <w:t>REPORTING</w:t>
            </w:r>
            <w:r w:rsidR="006C5A0C">
              <w:rPr>
                <w:b/>
                <w:color w:val="000000"/>
              </w:rPr>
              <w:t xml:space="preserve"> / </w:t>
            </w:r>
            <w:r w:rsidR="00743367">
              <w:rPr>
                <w:b/>
                <w:color w:val="000000"/>
              </w:rPr>
              <w:t>Total Expense Spending</w:t>
            </w:r>
          </w:p>
          <w:p w:rsidR="00AF7B3D" w:rsidP="00205B01" w:rsidRDefault="00AF7B3D" w14:paraId="50C726D2" w14:textId="5592CD27">
            <w:pPr>
              <w:spacing w:before="100" w:beforeAutospacing="1" w:after="100" w:afterAutospacing="1"/>
              <w:rPr>
                <w:bCs/>
                <w:color w:val="000000"/>
              </w:rPr>
            </w:pPr>
            <w:r>
              <w:rPr>
                <w:bCs/>
                <w:color w:val="000000"/>
              </w:rPr>
              <w:t xml:space="preserve">TURN </w:t>
            </w:r>
            <w:r w:rsidR="0014182F">
              <w:rPr>
                <w:bCs/>
                <w:color w:val="000000"/>
              </w:rPr>
              <w:t>noted problems with PG&amp;</w:t>
            </w:r>
            <w:proofErr w:type="gramStart"/>
            <w:r w:rsidR="0014182F">
              <w:rPr>
                <w:bCs/>
                <w:color w:val="000000"/>
              </w:rPr>
              <w:t>E’s</w:t>
            </w:r>
            <w:proofErr w:type="gramEnd"/>
            <w:r w:rsidR="0014182F">
              <w:rPr>
                <w:bCs/>
                <w:color w:val="000000"/>
              </w:rPr>
              <w:t xml:space="preserve"> proposed VPF reporting template</w:t>
            </w:r>
            <w:r w:rsidR="00743367">
              <w:rPr>
                <w:bCs/>
                <w:color w:val="000000"/>
              </w:rPr>
              <w:t xml:space="preserve"> including a</w:t>
            </w:r>
            <w:r w:rsidR="0014182F">
              <w:rPr>
                <w:bCs/>
                <w:color w:val="000000"/>
              </w:rPr>
              <w:t xml:space="preserve"> fail</w:t>
            </w:r>
            <w:r w:rsidR="00743367">
              <w:rPr>
                <w:bCs/>
                <w:color w:val="000000"/>
              </w:rPr>
              <w:t>ure</w:t>
            </w:r>
            <w:r w:rsidR="0014182F">
              <w:rPr>
                <w:bCs/>
                <w:color w:val="000000"/>
              </w:rPr>
              <w:t xml:space="preserve"> to identify the use of VPFs to relieve shareholders of cost obligations. TURN </w:t>
            </w:r>
            <w:r>
              <w:rPr>
                <w:bCs/>
                <w:color w:val="000000"/>
              </w:rPr>
              <w:t xml:space="preserve">urged the Commission to require PG&amp;E to report on VPF spending with respect to both Maintenance Activity Types (MATs) and Major Work Categories (MWCs) to determine whether PG&amp;E </w:t>
            </w:r>
            <w:proofErr w:type="gramStart"/>
            <w:r>
              <w:rPr>
                <w:bCs/>
                <w:color w:val="000000"/>
              </w:rPr>
              <w:t>actually engaged</w:t>
            </w:r>
            <w:proofErr w:type="gramEnd"/>
            <w:r>
              <w:rPr>
                <w:bCs/>
                <w:color w:val="000000"/>
              </w:rPr>
              <w:t xml:space="preserve"> in underspending or overspending on </w:t>
            </w:r>
            <w:r w:rsidR="00743367">
              <w:rPr>
                <w:bCs/>
                <w:color w:val="000000"/>
              </w:rPr>
              <w:t xml:space="preserve">all related and </w:t>
            </w:r>
            <w:r>
              <w:rPr>
                <w:bCs/>
                <w:color w:val="000000"/>
              </w:rPr>
              <w:t>relevant work.</w:t>
            </w:r>
          </w:p>
          <w:p w:rsidRPr="00BE6B80" w:rsidR="006C5A0C" w:rsidP="00205B01" w:rsidRDefault="00740616" w14:paraId="3032DFF3" w14:textId="0D857333">
            <w:pPr>
              <w:spacing w:before="100" w:beforeAutospacing="1" w:after="100" w:afterAutospacing="1"/>
              <w:rPr>
                <w:bCs/>
                <w:color w:val="000000"/>
              </w:rPr>
            </w:pPr>
            <w:r>
              <w:rPr>
                <w:bCs/>
                <w:color w:val="000000"/>
              </w:rPr>
              <w:t xml:space="preserve">Although the Decision does not adopt TURN’s primary recommendations with respect to </w:t>
            </w:r>
            <w:r w:rsidR="004D1699">
              <w:rPr>
                <w:bCs/>
                <w:color w:val="000000"/>
              </w:rPr>
              <w:t xml:space="preserve">the </w:t>
            </w:r>
            <w:r>
              <w:rPr>
                <w:bCs/>
                <w:color w:val="000000"/>
              </w:rPr>
              <w:t>VPF reporting</w:t>
            </w:r>
            <w:r w:rsidR="004D1699">
              <w:rPr>
                <w:bCs/>
                <w:color w:val="000000"/>
              </w:rPr>
              <w:t xml:space="preserve"> template</w:t>
            </w:r>
            <w:r>
              <w:rPr>
                <w:bCs/>
                <w:color w:val="000000"/>
              </w:rPr>
              <w:t xml:space="preserve">, the Decision adopts TURN’s alternate recommendation to </w:t>
            </w:r>
            <w:r w:rsidR="00A866D2">
              <w:rPr>
                <w:bCs/>
                <w:color w:val="000000"/>
              </w:rPr>
              <w:t xml:space="preserve">require PG&amp;E to report on total expense spending for individual Major Work Categories related to work </w:t>
            </w:r>
            <w:r w:rsidR="00A866D2">
              <w:rPr>
                <w:bCs/>
                <w:color w:val="000000"/>
              </w:rPr>
              <w:lastRenderedPageBreak/>
              <w:t>funded by VPFs. Consistent with TURN’s recommendation, the Decision requires PG&amp;E to provide this information for a historical period that covers the most recent five years of data to support a “more thorough review” of VPF expenditures.</w:t>
            </w:r>
          </w:p>
        </w:tc>
        <w:tc>
          <w:tcPr>
            <w:tcW w:w="4140" w:type="dxa"/>
          </w:tcPr>
          <w:p w:rsidR="006C5A0C" w:rsidP="00A92D0B" w:rsidRDefault="006C5A0C" w14:paraId="55A87BCF" w14:textId="77777777">
            <w:pPr>
              <w:spacing w:before="120"/>
              <w:rPr>
                <w:color w:val="000000"/>
                <w:u w:val="single"/>
              </w:rPr>
            </w:pPr>
          </w:p>
          <w:p w:rsidR="00D62CF7" w:rsidP="00A92D0B" w:rsidRDefault="00D62CF7" w14:paraId="67D6744B" w14:textId="77777777">
            <w:pPr>
              <w:spacing w:before="120"/>
              <w:rPr>
                <w:color w:val="000000"/>
                <w:u w:val="single"/>
              </w:rPr>
            </w:pPr>
          </w:p>
          <w:p w:rsidRPr="00BC7A19" w:rsidR="00B07A80" w:rsidP="00B07A80" w:rsidRDefault="00B07A80" w14:paraId="5BABEE26" w14:textId="6A52A098">
            <w:pPr>
              <w:spacing w:before="120"/>
              <w:rPr>
                <w:color w:val="000000"/>
                <w:u w:val="single"/>
              </w:rPr>
            </w:pPr>
            <w:r>
              <w:rPr>
                <w:color w:val="000000"/>
                <w:u w:val="single"/>
              </w:rPr>
              <w:t>TURN reply comments on Proposals for the Use of Volumetric Performance Fees, October 3, 2024, pages 21-23</w:t>
            </w:r>
          </w:p>
          <w:p w:rsidR="00B07A80" w:rsidP="00A92D0B" w:rsidRDefault="00B07A80" w14:paraId="775D91B6" w14:textId="77777777">
            <w:pPr>
              <w:spacing w:before="120"/>
              <w:rPr>
                <w:color w:val="000000"/>
                <w:u w:val="single"/>
              </w:rPr>
            </w:pPr>
          </w:p>
          <w:p w:rsidR="00D62CF7" w:rsidP="00A92D0B" w:rsidRDefault="00AF7B3D" w14:paraId="6E61DF99" w14:textId="21D4E4B2">
            <w:pPr>
              <w:spacing w:before="120"/>
              <w:rPr>
                <w:color w:val="000000"/>
                <w:u w:val="single"/>
              </w:rPr>
            </w:pPr>
            <w:r>
              <w:rPr>
                <w:color w:val="000000"/>
                <w:u w:val="single"/>
              </w:rPr>
              <w:t xml:space="preserve">Opening comments of TURN on Proposed Decision of ALJ </w:t>
            </w:r>
            <w:proofErr w:type="spellStart"/>
            <w:r>
              <w:rPr>
                <w:color w:val="000000"/>
                <w:u w:val="single"/>
              </w:rPr>
              <w:t>Atamturk</w:t>
            </w:r>
            <w:proofErr w:type="spellEnd"/>
            <w:r>
              <w:rPr>
                <w:color w:val="000000"/>
                <w:u w:val="single"/>
              </w:rPr>
              <w:t xml:space="preserve"> on Phase 2 issues, March 20, 2025, pages </w:t>
            </w:r>
            <w:r w:rsidR="00D802BB">
              <w:rPr>
                <w:color w:val="000000"/>
                <w:u w:val="single"/>
              </w:rPr>
              <w:t>4</w:t>
            </w:r>
            <w:r>
              <w:rPr>
                <w:color w:val="000000"/>
                <w:u w:val="single"/>
              </w:rPr>
              <w:t>-7.</w:t>
            </w:r>
          </w:p>
          <w:p w:rsidR="00D62CF7" w:rsidP="00A92D0B" w:rsidRDefault="00D62CF7" w14:paraId="1AAD3783" w14:textId="77777777">
            <w:pPr>
              <w:spacing w:before="120"/>
              <w:rPr>
                <w:color w:val="000000"/>
                <w:u w:val="single"/>
              </w:rPr>
            </w:pPr>
          </w:p>
          <w:p w:rsidR="00D62CF7" w:rsidP="00A92D0B" w:rsidRDefault="00D62CF7" w14:paraId="211B35ED" w14:textId="77777777">
            <w:pPr>
              <w:spacing w:before="120"/>
              <w:rPr>
                <w:color w:val="000000"/>
                <w:u w:val="single"/>
              </w:rPr>
            </w:pPr>
          </w:p>
          <w:p w:rsidR="00AF7B3D" w:rsidP="00A92D0B" w:rsidRDefault="00AF7B3D" w14:paraId="78799405" w14:textId="77777777">
            <w:pPr>
              <w:spacing w:before="120"/>
              <w:rPr>
                <w:color w:val="000000"/>
                <w:u w:val="single"/>
              </w:rPr>
            </w:pPr>
          </w:p>
          <w:p w:rsidR="00AF7B3D" w:rsidP="00A92D0B" w:rsidRDefault="00AF7B3D" w14:paraId="3D0F3EF7" w14:textId="77777777">
            <w:pPr>
              <w:spacing w:before="120"/>
              <w:rPr>
                <w:color w:val="000000"/>
                <w:u w:val="single"/>
              </w:rPr>
            </w:pPr>
          </w:p>
          <w:p w:rsidR="00AF7B3D" w:rsidP="00A92D0B" w:rsidRDefault="00AF7B3D" w14:paraId="57ABDF9F" w14:textId="77777777">
            <w:pPr>
              <w:spacing w:before="120"/>
              <w:rPr>
                <w:color w:val="000000"/>
                <w:u w:val="single"/>
              </w:rPr>
            </w:pPr>
          </w:p>
          <w:p w:rsidR="00743367" w:rsidP="00A92D0B" w:rsidRDefault="00743367" w14:paraId="3C52B83A" w14:textId="77777777">
            <w:pPr>
              <w:spacing w:before="120"/>
              <w:rPr>
                <w:color w:val="000000"/>
                <w:u w:val="single"/>
              </w:rPr>
            </w:pPr>
          </w:p>
          <w:p w:rsidR="00743367" w:rsidP="00A92D0B" w:rsidRDefault="00743367" w14:paraId="59832AC0" w14:textId="77777777">
            <w:pPr>
              <w:spacing w:before="120"/>
              <w:rPr>
                <w:color w:val="000000"/>
                <w:u w:val="single"/>
              </w:rPr>
            </w:pPr>
          </w:p>
          <w:p w:rsidRPr="00BC37EB" w:rsidR="00A866D2" w:rsidP="00A866D2" w:rsidRDefault="00A866D2" w14:paraId="33913923" w14:textId="367C36A8">
            <w:pPr>
              <w:spacing w:before="120"/>
              <w:rPr>
                <w:color w:val="000000"/>
                <w:u w:val="single"/>
              </w:rPr>
            </w:pPr>
            <w:r>
              <w:rPr>
                <w:u w:val="single"/>
              </w:rPr>
              <w:t xml:space="preserve">D. 25-06-002, pages </w:t>
            </w:r>
            <w:r w:rsidR="00D65034">
              <w:rPr>
                <w:u w:val="single"/>
              </w:rPr>
              <w:t xml:space="preserve">25, </w:t>
            </w:r>
            <w:r>
              <w:rPr>
                <w:u w:val="single"/>
              </w:rPr>
              <w:t>36-37, Ordering Paragraph 3.</w:t>
            </w:r>
          </w:p>
          <w:p w:rsidR="00D62CF7" w:rsidP="00A92D0B" w:rsidRDefault="00D62CF7" w14:paraId="07BA1729" w14:textId="77777777">
            <w:pPr>
              <w:spacing w:before="120"/>
              <w:rPr>
                <w:color w:val="000000"/>
                <w:u w:val="single"/>
              </w:rPr>
            </w:pPr>
          </w:p>
          <w:p w:rsidR="00D62CF7" w:rsidP="00A92D0B" w:rsidRDefault="00D62CF7" w14:paraId="5BF1FFF9" w14:textId="77777777">
            <w:pPr>
              <w:spacing w:before="120"/>
              <w:rPr>
                <w:color w:val="000000"/>
                <w:u w:val="single"/>
              </w:rPr>
            </w:pPr>
          </w:p>
          <w:p w:rsidR="00D62CF7" w:rsidP="00A92D0B" w:rsidRDefault="00D62CF7" w14:paraId="0BF3D5B6" w14:textId="77777777">
            <w:pPr>
              <w:spacing w:before="120"/>
              <w:rPr>
                <w:color w:val="000000"/>
                <w:u w:val="single"/>
              </w:rPr>
            </w:pPr>
          </w:p>
          <w:p w:rsidR="00D62CF7" w:rsidP="00A92D0B" w:rsidRDefault="00D62CF7" w14:paraId="3CA5249C" w14:textId="77777777">
            <w:pPr>
              <w:spacing w:before="120"/>
              <w:rPr>
                <w:color w:val="000000"/>
                <w:u w:val="single"/>
              </w:rPr>
            </w:pPr>
          </w:p>
          <w:p w:rsidR="00D62CF7" w:rsidP="00A92D0B" w:rsidRDefault="00D62CF7" w14:paraId="3E3C7C97" w14:textId="77777777">
            <w:pPr>
              <w:spacing w:before="120"/>
              <w:rPr>
                <w:color w:val="000000"/>
                <w:u w:val="single"/>
              </w:rPr>
            </w:pPr>
          </w:p>
          <w:p w:rsidR="00D62CF7" w:rsidP="00A92D0B" w:rsidRDefault="00D62CF7" w14:paraId="4116D008" w14:textId="77777777">
            <w:pPr>
              <w:spacing w:before="120"/>
              <w:rPr>
                <w:color w:val="000000"/>
                <w:u w:val="single"/>
              </w:rPr>
            </w:pPr>
          </w:p>
          <w:p w:rsidR="00D62CF7" w:rsidP="00A92D0B" w:rsidRDefault="00D62CF7" w14:paraId="256E751D" w14:textId="77777777">
            <w:pPr>
              <w:spacing w:before="120"/>
              <w:rPr>
                <w:color w:val="000000"/>
                <w:u w:val="single"/>
              </w:rPr>
            </w:pPr>
          </w:p>
          <w:p w:rsidR="00D62CF7" w:rsidP="00A92D0B" w:rsidRDefault="00D62CF7" w14:paraId="38B33D9E" w14:textId="77777777">
            <w:pPr>
              <w:spacing w:before="120"/>
              <w:rPr>
                <w:color w:val="000000"/>
                <w:u w:val="single"/>
              </w:rPr>
            </w:pPr>
          </w:p>
          <w:p w:rsidRPr="00D62CF7" w:rsidR="00D62CF7" w:rsidP="00A92D0B" w:rsidRDefault="00D62CF7" w14:paraId="2AC63B81" w14:textId="4BBA932C">
            <w:pPr>
              <w:spacing w:before="120"/>
              <w:rPr>
                <w:color w:val="000000"/>
                <w:u w:val="single"/>
              </w:rPr>
            </w:pPr>
          </w:p>
        </w:tc>
        <w:tc>
          <w:tcPr>
            <w:tcW w:w="2340" w:type="dxa"/>
          </w:tcPr>
          <w:p w:rsidRPr="007F620E" w:rsidR="006C5A0C" w:rsidP="00A92D0B" w:rsidRDefault="001B584C" w14:paraId="11E58F9E" w14:textId="0F0190D3">
            <w:pPr>
              <w:spacing w:before="120"/>
              <w:rPr>
                <w:color w:val="000000"/>
              </w:rPr>
            </w:pPr>
            <w:r>
              <w:rPr>
                <w:color w:val="000000"/>
              </w:rPr>
              <w:lastRenderedPageBreak/>
              <w:t>Verified</w:t>
            </w:r>
          </w:p>
        </w:tc>
      </w:tr>
      <w:tr w:rsidRPr="007F620E" w:rsidR="00C8007A" w:rsidTr="005C1408" w14:paraId="2EC6FEC7" w14:textId="77777777">
        <w:tc>
          <w:tcPr>
            <w:tcW w:w="3258" w:type="dxa"/>
          </w:tcPr>
          <w:p w:rsidR="00C8007A" w:rsidP="00205B01" w:rsidRDefault="00EE6F3F" w14:paraId="6AF38CF4" w14:textId="51F26728">
            <w:pPr>
              <w:spacing w:before="100" w:beforeAutospacing="1" w:after="100" w:afterAutospacing="1"/>
              <w:rPr>
                <w:b/>
                <w:color w:val="000000"/>
              </w:rPr>
            </w:pPr>
            <w:r>
              <w:rPr>
                <w:b/>
                <w:color w:val="000000"/>
              </w:rPr>
              <w:t>5</w:t>
            </w:r>
            <w:r w:rsidR="00C8007A">
              <w:rPr>
                <w:b/>
                <w:color w:val="000000"/>
              </w:rPr>
              <w:t xml:space="preserve">. </w:t>
            </w:r>
            <w:r w:rsidR="00D87BF6">
              <w:rPr>
                <w:b/>
                <w:color w:val="000000"/>
              </w:rPr>
              <w:t>REPORTING</w:t>
            </w:r>
            <w:r w:rsidR="00644150">
              <w:rPr>
                <w:b/>
                <w:color w:val="000000"/>
              </w:rPr>
              <w:t xml:space="preserve"> / </w:t>
            </w:r>
            <w:r w:rsidR="00743367">
              <w:rPr>
                <w:b/>
                <w:color w:val="000000"/>
              </w:rPr>
              <w:t>Shareholder Benefits</w:t>
            </w:r>
          </w:p>
          <w:p w:rsidR="00C8007A" w:rsidP="00205B01" w:rsidRDefault="005F6EAB" w14:paraId="1206D8F2" w14:textId="0BA31B33">
            <w:pPr>
              <w:spacing w:before="100" w:beforeAutospacing="1" w:after="100" w:afterAutospacing="1"/>
              <w:rPr>
                <w:bCs/>
                <w:color w:val="000000"/>
              </w:rPr>
            </w:pPr>
            <w:r>
              <w:rPr>
                <w:bCs/>
                <w:color w:val="000000"/>
              </w:rPr>
              <w:t>Based on the statutory framework and the relevant precedents, TURN urged the Commission to affirm that SB 846 does not permit PG&amp;E to use VPFs to benefit its shareholders</w:t>
            </w:r>
            <w:r w:rsidR="00896176">
              <w:rPr>
                <w:bCs/>
                <w:color w:val="000000"/>
              </w:rPr>
              <w:t>. TURN identified three separate statutory prohibitions on shareholder enrichment and noted that PG&amp;E’s proposal could result in prohibited direct or indirect benefits to shareholders</w:t>
            </w:r>
            <w:r w:rsidR="004D167B">
              <w:rPr>
                <w:bCs/>
                <w:color w:val="000000"/>
              </w:rPr>
              <w:t>.</w:t>
            </w:r>
          </w:p>
          <w:p w:rsidR="004D167B" w:rsidP="00205B01" w:rsidRDefault="00545F80" w14:paraId="2136821A" w14:textId="77777777">
            <w:pPr>
              <w:spacing w:before="100" w:beforeAutospacing="1" w:after="100" w:afterAutospacing="1"/>
              <w:rPr>
                <w:bCs/>
                <w:color w:val="000000"/>
              </w:rPr>
            </w:pPr>
            <w:r>
              <w:rPr>
                <w:bCs/>
                <w:color w:val="000000"/>
              </w:rPr>
              <w:t>The</w:t>
            </w:r>
            <w:r w:rsidRPr="00AF7B3D">
              <w:rPr>
                <w:bCs/>
                <w:color w:val="000000"/>
              </w:rPr>
              <w:t xml:space="preserve"> </w:t>
            </w:r>
            <w:r>
              <w:rPr>
                <w:bCs/>
                <w:color w:val="000000"/>
              </w:rPr>
              <w:t>Decision</w:t>
            </w:r>
            <w:r w:rsidRPr="00AF7B3D">
              <w:rPr>
                <w:bCs/>
                <w:color w:val="000000"/>
              </w:rPr>
              <w:t xml:space="preserve"> </w:t>
            </w:r>
            <w:r>
              <w:rPr>
                <w:bCs/>
                <w:color w:val="000000"/>
              </w:rPr>
              <w:t>“</w:t>
            </w:r>
            <w:r w:rsidRPr="00AF7B3D">
              <w:rPr>
                <w:bCs/>
                <w:color w:val="000000"/>
              </w:rPr>
              <w:t>acknowledges TURN’s concerns about the</w:t>
            </w:r>
            <w:r>
              <w:rPr>
                <w:bCs/>
                <w:color w:val="000000"/>
              </w:rPr>
              <w:t xml:space="preserve"> templates not adequately showing whether VPF spending benefits shareholders” but declines to require any demonstration to determine whether shareholders have benefited. </w:t>
            </w:r>
          </w:p>
          <w:p w:rsidRPr="00D65034" w:rsidR="00C8007A" w:rsidP="00205B01" w:rsidRDefault="00C8007A" w14:paraId="02AC7356" w14:textId="26A84A48">
            <w:pPr>
              <w:spacing w:before="100" w:beforeAutospacing="1" w:after="100" w:afterAutospacing="1"/>
            </w:pPr>
            <w:r>
              <w:t xml:space="preserve">The Concurrence of Commissioner Houck agrees with TURN’s </w:t>
            </w:r>
            <w:r w:rsidR="00E00700">
              <w:t xml:space="preserve">concerns regarding the fungibility of cash and the ability of PG&amp;E to use VPFs to benefit shareholders. The Concurrence also agrees that </w:t>
            </w:r>
            <w:r>
              <w:t xml:space="preserve">a cursory review of VPF spending plans could result in a “benefit </w:t>
            </w:r>
            <w:r>
              <w:lastRenderedPageBreak/>
              <w:t>shareholders contrary to the statute” and that “the Commission’s obligation in this proceeding is to ensure that revenue collected in VPFs do not enrich shareholders.”</w:t>
            </w:r>
          </w:p>
        </w:tc>
        <w:tc>
          <w:tcPr>
            <w:tcW w:w="4140" w:type="dxa"/>
          </w:tcPr>
          <w:p w:rsidR="00C8007A" w:rsidP="00A92D0B" w:rsidRDefault="00C8007A" w14:paraId="78D4A29A" w14:textId="77777777">
            <w:pPr>
              <w:spacing w:before="120"/>
              <w:rPr>
                <w:color w:val="000000"/>
              </w:rPr>
            </w:pPr>
          </w:p>
          <w:p w:rsidR="00CF3602" w:rsidP="00A92D0B" w:rsidRDefault="00CF3602" w14:paraId="18311BB6" w14:textId="77777777">
            <w:pPr>
              <w:spacing w:before="120"/>
              <w:rPr>
                <w:color w:val="000000"/>
              </w:rPr>
            </w:pPr>
          </w:p>
          <w:p w:rsidR="00D87BF6" w:rsidP="00CF3602" w:rsidRDefault="00D87BF6" w14:paraId="169A8A5F" w14:textId="77777777">
            <w:pPr>
              <w:spacing w:before="120"/>
              <w:rPr>
                <w:u w:val="single"/>
              </w:rPr>
            </w:pPr>
          </w:p>
          <w:p w:rsidR="00CF3602" w:rsidP="00CF3602" w:rsidRDefault="00CF3602" w14:paraId="21EDE5EE" w14:textId="53BDE79A">
            <w:pPr>
              <w:spacing w:before="120"/>
              <w:rPr>
                <w:u w:val="single"/>
              </w:rPr>
            </w:pPr>
            <w:r>
              <w:rPr>
                <w:u w:val="single"/>
              </w:rPr>
              <w:t>Proposal of TURN on Phase 2 Issues, August 15, 2025, page</w:t>
            </w:r>
            <w:r w:rsidR="004D167B">
              <w:rPr>
                <w:u w:val="single"/>
              </w:rPr>
              <w:t>s</w:t>
            </w:r>
            <w:r>
              <w:rPr>
                <w:u w:val="single"/>
              </w:rPr>
              <w:t xml:space="preserve"> 3</w:t>
            </w:r>
            <w:r w:rsidR="004D167B">
              <w:rPr>
                <w:u w:val="single"/>
              </w:rPr>
              <w:t>, 5</w:t>
            </w:r>
          </w:p>
          <w:p w:rsidR="00896176" w:rsidP="00896176" w:rsidRDefault="00896176" w14:paraId="5DD6542E" w14:textId="4B001EE1">
            <w:pPr>
              <w:spacing w:before="120"/>
              <w:rPr>
                <w:color w:val="000000"/>
                <w:u w:val="single"/>
              </w:rPr>
            </w:pPr>
            <w:r>
              <w:rPr>
                <w:color w:val="000000"/>
                <w:u w:val="single"/>
              </w:rPr>
              <w:t>TURN reply comments on Proposals for the Use of Volumetric Performance Fees, October 3, 2024, pages 2-4</w:t>
            </w:r>
          </w:p>
          <w:p w:rsidR="002D4253" w:rsidP="002D4253" w:rsidRDefault="002D4253" w14:paraId="29CB83F8" w14:textId="5B0F836A">
            <w:pPr>
              <w:spacing w:before="120"/>
              <w:rPr>
                <w:color w:val="000000"/>
                <w:u w:val="single"/>
              </w:rPr>
            </w:pPr>
            <w:r>
              <w:rPr>
                <w:color w:val="000000"/>
                <w:u w:val="single"/>
              </w:rPr>
              <w:t xml:space="preserve">Opening comments of TURN on Proposed Decision of ALJ </w:t>
            </w:r>
            <w:proofErr w:type="spellStart"/>
            <w:r>
              <w:rPr>
                <w:color w:val="000000"/>
                <w:u w:val="single"/>
              </w:rPr>
              <w:t>Atamturk</w:t>
            </w:r>
            <w:proofErr w:type="spellEnd"/>
            <w:r>
              <w:rPr>
                <w:color w:val="000000"/>
                <w:u w:val="single"/>
              </w:rPr>
              <w:t xml:space="preserve"> on Phase 2 issues, March 20, 2025, pages 1-3</w:t>
            </w:r>
          </w:p>
          <w:p w:rsidR="00C8007A" w:rsidP="00A92D0B" w:rsidRDefault="00C8007A" w14:paraId="06935C19" w14:textId="77777777">
            <w:pPr>
              <w:spacing w:before="120"/>
              <w:rPr>
                <w:color w:val="000000"/>
              </w:rPr>
            </w:pPr>
          </w:p>
          <w:p w:rsidR="00C8007A" w:rsidP="00C8007A" w:rsidRDefault="00C8007A" w14:paraId="185D995B" w14:textId="77777777">
            <w:pPr>
              <w:spacing w:before="120"/>
              <w:rPr>
                <w:u w:val="single"/>
              </w:rPr>
            </w:pPr>
          </w:p>
          <w:p w:rsidR="00896176" w:rsidP="00C8007A" w:rsidRDefault="00896176" w14:paraId="01DA02AE" w14:textId="77777777">
            <w:pPr>
              <w:spacing w:before="120"/>
              <w:rPr>
                <w:u w:val="single"/>
              </w:rPr>
            </w:pPr>
          </w:p>
          <w:p w:rsidRPr="00BC37EB" w:rsidR="00545F80" w:rsidP="00545F80" w:rsidRDefault="00545F80" w14:paraId="409AD6F7" w14:textId="54975EDF">
            <w:pPr>
              <w:spacing w:before="120"/>
              <w:rPr>
                <w:color w:val="000000"/>
                <w:u w:val="single"/>
              </w:rPr>
            </w:pPr>
            <w:r>
              <w:rPr>
                <w:u w:val="single"/>
              </w:rPr>
              <w:t>D. 25-06-002, page 25</w:t>
            </w:r>
          </w:p>
          <w:p w:rsidR="00C8007A" w:rsidP="00C8007A" w:rsidRDefault="00C8007A" w14:paraId="41F0D586" w14:textId="77777777">
            <w:pPr>
              <w:spacing w:before="120"/>
              <w:rPr>
                <w:u w:val="single"/>
              </w:rPr>
            </w:pPr>
          </w:p>
          <w:p w:rsidR="004D167B" w:rsidP="00C8007A" w:rsidRDefault="004D167B" w14:paraId="388482C6" w14:textId="77777777">
            <w:pPr>
              <w:spacing w:before="120"/>
              <w:rPr>
                <w:u w:val="single"/>
              </w:rPr>
            </w:pPr>
          </w:p>
          <w:p w:rsidR="004D167B" w:rsidP="00C8007A" w:rsidRDefault="004D167B" w14:paraId="7C758DB1" w14:textId="77777777">
            <w:pPr>
              <w:spacing w:before="120"/>
              <w:rPr>
                <w:u w:val="single"/>
              </w:rPr>
            </w:pPr>
          </w:p>
          <w:p w:rsidR="004D167B" w:rsidP="00C8007A" w:rsidRDefault="004D167B" w14:paraId="0849461F" w14:textId="77777777">
            <w:pPr>
              <w:spacing w:before="120"/>
              <w:rPr>
                <w:u w:val="single"/>
              </w:rPr>
            </w:pPr>
          </w:p>
          <w:p w:rsidR="001E181B" w:rsidP="00C8007A" w:rsidRDefault="001E181B" w14:paraId="5B01CDEF" w14:textId="77777777">
            <w:pPr>
              <w:spacing w:before="120"/>
              <w:rPr>
                <w:u w:val="single"/>
              </w:rPr>
            </w:pPr>
          </w:p>
          <w:p w:rsidR="004D167B" w:rsidP="00C8007A" w:rsidRDefault="004D167B" w14:paraId="562C844F" w14:textId="77777777">
            <w:pPr>
              <w:spacing w:before="120"/>
              <w:rPr>
                <w:u w:val="single"/>
              </w:rPr>
            </w:pPr>
          </w:p>
          <w:p w:rsidRPr="00BC37EB" w:rsidR="00C8007A" w:rsidP="00C8007A" w:rsidRDefault="00C8007A" w14:paraId="79307D92" w14:textId="7E13BC52">
            <w:pPr>
              <w:spacing w:before="120"/>
              <w:rPr>
                <w:color w:val="000000"/>
                <w:u w:val="single"/>
              </w:rPr>
            </w:pPr>
            <w:r>
              <w:rPr>
                <w:u w:val="single"/>
              </w:rPr>
              <w:t>D. 25-06-002, Houck Concurrence, page</w:t>
            </w:r>
            <w:r w:rsidR="00693CBE">
              <w:rPr>
                <w:u w:val="single"/>
              </w:rPr>
              <w:t>s</w:t>
            </w:r>
            <w:r>
              <w:rPr>
                <w:u w:val="single"/>
              </w:rPr>
              <w:t xml:space="preserve"> 6</w:t>
            </w:r>
            <w:r w:rsidR="00693CBE">
              <w:rPr>
                <w:u w:val="single"/>
              </w:rPr>
              <w:t>-7</w:t>
            </w:r>
            <w:r>
              <w:rPr>
                <w:u w:val="single"/>
              </w:rPr>
              <w:t>.</w:t>
            </w:r>
          </w:p>
          <w:p w:rsidR="00C8007A" w:rsidP="00A92D0B" w:rsidRDefault="00C8007A" w14:paraId="7981874D" w14:textId="77777777">
            <w:pPr>
              <w:spacing w:before="120"/>
              <w:rPr>
                <w:color w:val="000000"/>
              </w:rPr>
            </w:pPr>
          </w:p>
          <w:p w:rsidR="00C8007A" w:rsidP="00A92D0B" w:rsidRDefault="00C8007A" w14:paraId="2CD14F09" w14:textId="77777777">
            <w:pPr>
              <w:spacing w:before="120"/>
              <w:rPr>
                <w:color w:val="000000"/>
              </w:rPr>
            </w:pPr>
          </w:p>
        </w:tc>
        <w:tc>
          <w:tcPr>
            <w:tcW w:w="2340" w:type="dxa"/>
          </w:tcPr>
          <w:p w:rsidRPr="007F620E" w:rsidR="00C8007A" w:rsidP="00A92D0B" w:rsidRDefault="005C1408" w14:paraId="74D1C6DD" w14:textId="768D491A">
            <w:pPr>
              <w:spacing w:before="120"/>
              <w:rPr>
                <w:color w:val="000000"/>
              </w:rPr>
            </w:pPr>
            <w:r>
              <w:rPr>
                <w:color w:val="000000"/>
              </w:rPr>
              <w:t>Verified</w:t>
            </w:r>
          </w:p>
        </w:tc>
      </w:tr>
      <w:tr w:rsidRPr="007F620E" w:rsidR="00A6477D" w:rsidTr="005C1408" w14:paraId="4CE4F016" w14:textId="77777777">
        <w:tc>
          <w:tcPr>
            <w:tcW w:w="3258" w:type="dxa"/>
          </w:tcPr>
          <w:p w:rsidR="00A6477D" w:rsidP="00205B01" w:rsidRDefault="00A6477D" w14:paraId="229BB08C" w14:textId="214C1DE2">
            <w:pPr>
              <w:spacing w:before="100" w:beforeAutospacing="1" w:after="100" w:afterAutospacing="1"/>
              <w:rPr>
                <w:b/>
                <w:color w:val="000000"/>
              </w:rPr>
            </w:pPr>
            <w:r>
              <w:rPr>
                <w:b/>
                <w:color w:val="000000"/>
              </w:rPr>
              <w:t>6.</w:t>
            </w:r>
            <w:r w:rsidRPr="00C07F94">
              <w:rPr>
                <w:b/>
                <w:color w:val="000000"/>
              </w:rPr>
              <w:t xml:space="preserve"> </w:t>
            </w:r>
            <w:r w:rsidR="00C128A0">
              <w:rPr>
                <w:b/>
                <w:color w:val="000000"/>
              </w:rPr>
              <w:t>PRIORITIZATION / Authority to reject or modify VPF plan</w:t>
            </w:r>
          </w:p>
          <w:p w:rsidR="00A6477D" w:rsidP="00205B01" w:rsidRDefault="00A6477D" w14:paraId="49D0ABD2" w14:textId="53D6D41A">
            <w:pPr>
              <w:spacing w:before="100" w:beforeAutospacing="1" w:after="100" w:afterAutospacing="1"/>
            </w:pPr>
            <w:r>
              <w:rPr>
                <w:bCs/>
                <w:color w:val="000000"/>
              </w:rPr>
              <w:t>TURN noted the Commission previously decided that it has the authority to modify or reject VPF spending plans</w:t>
            </w:r>
            <w:r w:rsidR="008D43F5">
              <w:rPr>
                <w:bCs/>
                <w:color w:val="000000"/>
              </w:rPr>
              <w:t xml:space="preserve"> and urged the Commission to affirm its authority to exercise this power if PG&amp;E’s plan is deficient.</w:t>
            </w:r>
          </w:p>
          <w:p w:rsidRPr="00A6477D" w:rsidR="00A6477D" w:rsidP="00205B01" w:rsidRDefault="00A6477D" w14:paraId="7C2D4C7C" w14:textId="6D7F8349">
            <w:pPr>
              <w:spacing w:before="100" w:beforeAutospacing="1" w:after="100" w:afterAutospacing="1"/>
            </w:pPr>
            <w:r>
              <w:t>The Concurrence of Commissioner Houck agrees with TURN’s view that “the Commission has authority to direct the utility in how it prioritizes where it spend</w:t>
            </w:r>
            <w:r w:rsidR="001E181B">
              <w:t>s</w:t>
            </w:r>
            <w:r>
              <w:t xml:space="preserve"> VPF dollars as to the 6 public purpose areas identified in the statute. If PG&amp;E does not adequately support its plan the Commission, using information in the record of that proceeding, may revise or redirect PG&amp;E’s plan.”</w:t>
            </w:r>
          </w:p>
        </w:tc>
        <w:tc>
          <w:tcPr>
            <w:tcW w:w="4140" w:type="dxa"/>
          </w:tcPr>
          <w:p w:rsidR="00A6477D" w:rsidP="00A6477D" w:rsidRDefault="00A6477D" w14:paraId="4420BDC8" w14:textId="77777777">
            <w:pPr>
              <w:spacing w:before="120"/>
              <w:rPr>
                <w:color w:val="000000"/>
              </w:rPr>
            </w:pPr>
          </w:p>
          <w:p w:rsidR="00A6477D" w:rsidP="00A6477D" w:rsidRDefault="00A6477D" w14:paraId="7A80F46A" w14:textId="77777777">
            <w:pPr>
              <w:spacing w:before="120"/>
              <w:rPr>
                <w:color w:val="000000"/>
              </w:rPr>
            </w:pPr>
          </w:p>
          <w:p w:rsidR="00C71A3C" w:rsidP="00A6477D" w:rsidRDefault="00C71A3C" w14:paraId="70FF55FC" w14:textId="77777777">
            <w:pPr>
              <w:spacing w:before="120"/>
              <w:rPr>
                <w:u w:val="single"/>
              </w:rPr>
            </w:pPr>
          </w:p>
          <w:p w:rsidR="00C71A3C" w:rsidP="00A6477D" w:rsidRDefault="00C71A3C" w14:paraId="268B7C2E" w14:textId="77777777">
            <w:pPr>
              <w:spacing w:before="120"/>
              <w:rPr>
                <w:u w:val="single"/>
              </w:rPr>
            </w:pPr>
          </w:p>
          <w:p w:rsidR="00A6477D" w:rsidP="00A6477D" w:rsidRDefault="00A6477D" w14:paraId="2B2EACEE" w14:textId="0E928881">
            <w:pPr>
              <w:spacing w:before="120"/>
              <w:rPr>
                <w:u w:val="single"/>
              </w:rPr>
            </w:pPr>
            <w:r>
              <w:rPr>
                <w:u w:val="single"/>
              </w:rPr>
              <w:t>Proposal of TURN on Phase 2 Issues, August 15, 2025, pages 3-</w:t>
            </w:r>
            <w:r w:rsidR="008D43F5">
              <w:rPr>
                <w:u w:val="single"/>
              </w:rPr>
              <w:t>4</w:t>
            </w:r>
            <w:r>
              <w:rPr>
                <w:u w:val="single"/>
              </w:rPr>
              <w:t>.</w:t>
            </w:r>
          </w:p>
          <w:p w:rsidR="00A6477D" w:rsidP="00A6477D" w:rsidRDefault="00A6477D" w14:paraId="52BB21B0" w14:textId="77777777">
            <w:pPr>
              <w:spacing w:before="120"/>
              <w:rPr>
                <w:szCs w:val="22"/>
                <w:u w:val="single"/>
              </w:rPr>
            </w:pPr>
          </w:p>
          <w:p w:rsidR="00A6477D" w:rsidP="00A6477D" w:rsidRDefault="00A6477D" w14:paraId="700838B9" w14:textId="77777777">
            <w:pPr>
              <w:spacing w:before="120"/>
              <w:rPr>
                <w:szCs w:val="22"/>
                <w:u w:val="single"/>
              </w:rPr>
            </w:pPr>
          </w:p>
          <w:p w:rsidR="00A6477D" w:rsidP="00A6477D" w:rsidRDefault="00A6477D" w14:paraId="51583B47" w14:textId="77777777">
            <w:pPr>
              <w:spacing w:before="120"/>
              <w:rPr>
                <w:u w:val="single"/>
              </w:rPr>
            </w:pPr>
          </w:p>
          <w:p w:rsidR="00A6477D" w:rsidP="00A6477D" w:rsidRDefault="00A6477D" w14:paraId="794F93D0" w14:textId="77777777">
            <w:pPr>
              <w:spacing w:before="120"/>
              <w:rPr>
                <w:u w:val="single"/>
              </w:rPr>
            </w:pPr>
          </w:p>
          <w:p w:rsidR="00205B01" w:rsidP="00A6477D" w:rsidRDefault="00205B01" w14:paraId="24D29201" w14:textId="77777777">
            <w:pPr>
              <w:spacing w:before="120"/>
              <w:rPr>
                <w:u w:val="single"/>
              </w:rPr>
            </w:pPr>
          </w:p>
          <w:p w:rsidR="00A6477D" w:rsidP="00A6477D" w:rsidRDefault="00A6477D" w14:paraId="7CE68F77" w14:textId="77777777">
            <w:pPr>
              <w:spacing w:before="120"/>
              <w:rPr>
                <w:u w:val="single"/>
              </w:rPr>
            </w:pPr>
          </w:p>
          <w:p w:rsidRPr="00BC37EB" w:rsidR="00A6477D" w:rsidP="00A6477D" w:rsidRDefault="00A6477D" w14:paraId="341AC0A4" w14:textId="007D7F62">
            <w:pPr>
              <w:spacing w:before="120"/>
              <w:rPr>
                <w:color w:val="000000"/>
                <w:u w:val="single"/>
              </w:rPr>
            </w:pPr>
            <w:r>
              <w:rPr>
                <w:u w:val="single"/>
              </w:rPr>
              <w:t>D. 25-06-002, Houck Concurrence, pages 2-3</w:t>
            </w:r>
          </w:p>
          <w:p w:rsidR="00A6477D" w:rsidP="00A6477D" w:rsidRDefault="00A6477D" w14:paraId="015D2986" w14:textId="77777777">
            <w:pPr>
              <w:spacing w:before="120"/>
              <w:rPr>
                <w:color w:val="000000"/>
              </w:rPr>
            </w:pPr>
          </w:p>
          <w:p w:rsidR="00A6477D" w:rsidP="00A6477D" w:rsidRDefault="00A6477D" w14:paraId="70DC27BB" w14:textId="77777777">
            <w:pPr>
              <w:spacing w:before="120"/>
              <w:rPr>
                <w:color w:val="000000"/>
              </w:rPr>
            </w:pPr>
          </w:p>
        </w:tc>
        <w:tc>
          <w:tcPr>
            <w:tcW w:w="2340" w:type="dxa"/>
          </w:tcPr>
          <w:p w:rsidRPr="007F620E" w:rsidR="00A6477D" w:rsidP="00A6477D" w:rsidRDefault="005C1408" w14:paraId="48ED2659" w14:textId="7FA39F53">
            <w:pPr>
              <w:spacing w:before="120"/>
              <w:rPr>
                <w:color w:val="000000"/>
              </w:rPr>
            </w:pPr>
            <w:r>
              <w:rPr>
                <w:color w:val="000000"/>
              </w:rPr>
              <w:t>Verified</w:t>
            </w:r>
          </w:p>
        </w:tc>
      </w:tr>
      <w:tr w:rsidRPr="007F620E" w:rsidR="00FA5F8E" w:rsidTr="005C1408" w14:paraId="1B6A27F5" w14:textId="77777777">
        <w:tc>
          <w:tcPr>
            <w:tcW w:w="3258" w:type="dxa"/>
          </w:tcPr>
          <w:p w:rsidR="00FA5F8E" w:rsidP="00205B01" w:rsidRDefault="007948AF" w14:paraId="2F58F7FD" w14:textId="0B51292F">
            <w:pPr>
              <w:spacing w:before="100" w:beforeAutospacing="1" w:after="100" w:afterAutospacing="1"/>
              <w:rPr>
                <w:b/>
                <w:color w:val="000000"/>
              </w:rPr>
            </w:pPr>
            <w:r>
              <w:rPr>
                <w:b/>
                <w:color w:val="000000"/>
              </w:rPr>
              <w:t>7</w:t>
            </w:r>
            <w:r w:rsidR="00167763">
              <w:rPr>
                <w:b/>
                <w:color w:val="000000"/>
              </w:rPr>
              <w:t>.</w:t>
            </w:r>
            <w:r w:rsidRPr="00C07F94" w:rsidR="00FA5F8E">
              <w:rPr>
                <w:b/>
                <w:color w:val="000000"/>
              </w:rPr>
              <w:t xml:space="preserve"> </w:t>
            </w:r>
            <w:r w:rsidR="009213F8">
              <w:rPr>
                <w:b/>
                <w:color w:val="000000"/>
              </w:rPr>
              <w:t>PRIORITIZATION</w:t>
            </w:r>
            <w:r w:rsidR="00373BF8">
              <w:rPr>
                <w:b/>
                <w:color w:val="000000"/>
              </w:rPr>
              <w:t xml:space="preserve"> </w:t>
            </w:r>
            <w:r w:rsidR="00D91D79">
              <w:rPr>
                <w:b/>
                <w:color w:val="000000"/>
              </w:rPr>
              <w:t xml:space="preserve">/ </w:t>
            </w:r>
            <w:r w:rsidR="004D6120">
              <w:rPr>
                <w:b/>
                <w:color w:val="000000"/>
              </w:rPr>
              <w:t>Use of VPFs to Promote Affordability and Substitute for Capital Investment</w:t>
            </w:r>
          </w:p>
          <w:p w:rsidR="00C8007A" w:rsidP="00205B01" w:rsidRDefault="00373BF8" w14:paraId="0BF0224F" w14:textId="261CAF66">
            <w:pPr>
              <w:spacing w:before="100" w:beforeAutospacing="1" w:after="100" w:afterAutospacing="1"/>
            </w:pPr>
            <w:r>
              <w:t>TURN outlined the statutor</w:t>
            </w:r>
            <w:r w:rsidR="007E3216">
              <w:t xml:space="preserve">y, </w:t>
            </w:r>
            <w:r>
              <w:t>policy</w:t>
            </w:r>
            <w:r w:rsidR="007E3216">
              <w:t xml:space="preserve"> and economic</w:t>
            </w:r>
            <w:r>
              <w:t xml:space="preserve"> basis for requiring PG&amp;E to apply VPFs to offset capital expenditures on wildfire mitigation and energization projects rather than being used to backstop expense spending that could </w:t>
            </w:r>
            <w:r>
              <w:lastRenderedPageBreak/>
              <w:t xml:space="preserve">benefit shareholders. </w:t>
            </w:r>
            <w:r w:rsidR="006C6D9E">
              <w:t xml:space="preserve">TURN noted the crisis of affordability faced by ratepayers that justifies the use of VPFs to benefit ratepayers. </w:t>
            </w:r>
            <w:r>
              <w:t>TURN provided calculations to support its position, noted the urgent need for VPFs to support capital spending, and urged the Commission to require PG&amp;E to prioritize these uses of the funds</w:t>
            </w:r>
            <w:r w:rsidR="00E47E4C">
              <w:t xml:space="preserve"> to benefit ratepayers.</w:t>
            </w:r>
          </w:p>
          <w:p w:rsidR="001C4CA8" w:rsidP="00205B01" w:rsidRDefault="005F6EAB" w14:paraId="3AE97ECA" w14:textId="77777777">
            <w:pPr>
              <w:spacing w:before="100" w:beforeAutospacing="1" w:after="100" w:afterAutospacing="1"/>
            </w:pPr>
            <w:r>
              <w:t xml:space="preserve">The amended Scoping ruling invited parties to submit proposals in Phase 2 regarding </w:t>
            </w:r>
            <w:r w:rsidR="00C26874">
              <w:t>whether to continue the previously adopted</w:t>
            </w:r>
            <w:r>
              <w:t xml:space="preserve"> framework for VPF expenditures. </w:t>
            </w:r>
          </w:p>
          <w:p w:rsidR="001C4CA8" w:rsidP="00205B01" w:rsidRDefault="001C4CA8" w14:paraId="2A9C15B7" w14:textId="104E601F">
            <w:pPr>
              <w:spacing w:before="100" w:beforeAutospacing="1" w:after="100" w:afterAutospacing="1"/>
            </w:pPr>
            <w:r>
              <w:rPr>
                <w:bCs/>
                <w:color w:val="000000"/>
              </w:rPr>
              <w:t xml:space="preserve">While the Decision does not adopt TURN’s </w:t>
            </w:r>
            <w:r w:rsidR="00205B01">
              <w:rPr>
                <w:bCs/>
                <w:color w:val="000000"/>
              </w:rPr>
              <w:t xml:space="preserve">specific </w:t>
            </w:r>
            <w:r>
              <w:rPr>
                <w:bCs/>
                <w:color w:val="000000"/>
              </w:rPr>
              <w:t>proposal</w:t>
            </w:r>
            <w:r w:rsidR="00205B01">
              <w:rPr>
                <w:bCs/>
                <w:color w:val="000000"/>
              </w:rPr>
              <w:t>s</w:t>
            </w:r>
            <w:r>
              <w:rPr>
                <w:bCs/>
                <w:color w:val="000000"/>
              </w:rPr>
              <w:t xml:space="preserve">, it “strongly encourages PG&amp;E to take their underlying reasoning into account as a guiding principle during the VPF planning process.” (page 16) The Decision explains that TURN’s recommendation shares “a common theme” with similar recommendations by A4NR and </w:t>
            </w:r>
            <w:proofErr w:type="spellStart"/>
            <w:r>
              <w:rPr>
                <w:bCs/>
                <w:color w:val="000000"/>
              </w:rPr>
              <w:t>CalCCA</w:t>
            </w:r>
            <w:proofErr w:type="spellEnd"/>
            <w:r>
              <w:rPr>
                <w:bCs/>
                <w:color w:val="000000"/>
              </w:rPr>
              <w:t xml:space="preserve">, “benefiting ratepayers through the efficient spending of VPFs in ways that reduce upward pressure on rates” (page 16). Recognizing the value of this goal, the Decision “encourage[s] PG&amp;E to look for opportunities to structure and plan expenditures in ways that provide additional benefits for ratepayers”. (page 17) Specifically, the Decision states that “VPF spending on </w:t>
            </w:r>
            <w:r>
              <w:rPr>
                <w:bCs/>
                <w:color w:val="000000"/>
              </w:rPr>
              <w:lastRenderedPageBreak/>
              <w:t>capital projects, particularly distribution and transmission projects, and the acceleration of existing projects, are options PG&amp;E could consider in its VPF plans in order to reduce upward rate pressure.”(page 17) To support this outcome, the Decision “adopt[s] affordability as a guiding principle in VPF spending that PG&amp;E is encouraged to apply.” (page 17) The Decision requires PG&amp;E to “explain this alignment” with affordability in VPF spending plan submittals.</w:t>
            </w:r>
          </w:p>
          <w:p w:rsidRPr="00E47E4C" w:rsidR="00FA5F8E" w:rsidP="00205B01" w:rsidRDefault="005F6EAB" w14:paraId="557E91A6" w14:textId="348B2988">
            <w:pPr>
              <w:spacing w:before="100" w:beforeAutospacing="1" w:after="100" w:afterAutospacing="1"/>
            </w:pPr>
            <w:r>
              <w:t>T</w:t>
            </w:r>
            <w:r w:rsidR="00C8007A">
              <w:t xml:space="preserve">he Concurrence of Commissioner Houck agrees with TURN’s concerns regarding the fungibility of cash and the ability of PG&amp;E to use VPFs to benefit shareholders. The Concurrence finds that the Commission “should be directing PG&amp;E to prioritize spending of VPFs in a way that reduces rates such as offsetting capital costs for energization or wildfire mitigation costs. Doing so would provide a material benefit for ratepayers while eliminating cost that would otherwise go into rate base.” (page 7) </w:t>
            </w:r>
          </w:p>
        </w:tc>
        <w:tc>
          <w:tcPr>
            <w:tcW w:w="4140" w:type="dxa"/>
          </w:tcPr>
          <w:p w:rsidR="00FA5F8E" w:rsidP="00A92D0B" w:rsidRDefault="00FA5F8E" w14:paraId="75823FD9" w14:textId="77777777">
            <w:pPr>
              <w:spacing w:before="120"/>
              <w:rPr>
                <w:color w:val="000000"/>
              </w:rPr>
            </w:pPr>
          </w:p>
          <w:p w:rsidR="00841879" w:rsidP="00A92D0B" w:rsidRDefault="00841879" w14:paraId="296C6F66" w14:textId="77777777">
            <w:pPr>
              <w:spacing w:before="120"/>
              <w:rPr>
                <w:color w:val="000000"/>
              </w:rPr>
            </w:pPr>
          </w:p>
          <w:p w:rsidR="00841879" w:rsidP="00A92D0B" w:rsidRDefault="00841879" w14:paraId="48DAFD84" w14:textId="77777777">
            <w:pPr>
              <w:spacing w:before="120"/>
              <w:rPr>
                <w:color w:val="000000"/>
              </w:rPr>
            </w:pPr>
          </w:p>
          <w:p w:rsidR="00C8007A" w:rsidP="00A92D0B" w:rsidRDefault="00C8007A" w14:paraId="703E0F95" w14:textId="77777777">
            <w:pPr>
              <w:spacing w:before="120"/>
              <w:rPr>
                <w:color w:val="000000"/>
              </w:rPr>
            </w:pPr>
          </w:p>
          <w:p w:rsidR="00373BF8" w:rsidP="00C8007A" w:rsidRDefault="00373BF8" w14:paraId="57689AF8" w14:textId="77777777">
            <w:pPr>
              <w:spacing w:before="120"/>
              <w:rPr>
                <w:u w:val="single"/>
              </w:rPr>
            </w:pPr>
          </w:p>
          <w:p w:rsidR="00373BF8" w:rsidP="00C8007A" w:rsidRDefault="00373BF8" w14:paraId="2AA357DC" w14:textId="034EB2E9">
            <w:pPr>
              <w:spacing w:before="120"/>
              <w:rPr>
                <w:u w:val="single"/>
              </w:rPr>
            </w:pPr>
            <w:r>
              <w:rPr>
                <w:u w:val="single"/>
              </w:rPr>
              <w:t>Proposal of TURN on Phase 2 Issues, Augus</w:t>
            </w:r>
            <w:r w:rsidR="00F75E59">
              <w:rPr>
                <w:u w:val="single"/>
              </w:rPr>
              <w:t>t</w:t>
            </w:r>
            <w:r>
              <w:rPr>
                <w:u w:val="single"/>
              </w:rPr>
              <w:t xml:space="preserve"> 15, 2025, pages </w:t>
            </w:r>
            <w:r w:rsidR="00D802BB">
              <w:rPr>
                <w:u w:val="single"/>
              </w:rPr>
              <w:t>3</w:t>
            </w:r>
            <w:r>
              <w:rPr>
                <w:u w:val="single"/>
              </w:rPr>
              <w:t>-15.</w:t>
            </w:r>
          </w:p>
          <w:p w:rsidRPr="00BC7A19" w:rsidR="00F75E59" w:rsidP="00F75E59" w:rsidRDefault="00F75E59" w14:paraId="79B1A6E1" w14:textId="007ED29A">
            <w:pPr>
              <w:spacing w:before="120"/>
              <w:rPr>
                <w:color w:val="000000"/>
                <w:u w:val="single"/>
              </w:rPr>
            </w:pPr>
            <w:r>
              <w:rPr>
                <w:color w:val="000000"/>
                <w:u w:val="single"/>
              </w:rPr>
              <w:t>TURN reply comments on Proposals for the Use of Volumetric Performance Fees, October 3, 2024, pages 4-18</w:t>
            </w:r>
          </w:p>
          <w:p w:rsidR="00F75E59" w:rsidP="00C8007A" w:rsidRDefault="00F75E59" w14:paraId="23045EB2" w14:textId="77777777">
            <w:pPr>
              <w:spacing w:before="120"/>
              <w:rPr>
                <w:u w:val="single"/>
              </w:rPr>
            </w:pPr>
          </w:p>
          <w:p w:rsidR="00373BF8" w:rsidP="00C8007A" w:rsidRDefault="00373BF8" w14:paraId="3E66F384" w14:textId="77777777">
            <w:pPr>
              <w:spacing w:before="120"/>
              <w:rPr>
                <w:u w:val="single"/>
              </w:rPr>
            </w:pPr>
          </w:p>
          <w:p w:rsidR="00373BF8" w:rsidP="00C8007A" w:rsidRDefault="00373BF8" w14:paraId="1D49ACD9" w14:textId="77777777">
            <w:pPr>
              <w:spacing w:before="120"/>
              <w:rPr>
                <w:u w:val="single"/>
              </w:rPr>
            </w:pPr>
          </w:p>
          <w:p w:rsidR="00373BF8" w:rsidP="00C8007A" w:rsidRDefault="00373BF8" w14:paraId="6AFCE617" w14:textId="77777777">
            <w:pPr>
              <w:spacing w:before="120"/>
              <w:rPr>
                <w:u w:val="single"/>
              </w:rPr>
            </w:pPr>
          </w:p>
          <w:p w:rsidR="00373BF8" w:rsidP="00C8007A" w:rsidRDefault="00373BF8" w14:paraId="2E24A78D" w14:textId="77777777">
            <w:pPr>
              <w:spacing w:before="120"/>
              <w:rPr>
                <w:u w:val="single"/>
              </w:rPr>
            </w:pPr>
          </w:p>
          <w:p w:rsidR="00373BF8" w:rsidP="00C8007A" w:rsidRDefault="00373BF8" w14:paraId="13CFF9A5" w14:textId="77777777">
            <w:pPr>
              <w:spacing w:before="120"/>
              <w:rPr>
                <w:u w:val="single"/>
              </w:rPr>
            </w:pPr>
          </w:p>
          <w:p w:rsidR="00373BF8" w:rsidP="00C8007A" w:rsidRDefault="00373BF8" w14:paraId="68337B52" w14:textId="77777777">
            <w:pPr>
              <w:spacing w:before="120"/>
              <w:rPr>
                <w:u w:val="single"/>
              </w:rPr>
            </w:pPr>
          </w:p>
          <w:p w:rsidR="00E47E4C" w:rsidP="00C8007A" w:rsidRDefault="00E47E4C" w14:paraId="59EA457E" w14:textId="77777777">
            <w:pPr>
              <w:spacing w:before="120"/>
              <w:rPr>
                <w:u w:val="single"/>
              </w:rPr>
            </w:pPr>
          </w:p>
          <w:p w:rsidR="00701FF6" w:rsidP="00C8007A" w:rsidRDefault="00701FF6" w14:paraId="12C6CA17" w14:textId="77777777">
            <w:pPr>
              <w:spacing w:before="120"/>
              <w:rPr>
                <w:szCs w:val="22"/>
                <w:u w:val="single"/>
              </w:rPr>
            </w:pPr>
          </w:p>
          <w:p w:rsidR="00701FF6" w:rsidP="00C8007A" w:rsidRDefault="00701FF6" w14:paraId="39E72350" w14:textId="77777777">
            <w:pPr>
              <w:spacing w:before="120"/>
              <w:rPr>
                <w:szCs w:val="22"/>
                <w:u w:val="single"/>
              </w:rPr>
            </w:pPr>
          </w:p>
          <w:p w:rsidRPr="005F6EAB" w:rsidR="00E47E4C" w:rsidP="00C8007A" w:rsidRDefault="005F6EAB" w14:paraId="33BEBB2D" w14:textId="046BE2C4">
            <w:pPr>
              <w:spacing w:before="120"/>
              <w:rPr>
                <w:u w:val="single"/>
              </w:rPr>
            </w:pPr>
            <w:r w:rsidRPr="005F6EAB">
              <w:rPr>
                <w:szCs w:val="22"/>
                <w:u w:val="single"/>
              </w:rPr>
              <w:t>Assigned Commissioner Amended Scoping Memo, August 15, 2024, page 2, Issue 1.</w:t>
            </w:r>
          </w:p>
          <w:p w:rsidR="00E47E4C" w:rsidP="00C8007A" w:rsidRDefault="00E47E4C" w14:paraId="4BE33887" w14:textId="77777777">
            <w:pPr>
              <w:spacing w:before="120"/>
              <w:rPr>
                <w:u w:val="single"/>
              </w:rPr>
            </w:pPr>
          </w:p>
          <w:p w:rsidR="001C4CA8" w:rsidP="00C8007A" w:rsidRDefault="001C4CA8" w14:paraId="148C7DF5" w14:textId="77777777">
            <w:pPr>
              <w:spacing w:before="120"/>
              <w:rPr>
                <w:u w:val="single"/>
              </w:rPr>
            </w:pPr>
          </w:p>
          <w:p w:rsidR="00554C0F" w:rsidP="00C8007A" w:rsidRDefault="00554C0F" w14:paraId="508D3E33" w14:textId="77777777">
            <w:pPr>
              <w:spacing w:before="120"/>
              <w:rPr>
                <w:u w:val="single"/>
              </w:rPr>
            </w:pPr>
          </w:p>
          <w:p w:rsidR="00554C0F" w:rsidP="00C8007A" w:rsidRDefault="00554C0F" w14:paraId="43AFFE89" w14:textId="77777777">
            <w:pPr>
              <w:spacing w:before="120"/>
              <w:rPr>
                <w:u w:val="single"/>
              </w:rPr>
            </w:pPr>
          </w:p>
          <w:p w:rsidR="007F2D41" w:rsidP="00C8007A" w:rsidRDefault="007F2D41" w14:paraId="4B7F6B9F" w14:textId="77777777">
            <w:pPr>
              <w:spacing w:before="120"/>
              <w:rPr>
                <w:u w:val="single"/>
              </w:rPr>
            </w:pPr>
          </w:p>
          <w:p w:rsidRPr="00BC37EB" w:rsidR="001C4CA8" w:rsidP="001C4CA8" w:rsidRDefault="001C4CA8" w14:paraId="27264365" w14:textId="77777777">
            <w:pPr>
              <w:spacing w:before="120"/>
              <w:rPr>
                <w:color w:val="000000"/>
                <w:u w:val="single"/>
              </w:rPr>
            </w:pPr>
            <w:r>
              <w:rPr>
                <w:u w:val="single"/>
              </w:rPr>
              <w:t>D. 25-06-002, pages 16-17</w:t>
            </w:r>
          </w:p>
          <w:p w:rsidR="001C4CA8" w:rsidP="00C8007A" w:rsidRDefault="001C4CA8" w14:paraId="7214E872" w14:textId="77777777">
            <w:pPr>
              <w:spacing w:before="120"/>
              <w:rPr>
                <w:u w:val="single"/>
              </w:rPr>
            </w:pPr>
          </w:p>
          <w:p w:rsidR="001C4CA8" w:rsidP="00C8007A" w:rsidRDefault="001C4CA8" w14:paraId="10B1CE12" w14:textId="77777777">
            <w:pPr>
              <w:spacing w:before="120"/>
              <w:rPr>
                <w:u w:val="single"/>
              </w:rPr>
            </w:pPr>
          </w:p>
          <w:p w:rsidR="001C4CA8" w:rsidP="00C8007A" w:rsidRDefault="001C4CA8" w14:paraId="4C7742BF" w14:textId="77777777">
            <w:pPr>
              <w:spacing w:before="120"/>
              <w:rPr>
                <w:u w:val="single"/>
              </w:rPr>
            </w:pPr>
          </w:p>
          <w:p w:rsidR="001C4CA8" w:rsidP="00C8007A" w:rsidRDefault="001C4CA8" w14:paraId="763115F4" w14:textId="77777777">
            <w:pPr>
              <w:spacing w:before="120"/>
              <w:rPr>
                <w:u w:val="single"/>
              </w:rPr>
            </w:pPr>
          </w:p>
          <w:p w:rsidR="001C4CA8" w:rsidP="00C8007A" w:rsidRDefault="001C4CA8" w14:paraId="0906BAC3" w14:textId="77777777">
            <w:pPr>
              <w:spacing w:before="120"/>
              <w:rPr>
                <w:u w:val="single"/>
              </w:rPr>
            </w:pPr>
          </w:p>
          <w:p w:rsidR="001C4CA8" w:rsidP="00C8007A" w:rsidRDefault="001C4CA8" w14:paraId="03973664" w14:textId="77777777">
            <w:pPr>
              <w:spacing w:before="120"/>
              <w:rPr>
                <w:u w:val="single"/>
              </w:rPr>
            </w:pPr>
          </w:p>
          <w:p w:rsidR="001C4CA8" w:rsidP="00C8007A" w:rsidRDefault="001C4CA8" w14:paraId="4CCEE066" w14:textId="77777777">
            <w:pPr>
              <w:spacing w:before="120"/>
              <w:rPr>
                <w:u w:val="single"/>
              </w:rPr>
            </w:pPr>
          </w:p>
          <w:p w:rsidR="001C4CA8" w:rsidP="00C8007A" w:rsidRDefault="001C4CA8" w14:paraId="4B443CBC" w14:textId="77777777">
            <w:pPr>
              <w:spacing w:before="120"/>
              <w:rPr>
                <w:u w:val="single"/>
              </w:rPr>
            </w:pPr>
          </w:p>
          <w:p w:rsidR="001C4CA8" w:rsidP="00C8007A" w:rsidRDefault="001C4CA8" w14:paraId="4C0D0246" w14:textId="77777777">
            <w:pPr>
              <w:spacing w:before="120"/>
              <w:rPr>
                <w:u w:val="single"/>
              </w:rPr>
            </w:pPr>
          </w:p>
          <w:p w:rsidR="001C4CA8" w:rsidP="00C8007A" w:rsidRDefault="001C4CA8" w14:paraId="3B4891EA" w14:textId="77777777">
            <w:pPr>
              <w:spacing w:before="120"/>
              <w:rPr>
                <w:u w:val="single"/>
              </w:rPr>
            </w:pPr>
          </w:p>
          <w:p w:rsidR="001C4CA8" w:rsidP="00C8007A" w:rsidRDefault="001C4CA8" w14:paraId="67AE421D" w14:textId="77777777">
            <w:pPr>
              <w:spacing w:before="120"/>
              <w:rPr>
                <w:u w:val="single"/>
              </w:rPr>
            </w:pPr>
          </w:p>
          <w:p w:rsidR="001C4CA8" w:rsidP="00C8007A" w:rsidRDefault="001C4CA8" w14:paraId="4B8002F8" w14:textId="77777777">
            <w:pPr>
              <w:spacing w:before="120"/>
              <w:rPr>
                <w:u w:val="single"/>
              </w:rPr>
            </w:pPr>
          </w:p>
          <w:p w:rsidR="001C4CA8" w:rsidP="00C8007A" w:rsidRDefault="001C4CA8" w14:paraId="2E1CFEC4" w14:textId="77777777">
            <w:pPr>
              <w:spacing w:before="120"/>
              <w:rPr>
                <w:u w:val="single"/>
              </w:rPr>
            </w:pPr>
          </w:p>
          <w:p w:rsidR="001C4CA8" w:rsidP="00C8007A" w:rsidRDefault="001C4CA8" w14:paraId="5C1BFB0E" w14:textId="77777777">
            <w:pPr>
              <w:spacing w:before="120"/>
              <w:rPr>
                <w:u w:val="single"/>
              </w:rPr>
            </w:pPr>
          </w:p>
          <w:p w:rsidR="001C4CA8" w:rsidP="00C8007A" w:rsidRDefault="001C4CA8" w14:paraId="689A5E34" w14:textId="77777777">
            <w:pPr>
              <w:spacing w:before="120"/>
              <w:rPr>
                <w:u w:val="single"/>
              </w:rPr>
            </w:pPr>
          </w:p>
          <w:p w:rsidR="001C4CA8" w:rsidP="00C8007A" w:rsidRDefault="001C4CA8" w14:paraId="41D2DD78" w14:textId="77777777">
            <w:pPr>
              <w:spacing w:before="120"/>
              <w:rPr>
                <w:u w:val="single"/>
              </w:rPr>
            </w:pPr>
          </w:p>
          <w:p w:rsidR="001C4CA8" w:rsidP="00C8007A" w:rsidRDefault="001C4CA8" w14:paraId="47DDF78A" w14:textId="77777777">
            <w:pPr>
              <w:spacing w:before="120"/>
              <w:rPr>
                <w:u w:val="single"/>
              </w:rPr>
            </w:pPr>
          </w:p>
          <w:p w:rsidR="001C4CA8" w:rsidP="00C8007A" w:rsidRDefault="001C4CA8" w14:paraId="05BE7FA0" w14:textId="77777777">
            <w:pPr>
              <w:spacing w:before="120"/>
              <w:rPr>
                <w:u w:val="single"/>
              </w:rPr>
            </w:pPr>
          </w:p>
          <w:p w:rsidR="001C4CA8" w:rsidP="00C8007A" w:rsidRDefault="001C4CA8" w14:paraId="4FD59CFD" w14:textId="77777777">
            <w:pPr>
              <w:spacing w:before="120"/>
              <w:rPr>
                <w:u w:val="single"/>
              </w:rPr>
            </w:pPr>
          </w:p>
          <w:p w:rsidR="001C4CA8" w:rsidP="00C8007A" w:rsidRDefault="001C4CA8" w14:paraId="4D16A2EC" w14:textId="77777777">
            <w:pPr>
              <w:spacing w:before="120"/>
              <w:rPr>
                <w:u w:val="single"/>
              </w:rPr>
            </w:pPr>
          </w:p>
          <w:p w:rsidR="001C4CA8" w:rsidP="00FD57A5" w:rsidRDefault="001C4CA8" w14:paraId="3B57F974" w14:textId="77777777">
            <w:pPr>
              <w:spacing w:before="120"/>
              <w:rPr>
                <w:u w:val="single"/>
              </w:rPr>
            </w:pPr>
          </w:p>
          <w:p w:rsidR="001C4CA8" w:rsidP="00FD57A5" w:rsidRDefault="001C4CA8" w14:paraId="40E360DE" w14:textId="77777777">
            <w:pPr>
              <w:spacing w:before="120"/>
              <w:rPr>
                <w:u w:val="single"/>
              </w:rPr>
            </w:pPr>
          </w:p>
          <w:p w:rsidR="001C4CA8" w:rsidP="00FD57A5" w:rsidRDefault="001C4CA8" w14:paraId="451C632D" w14:textId="77777777">
            <w:pPr>
              <w:spacing w:before="120"/>
              <w:rPr>
                <w:u w:val="single"/>
              </w:rPr>
            </w:pPr>
          </w:p>
          <w:p w:rsidR="001C4CA8" w:rsidP="00FD57A5" w:rsidRDefault="001C4CA8" w14:paraId="6DDB44DA" w14:textId="77777777">
            <w:pPr>
              <w:spacing w:before="120"/>
              <w:rPr>
                <w:u w:val="single"/>
              </w:rPr>
            </w:pPr>
          </w:p>
          <w:p w:rsidR="001C4CA8" w:rsidP="00FD57A5" w:rsidRDefault="001C4CA8" w14:paraId="1C0AD080" w14:textId="77777777">
            <w:pPr>
              <w:spacing w:before="120"/>
              <w:rPr>
                <w:u w:val="single"/>
              </w:rPr>
            </w:pPr>
          </w:p>
          <w:p w:rsidR="001C4CA8" w:rsidP="00FD57A5" w:rsidRDefault="001C4CA8" w14:paraId="62D562FF" w14:textId="77777777">
            <w:pPr>
              <w:spacing w:before="120"/>
              <w:rPr>
                <w:u w:val="single"/>
              </w:rPr>
            </w:pPr>
          </w:p>
          <w:p w:rsidR="001C4CA8" w:rsidP="00FD57A5" w:rsidRDefault="001C4CA8" w14:paraId="558A927A" w14:textId="77777777">
            <w:pPr>
              <w:spacing w:before="120"/>
              <w:rPr>
                <w:u w:val="single"/>
              </w:rPr>
            </w:pPr>
          </w:p>
          <w:p w:rsidR="001C4CA8" w:rsidP="00FD57A5" w:rsidRDefault="001C4CA8" w14:paraId="7CED7111" w14:textId="77777777">
            <w:pPr>
              <w:spacing w:before="120"/>
              <w:rPr>
                <w:u w:val="single"/>
              </w:rPr>
            </w:pPr>
          </w:p>
          <w:p w:rsidR="001C4CA8" w:rsidP="00FD57A5" w:rsidRDefault="001C4CA8" w14:paraId="715844EA" w14:textId="77777777">
            <w:pPr>
              <w:spacing w:before="120"/>
              <w:rPr>
                <w:u w:val="single"/>
              </w:rPr>
            </w:pPr>
          </w:p>
          <w:p w:rsidR="001C4CA8" w:rsidP="00FD57A5" w:rsidRDefault="001C4CA8" w14:paraId="01C0A3BC" w14:textId="77777777">
            <w:pPr>
              <w:spacing w:before="120"/>
              <w:rPr>
                <w:u w:val="single"/>
              </w:rPr>
            </w:pPr>
          </w:p>
          <w:p w:rsidR="001C4CA8" w:rsidP="00FD57A5" w:rsidRDefault="001C4CA8" w14:paraId="3EBA66DB" w14:textId="77777777">
            <w:pPr>
              <w:spacing w:before="120"/>
              <w:rPr>
                <w:u w:val="single"/>
              </w:rPr>
            </w:pPr>
          </w:p>
          <w:p w:rsidR="001C4CA8" w:rsidP="00FD57A5" w:rsidRDefault="001C4CA8" w14:paraId="395B9420" w14:textId="77777777">
            <w:pPr>
              <w:spacing w:before="120"/>
              <w:rPr>
                <w:u w:val="single"/>
              </w:rPr>
            </w:pPr>
          </w:p>
          <w:p w:rsidRPr="00BC37EB" w:rsidR="00FD57A5" w:rsidP="00FD57A5" w:rsidRDefault="00FD57A5" w14:paraId="481F0B5E" w14:textId="1008B6DA">
            <w:pPr>
              <w:spacing w:before="120"/>
              <w:rPr>
                <w:color w:val="000000"/>
                <w:u w:val="single"/>
              </w:rPr>
            </w:pPr>
            <w:r>
              <w:rPr>
                <w:u w:val="single"/>
              </w:rPr>
              <w:t>D. 25-06-002, Houck Concurrence, pages 6-7</w:t>
            </w:r>
          </w:p>
          <w:p w:rsidR="00FD57A5" w:rsidP="00A92D0B" w:rsidRDefault="00FD57A5" w14:paraId="73A669EA" w14:textId="2AA8FA85">
            <w:pPr>
              <w:spacing w:before="120"/>
              <w:rPr>
                <w:color w:val="000000"/>
              </w:rPr>
            </w:pPr>
          </w:p>
        </w:tc>
        <w:tc>
          <w:tcPr>
            <w:tcW w:w="2340" w:type="dxa"/>
          </w:tcPr>
          <w:p w:rsidRPr="007F620E" w:rsidR="00FA5F8E" w:rsidP="00A92D0B" w:rsidRDefault="005C1408" w14:paraId="523A2354" w14:textId="103F9B00">
            <w:pPr>
              <w:spacing w:before="120"/>
              <w:rPr>
                <w:color w:val="000000"/>
              </w:rPr>
            </w:pPr>
            <w:r>
              <w:rPr>
                <w:color w:val="000000"/>
              </w:rPr>
              <w:lastRenderedPageBreak/>
              <w:t>Verified</w:t>
            </w:r>
          </w:p>
        </w:tc>
      </w:tr>
    </w:tbl>
    <w:p w:rsidR="00DC2741" w:rsidRDefault="00DC2741" w14:paraId="161A1464" w14:textId="55E51770"/>
    <w:p w:rsidR="009F1EDA" w:rsidRDefault="009F1EDA" w14:paraId="7D75F1D7" w14:textId="77777777">
      <w:r>
        <w:br w:type="page"/>
      </w:r>
    </w:p>
    <w:p w:rsidRPr="007F620E" w:rsidR="00A92D0B" w:rsidP="00DE3A5D" w:rsidRDefault="00A92D0B" w14:paraId="0D4BCD3A" w14:textId="77777777">
      <w:pPr>
        <w:keepNext/>
        <w:keepLines/>
        <w:numPr>
          <w:ilvl w:val="0"/>
          <w:numId w:val="1"/>
        </w:numPr>
        <w:tabs>
          <w:tab w:val="clear" w:pos="900"/>
          <w:tab w:val="num" w:pos="360"/>
        </w:tabs>
        <w:spacing w:after="120"/>
        <w:ind w:left="360"/>
        <w:rPr>
          <w:b/>
          <w:color w:val="000000"/>
        </w:rPr>
      </w:pPr>
      <w:r w:rsidRPr="007F620E">
        <w:rPr>
          <w:b/>
          <w:color w:val="000000"/>
        </w:rPr>
        <w:lastRenderedPageBreak/>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48"/>
        <w:gridCol w:w="1710"/>
        <w:gridCol w:w="1980"/>
      </w:tblGrid>
      <w:tr w:rsidRPr="007F620E" w:rsidR="00A92D0B" w:rsidTr="003B6A1B" w14:paraId="76F3266C" w14:textId="77777777">
        <w:tc>
          <w:tcPr>
            <w:tcW w:w="6048" w:type="dxa"/>
            <w:shd w:val="clear" w:color="auto" w:fill="D9D9D9" w:themeFill="background1" w:themeFillShade="D9"/>
          </w:tcPr>
          <w:p w:rsidRPr="007F620E" w:rsidR="00A92D0B" w:rsidP="00DE3A5D" w:rsidRDefault="00A92D0B" w14:paraId="300CEDBC" w14:textId="77777777">
            <w:pPr>
              <w:keepNext/>
              <w:keepLines/>
              <w:spacing w:before="120"/>
              <w:rPr>
                <w:color w:val="000000"/>
              </w:rPr>
            </w:pPr>
          </w:p>
        </w:tc>
        <w:tc>
          <w:tcPr>
            <w:tcW w:w="1710" w:type="dxa"/>
            <w:tcBorders>
              <w:bottom w:val="single" w:color="auto" w:sz="4" w:space="0"/>
            </w:tcBorders>
            <w:shd w:val="clear" w:color="auto" w:fill="D9D9D9" w:themeFill="background1" w:themeFillShade="D9"/>
          </w:tcPr>
          <w:p w:rsidRPr="007F620E" w:rsidR="00A92D0B" w:rsidP="00DE3A5D" w:rsidRDefault="005A63D4" w14:paraId="7B091096" w14:textId="77777777">
            <w:pPr>
              <w:keepNext/>
              <w:keepLines/>
              <w:spacing w:before="120"/>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D075B1" w:rsidRDefault="00A92D0B" w14:paraId="25CE5081" w14:textId="77777777">
            <w:pPr>
              <w:keepNext/>
              <w:keepLines/>
              <w:spacing w:before="120"/>
              <w:jc w:val="center"/>
              <w:rPr>
                <w:b/>
                <w:color w:val="000000"/>
              </w:rPr>
            </w:pPr>
            <w:r w:rsidRPr="007F620E">
              <w:rPr>
                <w:b/>
                <w:color w:val="000000"/>
              </w:rPr>
              <w:t xml:space="preserve">CPUC </w:t>
            </w:r>
            <w:r w:rsidRPr="007F620E" w:rsidR="00D075B1">
              <w:rPr>
                <w:b/>
                <w:color w:val="000000"/>
              </w:rPr>
              <w:t>Discussion</w:t>
            </w:r>
          </w:p>
        </w:tc>
      </w:tr>
      <w:tr w:rsidRPr="007F620E" w:rsidR="00A92D0B" w:rsidTr="005C1408" w14:paraId="24A12BE1" w14:textId="77777777">
        <w:tc>
          <w:tcPr>
            <w:tcW w:w="6048" w:type="dxa"/>
          </w:tcPr>
          <w:p w:rsidRPr="007F620E" w:rsidR="00A92D0B" w:rsidP="00DE3A5D" w:rsidRDefault="00A92D0B" w14:paraId="6915FAF6" w14:textId="02FFD8A2">
            <w:pPr>
              <w:keepNext/>
              <w:keepLines/>
              <w:spacing w:before="120"/>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474A73" w:rsidRDefault="00474A73" w14:paraId="0B49A7C8" w14:textId="28C4E33E">
            <w:pPr>
              <w:keepNext/>
              <w:keepLines/>
              <w:spacing w:before="120"/>
              <w:jc w:val="center"/>
              <w:rPr>
                <w:color w:val="000000"/>
              </w:rPr>
            </w:pPr>
            <w:r>
              <w:rPr>
                <w:color w:val="000000"/>
              </w:rPr>
              <w:t>Yes</w:t>
            </w:r>
          </w:p>
        </w:tc>
        <w:tc>
          <w:tcPr>
            <w:tcW w:w="1980" w:type="dxa"/>
          </w:tcPr>
          <w:p w:rsidRPr="00E25078" w:rsidR="00A92D0B" w:rsidP="00DE3A5D" w:rsidRDefault="005C1408" w14:paraId="23B6532A" w14:textId="24A588B7">
            <w:pPr>
              <w:keepNext/>
              <w:keepLines/>
              <w:spacing w:before="120"/>
              <w:rPr>
                <w:color w:val="000000"/>
              </w:rPr>
            </w:pPr>
            <w:r>
              <w:rPr>
                <w:color w:val="000000"/>
              </w:rPr>
              <w:t>Verified</w:t>
            </w:r>
          </w:p>
        </w:tc>
      </w:tr>
      <w:tr w:rsidRPr="007F620E" w:rsidR="00A92D0B" w:rsidTr="005C1408" w14:paraId="3317BD71" w14:textId="77777777">
        <w:tc>
          <w:tcPr>
            <w:tcW w:w="6048" w:type="dxa"/>
          </w:tcPr>
          <w:p w:rsidRPr="007F620E" w:rsidR="00A92D0B" w:rsidP="00A92D0B" w:rsidRDefault="00A92D0B" w14:paraId="561D245D" w14:textId="77777777">
            <w:pPr>
              <w:tabs>
                <w:tab w:val="left" w:pos="360"/>
              </w:tabs>
              <w:spacing w:before="120"/>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A92D0B" w:rsidP="00474A73" w:rsidRDefault="00B602D1" w14:paraId="3708E485" w14:textId="1EC477BB">
            <w:pPr>
              <w:spacing w:before="120"/>
              <w:jc w:val="center"/>
              <w:rPr>
                <w:color w:val="000000"/>
              </w:rPr>
            </w:pPr>
            <w:r>
              <w:rPr>
                <w:color w:val="000000"/>
              </w:rPr>
              <w:t>Yes</w:t>
            </w:r>
          </w:p>
        </w:tc>
        <w:tc>
          <w:tcPr>
            <w:tcW w:w="1980" w:type="dxa"/>
          </w:tcPr>
          <w:p w:rsidRPr="00E25078" w:rsidR="00A92D0B" w:rsidP="00A92D0B" w:rsidRDefault="005C1408" w14:paraId="6B3388E6" w14:textId="1AF1B6B0">
            <w:pPr>
              <w:spacing w:before="120"/>
              <w:rPr>
                <w:color w:val="000000"/>
              </w:rPr>
            </w:pPr>
            <w:r>
              <w:rPr>
                <w:color w:val="000000"/>
              </w:rPr>
              <w:t>Noted</w:t>
            </w:r>
          </w:p>
        </w:tc>
      </w:tr>
      <w:tr w:rsidRPr="007F620E" w:rsidR="00A92D0B" w:rsidTr="005C1408" w14:paraId="0A51B7D4" w14:textId="77777777">
        <w:tc>
          <w:tcPr>
            <w:tcW w:w="7758" w:type="dxa"/>
            <w:gridSpan w:val="2"/>
          </w:tcPr>
          <w:p w:rsidRPr="00E25078" w:rsidR="00A92D0B" w:rsidP="00A92D0B" w:rsidRDefault="00A92D0B" w14:paraId="30CB6275" w14:textId="7D63B4F2">
            <w:pPr>
              <w:spacing w:before="120"/>
              <w:ind w:left="360" w:hanging="360"/>
              <w:rPr>
                <w:color w:val="000000"/>
              </w:rPr>
            </w:pPr>
            <w:proofErr w:type="gramStart"/>
            <w:r w:rsidRPr="00E25078">
              <w:rPr>
                <w:b/>
                <w:color w:val="000000"/>
              </w:rPr>
              <w:t>c.</w:t>
            </w:r>
            <w:r w:rsidRPr="00E25078">
              <w:rPr>
                <w:b/>
                <w:color w:val="000000"/>
              </w:rPr>
              <w:tab/>
              <w:t>If</w:t>
            </w:r>
            <w:proofErr w:type="gramEnd"/>
            <w:r w:rsidRPr="00E25078">
              <w:rPr>
                <w:b/>
                <w:color w:val="000000"/>
              </w:rPr>
              <w:t xml:space="preserve"> so, provide name of other parties:</w:t>
            </w:r>
            <w:r w:rsidRPr="00E25078" w:rsidR="00E25078">
              <w:rPr>
                <w:color w:val="000000"/>
              </w:rPr>
              <w:t xml:space="preserve"> </w:t>
            </w:r>
          </w:p>
          <w:p w:rsidRPr="00E25078" w:rsidR="00691528" w:rsidP="00691528" w:rsidRDefault="00691528" w14:paraId="058CE425" w14:textId="77777777">
            <w:pPr>
              <w:ind w:left="360" w:hanging="360"/>
              <w:rPr>
                <w:color w:val="000000"/>
              </w:rPr>
            </w:pPr>
          </w:p>
          <w:p w:rsidRPr="00E25078" w:rsidR="00A92D0B" w:rsidP="007942C7" w:rsidRDefault="00B602D1" w14:paraId="0919176B" w14:textId="21F74BBA">
            <w:pPr>
              <w:rPr>
                <w:color w:val="000000"/>
              </w:rPr>
            </w:pPr>
            <w:r>
              <w:rPr>
                <w:color w:val="000000"/>
              </w:rPr>
              <w:t>Alliance for Nuclear Responsibility</w:t>
            </w:r>
            <w:r w:rsidR="00D87BF6">
              <w:rPr>
                <w:color w:val="000000"/>
              </w:rPr>
              <w:t xml:space="preserve"> (A4NR)</w:t>
            </w:r>
            <w:r>
              <w:rPr>
                <w:color w:val="000000"/>
              </w:rPr>
              <w:t xml:space="preserve">, </w:t>
            </w:r>
            <w:r w:rsidR="00D65034">
              <w:rPr>
                <w:color w:val="000000"/>
              </w:rPr>
              <w:t>Small Business Utility Advocates</w:t>
            </w:r>
            <w:r w:rsidR="00D87BF6">
              <w:rPr>
                <w:color w:val="000000"/>
              </w:rPr>
              <w:t xml:space="preserve"> (SBUA)</w:t>
            </w:r>
            <w:r w:rsidR="00CE7A1C">
              <w:rPr>
                <w:color w:val="000000"/>
              </w:rPr>
              <w:t>, Green Power Institute</w:t>
            </w:r>
            <w:r w:rsidR="00D65034">
              <w:rPr>
                <w:color w:val="000000"/>
              </w:rPr>
              <w:t xml:space="preserve"> </w:t>
            </w:r>
            <w:r w:rsidR="00D87BF6">
              <w:rPr>
                <w:color w:val="000000"/>
              </w:rPr>
              <w:t>(GPI)</w:t>
            </w:r>
          </w:p>
        </w:tc>
        <w:tc>
          <w:tcPr>
            <w:tcW w:w="1980" w:type="dxa"/>
          </w:tcPr>
          <w:p w:rsidRPr="00E25078" w:rsidR="00A92D0B" w:rsidP="00E25078" w:rsidRDefault="005C1408" w14:paraId="22A40B49" w14:textId="15A669B8">
            <w:pPr>
              <w:spacing w:before="120"/>
              <w:rPr>
                <w:color w:val="000000"/>
              </w:rPr>
            </w:pPr>
            <w:r>
              <w:rPr>
                <w:color w:val="000000"/>
              </w:rPr>
              <w:t>Noted</w:t>
            </w:r>
          </w:p>
        </w:tc>
      </w:tr>
      <w:tr w:rsidRPr="007F620E" w:rsidR="00A92D0B" w:rsidTr="005C1408" w14:paraId="744830F5" w14:textId="77777777">
        <w:tc>
          <w:tcPr>
            <w:tcW w:w="7758" w:type="dxa"/>
            <w:gridSpan w:val="2"/>
          </w:tcPr>
          <w:p w:rsidRPr="00E25078" w:rsidR="00A92D0B" w:rsidP="00A92D0B" w:rsidRDefault="00A92D0B" w14:paraId="7C05FE5A" w14:textId="7521972E">
            <w:pPr>
              <w:tabs>
                <w:tab w:val="left" w:pos="360"/>
              </w:tabs>
              <w:spacing w:before="120"/>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p>
          <w:p w:rsidRPr="00E25078" w:rsidR="00691528" w:rsidP="00691528" w:rsidRDefault="00691528" w14:paraId="0CFBC7B2" w14:textId="77777777">
            <w:pPr>
              <w:tabs>
                <w:tab w:val="left" w:pos="360"/>
              </w:tabs>
              <w:ind w:left="360" w:hanging="360"/>
              <w:rPr>
                <w:color w:val="000000"/>
              </w:rPr>
            </w:pPr>
          </w:p>
          <w:p w:rsidR="00D94FCB" w:rsidP="00D94FCB" w:rsidRDefault="0031176E" w14:paraId="5737D229" w14:textId="2205C172">
            <w:pPr>
              <w:rPr>
                <w:color w:val="000000"/>
              </w:rPr>
            </w:pPr>
            <w:r>
              <w:rPr>
                <w:color w:val="000000"/>
              </w:rPr>
              <w:t>TURN</w:t>
            </w:r>
            <w:r w:rsidR="00814947">
              <w:rPr>
                <w:color w:val="000000"/>
              </w:rPr>
              <w:t xml:space="preserve">’s positions did not </w:t>
            </w:r>
            <w:r w:rsidR="00B602D1">
              <w:rPr>
                <w:color w:val="000000"/>
              </w:rPr>
              <w:t xml:space="preserve">consistently </w:t>
            </w:r>
            <w:r w:rsidR="00814947">
              <w:rPr>
                <w:color w:val="000000"/>
              </w:rPr>
              <w:t xml:space="preserve">align with any other intervenor. </w:t>
            </w:r>
            <w:r w:rsidR="00D87BF6">
              <w:rPr>
                <w:color w:val="000000"/>
              </w:rPr>
              <w:t xml:space="preserve">TURN opposed many recommendations made by SBUA, did not take positions on most recommendations made by GPI, and </w:t>
            </w:r>
            <w:r w:rsidR="007B01A5">
              <w:rPr>
                <w:color w:val="000000"/>
              </w:rPr>
              <w:t>made proposals that were supported (but not duplicated) by A4NR.</w:t>
            </w:r>
            <w:r w:rsidR="00D94FCB">
              <w:rPr>
                <w:color w:val="000000"/>
              </w:rPr>
              <w:t xml:space="preserve"> Even where there was some overlap with positions taken by other parties, TURN presented unique analysis.</w:t>
            </w:r>
          </w:p>
          <w:p w:rsidR="00CE7A1C" w:rsidP="000B2926" w:rsidRDefault="00CE7A1C" w14:paraId="6D45B9F3" w14:textId="13864B5C">
            <w:pPr>
              <w:rPr>
                <w:color w:val="000000"/>
              </w:rPr>
            </w:pPr>
          </w:p>
          <w:p w:rsidR="00CE7A1C" w:rsidP="000B2926" w:rsidRDefault="00D94FCB" w14:paraId="1D7E2ABB" w14:textId="688AC53A">
            <w:pPr>
              <w:rPr>
                <w:color w:val="000000"/>
              </w:rPr>
            </w:pPr>
            <w:r>
              <w:rPr>
                <w:color w:val="000000"/>
              </w:rPr>
              <w:t>TURN’s participation focused on identifying the potential for prohibited shareholder benefits and proposing various remedies that would protect ratepayers. TURN was the only party to present a comprehensive proposal on alternative uses for VPFs</w:t>
            </w:r>
            <w:r w:rsidR="00A56EED">
              <w:rPr>
                <w:color w:val="000000"/>
              </w:rPr>
              <w:t xml:space="preserve"> including analysis on the ratepayer benefits of applying these funds to offset </w:t>
            </w:r>
            <w:r w:rsidR="00AA71D5">
              <w:rPr>
                <w:color w:val="000000"/>
              </w:rPr>
              <w:t>capital spending.</w:t>
            </w:r>
          </w:p>
          <w:p w:rsidR="004328E0" w:rsidP="000B192C" w:rsidRDefault="004328E0" w14:paraId="648E17D6" w14:textId="77777777">
            <w:pPr>
              <w:rPr>
                <w:color w:val="000000"/>
              </w:rPr>
            </w:pPr>
          </w:p>
          <w:p w:rsidRPr="00E25078" w:rsidR="0031176E" w:rsidP="004E4AD4" w:rsidRDefault="007942C7" w14:paraId="3228BB07" w14:textId="4378BA76">
            <w:pPr>
              <w:rPr>
                <w:color w:val="000000"/>
              </w:rPr>
            </w:pPr>
            <w:r>
              <w:rPr>
                <w:color w:val="000000"/>
              </w:rPr>
              <w:t xml:space="preserve">To the extent that </w:t>
            </w:r>
            <w:r w:rsidR="00814947">
              <w:rPr>
                <w:color w:val="000000"/>
              </w:rPr>
              <w:t xml:space="preserve">any </w:t>
            </w:r>
            <w:r>
              <w:rPr>
                <w:color w:val="000000"/>
              </w:rPr>
              <w:t xml:space="preserve">duplication occurred, it was unavoidable due to the </w:t>
            </w:r>
            <w:r w:rsidR="00ED267E">
              <w:rPr>
                <w:color w:val="000000"/>
              </w:rPr>
              <w:t xml:space="preserve">nature of the </w:t>
            </w:r>
            <w:r w:rsidR="005C1F13">
              <w:rPr>
                <w:color w:val="000000"/>
              </w:rPr>
              <w:t>litigation</w:t>
            </w:r>
            <w:r w:rsidR="00ED267E">
              <w:rPr>
                <w:color w:val="000000"/>
              </w:rPr>
              <w:t xml:space="preserve"> process and the</w:t>
            </w:r>
            <w:r w:rsidR="00814947">
              <w:rPr>
                <w:color w:val="000000"/>
              </w:rPr>
              <w:t xml:space="preserve"> array of issues addressed</w:t>
            </w:r>
            <w:r>
              <w:rPr>
                <w:color w:val="000000"/>
              </w:rPr>
              <w:t>. TURN worked diligently to ensure that its involvement unique</w:t>
            </w:r>
            <w:r w:rsidR="001B6605">
              <w:rPr>
                <w:color w:val="000000"/>
              </w:rPr>
              <w:t>ly influenced</w:t>
            </w:r>
            <w:r w:rsidR="00F5552C">
              <w:rPr>
                <w:color w:val="000000"/>
              </w:rPr>
              <w:t xml:space="preserve"> </w:t>
            </w:r>
            <w:r w:rsidR="005A18C9">
              <w:rPr>
                <w:color w:val="000000"/>
              </w:rPr>
              <w:t xml:space="preserve">the </w:t>
            </w:r>
            <w:r w:rsidR="00633E7F">
              <w:rPr>
                <w:color w:val="000000"/>
              </w:rPr>
              <w:t>outcome of the final Decision</w:t>
            </w:r>
            <w:r>
              <w:rPr>
                <w:color w:val="000000"/>
              </w:rPr>
              <w:t>.</w:t>
            </w:r>
          </w:p>
        </w:tc>
        <w:tc>
          <w:tcPr>
            <w:tcW w:w="1980" w:type="dxa"/>
          </w:tcPr>
          <w:p w:rsidRPr="00E25078" w:rsidR="00A92D0B" w:rsidP="00A92D0B" w:rsidRDefault="005C1408" w14:paraId="5F9BBA55" w14:textId="496E58D1">
            <w:pPr>
              <w:tabs>
                <w:tab w:val="left" w:pos="360"/>
              </w:tabs>
              <w:spacing w:before="120"/>
              <w:ind w:left="360" w:hanging="360"/>
              <w:rPr>
                <w:color w:val="000000"/>
              </w:rPr>
            </w:pPr>
            <w:r>
              <w:rPr>
                <w:color w:val="000000"/>
              </w:rPr>
              <w:t>Noted</w:t>
            </w:r>
          </w:p>
        </w:tc>
      </w:tr>
    </w:tbl>
    <w:p w:rsidR="00D70E01" w:rsidRDefault="00D70E01" w14:paraId="2B8704AC" w14:textId="77777777">
      <w:pPr>
        <w:rPr>
          <w:b/>
          <w:color w:val="000000"/>
        </w:rPr>
      </w:pPr>
      <w:r>
        <w:rPr>
          <w:b/>
          <w:color w:val="000000"/>
        </w:rPr>
        <w:br w:type="page"/>
      </w:r>
    </w:p>
    <w:p w:rsidRPr="007F620E" w:rsidR="00B312DA" w:rsidP="00691528" w:rsidRDefault="00A92D0B" w14:paraId="175C3F89" w14:textId="2E05B1E9">
      <w:pPr>
        <w:tabs>
          <w:tab w:val="left" w:pos="1260"/>
        </w:tabs>
        <w:ind w:left="1260" w:hanging="1260"/>
        <w:jc w:val="center"/>
        <w:rPr>
          <w:b/>
          <w:color w:val="000000"/>
        </w:rPr>
      </w:pPr>
      <w:r w:rsidRPr="007F620E">
        <w:rPr>
          <w:b/>
          <w:color w:val="000000"/>
        </w:rPr>
        <w:lastRenderedPageBreak/>
        <w:t>PART III:</w:t>
      </w:r>
      <w:r w:rsidRPr="007F620E">
        <w:rPr>
          <w:b/>
          <w:color w:val="000000"/>
        </w:rPr>
        <w:tab/>
        <w:t>REASONABLENESS OF REQUESTED COMPENSATION</w:t>
      </w:r>
    </w:p>
    <w:p w:rsidRPr="007F620E" w:rsidR="00A92D0B" w:rsidRDefault="00A92D0B" w14:paraId="5C02B8B5" w14:textId="77777777">
      <w:pPr>
        <w:rPr>
          <w:color w:val="000000"/>
        </w:rPr>
      </w:pPr>
    </w:p>
    <w:p w:rsidRPr="007F620E" w:rsidR="00A92D0B" w:rsidRDefault="00A92D0B" w14:paraId="6F74DAE2" w14:textId="77777777">
      <w:pPr>
        <w:numPr>
          <w:ilvl w:val="0"/>
          <w:numId w:val="2"/>
        </w:numPr>
        <w:tabs>
          <w:tab w:val="clear" w:pos="900"/>
          <w:tab w:val="num" w:pos="360"/>
        </w:tabs>
        <w:spacing w:after="120"/>
        <w:ind w:left="36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88"/>
        <w:gridCol w:w="2250"/>
      </w:tblGrid>
      <w:tr w:rsidRPr="007F620E" w:rsidR="00FE3BAE" w:rsidTr="003B6A1B" w14:paraId="4078AC87" w14:textId="77777777">
        <w:tc>
          <w:tcPr>
            <w:tcW w:w="7488" w:type="dxa"/>
            <w:tcBorders>
              <w:bottom w:val="single" w:color="auto" w:sz="4" w:space="0"/>
            </w:tcBorders>
            <w:shd w:val="clear" w:color="auto" w:fill="D9D9D9" w:themeFill="background1" w:themeFillShade="D9"/>
          </w:tcPr>
          <w:p w:rsidRPr="007F620E" w:rsidR="00FE3BAE" w:rsidRDefault="00FE3BAE" w14:paraId="70FDF5DA" w14:textId="77777777">
            <w:pPr>
              <w:rPr>
                <w:b/>
                <w:color w:val="000000"/>
              </w:rPr>
            </w:pPr>
          </w:p>
        </w:tc>
        <w:tc>
          <w:tcPr>
            <w:tcW w:w="2250" w:type="dxa"/>
            <w:shd w:val="clear" w:color="auto" w:fill="D9D9D9" w:themeFill="background1" w:themeFillShade="D9"/>
          </w:tcPr>
          <w:p w:rsidRPr="00FE3BAE" w:rsidR="00FE3BAE" w:rsidP="007E017A" w:rsidRDefault="00FE3BAE" w14:paraId="59CD9FCF" w14:textId="77777777">
            <w:pPr>
              <w:spacing w:before="120"/>
              <w:rPr>
                <w:color w:val="000000"/>
              </w:rPr>
            </w:pPr>
            <w:r w:rsidRPr="007F620E">
              <w:rPr>
                <w:b/>
                <w:color w:val="000000"/>
              </w:rPr>
              <w:t>CPUC Discussion</w:t>
            </w:r>
          </w:p>
        </w:tc>
      </w:tr>
      <w:tr w:rsidRPr="007F620E" w:rsidR="00FE3BAE" w:rsidTr="005C1408" w14:paraId="5708510E" w14:textId="77777777">
        <w:tc>
          <w:tcPr>
            <w:tcW w:w="7488" w:type="dxa"/>
            <w:tcBorders>
              <w:bottom w:val="single" w:color="auto" w:sz="4" w:space="0"/>
            </w:tcBorders>
          </w:tcPr>
          <w:p w:rsidRPr="00E25078" w:rsidR="00FE3BAE" w:rsidP="005F50F8" w:rsidRDefault="00FE3BAE" w14:paraId="707F9932" w14:textId="24B1B5E0">
            <w:pPr>
              <w:spacing w:before="100" w:beforeAutospacing="1" w:after="100" w:afterAutospacing="1"/>
              <w:rPr>
                <w:color w:val="000000"/>
              </w:rPr>
            </w:pPr>
            <w:r w:rsidRPr="007F620E">
              <w:rPr>
                <w:b/>
                <w:color w:val="000000"/>
              </w:rPr>
              <w:t>a. Intervenor’s claim of cost reasonableness:</w:t>
            </w:r>
            <w:r w:rsidRPr="00E25078" w:rsidR="00E25078">
              <w:rPr>
                <w:color w:val="000000"/>
              </w:rPr>
              <w:t xml:space="preserve"> </w:t>
            </w:r>
          </w:p>
          <w:p w:rsidR="00D816C5" w:rsidP="00D816C5" w:rsidRDefault="00D816C5" w14:paraId="5C779FB6" w14:textId="0DDF6D5A">
            <w:pPr>
              <w:spacing w:before="100" w:beforeAutospacing="1" w:after="100" w:afterAutospacing="1"/>
              <w:rPr>
                <w:color w:val="000000"/>
              </w:rPr>
            </w:pPr>
            <w:r w:rsidRPr="00CF7060">
              <w:rPr>
                <w:color w:val="000000"/>
              </w:rPr>
              <w:t>As demonstrated in the substantial contribution section, TURN’s participation had a</w:t>
            </w:r>
            <w:r>
              <w:rPr>
                <w:color w:val="000000"/>
              </w:rPr>
              <w:t xml:space="preserve"> </w:t>
            </w:r>
            <w:r w:rsidRPr="00CF7060">
              <w:rPr>
                <w:color w:val="000000"/>
              </w:rPr>
              <w:t xml:space="preserve">significant impact on the outcome of the </w:t>
            </w:r>
            <w:r>
              <w:rPr>
                <w:color w:val="000000"/>
              </w:rPr>
              <w:t xml:space="preserve">final decision in Phase 2. Although Phase 2 did not authorize any specific cost recovery in rates, TURN’s contributions resulted in the </w:t>
            </w:r>
            <w:r w:rsidR="00554C0F">
              <w:rPr>
                <w:color w:val="000000"/>
              </w:rPr>
              <w:t xml:space="preserve">following elements of the </w:t>
            </w:r>
            <w:r>
              <w:rPr>
                <w:color w:val="000000"/>
              </w:rPr>
              <w:t>final decision:</w:t>
            </w:r>
          </w:p>
          <w:p w:rsidR="00D816C5" w:rsidP="00D816C5" w:rsidRDefault="00D816C5" w14:paraId="7436F5FC" w14:textId="77777777">
            <w:pPr>
              <w:spacing w:before="100" w:beforeAutospacing="1" w:after="100" w:afterAutospacing="1"/>
              <w:rPr>
                <w:color w:val="000000"/>
              </w:rPr>
            </w:pPr>
            <w:r>
              <w:rPr>
                <w:color w:val="000000"/>
              </w:rPr>
              <w:t>• Adopting affordability as a guiding principle, encouraging PG&amp;E to use VPFs in a manner that reduces upward rate pressure including their use to offset capital expenditures, and requiring PG&amp;E to explain the alignment between VPF spending and affordability in its spending plan submittals.</w:t>
            </w:r>
          </w:p>
          <w:p w:rsidR="00D816C5" w:rsidP="00D816C5" w:rsidRDefault="00D816C5" w14:paraId="7B87C1D3" w14:textId="77777777">
            <w:pPr>
              <w:spacing w:before="100" w:beforeAutospacing="1" w:after="100" w:afterAutospacing="1"/>
              <w:rPr>
                <w:color w:val="000000"/>
              </w:rPr>
            </w:pPr>
            <w:r>
              <w:rPr>
                <w:color w:val="000000"/>
              </w:rPr>
              <w:t>• Rejecting a requirement to excessively escalate VPFs over time, an outcome that would increase costs to ratepayers.</w:t>
            </w:r>
          </w:p>
          <w:p w:rsidR="00D816C5" w:rsidP="00D816C5" w:rsidRDefault="00D816C5" w14:paraId="2223B078" w14:textId="77777777">
            <w:pPr>
              <w:spacing w:before="100" w:beforeAutospacing="1" w:after="100" w:afterAutospacing="1"/>
              <w:rPr>
                <w:color w:val="000000"/>
              </w:rPr>
            </w:pPr>
            <w:r>
              <w:rPr>
                <w:color w:val="000000"/>
              </w:rPr>
              <w:t>• Requiring PG&amp;E to report on total expense spending across Major Work Categories as part of any reporting on VPF expenditures used to fund incremental work.</w:t>
            </w:r>
          </w:p>
          <w:p w:rsidR="00D816C5" w:rsidP="00D816C5" w:rsidRDefault="00D816C5" w14:paraId="7B2CBB4F" w14:textId="77777777">
            <w:pPr>
              <w:spacing w:before="100" w:beforeAutospacing="1" w:after="100" w:afterAutospacing="1"/>
              <w:rPr>
                <w:color w:val="000000"/>
              </w:rPr>
            </w:pPr>
            <w:r>
              <w:rPr>
                <w:color w:val="000000"/>
              </w:rPr>
              <w:t>• Affirming the requirement that the Commission will continue to review Volumetric Performance Fee spending plans, and recorded spending, through a formal application process rather than an informal Advice Letter.</w:t>
            </w:r>
          </w:p>
          <w:p w:rsidRPr="00D816C5" w:rsidR="00FE3BAE" w:rsidP="00D816C5" w:rsidRDefault="00D816C5" w14:paraId="2B1A1242" w14:textId="31864156">
            <w:r>
              <w:rPr>
                <w:color w:val="000000"/>
              </w:rPr>
              <w:t xml:space="preserve">Given these specific and substantial contributions, </w:t>
            </w:r>
            <w:r w:rsidRPr="00CF7060">
              <w:rPr>
                <w:color w:val="000000"/>
              </w:rPr>
              <w:t>the benefits associated with TURN’s participation far exceed the cost of TURN’s participation in this proceeding. TURN’s claim should be found to be reasonable.</w:t>
            </w:r>
          </w:p>
        </w:tc>
        <w:tc>
          <w:tcPr>
            <w:tcW w:w="2250" w:type="dxa"/>
          </w:tcPr>
          <w:p w:rsidRPr="00FE3BAE" w:rsidR="00FE3BAE" w:rsidP="00FE3BAE" w:rsidRDefault="005C1408" w14:paraId="223B4665" w14:textId="51F684DD">
            <w:pPr>
              <w:spacing w:before="120"/>
              <w:rPr>
                <w:color w:val="000000"/>
              </w:rPr>
            </w:pPr>
            <w:r>
              <w:rPr>
                <w:color w:val="000000"/>
              </w:rPr>
              <w:t>Noted</w:t>
            </w:r>
          </w:p>
        </w:tc>
      </w:tr>
      <w:tr w:rsidRPr="007F620E" w:rsidR="00B17D2C" w:rsidTr="005C1408" w14:paraId="5548029C" w14:textId="77777777">
        <w:tc>
          <w:tcPr>
            <w:tcW w:w="7488" w:type="dxa"/>
          </w:tcPr>
          <w:p w:rsidRPr="00610B7B" w:rsidR="00B17D2C" w:rsidP="00B17D2C" w:rsidRDefault="00B17D2C" w14:paraId="42521EAB" w14:textId="77777777">
            <w:pPr>
              <w:rPr>
                <w:color w:val="000000"/>
              </w:rPr>
            </w:pPr>
            <w:r w:rsidRPr="00610B7B">
              <w:rPr>
                <w:b/>
                <w:color w:val="000000"/>
              </w:rPr>
              <w:t>b. Reasonableness of hours claimed:</w:t>
            </w:r>
            <w:r w:rsidRPr="00610B7B">
              <w:rPr>
                <w:color w:val="000000"/>
              </w:rPr>
              <w:t xml:space="preserve"> </w:t>
            </w:r>
          </w:p>
          <w:p w:rsidR="00B17D2C" w:rsidP="003F1A37" w:rsidRDefault="00B17D2C" w14:paraId="40516E1A" w14:textId="4FEF8760">
            <w:pPr>
              <w:spacing w:before="100" w:beforeAutospacing="1" w:after="100" w:afterAutospacing="1"/>
              <w:rPr>
                <w:color w:val="000000"/>
              </w:rPr>
            </w:pPr>
            <w:r>
              <w:rPr>
                <w:color w:val="000000"/>
              </w:rPr>
              <w:t xml:space="preserve">TURN </w:t>
            </w:r>
            <w:r w:rsidRPr="00610B7B">
              <w:rPr>
                <w:color w:val="000000"/>
              </w:rPr>
              <w:t xml:space="preserve">devoted the minimum number of hours to reviewing rulings, drafting pleadings, </w:t>
            </w:r>
            <w:r w:rsidR="006D24B7">
              <w:rPr>
                <w:color w:val="000000"/>
              </w:rPr>
              <w:t xml:space="preserve">reading </w:t>
            </w:r>
            <w:r w:rsidRPr="00610B7B">
              <w:rPr>
                <w:color w:val="000000"/>
              </w:rPr>
              <w:t>comments submitted by other parties, and evaluating proposed decisions. TURN’s pleadings were highly substantive given the amount of time devoted to the task.</w:t>
            </w:r>
          </w:p>
          <w:p w:rsidR="00B17D2C" w:rsidP="003F1A37" w:rsidRDefault="00B17D2C" w14:paraId="1E644F68" w14:textId="5BA52899">
            <w:pPr>
              <w:spacing w:before="100" w:beforeAutospacing="1" w:after="100" w:afterAutospacing="1"/>
              <w:rPr>
                <w:color w:val="000000"/>
              </w:rPr>
            </w:pPr>
            <w:r w:rsidRPr="00610B7B">
              <w:rPr>
                <w:color w:val="000000"/>
              </w:rPr>
              <w:t xml:space="preserve">The number of hours devoted to the wide range of issues </w:t>
            </w:r>
            <w:r>
              <w:rPr>
                <w:color w:val="000000"/>
              </w:rPr>
              <w:t xml:space="preserve">and process </w:t>
            </w:r>
            <w:r w:rsidRPr="00610B7B">
              <w:rPr>
                <w:color w:val="000000"/>
              </w:rPr>
              <w:t>in this case demonstrates th</w:t>
            </w:r>
            <w:r>
              <w:rPr>
                <w:color w:val="000000"/>
              </w:rPr>
              <w:t>e efficiency of TURN’s staff</w:t>
            </w:r>
            <w:r w:rsidRPr="00610B7B">
              <w:rPr>
                <w:color w:val="000000"/>
              </w:rPr>
              <w:t xml:space="preserve">. Moreover, the time devoted to each task was reasonable </w:t>
            </w:r>
            <w:proofErr w:type="gramStart"/>
            <w:r w:rsidRPr="00610B7B">
              <w:rPr>
                <w:color w:val="000000"/>
              </w:rPr>
              <w:t>in light of</w:t>
            </w:r>
            <w:proofErr w:type="gramEnd"/>
            <w:r w:rsidRPr="00610B7B">
              <w:rPr>
                <w:color w:val="000000"/>
              </w:rPr>
              <w:t xml:space="preserve"> the complexity of the issues presented.  Given the level of success achieved by TURN in this proceeding, the amount of time devoted by staff </w:t>
            </w:r>
            <w:r>
              <w:rPr>
                <w:color w:val="000000"/>
              </w:rPr>
              <w:t>to the process should be found to be fully reasonable.</w:t>
            </w:r>
          </w:p>
          <w:p w:rsidRPr="00414252" w:rsidR="00B17D2C" w:rsidP="003F1A37" w:rsidRDefault="00B17D2C" w14:paraId="0675BD0E" w14:textId="77777777">
            <w:pPr>
              <w:spacing w:before="100" w:beforeAutospacing="1" w:after="100" w:afterAutospacing="1"/>
              <w:rPr>
                <w:b/>
                <w:color w:val="000000"/>
              </w:rPr>
            </w:pPr>
            <w:r w:rsidRPr="00414252">
              <w:rPr>
                <w:b/>
                <w:color w:val="000000"/>
              </w:rPr>
              <w:lastRenderedPageBreak/>
              <w:t>Reasonableness of Staffing</w:t>
            </w:r>
          </w:p>
          <w:p w:rsidRPr="00414252" w:rsidR="00414252" w:rsidP="003F1A37" w:rsidRDefault="00414252" w14:paraId="68380A47" w14:textId="484770BD">
            <w:pPr>
              <w:spacing w:before="100" w:beforeAutospacing="1" w:after="100" w:afterAutospacing="1"/>
              <w:rPr>
                <w:color w:val="000000"/>
                <w:u w:val="single"/>
              </w:rPr>
            </w:pPr>
            <w:r>
              <w:rPr>
                <w:color w:val="000000"/>
                <w:u w:val="single"/>
              </w:rPr>
              <w:t>Matthew Freedman</w:t>
            </w:r>
          </w:p>
          <w:p w:rsidR="00AC0810" w:rsidP="003F1A37" w:rsidRDefault="00B17D2C" w14:paraId="3F13CF2C" w14:textId="6D1A208C">
            <w:pPr>
              <w:spacing w:before="100" w:beforeAutospacing="1" w:after="100" w:afterAutospacing="1"/>
              <w:rPr>
                <w:color w:val="000000"/>
              </w:rPr>
            </w:pPr>
            <w:r w:rsidRPr="00610B7B">
              <w:rPr>
                <w:color w:val="000000"/>
              </w:rPr>
              <w:t>TURN’s lead attorney was Matthew Freedman</w:t>
            </w:r>
            <w:r>
              <w:rPr>
                <w:color w:val="000000"/>
              </w:rPr>
              <w:t xml:space="preserve">. Mr. Freedman </w:t>
            </w:r>
            <w:r w:rsidR="00D30741">
              <w:rPr>
                <w:color w:val="000000"/>
              </w:rPr>
              <w:t xml:space="preserve">served as the lead drafter for comments </w:t>
            </w:r>
            <w:r w:rsidR="0053179D">
              <w:rPr>
                <w:color w:val="000000"/>
              </w:rPr>
              <w:t xml:space="preserve">and </w:t>
            </w:r>
            <w:r w:rsidR="00D30741">
              <w:rPr>
                <w:color w:val="000000"/>
              </w:rPr>
              <w:t xml:space="preserve">participated in TURN’s single </w:t>
            </w:r>
            <w:r w:rsidR="0053179D">
              <w:rPr>
                <w:color w:val="000000"/>
              </w:rPr>
              <w:t xml:space="preserve">ex </w:t>
            </w:r>
            <w:proofErr w:type="spellStart"/>
            <w:r w:rsidR="0053179D">
              <w:rPr>
                <w:color w:val="000000"/>
              </w:rPr>
              <w:t>parte</w:t>
            </w:r>
            <w:proofErr w:type="spellEnd"/>
            <w:r w:rsidR="0053179D">
              <w:rPr>
                <w:color w:val="000000"/>
              </w:rPr>
              <w:t xml:space="preserve"> meeting</w:t>
            </w:r>
            <w:r w:rsidR="00360451">
              <w:rPr>
                <w:color w:val="000000"/>
              </w:rPr>
              <w:t>.</w:t>
            </w:r>
          </w:p>
          <w:p w:rsidR="00A32A93" w:rsidP="00A32A93" w:rsidRDefault="00A32A93" w14:paraId="6709CF0C" w14:textId="3DE16C6F">
            <w:pPr>
              <w:spacing w:before="100" w:beforeAutospacing="1" w:after="100" w:afterAutospacing="1"/>
              <w:rPr>
                <w:color w:val="000000"/>
                <w:u w:val="single"/>
              </w:rPr>
            </w:pPr>
            <w:r>
              <w:rPr>
                <w:color w:val="000000"/>
                <w:u w:val="single"/>
              </w:rPr>
              <w:t>Robert Finkelstein</w:t>
            </w:r>
          </w:p>
          <w:p w:rsidR="00A32A93" w:rsidP="00A32A93" w:rsidRDefault="00A32A93" w14:paraId="18B053CB" w14:textId="324CE054">
            <w:pPr>
              <w:spacing w:before="100" w:beforeAutospacing="1" w:after="100" w:afterAutospacing="1"/>
            </w:pPr>
            <w:r>
              <w:t>TURN General Counsel Robert Finkelstein provi</w:t>
            </w:r>
            <w:r w:rsidR="0000750E">
              <w:t>ded support for TURN’s comments on the issue of prioritizing VPFs to offset wildfire mitigation capital and assessing potential overspending on wildfire mitigation expenses.</w:t>
            </w:r>
          </w:p>
          <w:p w:rsidR="00D97489" w:rsidP="00D97489" w:rsidRDefault="00D97489" w14:paraId="1D420419" w14:textId="63784F61">
            <w:pPr>
              <w:spacing w:before="100" w:beforeAutospacing="1" w:after="100" w:afterAutospacing="1"/>
              <w:rPr>
                <w:color w:val="000000"/>
                <w:u w:val="single"/>
              </w:rPr>
            </w:pPr>
            <w:r>
              <w:rPr>
                <w:color w:val="000000"/>
                <w:u w:val="single"/>
              </w:rPr>
              <w:t>Thomas Long</w:t>
            </w:r>
          </w:p>
          <w:p w:rsidR="0000750E" w:rsidP="00D97489" w:rsidRDefault="001A3DF7" w14:paraId="22A11A1D" w14:textId="5BA60A7A">
            <w:pPr>
              <w:spacing w:before="100" w:beforeAutospacing="1" w:after="100" w:afterAutospacing="1"/>
            </w:pPr>
            <w:r>
              <w:t xml:space="preserve">TURN Director of Legal Strategy Tom Long provided limited support </w:t>
            </w:r>
            <w:r w:rsidR="0000750E">
              <w:t>for TURN’s Phase 2 proposal relating to the potential double recovery of wildfire mitigation costs.</w:t>
            </w:r>
          </w:p>
          <w:p w:rsidRPr="00414252" w:rsidR="00D97489" w:rsidP="00D97489" w:rsidRDefault="00D97489" w14:paraId="57B80E98" w14:textId="143D334A">
            <w:pPr>
              <w:spacing w:before="100" w:beforeAutospacing="1" w:after="100" w:afterAutospacing="1"/>
              <w:rPr>
                <w:color w:val="000000"/>
                <w:u w:val="single"/>
              </w:rPr>
            </w:pPr>
            <w:r>
              <w:rPr>
                <w:color w:val="000000"/>
                <w:u w:val="single"/>
              </w:rPr>
              <w:t>Jennifer Dowdell</w:t>
            </w:r>
          </w:p>
          <w:p w:rsidRPr="0017381D" w:rsidR="0017381D" w:rsidP="0017381D" w:rsidRDefault="0017381D" w14:paraId="38D00250" w14:textId="329C20B9">
            <w:pPr>
              <w:spacing w:before="100" w:beforeAutospacing="1" w:after="100" w:afterAutospacing="1"/>
              <w:rPr>
                <w:color w:val="000000"/>
              </w:rPr>
            </w:pPr>
            <w:r>
              <w:rPr>
                <w:color w:val="000000"/>
              </w:rPr>
              <w:t xml:space="preserve">TURN Senior Policy Expert Jennifer Dowdell served as </w:t>
            </w:r>
            <w:r w:rsidR="00D30741">
              <w:rPr>
                <w:color w:val="000000"/>
              </w:rPr>
              <w:t xml:space="preserve">TURN’s </w:t>
            </w:r>
            <w:r>
              <w:rPr>
                <w:color w:val="000000"/>
              </w:rPr>
              <w:t xml:space="preserve">expert on the issue of </w:t>
            </w:r>
            <w:r w:rsidR="00D30741">
              <w:rPr>
                <w:color w:val="000000"/>
              </w:rPr>
              <w:t xml:space="preserve">prioritizing </w:t>
            </w:r>
            <w:r w:rsidR="00527276">
              <w:rPr>
                <w:color w:val="000000"/>
              </w:rPr>
              <w:t>Volumetric Performance Fees</w:t>
            </w:r>
            <w:r w:rsidR="00D30741">
              <w:rPr>
                <w:color w:val="000000"/>
              </w:rPr>
              <w:t xml:space="preserve"> to displace capital investment and</w:t>
            </w:r>
            <w:r w:rsidR="006D24B7">
              <w:rPr>
                <w:color w:val="000000"/>
              </w:rPr>
              <w:t xml:space="preserve"> identifying concerns regarding </w:t>
            </w:r>
            <w:r w:rsidR="00D30741">
              <w:rPr>
                <w:color w:val="000000"/>
              </w:rPr>
              <w:t>how PG&amp;E may use VPFs to enrich shareholders.</w:t>
            </w:r>
          </w:p>
          <w:p w:rsidR="00952732" w:rsidP="003F1A37" w:rsidRDefault="00952732" w14:paraId="3D4F9080" w14:textId="77777777">
            <w:pPr>
              <w:spacing w:before="100" w:beforeAutospacing="1" w:after="100" w:afterAutospacing="1"/>
              <w:rPr>
                <w:u w:val="single"/>
              </w:rPr>
            </w:pPr>
            <w:r>
              <w:rPr>
                <w:u w:val="single"/>
              </w:rPr>
              <w:t xml:space="preserve">Time spent on Ex </w:t>
            </w:r>
            <w:proofErr w:type="spellStart"/>
            <w:r>
              <w:rPr>
                <w:u w:val="single"/>
              </w:rPr>
              <w:t>Parte</w:t>
            </w:r>
            <w:proofErr w:type="spellEnd"/>
            <w:r>
              <w:rPr>
                <w:u w:val="single"/>
              </w:rPr>
              <w:t xml:space="preserve"> communications</w:t>
            </w:r>
          </w:p>
          <w:p w:rsidR="00527276" w:rsidP="003F1A37" w:rsidRDefault="0053451C" w14:paraId="4F83C8C0" w14:textId="4C3B1FCB">
            <w:pPr>
              <w:spacing w:before="100" w:beforeAutospacing="1" w:after="100" w:afterAutospacing="1"/>
              <w:rPr>
                <w:bCs/>
                <w:color w:val="000000"/>
              </w:rPr>
            </w:pPr>
            <w:r>
              <w:t>TURN</w:t>
            </w:r>
            <w:r w:rsidR="00D3032B">
              <w:t xml:space="preserve">’s request includes </w:t>
            </w:r>
            <w:r w:rsidR="00527276">
              <w:t xml:space="preserve">several </w:t>
            </w:r>
            <w:r w:rsidR="00D3032B">
              <w:t>hours devoted to</w:t>
            </w:r>
            <w:r w:rsidR="00D30741">
              <w:t xml:space="preserve"> an</w:t>
            </w:r>
            <w:r w:rsidR="00D3032B">
              <w:t xml:space="preserve"> </w:t>
            </w:r>
            <w:proofErr w:type="gramStart"/>
            <w:r w:rsidRPr="00FB1D75" w:rsidR="00D3032B">
              <w:rPr>
                <w:i/>
                <w:iCs/>
              </w:rPr>
              <w:t xml:space="preserve">ex </w:t>
            </w:r>
            <w:proofErr w:type="spellStart"/>
            <w:r w:rsidRPr="00FB1D75" w:rsidR="00D3032B">
              <w:rPr>
                <w:i/>
                <w:iCs/>
              </w:rPr>
              <w:t>parte</w:t>
            </w:r>
            <w:proofErr w:type="spellEnd"/>
            <w:proofErr w:type="gramEnd"/>
            <w:r w:rsidR="00D3032B">
              <w:t xml:space="preserve"> meeting</w:t>
            </w:r>
            <w:r w:rsidR="00D30741">
              <w:t xml:space="preserve"> with the office of Commissioner Houck</w:t>
            </w:r>
            <w:r w:rsidR="00D3032B">
              <w:t xml:space="preserve">. These hours include time spent making the initial request, preparing for the meetings, participating in the meetings, and drafting the required post-meeting </w:t>
            </w:r>
            <w:r w:rsidRPr="00FB1D75" w:rsidR="00D3032B">
              <w:rPr>
                <w:i/>
                <w:iCs/>
              </w:rPr>
              <w:t xml:space="preserve">ex </w:t>
            </w:r>
            <w:proofErr w:type="spellStart"/>
            <w:r w:rsidRPr="00FB1D75" w:rsidR="00D3032B">
              <w:rPr>
                <w:i/>
                <w:iCs/>
              </w:rPr>
              <w:t>parte</w:t>
            </w:r>
            <w:proofErr w:type="spellEnd"/>
            <w:r w:rsidR="00D3032B">
              <w:t xml:space="preserve"> notices. </w:t>
            </w:r>
            <w:r w:rsidR="00FC7317">
              <w:rPr>
                <w:bCs/>
                <w:color w:val="000000"/>
              </w:rPr>
              <w:t xml:space="preserve">The Commission should find that hours spent on these </w:t>
            </w:r>
            <w:r w:rsidRPr="00FB1D75" w:rsidR="00FC7317">
              <w:rPr>
                <w:bCs/>
                <w:i/>
                <w:iCs/>
                <w:color w:val="000000"/>
              </w:rPr>
              <w:t xml:space="preserve">ex </w:t>
            </w:r>
            <w:proofErr w:type="spellStart"/>
            <w:r w:rsidRPr="00FB1D75" w:rsidR="00FC7317">
              <w:rPr>
                <w:bCs/>
                <w:i/>
                <w:iCs/>
                <w:color w:val="000000"/>
              </w:rPr>
              <w:t>parte</w:t>
            </w:r>
            <w:proofErr w:type="spellEnd"/>
            <w:r w:rsidR="00FC7317">
              <w:rPr>
                <w:bCs/>
                <w:color w:val="000000"/>
              </w:rPr>
              <w:t xml:space="preserve"> communications represent the “reasonable costs of preparation for and participation in a </w:t>
            </w:r>
            <w:r w:rsidR="00031659">
              <w:rPr>
                <w:bCs/>
                <w:color w:val="000000"/>
              </w:rPr>
              <w:t xml:space="preserve">hearing or </w:t>
            </w:r>
            <w:r w:rsidR="00FC7317">
              <w:rPr>
                <w:bCs/>
                <w:color w:val="000000"/>
              </w:rPr>
              <w:t>proceeding.” (Cal. Pub. Util. Code §180</w:t>
            </w:r>
            <w:r w:rsidR="00031659">
              <w:rPr>
                <w:bCs/>
                <w:color w:val="000000"/>
              </w:rPr>
              <w:t>3)</w:t>
            </w:r>
            <w:r w:rsidR="00C611A0">
              <w:rPr>
                <w:bCs/>
                <w:color w:val="000000"/>
              </w:rPr>
              <w:t xml:space="preserve"> and that </w:t>
            </w:r>
            <w:r w:rsidR="009A1AA8">
              <w:rPr>
                <w:bCs/>
                <w:color w:val="000000"/>
              </w:rPr>
              <w:t xml:space="preserve">hours spent by advocates reflect </w:t>
            </w:r>
            <w:r w:rsidR="00C611A0">
              <w:rPr>
                <w:bCs/>
                <w:color w:val="000000"/>
              </w:rPr>
              <w:t xml:space="preserve">costs “incurred by the customer in preparing or presenting” </w:t>
            </w:r>
            <w:r w:rsidR="0043318A">
              <w:rPr>
                <w:bCs/>
                <w:color w:val="000000"/>
              </w:rPr>
              <w:t xml:space="preserve">(§1802(j)) </w:t>
            </w:r>
            <w:r w:rsidR="00DB2A7C">
              <w:rPr>
                <w:bCs/>
                <w:color w:val="000000"/>
              </w:rPr>
              <w:t>TURN’s</w:t>
            </w:r>
            <w:r w:rsidR="00C611A0">
              <w:rPr>
                <w:bCs/>
                <w:color w:val="000000"/>
              </w:rPr>
              <w:t xml:space="preserve"> arguments to the Commission.</w:t>
            </w:r>
            <w:r w:rsidR="00031659">
              <w:rPr>
                <w:bCs/>
                <w:color w:val="000000"/>
              </w:rPr>
              <w:t xml:space="preserve"> </w:t>
            </w:r>
          </w:p>
          <w:p w:rsidR="002E702E" w:rsidP="002E702E" w:rsidRDefault="00C15BF8" w14:paraId="20B7EE79" w14:textId="133F921B">
            <w:pPr>
              <w:spacing w:before="100" w:beforeAutospacing="1" w:after="100" w:afterAutospacing="1"/>
              <w:rPr>
                <w:bCs/>
                <w:color w:val="000000"/>
              </w:rPr>
            </w:pPr>
            <w:r>
              <w:rPr>
                <w:bCs/>
                <w:color w:val="000000"/>
              </w:rPr>
              <w:t xml:space="preserve">As noted in TURN’s </w:t>
            </w:r>
            <w:r>
              <w:rPr>
                <w:bCs/>
                <w:i/>
                <w:iCs/>
                <w:color w:val="000000"/>
              </w:rPr>
              <w:t xml:space="preserve">ex </w:t>
            </w:r>
            <w:proofErr w:type="spellStart"/>
            <w:r>
              <w:rPr>
                <w:bCs/>
                <w:i/>
                <w:iCs/>
                <w:color w:val="000000"/>
              </w:rPr>
              <w:t>parte</w:t>
            </w:r>
            <w:proofErr w:type="spellEnd"/>
            <w:r>
              <w:rPr>
                <w:bCs/>
                <w:color w:val="000000"/>
              </w:rPr>
              <w:t xml:space="preserve"> notice, the primary subject of the meeting was to </w:t>
            </w:r>
            <w:r w:rsidR="002E702E">
              <w:rPr>
                <w:bCs/>
                <w:color w:val="000000"/>
              </w:rPr>
              <w:t xml:space="preserve">identify flaws in the </w:t>
            </w:r>
            <w:r>
              <w:rPr>
                <w:bCs/>
                <w:color w:val="000000"/>
              </w:rPr>
              <w:t xml:space="preserve">Proposed Decision </w:t>
            </w:r>
            <w:r w:rsidR="002E702E">
              <w:rPr>
                <w:bCs/>
                <w:color w:val="000000"/>
              </w:rPr>
              <w:t>relating to its failure to prioritize the use of VPFs to offset capital expenditures, the lack of any prohibition on PG&amp;E using VPFs to benefit shareholders, and problems with the reporting template that did not require PG&amp;E to disclose overall spending on Major Work Categories (MWC) receiving VPF funds (</w:t>
            </w:r>
            <w:r>
              <w:rPr>
                <w:bCs/>
                <w:color w:val="000000"/>
              </w:rPr>
              <w:t xml:space="preserve">TURN </w:t>
            </w:r>
            <w:r>
              <w:rPr>
                <w:bCs/>
                <w:color w:val="000000"/>
              </w:rPr>
              <w:lastRenderedPageBreak/>
              <w:t xml:space="preserve">notice of Ex </w:t>
            </w:r>
            <w:proofErr w:type="spellStart"/>
            <w:r>
              <w:rPr>
                <w:bCs/>
                <w:color w:val="000000"/>
              </w:rPr>
              <w:t>Parte</w:t>
            </w:r>
            <w:proofErr w:type="spellEnd"/>
            <w:r>
              <w:rPr>
                <w:bCs/>
                <w:color w:val="000000"/>
              </w:rPr>
              <w:t xml:space="preserve"> communication, </w:t>
            </w:r>
            <w:r w:rsidR="002E702E">
              <w:rPr>
                <w:bCs/>
                <w:color w:val="000000"/>
              </w:rPr>
              <w:t>April 21</w:t>
            </w:r>
            <w:r>
              <w:rPr>
                <w:bCs/>
                <w:color w:val="000000"/>
              </w:rPr>
              <w:t>, 202</w:t>
            </w:r>
            <w:r w:rsidR="002E702E">
              <w:rPr>
                <w:bCs/>
                <w:color w:val="000000"/>
              </w:rPr>
              <w:t>5</w:t>
            </w:r>
            <w:r>
              <w:rPr>
                <w:bCs/>
                <w:color w:val="000000"/>
              </w:rPr>
              <w:t>, page 1)</w:t>
            </w:r>
            <w:r w:rsidR="00D30741">
              <w:rPr>
                <w:bCs/>
                <w:color w:val="000000"/>
              </w:rPr>
              <w:t>.</w:t>
            </w:r>
            <w:r>
              <w:rPr>
                <w:bCs/>
                <w:color w:val="000000"/>
              </w:rPr>
              <w:t xml:space="preserve"> </w:t>
            </w:r>
            <w:r w:rsidR="002E702E">
              <w:rPr>
                <w:bCs/>
                <w:color w:val="000000"/>
              </w:rPr>
              <w:t xml:space="preserve">Prior to the issuance of the final decision, the Proposed Decision was modified to include more comprehensive reporting requirements for spending across all MWCs. In addition, the Concurring Opinion of Commissioner Houck affirms many of TURN’s critiques that were the subject of the Ex </w:t>
            </w:r>
            <w:proofErr w:type="spellStart"/>
            <w:r w:rsidR="002E702E">
              <w:rPr>
                <w:bCs/>
                <w:color w:val="000000"/>
              </w:rPr>
              <w:t>Parte</w:t>
            </w:r>
            <w:proofErr w:type="spellEnd"/>
            <w:r w:rsidR="002E702E">
              <w:rPr>
                <w:bCs/>
                <w:color w:val="000000"/>
              </w:rPr>
              <w:t xml:space="preserve"> meeting.</w:t>
            </w:r>
          </w:p>
          <w:p w:rsidRPr="0053451C" w:rsidR="00952732" w:rsidP="003F1A37" w:rsidRDefault="00FB1D75" w14:paraId="729614F8" w14:textId="3FA34E88">
            <w:pPr>
              <w:spacing w:before="100" w:beforeAutospacing="1" w:after="100" w:afterAutospacing="1"/>
            </w:pPr>
            <w:r>
              <w:rPr>
                <w:bCs/>
                <w:color w:val="000000"/>
              </w:rPr>
              <w:t xml:space="preserve">The Commission has routinely approved compensation for </w:t>
            </w:r>
            <w:proofErr w:type="gramStart"/>
            <w:r w:rsidRPr="00FB1D75">
              <w:rPr>
                <w:bCs/>
                <w:i/>
                <w:iCs/>
                <w:color w:val="000000"/>
              </w:rPr>
              <w:t xml:space="preserve">ex </w:t>
            </w:r>
            <w:proofErr w:type="spellStart"/>
            <w:r w:rsidRPr="00FB1D75">
              <w:rPr>
                <w:bCs/>
                <w:i/>
                <w:iCs/>
                <w:color w:val="000000"/>
              </w:rPr>
              <w:t>parte</w:t>
            </w:r>
            <w:proofErr w:type="spellEnd"/>
            <w:proofErr w:type="gramEnd"/>
            <w:r>
              <w:rPr>
                <w:bCs/>
                <w:color w:val="000000"/>
              </w:rPr>
              <w:t xml:space="preserve"> activities by intervenors</w:t>
            </w:r>
            <w:r w:rsidR="00766A6C">
              <w:rPr>
                <w:bCs/>
                <w:color w:val="000000"/>
              </w:rPr>
              <w:t xml:space="preserve"> in decisions dating back for more than 20 years.</w:t>
            </w:r>
            <w:r w:rsidR="00A4482E">
              <w:rPr>
                <w:bCs/>
                <w:color w:val="000000"/>
              </w:rPr>
              <w:t xml:space="preserve"> </w:t>
            </w:r>
            <w:r w:rsidR="00167108">
              <w:rPr>
                <w:bCs/>
                <w:color w:val="000000"/>
              </w:rPr>
              <w:t>A sampling of prior</w:t>
            </w:r>
            <w:r w:rsidR="00A4482E">
              <w:rPr>
                <w:bCs/>
                <w:color w:val="000000"/>
              </w:rPr>
              <w:t xml:space="preserve"> decisions awarding compensation for time devoted to </w:t>
            </w:r>
            <w:r w:rsidR="00A4482E">
              <w:rPr>
                <w:bCs/>
                <w:i/>
                <w:iCs/>
                <w:color w:val="000000"/>
              </w:rPr>
              <w:t xml:space="preserve">ex </w:t>
            </w:r>
            <w:proofErr w:type="spellStart"/>
            <w:r w:rsidR="00A4482E">
              <w:rPr>
                <w:bCs/>
                <w:i/>
                <w:iCs/>
                <w:color w:val="000000"/>
              </w:rPr>
              <w:t>parte</w:t>
            </w:r>
            <w:proofErr w:type="spellEnd"/>
            <w:r w:rsidR="00A4482E">
              <w:rPr>
                <w:bCs/>
                <w:i/>
                <w:iCs/>
                <w:color w:val="000000"/>
              </w:rPr>
              <w:t xml:space="preserve"> </w:t>
            </w:r>
            <w:r w:rsidR="00A4482E">
              <w:rPr>
                <w:bCs/>
                <w:color w:val="000000"/>
              </w:rPr>
              <w:t xml:space="preserve">communications include (but are not limited to) </w:t>
            </w:r>
            <w:r w:rsidR="007879C5">
              <w:rPr>
                <w:bCs/>
                <w:color w:val="000000"/>
              </w:rPr>
              <w:t xml:space="preserve">D.24-09-049 (in R.23-01-007), </w:t>
            </w:r>
            <w:r w:rsidR="00A4482E">
              <w:rPr>
                <w:bCs/>
                <w:color w:val="000000"/>
              </w:rPr>
              <w:t>D.24-01-024, D.23-10-013, D.23-06-045, D.22-08-050, D.22-08-010, D.22-06-018, D.21-12-051, D.21-08-033, D.21-06-016, D.21-07-017, D.21-04-013, D.19-10-020, D.19-10-018, D.19-08-032, D.19-07-020, D.19-03-005, D.18-11-043, D.18-04-021, D.15-08-023, D.12-08-041.</w:t>
            </w:r>
          </w:p>
          <w:p w:rsidRPr="00610B7B" w:rsidR="00B17D2C" w:rsidP="003F1A37" w:rsidRDefault="00D821F9" w14:paraId="7962B333" w14:textId="7E433004">
            <w:pPr>
              <w:spacing w:before="100" w:beforeAutospacing="1" w:after="100" w:afterAutospacing="1"/>
              <w:rPr>
                <w:u w:val="single"/>
              </w:rPr>
            </w:pPr>
            <w:r>
              <w:rPr>
                <w:u w:val="single"/>
              </w:rPr>
              <w:t>C</w:t>
            </w:r>
            <w:r w:rsidRPr="00610B7B" w:rsidR="00B17D2C">
              <w:rPr>
                <w:u w:val="single"/>
              </w:rPr>
              <w:t>ompensation Request </w:t>
            </w:r>
          </w:p>
          <w:p w:rsidRPr="007F620E" w:rsidR="00B17D2C" w:rsidP="003F1A37" w:rsidRDefault="00B17D2C" w14:paraId="694F0B63" w14:textId="095F8E99">
            <w:pPr>
              <w:spacing w:before="100" w:beforeAutospacing="1" w:after="100" w:afterAutospacing="1"/>
              <w:rPr>
                <w:color w:val="000000"/>
              </w:rPr>
            </w:pPr>
            <w:r w:rsidRPr="00610B7B">
              <w:t xml:space="preserve">TURN’s request also includes </w:t>
            </w:r>
            <w:r w:rsidR="0079154D">
              <w:t>9</w:t>
            </w:r>
            <w:r w:rsidRPr="00610B7B">
              <w:t xml:space="preserve"> hours devoted to the preparation of compensation-related filings.</w:t>
            </w:r>
            <w:r>
              <w:t xml:space="preserve"> T</w:t>
            </w:r>
            <w:r w:rsidRPr="00610B7B">
              <w:t>he time devoted to this compensation request is appropriate and should be found to be reasonable.</w:t>
            </w:r>
          </w:p>
        </w:tc>
        <w:tc>
          <w:tcPr>
            <w:tcW w:w="2250" w:type="dxa"/>
          </w:tcPr>
          <w:p w:rsidRPr="007F620E" w:rsidR="00B17D2C" w:rsidP="00B17D2C" w:rsidRDefault="005C1408" w14:paraId="1874D625" w14:textId="525101E4">
            <w:pPr>
              <w:spacing w:before="120"/>
              <w:rPr>
                <w:color w:val="000000"/>
              </w:rPr>
            </w:pPr>
            <w:r>
              <w:rPr>
                <w:color w:val="000000"/>
              </w:rPr>
              <w:lastRenderedPageBreak/>
              <w:t>Noted</w:t>
            </w:r>
          </w:p>
        </w:tc>
      </w:tr>
      <w:tr w:rsidRPr="007324EA" w:rsidR="00B17D2C" w:rsidTr="00541AB3" w14:paraId="3FD38B74" w14:textId="77777777">
        <w:tc>
          <w:tcPr>
            <w:tcW w:w="7488" w:type="dxa"/>
          </w:tcPr>
          <w:p w:rsidRPr="007324EA" w:rsidR="00B17D2C" w:rsidP="00B17D2C" w:rsidRDefault="00B17D2C" w14:paraId="73EB89F1" w14:textId="77777777">
            <w:pPr>
              <w:rPr>
                <w:color w:val="000000"/>
              </w:rPr>
            </w:pPr>
            <w:r w:rsidRPr="007324EA">
              <w:rPr>
                <w:b/>
                <w:color w:val="000000"/>
              </w:rPr>
              <w:lastRenderedPageBreak/>
              <w:t>c. Allocation of hours by issue:</w:t>
            </w:r>
            <w:r w:rsidRPr="007324EA">
              <w:rPr>
                <w:color w:val="000000"/>
              </w:rPr>
              <w:t xml:space="preserve"> </w:t>
            </w:r>
          </w:p>
          <w:p w:rsidRPr="007324EA" w:rsidR="005A1C2F" w:rsidP="005A1C2F" w:rsidRDefault="005A1C2F" w14:paraId="2BF0C618" w14:textId="77777777">
            <w:pPr>
              <w:tabs>
                <w:tab w:val="left" w:pos="1260"/>
              </w:tabs>
              <w:spacing w:before="120"/>
              <w:rPr>
                <w:color w:val="000000"/>
              </w:rPr>
            </w:pPr>
            <w:r w:rsidRPr="007324EA">
              <w:rPr>
                <w:color w:val="000000"/>
              </w:rPr>
              <w:t xml:space="preserve">TURN has allocated all attorney time by issue area or activity, as evident on our attached timesheets. The following codes relate to specific substantive </w:t>
            </w:r>
            <w:proofErr w:type="gramStart"/>
            <w:r w:rsidRPr="007324EA">
              <w:rPr>
                <w:color w:val="000000"/>
              </w:rPr>
              <w:t>issue</w:t>
            </w:r>
            <w:proofErr w:type="gramEnd"/>
            <w:r w:rsidRPr="007324EA">
              <w:rPr>
                <w:color w:val="000000"/>
              </w:rPr>
              <w:t xml:space="preserve"> and activity areas addressed by TURN. TURN also provides an approximate breakdown of the number of hours spent on each task and the percentage of total hours devoted to each category (note that the numbers do not equal 100% due to rounding).</w:t>
            </w:r>
          </w:p>
          <w:p w:rsidRPr="007324EA" w:rsidR="005A1C2F" w:rsidP="005A1C2F" w:rsidRDefault="005A1C2F" w14:paraId="4EEC4E46" w14:textId="77777777">
            <w:pPr>
              <w:tabs>
                <w:tab w:val="left" w:pos="1260"/>
              </w:tabs>
              <w:spacing w:before="120"/>
              <w:rPr>
                <w:b/>
                <w:color w:val="000000"/>
              </w:rPr>
            </w:pPr>
            <w:r w:rsidRPr="007324EA">
              <w:rPr>
                <w:b/>
                <w:color w:val="000000"/>
              </w:rPr>
              <w:t>General Participation (GP) –</w:t>
            </w:r>
            <w:r>
              <w:rPr>
                <w:b/>
                <w:color w:val="000000"/>
              </w:rPr>
              <w:t xml:space="preserve"> 7.5 </w:t>
            </w:r>
            <w:r w:rsidRPr="007324EA">
              <w:rPr>
                <w:b/>
                <w:color w:val="000000"/>
              </w:rPr>
              <w:t>hours –</w:t>
            </w:r>
            <w:r>
              <w:rPr>
                <w:b/>
                <w:color w:val="000000"/>
              </w:rPr>
              <w:t xml:space="preserve"> 10</w:t>
            </w:r>
            <w:r w:rsidRPr="007324EA">
              <w:rPr>
                <w:b/>
                <w:color w:val="000000"/>
              </w:rPr>
              <w:t>% of total</w:t>
            </w:r>
          </w:p>
          <w:p w:rsidR="005A1C2F" w:rsidP="005A1C2F" w:rsidRDefault="005A1C2F" w14:paraId="5A83BF2D" w14:textId="77777777">
            <w:pPr>
              <w:tabs>
                <w:tab w:val="left" w:pos="1260"/>
              </w:tabs>
              <w:spacing w:before="120"/>
              <w:rPr>
                <w:color w:val="000000"/>
              </w:rPr>
            </w:pPr>
            <w:r w:rsidRPr="007324EA">
              <w:rPr>
                <w:color w:val="000000"/>
              </w:rPr>
              <w:t xml:space="preserve">General Participation </w:t>
            </w:r>
            <w:proofErr w:type="gramStart"/>
            <w:r w:rsidRPr="007324EA">
              <w:rPr>
                <w:color w:val="000000"/>
              </w:rPr>
              <w:t>work</w:t>
            </w:r>
            <w:proofErr w:type="gramEnd"/>
            <w:r w:rsidRPr="007324EA">
              <w:rPr>
                <w:color w:val="000000"/>
              </w:rPr>
              <w:t xml:space="preserve"> essential to participation that typically spans multiple issues and/or would not vary with the number of issues that TURN addresses. This includes</w:t>
            </w:r>
            <w:r>
              <w:rPr>
                <w:color w:val="000000"/>
              </w:rPr>
              <w:t xml:space="preserve"> </w:t>
            </w:r>
            <w:r w:rsidRPr="007324EA">
              <w:rPr>
                <w:color w:val="000000"/>
              </w:rPr>
              <w:t>reviewing Commission rulings</w:t>
            </w:r>
            <w:r>
              <w:rPr>
                <w:color w:val="000000"/>
              </w:rPr>
              <w:t xml:space="preserve"> and proposed decisions, </w:t>
            </w:r>
            <w:r w:rsidRPr="007324EA">
              <w:rPr>
                <w:color w:val="000000"/>
              </w:rPr>
              <w:t>case management</w:t>
            </w:r>
            <w:r>
              <w:rPr>
                <w:color w:val="000000"/>
              </w:rPr>
              <w:t xml:space="preserve">, </w:t>
            </w:r>
            <w:r w:rsidRPr="007324EA">
              <w:rPr>
                <w:color w:val="000000"/>
              </w:rPr>
              <w:t>and reviewing pleadings submitted by other parties</w:t>
            </w:r>
            <w:r>
              <w:rPr>
                <w:color w:val="000000"/>
              </w:rPr>
              <w:t>.</w:t>
            </w:r>
          </w:p>
          <w:p w:rsidRPr="007324EA" w:rsidR="005A1C2F" w:rsidP="005A1C2F" w:rsidRDefault="005A1C2F" w14:paraId="0B4A02D5" w14:textId="77777777">
            <w:pPr>
              <w:tabs>
                <w:tab w:val="left" w:pos="1260"/>
              </w:tabs>
              <w:spacing w:before="120"/>
              <w:rPr>
                <w:b/>
                <w:color w:val="000000"/>
              </w:rPr>
            </w:pPr>
            <w:r>
              <w:rPr>
                <w:b/>
                <w:color w:val="000000"/>
              </w:rPr>
              <w:t xml:space="preserve">General Framework and Definitions </w:t>
            </w:r>
            <w:r w:rsidRPr="007324EA">
              <w:rPr>
                <w:b/>
                <w:color w:val="000000"/>
              </w:rPr>
              <w:t>(</w:t>
            </w:r>
            <w:r>
              <w:rPr>
                <w:b/>
                <w:color w:val="000000"/>
              </w:rPr>
              <w:t>FRAMEWORK)</w:t>
            </w:r>
            <w:r w:rsidRPr="007324EA">
              <w:rPr>
                <w:b/>
                <w:color w:val="000000"/>
              </w:rPr>
              <w:t xml:space="preserve"> – </w:t>
            </w:r>
            <w:r>
              <w:rPr>
                <w:b/>
                <w:color w:val="000000"/>
              </w:rPr>
              <w:t>20.25</w:t>
            </w:r>
            <w:r w:rsidRPr="007324EA">
              <w:rPr>
                <w:b/>
                <w:color w:val="000000"/>
              </w:rPr>
              <w:t xml:space="preserve"> hours – </w:t>
            </w:r>
            <w:r>
              <w:rPr>
                <w:b/>
                <w:color w:val="000000"/>
              </w:rPr>
              <w:t>27.1</w:t>
            </w:r>
            <w:r w:rsidRPr="007324EA">
              <w:rPr>
                <w:b/>
                <w:color w:val="000000"/>
              </w:rPr>
              <w:t>% of total</w:t>
            </w:r>
          </w:p>
          <w:p w:rsidR="005A1C2F" w:rsidP="005A1C2F" w:rsidRDefault="005A1C2F" w14:paraId="315B64EB" w14:textId="77777777">
            <w:pPr>
              <w:tabs>
                <w:tab w:val="left" w:pos="1260"/>
              </w:tabs>
              <w:spacing w:before="120"/>
              <w:rPr>
                <w:color w:val="000000"/>
              </w:rPr>
            </w:pPr>
            <w:r>
              <w:rPr>
                <w:color w:val="000000"/>
              </w:rPr>
              <w:t>Work addressing whether the Commission should continue to use the general framework and definitions adopted in D.23-12-036 (Scoping issue #1) including the use of an application process for review of VPF plans, proposals for setting a VPF escalation rate and additional recommendations proposed by other parties.</w:t>
            </w:r>
          </w:p>
          <w:p w:rsidRPr="007324EA" w:rsidR="005A1C2F" w:rsidP="005A1C2F" w:rsidRDefault="005A1C2F" w14:paraId="1A3B6669" w14:textId="77777777">
            <w:pPr>
              <w:tabs>
                <w:tab w:val="left" w:pos="1260"/>
              </w:tabs>
              <w:spacing w:before="120"/>
              <w:rPr>
                <w:color w:val="000000"/>
              </w:rPr>
            </w:pPr>
            <w:r>
              <w:rPr>
                <w:b/>
                <w:color w:val="000000"/>
              </w:rPr>
              <w:lastRenderedPageBreak/>
              <w:t xml:space="preserve">Reporting on VPF Expenditures </w:t>
            </w:r>
            <w:r w:rsidRPr="007324EA">
              <w:rPr>
                <w:b/>
                <w:color w:val="000000"/>
              </w:rPr>
              <w:t>(</w:t>
            </w:r>
            <w:r>
              <w:rPr>
                <w:b/>
                <w:color w:val="000000"/>
              </w:rPr>
              <w:t>REPORTING)</w:t>
            </w:r>
            <w:r w:rsidRPr="007324EA">
              <w:rPr>
                <w:b/>
                <w:color w:val="000000"/>
              </w:rPr>
              <w:t xml:space="preserve"> –</w:t>
            </w:r>
            <w:r>
              <w:rPr>
                <w:b/>
                <w:color w:val="000000"/>
              </w:rPr>
              <w:t xml:space="preserve"> 9.25 </w:t>
            </w:r>
            <w:r w:rsidRPr="007324EA">
              <w:rPr>
                <w:b/>
                <w:color w:val="000000"/>
              </w:rPr>
              <w:t xml:space="preserve">hours – </w:t>
            </w:r>
            <w:r>
              <w:rPr>
                <w:b/>
                <w:color w:val="000000"/>
              </w:rPr>
              <w:t>12.4</w:t>
            </w:r>
            <w:r w:rsidRPr="007324EA">
              <w:rPr>
                <w:b/>
                <w:color w:val="000000"/>
              </w:rPr>
              <w:t>% of total</w:t>
            </w:r>
          </w:p>
          <w:p w:rsidR="005A1C2F" w:rsidP="005A1C2F" w:rsidRDefault="005A1C2F" w14:paraId="73D49838" w14:textId="77777777">
            <w:pPr>
              <w:tabs>
                <w:tab w:val="left" w:pos="1260"/>
              </w:tabs>
              <w:spacing w:before="120"/>
              <w:rPr>
                <w:color w:val="000000"/>
              </w:rPr>
            </w:pPr>
            <w:r w:rsidRPr="007324EA">
              <w:rPr>
                <w:color w:val="000000"/>
              </w:rPr>
              <w:t xml:space="preserve">Work </w:t>
            </w:r>
            <w:r>
              <w:rPr>
                <w:color w:val="000000"/>
              </w:rPr>
              <w:t>addressing the reporting requirements for VPF spending including the scope of expense spending that must be included and efforts to identify whether prohibited shareholder benefits were realized by PG&amp;E.</w:t>
            </w:r>
          </w:p>
          <w:p w:rsidRPr="007324EA" w:rsidR="005A1C2F" w:rsidP="005A1C2F" w:rsidRDefault="005A1C2F" w14:paraId="3DE08086" w14:textId="77777777">
            <w:pPr>
              <w:tabs>
                <w:tab w:val="left" w:pos="1260"/>
              </w:tabs>
              <w:spacing w:before="120"/>
              <w:rPr>
                <w:color w:val="000000"/>
              </w:rPr>
            </w:pPr>
            <w:r>
              <w:rPr>
                <w:b/>
                <w:color w:val="000000"/>
              </w:rPr>
              <w:t>Prioritization of VPF spending (PRIORITIZATION)</w:t>
            </w:r>
            <w:r w:rsidRPr="007324EA">
              <w:rPr>
                <w:b/>
                <w:color w:val="000000"/>
              </w:rPr>
              <w:t xml:space="preserve"> –</w:t>
            </w:r>
            <w:r>
              <w:rPr>
                <w:b/>
                <w:color w:val="000000"/>
              </w:rPr>
              <w:t xml:space="preserve"> 31 </w:t>
            </w:r>
            <w:r w:rsidRPr="007324EA">
              <w:rPr>
                <w:b/>
                <w:color w:val="000000"/>
              </w:rPr>
              <w:t>hours –</w:t>
            </w:r>
            <w:r>
              <w:rPr>
                <w:b/>
                <w:color w:val="000000"/>
              </w:rPr>
              <w:t xml:space="preserve"> 41.5</w:t>
            </w:r>
            <w:r w:rsidRPr="007324EA">
              <w:rPr>
                <w:b/>
                <w:color w:val="000000"/>
              </w:rPr>
              <w:t>% of total</w:t>
            </w:r>
          </w:p>
          <w:p w:rsidR="005A1C2F" w:rsidP="005A1C2F" w:rsidRDefault="005A1C2F" w14:paraId="68AF68F9" w14:textId="77777777">
            <w:pPr>
              <w:tabs>
                <w:tab w:val="left" w:pos="1260"/>
              </w:tabs>
              <w:spacing w:before="120"/>
              <w:rPr>
                <w:color w:val="000000"/>
              </w:rPr>
            </w:pPr>
            <w:r>
              <w:rPr>
                <w:color w:val="000000"/>
              </w:rPr>
              <w:t xml:space="preserve">Work to the development of alternative VPF spending priorities to lower rates and promote customer affordability, including displacing capital investment for energization and wildfire mitigation </w:t>
            </w:r>
          </w:p>
          <w:p w:rsidRPr="007324EA" w:rsidR="005A1C2F" w:rsidP="005A1C2F" w:rsidRDefault="005A1C2F" w14:paraId="2C5AFF8F" w14:textId="77777777">
            <w:pPr>
              <w:tabs>
                <w:tab w:val="left" w:pos="1260"/>
              </w:tabs>
              <w:spacing w:before="120"/>
              <w:rPr>
                <w:color w:val="000000"/>
              </w:rPr>
            </w:pPr>
            <w:r>
              <w:rPr>
                <w:b/>
                <w:color w:val="000000"/>
              </w:rPr>
              <w:t xml:space="preserve">Discovery (DISC) </w:t>
            </w:r>
            <w:r w:rsidRPr="007324EA">
              <w:rPr>
                <w:b/>
                <w:color w:val="000000"/>
              </w:rPr>
              <w:t>–</w:t>
            </w:r>
            <w:r>
              <w:rPr>
                <w:b/>
                <w:color w:val="000000"/>
              </w:rPr>
              <w:t xml:space="preserve"> 4 h</w:t>
            </w:r>
            <w:r w:rsidRPr="007324EA">
              <w:rPr>
                <w:b/>
                <w:color w:val="000000"/>
              </w:rPr>
              <w:t>ours –</w:t>
            </w:r>
            <w:r>
              <w:rPr>
                <w:b/>
                <w:color w:val="000000"/>
              </w:rPr>
              <w:t xml:space="preserve"> 5.3</w:t>
            </w:r>
            <w:r w:rsidRPr="007324EA">
              <w:rPr>
                <w:b/>
                <w:color w:val="000000"/>
              </w:rPr>
              <w:t>% of total</w:t>
            </w:r>
          </w:p>
          <w:p w:rsidR="005A1C2F" w:rsidP="005A1C2F" w:rsidRDefault="005A1C2F" w14:paraId="3A0AE864" w14:textId="77777777">
            <w:pPr>
              <w:tabs>
                <w:tab w:val="left" w:pos="1260"/>
              </w:tabs>
              <w:spacing w:before="120"/>
              <w:rPr>
                <w:color w:val="000000"/>
              </w:rPr>
            </w:pPr>
            <w:r>
              <w:rPr>
                <w:color w:val="000000"/>
              </w:rPr>
              <w:t>Work devoted to performing discovery on PG&amp;E and/or other parties relating to filings in this proceeding.</w:t>
            </w:r>
          </w:p>
          <w:p w:rsidRPr="007324EA" w:rsidR="005A1C2F" w:rsidP="005A1C2F" w:rsidRDefault="005A1C2F" w14:paraId="4F821D31" w14:textId="77777777">
            <w:pPr>
              <w:tabs>
                <w:tab w:val="left" w:pos="1260"/>
              </w:tabs>
              <w:spacing w:before="120"/>
              <w:rPr>
                <w:color w:val="000000"/>
              </w:rPr>
            </w:pPr>
            <w:r>
              <w:rPr>
                <w:b/>
                <w:color w:val="000000"/>
              </w:rPr>
              <w:t xml:space="preserve">Ex </w:t>
            </w:r>
            <w:proofErr w:type="spellStart"/>
            <w:r>
              <w:rPr>
                <w:b/>
                <w:color w:val="000000"/>
              </w:rPr>
              <w:t>Parte</w:t>
            </w:r>
            <w:proofErr w:type="spellEnd"/>
            <w:r>
              <w:rPr>
                <w:b/>
                <w:color w:val="000000"/>
              </w:rPr>
              <w:t xml:space="preserve"> (EX PARTE) </w:t>
            </w:r>
            <w:r w:rsidRPr="007324EA">
              <w:rPr>
                <w:b/>
                <w:color w:val="000000"/>
              </w:rPr>
              <w:t>–</w:t>
            </w:r>
            <w:r>
              <w:rPr>
                <w:b/>
                <w:color w:val="000000"/>
              </w:rPr>
              <w:t xml:space="preserve"> 2.75 </w:t>
            </w:r>
            <w:r w:rsidRPr="007324EA">
              <w:rPr>
                <w:b/>
                <w:color w:val="000000"/>
              </w:rPr>
              <w:t>hours –</w:t>
            </w:r>
            <w:r>
              <w:rPr>
                <w:b/>
                <w:color w:val="000000"/>
              </w:rPr>
              <w:t xml:space="preserve"> 3.7</w:t>
            </w:r>
            <w:r w:rsidRPr="007324EA">
              <w:rPr>
                <w:b/>
                <w:color w:val="000000"/>
              </w:rPr>
              <w:t>% of total</w:t>
            </w:r>
          </w:p>
          <w:p w:rsidR="005A1C2F" w:rsidP="005A1C2F" w:rsidRDefault="005A1C2F" w14:paraId="4DA6CAF9" w14:textId="77777777">
            <w:pPr>
              <w:tabs>
                <w:tab w:val="left" w:pos="1260"/>
              </w:tabs>
              <w:spacing w:before="120"/>
              <w:rPr>
                <w:color w:val="000000"/>
              </w:rPr>
            </w:pPr>
            <w:r>
              <w:rPr>
                <w:color w:val="000000"/>
              </w:rPr>
              <w:t xml:space="preserve">Work devoted to participation in Ex </w:t>
            </w:r>
            <w:proofErr w:type="spellStart"/>
            <w:r>
              <w:rPr>
                <w:color w:val="000000"/>
              </w:rPr>
              <w:t>Parte</w:t>
            </w:r>
            <w:proofErr w:type="spellEnd"/>
            <w:r>
              <w:rPr>
                <w:color w:val="000000"/>
              </w:rPr>
              <w:t xml:space="preserve"> meetings with Commissioner offices relating to the Proposed Decision.</w:t>
            </w:r>
          </w:p>
          <w:p w:rsidRPr="007324EA" w:rsidR="005A1C2F" w:rsidP="005A1C2F" w:rsidRDefault="005A1C2F" w14:paraId="12C59B0F" w14:textId="77777777">
            <w:pPr>
              <w:tabs>
                <w:tab w:val="left" w:pos="1260"/>
              </w:tabs>
              <w:spacing w:before="120"/>
              <w:rPr>
                <w:color w:val="000000"/>
              </w:rPr>
            </w:pPr>
            <w:r w:rsidRPr="007324EA">
              <w:rPr>
                <w:b/>
                <w:color w:val="000000"/>
              </w:rPr>
              <w:t xml:space="preserve">Compensation – </w:t>
            </w:r>
            <w:r>
              <w:rPr>
                <w:b/>
                <w:color w:val="000000"/>
              </w:rPr>
              <w:t xml:space="preserve">9 </w:t>
            </w:r>
            <w:r w:rsidRPr="007324EA">
              <w:rPr>
                <w:b/>
                <w:color w:val="000000"/>
              </w:rPr>
              <w:t>hours</w:t>
            </w:r>
          </w:p>
          <w:p w:rsidRPr="007324EA" w:rsidR="005A1C2F" w:rsidP="005A1C2F" w:rsidRDefault="005A1C2F" w14:paraId="41DA57CE" w14:textId="77777777">
            <w:pPr>
              <w:rPr>
                <w:b/>
                <w:color w:val="000000"/>
              </w:rPr>
            </w:pPr>
            <w:r w:rsidRPr="007324EA">
              <w:rPr>
                <w:color w:val="000000"/>
              </w:rPr>
              <w:t>Time spent on the preparation of compensation</w:t>
            </w:r>
            <w:r>
              <w:rPr>
                <w:color w:val="000000"/>
              </w:rPr>
              <w:t>-related pleadings</w:t>
            </w:r>
            <w:r w:rsidRPr="007324EA">
              <w:rPr>
                <w:color w:val="000000"/>
              </w:rPr>
              <w:t>.</w:t>
            </w:r>
          </w:p>
          <w:p w:rsidRPr="007324EA" w:rsidR="005A1C2F" w:rsidP="005A1C2F" w:rsidRDefault="005A1C2F" w14:paraId="70674D01" w14:textId="77777777">
            <w:pPr>
              <w:tabs>
                <w:tab w:val="left" w:pos="1260"/>
              </w:tabs>
              <w:spacing w:before="120"/>
              <w:rPr>
                <w:color w:val="000000"/>
              </w:rPr>
            </w:pPr>
            <w:r w:rsidRPr="007324EA">
              <w:rPr>
                <w:color w:val="000000"/>
              </w:rPr>
              <w:t>-----</w:t>
            </w:r>
          </w:p>
          <w:p w:rsidRPr="00404C5F" w:rsidR="00B17D2C" w:rsidP="00B17D2C" w:rsidRDefault="005A1C2F" w14:paraId="3285939A" w14:textId="66801F45">
            <w:r w:rsidRPr="007324EA">
              <w:t xml:space="preserve">TURN submits that under the circumstances this information should suffice to address the allocation requirement under the Commission’s rules. Should the Commission wish to see additional or different information on this point, TURN requests that the </w:t>
            </w:r>
            <w:proofErr w:type="gramStart"/>
            <w:r w:rsidRPr="007324EA">
              <w:t>Commission so</w:t>
            </w:r>
            <w:proofErr w:type="gramEnd"/>
            <w:r w:rsidRPr="007324EA">
              <w:t xml:space="preserve"> inform TURN and provide a reasonable opportunity for TURN to supplement this showing accordingly.</w:t>
            </w:r>
          </w:p>
        </w:tc>
        <w:tc>
          <w:tcPr>
            <w:tcW w:w="2250" w:type="dxa"/>
          </w:tcPr>
          <w:p w:rsidRPr="007324EA" w:rsidR="00B17D2C" w:rsidP="00B17D2C" w:rsidRDefault="00541AB3" w14:paraId="497C4799" w14:textId="2DB0132E">
            <w:pPr>
              <w:spacing w:before="120"/>
              <w:rPr>
                <w:color w:val="000000"/>
              </w:rPr>
            </w:pPr>
            <w:r>
              <w:rPr>
                <w:color w:val="000000"/>
              </w:rPr>
              <w:lastRenderedPageBreak/>
              <w:t>Noted, totals 100%</w:t>
            </w:r>
          </w:p>
        </w:tc>
      </w:tr>
    </w:tbl>
    <w:p w:rsidRPr="007324EA" w:rsidR="00691528" w:rsidP="00691528" w:rsidRDefault="00691528" w14:paraId="3199B6EF" w14:textId="77777777">
      <w:pPr>
        <w:keepNext/>
        <w:keepLines/>
        <w:ind w:left="360"/>
        <w:rPr>
          <w:b/>
          <w:color w:val="000000"/>
        </w:rPr>
      </w:pPr>
    </w:p>
    <w:p w:rsidRPr="007324EA" w:rsidR="00A92D0B" w:rsidP="00691528" w:rsidRDefault="00A92D0B" w14:paraId="710BC7D6" w14:textId="77777777">
      <w:pPr>
        <w:keepNext/>
        <w:keepLines/>
        <w:numPr>
          <w:ilvl w:val="0"/>
          <w:numId w:val="2"/>
        </w:numPr>
        <w:tabs>
          <w:tab w:val="clear" w:pos="900"/>
          <w:tab w:val="num" w:pos="360"/>
        </w:tabs>
        <w:spacing w:after="240"/>
        <w:ind w:left="360"/>
        <w:rPr>
          <w:b/>
          <w:color w:val="000000"/>
        </w:rPr>
      </w:pPr>
      <w:r w:rsidRPr="007324EA">
        <w:rPr>
          <w:b/>
          <w:color w:val="000000"/>
        </w:rPr>
        <w:t xml:space="preserve">Specific </w:t>
      </w:r>
      <w:proofErr w:type="gramStart"/>
      <w:r w:rsidRPr="007324EA">
        <w:rPr>
          <w:b/>
          <w:color w:val="000000"/>
        </w:rPr>
        <w:t>Claim</w:t>
      </w:r>
      <w:r w:rsidRPr="007324EA" w:rsidR="00C02649">
        <w:rPr>
          <w:b/>
          <w:color w:val="000000"/>
        </w:rPr>
        <w:t>:</w:t>
      </w:r>
      <w:r w:rsidRPr="007324EA" w:rsidR="00D075B1">
        <w:rPr>
          <w:b/>
          <w:color w:val="000000"/>
        </w:rPr>
        <w:t>*</w:t>
      </w:r>
      <w:proofErr w:type="gramEnd"/>
    </w:p>
    <w:tbl>
      <w:tblPr>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04"/>
        <w:gridCol w:w="774"/>
        <w:gridCol w:w="833"/>
        <w:gridCol w:w="877"/>
        <w:gridCol w:w="1507"/>
        <w:gridCol w:w="1373"/>
        <w:gridCol w:w="900"/>
        <w:gridCol w:w="1080"/>
        <w:gridCol w:w="1773"/>
      </w:tblGrid>
      <w:tr w:rsidRPr="007324EA" w:rsidR="00A92D0B" w:rsidTr="008C09F7" w14:paraId="780664A2" w14:textId="77777777">
        <w:trPr>
          <w:jc w:val="center"/>
        </w:trPr>
        <w:tc>
          <w:tcPr>
            <w:tcW w:w="6768" w:type="dxa"/>
            <w:gridSpan w:val="6"/>
            <w:tcBorders>
              <w:bottom w:val="single" w:color="auto" w:sz="4" w:space="0"/>
              <w:right w:val="single" w:color="auto" w:sz="24" w:space="0"/>
            </w:tcBorders>
          </w:tcPr>
          <w:p w:rsidRPr="007324EA" w:rsidR="00A92D0B" w:rsidP="00DE3A5D" w:rsidRDefault="00A92D0B" w14:paraId="6BFE54DA" w14:textId="77777777">
            <w:pPr>
              <w:keepNext/>
              <w:keepLines/>
              <w:spacing w:before="60" w:after="60"/>
              <w:jc w:val="center"/>
              <w:rPr>
                <w:b/>
                <w:smallCaps/>
                <w:color w:val="000000"/>
              </w:rPr>
            </w:pPr>
            <w:r w:rsidRPr="007324EA">
              <w:rPr>
                <w:b/>
                <w:smallCaps/>
                <w:color w:val="000000"/>
              </w:rPr>
              <w:t>Claimed</w:t>
            </w:r>
          </w:p>
        </w:tc>
        <w:tc>
          <w:tcPr>
            <w:tcW w:w="3753" w:type="dxa"/>
            <w:gridSpan w:val="3"/>
            <w:tcBorders>
              <w:left w:val="single" w:color="auto" w:sz="24" w:space="0"/>
              <w:bottom w:val="single" w:color="auto" w:sz="4" w:space="0"/>
            </w:tcBorders>
          </w:tcPr>
          <w:p w:rsidRPr="007324EA" w:rsidR="00A92D0B" w:rsidP="00DE3A5D" w:rsidRDefault="00A92D0B" w14:paraId="170A0FA1" w14:textId="77777777">
            <w:pPr>
              <w:keepNext/>
              <w:keepLines/>
              <w:spacing w:before="60" w:after="60"/>
              <w:jc w:val="center"/>
              <w:rPr>
                <w:b/>
                <w:smallCaps/>
                <w:color w:val="000000"/>
              </w:rPr>
            </w:pPr>
            <w:r w:rsidRPr="007324EA">
              <w:rPr>
                <w:b/>
                <w:smallCaps/>
                <w:color w:val="000000"/>
              </w:rPr>
              <w:t>CPUC Award</w:t>
            </w:r>
          </w:p>
        </w:tc>
      </w:tr>
      <w:tr w:rsidRPr="007324EA" w:rsidR="00A92D0B" w:rsidTr="008C09F7" w14:paraId="0F5B6CAA" w14:textId="77777777">
        <w:trPr>
          <w:jc w:val="center"/>
        </w:trPr>
        <w:tc>
          <w:tcPr>
            <w:tcW w:w="10521" w:type="dxa"/>
            <w:gridSpan w:val="9"/>
            <w:tcBorders>
              <w:top w:val="single" w:color="auto" w:sz="4" w:space="0"/>
              <w:left w:val="single" w:color="auto" w:sz="4" w:space="0"/>
              <w:bottom w:val="single" w:color="auto" w:sz="4" w:space="0"/>
              <w:right w:val="single" w:color="auto" w:sz="4" w:space="0"/>
            </w:tcBorders>
            <w:shd w:val="clear" w:color="auto" w:fill="E6E6E6"/>
          </w:tcPr>
          <w:p w:rsidRPr="007324EA" w:rsidR="00A92D0B" w:rsidP="00DE3A5D" w:rsidRDefault="00A92D0B" w14:paraId="284F9031" w14:textId="77777777">
            <w:pPr>
              <w:keepNext/>
              <w:keepLines/>
              <w:spacing w:before="60" w:after="60"/>
              <w:jc w:val="center"/>
              <w:rPr>
                <w:b/>
              </w:rPr>
            </w:pPr>
            <w:r w:rsidRPr="007324EA">
              <w:rPr>
                <w:b/>
              </w:rPr>
              <w:t>ATTORNEY, EXPERT, AND ADVOCATE FEES</w:t>
            </w:r>
          </w:p>
        </w:tc>
      </w:tr>
      <w:tr w:rsidRPr="007324EA" w:rsidR="00A92D0B" w:rsidTr="00404C5F" w14:paraId="5A70C962" w14:textId="77777777">
        <w:trPr>
          <w:jc w:val="center"/>
        </w:trPr>
        <w:tc>
          <w:tcPr>
            <w:tcW w:w="1404" w:type="dxa"/>
            <w:tcBorders>
              <w:top w:val="single" w:color="auto" w:sz="4" w:space="0"/>
              <w:bottom w:val="single" w:color="auto" w:sz="4" w:space="0"/>
            </w:tcBorders>
            <w:vAlign w:val="bottom"/>
          </w:tcPr>
          <w:p w:rsidRPr="007324EA" w:rsidR="00A92D0B" w:rsidP="003B6A1B" w:rsidRDefault="00A92D0B" w14:paraId="41646676" w14:textId="77777777">
            <w:pPr>
              <w:keepNext/>
              <w:keepLines/>
              <w:spacing w:before="60" w:after="60"/>
              <w:jc w:val="center"/>
              <w:rPr>
                <w:b/>
                <w:color w:val="000000"/>
                <w:sz w:val="22"/>
                <w:szCs w:val="22"/>
              </w:rPr>
            </w:pPr>
            <w:r w:rsidRPr="007324EA">
              <w:rPr>
                <w:b/>
                <w:color w:val="000000"/>
                <w:sz w:val="22"/>
                <w:szCs w:val="22"/>
              </w:rPr>
              <w:t>Item</w:t>
            </w:r>
          </w:p>
        </w:tc>
        <w:tc>
          <w:tcPr>
            <w:tcW w:w="774" w:type="dxa"/>
            <w:tcBorders>
              <w:top w:val="single" w:color="auto" w:sz="4" w:space="0"/>
              <w:bottom w:val="single" w:color="auto" w:sz="4" w:space="0"/>
            </w:tcBorders>
            <w:vAlign w:val="bottom"/>
          </w:tcPr>
          <w:p w:rsidRPr="007324EA" w:rsidR="00A92D0B" w:rsidP="003B6A1B" w:rsidRDefault="00A92D0B" w14:paraId="43BB9941" w14:textId="77777777">
            <w:pPr>
              <w:keepNext/>
              <w:keepLines/>
              <w:spacing w:before="60" w:after="60"/>
              <w:jc w:val="center"/>
              <w:rPr>
                <w:b/>
                <w:color w:val="000000"/>
                <w:sz w:val="22"/>
                <w:szCs w:val="22"/>
              </w:rPr>
            </w:pPr>
            <w:r w:rsidRPr="007324EA">
              <w:rPr>
                <w:b/>
                <w:color w:val="000000"/>
                <w:sz w:val="22"/>
                <w:szCs w:val="22"/>
              </w:rPr>
              <w:t>Year</w:t>
            </w:r>
          </w:p>
        </w:tc>
        <w:tc>
          <w:tcPr>
            <w:tcW w:w="833" w:type="dxa"/>
            <w:tcBorders>
              <w:top w:val="single" w:color="auto" w:sz="4" w:space="0"/>
              <w:bottom w:val="single" w:color="auto" w:sz="4" w:space="0"/>
            </w:tcBorders>
            <w:vAlign w:val="bottom"/>
          </w:tcPr>
          <w:p w:rsidRPr="007324EA" w:rsidR="00A92D0B" w:rsidP="003B6A1B" w:rsidRDefault="00A92D0B" w14:paraId="0EF32B08" w14:textId="77777777">
            <w:pPr>
              <w:keepNext/>
              <w:keepLines/>
              <w:spacing w:before="60" w:after="60"/>
              <w:jc w:val="center"/>
              <w:rPr>
                <w:b/>
                <w:color w:val="000000"/>
                <w:sz w:val="22"/>
                <w:szCs w:val="22"/>
              </w:rPr>
            </w:pPr>
            <w:r w:rsidRPr="007324EA">
              <w:rPr>
                <w:b/>
                <w:color w:val="000000"/>
                <w:sz w:val="22"/>
                <w:szCs w:val="22"/>
              </w:rPr>
              <w:t>Hours</w:t>
            </w:r>
          </w:p>
        </w:tc>
        <w:tc>
          <w:tcPr>
            <w:tcW w:w="877" w:type="dxa"/>
            <w:tcBorders>
              <w:top w:val="single" w:color="auto" w:sz="4" w:space="0"/>
              <w:bottom w:val="single" w:color="auto" w:sz="4" w:space="0"/>
            </w:tcBorders>
            <w:vAlign w:val="bottom"/>
          </w:tcPr>
          <w:p w:rsidRPr="007324EA" w:rsidR="00A92D0B" w:rsidP="003B6A1B" w:rsidRDefault="00A92D0B" w14:paraId="21C69246" w14:textId="77777777">
            <w:pPr>
              <w:keepNext/>
              <w:keepLines/>
              <w:spacing w:before="60" w:after="60"/>
              <w:jc w:val="center"/>
              <w:rPr>
                <w:b/>
                <w:color w:val="000000"/>
                <w:sz w:val="22"/>
                <w:szCs w:val="22"/>
              </w:rPr>
            </w:pPr>
            <w:r w:rsidRPr="007324EA">
              <w:rPr>
                <w:b/>
                <w:color w:val="000000"/>
                <w:sz w:val="22"/>
                <w:szCs w:val="22"/>
              </w:rPr>
              <w:t>Rate</w:t>
            </w:r>
            <w:r w:rsidRPr="007324EA" w:rsidR="00E3786F">
              <w:rPr>
                <w:b/>
                <w:color w:val="000000"/>
                <w:sz w:val="22"/>
                <w:szCs w:val="22"/>
              </w:rPr>
              <w:t xml:space="preserve"> $</w:t>
            </w:r>
          </w:p>
        </w:tc>
        <w:tc>
          <w:tcPr>
            <w:tcW w:w="1507" w:type="dxa"/>
            <w:tcBorders>
              <w:top w:val="single" w:color="auto" w:sz="4" w:space="0"/>
              <w:bottom w:val="single" w:color="auto" w:sz="4" w:space="0"/>
              <w:right w:val="single" w:color="auto" w:sz="4" w:space="0"/>
            </w:tcBorders>
            <w:vAlign w:val="bottom"/>
          </w:tcPr>
          <w:p w:rsidRPr="007324EA" w:rsidR="00A92D0B" w:rsidP="003B6A1B" w:rsidRDefault="00A92D0B" w14:paraId="59E63C07" w14:textId="77777777">
            <w:pPr>
              <w:keepNext/>
              <w:keepLines/>
              <w:spacing w:before="60" w:after="60"/>
              <w:jc w:val="center"/>
              <w:rPr>
                <w:b/>
                <w:color w:val="000000"/>
                <w:sz w:val="22"/>
                <w:szCs w:val="22"/>
              </w:rPr>
            </w:pPr>
            <w:r w:rsidRPr="007324EA">
              <w:rPr>
                <w:b/>
                <w:color w:val="000000"/>
                <w:sz w:val="22"/>
                <w:szCs w:val="22"/>
              </w:rPr>
              <w:t>Basis for Rate*</w:t>
            </w:r>
          </w:p>
        </w:tc>
        <w:tc>
          <w:tcPr>
            <w:tcW w:w="1373" w:type="dxa"/>
            <w:tcBorders>
              <w:top w:val="single" w:color="auto" w:sz="4" w:space="0"/>
              <w:left w:val="single" w:color="auto" w:sz="4" w:space="0"/>
              <w:bottom w:val="single" w:color="auto" w:sz="4" w:space="0"/>
              <w:right w:val="single" w:color="auto" w:sz="24" w:space="0"/>
            </w:tcBorders>
            <w:vAlign w:val="bottom"/>
          </w:tcPr>
          <w:p w:rsidRPr="007324EA" w:rsidR="00A92D0B" w:rsidP="003B6A1B" w:rsidRDefault="00A92D0B" w14:paraId="7099C603" w14:textId="77777777">
            <w:pPr>
              <w:keepNext/>
              <w:keepLines/>
              <w:spacing w:before="60" w:after="60"/>
              <w:jc w:val="center"/>
              <w:rPr>
                <w:b/>
                <w:color w:val="000000"/>
                <w:sz w:val="22"/>
                <w:szCs w:val="22"/>
              </w:rPr>
            </w:pPr>
            <w:r w:rsidRPr="007324EA">
              <w:rPr>
                <w:b/>
                <w:color w:val="000000"/>
                <w:sz w:val="22"/>
                <w:szCs w:val="22"/>
              </w:rPr>
              <w:t>Total $</w:t>
            </w:r>
          </w:p>
        </w:tc>
        <w:tc>
          <w:tcPr>
            <w:tcW w:w="900" w:type="dxa"/>
            <w:tcBorders>
              <w:top w:val="single" w:color="auto" w:sz="4" w:space="0"/>
              <w:left w:val="single" w:color="auto" w:sz="4" w:space="0"/>
            </w:tcBorders>
            <w:vAlign w:val="bottom"/>
          </w:tcPr>
          <w:p w:rsidRPr="007324EA" w:rsidR="00A92D0B" w:rsidP="003B6A1B" w:rsidRDefault="00A92D0B" w14:paraId="564E4964" w14:textId="77777777">
            <w:pPr>
              <w:keepNext/>
              <w:keepLines/>
              <w:spacing w:before="60" w:after="60"/>
              <w:jc w:val="center"/>
              <w:rPr>
                <w:b/>
                <w:color w:val="000000"/>
                <w:sz w:val="22"/>
                <w:szCs w:val="22"/>
              </w:rPr>
            </w:pPr>
            <w:r w:rsidRPr="007324EA">
              <w:rPr>
                <w:b/>
                <w:color w:val="000000"/>
                <w:sz w:val="22"/>
                <w:szCs w:val="22"/>
              </w:rPr>
              <w:t>Hours</w:t>
            </w:r>
          </w:p>
        </w:tc>
        <w:tc>
          <w:tcPr>
            <w:tcW w:w="1080" w:type="dxa"/>
            <w:tcBorders>
              <w:top w:val="single" w:color="auto" w:sz="4" w:space="0"/>
            </w:tcBorders>
            <w:vAlign w:val="bottom"/>
          </w:tcPr>
          <w:p w:rsidRPr="007324EA" w:rsidR="00A92D0B" w:rsidP="003B6A1B" w:rsidRDefault="00A92D0B" w14:paraId="1462552D" w14:textId="77777777">
            <w:pPr>
              <w:keepNext/>
              <w:keepLines/>
              <w:spacing w:before="60" w:after="60"/>
              <w:jc w:val="center"/>
              <w:rPr>
                <w:b/>
                <w:color w:val="000000"/>
                <w:sz w:val="22"/>
                <w:szCs w:val="22"/>
              </w:rPr>
            </w:pPr>
            <w:r w:rsidRPr="007324EA">
              <w:rPr>
                <w:b/>
                <w:color w:val="000000"/>
                <w:sz w:val="22"/>
                <w:szCs w:val="22"/>
              </w:rPr>
              <w:t>Rate</w:t>
            </w:r>
            <w:r w:rsidRPr="007324EA" w:rsidR="00E3786F">
              <w:rPr>
                <w:b/>
                <w:color w:val="000000"/>
                <w:sz w:val="22"/>
                <w:szCs w:val="22"/>
              </w:rPr>
              <w:t xml:space="preserve"> $</w:t>
            </w:r>
          </w:p>
        </w:tc>
        <w:tc>
          <w:tcPr>
            <w:tcW w:w="1773" w:type="dxa"/>
            <w:tcBorders>
              <w:top w:val="single" w:color="auto" w:sz="4" w:space="0"/>
            </w:tcBorders>
            <w:vAlign w:val="bottom"/>
          </w:tcPr>
          <w:p w:rsidRPr="007324EA" w:rsidR="00A92D0B" w:rsidP="003B6A1B" w:rsidRDefault="00A92D0B" w14:paraId="1B6A5CA4" w14:textId="77777777">
            <w:pPr>
              <w:keepNext/>
              <w:keepLines/>
              <w:spacing w:before="60" w:after="60"/>
              <w:jc w:val="center"/>
              <w:rPr>
                <w:b/>
                <w:color w:val="000000"/>
                <w:sz w:val="22"/>
                <w:szCs w:val="22"/>
              </w:rPr>
            </w:pPr>
            <w:r w:rsidRPr="007324EA">
              <w:rPr>
                <w:b/>
                <w:color w:val="000000"/>
                <w:sz w:val="22"/>
                <w:szCs w:val="22"/>
              </w:rPr>
              <w:t>Total $</w:t>
            </w:r>
          </w:p>
        </w:tc>
      </w:tr>
      <w:tr w:rsidRPr="007324EA" w:rsidR="00C3712A" w:rsidTr="009F78F3" w14:paraId="5DA0ECE2" w14:textId="77777777">
        <w:trPr>
          <w:jc w:val="center"/>
        </w:trPr>
        <w:tc>
          <w:tcPr>
            <w:tcW w:w="1404" w:type="dxa"/>
            <w:vAlign w:val="bottom"/>
          </w:tcPr>
          <w:p w:rsidRPr="00404C5F" w:rsidR="00C3712A" w:rsidP="00C3712A" w:rsidRDefault="00C3712A" w14:paraId="7BD45103" w14:textId="48A7C879">
            <w:pPr>
              <w:spacing w:before="60" w:after="60"/>
              <w:jc w:val="center"/>
              <w:rPr>
                <w:color w:val="000000"/>
                <w:sz w:val="22"/>
                <w:szCs w:val="22"/>
              </w:rPr>
            </w:pPr>
            <w:r w:rsidRPr="00404C5F">
              <w:rPr>
                <w:color w:val="000000"/>
              </w:rPr>
              <w:t>Jennifer Dowdell, TURN Energy Policy Expert</w:t>
            </w:r>
          </w:p>
        </w:tc>
        <w:tc>
          <w:tcPr>
            <w:tcW w:w="774" w:type="dxa"/>
            <w:vAlign w:val="bottom"/>
          </w:tcPr>
          <w:p w:rsidRPr="00404C5F" w:rsidR="00C3712A" w:rsidP="006D133C" w:rsidRDefault="00C3712A" w14:paraId="1B34D62E" w14:textId="30D63D80">
            <w:pPr>
              <w:spacing w:before="60" w:after="60"/>
              <w:jc w:val="center"/>
              <w:rPr>
                <w:color w:val="000000"/>
                <w:sz w:val="22"/>
                <w:szCs w:val="22"/>
              </w:rPr>
            </w:pPr>
            <w:r w:rsidRPr="00404C5F">
              <w:rPr>
                <w:color w:val="000000"/>
              </w:rPr>
              <w:t>2024</w:t>
            </w:r>
          </w:p>
        </w:tc>
        <w:tc>
          <w:tcPr>
            <w:tcW w:w="833" w:type="dxa"/>
            <w:vAlign w:val="bottom"/>
          </w:tcPr>
          <w:p w:rsidRPr="00404C5F" w:rsidR="00C3712A" w:rsidP="006D133C" w:rsidRDefault="00C3712A" w14:paraId="55096060" w14:textId="5BDFBA0F">
            <w:pPr>
              <w:spacing w:before="60" w:after="60"/>
              <w:jc w:val="center"/>
              <w:rPr>
                <w:color w:val="000000"/>
                <w:sz w:val="22"/>
                <w:szCs w:val="22"/>
              </w:rPr>
            </w:pPr>
            <w:r w:rsidRPr="00404C5F">
              <w:rPr>
                <w:color w:val="000000"/>
              </w:rPr>
              <w:t>15.50</w:t>
            </w:r>
          </w:p>
        </w:tc>
        <w:tc>
          <w:tcPr>
            <w:tcW w:w="877" w:type="dxa"/>
            <w:vAlign w:val="bottom"/>
          </w:tcPr>
          <w:p w:rsidRPr="00404C5F" w:rsidR="00C3712A" w:rsidP="006D133C" w:rsidRDefault="00C3712A" w14:paraId="63C32F85" w14:textId="37EE2B48">
            <w:pPr>
              <w:spacing w:before="60" w:after="60"/>
              <w:jc w:val="center"/>
              <w:rPr>
                <w:color w:val="000000"/>
                <w:sz w:val="22"/>
                <w:szCs w:val="22"/>
              </w:rPr>
            </w:pPr>
            <w:r w:rsidRPr="00404C5F">
              <w:rPr>
                <w:color w:val="000000"/>
              </w:rPr>
              <w:t>$495</w:t>
            </w:r>
          </w:p>
        </w:tc>
        <w:tc>
          <w:tcPr>
            <w:tcW w:w="1507" w:type="dxa"/>
            <w:tcBorders>
              <w:right w:val="single" w:color="auto" w:sz="4" w:space="0"/>
            </w:tcBorders>
            <w:vAlign w:val="bottom"/>
          </w:tcPr>
          <w:p w:rsidRPr="00404C5F" w:rsidR="00C3712A" w:rsidP="006D133C" w:rsidRDefault="00C3712A" w14:paraId="5202E9B1" w14:textId="572A61C1">
            <w:pPr>
              <w:spacing w:before="60" w:after="60"/>
              <w:jc w:val="center"/>
              <w:rPr>
                <w:color w:val="000000"/>
                <w:sz w:val="22"/>
                <w:szCs w:val="22"/>
              </w:rPr>
            </w:pPr>
            <w:r w:rsidRPr="00404C5F">
              <w:rPr>
                <w:color w:val="000000"/>
              </w:rPr>
              <w:t>D.25-01-053</w:t>
            </w:r>
          </w:p>
        </w:tc>
        <w:tc>
          <w:tcPr>
            <w:tcW w:w="1373" w:type="dxa"/>
            <w:tcBorders>
              <w:top w:val="single" w:color="auto" w:sz="4" w:space="0"/>
              <w:left w:val="single" w:color="auto" w:sz="4" w:space="0"/>
              <w:bottom w:val="single" w:color="auto" w:sz="4" w:space="0"/>
              <w:right w:val="single" w:color="auto" w:sz="24" w:space="0"/>
            </w:tcBorders>
            <w:vAlign w:val="bottom"/>
          </w:tcPr>
          <w:p w:rsidR="00404C5F" w:rsidP="006D133C" w:rsidRDefault="00404C5F" w14:paraId="35FAEDF1" w14:textId="30F1C045">
            <w:pPr>
              <w:spacing w:before="60" w:after="60"/>
              <w:jc w:val="center"/>
              <w:rPr>
                <w:color w:val="000000"/>
              </w:rPr>
            </w:pPr>
          </w:p>
          <w:p w:rsidR="00404C5F" w:rsidP="006D133C" w:rsidRDefault="00404C5F" w14:paraId="462CDC1A" w14:textId="77777777">
            <w:pPr>
              <w:spacing w:before="60" w:after="60"/>
              <w:jc w:val="center"/>
              <w:rPr>
                <w:color w:val="000000"/>
              </w:rPr>
            </w:pPr>
          </w:p>
          <w:p w:rsidRPr="00404C5F" w:rsidR="00C3712A" w:rsidP="006D133C" w:rsidRDefault="00404C5F" w14:paraId="54CC061D" w14:textId="0A437D5D">
            <w:pPr>
              <w:spacing w:before="60" w:after="60"/>
              <w:jc w:val="center"/>
              <w:rPr>
                <w:color w:val="000000"/>
                <w:sz w:val="22"/>
                <w:szCs w:val="22"/>
              </w:rPr>
            </w:pPr>
            <w:r>
              <w:rPr>
                <w:color w:val="000000"/>
              </w:rPr>
              <w:t>$</w:t>
            </w:r>
            <w:r w:rsidRPr="00404C5F" w:rsidR="00C3712A">
              <w:rPr>
                <w:color w:val="000000"/>
              </w:rPr>
              <w:t>7,672.50</w:t>
            </w:r>
          </w:p>
        </w:tc>
        <w:tc>
          <w:tcPr>
            <w:tcW w:w="900" w:type="dxa"/>
            <w:tcBorders>
              <w:left w:val="single" w:color="auto" w:sz="4" w:space="0"/>
            </w:tcBorders>
          </w:tcPr>
          <w:p w:rsidR="009F78F3" w:rsidP="006D133C" w:rsidRDefault="009F78F3" w14:paraId="50B860A8" w14:textId="77777777">
            <w:pPr>
              <w:spacing w:before="60" w:after="60"/>
              <w:jc w:val="center"/>
              <w:rPr>
                <w:color w:val="000000"/>
              </w:rPr>
            </w:pPr>
          </w:p>
          <w:p w:rsidR="009F78F3" w:rsidP="006D133C" w:rsidRDefault="009F78F3" w14:paraId="4042FF9E" w14:textId="77777777">
            <w:pPr>
              <w:spacing w:before="60" w:after="60"/>
              <w:jc w:val="center"/>
              <w:rPr>
                <w:color w:val="000000"/>
              </w:rPr>
            </w:pPr>
          </w:p>
          <w:p w:rsidR="009F78F3" w:rsidP="006D133C" w:rsidRDefault="009F78F3" w14:paraId="1081497B" w14:textId="77777777">
            <w:pPr>
              <w:spacing w:before="60" w:after="60"/>
              <w:jc w:val="center"/>
              <w:rPr>
                <w:color w:val="000000"/>
              </w:rPr>
            </w:pPr>
          </w:p>
          <w:p w:rsidR="009F78F3" w:rsidP="006D133C" w:rsidRDefault="009F78F3" w14:paraId="74347D4C" w14:textId="77777777">
            <w:pPr>
              <w:spacing w:before="60" w:after="60"/>
              <w:jc w:val="center"/>
              <w:rPr>
                <w:color w:val="000000"/>
              </w:rPr>
            </w:pPr>
          </w:p>
          <w:p w:rsidRPr="007324EA" w:rsidR="00C3712A" w:rsidP="006D133C" w:rsidRDefault="009F78F3" w14:paraId="32136612" w14:textId="0A472879">
            <w:pPr>
              <w:spacing w:before="60" w:after="60"/>
              <w:jc w:val="center"/>
              <w:rPr>
                <w:color w:val="000000"/>
              </w:rPr>
            </w:pPr>
            <w:r>
              <w:rPr>
                <w:color w:val="000000"/>
              </w:rPr>
              <w:t>13.50 [2]</w:t>
            </w:r>
          </w:p>
        </w:tc>
        <w:tc>
          <w:tcPr>
            <w:tcW w:w="1080" w:type="dxa"/>
          </w:tcPr>
          <w:p w:rsidR="007305D3" w:rsidP="006D133C" w:rsidRDefault="007305D3" w14:paraId="55F5F34F" w14:textId="77777777">
            <w:pPr>
              <w:spacing w:before="60" w:after="60"/>
              <w:jc w:val="center"/>
              <w:rPr>
                <w:color w:val="000000"/>
              </w:rPr>
            </w:pPr>
          </w:p>
          <w:p w:rsidR="007305D3" w:rsidP="006D133C" w:rsidRDefault="007305D3" w14:paraId="7DB64F8D" w14:textId="77777777">
            <w:pPr>
              <w:spacing w:before="60" w:after="60"/>
              <w:jc w:val="center"/>
              <w:rPr>
                <w:color w:val="000000"/>
              </w:rPr>
            </w:pPr>
          </w:p>
          <w:p w:rsidR="007305D3" w:rsidP="006D133C" w:rsidRDefault="007305D3" w14:paraId="42D222F0" w14:textId="77777777">
            <w:pPr>
              <w:spacing w:before="60" w:after="60"/>
              <w:jc w:val="center"/>
              <w:rPr>
                <w:color w:val="000000"/>
              </w:rPr>
            </w:pPr>
          </w:p>
          <w:p w:rsidR="007305D3" w:rsidP="006D133C" w:rsidRDefault="007305D3" w14:paraId="30DE34A0" w14:textId="77777777">
            <w:pPr>
              <w:spacing w:before="60" w:after="60"/>
              <w:jc w:val="center"/>
              <w:rPr>
                <w:color w:val="000000"/>
              </w:rPr>
            </w:pPr>
          </w:p>
          <w:p w:rsidRPr="007324EA" w:rsidR="00C3712A" w:rsidP="006D133C" w:rsidRDefault="007305D3" w14:paraId="2D3F8AB8" w14:textId="54A61AEA">
            <w:pPr>
              <w:spacing w:before="60" w:after="60"/>
              <w:jc w:val="center"/>
              <w:rPr>
                <w:color w:val="000000"/>
              </w:rPr>
            </w:pPr>
            <w:r>
              <w:rPr>
                <w:color w:val="000000"/>
              </w:rPr>
              <w:t>$495.00</w:t>
            </w:r>
          </w:p>
        </w:tc>
        <w:tc>
          <w:tcPr>
            <w:tcW w:w="1773" w:type="dxa"/>
          </w:tcPr>
          <w:p w:rsidR="009F78F3" w:rsidP="006D133C" w:rsidRDefault="009F78F3" w14:paraId="25CBB92D" w14:textId="77777777">
            <w:pPr>
              <w:spacing w:before="60" w:after="60"/>
              <w:jc w:val="center"/>
              <w:rPr>
                <w:color w:val="000000"/>
              </w:rPr>
            </w:pPr>
          </w:p>
          <w:p w:rsidR="009F78F3" w:rsidP="006D133C" w:rsidRDefault="009F78F3" w14:paraId="71158C9B" w14:textId="77777777">
            <w:pPr>
              <w:spacing w:before="60" w:after="60"/>
              <w:jc w:val="center"/>
              <w:rPr>
                <w:color w:val="000000"/>
              </w:rPr>
            </w:pPr>
          </w:p>
          <w:p w:rsidR="009F78F3" w:rsidP="006D133C" w:rsidRDefault="009F78F3" w14:paraId="79FC41A6" w14:textId="77777777">
            <w:pPr>
              <w:spacing w:before="60" w:after="60"/>
              <w:jc w:val="center"/>
              <w:rPr>
                <w:color w:val="000000"/>
              </w:rPr>
            </w:pPr>
          </w:p>
          <w:p w:rsidR="009F78F3" w:rsidP="006D133C" w:rsidRDefault="009F78F3" w14:paraId="15D8FC76" w14:textId="77777777">
            <w:pPr>
              <w:spacing w:before="60" w:after="60"/>
              <w:jc w:val="center"/>
              <w:rPr>
                <w:color w:val="000000"/>
              </w:rPr>
            </w:pPr>
          </w:p>
          <w:p w:rsidRPr="007324EA" w:rsidR="00C3712A" w:rsidP="006D133C" w:rsidRDefault="009F78F3" w14:paraId="79B987F0" w14:textId="4059F829">
            <w:pPr>
              <w:spacing w:before="60" w:after="60"/>
              <w:jc w:val="center"/>
              <w:rPr>
                <w:color w:val="000000"/>
              </w:rPr>
            </w:pPr>
            <w:r>
              <w:rPr>
                <w:color w:val="000000"/>
              </w:rPr>
              <w:t>$6,682.50</w:t>
            </w:r>
          </w:p>
        </w:tc>
      </w:tr>
      <w:tr w:rsidRPr="007324EA" w:rsidR="00C3712A" w:rsidTr="002F5675" w14:paraId="25C44528" w14:textId="77777777">
        <w:trPr>
          <w:jc w:val="center"/>
        </w:trPr>
        <w:tc>
          <w:tcPr>
            <w:tcW w:w="1404" w:type="dxa"/>
            <w:vAlign w:val="bottom"/>
          </w:tcPr>
          <w:p w:rsidRPr="00404C5F" w:rsidR="00C3712A" w:rsidP="00C3712A" w:rsidRDefault="00C3712A" w14:paraId="27A3D882" w14:textId="12A3F49C">
            <w:pPr>
              <w:spacing w:before="60" w:after="60"/>
              <w:jc w:val="center"/>
              <w:rPr>
                <w:color w:val="000000"/>
                <w:sz w:val="22"/>
                <w:szCs w:val="22"/>
              </w:rPr>
            </w:pPr>
            <w:r w:rsidRPr="00404C5F">
              <w:rPr>
                <w:color w:val="000000"/>
              </w:rPr>
              <w:lastRenderedPageBreak/>
              <w:t>Robert Finkelstein, TURN General Counsel</w:t>
            </w:r>
          </w:p>
        </w:tc>
        <w:tc>
          <w:tcPr>
            <w:tcW w:w="774" w:type="dxa"/>
            <w:vAlign w:val="bottom"/>
          </w:tcPr>
          <w:p w:rsidRPr="00404C5F" w:rsidR="00C3712A" w:rsidP="00C3712A" w:rsidRDefault="00C3712A" w14:paraId="53B5CD24" w14:textId="0CCD926D">
            <w:pPr>
              <w:spacing w:before="60" w:after="60"/>
              <w:jc w:val="center"/>
              <w:rPr>
                <w:color w:val="000000"/>
                <w:sz w:val="22"/>
                <w:szCs w:val="22"/>
              </w:rPr>
            </w:pPr>
            <w:r w:rsidRPr="00404C5F">
              <w:rPr>
                <w:color w:val="000000"/>
              </w:rPr>
              <w:t>2024</w:t>
            </w:r>
          </w:p>
        </w:tc>
        <w:tc>
          <w:tcPr>
            <w:tcW w:w="833" w:type="dxa"/>
            <w:vAlign w:val="bottom"/>
          </w:tcPr>
          <w:p w:rsidRPr="00404C5F" w:rsidR="00C3712A" w:rsidP="00C3712A" w:rsidRDefault="00C3712A" w14:paraId="008BB6B9" w14:textId="06D5728A">
            <w:pPr>
              <w:spacing w:before="60" w:after="60"/>
              <w:jc w:val="center"/>
              <w:rPr>
                <w:color w:val="000000"/>
                <w:sz w:val="22"/>
                <w:szCs w:val="22"/>
              </w:rPr>
            </w:pPr>
            <w:r w:rsidRPr="00404C5F">
              <w:rPr>
                <w:color w:val="000000"/>
              </w:rPr>
              <w:t xml:space="preserve">            2.50 </w:t>
            </w:r>
          </w:p>
        </w:tc>
        <w:tc>
          <w:tcPr>
            <w:tcW w:w="877" w:type="dxa"/>
            <w:vAlign w:val="bottom"/>
          </w:tcPr>
          <w:p w:rsidRPr="00404C5F" w:rsidR="00C3712A" w:rsidP="00C3712A" w:rsidRDefault="00C3712A" w14:paraId="0AED861E" w14:textId="0A72C744">
            <w:pPr>
              <w:spacing w:before="60" w:after="60"/>
              <w:jc w:val="center"/>
              <w:rPr>
                <w:color w:val="000000"/>
                <w:sz w:val="22"/>
                <w:szCs w:val="22"/>
              </w:rPr>
            </w:pPr>
            <w:r w:rsidRPr="00404C5F">
              <w:rPr>
                <w:color w:val="000000"/>
              </w:rPr>
              <w:t>$875</w:t>
            </w:r>
          </w:p>
        </w:tc>
        <w:tc>
          <w:tcPr>
            <w:tcW w:w="1507" w:type="dxa"/>
            <w:tcBorders>
              <w:right w:val="single" w:color="auto" w:sz="4" w:space="0"/>
            </w:tcBorders>
            <w:vAlign w:val="bottom"/>
          </w:tcPr>
          <w:p w:rsidRPr="00404C5F" w:rsidR="00C3712A" w:rsidP="00C3712A" w:rsidRDefault="00C3712A" w14:paraId="553ED523" w14:textId="48634B37">
            <w:pPr>
              <w:spacing w:before="60" w:after="60"/>
              <w:jc w:val="center"/>
              <w:rPr>
                <w:color w:val="000000"/>
                <w:sz w:val="22"/>
                <w:szCs w:val="22"/>
              </w:rPr>
            </w:pPr>
            <w:r w:rsidRPr="00404C5F">
              <w:rPr>
                <w:color w:val="000000"/>
              </w:rPr>
              <w:t>D.24-07-033</w:t>
            </w:r>
          </w:p>
        </w:tc>
        <w:tc>
          <w:tcPr>
            <w:tcW w:w="1373" w:type="dxa"/>
            <w:tcBorders>
              <w:top w:val="single" w:color="auto" w:sz="4" w:space="0"/>
              <w:left w:val="single" w:color="auto" w:sz="4" w:space="0"/>
              <w:bottom w:val="single" w:color="auto" w:sz="4" w:space="0"/>
              <w:right w:val="single" w:color="auto" w:sz="24" w:space="0"/>
            </w:tcBorders>
            <w:vAlign w:val="bottom"/>
          </w:tcPr>
          <w:p w:rsidRPr="00404C5F" w:rsidR="00C3712A" w:rsidP="006E24EA" w:rsidRDefault="00C3712A" w14:paraId="66837372" w14:textId="191BCB7F">
            <w:pPr>
              <w:spacing w:before="60" w:after="60"/>
              <w:jc w:val="right"/>
              <w:rPr>
                <w:color w:val="000000"/>
                <w:sz w:val="22"/>
                <w:szCs w:val="22"/>
              </w:rPr>
            </w:pPr>
            <w:r w:rsidRPr="00404C5F">
              <w:rPr>
                <w:color w:val="000000"/>
              </w:rPr>
              <w:t xml:space="preserve">              </w:t>
            </w:r>
            <w:r w:rsidR="006E24EA">
              <w:rPr>
                <w:color w:val="000000"/>
              </w:rPr>
              <w:t>$</w:t>
            </w:r>
            <w:r w:rsidRPr="00404C5F">
              <w:rPr>
                <w:color w:val="000000"/>
              </w:rPr>
              <w:t xml:space="preserve">2,187.50 </w:t>
            </w:r>
          </w:p>
        </w:tc>
        <w:tc>
          <w:tcPr>
            <w:tcW w:w="900" w:type="dxa"/>
            <w:tcBorders>
              <w:left w:val="single" w:color="auto" w:sz="4" w:space="0"/>
            </w:tcBorders>
          </w:tcPr>
          <w:p w:rsidR="00C3712A" w:rsidP="002F5675" w:rsidRDefault="00C3712A" w14:paraId="49EA3881" w14:textId="77777777">
            <w:pPr>
              <w:spacing w:before="60" w:after="60"/>
              <w:jc w:val="center"/>
              <w:rPr>
                <w:color w:val="000000"/>
              </w:rPr>
            </w:pPr>
          </w:p>
          <w:p w:rsidR="005101B8" w:rsidP="002F5675" w:rsidRDefault="005101B8" w14:paraId="77F06450" w14:textId="77777777">
            <w:pPr>
              <w:spacing w:before="60" w:after="60"/>
              <w:jc w:val="center"/>
              <w:rPr>
                <w:color w:val="000000"/>
              </w:rPr>
            </w:pPr>
          </w:p>
          <w:p w:rsidRPr="007324EA" w:rsidR="005101B8" w:rsidP="002F5675" w:rsidRDefault="002F5675" w14:paraId="5BF0C8D5" w14:textId="0F6F393A">
            <w:pPr>
              <w:spacing w:before="60" w:after="60"/>
              <w:jc w:val="center"/>
              <w:rPr>
                <w:color w:val="000000"/>
              </w:rPr>
            </w:pPr>
            <w:r>
              <w:rPr>
                <w:color w:val="000000"/>
              </w:rPr>
              <w:t>2.50</w:t>
            </w:r>
          </w:p>
        </w:tc>
        <w:tc>
          <w:tcPr>
            <w:tcW w:w="1080" w:type="dxa"/>
          </w:tcPr>
          <w:p w:rsidR="003468FC" w:rsidP="003468FC" w:rsidRDefault="003468FC" w14:paraId="4A3F2F53" w14:textId="77777777">
            <w:pPr>
              <w:spacing w:before="60" w:after="60"/>
              <w:jc w:val="center"/>
              <w:rPr>
                <w:color w:val="000000"/>
              </w:rPr>
            </w:pPr>
          </w:p>
          <w:p w:rsidR="0072650A" w:rsidP="003468FC" w:rsidRDefault="0072650A" w14:paraId="393F6140" w14:textId="77777777">
            <w:pPr>
              <w:spacing w:before="60" w:after="60"/>
              <w:jc w:val="center"/>
              <w:rPr>
                <w:color w:val="000000"/>
              </w:rPr>
            </w:pPr>
          </w:p>
          <w:p w:rsidRPr="007324EA" w:rsidR="00C3712A" w:rsidP="003468FC" w:rsidRDefault="003468FC" w14:paraId="3F558D36" w14:textId="4D1EFF92">
            <w:pPr>
              <w:spacing w:before="60" w:after="60"/>
              <w:jc w:val="center"/>
              <w:rPr>
                <w:color w:val="000000"/>
              </w:rPr>
            </w:pPr>
            <w:r>
              <w:rPr>
                <w:color w:val="000000"/>
              </w:rPr>
              <w:t>$875.00</w:t>
            </w:r>
          </w:p>
        </w:tc>
        <w:tc>
          <w:tcPr>
            <w:tcW w:w="1773" w:type="dxa"/>
          </w:tcPr>
          <w:p w:rsidR="002F5675" w:rsidP="002F5675" w:rsidRDefault="002F5675" w14:paraId="51A3C834" w14:textId="77777777">
            <w:pPr>
              <w:spacing w:before="60" w:after="60"/>
              <w:jc w:val="center"/>
              <w:rPr>
                <w:color w:val="000000"/>
              </w:rPr>
            </w:pPr>
          </w:p>
          <w:p w:rsidR="002F5675" w:rsidP="002F5675" w:rsidRDefault="002F5675" w14:paraId="406E1A84" w14:textId="77777777">
            <w:pPr>
              <w:spacing w:before="60" w:after="60"/>
              <w:jc w:val="center"/>
              <w:rPr>
                <w:color w:val="000000"/>
              </w:rPr>
            </w:pPr>
          </w:p>
          <w:p w:rsidRPr="007324EA" w:rsidR="00C3712A" w:rsidP="002F5675" w:rsidRDefault="002F5675" w14:paraId="501737CB" w14:textId="13445B45">
            <w:pPr>
              <w:spacing w:before="60" w:after="60"/>
              <w:jc w:val="center"/>
              <w:rPr>
                <w:color w:val="000000"/>
              </w:rPr>
            </w:pPr>
            <w:r>
              <w:rPr>
                <w:color w:val="000000"/>
              </w:rPr>
              <w:t>$2,187.50</w:t>
            </w:r>
          </w:p>
        </w:tc>
      </w:tr>
      <w:tr w:rsidRPr="007324EA" w:rsidR="00C3712A" w:rsidTr="00FA4D88" w14:paraId="2AAF9A3F" w14:textId="77777777">
        <w:trPr>
          <w:jc w:val="center"/>
        </w:trPr>
        <w:tc>
          <w:tcPr>
            <w:tcW w:w="1404" w:type="dxa"/>
            <w:vAlign w:val="bottom"/>
          </w:tcPr>
          <w:p w:rsidRPr="00404C5F" w:rsidR="00C3712A" w:rsidP="00C3712A" w:rsidRDefault="00C3712A" w14:paraId="145D371B" w14:textId="4C57766C">
            <w:pPr>
              <w:spacing w:before="60" w:after="60"/>
              <w:jc w:val="center"/>
              <w:rPr>
                <w:color w:val="000000"/>
                <w:sz w:val="22"/>
                <w:szCs w:val="22"/>
              </w:rPr>
            </w:pPr>
            <w:r w:rsidRPr="00404C5F">
              <w:rPr>
                <w:color w:val="000000"/>
              </w:rPr>
              <w:t>Matthew Freedman, TURN Staff Attorney</w:t>
            </w:r>
          </w:p>
        </w:tc>
        <w:tc>
          <w:tcPr>
            <w:tcW w:w="774" w:type="dxa"/>
            <w:vAlign w:val="bottom"/>
          </w:tcPr>
          <w:p w:rsidRPr="00404C5F" w:rsidR="00C3712A" w:rsidP="00C3712A" w:rsidRDefault="00C3712A" w14:paraId="5717CE4A" w14:textId="4EECCA65">
            <w:pPr>
              <w:spacing w:before="60" w:after="60"/>
              <w:jc w:val="center"/>
              <w:rPr>
                <w:color w:val="000000"/>
                <w:sz w:val="22"/>
                <w:szCs w:val="22"/>
              </w:rPr>
            </w:pPr>
            <w:r w:rsidRPr="00404C5F">
              <w:rPr>
                <w:color w:val="000000"/>
              </w:rPr>
              <w:t>2024</w:t>
            </w:r>
          </w:p>
        </w:tc>
        <w:tc>
          <w:tcPr>
            <w:tcW w:w="833" w:type="dxa"/>
            <w:vAlign w:val="bottom"/>
          </w:tcPr>
          <w:p w:rsidRPr="00404C5F" w:rsidR="00C3712A" w:rsidP="00C3712A" w:rsidRDefault="00C3712A" w14:paraId="4751D1A9" w14:textId="1C612654">
            <w:pPr>
              <w:spacing w:before="60" w:after="60"/>
              <w:jc w:val="center"/>
              <w:rPr>
                <w:color w:val="000000"/>
                <w:sz w:val="22"/>
                <w:szCs w:val="22"/>
              </w:rPr>
            </w:pPr>
            <w:r w:rsidRPr="00404C5F">
              <w:rPr>
                <w:color w:val="000000"/>
              </w:rPr>
              <w:t xml:space="preserve">         42.00 </w:t>
            </w:r>
          </w:p>
        </w:tc>
        <w:tc>
          <w:tcPr>
            <w:tcW w:w="877" w:type="dxa"/>
            <w:vAlign w:val="bottom"/>
          </w:tcPr>
          <w:p w:rsidRPr="00404C5F" w:rsidR="00C3712A" w:rsidP="00C3712A" w:rsidRDefault="00C3712A" w14:paraId="28E52600" w14:textId="2D6162F7">
            <w:pPr>
              <w:spacing w:before="60" w:after="60"/>
              <w:jc w:val="center"/>
              <w:rPr>
                <w:color w:val="000000"/>
                <w:sz w:val="22"/>
                <w:szCs w:val="22"/>
              </w:rPr>
            </w:pPr>
            <w:r w:rsidRPr="00404C5F">
              <w:rPr>
                <w:color w:val="000000"/>
              </w:rPr>
              <w:t>$740</w:t>
            </w:r>
          </w:p>
        </w:tc>
        <w:tc>
          <w:tcPr>
            <w:tcW w:w="1507" w:type="dxa"/>
            <w:tcBorders>
              <w:right w:val="single" w:color="auto" w:sz="4" w:space="0"/>
            </w:tcBorders>
            <w:vAlign w:val="bottom"/>
          </w:tcPr>
          <w:p w:rsidRPr="00404C5F" w:rsidR="00C3712A" w:rsidP="00C3712A" w:rsidRDefault="00C3712A" w14:paraId="79EF8D29" w14:textId="40A08E8C">
            <w:pPr>
              <w:spacing w:before="60" w:after="60"/>
              <w:jc w:val="center"/>
              <w:rPr>
                <w:color w:val="000000"/>
                <w:sz w:val="22"/>
                <w:szCs w:val="22"/>
              </w:rPr>
            </w:pPr>
            <w:r w:rsidRPr="00404C5F">
              <w:rPr>
                <w:color w:val="000000"/>
              </w:rPr>
              <w:t>D.24-09-015</w:t>
            </w:r>
          </w:p>
        </w:tc>
        <w:tc>
          <w:tcPr>
            <w:tcW w:w="1373" w:type="dxa"/>
            <w:tcBorders>
              <w:top w:val="single" w:color="auto" w:sz="4" w:space="0"/>
              <w:left w:val="single" w:color="auto" w:sz="4" w:space="0"/>
              <w:bottom w:val="single" w:color="auto" w:sz="4" w:space="0"/>
              <w:right w:val="single" w:color="auto" w:sz="24" w:space="0"/>
            </w:tcBorders>
            <w:vAlign w:val="bottom"/>
          </w:tcPr>
          <w:p w:rsidRPr="00404C5F" w:rsidR="00C3712A" w:rsidP="006E24EA" w:rsidRDefault="00C3712A" w14:paraId="760762D0" w14:textId="168EDEFB">
            <w:pPr>
              <w:spacing w:before="60" w:after="60"/>
              <w:jc w:val="right"/>
              <w:rPr>
                <w:color w:val="000000"/>
                <w:sz w:val="22"/>
                <w:szCs w:val="22"/>
              </w:rPr>
            </w:pPr>
            <w:r w:rsidRPr="00404C5F">
              <w:rPr>
                <w:color w:val="000000"/>
              </w:rPr>
              <w:t xml:space="preserve">            </w:t>
            </w:r>
            <w:r w:rsidR="006E24EA">
              <w:rPr>
                <w:color w:val="000000"/>
              </w:rPr>
              <w:t>$</w:t>
            </w:r>
            <w:r w:rsidRPr="00404C5F">
              <w:rPr>
                <w:color w:val="000000"/>
              </w:rPr>
              <w:t xml:space="preserve">31,080.00 </w:t>
            </w:r>
          </w:p>
        </w:tc>
        <w:tc>
          <w:tcPr>
            <w:tcW w:w="900" w:type="dxa"/>
            <w:tcBorders>
              <w:left w:val="single" w:color="auto" w:sz="4" w:space="0"/>
            </w:tcBorders>
          </w:tcPr>
          <w:p w:rsidR="00C3712A" w:rsidP="002F5675" w:rsidRDefault="00C3712A" w14:paraId="2FF8BCB2" w14:textId="77777777">
            <w:pPr>
              <w:spacing w:before="60" w:after="60"/>
              <w:jc w:val="center"/>
              <w:rPr>
                <w:color w:val="000000"/>
              </w:rPr>
            </w:pPr>
          </w:p>
          <w:p w:rsidR="00FA4D88" w:rsidP="002F5675" w:rsidRDefault="00FA4D88" w14:paraId="67A28E98" w14:textId="77777777">
            <w:pPr>
              <w:spacing w:before="60" w:after="60"/>
              <w:jc w:val="center"/>
              <w:rPr>
                <w:color w:val="000000"/>
              </w:rPr>
            </w:pPr>
          </w:p>
          <w:p w:rsidR="00FA4D88" w:rsidP="002F5675" w:rsidRDefault="00FA4D88" w14:paraId="168BB309" w14:textId="77777777">
            <w:pPr>
              <w:spacing w:before="60" w:after="60"/>
              <w:jc w:val="center"/>
              <w:rPr>
                <w:color w:val="000000"/>
              </w:rPr>
            </w:pPr>
          </w:p>
          <w:p w:rsidRPr="007324EA" w:rsidR="00FA4D88" w:rsidP="002F5675" w:rsidRDefault="00FA4D88" w14:paraId="1466CE9C" w14:textId="55D636AD">
            <w:pPr>
              <w:spacing w:before="60" w:after="60"/>
              <w:jc w:val="center"/>
              <w:rPr>
                <w:color w:val="000000"/>
              </w:rPr>
            </w:pPr>
            <w:r>
              <w:rPr>
                <w:color w:val="000000"/>
              </w:rPr>
              <w:t>42.00</w:t>
            </w:r>
          </w:p>
        </w:tc>
        <w:tc>
          <w:tcPr>
            <w:tcW w:w="1080" w:type="dxa"/>
          </w:tcPr>
          <w:p w:rsidR="0072650A" w:rsidP="0072650A" w:rsidRDefault="0072650A" w14:paraId="602CA73E" w14:textId="77777777">
            <w:pPr>
              <w:spacing w:before="60" w:after="60"/>
              <w:jc w:val="center"/>
              <w:rPr>
                <w:color w:val="000000"/>
              </w:rPr>
            </w:pPr>
          </w:p>
          <w:p w:rsidR="0072650A" w:rsidP="0072650A" w:rsidRDefault="0072650A" w14:paraId="4FEBE80B" w14:textId="77777777">
            <w:pPr>
              <w:spacing w:before="60" w:after="60"/>
              <w:jc w:val="center"/>
              <w:rPr>
                <w:color w:val="000000"/>
              </w:rPr>
            </w:pPr>
          </w:p>
          <w:p w:rsidR="0072650A" w:rsidP="0072650A" w:rsidRDefault="0072650A" w14:paraId="07867ABB" w14:textId="77777777">
            <w:pPr>
              <w:spacing w:before="60" w:after="60"/>
              <w:jc w:val="center"/>
              <w:rPr>
                <w:color w:val="000000"/>
              </w:rPr>
            </w:pPr>
          </w:p>
          <w:p w:rsidRPr="007324EA" w:rsidR="00C3712A" w:rsidP="0072650A" w:rsidRDefault="0072650A" w14:paraId="4710F2B0" w14:textId="15C6D282">
            <w:pPr>
              <w:spacing w:before="60" w:after="60"/>
              <w:jc w:val="center"/>
              <w:rPr>
                <w:color w:val="000000"/>
              </w:rPr>
            </w:pPr>
            <w:r>
              <w:rPr>
                <w:color w:val="000000"/>
              </w:rPr>
              <w:t>$740.00</w:t>
            </w:r>
          </w:p>
        </w:tc>
        <w:tc>
          <w:tcPr>
            <w:tcW w:w="1773" w:type="dxa"/>
          </w:tcPr>
          <w:p w:rsidR="00C3712A" w:rsidP="002F5675" w:rsidRDefault="00C3712A" w14:paraId="0DA431A4" w14:textId="77777777">
            <w:pPr>
              <w:spacing w:before="60" w:after="60"/>
              <w:jc w:val="center"/>
              <w:rPr>
                <w:color w:val="000000"/>
              </w:rPr>
            </w:pPr>
          </w:p>
          <w:p w:rsidR="00FA4D88" w:rsidP="002F5675" w:rsidRDefault="00FA4D88" w14:paraId="7D1B902D" w14:textId="77777777">
            <w:pPr>
              <w:spacing w:before="60" w:after="60"/>
              <w:jc w:val="center"/>
              <w:rPr>
                <w:color w:val="000000"/>
              </w:rPr>
            </w:pPr>
          </w:p>
          <w:p w:rsidR="00FA4D88" w:rsidP="002F5675" w:rsidRDefault="00FA4D88" w14:paraId="6472FD96" w14:textId="77777777">
            <w:pPr>
              <w:spacing w:before="60" w:after="60"/>
              <w:jc w:val="center"/>
              <w:rPr>
                <w:color w:val="000000"/>
              </w:rPr>
            </w:pPr>
          </w:p>
          <w:p w:rsidRPr="007324EA" w:rsidR="00FA4D88" w:rsidP="002F5675" w:rsidRDefault="00FA4D88" w14:paraId="703B36BB" w14:textId="2E42E1A8">
            <w:pPr>
              <w:spacing w:before="60" w:after="60"/>
              <w:jc w:val="center"/>
              <w:rPr>
                <w:color w:val="000000"/>
              </w:rPr>
            </w:pPr>
            <w:r>
              <w:rPr>
                <w:color w:val="000000"/>
              </w:rPr>
              <w:t>$31,080.00</w:t>
            </w:r>
          </w:p>
        </w:tc>
      </w:tr>
      <w:tr w:rsidRPr="007324EA" w:rsidR="00C3712A" w:rsidTr="00FA4D88" w14:paraId="5D5209D3" w14:textId="77777777">
        <w:trPr>
          <w:jc w:val="center"/>
        </w:trPr>
        <w:tc>
          <w:tcPr>
            <w:tcW w:w="1404" w:type="dxa"/>
            <w:vAlign w:val="bottom"/>
          </w:tcPr>
          <w:p w:rsidRPr="00404C5F" w:rsidR="00C3712A" w:rsidP="00C3712A" w:rsidRDefault="00C3712A" w14:paraId="2F4CF88E" w14:textId="3DFCBAF1">
            <w:pPr>
              <w:spacing w:before="60" w:after="60"/>
              <w:jc w:val="center"/>
              <w:rPr>
                <w:color w:val="000000"/>
                <w:sz w:val="22"/>
                <w:szCs w:val="22"/>
              </w:rPr>
            </w:pPr>
            <w:r w:rsidRPr="00404C5F">
              <w:rPr>
                <w:color w:val="000000"/>
              </w:rPr>
              <w:t>Matthew Freedman, TURN Staff Attorney</w:t>
            </w:r>
          </w:p>
        </w:tc>
        <w:tc>
          <w:tcPr>
            <w:tcW w:w="774" w:type="dxa"/>
            <w:vAlign w:val="bottom"/>
          </w:tcPr>
          <w:p w:rsidRPr="00404C5F" w:rsidR="00C3712A" w:rsidP="00C3712A" w:rsidRDefault="00C3712A" w14:paraId="36E829EA" w14:textId="44C0307C">
            <w:pPr>
              <w:spacing w:before="60" w:after="60"/>
              <w:jc w:val="center"/>
              <w:rPr>
                <w:color w:val="000000"/>
                <w:sz w:val="22"/>
                <w:szCs w:val="22"/>
              </w:rPr>
            </w:pPr>
            <w:r w:rsidRPr="00404C5F">
              <w:rPr>
                <w:color w:val="000000"/>
              </w:rPr>
              <w:t>2025</w:t>
            </w:r>
          </w:p>
        </w:tc>
        <w:tc>
          <w:tcPr>
            <w:tcW w:w="833" w:type="dxa"/>
            <w:vAlign w:val="bottom"/>
          </w:tcPr>
          <w:p w:rsidRPr="00404C5F" w:rsidR="00C3712A" w:rsidP="00C3712A" w:rsidRDefault="00C3712A" w14:paraId="039CD70B" w14:textId="51069C52">
            <w:pPr>
              <w:spacing w:before="60" w:after="60"/>
              <w:jc w:val="center"/>
              <w:rPr>
                <w:color w:val="000000"/>
                <w:sz w:val="22"/>
                <w:szCs w:val="22"/>
              </w:rPr>
            </w:pPr>
            <w:r w:rsidRPr="00404C5F">
              <w:rPr>
                <w:color w:val="000000"/>
              </w:rPr>
              <w:t xml:space="preserve">         14.25 </w:t>
            </w:r>
          </w:p>
        </w:tc>
        <w:tc>
          <w:tcPr>
            <w:tcW w:w="877" w:type="dxa"/>
            <w:vAlign w:val="bottom"/>
          </w:tcPr>
          <w:p w:rsidRPr="00404C5F" w:rsidR="00C3712A" w:rsidP="00C3712A" w:rsidRDefault="00C3712A" w14:paraId="32F27D17" w14:textId="48AD2BBC">
            <w:pPr>
              <w:spacing w:before="60" w:after="60"/>
              <w:jc w:val="center"/>
              <w:rPr>
                <w:color w:val="000000"/>
                <w:sz w:val="22"/>
                <w:szCs w:val="22"/>
              </w:rPr>
            </w:pPr>
            <w:r w:rsidRPr="00404C5F">
              <w:rPr>
                <w:color w:val="000000"/>
              </w:rPr>
              <w:t>$805</w:t>
            </w:r>
          </w:p>
        </w:tc>
        <w:tc>
          <w:tcPr>
            <w:tcW w:w="1507" w:type="dxa"/>
            <w:tcBorders>
              <w:right w:val="single" w:color="auto" w:sz="4" w:space="0"/>
            </w:tcBorders>
            <w:vAlign w:val="bottom"/>
          </w:tcPr>
          <w:p w:rsidRPr="00404C5F" w:rsidR="00C3712A" w:rsidP="00C3712A" w:rsidRDefault="00C3712A" w14:paraId="1BB5A8C2" w14:textId="70374C24">
            <w:pPr>
              <w:spacing w:before="60" w:after="60"/>
              <w:jc w:val="center"/>
              <w:rPr>
                <w:color w:val="000000"/>
                <w:sz w:val="22"/>
                <w:szCs w:val="22"/>
              </w:rPr>
            </w:pPr>
            <w:r w:rsidRPr="00404C5F">
              <w:rPr>
                <w:color w:val="000000"/>
              </w:rPr>
              <w:t>D.25-05-018</w:t>
            </w:r>
          </w:p>
        </w:tc>
        <w:tc>
          <w:tcPr>
            <w:tcW w:w="1373" w:type="dxa"/>
            <w:tcBorders>
              <w:top w:val="single" w:color="auto" w:sz="4" w:space="0"/>
              <w:left w:val="single" w:color="auto" w:sz="4" w:space="0"/>
              <w:bottom w:val="single" w:color="auto" w:sz="4" w:space="0"/>
              <w:right w:val="single" w:color="auto" w:sz="24" w:space="0"/>
            </w:tcBorders>
            <w:vAlign w:val="bottom"/>
          </w:tcPr>
          <w:p w:rsidRPr="00404C5F" w:rsidR="00C3712A" w:rsidP="006E24EA" w:rsidRDefault="00C3712A" w14:paraId="2317E64E" w14:textId="6702AD99">
            <w:pPr>
              <w:spacing w:before="60" w:after="60"/>
              <w:jc w:val="right"/>
              <w:rPr>
                <w:color w:val="000000"/>
                <w:sz w:val="22"/>
                <w:szCs w:val="22"/>
              </w:rPr>
            </w:pPr>
            <w:r w:rsidRPr="00404C5F">
              <w:rPr>
                <w:color w:val="000000"/>
              </w:rPr>
              <w:t xml:space="preserve">            </w:t>
            </w:r>
            <w:r w:rsidR="006E24EA">
              <w:rPr>
                <w:color w:val="000000"/>
              </w:rPr>
              <w:t>$</w:t>
            </w:r>
            <w:r w:rsidRPr="00404C5F">
              <w:rPr>
                <w:color w:val="000000"/>
              </w:rPr>
              <w:t xml:space="preserve">11,471.25 </w:t>
            </w:r>
          </w:p>
        </w:tc>
        <w:tc>
          <w:tcPr>
            <w:tcW w:w="900" w:type="dxa"/>
            <w:tcBorders>
              <w:left w:val="single" w:color="auto" w:sz="4" w:space="0"/>
            </w:tcBorders>
          </w:tcPr>
          <w:p w:rsidR="00DC6810" w:rsidP="002F5675" w:rsidRDefault="00DC6810" w14:paraId="2CE04AEF" w14:textId="77777777">
            <w:pPr>
              <w:spacing w:before="60" w:after="60"/>
              <w:jc w:val="center"/>
              <w:rPr>
                <w:color w:val="000000"/>
              </w:rPr>
            </w:pPr>
          </w:p>
          <w:p w:rsidR="00DC6810" w:rsidP="002F5675" w:rsidRDefault="00DC6810" w14:paraId="3A3450D1" w14:textId="77777777">
            <w:pPr>
              <w:spacing w:before="60" w:after="60"/>
              <w:jc w:val="center"/>
              <w:rPr>
                <w:color w:val="000000"/>
              </w:rPr>
            </w:pPr>
          </w:p>
          <w:p w:rsidRPr="007324EA" w:rsidR="00C3712A" w:rsidP="00DC6810" w:rsidRDefault="001B4461" w14:paraId="66EB1148" w14:textId="73EC3771">
            <w:pPr>
              <w:spacing w:before="60" w:after="60"/>
              <w:jc w:val="center"/>
              <w:rPr>
                <w:color w:val="000000"/>
              </w:rPr>
            </w:pPr>
            <w:r>
              <w:rPr>
                <w:color w:val="000000"/>
              </w:rPr>
              <w:t>14.25</w:t>
            </w:r>
          </w:p>
        </w:tc>
        <w:tc>
          <w:tcPr>
            <w:tcW w:w="1080" w:type="dxa"/>
          </w:tcPr>
          <w:p w:rsidR="00FF127A" w:rsidP="00FF127A" w:rsidRDefault="00FF127A" w14:paraId="26EA80CB" w14:textId="77777777">
            <w:pPr>
              <w:spacing w:before="60" w:after="60"/>
              <w:jc w:val="center"/>
              <w:rPr>
                <w:color w:val="000000"/>
              </w:rPr>
            </w:pPr>
          </w:p>
          <w:p w:rsidR="00FF127A" w:rsidP="00FF127A" w:rsidRDefault="00FF127A" w14:paraId="0FDE1509" w14:textId="77777777">
            <w:pPr>
              <w:spacing w:before="60" w:after="60"/>
              <w:jc w:val="center"/>
              <w:rPr>
                <w:color w:val="000000"/>
              </w:rPr>
            </w:pPr>
          </w:p>
          <w:p w:rsidRPr="007324EA" w:rsidR="00C3712A" w:rsidP="00FF127A" w:rsidRDefault="00FF127A" w14:paraId="6302D3EA" w14:textId="55D9BCE1">
            <w:pPr>
              <w:spacing w:before="60" w:after="60"/>
              <w:jc w:val="center"/>
              <w:rPr>
                <w:color w:val="000000"/>
              </w:rPr>
            </w:pPr>
            <w:r>
              <w:rPr>
                <w:color w:val="000000"/>
              </w:rPr>
              <w:t>$795.00 [1]</w:t>
            </w:r>
          </w:p>
        </w:tc>
        <w:tc>
          <w:tcPr>
            <w:tcW w:w="1773" w:type="dxa"/>
          </w:tcPr>
          <w:p w:rsidR="00DC6810" w:rsidP="002F5675" w:rsidRDefault="00DC6810" w14:paraId="6F1676A5" w14:textId="77777777">
            <w:pPr>
              <w:spacing w:before="60" w:after="60"/>
              <w:jc w:val="center"/>
              <w:rPr>
                <w:color w:val="000000"/>
              </w:rPr>
            </w:pPr>
          </w:p>
          <w:p w:rsidR="00DC6810" w:rsidP="002F5675" w:rsidRDefault="00DC6810" w14:paraId="6823C0C5" w14:textId="77777777">
            <w:pPr>
              <w:spacing w:before="60" w:after="60"/>
              <w:jc w:val="center"/>
              <w:rPr>
                <w:color w:val="000000"/>
              </w:rPr>
            </w:pPr>
          </w:p>
          <w:p w:rsidRPr="007324EA" w:rsidR="00C3712A" w:rsidP="00DC6810" w:rsidRDefault="001B4461" w14:paraId="7E88B343" w14:textId="44FB852F">
            <w:pPr>
              <w:spacing w:before="60" w:after="60"/>
              <w:jc w:val="center"/>
              <w:rPr>
                <w:color w:val="000000"/>
              </w:rPr>
            </w:pPr>
            <w:r>
              <w:rPr>
                <w:color w:val="000000"/>
              </w:rPr>
              <w:t>$11,328.75</w:t>
            </w:r>
          </w:p>
        </w:tc>
      </w:tr>
      <w:tr w:rsidRPr="007324EA" w:rsidR="00C3712A" w:rsidTr="002F5675" w14:paraId="78FC5ECE" w14:textId="77777777">
        <w:trPr>
          <w:jc w:val="center"/>
        </w:trPr>
        <w:tc>
          <w:tcPr>
            <w:tcW w:w="1404" w:type="dxa"/>
            <w:vAlign w:val="bottom"/>
          </w:tcPr>
          <w:p w:rsidRPr="00404C5F" w:rsidR="00C3712A" w:rsidP="00C3712A" w:rsidRDefault="00C3712A" w14:paraId="1F8943E9" w14:textId="132FD85C">
            <w:pPr>
              <w:spacing w:before="60" w:after="60"/>
              <w:jc w:val="center"/>
              <w:rPr>
                <w:color w:val="000000"/>
                <w:sz w:val="22"/>
                <w:szCs w:val="22"/>
              </w:rPr>
            </w:pPr>
            <w:r w:rsidRPr="00404C5F">
              <w:rPr>
                <w:color w:val="000000"/>
              </w:rPr>
              <w:t>Thomas Long, TURN Legal Director</w:t>
            </w:r>
          </w:p>
        </w:tc>
        <w:tc>
          <w:tcPr>
            <w:tcW w:w="774" w:type="dxa"/>
            <w:vAlign w:val="bottom"/>
          </w:tcPr>
          <w:p w:rsidRPr="00404C5F" w:rsidR="00C3712A" w:rsidP="00C3712A" w:rsidRDefault="00C3712A" w14:paraId="6FFEFF62" w14:textId="6FE82E93">
            <w:pPr>
              <w:spacing w:before="60" w:after="60"/>
              <w:jc w:val="center"/>
              <w:rPr>
                <w:color w:val="000000"/>
                <w:sz w:val="22"/>
                <w:szCs w:val="22"/>
              </w:rPr>
            </w:pPr>
            <w:r w:rsidRPr="00404C5F">
              <w:rPr>
                <w:color w:val="000000"/>
              </w:rPr>
              <w:t>2024</w:t>
            </w:r>
          </w:p>
        </w:tc>
        <w:tc>
          <w:tcPr>
            <w:tcW w:w="833" w:type="dxa"/>
            <w:vAlign w:val="bottom"/>
          </w:tcPr>
          <w:p w:rsidRPr="00404C5F" w:rsidR="00C3712A" w:rsidP="00C3712A" w:rsidRDefault="00C3712A" w14:paraId="24984638" w14:textId="4074F426">
            <w:pPr>
              <w:spacing w:before="60" w:after="60"/>
              <w:jc w:val="center"/>
              <w:rPr>
                <w:color w:val="000000"/>
                <w:sz w:val="22"/>
                <w:szCs w:val="22"/>
              </w:rPr>
            </w:pPr>
            <w:r w:rsidRPr="00404C5F">
              <w:rPr>
                <w:color w:val="000000"/>
              </w:rPr>
              <w:t xml:space="preserve">            0.50 </w:t>
            </w:r>
          </w:p>
        </w:tc>
        <w:tc>
          <w:tcPr>
            <w:tcW w:w="877" w:type="dxa"/>
            <w:vAlign w:val="bottom"/>
          </w:tcPr>
          <w:p w:rsidRPr="00404C5F" w:rsidR="00C3712A" w:rsidP="00C3712A" w:rsidRDefault="00C3712A" w14:paraId="00CA9050" w14:textId="14463F7E">
            <w:pPr>
              <w:spacing w:before="60" w:after="60"/>
              <w:jc w:val="center"/>
              <w:rPr>
                <w:color w:val="000000"/>
                <w:sz w:val="22"/>
                <w:szCs w:val="22"/>
              </w:rPr>
            </w:pPr>
            <w:r w:rsidRPr="00404C5F">
              <w:rPr>
                <w:color w:val="000000"/>
              </w:rPr>
              <w:t>$860</w:t>
            </w:r>
          </w:p>
        </w:tc>
        <w:tc>
          <w:tcPr>
            <w:tcW w:w="1507" w:type="dxa"/>
            <w:tcBorders>
              <w:right w:val="single" w:color="auto" w:sz="4" w:space="0"/>
            </w:tcBorders>
            <w:vAlign w:val="bottom"/>
          </w:tcPr>
          <w:p w:rsidRPr="00404C5F" w:rsidR="00C3712A" w:rsidP="00C3712A" w:rsidRDefault="00C3712A" w14:paraId="760F08DA" w14:textId="0D81550D">
            <w:pPr>
              <w:spacing w:before="60" w:after="60"/>
              <w:jc w:val="center"/>
              <w:rPr>
                <w:color w:val="000000"/>
                <w:sz w:val="22"/>
                <w:szCs w:val="22"/>
              </w:rPr>
            </w:pPr>
            <w:r w:rsidRPr="00404C5F">
              <w:rPr>
                <w:color w:val="000000"/>
              </w:rPr>
              <w:t>D.24-09-016</w:t>
            </w:r>
          </w:p>
        </w:tc>
        <w:tc>
          <w:tcPr>
            <w:tcW w:w="1373" w:type="dxa"/>
            <w:tcBorders>
              <w:top w:val="single" w:color="auto" w:sz="4" w:space="0"/>
              <w:left w:val="single" w:color="auto" w:sz="4" w:space="0"/>
              <w:bottom w:val="single" w:color="auto" w:sz="4" w:space="0"/>
              <w:right w:val="single" w:color="auto" w:sz="24" w:space="0"/>
            </w:tcBorders>
            <w:vAlign w:val="bottom"/>
          </w:tcPr>
          <w:p w:rsidRPr="00404C5F" w:rsidR="00C3712A" w:rsidP="006E24EA" w:rsidRDefault="00C3712A" w14:paraId="39D39174" w14:textId="7414CF1D">
            <w:pPr>
              <w:spacing w:before="60" w:after="60"/>
              <w:jc w:val="right"/>
              <w:rPr>
                <w:color w:val="000000"/>
                <w:sz w:val="22"/>
                <w:szCs w:val="22"/>
              </w:rPr>
            </w:pPr>
            <w:r w:rsidRPr="00404C5F">
              <w:rPr>
                <w:color w:val="000000"/>
              </w:rPr>
              <w:t xml:space="preserve">                       </w:t>
            </w:r>
            <w:r w:rsidR="006E24EA">
              <w:rPr>
                <w:color w:val="000000"/>
              </w:rPr>
              <w:t>$</w:t>
            </w:r>
            <w:r w:rsidRPr="00404C5F">
              <w:rPr>
                <w:color w:val="000000"/>
              </w:rPr>
              <w:t xml:space="preserve">430.00 </w:t>
            </w:r>
          </w:p>
        </w:tc>
        <w:tc>
          <w:tcPr>
            <w:tcW w:w="900" w:type="dxa"/>
            <w:tcBorders>
              <w:left w:val="single" w:color="auto" w:sz="4" w:space="0"/>
            </w:tcBorders>
          </w:tcPr>
          <w:p w:rsidR="002F5675" w:rsidP="002F5675" w:rsidRDefault="002F5675" w14:paraId="349938D4" w14:textId="77777777">
            <w:pPr>
              <w:spacing w:before="60" w:after="60"/>
              <w:jc w:val="center"/>
              <w:rPr>
                <w:color w:val="000000"/>
              </w:rPr>
            </w:pPr>
          </w:p>
          <w:p w:rsidR="002F5675" w:rsidP="002F5675" w:rsidRDefault="002F5675" w14:paraId="4BE0C837" w14:textId="77777777">
            <w:pPr>
              <w:spacing w:before="60" w:after="60"/>
              <w:jc w:val="center"/>
              <w:rPr>
                <w:color w:val="000000"/>
              </w:rPr>
            </w:pPr>
          </w:p>
          <w:p w:rsidR="002F5675" w:rsidP="002F5675" w:rsidRDefault="002F5675" w14:paraId="512E3AED" w14:textId="77777777">
            <w:pPr>
              <w:spacing w:before="60" w:after="60"/>
              <w:jc w:val="center"/>
              <w:rPr>
                <w:color w:val="000000"/>
              </w:rPr>
            </w:pPr>
          </w:p>
          <w:p w:rsidR="002F5675" w:rsidP="002F5675" w:rsidRDefault="002F5675" w14:paraId="511234CD" w14:textId="77777777">
            <w:pPr>
              <w:spacing w:before="60" w:after="60"/>
              <w:jc w:val="center"/>
              <w:rPr>
                <w:color w:val="000000"/>
              </w:rPr>
            </w:pPr>
          </w:p>
          <w:p w:rsidRPr="007324EA" w:rsidR="00C3712A" w:rsidP="002F5675" w:rsidRDefault="002F5675" w14:paraId="047FD0B5" w14:textId="75978690">
            <w:pPr>
              <w:spacing w:before="60" w:after="60"/>
              <w:jc w:val="center"/>
              <w:rPr>
                <w:color w:val="000000"/>
              </w:rPr>
            </w:pPr>
            <w:r>
              <w:rPr>
                <w:color w:val="000000"/>
              </w:rPr>
              <w:t>0.50</w:t>
            </w:r>
          </w:p>
        </w:tc>
        <w:tc>
          <w:tcPr>
            <w:tcW w:w="1080" w:type="dxa"/>
          </w:tcPr>
          <w:p w:rsidR="0072650A" w:rsidP="0072650A" w:rsidRDefault="0072650A" w14:paraId="08825B49" w14:textId="77777777">
            <w:pPr>
              <w:spacing w:before="60" w:after="60"/>
              <w:jc w:val="center"/>
              <w:rPr>
                <w:color w:val="000000"/>
              </w:rPr>
            </w:pPr>
          </w:p>
          <w:p w:rsidR="0072650A" w:rsidP="0072650A" w:rsidRDefault="0072650A" w14:paraId="4815F4B1" w14:textId="77777777">
            <w:pPr>
              <w:spacing w:before="60" w:after="60"/>
              <w:jc w:val="center"/>
              <w:rPr>
                <w:color w:val="000000"/>
              </w:rPr>
            </w:pPr>
          </w:p>
          <w:p w:rsidR="0072650A" w:rsidP="0072650A" w:rsidRDefault="0072650A" w14:paraId="2D3CB104" w14:textId="77777777">
            <w:pPr>
              <w:spacing w:before="60" w:after="60"/>
              <w:jc w:val="center"/>
              <w:rPr>
                <w:color w:val="000000"/>
              </w:rPr>
            </w:pPr>
          </w:p>
          <w:p w:rsidR="0072650A" w:rsidP="0072650A" w:rsidRDefault="0072650A" w14:paraId="53C53CB7" w14:textId="77777777">
            <w:pPr>
              <w:spacing w:before="60" w:after="60"/>
              <w:rPr>
                <w:color w:val="000000"/>
              </w:rPr>
            </w:pPr>
          </w:p>
          <w:p w:rsidRPr="007324EA" w:rsidR="00C3712A" w:rsidP="0072650A" w:rsidRDefault="0072650A" w14:paraId="367660C2" w14:textId="74329684">
            <w:pPr>
              <w:spacing w:before="60" w:after="60"/>
              <w:jc w:val="center"/>
              <w:rPr>
                <w:color w:val="000000"/>
              </w:rPr>
            </w:pPr>
            <w:r>
              <w:rPr>
                <w:color w:val="000000"/>
              </w:rPr>
              <w:t>$860.00</w:t>
            </w:r>
          </w:p>
        </w:tc>
        <w:tc>
          <w:tcPr>
            <w:tcW w:w="1773" w:type="dxa"/>
          </w:tcPr>
          <w:p w:rsidR="00C3712A" w:rsidP="002F5675" w:rsidRDefault="00C3712A" w14:paraId="586C8886" w14:textId="77777777">
            <w:pPr>
              <w:spacing w:before="60" w:after="60"/>
              <w:jc w:val="center"/>
              <w:rPr>
                <w:color w:val="000000"/>
              </w:rPr>
            </w:pPr>
          </w:p>
          <w:p w:rsidR="002F5675" w:rsidP="002F5675" w:rsidRDefault="002F5675" w14:paraId="5E85C3F0" w14:textId="77777777">
            <w:pPr>
              <w:spacing w:before="60" w:after="60"/>
              <w:jc w:val="center"/>
              <w:rPr>
                <w:color w:val="000000"/>
              </w:rPr>
            </w:pPr>
          </w:p>
          <w:p w:rsidR="002F5675" w:rsidP="002F5675" w:rsidRDefault="002F5675" w14:paraId="2F656ADF" w14:textId="77777777">
            <w:pPr>
              <w:spacing w:before="60" w:after="60"/>
              <w:jc w:val="center"/>
              <w:rPr>
                <w:color w:val="000000"/>
              </w:rPr>
            </w:pPr>
          </w:p>
          <w:p w:rsidR="002F5675" w:rsidP="002F5675" w:rsidRDefault="002F5675" w14:paraId="0421B471" w14:textId="77777777">
            <w:pPr>
              <w:spacing w:before="60" w:after="60"/>
              <w:jc w:val="center"/>
              <w:rPr>
                <w:color w:val="000000"/>
              </w:rPr>
            </w:pPr>
          </w:p>
          <w:p w:rsidRPr="007324EA" w:rsidR="002F5675" w:rsidP="002F5675" w:rsidRDefault="002F5675" w14:paraId="766AC45F" w14:textId="44A0567D">
            <w:pPr>
              <w:spacing w:before="60" w:after="60"/>
              <w:jc w:val="center"/>
              <w:rPr>
                <w:color w:val="000000"/>
              </w:rPr>
            </w:pPr>
            <w:r>
              <w:rPr>
                <w:color w:val="000000"/>
              </w:rPr>
              <w:t>$430.00</w:t>
            </w:r>
          </w:p>
        </w:tc>
      </w:tr>
      <w:tr w:rsidRPr="007324EA" w:rsidR="00042B1C" w:rsidTr="008C09F7" w14:paraId="1B237C11" w14:textId="77777777">
        <w:trPr>
          <w:jc w:val="center"/>
        </w:trPr>
        <w:tc>
          <w:tcPr>
            <w:tcW w:w="6768" w:type="dxa"/>
            <w:gridSpan w:val="6"/>
            <w:tcBorders>
              <w:bottom w:val="single" w:color="auto" w:sz="4" w:space="0"/>
              <w:right w:val="single" w:color="auto" w:sz="24" w:space="0"/>
            </w:tcBorders>
            <w:vAlign w:val="bottom"/>
          </w:tcPr>
          <w:p w:rsidRPr="007324EA" w:rsidR="00042B1C" w:rsidP="00042B1C" w:rsidRDefault="00042B1C" w14:paraId="2ECB6744" w14:textId="5D20E1C1">
            <w:pPr>
              <w:tabs>
                <w:tab w:val="left" w:pos="957"/>
              </w:tabs>
              <w:spacing w:before="60" w:after="60"/>
              <w:ind w:right="162"/>
              <w:jc w:val="right"/>
              <w:rPr>
                <w:b/>
                <w:i/>
                <w:color w:val="000000"/>
              </w:rPr>
            </w:pPr>
            <w:r w:rsidRPr="007324EA">
              <w:rPr>
                <w:b/>
                <w:i/>
                <w:color w:val="000000"/>
              </w:rPr>
              <w:t>Subtotal: $</w:t>
            </w:r>
            <w:r w:rsidR="00404C5F">
              <w:rPr>
                <w:b/>
                <w:i/>
                <w:color w:val="000000"/>
              </w:rPr>
              <w:t>52,841.25</w:t>
            </w:r>
          </w:p>
        </w:tc>
        <w:tc>
          <w:tcPr>
            <w:tcW w:w="3753" w:type="dxa"/>
            <w:gridSpan w:val="3"/>
            <w:tcBorders>
              <w:left w:val="single" w:color="auto" w:sz="24" w:space="0"/>
              <w:bottom w:val="single" w:color="auto" w:sz="4" w:space="0"/>
            </w:tcBorders>
            <w:vAlign w:val="bottom"/>
          </w:tcPr>
          <w:p w:rsidRPr="007324EA" w:rsidR="00042B1C" w:rsidP="00042B1C" w:rsidRDefault="00042B1C" w14:paraId="4C4556E5" w14:textId="7F847375">
            <w:pPr>
              <w:tabs>
                <w:tab w:val="left" w:pos="957"/>
              </w:tabs>
              <w:spacing w:before="60" w:after="60"/>
              <w:ind w:right="162"/>
              <w:jc w:val="right"/>
              <w:rPr>
                <w:color w:val="000000"/>
              </w:rPr>
            </w:pPr>
            <w:r w:rsidRPr="007324EA">
              <w:rPr>
                <w:b/>
                <w:i/>
                <w:color w:val="000000"/>
              </w:rPr>
              <w:t xml:space="preserve">Subtotal: </w:t>
            </w:r>
            <w:r w:rsidRPr="001B4461">
              <w:rPr>
                <w:b/>
                <w:i/>
                <w:iCs/>
                <w:color w:val="000000"/>
              </w:rPr>
              <w:t>$</w:t>
            </w:r>
            <w:r w:rsidRPr="001B4461" w:rsidR="001B4461">
              <w:rPr>
                <w:b/>
                <w:i/>
                <w:iCs/>
                <w:color w:val="000000"/>
              </w:rPr>
              <w:t>51,708.75</w:t>
            </w:r>
          </w:p>
        </w:tc>
      </w:tr>
      <w:tr w:rsidRPr="007324EA" w:rsidR="00042B1C" w:rsidTr="008C09F7" w14:paraId="4F8FAF05" w14:textId="77777777">
        <w:trPr>
          <w:jc w:val="center"/>
        </w:trPr>
        <w:tc>
          <w:tcPr>
            <w:tcW w:w="10521" w:type="dxa"/>
            <w:gridSpan w:val="9"/>
            <w:tcBorders>
              <w:top w:val="single" w:color="auto" w:sz="4" w:space="0"/>
              <w:left w:val="single" w:color="auto" w:sz="4" w:space="0"/>
              <w:bottom w:val="single" w:color="auto" w:sz="4" w:space="0"/>
              <w:right w:val="single" w:color="auto" w:sz="4" w:space="0"/>
            </w:tcBorders>
            <w:shd w:val="clear" w:color="auto" w:fill="E6E6E6"/>
          </w:tcPr>
          <w:p w:rsidRPr="007324EA" w:rsidR="00042B1C" w:rsidP="00042B1C" w:rsidRDefault="00042B1C" w14:paraId="41FE304C" w14:textId="77777777">
            <w:pPr>
              <w:spacing w:before="60" w:after="60"/>
              <w:jc w:val="center"/>
              <w:rPr>
                <w:color w:val="000000"/>
              </w:rPr>
            </w:pPr>
            <w:r w:rsidRPr="007324EA">
              <w:rPr>
                <w:b/>
                <w:color w:val="000000"/>
              </w:rPr>
              <w:t xml:space="preserve">INTERVENOR COMPENSATION CLAIM </w:t>
            </w:r>
            <w:proofErr w:type="gramStart"/>
            <w:r w:rsidRPr="007324EA">
              <w:rPr>
                <w:b/>
                <w:color w:val="000000"/>
              </w:rPr>
              <w:t xml:space="preserve">PREPARATION </w:t>
            </w:r>
            <w:r w:rsidRPr="007324EA">
              <w:rPr>
                <w:b/>
                <w:smallCaps/>
                <w:color w:val="000000"/>
              </w:rPr>
              <w:t xml:space="preserve"> *</w:t>
            </w:r>
            <w:proofErr w:type="gramEnd"/>
            <w:r w:rsidRPr="007324EA">
              <w:rPr>
                <w:b/>
                <w:smallCaps/>
                <w:color w:val="000000"/>
              </w:rPr>
              <w:t>*</w:t>
            </w:r>
          </w:p>
        </w:tc>
      </w:tr>
      <w:tr w:rsidRPr="007324EA" w:rsidR="00042B1C" w:rsidTr="00404C5F" w14:paraId="48B3E535" w14:textId="77777777">
        <w:trPr>
          <w:jc w:val="center"/>
        </w:trPr>
        <w:tc>
          <w:tcPr>
            <w:tcW w:w="1404" w:type="dxa"/>
            <w:tcBorders>
              <w:top w:val="single" w:color="auto" w:sz="4" w:space="0"/>
              <w:bottom w:val="single" w:color="auto" w:sz="4" w:space="0"/>
            </w:tcBorders>
          </w:tcPr>
          <w:p w:rsidRPr="007324EA" w:rsidR="00042B1C" w:rsidP="00042B1C" w:rsidRDefault="00042B1C" w14:paraId="563A43BB" w14:textId="77777777">
            <w:pPr>
              <w:spacing w:before="60" w:after="60"/>
              <w:jc w:val="center"/>
              <w:rPr>
                <w:b/>
                <w:color w:val="000000"/>
                <w:sz w:val="22"/>
                <w:szCs w:val="22"/>
              </w:rPr>
            </w:pPr>
            <w:r w:rsidRPr="007324EA">
              <w:rPr>
                <w:b/>
                <w:color w:val="000000"/>
                <w:sz w:val="22"/>
                <w:szCs w:val="22"/>
              </w:rPr>
              <w:t>Item</w:t>
            </w:r>
          </w:p>
        </w:tc>
        <w:tc>
          <w:tcPr>
            <w:tcW w:w="774" w:type="dxa"/>
            <w:tcBorders>
              <w:top w:val="single" w:color="auto" w:sz="4" w:space="0"/>
              <w:bottom w:val="single" w:color="auto" w:sz="4" w:space="0"/>
            </w:tcBorders>
          </w:tcPr>
          <w:p w:rsidRPr="007324EA" w:rsidR="00042B1C" w:rsidP="00042B1C" w:rsidRDefault="00042B1C" w14:paraId="144552E0" w14:textId="77777777">
            <w:pPr>
              <w:spacing w:before="60" w:after="60"/>
              <w:jc w:val="center"/>
              <w:rPr>
                <w:b/>
                <w:color w:val="000000"/>
                <w:sz w:val="22"/>
                <w:szCs w:val="22"/>
              </w:rPr>
            </w:pPr>
            <w:r w:rsidRPr="007324EA">
              <w:rPr>
                <w:b/>
                <w:color w:val="000000"/>
                <w:sz w:val="22"/>
                <w:szCs w:val="22"/>
              </w:rPr>
              <w:t>Year</w:t>
            </w:r>
          </w:p>
        </w:tc>
        <w:tc>
          <w:tcPr>
            <w:tcW w:w="833" w:type="dxa"/>
            <w:tcBorders>
              <w:top w:val="single" w:color="auto" w:sz="4" w:space="0"/>
              <w:bottom w:val="single" w:color="auto" w:sz="4" w:space="0"/>
            </w:tcBorders>
          </w:tcPr>
          <w:p w:rsidRPr="007324EA" w:rsidR="00042B1C" w:rsidP="00042B1C" w:rsidRDefault="00042B1C" w14:paraId="42890B1B" w14:textId="77777777">
            <w:pPr>
              <w:spacing w:before="60" w:after="60"/>
              <w:jc w:val="center"/>
              <w:rPr>
                <w:b/>
                <w:color w:val="000000"/>
                <w:sz w:val="22"/>
                <w:szCs w:val="22"/>
              </w:rPr>
            </w:pPr>
            <w:r w:rsidRPr="007324EA">
              <w:rPr>
                <w:b/>
                <w:color w:val="000000"/>
                <w:sz w:val="22"/>
                <w:szCs w:val="22"/>
              </w:rPr>
              <w:t>Hours</w:t>
            </w:r>
          </w:p>
        </w:tc>
        <w:tc>
          <w:tcPr>
            <w:tcW w:w="877" w:type="dxa"/>
            <w:tcBorders>
              <w:top w:val="single" w:color="auto" w:sz="4" w:space="0"/>
              <w:bottom w:val="single" w:color="auto" w:sz="4" w:space="0"/>
            </w:tcBorders>
          </w:tcPr>
          <w:p w:rsidRPr="007324EA" w:rsidR="00042B1C" w:rsidP="00042B1C" w:rsidRDefault="00042B1C" w14:paraId="1E7BD956" w14:textId="77777777">
            <w:pPr>
              <w:spacing w:before="60" w:after="60"/>
              <w:jc w:val="center"/>
              <w:rPr>
                <w:b/>
                <w:color w:val="000000"/>
                <w:sz w:val="22"/>
                <w:szCs w:val="22"/>
              </w:rPr>
            </w:pPr>
            <w:r w:rsidRPr="007324EA">
              <w:rPr>
                <w:b/>
                <w:color w:val="000000"/>
                <w:sz w:val="22"/>
                <w:szCs w:val="22"/>
              </w:rPr>
              <w:t xml:space="preserve">Rate $ </w:t>
            </w:r>
          </w:p>
        </w:tc>
        <w:tc>
          <w:tcPr>
            <w:tcW w:w="1507" w:type="dxa"/>
            <w:tcBorders>
              <w:top w:val="single" w:color="auto" w:sz="4" w:space="0"/>
              <w:bottom w:val="single" w:color="auto" w:sz="4" w:space="0"/>
              <w:right w:val="single" w:color="auto" w:sz="4" w:space="0"/>
            </w:tcBorders>
          </w:tcPr>
          <w:p w:rsidRPr="007324EA" w:rsidR="00042B1C" w:rsidP="00042B1C" w:rsidRDefault="00042B1C" w14:paraId="104D7982" w14:textId="77777777">
            <w:pPr>
              <w:spacing w:before="60" w:after="60"/>
              <w:jc w:val="center"/>
              <w:rPr>
                <w:b/>
                <w:color w:val="000000"/>
                <w:sz w:val="22"/>
                <w:szCs w:val="22"/>
              </w:rPr>
            </w:pPr>
            <w:r w:rsidRPr="007324EA">
              <w:rPr>
                <w:b/>
                <w:color w:val="000000"/>
                <w:sz w:val="22"/>
                <w:szCs w:val="22"/>
              </w:rPr>
              <w:t>Basis for Rate*</w:t>
            </w:r>
          </w:p>
        </w:tc>
        <w:tc>
          <w:tcPr>
            <w:tcW w:w="1373" w:type="dxa"/>
            <w:tcBorders>
              <w:top w:val="single" w:color="auto" w:sz="4" w:space="0"/>
              <w:left w:val="single" w:color="auto" w:sz="4" w:space="0"/>
              <w:bottom w:val="single" w:color="auto" w:sz="4" w:space="0"/>
              <w:right w:val="single" w:color="auto" w:sz="24" w:space="0"/>
            </w:tcBorders>
          </w:tcPr>
          <w:p w:rsidRPr="007324EA" w:rsidR="00042B1C" w:rsidP="00042B1C" w:rsidRDefault="00042B1C" w14:paraId="073B2BB9" w14:textId="77777777">
            <w:pPr>
              <w:spacing w:before="60" w:after="60"/>
              <w:jc w:val="center"/>
              <w:rPr>
                <w:b/>
                <w:color w:val="000000"/>
                <w:sz w:val="22"/>
                <w:szCs w:val="22"/>
              </w:rPr>
            </w:pPr>
            <w:r w:rsidRPr="007324EA">
              <w:rPr>
                <w:b/>
                <w:color w:val="000000"/>
                <w:sz w:val="22"/>
                <w:szCs w:val="22"/>
              </w:rPr>
              <w:t>Total $</w:t>
            </w:r>
          </w:p>
        </w:tc>
        <w:tc>
          <w:tcPr>
            <w:tcW w:w="900" w:type="dxa"/>
            <w:tcBorders>
              <w:top w:val="single" w:color="auto" w:sz="4" w:space="0"/>
              <w:left w:val="single" w:color="auto" w:sz="4" w:space="0"/>
            </w:tcBorders>
          </w:tcPr>
          <w:p w:rsidRPr="007324EA" w:rsidR="00042B1C" w:rsidP="00042B1C" w:rsidRDefault="00042B1C" w14:paraId="0409143B" w14:textId="77777777">
            <w:pPr>
              <w:spacing w:before="60" w:after="60"/>
              <w:jc w:val="center"/>
              <w:rPr>
                <w:b/>
                <w:color w:val="000000"/>
                <w:sz w:val="22"/>
                <w:szCs w:val="22"/>
              </w:rPr>
            </w:pPr>
            <w:r w:rsidRPr="007324EA">
              <w:rPr>
                <w:b/>
                <w:color w:val="000000"/>
                <w:sz w:val="22"/>
                <w:szCs w:val="22"/>
              </w:rPr>
              <w:t>Hours</w:t>
            </w:r>
          </w:p>
        </w:tc>
        <w:tc>
          <w:tcPr>
            <w:tcW w:w="1080" w:type="dxa"/>
            <w:tcBorders>
              <w:top w:val="single" w:color="auto" w:sz="4" w:space="0"/>
            </w:tcBorders>
          </w:tcPr>
          <w:p w:rsidRPr="007324EA" w:rsidR="00042B1C" w:rsidP="00042B1C" w:rsidRDefault="00042B1C" w14:paraId="6B59BB80" w14:textId="77777777">
            <w:pPr>
              <w:spacing w:before="60" w:after="60"/>
              <w:jc w:val="center"/>
              <w:rPr>
                <w:b/>
                <w:color w:val="000000"/>
                <w:sz w:val="22"/>
                <w:szCs w:val="22"/>
              </w:rPr>
            </w:pPr>
            <w:r w:rsidRPr="007324EA">
              <w:rPr>
                <w:b/>
                <w:color w:val="000000"/>
                <w:sz w:val="22"/>
                <w:szCs w:val="22"/>
              </w:rPr>
              <w:t xml:space="preserve">Rate </w:t>
            </w:r>
          </w:p>
        </w:tc>
        <w:tc>
          <w:tcPr>
            <w:tcW w:w="1773" w:type="dxa"/>
            <w:tcBorders>
              <w:top w:val="single" w:color="auto" w:sz="4" w:space="0"/>
            </w:tcBorders>
          </w:tcPr>
          <w:p w:rsidRPr="007324EA" w:rsidR="00042B1C" w:rsidP="00042B1C" w:rsidRDefault="00042B1C" w14:paraId="6C7B13CF" w14:textId="77777777">
            <w:pPr>
              <w:spacing w:before="60" w:after="60"/>
              <w:jc w:val="center"/>
              <w:rPr>
                <w:b/>
                <w:color w:val="000000"/>
                <w:sz w:val="22"/>
                <w:szCs w:val="22"/>
              </w:rPr>
            </w:pPr>
            <w:r w:rsidRPr="007324EA">
              <w:rPr>
                <w:b/>
                <w:color w:val="000000"/>
                <w:sz w:val="22"/>
                <w:szCs w:val="22"/>
              </w:rPr>
              <w:t>Total $</w:t>
            </w:r>
          </w:p>
        </w:tc>
      </w:tr>
      <w:tr w:rsidRPr="007324EA" w:rsidR="00042B1C" w:rsidTr="00FF127A" w14:paraId="7AB9EF54" w14:textId="77777777">
        <w:trPr>
          <w:jc w:val="center"/>
        </w:trPr>
        <w:tc>
          <w:tcPr>
            <w:tcW w:w="1404" w:type="dxa"/>
            <w:vAlign w:val="bottom"/>
          </w:tcPr>
          <w:p w:rsidRPr="009E777B" w:rsidR="00042B1C" w:rsidP="00042B1C" w:rsidRDefault="00042B1C" w14:paraId="4F803C09" w14:textId="67292860">
            <w:pPr>
              <w:spacing w:before="60" w:after="60"/>
              <w:rPr>
                <w:color w:val="000000"/>
                <w:sz w:val="22"/>
                <w:szCs w:val="22"/>
              </w:rPr>
            </w:pPr>
            <w:r w:rsidRPr="009E777B">
              <w:rPr>
                <w:sz w:val="22"/>
                <w:szCs w:val="22"/>
              </w:rPr>
              <w:t>Matthew Freedman</w:t>
            </w:r>
          </w:p>
        </w:tc>
        <w:tc>
          <w:tcPr>
            <w:tcW w:w="774" w:type="dxa"/>
            <w:vAlign w:val="bottom"/>
          </w:tcPr>
          <w:p w:rsidRPr="009E777B" w:rsidR="00042B1C" w:rsidP="00042B1C" w:rsidRDefault="00042B1C" w14:paraId="058BFE37" w14:textId="64B9C359">
            <w:pPr>
              <w:spacing w:before="60" w:after="60"/>
              <w:rPr>
                <w:color w:val="000000"/>
                <w:sz w:val="22"/>
                <w:szCs w:val="22"/>
              </w:rPr>
            </w:pPr>
            <w:r w:rsidRPr="009E777B">
              <w:rPr>
                <w:sz w:val="22"/>
                <w:szCs w:val="22"/>
              </w:rPr>
              <w:t>20</w:t>
            </w:r>
            <w:r>
              <w:rPr>
                <w:sz w:val="22"/>
                <w:szCs w:val="22"/>
              </w:rPr>
              <w:t>2</w:t>
            </w:r>
            <w:r w:rsidR="00C3712A">
              <w:rPr>
                <w:sz w:val="22"/>
                <w:szCs w:val="22"/>
              </w:rPr>
              <w:t>5</w:t>
            </w:r>
          </w:p>
        </w:tc>
        <w:tc>
          <w:tcPr>
            <w:tcW w:w="833" w:type="dxa"/>
            <w:vAlign w:val="bottom"/>
          </w:tcPr>
          <w:p w:rsidRPr="009E777B" w:rsidR="00042B1C" w:rsidP="00C248DD" w:rsidRDefault="00C248DD" w14:paraId="66A42865" w14:textId="16E44FCD">
            <w:pPr>
              <w:spacing w:before="60" w:after="60"/>
              <w:jc w:val="center"/>
              <w:rPr>
                <w:color w:val="000000"/>
                <w:sz w:val="22"/>
                <w:szCs w:val="22"/>
              </w:rPr>
            </w:pPr>
            <w:r>
              <w:rPr>
                <w:color w:val="000000"/>
                <w:sz w:val="22"/>
                <w:szCs w:val="22"/>
              </w:rPr>
              <w:t>9.0</w:t>
            </w:r>
          </w:p>
        </w:tc>
        <w:tc>
          <w:tcPr>
            <w:tcW w:w="877" w:type="dxa"/>
            <w:vAlign w:val="bottom"/>
          </w:tcPr>
          <w:p w:rsidRPr="009E777B" w:rsidR="00042B1C" w:rsidP="00042B1C" w:rsidRDefault="00C3712A" w14:paraId="42AE8F2C" w14:textId="71134124">
            <w:pPr>
              <w:spacing w:before="60" w:after="60"/>
              <w:rPr>
                <w:color w:val="000000"/>
                <w:sz w:val="22"/>
                <w:szCs w:val="22"/>
              </w:rPr>
            </w:pPr>
            <w:r>
              <w:rPr>
                <w:sz w:val="22"/>
                <w:szCs w:val="22"/>
              </w:rPr>
              <w:t>402.50</w:t>
            </w:r>
          </w:p>
        </w:tc>
        <w:tc>
          <w:tcPr>
            <w:tcW w:w="1507" w:type="dxa"/>
            <w:tcBorders>
              <w:right w:val="single" w:color="auto" w:sz="4" w:space="0"/>
            </w:tcBorders>
            <w:vAlign w:val="bottom"/>
          </w:tcPr>
          <w:p w:rsidRPr="009E777B" w:rsidR="00042B1C" w:rsidP="00042B1C" w:rsidRDefault="00042B1C" w14:paraId="3DB754B7" w14:textId="278690DC">
            <w:pPr>
              <w:spacing w:before="60" w:after="60"/>
              <w:rPr>
                <w:color w:val="000000"/>
                <w:sz w:val="22"/>
                <w:szCs w:val="22"/>
              </w:rPr>
            </w:pPr>
            <w:r w:rsidRPr="009E777B">
              <w:rPr>
                <w:sz w:val="22"/>
                <w:szCs w:val="22"/>
              </w:rPr>
              <w:t>50% of 20</w:t>
            </w:r>
            <w:r>
              <w:rPr>
                <w:sz w:val="22"/>
                <w:szCs w:val="22"/>
              </w:rPr>
              <w:t>2</w:t>
            </w:r>
            <w:r w:rsidR="00C3712A">
              <w:rPr>
                <w:sz w:val="22"/>
                <w:szCs w:val="22"/>
              </w:rPr>
              <w:t>5</w:t>
            </w:r>
            <w:r w:rsidRPr="009E777B">
              <w:rPr>
                <w:sz w:val="22"/>
                <w:szCs w:val="22"/>
              </w:rPr>
              <w:t xml:space="preserve"> rate</w:t>
            </w:r>
          </w:p>
        </w:tc>
        <w:tc>
          <w:tcPr>
            <w:tcW w:w="1373" w:type="dxa"/>
            <w:tcBorders>
              <w:top w:val="single" w:color="auto" w:sz="4" w:space="0"/>
              <w:left w:val="single" w:color="auto" w:sz="4" w:space="0"/>
              <w:bottom w:val="single" w:color="auto" w:sz="4" w:space="0"/>
              <w:right w:val="single" w:color="auto" w:sz="24" w:space="0"/>
            </w:tcBorders>
            <w:vAlign w:val="bottom"/>
          </w:tcPr>
          <w:p w:rsidRPr="009E777B" w:rsidR="00042B1C" w:rsidP="00042B1C" w:rsidRDefault="00042B1C" w14:paraId="3D39C021" w14:textId="726E9F2C">
            <w:pPr>
              <w:spacing w:before="60" w:after="60"/>
              <w:jc w:val="right"/>
              <w:rPr>
                <w:color w:val="000000"/>
                <w:sz w:val="22"/>
                <w:szCs w:val="22"/>
              </w:rPr>
            </w:pPr>
            <w:r>
              <w:rPr>
                <w:sz w:val="22"/>
                <w:szCs w:val="22"/>
              </w:rPr>
              <w:t>$</w:t>
            </w:r>
            <w:r w:rsidR="00C248DD">
              <w:rPr>
                <w:sz w:val="22"/>
                <w:szCs w:val="22"/>
              </w:rPr>
              <w:t>3,622.50</w:t>
            </w:r>
          </w:p>
        </w:tc>
        <w:tc>
          <w:tcPr>
            <w:tcW w:w="900" w:type="dxa"/>
            <w:tcBorders>
              <w:left w:val="single" w:color="auto" w:sz="4" w:space="0"/>
              <w:right w:val="single" w:color="auto" w:sz="4" w:space="0"/>
            </w:tcBorders>
          </w:tcPr>
          <w:p w:rsidR="00FF127A" w:rsidP="00FF127A" w:rsidRDefault="00FF127A" w14:paraId="53067A77" w14:textId="77777777">
            <w:pPr>
              <w:spacing w:before="60" w:after="60"/>
              <w:jc w:val="center"/>
              <w:rPr>
                <w:color w:val="000000"/>
              </w:rPr>
            </w:pPr>
          </w:p>
          <w:p w:rsidRPr="007324EA" w:rsidR="00042B1C" w:rsidP="00FF127A" w:rsidRDefault="0035606B" w14:paraId="6B8C8F0C" w14:textId="4ED70BE4">
            <w:pPr>
              <w:spacing w:before="60" w:after="60"/>
              <w:jc w:val="center"/>
              <w:rPr>
                <w:color w:val="000000"/>
              </w:rPr>
            </w:pPr>
            <w:r>
              <w:rPr>
                <w:color w:val="000000"/>
              </w:rPr>
              <w:t>6</w:t>
            </w:r>
            <w:r w:rsidR="00FF127A">
              <w:rPr>
                <w:color w:val="000000"/>
              </w:rPr>
              <w:t>.00</w:t>
            </w:r>
            <w:r>
              <w:rPr>
                <w:color w:val="000000"/>
              </w:rPr>
              <w:t xml:space="preserve"> [3]</w:t>
            </w:r>
          </w:p>
        </w:tc>
        <w:tc>
          <w:tcPr>
            <w:tcW w:w="1080" w:type="dxa"/>
            <w:tcBorders>
              <w:left w:val="single" w:color="auto" w:sz="4" w:space="0"/>
            </w:tcBorders>
          </w:tcPr>
          <w:p w:rsidR="005101B8" w:rsidP="00FF127A" w:rsidRDefault="005101B8" w14:paraId="66773B9F" w14:textId="77777777">
            <w:pPr>
              <w:spacing w:before="60" w:after="60"/>
              <w:jc w:val="center"/>
              <w:rPr>
                <w:color w:val="000000"/>
              </w:rPr>
            </w:pPr>
          </w:p>
          <w:p w:rsidRPr="007324EA" w:rsidR="00042B1C" w:rsidP="005101B8" w:rsidRDefault="00FF127A" w14:paraId="0A58B021" w14:textId="0737424B">
            <w:pPr>
              <w:spacing w:before="60" w:after="60"/>
              <w:jc w:val="center"/>
              <w:rPr>
                <w:color w:val="000000"/>
              </w:rPr>
            </w:pPr>
            <w:r>
              <w:rPr>
                <w:color w:val="000000"/>
              </w:rPr>
              <w:t>$397.50</w:t>
            </w:r>
            <w:r w:rsidR="002766C4">
              <w:rPr>
                <w:color w:val="000000"/>
              </w:rPr>
              <w:t xml:space="preserve"> </w:t>
            </w:r>
            <w:r>
              <w:rPr>
                <w:color w:val="000000"/>
              </w:rPr>
              <w:t>[1]</w:t>
            </w:r>
          </w:p>
        </w:tc>
        <w:tc>
          <w:tcPr>
            <w:tcW w:w="1773" w:type="dxa"/>
          </w:tcPr>
          <w:p w:rsidR="00FF127A" w:rsidP="00FF127A" w:rsidRDefault="00FF127A" w14:paraId="02D01D34" w14:textId="77777777">
            <w:pPr>
              <w:spacing w:before="60" w:after="60"/>
              <w:jc w:val="center"/>
              <w:rPr>
                <w:color w:val="000000"/>
              </w:rPr>
            </w:pPr>
          </w:p>
          <w:p w:rsidRPr="007324EA" w:rsidR="00042B1C" w:rsidP="00FF127A" w:rsidRDefault="00FF127A" w14:paraId="0769A3B4" w14:textId="7B515FBC">
            <w:pPr>
              <w:spacing w:before="60" w:after="60"/>
              <w:jc w:val="center"/>
              <w:rPr>
                <w:color w:val="000000"/>
              </w:rPr>
            </w:pPr>
            <w:r>
              <w:rPr>
                <w:color w:val="000000"/>
              </w:rPr>
              <w:t>$</w:t>
            </w:r>
            <w:r w:rsidR="0035606B">
              <w:rPr>
                <w:color w:val="000000"/>
              </w:rPr>
              <w:t>2,385.00</w:t>
            </w:r>
          </w:p>
        </w:tc>
      </w:tr>
      <w:tr w:rsidRPr="007324EA" w:rsidR="00042B1C" w:rsidTr="008C09F7" w14:paraId="266CEDD5" w14:textId="77777777">
        <w:trPr>
          <w:jc w:val="center"/>
        </w:trPr>
        <w:tc>
          <w:tcPr>
            <w:tcW w:w="6768" w:type="dxa"/>
            <w:gridSpan w:val="6"/>
            <w:tcBorders>
              <w:bottom w:val="single" w:color="auto" w:sz="4" w:space="0"/>
              <w:right w:val="single" w:color="auto" w:sz="24" w:space="0"/>
            </w:tcBorders>
            <w:vAlign w:val="bottom"/>
          </w:tcPr>
          <w:p w:rsidRPr="007324EA" w:rsidR="00042B1C" w:rsidP="00042B1C" w:rsidRDefault="00042B1C" w14:paraId="4A1F5988" w14:textId="42C27063">
            <w:pPr>
              <w:tabs>
                <w:tab w:val="left" w:pos="957"/>
              </w:tabs>
              <w:spacing w:before="60" w:after="60"/>
              <w:ind w:right="162"/>
              <w:jc w:val="right"/>
              <w:rPr>
                <w:b/>
                <w:i/>
                <w:color w:val="000000"/>
              </w:rPr>
            </w:pPr>
            <w:r w:rsidRPr="007324EA">
              <w:rPr>
                <w:b/>
                <w:i/>
                <w:color w:val="000000"/>
              </w:rPr>
              <w:t xml:space="preserve">Subtotal: </w:t>
            </w:r>
            <w:r>
              <w:rPr>
                <w:b/>
                <w:i/>
                <w:color w:val="000000"/>
              </w:rPr>
              <w:t>$</w:t>
            </w:r>
            <w:r w:rsidR="00C248DD">
              <w:rPr>
                <w:b/>
                <w:i/>
                <w:color w:val="000000"/>
              </w:rPr>
              <w:t>3,622.50</w:t>
            </w:r>
          </w:p>
        </w:tc>
        <w:tc>
          <w:tcPr>
            <w:tcW w:w="3753" w:type="dxa"/>
            <w:gridSpan w:val="3"/>
            <w:tcBorders>
              <w:left w:val="single" w:color="auto" w:sz="24" w:space="0"/>
              <w:bottom w:val="single" w:color="auto" w:sz="4" w:space="0"/>
            </w:tcBorders>
            <w:vAlign w:val="bottom"/>
          </w:tcPr>
          <w:p w:rsidRPr="007324EA" w:rsidR="00042B1C" w:rsidP="00042B1C" w:rsidRDefault="00042B1C" w14:paraId="2FBAA587" w14:textId="33333835">
            <w:pPr>
              <w:tabs>
                <w:tab w:val="left" w:pos="957"/>
              </w:tabs>
              <w:spacing w:before="60" w:after="60"/>
              <w:ind w:right="162"/>
              <w:jc w:val="right"/>
              <w:rPr>
                <w:b/>
                <w:i/>
                <w:color w:val="000000"/>
              </w:rPr>
            </w:pPr>
            <w:r w:rsidRPr="007324EA">
              <w:rPr>
                <w:b/>
                <w:i/>
                <w:color w:val="000000"/>
              </w:rPr>
              <w:t>Subtotal: $</w:t>
            </w:r>
            <w:r w:rsidR="0035606B">
              <w:rPr>
                <w:b/>
                <w:i/>
                <w:color w:val="000000"/>
              </w:rPr>
              <w:t>2,385.00</w:t>
            </w:r>
          </w:p>
        </w:tc>
      </w:tr>
      <w:tr w:rsidRPr="007324EA" w:rsidR="00042B1C" w:rsidTr="008C09F7" w14:paraId="06E7371A" w14:textId="77777777">
        <w:trPr>
          <w:jc w:val="center"/>
        </w:trPr>
        <w:tc>
          <w:tcPr>
            <w:tcW w:w="6768" w:type="dxa"/>
            <w:gridSpan w:val="6"/>
            <w:tcBorders>
              <w:top w:val="single" w:color="auto" w:sz="4" w:space="0"/>
              <w:bottom w:val="single" w:color="auto" w:sz="4" w:space="0"/>
              <w:right w:val="single" w:color="auto" w:sz="24" w:space="0"/>
            </w:tcBorders>
            <w:shd w:val="clear" w:color="auto" w:fill="E6E6E6"/>
            <w:vAlign w:val="bottom"/>
          </w:tcPr>
          <w:p w:rsidRPr="007324EA" w:rsidR="00042B1C" w:rsidP="00042B1C" w:rsidRDefault="00042B1C" w14:paraId="11B3B704" w14:textId="1910D8E3">
            <w:pPr>
              <w:tabs>
                <w:tab w:val="left" w:pos="957"/>
              </w:tabs>
              <w:spacing w:before="60" w:after="60"/>
              <w:ind w:right="72"/>
              <w:jc w:val="right"/>
              <w:rPr>
                <w:b/>
                <w:color w:val="000000"/>
              </w:rPr>
            </w:pPr>
            <w:r w:rsidRPr="007324EA">
              <w:rPr>
                <w:b/>
                <w:i/>
                <w:color w:val="000000"/>
              </w:rPr>
              <w:t>TOTAL REQUEST: $</w:t>
            </w:r>
            <w:r w:rsidR="00C248DD">
              <w:rPr>
                <w:b/>
                <w:i/>
                <w:color w:val="000000"/>
              </w:rPr>
              <w:t>56,463.75</w:t>
            </w:r>
          </w:p>
        </w:tc>
        <w:tc>
          <w:tcPr>
            <w:tcW w:w="3753" w:type="dxa"/>
            <w:gridSpan w:val="3"/>
            <w:tcBorders>
              <w:left w:val="single" w:color="auto" w:sz="24" w:space="0"/>
            </w:tcBorders>
            <w:shd w:val="clear" w:color="auto" w:fill="E6E6E6"/>
            <w:vAlign w:val="bottom"/>
          </w:tcPr>
          <w:p w:rsidRPr="007324EA" w:rsidR="00042B1C" w:rsidP="00042B1C" w:rsidRDefault="00042B1C" w14:paraId="3680D139" w14:textId="40603C71">
            <w:pPr>
              <w:tabs>
                <w:tab w:val="left" w:pos="957"/>
              </w:tabs>
              <w:spacing w:before="60" w:after="60"/>
              <w:ind w:right="72"/>
              <w:jc w:val="right"/>
              <w:rPr>
                <w:b/>
                <w:color w:val="000000"/>
              </w:rPr>
            </w:pPr>
            <w:r w:rsidRPr="007324EA">
              <w:rPr>
                <w:b/>
                <w:i/>
                <w:color w:val="000000"/>
              </w:rPr>
              <w:t>TOTAL AWARD: $</w:t>
            </w:r>
            <w:r w:rsidR="0035606B">
              <w:rPr>
                <w:b/>
                <w:i/>
                <w:color w:val="000000"/>
              </w:rPr>
              <w:t>54,093.75</w:t>
            </w:r>
          </w:p>
        </w:tc>
      </w:tr>
      <w:tr w:rsidRPr="007F620E" w:rsidR="00042B1C" w:rsidTr="008C09F7" w14:paraId="6A909BC1" w14:textId="77777777">
        <w:trPr>
          <w:jc w:val="center"/>
        </w:trPr>
        <w:tc>
          <w:tcPr>
            <w:tcW w:w="10521" w:type="dxa"/>
            <w:gridSpan w:val="9"/>
            <w:tcBorders>
              <w:top w:val="single" w:color="auto" w:sz="4" w:space="0"/>
              <w:bottom w:val="single" w:color="auto" w:sz="4" w:space="0"/>
            </w:tcBorders>
          </w:tcPr>
          <w:p w:rsidRPr="007F620E" w:rsidR="00042B1C" w:rsidP="00042B1C" w:rsidRDefault="00042B1C"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042B1C" w:rsidP="00042B1C" w:rsidRDefault="00042B1C"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bl>
    <w:p w:rsidR="00CA2493" w:rsidRDefault="00CA2493" w14:paraId="220340FB" w14:textId="77777777">
      <w:r>
        <w:br w:type="page"/>
      </w:r>
    </w:p>
    <w:tbl>
      <w:tblPr>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38"/>
        <w:gridCol w:w="1800"/>
        <w:gridCol w:w="2160"/>
        <w:gridCol w:w="4023"/>
      </w:tblGrid>
      <w:tr w:rsidRPr="007F620E" w:rsidR="00042B1C" w:rsidTr="008C09F7" w14:paraId="458B01A4" w14:textId="77777777">
        <w:trPr>
          <w:jc w:val="center"/>
        </w:trPr>
        <w:tc>
          <w:tcPr>
            <w:tcW w:w="1052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042B1C" w:rsidP="00042B1C" w:rsidRDefault="00042B1C" w14:paraId="48B43CBD" w14:textId="57062697">
            <w:pPr>
              <w:spacing w:before="60" w:after="60"/>
              <w:jc w:val="center"/>
              <w:rPr>
                <w:b/>
                <w:smallCaps/>
                <w:color w:val="000000"/>
              </w:rPr>
            </w:pPr>
            <w:r w:rsidRPr="007F620E">
              <w:rPr>
                <w:b/>
                <w:smallCaps/>
                <w:color w:val="000000"/>
              </w:rPr>
              <w:lastRenderedPageBreak/>
              <w:t>ATTORNEY INFORMATION</w:t>
            </w:r>
          </w:p>
        </w:tc>
      </w:tr>
      <w:tr w:rsidRPr="00C16981" w:rsidR="00042B1C" w:rsidTr="008C09F7" w14:paraId="790C92C0" w14:textId="77777777">
        <w:trPr>
          <w:trHeight w:val="173"/>
          <w:jc w:val="center"/>
        </w:trPr>
        <w:tc>
          <w:tcPr>
            <w:tcW w:w="2538" w:type="dxa"/>
            <w:tcBorders>
              <w:top w:val="single" w:color="auto" w:sz="4" w:space="0"/>
              <w:bottom w:val="single" w:color="auto" w:sz="4" w:space="0"/>
            </w:tcBorders>
            <w:shd w:val="clear" w:color="auto" w:fill="FFFFFF"/>
          </w:tcPr>
          <w:p w:rsidRPr="00C16981" w:rsidR="00042B1C" w:rsidP="00042B1C" w:rsidRDefault="00042B1C" w14:paraId="00CAC866" w14:textId="77777777">
            <w:pPr>
              <w:keepNext/>
              <w:keepLines/>
              <w:spacing w:before="60" w:after="60"/>
              <w:jc w:val="center"/>
              <w:rPr>
                <w:b/>
                <w:color w:val="000000"/>
                <w:sz w:val="22"/>
                <w:szCs w:val="22"/>
              </w:rPr>
            </w:pPr>
            <w:r w:rsidRPr="00C16981">
              <w:rPr>
                <w:b/>
                <w:sz w:val="22"/>
                <w:szCs w:val="22"/>
              </w:rPr>
              <w:t>Attorney</w:t>
            </w:r>
          </w:p>
        </w:tc>
        <w:tc>
          <w:tcPr>
            <w:tcW w:w="1800" w:type="dxa"/>
            <w:tcBorders>
              <w:top w:val="single" w:color="auto" w:sz="4" w:space="0"/>
              <w:bottom w:val="single" w:color="auto" w:sz="4" w:space="0"/>
            </w:tcBorders>
            <w:shd w:val="clear" w:color="auto" w:fill="FFFFFF"/>
          </w:tcPr>
          <w:p w:rsidRPr="00C16981" w:rsidR="00042B1C" w:rsidP="00042B1C" w:rsidRDefault="00042B1C"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160" w:type="dxa"/>
            <w:tcBorders>
              <w:top w:val="single" w:color="auto" w:sz="4" w:space="0"/>
              <w:bottom w:val="single" w:color="auto" w:sz="4" w:space="0"/>
            </w:tcBorders>
            <w:shd w:val="clear" w:color="auto" w:fill="FFFFFF"/>
          </w:tcPr>
          <w:p w:rsidRPr="00C16981" w:rsidR="00042B1C" w:rsidP="00042B1C" w:rsidRDefault="00042B1C" w14:paraId="27E64ED7" w14:textId="77777777">
            <w:pPr>
              <w:keepNext/>
              <w:keepLines/>
              <w:spacing w:before="60" w:after="60"/>
              <w:jc w:val="center"/>
              <w:rPr>
                <w:b/>
                <w:color w:val="000000"/>
                <w:sz w:val="22"/>
                <w:szCs w:val="22"/>
              </w:rPr>
            </w:pPr>
            <w:r w:rsidRPr="00C16981">
              <w:rPr>
                <w:b/>
                <w:sz w:val="22"/>
                <w:szCs w:val="22"/>
              </w:rPr>
              <w:t>Member Number</w:t>
            </w:r>
          </w:p>
        </w:tc>
        <w:tc>
          <w:tcPr>
            <w:tcW w:w="4023" w:type="dxa"/>
            <w:tcBorders>
              <w:top w:val="single" w:color="auto" w:sz="4" w:space="0"/>
              <w:bottom w:val="single" w:color="auto" w:sz="4" w:space="0"/>
            </w:tcBorders>
            <w:shd w:val="clear" w:color="auto" w:fill="FFFFFF"/>
          </w:tcPr>
          <w:p w:rsidRPr="00C16981" w:rsidR="00042B1C" w:rsidP="00042B1C" w:rsidRDefault="00042B1C" w14:paraId="496B5DC1" w14:textId="77777777">
            <w:pPr>
              <w:keepNext/>
              <w:keepLines/>
              <w:spacing w:before="60" w:after="60"/>
              <w:jc w:val="center"/>
              <w:rPr>
                <w:b/>
                <w:sz w:val="22"/>
                <w:szCs w:val="22"/>
              </w:rPr>
            </w:pPr>
            <w:r w:rsidRPr="00C16981">
              <w:rPr>
                <w:b/>
                <w:sz w:val="22"/>
                <w:szCs w:val="22"/>
              </w:rPr>
              <w:t>Actions Affecting Eligibility (Yes/No?)</w:t>
            </w:r>
          </w:p>
          <w:p w:rsidRPr="00C16981" w:rsidR="00042B1C" w:rsidP="00042B1C" w:rsidRDefault="00042B1C"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042B1C" w:rsidTr="003C3D0B" w14:paraId="4DC5EE9B" w14:textId="77777777">
        <w:trPr>
          <w:trHeight w:val="172"/>
          <w:jc w:val="center"/>
        </w:trPr>
        <w:tc>
          <w:tcPr>
            <w:tcW w:w="2538" w:type="dxa"/>
            <w:tcBorders>
              <w:top w:val="single" w:color="auto" w:sz="4" w:space="0"/>
              <w:bottom w:val="single" w:color="auto" w:sz="4" w:space="0"/>
            </w:tcBorders>
          </w:tcPr>
          <w:p w:rsidRPr="007F620E" w:rsidR="00042B1C" w:rsidP="00042B1C" w:rsidRDefault="00042B1C" w14:paraId="7266B7BF" w14:textId="40E581D3">
            <w:pPr>
              <w:keepNext/>
              <w:keepLines/>
              <w:spacing w:before="60" w:after="60"/>
              <w:jc w:val="center"/>
              <w:rPr>
                <w:color w:val="000000"/>
              </w:rPr>
            </w:pPr>
            <w:r w:rsidRPr="00127ECA">
              <w:rPr>
                <w:color w:val="000000"/>
                <w:sz w:val="22"/>
                <w:szCs w:val="22"/>
              </w:rPr>
              <w:t>Matthew Freedman</w:t>
            </w:r>
          </w:p>
        </w:tc>
        <w:tc>
          <w:tcPr>
            <w:tcW w:w="1800" w:type="dxa"/>
            <w:tcBorders>
              <w:top w:val="single" w:color="auto" w:sz="4" w:space="0"/>
              <w:bottom w:val="single" w:color="auto" w:sz="4" w:space="0"/>
            </w:tcBorders>
          </w:tcPr>
          <w:p w:rsidRPr="007F620E" w:rsidR="00042B1C" w:rsidP="00042B1C" w:rsidRDefault="00042B1C" w14:paraId="69A41F15" w14:textId="5B57A818">
            <w:pPr>
              <w:keepNext/>
              <w:keepLines/>
              <w:spacing w:before="60" w:after="60"/>
              <w:jc w:val="center"/>
              <w:rPr>
                <w:color w:val="000000"/>
              </w:rPr>
            </w:pPr>
            <w:r w:rsidRPr="00127ECA">
              <w:rPr>
                <w:color w:val="000000"/>
                <w:sz w:val="22"/>
                <w:szCs w:val="22"/>
              </w:rPr>
              <w:t>March 29, 2001</w:t>
            </w:r>
          </w:p>
        </w:tc>
        <w:tc>
          <w:tcPr>
            <w:tcW w:w="2160" w:type="dxa"/>
            <w:tcBorders>
              <w:top w:val="single" w:color="auto" w:sz="4" w:space="0"/>
              <w:bottom w:val="single" w:color="auto" w:sz="4" w:space="0"/>
            </w:tcBorders>
          </w:tcPr>
          <w:p w:rsidRPr="007F620E" w:rsidR="00042B1C" w:rsidP="00042B1C" w:rsidRDefault="00042B1C" w14:paraId="58495CD7" w14:textId="4CD8778F">
            <w:pPr>
              <w:keepNext/>
              <w:keepLines/>
              <w:spacing w:before="60" w:after="60"/>
              <w:jc w:val="center"/>
              <w:rPr>
                <w:color w:val="000000"/>
              </w:rPr>
            </w:pPr>
            <w:r w:rsidRPr="00127ECA">
              <w:rPr>
                <w:color w:val="000000"/>
                <w:sz w:val="22"/>
                <w:szCs w:val="22"/>
              </w:rPr>
              <w:t>214812</w:t>
            </w:r>
          </w:p>
        </w:tc>
        <w:tc>
          <w:tcPr>
            <w:tcW w:w="4023" w:type="dxa"/>
            <w:tcBorders>
              <w:top w:val="single" w:color="auto" w:sz="4" w:space="0"/>
              <w:bottom w:val="single" w:color="auto" w:sz="4" w:space="0"/>
            </w:tcBorders>
          </w:tcPr>
          <w:p w:rsidRPr="007F620E" w:rsidR="00042B1C" w:rsidP="00042B1C" w:rsidRDefault="00042B1C" w14:paraId="117B99BF" w14:textId="276F96CC">
            <w:pPr>
              <w:keepNext/>
              <w:keepLines/>
              <w:spacing w:before="60" w:after="60"/>
              <w:jc w:val="center"/>
              <w:rPr>
                <w:color w:val="000000"/>
              </w:rPr>
            </w:pPr>
            <w:r w:rsidRPr="00127ECA">
              <w:rPr>
                <w:color w:val="000000"/>
                <w:sz w:val="22"/>
                <w:szCs w:val="22"/>
              </w:rPr>
              <w:t>No</w:t>
            </w:r>
          </w:p>
        </w:tc>
      </w:tr>
      <w:tr w:rsidRPr="007F620E" w:rsidR="00C3712A" w:rsidTr="003C3D0B" w14:paraId="5AB2B842" w14:textId="77777777">
        <w:trPr>
          <w:trHeight w:val="172"/>
          <w:jc w:val="center"/>
        </w:trPr>
        <w:tc>
          <w:tcPr>
            <w:tcW w:w="2538" w:type="dxa"/>
            <w:tcBorders>
              <w:top w:val="single" w:color="auto" w:sz="4" w:space="0"/>
              <w:bottom w:val="single" w:color="auto" w:sz="4" w:space="0"/>
            </w:tcBorders>
          </w:tcPr>
          <w:p w:rsidR="00C3712A" w:rsidP="00C3712A" w:rsidRDefault="00C3712A" w14:paraId="1A6E85D4" w14:textId="3B1EDC5B">
            <w:pPr>
              <w:keepNext/>
              <w:keepLines/>
              <w:spacing w:before="60" w:after="60"/>
              <w:jc w:val="center"/>
              <w:rPr>
                <w:color w:val="000000"/>
                <w:sz w:val="22"/>
                <w:szCs w:val="22"/>
              </w:rPr>
            </w:pPr>
            <w:r>
              <w:rPr>
                <w:color w:val="000000"/>
                <w:sz w:val="22"/>
                <w:szCs w:val="22"/>
              </w:rPr>
              <w:t>Robert Finkelstein</w:t>
            </w:r>
          </w:p>
        </w:tc>
        <w:tc>
          <w:tcPr>
            <w:tcW w:w="1800" w:type="dxa"/>
            <w:tcBorders>
              <w:top w:val="single" w:color="auto" w:sz="4" w:space="0"/>
              <w:bottom w:val="single" w:color="auto" w:sz="4" w:space="0"/>
            </w:tcBorders>
          </w:tcPr>
          <w:p w:rsidR="00C3712A" w:rsidP="00C3712A" w:rsidRDefault="00C3712A" w14:paraId="1D10D449" w14:textId="368A3782">
            <w:pPr>
              <w:keepNext/>
              <w:keepLines/>
              <w:spacing w:before="60" w:after="60"/>
              <w:jc w:val="center"/>
              <w:rPr>
                <w:color w:val="000000"/>
                <w:sz w:val="22"/>
                <w:szCs w:val="22"/>
              </w:rPr>
            </w:pPr>
            <w:r>
              <w:rPr>
                <w:color w:val="000000"/>
                <w:sz w:val="22"/>
                <w:szCs w:val="22"/>
              </w:rPr>
              <w:t>June 1990</w:t>
            </w:r>
          </w:p>
        </w:tc>
        <w:tc>
          <w:tcPr>
            <w:tcW w:w="2160" w:type="dxa"/>
            <w:tcBorders>
              <w:top w:val="single" w:color="auto" w:sz="4" w:space="0"/>
              <w:bottom w:val="single" w:color="auto" w:sz="4" w:space="0"/>
            </w:tcBorders>
          </w:tcPr>
          <w:p w:rsidR="00C3712A" w:rsidP="00C3712A" w:rsidRDefault="00C3712A" w14:paraId="29ACA5D3" w14:textId="27503C13">
            <w:pPr>
              <w:keepNext/>
              <w:keepLines/>
              <w:spacing w:before="60" w:after="60"/>
              <w:jc w:val="center"/>
              <w:rPr>
                <w:color w:val="000000"/>
                <w:sz w:val="22"/>
                <w:szCs w:val="22"/>
              </w:rPr>
            </w:pPr>
            <w:r>
              <w:rPr>
                <w:color w:val="000000"/>
                <w:sz w:val="22"/>
                <w:szCs w:val="22"/>
              </w:rPr>
              <w:t>124776</w:t>
            </w:r>
          </w:p>
        </w:tc>
        <w:tc>
          <w:tcPr>
            <w:tcW w:w="4023" w:type="dxa"/>
            <w:tcBorders>
              <w:top w:val="single" w:color="auto" w:sz="4" w:space="0"/>
              <w:bottom w:val="single" w:color="auto" w:sz="4" w:space="0"/>
            </w:tcBorders>
          </w:tcPr>
          <w:p w:rsidR="00C3712A" w:rsidP="00C3712A" w:rsidRDefault="00C3712A" w14:paraId="5F62570F" w14:textId="21749DA1">
            <w:pPr>
              <w:keepNext/>
              <w:keepLines/>
              <w:spacing w:before="60" w:after="60"/>
              <w:jc w:val="center"/>
              <w:rPr>
                <w:color w:val="000000"/>
                <w:sz w:val="22"/>
                <w:szCs w:val="22"/>
              </w:rPr>
            </w:pPr>
            <w:r>
              <w:rPr>
                <w:color w:val="000000"/>
                <w:sz w:val="22"/>
                <w:szCs w:val="22"/>
              </w:rPr>
              <w:t>No</w:t>
            </w:r>
          </w:p>
        </w:tc>
      </w:tr>
      <w:tr w:rsidRPr="007F620E" w:rsidR="00DB539E" w:rsidTr="003C3D0B" w14:paraId="2F5FF71F" w14:textId="77777777">
        <w:trPr>
          <w:trHeight w:val="172"/>
          <w:jc w:val="center"/>
        </w:trPr>
        <w:tc>
          <w:tcPr>
            <w:tcW w:w="2538" w:type="dxa"/>
            <w:tcBorders>
              <w:top w:val="single" w:color="auto" w:sz="4" w:space="0"/>
              <w:bottom w:val="single" w:color="auto" w:sz="4" w:space="0"/>
            </w:tcBorders>
          </w:tcPr>
          <w:p w:rsidR="00DB539E" w:rsidP="00042B1C" w:rsidRDefault="00DB539E" w14:paraId="5B00FB7E" w14:textId="65460664">
            <w:pPr>
              <w:keepNext/>
              <w:keepLines/>
              <w:spacing w:before="60" w:after="60"/>
              <w:jc w:val="center"/>
              <w:rPr>
                <w:color w:val="000000"/>
                <w:sz w:val="22"/>
                <w:szCs w:val="22"/>
              </w:rPr>
            </w:pPr>
            <w:r>
              <w:rPr>
                <w:color w:val="000000"/>
                <w:sz w:val="22"/>
                <w:szCs w:val="22"/>
              </w:rPr>
              <w:t>Thomas Long</w:t>
            </w:r>
          </w:p>
        </w:tc>
        <w:tc>
          <w:tcPr>
            <w:tcW w:w="1800" w:type="dxa"/>
            <w:tcBorders>
              <w:top w:val="single" w:color="auto" w:sz="4" w:space="0"/>
              <w:bottom w:val="single" w:color="auto" w:sz="4" w:space="0"/>
            </w:tcBorders>
          </w:tcPr>
          <w:p w:rsidR="00DB539E" w:rsidP="00042B1C" w:rsidRDefault="00DB539E" w14:paraId="4FBD01B1" w14:textId="093012E6">
            <w:pPr>
              <w:keepNext/>
              <w:keepLines/>
              <w:spacing w:before="60" w:after="60"/>
              <w:jc w:val="center"/>
              <w:rPr>
                <w:color w:val="000000"/>
                <w:sz w:val="22"/>
                <w:szCs w:val="22"/>
              </w:rPr>
            </w:pPr>
            <w:r>
              <w:rPr>
                <w:color w:val="000000"/>
                <w:sz w:val="22"/>
                <w:szCs w:val="22"/>
              </w:rPr>
              <w:t>December 1986</w:t>
            </w:r>
          </w:p>
        </w:tc>
        <w:tc>
          <w:tcPr>
            <w:tcW w:w="2160" w:type="dxa"/>
            <w:tcBorders>
              <w:top w:val="single" w:color="auto" w:sz="4" w:space="0"/>
              <w:bottom w:val="single" w:color="auto" w:sz="4" w:space="0"/>
            </w:tcBorders>
          </w:tcPr>
          <w:p w:rsidR="00DB539E" w:rsidP="00042B1C" w:rsidRDefault="00DB539E" w14:paraId="20F6B2E0" w14:textId="4C86A74E">
            <w:pPr>
              <w:keepNext/>
              <w:keepLines/>
              <w:spacing w:before="60" w:after="60"/>
              <w:jc w:val="center"/>
              <w:rPr>
                <w:color w:val="000000"/>
                <w:sz w:val="22"/>
                <w:szCs w:val="22"/>
              </w:rPr>
            </w:pPr>
            <w:r>
              <w:rPr>
                <w:color w:val="000000"/>
                <w:sz w:val="22"/>
                <w:szCs w:val="22"/>
              </w:rPr>
              <w:t>124776</w:t>
            </w:r>
          </w:p>
        </w:tc>
        <w:tc>
          <w:tcPr>
            <w:tcW w:w="4023" w:type="dxa"/>
            <w:tcBorders>
              <w:top w:val="single" w:color="auto" w:sz="4" w:space="0"/>
              <w:bottom w:val="single" w:color="auto" w:sz="4" w:space="0"/>
            </w:tcBorders>
          </w:tcPr>
          <w:p w:rsidR="00DB539E" w:rsidP="00042B1C" w:rsidRDefault="00DB539E" w14:paraId="33391178" w14:textId="321E72C2">
            <w:pPr>
              <w:keepNext/>
              <w:keepLines/>
              <w:spacing w:before="60" w:after="60"/>
              <w:jc w:val="center"/>
              <w:rPr>
                <w:color w:val="000000"/>
                <w:sz w:val="22"/>
                <w:szCs w:val="22"/>
              </w:rPr>
            </w:pPr>
            <w:r>
              <w:rPr>
                <w:color w:val="000000"/>
                <w:sz w:val="22"/>
                <w:szCs w:val="22"/>
              </w:rPr>
              <w:t>No</w:t>
            </w:r>
          </w:p>
        </w:tc>
      </w:tr>
    </w:tbl>
    <w:p w:rsidRPr="009F5B40" w:rsidR="00A92D0B" w:rsidP="009F5B40" w:rsidRDefault="00A92D0B" w14:paraId="04BC309E" w14:textId="269F0122">
      <w:pPr>
        <w:numPr>
          <w:ilvl w:val="0"/>
          <w:numId w:val="2"/>
        </w:numPr>
        <w:tabs>
          <w:tab w:val="clear" w:pos="900"/>
          <w:tab w:val="num" w:pos="360"/>
        </w:tabs>
        <w:spacing w:before="240" w:after="240"/>
        <w:ind w:left="360"/>
        <w:rPr>
          <w:b/>
          <w:color w:val="000000"/>
        </w:rPr>
      </w:pPr>
      <w:r w:rsidRPr="007F620E">
        <w:rPr>
          <w:b/>
        </w:rPr>
        <w:t>Attachments Documenting Specific Claim and Comments on Part III</w:t>
      </w:r>
      <w:r w:rsidR="00846673">
        <w:rPr>
          <w:rStyle w:val="FootnoteReference"/>
          <w:b/>
        </w:rPr>
        <w:footnoteReference w:id="3"/>
      </w:r>
      <w:r w:rsidR="00C02649">
        <w:rPr>
          <w:b/>
        </w:rPr>
        <w:t>:</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8010"/>
      </w:tblGrid>
      <w:tr w:rsidRPr="007F620E" w:rsidR="00A92D0B" w:rsidTr="001C0DD1" w14:paraId="0C2B760A" w14:textId="77777777">
        <w:tc>
          <w:tcPr>
            <w:tcW w:w="1548" w:type="dxa"/>
            <w:shd w:val="clear" w:color="auto" w:fill="D9D9D9" w:themeFill="background1" w:themeFillShade="D9"/>
          </w:tcPr>
          <w:p w:rsidRPr="007F620E" w:rsidR="00A92D0B" w:rsidP="00A92D0B" w:rsidRDefault="00A92D0B" w14:paraId="42A1D838" w14:textId="77777777">
            <w:pPr>
              <w:tabs>
                <w:tab w:val="left" w:pos="1260"/>
              </w:tabs>
              <w:spacing w:before="120"/>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8010" w:type="dxa"/>
            <w:tcBorders>
              <w:bottom w:val="single" w:color="auto" w:sz="4" w:space="0"/>
            </w:tcBorders>
            <w:shd w:val="clear" w:color="auto" w:fill="D9D9D9" w:themeFill="background1" w:themeFillShade="D9"/>
          </w:tcPr>
          <w:p w:rsidRPr="007F620E" w:rsidR="00A92D0B" w:rsidP="00A92D0B" w:rsidRDefault="00A92D0B" w14:paraId="55F0A65F" w14:textId="77777777">
            <w:pPr>
              <w:tabs>
                <w:tab w:val="left" w:pos="1260"/>
              </w:tabs>
              <w:spacing w:before="120"/>
              <w:jc w:val="center"/>
              <w:rPr>
                <w:b/>
                <w:color w:val="000000"/>
              </w:rPr>
            </w:pPr>
            <w:r w:rsidRPr="007F620E">
              <w:rPr>
                <w:b/>
                <w:color w:val="000000"/>
              </w:rPr>
              <w:t>Description/Comment</w:t>
            </w:r>
          </w:p>
        </w:tc>
      </w:tr>
      <w:tr w:rsidRPr="007F620E" w:rsidR="002E5E16" w:rsidTr="00004E34" w14:paraId="71F47148" w14:textId="77777777">
        <w:tc>
          <w:tcPr>
            <w:tcW w:w="1548" w:type="dxa"/>
            <w:tcBorders>
              <w:bottom w:val="single" w:color="auto" w:sz="4" w:space="0"/>
            </w:tcBorders>
          </w:tcPr>
          <w:p w:rsidRPr="007F620E" w:rsidR="002E5E16" w:rsidP="002E5E16" w:rsidRDefault="002E5E16" w14:paraId="7A5C03D8" w14:textId="24A9817F">
            <w:pPr>
              <w:tabs>
                <w:tab w:val="left" w:pos="1260"/>
              </w:tabs>
              <w:spacing w:before="120"/>
              <w:rPr>
                <w:color w:val="000000"/>
              </w:rPr>
            </w:pPr>
            <w:r w:rsidRPr="003444EB">
              <w:rPr>
                <w:b/>
                <w:color w:val="000000"/>
                <w:sz w:val="22"/>
                <w:szCs w:val="22"/>
              </w:rPr>
              <w:t>Attachment 1</w:t>
            </w:r>
          </w:p>
        </w:tc>
        <w:tc>
          <w:tcPr>
            <w:tcW w:w="8010" w:type="dxa"/>
            <w:tcBorders>
              <w:bottom w:val="single" w:color="auto" w:sz="4" w:space="0"/>
            </w:tcBorders>
          </w:tcPr>
          <w:p w:rsidRPr="001C0DD1" w:rsidR="002E5E16" w:rsidP="002E5E16" w:rsidRDefault="002E5E16" w14:paraId="370C67BC" w14:textId="5C77DA64">
            <w:pPr>
              <w:tabs>
                <w:tab w:val="left" w:pos="1260"/>
              </w:tabs>
              <w:spacing w:before="120"/>
              <w:rPr>
                <w:color w:val="000000"/>
              </w:rPr>
            </w:pPr>
            <w:r w:rsidRPr="003444EB">
              <w:rPr>
                <w:b/>
                <w:color w:val="000000"/>
                <w:sz w:val="22"/>
                <w:szCs w:val="22"/>
              </w:rPr>
              <w:t>Certificate of Service</w:t>
            </w:r>
          </w:p>
        </w:tc>
      </w:tr>
      <w:tr w:rsidRPr="007F620E" w:rsidR="002E5E16" w:rsidTr="00004E34" w14:paraId="70BB375B" w14:textId="77777777">
        <w:tc>
          <w:tcPr>
            <w:tcW w:w="1548" w:type="dxa"/>
            <w:tcBorders>
              <w:bottom w:val="single" w:color="auto" w:sz="4" w:space="0"/>
            </w:tcBorders>
          </w:tcPr>
          <w:p w:rsidRPr="007F620E" w:rsidR="002E5E16" w:rsidP="002E5E16" w:rsidRDefault="002E5E16" w14:paraId="2AABE25D" w14:textId="7D020338">
            <w:pPr>
              <w:tabs>
                <w:tab w:val="left" w:pos="1260"/>
              </w:tabs>
              <w:spacing w:before="120"/>
              <w:rPr>
                <w:color w:val="000000"/>
              </w:rPr>
            </w:pPr>
            <w:r w:rsidRPr="003444EB">
              <w:rPr>
                <w:b/>
                <w:color w:val="000000"/>
                <w:sz w:val="22"/>
                <w:szCs w:val="22"/>
              </w:rPr>
              <w:t>Attachment 2</w:t>
            </w:r>
          </w:p>
        </w:tc>
        <w:tc>
          <w:tcPr>
            <w:tcW w:w="8010" w:type="dxa"/>
            <w:tcBorders>
              <w:bottom w:val="single" w:color="auto" w:sz="4" w:space="0"/>
            </w:tcBorders>
          </w:tcPr>
          <w:p w:rsidRPr="001C0DD1" w:rsidR="002E5E16" w:rsidP="002E5E16" w:rsidRDefault="002E5E16" w14:paraId="1F17D7B7" w14:textId="514273D4">
            <w:pPr>
              <w:tabs>
                <w:tab w:val="left" w:pos="1260"/>
              </w:tabs>
              <w:spacing w:before="120"/>
              <w:rPr>
                <w:color w:val="000000"/>
              </w:rPr>
            </w:pPr>
            <w:r w:rsidRPr="003444EB">
              <w:rPr>
                <w:b/>
                <w:color w:val="000000"/>
                <w:sz w:val="22"/>
                <w:szCs w:val="22"/>
              </w:rPr>
              <w:t>Daily Time Records for Attorneys and Experts</w:t>
            </w:r>
          </w:p>
        </w:tc>
      </w:tr>
    </w:tbl>
    <w:p w:rsidRPr="007F620E" w:rsidR="00A92D0B" w:rsidP="00F81778" w:rsidRDefault="00F81778" w14:paraId="0D8B7003" w14:textId="05DD9406">
      <w:pPr>
        <w:spacing w:before="240" w:after="240"/>
        <w:ind w:left="540" w:hanging="540"/>
        <w:rPr>
          <w:b/>
          <w:color w:val="000000"/>
        </w:rPr>
      </w:pPr>
      <w:r w:rsidRPr="007F620E">
        <w:rPr>
          <w:b/>
          <w:color w:val="000000"/>
        </w:rPr>
        <w:t xml:space="preserve">D.  </w:t>
      </w:r>
      <w:r w:rsidRPr="007F620E" w:rsidR="00A92D0B">
        <w:rPr>
          <w:b/>
          <w:color w:val="000000"/>
        </w:rPr>
        <w:t xml:space="preserve">CPUC </w:t>
      </w:r>
      <w:r w:rsidR="008C09F7">
        <w:rPr>
          <w:b/>
          <w:color w:val="000000"/>
        </w:rPr>
        <w:t xml:space="preserve">Comments, </w:t>
      </w:r>
      <w:r w:rsidRPr="007F620E" w:rsidR="00A92D0B">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sidR="00A92D0B">
        <w:rPr>
          <w:b/>
          <w:color w:val="000000"/>
        </w:rPr>
        <w:t xml:space="preserve">Adjustments </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8010"/>
      </w:tblGrid>
      <w:tr w:rsidRPr="007F620E" w:rsidR="00A92D0B" w:rsidTr="003D359B" w14:paraId="52CD0603" w14:textId="77777777">
        <w:tc>
          <w:tcPr>
            <w:tcW w:w="1548" w:type="dxa"/>
            <w:shd w:val="pct12" w:color="auto" w:fill="auto"/>
          </w:tcPr>
          <w:p w:rsidRPr="007F620E" w:rsidR="00A92D0B" w:rsidP="00A92D0B" w:rsidRDefault="00072C81" w14:paraId="3954EC4C" w14:textId="77777777">
            <w:pPr>
              <w:tabs>
                <w:tab w:val="left" w:pos="1440"/>
              </w:tabs>
              <w:spacing w:before="120"/>
              <w:jc w:val="center"/>
              <w:rPr>
                <w:b/>
                <w:color w:val="000000"/>
              </w:rPr>
            </w:pPr>
            <w:r w:rsidRPr="007F620E">
              <w:rPr>
                <w:b/>
                <w:color w:val="000000"/>
              </w:rPr>
              <w:t>Item</w:t>
            </w:r>
          </w:p>
        </w:tc>
        <w:tc>
          <w:tcPr>
            <w:tcW w:w="8010" w:type="dxa"/>
            <w:shd w:val="pct12" w:color="auto" w:fill="auto"/>
          </w:tcPr>
          <w:p w:rsidRPr="007F620E" w:rsidR="00A92D0B" w:rsidP="00A92D0B" w:rsidRDefault="00A92D0B" w14:paraId="09F9E4D9" w14:textId="77777777">
            <w:pPr>
              <w:tabs>
                <w:tab w:val="left" w:pos="1440"/>
              </w:tabs>
              <w:spacing w:before="120"/>
              <w:jc w:val="center"/>
              <w:rPr>
                <w:b/>
                <w:color w:val="000000"/>
              </w:rPr>
            </w:pPr>
            <w:r w:rsidRPr="007F620E">
              <w:rPr>
                <w:b/>
                <w:color w:val="000000"/>
              </w:rPr>
              <w:t>Reason</w:t>
            </w:r>
          </w:p>
        </w:tc>
      </w:tr>
      <w:tr w:rsidRPr="007F620E" w:rsidR="00A92D0B" w:rsidTr="003D359B" w14:paraId="69DEE01C" w14:textId="77777777">
        <w:tc>
          <w:tcPr>
            <w:tcW w:w="1548" w:type="dxa"/>
          </w:tcPr>
          <w:p w:rsidRPr="007F620E" w:rsidR="00A92D0B" w:rsidP="00A92D0B" w:rsidRDefault="00900A33" w14:paraId="1E6C8F3D" w14:textId="74F46CEB">
            <w:pPr>
              <w:tabs>
                <w:tab w:val="left" w:pos="1440"/>
              </w:tabs>
              <w:spacing w:before="120"/>
              <w:rPr>
                <w:color w:val="000000"/>
              </w:rPr>
            </w:pPr>
            <w:r>
              <w:rPr>
                <w:color w:val="000000"/>
              </w:rPr>
              <w:t>[1] Matthew Freedman (Freedman) 2025 Hourly Rate</w:t>
            </w:r>
          </w:p>
        </w:tc>
        <w:tc>
          <w:tcPr>
            <w:tcW w:w="8010" w:type="dxa"/>
          </w:tcPr>
          <w:p w:rsidR="00900A33" w:rsidP="00900A33" w:rsidRDefault="00900A33" w14:paraId="35190A10" w14:textId="4930E104">
            <w:pPr>
              <w:tabs>
                <w:tab w:val="left" w:pos="1440"/>
              </w:tabs>
              <w:spacing w:before="120"/>
              <w:rPr>
                <w:color w:val="000000"/>
              </w:rPr>
            </w:pPr>
            <w:r>
              <w:rPr>
                <w:color w:val="000000"/>
              </w:rPr>
              <w:t>D.25-</w:t>
            </w:r>
            <w:r w:rsidR="0035606B">
              <w:rPr>
                <w:color w:val="000000"/>
              </w:rPr>
              <w:t>10</w:t>
            </w:r>
            <w:r>
              <w:rPr>
                <w:color w:val="000000"/>
              </w:rPr>
              <w:t>-0</w:t>
            </w:r>
            <w:r w:rsidR="0035606B">
              <w:rPr>
                <w:color w:val="000000"/>
              </w:rPr>
              <w:t>59</w:t>
            </w:r>
            <w:r>
              <w:rPr>
                <w:color w:val="000000"/>
              </w:rPr>
              <w:t xml:space="preserve"> previously approved the 2025 rate of $</w:t>
            </w:r>
            <w:r w:rsidR="0035606B">
              <w:rPr>
                <w:color w:val="000000"/>
              </w:rPr>
              <w:t>795 for Freedman.</w:t>
            </w:r>
          </w:p>
          <w:p w:rsidRPr="002F1DF1" w:rsidR="00900A33" w:rsidP="00900A33" w:rsidRDefault="00900A33" w14:paraId="1CA3D9DD" w14:textId="71208B45">
            <w:pPr>
              <w:tabs>
                <w:tab w:val="left" w:pos="1440"/>
              </w:tabs>
              <w:spacing w:before="120"/>
              <w:rPr>
                <w:color w:val="000000"/>
              </w:rPr>
            </w:pPr>
            <w:r w:rsidRPr="0096500C">
              <w:rPr>
                <w:color w:val="000000"/>
              </w:rPr>
              <w:t>As Intervenor Compensation Claim Preparation hours are compensated at ½ preparer’s normal hourly rate, we apply the rate of $</w:t>
            </w:r>
            <w:r w:rsidR="002446F4">
              <w:rPr>
                <w:color w:val="000000"/>
              </w:rPr>
              <w:t>397</w:t>
            </w:r>
            <w:r>
              <w:rPr>
                <w:color w:val="000000"/>
              </w:rPr>
              <w:t>.50</w:t>
            </w:r>
            <w:r w:rsidRPr="0096500C">
              <w:rPr>
                <w:color w:val="000000"/>
              </w:rPr>
              <w:t xml:space="preserve"> for </w:t>
            </w:r>
            <w:r w:rsidR="002446F4">
              <w:rPr>
                <w:color w:val="000000"/>
              </w:rPr>
              <w:t>Freedman</w:t>
            </w:r>
            <w:r w:rsidR="00921738">
              <w:rPr>
                <w:color w:val="000000"/>
              </w:rPr>
              <w:t xml:space="preserve"> for 2025</w:t>
            </w:r>
            <w:r w:rsidRPr="0096500C">
              <w:rPr>
                <w:color w:val="000000"/>
              </w:rPr>
              <w:t xml:space="preserve">. </w:t>
            </w:r>
          </w:p>
          <w:p w:rsidRPr="007F620E" w:rsidR="00A92D0B" w:rsidP="00A92D0B" w:rsidRDefault="00A92D0B" w14:paraId="45BFCB16" w14:textId="77777777">
            <w:pPr>
              <w:tabs>
                <w:tab w:val="left" w:pos="1440"/>
              </w:tabs>
              <w:spacing w:before="120"/>
              <w:rPr>
                <w:color w:val="000000"/>
              </w:rPr>
            </w:pPr>
          </w:p>
        </w:tc>
      </w:tr>
      <w:tr w:rsidRPr="007F620E" w:rsidR="00A92D0B" w:rsidTr="003D359B" w14:paraId="52155EFC" w14:textId="77777777">
        <w:tc>
          <w:tcPr>
            <w:tcW w:w="1548" w:type="dxa"/>
          </w:tcPr>
          <w:p w:rsidRPr="007F620E" w:rsidR="00A92D0B" w:rsidP="00A92D0B" w:rsidRDefault="009F78F3" w14:paraId="26487933" w14:textId="10DFA52D">
            <w:pPr>
              <w:tabs>
                <w:tab w:val="left" w:pos="1440"/>
              </w:tabs>
              <w:spacing w:before="120"/>
              <w:rPr>
                <w:color w:val="000000"/>
              </w:rPr>
            </w:pPr>
            <w:r>
              <w:rPr>
                <w:color w:val="000000"/>
              </w:rPr>
              <w:t>[2] Jennifer Dowdell (Dowdell) 2024 Hours</w:t>
            </w:r>
          </w:p>
        </w:tc>
        <w:tc>
          <w:tcPr>
            <w:tcW w:w="8010" w:type="dxa"/>
          </w:tcPr>
          <w:p w:rsidR="009F78F3" w:rsidP="009F78F3" w:rsidRDefault="009F78F3" w14:paraId="7A9E4E74" w14:textId="77777777">
            <w:pPr>
              <w:tabs>
                <w:tab w:val="left" w:pos="1440"/>
              </w:tabs>
              <w:rPr>
                <w:u w:val="single"/>
              </w:rPr>
            </w:pPr>
          </w:p>
          <w:p w:rsidRPr="00331B14" w:rsidR="009F78F3" w:rsidP="009F78F3" w:rsidRDefault="009F78F3" w14:paraId="58F6C8C4" w14:textId="2FD7888D">
            <w:pPr>
              <w:tabs>
                <w:tab w:val="left" w:pos="1440"/>
              </w:tabs>
              <w:rPr>
                <w:u w:val="single"/>
              </w:rPr>
            </w:pPr>
            <w:r w:rsidRPr="00331B14">
              <w:rPr>
                <w:u w:val="single"/>
              </w:rPr>
              <w:t>Vague Hours (</w:t>
            </w:r>
            <w:r>
              <w:rPr>
                <w:u w:val="single"/>
              </w:rPr>
              <w:t xml:space="preserve">2.00 </w:t>
            </w:r>
            <w:r w:rsidRPr="00331B14">
              <w:rPr>
                <w:u w:val="single"/>
              </w:rPr>
              <w:t xml:space="preserve">hours): </w:t>
            </w:r>
          </w:p>
          <w:p w:rsidR="009F78F3" w:rsidP="009F78F3" w:rsidRDefault="009F78F3" w14:paraId="0E80FB92" w14:textId="77777777">
            <w:pPr>
              <w:tabs>
                <w:tab w:val="left" w:pos="1440"/>
              </w:tabs>
            </w:pPr>
          </w:p>
          <w:p w:rsidR="009F78F3" w:rsidP="009F78F3" w:rsidRDefault="009F78F3" w14:paraId="7ABDCACD" w14:textId="7BD29D5D">
            <w:pPr>
              <w:tabs>
                <w:tab w:val="left" w:pos="1440"/>
              </w:tabs>
            </w:pPr>
            <w:r>
              <w:t xml:space="preserve">Time records for each individual included in the Claim must be provided and must chronologically list the following information, among other things, about each task included in the records: 1) date when the specific task was performed, 2) the issue in the proceeding that the task addressed (as identified in the Scoping Memo or by the ALJ), 3) description of the specific task, and 4) amount of the time spent on the task (in hours or hour fraction). See </w:t>
            </w:r>
            <w:proofErr w:type="spellStart"/>
            <w:r>
              <w:t>IComp</w:t>
            </w:r>
            <w:proofErr w:type="spellEnd"/>
            <w:r>
              <w:t xml:space="preserve"> Program Guide at 25. </w:t>
            </w:r>
          </w:p>
          <w:p w:rsidR="009F78F3" w:rsidP="009F78F3" w:rsidRDefault="009F78F3" w14:paraId="4E9F6494" w14:textId="77777777">
            <w:pPr>
              <w:tabs>
                <w:tab w:val="left" w:pos="1440"/>
              </w:tabs>
            </w:pPr>
          </w:p>
          <w:p w:rsidR="009F78F3" w:rsidP="009F78F3" w:rsidRDefault="009F78F3" w14:paraId="5E1A2098" w14:textId="2634B20D">
            <w:pPr>
              <w:tabs>
                <w:tab w:val="left" w:pos="1440"/>
              </w:tabs>
            </w:pPr>
            <w:r>
              <w:t xml:space="preserve">The following tasks are deemed as vague and are therefore disallowed: </w:t>
            </w:r>
          </w:p>
          <w:p w:rsidR="009F78F3" w:rsidP="009F78F3" w:rsidRDefault="009F78F3" w14:paraId="2B614674" w14:textId="77777777">
            <w:pPr>
              <w:tabs>
                <w:tab w:val="left" w:pos="1440"/>
              </w:tabs>
            </w:pPr>
          </w:p>
          <w:p w:rsidRPr="00BD214B" w:rsidR="009F78F3" w:rsidP="009F78F3" w:rsidRDefault="009F78F3" w14:paraId="4DD8A4CF" w14:textId="3A6F51D8">
            <w:pPr>
              <w:numPr>
                <w:ilvl w:val="0"/>
                <w:numId w:val="8"/>
              </w:numPr>
              <w:tabs>
                <w:tab w:val="left" w:pos="1440"/>
              </w:tabs>
              <w:spacing w:before="120"/>
              <w:rPr>
                <w:rFonts w:eastAsia="Calibri"/>
                <w:color w:val="000000"/>
              </w:rPr>
            </w:pPr>
            <w:r>
              <w:rPr>
                <w:color w:val="000000"/>
              </w:rPr>
              <w:lastRenderedPageBreak/>
              <w:t>6</w:t>
            </w:r>
            <w:r w:rsidRPr="00C63EB8">
              <w:rPr>
                <w:color w:val="000000"/>
              </w:rPr>
              <w:t>/</w:t>
            </w:r>
            <w:r>
              <w:rPr>
                <w:color w:val="000000"/>
              </w:rPr>
              <w:t>30</w:t>
            </w:r>
            <w:r w:rsidRPr="00C63EB8">
              <w:rPr>
                <w:color w:val="000000"/>
              </w:rPr>
              <w:t>/</w:t>
            </w:r>
            <w:r>
              <w:rPr>
                <w:color w:val="000000"/>
              </w:rPr>
              <w:t>24</w:t>
            </w:r>
            <w:r w:rsidRPr="00C63EB8">
              <w:rPr>
                <w:color w:val="000000"/>
              </w:rPr>
              <w:t xml:space="preserve">, </w:t>
            </w:r>
            <w:r>
              <w:rPr>
                <w:color w:val="000000"/>
              </w:rPr>
              <w:t>2</w:t>
            </w:r>
            <w:r w:rsidRPr="00C63EB8">
              <w:rPr>
                <w:color w:val="000000"/>
              </w:rPr>
              <w:t>.</w:t>
            </w:r>
            <w:r>
              <w:rPr>
                <w:color w:val="000000"/>
              </w:rPr>
              <w:t>0</w:t>
            </w:r>
            <w:r w:rsidRPr="00C63EB8">
              <w:rPr>
                <w:color w:val="000000"/>
              </w:rPr>
              <w:t>0 hours claimed – “</w:t>
            </w:r>
            <w:r>
              <w:rPr>
                <w:color w:val="000000"/>
              </w:rPr>
              <w:t>Draft DRs</w:t>
            </w:r>
            <w:r w:rsidRPr="00C63EB8">
              <w:rPr>
                <w:color w:val="000000"/>
              </w:rPr>
              <w:t>”</w:t>
            </w:r>
            <w:r>
              <w:rPr>
                <w:color w:val="000000"/>
              </w:rPr>
              <w:t xml:space="preserve"> TURN</w:t>
            </w:r>
            <w:r w:rsidRPr="00901596">
              <w:rPr>
                <w:color w:val="000000"/>
              </w:rPr>
              <w:t xml:space="preserve"> did not provide specific details </w:t>
            </w:r>
            <w:r w:rsidR="00FC5D5C">
              <w:rPr>
                <w:color w:val="000000"/>
              </w:rPr>
              <w:t xml:space="preserve">to </w:t>
            </w:r>
            <w:r w:rsidRPr="00901596">
              <w:rPr>
                <w:color w:val="000000"/>
              </w:rPr>
              <w:t xml:space="preserve">explain </w:t>
            </w:r>
            <w:r>
              <w:rPr>
                <w:color w:val="000000"/>
              </w:rPr>
              <w:t>wh</w:t>
            </w:r>
            <w:r w:rsidR="00F531DF">
              <w:rPr>
                <w:color w:val="000000"/>
              </w:rPr>
              <w:t>ich issue area</w:t>
            </w:r>
            <w:r>
              <w:rPr>
                <w:color w:val="000000"/>
              </w:rPr>
              <w:t xml:space="preserve"> or for what purpose these data requests were prepared for</w:t>
            </w:r>
            <w:r>
              <w:rPr>
                <w:rFonts w:eastAsia="Calibri"/>
                <w:color w:val="000000"/>
              </w:rPr>
              <w:t>. 2</w:t>
            </w:r>
            <w:r w:rsidRPr="00BD214B">
              <w:rPr>
                <w:rFonts w:eastAsia="Calibri"/>
                <w:color w:val="000000"/>
              </w:rPr>
              <w:t>.</w:t>
            </w:r>
            <w:r>
              <w:rPr>
                <w:rFonts w:eastAsia="Calibri"/>
                <w:color w:val="000000"/>
              </w:rPr>
              <w:t>0</w:t>
            </w:r>
            <w:r w:rsidRPr="00BD214B">
              <w:rPr>
                <w:rFonts w:eastAsia="Calibri"/>
                <w:color w:val="000000"/>
              </w:rPr>
              <w:t>0 hour</w:t>
            </w:r>
            <w:r>
              <w:rPr>
                <w:rFonts w:eastAsia="Calibri"/>
                <w:color w:val="000000"/>
              </w:rPr>
              <w:t>s</w:t>
            </w:r>
            <w:r w:rsidRPr="00BD214B">
              <w:rPr>
                <w:rFonts w:eastAsia="Calibri"/>
                <w:color w:val="000000"/>
              </w:rPr>
              <w:t xml:space="preserve"> </w:t>
            </w:r>
            <w:r>
              <w:rPr>
                <w:rFonts w:eastAsia="Calibri"/>
                <w:color w:val="000000"/>
              </w:rPr>
              <w:t>are</w:t>
            </w:r>
            <w:r w:rsidRPr="00BD214B">
              <w:rPr>
                <w:rFonts w:eastAsia="Calibri"/>
                <w:color w:val="000000"/>
              </w:rPr>
              <w:t xml:space="preserve"> disallowed. </w:t>
            </w:r>
          </w:p>
          <w:p w:rsidR="009F78F3" w:rsidP="009F78F3" w:rsidRDefault="009F78F3" w14:paraId="0B377CC8" w14:textId="77777777">
            <w:pPr>
              <w:tabs>
                <w:tab w:val="left" w:pos="1440"/>
              </w:tabs>
              <w:rPr>
                <w:color w:val="000000"/>
              </w:rPr>
            </w:pPr>
          </w:p>
          <w:p w:rsidRPr="007F620E" w:rsidR="009F78F3" w:rsidP="009F78F3" w:rsidRDefault="009F78F3" w14:paraId="455E6A00" w14:textId="082642E4">
            <w:pPr>
              <w:tabs>
                <w:tab w:val="left" w:pos="1440"/>
              </w:tabs>
              <w:rPr>
                <w:color w:val="000000"/>
              </w:rPr>
            </w:pPr>
            <w:r w:rsidRPr="00331B14">
              <w:rPr>
                <w:color w:val="000000"/>
              </w:rPr>
              <w:t>Minus the disallowance here of</w:t>
            </w:r>
            <w:r>
              <w:rPr>
                <w:color w:val="000000"/>
              </w:rPr>
              <w:t xml:space="preserve"> 2.00 </w:t>
            </w:r>
            <w:r w:rsidRPr="00331B14">
              <w:rPr>
                <w:color w:val="000000"/>
              </w:rPr>
              <w:t xml:space="preserve">hours, </w:t>
            </w:r>
            <w:r>
              <w:rPr>
                <w:color w:val="000000"/>
              </w:rPr>
              <w:t>Dowdell</w:t>
            </w:r>
            <w:r w:rsidRPr="00331B14">
              <w:rPr>
                <w:color w:val="000000"/>
              </w:rPr>
              <w:t>’s 202</w:t>
            </w:r>
            <w:r>
              <w:rPr>
                <w:color w:val="000000"/>
              </w:rPr>
              <w:t>4</w:t>
            </w:r>
            <w:r w:rsidRPr="00331B14">
              <w:rPr>
                <w:color w:val="000000"/>
              </w:rPr>
              <w:t xml:space="preserve"> hours now total</w:t>
            </w:r>
            <w:r>
              <w:rPr>
                <w:color w:val="000000"/>
              </w:rPr>
              <w:t xml:space="preserve"> 13.50</w:t>
            </w:r>
            <w:r w:rsidRPr="00331B14">
              <w:rPr>
                <w:color w:val="000000"/>
              </w:rPr>
              <w:t>.</w:t>
            </w:r>
          </w:p>
        </w:tc>
      </w:tr>
      <w:tr w:rsidRPr="007F620E" w:rsidR="0035606B" w:rsidTr="003D359B" w14:paraId="32123CB6" w14:textId="77777777">
        <w:tc>
          <w:tcPr>
            <w:tcW w:w="1548" w:type="dxa"/>
          </w:tcPr>
          <w:p w:rsidR="0035606B" w:rsidP="00A92D0B" w:rsidRDefault="0035606B" w14:paraId="55E19CB1" w14:textId="6DE56640">
            <w:pPr>
              <w:tabs>
                <w:tab w:val="left" w:pos="1440"/>
              </w:tabs>
              <w:spacing w:before="120"/>
              <w:rPr>
                <w:color w:val="000000"/>
              </w:rPr>
            </w:pPr>
            <w:r>
              <w:rPr>
                <w:color w:val="000000"/>
              </w:rPr>
              <w:lastRenderedPageBreak/>
              <w:t xml:space="preserve">[3] Excessive </w:t>
            </w:r>
            <w:proofErr w:type="spellStart"/>
            <w:r>
              <w:rPr>
                <w:color w:val="000000"/>
              </w:rPr>
              <w:t>IComp</w:t>
            </w:r>
            <w:proofErr w:type="spellEnd"/>
            <w:r>
              <w:rPr>
                <w:color w:val="000000"/>
              </w:rPr>
              <w:t xml:space="preserve"> Claim Preparation</w:t>
            </w:r>
          </w:p>
        </w:tc>
        <w:tc>
          <w:tcPr>
            <w:tcW w:w="8010" w:type="dxa"/>
          </w:tcPr>
          <w:p w:rsidR="0035606B" w:rsidP="0035606B" w:rsidRDefault="0035606B" w14:paraId="6EB4C8D8" w14:textId="77777777">
            <w:pPr>
              <w:tabs>
                <w:tab w:val="left" w:pos="1440"/>
              </w:tabs>
              <w:rPr>
                <w:color w:val="000000" w:themeColor="text1"/>
              </w:rPr>
            </w:pPr>
            <w:r w:rsidRPr="00F044E1">
              <w:rPr>
                <w:color w:val="000000" w:themeColor="text1"/>
              </w:rPr>
              <w:t>Section 1801.3(f) provides that the Commission should administer the Intervenor Compensation Program “in a manner that avoids unproductive or unnecessary participation that duplicates the participation of similar interests otherwise adequately represented or participation that is not necessary for a fair determination of the proceeding.”</w:t>
            </w:r>
          </w:p>
          <w:p w:rsidR="0035606B" w:rsidP="0035606B" w:rsidRDefault="0035606B" w14:paraId="2889F5D0" w14:textId="77777777">
            <w:pPr>
              <w:tabs>
                <w:tab w:val="left" w:pos="1440"/>
              </w:tabs>
              <w:rPr>
                <w:color w:val="000000" w:themeColor="text1"/>
              </w:rPr>
            </w:pPr>
          </w:p>
          <w:p w:rsidR="0035606B" w:rsidP="0035606B" w:rsidRDefault="0035606B" w14:paraId="4FA80367" w14:textId="088B40A8">
            <w:pPr>
              <w:tabs>
                <w:tab w:val="left" w:pos="1440"/>
              </w:tabs>
              <w:rPr>
                <w:color w:val="000000" w:themeColor="text1"/>
              </w:rPr>
            </w:pPr>
            <w:r w:rsidRPr="00C323A1">
              <w:rPr>
                <w:color w:val="000000" w:themeColor="text1"/>
              </w:rPr>
              <w:t xml:space="preserve">We find the request for </w:t>
            </w:r>
            <w:r>
              <w:rPr>
                <w:color w:val="000000" w:themeColor="text1"/>
              </w:rPr>
              <w:t>9.00</w:t>
            </w:r>
            <w:r w:rsidRPr="00C323A1">
              <w:rPr>
                <w:color w:val="000000" w:themeColor="text1"/>
              </w:rPr>
              <w:t xml:space="preserve"> hours to prepare </w:t>
            </w:r>
            <w:r>
              <w:rPr>
                <w:color w:val="000000" w:themeColor="text1"/>
              </w:rPr>
              <w:t xml:space="preserve">TURN’s </w:t>
            </w:r>
            <w:r w:rsidRPr="00C323A1">
              <w:rPr>
                <w:color w:val="000000" w:themeColor="text1"/>
              </w:rPr>
              <w:t xml:space="preserve">Intervenor Compensation Claim by </w:t>
            </w:r>
            <w:r>
              <w:rPr>
                <w:color w:val="000000" w:themeColor="text1"/>
              </w:rPr>
              <w:t>Freedman</w:t>
            </w:r>
            <w:r w:rsidRPr="00C323A1">
              <w:rPr>
                <w:color w:val="000000" w:themeColor="text1"/>
              </w:rPr>
              <w:t xml:space="preserve"> to be unreasonable and excessive.</w:t>
            </w:r>
            <w:r>
              <w:rPr>
                <w:color w:val="000000" w:themeColor="text1"/>
              </w:rPr>
              <w:t xml:space="preserve"> Hours claimed must be </w:t>
            </w:r>
            <w:r w:rsidRPr="00C323A1">
              <w:rPr>
                <w:color w:val="000000" w:themeColor="text1"/>
              </w:rPr>
              <w:t>reasonable, productive, effective, and efficient</w:t>
            </w:r>
            <w:r>
              <w:rPr>
                <w:color w:val="000000" w:themeColor="text1"/>
              </w:rPr>
              <w:t xml:space="preserve">. We find that the hours </w:t>
            </w:r>
            <w:proofErr w:type="gramStart"/>
            <w:r>
              <w:rPr>
                <w:color w:val="000000" w:themeColor="text1"/>
              </w:rPr>
              <w:t>claimed</w:t>
            </w:r>
            <w:proofErr w:type="gramEnd"/>
            <w:r>
              <w:rPr>
                <w:color w:val="000000" w:themeColor="text1"/>
              </w:rPr>
              <w:t xml:space="preserve"> are excessive for the work produced and for breadth of this claim. </w:t>
            </w:r>
          </w:p>
          <w:p w:rsidR="0035606B" w:rsidP="0035606B" w:rsidRDefault="0035606B" w14:paraId="7B977442" w14:textId="77777777">
            <w:pPr>
              <w:tabs>
                <w:tab w:val="left" w:pos="1440"/>
              </w:tabs>
              <w:rPr>
                <w:color w:val="000000" w:themeColor="text1"/>
              </w:rPr>
            </w:pPr>
          </w:p>
          <w:p w:rsidR="0035606B" w:rsidP="0035606B" w:rsidRDefault="0035606B" w14:paraId="7C54131D" w14:textId="4BF5407C">
            <w:pPr>
              <w:tabs>
                <w:tab w:val="left" w:pos="1440"/>
              </w:tabs>
              <w:rPr>
                <w:color w:val="000000" w:themeColor="text1"/>
              </w:rPr>
            </w:pPr>
            <w:r w:rsidRPr="00C323A1">
              <w:rPr>
                <w:color w:val="000000" w:themeColor="text1"/>
              </w:rPr>
              <w:t>As a result, we have reduced</w:t>
            </w:r>
            <w:r>
              <w:rPr>
                <w:color w:val="000000" w:themeColor="text1"/>
              </w:rPr>
              <w:t xml:space="preserve"> Freedman’s</w:t>
            </w:r>
            <w:r w:rsidRPr="00C323A1">
              <w:rPr>
                <w:color w:val="000000" w:themeColor="text1"/>
              </w:rPr>
              <w:t xml:space="preserve"> time spent preparing th</w:t>
            </w:r>
            <w:r>
              <w:rPr>
                <w:color w:val="000000" w:themeColor="text1"/>
              </w:rPr>
              <w:t>is</w:t>
            </w:r>
            <w:r w:rsidRPr="00C323A1">
              <w:rPr>
                <w:color w:val="000000" w:themeColor="text1"/>
              </w:rPr>
              <w:t xml:space="preserve"> </w:t>
            </w:r>
            <w:proofErr w:type="spellStart"/>
            <w:r>
              <w:rPr>
                <w:color w:val="000000" w:themeColor="text1"/>
              </w:rPr>
              <w:t>IComp</w:t>
            </w:r>
            <w:proofErr w:type="spellEnd"/>
            <w:r>
              <w:rPr>
                <w:color w:val="000000" w:themeColor="text1"/>
              </w:rPr>
              <w:t xml:space="preserve"> </w:t>
            </w:r>
            <w:r w:rsidRPr="00C323A1">
              <w:rPr>
                <w:color w:val="000000" w:themeColor="text1"/>
              </w:rPr>
              <w:t xml:space="preserve">Claim by </w:t>
            </w:r>
            <w:r>
              <w:rPr>
                <w:color w:val="000000" w:themeColor="text1"/>
              </w:rPr>
              <w:t>3.00 hours,</w:t>
            </w:r>
            <w:r w:rsidRPr="00C323A1">
              <w:rPr>
                <w:color w:val="000000" w:themeColor="text1"/>
              </w:rPr>
              <w:t xml:space="preserve"> resulting in a total of </w:t>
            </w:r>
            <w:r w:rsidR="001230B9">
              <w:rPr>
                <w:color w:val="000000" w:themeColor="text1"/>
              </w:rPr>
              <w:t>6</w:t>
            </w:r>
            <w:r w:rsidRPr="00C323A1">
              <w:rPr>
                <w:color w:val="000000" w:themeColor="text1"/>
              </w:rPr>
              <w:t>.</w:t>
            </w:r>
            <w:r>
              <w:rPr>
                <w:color w:val="000000" w:themeColor="text1"/>
              </w:rPr>
              <w:t>00</w:t>
            </w:r>
            <w:r w:rsidRPr="00C323A1">
              <w:rPr>
                <w:color w:val="000000" w:themeColor="text1"/>
              </w:rPr>
              <w:t xml:space="preserve"> hours awarded.</w:t>
            </w:r>
          </w:p>
          <w:p w:rsidR="0035606B" w:rsidP="009F78F3" w:rsidRDefault="0035606B" w14:paraId="4B45065F" w14:textId="77777777">
            <w:pPr>
              <w:tabs>
                <w:tab w:val="left" w:pos="1440"/>
              </w:tabs>
              <w:rPr>
                <w:u w:val="single"/>
              </w:rPr>
            </w:pPr>
          </w:p>
        </w:tc>
      </w:tr>
    </w:tbl>
    <w:p w:rsidR="005636FA" w:rsidP="005636FA" w:rsidRDefault="00A92D0B" w14:paraId="5CC63274" w14:textId="77777777">
      <w:pPr>
        <w:tabs>
          <w:tab w:val="left" w:pos="1260"/>
        </w:tabs>
        <w:spacing w:before="240"/>
        <w:jc w:val="center"/>
        <w:rPr>
          <w:b/>
          <w:color w:val="000000"/>
        </w:rPr>
      </w:pPr>
      <w:r w:rsidRPr="007F620E">
        <w:rPr>
          <w:b/>
          <w:color w:val="000000"/>
        </w:rPr>
        <w:t>PART IV</w:t>
      </w:r>
      <w:proofErr w:type="gramStart"/>
      <w:r w:rsidRPr="007F620E">
        <w:rPr>
          <w:b/>
          <w:color w:val="000000"/>
        </w:rPr>
        <w:t>:</w:t>
      </w:r>
      <w:r w:rsidR="00BD1A9A">
        <w:rPr>
          <w:b/>
          <w:color w:val="000000"/>
        </w:rPr>
        <w:t xml:space="preserve">  </w:t>
      </w:r>
      <w:r w:rsidRPr="007F620E">
        <w:rPr>
          <w:b/>
          <w:color w:val="000000"/>
        </w:rPr>
        <w:t>OPPOSITIONS</w:t>
      </w:r>
      <w:proofErr w:type="gramEnd"/>
      <w:r w:rsidRPr="007F620E">
        <w:rPr>
          <w:b/>
          <w:color w:val="000000"/>
        </w:rPr>
        <w:t xml:space="preserve"> AND COMMENTS</w:t>
      </w:r>
    </w:p>
    <w:p w:rsidRPr="007F620E" w:rsidR="00A92D0B" w:rsidP="005636FA" w:rsidRDefault="00A92D0B" w14:paraId="5D5DC317" w14:textId="31DBEAA9">
      <w:pPr>
        <w:tabs>
          <w:tab w:val="left" w:pos="1260"/>
        </w:tabs>
        <w:jc w:val="center"/>
        <w:rPr>
          <w:b/>
          <w:color w:val="000000"/>
        </w:rPr>
      </w:pPr>
      <w:r w:rsidRPr="007F620E">
        <w:rPr>
          <w:b/>
          <w:color w:val="000000"/>
        </w:rPr>
        <w:t>Within 30 days after service of this Claim, Commission Staff</w:t>
      </w:r>
      <w:r w:rsidR="00F20061">
        <w:rPr>
          <w:b/>
          <w:color w:val="000000"/>
        </w:rPr>
        <w:t xml:space="preserve"> </w:t>
      </w:r>
      <w:r w:rsidRPr="007F620E">
        <w:rPr>
          <w:b/>
          <w:color w:val="000000"/>
        </w:rPr>
        <w:t>or any other party may file a</w:t>
      </w:r>
      <w:r w:rsidR="008164ED">
        <w:rPr>
          <w:b/>
          <w:color w:val="000000"/>
        </w:rPr>
        <w:t xml:space="preserve"> </w:t>
      </w:r>
      <w:r w:rsidRPr="007F620E">
        <w:rPr>
          <w:b/>
          <w:color w:val="000000"/>
        </w:rPr>
        <w:t>response to the Claim (</w:t>
      </w:r>
      <w:r w:rsidRPr="007F620E">
        <w:rPr>
          <w:b/>
          <w:i/>
          <w:color w:val="000000"/>
        </w:rPr>
        <w:t>see</w:t>
      </w:r>
      <w:r w:rsidRPr="007F620E">
        <w:rPr>
          <w:b/>
          <w:color w:val="000000"/>
        </w:rPr>
        <w:t xml:space="preserve"> § 1804(c))</w:t>
      </w:r>
    </w:p>
    <w:p w:rsidRPr="007F620E" w:rsidR="00A92D0B" w:rsidRDefault="00A92D0B" w14:paraId="71122750" w14:textId="77777777">
      <w:pPr>
        <w:tabs>
          <w:tab w:val="left" w:pos="1260"/>
        </w:tabs>
        <w:spacing w:before="60"/>
        <w:ind w:left="1267" w:hanging="1267"/>
        <w:jc w:val="center"/>
        <w:rPr>
          <w:color w:val="000000"/>
        </w:rPr>
      </w:pP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488"/>
        <w:gridCol w:w="2070"/>
      </w:tblGrid>
      <w:tr w:rsidRPr="007F620E" w:rsidR="00A92D0B" w:rsidTr="003D359B" w14:paraId="46A51699" w14:textId="77777777">
        <w:tc>
          <w:tcPr>
            <w:tcW w:w="7488" w:type="dxa"/>
          </w:tcPr>
          <w:p w:rsidRPr="007F620E" w:rsidR="00A92D0B" w:rsidP="00A92D0B" w:rsidRDefault="00A92D0B" w14:paraId="607B1FB9" w14:textId="77777777">
            <w:pPr>
              <w:spacing w:after="240"/>
              <w:rPr>
                <w:color w:val="000000"/>
              </w:rPr>
            </w:pPr>
            <w:r w:rsidRPr="007F620E">
              <w:rPr>
                <w:b/>
                <w:color w:val="000000"/>
              </w:rPr>
              <w:t>A.  Opposition:  Did any party oppose the Claim?</w:t>
            </w:r>
          </w:p>
        </w:tc>
        <w:tc>
          <w:tcPr>
            <w:tcW w:w="2070" w:type="dxa"/>
          </w:tcPr>
          <w:p w:rsidRPr="007F620E" w:rsidR="00A92D0B" w:rsidP="00A92D0B" w:rsidRDefault="001B4461" w14:paraId="6E7CD931" w14:textId="091C79B6">
            <w:pPr>
              <w:spacing w:after="240"/>
              <w:rPr>
                <w:color w:val="000000"/>
              </w:rPr>
            </w:pPr>
            <w:r>
              <w:rPr>
                <w:color w:val="000000"/>
              </w:rPr>
              <w:t>No</w:t>
            </w:r>
          </w:p>
        </w:tc>
      </w:tr>
    </w:tbl>
    <w:p w:rsidRPr="007F620E" w:rsidR="00A92D0B" w:rsidP="001B4461" w:rsidRDefault="00A92D0B" w14:paraId="23420BFC" w14:textId="77777777">
      <w:pPr>
        <w:tabs>
          <w:tab w:val="left" w:pos="1260"/>
        </w:tabs>
        <w:spacing w:before="60"/>
        <w:rPr>
          <w:color w:val="000000"/>
        </w:rPr>
      </w:pP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488"/>
        <w:gridCol w:w="2070"/>
      </w:tblGrid>
      <w:tr w:rsidRPr="007F620E" w:rsidR="00A92D0B" w:rsidTr="003D359B" w14:paraId="7A0D8740" w14:textId="77777777">
        <w:tc>
          <w:tcPr>
            <w:tcW w:w="7488" w:type="dxa"/>
          </w:tcPr>
          <w:p w:rsidRPr="007F620E" w:rsidR="00A92D0B" w:rsidP="00DE3A5D" w:rsidRDefault="00A92D0B" w14:paraId="37D28D8D" w14:textId="77777777">
            <w:pPr>
              <w:keepNext/>
              <w:keepLines/>
              <w:spacing w:after="240"/>
              <w:rPr>
                <w:color w:val="000000"/>
              </w:rPr>
            </w:pPr>
            <w:r w:rsidRPr="007F620E">
              <w:rPr>
                <w:b/>
                <w:color w:val="000000"/>
              </w:rPr>
              <w:t>B.  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Pr="007F620E">
              <w:rPr>
                <w:b/>
                <w:color w:val="000000"/>
              </w:rPr>
              <w:t xml:space="preserve"> Rule 14.6(</w:t>
            </w:r>
            <w:r w:rsidRPr="007F620E" w:rsidR="00963EEF">
              <w:rPr>
                <w:b/>
                <w:color w:val="000000"/>
              </w:rPr>
              <w:t>c</w:t>
            </w:r>
            <w:r w:rsidRPr="007F620E">
              <w:rPr>
                <w:b/>
                <w:color w:val="000000"/>
              </w:rPr>
              <w:t>)(6))?</w:t>
            </w:r>
          </w:p>
        </w:tc>
        <w:tc>
          <w:tcPr>
            <w:tcW w:w="2070" w:type="dxa"/>
          </w:tcPr>
          <w:p w:rsidRPr="007F620E" w:rsidR="00A92D0B" w:rsidP="00DE3A5D" w:rsidRDefault="001B4461" w14:paraId="238D2D3F" w14:textId="23E1082A">
            <w:pPr>
              <w:keepNext/>
              <w:keepLines/>
              <w:spacing w:after="240"/>
              <w:rPr>
                <w:color w:val="000000"/>
              </w:rPr>
            </w:pPr>
            <w:r>
              <w:rPr>
                <w:color w:val="000000"/>
              </w:rPr>
              <w:t>Yes</w:t>
            </w:r>
          </w:p>
        </w:tc>
      </w:tr>
    </w:tbl>
    <w:p w:rsidR="00FE3BAE" w:rsidP="00004E34" w:rsidRDefault="00FE3BAE" w14:paraId="42B16330" w14:textId="77777777">
      <w:pPr>
        <w:rPr>
          <w:b/>
          <w:color w:val="000000"/>
          <w:u w:val="single"/>
        </w:rPr>
      </w:pPr>
    </w:p>
    <w:p w:rsidRPr="007F620E" w:rsidR="003D359B" w:rsidRDefault="003D359B" w14:paraId="2A36EEA6" w14:textId="77777777">
      <w:pPr>
        <w:jc w:val="center"/>
        <w:rPr>
          <w:b/>
          <w:color w:val="000000"/>
          <w:u w:val="single"/>
        </w:rPr>
      </w:pPr>
    </w:p>
    <w:p w:rsidRPr="007F620E" w:rsidR="00A92D0B" w:rsidRDefault="00A92D0B" w14:paraId="186E115A" w14:textId="77777777">
      <w:pPr>
        <w:jc w:val="center"/>
        <w:rPr>
          <w:b/>
          <w:color w:val="000000"/>
          <w:u w:val="single"/>
        </w:rPr>
      </w:pPr>
      <w:r w:rsidRPr="007F620E">
        <w:rPr>
          <w:b/>
          <w:color w:val="000000"/>
          <w:u w:val="single"/>
        </w:rPr>
        <w:t>FINDINGS OF FACT</w:t>
      </w:r>
    </w:p>
    <w:p w:rsidRPr="007F620E" w:rsidR="00A92D0B" w:rsidRDefault="00A92D0B" w14:paraId="519C6244" w14:textId="77777777">
      <w:pPr>
        <w:rPr>
          <w:color w:val="000000"/>
        </w:rPr>
      </w:pPr>
    </w:p>
    <w:p w:rsidRPr="007F620E" w:rsidR="00A92D0B" w:rsidRDefault="0026068C" w14:paraId="7772A9DC" w14:textId="6581974D">
      <w:pPr>
        <w:numPr>
          <w:ilvl w:val="0"/>
          <w:numId w:val="3"/>
        </w:numPr>
        <w:tabs>
          <w:tab w:val="clear" w:pos="900"/>
          <w:tab w:val="num" w:pos="540"/>
        </w:tabs>
        <w:ind w:left="540" w:hanging="540"/>
      </w:pPr>
      <w:r>
        <w:t>The Utility Reform Network</w:t>
      </w:r>
      <w:r w:rsidRPr="007F620E">
        <w:t xml:space="preserve"> </w:t>
      </w:r>
      <w:r w:rsidRPr="007F620E" w:rsidR="00A92D0B">
        <w:t>has</w:t>
      </w:r>
      <w:r w:rsidR="001B4461">
        <w:t xml:space="preserve"> </w:t>
      </w:r>
      <w:r w:rsidRPr="007F620E" w:rsidR="00A92D0B">
        <w:t>made a substantia</w:t>
      </w:r>
      <w:r w:rsidRPr="007F620E" w:rsidR="00DE3A5D">
        <w:t xml:space="preserve">l contribution to </w:t>
      </w:r>
      <w:r w:rsidRPr="00163EC6" w:rsidR="00A54B87">
        <w:rPr>
          <w:bCs/>
          <w:color w:val="000000"/>
        </w:rPr>
        <w:t>D.</w:t>
      </w:r>
      <w:r w:rsidR="004026B7">
        <w:rPr>
          <w:bCs/>
          <w:color w:val="000000"/>
        </w:rPr>
        <w:t>2</w:t>
      </w:r>
      <w:r w:rsidR="00F7555C">
        <w:rPr>
          <w:bCs/>
          <w:color w:val="000000"/>
        </w:rPr>
        <w:t>5</w:t>
      </w:r>
      <w:r w:rsidR="004026B7">
        <w:rPr>
          <w:bCs/>
          <w:color w:val="000000"/>
        </w:rPr>
        <w:t>-</w:t>
      </w:r>
      <w:r w:rsidR="00F7555C">
        <w:rPr>
          <w:bCs/>
          <w:color w:val="000000"/>
        </w:rPr>
        <w:t>06</w:t>
      </w:r>
      <w:r w:rsidR="004026B7">
        <w:rPr>
          <w:bCs/>
          <w:color w:val="000000"/>
        </w:rPr>
        <w:t>-0</w:t>
      </w:r>
      <w:r w:rsidR="00F7555C">
        <w:rPr>
          <w:bCs/>
          <w:color w:val="000000"/>
        </w:rPr>
        <w:t>02</w:t>
      </w:r>
      <w:r w:rsidR="004026B7">
        <w:rPr>
          <w:bCs/>
          <w:color w:val="000000"/>
        </w:rPr>
        <w:t>.</w:t>
      </w:r>
    </w:p>
    <w:p w:rsidRPr="007F620E" w:rsidR="00A92D0B" w:rsidRDefault="00A92D0B" w14:paraId="04EB50FD" w14:textId="3C05E3DE">
      <w:pPr>
        <w:numPr>
          <w:ilvl w:val="0"/>
          <w:numId w:val="3"/>
        </w:numPr>
        <w:tabs>
          <w:tab w:val="clear" w:pos="900"/>
          <w:tab w:val="num" w:pos="540"/>
        </w:tabs>
        <w:spacing w:before="240"/>
        <w:ind w:left="547" w:hanging="547"/>
      </w:pPr>
      <w:r w:rsidRPr="007F620E">
        <w:t>The requested hourly rates for</w:t>
      </w:r>
      <w:r w:rsidR="003B6A1B">
        <w:t xml:space="preserve"> </w:t>
      </w:r>
      <w:r w:rsidR="0026068C">
        <w:t>The Utility Reform Network</w:t>
      </w:r>
      <w:r w:rsidRPr="007F620E" w:rsidR="005A63D4">
        <w:t xml:space="preserve">’s </w:t>
      </w:r>
      <w:r w:rsidRPr="007F620E">
        <w:t>representatives,</w:t>
      </w:r>
      <w:r w:rsidR="003B5EAC">
        <w:t xml:space="preserve"> </w:t>
      </w:r>
      <w:r w:rsidRPr="007F620E">
        <w:t>as adjusted herein,</w:t>
      </w:r>
      <w:r w:rsidR="001B4461">
        <w:t xml:space="preserve"> </w:t>
      </w:r>
      <w:r w:rsidRPr="007F620E">
        <w:t>are comparable to market rates paid to experts and advocates having comparable training and experience and offering similar services.</w:t>
      </w:r>
    </w:p>
    <w:p w:rsidRPr="007F620E" w:rsidR="00A92D0B" w:rsidRDefault="00A92D0B" w14:paraId="528EBB52" w14:textId="198BE017">
      <w:pPr>
        <w:numPr>
          <w:ilvl w:val="0"/>
          <w:numId w:val="3"/>
        </w:numPr>
        <w:tabs>
          <w:tab w:val="clear" w:pos="900"/>
          <w:tab w:val="num" w:pos="540"/>
        </w:tabs>
        <w:spacing w:before="240"/>
        <w:ind w:left="547" w:hanging="547"/>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0E556B93">
      <w:pPr>
        <w:numPr>
          <w:ilvl w:val="0"/>
          <w:numId w:val="3"/>
        </w:numPr>
        <w:tabs>
          <w:tab w:val="clear" w:pos="900"/>
          <w:tab w:val="num" w:pos="540"/>
        </w:tabs>
        <w:spacing w:before="240"/>
        <w:ind w:left="547" w:hanging="547"/>
      </w:pPr>
      <w:r w:rsidRPr="007F620E">
        <w:t xml:space="preserve">The total of reasonable </w:t>
      </w:r>
      <w:r w:rsidRPr="007F620E" w:rsidR="003C608A">
        <w:t xml:space="preserve">compensation </w:t>
      </w:r>
      <w:r w:rsidRPr="007F620E">
        <w:t xml:space="preserve">is </w:t>
      </w:r>
      <w:r w:rsidRPr="001B4461" w:rsidR="001B4461">
        <w:rPr>
          <w:bCs/>
          <w:iCs/>
          <w:color w:val="000000"/>
        </w:rPr>
        <w:t>$</w:t>
      </w:r>
      <w:r w:rsidRPr="005C6AC0" w:rsidR="005C6AC0">
        <w:rPr>
          <w:bCs/>
          <w:iCs/>
          <w:color w:val="000000"/>
        </w:rPr>
        <w:t>54,093.75</w:t>
      </w:r>
      <w:r w:rsidRPr="007F620E">
        <w:t>.</w:t>
      </w:r>
    </w:p>
    <w:p w:rsidRPr="007F620E" w:rsidR="001962EB" w:rsidRDefault="001962EB" w14:paraId="68E2B644" w14:textId="77777777">
      <w:pPr>
        <w:spacing w:before="120"/>
        <w:rPr>
          <w:color w:val="000000"/>
        </w:rPr>
      </w:pPr>
    </w:p>
    <w:p w:rsidRPr="007F620E" w:rsidR="00A92D0B" w:rsidRDefault="00A92D0B" w14:paraId="5C773C3F" w14:textId="77777777">
      <w:pPr>
        <w:jc w:val="center"/>
        <w:rPr>
          <w:b/>
          <w:color w:val="000000"/>
          <w:u w:val="single"/>
        </w:rPr>
      </w:pPr>
      <w:r w:rsidRPr="007F620E">
        <w:rPr>
          <w:b/>
          <w:color w:val="000000"/>
          <w:u w:val="single"/>
        </w:rPr>
        <w:t>CONCLUSION OF LAW</w:t>
      </w:r>
    </w:p>
    <w:p w:rsidRPr="007F620E" w:rsidR="00A92D0B" w:rsidRDefault="00A92D0B" w14:paraId="654F2C27" w14:textId="0BC34B2F">
      <w:pPr>
        <w:numPr>
          <w:ilvl w:val="0"/>
          <w:numId w:val="6"/>
        </w:numPr>
        <w:tabs>
          <w:tab w:val="num" w:pos="360"/>
        </w:tabs>
        <w:spacing w:before="240"/>
        <w:ind w:left="360"/>
        <w:rPr>
          <w:color w:val="000000"/>
        </w:rPr>
      </w:pPr>
      <w:r w:rsidRPr="007F620E">
        <w:rPr>
          <w:color w:val="000000"/>
        </w:rPr>
        <w:t>The Claim, with any adjustment set forth above, satisfies</w:t>
      </w:r>
      <w:r w:rsidR="001B4461">
        <w:rPr>
          <w:color w:val="000000"/>
        </w:rPr>
        <w:t xml:space="preserve"> </w:t>
      </w:r>
      <w:r w:rsidRPr="007F620E" w:rsidR="00DE3A5D">
        <w:rPr>
          <w:color w:val="000000"/>
        </w:rPr>
        <w:t>all requirements of Pub. Util.</w:t>
      </w:r>
      <w:r w:rsidRPr="007F620E">
        <w:rPr>
          <w:color w:val="000000"/>
        </w:rPr>
        <w:t xml:space="preserve"> Code §§ 1801-1812.</w:t>
      </w:r>
    </w:p>
    <w:p w:rsidRPr="007F620E" w:rsidR="001962EB" w:rsidRDefault="001962EB" w14:paraId="295DCA42" w14:textId="77777777">
      <w:pPr>
        <w:jc w:val="center"/>
        <w:rPr>
          <w:b/>
          <w:color w:val="000000"/>
          <w:u w:val="single"/>
        </w:rPr>
      </w:pPr>
    </w:p>
    <w:p w:rsidRPr="007F620E" w:rsidR="00A92D0B" w:rsidRDefault="00A92D0B" w14:paraId="0E2503A5" w14:textId="77777777">
      <w:pPr>
        <w:jc w:val="center"/>
        <w:rPr>
          <w:b/>
          <w:color w:val="000000"/>
          <w:u w:val="single"/>
        </w:rPr>
      </w:pPr>
      <w:r w:rsidRPr="007F620E">
        <w:rPr>
          <w:b/>
          <w:color w:val="000000"/>
          <w:u w:val="single"/>
        </w:rPr>
        <w:t>ORDER</w:t>
      </w:r>
    </w:p>
    <w:p w:rsidRPr="007F620E" w:rsidR="00A92D0B" w:rsidRDefault="00A92D0B" w14:paraId="3D09973A" w14:textId="77777777">
      <w:pPr>
        <w:jc w:val="center"/>
        <w:rPr>
          <w:b/>
          <w:color w:val="000000"/>
          <w:u w:val="single"/>
        </w:rPr>
      </w:pPr>
    </w:p>
    <w:p w:rsidRPr="007F620E" w:rsidR="00A92D0B" w:rsidRDefault="00004E34" w14:paraId="33FB4E15" w14:textId="3B4BCAAC">
      <w:pPr>
        <w:numPr>
          <w:ilvl w:val="0"/>
          <w:numId w:val="4"/>
        </w:numPr>
        <w:tabs>
          <w:tab w:val="clear" w:pos="900"/>
          <w:tab w:val="num" w:pos="540"/>
        </w:tabs>
        <w:ind w:left="540" w:hanging="540"/>
        <w:rPr>
          <w:color w:val="000000"/>
        </w:rPr>
      </w:pPr>
      <w:r>
        <w:t>The Utility Reform Network</w:t>
      </w:r>
      <w:r w:rsidRPr="00FE3BAE">
        <w:t xml:space="preserve"> </w:t>
      </w:r>
      <w:r w:rsidR="006D133C">
        <w:t>is</w:t>
      </w:r>
      <w:r w:rsidRPr="00FE3BAE" w:rsidR="00A92D0B">
        <w:rPr>
          <w:color w:val="000000"/>
        </w:rPr>
        <w:t xml:space="preserve"> awarded </w:t>
      </w:r>
      <w:r w:rsidRPr="007F620E" w:rsidR="00A92D0B">
        <w:rPr>
          <w:color w:val="000000"/>
        </w:rPr>
        <w:t>$</w:t>
      </w:r>
      <w:r w:rsidRPr="005C6AC0" w:rsidR="005C6AC0">
        <w:rPr>
          <w:bCs/>
          <w:iCs/>
          <w:color w:val="000000"/>
        </w:rPr>
        <w:t>54,093.75</w:t>
      </w:r>
      <w:r w:rsidRPr="007F620E" w:rsidR="00A92D0B">
        <w:rPr>
          <w:color w:val="000000"/>
        </w:rPr>
        <w:t>.</w:t>
      </w:r>
    </w:p>
    <w:p w:rsidR="00A92D0B" w:rsidRDefault="00A92D0B" w14:paraId="4AEF5671" w14:textId="57B388FC">
      <w:pPr>
        <w:numPr>
          <w:ilvl w:val="0"/>
          <w:numId w:val="4"/>
        </w:numPr>
        <w:tabs>
          <w:tab w:val="clear" w:pos="900"/>
          <w:tab w:val="num" w:pos="540"/>
        </w:tabs>
        <w:spacing w:before="240"/>
        <w:ind w:left="547" w:hanging="547"/>
      </w:pPr>
      <w:r w:rsidRPr="007F620E">
        <w:t xml:space="preserve">Within 30 days of the effective date </w:t>
      </w:r>
      <w:r w:rsidRPr="0026068C">
        <w:t xml:space="preserve">of this decision, </w:t>
      </w:r>
      <w:r w:rsidR="00004E34">
        <w:t xml:space="preserve">Pacific Gas and Electric Company </w:t>
      </w:r>
      <w:proofErr w:type="gramStart"/>
      <w:r w:rsidRPr="0026068C">
        <w:t>shall</w:t>
      </w:r>
      <w:proofErr w:type="gramEnd"/>
      <w:r w:rsidRPr="0026068C">
        <w:t xml:space="preserve"> pay </w:t>
      </w:r>
      <w:r w:rsidR="0026068C">
        <w:t xml:space="preserve">The Utility Reform Network </w:t>
      </w:r>
      <w:r w:rsidRPr="007F620E">
        <w:t>total award.</w:t>
      </w:r>
      <w:r w:rsidR="00004E34">
        <w:t xml:space="preserve"> </w:t>
      </w:r>
      <w:r w:rsidRPr="007F620E">
        <w:t>Payment of the award shall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004E34">
        <w:t>October 29, 2025</w:t>
      </w:r>
      <w:r w:rsidRPr="007F620E" w:rsidR="00357F1A">
        <w:t xml:space="preserve">, </w:t>
      </w:r>
      <w:r w:rsidRPr="007F620E">
        <w:t>the 75</w:t>
      </w:r>
      <w:r w:rsidRPr="007F620E">
        <w:rPr>
          <w:vertAlign w:val="superscript"/>
        </w:rPr>
        <w:t>th</w:t>
      </w:r>
      <w:r w:rsidRPr="007F620E">
        <w:t xml:space="preserve"> day after the filing of </w:t>
      </w:r>
      <w:bookmarkStart w:name="_Hlk210045329" w:id="0"/>
      <w:r w:rsidR="0026068C">
        <w:t>The Utility Reform Network</w:t>
      </w:r>
      <w:bookmarkEnd w:id="0"/>
      <w:r w:rsidRPr="003B6A1B" w:rsidR="00FE3BAE">
        <w:t>’s</w:t>
      </w:r>
      <w:r w:rsidRPr="003B6A1B" w:rsidR="00FE3BAE">
        <w:rPr>
          <w:b/>
        </w:rPr>
        <w:t xml:space="preserve"> </w:t>
      </w:r>
      <w:r w:rsidRPr="007F620E">
        <w:t>request, and continuing until full payment is made.</w:t>
      </w:r>
    </w:p>
    <w:p w:rsidR="00A92D0B" w:rsidP="00DE3A5D" w:rsidRDefault="00A92D0B" w14:paraId="5AD40C95" w14:textId="6665AACF">
      <w:pPr>
        <w:keepNext/>
        <w:keepLines/>
        <w:numPr>
          <w:ilvl w:val="0"/>
          <w:numId w:val="4"/>
        </w:numPr>
        <w:tabs>
          <w:tab w:val="clear" w:pos="900"/>
          <w:tab w:val="num" w:pos="540"/>
        </w:tabs>
        <w:spacing w:before="240"/>
        <w:ind w:left="547" w:hanging="547"/>
      </w:pPr>
      <w:r w:rsidRPr="007F620E">
        <w:t>The comment period for today’s decision is</w:t>
      </w:r>
      <w:r w:rsidR="001B4461">
        <w:t xml:space="preserve"> </w:t>
      </w:r>
      <w:r w:rsidRPr="007F620E">
        <w:t>waived.</w:t>
      </w:r>
    </w:p>
    <w:p w:rsidRPr="007F620E" w:rsidR="001D6A21" w:rsidP="001D6A21" w:rsidRDefault="00352C6D" w14:paraId="122A02E0" w14:textId="0F378596">
      <w:pPr>
        <w:keepNext/>
        <w:keepLines/>
        <w:numPr>
          <w:ilvl w:val="0"/>
          <w:numId w:val="4"/>
        </w:numPr>
        <w:tabs>
          <w:tab w:val="clear" w:pos="900"/>
          <w:tab w:val="num" w:pos="540"/>
        </w:tabs>
        <w:spacing w:before="240"/>
        <w:ind w:left="547" w:hanging="547"/>
      </w:pPr>
      <w:r>
        <w:t>T</w:t>
      </w:r>
      <w:r w:rsidR="00072EFF">
        <w:t xml:space="preserve">his decision is </w:t>
      </w:r>
      <w:r w:rsidR="00860BC4">
        <w:t>e</w:t>
      </w:r>
      <w:r w:rsidR="00072EFF">
        <w:t>ffective today</w:t>
      </w:r>
      <w:r w:rsidR="001D6A21">
        <w:t>.</w:t>
      </w:r>
    </w:p>
    <w:p w:rsidRPr="007F620E" w:rsidR="00A92D0B" w:rsidP="00004E34" w:rsidRDefault="00A92D0B" w14:paraId="0467B995" w14:textId="352464C3">
      <w:pPr>
        <w:keepNext/>
        <w:keepLines/>
        <w:spacing w:before="240"/>
        <w:ind w:firstLine="547"/>
        <w:rPr>
          <w:color w:val="000000"/>
        </w:rPr>
      </w:pPr>
      <w:r w:rsidRPr="007F620E">
        <w:rPr>
          <w:color w:val="000000"/>
        </w:rPr>
        <w:t xml:space="preserve">Dated </w:t>
      </w:r>
      <w:r w:rsidR="009051C1">
        <w:rPr>
          <w:color w:val="000000"/>
        </w:rPr>
        <w:t>February 5, 2026</w:t>
      </w:r>
      <w:r w:rsidRPr="007F620E">
        <w:rPr>
          <w:color w:val="000000"/>
        </w:rPr>
        <w:t xml:space="preserve">, </w:t>
      </w:r>
      <w:proofErr w:type="gramStart"/>
      <w:r w:rsidRPr="007F620E">
        <w:rPr>
          <w:color w:val="000000"/>
        </w:rPr>
        <w:t>at</w:t>
      </w:r>
      <w:proofErr w:type="gramEnd"/>
      <w:r w:rsidRPr="007F620E">
        <w:rPr>
          <w:color w:val="000000"/>
        </w:rPr>
        <w:t xml:space="preserve"> </w:t>
      </w:r>
      <w:r w:rsidR="000033ED">
        <w:rPr>
          <w:color w:val="000000"/>
        </w:rPr>
        <w:t>Sacramento</w:t>
      </w:r>
      <w:r w:rsidRPr="007F620E">
        <w:rPr>
          <w:color w:val="000000"/>
        </w:rPr>
        <w:t>, California.</w:t>
      </w:r>
    </w:p>
    <w:p w:rsidR="00A92D0B" w:rsidRDefault="00A92D0B" w14:paraId="1A474D77" w14:textId="77777777"/>
    <w:p w:rsidR="00B37594" w:rsidP="00B37594" w:rsidRDefault="00B37594" w14:paraId="26B1AF67" w14:textId="77777777">
      <w:pPr>
        <w:keepNext/>
        <w:keepLines/>
        <w:autoSpaceDE w:val="0"/>
        <w:autoSpaceDN w:val="0"/>
        <w:adjustRightInd w:val="0"/>
        <w:ind w:left="3510"/>
        <w:jc w:val="both"/>
        <w:rPr>
          <w:rFonts w:ascii="Book Antiqua" w:hAnsi="Book Antiqua"/>
          <w:sz w:val="26"/>
          <w:szCs w:val="20"/>
        </w:rPr>
      </w:pPr>
    </w:p>
    <w:p w:rsidR="00706E8D" w:rsidP="00706E8D" w:rsidRDefault="00B37594" w14:paraId="7A6DC363" w14:textId="77777777">
      <w:pPr>
        <w:keepNext/>
        <w:keepLines/>
        <w:autoSpaceDE w:val="0"/>
        <w:autoSpaceDN w:val="0"/>
        <w:adjustRightInd w:val="0"/>
        <w:ind w:left="3510"/>
        <w:jc w:val="both"/>
      </w:pPr>
      <w:r w:rsidRPr="00706E8D">
        <w:t>ALICE REYNOLD</w:t>
      </w:r>
    </w:p>
    <w:p w:rsidRPr="00706E8D" w:rsidR="00B37594" w:rsidP="00706E8D" w:rsidRDefault="00B37594" w14:paraId="4425ACF9" w14:textId="38EE80D7">
      <w:pPr>
        <w:keepNext/>
        <w:keepLines/>
        <w:autoSpaceDE w:val="0"/>
        <w:autoSpaceDN w:val="0"/>
        <w:adjustRightInd w:val="0"/>
        <w:ind w:left="4230" w:firstLine="90"/>
        <w:jc w:val="both"/>
      </w:pPr>
      <w:r w:rsidRPr="00706E8D">
        <w:t>President</w:t>
      </w:r>
    </w:p>
    <w:p w:rsidRPr="00706E8D" w:rsidR="00B37594" w:rsidP="00B37594" w:rsidRDefault="00B37594" w14:paraId="7469A552" w14:textId="77777777">
      <w:pPr>
        <w:autoSpaceDE w:val="0"/>
        <w:autoSpaceDN w:val="0"/>
        <w:adjustRightInd w:val="0"/>
        <w:ind w:left="3510"/>
        <w:jc w:val="both"/>
      </w:pPr>
      <w:r w:rsidRPr="00706E8D">
        <w:t>DARCIE L. HOUCK</w:t>
      </w:r>
    </w:p>
    <w:p w:rsidRPr="00706E8D" w:rsidR="00B37594" w:rsidP="00B37594" w:rsidRDefault="00B37594" w14:paraId="13F824F7" w14:textId="77777777">
      <w:pPr>
        <w:autoSpaceDE w:val="0"/>
        <w:autoSpaceDN w:val="0"/>
        <w:adjustRightInd w:val="0"/>
        <w:ind w:left="3510"/>
        <w:jc w:val="both"/>
      </w:pPr>
      <w:r w:rsidRPr="00706E8D">
        <w:t>JOHN REYNOLDS</w:t>
      </w:r>
    </w:p>
    <w:p w:rsidRPr="00706E8D" w:rsidR="00B37594" w:rsidP="00B37594" w:rsidRDefault="00B37594" w14:paraId="31AEDA0B" w14:textId="77777777">
      <w:pPr>
        <w:autoSpaceDE w:val="0"/>
        <w:autoSpaceDN w:val="0"/>
        <w:adjustRightInd w:val="0"/>
        <w:ind w:left="3510"/>
        <w:jc w:val="both"/>
        <w:rPr>
          <w:color w:val="000000"/>
        </w:rPr>
      </w:pPr>
      <w:r w:rsidRPr="00706E8D">
        <w:rPr>
          <w:color w:val="000000"/>
        </w:rPr>
        <w:t>KAREN DOUGLAS</w:t>
      </w:r>
    </w:p>
    <w:p w:rsidRPr="00706E8D" w:rsidR="00B37594" w:rsidP="00B37594" w:rsidRDefault="00B37594" w14:paraId="1BEFA852" w14:textId="6FC24626">
      <w:pPr>
        <w:keepNext/>
        <w:keepLines/>
        <w:autoSpaceDE w:val="0"/>
        <w:autoSpaceDN w:val="0"/>
        <w:adjustRightInd w:val="0"/>
        <w:ind w:left="3510"/>
        <w:jc w:val="both"/>
      </w:pPr>
      <w:r w:rsidRPr="00706E8D">
        <w:t xml:space="preserve">           </w:t>
      </w:r>
      <w:r w:rsidR="00706E8D">
        <w:t xml:space="preserve">  </w:t>
      </w:r>
      <w:r w:rsidRPr="00706E8D">
        <w:t xml:space="preserve"> Commissioners</w:t>
      </w:r>
    </w:p>
    <w:p w:rsidRPr="00706E8D" w:rsidR="00B37594" w:rsidP="00B37594" w:rsidRDefault="00B37594" w14:paraId="541920D6" w14:textId="77777777">
      <w:pPr>
        <w:pStyle w:val="standard"/>
        <w:keepNext/>
        <w:keepLines/>
        <w:ind w:left="3510" w:firstLine="0"/>
        <w:rPr>
          <w:rFonts w:ascii="Times New Roman" w:hAnsi="Times New Roman"/>
          <w:sz w:val="24"/>
          <w:szCs w:val="24"/>
        </w:rPr>
      </w:pPr>
    </w:p>
    <w:p w:rsidRPr="00706E8D" w:rsidR="009051C1" w:rsidP="00B37594" w:rsidRDefault="00B37594" w14:paraId="67999FE3" w14:textId="630DA3C8">
      <w:pPr>
        <w:ind w:left="3510"/>
      </w:pPr>
      <w:r w:rsidRPr="00706E8D">
        <w:t>Commissioner Matthew Baker recused himself from this agenda item and was not part of the quorum in its consideration.</w:t>
      </w:r>
    </w:p>
    <w:p w:rsidR="00FE3BAE" w:rsidP="00FE3BAE" w:rsidRDefault="00FE3BAE" w14:paraId="1EBE0041" w14:textId="65AB0804">
      <w:r>
        <w:br w:type="page"/>
      </w:r>
    </w:p>
    <w:p w:rsidR="00FE3BAE" w:rsidP="00FE3BAE" w:rsidRDefault="00FE3BAE" w14:paraId="7A1C7043" w14:textId="77777777">
      <w:pPr>
        <w:pStyle w:val="standard"/>
        <w:ind w:firstLine="0"/>
        <w:jc w:val="center"/>
        <w:rPr>
          <w:rFonts w:ascii="Helvetica" w:hAnsi="Helvetica"/>
          <w:b/>
          <w:szCs w:val="26"/>
        </w:rPr>
      </w:pPr>
      <w:r>
        <w:rPr>
          <w:rFonts w:ascii="Helvetica" w:hAnsi="Helvetica"/>
          <w:b/>
          <w:szCs w:val="26"/>
        </w:rPr>
        <w:lastRenderedPageBreak/>
        <w:t>APPENDIX</w:t>
      </w:r>
    </w:p>
    <w:p w:rsidR="00FE3BAE" w:rsidP="00FE3BAE" w:rsidRDefault="00FE3BAE" w14:paraId="300BB274" w14:textId="77777777">
      <w:pPr>
        <w:pStyle w:val="standard"/>
        <w:jc w:val="center"/>
      </w:pPr>
      <w:r>
        <w:rPr>
          <w:sz w:val="28"/>
          <w:szCs w:val="28"/>
        </w:rPr>
        <w:t>Compensation Decision Summary Information</w:t>
      </w:r>
    </w:p>
    <w:tbl>
      <w:tblPr>
        <w:tblW w:w="1035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0"/>
        <w:gridCol w:w="3735"/>
        <w:gridCol w:w="2475"/>
        <w:gridCol w:w="1260"/>
      </w:tblGrid>
      <w:tr w:rsidR="00FE3BAE" w:rsidTr="007E017A" w14:paraId="062C592A" w14:textId="77777777">
        <w:trPr>
          <w:trHeight w:val="288"/>
        </w:trPr>
        <w:tc>
          <w:tcPr>
            <w:tcW w:w="2880" w:type="dxa"/>
            <w:tcBorders>
              <w:top w:val="single" w:color="auto" w:sz="4" w:space="0"/>
              <w:left w:val="single" w:color="auto" w:sz="4" w:space="0"/>
              <w:bottom w:val="single" w:color="auto" w:sz="4" w:space="0"/>
              <w:right w:val="single" w:color="auto" w:sz="4" w:space="0"/>
            </w:tcBorders>
            <w:hideMark/>
          </w:tcPr>
          <w:p w:rsidR="00FE3BAE" w:rsidP="007E017A" w:rsidRDefault="00FE3BAE" w14:paraId="4BC9C636" w14:textId="77777777">
            <w:r>
              <w:t>Compensation Decision:</w:t>
            </w:r>
          </w:p>
        </w:tc>
        <w:tc>
          <w:tcPr>
            <w:tcW w:w="3735" w:type="dxa"/>
            <w:tcBorders>
              <w:top w:val="single" w:color="auto" w:sz="4" w:space="0"/>
              <w:left w:val="single" w:color="auto" w:sz="4" w:space="0"/>
              <w:bottom w:val="single" w:color="auto" w:sz="4" w:space="0"/>
              <w:right w:val="single" w:color="auto" w:sz="4" w:space="0"/>
            </w:tcBorders>
          </w:tcPr>
          <w:p w:rsidR="00FE3BAE" w:rsidP="007E017A" w:rsidRDefault="009051C1" w14:paraId="16C5D6B1" w14:textId="69CF58B0">
            <w:r>
              <w:t>D2602022</w:t>
            </w:r>
          </w:p>
        </w:tc>
        <w:tc>
          <w:tcPr>
            <w:tcW w:w="2475" w:type="dxa"/>
            <w:tcBorders>
              <w:top w:val="single" w:color="auto" w:sz="4" w:space="0"/>
              <w:left w:val="single" w:color="auto" w:sz="4" w:space="0"/>
              <w:bottom w:val="single" w:color="auto" w:sz="4" w:space="0"/>
              <w:right w:val="single" w:color="auto" w:sz="4" w:space="0"/>
            </w:tcBorders>
            <w:hideMark/>
          </w:tcPr>
          <w:p w:rsidR="00FE3BAE" w:rsidP="007E017A" w:rsidRDefault="00FE3BAE" w14:paraId="3ECA0C4F" w14:textId="77777777">
            <w: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00FE3BAE" w:rsidP="007E017A" w:rsidRDefault="003C3D0B" w14:paraId="6846FB87" w14:textId="0D9BD724">
            <w:pPr>
              <w:jc w:val="center"/>
            </w:pPr>
            <w:r>
              <w:t>No</w:t>
            </w:r>
          </w:p>
        </w:tc>
      </w:tr>
      <w:tr w:rsidR="00FE3BAE" w:rsidTr="00004E34" w14:paraId="3E0218AD" w14:textId="77777777">
        <w:trPr>
          <w:trHeight w:val="288"/>
        </w:trPr>
        <w:tc>
          <w:tcPr>
            <w:tcW w:w="2880" w:type="dxa"/>
            <w:tcBorders>
              <w:top w:val="single" w:color="auto" w:sz="4" w:space="0"/>
              <w:left w:val="single" w:color="auto" w:sz="4" w:space="0"/>
              <w:bottom w:val="single" w:color="auto" w:sz="4" w:space="0"/>
              <w:right w:val="single" w:color="auto" w:sz="4" w:space="0"/>
            </w:tcBorders>
            <w:hideMark/>
          </w:tcPr>
          <w:p w:rsidR="00FE3BAE" w:rsidP="007E017A" w:rsidRDefault="00FE3BAE" w14:paraId="6E65620B" w14:textId="77777777">
            <w: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163EC6" w:rsidR="00FE3BAE" w:rsidP="007E017A" w:rsidRDefault="00163EC6" w14:paraId="426F2C45" w14:textId="1DDD7DFA">
            <w:pPr>
              <w:rPr>
                <w:bCs/>
              </w:rPr>
            </w:pPr>
            <w:r w:rsidRPr="00163EC6">
              <w:rPr>
                <w:bCs/>
                <w:color w:val="000000"/>
              </w:rPr>
              <w:t>D</w:t>
            </w:r>
            <w:r w:rsidR="00C3712A">
              <w:rPr>
                <w:bCs/>
                <w:color w:val="000000"/>
              </w:rPr>
              <w:t>2506002</w:t>
            </w:r>
          </w:p>
        </w:tc>
      </w:tr>
      <w:tr w:rsidR="00FE3BAE" w:rsidTr="00004E34" w14:paraId="2808C576" w14:textId="77777777">
        <w:trPr>
          <w:trHeight w:val="288"/>
        </w:trPr>
        <w:tc>
          <w:tcPr>
            <w:tcW w:w="2880" w:type="dxa"/>
            <w:tcBorders>
              <w:top w:val="single" w:color="auto" w:sz="4" w:space="0"/>
              <w:left w:val="single" w:color="auto" w:sz="4" w:space="0"/>
              <w:bottom w:val="single" w:color="auto" w:sz="4" w:space="0"/>
              <w:right w:val="single" w:color="auto" w:sz="4" w:space="0"/>
            </w:tcBorders>
            <w:hideMark/>
          </w:tcPr>
          <w:p w:rsidR="00FE3BAE" w:rsidP="007E017A" w:rsidRDefault="00FE3BAE" w14:paraId="717974DE" w14:textId="77777777">
            <w: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00FE3BAE" w:rsidP="007E017A" w:rsidRDefault="003E23D7" w14:paraId="5B85688D" w14:textId="14F1D1CF">
            <w:r>
              <w:t>R2301007</w:t>
            </w:r>
          </w:p>
        </w:tc>
      </w:tr>
      <w:tr w:rsidR="00FE3BAE" w:rsidTr="007E017A" w14:paraId="66779179" w14:textId="77777777">
        <w:trPr>
          <w:trHeight w:val="288"/>
        </w:trPr>
        <w:tc>
          <w:tcPr>
            <w:tcW w:w="2880" w:type="dxa"/>
            <w:tcBorders>
              <w:top w:val="single" w:color="auto" w:sz="4" w:space="0"/>
              <w:left w:val="single" w:color="auto" w:sz="4" w:space="0"/>
              <w:bottom w:val="single" w:color="auto" w:sz="4" w:space="0"/>
              <w:right w:val="single" w:color="auto" w:sz="4" w:space="0"/>
            </w:tcBorders>
            <w:hideMark/>
          </w:tcPr>
          <w:p w:rsidR="00FE3BAE" w:rsidP="007E017A" w:rsidRDefault="00FE3BAE" w14:paraId="738C0A58" w14:textId="77777777">
            <w: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00FE3BAE" w:rsidP="007E017A" w:rsidRDefault="00004E34" w14:paraId="5E75C0F0" w14:textId="1B8A9906">
            <w:r>
              <w:t xml:space="preserve">ALJ </w:t>
            </w:r>
            <w:proofErr w:type="spellStart"/>
            <w:r>
              <w:t>Nilgun</w:t>
            </w:r>
            <w:proofErr w:type="spellEnd"/>
            <w:r>
              <w:t xml:space="preserve"> </w:t>
            </w:r>
            <w:proofErr w:type="spellStart"/>
            <w:r>
              <w:t>Atamturk</w:t>
            </w:r>
            <w:proofErr w:type="spellEnd"/>
          </w:p>
        </w:tc>
      </w:tr>
      <w:tr w:rsidR="00FE3BAE" w:rsidTr="007E017A" w14:paraId="305F69F4" w14:textId="77777777">
        <w:trPr>
          <w:trHeight w:val="278"/>
        </w:trPr>
        <w:tc>
          <w:tcPr>
            <w:tcW w:w="2880" w:type="dxa"/>
            <w:tcBorders>
              <w:top w:val="single" w:color="auto" w:sz="4" w:space="0"/>
              <w:left w:val="single" w:color="auto" w:sz="4" w:space="0"/>
              <w:bottom w:val="single" w:color="auto" w:sz="4" w:space="0"/>
              <w:right w:val="single" w:color="auto" w:sz="4" w:space="0"/>
            </w:tcBorders>
            <w:hideMark/>
          </w:tcPr>
          <w:p w:rsidR="00FE3BAE" w:rsidP="007E017A" w:rsidRDefault="00FE3BAE" w14:paraId="1414CA71" w14:textId="77777777">
            <w: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00FE3BAE" w:rsidP="007E017A" w:rsidRDefault="00004E34" w14:paraId="7CA711B6" w14:textId="51AC17C8">
            <w:r>
              <w:t>Pacific Gas and Electric Company</w:t>
            </w:r>
          </w:p>
        </w:tc>
      </w:tr>
    </w:tbl>
    <w:p w:rsidR="00FE3BAE" w:rsidP="00FE3BAE" w:rsidRDefault="00FE3BAE" w14:paraId="14BBADAB" w14:textId="77777777"/>
    <w:p w:rsidR="00FE3BAE" w:rsidP="00FE3BAE" w:rsidRDefault="00FE3BAE" w14:paraId="7F0236A2" w14:textId="77777777">
      <w:pPr>
        <w:jc w:val="center"/>
        <w:rPr>
          <w:sz w:val="28"/>
          <w:szCs w:val="28"/>
        </w:rPr>
      </w:pPr>
      <w:r>
        <w:rPr>
          <w:sz w:val="28"/>
          <w:szCs w:val="28"/>
        </w:rPr>
        <w:t>Intervenor Information</w:t>
      </w:r>
    </w:p>
    <w:p w:rsidR="00FE3BAE" w:rsidP="00FE3BAE" w:rsidRDefault="00FE3BAE" w14:paraId="12F6E9ED" w14:textId="77777777"/>
    <w:tbl>
      <w:tblPr>
        <w:tblW w:w="10327"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4"/>
        <w:gridCol w:w="1376"/>
        <w:gridCol w:w="1530"/>
        <w:gridCol w:w="1603"/>
        <w:gridCol w:w="1296"/>
        <w:gridCol w:w="2478"/>
      </w:tblGrid>
      <w:tr w:rsidR="00FE3BAE" w:rsidTr="0081626F" w14:paraId="6CDB318E" w14:textId="77777777">
        <w:tc>
          <w:tcPr>
            <w:tcW w:w="2044" w:type="dxa"/>
            <w:tcBorders>
              <w:top w:val="single" w:color="auto" w:sz="4" w:space="0"/>
              <w:left w:val="single" w:color="auto" w:sz="4" w:space="0"/>
              <w:bottom w:val="single" w:color="auto" w:sz="4" w:space="0"/>
              <w:right w:val="single" w:color="auto" w:sz="4" w:space="0"/>
            </w:tcBorders>
            <w:hideMark/>
          </w:tcPr>
          <w:p w:rsidR="00FE3BAE" w:rsidP="007E017A" w:rsidRDefault="00FE3BAE" w14:paraId="2578F35B" w14:textId="77777777">
            <w:pPr>
              <w:jc w:val="center"/>
            </w:pPr>
            <w:r>
              <w:t>Intervenor</w:t>
            </w:r>
          </w:p>
        </w:tc>
        <w:tc>
          <w:tcPr>
            <w:tcW w:w="1376" w:type="dxa"/>
            <w:tcBorders>
              <w:top w:val="single" w:color="auto" w:sz="4" w:space="0"/>
              <w:left w:val="single" w:color="auto" w:sz="4" w:space="0"/>
              <w:bottom w:val="single" w:color="auto" w:sz="4" w:space="0"/>
              <w:right w:val="single" w:color="auto" w:sz="4" w:space="0"/>
            </w:tcBorders>
            <w:hideMark/>
          </w:tcPr>
          <w:p w:rsidR="00FE3BAE" w:rsidP="007E017A" w:rsidRDefault="0081626F" w14:paraId="2C1C9DC3" w14:textId="23D0CF49">
            <w:pPr>
              <w:jc w:val="center"/>
            </w:pPr>
            <w:r>
              <w:t>Date Claim Filed</w:t>
            </w:r>
          </w:p>
        </w:tc>
        <w:tc>
          <w:tcPr>
            <w:tcW w:w="1530" w:type="dxa"/>
            <w:tcBorders>
              <w:top w:val="single" w:color="auto" w:sz="4" w:space="0"/>
              <w:left w:val="single" w:color="auto" w:sz="4" w:space="0"/>
              <w:bottom w:val="single" w:color="auto" w:sz="4" w:space="0"/>
              <w:right w:val="single" w:color="auto" w:sz="4" w:space="0"/>
            </w:tcBorders>
            <w:hideMark/>
          </w:tcPr>
          <w:p w:rsidR="00FE3BAE" w:rsidP="007E017A" w:rsidRDefault="00FE3BAE" w14:paraId="60DD020D" w14:textId="77777777">
            <w:pPr>
              <w:jc w:val="center"/>
            </w:pPr>
            <w:r>
              <w:t>Amount Requested</w:t>
            </w:r>
          </w:p>
        </w:tc>
        <w:tc>
          <w:tcPr>
            <w:tcW w:w="1603" w:type="dxa"/>
            <w:tcBorders>
              <w:top w:val="single" w:color="auto" w:sz="4" w:space="0"/>
              <w:left w:val="single" w:color="auto" w:sz="4" w:space="0"/>
              <w:bottom w:val="single" w:color="auto" w:sz="4" w:space="0"/>
              <w:right w:val="single" w:color="auto" w:sz="4" w:space="0"/>
            </w:tcBorders>
            <w:hideMark/>
          </w:tcPr>
          <w:p w:rsidR="00FE3BAE" w:rsidP="007E017A" w:rsidRDefault="00FE3BAE" w14:paraId="19A4A01D" w14:textId="77777777">
            <w:pPr>
              <w:jc w:val="center"/>
            </w:pPr>
            <w:r>
              <w:t>Amount Awarded</w:t>
            </w:r>
          </w:p>
        </w:tc>
        <w:tc>
          <w:tcPr>
            <w:tcW w:w="1296" w:type="dxa"/>
            <w:tcBorders>
              <w:top w:val="single" w:color="auto" w:sz="4" w:space="0"/>
              <w:left w:val="single" w:color="auto" w:sz="4" w:space="0"/>
              <w:bottom w:val="single" w:color="auto" w:sz="4" w:space="0"/>
              <w:right w:val="single" w:color="auto" w:sz="4" w:space="0"/>
            </w:tcBorders>
            <w:hideMark/>
          </w:tcPr>
          <w:p w:rsidR="00FE3BAE" w:rsidP="007E017A" w:rsidRDefault="00FE3BAE" w14:paraId="5B9F47E2" w14:textId="77777777">
            <w:pPr>
              <w:jc w:val="center"/>
            </w:pPr>
            <w:r>
              <w:t>Multiplier?</w:t>
            </w:r>
          </w:p>
        </w:tc>
        <w:tc>
          <w:tcPr>
            <w:tcW w:w="2478" w:type="dxa"/>
            <w:tcBorders>
              <w:top w:val="single" w:color="auto" w:sz="4" w:space="0"/>
              <w:left w:val="single" w:color="auto" w:sz="4" w:space="0"/>
              <w:bottom w:val="single" w:color="auto" w:sz="4" w:space="0"/>
              <w:right w:val="single" w:color="auto" w:sz="4" w:space="0"/>
            </w:tcBorders>
            <w:hideMark/>
          </w:tcPr>
          <w:p w:rsidR="00FE3BAE" w:rsidP="007E017A" w:rsidRDefault="00FE3BAE" w14:paraId="089590A8" w14:textId="77777777">
            <w:pPr>
              <w:jc w:val="center"/>
            </w:pPr>
            <w:r>
              <w:t>Reason Change/Disallowance</w:t>
            </w:r>
          </w:p>
        </w:tc>
      </w:tr>
      <w:tr w:rsidR="00FE3BAE" w:rsidTr="00004E34" w14:paraId="080524E3" w14:textId="77777777">
        <w:trPr>
          <w:trHeight w:val="872"/>
        </w:trPr>
        <w:tc>
          <w:tcPr>
            <w:tcW w:w="2044" w:type="dxa"/>
            <w:tcBorders>
              <w:top w:val="single" w:color="auto" w:sz="4" w:space="0"/>
              <w:left w:val="single" w:color="auto" w:sz="4" w:space="0"/>
              <w:bottom w:val="single" w:color="auto" w:sz="4" w:space="0"/>
              <w:right w:val="single" w:color="auto" w:sz="4" w:space="0"/>
            </w:tcBorders>
            <w:hideMark/>
          </w:tcPr>
          <w:p w:rsidRPr="00224E47" w:rsidR="00FE3BAE" w:rsidP="007E017A" w:rsidRDefault="00224E47" w14:paraId="3008FB17" w14:textId="25D5DB49">
            <w:pPr>
              <w:jc w:val="center"/>
            </w:pPr>
            <w:r>
              <w:t>The Utility Reform Network</w:t>
            </w:r>
          </w:p>
        </w:tc>
        <w:tc>
          <w:tcPr>
            <w:tcW w:w="1376" w:type="dxa"/>
            <w:tcBorders>
              <w:top w:val="single" w:color="auto" w:sz="4" w:space="0"/>
              <w:left w:val="single" w:color="auto" w:sz="4" w:space="0"/>
              <w:bottom w:val="single" w:color="auto" w:sz="4" w:space="0"/>
              <w:right w:val="single" w:color="auto" w:sz="4" w:space="0"/>
            </w:tcBorders>
            <w:hideMark/>
          </w:tcPr>
          <w:p w:rsidR="00FE3BAE" w:rsidP="007E017A" w:rsidRDefault="00C3712A" w14:paraId="63956769" w14:textId="6BF99A5C">
            <w:pPr>
              <w:jc w:val="center"/>
            </w:pPr>
            <w:r>
              <w:t>08/15/2025</w:t>
            </w:r>
          </w:p>
        </w:tc>
        <w:tc>
          <w:tcPr>
            <w:tcW w:w="1530" w:type="dxa"/>
            <w:tcBorders>
              <w:top w:val="single" w:color="auto" w:sz="4" w:space="0"/>
              <w:left w:val="single" w:color="auto" w:sz="4" w:space="0"/>
              <w:bottom w:val="single" w:color="auto" w:sz="4" w:space="0"/>
              <w:right w:val="single" w:color="auto" w:sz="4" w:space="0"/>
            </w:tcBorders>
            <w:hideMark/>
          </w:tcPr>
          <w:p w:rsidRPr="005942C2" w:rsidR="00FE3BAE" w:rsidP="007E017A" w:rsidRDefault="00194CE8" w14:paraId="75AD20FA" w14:textId="67A08163">
            <w:pPr>
              <w:jc w:val="center"/>
              <w:rPr>
                <w:bCs/>
              </w:rPr>
            </w:pPr>
            <w:r>
              <w:rPr>
                <w:bCs/>
              </w:rPr>
              <w:t>$56,463.75</w:t>
            </w:r>
          </w:p>
        </w:tc>
        <w:tc>
          <w:tcPr>
            <w:tcW w:w="1603" w:type="dxa"/>
            <w:tcBorders>
              <w:top w:val="single" w:color="auto" w:sz="4" w:space="0"/>
              <w:left w:val="single" w:color="auto" w:sz="4" w:space="0"/>
              <w:bottom w:val="single" w:color="auto" w:sz="4" w:space="0"/>
              <w:right w:val="single" w:color="auto" w:sz="4" w:space="0"/>
            </w:tcBorders>
            <w:hideMark/>
          </w:tcPr>
          <w:p w:rsidRPr="001B4461" w:rsidR="00FE3BAE" w:rsidP="007E017A" w:rsidRDefault="001B4461" w14:paraId="0DD6FE00" w14:textId="605A9FA7">
            <w:pPr>
              <w:jc w:val="center"/>
              <w:rPr>
                <w:bCs/>
                <w:iCs/>
              </w:rPr>
            </w:pPr>
            <w:r w:rsidRPr="001B4461">
              <w:rPr>
                <w:bCs/>
                <w:iCs/>
                <w:color w:val="000000"/>
              </w:rPr>
              <w:t>$</w:t>
            </w:r>
            <w:r w:rsidRPr="005C6AC0" w:rsidR="005C6AC0">
              <w:rPr>
                <w:bCs/>
                <w:iCs/>
                <w:color w:val="000000"/>
              </w:rPr>
              <w:t>54,093.75</w:t>
            </w:r>
          </w:p>
        </w:tc>
        <w:tc>
          <w:tcPr>
            <w:tcW w:w="1296" w:type="dxa"/>
            <w:tcBorders>
              <w:top w:val="single" w:color="auto" w:sz="4" w:space="0"/>
              <w:left w:val="single" w:color="auto" w:sz="4" w:space="0"/>
              <w:bottom w:val="single" w:color="auto" w:sz="4" w:space="0"/>
              <w:right w:val="single" w:color="auto" w:sz="4" w:space="0"/>
            </w:tcBorders>
            <w:hideMark/>
          </w:tcPr>
          <w:p w:rsidR="00FE3BAE" w:rsidP="007E017A" w:rsidRDefault="00FE3BAE" w14:paraId="0BDAFE20" w14:textId="77777777">
            <w:pPr>
              <w:jc w:val="center"/>
            </w:pPr>
            <w:r>
              <w:t>N/A</w:t>
            </w:r>
          </w:p>
        </w:tc>
        <w:tc>
          <w:tcPr>
            <w:tcW w:w="2478" w:type="dxa"/>
            <w:tcBorders>
              <w:top w:val="single" w:color="auto" w:sz="4" w:space="0"/>
              <w:left w:val="single" w:color="auto" w:sz="4" w:space="0"/>
              <w:bottom w:val="single" w:color="auto" w:sz="4" w:space="0"/>
              <w:right w:val="single" w:color="auto" w:sz="4" w:space="0"/>
            </w:tcBorders>
            <w:hideMark/>
          </w:tcPr>
          <w:p w:rsidR="00FE3BAE" w:rsidP="007E017A" w:rsidRDefault="001B4461" w14:paraId="6B53C6F9" w14:textId="094FD2FF">
            <w:pPr>
              <w:jc w:val="center"/>
            </w:pPr>
            <w:r w:rsidRPr="00B71223">
              <w:rPr>
                <w:i/>
                <w:iCs/>
                <w:color w:val="000000" w:themeColor="text1"/>
              </w:rPr>
              <w:t>See</w:t>
            </w:r>
            <w:r w:rsidRPr="00B71223">
              <w:rPr>
                <w:color w:val="000000" w:themeColor="text1"/>
              </w:rPr>
              <w:t xml:space="preserve"> Part III D. CPUC Comments, Disallowances, and Adjustments</w:t>
            </w:r>
            <w:r w:rsidR="005636FA">
              <w:rPr>
                <w:color w:val="000000" w:themeColor="text1"/>
              </w:rPr>
              <w:t>.</w:t>
            </w:r>
          </w:p>
        </w:tc>
      </w:tr>
    </w:tbl>
    <w:p w:rsidR="00FE3BAE" w:rsidP="00FE3BAE" w:rsidRDefault="00FE3BAE" w14:paraId="5FB11A0C" w14:textId="77777777"/>
    <w:p w:rsidR="00FE3BAE" w:rsidP="00FE3BAE" w:rsidRDefault="0022302F" w14:paraId="2841210B" w14:textId="77777777">
      <w:pPr>
        <w:jc w:val="center"/>
        <w:rPr>
          <w:sz w:val="28"/>
          <w:szCs w:val="28"/>
        </w:rPr>
      </w:pPr>
      <w:r>
        <w:rPr>
          <w:sz w:val="28"/>
          <w:szCs w:val="28"/>
        </w:rPr>
        <w:t>Hourly Fee</w:t>
      </w:r>
      <w:r w:rsidR="00FE3BAE">
        <w:rPr>
          <w:sz w:val="28"/>
          <w:szCs w:val="28"/>
        </w:rPr>
        <w:t xml:space="preserve"> Information</w:t>
      </w:r>
    </w:p>
    <w:p w:rsidRPr="00FE3BAE" w:rsidR="00FE3BAE" w:rsidP="00FE3BAE" w:rsidRDefault="00FE3BAE" w14:paraId="659D5EF0" w14:textId="77777777">
      <w:pPr>
        <w:jc w:val="center"/>
        <w:rPr>
          <w:shd w:val="clear" w:color="auto" w:fill="CCFFCC"/>
        </w:rPr>
      </w:pPr>
    </w:p>
    <w:tbl>
      <w:tblPr>
        <w:tblW w:w="1035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770"/>
        <w:gridCol w:w="1920"/>
        <w:gridCol w:w="1620"/>
        <w:gridCol w:w="1710"/>
        <w:gridCol w:w="1620"/>
      </w:tblGrid>
      <w:tr w:rsidR="00C02649" w:rsidTr="00C02649" w14:paraId="7CF2F0CA" w14:textId="77777777">
        <w:trPr>
          <w:trHeight w:val="288"/>
        </w:trPr>
        <w:tc>
          <w:tcPr>
            <w:tcW w:w="1710" w:type="dxa"/>
            <w:tcBorders>
              <w:top w:val="single" w:color="auto" w:sz="4" w:space="0"/>
              <w:left w:val="single" w:color="auto" w:sz="4" w:space="0"/>
              <w:bottom w:val="single" w:color="auto" w:sz="4" w:space="0"/>
              <w:right w:val="single" w:color="auto" w:sz="4" w:space="0"/>
            </w:tcBorders>
            <w:hideMark/>
          </w:tcPr>
          <w:p w:rsidRPr="00C02649" w:rsidR="003B6A1B" w:rsidP="00C02649" w:rsidRDefault="003B6A1B" w14:paraId="61500303" w14:textId="77777777">
            <w:pPr>
              <w:jc w:val="center"/>
            </w:pPr>
            <w:r w:rsidRPr="00C02649">
              <w:t>First Name</w:t>
            </w:r>
          </w:p>
        </w:tc>
        <w:tc>
          <w:tcPr>
            <w:tcW w:w="1770" w:type="dxa"/>
            <w:tcBorders>
              <w:top w:val="single" w:color="auto" w:sz="4" w:space="0"/>
              <w:left w:val="single" w:color="auto" w:sz="4" w:space="0"/>
              <w:bottom w:val="single" w:color="auto" w:sz="4" w:space="0"/>
              <w:right w:val="single" w:color="auto" w:sz="4" w:space="0"/>
            </w:tcBorders>
            <w:hideMark/>
          </w:tcPr>
          <w:p w:rsidRPr="00C02649" w:rsidR="003B6A1B" w:rsidP="00C02649" w:rsidRDefault="003B6A1B" w14:paraId="55908486" w14:textId="77777777">
            <w:pPr>
              <w:jc w:val="center"/>
            </w:pPr>
            <w:r w:rsidRPr="00C02649">
              <w:t>Last Name</w:t>
            </w:r>
          </w:p>
        </w:tc>
        <w:tc>
          <w:tcPr>
            <w:tcW w:w="1920" w:type="dxa"/>
            <w:tcBorders>
              <w:top w:val="single" w:color="auto" w:sz="4" w:space="0"/>
              <w:left w:val="single" w:color="auto" w:sz="4" w:space="0"/>
              <w:bottom w:val="single" w:color="auto" w:sz="4" w:space="0"/>
              <w:right w:val="single" w:color="auto" w:sz="4" w:space="0"/>
            </w:tcBorders>
            <w:hideMark/>
          </w:tcPr>
          <w:p w:rsidRPr="00C02649" w:rsidR="003B6A1B" w:rsidP="00C02649" w:rsidRDefault="00171EBF" w14:paraId="2438DAE1" w14:textId="77777777">
            <w:pPr>
              <w:ind w:left="12" w:firstLine="12"/>
              <w:jc w:val="center"/>
            </w:pPr>
            <w:r w:rsidRPr="00C02649">
              <w:t>Attorney, Expert, or Advocate</w:t>
            </w:r>
          </w:p>
        </w:tc>
        <w:tc>
          <w:tcPr>
            <w:tcW w:w="1620" w:type="dxa"/>
            <w:tcBorders>
              <w:top w:val="single" w:color="auto" w:sz="4" w:space="0"/>
              <w:left w:val="single" w:color="auto" w:sz="4" w:space="0"/>
              <w:bottom w:val="single" w:color="auto" w:sz="4" w:space="0"/>
              <w:right w:val="single" w:color="auto" w:sz="4" w:space="0"/>
            </w:tcBorders>
            <w:hideMark/>
          </w:tcPr>
          <w:p w:rsidRPr="00C02649" w:rsidR="003B6A1B" w:rsidP="00C02649" w:rsidRDefault="003B6A1B" w14:paraId="3431A72E" w14:textId="77777777">
            <w:pPr>
              <w:jc w:val="center"/>
            </w:pPr>
            <w:r w:rsidRPr="00C02649">
              <w:t>Hourly Fee Requested</w:t>
            </w:r>
          </w:p>
        </w:tc>
        <w:tc>
          <w:tcPr>
            <w:tcW w:w="1710" w:type="dxa"/>
            <w:tcBorders>
              <w:top w:val="single" w:color="auto" w:sz="4" w:space="0"/>
              <w:left w:val="single" w:color="auto" w:sz="4" w:space="0"/>
              <w:bottom w:val="single" w:color="auto" w:sz="4" w:space="0"/>
              <w:right w:val="single" w:color="auto" w:sz="4" w:space="0"/>
            </w:tcBorders>
            <w:hideMark/>
          </w:tcPr>
          <w:p w:rsidRPr="00C02649" w:rsidR="003B6A1B" w:rsidP="00C02649" w:rsidRDefault="003B6A1B" w14:paraId="6FE76773" w14:textId="77777777">
            <w:pPr>
              <w:jc w:val="center"/>
            </w:pPr>
            <w:r w:rsidRPr="00C02649">
              <w:t>Year Hourly Fee Requested</w:t>
            </w:r>
          </w:p>
        </w:tc>
        <w:tc>
          <w:tcPr>
            <w:tcW w:w="1620" w:type="dxa"/>
            <w:tcBorders>
              <w:top w:val="single" w:color="auto" w:sz="4" w:space="0"/>
              <w:left w:val="single" w:color="auto" w:sz="4" w:space="0"/>
              <w:bottom w:val="single" w:color="auto" w:sz="4" w:space="0"/>
              <w:right w:val="single" w:color="auto" w:sz="4" w:space="0"/>
            </w:tcBorders>
            <w:hideMark/>
          </w:tcPr>
          <w:p w:rsidRPr="00C02649" w:rsidR="003B6A1B" w:rsidP="00C02649" w:rsidRDefault="003B6A1B" w14:paraId="1B789B85" w14:textId="77777777">
            <w:pPr>
              <w:jc w:val="center"/>
            </w:pPr>
            <w:r w:rsidRPr="00C02649">
              <w:t>Hourly Fee Adopted</w:t>
            </w:r>
          </w:p>
        </w:tc>
      </w:tr>
      <w:tr w:rsidR="00163EC6" w:rsidTr="007305D3" w14:paraId="70BF0838" w14:textId="77777777">
        <w:trPr>
          <w:trHeight w:val="288"/>
        </w:trPr>
        <w:tc>
          <w:tcPr>
            <w:tcW w:w="1710" w:type="dxa"/>
            <w:tcBorders>
              <w:top w:val="single" w:color="auto" w:sz="4" w:space="0"/>
              <w:left w:val="single" w:color="auto" w:sz="4" w:space="0"/>
              <w:bottom w:val="single" w:color="auto" w:sz="4" w:space="0"/>
              <w:right w:val="single" w:color="auto" w:sz="4" w:space="0"/>
            </w:tcBorders>
          </w:tcPr>
          <w:p w:rsidRPr="007305D3" w:rsidR="00163EC6" w:rsidP="00163EC6" w:rsidRDefault="009B3213" w14:paraId="4DF379D4" w14:textId="3E5A97F2">
            <w:pPr>
              <w:jc w:val="center"/>
            </w:pPr>
            <w:r w:rsidRPr="007305D3">
              <w:t>Jennifer</w:t>
            </w:r>
          </w:p>
        </w:tc>
        <w:tc>
          <w:tcPr>
            <w:tcW w:w="1770" w:type="dxa"/>
            <w:tcBorders>
              <w:top w:val="single" w:color="auto" w:sz="4" w:space="0"/>
              <w:left w:val="single" w:color="auto" w:sz="4" w:space="0"/>
              <w:bottom w:val="single" w:color="auto" w:sz="4" w:space="0"/>
              <w:right w:val="single" w:color="auto" w:sz="4" w:space="0"/>
            </w:tcBorders>
          </w:tcPr>
          <w:p w:rsidRPr="007305D3" w:rsidR="00163EC6" w:rsidP="00163EC6" w:rsidRDefault="009B3213" w14:paraId="10958911" w14:textId="00770AC1">
            <w:pPr>
              <w:jc w:val="center"/>
            </w:pPr>
            <w:r w:rsidRPr="007305D3">
              <w:t>Dowdell</w:t>
            </w:r>
          </w:p>
        </w:tc>
        <w:tc>
          <w:tcPr>
            <w:tcW w:w="1920" w:type="dxa"/>
            <w:tcBorders>
              <w:top w:val="single" w:color="auto" w:sz="4" w:space="0"/>
              <w:left w:val="single" w:color="auto" w:sz="4" w:space="0"/>
              <w:bottom w:val="single" w:color="auto" w:sz="4" w:space="0"/>
              <w:right w:val="single" w:color="auto" w:sz="4" w:space="0"/>
            </w:tcBorders>
          </w:tcPr>
          <w:p w:rsidRPr="007305D3" w:rsidR="00163EC6" w:rsidP="00163EC6" w:rsidRDefault="009B3213" w14:paraId="53B81CDA" w14:textId="6FF906AC">
            <w:pPr>
              <w:jc w:val="center"/>
            </w:pPr>
            <w:r w:rsidRPr="007305D3">
              <w:t>Expert</w:t>
            </w:r>
          </w:p>
        </w:tc>
        <w:tc>
          <w:tcPr>
            <w:tcW w:w="1620" w:type="dxa"/>
            <w:tcBorders>
              <w:top w:val="single" w:color="auto" w:sz="4" w:space="0"/>
              <w:left w:val="single" w:color="auto" w:sz="4" w:space="0"/>
              <w:bottom w:val="single" w:color="auto" w:sz="4" w:space="0"/>
              <w:right w:val="single" w:color="auto" w:sz="4" w:space="0"/>
            </w:tcBorders>
          </w:tcPr>
          <w:p w:rsidRPr="007305D3" w:rsidR="00163EC6" w:rsidP="00163EC6" w:rsidRDefault="009B3213" w14:paraId="5937C291" w14:textId="0E68B5A3">
            <w:pPr>
              <w:jc w:val="center"/>
            </w:pPr>
            <w:r w:rsidRPr="007305D3">
              <w:t>4</w:t>
            </w:r>
            <w:r w:rsidRPr="007305D3" w:rsidR="00C3712A">
              <w:t>95</w:t>
            </w:r>
          </w:p>
        </w:tc>
        <w:tc>
          <w:tcPr>
            <w:tcW w:w="1710" w:type="dxa"/>
            <w:tcBorders>
              <w:top w:val="single" w:color="auto" w:sz="4" w:space="0"/>
              <w:left w:val="single" w:color="auto" w:sz="4" w:space="0"/>
              <w:bottom w:val="single" w:color="auto" w:sz="4" w:space="0"/>
              <w:right w:val="single" w:color="auto" w:sz="4" w:space="0"/>
            </w:tcBorders>
          </w:tcPr>
          <w:p w:rsidRPr="007305D3" w:rsidR="00163EC6" w:rsidP="00163EC6" w:rsidRDefault="009B3213" w14:paraId="4B3019AE" w14:textId="260F7462">
            <w:pPr>
              <w:jc w:val="center"/>
            </w:pPr>
            <w:r w:rsidRPr="007305D3">
              <w:t>202</w:t>
            </w:r>
            <w:r w:rsidRPr="007305D3" w:rsidR="00C3712A">
              <w:t>4</w:t>
            </w:r>
          </w:p>
        </w:tc>
        <w:tc>
          <w:tcPr>
            <w:tcW w:w="1620" w:type="dxa"/>
            <w:tcBorders>
              <w:top w:val="single" w:color="auto" w:sz="4" w:space="0"/>
              <w:left w:val="single" w:color="auto" w:sz="4" w:space="0"/>
              <w:bottom w:val="single" w:color="auto" w:sz="4" w:space="0"/>
              <w:right w:val="single" w:color="auto" w:sz="4" w:space="0"/>
            </w:tcBorders>
          </w:tcPr>
          <w:p w:rsidR="00163EC6" w:rsidP="00163EC6" w:rsidRDefault="007305D3" w14:paraId="0F55FC5C" w14:textId="5DA7427E">
            <w:pPr>
              <w:jc w:val="center"/>
            </w:pPr>
            <w:r>
              <w:t>$495.00</w:t>
            </w:r>
          </w:p>
        </w:tc>
      </w:tr>
      <w:tr w:rsidR="009B3213" w:rsidTr="002446F4" w14:paraId="0DC4129D" w14:textId="77777777">
        <w:trPr>
          <w:trHeight w:val="288"/>
        </w:trPr>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1C03A89B" w14:textId="7A02A90E">
            <w:pPr>
              <w:jc w:val="center"/>
            </w:pPr>
            <w:r w:rsidRPr="002446F4">
              <w:t>Matthew</w:t>
            </w:r>
          </w:p>
        </w:tc>
        <w:tc>
          <w:tcPr>
            <w:tcW w:w="177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53680AFD" w14:textId="531C663C">
            <w:pPr>
              <w:jc w:val="center"/>
            </w:pPr>
            <w:r w:rsidRPr="002446F4">
              <w:t>Freedman</w:t>
            </w:r>
          </w:p>
        </w:tc>
        <w:tc>
          <w:tcPr>
            <w:tcW w:w="192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597A6D17" w14:textId="038AF813">
            <w:pPr>
              <w:jc w:val="center"/>
            </w:pPr>
            <w:r w:rsidRPr="002446F4">
              <w:t>Attorney</w:t>
            </w:r>
          </w:p>
        </w:tc>
        <w:tc>
          <w:tcPr>
            <w:tcW w:w="162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48B7FBBF" w14:textId="6121E7FA">
            <w:pPr>
              <w:jc w:val="center"/>
            </w:pPr>
            <w:r w:rsidRPr="002446F4">
              <w:t>7</w:t>
            </w:r>
            <w:r w:rsidRPr="002446F4" w:rsidR="00C3712A">
              <w:t>40</w:t>
            </w:r>
          </w:p>
        </w:tc>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5541B9E8" w14:textId="60C1DF27">
            <w:pPr>
              <w:jc w:val="center"/>
            </w:pPr>
            <w:r w:rsidRPr="002446F4">
              <w:t>202</w:t>
            </w:r>
            <w:r w:rsidRPr="002446F4" w:rsidR="00C3712A">
              <w:t>4</w:t>
            </w:r>
          </w:p>
        </w:tc>
        <w:tc>
          <w:tcPr>
            <w:tcW w:w="1620" w:type="dxa"/>
            <w:tcBorders>
              <w:top w:val="single" w:color="auto" w:sz="4" w:space="0"/>
              <w:left w:val="single" w:color="auto" w:sz="4" w:space="0"/>
              <w:bottom w:val="single" w:color="auto" w:sz="4" w:space="0"/>
              <w:right w:val="single" w:color="auto" w:sz="4" w:space="0"/>
            </w:tcBorders>
          </w:tcPr>
          <w:p w:rsidR="009B3213" w:rsidP="009B3213" w:rsidRDefault="002446F4" w14:paraId="5585EC38" w14:textId="432EC4E0">
            <w:pPr>
              <w:jc w:val="center"/>
            </w:pPr>
            <w:r>
              <w:t>$740.00</w:t>
            </w:r>
          </w:p>
        </w:tc>
      </w:tr>
      <w:tr w:rsidR="009B3213" w:rsidTr="002446F4" w14:paraId="29AE6932" w14:textId="77777777">
        <w:trPr>
          <w:trHeight w:val="288"/>
        </w:trPr>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360AC496" w14:textId="58B225F1">
            <w:pPr>
              <w:jc w:val="center"/>
            </w:pPr>
            <w:r w:rsidRPr="002446F4">
              <w:t>Matthew</w:t>
            </w:r>
          </w:p>
        </w:tc>
        <w:tc>
          <w:tcPr>
            <w:tcW w:w="177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56248722" w14:textId="45667B92">
            <w:pPr>
              <w:jc w:val="center"/>
            </w:pPr>
            <w:r w:rsidRPr="002446F4">
              <w:t>Freedman</w:t>
            </w:r>
          </w:p>
        </w:tc>
        <w:tc>
          <w:tcPr>
            <w:tcW w:w="192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5260F89F" w14:textId="079F74E5">
            <w:pPr>
              <w:jc w:val="center"/>
            </w:pPr>
            <w:r w:rsidRPr="002446F4">
              <w:t>Attorney</w:t>
            </w:r>
          </w:p>
        </w:tc>
        <w:tc>
          <w:tcPr>
            <w:tcW w:w="1620" w:type="dxa"/>
            <w:tcBorders>
              <w:top w:val="single" w:color="auto" w:sz="4" w:space="0"/>
              <w:left w:val="single" w:color="auto" w:sz="4" w:space="0"/>
              <w:bottom w:val="single" w:color="auto" w:sz="4" w:space="0"/>
              <w:right w:val="single" w:color="auto" w:sz="4" w:space="0"/>
            </w:tcBorders>
          </w:tcPr>
          <w:p w:rsidRPr="002446F4" w:rsidR="009B3213" w:rsidP="009B3213" w:rsidRDefault="00C3712A" w14:paraId="6D2EBA5C" w14:textId="114C6439">
            <w:pPr>
              <w:jc w:val="center"/>
            </w:pPr>
            <w:r w:rsidRPr="002446F4">
              <w:t>805</w:t>
            </w:r>
          </w:p>
        </w:tc>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9B3213" w14:paraId="34B04A04" w14:textId="34FEBE4B">
            <w:pPr>
              <w:jc w:val="center"/>
            </w:pPr>
            <w:r w:rsidRPr="002446F4">
              <w:t>202</w:t>
            </w:r>
            <w:r w:rsidRPr="002446F4" w:rsidR="00C3712A">
              <w:t>5</w:t>
            </w:r>
          </w:p>
        </w:tc>
        <w:tc>
          <w:tcPr>
            <w:tcW w:w="1620" w:type="dxa"/>
            <w:tcBorders>
              <w:top w:val="single" w:color="auto" w:sz="4" w:space="0"/>
              <w:left w:val="single" w:color="auto" w:sz="4" w:space="0"/>
              <w:bottom w:val="single" w:color="auto" w:sz="4" w:space="0"/>
              <w:right w:val="single" w:color="auto" w:sz="4" w:space="0"/>
            </w:tcBorders>
          </w:tcPr>
          <w:p w:rsidR="009B3213" w:rsidP="009B3213" w:rsidRDefault="002446F4" w14:paraId="6A145930" w14:textId="727DDE51">
            <w:pPr>
              <w:jc w:val="center"/>
            </w:pPr>
            <w:r>
              <w:t>$795.00</w:t>
            </w:r>
          </w:p>
        </w:tc>
      </w:tr>
      <w:tr w:rsidR="009B3213" w:rsidTr="002446F4" w14:paraId="1BCE0D22" w14:textId="77777777">
        <w:trPr>
          <w:trHeight w:val="288"/>
        </w:trPr>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8A7D8C" w14:paraId="234A0B7E" w14:textId="52E5D9B3">
            <w:pPr>
              <w:jc w:val="center"/>
            </w:pPr>
            <w:r w:rsidRPr="002446F4">
              <w:t>Thomas</w:t>
            </w:r>
          </w:p>
        </w:tc>
        <w:tc>
          <w:tcPr>
            <w:tcW w:w="1770" w:type="dxa"/>
            <w:tcBorders>
              <w:top w:val="single" w:color="auto" w:sz="4" w:space="0"/>
              <w:left w:val="single" w:color="auto" w:sz="4" w:space="0"/>
              <w:bottom w:val="single" w:color="auto" w:sz="4" w:space="0"/>
              <w:right w:val="single" w:color="auto" w:sz="4" w:space="0"/>
            </w:tcBorders>
          </w:tcPr>
          <w:p w:rsidRPr="002446F4" w:rsidR="009B3213" w:rsidP="009B3213" w:rsidRDefault="008A7D8C" w14:paraId="6AA7B930" w14:textId="47DA989B">
            <w:pPr>
              <w:jc w:val="center"/>
            </w:pPr>
            <w:r w:rsidRPr="002446F4">
              <w:t>Long</w:t>
            </w:r>
          </w:p>
        </w:tc>
        <w:tc>
          <w:tcPr>
            <w:tcW w:w="1920" w:type="dxa"/>
            <w:tcBorders>
              <w:top w:val="single" w:color="auto" w:sz="4" w:space="0"/>
              <w:left w:val="single" w:color="auto" w:sz="4" w:space="0"/>
              <w:bottom w:val="single" w:color="auto" w:sz="4" w:space="0"/>
              <w:right w:val="single" w:color="auto" w:sz="4" w:space="0"/>
            </w:tcBorders>
          </w:tcPr>
          <w:p w:rsidRPr="002446F4" w:rsidR="009B3213" w:rsidP="009B3213" w:rsidRDefault="008A7D8C" w14:paraId="3F784D2A" w14:textId="096D0D27">
            <w:pPr>
              <w:jc w:val="center"/>
            </w:pPr>
            <w:r w:rsidRPr="002446F4">
              <w:t>Attorney</w:t>
            </w:r>
          </w:p>
        </w:tc>
        <w:tc>
          <w:tcPr>
            <w:tcW w:w="1620" w:type="dxa"/>
            <w:tcBorders>
              <w:top w:val="single" w:color="auto" w:sz="4" w:space="0"/>
              <w:left w:val="single" w:color="auto" w:sz="4" w:space="0"/>
              <w:bottom w:val="single" w:color="auto" w:sz="4" w:space="0"/>
              <w:right w:val="single" w:color="auto" w:sz="4" w:space="0"/>
            </w:tcBorders>
          </w:tcPr>
          <w:p w:rsidRPr="002446F4" w:rsidR="009B3213" w:rsidP="009B3213" w:rsidRDefault="008A7D8C" w14:paraId="05351F3A" w14:textId="499FB1E0">
            <w:pPr>
              <w:jc w:val="center"/>
            </w:pPr>
            <w:r w:rsidRPr="002446F4">
              <w:t>8</w:t>
            </w:r>
            <w:r w:rsidRPr="002446F4" w:rsidR="00C3712A">
              <w:t>60</w:t>
            </w:r>
          </w:p>
        </w:tc>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8A7D8C" w14:paraId="61FB94D0" w14:textId="24610AF2">
            <w:pPr>
              <w:jc w:val="center"/>
            </w:pPr>
            <w:r w:rsidRPr="002446F4">
              <w:t>202</w:t>
            </w:r>
            <w:r w:rsidRPr="002446F4" w:rsidR="00C3712A">
              <w:t>5</w:t>
            </w:r>
          </w:p>
        </w:tc>
        <w:tc>
          <w:tcPr>
            <w:tcW w:w="1620" w:type="dxa"/>
            <w:tcBorders>
              <w:top w:val="single" w:color="auto" w:sz="4" w:space="0"/>
              <w:left w:val="single" w:color="auto" w:sz="4" w:space="0"/>
              <w:bottom w:val="single" w:color="auto" w:sz="4" w:space="0"/>
              <w:right w:val="single" w:color="auto" w:sz="4" w:space="0"/>
            </w:tcBorders>
          </w:tcPr>
          <w:p w:rsidR="009B3213" w:rsidP="009B3213" w:rsidRDefault="002446F4" w14:paraId="0B88D7DE" w14:textId="66EA451F">
            <w:pPr>
              <w:jc w:val="center"/>
            </w:pPr>
            <w:r>
              <w:t>$860.00</w:t>
            </w:r>
          </w:p>
        </w:tc>
      </w:tr>
      <w:tr w:rsidR="009B3213" w:rsidTr="002446F4" w14:paraId="7BBD5E13" w14:textId="77777777">
        <w:trPr>
          <w:trHeight w:val="288"/>
        </w:trPr>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C3712A" w14:paraId="23066614" w14:textId="0891D639">
            <w:pPr>
              <w:jc w:val="center"/>
            </w:pPr>
            <w:r w:rsidRPr="002446F4">
              <w:t>Robert</w:t>
            </w:r>
          </w:p>
        </w:tc>
        <w:tc>
          <w:tcPr>
            <w:tcW w:w="1770" w:type="dxa"/>
            <w:tcBorders>
              <w:top w:val="single" w:color="auto" w:sz="4" w:space="0"/>
              <w:left w:val="single" w:color="auto" w:sz="4" w:space="0"/>
              <w:bottom w:val="single" w:color="auto" w:sz="4" w:space="0"/>
              <w:right w:val="single" w:color="auto" w:sz="4" w:space="0"/>
            </w:tcBorders>
          </w:tcPr>
          <w:p w:rsidRPr="002446F4" w:rsidR="009B3213" w:rsidP="009B3213" w:rsidRDefault="00C3712A" w14:paraId="4786C89C" w14:textId="45D617F7">
            <w:pPr>
              <w:jc w:val="center"/>
            </w:pPr>
            <w:r w:rsidRPr="002446F4">
              <w:t>Finkelstein</w:t>
            </w:r>
          </w:p>
        </w:tc>
        <w:tc>
          <w:tcPr>
            <w:tcW w:w="1920" w:type="dxa"/>
            <w:tcBorders>
              <w:top w:val="single" w:color="auto" w:sz="4" w:space="0"/>
              <w:left w:val="single" w:color="auto" w:sz="4" w:space="0"/>
              <w:bottom w:val="single" w:color="auto" w:sz="4" w:space="0"/>
              <w:right w:val="single" w:color="auto" w:sz="4" w:space="0"/>
            </w:tcBorders>
          </w:tcPr>
          <w:p w:rsidRPr="002446F4" w:rsidR="009B3213" w:rsidP="009B3213" w:rsidRDefault="00C3712A" w14:paraId="18CADD1E" w14:textId="48B7E074">
            <w:pPr>
              <w:jc w:val="center"/>
            </w:pPr>
            <w:r w:rsidRPr="002446F4">
              <w:t>Attorney</w:t>
            </w:r>
          </w:p>
        </w:tc>
        <w:tc>
          <w:tcPr>
            <w:tcW w:w="1620" w:type="dxa"/>
            <w:tcBorders>
              <w:top w:val="single" w:color="auto" w:sz="4" w:space="0"/>
              <w:left w:val="single" w:color="auto" w:sz="4" w:space="0"/>
              <w:bottom w:val="single" w:color="auto" w:sz="4" w:space="0"/>
              <w:right w:val="single" w:color="auto" w:sz="4" w:space="0"/>
            </w:tcBorders>
          </w:tcPr>
          <w:p w:rsidRPr="002446F4" w:rsidR="009B3213" w:rsidP="009B3213" w:rsidRDefault="00C3712A" w14:paraId="39919693" w14:textId="27E330A6">
            <w:pPr>
              <w:jc w:val="center"/>
            </w:pPr>
            <w:r w:rsidRPr="002446F4">
              <w:t>875</w:t>
            </w:r>
          </w:p>
        </w:tc>
        <w:tc>
          <w:tcPr>
            <w:tcW w:w="1710" w:type="dxa"/>
            <w:tcBorders>
              <w:top w:val="single" w:color="auto" w:sz="4" w:space="0"/>
              <w:left w:val="single" w:color="auto" w:sz="4" w:space="0"/>
              <w:bottom w:val="single" w:color="auto" w:sz="4" w:space="0"/>
              <w:right w:val="single" w:color="auto" w:sz="4" w:space="0"/>
            </w:tcBorders>
          </w:tcPr>
          <w:p w:rsidRPr="002446F4" w:rsidR="009B3213" w:rsidP="009B3213" w:rsidRDefault="00C3712A" w14:paraId="214A549B" w14:textId="5CED2342">
            <w:pPr>
              <w:jc w:val="center"/>
            </w:pPr>
            <w:r w:rsidRPr="002446F4">
              <w:t>2024</w:t>
            </w:r>
          </w:p>
        </w:tc>
        <w:tc>
          <w:tcPr>
            <w:tcW w:w="1620" w:type="dxa"/>
            <w:tcBorders>
              <w:top w:val="single" w:color="auto" w:sz="4" w:space="0"/>
              <w:left w:val="single" w:color="auto" w:sz="4" w:space="0"/>
              <w:bottom w:val="single" w:color="auto" w:sz="4" w:space="0"/>
              <w:right w:val="single" w:color="auto" w:sz="4" w:space="0"/>
            </w:tcBorders>
          </w:tcPr>
          <w:p w:rsidR="009B3213" w:rsidP="009B3213" w:rsidRDefault="002446F4" w14:paraId="3B9C718F" w14:textId="4501408D">
            <w:pPr>
              <w:jc w:val="center"/>
            </w:pPr>
            <w:r>
              <w:t>$875.00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00FE3BAE" w:rsidP="00FE3BAE" w:rsidRDefault="00FE3BAE" w14:paraId="53F54635" w14:textId="77777777">
      <w:pPr>
        <w:jc w:val="center"/>
        <w:rPr>
          <w:rFonts w:ascii="Helvetica" w:hAnsi="Helvetica"/>
          <w:b/>
        </w:rPr>
      </w:pPr>
      <w:r>
        <w:rPr>
          <w:rFonts w:ascii="Helvetica" w:hAnsi="Helvetica"/>
          <w:b/>
        </w:rPr>
        <w:t xml:space="preserve">(END OF </w:t>
      </w:r>
      <w:r>
        <w:rPr>
          <w:rFonts w:ascii="Helvetica" w:hAnsi="Helvetica"/>
          <w:b/>
          <w:szCs w:val="26"/>
        </w:rPr>
        <w:t>APPENDIX</w:t>
      </w:r>
      <w:r>
        <w:rPr>
          <w:rFonts w:ascii="Helvetica" w:hAnsi="Helvetica"/>
          <w:b/>
        </w:rPr>
        <w:t>)</w:t>
      </w:r>
    </w:p>
    <w:p w:rsidR="00821962" w:rsidRDefault="00821962" w14:paraId="3B438318" w14:textId="1C0AB33D">
      <w:pPr>
        <w:rPr>
          <w:rFonts w:ascii="Helvetica" w:hAnsi="Helvetica"/>
          <w:b/>
        </w:rPr>
      </w:pPr>
    </w:p>
    <w:sectPr w:rsidR="00821962" w:rsidSect="00706E8D">
      <w:headerReference w:type="default" r:id="rId11"/>
      <w:footerReference w:type="default" r:id="rId12"/>
      <w:footerReference w:type="first" r:id="rId13"/>
      <w:pgSz w:w="12240" w:h="15840"/>
      <w:pgMar w:top="1440" w:right="180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8F56" w14:textId="77777777" w:rsidR="004A7621" w:rsidRDefault="004A7621" w:rsidP="00885956">
      <w:r>
        <w:separator/>
      </w:r>
    </w:p>
  </w:endnote>
  <w:endnote w:type="continuationSeparator" w:id="0">
    <w:p w14:paraId="1CBD6F10" w14:textId="77777777" w:rsidR="004A7621" w:rsidRDefault="004A7621"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0148BE48" w:rsidR="00740A6B" w:rsidRDefault="00E36CE5" w:rsidP="00E36CE5">
        <w:pPr>
          <w:pStyle w:val="Footer"/>
        </w:pPr>
        <w:r>
          <w:tab/>
        </w:r>
        <w:r w:rsidR="00740A6B">
          <w:fldChar w:fldCharType="begin"/>
        </w:r>
        <w:r w:rsidR="00740A6B">
          <w:instrText xml:space="preserve"> PAGE   \* MERGEFORMAT </w:instrText>
        </w:r>
        <w:r w:rsidR="00740A6B">
          <w:fldChar w:fldCharType="separate"/>
        </w:r>
        <w:r w:rsidR="00740A6B">
          <w:rPr>
            <w:noProof/>
          </w:rPr>
          <w:t>- 1 -</w:t>
        </w:r>
        <w:r w:rsidR="00740A6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12FABCBC" w:rsidR="00740A6B" w:rsidRDefault="00952F0A" w:rsidP="00E36CE5">
        <w:pPr>
          <w:pStyle w:val="Footer"/>
        </w:pPr>
        <w:r w:rsidRPr="00952F0A">
          <w:rPr>
            <w:sz w:val="16"/>
            <w:szCs w:val="16"/>
          </w:rPr>
          <w:t>598254938</w:t>
        </w:r>
        <w:r w:rsidR="00E36CE5">
          <w:rPr>
            <w:sz w:val="16"/>
            <w:szCs w:val="16"/>
          </w:rPr>
          <w:tab/>
        </w:r>
        <w:r w:rsidR="00740A6B">
          <w:fldChar w:fldCharType="begin"/>
        </w:r>
        <w:r w:rsidR="00740A6B">
          <w:instrText xml:space="preserve"> PAGE   \* MERGEFORMAT </w:instrText>
        </w:r>
        <w:r w:rsidR="00740A6B">
          <w:fldChar w:fldCharType="separate"/>
        </w:r>
        <w:r w:rsidR="00740A6B">
          <w:rPr>
            <w:noProof/>
          </w:rPr>
          <w:t>- 1 -</w:t>
        </w:r>
        <w:r w:rsidR="00740A6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4186" w14:textId="77777777" w:rsidR="004A7621" w:rsidRDefault="004A7621" w:rsidP="00885956">
      <w:r>
        <w:separator/>
      </w:r>
    </w:p>
  </w:footnote>
  <w:footnote w:type="continuationSeparator" w:id="0">
    <w:p w14:paraId="50BE70A6" w14:textId="77777777" w:rsidR="004A7621" w:rsidRDefault="004A7621" w:rsidP="00885956">
      <w:r>
        <w:continuationSeparator/>
      </w:r>
    </w:p>
  </w:footnote>
  <w:footnote w:id="1">
    <w:p w14:paraId="7CAF0DDD" w14:textId="77777777" w:rsidR="00740A6B" w:rsidRDefault="00740A6B">
      <w:pPr>
        <w:pStyle w:val="FootnoteText"/>
      </w:pPr>
      <w:r>
        <w:rPr>
          <w:rStyle w:val="FootnoteReference"/>
        </w:rPr>
        <w:footnoteRef/>
      </w:r>
      <w:r>
        <w:t xml:space="preserve"> All statutory references are to California Public Utilities Code unless indicated otherwise.</w:t>
      </w:r>
    </w:p>
  </w:footnote>
  <w:footnote w:id="2">
    <w:p w14:paraId="2A44723A" w14:textId="08DD30C5" w:rsidR="00042B1C" w:rsidRPr="00DE3A5D" w:rsidRDefault="00042B1C" w:rsidP="005A53F1">
      <w:pPr>
        <w:pStyle w:val="ListParagraph"/>
        <w:ind w:left="0"/>
        <w:rPr>
          <w:rFonts w:ascii="Times New Roman" w:hAnsi="Times New Roman"/>
        </w:rPr>
      </w:pPr>
      <w:r w:rsidRPr="00DE3A5D">
        <w:rPr>
          <w:rStyle w:val="FootnoteReference"/>
          <w:rFonts w:ascii="Times New Roman" w:hAnsi="Times New Roman"/>
          <w:sz w:val="20"/>
          <w:szCs w:val="20"/>
        </w:rPr>
        <w:footnoteRef/>
      </w:r>
      <w:r w:rsidRPr="00DE3A5D">
        <w:rPr>
          <w:rFonts w:ascii="Times New Roman" w:hAnsi="Times New Roman"/>
        </w:rPr>
        <w:t xml:space="preserve"> </w:t>
      </w:r>
      <w:r w:rsidRPr="00DE3A5D">
        <w:rPr>
          <w:rFonts w:ascii="Times New Roman" w:hAnsi="Times New Roman"/>
          <w:sz w:val="20"/>
          <w:szCs w:val="20"/>
        </w:rPr>
        <w:t xml:space="preserve">This information may be </w:t>
      </w:r>
      <w:r w:rsidRPr="00DE3A5D">
        <w:rPr>
          <w:rFonts w:ascii="Times New Roman" w:hAnsi="Times New Roman"/>
          <w:color w:val="000000"/>
          <w:sz w:val="20"/>
          <w:szCs w:val="20"/>
        </w:rPr>
        <w:t>obtain</w:t>
      </w:r>
      <w:r>
        <w:rPr>
          <w:rFonts w:ascii="Times New Roman" w:hAnsi="Times New Roman"/>
          <w:color w:val="000000"/>
          <w:sz w:val="20"/>
          <w:szCs w:val="20"/>
        </w:rPr>
        <w:t xml:space="preserve">ed through the State Bar of California’s website at </w:t>
      </w:r>
      <w:hyperlink r:id="rId1" w:history="1">
        <w:r w:rsidRPr="00915118">
          <w:rPr>
            <w:rStyle w:val="Hyperlink"/>
            <w:rFonts w:ascii="Times New Roman" w:hAnsi="Times New Roman"/>
            <w:sz w:val="20"/>
            <w:szCs w:val="20"/>
          </w:rPr>
          <w:t>http://members.calbar.ca.gov/fal/MemberSearch/QuickSearch</w:t>
        </w:r>
      </w:hyperlink>
      <w:r>
        <w:rPr>
          <w:rFonts w:ascii="Times New Roman" w:hAnsi="Times New Roman"/>
          <w:color w:val="000000"/>
          <w:sz w:val="20"/>
          <w:szCs w:val="20"/>
        </w:rPr>
        <w:t xml:space="preserve"> .</w:t>
      </w:r>
    </w:p>
  </w:footnote>
  <w:footnote w:id="3">
    <w:p w14:paraId="3CFB2A8D" w14:textId="18823A93" w:rsidR="00846673" w:rsidRDefault="00846673">
      <w:pPr>
        <w:pStyle w:val="FootnoteText"/>
      </w:pPr>
      <w:r>
        <w:rPr>
          <w:rStyle w:val="FootnoteReference"/>
        </w:rPr>
        <w:footnoteRef/>
      </w:r>
      <w:r>
        <w:t xml:space="preserve"> Attachments not included in final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819B" w14:textId="445D7825" w:rsidR="00E36CE5" w:rsidRDefault="00E36CE5" w:rsidP="00E36CE5">
    <w:pPr>
      <w:pStyle w:val="Header"/>
    </w:pPr>
    <w:r>
      <w:rPr>
        <w:color w:val="000000"/>
      </w:rPr>
      <w:t>R.23-</w:t>
    </w:r>
    <w:r w:rsidR="00D158A6">
      <w:rPr>
        <w:color w:val="000000"/>
      </w:rPr>
      <w:t>0</w:t>
    </w:r>
    <w:r>
      <w:rPr>
        <w:color w:val="000000"/>
      </w:rPr>
      <w:t>1-007 ALJ//CR2/JF2/cg7</w:t>
    </w:r>
  </w:p>
  <w:p w14:paraId="799A635C" w14:textId="77777777" w:rsidR="00E36CE5" w:rsidRDefault="00E36CE5">
    <w:pPr>
      <w:pStyle w:val="Header"/>
    </w:pPr>
  </w:p>
  <w:p w14:paraId="32D193FC" w14:textId="77777777" w:rsidR="00E36CE5" w:rsidRDefault="00E36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DE7783"/>
    <w:multiLevelType w:val="hybridMultilevel"/>
    <w:tmpl w:val="9DB0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803CA0"/>
    <w:multiLevelType w:val="hybridMultilevel"/>
    <w:tmpl w:val="AEEE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8179A5"/>
    <w:multiLevelType w:val="hybridMultilevel"/>
    <w:tmpl w:val="26C0DF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859171">
    <w:abstractNumId w:val="6"/>
  </w:num>
  <w:num w:numId="2" w16cid:durableId="342979468">
    <w:abstractNumId w:val="0"/>
  </w:num>
  <w:num w:numId="3" w16cid:durableId="720906946">
    <w:abstractNumId w:val="7"/>
  </w:num>
  <w:num w:numId="4" w16cid:durableId="2133866960">
    <w:abstractNumId w:val="4"/>
  </w:num>
  <w:num w:numId="5" w16cid:durableId="1194340526">
    <w:abstractNumId w:val="2"/>
  </w:num>
  <w:num w:numId="6" w16cid:durableId="1811745004">
    <w:abstractNumId w:val="5"/>
  </w:num>
  <w:num w:numId="7" w16cid:durableId="1302610970">
    <w:abstractNumId w:val="1"/>
  </w:num>
  <w:num w:numId="8" w16cid:durableId="1837187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20F6"/>
    <w:rsid w:val="00002C6E"/>
    <w:rsid w:val="000033ED"/>
    <w:rsid w:val="00003A49"/>
    <w:rsid w:val="00004E34"/>
    <w:rsid w:val="0000750E"/>
    <w:rsid w:val="00010F61"/>
    <w:rsid w:val="000111CC"/>
    <w:rsid w:val="00012269"/>
    <w:rsid w:val="0001690B"/>
    <w:rsid w:val="000169A5"/>
    <w:rsid w:val="00016A34"/>
    <w:rsid w:val="000170E1"/>
    <w:rsid w:val="0001734A"/>
    <w:rsid w:val="0002281B"/>
    <w:rsid w:val="00022B38"/>
    <w:rsid w:val="00023157"/>
    <w:rsid w:val="00025098"/>
    <w:rsid w:val="00025F06"/>
    <w:rsid w:val="000260A0"/>
    <w:rsid w:val="00026A15"/>
    <w:rsid w:val="00027B2E"/>
    <w:rsid w:val="00031659"/>
    <w:rsid w:val="00034492"/>
    <w:rsid w:val="00036F54"/>
    <w:rsid w:val="000413EB"/>
    <w:rsid w:val="00042B1C"/>
    <w:rsid w:val="000431EA"/>
    <w:rsid w:val="00043B59"/>
    <w:rsid w:val="000445E4"/>
    <w:rsid w:val="0004464C"/>
    <w:rsid w:val="00045A2F"/>
    <w:rsid w:val="00050E2D"/>
    <w:rsid w:val="00053593"/>
    <w:rsid w:val="00053DFB"/>
    <w:rsid w:val="0005473B"/>
    <w:rsid w:val="00062114"/>
    <w:rsid w:val="00063744"/>
    <w:rsid w:val="000664CD"/>
    <w:rsid w:val="00071617"/>
    <w:rsid w:val="00072C81"/>
    <w:rsid w:val="00072EFF"/>
    <w:rsid w:val="00072FF9"/>
    <w:rsid w:val="00074AA8"/>
    <w:rsid w:val="000758C4"/>
    <w:rsid w:val="00075FE0"/>
    <w:rsid w:val="00076D48"/>
    <w:rsid w:val="00077DFA"/>
    <w:rsid w:val="0008107A"/>
    <w:rsid w:val="00081CE0"/>
    <w:rsid w:val="00084EFA"/>
    <w:rsid w:val="00085954"/>
    <w:rsid w:val="0009607D"/>
    <w:rsid w:val="000A0B0B"/>
    <w:rsid w:val="000A473F"/>
    <w:rsid w:val="000A58A8"/>
    <w:rsid w:val="000A73AF"/>
    <w:rsid w:val="000B192C"/>
    <w:rsid w:val="000B2926"/>
    <w:rsid w:val="000B7337"/>
    <w:rsid w:val="000B76DC"/>
    <w:rsid w:val="000B78F0"/>
    <w:rsid w:val="000C3456"/>
    <w:rsid w:val="000D61D7"/>
    <w:rsid w:val="000D62F6"/>
    <w:rsid w:val="000D6CA0"/>
    <w:rsid w:val="000D6DF8"/>
    <w:rsid w:val="000D75F2"/>
    <w:rsid w:val="000E161B"/>
    <w:rsid w:val="000E1DBC"/>
    <w:rsid w:val="000E22E3"/>
    <w:rsid w:val="000E2FC1"/>
    <w:rsid w:val="000E3E27"/>
    <w:rsid w:val="000E41D9"/>
    <w:rsid w:val="000E526C"/>
    <w:rsid w:val="000E6ABD"/>
    <w:rsid w:val="000F2290"/>
    <w:rsid w:val="000F595C"/>
    <w:rsid w:val="000F6346"/>
    <w:rsid w:val="000F7670"/>
    <w:rsid w:val="000F7872"/>
    <w:rsid w:val="001020DE"/>
    <w:rsid w:val="0010234B"/>
    <w:rsid w:val="00102532"/>
    <w:rsid w:val="001040A2"/>
    <w:rsid w:val="0010480F"/>
    <w:rsid w:val="00105CC6"/>
    <w:rsid w:val="00110D89"/>
    <w:rsid w:val="00111831"/>
    <w:rsid w:val="001146C7"/>
    <w:rsid w:val="0011539D"/>
    <w:rsid w:val="00117681"/>
    <w:rsid w:val="00117965"/>
    <w:rsid w:val="00117AB1"/>
    <w:rsid w:val="001230B9"/>
    <w:rsid w:val="00123103"/>
    <w:rsid w:val="00123F96"/>
    <w:rsid w:val="0012457D"/>
    <w:rsid w:val="00125492"/>
    <w:rsid w:val="00132769"/>
    <w:rsid w:val="00132C1B"/>
    <w:rsid w:val="001343CC"/>
    <w:rsid w:val="001346EB"/>
    <w:rsid w:val="00135EC3"/>
    <w:rsid w:val="00136099"/>
    <w:rsid w:val="001360AB"/>
    <w:rsid w:val="0013772D"/>
    <w:rsid w:val="00137E63"/>
    <w:rsid w:val="00140807"/>
    <w:rsid w:val="0014182F"/>
    <w:rsid w:val="00141A4E"/>
    <w:rsid w:val="0015167F"/>
    <w:rsid w:val="00151AA8"/>
    <w:rsid w:val="001528EF"/>
    <w:rsid w:val="00152F94"/>
    <w:rsid w:val="00161401"/>
    <w:rsid w:val="00161B4A"/>
    <w:rsid w:val="001631D9"/>
    <w:rsid w:val="001635F9"/>
    <w:rsid w:val="001638E6"/>
    <w:rsid w:val="00163EC6"/>
    <w:rsid w:val="00167108"/>
    <w:rsid w:val="00167763"/>
    <w:rsid w:val="00171E73"/>
    <w:rsid w:val="00171EBF"/>
    <w:rsid w:val="00173564"/>
    <w:rsid w:val="0017381D"/>
    <w:rsid w:val="0017403A"/>
    <w:rsid w:val="00175865"/>
    <w:rsid w:val="00180E8C"/>
    <w:rsid w:val="00183429"/>
    <w:rsid w:val="00185ABA"/>
    <w:rsid w:val="001865AD"/>
    <w:rsid w:val="0018717A"/>
    <w:rsid w:val="001878C5"/>
    <w:rsid w:val="00194352"/>
    <w:rsid w:val="00194CE8"/>
    <w:rsid w:val="001960A1"/>
    <w:rsid w:val="001962EB"/>
    <w:rsid w:val="001966A8"/>
    <w:rsid w:val="001A0660"/>
    <w:rsid w:val="001A3B00"/>
    <w:rsid w:val="001A3B92"/>
    <w:rsid w:val="001A3B95"/>
    <w:rsid w:val="001A3DF7"/>
    <w:rsid w:val="001A40C7"/>
    <w:rsid w:val="001B10E3"/>
    <w:rsid w:val="001B250A"/>
    <w:rsid w:val="001B3B9E"/>
    <w:rsid w:val="001B4461"/>
    <w:rsid w:val="001B584C"/>
    <w:rsid w:val="001B62C5"/>
    <w:rsid w:val="001B6605"/>
    <w:rsid w:val="001B6963"/>
    <w:rsid w:val="001C0DD1"/>
    <w:rsid w:val="001C173A"/>
    <w:rsid w:val="001C21AE"/>
    <w:rsid w:val="001C2575"/>
    <w:rsid w:val="001C3708"/>
    <w:rsid w:val="001C4862"/>
    <w:rsid w:val="001C4CA8"/>
    <w:rsid w:val="001C6953"/>
    <w:rsid w:val="001C6D42"/>
    <w:rsid w:val="001C7955"/>
    <w:rsid w:val="001C7D1C"/>
    <w:rsid w:val="001D0A1A"/>
    <w:rsid w:val="001D1CCF"/>
    <w:rsid w:val="001D1CD2"/>
    <w:rsid w:val="001D1D38"/>
    <w:rsid w:val="001D3ED2"/>
    <w:rsid w:val="001D57D5"/>
    <w:rsid w:val="001D6A21"/>
    <w:rsid w:val="001E181B"/>
    <w:rsid w:val="001E2016"/>
    <w:rsid w:val="001E6FC0"/>
    <w:rsid w:val="001E75BC"/>
    <w:rsid w:val="001E77CF"/>
    <w:rsid w:val="001F109C"/>
    <w:rsid w:val="001F238E"/>
    <w:rsid w:val="001F39D8"/>
    <w:rsid w:val="001F3B6C"/>
    <w:rsid w:val="001F5027"/>
    <w:rsid w:val="001F5555"/>
    <w:rsid w:val="002000A0"/>
    <w:rsid w:val="00200BA6"/>
    <w:rsid w:val="00200EE5"/>
    <w:rsid w:val="00201870"/>
    <w:rsid w:val="0020221E"/>
    <w:rsid w:val="002027CC"/>
    <w:rsid w:val="002028EF"/>
    <w:rsid w:val="00204E3A"/>
    <w:rsid w:val="002055FA"/>
    <w:rsid w:val="00205B01"/>
    <w:rsid w:val="00212AC0"/>
    <w:rsid w:val="00212B26"/>
    <w:rsid w:val="00212E10"/>
    <w:rsid w:val="00213EC0"/>
    <w:rsid w:val="002141DD"/>
    <w:rsid w:val="00214B0D"/>
    <w:rsid w:val="00214B22"/>
    <w:rsid w:val="00217224"/>
    <w:rsid w:val="00217E6C"/>
    <w:rsid w:val="00221666"/>
    <w:rsid w:val="0022302F"/>
    <w:rsid w:val="00224041"/>
    <w:rsid w:val="00224E47"/>
    <w:rsid w:val="00230392"/>
    <w:rsid w:val="00230C12"/>
    <w:rsid w:val="00232854"/>
    <w:rsid w:val="00233AB7"/>
    <w:rsid w:val="002415DC"/>
    <w:rsid w:val="00241738"/>
    <w:rsid w:val="002432EA"/>
    <w:rsid w:val="00243EE5"/>
    <w:rsid w:val="002446F4"/>
    <w:rsid w:val="002466F8"/>
    <w:rsid w:val="00256F00"/>
    <w:rsid w:val="002573D5"/>
    <w:rsid w:val="0026012F"/>
    <w:rsid w:val="00260518"/>
    <w:rsid w:val="0026068C"/>
    <w:rsid w:val="00260723"/>
    <w:rsid w:val="00264333"/>
    <w:rsid w:val="00264D59"/>
    <w:rsid w:val="00270E2E"/>
    <w:rsid w:val="00271529"/>
    <w:rsid w:val="00273208"/>
    <w:rsid w:val="00273A85"/>
    <w:rsid w:val="0027425A"/>
    <w:rsid w:val="002766B6"/>
    <w:rsid w:val="002766C4"/>
    <w:rsid w:val="00283F49"/>
    <w:rsid w:val="002845EF"/>
    <w:rsid w:val="002862A8"/>
    <w:rsid w:val="00287AC1"/>
    <w:rsid w:val="0029161F"/>
    <w:rsid w:val="00291E52"/>
    <w:rsid w:val="00292A6A"/>
    <w:rsid w:val="00294DEF"/>
    <w:rsid w:val="002A4902"/>
    <w:rsid w:val="002A6C07"/>
    <w:rsid w:val="002B27AE"/>
    <w:rsid w:val="002B4302"/>
    <w:rsid w:val="002B4D39"/>
    <w:rsid w:val="002B5244"/>
    <w:rsid w:val="002B672B"/>
    <w:rsid w:val="002C3680"/>
    <w:rsid w:val="002C4372"/>
    <w:rsid w:val="002C4800"/>
    <w:rsid w:val="002D21CA"/>
    <w:rsid w:val="002D229D"/>
    <w:rsid w:val="002D288D"/>
    <w:rsid w:val="002D4253"/>
    <w:rsid w:val="002D53AA"/>
    <w:rsid w:val="002E0A76"/>
    <w:rsid w:val="002E0B04"/>
    <w:rsid w:val="002E1EE7"/>
    <w:rsid w:val="002E5E16"/>
    <w:rsid w:val="002E5F83"/>
    <w:rsid w:val="002E69C0"/>
    <w:rsid w:val="002E702E"/>
    <w:rsid w:val="002E77D8"/>
    <w:rsid w:val="002F03AF"/>
    <w:rsid w:val="002F03DB"/>
    <w:rsid w:val="002F34AA"/>
    <w:rsid w:val="002F5675"/>
    <w:rsid w:val="0030235A"/>
    <w:rsid w:val="0030269B"/>
    <w:rsid w:val="00303C2B"/>
    <w:rsid w:val="0031176E"/>
    <w:rsid w:val="00312330"/>
    <w:rsid w:val="003131C7"/>
    <w:rsid w:val="003168CE"/>
    <w:rsid w:val="003201B3"/>
    <w:rsid w:val="00322AD1"/>
    <w:rsid w:val="00324F33"/>
    <w:rsid w:val="00326731"/>
    <w:rsid w:val="003308C6"/>
    <w:rsid w:val="003311D1"/>
    <w:rsid w:val="00331E53"/>
    <w:rsid w:val="00335CF2"/>
    <w:rsid w:val="00337661"/>
    <w:rsid w:val="003414B3"/>
    <w:rsid w:val="00342C51"/>
    <w:rsid w:val="003468FC"/>
    <w:rsid w:val="00347FB1"/>
    <w:rsid w:val="003501DD"/>
    <w:rsid w:val="00352C6D"/>
    <w:rsid w:val="00354630"/>
    <w:rsid w:val="0035478A"/>
    <w:rsid w:val="00355471"/>
    <w:rsid w:val="0035606B"/>
    <w:rsid w:val="00357272"/>
    <w:rsid w:val="00357F1A"/>
    <w:rsid w:val="00360451"/>
    <w:rsid w:val="0036338E"/>
    <w:rsid w:val="003665D7"/>
    <w:rsid w:val="003674F5"/>
    <w:rsid w:val="00367867"/>
    <w:rsid w:val="003678B1"/>
    <w:rsid w:val="003711F9"/>
    <w:rsid w:val="00373BF8"/>
    <w:rsid w:val="00373F15"/>
    <w:rsid w:val="00374FD1"/>
    <w:rsid w:val="00376FC5"/>
    <w:rsid w:val="00377884"/>
    <w:rsid w:val="00377C40"/>
    <w:rsid w:val="003804FE"/>
    <w:rsid w:val="00380703"/>
    <w:rsid w:val="00380A6B"/>
    <w:rsid w:val="00382DD6"/>
    <w:rsid w:val="00387D5C"/>
    <w:rsid w:val="003910A4"/>
    <w:rsid w:val="0039261C"/>
    <w:rsid w:val="003937C8"/>
    <w:rsid w:val="0039636A"/>
    <w:rsid w:val="00396CE9"/>
    <w:rsid w:val="00397679"/>
    <w:rsid w:val="00397B48"/>
    <w:rsid w:val="003A20AB"/>
    <w:rsid w:val="003A42FA"/>
    <w:rsid w:val="003A4473"/>
    <w:rsid w:val="003B1782"/>
    <w:rsid w:val="003B4D6D"/>
    <w:rsid w:val="003B5EAC"/>
    <w:rsid w:val="003B6A1B"/>
    <w:rsid w:val="003B6CC0"/>
    <w:rsid w:val="003C23C5"/>
    <w:rsid w:val="003C36AF"/>
    <w:rsid w:val="003C3D0B"/>
    <w:rsid w:val="003C608A"/>
    <w:rsid w:val="003C680D"/>
    <w:rsid w:val="003D359B"/>
    <w:rsid w:val="003D4455"/>
    <w:rsid w:val="003D744B"/>
    <w:rsid w:val="003E0945"/>
    <w:rsid w:val="003E1F54"/>
    <w:rsid w:val="003E23D7"/>
    <w:rsid w:val="003E2784"/>
    <w:rsid w:val="003E34FD"/>
    <w:rsid w:val="003E3F92"/>
    <w:rsid w:val="003E7583"/>
    <w:rsid w:val="003F1A37"/>
    <w:rsid w:val="003F4619"/>
    <w:rsid w:val="00400FAB"/>
    <w:rsid w:val="0040134B"/>
    <w:rsid w:val="004014F9"/>
    <w:rsid w:val="00401BB6"/>
    <w:rsid w:val="004026B7"/>
    <w:rsid w:val="00402AFD"/>
    <w:rsid w:val="004031FB"/>
    <w:rsid w:val="00404C5F"/>
    <w:rsid w:val="0040565B"/>
    <w:rsid w:val="00406B30"/>
    <w:rsid w:val="00407931"/>
    <w:rsid w:val="00410F12"/>
    <w:rsid w:val="00412CB5"/>
    <w:rsid w:val="00414252"/>
    <w:rsid w:val="004143B9"/>
    <w:rsid w:val="00415682"/>
    <w:rsid w:val="004166CD"/>
    <w:rsid w:val="00416F7D"/>
    <w:rsid w:val="004228C0"/>
    <w:rsid w:val="00423B7F"/>
    <w:rsid w:val="00424073"/>
    <w:rsid w:val="004322AB"/>
    <w:rsid w:val="004328E0"/>
    <w:rsid w:val="0043318A"/>
    <w:rsid w:val="00436DA4"/>
    <w:rsid w:val="00437127"/>
    <w:rsid w:val="004414B5"/>
    <w:rsid w:val="00447F2E"/>
    <w:rsid w:val="00451303"/>
    <w:rsid w:val="004534E7"/>
    <w:rsid w:val="00456D0C"/>
    <w:rsid w:val="00462073"/>
    <w:rsid w:val="00462CB1"/>
    <w:rsid w:val="00474A73"/>
    <w:rsid w:val="0047548B"/>
    <w:rsid w:val="00475B22"/>
    <w:rsid w:val="00480BF6"/>
    <w:rsid w:val="004814E4"/>
    <w:rsid w:val="004839A0"/>
    <w:rsid w:val="004840D2"/>
    <w:rsid w:val="004843FC"/>
    <w:rsid w:val="00485082"/>
    <w:rsid w:val="004926C9"/>
    <w:rsid w:val="004929D3"/>
    <w:rsid w:val="004940F7"/>
    <w:rsid w:val="00494346"/>
    <w:rsid w:val="00496200"/>
    <w:rsid w:val="004A2551"/>
    <w:rsid w:val="004A35C3"/>
    <w:rsid w:val="004A5BC1"/>
    <w:rsid w:val="004A7621"/>
    <w:rsid w:val="004B1916"/>
    <w:rsid w:val="004B31BA"/>
    <w:rsid w:val="004B3EB4"/>
    <w:rsid w:val="004C0961"/>
    <w:rsid w:val="004C39A1"/>
    <w:rsid w:val="004D167B"/>
    <w:rsid w:val="004D1699"/>
    <w:rsid w:val="004D2EE6"/>
    <w:rsid w:val="004D30C5"/>
    <w:rsid w:val="004D6120"/>
    <w:rsid w:val="004D6B6D"/>
    <w:rsid w:val="004D7387"/>
    <w:rsid w:val="004D779D"/>
    <w:rsid w:val="004E0395"/>
    <w:rsid w:val="004E3939"/>
    <w:rsid w:val="004E3D93"/>
    <w:rsid w:val="004E4AD4"/>
    <w:rsid w:val="004E5FBE"/>
    <w:rsid w:val="004E6C1C"/>
    <w:rsid w:val="004E7165"/>
    <w:rsid w:val="004E7D14"/>
    <w:rsid w:val="004F3579"/>
    <w:rsid w:val="004F429C"/>
    <w:rsid w:val="004F5884"/>
    <w:rsid w:val="004F5B1A"/>
    <w:rsid w:val="005001FB"/>
    <w:rsid w:val="00500ADF"/>
    <w:rsid w:val="005011C3"/>
    <w:rsid w:val="00503BFB"/>
    <w:rsid w:val="00503C98"/>
    <w:rsid w:val="00503E22"/>
    <w:rsid w:val="00504002"/>
    <w:rsid w:val="005101B8"/>
    <w:rsid w:val="00510C39"/>
    <w:rsid w:val="005134F9"/>
    <w:rsid w:val="00514453"/>
    <w:rsid w:val="005148D5"/>
    <w:rsid w:val="00515297"/>
    <w:rsid w:val="00516CE7"/>
    <w:rsid w:val="0052027B"/>
    <w:rsid w:val="005215EF"/>
    <w:rsid w:val="00521B86"/>
    <w:rsid w:val="00525CD2"/>
    <w:rsid w:val="00527276"/>
    <w:rsid w:val="00527880"/>
    <w:rsid w:val="00527FDB"/>
    <w:rsid w:val="00530420"/>
    <w:rsid w:val="0053179D"/>
    <w:rsid w:val="00533373"/>
    <w:rsid w:val="00533B72"/>
    <w:rsid w:val="0053451C"/>
    <w:rsid w:val="005352A8"/>
    <w:rsid w:val="00537647"/>
    <w:rsid w:val="00537EAC"/>
    <w:rsid w:val="005401AC"/>
    <w:rsid w:val="00541AB3"/>
    <w:rsid w:val="005423BF"/>
    <w:rsid w:val="005432E5"/>
    <w:rsid w:val="005448C6"/>
    <w:rsid w:val="00544F05"/>
    <w:rsid w:val="00545F80"/>
    <w:rsid w:val="00547145"/>
    <w:rsid w:val="005474D2"/>
    <w:rsid w:val="00550F4F"/>
    <w:rsid w:val="00551967"/>
    <w:rsid w:val="0055228B"/>
    <w:rsid w:val="005540A4"/>
    <w:rsid w:val="005548CD"/>
    <w:rsid w:val="00554AEB"/>
    <w:rsid w:val="00554C0F"/>
    <w:rsid w:val="00555820"/>
    <w:rsid w:val="00555951"/>
    <w:rsid w:val="00556672"/>
    <w:rsid w:val="0055772D"/>
    <w:rsid w:val="00557B6B"/>
    <w:rsid w:val="005633CC"/>
    <w:rsid w:val="005636FA"/>
    <w:rsid w:val="00565F6E"/>
    <w:rsid w:val="005704E6"/>
    <w:rsid w:val="0057172C"/>
    <w:rsid w:val="0057575B"/>
    <w:rsid w:val="0058209C"/>
    <w:rsid w:val="00587F6D"/>
    <w:rsid w:val="005912FA"/>
    <w:rsid w:val="00591A06"/>
    <w:rsid w:val="00594144"/>
    <w:rsid w:val="005942C2"/>
    <w:rsid w:val="005959FB"/>
    <w:rsid w:val="00597B79"/>
    <w:rsid w:val="005A18C9"/>
    <w:rsid w:val="005A1C2F"/>
    <w:rsid w:val="005A3E14"/>
    <w:rsid w:val="005A53F1"/>
    <w:rsid w:val="005A63D4"/>
    <w:rsid w:val="005A65C2"/>
    <w:rsid w:val="005A67C4"/>
    <w:rsid w:val="005B2C3C"/>
    <w:rsid w:val="005B2E64"/>
    <w:rsid w:val="005B53FD"/>
    <w:rsid w:val="005B5CEA"/>
    <w:rsid w:val="005B7098"/>
    <w:rsid w:val="005C1408"/>
    <w:rsid w:val="005C1F13"/>
    <w:rsid w:val="005C21FF"/>
    <w:rsid w:val="005C327F"/>
    <w:rsid w:val="005C56BC"/>
    <w:rsid w:val="005C6043"/>
    <w:rsid w:val="005C6AC0"/>
    <w:rsid w:val="005C7D09"/>
    <w:rsid w:val="005D030B"/>
    <w:rsid w:val="005D2574"/>
    <w:rsid w:val="005D2A70"/>
    <w:rsid w:val="005D4633"/>
    <w:rsid w:val="005D5DD7"/>
    <w:rsid w:val="005E2557"/>
    <w:rsid w:val="005E2DBB"/>
    <w:rsid w:val="005E3151"/>
    <w:rsid w:val="005E3E02"/>
    <w:rsid w:val="005E46D0"/>
    <w:rsid w:val="005E6F20"/>
    <w:rsid w:val="005F15B2"/>
    <w:rsid w:val="005F4465"/>
    <w:rsid w:val="005F49B0"/>
    <w:rsid w:val="005F4D82"/>
    <w:rsid w:val="005F50F8"/>
    <w:rsid w:val="005F6250"/>
    <w:rsid w:val="005F6EAB"/>
    <w:rsid w:val="005F715A"/>
    <w:rsid w:val="006020AD"/>
    <w:rsid w:val="0060529B"/>
    <w:rsid w:val="006060ED"/>
    <w:rsid w:val="00606F31"/>
    <w:rsid w:val="0061292B"/>
    <w:rsid w:val="00613A97"/>
    <w:rsid w:val="006202E0"/>
    <w:rsid w:val="00621A7C"/>
    <w:rsid w:val="00623724"/>
    <w:rsid w:val="00623F5C"/>
    <w:rsid w:val="006246E4"/>
    <w:rsid w:val="0062500F"/>
    <w:rsid w:val="0062522A"/>
    <w:rsid w:val="006307C3"/>
    <w:rsid w:val="00633DDA"/>
    <w:rsid w:val="00633E7F"/>
    <w:rsid w:val="0063400E"/>
    <w:rsid w:val="006349B8"/>
    <w:rsid w:val="00635DED"/>
    <w:rsid w:val="00637654"/>
    <w:rsid w:val="006401DF"/>
    <w:rsid w:val="00644150"/>
    <w:rsid w:val="00644DBD"/>
    <w:rsid w:val="006454D1"/>
    <w:rsid w:val="0064766E"/>
    <w:rsid w:val="0065087E"/>
    <w:rsid w:val="006522CA"/>
    <w:rsid w:val="00652DEA"/>
    <w:rsid w:val="006530E8"/>
    <w:rsid w:val="00654167"/>
    <w:rsid w:val="00657546"/>
    <w:rsid w:val="006579C1"/>
    <w:rsid w:val="00660B01"/>
    <w:rsid w:val="00660D7E"/>
    <w:rsid w:val="00661029"/>
    <w:rsid w:val="006637D2"/>
    <w:rsid w:val="00666C12"/>
    <w:rsid w:val="00667A0D"/>
    <w:rsid w:val="00671169"/>
    <w:rsid w:val="00673595"/>
    <w:rsid w:val="00673EB1"/>
    <w:rsid w:val="006772AA"/>
    <w:rsid w:val="0067789B"/>
    <w:rsid w:val="00680B05"/>
    <w:rsid w:val="00680F99"/>
    <w:rsid w:val="00681D0E"/>
    <w:rsid w:val="00681EDA"/>
    <w:rsid w:val="00682584"/>
    <w:rsid w:val="00682701"/>
    <w:rsid w:val="00691528"/>
    <w:rsid w:val="00692082"/>
    <w:rsid w:val="006925D5"/>
    <w:rsid w:val="00692738"/>
    <w:rsid w:val="00693B69"/>
    <w:rsid w:val="00693CBE"/>
    <w:rsid w:val="00693CF4"/>
    <w:rsid w:val="006956C7"/>
    <w:rsid w:val="00695BEE"/>
    <w:rsid w:val="0069764F"/>
    <w:rsid w:val="00697690"/>
    <w:rsid w:val="006A134E"/>
    <w:rsid w:val="006A45EF"/>
    <w:rsid w:val="006A648A"/>
    <w:rsid w:val="006A7272"/>
    <w:rsid w:val="006B147E"/>
    <w:rsid w:val="006B1FAE"/>
    <w:rsid w:val="006B541B"/>
    <w:rsid w:val="006B6E38"/>
    <w:rsid w:val="006B7375"/>
    <w:rsid w:val="006C2907"/>
    <w:rsid w:val="006C58A1"/>
    <w:rsid w:val="006C5A0C"/>
    <w:rsid w:val="006C6D9E"/>
    <w:rsid w:val="006C7B0C"/>
    <w:rsid w:val="006D133C"/>
    <w:rsid w:val="006D1BE0"/>
    <w:rsid w:val="006D24B7"/>
    <w:rsid w:val="006D4B0E"/>
    <w:rsid w:val="006D6ED2"/>
    <w:rsid w:val="006D7850"/>
    <w:rsid w:val="006E24EA"/>
    <w:rsid w:val="006E2659"/>
    <w:rsid w:val="006E269D"/>
    <w:rsid w:val="006E2AA2"/>
    <w:rsid w:val="006E375E"/>
    <w:rsid w:val="006E3894"/>
    <w:rsid w:val="006E57EB"/>
    <w:rsid w:val="006E6F8C"/>
    <w:rsid w:val="006F0BC5"/>
    <w:rsid w:val="006F1A71"/>
    <w:rsid w:val="006F3A6C"/>
    <w:rsid w:val="006F4E40"/>
    <w:rsid w:val="006F69F6"/>
    <w:rsid w:val="006F738C"/>
    <w:rsid w:val="00701FF6"/>
    <w:rsid w:val="00703D5A"/>
    <w:rsid w:val="00705CE9"/>
    <w:rsid w:val="00706E8D"/>
    <w:rsid w:val="007112D4"/>
    <w:rsid w:val="007123B4"/>
    <w:rsid w:val="0071262A"/>
    <w:rsid w:val="00712B6C"/>
    <w:rsid w:val="0071317B"/>
    <w:rsid w:val="0071448B"/>
    <w:rsid w:val="007165F4"/>
    <w:rsid w:val="0072650A"/>
    <w:rsid w:val="00727248"/>
    <w:rsid w:val="0073013B"/>
    <w:rsid w:val="007305D3"/>
    <w:rsid w:val="007308B7"/>
    <w:rsid w:val="007324EA"/>
    <w:rsid w:val="00734746"/>
    <w:rsid w:val="00735548"/>
    <w:rsid w:val="00737D2E"/>
    <w:rsid w:val="00737E57"/>
    <w:rsid w:val="00740616"/>
    <w:rsid w:val="007409D2"/>
    <w:rsid w:val="00740A6B"/>
    <w:rsid w:val="007419C7"/>
    <w:rsid w:val="00743367"/>
    <w:rsid w:val="007450A3"/>
    <w:rsid w:val="00745835"/>
    <w:rsid w:val="0074620B"/>
    <w:rsid w:val="0075424A"/>
    <w:rsid w:val="00754557"/>
    <w:rsid w:val="00755B9A"/>
    <w:rsid w:val="007575CF"/>
    <w:rsid w:val="00757B44"/>
    <w:rsid w:val="00763C81"/>
    <w:rsid w:val="00765D55"/>
    <w:rsid w:val="00766A6C"/>
    <w:rsid w:val="007706C1"/>
    <w:rsid w:val="00772C0E"/>
    <w:rsid w:val="00772FBE"/>
    <w:rsid w:val="007730BA"/>
    <w:rsid w:val="00773E76"/>
    <w:rsid w:val="00777892"/>
    <w:rsid w:val="00777907"/>
    <w:rsid w:val="00780C7B"/>
    <w:rsid w:val="007879C5"/>
    <w:rsid w:val="00791306"/>
    <w:rsid w:val="007913EC"/>
    <w:rsid w:val="0079154D"/>
    <w:rsid w:val="00791AE3"/>
    <w:rsid w:val="00792007"/>
    <w:rsid w:val="007942C7"/>
    <w:rsid w:val="007948AF"/>
    <w:rsid w:val="007A0085"/>
    <w:rsid w:val="007A37A9"/>
    <w:rsid w:val="007A3FCC"/>
    <w:rsid w:val="007A72D1"/>
    <w:rsid w:val="007A731E"/>
    <w:rsid w:val="007B01A5"/>
    <w:rsid w:val="007B19E8"/>
    <w:rsid w:val="007B4553"/>
    <w:rsid w:val="007B689B"/>
    <w:rsid w:val="007B6D90"/>
    <w:rsid w:val="007C1B69"/>
    <w:rsid w:val="007C2EF2"/>
    <w:rsid w:val="007C488C"/>
    <w:rsid w:val="007C6474"/>
    <w:rsid w:val="007C6D1B"/>
    <w:rsid w:val="007C70BA"/>
    <w:rsid w:val="007D1DAE"/>
    <w:rsid w:val="007D5E02"/>
    <w:rsid w:val="007D70C2"/>
    <w:rsid w:val="007D71A8"/>
    <w:rsid w:val="007D748A"/>
    <w:rsid w:val="007E017A"/>
    <w:rsid w:val="007E3216"/>
    <w:rsid w:val="007E71C3"/>
    <w:rsid w:val="007F2D41"/>
    <w:rsid w:val="007F620E"/>
    <w:rsid w:val="007F6CF5"/>
    <w:rsid w:val="007F6F42"/>
    <w:rsid w:val="0080142C"/>
    <w:rsid w:val="00802101"/>
    <w:rsid w:val="00802701"/>
    <w:rsid w:val="00805286"/>
    <w:rsid w:val="00805826"/>
    <w:rsid w:val="00806EE0"/>
    <w:rsid w:val="00807DA9"/>
    <w:rsid w:val="00810FE4"/>
    <w:rsid w:val="00811E3E"/>
    <w:rsid w:val="008144E9"/>
    <w:rsid w:val="00814947"/>
    <w:rsid w:val="00814A22"/>
    <w:rsid w:val="008157D1"/>
    <w:rsid w:val="00815F1F"/>
    <w:rsid w:val="0081626F"/>
    <w:rsid w:val="008164ED"/>
    <w:rsid w:val="00816A18"/>
    <w:rsid w:val="00820400"/>
    <w:rsid w:val="00821064"/>
    <w:rsid w:val="00821962"/>
    <w:rsid w:val="00821AF1"/>
    <w:rsid w:val="00822906"/>
    <w:rsid w:val="00822A64"/>
    <w:rsid w:val="008237FD"/>
    <w:rsid w:val="00824E04"/>
    <w:rsid w:val="0083074A"/>
    <w:rsid w:val="0083350A"/>
    <w:rsid w:val="00833C6A"/>
    <w:rsid w:val="0083401C"/>
    <w:rsid w:val="008348D5"/>
    <w:rsid w:val="00834DC3"/>
    <w:rsid w:val="00837184"/>
    <w:rsid w:val="00837FF1"/>
    <w:rsid w:val="00841879"/>
    <w:rsid w:val="00843B69"/>
    <w:rsid w:val="00843F04"/>
    <w:rsid w:val="00845269"/>
    <w:rsid w:val="00846673"/>
    <w:rsid w:val="00853BBA"/>
    <w:rsid w:val="00855E98"/>
    <w:rsid w:val="00855FD7"/>
    <w:rsid w:val="00856665"/>
    <w:rsid w:val="00857881"/>
    <w:rsid w:val="00860BC4"/>
    <w:rsid w:val="00861072"/>
    <w:rsid w:val="00861CA4"/>
    <w:rsid w:val="00863088"/>
    <w:rsid w:val="008631C9"/>
    <w:rsid w:val="0086407D"/>
    <w:rsid w:val="0086566C"/>
    <w:rsid w:val="008666C9"/>
    <w:rsid w:val="0087359D"/>
    <w:rsid w:val="0088055A"/>
    <w:rsid w:val="00880A25"/>
    <w:rsid w:val="008844B6"/>
    <w:rsid w:val="00885374"/>
    <w:rsid w:val="00885956"/>
    <w:rsid w:val="00886869"/>
    <w:rsid w:val="00896176"/>
    <w:rsid w:val="00896BDA"/>
    <w:rsid w:val="008A0CA3"/>
    <w:rsid w:val="008A6057"/>
    <w:rsid w:val="008A7D8C"/>
    <w:rsid w:val="008B1B58"/>
    <w:rsid w:val="008B67E2"/>
    <w:rsid w:val="008C09F7"/>
    <w:rsid w:val="008C0B45"/>
    <w:rsid w:val="008C1EFF"/>
    <w:rsid w:val="008C2208"/>
    <w:rsid w:val="008C28B9"/>
    <w:rsid w:val="008C2DA6"/>
    <w:rsid w:val="008C3874"/>
    <w:rsid w:val="008C3AF5"/>
    <w:rsid w:val="008C580E"/>
    <w:rsid w:val="008C6A66"/>
    <w:rsid w:val="008D03C6"/>
    <w:rsid w:val="008D068B"/>
    <w:rsid w:val="008D3997"/>
    <w:rsid w:val="008D43F5"/>
    <w:rsid w:val="008D45D0"/>
    <w:rsid w:val="008D4E01"/>
    <w:rsid w:val="008E3450"/>
    <w:rsid w:val="008E4336"/>
    <w:rsid w:val="008E47E2"/>
    <w:rsid w:val="008E4F22"/>
    <w:rsid w:val="008E7C18"/>
    <w:rsid w:val="008F410D"/>
    <w:rsid w:val="008F6035"/>
    <w:rsid w:val="00900A33"/>
    <w:rsid w:val="00901BFA"/>
    <w:rsid w:val="00902E8B"/>
    <w:rsid w:val="009051C1"/>
    <w:rsid w:val="00911041"/>
    <w:rsid w:val="009112D3"/>
    <w:rsid w:val="00913369"/>
    <w:rsid w:val="00915118"/>
    <w:rsid w:val="00916707"/>
    <w:rsid w:val="009176BF"/>
    <w:rsid w:val="0092015F"/>
    <w:rsid w:val="009213F8"/>
    <w:rsid w:val="00921738"/>
    <w:rsid w:val="00922FCE"/>
    <w:rsid w:val="00925FAB"/>
    <w:rsid w:val="0092681D"/>
    <w:rsid w:val="009278F2"/>
    <w:rsid w:val="0092791F"/>
    <w:rsid w:val="009311F3"/>
    <w:rsid w:val="00934143"/>
    <w:rsid w:val="00936B7E"/>
    <w:rsid w:val="00940487"/>
    <w:rsid w:val="009414FB"/>
    <w:rsid w:val="00942DBA"/>
    <w:rsid w:val="00946D4F"/>
    <w:rsid w:val="0094734C"/>
    <w:rsid w:val="00947B9B"/>
    <w:rsid w:val="009503A8"/>
    <w:rsid w:val="00951D09"/>
    <w:rsid w:val="00952732"/>
    <w:rsid w:val="00952F0A"/>
    <w:rsid w:val="00953131"/>
    <w:rsid w:val="0095418C"/>
    <w:rsid w:val="00956301"/>
    <w:rsid w:val="00956B40"/>
    <w:rsid w:val="00957272"/>
    <w:rsid w:val="009619ED"/>
    <w:rsid w:val="0096367C"/>
    <w:rsid w:val="00963EEF"/>
    <w:rsid w:val="00964140"/>
    <w:rsid w:val="00964C48"/>
    <w:rsid w:val="009701FB"/>
    <w:rsid w:val="00970FFA"/>
    <w:rsid w:val="009724C8"/>
    <w:rsid w:val="00972755"/>
    <w:rsid w:val="00973C20"/>
    <w:rsid w:val="00974D2A"/>
    <w:rsid w:val="00976D5C"/>
    <w:rsid w:val="009831C2"/>
    <w:rsid w:val="00983D95"/>
    <w:rsid w:val="00986C1C"/>
    <w:rsid w:val="00986EDB"/>
    <w:rsid w:val="009874E2"/>
    <w:rsid w:val="00991EC0"/>
    <w:rsid w:val="009920CE"/>
    <w:rsid w:val="00992559"/>
    <w:rsid w:val="00996775"/>
    <w:rsid w:val="009A0BD3"/>
    <w:rsid w:val="009A13CA"/>
    <w:rsid w:val="009A1AA8"/>
    <w:rsid w:val="009A3582"/>
    <w:rsid w:val="009A3686"/>
    <w:rsid w:val="009A62F6"/>
    <w:rsid w:val="009A6688"/>
    <w:rsid w:val="009B0B99"/>
    <w:rsid w:val="009B1367"/>
    <w:rsid w:val="009B3213"/>
    <w:rsid w:val="009B44A0"/>
    <w:rsid w:val="009B5420"/>
    <w:rsid w:val="009B69F8"/>
    <w:rsid w:val="009C009F"/>
    <w:rsid w:val="009C05AA"/>
    <w:rsid w:val="009C23A9"/>
    <w:rsid w:val="009C7749"/>
    <w:rsid w:val="009D0F89"/>
    <w:rsid w:val="009D2EEA"/>
    <w:rsid w:val="009D345E"/>
    <w:rsid w:val="009D420C"/>
    <w:rsid w:val="009E0131"/>
    <w:rsid w:val="009E03C2"/>
    <w:rsid w:val="009E0BA3"/>
    <w:rsid w:val="009E290A"/>
    <w:rsid w:val="009E48E4"/>
    <w:rsid w:val="009E491F"/>
    <w:rsid w:val="009E777B"/>
    <w:rsid w:val="009F04CF"/>
    <w:rsid w:val="009F1EDA"/>
    <w:rsid w:val="009F3BD8"/>
    <w:rsid w:val="009F3C1E"/>
    <w:rsid w:val="009F4A11"/>
    <w:rsid w:val="009F5946"/>
    <w:rsid w:val="009F5B40"/>
    <w:rsid w:val="009F78F3"/>
    <w:rsid w:val="00A00AB5"/>
    <w:rsid w:val="00A02C26"/>
    <w:rsid w:val="00A042CA"/>
    <w:rsid w:val="00A055D3"/>
    <w:rsid w:val="00A07A96"/>
    <w:rsid w:val="00A111D1"/>
    <w:rsid w:val="00A118BC"/>
    <w:rsid w:val="00A22B05"/>
    <w:rsid w:val="00A25294"/>
    <w:rsid w:val="00A319DE"/>
    <w:rsid w:val="00A319EF"/>
    <w:rsid w:val="00A32A93"/>
    <w:rsid w:val="00A32FC1"/>
    <w:rsid w:val="00A35B9E"/>
    <w:rsid w:val="00A402F4"/>
    <w:rsid w:val="00A412FC"/>
    <w:rsid w:val="00A4482E"/>
    <w:rsid w:val="00A46643"/>
    <w:rsid w:val="00A46AB1"/>
    <w:rsid w:val="00A50A31"/>
    <w:rsid w:val="00A51538"/>
    <w:rsid w:val="00A54B87"/>
    <w:rsid w:val="00A553FB"/>
    <w:rsid w:val="00A56EED"/>
    <w:rsid w:val="00A60B32"/>
    <w:rsid w:val="00A61BCE"/>
    <w:rsid w:val="00A642E9"/>
    <w:rsid w:val="00A6477D"/>
    <w:rsid w:val="00A647DB"/>
    <w:rsid w:val="00A66F05"/>
    <w:rsid w:val="00A67E89"/>
    <w:rsid w:val="00A7079A"/>
    <w:rsid w:val="00A72547"/>
    <w:rsid w:val="00A73B58"/>
    <w:rsid w:val="00A75D2D"/>
    <w:rsid w:val="00A762BD"/>
    <w:rsid w:val="00A8142D"/>
    <w:rsid w:val="00A832DF"/>
    <w:rsid w:val="00A83BA0"/>
    <w:rsid w:val="00A8435C"/>
    <w:rsid w:val="00A8516C"/>
    <w:rsid w:val="00A866D2"/>
    <w:rsid w:val="00A86988"/>
    <w:rsid w:val="00A910F1"/>
    <w:rsid w:val="00A92D0B"/>
    <w:rsid w:val="00A96FA8"/>
    <w:rsid w:val="00AA061F"/>
    <w:rsid w:val="00AA1740"/>
    <w:rsid w:val="00AA2CE4"/>
    <w:rsid w:val="00AA3387"/>
    <w:rsid w:val="00AA3CCA"/>
    <w:rsid w:val="00AA48CE"/>
    <w:rsid w:val="00AA4AFF"/>
    <w:rsid w:val="00AA654B"/>
    <w:rsid w:val="00AA71D5"/>
    <w:rsid w:val="00AA7952"/>
    <w:rsid w:val="00AA7F5E"/>
    <w:rsid w:val="00AB2F7F"/>
    <w:rsid w:val="00AB3510"/>
    <w:rsid w:val="00AB4702"/>
    <w:rsid w:val="00AC0810"/>
    <w:rsid w:val="00AC0F7F"/>
    <w:rsid w:val="00AC5390"/>
    <w:rsid w:val="00AC5681"/>
    <w:rsid w:val="00AC5A4B"/>
    <w:rsid w:val="00AC6D45"/>
    <w:rsid w:val="00AC7CC5"/>
    <w:rsid w:val="00AC7F89"/>
    <w:rsid w:val="00AD127B"/>
    <w:rsid w:val="00AD14DB"/>
    <w:rsid w:val="00AD1F5F"/>
    <w:rsid w:val="00AD329C"/>
    <w:rsid w:val="00AD5797"/>
    <w:rsid w:val="00AD742A"/>
    <w:rsid w:val="00AD7FD5"/>
    <w:rsid w:val="00AE2280"/>
    <w:rsid w:val="00AE429F"/>
    <w:rsid w:val="00AE46BF"/>
    <w:rsid w:val="00AE5351"/>
    <w:rsid w:val="00AE61C1"/>
    <w:rsid w:val="00AE6DBB"/>
    <w:rsid w:val="00AF05FA"/>
    <w:rsid w:val="00AF081B"/>
    <w:rsid w:val="00AF20D1"/>
    <w:rsid w:val="00AF3290"/>
    <w:rsid w:val="00AF3AF7"/>
    <w:rsid w:val="00AF4042"/>
    <w:rsid w:val="00AF5D0C"/>
    <w:rsid w:val="00AF7B3D"/>
    <w:rsid w:val="00B00BCD"/>
    <w:rsid w:val="00B0138D"/>
    <w:rsid w:val="00B03003"/>
    <w:rsid w:val="00B0359E"/>
    <w:rsid w:val="00B04419"/>
    <w:rsid w:val="00B044D4"/>
    <w:rsid w:val="00B06A9C"/>
    <w:rsid w:val="00B07A80"/>
    <w:rsid w:val="00B10119"/>
    <w:rsid w:val="00B10BA4"/>
    <w:rsid w:val="00B128CF"/>
    <w:rsid w:val="00B13D0D"/>
    <w:rsid w:val="00B1593B"/>
    <w:rsid w:val="00B1619D"/>
    <w:rsid w:val="00B16293"/>
    <w:rsid w:val="00B16522"/>
    <w:rsid w:val="00B16599"/>
    <w:rsid w:val="00B17D2C"/>
    <w:rsid w:val="00B211F1"/>
    <w:rsid w:val="00B22A02"/>
    <w:rsid w:val="00B22BD8"/>
    <w:rsid w:val="00B2401E"/>
    <w:rsid w:val="00B2688F"/>
    <w:rsid w:val="00B26BC7"/>
    <w:rsid w:val="00B26C62"/>
    <w:rsid w:val="00B30949"/>
    <w:rsid w:val="00B30D86"/>
    <w:rsid w:val="00B30EFA"/>
    <w:rsid w:val="00B312DA"/>
    <w:rsid w:val="00B31565"/>
    <w:rsid w:val="00B3487F"/>
    <w:rsid w:val="00B37594"/>
    <w:rsid w:val="00B41F4D"/>
    <w:rsid w:val="00B42D81"/>
    <w:rsid w:val="00B4612F"/>
    <w:rsid w:val="00B503EF"/>
    <w:rsid w:val="00B51591"/>
    <w:rsid w:val="00B51C2B"/>
    <w:rsid w:val="00B52562"/>
    <w:rsid w:val="00B5444A"/>
    <w:rsid w:val="00B54991"/>
    <w:rsid w:val="00B55CCD"/>
    <w:rsid w:val="00B55D78"/>
    <w:rsid w:val="00B56717"/>
    <w:rsid w:val="00B570D4"/>
    <w:rsid w:val="00B575D3"/>
    <w:rsid w:val="00B602D1"/>
    <w:rsid w:val="00B60E7A"/>
    <w:rsid w:val="00B617F5"/>
    <w:rsid w:val="00B62AC0"/>
    <w:rsid w:val="00B66578"/>
    <w:rsid w:val="00B66CF5"/>
    <w:rsid w:val="00B678EC"/>
    <w:rsid w:val="00B7065F"/>
    <w:rsid w:val="00B7151E"/>
    <w:rsid w:val="00B7207F"/>
    <w:rsid w:val="00B74F6A"/>
    <w:rsid w:val="00B81A16"/>
    <w:rsid w:val="00B87040"/>
    <w:rsid w:val="00B87DD9"/>
    <w:rsid w:val="00B96723"/>
    <w:rsid w:val="00BA1EE3"/>
    <w:rsid w:val="00BA48B7"/>
    <w:rsid w:val="00BA4964"/>
    <w:rsid w:val="00BA548C"/>
    <w:rsid w:val="00BA5748"/>
    <w:rsid w:val="00BA635D"/>
    <w:rsid w:val="00BA6F05"/>
    <w:rsid w:val="00BA7292"/>
    <w:rsid w:val="00BA7833"/>
    <w:rsid w:val="00BA7AC4"/>
    <w:rsid w:val="00BB032C"/>
    <w:rsid w:val="00BB0414"/>
    <w:rsid w:val="00BB097C"/>
    <w:rsid w:val="00BB0A86"/>
    <w:rsid w:val="00BB3A55"/>
    <w:rsid w:val="00BB431E"/>
    <w:rsid w:val="00BB49BB"/>
    <w:rsid w:val="00BB7F66"/>
    <w:rsid w:val="00BC37EB"/>
    <w:rsid w:val="00BC6313"/>
    <w:rsid w:val="00BC7A19"/>
    <w:rsid w:val="00BD0847"/>
    <w:rsid w:val="00BD0898"/>
    <w:rsid w:val="00BD1A9A"/>
    <w:rsid w:val="00BD1FEF"/>
    <w:rsid w:val="00BD57EA"/>
    <w:rsid w:val="00BD7CC4"/>
    <w:rsid w:val="00BD7DAE"/>
    <w:rsid w:val="00BE2652"/>
    <w:rsid w:val="00BE3A26"/>
    <w:rsid w:val="00BE400D"/>
    <w:rsid w:val="00BE45D0"/>
    <w:rsid w:val="00BE4F7C"/>
    <w:rsid w:val="00BE5146"/>
    <w:rsid w:val="00BE6B80"/>
    <w:rsid w:val="00BE731D"/>
    <w:rsid w:val="00BE7EDF"/>
    <w:rsid w:val="00BF1B1D"/>
    <w:rsid w:val="00BF1D83"/>
    <w:rsid w:val="00BF2F45"/>
    <w:rsid w:val="00BF5081"/>
    <w:rsid w:val="00BF71C6"/>
    <w:rsid w:val="00BF787D"/>
    <w:rsid w:val="00C022AE"/>
    <w:rsid w:val="00C02649"/>
    <w:rsid w:val="00C02A66"/>
    <w:rsid w:val="00C03BA4"/>
    <w:rsid w:val="00C0471D"/>
    <w:rsid w:val="00C07F94"/>
    <w:rsid w:val="00C128A0"/>
    <w:rsid w:val="00C13416"/>
    <w:rsid w:val="00C1365D"/>
    <w:rsid w:val="00C13B3F"/>
    <w:rsid w:val="00C15BF8"/>
    <w:rsid w:val="00C16981"/>
    <w:rsid w:val="00C170C5"/>
    <w:rsid w:val="00C17B9A"/>
    <w:rsid w:val="00C21911"/>
    <w:rsid w:val="00C22A9C"/>
    <w:rsid w:val="00C2381C"/>
    <w:rsid w:val="00C2409E"/>
    <w:rsid w:val="00C248DD"/>
    <w:rsid w:val="00C25C54"/>
    <w:rsid w:val="00C26874"/>
    <w:rsid w:val="00C3712A"/>
    <w:rsid w:val="00C372E0"/>
    <w:rsid w:val="00C3731D"/>
    <w:rsid w:val="00C406A4"/>
    <w:rsid w:val="00C41D3B"/>
    <w:rsid w:val="00C42BDD"/>
    <w:rsid w:val="00C43F1D"/>
    <w:rsid w:val="00C46B53"/>
    <w:rsid w:val="00C50B4E"/>
    <w:rsid w:val="00C535F5"/>
    <w:rsid w:val="00C539A8"/>
    <w:rsid w:val="00C611A0"/>
    <w:rsid w:val="00C66172"/>
    <w:rsid w:val="00C66EC6"/>
    <w:rsid w:val="00C7013A"/>
    <w:rsid w:val="00C7021A"/>
    <w:rsid w:val="00C71A3C"/>
    <w:rsid w:val="00C731A2"/>
    <w:rsid w:val="00C742D7"/>
    <w:rsid w:val="00C765A2"/>
    <w:rsid w:val="00C77F47"/>
    <w:rsid w:val="00C8007A"/>
    <w:rsid w:val="00C80771"/>
    <w:rsid w:val="00C80B61"/>
    <w:rsid w:val="00C812EC"/>
    <w:rsid w:val="00C82890"/>
    <w:rsid w:val="00C83AD9"/>
    <w:rsid w:val="00C85091"/>
    <w:rsid w:val="00C85169"/>
    <w:rsid w:val="00C8568B"/>
    <w:rsid w:val="00C85F04"/>
    <w:rsid w:val="00C861AF"/>
    <w:rsid w:val="00C86348"/>
    <w:rsid w:val="00C86CA6"/>
    <w:rsid w:val="00C87C42"/>
    <w:rsid w:val="00C87E0C"/>
    <w:rsid w:val="00C9006D"/>
    <w:rsid w:val="00C90BE5"/>
    <w:rsid w:val="00C90EE9"/>
    <w:rsid w:val="00C916B5"/>
    <w:rsid w:val="00C932B5"/>
    <w:rsid w:val="00C96250"/>
    <w:rsid w:val="00C96F3F"/>
    <w:rsid w:val="00CA0557"/>
    <w:rsid w:val="00CA1E61"/>
    <w:rsid w:val="00CA2493"/>
    <w:rsid w:val="00CA3959"/>
    <w:rsid w:val="00CA652B"/>
    <w:rsid w:val="00CB2EA9"/>
    <w:rsid w:val="00CB30D3"/>
    <w:rsid w:val="00CB3215"/>
    <w:rsid w:val="00CB33E4"/>
    <w:rsid w:val="00CB3F23"/>
    <w:rsid w:val="00CB4C67"/>
    <w:rsid w:val="00CC09AF"/>
    <w:rsid w:val="00CC4187"/>
    <w:rsid w:val="00CC4B40"/>
    <w:rsid w:val="00CC544A"/>
    <w:rsid w:val="00CC6E42"/>
    <w:rsid w:val="00CC77CC"/>
    <w:rsid w:val="00CC79E0"/>
    <w:rsid w:val="00CC7EF1"/>
    <w:rsid w:val="00CD6614"/>
    <w:rsid w:val="00CD6886"/>
    <w:rsid w:val="00CD7AD6"/>
    <w:rsid w:val="00CD7D17"/>
    <w:rsid w:val="00CE0898"/>
    <w:rsid w:val="00CE0B8B"/>
    <w:rsid w:val="00CE265C"/>
    <w:rsid w:val="00CE4637"/>
    <w:rsid w:val="00CE6662"/>
    <w:rsid w:val="00CE7A1C"/>
    <w:rsid w:val="00CF1129"/>
    <w:rsid w:val="00CF125A"/>
    <w:rsid w:val="00CF3602"/>
    <w:rsid w:val="00CF4959"/>
    <w:rsid w:val="00CF7B93"/>
    <w:rsid w:val="00D0145B"/>
    <w:rsid w:val="00D01D07"/>
    <w:rsid w:val="00D03596"/>
    <w:rsid w:val="00D07057"/>
    <w:rsid w:val="00D075B1"/>
    <w:rsid w:val="00D07CB8"/>
    <w:rsid w:val="00D10372"/>
    <w:rsid w:val="00D11EFC"/>
    <w:rsid w:val="00D14BCB"/>
    <w:rsid w:val="00D158A6"/>
    <w:rsid w:val="00D16DD7"/>
    <w:rsid w:val="00D20C33"/>
    <w:rsid w:val="00D20D19"/>
    <w:rsid w:val="00D2181A"/>
    <w:rsid w:val="00D21CE1"/>
    <w:rsid w:val="00D21F73"/>
    <w:rsid w:val="00D22356"/>
    <w:rsid w:val="00D223F7"/>
    <w:rsid w:val="00D22C1F"/>
    <w:rsid w:val="00D26436"/>
    <w:rsid w:val="00D27D5F"/>
    <w:rsid w:val="00D30039"/>
    <w:rsid w:val="00D3032B"/>
    <w:rsid w:val="00D30741"/>
    <w:rsid w:val="00D30B82"/>
    <w:rsid w:val="00D30C4F"/>
    <w:rsid w:val="00D31ACC"/>
    <w:rsid w:val="00D3385B"/>
    <w:rsid w:val="00D3576D"/>
    <w:rsid w:val="00D36057"/>
    <w:rsid w:val="00D36884"/>
    <w:rsid w:val="00D36927"/>
    <w:rsid w:val="00D439D4"/>
    <w:rsid w:val="00D4792A"/>
    <w:rsid w:val="00D47B71"/>
    <w:rsid w:val="00D47C17"/>
    <w:rsid w:val="00D50248"/>
    <w:rsid w:val="00D54D5D"/>
    <w:rsid w:val="00D55208"/>
    <w:rsid w:val="00D56BCA"/>
    <w:rsid w:val="00D62CF7"/>
    <w:rsid w:val="00D63E47"/>
    <w:rsid w:val="00D65034"/>
    <w:rsid w:val="00D65F50"/>
    <w:rsid w:val="00D70E01"/>
    <w:rsid w:val="00D74F4E"/>
    <w:rsid w:val="00D75107"/>
    <w:rsid w:val="00D802BB"/>
    <w:rsid w:val="00D816C5"/>
    <w:rsid w:val="00D821F9"/>
    <w:rsid w:val="00D823FB"/>
    <w:rsid w:val="00D834EA"/>
    <w:rsid w:val="00D84F94"/>
    <w:rsid w:val="00D87417"/>
    <w:rsid w:val="00D8769E"/>
    <w:rsid w:val="00D87712"/>
    <w:rsid w:val="00D87BF6"/>
    <w:rsid w:val="00D91647"/>
    <w:rsid w:val="00D91D79"/>
    <w:rsid w:val="00D92182"/>
    <w:rsid w:val="00D92541"/>
    <w:rsid w:val="00D9317A"/>
    <w:rsid w:val="00D9469B"/>
    <w:rsid w:val="00D94FCB"/>
    <w:rsid w:val="00D9597F"/>
    <w:rsid w:val="00D97489"/>
    <w:rsid w:val="00DA0E2D"/>
    <w:rsid w:val="00DA2822"/>
    <w:rsid w:val="00DA3AEE"/>
    <w:rsid w:val="00DA4409"/>
    <w:rsid w:val="00DA5060"/>
    <w:rsid w:val="00DA6166"/>
    <w:rsid w:val="00DA74EC"/>
    <w:rsid w:val="00DB2A7C"/>
    <w:rsid w:val="00DB539E"/>
    <w:rsid w:val="00DB7326"/>
    <w:rsid w:val="00DC1778"/>
    <w:rsid w:val="00DC2741"/>
    <w:rsid w:val="00DC28F1"/>
    <w:rsid w:val="00DC3B82"/>
    <w:rsid w:val="00DC6810"/>
    <w:rsid w:val="00DD01E2"/>
    <w:rsid w:val="00DD4793"/>
    <w:rsid w:val="00DD52BB"/>
    <w:rsid w:val="00DD62FA"/>
    <w:rsid w:val="00DD6635"/>
    <w:rsid w:val="00DD790C"/>
    <w:rsid w:val="00DD7DB3"/>
    <w:rsid w:val="00DE0270"/>
    <w:rsid w:val="00DE3A5D"/>
    <w:rsid w:val="00DE4B71"/>
    <w:rsid w:val="00DE4E48"/>
    <w:rsid w:val="00DE5A8A"/>
    <w:rsid w:val="00DE7B4B"/>
    <w:rsid w:val="00DE7F3D"/>
    <w:rsid w:val="00DF001D"/>
    <w:rsid w:val="00DF03C3"/>
    <w:rsid w:val="00DF0EB2"/>
    <w:rsid w:val="00DF1302"/>
    <w:rsid w:val="00DF25AC"/>
    <w:rsid w:val="00DF4751"/>
    <w:rsid w:val="00DF6B51"/>
    <w:rsid w:val="00DF719D"/>
    <w:rsid w:val="00E00581"/>
    <w:rsid w:val="00E00700"/>
    <w:rsid w:val="00E00990"/>
    <w:rsid w:val="00E009FC"/>
    <w:rsid w:val="00E00FCE"/>
    <w:rsid w:val="00E0139E"/>
    <w:rsid w:val="00E03299"/>
    <w:rsid w:val="00E04834"/>
    <w:rsid w:val="00E056B8"/>
    <w:rsid w:val="00E05DC0"/>
    <w:rsid w:val="00E06AB5"/>
    <w:rsid w:val="00E1049F"/>
    <w:rsid w:val="00E14CC4"/>
    <w:rsid w:val="00E15DC3"/>
    <w:rsid w:val="00E20B85"/>
    <w:rsid w:val="00E21EA5"/>
    <w:rsid w:val="00E22E88"/>
    <w:rsid w:val="00E25078"/>
    <w:rsid w:val="00E26C40"/>
    <w:rsid w:val="00E30174"/>
    <w:rsid w:val="00E3145F"/>
    <w:rsid w:val="00E3253F"/>
    <w:rsid w:val="00E344A9"/>
    <w:rsid w:val="00E36CE5"/>
    <w:rsid w:val="00E3786F"/>
    <w:rsid w:val="00E40140"/>
    <w:rsid w:val="00E40894"/>
    <w:rsid w:val="00E41863"/>
    <w:rsid w:val="00E47E4C"/>
    <w:rsid w:val="00E505B0"/>
    <w:rsid w:val="00E52992"/>
    <w:rsid w:val="00E55374"/>
    <w:rsid w:val="00E60942"/>
    <w:rsid w:val="00E62ED3"/>
    <w:rsid w:val="00E65538"/>
    <w:rsid w:val="00E67E74"/>
    <w:rsid w:val="00E7366E"/>
    <w:rsid w:val="00E7428C"/>
    <w:rsid w:val="00E754D2"/>
    <w:rsid w:val="00E75E09"/>
    <w:rsid w:val="00E75E1F"/>
    <w:rsid w:val="00E76F67"/>
    <w:rsid w:val="00E80608"/>
    <w:rsid w:val="00E87DC5"/>
    <w:rsid w:val="00E90683"/>
    <w:rsid w:val="00E927C6"/>
    <w:rsid w:val="00E9366A"/>
    <w:rsid w:val="00E93804"/>
    <w:rsid w:val="00E959A0"/>
    <w:rsid w:val="00E95BCD"/>
    <w:rsid w:val="00E97D62"/>
    <w:rsid w:val="00EA3985"/>
    <w:rsid w:val="00EA5BA7"/>
    <w:rsid w:val="00EA6468"/>
    <w:rsid w:val="00EB2658"/>
    <w:rsid w:val="00EC0B56"/>
    <w:rsid w:val="00EC113E"/>
    <w:rsid w:val="00EC2981"/>
    <w:rsid w:val="00EC5E15"/>
    <w:rsid w:val="00EC6038"/>
    <w:rsid w:val="00EC7B72"/>
    <w:rsid w:val="00ED0994"/>
    <w:rsid w:val="00ED267E"/>
    <w:rsid w:val="00ED5862"/>
    <w:rsid w:val="00ED5C66"/>
    <w:rsid w:val="00ED5EBE"/>
    <w:rsid w:val="00ED6106"/>
    <w:rsid w:val="00ED6B6B"/>
    <w:rsid w:val="00ED7588"/>
    <w:rsid w:val="00ED758E"/>
    <w:rsid w:val="00EE0A2F"/>
    <w:rsid w:val="00EE0E0B"/>
    <w:rsid w:val="00EE305E"/>
    <w:rsid w:val="00EE3F66"/>
    <w:rsid w:val="00EE449C"/>
    <w:rsid w:val="00EE46D4"/>
    <w:rsid w:val="00EE5913"/>
    <w:rsid w:val="00EE6F3F"/>
    <w:rsid w:val="00EF2417"/>
    <w:rsid w:val="00EF5BE8"/>
    <w:rsid w:val="00EF5E20"/>
    <w:rsid w:val="00EF7A31"/>
    <w:rsid w:val="00F0022D"/>
    <w:rsid w:val="00F00584"/>
    <w:rsid w:val="00F01ADB"/>
    <w:rsid w:val="00F027DE"/>
    <w:rsid w:val="00F03533"/>
    <w:rsid w:val="00F03D32"/>
    <w:rsid w:val="00F0449C"/>
    <w:rsid w:val="00F04904"/>
    <w:rsid w:val="00F04C69"/>
    <w:rsid w:val="00F0670A"/>
    <w:rsid w:val="00F07974"/>
    <w:rsid w:val="00F13139"/>
    <w:rsid w:val="00F13F8B"/>
    <w:rsid w:val="00F20061"/>
    <w:rsid w:val="00F2079D"/>
    <w:rsid w:val="00F212EF"/>
    <w:rsid w:val="00F22800"/>
    <w:rsid w:val="00F2419D"/>
    <w:rsid w:val="00F24846"/>
    <w:rsid w:val="00F2626A"/>
    <w:rsid w:val="00F26371"/>
    <w:rsid w:val="00F30DA8"/>
    <w:rsid w:val="00F346FB"/>
    <w:rsid w:val="00F34C1F"/>
    <w:rsid w:val="00F35D30"/>
    <w:rsid w:val="00F3738C"/>
    <w:rsid w:val="00F3772B"/>
    <w:rsid w:val="00F445C2"/>
    <w:rsid w:val="00F47E87"/>
    <w:rsid w:val="00F50D38"/>
    <w:rsid w:val="00F5139F"/>
    <w:rsid w:val="00F51479"/>
    <w:rsid w:val="00F531DF"/>
    <w:rsid w:val="00F53228"/>
    <w:rsid w:val="00F5457D"/>
    <w:rsid w:val="00F5552C"/>
    <w:rsid w:val="00F56312"/>
    <w:rsid w:val="00F57E3E"/>
    <w:rsid w:val="00F62F57"/>
    <w:rsid w:val="00F63C29"/>
    <w:rsid w:val="00F63FEA"/>
    <w:rsid w:val="00F650AE"/>
    <w:rsid w:val="00F6577F"/>
    <w:rsid w:val="00F66EA0"/>
    <w:rsid w:val="00F67035"/>
    <w:rsid w:val="00F673EF"/>
    <w:rsid w:val="00F712F9"/>
    <w:rsid w:val="00F71463"/>
    <w:rsid w:val="00F7196F"/>
    <w:rsid w:val="00F74480"/>
    <w:rsid w:val="00F7555C"/>
    <w:rsid w:val="00F75E59"/>
    <w:rsid w:val="00F76159"/>
    <w:rsid w:val="00F768BD"/>
    <w:rsid w:val="00F76E2C"/>
    <w:rsid w:val="00F7721D"/>
    <w:rsid w:val="00F81778"/>
    <w:rsid w:val="00F909B9"/>
    <w:rsid w:val="00F92424"/>
    <w:rsid w:val="00F92790"/>
    <w:rsid w:val="00F92BC9"/>
    <w:rsid w:val="00F96185"/>
    <w:rsid w:val="00F968B1"/>
    <w:rsid w:val="00FA250A"/>
    <w:rsid w:val="00FA271C"/>
    <w:rsid w:val="00FA4732"/>
    <w:rsid w:val="00FA4D88"/>
    <w:rsid w:val="00FA596C"/>
    <w:rsid w:val="00FA5F8E"/>
    <w:rsid w:val="00FA6CEE"/>
    <w:rsid w:val="00FB0BCA"/>
    <w:rsid w:val="00FB1D75"/>
    <w:rsid w:val="00FC13C2"/>
    <w:rsid w:val="00FC262C"/>
    <w:rsid w:val="00FC3787"/>
    <w:rsid w:val="00FC3AF0"/>
    <w:rsid w:val="00FC4E07"/>
    <w:rsid w:val="00FC5D5C"/>
    <w:rsid w:val="00FC5EE8"/>
    <w:rsid w:val="00FC72B7"/>
    <w:rsid w:val="00FC7317"/>
    <w:rsid w:val="00FD02D8"/>
    <w:rsid w:val="00FD249A"/>
    <w:rsid w:val="00FD29A7"/>
    <w:rsid w:val="00FD2F59"/>
    <w:rsid w:val="00FD38EF"/>
    <w:rsid w:val="00FD5749"/>
    <w:rsid w:val="00FD57A5"/>
    <w:rsid w:val="00FD6326"/>
    <w:rsid w:val="00FE07BC"/>
    <w:rsid w:val="00FE3814"/>
    <w:rsid w:val="00FE3BAE"/>
    <w:rsid w:val="00FE534F"/>
    <w:rsid w:val="00FF09D2"/>
    <w:rsid w:val="00FF127A"/>
    <w:rsid w:val="00FF1720"/>
    <w:rsid w:val="00FF39C3"/>
    <w:rsid w:val="00FF4AB3"/>
    <w:rsid w:val="00FF4B99"/>
    <w:rsid w:val="00FF4D3D"/>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214821FB-B3AF-4095-AEA4-D82896147DC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C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uiPriority w:val="99"/>
    <w:rsid w:val="00885956"/>
    <w:rPr>
      <w:color w:val="3754D4"/>
      <w:u w:val="single"/>
    </w:rPr>
  </w:style>
  <w:style w:type="paragraph" w:styleId="FootnoteText">
    <w:name w:val="footnote text"/>
    <w:basedOn w:val="Normal"/>
    <w:link w:val="FootnoteTextChar"/>
    <w:uiPriority w:val="99"/>
    <w:rsid w:val="00885956"/>
    <w:rPr>
      <w:sz w:val="20"/>
      <w:szCs w:val="20"/>
    </w:rPr>
  </w:style>
  <w:style w:type="character" w:customStyle="1" w:styleId="FootnoteTextChar">
    <w:name w:val="Footnote Text Char"/>
    <w:basedOn w:val="DefaultParagraphFont"/>
    <w:link w:val="FootnoteText"/>
    <w:uiPriority w:val="99"/>
    <w:rsid w:val="00885956"/>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773E76"/>
    <w:pPr>
      <w:widowControl w:val="0"/>
      <w:autoSpaceDE w:val="0"/>
      <w:autoSpaceDN w:val="0"/>
      <w:adjustRightInd w:val="0"/>
    </w:pPr>
    <w:rPr>
      <w:rFonts w:eastAsia="Times"/>
      <w:color w:val="000000"/>
      <w:sz w:val="24"/>
      <w:szCs w:val="24"/>
    </w:rPr>
  </w:style>
  <w:style w:type="character" w:customStyle="1" w:styleId="apple-converted-space">
    <w:name w:val="apple-converted-space"/>
    <w:basedOn w:val="DefaultParagraphFont"/>
    <w:rsid w:val="00510C39"/>
  </w:style>
  <w:style w:type="character" w:customStyle="1" w:styleId="markedcontent">
    <w:name w:val="markedcontent"/>
    <w:basedOn w:val="DefaultParagraphFont"/>
    <w:rsid w:val="00D9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5743">
      <w:bodyDiv w:val="1"/>
      <w:marLeft w:val="0"/>
      <w:marRight w:val="0"/>
      <w:marTop w:val="0"/>
      <w:marBottom w:val="0"/>
      <w:divBdr>
        <w:top w:val="none" w:sz="0" w:space="0" w:color="auto"/>
        <w:left w:val="none" w:sz="0" w:space="0" w:color="auto"/>
        <w:bottom w:val="none" w:sz="0" w:space="0" w:color="auto"/>
        <w:right w:val="none" w:sz="0" w:space="0" w:color="auto"/>
      </w:divBdr>
      <w:divsChild>
        <w:div w:id="1479107228">
          <w:marLeft w:val="0"/>
          <w:marRight w:val="0"/>
          <w:marTop w:val="0"/>
          <w:marBottom w:val="0"/>
          <w:divBdr>
            <w:top w:val="none" w:sz="0" w:space="0" w:color="auto"/>
            <w:left w:val="none" w:sz="0" w:space="0" w:color="auto"/>
            <w:bottom w:val="none" w:sz="0" w:space="0" w:color="auto"/>
            <w:right w:val="none" w:sz="0" w:space="0" w:color="auto"/>
          </w:divBdr>
          <w:divsChild>
            <w:div w:id="765341969">
              <w:marLeft w:val="0"/>
              <w:marRight w:val="0"/>
              <w:marTop w:val="0"/>
              <w:marBottom w:val="0"/>
              <w:divBdr>
                <w:top w:val="none" w:sz="0" w:space="0" w:color="auto"/>
                <w:left w:val="none" w:sz="0" w:space="0" w:color="auto"/>
                <w:bottom w:val="none" w:sz="0" w:space="0" w:color="auto"/>
                <w:right w:val="none" w:sz="0" w:space="0" w:color="auto"/>
              </w:divBdr>
              <w:divsChild>
                <w:div w:id="497574543">
                  <w:marLeft w:val="0"/>
                  <w:marRight w:val="0"/>
                  <w:marTop w:val="0"/>
                  <w:marBottom w:val="0"/>
                  <w:divBdr>
                    <w:top w:val="none" w:sz="0" w:space="0" w:color="auto"/>
                    <w:left w:val="none" w:sz="0" w:space="0" w:color="auto"/>
                    <w:bottom w:val="none" w:sz="0" w:space="0" w:color="auto"/>
                    <w:right w:val="none" w:sz="0" w:space="0" w:color="auto"/>
                  </w:divBdr>
                </w:div>
              </w:divsChild>
            </w:div>
            <w:div w:id="659775727">
              <w:marLeft w:val="0"/>
              <w:marRight w:val="0"/>
              <w:marTop w:val="0"/>
              <w:marBottom w:val="0"/>
              <w:divBdr>
                <w:top w:val="none" w:sz="0" w:space="0" w:color="auto"/>
                <w:left w:val="none" w:sz="0" w:space="0" w:color="auto"/>
                <w:bottom w:val="none" w:sz="0" w:space="0" w:color="auto"/>
                <w:right w:val="none" w:sz="0" w:space="0" w:color="auto"/>
              </w:divBdr>
              <w:divsChild>
                <w:div w:id="20495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29999">
          <w:marLeft w:val="0"/>
          <w:marRight w:val="0"/>
          <w:marTop w:val="0"/>
          <w:marBottom w:val="0"/>
          <w:divBdr>
            <w:top w:val="none" w:sz="0" w:space="0" w:color="auto"/>
            <w:left w:val="none" w:sz="0" w:space="0" w:color="auto"/>
            <w:bottom w:val="none" w:sz="0" w:space="0" w:color="auto"/>
            <w:right w:val="none" w:sz="0" w:space="0" w:color="auto"/>
          </w:divBdr>
          <w:divsChild>
            <w:div w:id="755707824">
              <w:marLeft w:val="0"/>
              <w:marRight w:val="0"/>
              <w:marTop w:val="0"/>
              <w:marBottom w:val="0"/>
              <w:divBdr>
                <w:top w:val="none" w:sz="0" w:space="0" w:color="auto"/>
                <w:left w:val="none" w:sz="0" w:space="0" w:color="auto"/>
                <w:bottom w:val="none" w:sz="0" w:space="0" w:color="auto"/>
                <w:right w:val="none" w:sz="0" w:space="0" w:color="auto"/>
              </w:divBdr>
              <w:divsChild>
                <w:div w:id="2442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8664">
      <w:bodyDiv w:val="1"/>
      <w:marLeft w:val="0"/>
      <w:marRight w:val="0"/>
      <w:marTop w:val="0"/>
      <w:marBottom w:val="0"/>
      <w:divBdr>
        <w:top w:val="none" w:sz="0" w:space="0" w:color="auto"/>
        <w:left w:val="none" w:sz="0" w:space="0" w:color="auto"/>
        <w:bottom w:val="none" w:sz="0" w:space="0" w:color="auto"/>
        <w:right w:val="none" w:sz="0" w:space="0" w:color="auto"/>
      </w:divBdr>
    </w:div>
    <w:div w:id="160387787">
      <w:bodyDiv w:val="1"/>
      <w:marLeft w:val="0"/>
      <w:marRight w:val="0"/>
      <w:marTop w:val="0"/>
      <w:marBottom w:val="0"/>
      <w:divBdr>
        <w:top w:val="none" w:sz="0" w:space="0" w:color="auto"/>
        <w:left w:val="none" w:sz="0" w:space="0" w:color="auto"/>
        <w:bottom w:val="none" w:sz="0" w:space="0" w:color="auto"/>
        <w:right w:val="none" w:sz="0" w:space="0" w:color="auto"/>
      </w:divBdr>
    </w:div>
    <w:div w:id="427429182">
      <w:bodyDiv w:val="1"/>
      <w:marLeft w:val="0"/>
      <w:marRight w:val="0"/>
      <w:marTop w:val="0"/>
      <w:marBottom w:val="0"/>
      <w:divBdr>
        <w:top w:val="none" w:sz="0" w:space="0" w:color="auto"/>
        <w:left w:val="none" w:sz="0" w:space="0" w:color="auto"/>
        <w:bottom w:val="none" w:sz="0" w:space="0" w:color="auto"/>
        <w:right w:val="none" w:sz="0" w:space="0" w:color="auto"/>
      </w:divBdr>
      <w:divsChild>
        <w:div w:id="894195562">
          <w:marLeft w:val="0"/>
          <w:marRight w:val="0"/>
          <w:marTop w:val="0"/>
          <w:marBottom w:val="0"/>
          <w:divBdr>
            <w:top w:val="none" w:sz="0" w:space="0" w:color="auto"/>
            <w:left w:val="none" w:sz="0" w:space="0" w:color="auto"/>
            <w:bottom w:val="none" w:sz="0" w:space="0" w:color="auto"/>
            <w:right w:val="none" w:sz="0" w:space="0" w:color="auto"/>
          </w:divBdr>
          <w:divsChild>
            <w:div w:id="50423506">
              <w:marLeft w:val="0"/>
              <w:marRight w:val="0"/>
              <w:marTop w:val="0"/>
              <w:marBottom w:val="0"/>
              <w:divBdr>
                <w:top w:val="none" w:sz="0" w:space="0" w:color="auto"/>
                <w:left w:val="none" w:sz="0" w:space="0" w:color="auto"/>
                <w:bottom w:val="none" w:sz="0" w:space="0" w:color="auto"/>
                <w:right w:val="none" w:sz="0" w:space="0" w:color="auto"/>
              </w:divBdr>
              <w:divsChild>
                <w:div w:id="12908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1842">
      <w:bodyDiv w:val="1"/>
      <w:marLeft w:val="0"/>
      <w:marRight w:val="0"/>
      <w:marTop w:val="0"/>
      <w:marBottom w:val="0"/>
      <w:divBdr>
        <w:top w:val="none" w:sz="0" w:space="0" w:color="auto"/>
        <w:left w:val="none" w:sz="0" w:space="0" w:color="auto"/>
        <w:bottom w:val="none" w:sz="0" w:space="0" w:color="auto"/>
        <w:right w:val="none" w:sz="0" w:space="0" w:color="auto"/>
      </w:divBdr>
    </w:div>
    <w:div w:id="1014651208">
      <w:bodyDiv w:val="1"/>
      <w:marLeft w:val="0"/>
      <w:marRight w:val="0"/>
      <w:marTop w:val="0"/>
      <w:marBottom w:val="0"/>
      <w:divBdr>
        <w:top w:val="none" w:sz="0" w:space="0" w:color="auto"/>
        <w:left w:val="none" w:sz="0" w:space="0" w:color="auto"/>
        <w:bottom w:val="none" w:sz="0" w:space="0" w:color="auto"/>
        <w:right w:val="none" w:sz="0" w:space="0" w:color="auto"/>
      </w:divBdr>
      <w:divsChild>
        <w:div w:id="11691947">
          <w:marLeft w:val="0"/>
          <w:marRight w:val="0"/>
          <w:marTop w:val="0"/>
          <w:marBottom w:val="0"/>
          <w:divBdr>
            <w:top w:val="none" w:sz="0" w:space="0" w:color="auto"/>
            <w:left w:val="none" w:sz="0" w:space="0" w:color="auto"/>
            <w:bottom w:val="none" w:sz="0" w:space="0" w:color="auto"/>
            <w:right w:val="none" w:sz="0" w:space="0" w:color="auto"/>
          </w:divBdr>
          <w:divsChild>
            <w:div w:id="370693166">
              <w:marLeft w:val="0"/>
              <w:marRight w:val="0"/>
              <w:marTop w:val="0"/>
              <w:marBottom w:val="0"/>
              <w:divBdr>
                <w:top w:val="none" w:sz="0" w:space="0" w:color="auto"/>
                <w:left w:val="none" w:sz="0" w:space="0" w:color="auto"/>
                <w:bottom w:val="none" w:sz="0" w:space="0" w:color="auto"/>
                <w:right w:val="none" w:sz="0" w:space="0" w:color="auto"/>
              </w:divBdr>
              <w:divsChild>
                <w:div w:id="504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0812">
      <w:bodyDiv w:val="1"/>
      <w:marLeft w:val="0"/>
      <w:marRight w:val="0"/>
      <w:marTop w:val="0"/>
      <w:marBottom w:val="0"/>
      <w:divBdr>
        <w:top w:val="none" w:sz="0" w:space="0" w:color="auto"/>
        <w:left w:val="none" w:sz="0" w:space="0" w:color="auto"/>
        <w:bottom w:val="none" w:sz="0" w:space="0" w:color="auto"/>
        <w:right w:val="none" w:sz="0" w:space="0" w:color="auto"/>
      </w:divBdr>
      <w:divsChild>
        <w:div w:id="54479168">
          <w:marLeft w:val="0"/>
          <w:marRight w:val="0"/>
          <w:marTop w:val="0"/>
          <w:marBottom w:val="0"/>
          <w:divBdr>
            <w:top w:val="none" w:sz="0" w:space="0" w:color="auto"/>
            <w:left w:val="none" w:sz="0" w:space="0" w:color="auto"/>
            <w:bottom w:val="none" w:sz="0" w:space="0" w:color="auto"/>
            <w:right w:val="none" w:sz="0" w:space="0" w:color="auto"/>
          </w:divBdr>
          <w:divsChild>
            <w:div w:id="869491565">
              <w:marLeft w:val="0"/>
              <w:marRight w:val="0"/>
              <w:marTop w:val="0"/>
              <w:marBottom w:val="0"/>
              <w:divBdr>
                <w:top w:val="none" w:sz="0" w:space="0" w:color="auto"/>
                <w:left w:val="none" w:sz="0" w:space="0" w:color="auto"/>
                <w:bottom w:val="none" w:sz="0" w:space="0" w:color="auto"/>
                <w:right w:val="none" w:sz="0" w:space="0" w:color="auto"/>
              </w:divBdr>
              <w:divsChild>
                <w:div w:id="14787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4215">
      <w:bodyDiv w:val="1"/>
      <w:marLeft w:val="0"/>
      <w:marRight w:val="0"/>
      <w:marTop w:val="0"/>
      <w:marBottom w:val="0"/>
      <w:divBdr>
        <w:top w:val="none" w:sz="0" w:space="0" w:color="auto"/>
        <w:left w:val="none" w:sz="0" w:space="0" w:color="auto"/>
        <w:bottom w:val="none" w:sz="0" w:space="0" w:color="auto"/>
        <w:right w:val="none" w:sz="0" w:space="0" w:color="auto"/>
      </w:divBdr>
      <w:divsChild>
        <w:div w:id="1956861800">
          <w:marLeft w:val="0"/>
          <w:marRight w:val="0"/>
          <w:marTop w:val="0"/>
          <w:marBottom w:val="0"/>
          <w:divBdr>
            <w:top w:val="none" w:sz="0" w:space="0" w:color="auto"/>
            <w:left w:val="none" w:sz="0" w:space="0" w:color="auto"/>
            <w:bottom w:val="none" w:sz="0" w:space="0" w:color="auto"/>
            <w:right w:val="none" w:sz="0" w:space="0" w:color="auto"/>
          </w:divBdr>
          <w:divsChild>
            <w:div w:id="1651596788">
              <w:marLeft w:val="0"/>
              <w:marRight w:val="0"/>
              <w:marTop w:val="0"/>
              <w:marBottom w:val="0"/>
              <w:divBdr>
                <w:top w:val="none" w:sz="0" w:space="0" w:color="auto"/>
                <w:left w:val="none" w:sz="0" w:space="0" w:color="auto"/>
                <w:bottom w:val="none" w:sz="0" w:space="0" w:color="auto"/>
                <w:right w:val="none" w:sz="0" w:space="0" w:color="auto"/>
              </w:divBdr>
              <w:divsChild>
                <w:div w:id="11739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83832">
      <w:bodyDiv w:val="1"/>
      <w:marLeft w:val="0"/>
      <w:marRight w:val="0"/>
      <w:marTop w:val="0"/>
      <w:marBottom w:val="0"/>
      <w:divBdr>
        <w:top w:val="none" w:sz="0" w:space="0" w:color="auto"/>
        <w:left w:val="none" w:sz="0" w:space="0" w:color="auto"/>
        <w:bottom w:val="none" w:sz="0" w:space="0" w:color="auto"/>
        <w:right w:val="none" w:sz="0" w:space="0" w:color="auto"/>
      </w:divBdr>
      <w:divsChild>
        <w:div w:id="740906415">
          <w:marLeft w:val="0"/>
          <w:marRight w:val="0"/>
          <w:marTop w:val="0"/>
          <w:marBottom w:val="0"/>
          <w:divBdr>
            <w:top w:val="none" w:sz="0" w:space="0" w:color="auto"/>
            <w:left w:val="none" w:sz="0" w:space="0" w:color="auto"/>
            <w:bottom w:val="none" w:sz="0" w:space="0" w:color="auto"/>
            <w:right w:val="none" w:sz="0" w:space="0" w:color="auto"/>
          </w:divBdr>
          <w:divsChild>
            <w:div w:id="1996838709">
              <w:marLeft w:val="0"/>
              <w:marRight w:val="0"/>
              <w:marTop w:val="0"/>
              <w:marBottom w:val="0"/>
              <w:divBdr>
                <w:top w:val="none" w:sz="0" w:space="0" w:color="auto"/>
                <w:left w:val="none" w:sz="0" w:space="0" w:color="auto"/>
                <w:bottom w:val="none" w:sz="0" w:space="0" w:color="auto"/>
                <w:right w:val="none" w:sz="0" w:space="0" w:color="auto"/>
              </w:divBdr>
              <w:divsChild>
                <w:div w:id="1657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7724">
      <w:bodyDiv w:val="1"/>
      <w:marLeft w:val="0"/>
      <w:marRight w:val="0"/>
      <w:marTop w:val="0"/>
      <w:marBottom w:val="0"/>
      <w:divBdr>
        <w:top w:val="none" w:sz="0" w:space="0" w:color="auto"/>
        <w:left w:val="none" w:sz="0" w:space="0" w:color="auto"/>
        <w:bottom w:val="none" w:sz="0" w:space="0" w:color="auto"/>
        <w:right w:val="none" w:sz="0" w:space="0" w:color="auto"/>
      </w:divBdr>
      <w:divsChild>
        <w:div w:id="632491004">
          <w:marLeft w:val="0"/>
          <w:marRight w:val="0"/>
          <w:marTop w:val="0"/>
          <w:marBottom w:val="0"/>
          <w:divBdr>
            <w:top w:val="none" w:sz="0" w:space="0" w:color="auto"/>
            <w:left w:val="none" w:sz="0" w:space="0" w:color="auto"/>
            <w:bottom w:val="none" w:sz="0" w:space="0" w:color="auto"/>
            <w:right w:val="none" w:sz="0" w:space="0" w:color="auto"/>
          </w:divBdr>
          <w:divsChild>
            <w:div w:id="1769807708">
              <w:marLeft w:val="0"/>
              <w:marRight w:val="0"/>
              <w:marTop w:val="0"/>
              <w:marBottom w:val="0"/>
              <w:divBdr>
                <w:top w:val="none" w:sz="0" w:space="0" w:color="auto"/>
                <w:left w:val="none" w:sz="0" w:space="0" w:color="auto"/>
                <w:bottom w:val="none" w:sz="0" w:space="0" w:color="auto"/>
                <w:right w:val="none" w:sz="0" w:space="0" w:color="auto"/>
              </w:divBdr>
              <w:divsChild>
                <w:div w:id="8859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89446">
      <w:bodyDiv w:val="1"/>
      <w:marLeft w:val="0"/>
      <w:marRight w:val="0"/>
      <w:marTop w:val="0"/>
      <w:marBottom w:val="0"/>
      <w:divBdr>
        <w:top w:val="none" w:sz="0" w:space="0" w:color="auto"/>
        <w:left w:val="none" w:sz="0" w:space="0" w:color="auto"/>
        <w:bottom w:val="none" w:sz="0" w:space="0" w:color="auto"/>
        <w:right w:val="none" w:sz="0" w:space="0" w:color="auto"/>
      </w:divBdr>
      <w:divsChild>
        <w:div w:id="1458380080">
          <w:marLeft w:val="0"/>
          <w:marRight w:val="0"/>
          <w:marTop w:val="0"/>
          <w:marBottom w:val="0"/>
          <w:divBdr>
            <w:top w:val="none" w:sz="0" w:space="0" w:color="auto"/>
            <w:left w:val="none" w:sz="0" w:space="0" w:color="auto"/>
            <w:bottom w:val="none" w:sz="0" w:space="0" w:color="auto"/>
            <w:right w:val="none" w:sz="0" w:space="0" w:color="auto"/>
          </w:divBdr>
          <w:divsChild>
            <w:div w:id="429934195">
              <w:marLeft w:val="0"/>
              <w:marRight w:val="0"/>
              <w:marTop w:val="0"/>
              <w:marBottom w:val="0"/>
              <w:divBdr>
                <w:top w:val="none" w:sz="0" w:space="0" w:color="auto"/>
                <w:left w:val="none" w:sz="0" w:space="0" w:color="auto"/>
                <w:bottom w:val="none" w:sz="0" w:space="0" w:color="auto"/>
                <w:right w:val="none" w:sz="0" w:space="0" w:color="auto"/>
              </w:divBdr>
              <w:divsChild>
                <w:div w:id="2022391706">
                  <w:marLeft w:val="0"/>
                  <w:marRight w:val="0"/>
                  <w:marTop w:val="0"/>
                  <w:marBottom w:val="0"/>
                  <w:divBdr>
                    <w:top w:val="none" w:sz="0" w:space="0" w:color="auto"/>
                    <w:left w:val="none" w:sz="0" w:space="0" w:color="auto"/>
                    <w:bottom w:val="none" w:sz="0" w:space="0" w:color="auto"/>
                    <w:right w:val="none" w:sz="0" w:space="0" w:color="auto"/>
                  </w:divBdr>
                  <w:divsChild>
                    <w:div w:id="11657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2324">
      <w:bodyDiv w:val="1"/>
      <w:marLeft w:val="0"/>
      <w:marRight w:val="0"/>
      <w:marTop w:val="0"/>
      <w:marBottom w:val="0"/>
      <w:divBdr>
        <w:top w:val="none" w:sz="0" w:space="0" w:color="auto"/>
        <w:left w:val="none" w:sz="0" w:space="0" w:color="auto"/>
        <w:bottom w:val="none" w:sz="0" w:space="0" w:color="auto"/>
        <w:right w:val="none" w:sz="0" w:space="0" w:color="auto"/>
      </w:divBdr>
      <w:divsChild>
        <w:div w:id="218831600">
          <w:marLeft w:val="0"/>
          <w:marRight w:val="0"/>
          <w:marTop w:val="0"/>
          <w:marBottom w:val="0"/>
          <w:divBdr>
            <w:top w:val="none" w:sz="0" w:space="0" w:color="auto"/>
            <w:left w:val="none" w:sz="0" w:space="0" w:color="auto"/>
            <w:bottom w:val="none" w:sz="0" w:space="0" w:color="auto"/>
            <w:right w:val="none" w:sz="0" w:space="0" w:color="auto"/>
          </w:divBdr>
          <w:divsChild>
            <w:div w:id="195391546">
              <w:marLeft w:val="0"/>
              <w:marRight w:val="0"/>
              <w:marTop w:val="0"/>
              <w:marBottom w:val="0"/>
              <w:divBdr>
                <w:top w:val="none" w:sz="0" w:space="0" w:color="auto"/>
                <w:left w:val="none" w:sz="0" w:space="0" w:color="auto"/>
                <w:bottom w:val="none" w:sz="0" w:space="0" w:color="auto"/>
                <w:right w:val="none" w:sz="0" w:space="0" w:color="auto"/>
              </w:divBdr>
              <w:divsChild>
                <w:div w:id="6184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5663">
      <w:bodyDiv w:val="1"/>
      <w:marLeft w:val="0"/>
      <w:marRight w:val="0"/>
      <w:marTop w:val="0"/>
      <w:marBottom w:val="0"/>
      <w:divBdr>
        <w:top w:val="none" w:sz="0" w:space="0" w:color="auto"/>
        <w:left w:val="none" w:sz="0" w:space="0" w:color="auto"/>
        <w:bottom w:val="none" w:sz="0" w:space="0" w:color="auto"/>
        <w:right w:val="none" w:sz="0" w:space="0" w:color="auto"/>
      </w:divBdr>
    </w:div>
    <w:div w:id="1849516348">
      <w:bodyDiv w:val="1"/>
      <w:marLeft w:val="0"/>
      <w:marRight w:val="0"/>
      <w:marTop w:val="0"/>
      <w:marBottom w:val="0"/>
      <w:divBdr>
        <w:top w:val="none" w:sz="0" w:space="0" w:color="auto"/>
        <w:left w:val="none" w:sz="0" w:space="0" w:color="auto"/>
        <w:bottom w:val="none" w:sz="0" w:space="0" w:color="auto"/>
        <w:right w:val="none" w:sz="0" w:space="0" w:color="auto"/>
      </w:divBdr>
      <w:divsChild>
        <w:div w:id="64030106">
          <w:marLeft w:val="0"/>
          <w:marRight w:val="0"/>
          <w:marTop w:val="0"/>
          <w:marBottom w:val="0"/>
          <w:divBdr>
            <w:top w:val="none" w:sz="0" w:space="0" w:color="auto"/>
            <w:left w:val="none" w:sz="0" w:space="0" w:color="auto"/>
            <w:bottom w:val="none" w:sz="0" w:space="0" w:color="auto"/>
            <w:right w:val="none" w:sz="0" w:space="0" w:color="auto"/>
          </w:divBdr>
          <w:divsChild>
            <w:div w:id="616066352">
              <w:marLeft w:val="0"/>
              <w:marRight w:val="0"/>
              <w:marTop w:val="0"/>
              <w:marBottom w:val="0"/>
              <w:divBdr>
                <w:top w:val="none" w:sz="0" w:space="0" w:color="auto"/>
                <w:left w:val="none" w:sz="0" w:space="0" w:color="auto"/>
                <w:bottom w:val="none" w:sz="0" w:space="0" w:color="auto"/>
                <w:right w:val="none" w:sz="0" w:space="0" w:color="auto"/>
              </w:divBdr>
              <w:divsChild>
                <w:div w:id="16033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880586828">
      <w:bodyDiv w:val="1"/>
      <w:marLeft w:val="0"/>
      <w:marRight w:val="0"/>
      <w:marTop w:val="0"/>
      <w:marBottom w:val="0"/>
      <w:divBdr>
        <w:top w:val="none" w:sz="0" w:space="0" w:color="auto"/>
        <w:left w:val="none" w:sz="0" w:space="0" w:color="auto"/>
        <w:bottom w:val="none" w:sz="0" w:space="0" w:color="auto"/>
        <w:right w:val="none" w:sz="0" w:space="0" w:color="auto"/>
      </w:divBdr>
      <w:divsChild>
        <w:div w:id="178354654">
          <w:marLeft w:val="0"/>
          <w:marRight w:val="0"/>
          <w:marTop w:val="0"/>
          <w:marBottom w:val="0"/>
          <w:divBdr>
            <w:top w:val="none" w:sz="0" w:space="0" w:color="auto"/>
            <w:left w:val="none" w:sz="0" w:space="0" w:color="auto"/>
            <w:bottom w:val="none" w:sz="0" w:space="0" w:color="auto"/>
            <w:right w:val="none" w:sz="0" w:space="0" w:color="auto"/>
          </w:divBdr>
          <w:divsChild>
            <w:div w:id="1005789864">
              <w:marLeft w:val="0"/>
              <w:marRight w:val="0"/>
              <w:marTop w:val="0"/>
              <w:marBottom w:val="0"/>
              <w:divBdr>
                <w:top w:val="none" w:sz="0" w:space="0" w:color="auto"/>
                <w:left w:val="none" w:sz="0" w:space="0" w:color="auto"/>
                <w:bottom w:val="none" w:sz="0" w:space="0" w:color="auto"/>
                <w:right w:val="none" w:sz="0" w:space="0" w:color="auto"/>
              </w:divBdr>
              <w:divsChild>
                <w:div w:id="18238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2855">
      <w:bodyDiv w:val="1"/>
      <w:marLeft w:val="0"/>
      <w:marRight w:val="0"/>
      <w:marTop w:val="0"/>
      <w:marBottom w:val="0"/>
      <w:divBdr>
        <w:top w:val="none" w:sz="0" w:space="0" w:color="auto"/>
        <w:left w:val="none" w:sz="0" w:space="0" w:color="auto"/>
        <w:bottom w:val="none" w:sz="0" w:space="0" w:color="auto"/>
        <w:right w:val="none" w:sz="0" w:space="0" w:color="auto"/>
      </w:divBdr>
      <w:divsChild>
        <w:div w:id="746728634">
          <w:marLeft w:val="0"/>
          <w:marRight w:val="0"/>
          <w:marTop w:val="0"/>
          <w:marBottom w:val="0"/>
          <w:divBdr>
            <w:top w:val="none" w:sz="0" w:space="0" w:color="auto"/>
            <w:left w:val="none" w:sz="0" w:space="0" w:color="auto"/>
            <w:bottom w:val="none" w:sz="0" w:space="0" w:color="auto"/>
            <w:right w:val="none" w:sz="0" w:space="0" w:color="auto"/>
          </w:divBdr>
          <w:divsChild>
            <w:div w:id="1107428884">
              <w:marLeft w:val="0"/>
              <w:marRight w:val="0"/>
              <w:marTop w:val="0"/>
              <w:marBottom w:val="0"/>
              <w:divBdr>
                <w:top w:val="none" w:sz="0" w:space="0" w:color="auto"/>
                <w:left w:val="none" w:sz="0" w:space="0" w:color="auto"/>
                <w:bottom w:val="none" w:sz="0" w:space="0" w:color="auto"/>
                <w:right w:val="none" w:sz="0" w:space="0" w:color="auto"/>
              </w:divBdr>
              <w:divsChild>
                <w:div w:id="153800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65892">
      <w:bodyDiv w:val="1"/>
      <w:marLeft w:val="0"/>
      <w:marRight w:val="0"/>
      <w:marTop w:val="0"/>
      <w:marBottom w:val="0"/>
      <w:divBdr>
        <w:top w:val="none" w:sz="0" w:space="0" w:color="auto"/>
        <w:left w:val="none" w:sz="0" w:space="0" w:color="auto"/>
        <w:bottom w:val="none" w:sz="0" w:space="0" w:color="auto"/>
        <w:right w:val="none" w:sz="0" w:space="0" w:color="auto"/>
      </w:divBdr>
      <w:divsChild>
        <w:div w:id="568927107">
          <w:marLeft w:val="0"/>
          <w:marRight w:val="0"/>
          <w:marTop w:val="0"/>
          <w:marBottom w:val="0"/>
          <w:divBdr>
            <w:top w:val="none" w:sz="0" w:space="0" w:color="auto"/>
            <w:left w:val="none" w:sz="0" w:space="0" w:color="auto"/>
            <w:bottom w:val="none" w:sz="0" w:space="0" w:color="auto"/>
            <w:right w:val="none" w:sz="0" w:space="0" w:color="auto"/>
          </w:divBdr>
          <w:divsChild>
            <w:div w:id="895894864">
              <w:marLeft w:val="0"/>
              <w:marRight w:val="0"/>
              <w:marTop w:val="0"/>
              <w:marBottom w:val="0"/>
              <w:divBdr>
                <w:top w:val="none" w:sz="0" w:space="0" w:color="auto"/>
                <w:left w:val="none" w:sz="0" w:space="0" w:color="auto"/>
                <w:bottom w:val="none" w:sz="0" w:space="0" w:color="auto"/>
                <w:right w:val="none" w:sz="0" w:space="0" w:color="auto"/>
              </w:divBdr>
              <w:divsChild>
                <w:div w:id="13871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3425-C8F4-40C5-BD55-BBE8108C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11C78-2A30-4955-B6F8-6ED82CC50219}">
  <ds:schemaRefs>
    <ds:schemaRef ds:uri="http://schemas.microsoft.com/sharepoint/v3/contenttype/forms"/>
  </ds:schemaRefs>
</ds:datastoreItem>
</file>

<file path=customXml/itemProps3.xml><?xml version="1.0" encoding="utf-8"?>
<ds:datastoreItem xmlns:ds="http://schemas.openxmlformats.org/officeDocument/2006/customXml" ds:itemID="{4B25B646-DDB7-4386-9098-D548897CF81C}">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CBD225C9-9493-5441-8D9C-0F9900CD49A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4256</ap:Words>
  <ap:Characters>24261</ap:Characters>
  <ap:Application>Microsoft Office Word</ap:Application>
  <ap:DocSecurity>0</ap:DocSecurity>
  <ap:Lines>202</ap:Lines>
  <ap:Paragraphs>56</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28461</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2026-02-06T10:18:26Z</dcterms:created>
  <dcterms:modified xsi:type="dcterms:W3CDTF">2026-02-06T10:18:26Z</dcterms:modified>
</cp:coreProperties>
</file>