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002D19E6" w:rsidP="002D19E6" w:rsidRDefault="002D19E6" w14:paraId="329794D7" w14:textId="77777777">
      <w:pPr>
        <w:tabs>
          <w:tab w:val="right" w:pos="8820"/>
        </w:tabs>
        <w:spacing w:after="0" w:line="240" w:lineRule="auto"/>
        <w:rPr>
          <w:rFonts w:ascii="Palatino Linotype" w:hAnsi="Palatino Linotype" w:eastAsia="Times New Roman" w:cs="Times New Roman"/>
          <w:b/>
          <w:bCs/>
        </w:rPr>
      </w:pPr>
    </w:p>
    <w:p w:rsidRPr="002D19E6" w:rsidR="00A76F4A" w:rsidP="002D19E6" w:rsidRDefault="00DB3CCB" w14:paraId="2AFEBBF1" w14:textId="5D58CC04">
      <w:pPr>
        <w:tabs>
          <w:tab w:val="right" w:pos="8820"/>
        </w:tabs>
        <w:spacing w:after="0" w:line="240" w:lineRule="auto"/>
        <w:rPr>
          <w:rFonts w:ascii="Palatino Linotype" w:hAnsi="Palatino Linotype" w:eastAsia="Times New Roman" w:cs="Times New Roman"/>
          <w:b/>
          <w:bCs/>
          <w:sz w:val="16"/>
          <w:szCs w:val="16"/>
        </w:rPr>
      </w:pPr>
      <w:r>
        <w:rPr>
          <w:rFonts w:ascii="Palatino Linotype" w:hAnsi="Palatino Linotype" w:eastAsia="Times New Roman" w:cs="Times New Roman"/>
          <w:b/>
          <w:bCs/>
        </w:rPr>
        <w:tab/>
      </w:r>
    </w:p>
    <w:p w:rsidRPr="000A4474" w:rsidR="00A76F4A" w:rsidP="00DB3CCB" w:rsidRDefault="00204B1B" w14:paraId="097CE738" w14:textId="23DC9237">
      <w:pPr>
        <w:tabs>
          <w:tab w:val="right" w:pos="8820"/>
        </w:tabs>
        <w:spacing w:after="0" w:line="240" w:lineRule="auto"/>
        <w:ind w:left="450"/>
        <w:rPr>
          <w:rFonts w:ascii="Palatino Linotype" w:hAnsi="Palatino Linotype" w:eastAsia="Palatino Linotype" w:cs="Times New Roman"/>
          <w:b/>
          <w:kern w:val="0"/>
          <w14:ligatures w14:val="none"/>
        </w:rPr>
      </w:pPr>
      <w:r w:rsidRPr="000A4474">
        <w:rPr>
          <w:rFonts w:ascii="Palatino Linotype" w:hAnsi="Palatino Linotype" w:eastAsia="Palatino Linotype" w:cs="Times New Roman"/>
          <w:b/>
          <w:kern w:val="0"/>
          <w14:ligatures w14:val="none"/>
        </w:rPr>
        <w:t>ENERGY DIVISION</w:t>
      </w:r>
      <w:r w:rsidR="00917C98">
        <w:rPr>
          <w:rFonts w:ascii="Palatino Linotype" w:hAnsi="Palatino Linotype" w:eastAsia="Palatino Linotype" w:cs="Times New Roman"/>
          <w:b/>
          <w:kern w:val="0"/>
          <w14:ligatures w14:val="none"/>
        </w:rPr>
        <w:tab/>
      </w:r>
      <w:r w:rsidRPr="000A4474" w:rsidR="00A76F4A">
        <w:rPr>
          <w:rFonts w:ascii="Palatino Linotype" w:hAnsi="Palatino Linotype" w:eastAsia="Palatino Linotype" w:cs="Times New Roman"/>
          <w:b/>
        </w:rPr>
        <w:t xml:space="preserve">RESOLUTION </w:t>
      </w:r>
      <w:r w:rsidRPr="000A4474" w:rsidR="00504F23">
        <w:rPr>
          <w:rFonts w:ascii="Palatino Linotype" w:hAnsi="Palatino Linotype" w:eastAsia="Palatino Linotype" w:cs="Times New Roman"/>
          <w:b/>
        </w:rPr>
        <w:t>E-5427</w:t>
      </w:r>
    </w:p>
    <w:p w:rsidR="00A76F4A" w:rsidP="00DB3CCB" w:rsidRDefault="00DB3CCB" w14:paraId="17BEFA95" w14:textId="3A8374A3">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163045">
        <w:rPr>
          <w:rFonts w:ascii="Palatino Linotype" w:hAnsi="Palatino Linotype" w:eastAsia="Times New Roman" w:cs="Times New Roman"/>
          <w:b/>
          <w:kern w:val="0"/>
          <w14:ligatures w14:val="none"/>
        </w:rPr>
        <w:t xml:space="preserve">February </w:t>
      </w:r>
      <w:r w:rsidR="000A4474">
        <w:rPr>
          <w:rFonts w:ascii="Palatino Linotype" w:hAnsi="Palatino Linotype" w:eastAsia="Times New Roman" w:cs="Times New Roman"/>
          <w:b/>
          <w:kern w:val="0"/>
          <w14:ligatures w14:val="none"/>
        </w:rPr>
        <w:t>5, 2026</w:t>
      </w:r>
    </w:p>
    <w:p w:rsidRPr="002D19E6"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sz w:val="16"/>
          <w:szCs w:val="16"/>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BB7454" w:rsidRDefault="0BFF1167" w14:paraId="548115FE" w14:textId="5B3D1E43">
      <w:pPr>
        <w:spacing w:after="0" w:line="240" w:lineRule="auto"/>
        <w:ind w:left="450" w:right="360"/>
        <w:rPr>
          <w:rFonts w:ascii="Palatino Linotype" w:hAnsi="Palatino Linotype" w:eastAsia="Palatino Linotype" w:cs="Palatino Linotype"/>
        </w:rPr>
      </w:pPr>
      <w:r w:rsidRPr="000A4474">
        <w:rPr>
          <w:rFonts w:ascii="Palatino Linotype" w:hAnsi="Palatino Linotype" w:eastAsia="Palatino Linotype" w:cs="Palatino Linotype"/>
          <w:color w:val="000000" w:themeColor="text1"/>
        </w:rPr>
        <w:t>Resolution E-5</w:t>
      </w:r>
      <w:r w:rsidRPr="000A4474" w:rsidR="000A4474">
        <w:rPr>
          <w:rFonts w:ascii="Palatino Linotype" w:hAnsi="Palatino Linotype" w:eastAsia="Palatino Linotype" w:cs="Palatino Linotype"/>
          <w:color w:val="000000" w:themeColor="text1"/>
        </w:rPr>
        <w:t>427</w:t>
      </w:r>
      <w:r w:rsidRPr="000A4474">
        <w:rPr>
          <w:rFonts w:ascii="Palatino Linotype" w:hAnsi="Palatino Linotype" w:eastAsia="Palatino Linotype" w:cs="Palatino Linotype"/>
          <w:color w:val="000000" w:themeColor="text1"/>
        </w:rPr>
        <w:t>.  Pacific Gas and Electric requests approval for the relocation agreement with Doheny-Vidovich Partner</w:t>
      </w:r>
      <w:r w:rsidRPr="000A4474">
        <w:rPr>
          <w:rFonts w:ascii="Palatino Linotype" w:hAnsi="Palatino Linotype" w:eastAsia="Times New Roman" w:cs="Times New Roman"/>
        </w:rPr>
        <w:t>s</w:t>
      </w:r>
      <w:r w:rsidRPr="000A4474">
        <w:rPr>
          <w:rFonts w:ascii="Palatino Linotype" w:hAnsi="Palatino Linotype" w:eastAsia="Palatino Linotype" w:cs="Palatino Linotype"/>
          <w:color w:val="000000" w:themeColor="text1"/>
        </w:rPr>
        <w:t>.</w:t>
      </w:r>
    </w:p>
    <w:p w:rsidRPr="001942D0" w:rsidR="00A76F4A" w:rsidP="00F42ED5" w:rsidRDefault="00A76F4A" w14:paraId="177F008D" w14:textId="45650E58">
      <w:pPr>
        <w:spacing w:after="0" w:line="240" w:lineRule="auto"/>
        <w:ind w:right="360"/>
        <w:rPr>
          <w:rFonts w:ascii="Palatino Linotype" w:hAnsi="Palatino Linotype" w:eastAsia="Palatino Linotype" w:cs="Palatino Linotype"/>
        </w:rPr>
      </w:pPr>
    </w:p>
    <w:p w:rsidRPr="001942D0" w:rsidR="00A76F4A" w:rsidP="00F42ED5" w:rsidRDefault="00A76F4A" w14:paraId="0054523B" w14:textId="77777777">
      <w:pPr>
        <w:spacing w:after="0" w:line="240" w:lineRule="auto"/>
        <w:ind w:left="720" w:right="360"/>
        <w:rPr>
          <w:rFonts w:ascii="Palatino Linotype" w:hAnsi="Palatino Linotype" w:eastAsia="Palatino Linotype" w:cs="Times New Roman"/>
          <w:kern w:val="0"/>
          <w14:ligatures w14:val="none"/>
        </w:rPr>
      </w:pPr>
      <w:r w:rsidRPr="5F659D3C">
        <w:rPr>
          <w:rFonts w:ascii="Palatino Linotype" w:hAnsi="Palatino Linotype" w:eastAsia="Palatino Linotype" w:cs="Times New Roman"/>
        </w:rPr>
        <w:t xml:space="preserve">PROPOSED OUTCOME: </w:t>
      </w:r>
    </w:p>
    <w:p w:rsidRPr="00562616" w:rsidR="00A76F4A" w:rsidP="00F42ED5" w:rsidRDefault="0BDF6DDF" w14:paraId="711BBA7A" w14:textId="18560BBE">
      <w:pPr>
        <w:numPr>
          <w:ilvl w:val="0"/>
          <w:numId w:val="8"/>
        </w:numPr>
        <w:spacing w:after="0" w:line="240" w:lineRule="auto"/>
        <w:ind w:right="360"/>
        <w:rPr>
          <w:rFonts w:ascii="Palatino Linotype" w:hAnsi="Palatino Linotype" w:eastAsia="Palatino Linotype" w:cs="Palatino Linotype"/>
          <w:kern w:val="0"/>
          <w14:ligatures w14:val="none"/>
        </w:rPr>
      </w:pPr>
      <w:r w:rsidRPr="5F659D3C">
        <w:rPr>
          <w:rFonts w:ascii="Palatino Linotype" w:hAnsi="Palatino Linotype" w:eastAsia="Times New Roman" w:cs="Times New Roman"/>
        </w:rPr>
        <w:t xml:space="preserve">Approves the Tier 3 Advice Letter 7685-E filed by Pacific Gas and Electric (PG&amp;E), which includes an agreement to relocate electric </w:t>
      </w:r>
      <w:r w:rsidRPr="5F659D3C" w:rsidR="184B907F">
        <w:rPr>
          <w:rFonts w:ascii="Palatino Linotype" w:hAnsi="Palatino Linotype" w:eastAsia="Times New Roman" w:cs="Times New Roman"/>
        </w:rPr>
        <w:t xml:space="preserve">transmission and distribution </w:t>
      </w:r>
      <w:r w:rsidRPr="5F659D3C">
        <w:rPr>
          <w:rFonts w:ascii="Palatino Linotype" w:hAnsi="Palatino Linotype" w:eastAsia="Times New Roman" w:cs="Times New Roman"/>
        </w:rPr>
        <w:t xml:space="preserve">facilities to accommodate </w:t>
      </w:r>
      <w:r w:rsidRPr="5F659D3C" w:rsidR="4E56BF5F">
        <w:rPr>
          <w:rFonts w:ascii="Palatino Linotype" w:hAnsi="Palatino Linotype" w:eastAsia="Palatino Linotype" w:cs="Palatino Linotype"/>
          <w:color w:val="000000" w:themeColor="text1"/>
        </w:rPr>
        <w:t>Doheny-Vidovich Partner</w:t>
      </w:r>
      <w:r w:rsidRPr="5F659D3C">
        <w:rPr>
          <w:rFonts w:ascii="Palatino Linotype" w:hAnsi="Palatino Linotype" w:eastAsia="Times New Roman" w:cs="Times New Roman"/>
        </w:rPr>
        <w:t>s</w:t>
      </w:r>
      <w:r w:rsidRPr="5F659D3C" w:rsidR="290422BB">
        <w:rPr>
          <w:rFonts w:ascii="Palatino Linotype" w:hAnsi="Palatino Linotype" w:eastAsia="Times New Roman" w:cs="Times New Roman"/>
        </w:rPr>
        <w:t>’</w:t>
      </w:r>
      <w:r w:rsidRPr="5F659D3C">
        <w:rPr>
          <w:rFonts w:ascii="Palatino Linotype" w:hAnsi="Palatino Linotype" w:eastAsia="Times New Roman" w:cs="Times New Roman"/>
        </w:rPr>
        <w:t xml:space="preserve"> (</w:t>
      </w:r>
      <w:r w:rsidRPr="5F659D3C" w:rsidR="603DA913">
        <w:rPr>
          <w:rFonts w:ascii="Palatino Linotype" w:hAnsi="Palatino Linotype" w:eastAsia="Times New Roman" w:cs="Times New Roman"/>
        </w:rPr>
        <w:t>Developer</w:t>
      </w:r>
      <w:r w:rsidRPr="5F659D3C">
        <w:rPr>
          <w:rFonts w:ascii="Palatino Linotype" w:hAnsi="Palatino Linotype" w:eastAsia="Palatino Linotype" w:cs="Palatino Linotype"/>
        </w:rPr>
        <w:t xml:space="preserve">) </w:t>
      </w:r>
      <w:r w:rsidRPr="5F659D3C" w:rsidR="651122A9">
        <w:rPr>
          <w:rFonts w:ascii="Palatino Linotype" w:hAnsi="Palatino Linotype" w:eastAsia="Palatino Linotype" w:cs="Palatino Linotype"/>
        </w:rPr>
        <w:t>proposed mixed-use commercial and residential condominium development at 4896 El Camino Real in Los Altos, CA</w:t>
      </w:r>
      <w:r w:rsidRPr="5F659D3C" w:rsidR="4F0BA46A">
        <w:rPr>
          <w:rFonts w:ascii="Palatino Linotype" w:hAnsi="Palatino Linotype" w:eastAsia="Palatino Linotype" w:cs="Palatino Linotype"/>
        </w:rPr>
        <w:t xml:space="preserve"> (Mixed-Use Project)</w:t>
      </w:r>
      <w:r w:rsidRPr="5F659D3C" w:rsidR="00A76F4A">
        <w:rPr>
          <w:rStyle w:val="FootnoteReference"/>
          <w:rFonts w:ascii="Palatino Linotype" w:hAnsi="Palatino Linotype" w:eastAsia="Palatino Linotype" w:cs="Palatino Linotype"/>
        </w:rPr>
        <w:footnoteReference w:id="2"/>
      </w:r>
      <w:r w:rsidRPr="5F659D3C" w:rsidR="389ADA1F">
        <w:rPr>
          <w:rFonts w:ascii="Palatino Linotype" w:hAnsi="Palatino Linotype" w:eastAsia="Palatino Linotype" w:cs="Palatino Linotype"/>
        </w:rPr>
        <w:t xml:space="preserve"> and identified as Assessor’s Parcel Number 170-02-026 in Santa Clara County (Property).</w:t>
      </w:r>
    </w:p>
    <w:p w:rsidRPr="00562616" w:rsidR="00393BB7" w:rsidP="00F42ED5" w:rsidRDefault="00393BB7" w14:paraId="0D3171E8" w14:textId="1793CFFC">
      <w:pPr>
        <w:pStyle w:val="ListParagraph"/>
        <w:numPr>
          <w:ilvl w:val="0"/>
          <w:numId w:val="8"/>
        </w:numPr>
        <w:spacing w:after="0" w:line="240" w:lineRule="auto"/>
        <w:ind w:right="360"/>
        <w:contextualSpacing w:val="0"/>
        <w:rPr>
          <w:rFonts w:ascii="Palatino Linotype" w:hAnsi="Palatino Linotype"/>
        </w:rPr>
      </w:pPr>
      <w:r w:rsidRPr="00A91265">
        <w:rPr>
          <w:rFonts w:ascii="Palatino Linotype" w:hAnsi="Palatino Linotype"/>
        </w:rPr>
        <w:t xml:space="preserve">Approves the agreement, referred to as the Actual Cost Contract (ACC), which memorializes the terms and conditions governing the relocation of PG&amp;E’s facilities in conflict with the </w:t>
      </w:r>
      <w:r w:rsidR="00997A64">
        <w:rPr>
          <w:rFonts w:ascii="Palatino Linotype" w:hAnsi="Palatino Linotype"/>
        </w:rPr>
        <w:t>Mixed-Use Project</w:t>
      </w:r>
      <w:r w:rsidRPr="00A91265">
        <w:rPr>
          <w:rFonts w:ascii="Palatino Linotype" w:hAnsi="Palatino Linotype"/>
        </w:rPr>
        <w:t xml:space="preserve">. </w:t>
      </w:r>
    </w:p>
    <w:p w:rsidR="0038447F" w:rsidP="00F42ED5" w:rsidRDefault="0038447F" w14:paraId="14AB5E26" w14:textId="77777777">
      <w:pPr>
        <w:spacing w:after="0" w:line="240" w:lineRule="auto"/>
        <w:ind w:left="720" w:right="360"/>
        <w:rPr>
          <w:rFonts w:ascii="Palatino Linotype" w:hAnsi="Palatino Linotype" w:eastAsia="Palatino Linotype" w:cs="Times New Roman"/>
          <w:kern w:val="0"/>
          <w14:ligatures w14:val="none"/>
        </w:rPr>
      </w:pPr>
    </w:p>
    <w:p w:rsidRPr="001942D0" w:rsidR="00A76F4A" w:rsidP="00F42ED5" w:rsidRDefault="00A76F4A" w14:paraId="4FCDC265" w14:textId="31BC0227">
      <w:pPr>
        <w:spacing w:after="0" w:line="240" w:lineRule="auto"/>
        <w:ind w:left="72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0BACBE50" w:rsidP="00F42ED5" w:rsidRDefault="0BACBE50" w14:paraId="7BEAB438" w14:textId="018ED0C7">
      <w:pPr>
        <w:numPr>
          <w:ilvl w:val="0"/>
          <w:numId w:val="7"/>
        </w:numPr>
        <w:spacing w:after="0" w:line="240" w:lineRule="auto"/>
        <w:ind w:right="360"/>
        <w:rPr>
          <w:rFonts w:ascii="Palatino Linotype" w:hAnsi="Palatino Linotype" w:eastAsia="Palatino Linotype" w:cs="Palatino Linotype"/>
        </w:rPr>
      </w:pPr>
      <w:r w:rsidRPr="5F659D3C">
        <w:rPr>
          <w:rFonts w:ascii="Palatino Linotype" w:hAnsi="Palatino Linotype" w:eastAsia="Palatino Linotype" w:cs="Palatino Linotype"/>
          <w:color w:val="000000" w:themeColor="text1"/>
        </w:rPr>
        <w:t>Work to relocate overhead electric utility facilities will conform to all current and applicable laws, California Public Utilities Commission (CPUC</w:t>
      </w:r>
      <w:r w:rsidR="00D51712">
        <w:rPr>
          <w:rFonts w:ascii="Palatino Linotype" w:hAnsi="Palatino Linotype" w:eastAsia="Palatino Linotype" w:cs="Palatino Linotype"/>
          <w:color w:val="000000" w:themeColor="text1"/>
        </w:rPr>
        <w:t xml:space="preserve"> or Commission</w:t>
      </w:r>
      <w:r w:rsidRPr="5F659D3C">
        <w:rPr>
          <w:rFonts w:ascii="Palatino Linotype" w:hAnsi="Palatino Linotype" w:eastAsia="Palatino Linotype" w:cs="Palatino Linotype"/>
          <w:color w:val="000000" w:themeColor="text1"/>
        </w:rPr>
        <w:t>) regulations, industry and PG&amp;E safety requirements as discussed in this Resolution and documented in the agreement.</w:t>
      </w:r>
    </w:p>
    <w:p w:rsidRPr="001942D0" w:rsidR="00A76F4A" w:rsidP="00F42ED5" w:rsidRDefault="00A76F4A" w14:paraId="64A6B8D1" w14:textId="77777777">
      <w:pPr>
        <w:spacing w:after="0" w:line="240" w:lineRule="auto"/>
        <w:ind w:left="720" w:right="360"/>
        <w:rPr>
          <w:rFonts w:ascii="Palatino Linotype" w:hAnsi="Palatino Linotype" w:eastAsia="Palatino Linotype" w:cs="Times New Roman"/>
          <w:kern w:val="0"/>
          <w14:ligatures w14:val="none"/>
        </w:rPr>
      </w:pPr>
    </w:p>
    <w:p w:rsidRPr="001942D0" w:rsidR="00A76F4A" w:rsidP="00F42ED5" w:rsidRDefault="00A76F4A" w14:paraId="6B0D0B8E" w14:textId="77777777">
      <w:pPr>
        <w:spacing w:after="0" w:line="240" w:lineRule="auto"/>
        <w:ind w:left="72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562616" w:rsidR="5F659D3C" w:rsidP="005753AB" w:rsidRDefault="5C2EFA89" w14:paraId="47DDC411" w14:textId="40EDCE25">
      <w:pPr>
        <w:pStyle w:val="Res-Caption"/>
        <w:numPr>
          <w:ilvl w:val="0"/>
          <w:numId w:val="4"/>
        </w:numPr>
        <w:spacing w:after="0" w:line="240" w:lineRule="auto"/>
        <w:ind w:righ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sz w:val="24"/>
          <w:szCs w:val="24"/>
        </w:rPr>
        <w:t xml:space="preserve">Under the ACC, </w:t>
      </w:r>
      <w:r w:rsidRPr="5F659D3C" w:rsidR="55DAF813">
        <w:rPr>
          <w:rFonts w:ascii="Palatino Linotype" w:hAnsi="Palatino Linotype" w:eastAsia="Palatino Linotype" w:cs="Palatino Linotype"/>
          <w:color w:val="000000" w:themeColor="text1"/>
          <w:sz w:val="24"/>
          <w:szCs w:val="24"/>
        </w:rPr>
        <w:t>the Developer</w:t>
      </w:r>
      <w:r w:rsidRPr="5F659D3C">
        <w:rPr>
          <w:rFonts w:ascii="Palatino Linotype" w:hAnsi="Palatino Linotype" w:eastAsia="Palatino Linotype" w:cs="Palatino Linotype"/>
          <w:color w:val="000000" w:themeColor="text1"/>
          <w:sz w:val="24"/>
          <w:szCs w:val="24"/>
        </w:rPr>
        <w:t xml:space="preserve"> is requesting to pay for the work on an actual cost basis. </w:t>
      </w:r>
      <w:r w:rsidRPr="5F659D3C" w:rsidR="4515835B">
        <w:rPr>
          <w:rFonts w:ascii="Palatino Linotype" w:hAnsi="Palatino Linotype" w:eastAsia="Palatino Linotype" w:cs="Palatino Linotype"/>
          <w:color w:val="000000" w:themeColor="text1"/>
          <w:sz w:val="24"/>
          <w:szCs w:val="24"/>
        </w:rPr>
        <w:t>The Developer</w:t>
      </w:r>
      <w:r w:rsidRPr="5F659D3C">
        <w:rPr>
          <w:rFonts w:ascii="Palatino Linotype" w:hAnsi="Palatino Linotype" w:eastAsia="Palatino Linotype" w:cs="Palatino Linotype"/>
          <w:color w:val="000000" w:themeColor="text1"/>
          <w:sz w:val="24"/>
          <w:szCs w:val="24"/>
        </w:rPr>
        <w:t xml:space="preserve"> will pay the estimated cost upfront, but after the relocation is completed</w:t>
      </w:r>
      <w:r w:rsidR="00002CF3">
        <w:rPr>
          <w:rFonts w:ascii="Palatino Linotype" w:hAnsi="Palatino Linotype" w:eastAsia="Palatino Linotype" w:cs="Palatino Linotype"/>
          <w:color w:val="000000" w:themeColor="text1"/>
          <w:sz w:val="24"/>
          <w:szCs w:val="24"/>
        </w:rPr>
        <w:t>.</w:t>
      </w:r>
      <w:r w:rsidRPr="5F659D3C" w:rsidR="00002CF3">
        <w:rPr>
          <w:rFonts w:ascii="Palatino Linotype" w:hAnsi="Palatino Linotype" w:eastAsia="Palatino Linotype" w:cs="Palatino Linotype"/>
          <w:color w:val="000000" w:themeColor="text1"/>
          <w:sz w:val="24"/>
          <w:szCs w:val="24"/>
        </w:rPr>
        <w:t xml:space="preserve"> </w:t>
      </w:r>
      <w:r w:rsidRPr="5F659D3C">
        <w:rPr>
          <w:rFonts w:ascii="Palatino Linotype" w:hAnsi="Palatino Linotype" w:eastAsia="Palatino Linotype" w:cs="Palatino Linotype"/>
          <w:color w:val="000000" w:themeColor="text1"/>
          <w:sz w:val="24"/>
          <w:szCs w:val="24"/>
        </w:rPr>
        <w:t xml:space="preserve">PG&amp;E will true-up the final costs in a final invoice. The final invoice will reflect the full actual cost of the relocation work, with appropriate credit for the initial payment received from </w:t>
      </w:r>
      <w:r w:rsidRPr="5F659D3C" w:rsidR="12956480">
        <w:rPr>
          <w:rFonts w:ascii="Palatino Linotype" w:hAnsi="Palatino Linotype" w:eastAsia="Palatino Linotype" w:cs="Palatino Linotype"/>
          <w:color w:val="000000" w:themeColor="text1"/>
          <w:sz w:val="24"/>
          <w:szCs w:val="24"/>
        </w:rPr>
        <w:t>the Developer</w:t>
      </w:r>
      <w:r w:rsidRPr="5F659D3C">
        <w:rPr>
          <w:rFonts w:ascii="Palatino Linotype" w:hAnsi="Palatino Linotype" w:eastAsia="Palatino Linotype" w:cs="Palatino Linotype"/>
          <w:color w:val="000000" w:themeColor="text1"/>
          <w:sz w:val="24"/>
          <w:szCs w:val="24"/>
        </w:rPr>
        <w:t>.</w:t>
      </w:r>
    </w:p>
    <w:p w:rsidR="5C2EFA89" w:rsidP="000D7226" w:rsidRDefault="5C2EFA89" w14:paraId="51BA4087" w14:textId="34AE5D96">
      <w:pPr>
        <w:pStyle w:val="Res-Caption"/>
        <w:spacing w:after="0"/>
        <w:ind w:left="1260" w:right="360"/>
        <w:rPr>
          <w:rFonts w:ascii="Palatino Linotype" w:hAnsi="Palatino Linotype" w:eastAsia="Palatino Linotype" w:cs="Palatino Linotype"/>
          <w:color w:val="000000" w:themeColor="text1"/>
          <w:sz w:val="24"/>
          <w:szCs w:val="24"/>
        </w:rPr>
      </w:pPr>
      <w:r w:rsidRPr="5F659D3C">
        <w:rPr>
          <w:rFonts w:ascii="Palatino Linotype" w:hAnsi="Palatino Linotype" w:eastAsia="Palatino Linotype" w:cs="Palatino Linotype"/>
          <w:color w:val="000000" w:themeColor="text1"/>
          <w:sz w:val="24"/>
          <w:szCs w:val="24"/>
        </w:rPr>
        <w:t>By Advice Letter Filed 7685-E on August 25, 2025.</w:t>
      </w:r>
    </w:p>
    <w:p w:rsidRPr="00323CE3" w:rsidR="00A76F4A" w:rsidP="00A76F4A" w:rsidRDefault="00A76F4A" w14:paraId="0542E5E0" w14:textId="5592980E">
      <w:pPr>
        <w:spacing w:after="0" w:line="240" w:lineRule="auto"/>
        <w:jc w:val="center"/>
        <w:rPr>
          <w:rFonts w:ascii="Palatino Linotype" w:hAnsi="Palatino Linotype" w:eastAsia="Palatino Linotype" w:cs="Times New Roman"/>
          <w:kern w:val="0"/>
          <w:sz w:val="16"/>
          <w:szCs w:val="16"/>
          <w14:ligatures w14:val="none"/>
        </w:rPr>
      </w:pPr>
      <w:r w:rsidRPr="00323CE3">
        <w:rPr>
          <w:rFonts w:ascii="Palatino Linotype" w:hAnsi="Palatino Linotype" w:eastAsia="Palatino Linotype" w:cs="Times New Roman"/>
          <w:kern w:val="0"/>
          <w:sz w:val="16"/>
          <w:szCs w:val="16"/>
          <w14:ligatures w14:val="none"/>
        </w:rPr>
        <w:t>_________</w:t>
      </w:r>
      <w:r w:rsidR="00323CE3">
        <w:rPr>
          <w:rFonts w:ascii="Palatino Linotype" w:hAnsi="Palatino Linotype" w:eastAsia="Palatino Linotype" w:cs="Times New Roman"/>
          <w:kern w:val="0"/>
          <w:sz w:val="16"/>
          <w:szCs w:val="16"/>
          <w14:ligatures w14:val="none"/>
        </w:rPr>
        <w:t>______________________________</w:t>
      </w:r>
      <w:r w:rsidRPr="00323CE3">
        <w:rPr>
          <w:rFonts w:ascii="Palatino Linotype" w:hAnsi="Palatino Linotype" w:eastAsia="Palatino Linotype" w:cs="Times New Roman"/>
          <w:kern w:val="0"/>
          <w:sz w:val="16"/>
          <w:szCs w:val="16"/>
          <w14:ligatures w14:val="none"/>
        </w:rPr>
        <w:t>_________________________________________________</w:t>
      </w:r>
    </w:p>
    <w:p w:rsidRPr="001942D0" w:rsidR="00A76F4A" w:rsidP="5F659D3C" w:rsidRDefault="00A76F4A" w14:paraId="3906F9BB" w14:textId="77777777">
      <w:pPr>
        <w:keepNext/>
        <w:spacing w:before="120" w:after="240" w:line="240" w:lineRule="auto"/>
        <w:jc w:val="both"/>
        <w:outlineLvl w:val="0"/>
        <w:rPr>
          <w:rFonts w:ascii="Palatino Linotype" w:hAnsi="Palatino Linotype" w:eastAsia="Palatino Linotype" w:cs="Times New Roman"/>
          <w:b/>
          <w:bCs/>
          <w:caps/>
          <w:kern w:val="28"/>
          <w:u w:val="single"/>
          <w14:ligatures w14:val="none"/>
        </w:rPr>
      </w:pPr>
      <w:r w:rsidRPr="5F659D3C">
        <w:rPr>
          <w:rFonts w:ascii="Palatino Linotype" w:hAnsi="Palatino Linotype" w:eastAsia="Palatino Linotype" w:cs="Times New Roman"/>
          <w:b/>
          <w:bCs/>
          <w:caps/>
          <w:kern w:val="28"/>
          <w:u w:val="single"/>
          <w14:ligatures w14:val="none"/>
        </w:rPr>
        <w:lastRenderedPageBreak/>
        <w:t>Summary</w:t>
      </w:r>
      <w:bookmarkEnd w:id="0"/>
    </w:p>
    <w:p w:rsidRPr="001942D0" w:rsidR="00A76F4A" w:rsidP="009B4243" w:rsidRDefault="3772A0B2" w14:paraId="3ADC9F17" w14:textId="5A37FF30">
      <w:pPr>
        <w:rPr>
          <w:rFonts w:ascii="Palatino Linotype" w:hAnsi="Palatino Linotype" w:eastAsia="Palatino Linotype" w:cs="Times New Roman"/>
          <w:kern w:val="0"/>
          <w14:ligatures w14:val="none"/>
        </w:rPr>
      </w:pPr>
      <w:r w:rsidRPr="5F659D3C">
        <w:rPr>
          <w:rFonts w:ascii="Palatino Linotype" w:hAnsi="Palatino Linotype" w:eastAsia="Palatino Linotype" w:cs="Palatino Linotype"/>
          <w:color w:val="000000" w:themeColor="text1"/>
        </w:rPr>
        <w:t>This Resolution approves the PG&amp;E relocation agreement with Doheny-Vidovich Partner</w:t>
      </w:r>
      <w:r w:rsidRPr="5F659D3C">
        <w:rPr>
          <w:rFonts w:ascii="Palatino Linotype" w:hAnsi="Palatino Linotype" w:eastAsia="Times New Roman" w:cs="Times New Roman"/>
        </w:rPr>
        <w:t>s</w:t>
      </w:r>
      <w:r w:rsidRPr="5F659D3C">
        <w:rPr>
          <w:rFonts w:ascii="Palatino Linotype" w:hAnsi="Palatino Linotype" w:eastAsia="Palatino Linotype" w:cs="Palatino Linotype"/>
          <w:color w:val="000000" w:themeColor="text1"/>
        </w:rPr>
        <w:t xml:space="preserve"> to accommodate the </w:t>
      </w:r>
      <w:r w:rsidRPr="5F659D3C" w:rsidR="452A21D7">
        <w:rPr>
          <w:rFonts w:ascii="Palatino Linotype" w:hAnsi="Palatino Linotype" w:eastAsia="Palatino Linotype" w:cs="Palatino Linotype"/>
        </w:rPr>
        <w:t>Mixed-Use Project</w:t>
      </w:r>
      <w:r w:rsidRPr="5F659D3C">
        <w:rPr>
          <w:rFonts w:ascii="Palatino Linotype" w:hAnsi="Palatino Linotype" w:eastAsia="Palatino Linotype" w:cs="Palatino Linotype"/>
          <w:color w:val="000000" w:themeColor="text1"/>
        </w:rPr>
        <w:t xml:space="preserve">. The ACC governs the terms and conditions between </w:t>
      </w:r>
      <w:r w:rsidRPr="5F659D3C" w:rsidR="36AB50D1">
        <w:rPr>
          <w:rFonts w:ascii="Palatino Linotype" w:hAnsi="Palatino Linotype" w:eastAsia="Palatino Linotype" w:cs="Palatino Linotype"/>
          <w:color w:val="000000" w:themeColor="text1"/>
        </w:rPr>
        <w:t>the Developer</w:t>
      </w:r>
      <w:r w:rsidRPr="5F659D3C">
        <w:rPr>
          <w:rFonts w:ascii="Palatino Linotype" w:hAnsi="Palatino Linotype" w:eastAsia="Palatino Linotype" w:cs="Palatino Linotype"/>
          <w:color w:val="000000" w:themeColor="text1"/>
        </w:rPr>
        <w:t xml:space="preserve"> and PG&amp;E regarding the relocation of PG&amp;E’s facilities that conflict with the </w:t>
      </w:r>
      <w:r w:rsidRPr="5F659D3C" w:rsidR="6B6549D2">
        <w:rPr>
          <w:rFonts w:ascii="Palatino Linotype" w:hAnsi="Palatino Linotype" w:eastAsia="Palatino Linotype" w:cs="Palatino Linotype"/>
        </w:rPr>
        <w:t>Mixed-Use Project</w:t>
      </w:r>
      <w:r w:rsidRPr="5F659D3C">
        <w:rPr>
          <w:rFonts w:ascii="Palatino Linotype" w:hAnsi="Palatino Linotype" w:eastAsia="Palatino Linotype" w:cs="Palatino Linotype"/>
          <w:color w:val="000000" w:themeColor="text1"/>
        </w:rPr>
        <w:t xml:space="preserve"> in </w:t>
      </w:r>
      <w:r w:rsidRPr="5F659D3C" w:rsidR="48835FBC">
        <w:rPr>
          <w:rFonts w:ascii="Palatino Linotype" w:hAnsi="Palatino Linotype" w:eastAsia="Palatino Linotype" w:cs="Palatino Linotype"/>
          <w:color w:val="000000" w:themeColor="text1"/>
        </w:rPr>
        <w:t>Santa Clara</w:t>
      </w:r>
      <w:r w:rsidRPr="5F659D3C">
        <w:rPr>
          <w:rFonts w:ascii="Palatino Linotype" w:hAnsi="Palatino Linotype" w:eastAsia="Palatino Linotype" w:cs="Palatino Linotype"/>
          <w:color w:val="000000" w:themeColor="text1"/>
        </w:rPr>
        <w:t xml:space="preserve"> County. PG&amp;E requests approval under Electric Rule No. 15.I.3 for the proposed ACC.</w:t>
      </w:r>
      <w:r w:rsidRPr="5F659D3C" w:rsidR="3079BF53">
        <w:rPr>
          <w:rFonts w:ascii="Palatino Linotype" w:hAnsi="Palatino Linotype" w:eastAsia="Palatino Linotype" w:cs="Palatino Linotype"/>
          <w:color w:val="000000" w:themeColor="text1"/>
        </w:rPr>
        <w:t xml:space="preserve"> The CPUC has previously approved other relocation agreements such as those with California Department of Water Resources (CDWR)</w:t>
      </w:r>
      <w:r w:rsidRPr="5F659D3C">
        <w:rPr>
          <w:rStyle w:val="FootnoteReference"/>
          <w:rFonts w:ascii="Palatino Linotype" w:hAnsi="Palatino Linotype" w:eastAsia="Palatino Linotype" w:cs="Palatino Linotype"/>
          <w:color w:val="000000" w:themeColor="text1"/>
        </w:rPr>
        <w:footnoteReference w:id="3"/>
      </w:r>
      <w:r w:rsidRPr="5F659D3C" w:rsidR="3079BF53">
        <w:rPr>
          <w:rFonts w:ascii="Palatino Linotype" w:hAnsi="Palatino Linotype" w:eastAsia="Palatino Linotype" w:cs="Palatino Linotype"/>
          <w:color w:val="000000" w:themeColor="text1"/>
        </w:rPr>
        <w:t xml:space="preserve"> and Wal-Mart Real Estate Business Trust and Walmart Inc.</w:t>
      </w:r>
      <w:r w:rsidRPr="5F659D3C">
        <w:rPr>
          <w:rStyle w:val="FootnoteReference"/>
          <w:rFonts w:ascii="Palatino Linotype" w:hAnsi="Palatino Linotype" w:eastAsia="Palatino Linotype" w:cs="Palatino Linotype"/>
          <w:color w:val="000000" w:themeColor="text1"/>
        </w:rPr>
        <w:footnoteReference w:id="4"/>
      </w:r>
    </w:p>
    <w:p w:rsidRPr="001942D0" w:rsidR="00A76F4A" w:rsidP="00EA7A46" w:rsidRDefault="00A76F4A" w14:paraId="3CCFFB44" w14:textId="77777777">
      <w:pPr>
        <w:keepNext/>
        <w:spacing w:before="360" w:after="240" w:line="240" w:lineRule="auto"/>
        <w:jc w:val="both"/>
        <w:outlineLvl w:val="0"/>
        <w:rPr>
          <w:rFonts w:ascii="Palatino Linotype" w:hAnsi="Palatino Linotype" w:eastAsia="Palatino Linotype" w:cs="Times New Roman"/>
          <w:b/>
          <w:bCs/>
          <w:caps/>
          <w:kern w:val="28"/>
          <w:u w:val="single"/>
          <w14:ligatures w14:val="none"/>
        </w:rPr>
      </w:pPr>
      <w:r w:rsidRPr="5F659D3C">
        <w:rPr>
          <w:rFonts w:ascii="Palatino Linotype" w:hAnsi="Palatino Linotype" w:eastAsia="Palatino Linotype" w:cs="Times New Roman"/>
          <w:b/>
          <w:bCs/>
          <w:caps/>
          <w:kern w:val="28"/>
          <w:u w:val="single"/>
          <w14:ligatures w14:val="none"/>
        </w:rPr>
        <w:t>Background</w:t>
      </w:r>
    </w:p>
    <w:p w:rsidR="5F659D3C" w:rsidP="008E6C5E" w:rsidRDefault="7C306C4D" w14:paraId="5869A9A7" w14:textId="1C2E5940">
      <w:p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Relocation work is governed by Electric Rule 15.I.1, which states that any relocation or rearrangement of PG&amp;E's existing facilities, at the request of, or to meet the convenience of an applicant or customer, and agreed upon by PG&amp;E, normally shall be performed by PG&amp;E. In addition, the applicant or customer shall be responsible for the costs of all related relocation, rearrangement and removal work.</w:t>
      </w:r>
    </w:p>
    <w:p w:rsidR="00E36E67" w:rsidP="008E6C5E" w:rsidRDefault="7C306C4D" w14:paraId="03EDC4AD" w14:textId="7E2E4209">
      <w:p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For a typical relocation project, PG&amp;E would use its form agreement on file with the CPUC, Electric Form No. 62-4527, Agreement to Perform Tariff Schedule Related Work (Work Performance Agreement). Under the Work Performance Agreement, the applicant agrees to pay a set contract price based on the estimated cost of the work to be performed by PG&amp;E, in accordance with Rule 15.G. The cost is collected at the time the Work Performance Agreement is entered into, in advance of the work. </w:t>
      </w:r>
    </w:p>
    <w:p w:rsidR="5F659D3C" w:rsidP="008E6C5E" w:rsidRDefault="7C306C4D" w14:paraId="09CC1B89" w14:textId="735BC35B">
      <w:p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The ACC with </w:t>
      </w:r>
      <w:r w:rsidRPr="5F659D3C" w:rsidR="722CCD68">
        <w:rPr>
          <w:rFonts w:ascii="Palatino Linotype" w:hAnsi="Palatino Linotype" w:eastAsia="Palatino Linotype" w:cs="Palatino Linotype"/>
          <w:color w:val="000000" w:themeColor="text1"/>
        </w:rPr>
        <w:t>the Developer</w:t>
      </w:r>
      <w:r w:rsidRPr="5F659D3C">
        <w:rPr>
          <w:rFonts w:ascii="Palatino Linotype" w:hAnsi="Palatino Linotype" w:eastAsia="Palatino Linotype" w:cs="Palatino Linotype"/>
          <w:color w:val="000000" w:themeColor="text1"/>
        </w:rPr>
        <w:t xml:space="preserve"> entails a substantial scope of work for the </w:t>
      </w:r>
      <w:r w:rsidRPr="5F659D3C" w:rsidR="2B31C1F4">
        <w:rPr>
          <w:rFonts w:ascii="Palatino Linotype" w:hAnsi="Palatino Linotype" w:eastAsia="Palatino Linotype" w:cs="Palatino Linotype"/>
        </w:rPr>
        <w:t>Mixed-Use Project</w:t>
      </w:r>
      <w:r w:rsidRPr="5F659D3C">
        <w:rPr>
          <w:rFonts w:ascii="Palatino Linotype" w:hAnsi="Palatino Linotype" w:eastAsia="Palatino Linotype" w:cs="Palatino Linotype"/>
          <w:color w:val="000000" w:themeColor="text1"/>
        </w:rPr>
        <w:t xml:space="preserve">. Performing such a large-scale relocation project on an estimated cost basis creates a risk that the cost estimate may not accurately capture the cost that will be incurred during the </w:t>
      </w:r>
      <w:r w:rsidRPr="5F659D3C" w:rsidR="6D117209">
        <w:rPr>
          <w:rFonts w:ascii="Palatino Linotype" w:hAnsi="Palatino Linotype" w:eastAsia="Palatino Linotype" w:cs="Palatino Linotype"/>
          <w:color w:val="000000" w:themeColor="text1"/>
        </w:rPr>
        <w:t>Mixed-Use Project</w:t>
      </w:r>
      <w:r w:rsidRPr="5F659D3C">
        <w:rPr>
          <w:rFonts w:ascii="Palatino Linotype" w:hAnsi="Palatino Linotype" w:eastAsia="Palatino Linotype" w:cs="Palatino Linotype"/>
          <w:color w:val="000000" w:themeColor="text1"/>
        </w:rPr>
        <w:t xml:space="preserve">. For example, should the cost estimate later be determined to be lower than the actual costs incurred, PG&amp;E would bear those additional costs that exceeded the cost estimate. Alternatively, should the cost estimate </w:t>
      </w:r>
      <w:r w:rsidRPr="5F659D3C">
        <w:rPr>
          <w:rFonts w:ascii="Palatino Linotype" w:hAnsi="Palatino Linotype" w:eastAsia="Palatino Linotype" w:cs="Palatino Linotype"/>
          <w:color w:val="000000" w:themeColor="text1"/>
        </w:rPr>
        <w:lastRenderedPageBreak/>
        <w:t xml:space="preserve">be higher than the actual costs, </w:t>
      </w:r>
      <w:r w:rsidRPr="5F659D3C" w:rsidR="3DC64C05">
        <w:rPr>
          <w:rFonts w:ascii="Palatino Linotype" w:hAnsi="Palatino Linotype" w:eastAsia="Palatino Linotype" w:cs="Palatino Linotype"/>
          <w:color w:val="000000" w:themeColor="text1"/>
        </w:rPr>
        <w:t>the Developer</w:t>
      </w:r>
      <w:r w:rsidRPr="5F659D3C">
        <w:rPr>
          <w:rFonts w:ascii="Palatino Linotype" w:hAnsi="Palatino Linotype" w:eastAsia="Palatino Linotype" w:cs="Palatino Linotype"/>
          <w:color w:val="000000" w:themeColor="text1"/>
        </w:rPr>
        <w:t xml:space="preserve"> would bear more than the amount PG&amp;E actually incurred to perform the work. </w:t>
      </w:r>
    </w:p>
    <w:p w:rsidR="5F659D3C" w:rsidP="008E6C5E" w:rsidRDefault="7C306C4D" w14:paraId="70770C91" w14:textId="7CE88548">
      <w:pPr>
        <w:rPr>
          <w:rFonts w:ascii="Palatino Linotype" w:hAnsi="Palatino Linotype" w:eastAsia="Times New Roman" w:cs="Times New Roman"/>
        </w:rPr>
      </w:pPr>
      <w:r w:rsidRPr="5F659D3C">
        <w:rPr>
          <w:rFonts w:ascii="Palatino Linotype" w:hAnsi="Palatino Linotype" w:eastAsia="Palatino Linotype" w:cs="Palatino Linotype"/>
          <w:color w:val="000000" w:themeColor="text1"/>
        </w:rPr>
        <w:t xml:space="preserve">Under the ACC, PG&amp;E is accommodating </w:t>
      </w:r>
      <w:r w:rsidRPr="5F659D3C" w:rsidR="543C891B">
        <w:rPr>
          <w:rFonts w:ascii="Palatino Linotype" w:hAnsi="Palatino Linotype" w:eastAsia="Palatino Linotype" w:cs="Palatino Linotype"/>
          <w:color w:val="000000" w:themeColor="text1"/>
        </w:rPr>
        <w:t>the Developer’s</w:t>
      </w:r>
      <w:r w:rsidRPr="5F659D3C">
        <w:rPr>
          <w:rFonts w:ascii="Palatino Linotype" w:hAnsi="Palatino Linotype" w:eastAsia="Palatino Linotype" w:cs="Palatino Linotype"/>
          <w:color w:val="000000" w:themeColor="text1"/>
        </w:rPr>
        <w:t xml:space="preserve"> request to pay for the work on an actual cost basis. </w:t>
      </w:r>
      <w:r w:rsidRPr="5F659D3C" w:rsidR="3AECC4D2">
        <w:rPr>
          <w:rFonts w:ascii="Palatino Linotype" w:hAnsi="Palatino Linotype" w:eastAsia="Palatino Linotype" w:cs="Palatino Linotype"/>
          <w:color w:val="000000" w:themeColor="text1"/>
        </w:rPr>
        <w:t>The Developer</w:t>
      </w:r>
      <w:r w:rsidRPr="5F659D3C">
        <w:rPr>
          <w:rFonts w:ascii="Palatino Linotype" w:hAnsi="Palatino Linotype" w:eastAsia="Palatino Linotype" w:cs="Palatino Linotype"/>
          <w:color w:val="000000" w:themeColor="text1"/>
        </w:rPr>
        <w:t xml:space="preserve"> will pay the estimated cost upfront, </w:t>
      </w:r>
      <w:proofErr w:type="gramStart"/>
      <w:r w:rsidRPr="5F659D3C">
        <w:rPr>
          <w:rFonts w:ascii="Palatino Linotype" w:hAnsi="Palatino Linotype" w:eastAsia="Palatino Linotype" w:cs="Palatino Linotype"/>
          <w:color w:val="000000" w:themeColor="text1"/>
        </w:rPr>
        <w:t>similar to</w:t>
      </w:r>
      <w:proofErr w:type="gramEnd"/>
      <w:r w:rsidRPr="5F659D3C">
        <w:rPr>
          <w:rFonts w:ascii="Palatino Linotype" w:hAnsi="Palatino Linotype" w:eastAsia="Palatino Linotype" w:cs="Palatino Linotype"/>
          <w:color w:val="000000" w:themeColor="text1"/>
        </w:rPr>
        <w:t xml:space="preserve"> the Work Performance Agreement, but after the relocation work is completed, PG&amp;E will true-up the final costs in a final invoice. The final invoice will reflect the full actual cost of the relocation work, with appropriate credit for the initial payment received from </w:t>
      </w:r>
      <w:r w:rsidRPr="5F659D3C" w:rsidR="6E6B43B2">
        <w:rPr>
          <w:rFonts w:ascii="Palatino Linotype" w:hAnsi="Palatino Linotype" w:eastAsia="Palatino Linotype" w:cs="Palatino Linotype"/>
          <w:color w:val="000000" w:themeColor="text1"/>
        </w:rPr>
        <w:t>the Developer</w:t>
      </w:r>
      <w:r w:rsidRPr="5F659D3C">
        <w:rPr>
          <w:rFonts w:ascii="Palatino Linotype" w:hAnsi="Palatino Linotype" w:eastAsia="Palatino Linotype" w:cs="Palatino Linotype"/>
          <w:color w:val="000000" w:themeColor="text1"/>
        </w:rPr>
        <w:t>.</w:t>
      </w:r>
    </w:p>
    <w:p w:rsidR="6DB92F66" w:rsidP="008E6C5E" w:rsidRDefault="7CBD10BF" w14:paraId="2952B100" w14:textId="26EF3985">
      <w:pPr>
        <w:rPr>
          <w:rFonts w:ascii="Palatino Linotype" w:hAnsi="Palatino Linotype" w:eastAsia="Palatino Linotype" w:cs="Palatino Linotype"/>
          <w:b/>
          <w:bCs/>
          <w:color w:val="000000" w:themeColor="text1"/>
          <w:u w:val="single"/>
        </w:rPr>
      </w:pPr>
      <w:r w:rsidRPr="5F659D3C">
        <w:rPr>
          <w:rFonts w:ascii="Palatino Linotype" w:hAnsi="Palatino Linotype" w:eastAsia="Palatino Linotype" w:cs="Palatino Linotype"/>
          <w:b/>
          <w:bCs/>
          <w:color w:val="000000" w:themeColor="text1"/>
          <w:u w:val="single"/>
        </w:rPr>
        <w:t>SCOPE OF THE PROJECT</w:t>
      </w:r>
    </w:p>
    <w:p w:rsidR="7DFFC2BD" w:rsidP="008E6C5E" w:rsidRDefault="7DFFC2BD" w14:paraId="0E1F88AC" w14:textId="40318C28">
      <w:pPr>
        <w:spacing w:after="0" w:line="276" w:lineRule="auto"/>
      </w:pPr>
      <w:r w:rsidRPr="07AF64C4">
        <w:rPr>
          <w:rFonts w:ascii="Palatino Linotype" w:hAnsi="Palatino Linotype" w:eastAsia="Palatino Linotype" w:cs="Palatino Linotype"/>
          <w:color w:val="000000" w:themeColor="text1"/>
        </w:rPr>
        <w:t xml:space="preserve">The Developer submitted a utility relocation request to relocate PG&amp;E’s Cooley Landing – Los Altos 60kV electric transmission facilities with Los Altos 1105 12kV electric distribution </w:t>
      </w:r>
      <w:proofErr w:type="spellStart"/>
      <w:r w:rsidRPr="07AF64C4">
        <w:rPr>
          <w:rFonts w:ascii="Palatino Linotype" w:hAnsi="Palatino Linotype" w:eastAsia="Palatino Linotype" w:cs="Palatino Linotype"/>
          <w:color w:val="000000" w:themeColor="text1"/>
        </w:rPr>
        <w:t>underbuild</w:t>
      </w:r>
      <w:proofErr w:type="spellEnd"/>
      <w:r w:rsidRPr="07AF64C4">
        <w:rPr>
          <w:rFonts w:ascii="Palatino Linotype" w:hAnsi="Palatino Linotype" w:eastAsia="Palatino Linotype" w:cs="Palatino Linotype"/>
          <w:color w:val="000000" w:themeColor="text1"/>
        </w:rPr>
        <w:t xml:space="preserve"> facilities, to accommodate the Developer’s Mixed-Use Project. To accommodate the Developer’s Mixed-Use Project, PG&amp;E will replace one wood pole and remove the anchors within the public right-of-way and install an additional new steel pole within the public right-of-way to accommodate the relocation of PG&amp;E’s facilities. The estimated cost to replace one wood pole and remove the anchors within the public right-of-way and install an additional new steel pole also within Jordan Avenue under the ACC is $390,898.00. The Income Tax Component of Contributions (ITCC), which is 24% of the estimated cost of the work comes out to $93,815.52. The estimated cost and the ITCC is to be paid by the Developer. The estimated cost and the ITCC is $484,713.52. </w:t>
      </w:r>
    </w:p>
    <w:p w:rsidR="5F659D3C" w:rsidP="008E6C5E" w:rsidRDefault="5F659D3C" w14:paraId="06720F45" w14:textId="381D17A3">
      <w:pPr>
        <w:spacing w:after="0" w:line="276" w:lineRule="auto"/>
        <w:rPr>
          <w:rFonts w:ascii="Palatino Linotype" w:hAnsi="Palatino Linotype" w:eastAsia="Palatino Linotype" w:cs="Palatino Linotype"/>
          <w:color w:val="000000" w:themeColor="text1"/>
        </w:rPr>
      </w:pPr>
    </w:p>
    <w:p w:rsidR="7DFFC2BD" w:rsidP="008E6C5E" w:rsidRDefault="7DFFC2BD" w14:paraId="5C25D190" w14:textId="58FB175D">
      <w:pPr>
        <w:spacing w:after="0" w:line="276" w:lineRule="auto"/>
      </w:pPr>
      <w:r w:rsidRPr="5F659D3C">
        <w:rPr>
          <w:rFonts w:ascii="Palatino Linotype" w:hAnsi="Palatino Linotype" w:eastAsia="Palatino Linotype" w:cs="Palatino Linotype"/>
          <w:color w:val="000000" w:themeColor="text1"/>
        </w:rPr>
        <w:t xml:space="preserve">The Developer has already paid $150,000.00 in engineering advances that will be </w:t>
      </w:r>
    </w:p>
    <w:p w:rsidR="7DFFC2BD" w:rsidP="008E6C5E" w:rsidRDefault="7DFFC2BD" w14:paraId="5A1688C0" w14:textId="76BC3C97">
      <w:pPr>
        <w:spacing w:after="0" w:line="276" w:lineRule="auto"/>
      </w:pPr>
      <w:r w:rsidRPr="5F659D3C">
        <w:rPr>
          <w:rFonts w:ascii="Palatino Linotype" w:hAnsi="Palatino Linotype" w:eastAsia="Palatino Linotype" w:cs="Palatino Linotype"/>
          <w:color w:val="000000" w:themeColor="text1"/>
        </w:rPr>
        <w:t xml:space="preserve">subtracted from the current estimated cost of the work. The remainder of the current, </w:t>
      </w:r>
    </w:p>
    <w:p w:rsidR="7DFFC2BD" w:rsidP="00572DD8" w:rsidRDefault="7DFFC2BD" w14:paraId="09935A88" w14:textId="02DB5027">
      <w:pPr>
        <w:spacing w:line="276" w:lineRule="auto"/>
      </w:pPr>
      <w:r w:rsidRPr="5F659D3C">
        <w:rPr>
          <w:rFonts w:ascii="Palatino Linotype" w:hAnsi="Palatino Linotype" w:eastAsia="Palatino Linotype" w:cs="Palatino Linotype"/>
          <w:color w:val="000000" w:themeColor="text1"/>
        </w:rPr>
        <w:t>estimated cost and the ITCC is to be paid by the Developer when the ACC is executed.</w:t>
      </w:r>
      <w:r w:rsidRPr="5F659D3C" w:rsidR="10932C31">
        <w:rPr>
          <w:rFonts w:ascii="Palatino Linotype" w:hAnsi="Palatino Linotype" w:eastAsia="Palatino Linotype" w:cs="Palatino Linotype"/>
          <w:color w:val="000000" w:themeColor="text1"/>
        </w:rPr>
        <w:t xml:space="preserve"> </w:t>
      </w:r>
      <w:r w:rsidRPr="5F659D3C">
        <w:rPr>
          <w:rFonts w:ascii="Palatino Linotype" w:hAnsi="Palatino Linotype" w:eastAsia="Palatino Linotype" w:cs="Palatino Linotype"/>
          <w:color w:val="000000" w:themeColor="text1"/>
        </w:rPr>
        <w:t xml:space="preserve">The Project is anticipated to start December </w:t>
      </w:r>
      <w:r w:rsidRPr="5F659D3C" w:rsidR="003E125A">
        <w:rPr>
          <w:rFonts w:ascii="Palatino Linotype" w:hAnsi="Palatino Linotype" w:eastAsia="Palatino Linotype" w:cs="Palatino Linotype"/>
          <w:color w:val="000000" w:themeColor="text1"/>
        </w:rPr>
        <w:t>2025,</w:t>
      </w:r>
      <w:r w:rsidRPr="5F659D3C">
        <w:rPr>
          <w:rFonts w:ascii="Palatino Linotype" w:hAnsi="Palatino Linotype" w:eastAsia="Palatino Linotype" w:cs="Palatino Linotype"/>
          <w:color w:val="000000" w:themeColor="text1"/>
        </w:rPr>
        <w:t xml:space="preserve"> but the Developer and PG&amp;E recognize that the ACC is subject to Commission approval before starting construction.</w:t>
      </w:r>
    </w:p>
    <w:p w:rsidR="7202AF73" w:rsidP="00572DD8" w:rsidRDefault="7202AF73" w14:paraId="766B7984" w14:textId="5B85F89C">
      <w:pPr>
        <w:pStyle w:val="Heading1"/>
        <w:spacing w:after="240"/>
        <w:rPr>
          <w:rFonts w:ascii="Palatino Linotype" w:hAnsi="Palatino Linotype" w:eastAsia="Palatino Linotype" w:cs="Palatino Linotype"/>
          <w:b/>
          <w:bCs/>
          <w:caps/>
          <w:color w:val="000000" w:themeColor="text1"/>
          <w:sz w:val="24"/>
          <w:szCs w:val="24"/>
        </w:rPr>
      </w:pPr>
      <w:r w:rsidRPr="0AE70E40">
        <w:rPr>
          <w:rFonts w:ascii="Palatino Linotype" w:hAnsi="Palatino Linotype" w:eastAsia="Palatino Linotype" w:cs="Palatino Linotype"/>
          <w:b/>
          <w:bCs/>
          <w:caps/>
          <w:color w:val="000000" w:themeColor="text1"/>
          <w:sz w:val="24"/>
          <w:szCs w:val="24"/>
          <w:u w:val="single"/>
        </w:rPr>
        <w:t>Discussion</w:t>
      </w:r>
    </w:p>
    <w:p w:rsidRPr="00562616" w:rsidR="5F659D3C" w:rsidP="00546002" w:rsidRDefault="7202AF73" w14:paraId="1FC36BD2" w14:textId="009AECF5">
      <w:pPr>
        <w:pStyle w:val="ListParagraph"/>
        <w:numPr>
          <w:ilvl w:val="0"/>
          <w:numId w:val="1"/>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b/>
          <w:bCs/>
          <w:color w:val="000000" w:themeColor="text1"/>
        </w:rPr>
        <w:t xml:space="preserve">A Relocation Agreement has been executed for PG&amp;E facilities relocation work required to accommodate Doheny-Vidovich Partners’ Mixed-Use Project. </w:t>
      </w:r>
      <w:r w:rsidRPr="5F659D3C">
        <w:rPr>
          <w:rFonts w:ascii="Palatino Linotype" w:hAnsi="Palatino Linotype" w:eastAsia="Palatino Linotype" w:cs="Palatino Linotype"/>
          <w:color w:val="000000" w:themeColor="text1"/>
        </w:rPr>
        <w:t xml:space="preserve">The Relocation Agreement establishes Doheny-Vidovich Partners and PG&amp;E obligations </w:t>
      </w:r>
      <w:r w:rsidRPr="5F659D3C">
        <w:rPr>
          <w:rFonts w:ascii="Palatino Linotype" w:hAnsi="Palatino Linotype" w:eastAsia="Palatino Linotype" w:cs="Palatino Linotype"/>
          <w:color w:val="000000" w:themeColor="text1"/>
        </w:rPr>
        <w:lastRenderedPageBreak/>
        <w:t>regarding the relocation of PG&amp;E facilities. PG&amp;E, and its contractors or subcontractors, will be responsible for the design and engineering, procurement of supplies, construction, and removal of the utility facilities.</w:t>
      </w:r>
    </w:p>
    <w:p w:rsidR="5F659D3C" w:rsidP="00546002" w:rsidRDefault="7202AF73" w14:paraId="55C181C8" w14:textId="7FB59F4C">
      <w:pPr>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Doheny-Vidovich Partners is responsible for acquiring, at no </w:t>
      </w:r>
      <w:proofErr w:type="gramStart"/>
      <w:r w:rsidRPr="5F659D3C" w:rsidR="00E14218">
        <w:rPr>
          <w:rFonts w:ascii="Palatino Linotype" w:hAnsi="Palatino Linotype" w:eastAsia="Palatino Linotype" w:cs="Palatino Linotype"/>
          <w:color w:val="000000" w:themeColor="text1"/>
        </w:rPr>
        <w:t>cost</w:t>
      </w:r>
      <w:r w:rsidR="00E75AA3">
        <w:rPr>
          <w:rFonts w:ascii="Palatino Linotype" w:hAnsi="Palatino Linotype" w:eastAsia="Palatino Linotype" w:cs="Palatino Linotype"/>
          <w:color w:val="000000" w:themeColor="text1"/>
        </w:rPr>
        <w:t xml:space="preserve"> to</w:t>
      </w:r>
      <w:proofErr w:type="gramEnd"/>
      <w:r w:rsidRPr="5F659D3C">
        <w:rPr>
          <w:rFonts w:ascii="Palatino Linotype" w:hAnsi="Palatino Linotype" w:eastAsia="Palatino Linotype" w:cs="Palatino Linotype"/>
          <w:color w:val="000000" w:themeColor="text1"/>
        </w:rPr>
        <w:t xml:space="preserve"> PG&amp;E and in a form satisfactory to PG&amp;E, all governmental approvals and permits required for PG&amp;E to undertake the work necessary to relocate or rearrange PG&amp;E’s facilities. Doheny-Vidovich Partners is also responsible for </w:t>
      </w:r>
      <w:r w:rsidRPr="5F659D3C" w:rsidR="00E14218">
        <w:rPr>
          <w:rFonts w:ascii="Palatino Linotype" w:hAnsi="Palatino Linotype" w:eastAsia="Palatino Linotype" w:cs="Palatino Linotype"/>
          <w:color w:val="000000" w:themeColor="text1"/>
        </w:rPr>
        <w:t>securing</w:t>
      </w:r>
      <w:r w:rsidRPr="5F659D3C">
        <w:rPr>
          <w:rFonts w:ascii="Palatino Linotype" w:hAnsi="Palatino Linotype" w:eastAsia="Palatino Linotype" w:cs="Palatino Linotype"/>
          <w:color w:val="000000" w:themeColor="text1"/>
        </w:rPr>
        <w:t xml:space="preserve"> PG&amp;E all necessary land rights in a form satisfactory to both parties to allow PG&amp;E to perform the work. PG&amp;E will convey or quitclaim to Doheny-Vidovich Partners its land or land rights occupied by facilities to be abandoned or removed within the land or rights or way required by Doheny-Vidovich Partners for the construction of the Mixed-Use Project.</w:t>
      </w:r>
    </w:p>
    <w:p w:rsidR="0088076C" w:rsidP="001A5005" w:rsidRDefault="7202AF73" w14:paraId="172560F3" w14:textId="7C13EC73">
      <w:pPr>
        <w:pStyle w:val="ListParagraph"/>
        <w:numPr>
          <w:ilvl w:val="0"/>
          <w:numId w:val="1"/>
        </w:numPr>
        <w:contextualSpacing w:val="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b/>
          <w:bCs/>
          <w:color w:val="000000" w:themeColor="text1"/>
        </w:rPr>
        <w:t xml:space="preserve">Doheny-Vidovich Partners has requested the relocation work to be performed by PG&amp;E be invoiced at actual cost. </w:t>
      </w:r>
      <w:r w:rsidRPr="5F659D3C">
        <w:rPr>
          <w:rFonts w:ascii="Palatino Linotype" w:hAnsi="Palatino Linotype" w:eastAsia="Palatino Linotype" w:cs="Palatino Linotype"/>
          <w:color w:val="000000" w:themeColor="text1"/>
        </w:rPr>
        <w:t>This request deviates from the payment structure outlined in the Work Performance Agreement used for regular relocation projects and is reflected in the Relocation Agreement. As defined in the Relocation Agreement, “Actual Costs” will be determined in accordance with the uniform system of accounts prescribed for utility companies by the Public Utilities Commission of the State of California and PG&amp;E's regularly established accounting practices and will include, but shall not be limited to, the following charges: survey costs, acquisition of land rights, labor and payroll taxes, materials and supplies, transportation, stores and tool expense, supervision and overheads, including allowance for funds used during construction, and an allowance for worker's compensation and public liability and property damage insurance, and estimated federal and state taxes.</w:t>
      </w:r>
    </w:p>
    <w:p w:rsidRPr="00562616" w:rsidR="5F659D3C" w:rsidP="00562616" w:rsidRDefault="7202AF73" w14:paraId="218AFCC8" w14:textId="16066FE8">
      <w:pPr>
        <w:pStyle w:val="ListParagraph"/>
        <w:numPr>
          <w:ilvl w:val="0"/>
          <w:numId w:val="1"/>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b/>
          <w:bCs/>
          <w:color w:val="000000" w:themeColor="text1"/>
        </w:rPr>
        <w:t xml:space="preserve">The billing arrangements specified in the Relocation Agreement are appropriate for the work required to accommodate Doheny-Vidovich Partners’ Mixed-Use Project. </w:t>
      </w:r>
      <w:r w:rsidRPr="5F659D3C">
        <w:rPr>
          <w:rFonts w:ascii="Palatino Linotype" w:hAnsi="Palatino Linotype" w:eastAsia="Palatino Linotype" w:cs="Palatino Linotype"/>
          <w:color w:val="000000" w:themeColor="text1"/>
        </w:rPr>
        <w:t xml:space="preserve">Providing a cost estimate that becomes a set contract price is common practice in fee for service arrangements. However, developing a set price cost estimate for large-scale construction carries inherent risk that, even if accurate within a few percentage points over or under actual cost, the equivalent dollar amount under or over actual expense may be significant. If developing a contracted </w:t>
      </w:r>
      <w:r w:rsidRPr="5F659D3C">
        <w:rPr>
          <w:rFonts w:ascii="Palatino Linotype" w:hAnsi="Palatino Linotype" w:eastAsia="Palatino Linotype" w:cs="Palatino Linotype"/>
          <w:color w:val="000000" w:themeColor="text1"/>
        </w:rPr>
        <w:lastRenderedPageBreak/>
        <w:t xml:space="preserve">price that accounts for this uncertainty and protects against cost overruns </w:t>
      </w:r>
      <w:proofErr w:type="gramStart"/>
      <w:r w:rsidRPr="5F659D3C" w:rsidR="00004C27">
        <w:rPr>
          <w:rFonts w:ascii="Palatino Linotype" w:hAnsi="Palatino Linotype" w:eastAsia="Palatino Linotype" w:cs="Palatino Linotype"/>
          <w:color w:val="000000" w:themeColor="text1"/>
        </w:rPr>
        <w:t>typical</w:t>
      </w:r>
      <w:proofErr w:type="gramEnd"/>
      <w:r w:rsidRPr="5F659D3C">
        <w:rPr>
          <w:rFonts w:ascii="Palatino Linotype" w:hAnsi="Palatino Linotype" w:eastAsia="Palatino Linotype" w:cs="Palatino Linotype"/>
          <w:color w:val="000000" w:themeColor="text1"/>
        </w:rPr>
        <w:t xml:space="preserve"> to large construction projects, PG&amp;E’s estimated cost would likely need to be set conservatively high--as any prudent organization would do when performing projects of this magnitude. Despite this precaution, over the course of work actual costs may still exceed the cost estimate.</w:t>
      </w:r>
    </w:p>
    <w:p w:rsidR="5F659D3C" w:rsidP="00885D83" w:rsidRDefault="7202AF73" w14:paraId="2DB12C6F" w14:textId="4CF4DAEA">
      <w:pPr>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It is reasonable that Doheny-Vidovich Partners should pay what it costs to relocate PG&amp;E’s facilities to accommodate its own work, and no more. The risk of Doheny-Vidovich Partners overpaying if contracting with PG&amp;E to perform the work at a set price is significant, and the payment terms for large projects with greater cost impacts than normal relocation work should be considered carefully. </w:t>
      </w:r>
    </w:p>
    <w:p w:rsidR="5F659D3C" w:rsidP="000B1428" w:rsidRDefault="7202AF73" w14:paraId="2A3DFE76" w14:textId="30F403B6">
      <w:pPr>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Within a reasonable time after completion of the work, PG&amp;E shall submit an invoice to Doheny-Vidovich Partners for the actual net cost. Doheny-Vidovich Partners will reimburse PG&amp;E for the actual net cost which PG&amp;E has incurred in effecting the rearrangement of PG&amp;E’s facilities. Within thirty (30) days after receipt of PG&amp;E’s invoice for any additional amount due, Doheny-Vidovich Partners shall reimburse PG&amp;E for the amount billed. If it is determined that the actual net cost is less than any amount previously paid by Doheny-Vidovich Partners under this relocation agreement, PG&amp;E shall reimburse Doheny-Vidovich </w:t>
      </w:r>
      <w:r w:rsidRPr="5F659D3C" w:rsidR="00DB101D">
        <w:rPr>
          <w:rFonts w:ascii="Palatino Linotype" w:hAnsi="Palatino Linotype" w:eastAsia="Palatino Linotype" w:cs="Palatino Linotype"/>
          <w:color w:val="000000" w:themeColor="text1"/>
        </w:rPr>
        <w:t>Partners for</w:t>
      </w:r>
      <w:r w:rsidRPr="5F659D3C">
        <w:rPr>
          <w:rFonts w:ascii="Palatino Linotype" w:hAnsi="Palatino Linotype" w:eastAsia="Palatino Linotype" w:cs="Palatino Linotype"/>
          <w:color w:val="000000" w:themeColor="text1"/>
        </w:rPr>
        <w:t xml:space="preserve"> the difference between the amount paid and the actual net cost, without interest.  </w:t>
      </w:r>
    </w:p>
    <w:p w:rsidR="7202AF73" w:rsidP="5F659D3C" w:rsidRDefault="7202AF73" w14:paraId="4376D67E" w14:textId="50AFEACA">
      <w:pPr>
        <w:spacing w:after="0" w:line="276" w:lineRule="auto"/>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The Relocation Agreement requirements stipulate detailed accounting of project</w:t>
      </w:r>
    </w:p>
    <w:p w:rsidR="7202AF73" w:rsidP="5F659D3C" w:rsidRDefault="7202AF73" w14:paraId="71FCB493" w14:textId="35265238">
      <w:pPr>
        <w:spacing w:after="0" w:line="276" w:lineRule="auto"/>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costs by PG&amp;E and reporting through an itemized invoice. This serves to</w:t>
      </w:r>
    </w:p>
    <w:p w:rsidR="00C75596" w:rsidP="5F659D3C" w:rsidRDefault="7202AF73" w14:paraId="2A7436A6" w14:textId="02F29A18">
      <w:pPr>
        <w:spacing w:after="0" w:line="276" w:lineRule="auto"/>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appropriately document expenses and aid in transparency. </w:t>
      </w:r>
    </w:p>
    <w:p w:rsidRPr="00546002" w:rsidR="5F659D3C" w:rsidP="00562616" w:rsidRDefault="5F659D3C" w14:paraId="6496D137" w14:textId="622085D8">
      <w:pPr>
        <w:spacing w:after="0" w:line="276" w:lineRule="auto"/>
        <w:ind w:left="360"/>
        <w:rPr>
          <w:rFonts w:ascii="Palatino Linotype" w:hAnsi="Palatino Linotype" w:eastAsia="Palatino Linotype" w:cs="Palatino Linotype"/>
          <w:color w:val="000000" w:themeColor="text1"/>
          <w:sz w:val="16"/>
          <w:szCs w:val="16"/>
        </w:rPr>
      </w:pPr>
    </w:p>
    <w:p w:rsidRPr="00562616" w:rsidR="5F659D3C" w:rsidP="00562616" w:rsidRDefault="7202AF73" w14:paraId="62104E36" w14:textId="4C57FD51">
      <w:pPr>
        <w:pStyle w:val="ListParagraph"/>
        <w:numPr>
          <w:ilvl w:val="0"/>
          <w:numId w:val="1"/>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b/>
          <w:bCs/>
          <w:color w:val="000000" w:themeColor="text1"/>
        </w:rPr>
        <w:t xml:space="preserve">The performance of relocation work on an actual cost basis has been approved by the Commission </w:t>
      </w:r>
      <w:proofErr w:type="gramStart"/>
      <w:r w:rsidRPr="5F659D3C">
        <w:rPr>
          <w:rFonts w:ascii="Palatino Linotype" w:hAnsi="Palatino Linotype" w:eastAsia="Palatino Linotype" w:cs="Palatino Linotype"/>
          <w:b/>
          <w:bCs/>
          <w:color w:val="000000" w:themeColor="text1"/>
        </w:rPr>
        <w:t>in</w:t>
      </w:r>
      <w:proofErr w:type="gramEnd"/>
      <w:r w:rsidRPr="5F659D3C">
        <w:rPr>
          <w:rFonts w:ascii="Palatino Linotype" w:hAnsi="Palatino Linotype" w:eastAsia="Palatino Linotype" w:cs="Palatino Linotype"/>
          <w:b/>
          <w:bCs/>
          <w:color w:val="000000" w:themeColor="text1"/>
        </w:rPr>
        <w:t xml:space="preserve"> other matters. </w:t>
      </w:r>
      <w:r w:rsidRPr="5F659D3C">
        <w:rPr>
          <w:rFonts w:ascii="Palatino Linotype" w:hAnsi="Palatino Linotype" w:eastAsia="Palatino Linotype" w:cs="Palatino Linotype"/>
          <w:color w:val="000000" w:themeColor="text1"/>
        </w:rPr>
        <w:t xml:space="preserve">As PG&amp;E notes in its advice letter, Resolution </w:t>
      </w:r>
      <w:r w:rsidR="00961DE7">
        <w:rPr>
          <w:rFonts w:ascii="Palatino Linotype" w:hAnsi="Palatino Linotype" w:eastAsia="Palatino Linotype" w:cs="Palatino Linotype"/>
          <w:color w:val="000000" w:themeColor="text1"/>
        </w:rPr>
        <w:br/>
      </w:r>
      <w:r w:rsidRPr="5F659D3C">
        <w:rPr>
          <w:rFonts w:ascii="Palatino Linotype" w:hAnsi="Palatino Linotype" w:eastAsia="Palatino Linotype" w:cs="Palatino Linotype"/>
          <w:color w:val="000000" w:themeColor="text1"/>
        </w:rPr>
        <w:t xml:space="preserve">E-5149 approved relocation agreements to accommodate the California Department of Water Resources’ (CDWR) levee projects. PG&amp;E accommodated CDWR’s request to pay for the relocation work on actual costs. The relocation agreements allowed for progress </w:t>
      </w:r>
      <w:proofErr w:type="gramStart"/>
      <w:r w:rsidRPr="5F659D3C">
        <w:rPr>
          <w:rFonts w:ascii="Palatino Linotype" w:hAnsi="Palatino Linotype" w:eastAsia="Palatino Linotype" w:cs="Palatino Linotype"/>
          <w:color w:val="000000" w:themeColor="text1"/>
        </w:rPr>
        <w:t>billing</w:t>
      </w:r>
      <w:proofErr w:type="gramEnd"/>
      <w:r w:rsidRPr="5F659D3C">
        <w:rPr>
          <w:rFonts w:ascii="Palatino Linotype" w:hAnsi="Palatino Linotype" w:eastAsia="Palatino Linotype" w:cs="Palatino Linotype"/>
          <w:color w:val="000000" w:themeColor="text1"/>
        </w:rPr>
        <w:t xml:space="preserve"> throughout the course of work.</w:t>
      </w:r>
    </w:p>
    <w:p w:rsidR="5F659D3C" w:rsidP="00562616" w:rsidRDefault="7202AF73" w14:paraId="27470237" w14:textId="7640F1F0">
      <w:pPr>
        <w:ind w:left="360"/>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Also, Commission Resolution G-3498 approved relocation agreements for work performed at the request of the California High-Speed Rail Authority, with deviations to utility-company Rules allowing reimbursement on actual costs as </w:t>
      </w:r>
      <w:r w:rsidRPr="5F659D3C">
        <w:rPr>
          <w:rFonts w:ascii="Palatino Linotype" w:hAnsi="Palatino Linotype" w:eastAsia="Palatino Linotype" w:cs="Palatino Linotype"/>
          <w:color w:val="000000" w:themeColor="text1"/>
        </w:rPr>
        <w:lastRenderedPageBreak/>
        <w:t xml:space="preserve">required by the California High Speed Rail Act. Like Resolution E-5149, </w:t>
      </w:r>
      <w:proofErr w:type="gramStart"/>
      <w:r w:rsidRPr="5F659D3C">
        <w:rPr>
          <w:rFonts w:ascii="Palatino Linotype" w:hAnsi="Palatino Linotype" w:eastAsia="Palatino Linotype" w:cs="Palatino Linotype"/>
          <w:color w:val="000000" w:themeColor="text1"/>
        </w:rPr>
        <w:t>invoicing</w:t>
      </w:r>
      <w:proofErr w:type="gramEnd"/>
      <w:r w:rsidRPr="5F659D3C">
        <w:rPr>
          <w:rFonts w:ascii="Palatino Linotype" w:hAnsi="Palatino Linotype" w:eastAsia="Palatino Linotype" w:cs="Palatino Linotype"/>
          <w:color w:val="000000" w:themeColor="text1"/>
        </w:rPr>
        <w:t xml:space="preserve"> was on a progress bill basis for actual costs incurred.</w:t>
      </w:r>
    </w:p>
    <w:p w:rsidR="0AE70E40" w:rsidP="00546002" w:rsidRDefault="7202AF73" w14:paraId="375F8892" w14:textId="2DA37B6B">
      <w:pPr>
        <w:ind w:left="360"/>
        <w:rPr>
          <w:rFonts w:ascii="Palatino Linotype" w:hAnsi="Palatino Linotype" w:eastAsia="Palatino Linotype" w:cs="Palatino Linotype"/>
          <w:color w:val="000000" w:themeColor="text1"/>
        </w:rPr>
      </w:pPr>
      <w:r w:rsidRPr="0AE70E40">
        <w:rPr>
          <w:rFonts w:ascii="Palatino Linotype" w:hAnsi="Palatino Linotype" w:eastAsia="Palatino Linotype" w:cs="Palatino Linotype"/>
          <w:color w:val="000000" w:themeColor="text1"/>
        </w:rPr>
        <w:t>Additionally, the Commission also approved Resolution G-3574, which approved relocation agreements for work performed at the request of the Santa Clara County Valley Transportation Authority. PG&amp;E entered into two master agreements to address the billing procedures and allocation of costs associated with the relocation of PG&amp;E’s facilities to accommodate rail and rapid transit projects. The responsibility for utility relocation costs varied depending on the property rights for PG&amp;E’s facilities, and progressive billing was structured to proportionally share costs on an actual cost basis.</w:t>
      </w:r>
    </w:p>
    <w:p w:rsidR="1C34F149" w:rsidP="0AE70E40" w:rsidRDefault="1C34F149" w14:paraId="699BD93E" w14:textId="7B0ED381">
      <w:pPr>
        <w:pStyle w:val="ListParagraph"/>
        <w:numPr>
          <w:ilvl w:val="0"/>
          <w:numId w:val="1"/>
        </w:numPr>
        <w:rPr>
          <w:rFonts w:ascii="Palatino Linotype" w:hAnsi="Palatino Linotype" w:eastAsia="Palatino Linotype" w:cs="Palatino Linotype"/>
          <w:color w:val="000000" w:themeColor="text1"/>
        </w:rPr>
      </w:pPr>
      <w:r w:rsidRPr="0AE70E40">
        <w:rPr>
          <w:rFonts w:ascii="Palatino Linotype" w:hAnsi="Palatino Linotype" w:eastAsia="Palatino Linotype" w:cs="Palatino Linotype"/>
          <w:b/>
          <w:bCs/>
          <w:color w:val="000000" w:themeColor="text1"/>
        </w:rPr>
        <w:t>Terms of the Relocation Agreement</w:t>
      </w:r>
    </w:p>
    <w:p w:rsidRPr="0055171D" w:rsidR="00A76F4A" w:rsidP="0055171D" w:rsidRDefault="1C34F149" w14:paraId="0EEF68C7" w14:textId="768AC096">
      <w:pPr>
        <w:pStyle w:val="ListParagraph"/>
        <w:ind w:left="360"/>
        <w:rPr>
          <w:rFonts w:ascii="Palatino Linotype" w:hAnsi="Palatino Linotype" w:eastAsia="Palatino Linotype" w:cs="Palatino Linotype"/>
          <w:color w:val="000000" w:themeColor="text1"/>
        </w:rPr>
      </w:pPr>
      <w:r w:rsidRPr="0AE70E40">
        <w:rPr>
          <w:rFonts w:ascii="Palatino Linotype" w:hAnsi="Palatino Linotype" w:eastAsia="Palatino Linotype" w:cs="Palatino Linotype"/>
          <w:color w:val="000000" w:themeColor="text1"/>
        </w:rPr>
        <w:t xml:space="preserve">Under the ACC, PG&amp;E is responsible for the design, procurement of supplies, and construction of the utility facilities. The Developer shall acquire all governmental approvals and permits for PG&amp;E to undertake the work necessary to relocate or rearrange PG&amp;E’s facilities. </w:t>
      </w:r>
      <w:r w:rsidRPr="0055171D">
        <w:rPr>
          <w:rFonts w:ascii="Palatino Linotype" w:hAnsi="Palatino Linotype" w:eastAsia="Palatino Linotype" w:cs="Palatino Linotype"/>
          <w:color w:val="000000" w:themeColor="text1"/>
        </w:rPr>
        <w:t>The replacement of PG&amp;E’s facilities may require the acquisition of additional land rights on the Property or third-party property. Additional land rights may be required, for example, to accommodate a change in the location where the facility will overhang onto private property. In these cases, the Developer is required to obtain satisfactory replacement land rights, at no cost to PG&amp;E, that correspond to PG&amp;E’s existing rights-of-way and that are in a form acceptable to PG&amp;E.</w:t>
      </w:r>
      <w:r w:rsidRPr="0055171D" w:rsidR="52D46069">
        <w:rPr>
          <w:rFonts w:ascii="Palatino Linotype" w:hAnsi="Palatino Linotype" w:eastAsia="Palatino Linotype" w:cs="Palatino Linotype"/>
          <w:color w:val="000000" w:themeColor="text1"/>
        </w:rPr>
        <w:t xml:space="preserve"> </w:t>
      </w:r>
      <w:r w:rsidRPr="0055171D" w:rsidR="456497CD">
        <w:rPr>
          <w:rFonts w:ascii="Palatino Linotype" w:hAnsi="Palatino Linotype" w:eastAsia="Palatino Linotype" w:cs="Palatino Linotype"/>
          <w:color w:val="000000" w:themeColor="text1"/>
        </w:rPr>
        <w:t xml:space="preserve">All designs and specifications produced will conform to all current and applicable Commission, industry and Company safety requirements and will be performed by PG&amp;E or its contractors or subcontractors.  </w:t>
      </w:r>
    </w:p>
    <w:p w:rsidR="2BDC9981" w:rsidP="00961DE7" w:rsidRDefault="2BDC9981" w14:paraId="5947F3C5" w14:textId="287CAE0F">
      <w:pPr>
        <w:pStyle w:val="Heading1"/>
        <w:spacing w:after="240"/>
        <w:rPr>
          <w:rFonts w:ascii="Palatino Linotype" w:hAnsi="Palatino Linotype" w:eastAsia="Palatino Linotype" w:cs="Palatino Linotype"/>
          <w:b/>
          <w:bCs/>
          <w:caps/>
          <w:color w:val="000000" w:themeColor="text1"/>
          <w:sz w:val="24"/>
          <w:szCs w:val="24"/>
        </w:rPr>
      </w:pPr>
      <w:r w:rsidRPr="5F659D3C">
        <w:rPr>
          <w:rFonts w:ascii="Palatino Linotype" w:hAnsi="Palatino Linotype" w:eastAsia="Palatino Linotype" w:cs="Palatino Linotype"/>
          <w:b/>
          <w:bCs/>
          <w:caps/>
          <w:color w:val="000000" w:themeColor="text1"/>
          <w:sz w:val="24"/>
          <w:szCs w:val="24"/>
          <w:u w:val="single"/>
        </w:rPr>
        <w:t>Comments</w:t>
      </w:r>
    </w:p>
    <w:p w:rsidR="2BDC9981" w:rsidP="5F659D3C" w:rsidRDefault="2BDC9981" w14:paraId="3FD0171E" w14:textId="28530DAA">
      <w:p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This is an uncontested matter in which the resolution grants the relief requested.  Accordingly, pursuant to PU Code 311(g)(2), the otherwise applicable 30-day period for public review and comment is being waived.</w:t>
      </w:r>
    </w:p>
    <w:p w:rsidR="2BDC9981" w:rsidP="00961DE7" w:rsidRDefault="2BDC9981" w14:paraId="7C75DE43" w14:textId="4C017D8C">
      <w:pPr>
        <w:pStyle w:val="Heading1"/>
        <w:spacing w:after="240"/>
        <w:rPr>
          <w:rFonts w:ascii="Palatino Linotype" w:hAnsi="Palatino Linotype" w:eastAsia="Palatino Linotype" w:cs="Palatino Linotype"/>
          <w:b/>
          <w:bCs/>
          <w:caps/>
          <w:color w:val="000000" w:themeColor="text1"/>
          <w:sz w:val="24"/>
          <w:szCs w:val="24"/>
        </w:rPr>
      </w:pPr>
      <w:r w:rsidRPr="5F659D3C">
        <w:rPr>
          <w:rFonts w:ascii="Palatino Linotype" w:hAnsi="Palatino Linotype" w:eastAsia="Palatino Linotype" w:cs="Palatino Linotype"/>
          <w:b/>
          <w:bCs/>
          <w:caps/>
          <w:color w:val="000000" w:themeColor="text1"/>
          <w:sz w:val="24"/>
          <w:szCs w:val="24"/>
          <w:u w:val="single"/>
        </w:rPr>
        <w:lastRenderedPageBreak/>
        <w:t>Findings</w:t>
      </w:r>
    </w:p>
    <w:p w:rsidR="2BDC9981" w:rsidP="5F659D3C" w:rsidRDefault="2BDC9981" w14:paraId="46B167F1" w14:textId="1865D4E2">
      <w:pPr>
        <w:pStyle w:val="ListParagraph"/>
        <w:numPr>
          <w:ilvl w:val="0"/>
          <w:numId w:val="3"/>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On </w:t>
      </w:r>
      <w:r w:rsidRPr="5F659D3C" w:rsidR="787CF1C3">
        <w:rPr>
          <w:rFonts w:ascii="Palatino Linotype" w:hAnsi="Palatino Linotype" w:eastAsia="Palatino Linotype" w:cs="Palatino Linotype"/>
          <w:color w:val="000000" w:themeColor="text1"/>
        </w:rPr>
        <w:t>August</w:t>
      </w:r>
      <w:r w:rsidRPr="5F659D3C">
        <w:rPr>
          <w:rFonts w:ascii="Palatino Linotype" w:hAnsi="Palatino Linotype" w:eastAsia="Palatino Linotype" w:cs="Palatino Linotype"/>
          <w:color w:val="000000" w:themeColor="text1"/>
        </w:rPr>
        <w:t xml:space="preserve"> 2</w:t>
      </w:r>
      <w:r w:rsidRPr="5F659D3C" w:rsidR="6C770235">
        <w:rPr>
          <w:rFonts w:ascii="Palatino Linotype" w:hAnsi="Palatino Linotype" w:eastAsia="Palatino Linotype" w:cs="Palatino Linotype"/>
          <w:color w:val="000000" w:themeColor="text1"/>
        </w:rPr>
        <w:t>5</w:t>
      </w:r>
      <w:r w:rsidRPr="5F659D3C">
        <w:rPr>
          <w:rFonts w:ascii="Palatino Linotype" w:hAnsi="Palatino Linotype" w:eastAsia="Palatino Linotype" w:cs="Palatino Linotype"/>
          <w:color w:val="000000" w:themeColor="text1"/>
        </w:rPr>
        <w:t>, 2024, PG&amp;E Filed AL 7</w:t>
      </w:r>
      <w:r w:rsidRPr="5F659D3C" w:rsidR="71A27140">
        <w:rPr>
          <w:rFonts w:ascii="Palatino Linotype" w:hAnsi="Palatino Linotype" w:eastAsia="Palatino Linotype" w:cs="Palatino Linotype"/>
          <w:color w:val="000000" w:themeColor="text1"/>
        </w:rPr>
        <w:t>685</w:t>
      </w:r>
      <w:r w:rsidRPr="5F659D3C">
        <w:rPr>
          <w:rFonts w:ascii="Palatino Linotype" w:hAnsi="Palatino Linotype" w:eastAsia="Palatino Linotype" w:cs="Palatino Linotype"/>
          <w:color w:val="000000" w:themeColor="text1"/>
        </w:rPr>
        <w:t xml:space="preserve">-E, a tier 3 Advice Letter seeking approval of a Relocation Agreement executed for PG&amp;E facilities relocation work required to accommodate </w:t>
      </w:r>
      <w:r w:rsidRPr="5F659D3C" w:rsidR="2C0E5AF1">
        <w:rPr>
          <w:rFonts w:ascii="Palatino Linotype" w:hAnsi="Palatino Linotype" w:eastAsia="Palatino Linotype" w:cs="Palatino Linotype"/>
          <w:color w:val="000000" w:themeColor="text1"/>
        </w:rPr>
        <w:t xml:space="preserve">Doheny-Vidovich </w:t>
      </w:r>
      <w:r w:rsidRPr="5F659D3C" w:rsidR="767BA7C4">
        <w:rPr>
          <w:rFonts w:ascii="Palatino Linotype" w:hAnsi="Palatino Linotype" w:eastAsia="Palatino Linotype" w:cs="Palatino Linotype"/>
          <w:color w:val="000000" w:themeColor="text1"/>
        </w:rPr>
        <w:t>Partners'</w:t>
      </w:r>
      <w:r w:rsidRPr="5F659D3C">
        <w:rPr>
          <w:rFonts w:ascii="Palatino Linotype" w:hAnsi="Palatino Linotype" w:eastAsia="Palatino Linotype" w:cs="Palatino Linotype"/>
          <w:color w:val="000000" w:themeColor="text1"/>
        </w:rPr>
        <w:t xml:space="preserve"> M</w:t>
      </w:r>
      <w:r w:rsidRPr="5F659D3C" w:rsidR="6EB31E26">
        <w:rPr>
          <w:rFonts w:ascii="Palatino Linotype" w:hAnsi="Palatino Linotype" w:eastAsia="Palatino Linotype" w:cs="Palatino Linotype"/>
          <w:color w:val="000000" w:themeColor="text1"/>
        </w:rPr>
        <w:t>ixed-Use</w:t>
      </w:r>
      <w:r w:rsidRPr="5F659D3C">
        <w:rPr>
          <w:rFonts w:ascii="Palatino Linotype" w:hAnsi="Palatino Linotype" w:eastAsia="Palatino Linotype" w:cs="Palatino Linotype"/>
          <w:color w:val="000000" w:themeColor="text1"/>
        </w:rPr>
        <w:t xml:space="preserve"> Project.</w:t>
      </w:r>
    </w:p>
    <w:p w:rsidR="1345FFC9" w:rsidP="5F659D3C" w:rsidRDefault="1345FFC9" w14:paraId="330C7BD2" w14:textId="0F173371">
      <w:pPr>
        <w:pStyle w:val="ListParagraph"/>
        <w:numPr>
          <w:ilvl w:val="0"/>
          <w:numId w:val="3"/>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Doheny-Vidovich Partners</w:t>
      </w:r>
      <w:r w:rsidRPr="5F659D3C" w:rsidR="2BDC9981">
        <w:rPr>
          <w:rFonts w:ascii="Palatino Linotype" w:hAnsi="Palatino Linotype" w:eastAsia="Palatino Linotype" w:cs="Palatino Linotype"/>
          <w:color w:val="000000" w:themeColor="text1"/>
        </w:rPr>
        <w:t xml:space="preserve"> has requested the relocation work to be performed by PG&amp;E be invoiced at actual cost.</w:t>
      </w:r>
    </w:p>
    <w:p w:rsidR="2BDC9981" w:rsidP="5F659D3C" w:rsidRDefault="2BDC9981" w14:paraId="62546F39" w14:textId="1F7893DA">
      <w:pPr>
        <w:pStyle w:val="ListParagraph"/>
        <w:numPr>
          <w:ilvl w:val="0"/>
          <w:numId w:val="3"/>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The billing arrangements specified in the Relocation Agreements are appropriate for the work required to accommodate </w:t>
      </w:r>
      <w:r w:rsidRPr="5F659D3C" w:rsidR="14563DBB">
        <w:rPr>
          <w:rFonts w:ascii="Palatino Linotype" w:hAnsi="Palatino Linotype" w:eastAsia="Palatino Linotype" w:cs="Palatino Linotype"/>
          <w:color w:val="000000" w:themeColor="text1"/>
        </w:rPr>
        <w:t>Doheny-Vidovich Partners</w:t>
      </w:r>
      <w:r w:rsidRPr="5F659D3C">
        <w:rPr>
          <w:rFonts w:ascii="Palatino Linotype" w:hAnsi="Palatino Linotype" w:eastAsia="Palatino Linotype" w:cs="Palatino Linotype"/>
          <w:color w:val="000000" w:themeColor="text1"/>
        </w:rPr>
        <w:t>’ M</w:t>
      </w:r>
      <w:r w:rsidRPr="5F659D3C" w:rsidR="6196F5C6">
        <w:rPr>
          <w:rFonts w:ascii="Palatino Linotype" w:hAnsi="Palatino Linotype" w:eastAsia="Palatino Linotype" w:cs="Palatino Linotype"/>
          <w:color w:val="000000" w:themeColor="text1"/>
        </w:rPr>
        <w:t>ixed-Use</w:t>
      </w:r>
      <w:r w:rsidRPr="5F659D3C">
        <w:rPr>
          <w:rFonts w:ascii="Palatino Linotype" w:hAnsi="Palatino Linotype" w:eastAsia="Palatino Linotype" w:cs="Palatino Linotype"/>
          <w:color w:val="000000" w:themeColor="text1"/>
        </w:rPr>
        <w:t xml:space="preserve"> Project.</w:t>
      </w:r>
    </w:p>
    <w:p w:rsidRPr="0033309E" w:rsidR="5F659D3C" w:rsidP="0033309E" w:rsidRDefault="2BDC9981" w14:paraId="657F2267" w14:textId="3E26147C">
      <w:pPr>
        <w:pStyle w:val="ListParagraph"/>
        <w:numPr>
          <w:ilvl w:val="0"/>
          <w:numId w:val="3"/>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 xml:space="preserve">The performance of relocation work on an actual cost basis has been approved by the Commission </w:t>
      </w:r>
      <w:r w:rsidRPr="5F659D3C" w:rsidR="00056A2D">
        <w:rPr>
          <w:rFonts w:ascii="Palatino Linotype" w:hAnsi="Palatino Linotype" w:eastAsia="Palatino Linotype" w:cs="Palatino Linotype"/>
          <w:color w:val="000000" w:themeColor="text1"/>
        </w:rPr>
        <w:t>on</w:t>
      </w:r>
      <w:r w:rsidRPr="5F659D3C">
        <w:rPr>
          <w:rFonts w:ascii="Palatino Linotype" w:hAnsi="Palatino Linotype" w:eastAsia="Palatino Linotype" w:cs="Palatino Linotype"/>
          <w:color w:val="000000" w:themeColor="text1"/>
        </w:rPr>
        <w:t xml:space="preserve"> other matters.</w:t>
      </w:r>
    </w:p>
    <w:p w:rsidR="2BDC9981" w:rsidP="00961DE7" w:rsidRDefault="2BDC9981" w14:paraId="0D3BAEE5" w14:textId="27F11473">
      <w:pPr>
        <w:pStyle w:val="Heading1"/>
        <w:spacing w:after="240"/>
        <w:rPr>
          <w:rFonts w:ascii="Palatino Linotype" w:hAnsi="Palatino Linotype" w:eastAsia="Palatino Linotype" w:cs="Palatino Linotype"/>
          <w:b/>
          <w:bCs/>
          <w:caps/>
          <w:color w:val="000000" w:themeColor="text1"/>
          <w:sz w:val="24"/>
          <w:szCs w:val="24"/>
        </w:rPr>
      </w:pPr>
      <w:proofErr w:type="gramStart"/>
      <w:r w:rsidRPr="5F659D3C">
        <w:rPr>
          <w:rFonts w:ascii="Palatino Linotype" w:hAnsi="Palatino Linotype" w:eastAsia="Palatino Linotype" w:cs="Palatino Linotype"/>
          <w:b/>
          <w:bCs/>
          <w:caps/>
          <w:color w:val="000000" w:themeColor="text1"/>
          <w:sz w:val="24"/>
          <w:szCs w:val="24"/>
          <w:u w:val="single"/>
        </w:rPr>
        <w:t>Therefore</w:t>
      </w:r>
      <w:proofErr w:type="gramEnd"/>
      <w:r w:rsidRPr="5F659D3C">
        <w:rPr>
          <w:rFonts w:ascii="Palatino Linotype" w:hAnsi="Palatino Linotype" w:eastAsia="Palatino Linotype" w:cs="Palatino Linotype"/>
          <w:b/>
          <w:bCs/>
          <w:caps/>
          <w:color w:val="000000" w:themeColor="text1"/>
          <w:sz w:val="24"/>
          <w:szCs w:val="24"/>
          <w:u w:val="single"/>
        </w:rPr>
        <w:t xml:space="preserve"> it is ordered that:</w:t>
      </w:r>
    </w:p>
    <w:p w:rsidR="2BDC9981" w:rsidP="5F659D3C" w:rsidRDefault="2BDC9981" w14:paraId="78CB2202" w14:textId="11DCF240">
      <w:pPr>
        <w:pStyle w:val="ListParagraph"/>
        <w:numPr>
          <w:ilvl w:val="0"/>
          <w:numId w:val="2"/>
        </w:numPr>
        <w:rPr>
          <w:rFonts w:ascii="Palatino Linotype" w:hAnsi="Palatino Linotype" w:eastAsia="Palatino Linotype" w:cs="Palatino Linotype"/>
          <w:color w:val="000000" w:themeColor="text1"/>
        </w:rPr>
      </w:pPr>
      <w:r w:rsidRPr="5F659D3C">
        <w:rPr>
          <w:rFonts w:ascii="Palatino Linotype" w:hAnsi="Palatino Linotype" w:eastAsia="Palatino Linotype" w:cs="Palatino Linotype"/>
          <w:color w:val="000000" w:themeColor="text1"/>
        </w:rPr>
        <w:t>The relocation agreement, Actual Cost Contract, for the M</w:t>
      </w:r>
      <w:r w:rsidRPr="5F659D3C" w:rsidR="0317AD97">
        <w:rPr>
          <w:rFonts w:ascii="Palatino Linotype" w:hAnsi="Palatino Linotype" w:eastAsia="Palatino Linotype" w:cs="Palatino Linotype"/>
          <w:color w:val="000000" w:themeColor="text1"/>
        </w:rPr>
        <w:t>ixed-Use</w:t>
      </w:r>
      <w:r w:rsidRPr="5F659D3C">
        <w:rPr>
          <w:rFonts w:ascii="Palatino Linotype" w:hAnsi="Palatino Linotype" w:eastAsia="Palatino Linotype" w:cs="Palatino Linotype"/>
          <w:color w:val="000000" w:themeColor="text1"/>
        </w:rPr>
        <w:t xml:space="preserve"> </w:t>
      </w:r>
      <w:r w:rsidRPr="5F659D3C" w:rsidR="639094E2">
        <w:rPr>
          <w:rFonts w:ascii="Palatino Linotype" w:hAnsi="Palatino Linotype" w:eastAsia="Palatino Linotype" w:cs="Palatino Linotype"/>
          <w:color w:val="000000" w:themeColor="text1"/>
        </w:rPr>
        <w:t>P</w:t>
      </w:r>
      <w:r w:rsidRPr="5F659D3C">
        <w:rPr>
          <w:rFonts w:ascii="Palatino Linotype" w:hAnsi="Palatino Linotype" w:eastAsia="Palatino Linotype" w:cs="Palatino Linotype"/>
          <w:color w:val="000000" w:themeColor="text1"/>
        </w:rPr>
        <w:t>roject submitted by PG&amp;E in Advice Letter 7</w:t>
      </w:r>
      <w:r w:rsidRPr="5F659D3C" w:rsidR="1E8713D3">
        <w:rPr>
          <w:rFonts w:ascii="Palatino Linotype" w:hAnsi="Palatino Linotype" w:eastAsia="Palatino Linotype" w:cs="Palatino Linotype"/>
          <w:color w:val="000000" w:themeColor="text1"/>
        </w:rPr>
        <w:t>685</w:t>
      </w:r>
      <w:r w:rsidRPr="5F659D3C">
        <w:rPr>
          <w:rFonts w:ascii="Palatino Linotype" w:hAnsi="Palatino Linotype" w:eastAsia="Palatino Linotype" w:cs="Palatino Linotype"/>
          <w:color w:val="000000" w:themeColor="text1"/>
        </w:rPr>
        <w:t>-E is approved in accordance with Electric Rule No 15.I.3, the Exceptional Cases Provision.</w:t>
      </w:r>
    </w:p>
    <w:p w:rsidR="5F659D3C" w:rsidP="5F659D3C" w:rsidRDefault="5F659D3C" w14:paraId="74296A6D" w14:textId="03A4E23E">
      <w:pPr>
        <w:ind w:left="360"/>
        <w:rPr>
          <w:rFonts w:ascii="Palatino Linotype" w:hAnsi="Palatino Linotype" w:eastAsia="Palatino Linotype" w:cs="Palatino Linotype"/>
          <w:color w:val="000000" w:themeColor="text1"/>
        </w:rPr>
      </w:pPr>
    </w:p>
    <w:p w:rsidR="00395689" w:rsidRDefault="00395689" w14:paraId="20923D5D"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Pr="001942D0" w:rsidR="00A76F4A" w:rsidP="5F659D3C" w:rsidRDefault="00A76F4A" w14:paraId="6B9B735A" w14:textId="534BDE0B">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5F659D3C"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jc w:val="both"/>
        <w:rPr>
          <w:rFonts w:ascii="Palatino Linotype" w:hAnsi="Palatino Linotype" w:eastAsia="Palatino Linotype" w:cs="Times New Roman"/>
          <w:kern w:val="0"/>
          <w14:ligatures w14:val="none"/>
        </w:rPr>
      </w:pPr>
    </w:p>
    <w:p w:rsidR="00A76F4A" w:rsidP="5F659D3C"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p>
    <w:p w:rsidR="00A76F4A" w:rsidP="5F659D3C" w:rsidRDefault="00A76F4A" w14:paraId="203AD159" w14:textId="62F104A3">
      <w:pPr>
        <w:pStyle w:val="10sp0"/>
        <w:spacing w:after="480"/>
        <w:jc w:val="both"/>
        <w:rPr>
          <w:rFonts w:ascii="Palatino Linotype" w:hAnsi="Palatino Linotype"/>
        </w:rPr>
      </w:pPr>
      <w:r w:rsidRPr="5F659D3C">
        <w:rPr>
          <w:rFonts w:ascii="Palatino Linotype" w:hAnsi="Palatino Linotype"/>
        </w:rPr>
        <w:t xml:space="preserve">The foregoing resolution was duly introduced, passed and adopted at a conference of the Public Utilities Commission of the State of California held on </w:t>
      </w:r>
      <w:r w:rsidR="00395689">
        <w:rPr>
          <w:rFonts w:ascii="Palatino Linotype" w:hAnsi="Palatino Linotype"/>
        </w:rPr>
        <w:t xml:space="preserve">February </w:t>
      </w:r>
      <w:r w:rsidR="00B31996">
        <w:rPr>
          <w:rFonts w:ascii="Palatino Linotype" w:hAnsi="Palatino Linotype"/>
        </w:rPr>
        <w:t xml:space="preserve">5, </w:t>
      </w:r>
      <w:r w:rsidR="0009503A">
        <w:rPr>
          <w:rFonts w:ascii="Palatino Linotype" w:hAnsi="Palatino Linotype"/>
        </w:rPr>
        <w:t>2026,</w:t>
      </w:r>
      <w:r w:rsidR="00B31996">
        <w:rPr>
          <w:rFonts w:ascii="Palatino Linotype" w:hAnsi="Palatino Linotype"/>
        </w:rPr>
        <w:t xml:space="preserve"> </w:t>
      </w:r>
      <w:r w:rsidRPr="5F659D3C">
        <w:rPr>
          <w:rFonts w:ascii="Palatino Linotype" w:hAnsi="Palatino Linotype"/>
        </w:rPr>
        <w:t>the following Commissioners voting favorably thereon:</w:t>
      </w:r>
    </w:p>
    <w:p w:rsidRPr="001A2653" w:rsidR="00CC228F" w:rsidP="00CC228F" w:rsidRDefault="00CC228F" w14:paraId="4F1425A4"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val="single" w:color="000000"/>
          <w:bdr w:val="nil"/>
          <w14:ligatures w14:val="none"/>
        </w:rPr>
      </w:pPr>
      <w:r w:rsidRPr="001A2653">
        <w:rPr>
          <w:rFonts w:ascii="Palatino Linotype" w:hAnsi="Palatino Linotype" w:eastAsia="Palatino Linotype" w:cs="Palatino Linotype"/>
          <w:snapToGrid w:val="0"/>
          <w:color w:val="000000"/>
          <w:kern w:val="0"/>
          <w:u w:val="single" w:color="000000"/>
          <w:bdr w:val="nil"/>
          <w14:ligatures w14:val="none"/>
        </w:rPr>
        <w:t>/s/ LEUWAM TESFAI</w:t>
      </w:r>
    </w:p>
    <w:p w:rsidRPr="001A2653" w:rsidR="00CC228F" w:rsidP="00CC228F" w:rsidRDefault="00CC228F" w14:paraId="52F4D7E6" w14:textId="77777777">
      <w:pPr>
        <w:pBdr>
          <w:top w:val="nil"/>
          <w:left w:val="nil"/>
          <w:bottom w:val="nil"/>
          <w:right w:val="nil"/>
          <w:between w:val="nil"/>
          <w:bar w:val="nil"/>
        </w:pBdr>
        <w:spacing w:after="0" w:line="240" w:lineRule="auto"/>
        <w:ind w:left="6390" w:right="144" w:firstLine="270"/>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Leuwam Tesfai</w:t>
      </w:r>
    </w:p>
    <w:p w:rsidRPr="001A2653" w:rsidR="00CC228F" w:rsidP="00CC228F" w:rsidRDefault="00CC228F" w14:paraId="160B6BCC"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 xml:space="preserve">  Executive Director</w:t>
      </w:r>
    </w:p>
    <w:p w:rsidRPr="001A2653" w:rsidR="00CC228F" w:rsidP="00CC228F" w:rsidRDefault="00CC228F" w14:paraId="4F333166"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p>
    <w:p w:rsidRPr="001A2653" w:rsidR="00CC228F" w:rsidP="00CC228F" w:rsidRDefault="00CC228F" w14:paraId="79FAEA0C"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p>
    <w:p w:rsidRPr="001A2653" w:rsidR="00CC228F" w:rsidP="00CC228F" w:rsidRDefault="00CC228F" w14:paraId="29F1BFF4"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ALICE REYNOLDS</w:t>
      </w:r>
    </w:p>
    <w:p w:rsidRPr="001A2653" w:rsidR="00CC228F" w:rsidP="00CC228F" w:rsidRDefault="00CC228F" w14:paraId="3A5DB534"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 xml:space="preserve">       President</w:t>
      </w:r>
    </w:p>
    <w:p w:rsidRPr="001A2653" w:rsidR="00CC228F" w:rsidP="00CC228F" w:rsidRDefault="00CC228F" w14:paraId="37FD6342"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p>
    <w:p w:rsidRPr="001A2653" w:rsidR="00CC228F" w:rsidP="00CC228F" w:rsidRDefault="00CC228F" w14:paraId="0ED5ACE0"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DARCIE L. HOUCK</w:t>
      </w:r>
    </w:p>
    <w:p w:rsidRPr="001A2653" w:rsidR="00CC228F" w:rsidP="00CC228F" w:rsidRDefault="00CC228F" w14:paraId="3655D54F"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JOHN REYNOLDS</w:t>
      </w:r>
    </w:p>
    <w:p w:rsidRPr="001A2653" w:rsidR="00CC228F" w:rsidP="00CC228F" w:rsidRDefault="00CC228F" w14:paraId="15E4F990"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KAREN DOUGLAS</w:t>
      </w:r>
    </w:p>
    <w:p w:rsidRPr="001A2653" w:rsidR="00CC228F" w:rsidP="00CC228F" w:rsidRDefault="00CC228F" w14:paraId="0C46D631" w14:textId="77777777">
      <w:pPr>
        <w:pBdr>
          <w:top w:val="nil"/>
          <w:left w:val="nil"/>
          <w:bottom w:val="nil"/>
          <w:right w:val="nil"/>
          <w:between w:val="nil"/>
          <w:bar w:val="nil"/>
        </w:pBdr>
        <w:spacing w:after="0" w:line="240"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MATTHEW BAKER</w:t>
      </w:r>
    </w:p>
    <w:p w:rsidRPr="001A2653" w:rsidR="00CC228F" w:rsidP="00CC228F" w:rsidRDefault="00CC228F" w14:paraId="1493D737" w14:textId="77777777">
      <w:pPr>
        <w:pBdr>
          <w:top w:val="nil"/>
          <w:left w:val="nil"/>
          <w:bottom w:val="nil"/>
          <w:right w:val="nil"/>
          <w:between w:val="nil"/>
          <w:bar w:val="nil"/>
        </w:pBdr>
        <w:spacing w:after="0" w:line="276" w:lineRule="auto"/>
        <w:ind w:left="6390" w:right="144"/>
        <w:rPr>
          <w:rFonts w:ascii="Palatino Linotype" w:hAnsi="Palatino Linotype" w:eastAsia="Palatino Linotype" w:cs="Palatino Linotype"/>
          <w:snapToGrid w:val="0"/>
          <w:color w:val="000000"/>
          <w:kern w:val="0"/>
          <w:u w:color="000000"/>
          <w:bdr w:val="nil"/>
          <w14:ligatures w14:val="none"/>
        </w:rPr>
      </w:pPr>
      <w:r w:rsidRPr="001A2653">
        <w:rPr>
          <w:rFonts w:ascii="Palatino Linotype" w:hAnsi="Palatino Linotype" w:eastAsia="Palatino Linotype" w:cs="Palatino Linotype"/>
          <w:snapToGrid w:val="0"/>
          <w:color w:val="000000"/>
          <w:kern w:val="0"/>
          <w:u w:color="000000"/>
          <w:bdr w:val="nil"/>
          <w14:ligatures w14:val="none"/>
        </w:rPr>
        <w:t xml:space="preserve">       Commissioners</w:t>
      </w:r>
    </w:p>
    <w:p w:rsidRPr="001942D0" w:rsidR="00A76F4A" w:rsidP="5F659D3C"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p>
    <w:p w:rsidRPr="001942D0" w:rsidR="00A76F4A" w:rsidP="5F659D3C"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p>
    <w:p w:rsidR="00A76F4A" w:rsidP="0AE70E40" w:rsidRDefault="00A76F4A" w14:paraId="1FD216D4" w14:textId="16221481">
      <w:pPr>
        <w:keepNext/>
        <w:spacing w:after="0" w:line="240" w:lineRule="auto"/>
        <w:jc w:val="both"/>
        <w:rPr>
          <w:rFonts w:ascii="Palatino Linotype" w:hAnsi="Palatino Linotype" w:eastAsia="Palatino Linotype" w:cs="Times New Roman"/>
        </w:rPr>
      </w:pPr>
      <w:r w:rsidRPr="0AE70E40">
        <w:rPr>
          <w:rFonts w:ascii="Palatino Linotype" w:hAnsi="Palatino Linotype" w:eastAsia="Palatino Linotype" w:cs="Times New Roman"/>
        </w:rPr>
        <w:t xml:space="preserve">Dated </w:t>
      </w:r>
      <w:r w:rsidRPr="002D19E6" w:rsidR="00395689">
        <w:rPr>
          <w:rFonts w:ascii="Palatino Linotype" w:hAnsi="Palatino Linotype" w:eastAsia="Palatino Linotype" w:cs="Times New Roman"/>
        </w:rPr>
        <w:t>February 5, 2026</w:t>
      </w:r>
      <w:r w:rsidRPr="0AE70E40">
        <w:rPr>
          <w:rFonts w:ascii="Palatino Linotype" w:hAnsi="Palatino Linotype" w:eastAsia="Palatino Linotype" w:cs="Times New Roman"/>
        </w:rPr>
        <w:t xml:space="preserve">, </w:t>
      </w:r>
      <w:proofErr w:type="gramStart"/>
      <w:r w:rsidRPr="0AE70E40">
        <w:rPr>
          <w:rFonts w:ascii="Palatino Linotype" w:hAnsi="Palatino Linotype" w:eastAsia="Palatino Linotype" w:cs="Times New Roman"/>
        </w:rPr>
        <w:t>at</w:t>
      </w:r>
      <w:proofErr w:type="gramEnd"/>
      <w:r w:rsidRPr="0AE70E40">
        <w:rPr>
          <w:rFonts w:ascii="Palatino Linotype" w:hAnsi="Palatino Linotype" w:eastAsia="Palatino Linotype" w:cs="Times New Roman"/>
        </w:rPr>
        <w:t xml:space="preserve"> </w:t>
      </w:r>
      <w:r w:rsidRPr="002D19E6" w:rsidR="00395689">
        <w:rPr>
          <w:rFonts w:ascii="Palatino Linotype" w:hAnsi="Palatino Linotype" w:eastAsia="Palatino Linotype" w:cs="Times New Roman"/>
        </w:rPr>
        <w:t>Sacramento</w:t>
      </w:r>
      <w:r w:rsidRPr="002D19E6">
        <w:rPr>
          <w:rFonts w:ascii="Palatino Linotype" w:hAnsi="Palatino Linotype" w:eastAsia="Palatino Linotype" w:cs="Times New Roman"/>
        </w:rPr>
        <w:t>, California</w:t>
      </w:r>
      <w:r w:rsidRPr="002D19E6" w:rsidR="00395689">
        <w:rPr>
          <w:rFonts w:ascii="Palatino Linotype" w:hAnsi="Palatino Linotype" w:eastAsia="Palatino Linotype" w:cs="Times New Roman"/>
        </w:rPr>
        <w:t>.</w:t>
      </w:r>
      <w:r>
        <w:tab/>
      </w:r>
    </w:p>
    <w:sectPr w:rsidR="00A76F4A" w:rsidSect="00750E9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43E0" w14:textId="77777777" w:rsidR="00ED454B" w:rsidRDefault="00ED454B" w:rsidP="00A76F4A">
      <w:pPr>
        <w:spacing w:after="0" w:line="240" w:lineRule="auto"/>
      </w:pPr>
      <w:r>
        <w:separator/>
      </w:r>
    </w:p>
  </w:endnote>
  <w:endnote w:type="continuationSeparator" w:id="0">
    <w:p w14:paraId="555DB20F" w14:textId="77777777" w:rsidR="00ED454B" w:rsidRDefault="00ED454B" w:rsidP="00A76F4A">
      <w:pPr>
        <w:spacing w:after="0" w:line="240" w:lineRule="auto"/>
      </w:pPr>
      <w:r>
        <w:continuationSeparator/>
      </w:r>
    </w:p>
  </w:endnote>
  <w:endnote w:type="continuationNotice" w:id="1">
    <w:p w14:paraId="2E19A17F" w14:textId="77777777" w:rsidR="00ED454B" w:rsidRDefault="00ED4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28A42C91" w:rsidR="004A7A4C" w:rsidRPr="00DB3CCB" w:rsidRDefault="00E844E9" w:rsidP="00E844E9">
        <w:pPr>
          <w:pStyle w:val="Footer"/>
          <w:rPr>
            <w:rFonts w:ascii="Palatino Linotype" w:hAnsi="Palatino Linotype"/>
          </w:rPr>
        </w:pPr>
        <w:r w:rsidRPr="00E844E9">
          <w:rPr>
            <w:rFonts w:ascii="Tahoma" w:hAnsi="Tahoma" w:cs="Tahoma"/>
            <w:sz w:val="18"/>
            <w:szCs w:val="18"/>
          </w:rPr>
          <w:t>598254959  </w:t>
        </w:r>
        <w:r>
          <w:rPr>
            <w:rFonts w:ascii="Tahoma" w:hAnsi="Tahoma" w:cs="Tahoma"/>
            <w:sz w:val="18"/>
            <w:szCs w:val="18"/>
          </w:rPr>
          <w:t xml:space="preserve"> </w:t>
        </w:r>
        <w:r w:rsidR="004A7A4C">
          <w:tab/>
        </w:r>
        <w:r w:rsidR="004A7A4C" w:rsidRPr="00DB3CCB">
          <w:rPr>
            <w:rFonts w:ascii="Palatino Linotype" w:hAnsi="Palatino Linotype"/>
            <w:noProof/>
          </w:rPr>
          <w:fldChar w:fldCharType="begin"/>
        </w:r>
        <w:r w:rsidR="004A7A4C" w:rsidRPr="00DB3CCB">
          <w:rPr>
            <w:rFonts w:ascii="Palatino Linotype" w:hAnsi="Palatino Linotype"/>
          </w:rPr>
          <w:instrText xml:space="preserve"> PAGE   \* MERGEFORMAT </w:instrText>
        </w:r>
        <w:r w:rsidR="004A7A4C" w:rsidRPr="00DB3CCB">
          <w:rPr>
            <w:rFonts w:ascii="Palatino Linotype" w:hAnsi="Palatino Linotype"/>
          </w:rPr>
          <w:fldChar w:fldCharType="separate"/>
        </w:r>
        <w:r w:rsidR="5F659D3C" w:rsidRPr="00DB3CCB">
          <w:rPr>
            <w:rFonts w:ascii="Palatino Linotype" w:hAnsi="Palatino Linotype"/>
            <w:noProof/>
          </w:rPr>
          <w:t>2</w:t>
        </w:r>
        <w:r w:rsidR="004A7A4C" w:rsidRPr="00DB3CCB">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716D" w14:textId="77777777" w:rsidR="00ED454B" w:rsidRDefault="00ED454B" w:rsidP="00A76F4A">
      <w:pPr>
        <w:spacing w:after="0" w:line="240" w:lineRule="auto"/>
      </w:pPr>
      <w:r>
        <w:separator/>
      </w:r>
    </w:p>
  </w:footnote>
  <w:footnote w:type="continuationSeparator" w:id="0">
    <w:p w14:paraId="71E5AFDF" w14:textId="77777777" w:rsidR="00ED454B" w:rsidRDefault="00ED454B" w:rsidP="00A76F4A">
      <w:pPr>
        <w:spacing w:after="0" w:line="240" w:lineRule="auto"/>
      </w:pPr>
      <w:r>
        <w:continuationSeparator/>
      </w:r>
    </w:p>
  </w:footnote>
  <w:footnote w:type="continuationNotice" w:id="1">
    <w:p w14:paraId="6C5258B2" w14:textId="77777777" w:rsidR="00ED454B" w:rsidRDefault="00ED454B">
      <w:pPr>
        <w:spacing w:after="0" w:line="240" w:lineRule="auto"/>
      </w:pPr>
    </w:p>
  </w:footnote>
  <w:footnote w:id="2">
    <w:p w14:paraId="16CEB194" w14:textId="5C7AF261" w:rsidR="5F659D3C" w:rsidRPr="00DB3CCB" w:rsidRDefault="5F659D3C" w:rsidP="5F659D3C">
      <w:pPr>
        <w:pStyle w:val="FootnoteText"/>
        <w:rPr>
          <w:rFonts w:ascii="Palatino Linotype" w:hAnsi="Palatino Linotype"/>
        </w:rPr>
      </w:pPr>
      <w:r w:rsidRPr="00DB3CCB">
        <w:rPr>
          <w:rStyle w:val="FootnoteReference"/>
          <w:rFonts w:ascii="Palatino Linotype" w:eastAsia="Aptos" w:hAnsi="Palatino Linotype" w:cs="Aptos"/>
        </w:rPr>
        <w:footnoteRef/>
      </w:r>
      <w:r w:rsidRPr="00DB3CCB">
        <w:rPr>
          <w:rFonts w:ascii="Palatino Linotype" w:eastAsia="Aptos" w:hAnsi="Palatino Linotype" w:cs="Aptos"/>
        </w:rPr>
        <w:t xml:space="preserve"> 4896 El Camino Real Mixed-Use Project, </w:t>
      </w:r>
      <w:hyperlink r:id="rId1" w:history="1">
        <w:r w:rsidR="00AA609B" w:rsidRPr="00204A11">
          <w:rPr>
            <w:rStyle w:val="Hyperlink"/>
            <w:rFonts w:ascii="Palatino Linotype" w:eastAsia="Aptos" w:hAnsi="Palatino Linotype" w:cs="Aptos"/>
          </w:rPr>
          <w:t>https://ceqanet.lci.ca.gov/2024120054</w:t>
        </w:r>
      </w:hyperlink>
      <w:r w:rsidR="00AA609B">
        <w:rPr>
          <w:rFonts w:ascii="Palatino Linotype" w:eastAsia="Aptos" w:hAnsi="Palatino Linotype" w:cs="Aptos"/>
        </w:rPr>
        <w:t>.</w:t>
      </w:r>
    </w:p>
  </w:footnote>
  <w:footnote w:id="3">
    <w:p w14:paraId="43E798AB" w14:textId="1BB7D9C8" w:rsidR="5F659D3C" w:rsidRPr="00DB3CCB" w:rsidRDefault="5F659D3C" w:rsidP="5F659D3C">
      <w:pPr>
        <w:pStyle w:val="FootnoteText"/>
        <w:rPr>
          <w:rFonts w:ascii="Palatino Linotype" w:hAnsi="Palatino Linotype"/>
        </w:rPr>
      </w:pPr>
      <w:r w:rsidRPr="00DB3CCB">
        <w:rPr>
          <w:rStyle w:val="FootnoteReference"/>
          <w:rFonts w:ascii="Palatino Linotype" w:hAnsi="Palatino Linotype"/>
        </w:rPr>
        <w:footnoteRef/>
      </w:r>
      <w:r w:rsidRPr="00DB3CCB">
        <w:rPr>
          <w:rFonts w:ascii="Palatino Linotype" w:hAnsi="Palatino Linotype"/>
        </w:rPr>
        <w:t xml:space="preserve"> See Resolution Number E-5149, </w:t>
      </w:r>
    </w:p>
    <w:p w14:paraId="0F52F13A" w14:textId="49EBF301" w:rsidR="5F659D3C" w:rsidRPr="00DB3CCB" w:rsidRDefault="5F659D3C" w:rsidP="5F659D3C">
      <w:pPr>
        <w:pStyle w:val="FootnoteText"/>
        <w:rPr>
          <w:rFonts w:ascii="Palatino Linotype" w:hAnsi="Palatino Linotype"/>
        </w:rPr>
      </w:pPr>
      <w:hyperlink r:id="rId2">
        <w:r w:rsidRPr="00DB3CCB">
          <w:rPr>
            <w:rStyle w:val="Hyperlink"/>
            <w:rFonts w:ascii="Palatino Linotype" w:hAnsi="Palatino Linotype"/>
          </w:rPr>
          <w:t>https://docs.cpuc.ca.gov/PublishedDocs/Published/G000/M393/K356/393356912.PDF</w:t>
        </w:r>
      </w:hyperlink>
    </w:p>
  </w:footnote>
  <w:footnote w:id="4">
    <w:p w14:paraId="6FD8D43F" w14:textId="0005A95A" w:rsidR="5F659D3C" w:rsidRPr="00DB3CCB" w:rsidRDefault="5F659D3C" w:rsidP="5F659D3C">
      <w:pPr>
        <w:pStyle w:val="FootnoteText"/>
        <w:rPr>
          <w:rFonts w:ascii="Palatino Linotype" w:hAnsi="Palatino Linotype"/>
        </w:rPr>
      </w:pPr>
      <w:r w:rsidRPr="00DB3CCB">
        <w:rPr>
          <w:rStyle w:val="FootnoteReference"/>
          <w:rFonts w:ascii="Palatino Linotype" w:hAnsi="Palatino Linotype"/>
        </w:rPr>
        <w:footnoteRef/>
      </w:r>
      <w:r w:rsidRPr="00DB3CCB">
        <w:rPr>
          <w:rFonts w:ascii="Palatino Linotype" w:hAnsi="Palatino Linotype"/>
        </w:rPr>
        <w:t xml:space="preserve"> See Resolution Number E-5393, </w:t>
      </w:r>
    </w:p>
    <w:p w14:paraId="038CB196" w14:textId="3BEF2F6F" w:rsidR="5F659D3C" w:rsidRPr="00DB3CCB" w:rsidRDefault="5F659D3C" w:rsidP="5F659D3C">
      <w:pPr>
        <w:pStyle w:val="FootnoteText"/>
        <w:rPr>
          <w:rFonts w:ascii="Palatino Linotype" w:hAnsi="Palatino Linotype"/>
        </w:rPr>
      </w:pPr>
      <w:hyperlink r:id="rId3">
        <w:r w:rsidRPr="00DB3CCB">
          <w:rPr>
            <w:rStyle w:val="Hyperlink"/>
            <w:rFonts w:ascii="Palatino Linotype" w:hAnsi="Palatino Linotype"/>
          </w:rPr>
          <w:t>https://docs.cpuc.ca.gov/PublishedDocs/Published/G000/M570/K089/570089360.PDF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53607837"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ED/</w:t>
    </w:r>
    <w:r w:rsidR="00AA609B">
      <w:rPr>
        <w:rFonts w:ascii="Palatino Linotype" w:hAnsi="Palatino Linotype"/>
      </w:rPr>
      <w:t xml:space="preserve">Resolution </w:t>
    </w:r>
    <w:r w:rsidR="0033309E">
      <w:rPr>
        <w:rFonts w:ascii="Palatino Linotype" w:hAnsi="Palatino Linotype"/>
      </w:rPr>
      <w:t>E-5427</w:t>
    </w:r>
    <w:r w:rsidR="008213BB">
      <w:tab/>
    </w:r>
    <w:r w:rsidR="008213BB">
      <w:tab/>
    </w:r>
    <w:r w:rsidR="003469BD">
      <w:rPr>
        <w:rFonts w:ascii="Palatino Linotype" w:hAnsi="Palatino Linotype"/>
      </w:rPr>
      <w:t xml:space="preserve">February </w:t>
    </w:r>
    <w:r w:rsidR="00C10057">
      <w:rPr>
        <w:rFonts w:ascii="Palatino Linotype" w:hAnsi="Palatino Linotype"/>
      </w:rPr>
      <w:t>5, 2026</w:t>
    </w:r>
  </w:p>
  <w:p w14:paraId="52548ECE" w14:textId="3D58F746" w:rsidR="008213BB" w:rsidRDefault="0033309E" w:rsidP="00CA3D13">
    <w:pPr>
      <w:pStyle w:val="Header"/>
      <w:rPr>
        <w:rFonts w:ascii="Palatino Linotype" w:hAnsi="Palatino Linotype"/>
      </w:rPr>
    </w:pPr>
    <w:r>
      <w:rPr>
        <w:rFonts w:ascii="Palatino Linotype" w:hAnsi="Palatino Linotype"/>
      </w:rPr>
      <w:t>PG</w:t>
    </w:r>
    <w:r w:rsidR="00647894">
      <w:rPr>
        <w:rFonts w:ascii="Palatino Linotype" w:hAnsi="Palatino Linotype"/>
      </w:rPr>
      <w:t>&amp;</w:t>
    </w:r>
    <w:r>
      <w:rPr>
        <w:rFonts w:ascii="Palatino Linotype" w:hAnsi="Palatino Linotype"/>
      </w:rPr>
      <w:t>E</w:t>
    </w:r>
    <w:r w:rsidR="00171862">
      <w:rPr>
        <w:rFonts w:ascii="Palatino Linotype" w:hAnsi="Palatino Linotype"/>
      </w:rPr>
      <w:t xml:space="preserve"> </w:t>
    </w:r>
    <w:r w:rsidR="008213BB">
      <w:rPr>
        <w:rFonts w:ascii="Palatino Linotype" w:hAnsi="Palatino Linotype"/>
      </w:rPr>
      <w:t>AL</w:t>
    </w:r>
    <w:r w:rsidR="00647894">
      <w:rPr>
        <w:rFonts w:ascii="Palatino Linotype" w:hAnsi="Palatino Linotype"/>
      </w:rPr>
      <w:t xml:space="preserve"> </w:t>
    </w:r>
    <w:r w:rsidR="00587C45">
      <w:rPr>
        <w:rFonts w:ascii="Palatino Linotype" w:hAnsi="Palatino Linotype"/>
      </w:rPr>
      <w:t>7685-E</w:t>
    </w:r>
    <w:r w:rsidR="00C10057">
      <w:rPr>
        <w:rFonts w:ascii="Palatino Linotype" w:hAnsi="Palatino Linotype"/>
      </w:rPr>
      <w:t>/</w:t>
    </w:r>
    <w:r w:rsidR="000D7226">
      <w:rPr>
        <w:rFonts w:ascii="Palatino Linotype" w:hAnsi="Palatino Linotype"/>
      </w:rPr>
      <w:t>RA4</w:t>
    </w:r>
  </w:p>
  <w:p w14:paraId="6283C863" w14:textId="77777777" w:rsidR="00AA609B" w:rsidRPr="009F5030" w:rsidRDefault="00AA609B" w:rsidP="00CA3D13">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59C9" w14:textId="7ED2CD02" w:rsidR="002D19E6" w:rsidRPr="00C606B6" w:rsidRDefault="002D19E6" w:rsidP="002D19E6">
    <w:pPr>
      <w:pStyle w:val="Header"/>
    </w:pPr>
    <w:r w:rsidRPr="00C606B6">
      <w:rPr>
        <w:rFonts w:ascii="Palatino Linotype" w:hAnsi="Palatino Linotype"/>
      </w:rPr>
      <w:tab/>
    </w:r>
    <w:r w:rsidRPr="00C606B6">
      <w:rPr>
        <w:rFonts w:ascii="Palatino Linotype" w:hAnsi="Palatino Linotype"/>
      </w:rPr>
      <w:tab/>
      <w:t xml:space="preserve">Date of Issuance: </w:t>
    </w:r>
    <w:r>
      <w:rPr>
        <w:rFonts w:ascii="Palatino Linotype" w:hAnsi="Palatino Linotype"/>
      </w:rPr>
      <w:t>February</w:t>
    </w:r>
    <w:r w:rsidRPr="00C606B6">
      <w:rPr>
        <w:rFonts w:ascii="Palatino Linotype" w:hAnsi="Palatino Linotype"/>
      </w:rPr>
      <w:t xml:space="preserve"> </w:t>
    </w:r>
    <w:r>
      <w:rPr>
        <w:rFonts w:ascii="Palatino Linotype" w:hAnsi="Palatino Linotype"/>
      </w:rPr>
      <w:t>6</w:t>
    </w:r>
    <w:r w:rsidRPr="00C606B6">
      <w:rPr>
        <w:rFonts w:ascii="Palatino Linotype" w:hAnsi="Palatino Linotype"/>
      </w:rPr>
      <w:t>, 2026</w:t>
    </w:r>
  </w:p>
  <w:p w14:paraId="52E21BBB" w14:textId="1C6D2377" w:rsidR="00750E92" w:rsidRPr="002D19E6" w:rsidRDefault="00750E92" w:rsidP="002D1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E39B48A"/>
    <w:multiLevelType w:val="hybridMultilevel"/>
    <w:tmpl w:val="70F6EAD0"/>
    <w:lvl w:ilvl="0" w:tplc="ED86CF1E">
      <w:start w:val="1"/>
      <w:numFmt w:val="decimal"/>
      <w:lvlText w:val="%1."/>
      <w:lvlJc w:val="left"/>
      <w:pPr>
        <w:ind w:left="360" w:hanging="360"/>
      </w:pPr>
      <w:rPr>
        <w:rFonts w:ascii="Palatino Linotype" w:hAnsi="Palatino Linotype" w:hint="default"/>
      </w:rPr>
    </w:lvl>
    <w:lvl w:ilvl="1" w:tplc="2DD8415E">
      <w:start w:val="1"/>
      <w:numFmt w:val="lowerLetter"/>
      <w:lvlText w:val="%2."/>
      <w:lvlJc w:val="left"/>
      <w:pPr>
        <w:ind w:left="1440" w:hanging="360"/>
      </w:pPr>
    </w:lvl>
    <w:lvl w:ilvl="2" w:tplc="028ACF92">
      <w:start w:val="1"/>
      <w:numFmt w:val="lowerRoman"/>
      <w:lvlText w:val="%3."/>
      <w:lvlJc w:val="right"/>
      <w:pPr>
        <w:ind w:left="2160" w:hanging="180"/>
      </w:pPr>
    </w:lvl>
    <w:lvl w:ilvl="3" w:tplc="A6AA5D72">
      <w:start w:val="1"/>
      <w:numFmt w:val="decimal"/>
      <w:lvlText w:val="%4."/>
      <w:lvlJc w:val="left"/>
      <w:pPr>
        <w:ind w:left="2880" w:hanging="360"/>
      </w:pPr>
    </w:lvl>
    <w:lvl w:ilvl="4" w:tplc="64AA644C">
      <w:start w:val="1"/>
      <w:numFmt w:val="lowerLetter"/>
      <w:lvlText w:val="%5."/>
      <w:lvlJc w:val="left"/>
      <w:pPr>
        <w:ind w:left="3600" w:hanging="360"/>
      </w:pPr>
    </w:lvl>
    <w:lvl w:ilvl="5" w:tplc="40C079E2">
      <w:start w:val="1"/>
      <w:numFmt w:val="lowerRoman"/>
      <w:lvlText w:val="%6."/>
      <w:lvlJc w:val="right"/>
      <w:pPr>
        <w:ind w:left="4320" w:hanging="180"/>
      </w:pPr>
    </w:lvl>
    <w:lvl w:ilvl="6" w:tplc="5502B0E6">
      <w:start w:val="1"/>
      <w:numFmt w:val="decimal"/>
      <w:lvlText w:val="%7."/>
      <w:lvlJc w:val="left"/>
      <w:pPr>
        <w:ind w:left="5040" w:hanging="360"/>
      </w:pPr>
    </w:lvl>
    <w:lvl w:ilvl="7" w:tplc="1DE2EC90">
      <w:start w:val="1"/>
      <w:numFmt w:val="lowerLetter"/>
      <w:lvlText w:val="%8."/>
      <w:lvlJc w:val="left"/>
      <w:pPr>
        <w:ind w:left="5760" w:hanging="360"/>
      </w:pPr>
    </w:lvl>
    <w:lvl w:ilvl="8" w:tplc="CEA2B8D0">
      <w:start w:val="1"/>
      <w:numFmt w:val="lowerRoman"/>
      <w:lvlText w:val="%9."/>
      <w:lvlJc w:val="right"/>
      <w:pPr>
        <w:ind w:left="6480" w:hanging="18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DB1035"/>
    <w:multiLevelType w:val="hybridMultilevel"/>
    <w:tmpl w:val="91527D76"/>
    <w:lvl w:ilvl="0" w:tplc="8F289760">
      <w:start w:val="1"/>
      <w:numFmt w:val="decimal"/>
      <w:lvlText w:val="%1."/>
      <w:lvlJc w:val="left"/>
      <w:pPr>
        <w:ind w:left="360" w:hanging="360"/>
      </w:pPr>
      <w:rPr>
        <w:rFonts w:ascii="Palatino Linotype" w:hAnsi="Palatino Linotype" w:hint="default"/>
      </w:rPr>
    </w:lvl>
    <w:lvl w:ilvl="1" w:tplc="E884AC18">
      <w:start w:val="1"/>
      <w:numFmt w:val="lowerLetter"/>
      <w:lvlText w:val="%2."/>
      <w:lvlJc w:val="left"/>
      <w:pPr>
        <w:ind w:left="1440" w:hanging="360"/>
      </w:pPr>
    </w:lvl>
    <w:lvl w:ilvl="2" w:tplc="BF72E92E">
      <w:start w:val="1"/>
      <w:numFmt w:val="lowerRoman"/>
      <w:lvlText w:val="%3."/>
      <w:lvlJc w:val="right"/>
      <w:pPr>
        <w:ind w:left="2160" w:hanging="180"/>
      </w:pPr>
    </w:lvl>
    <w:lvl w:ilvl="3" w:tplc="16E4746A">
      <w:start w:val="1"/>
      <w:numFmt w:val="decimal"/>
      <w:lvlText w:val="%4."/>
      <w:lvlJc w:val="left"/>
      <w:pPr>
        <w:ind w:left="2880" w:hanging="360"/>
      </w:pPr>
    </w:lvl>
    <w:lvl w:ilvl="4" w:tplc="AAC4C286">
      <w:start w:val="1"/>
      <w:numFmt w:val="lowerLetter"/>
      <w:lvlText w:val="%5."/>
      <w:lvlJc w:val="left"/>
      <w:pPr>
        <w:ind w:left="3600" w:hanging="360"/>
      </w:pPr>
    </w:lvl>
    <w:lvl w:ilvl="5" w:tplc="14B6FA22">
      <w:start w:val="1"/>
      <w:numFmt w:val="lowerRoman"/>
      <w:lvlText w:val="%6."/>
      <w:lvlJc w:val="right"/>
      <w:pPr>
        <w:ind w:left="4320" w:hanging="180"/>
      </w:pPr>
    </w:lvl>
    <w:lvl w:ilvl="6" w:tplc="A8C4E97C">
      <w:start w:val="1"/>
      <w:numFmt w:val="decimal"/>
      <w:lvlText w:val="%7."/>
      <w:lvlJc w:val="left"/>
      <w:pPr>
        <w:ind w:left="5040" w:hanging="360"/>
      </w:pPr>
    </w:lvl>
    <w:lvl w:ilvl="7" w:tplc="EB7CA956">
      <w:start w:val="1"/>
      <w:numFmt w:val="lowerLetter"/>
      <w:lvlText w:val="%8."/>
      <w:lvlJc w:val="left"/>
      <w:pPr>
        <w:ind w:left="5760" w:hanging="360"/>
      </w:pPr>
    </w:lvl>
    <w:lvl w:ilvl="8" w:tplc="D1E6E9A6">
      <w:start w:val="1"/>
      <w:numFmt w:val="lowerRoman"/>
      <w:lvlText w:val="%9."/>
      <w:lvlJc w:val="right"/>
      <w:pPr>
        <w:ind w:left="6480" w:hanging="180"/>
      </w:p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5B618"/>
    <w:multiLevelType w:val="hybridMultilevel"/>
    <w:tmpl w:val="76947B38"/>
    <w:lvl w:ilvl="0" w:tplc="B4523E2E">
      <w:start w:val="1"/>
      <w:numFmt w:val="bullet"/>
      <w:lvlText w:val=""/>
      <w:lvlJc w:val="left"/>
      <w:pPr>
        <w:ind w:left="1440" w:hanging="360"/>
      </w:pPr>
      <w:rPr>
        <w:rFonts w:ascii="Symbol" w:hAnsi="Symbol" w:hint="default"/>
      </w:rPr>
    </w:lvl>
    <w:lvl w:ilvl="1" w:tplc="F47CEDEE">
      <w:start w:val="1"/>
      <w:numFmt w:val="bullet"/>
      <w:lvlText w:val="o"/>
      <w:lvlJc w:val="left"/>
      <w:pPr>
        <w:ind w:left="1440" w:hanging="360"/>
      </w:pPr>
      <w:rPr>
        <w:rFonts w:ascii="Courier New" w:hAnsi="Courier New" w:hint="default"/>
      </w:rPr>
    </w:lvl>
    <w:lvl w:ilvl="2" w:tplc="579C81FA">
      <w:start w:val="1"/>
      <w:numFmt w:val="bullet"/>
      <w:lvlText w:val=""/>
      <w:lvlJc w:val="left"/>
      <w:pPr>
        <w:ind w:left="2160" w:hanging="360"/>
      </w:pPr>
      <w:rPr>
        <w:rFonts w:ascii="Wingdings" w:hAnsi="Wingdings" w:hint="default"/>
      </w:rPr>
    </w:lvl>
    <w:lvl w:ilvl="3" w:tplc="C58C1E4C">
      <w:start w:val="1"/>
      <w:numFmt w:val="bullet"/>
      <w:lvlText w:val=""/>
      <w:lvlJc w:val="left"/>
      <w:pPr>
        <w:ind w:left="2880" w:hanging="360"/>
      </w:pPr>
      <w:rPr>
        <w:rFonts w:ascii="Symbol" w:hAnsi="Symbol" w:hint="default"/>
      </w:rPr>
    </w:lvl>
    <w:lvl w:ilvl="4" w:tplc="9BAA5A8E">
      <w:start w:val="1"/>
      <w:numFmt w:val="bullet"/>
      <w:lvlText w:val="o"/>
      <w:lvlJc w:val="left"/>
      <w:pPr>
        <w:ind w:left="3600" w:hanging="360"/>
      </w:pPr>
      <w:rPr>
        <w:rFonts w:ascii="Courier New" w:hAnsi="Courier New" w:hint="default"/>
      </w:rPr>
    </w:lvl>
    <w:lvl w:ilvl="5" w:tplc="947A82BE">
      <w:start w:val="1"/>
      <w:numFmt w:val="bullet"/>
      <w:lvlText w:val=""/>
      <w:lvlJc w:val="left"/>
      <w:pPr>
        <w:ind w:left="4320" w:hanging="360"/>
      </w:pPr>
      <w:rPr>
        <w:rFonts w:ascii="Wingdings" w:hAnsi="Wingdings" w:hint="default"/>
      </w:rPr>
    </w:lvl>
    <w:lvl w:ilvl="6" w:tplc="4720FCF6">
      <w:start w:val="1"/>
      <w:numFmt w:val="bullet"/>
      <w:lvlText w:val=""/>
      <w:lvlJc w:val="left"/>
      <w:pPr>
        <w:ind w:left="5040" w:hanging="360"/>
      </w:pPr>
      <w:rPr>
        <w:rFonts w:ascii="Symbol" w:hAnsi="Symbol" w:hint="default"/>
      </w:rPr>
    </w:lvl>
    <w:lvl w:ilvl="7" w:tplc="FD9A8F1E">
      <w:start w:val="1"/>
      <w:numFmt w:val="bullet"/>
      <w:lvlText w:val="o"/>
      <w:lvlJc w:val="left"/>
      <w:pPr>
        <w:ind w:left="5760" w:hanging="360"/>
      </w:pPr>
      <w:rPr>
        <w:rFonts w:ascii="Courier New" w:hAnsi="Courier New" w:hint="default"/>
      </w:rPr>
    </w:lvl>
    <w:lvl w:ilvl="8" w:tplc="D9D67416">
      <w:start w:val="1"/>
      <w:numFmt w:val="bullet"/>
      <w:lvlText w:val=""/>
      <w:lvlJc w:val="left"/>
      <w:pPr>
        <w:ind w:left="6480" w:hanging="360"/>
      </w:pPr>
      <w:rPr>
        <w:rFonts w:ascii="Wingdings" w:hAnsi="Wingdings" w:hint="default"/>
      </w:rPr>
    </w:lvl>
  </w:abstractNum>
  <w:abstractNum w:abstractNumId="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9" w15:restartNumberingAfterBreak="0">
    <w:nsid w:val="71DD3388"/>
    <w:multiLevelType w:val="hybridMultilevel"/>
    <w:tmpl w:val="13FC0AFC"/>
    <w:lvl w:ilvl="0" w:tplc="CAD4C732">
      <w:start w:val="1"/>
      <w:numFmt w:val="decimal"/>
      <w:lvlText w:val="%1."/>
      <w:lvlJc w:val="left"/>
      <w:pPr>
        <w:ind w:left="720" w:hanging="360"/>
      </w:pPr>
      <w:rPr>
        <w:rFonts w:ascii="Palatino Linotype" w:hAnsi="Palatino Linotype" w:hint="default"/>
      </w:rPr>
    </w:lvl>
    <w:lvl w:ilvl="1" w:tplc="776274CE">
      <w:start w:val="1"/>
      <w:numFmt w:val="lowerLetter"/>
      <w:lvlText w:val="%2."/>
      <w:lvlJc w:val="left"/>
      <w:pPr>
        <w:ind w:left="1440" w:hanging="360"/>
      </w:pPr>
    </w:lvl>
    <w:lvl w:ilvl="2" w:tplc="7F5A3108">
      <w:start w:val="1"/>
      <w:numFmt w:val="lowerRoman"/>
      <w:lvlText w:val="%3."/>
      <w:lvlJc w:val="right"/>
      <w:pPr>
        <w:ind w:left="2160" w:hanging="180"/>
      </w:pPr>
    </w:lvl>
    <w:lvl w:ilvl="3" w:tplc="4C3ADE6E">
      <w:start w:val="1"/>
      <w:numFmt w:val="decimal"/>
      <w:lvlText w:val="%4."/>
      <w:lvlJc w:val="left"/>
      <w:pPr>
        <w:ind w:left="2880" w:hanging="360"/>
      </w:pPr>
    </w:lvl>
    <w:lvl w:ilvl="4" w:tplc="DACC5F84">
      <w:start w:val="1"/>
      <w:numFmt w:val="lowerLetter"/>
      <w:lvlText w:val="%5."/>
      <w:lvlJc w:val="left"/>
      <w:pPr>
        <w:ind w:left="3600" w:hanging="360"/>
      </w:pPr>
    </w:lvl>
    <w:lvl w:ilvl="5" w:tplc="D99243A4">
      <w:start w:val="1"/>
      <w:numFmt w:val="lowerRoman"/>
      <w:lvlText w:val="%6."/>
      <w:lvlJc w:val="right"/>
      <w:pPr>
        <w:ind w:left="4320" w:hanging="180"/>
      </w:pPr>
    </w:lvl>
    <w:lvl w:ilvl="6" w:tplc="7668030E">
      <w:start w:val="1"/>
      <w:numFmt w:val="decimal"/>
      <w:lvlText w:val="%7."/>
      <w:lvlJc w:val="left"/>
      <w:pPr>
        <w:ind w:left="5040" w:hanging="360"/>
      </w:pPr>
    </w:lvl>
    <w:lvl w:ilvl="7" w:tplc="A082178C">
      <w:start w:val="1"/>
      <w:numFmt w:val="lowerLetter"/>
      <w:lvlText w:val="%8."/>
      <w:lvlJc w:val="left"/>
      <w:pPr>
        <w:ind w:left="5760" w:hanging="360"/>
      </w:pPr>
    </w:lvl>
    <w:lvl w:ilvl="8" w:tplc="C3D2D46A">
      <w:start w:val="1"/>
      <w:numFmt w:val="lowerRoman"/>
      <w:lvlText w:val="%9."/>
      <w:lvlJc w:val="right"/>
      <w:pPr>
        <w:ind w:left="6480" w:hanging="180"/>
      </w:pPr>
    </w:lvl>
  </w:abstractNum>
  <w:num w:numId="1" w16cid:durableId="104275866">
    <w:abstractNumId w:val="3"/>
  </w:num>
  <w:num w:numId="2" w16cid:durableId="1323460507">
    <w:abstractNumId w:val="1"/>
  </w:num>
  <w:num w:numId="3" w16cid:durableId="1489900156">
    <w:abstractNumId w:val="9"/>
  </w:num>
  <w:num w:numId="4" w16cid:durableId="840434373">
    <w:abstractNumId w:val="6"/>
  </w:num>
  <w:num w:numId="5" w16cid:durableId="944842790">
    <w:abstractNumId w:val="4"/>
  </w:num>
  <w:num w:numId="6" w16cid:durableId="1991593136">
    <w:abstractNumId w:val="0"/>
  </w:num>
  <w:num w:numId="7" w16cid:durableId="1754620235">
    <w:abstractNumId w:val="2"/>
  </w:num>
  <w:num w:numId="8" w16cid:durableId="969365539">
    <w:abstractNumId w:val="7"/>
  </w:num>
  <w:num w:numId="9" w16cid:durableId="468133998">
    <w:abstractNumId w:val="5"/>
  </w:num>
  <w:num w:numId="10" w16cid:durableId="426273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CF3"/>
    <w:rsid w:val="00004C27"/>
    <w:rsid w:val="00051AAB"/>
    <w:rsid w:val="000531F7"/>
    <w:rsid w:val="00054D11"/>
    <w:rsid w:val="00056A2D"/>
    <w:rsid w:val="0009503A"/>
    <w:rsid w:val="000A4474"/>
    <w:rsid w:val="000A6E96"/>
    <w:rsid w:val="000B1428"/>
    <w:rsid w:val="000D7226"/>
    <w:rsid w:val="000E61FB"/>
    <w:rsid w:val="0011487A"/>
    <w:rsid w:val="001317EC"/>
    <w:rsid w:val="00163045"/>
    <w:rsid w:val="00171862"/>
    <w:rsid w:val="001A5005"/>
    <w:rsid w:val="001B664B"/>
    <w:rsid w:val="001C5D12"/>
    <w:rsid w:val="001F68B2"/>
    <w:rsid w:val="00204B1B"/>
    <w:rsid w:val="002121EC"/>
    <w:rsid w:val="002514A5"/>
    <w:rsid w:val="00253185"/>
    <w:rsid w:val="002D19E6"/>
    <w:rsid w:val="002F323B"/>
    <w:rsid w:val="00322E30"/>
    <w:rsid w:val="00323CE3"/>
    <w:rsid w:val="0033309E"/>
    <w:rsid w:val="003469BD"/>
    <w:rsid w:val="00373CC1"/>
    <w:rsid w:val="0038447F"/>
    <w:rsid w:val="00393BB7"/>
    <w:rsid w:val="00395689"/>
    <w:rsid w:val="003C4D11"/>
    <w:rsid w:val="003D082A"/>
    <w:rsid w:val="003E125A"/>
    <w:rsid w:val="003F46EC"/>
    <w:rsid w:val="00414585"/>
    <w:rsid w:val="00415424"/>
    <w:rsid w:val="004255F8"/>
    <w:rsid w:val="00450C12"/>
    <w:rsid w:val="00473945"/>
    <w:rsid w:val="00482E90"/>
    <w:rsid w:val="004A7A4C"/>
    <w:rsid w:val="00504F23"/>
    <w:rsid w:val="00544ECF"/>
    <w:rsid w:val="00546002"/>
    <w:rsid w:val="0055171D"/>
    <w:rsid w:val="00562616"/>
    <w:rsid w:val="00565F65"/>
    <w:rsid w:val="00566C0F"/>
    <w:rsid w:val="00572DD8"/>
    <w:rsid w:val="005753AB"/>
    <w:rsid w:val="00587C45"/>
    <w:rsid w:val="005A2945"/>
    <w:rsid w:val="0064197B"/>
    <w:rsid w:val="00647894"/>
    <w:rsid w:val="0065404D"/>
    <w:rsid w:val="006578A1"/>
    <w:rsid w:val="00681376"/>
    <w:rsid w:val="006C4D8F"/>
    <w:rsid w:val="006F6AFA"/>
    <w:rsid w:val="0073089A"/>
    <w:rsid w:val="00744E0E"/>
    <w:rsid w:val="00750E92"/>
    <w:rsid w:val="00762ACE"/>
    <w:rsid w:val="007708B1"/>
    <w:rsid w:val="00794505"/>
    <w:rsid w:val="007A4380"/>
    <w:rsid w:val="007B0189"/>
    <w:rsid w:val="007C0488"/>
    <w:rsid w:val="007F3FC9"/>
    <w:rsid w:val="00802705"/>
    <w:rsid w:val="00802FEF"/>
    <w:rsid w:val="00803DF1"/>
    <w:rsid w:val="00816B62"/>
    <w:rsid w:val="008213BB"/>
    <w:rsid w:val="00821FCB"/>
    <w:rsid w:val="0086660A"/>
    <w:rsid w:val="0088076C"/>
    <w:rsid w:val="00885D83"/>
    <w:rsid w:val="008A4F71"/>
    <w:rsid w:val="008E6C5E"/>
    <w:rsid w:val="008F22F5"/>
    <w:rsid w:val="00903C2E"/>
    <w:rsid w:val="00917C98"/>
    <w:rsid w:val="0093308B"/>
    <w:rsid w:val="009422B3"/>
    <w:rsid w:val="00961DE7"/>
    <w:rsid w:val="00970971"/>
    <w:rsid w:val="009713DE"/>
    <w:rsid w:val="00997A64"/>
    <w:rsid w:val="009B4243"/>
    <w:rsid w:val="009F5030"/>
    <w:rsid w:val="00A022E9"/>
    <w:rsid w:val="00A04252"/>
    <w:rsid w:val="00A429A5"/>
    <w:rsid w:val="00A66D78"/>
    <w:rsid w:val="00A674D4"/>
    <w:rsid w:val="00A71A2B"/>
    <w:rsid w:val="00A7675F"/>
    <w:rsid w:val="00A76F4A"/>
    <w:rsid w:val="00A821AD"/>
    <w:rsid w:val="00A83616"/>
    <w:rsid w:val="00AA609B"/>
    <w:rsid w:val="00AF7B8C"/>
    <w:rsid w:val="00B03044"/>
    <w:rsid w:val="00B05190"/>
    <w:rsid w:val="00B31996"/>
    <w:rsid w:val="00B519A5"/>
    <w:rsid w:val="00B53356"/>
    <w:rsid w:val="00B61F71"/>
    <w:rsid w:val="00B86BC8"/>
    <w:rsid w:val="00BB7454"/>
    <w:rsid w:val="00BD699A"/>
    <w:rsid w:val="00BF047B"/>
    <w:rsid w:val="00C00CE1"/>
    <w:rsid w:val="00C10057"/>
    <w:rsid w:val="00C251AC"/>
    <w:rsid w:val="00C36E43"/>
    <w:rsid w:val="00C67C07"/>
    <w:rsid w:val="00C75596"/>
    <w:rsid w:val="00CA0EFC"/>
    <w:rsid w:val="00CA35C4"/>
    <w:rsid w:val="00CA3D13"/>
    <w:rsid w:val="00CC228F"/>
    <w:rsid w:val="00D33E72"/>
    <w:rsid w:val="00D51712"/>
    <w:rsid w:val="00D52C8D"/>
    <w:rsid w:val="00D5555E"/>
    <w:rsid w:val="00D97F8D"/>
    <w:rsid w:val="00DA2464"/>
    <w:rsid w:val="00DB101D"/>
    <w:rsid w:val="00DB3CCB"/>
    <w:rsid w:val="00DB56B6"/>
    <w:rsid w:val="00DC761A"/>
    <w:rsid w:val="00DE0441"/>
    <w:rsid w:val="00E06064"/>
    <w:rsid w:val="00E14218"/>
    <w:rsid w:val="00E36E67"/>
    <w:rsid w:val="00E4007F"/>
    <w:rsid w:val="00E75AA3"/>
    <w:rsid w:val="00E844E9"/>
    <w:rsid w:val="00E851DF"/>
    <w:rsid w:val="00E85515"/>
    <w:rsid w:val="00EA7A46"/>
    <w:rsid w:val="00EB479A"/>
    <w:rsid w:val="00ED454B"/>
    <w:rsid w:val="00EE7F5B"/>
    <w:rsid w:val="00F42ED5"/>
    <w:rsid w:val="00F73FC2"/>
    <w:rsid w:val="00FB5300"/>
    <w:rsid w:val="00FB7C7C"/>
    <w:rsid w:val="00FE20EA"/>
    <w:rsid w:val="00FE6B48"/>
    <w:rsid w:val="00FF5227"/>
    <w:rsid w:val="020E6064"/>
    <w:rsid w:val="02601DB0"/>
    <w:rsid w:val="0317AD97"/>
    <w:rsid w:val="04295CBB"/>
    <w:rsid w:val="05FA2A5D"/>
    <w:rsid w:val="0615E273"/>
    <w:rsid w:val="07AF64C4"/>
    <w:rsid w:val="07FA547E"/>
    <w:rsid w:val="0ADB4861"/>
    <w:rsid w:val="0AE70E40"/>
    <w:rsid w:val="0B4006BB"/>
    <w:rsid w:val="0BACBE50"/>
    <w:rsid w:val="0BDF6DDF"/>
    <w:rsid w:val="0BFF1167"/>
    <w:rsid w:val="0C354E7A"/>
    <w:rsid w:val="0CC95185"/>
    <w:rsid w:val="0DE13580"/>
    <w:rsid w:val="0EE40C51"/>
    <w:rsid w:val="0F0B3C08"/>
    <w:rsid w:val="10932C31"/>
    <w:rsid w:val="11EA1957"/>
    <w:rsid w:val="12956480"/>
    <w:rsid w:val="1345FFC9"/>
    <w:rsid w:val="13A491BB"/>
    <w:rsid w:val="14563DBB"/>
    <w:rsid w:val="163AEA7F"/>
    <w:rsid w:val="1674725D"/>
    <w:rsid w:val="168B1C86"/>
    <w:rsid w:val="170D5E3A"/>
    <w:rsid w:val="1758B13F"/>
    <w:rsid w:val="17FA8AFF"/>
    <w:rsid w:val="184B907F"/>
    <w:rsid w:val="18668CBF"/>
    <w:rsid w:val="1953FEF5"/>
    <w:rsid w:val="1C34F149"/>
    <w:rsid w:val="1D60AE17"/>
    <w:rsid w:val="1DCD5877"/>
    <w:rsid w:val="1E8713D3"/>
    <w:rsid w:val="1EAADBB2"/>
    <w:rsid w:val="1F3E731F"/>
    <w:rsid w:val="23FFAEC6"/>
    <w:rsid w:val="251370F6"/>
    <w:rsid w:val="2624C412"/>
    <w:rsid w:val="26897ECE"/>
    <w:rsid w:val="2719AA0E"/>
    <w:rsid w:val="274E0529"/>
    <w:rsid w:val="27FE58D4"/>
    <w:rsid w:val="28C8ABF7"/>
    <w:rsid w:val="290422BB"/>
    <w:rsid w:val="2A137073"/>
    <w:rsid w:val="2A439C36"/>
    <w:rsid w:val="2A6EACD6"/>
    <w:rsid w:val="2B31C1F4"/>
    <w:rsid w:val="2BADC987"/>
    <w:rsid w:val="2BDC9981"/>
    <w:rsid w:val="2C0E5AF1"/>
    <w:rsid w:val="2C5C4921"/>
    <w:rsid w:val="2CB3C1C8"/>
    <w:rsid w:val="2CCE601A"/>
    <w:rsid w:val="2CD922D3"/>
    <w:rsid w:val="2E04FCB1"/>
    <w:rsid w:val="3079BF53"/>
    <w:rsid w:val="31AAC68E"/>
    <w:rsid w:val="32C0A65E"/>
    <w:rsid w:val="34A77E87"/>
    <w:rsid w:val="359A6D5A"/>
    <w:rsid w:val="365F3D62"/>
    <w:rsid w:val="36AB50D1"/>
    <w:rsid w:val="3772A0B2"/>
    <w:rsid w:val="381847E0"/>
    <w:rsid w:val="383BA821"/>
    <w:rsid w:val="389ADA1F"/>
    <w:rsid w:val="3ADEAA12"/>
    <w:rsid w:val="3AECC4D2"/>
    <w:rsid w:val="3B3DB83C"/>
    <w:rsid w:val="3DC64C05"/>
    <w:rsid w:val="3E308345"/>
    <w:rsid w:val="3FDF7179"/>
    <w:rsid w:val="41B1F740"/>
    <w:rsid w:val="43F888DF"/>
    <w:rsid w:val="445AD5F0"/>
    <w:rsid w:val="44AA32AA"/>
    <w:rsid w:val="44ACAA39"/>
    <w:rsid w:val="44B38CE2"/>
    <w:rsid w:val="4515835B"/>
    <w:rsid w:val="451CE98C"/>
    <w:rsid w:val="452A21D7"/>
    <w:rsid w:val="456497CD"/>
    <w:rsid w:val="464E9473"/>
    <w:rsid w:val="4748D324"/>
    <w:rsid w:val="48835FBC"/>
    <w:rsid w:val="48D7A3FF"/>
    <w:rsid w:val="491828F9"/>
    <w:rsid w:val="4B8EF7B2"/>
    <w:rsid w:val="4C5F8E0E"/>
    <w:rsid w:val="4D5043AF"/>
    <w:rsid w:val="4E56BF5F"/>
    <w:rsid w:val="4F0BA46A"/>
    <w:rsid w:val="4FEFD495"/>
    <w:rsid w:val="52D46069"/>
    <w:rsid w:val="532A924F"/>
    <w:rsid w:val="542AC687"/>
    <w:rsid w:val="543C891B"/>
    <w:rsid w:val="55591242"/>
    <w:rsid w:val="55DAF813"/>
    <w:rsid w:val="56DF6A51"/>
    <w:rsid w:val="577B5CF2"/>
    <w:rsid w:val="5A283BC0"/>
    <w:rsid w:val="5A5845D3"/>
    <w:rsid w:val="5ABC7F2C"/>
    <w:rsid w:val="5B9CDC58"/>
    <w:rsid w:val="5C2EFA89"/>
    <w:rsid w:val="5F659D3C"/>
    <w:rsid w:val="5FB9C21F"/>
    <w:rsid w:val="6038CDD3"/>
    <w:rsid w:val="603DA913"/>
    <w:rsid w:val="6196F5C6"/>
    <w:rsid w:val="639094E2"/>
    <w:rsid w:val="63BF5A0A"/>
    <w:rsid w:val="651122A9"/>
    <w:rsid w:val="662ACBE2"/>
    <w:rsid w:val="691DF8A7"/>
    <w:rsid w:val="6A15DD09"/>
    <w:rsid w:val="6B6549D2"/>
    <w:rsid w:val="6C0ADE60"/>
    <w:rsid w:val="6C770235"/>
    <w:rsid w:val="6D117209"/>
    <w:rsid w:val="6DB92F66"/>
    <w:rsid w:val="6E6B43B2"/>
    <w:rsid w:val="6EB31E26"/>
    <w:rsid w:val="6EE426AC"/>
    <w:rsid w:val="6F74937F"/>
    <w:rsid w:val="6FCB8DAA"/>
    <w:rsid w:val="7020ACDC"/>
    <w:rsid w:val="70671EDD"/>
    <w:rsid w:val="70C1C7B8"/>
    <w:rsid w:val="710F83C6"/>
    <w:rsid w:val="71A27140"/>
    <w:rsid w:val="7202AF73"/>
    <w:rsid w:val="722CCD68"/>
    <w:rsid w:val="766FCF3C"/>
    <w:rsid w:val="767BA7C4"/>
    <w:rsid w:val="76E9FF50"/>
    <w:rsid w:val="77456023"/>
    <w:rsid w:val="787CF1C3"/>
    <w:rsid w:val="7A642404"/>
    <w:rsid w:val="7B9C4E08"/>
    <w:rsid w:val="7C306C4D"/>
    <w:rsid w:val="7C6CD4C1"/>
    <w:rsid w:val="7CBD10BF"/>
    <w:rsid w:val="7CC11749"/>
    <w:rsid w:val="7D002E23"/>
    <w:rsid w:val="7DFFC2BD"/>
    <w:rsid w:val="7F66D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223BC3B8-6264-4299-929A-325291AC507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10"/>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customStyle="1" w:styleId="Res-Caption">
    <w:name w:val="Res-Caption"/>
    <w:basedOn w:val="Normal"/>
    <w:uiPriority w:val="1"/>
    <w:rsid w:val="5F659D3C"/>
    <w:pPr>
      <w:ind w:left="720" w:right="720"/>
    </w:pPr>
    <w:rPr>
      <w:rFonts w:ascii="Palatino" w:eastAsia="Times New Roman" w:hAnsi="Palatino" w:cs="Times New Roman"/>
      <w:sz w:val="26"/>
      <w:szCs w:val="26"/>
    </w:rPr>
  </w:style>
  <w:style w:type="paragraph" w:styleId="FootnoteText">
    <w:name w:val="footnote text"/>
    <w:basedOn w:val="Normal"/>
    <w:uiPriority w:val="99"/>
    <w:semiHidden/>
    <w:unhideWhenUsed/>
    <w:rsid w:val="5F659D3C"/>
    <w:pPr>
      <w:spacing w:after="0" w:line="240" w:lineRule="auto"/>
    </w:pPr>
    <w:rPr>
      <w:sz w:val="20"/>
      <w:szCs w:val="20"/>
    </w:rPr>
  </w:style>
  <w:style w:type="paragraph" w:styleId="EndnoteText">
    <w:name w:val="endnote text"/>
    <w:basedOn w:val="Normal"/>
    <w:uiPriority w:val="99"/>
    <w:semiHidden/>
    <w:unhideWhenUsed/>
    <w:rsid w:val="5F659D3C"/>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414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570/K089/570089360.PDF" TargetMode="External"/><Relationship Id="rId2" Type="http://schemas.openxmlformats.org/officeDocument/2006/relationships/hyperlink" Target="https://docs.cpuc.ca.gov/PublishedDocs/Published/G000/M393/K356/393356912.PDF" TargetMode="External"/><Relationship Id="rId1" Type="http://schemas.openxmlformats.org/officeDocument/2006/relationships/hyperlink" Target="https://ceqanet.lci.ca.gov/2024120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8903b4-03ea-4cc2-8dfe-cfd2836b8558" xsi:nil="true"/>
    <lcf76f155ced4ddcb4097134ff3c332f xmlns="59951001-8b6c-4d9b-8a47-3f637de67095">
      <Terms xmlns="http://schemas.microsoft.com/office/infopath/2007/PartnerControls"/>
    </lcf76f155ced4ddcb4097134ff3c332f>
    <DateofDisposition xmlns="59951001-8b6c-4d9b-8a47-3f637de67095" xsi:nil="true"/>
    <Disposition xmlns="59951001-8b6c-4d9b-8a47-3f637de67095" xsi:nil="true"/>
    <UtilityCompany xmlns="59951001-8b6c-4d9b-8a47-3f637de67095" xsi:nil="true"/>
    <DispositionDate xmlns="59951001-8b6c-4d9b-8a47-3f637de67095" xsi:nil="true"/>
    <Tier xmlns="59951001-8b6c-4d9b-8a47-3f637de67095" xsi:nil="true"/>
    <ProjectIdentifier xmlns="59951001-8b6c-4d9b-8a47-3f637de67095" xsi:nil="true"/>
    <Disposition0 xmlns="59951001-8b6c-4d9b-8a47-3f637de67095" xsi:nil="true"/>
    <Notes xmlns="59951001-8b6c-4d9b-8a47-3f637de67095" xsi:nil="true"/>
    <LeadAnalyst xmlns="59951001-8b6c-4d9b-8a47-3f637de67095">
      <UserInfo>
        <DisplayName/>
        <AccountId xsi:nil="true"/>
        <AccountType/>
      </UserInfo>
    </LeadAnaly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72FDBF08D394D82513CB6EDBAF460" ma:contentTypeVersion="26" ma:contentTypeDescription="Create a new document." ma:contentTypeScope="" ma:versionID="a9c699a0670cd221a42722f0514a0d19">
  <xsd:schema xmlns:xsd="http://www.w3.org/2001/XMLSchema" xmlns:xs="http://www.w3.org/2001/XMLSchema" xmlns:p="http://schemas.microsoft.com/office/2006/metadata/properties" xmlns:ns2="59951001-8b6c-4d9b-8a47-3f637de67095" xmlns:ns3="9c8903b4-03ea-4cc2-8dfe-cfd2836b8558" targetNamespace="http://schemas.microsoft.com/office/2006/metadata/properties" ma:root="true" ma:fieldsID="72bcde9a0f34ea1a7800846d4fc137ae" ns2:_="" ns3:_="">
    <xsd:import namespace="59951001-8b6c-4d9b-8a47-3f637de67095"/>
    <xsd:import namespace="9c8903b4-03ea-4cc2-8dfe-cfd2836b8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element ref="ns2:LeadAnalyst" minOccurs="0"/>
                <xsd:element ref="ns2:Tier" minOccurs="0"/>
                <xsd:element ref="ns2:Disposition" minOccurs="0"/>
                <xsd:element ref="ns2:ProjectIdentifier" minOccurs="0"/>
                <xsd:element ref="ns2:UtilityCompany" minOccurs="0"/>
                <xsd:element ref="ns2:DispositionDate" minOccurs="0"/>
                <xsd:element ref="ns2:MediaServiceBillingMetadata" minOccurs="0"/>
                <xsd:element ref="ns2:Disposition0" minOccurs="0"/>
                <xsd:element ref="ns2:Dateof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1001-8b6c-4d9b-8a47-3f637de6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format="Dropdown" ma:internalName="Notes">
      <xsd:simpleType>
        <xsd:restriction base="dms:Text">
          <xsd:maxLength value="255"/>
        </xsd:restriction>
      </xsd:simpleType>
    </xsd:element>
    <xsd:element name="LeadAnalyst" ma:index="24" nillable="true" ma:displayName="Lead Analyst" ma:format="Dropdown" ma:list="UserInfo" ma:SharePointGroup="0" ma:internalName="Lea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 ma:index="25" nillable="true" ma:displayName="Tier" ma:format="Dropdown" ma:internalName="Tier">
      <xsd:simpleType>
        <xsd:restriction base="dms:Text">
          <xsd:maxLength value="255"/>
        </xsd:restriction>
      </xsd:simpleType>
    </xsd:element>
    <xsd:element name="Disposition" ma:index="26" nillable="true" ma:displayName="Disposition" ma:format="Dropdown" ma:internalName="Disposition">
      <xsd:simpleType>
        <xsd:restriction base="dms:Text">
          <xsd:maxLength value="255"/>
        </xsd:restriction>
      </xsd:simpleType>
    </xsd:element>
    <xsd:element name="ProjectIdentifier" ma:index="27" nillable="true" ma:displayName="Project Identifier" ma:format="Dropdown" ma:internalName="ProjectIdentifier">
      <xsd:simpleType>
        <xsd:restriction base="dms:Text">
          <xsd:maxLength value="255"/>
        </xsd:restriction>
      </xsd:simpleType>
    </xsd:element>
    <xsd:element name="UtilityCompany" ma:index="28" nillable="true" ma:displayName="Utility Company" ma:format="Dropdown" ma:internalName="UtilityCompany">
      <xsd:simpleType>
        <xsd:restriction base="dms:Text">
          <xsd:maxLength value="255"/>
        </xsd:restriction>
      </xsd:simpleType>
    </xsd:element>
    <xsd:element name="DispositionDate" ma:index="29" nillable="true" ma:displayName="Disposition Date" ma:format="Dropdown" ma:internalName="Disposi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isposition0" ma:index="31" nillable="true" ma:displayName="Disposition " ma:format="Dropdown" ma:internalName="Disposition0">
      <xsd:simpleType>
        <xsd:restriction base="dms:Text">
          <xsd:maxLength value="255"/>
        </xsd:restriction>
      </xsd:simpleType>
    </xsd:element>
    <xsd:element name="DateofDisposition" ma:index="32" nillable="true" ma:displayName="Date of Disposition" ma:format="Dropdown" ma:internalName="DateofDispos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903b4-03ea-4cc2-8dfe-cfd2836b8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51859a-5bfc-40d0-9fda-8cc1a071b781}" ma:internalName="TaxCatchAll" ma:showField="CatchAllData" ma:web="9c8903b4-03ea-4cc2-8dfe-cfd2836b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9c8903b4-03ea-4cc2-8dfe-cfd2836b8558"/>
    <ds:schemaRef ds:uri="59951001-8b6c-4d9b-8a47-3f637de67095"/>
  </ds:schemaRefs>
</ds:datastoreItem>
</file>

<file path=customXml/itemProps2.xml><?xml version="1.0" encoding="utf-8"?>
<ds:datastoreItem xmlns:ds="http://schemas.openxmlformats.org/officeDocument/2006/customXml" ds:itemID="{43567955-2DB4-49DF-8BA6-16CF8BE1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1001-8b6c-4d9b-8a47-3f637de67095"/>
    <ds:schemaRef ds:uri="9c8903b4-03ea-4cc2-8dfe-cfd2836b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2091</ap:Words>
  <ap:Characters>11921</ap:Characters>
  <ap:Application>Microsoft Office Word</ap:Application>
  <ap:DocSecurity>0</ap:DocSecurity>
  <ap:Lines>99</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13985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2026-02-06T14:09:27Z</dcterms:created>
  <dcterms:modified xsi:type="dcterms:W3CDTF">2026-02-06T14:09:27Z</dcterms:modified>
</cp:coreProperties>
</file>