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90E" w:rsidR="00DA7B5D" w:rsidP="00D83369" w:rsidRDefault="00283F96" w14:paraId="5D59EA69" w14:textId="5FE54592">
      <w:pPr>
        <w:tabs>
          <w:tab w:val="center" w:pos="4680"/>
          <w:tab w:val="right" w:pos="9360"/>
        </w:tabs>
        <w:spacing w:line="240" w:lineRule="auto"/>
        <w:ind w:firstLine="0"/>
        <w:rPr>
          <w:b/>
        </w:rPr>
      </w:pPr>
      <w:r>
        <w:t>ALJ/ADR/</w:t>
      </w:r>
      <w:proofErr w:type="spellStart"/>
      <w:r>
        <w:t>asf</w:t>
      </w:r>
      <w:proofErr w:type="spellEnd"/>
      <w:r w:rsidRPr="007D76D6" w:rsidR="007E0FEE">
        <w:tab/>
      </w:r>
      <w:r w:rsidRPr="0041190E" w:rsidR="00DA7B5D">
        <w:tab/>
      </w:r>
      <w:r w:rsidR="00D83369">
        <w:rPr>
          <w:b/>
        </w:rPr>
        <w:t>Date of Issuance 2/9/2026</w:t>
      </w:r>
    </w:p>
    <w:p w:rsidRPr="0041190E" w:rsidR="00DA7B5D" w:rsidP="00C74EB3" w:rsidRDefault="00DA7B5D" w14:paraId="5D82AD69" w14:textId="77777777">
      <w:pPr>
        <w:ind w:firstLine="0"/>
        <w:jc w:val="right"/>
      </w:pPr>
    </w:p>
    <w:p w:rsidRPr="0041190E" w:rsidR="00DA7B5D" w:rsidP="0035387B" w:rsidRDefault="00DA7B5D" w14:paraId="79438B3A" w14:textId="44F3C741">
      <w:pPr>
        <w:spacing w:line="240" w:lineRule="auto"/>
        <w:ind w:firstLine="0"/>
      </w:pPr>
      <w:r w:rsidRPr="0041190E">
        <w:t xml:space="preserve">Decision </w:t>
      </w:r>
      <w:r w:rsidR="00D83369">
        <w:t>26-02-</w:t>
      </w:r>
      <w:proofErr w:type="gramStart"/>
      <w:r w:rsidR="00D83369">
        <w:t>010  February</w:t>
      </w:r>
      <w:proofErr w:type="gramEnd"/>
      <w:r w:rsidR="00D83369">
        <w:t xml:space="preserve"> 5, 2026</w:t>
      </w:r>
    </w:p>
    <w:p w:rsidRPr="0041190E" w:rsidR="00DA7B5D" w:rsidP="00F75920" w:rsidRDefault="00DA7B5D" w14:paraId="2F413A77" w14:textId="77777777">
      <w:pPr>
        <w:ind w:firstLine="0"/>
        <w:rPr>
          <w:u w:val="single"/>
        </w:rPr>
      </w:pPr>
    </w:p>
    <w:p w:rsidRPr="0041190E" w:rsidR="00DA7B5D" w:rsidP="00BB0243" w:rsidRDefault="00DA7B5D" w14:paraId="746CAD96" w14:textId="77777777">
      <w:pPr>
        <w:spacing w:line="240" w:lineRule="auto"/>
        <w:ind w:firstLine="0"/>
        <w:jc w:val="center"/>
        <w:rPr>
          <w:rFonts w:ascii="Arial" w:hAnsi="Arial" w:cs="Arial"/>
          <w:b/>
          <w:sz w:val="24"/>
          <w:szCs w:val="24"/>
        </w:rPr>
      </w:pPr>
      <w:r w:rsidRPr="0041190E">
        <w:rPr>
          <w:rFonts w:ascii="Arial" w:hAnsi="Arial" w:cs="Arial"/>
          <w:b/>
          <w:sz w:val="24"/>
          <w:szCs w:val="24"/>
        </w:rPr>
        <w:t>BEFORE THE PUBLIC UTILITIES COMMISSION OF THE STATE OF CALIFORNIA</w:t>
      </w:r>
    </w:p>
    <w:p w:rsidRPr="0041190E" w:rsidR="0012728C" w:rsidP="00BB0243" w:rsidRDefault="0012728C" w14:paraId="1DDB3672" w14:textId="77777777">
      <w:pPr>
        <w:spacing w:line="240" w:lineRule="auto"/>
        <w:ind w:firstLine="0"/>
        <w:jc w:val="center"/>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41190E" w:rsidR="009959CC" w:rsidTr="00DB27A6" w14:paraId="1FB7C011" w14:textId="77777777">
        <w:trPr>
          <w:jc w:val="center"/>
        </w:trPr>
        <w:tc>
          <w:tcPr>
            <w:tcW w:w="5040" w:type="dxa"/>
            <w:tcBorders>
              <w:top w:val="nil"/>
              <w:left w:val="nil"/>
              <w:bottom w:val="single" w:color="auto" w:sz="4" w:space="0"/>
              <w:right w:val="single" w:color="auto" w:sz="4" w:space="0"/>
            </w:tcBorders>
          </w:tcPr>
          <w:p w:rsidRPr="0041190E" w:rsidR="009959CC" w:rsidP="00DB27A6" w:rsidRDefault="009959CC" w14:paraId="1D474A15" w14:textId="2F542A64">
            <w:pPr>
              <w:spacing w:line="240" w:lineRule="auto"/>
              <w:ind w:firstLine="0"/>
              <w:rPr>
                <w:rFonts w:cs="Arial"/>
                <w:szCs w:val="26"/>
              </w:rPr>
            </w:pPr>
            <w:bookmarkStart w:name="_Hlk167372211" w:id="0"/>
            <w:r w:rsidRPr="0041190E">
              <w:rPr>
                <w:rFonts w:cs="Arial"/>
                <w:szCs w:val="26"/>
              </w:rPr>
              <w:t xml:space="preserve">Application of City of Encinitas </w:t>
            </w:r>
            <w:r w:rsidRPr="0041190E" w:rsidR="00D712C1">
              <w:rPr>
                <w:rFonts w:cs="Arial"/>
                <w:szCs w:val="26"/>
              </w:rPr>
              <w:t>to</w:t>
            </w:r>
            <w:r w:rsidRPr="0041190E">
              <w:rPr>
                <w:rFonts w:cs="Arial"/>
                <w:szCs w:val="26"/>
              </w:rPr>
              <w:t xml:space="preserve"> Construct Two New Pedestrian At-Grade Crossing </w:t>
            </w:r>
            <w:proofErr w:type="gramStart"/>
            <w:r w:rsidRPr="0041190E">
              <w:rPr>
                <w:rFonts w:cs="Arial"/>
                <w:szCs w:val="26"/>
              </w:rPr>
              <w:t>In</w:t>
            </w:r>
            <w:proofErr w:type="gramEnd"/>
            <w:r w:rsidRPr="0041190E">
              <w:rPr>
                <w:rFonts w:cs="Arial"/>
                <w:szCs w:val="26"/>
              </w:rPr>
              <w:t xml:space="preserve"> the Leucadia Neighborhood </w:t>
            </w:r>
            <w:r w:rsidR="00D712C1">
              <w:rPr>
                <w:rFonts w:cs="Arial"/>
                <w:szCs w:val="26"/>
              </w:rPr>
              <w:t>o</w:t>
            </w:r>
            <w:r w:rsidRPr="0041190E">
              <w:rPr>
                <w:rFonts w:cs="Arial"/>
                <w:szCs w:val="26"/>
              </w:rPr>
              <w:t xml:space="preserve">n North County Transit District’s (NCTD) San Diego Subdivision at </w:t>
            </w:r>
            <w:bookmarkStart w:name="_Hlk215611309" w:id="1"/>
            <w:r w:rsidRPr="0041190E">
              <w:rPr>
                <w:rFonts w:cs="Arial"/>
                <w:szCs w:val="26"/>
              </w:rPr>
              <w:t>Grandview Street at MP 235.66 (Proposed CPUC Crossing No. 106-235.66-D) and at Phoebe Street at MP 236.12</w:t>
            </w:r>
            <w:bookmarkEnd w:id="1"/>
            <w:r w:rsidRPr="0041190E">
              <w:rPr>
                <w:rFonts w:cs="Arial"/>
                <w:szCs w:val="26"/>
              </w:rPr>
              <w:t xml:space="preserve"> (Proposed CPUC Crossing No. 106-236.12-D)</w:t>
            </w:r>
            <w:r w:rsidRPr="0041190E">
              <w:rPr>
                <w:rFonts w:cs="Arial"/>
                <w:szCs w:val="26"/>
              </w:rPr>
              <w:br/>
            </w:r>
            <w:bookmarkEnd w:id="0"/>
          </w:p>
        </w:tc>
        <w:tc>
          <w:tcPr>
            <w:tcW w:w="5040" w:type="dxa"/>
            <w:tcBorders>
              <w:top w:val="nil"/>
              <w:left w:val="single" w:color="auto" w:sz="4" w:space="0"/>
              <w:bottom w:val="nil"/>
              <w:right w:val="nil"/>
            </w:tcBorders>
            <w:vAlign w:val="center"/>
          </w:tcPr>
          <w:p w:rsidRPr="0041190E" w:rsidR="009959CC" w:rsidP="00DB27A6" w:rsidRDefault="009959CC" w14:paraId="52F1C24C" w14:textId="77777777">
            <w:pPr>
              <w:spacing w:line="240" w:lineRule="auto"/>
              <w:ind w:firstLine="0"/>
              <w:jc w:val="center"/>
              <w:rPr>
                <w:rFonts w:cs="Arial"/>
                <w:szCs w:val="26"/>
              </w:rPr>
            </w:pPr>
            <w:r w:rsidRPr="0041190E">
              <w:rPr>
                <w:rFonts w:cs="Arial"/>
                <w:szCs w:val="26"/>
              </w:rPr>
              <w:t>Application 25-03-014</w:t>
            </w:r>
          </w:p>
        </w:tc>
      </w:tr>
    </w:tbl>
    <w:p w:rsidRPr="0041190E" w:rsidR="00DA7B5D" w:rsidP="008F0116" w:rsidRDefault="00DA7B5D" w14:paraId="4ED25724" w14:textId="77777777">
      <w:pPr>
        <w:spacing w:line="240" w:lineRule="auto"/>
        <w:ind w:firstLine="0"/>
        <w:rPr>
          <w:rFonts w:ascii="Arial" w:hAnsi="Arial" w:cs="Arial"/>
          <w:sz w:val="24"/>
          <w:szCs w:val="24"/>
        </w:rPr>
      </w:pPr>
    </w:p>
    <w:p w:rsidRPr="0041190E" w:rsidR="00DA7B5D" w:rsidP="008F0116" w:rsidRDefault="00DA7B5D" w14:paraId="7665DD83" w14:textId="77777777">
      <w:pPr>
        <w:spacing w:line="240" w:lineRule="auto"/>
        <w:ind w:firstLine="0"/>
        <w:rPr>
          <w:rFonts w:ascii="Arial" w:hAnsi="Arial" w:cs="Arial"/>
          <w:sz w:val="24"/>
          <w:szCs w:val="24"/>
        </w:rPr>
      </w:pPr>
    </w:p>
    <w:p w:rsidR="00283F96" w:rsidP="00283F96" w:rsidRDefault="008D7BF7" w14:paraId="71934DF7" w14:textId="77777777">
      <w:pPr>
        <w:pStyle w:val="Dummy"/>
        <w:spacing w:after="0"/>
        <w:jc w:val="center"/>
      </w:pPr>
      <w:bookmarkStart w:name="_Toc216288552" w:id="2"/>
      <w:bookmarkStart w:name="_Hlk172569064" w:id="3"/>
      <w:bookmarkStart w:name="_Hlk164150503" w:id="4"/>
      <w:r w:rsidRPr="0041190E">
        <w:t>DECISION AUTHORIZING THE CITY OF ENCINITAS TO CONSTRUCT</w:t>
      </w:r>
      <w:r w:rsidR="00283F96">
        <w:t xml:space="preserve"> T</w:t>
      </w:r>
      <w:r w:rsidRPr="0041190E">
        <w:t xml:space="preserve">WO NEW AT-GRADE PEDESTRIAN RAIL CROSSINGS </w:t>
      </w:r>
    </w:p>
    <w:p w:rsidR="00283F96" w:rsidP="00283F96" w:rsidRDefault="0082733B" w14:paraId="54811B7E" w14:textId="77777777">
      <w:pPr>
        <w:pStyle w:val="Dummy"/>
        <w:spacing w:after="0"/>
        <w:jc w:val="center"/>
      </w:pPr>
      <w:r w:rsidRPr="0041190E">
        <w:t>OF</w:t>
      </w:r>
      <w:r w:rsidRPr="0041190E" w:rsidR="008D7BF7">
        <w:t xml:space="preserve"> THE NORTH COUNTY TRANSIT DISTRICT</w:t>
      </w:r>
      <w:r w:rsidRPr="0041190E">
        <w:t>’S</w:t>
      </w:r>
      <w:r w:rsidRPr="0041190E" w:rsidR="008D7BF7">
        <w:t xml:space="preserve"> SAN DIEGO SUBDIVISION AT GRANDVIEW STREET AT MILEPOST 235.66 AND </w:t>
      </w:r>
    </w:p>
    <w:p w:rsidRPr="0041190E" w:rsidR="006D7E92" w:rsidP="00283F96" w:rsidRDefault="008D7BF7" w14:paraId="55C15176" w14:textId="3FB9C32B">
      <w:pPr>
        <w:pStyle w:val="Dummy"/>
        <w:spacing w:after="0"/>
        <w:jc w:val="center"/>
      </w:pPr>
      <w:r w:rsidRPr="0041190E">
        <w:t>AT PHOEBE STREET AT MILEPOST 236.12 IN THE CITY OF ENCINITAS AND COUNTY OF SAN DIEGO, CALIFORNIA</w:t>
      </w:r>
      <w:bookmarkEnd w:id="2"/>
      <w:r w:rsidRPr="0041190E">
        <w:t xml:space="preserve"> </w:t>
      </w:r>
    </w:p>
    <w:bookmarkEnd w:id="3"/>
    <w:p w:rsidRPr="0041190E" w:rsidR="006D7E92" w:rsidP="006D7E92" w:rsidRDefault="006D7E92" w14:paraId="02CCD9C6" w14:textId="77777777"/>
    <w:p w:rsidRPr="0041190E" w:rsidR="006D7E92" w:rsidP="006D7E92" w:rsidRDefault="006D7E92" w14:paraId="3CEFD7D6" w14:textId="5E6DACA1">
      <w:pPr>
        <w:sectPr w:rsidRPr="0041190E" w:rsidR="006D7E92" w:rsidSect="00096B16">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bookmarkEnd w:id="4"/>
    <w:p w:rsidRPr="0041190E" w:rsidR="00D50119" w:rsidP="001E0A90" w:rsidRDefault="00D50119" w14:paraId="58380049" w14:textId="77777777">
      <w:pPr>
        <w:pStyle w:val="TOCHeading"/>
      </w:pPr>
      <w:r w:rsidRPr="0041190E">
        <w:lastRenderedPageBreak/>
        <w:t>TABLE OF CONTENTS</w:t>
      </w:r>
    </w:p>
    <w:p w:rsidRPr="0041190E" w:rsidR="00D50119" w:rsidP="001E0A90" w:rsidRDefault="00D50119" w14:paraId="776FDEA9" w14:textId="77777777">
      <w:pPr>
        <w:tabs>
          <w:tab w:val="right" w:pos="9360"/>
        </w:tabs>
        <w:spacing w:line="240" w:lineRule="auto"/>
        <w:ind w:firstLine="0"/>
      </w:pPr>
      <w:r w:rsidRPr="0041190E">
        <w:rPr>
          <w:b/>
        </w:rPr>
        <w:t>Title</w:t>
      </w:r>
      <w:r w:rsidRPr="0041190E">
        <w:tab/>
      </w:r>
      <w:r w:rsidRPr="0041190E">
        <w:rPr>
          <w:b/>
        </w:rPr>
        <w:t>Page</w:t>
      </w:r>
    </w:p>
    <w:sdt>
      <w:sdtPr>
        <w:id w:val="-1224440197"/>
        <w:docPartObj>
          <w:docPartGallery w:val="Table of Contents"/>
          <w:docPartUnique/>
        </w:docPartObj>
      </w:sdtPr>
      <w:sdtEndPr>
        <w:rPr>
          <w:b/>
          <w:bCs/>
          <w:noProof/>
        </w:rPr>
      </w:sdtEndPr>
      <w:sdtContent>
        <w:p w:rsidR="0041190E" w:rsidP="00283F96" w:rsidRDefault="008C7413" w14:paraId="4E2A7CEE" w14:textId="5E628876">
          <w:pPr>
            <w:pStyle w:val="TOC1"/>
            <w:tabs>
              <w:tab w:val="right" w:leader="dot" w:pos="9350"/>
            </w:tabs>
            <w:ind w:left="0" w:firstLine="18"/>
            <w:rPr>
              <w:rFonts w:asciiTheme="minorHAnsi" w:hAnsiTheme="minorHAnsi" w:cstheme="minorBidi"/>
              <w:noProof/>
              <w:kern w:val="2"/>
              <w:sz w:val="24"/>
              <w:szCs w:val="24"/>
              <w14:ligatures w14:val="standardContextual"/>
            </w:rPr>
          </w:pPr>
          <w:r w:rsidRPr="0041190E">
            <w:rPr>
              <w:rFonts w:asciiTheme="minorHAnsi" w:hAnsiTheme="minorHAnsi"/>
              <w:sz w:val="22"/>
            </w:rPr>
            <w:fldChar w:fldCharType="begin"/>
          </w:r>
          <w:r w:rsidRPr="0041190E">
            <w:rPr>
              <w:rFonts w:asciiTheme="minorHAnsi" w:hAnsiTheme="minorHAnsi"/>
              <w:sz w:val="22"/>
            </w:rPr>
            <w:instrText xml:space="preserve"> TOC \o "1-6" \h \z \u </w:instrText>
          </w:r>
          <w:r w:rsidRPr="0041190E">
            <w:rPr>
              <w:rFonts w:asciiTheme="minorHAnsi" w:hAnsiTheme="minorHAnsi"/>
              <w:sz w:val="22"/>
            </w:rPr>
            <w:fldChar w:fldCharType="separate"/>
          </w:r>
          <w:hyperlink w:history="1" w:anchor="_Toc216288552">
            <w:r w:rsidRPr="00B97E65" w:rsidR="0041190E">
              <w:rPr>
                <w:rStyle w:val="Hyperlink"/>
                <w:noProof/>
              </w:rPr>
              <w:t>DECISION AUTHORIZING THE CITY OF ENCINITAS TO CONSTRUCT</w:t>
            </w:r>
            <w:r w:rsidR="00916098">
              <w:rPr>
                <w:rStyle w:val="Hyperlink"/>
                <w:noProof/>
              </w:rPr>
              <w:t xml:space="preserve"> T</w:t>
            </w:r>
            <w:r w:rsidRPr="00B97E65" w:rsidR="0041190E">
              <w:rPr>
                <w:rStyle w:val="Hyperlink"/>
                <w:noProof/>
              </w:rPr>
              <w:t>WO NEW AT-GRADE PEDESTRIAN RAIL CROSSINGS OF THE NORTH COUNTY TRANSIT DISTRICT’S SAN DIEGO SUBDIVISION AT GRANDVIEW STREET AT MILEPOST 235.66 AND AT PHOEBE STREET AT MILEPOST 236.12 IN THE CITY OF ENCINITAS AND COUNTY OF SAN DIEGO, CALIFORNIA</w:t>
            </w:r>
            <w:r w:rsidR="0041190E">
              <w:rPr>
                <w:noProof/>
                <w:webHidden/>
              </w:rPr>
              <w:tab/>
            </w:r>
            <w:r w:rsidR="0041190E">
              <w:rPr>
                <w:noProof/>
                <w:webHidden/>
              </w:rPr>
              <w:fldChar w:fldCharType="begin"/>
            </w:r>
            <w:r w:rsidR="0041190E">
              <w:rPr>
                <w:noProof/>
                <w:webHidden/>
              </w:rPr>
              <w:instrText xml:space="preserve"> PAGEREF _Toc216288552 \h </w:instrText>
            </w:r>
            <w:r w:rsidR="0041190E">
              <w:rPr>
                <w:noProof/>
                <w:webHidden/>
              </w:rPr>
            </w:r>
            <w:r w:rsidR="0041190E">
              <w:rPr>
                <w:noProof/>
                <w:webHidden/>
              </w:rPr>
              <w:fldChar w:fldCharType="separate"/>
            </w:r>
            <w:r w:rsidR="00D0516C">
              <w:rPr>
                <w:noProof/>
                <w:webHidden/>
              </w:rPr>
              <w:t>1</w:t>
            </w:r>
            <w:r w:rsidR="0041190E">
              <w:rPr>
                <w:noProof/>
                <w:webHidden/>
              </w:rPr>
              <w:fldChar w:fldCharType="end"/>
            </w:r>
          </w:hyperlink>
        </w:p>
        <w:p w:rsidR="0041190E" w:rsidRDefault="0041190E" w14:paraId="4F07A0EF" w14:textId="71441CCF">
          <w:pPr>
            <w:pStyle w:val="TOC1"/>
            <w:tabs>
              <w:tab w:val="right" w:leader="dot" w:pos="9350"/>
            </w:tabs>
            <w:rPr>
              <w:rFonts w:asciiTheme="minorHAnsi" w:hAnsiTheme="minorHAnsi" w:cstheme="minorBidi"/>
              <w:noProof/>
              <w:kern w:val="2"/>
              <w:sz w:val="24"/>
              <w:szCs w:val="24"/>
              <w14:ligatures w14:val="standardContextual"/>
            </w:rPr>
          </w:pPr>
          <w:hyperlink w:history="1" w:anchor="_Toc216288553">
            <w:r w:rsidRPr="00B97E65">
              <w:rPr>
                <w:rStyle w:val="Hyperlink"/>
                <w:noProof/>
              </w:rPr>
              <w:t>Summary</w:t>
            </w:r>
            <w:r>
              <w:rPr>
                <w:noProof/>
                <w:webHidden/>
              </w:rPr>
              <w:tab/>
            </w:r>
            <w:r>
              <w:rPr>
                <w:noProof/>
                <w:webHidden/>
              </w:rPr>
              <w:fldChar w:fldCharType="begin"/>
            </w:r>
            <w:r>
              <w:rPr>
                <w:noProof/>
                <w:webHidden/>
              </w:rPr>
              <w:instrText xml:space="preserve"> PAGEREF _Toc216288553 \h </w:instrText>
            </w:r>
            <w:r>
              <w:rPr>
                <w:noProof/>
                <w:webHidden/>
              </w:rPr>
            </w:r>
            <w:r>
              <w:rPr>
                <w:noProof/>
                <w:webHidden/>
              </w:rPr>
              <w:fldChar w:fldCharType="separate"/>
            </w:r>
            <w:r w:rsidR="00D0516C">
              <w:rPr>
                <w:noProof/>
                <w:webHidden/>
              </w:rPr>
              <w:t>2</w:t>
            </w:r>
            <w:r>
              <w:rPr>
                <w:noProof/>
                <w:webHidden/>
              </w:rPr>
              <w:fldChar w:fldCharType="end"/>
            </w:r>
          </w:hyperlink>
        </w:p>
        <w:p w:rsidR="0041190E" w:rsidRDefault="0041190E" w14:paraId="72B5CEEE" w14:textId="41D61AFE">
          <w:pPr>
            <w:pStyle w:val="TOC1"/>
            <w:tabs>
              <w:tab w:val="right" w:leader="dot" w:pos="9350"/>
            </w:tabs>
            <w:rPr>
              <w:rFonts w:asciiTheme="minorHAnsi" w:hAnsiTheme="minorHAnsi" w:cstheme="minorBidi"/>
              <w:noProof/>
              <w:kern w:val="2"/>
              <w:sz w:val="24"/>
              <w:szCs w:val="24"/>
              <w14:ligatures w14:val="standardContextual"/>
            </w:rPr>
          </w:pPr>
          <w:hyperlink w:history="1" w:anchor="_Toc216288554">
            <w:r w:rsidRPr="00B97E65">
              <w:rPr>
                <w:rStyle w:val="Hyperlink"/>
                <w:noProof/>
              </w:rPr>
              <w:t>1.</w:t>
            </w:r>
            <w:r>
              <w:rPr>
                <w:rFonts w:asciiTheme="minorHAnsi" w:hAnsiTheme="minorHAnsi" w:cstheme="minorBidi"/>
                <w:noProof/>
                <w:kern w:val="2"/>
                <w:sz w:val="24"/>
                <w:szCs w:val="24"/>
                <w14:ligatures w14:val="standardContextual"/>
              </w:rPr>
              <w:tab/>
            </w:r>
            <w:r w:rsidRPr="00B97E65">
              <w:rPr>
                <w:rStyle w:val="Hyperlink"/>
                <w:noProof/>
              </w:rPr>
              <w:t>Background</w:t>
            </w:r>
            <w:r>
              <w:rPr>
                <w:noProof/>
                <w:webHidden/>
              </w:rPr>
              <w:tab/>
            </w:r>
            <w:r>
              <w:rPr>
                <w:noProof/>
                <w:webHidden/>
              </w:rPr>
              <w:fldChar w:fldCharType="begin"/>
            </w:r>
            <w:r>
              <w:rPr>
                <w:noProof/>
                <w:webHidden/>
              </w:rPr>
              <w:instrText xml:space="preserve"> PAGEREF _Toc216288554 \h </w:instrText>
            </w:r>
            <w:r>
              <w:rPr>
                <w:noProof/>
                <w:webHidden/>
              </w:rPr>
            </w:r>
            <w:r>
              <w:rPr>
                <w:noProof/>
                <w:webHidden/>
              </w:rPr>
              <w:fldChar w:fldCharType="separate"/>
            </w:r>
            <w:r w:rsidR="00D0516C">
              <w:rPr>
                <w:noProof/>
                <w:webHidden/>
              </w:rPr>
              <w:t>2</w:t>
            </w:r>
            <w:r>
              <w:rPr>
                <w:noProof/>
                <w:webHidden/>
              </w:rPr>
              <w:fldChar w:fldCharType="end"/>
            </w:r>
          </w:hyperlink>
        </w:p>
        <w:p w:rsidR="0041190E" w:rsidRDefault="0041190E" w14:paraId="43D0860F" w14:textId="2C83B1C1">
          <w:pPr>
            <w:pStyle w:val="TOC2"/>
            <w:tabs>
              <w:tab w:val="right" w:leader="dot" w:pos="9350"/>
            </w:tabs>
            <w:rPr>
              <w:rFonts w:asciiTheme="minorHAnsi" w:hAnsiTheme="minorHAnsi" w:cstheme="minorBidi"/>
              <w:noProof/>
              <w:kern w:val="2"/>
              <w:sz w:val="24"/>
              <w:szCs w:val="24"/>
              <w14:ligatures w14:val="standardContextual"/>
            </w:rPr>
          </w:pPr>
          <w:hyperlink w:history="1" w:anchor="_Toc216288555">
            <w:r w:rsidRPr="00B97E65">
              <w:rPr>
                <w:rStyle w:val="Hyperlink"/>
                <w:noProof/>
              </w:rPr>
              <w:t>1.1.</w:t>
            </w:r>
            <w:r>
              <w:rPr>
                <w:rFonts w:asciiTheme="minorHAnsi" w:hAnsiTheme="minorHAnsi" w:cstheme="minorBidi"/>
                <w:noProof/>
                <w:kern w:val="2"/>
                <w:sz w:val="24"/>
                <w:szCs w:val="24"/>
                <w14:ligatures w14:val="standardContextual"/>
              </w:rPr>
              <w:tab/>
            </w:r>
            <w:r w:rsidRPr="00B97E65">
              <w:rPr>
                <w:rStyle w:val="Hyperlink"/>
                <w:noProof/>
              </w:rPr>
              <w:t>Procedural Background</w:t>
            </w:r>
            <w:r>
              <w:rPr>
                <w:noProof/>
                <w:webHidden/>
              </w:rPr>
              <w:tab/>
            </w:r>
            <w:r>
              <w:rPr>
                <w:noProof/>
                <w:webHidden/>
              </w:rPr>
              <w:fldChar w:fldCharType="begin"/>
            </w:r>
            <w:r>
              <w:rPr>
                <w:noProof/>
                <w:webHidden/>
              </w:rPr>
              <w:instrText xml:space="preserve"> PAGEREF _Toc216288555 \h </w:instrText>
            </w:r>
            <w:r>
              <w:rPr>
                <w:noProof/>
                <w:webHidden/>
              </w:rPr>
            </w:r>
            <w:r>
              <w:rPr>
                <w:noProof/>
                <w:webHidden/>
              </w:rPr>
              <w:fldChar w:fldCharType="separate"/>
            </w:r>
            <w:r w:rsidR="00D0516C">
              <w:rPr>
                <w:noProof/>
                <w:webHidden/>
              </w:rPr>
              <w:t>2</w:t>
            </w:r>
            <w:r>
              <w:rPr>
                <w:noProof/>
                <w:webHidden/>
              </w:rPr>
              <w:fldChar w:fldCharType="end"/>
            </w:r>
          </w:hyperlink>
        </w:p>
        <w:p w:rsidR="0041190E" w:rsidRDefault="0041190E" w14:paraId="31B3C232" w14:textId="1B435C52">
          <w:pPr>
            <w:pStyle w:val="TOC2"/>
            <w:tabs>
              <w:tab w:val="right" w:leader="dot" w:pos="9350"/>
            </w:tabs>
            <w:rPr>
              <w:rFonts w:asciiTheme="minorHAnsi" w:hAnsiTheme="minorHAnsi" w:cstheme="minorBidi"/>
              <w:noProof/>
              <w:kern w:val="2"/>
              <w:sz w:val="24"/>
              <w:szCs w:val="24"/>
              <w14:ligatures w14:val="standardContextual"/>
            </w:rPr>
          </w:pPr>
          <w:hyperlink w:history="1" w:anchor="_Toc216288556">
            <w:r w:rsidRPr="00B97E65">
              <w:rPr>
                <w:rStyle w:val="Hyperlink"/>
                <w:noProof/>
              </w:rPr>
              <w:t>1.2.</w:t>
            </w:r>
            <w:r>
              <w:rPr>
                <w:rFonts w:asciiTheme="minorHAnsi" w:hAnsiTheme="minorHAnsi" w:cstheme="minorBidi"/>
                <w:noProof/>
                <w:kern w:val="2"/>
                <w:sz w:val="24"/>
                <w:szCs w:val="24"/>
                <w14:ligatures w14:val="standardContextual"/>
              </w:rPr>
              <w:tab/>
            </w:r>
            <w:r w:rsidRPr="00B97E65">
              <w:rPr>
                <w:rStyle w:val="Hyperlink"/>
                <w:noProof/>
              </w:rPr>
              <w:t>Submission Date</w:t>
            </w:r>
            <w:r>
              <w:rPr>
                <w:noProof/>
                <w:webHidden/>
              </w:rPr>
              <w:tab/>
            </w:r>
            <w:r>
              <w:rPr>
                <w:noProof/>
                <w:webHidden/>
              </w:rPr>
              <w:fldChar w:fldCharType="begin"/>
            </w:r>
            <w:r>
              <w:rPr>
                <w:noProof/>
                <w:webHidden/>
              </w:rPr>
              <w:instrText xml:space="preserve"> PAGEREF _Toc216288556 \h </w:instrText>
            </w:r>
            <w:r>
              <w:rPr>
                <w:noProof/>
                <w:webHidden/>
              </w:rPr>
            </w:r>
            <w:r>
              <w:rPr>
                <w:noProof/>
                <w:webHidden/>
              </w:rPr>
              <w:fldChar w:fldCharType="separate"/>
            </w:r>
            <w:r w:rsidR="00D0516C">
              <w:rPr>
                <w:noProof/>
                <w:webHidden/>
              </w:rPr>
              <w:t>4</w:t>
            </w:r>
            <w:r>
              <w:rPr>
                <w:noProof/>
                <w:webHidden/>
              </w:rPr>
              <w:fldChar w:fldCharType="end"/>
            </w:r>
          </w:hyperlink>
        </w:p>
        <w:p w:rsidR="0041190E" w:rsidRDefault="0041190E" w14:paraId="582DBC59" w14:textId="72E16BF4">
          <w:pPr>
            <w:pStyle w:val="TOC1"/>
            <w:tabs>
              <w:tab w:val="right" w:leader="dot" w:pos="9350"/>
            </w:tabs>
            <w:rPr>
              <w:rFonts w:asciiTheme="minorHAnsi" w:hAnsiTheme="minorHAnsi" w:cstheme="minorBidi"/>
              <w:noProof/>
              <w:kern w:val="2"/>
              <w:sz w:val="24"/>
              <w:szCs w:val="24"/>
              <w14:ligatures w14:val="standardContextual"/>
            </w:rPr>
          </w:pPr>
          <w:hyperlink w:history="1" w:anchor="_Toc216288557">
            <w:r w:rsidRPr="00B97E65">
              <w:rPr>
                <w:rStyle w:val="Hyperlink"/>
                <w:noProof/>
              </w:rPr>
              <w:t>2.</w:t>
            </w:r>
            <w:r>
              <w:rPr>
                <w:rFonts w:asciiTheme="minorHAnsi" w:hAnsiTheme="minorHAnsi" w:cstheme="minorBidi"/>
                <w:noProof/>
                <w:kern w:val="2"/>
                <w:sz w:val="24"/>
                <w:szCs w:val="24"/>
                <w14:ligatures w14:val="standardContextual"/>
              </w:rPr>
              <w:tab/>
            </w:r>
            <w:r w:rsidRPr="00B97E65">
              <w:rPr>
                <w:rStyle w:val="Hyperlink"/>
                <w:noProof/>
              </w:rPr>
              <w:t>Jurisdiction</w:t>
            </w:r>
            <w:r>
              <w:rPr>
                <w:noProof/>
                <w:webHidden/>
              </w:rPr>
              <w:tab/>
            </w:r>
            <w:r>
              <w:rPr>
                <w:noProof/>
                <w:webHidden/>
              </w:rPr>
              <w:fldChar w:fldCharType="begin"/>
            </w:r>
            <w:r>
              <w:rPr>
                <w:noProof/>
                <w:webHidden/>
              </w:rPr>
              <w:instrText xml:space="preserve"> PAGEREF _Toc216288557 \h </w:instrText>
            </w:r>
            <w:r>
              <w:rPr>
                <w:noProof/>
                <w:webHidden/>
              </w:rPr>
            </w:r>
            <w:r>
              <w:rPr>
                <w:noProof/>
                <w:webHidden/>
              </w:rPr>
              <w:fldChar w:fldCharType="separate"/>
            </w:r>
            <w:r w:rsidR="00D0516C">
              <w:rPr>
                <w:noProof/>
                <w:webHidden/>
              </w:rPr>
              <w:t>4</w:t>
            </w:r>
            <w:r>
              <w:rPr>
                <w:noProof/>
                <w:webHidden/>
              </w:rPr>
              <w:fldChar w:fldCharType="end"/>
            </w:r>
          </w:hyperlink>
        </w:p>
        <w:p w:rsidR="0041190E" w:rsidRDefault="0041190E" w14:paraId="6D9F8768" w14:textId="35ABFFD1">
          <w:pPr>
            <w:pStyle w:val="TOC1"/>
            <w:tabs>
              <w:tab w:val="right" w:leader="dot" w:pos="9350"/>
            </w:tabs>
            <w:rPr>
              <w:rFonts w:asciiTheme="minorHAnsi" w:hAnsiTheme="minorHAnsi" w:cstheme="minorBidi"/>
              <w:noProof/>
              <w:kern w:val="2"/>
              <w:sz w:val="24"/>
              <w:szCs w:val="24"/>
              <w14:ligatures w14:val="standardContextual"/>
            </w:rPr>
          </w:pPr>
          <w:hyperlink w:history="1" w:anchor="_Toc216288558">
            <w:r w:rsidRPr="00B97E65">
              <w:rPr>
                <w:rStyle w:val="Hyperlink"/>
                <w:noProof/>
              </w:rPr>
              <w:t>3.</w:t>
            </w:r>
            <w:r>
              <w:rPr>
                <w:rFonts w:asciiTheme="minorHAnsi" w:hAnsiTheme="minorHAnsi" w:cstheme="minorBidi"/>
                <w:noProof/>
                <w:kern w:val="2"/>
                <w:sz w:val="24"/>
                <w:szCs w:val="24"/>
                <w14:ligatures w14:val="standardContextual"/>
              </w:rPr>
              <w:tab/>
            </w:r>
            <w:r w:rsidRPr="00B97E65">
              <w:rPr>
                <w:rStyle w:val="Hyperlink"/>
                <w:noProof/>
              </w:rPr>
              <w:t>Issues Before the Commission</w:t>
            </w:r>
            <w:r>
              <w:rPr>
                <w:noProof/>
                <w:webHidden/>
              </w:rPr>
              <w:tab/>
            </w:r>
            <w:r>
              <w:rPr>
                <w:noProof/>
                <w:webHidden/>
              </w:rPr>
              <w:fldChar w:fldCharType="begin"/>
            </w:r>
            <w:r>
              <w:rPr>
                <w:noProof/>
                <w:webHidden/>
              </w:rPr>
              <w:instrText xml:space="preserve"> PAGEREF _Toc216288558 \h </w:instrText>
            </w:r>
            <w:r>
              <w:rPr>
                <w:noProof/>
                <w:webHidden/>
              </w:rPr>
            </w:r>
            <w:r>
              <w:rPr>
                <w:noProof/>
                <w:webHidden/>
              </w:rPr>
              <w:fldChar w:fldCharType="separate"/>
            </w:r>
            <w:r w:rsidR="00D0516C">
              <w:rPr>
                <w:noProof/>
                <w:webHidden/>
              </w:rPr>
              <w:t>4</w:t>
            </w:r>
            <w:r>
              <w:rPr>
                <w:noProof/>
                <w:webHidden/>
              </w:rPr>
              <w:fldChar w:fldCharType="end"/>
            </w:r>
          </w:hyperlink>
        </w:p>
        <w:p w:rsidR="0041190E" w:rsidRDefault="0041190E" w14:paraId="1C1AA243" w14:textId="36EE7181">
          <w:pPr>
            <w:pStyle w:val="TOC1"/>
            <w:tabs>
              <w:tab w:val="right" w:leader="dot" w:pos="9350"/>
            </w:tabs>
            <w:rPr>
              <w:rFonts w:asciiTheme="minorHAnsi" w:hAnsiTheme="minorHAnsi" w:cstheme="minorBidi"/>
              <w:noProof/>
              <w:kern w:val="2"/>
              <w:sz w:val="24"/>
              <w:szCs w:val="24"/>
              <w14:ligatures w14:val="standardContextual"/>
            </w:rPr>
          </w:pPr>
          <w:hyperlink w:history="1" w:anchor="_Toc216288559">
            <w:r w:rsidRPr="00B97E65">
              <w:rPr>
                <w:rStyle w:val="Hyperlink"/>
                <w:noProof/>
              </w:rPr>
              <w:t>4.</w:t>
            </w:r>
            <w:r>
              <w:rPr>
                <w:rFonts w:asciiTheme="minorHAnsi" w:hAnsiTheme="minorHAnsi" w:cstheme="minorBidi"/>
                <w:noProof/>
                <w:kern w:val="2"/>
                <w:sz w:val="24"/>
                <w:szCs w:val="24"/>
                <w14:ligatures w14:val="standardContextual"/>
              </w:rPr>
              <w:tab/>
            </w:r>
            <w:r w:rsidRPr="00B97E65">
              <w:rPr>
                <w:rStyle w:val="Hyperlink"/>
                <w:noProof/>
              </w:rPr>
              <w:t>Discussion</w:t>
            </w:r>
            <w:r>
              <w:rPr>
                <w:noProof/>
                <w:webHidden/>
              </w:rPr>
              <w:tab/>
            </w:r>
            <w:r>
              <w:rPr>
                <w:noProof/>
                <w:webHidden/>
              </w:rPr>
              <w:fldChar w:fldCharType="begin"/>
            </w:r>
            <w:r>
              <w:rPr>
                <w:noProof/>
                <w:webHidden/>
              </w:rPr>
              <w:instrText xml:space="preserve"> PAGEREF _Toc216288559 \h </w:instrText>
            </w:r>
            <w:r>
              <w:rPr>
                <w:noProof/>
                <w:webHidden/>
              </w:rPr>
            </w:r>
            <w:r>
              <w:rPr>
                <w:noProof/>
                <w:webHidden/>
              </w:rPr>
              <w:fldChar w:fldCharType="separate"/>
            </w:r>
            <w:r w:rsidR="00D0516C">
              <w:rPr>
                <w:noProof/>
                <w:webHidden/>
              </w:rPr>
              <w:t>5</w:t>
            </w:r>
            <w:r>
              <w:rPr>
                <w:noProof/>
                <w:webHidden/>
              </w:rPr>
              <w:fldChar w:fldCharType="end"/>
            </w:r>
          </w:hyperlink>
        </w:p>
        <w:p w:rsidR="0041190E" w:rsidRDefault="0041190E" w14:paraId="44CF9305" w14:textId="49E4361D">
          <w:pPr>
            <w:pStyle w:val="TOC2"/>
            <w:tabs>
              <w:tab w:val="right" w:leader="dot" w:pos="9350"/>
            </w:tabs>
            <w:rPr>
              <w:rFonts w:asciiTheme="minorHAnsi" w:hAnsiTheme="minorHAnsi" w:cstheme="minorBidi"/>
              <w:noProof/>
              <w:kern w:val="2"/>
              <w:sz w:val="24"/>
              <w:szCs w:val="24"/>
              <w14:ligatures w14:val="standardContextual"/>
            </w:rPr>
          </w:pPr>
          <w:hyperlink w:history="1" w:anchor="_Toc216288560">
            <w:r w:rsidRPr="00B97E65">
              <w:rPr>
                <w:rStyle w:val="Hyperlink"/>
                <w:noProof/>
              </w:rPr>
              <w:t>4.1.</w:t>
            </w:r>
            <w:r>
              <w:rPr>
                <w:rFonts w:asciiTheme="minorHAnsi" w:hAnsiTheme="minorHAnsi" w:cstheme="minorBidi"/>
                <w:noProof/>
                <w:kern w:val="2"/>
                <w:sz w:val="24"/>
                <w:szCs w:val="24"/>
                <w14:ligatures w14:val="standardContextual"/>
              </w:rPr>
              <w:tab/>
            </w:r>
            <w:r w:rsidRPr="00B97E65">
              <w:rPr>
                <w:rStyle w:val="Hyperlink"/>
                <w:noProof/>
              </w:rPr>
              <w:t>Filing, Safety and Engineering Requirements</w:t>
            </w:r>
            <w:r>
              <w:rPr>
                <w:noProof/>
                <w:webHidden/>
              </w:rPr>
              <w:tab/>
            </w:r>
            <w:r>
              <w:rPr>
                <w:noProof/>
                <w:webHidden/>
              </w:rPr>
              <w:fldChar w:fldCharType="begin"/>
            </w:r>
            <w:r>
              <w:rPr>
                <w:noProof/>
                <w:webHidden/>
              </w:rPr>
              <w:instrText xml:space="preserve"> PAGEREF _Toc216288560 \h </w:instrText>
            </w:r>
            <w:r>
              <w:rPr>
                <w:noProof/>
                <w:webHidden/>
              </w:rPr>
            </w:r>
            <w:r>
              <w:rPr>
                <w:noProof/>
                <w:webHidden/>
              </w:rPr>
              <w:fldChar w:fldCharType="separate"/>
            </w:r>
            <w:r w:rsidR="00D0516C">
              <w:rPr>
                <w:noProof/>
                <w:webHidden/>
              </w:rPr>
              <w:t>5</w:t>
            </w:r>
            <w:r>
              <w:rPr>
                <w:noProof/>
                <w:webHidden/>
              </w:rPr>
              <w:fldChar w:fldCharType="end"/>
            </w:r>
          </w:hyperlink>
        </w:p>
        <w:p w:rsidR="0041190E" w:rsidRDefault="0041190E" w14:paraId="6A4806DF" w14:textId="20671B4D">
          <w:pPr>
            <w:pStyle w:val="TOC2"/>
            <w:tabs>
              <w:tab w:val="right" w:leader="dot" w:pos="9350"/>
            </w:tabs>
            <w:rPr>
              <w:rFonts w:asciiTheme="minorHAnsi" w:hAnsiTheme="minorHAnsi" w:cstheme="minorBidi"/>
              <w:noProof/>
              <w:kern w:val="2"/>
              <w:sz w:val="24"/>
              <w:szCs w:val="24"/>
              <w14:ligatures w14:val="standardContextual"/>
            </w:rPr>
          </w:pPr>
          <w:hyperlink w:history="1" w:anchor="_Toc216288561">
            <w:r w:rsidRPr="00B97E65">
              <w:rPr>
                <w:rStyle w:val="Hyperlink"/>
                <w:noProof/>
              </w:rPr>
              <w:t>4.2.</w:t>
            </w:r>
            <w:r>
              <w:rPr>
                <w:rFonts w:asciiTheme="minorHAnsi" w:hAnsiTheme="minorHAnsi" w:cstheme="minorBidi"/>
                <w:noProof/>
                <w:kern w:val="2"/>
                <w:sz w:val="24"/>
                <w:szCs w:val="24"/>
                <w14:ligatures w14:val="standardContextual"/>
              </w:rPr>
              <w:tab/>
            </w:r>
            <w:r w:rsidRPr="00B97E65">
              <w:rPr>
                <w:rStyle w:val="Hyperlink"/>
                <w:noProof/>
              </w:rPr>
              <w:t>Environmental Review</w:t>
            </w:r>
            <w:r>
              <w:rPr>
                <w:noProof/>
                <w:webHidden/>
              </w:rPr>
              <w:tab/>
            </w:r>
            <w:r>
              <w:rPr>
                <w:noProof/>
                <w:webHidden/>
              </w:rPr>
              <w:fldChar w:fldCharType="begin"/>
            </w:r>
            <w:r>
              <w:rPr>
                <w:noProof/>
                <w:webHidden/>
              </w:rPr>
              <w:instrText xml:space="preserve"> PAGEREF _Toc216288561 \h </w:instrText>
            </w:r>
            <w:r>
              <w:rPr>
                <w:noProof/>
                <w:webHidden/>
              </w:rPr>
            </w:r>
            <w:r>
              <w:rPr>
                <w:noProof/>
                <w:webHidden/>
              </w:rPr>
              <w:fldChar w:fldCharType="separate"/>
            </w:r>
            <w:r w:rsidR="00D0516C">
              <w:rPr>
                <w:noProof/>
                <w:webHidden/>
              </w:rPr>
              <w:t>9</w:t>
            </w:r>
            <w:r>
              <w:rPr>
                <w:noProof/>
                <w:webHidden/>
              </w:rPr>
              <w:fldChar w:fldCharType="end"/>
            </w:r>
          </w:hyperlink>
        </w:p>
        <w:p w:rsidR="0041190E" w:rsidRDefault="0041190E" w14:paraId="683C93F8" w14:textId="00D18DE8">
          <w:pPr>
            <w:pStyle w:val="TOC2"/>
            <w:tabs>
              <w:tab w:val="right" w:leader="dot" w:pos="9350"/>
            </w:tabs>
            <w:rPr>
              <w:rFonts w:asciiTheme="minorHAnsi" w:hAnsiTheme="minorHAnsi" w:cstheme="minorBidi"/>
              <w:noProof/>
              <w:kern w:val="2"/>
              <w:sz w:val="24"/>
              <w:szCs w:val="24"/>
              <w14:ligatures w14:val="standardContextual"/>
            </w:rPr>
          </w:pPr>
          <w:hyperlink w:history="1" w:anchor="_Toc216288562">
            <w:r w:rsidRPr="00B97E65">
              <w:rPr>
                <w:rStyle w:val="Hyperlink"/>
                <w:noProof/>
              </w:rPr>
              <w:t>4.3.</w:t>
            </w:r>
            <w:r>
              <w:rPr>
                <w:rFonts w:asciiTheme="minorHAnsi" w:hAnsiTheme="minorHAnsi" w:cstheme="minorBidi"/>
                <w:noProof/>
                <w:kern w:val="2"/>
                <w:sz w:val="24"/>
                <w:szCs w:val="24"/>
                <w14:ligatures w14:val="standardContextual"/>
              </w:rPr>
              <w:tab/>
            </w:r>
            <w:r w:rsidRPr="00B97E65">
              <w:rPr>
                <w:rStyle w:val="Hyperlink"/>
                <w:noProof/>
              </w:rPr>
              <w:t>Impact on Environmental and Social Justice Communities</w:t>
            </w:r>
            <w:r>
              <w:rPr>
                <w:noProof/>
                <w:webHidden/>
              </w:rPr>
              <w:tab/>
            </w:r>
            <w:r>
              <w:rPr>
                <w:noProof/>
                <w:webHidden/>
              </w:rPr>
              <w:fldChar w:fldCharType="begin"/>
            </w:r>
            <w:r>
              <w:rPr>
                <w:noProof/>
                <w:webHidden/>
              </w:rPr>
              <w:instrText xml:space="preserve"> PAGEREF _Toc216288562 \h </w:instrText>
            </w:r>
            <w:r>
              <w:rPr>
                <w:noProof/>
                <w:webHidden/>
              </w:rPr>
            </w:r>
            <w:r>
              <w:rPr>
                <w:noProof/>
                <w:webHidden/>
              </w:rPr>
              <w:fldChar w:fldCharType="separate"/>
            </w:r>
            <w:r w:rsidR="00D0516C">
              <w:rPr>
                <w:noProof/>
                <w:webHidden/>
              </w:rPr>
              <w:t>14</w:t>
            </w:r>
            <w:r>
              <w:rPr>
                <w:noProof/>
                <w:webHidden/>
              </w:rPr>
              <w:fldChar w:fldCharType="end"/>
            </w:r>
          </w:hyperlink>
        </w:p>
        <w:p w:rsidR="0041190E" w:rsidRDefault="0041190E" w14:paraId="77056DB4" w14:textId="14898014">
          <w:pPr>
            <w:pStyle w:val="TOC2"/>
            <w:tabs>
              <w:tab w:val="right" w:leader="dot" w:pos="9350"/>
            </w:tabs>
            <w:rPr>
              <w:rFonts w:asciiTheme="minorHAnsi" w:hAnsiTheme="minorHAnsi" w:cstheme="minorBidi"/>
              <w:noProof/>
              <w:kern w:val="2"/>
              <w:sz w:val="24"/>
              <w:szCs w:val="24"/>
              <w14:ligatures w14:val="standardContextual"/>
            </w:rPr>
          </w:pPr>
          <w:hyperlink w:history="1" w:anchor="_Toc216288563">
            <w:r w:rsidRPr="00B97E65">
              <w:rPr>
                <w:rStyle w:val="Hyperlink"/>
                <w:noProof/>
              </w:rPr>
              <w:t>4.4.</w:t>
            </w:r>
            <w:r>
              <w:rPr>
                <w:rFonts w:asciiTheme="minorHAnsi" w:hAnsiTheme="minorHAnsi" w:cstheme="minorBidi"/>
                <w:noProof/>
                <w:kern w:val="2"/>
                <w:sz w:val="24"/>
                <w:szCs w:val="24"/>
                <w14:ligatures w14:val="standardContextual"/>
              </w:rPr>
              <w:tab/>
            </w:r>
            <w:r w:rsidRPr="00B97E65">
              <w:rPr>
                <w:rStyle w:val="Hyperlink"/>
                <w:noProof/>
              </w:rPr>
              <w:t>Five Years to Complete the Proposed Crossings</w:t>
            </w:r>
            <w:r>
              <w:rPr>
                <w:noProof/>
                <w:webHidden/>
              </w:rPr>
              <w:tab/>
            </w:r>
            <w:r>
              <w:rPr>
                <w:noProof/>
                <w:webHidden/>
              </w:rPr>
              <w:fldChar w:fldCharType="begin"/>
            </w:r>
            <w:r>
              <w:rPr>
                <w:noProof/>
                <w:webHidden/>
              </w:rPr>
              <w:instrText xml:space="preserve"> PAGEREF _Toc216288563 \h </w:instrText>
            </w:r>
            <w:r>
              <w:rPr>
                <w:noProof/>
                <w:webHidden/>
              </w:rPr>
            </w:r>
            <w:r>
              <w:rPr>
                <w:noProof/>
                <w:webHidden/>
              </w:rPr>
              <w:fldChar w:fldCharType="separate"/>
            </w:r>
            <w:r w:rsidR="00D0516C">
              <w:rPr>
                <w:noProof/>
                <w:webHidden/>
              </w:rPr>
              <w:t>15</w:t>
            </w:r>
            <w:r>
              <w:rPr>
                <w:noProof/>
                <w:webHidden/>
              </w:rPr>
              <w:fldChar w:fldCharType="end"/>
            </w:r>
          </w:hyperlink>
        </w:p>
        <w:p w:rsidR="0041190E" w:rsidRDefault="0041190E" w14:paraId="264E7FB7" w14:textId="4A4A8ED7">
          <w:pPr>
            <w:pStyle w:val="TOC1"/>
            <w:tabs>
              <w:tab w:val="right" w:leader="dot" w:pos="9350"/>
            </w:tabs>
            <w:rPr>
              <w:rFonts w:asciiTheme="minorHAnsi" w:hAnsiTheme="minorHAnsi" w:cstheme="minorBidi"/>
              <w:noProof/>
              <w:kern w:val="2"/>
              <w:sz w:val="24"/>
              <w:szCs w:val="24"/>
              <w14:ligatures w14:val="standardContextual"/>
            </w:rPr>
          </w:pPr>
          <w:hyperlink w:history="1" w:anchor="_Toc216288564">
            <w:r w:rsidRPr="00B97E65">
              <w:rPr>
                <w:rStyle w:val="Hyperlink"/>
                <w:noProof/>
              </w:rPr>
              <w:t>5.</w:t>
            </w:r>
            <w:r>
              <w:rPr>
                <w:rFonts w:asciiTheme="minorHAnsi" w:hAnsiTheme="minorHAnsi" w:cstheme="minorBidi"/>
                <w:noProof/>
                <w:kern w:val="2"/>
                <w:sz w:val="24"/>
                <w:szCs w:val="24"/>
                <w14:ligatures w14:val="standardContextual"/>
              </w:rPr>
              <w:tab/>
            </w:r>
            <w:r w:rsidRPr="00B97E65">
              <w:rPr>
                <w:rStyle w:val="Hyperlink"/>
                <w:noProof/>
              </w:rPr>
              <w:t>Conclusion</w:t>
            </w:r>
            <w:r>
              <w:rPr>
                <w:noProof/>
                <w:webHidden/>
              </w:rPr>
              <w:tab/>
            </w:r>
            <w:r>
              <w:rPr>
                <w:noProof/>
                <w:webHidden/>
              </w:rPr>
              <w:fldChar w:fldCharType="begin"/>
            </w:r>
            <w:r>
              <w:rPr>
                <w:noProof/>
                <w:webHidden/>
              </w:rPr>
              <w:instrText xml:space="preserve"> PAGEREF _Toc216288564 \h </w:instrText>
            </w:r>
            <w:r>
              <w:rPr>
                <w:noProof/>
                <w:webHidden/>
              </w:rPr>
            </w:r>
            <w:r>
              <w:rPr>
                <w:noProof/>
                <w:webHidden/>
              </w:rPr>
              <w:fldChar w:fldCharType="separate"/>
            </w:r>
            <w:r w:rsidR="00D0516C">
              <w:rPr>
                <w:noProof/>
                <w:webHidden/>
              </w:rPr>
              <w:t>16</w:t>
            </w:r>
            <w:r>
              <w:rPr>
                <w:noProof/>
                <w:webHidden/>
              </w:rPr>
              <w:fldChar w:fldCharType="end"/>
            </w:r>
          </w:hyperlink>
        </w:p>
        <w:p w:rsidR="0041190E" w:rsidRDefault="0041190E" w14:paraId="2C86438F" w14:textId="7A22C8E4">
          <w:pPr>
            <w:pStyle w:val="TOC1"/>
            <w:tabs>
              <w:tab w:val="right" w:leader="dot" w:pos="9350"/>
            </w:tabs>
            <w:rPr>
              <w:rFonts w:asciiTheme="minorHAnsi" w:hAnsiTheme="minorHAnsi" w:cstheme="minorBidi"/>
              <w:noProof/>
              <w:kern w:val="2"/>
              <w:sz w:val="24"/>
              <w:szCs w:val="24"/>
              <w14:ligatures w14:val="standardContextual"/>
            </w:rPr>
          </w:pPr>
          <w:hyperlink w:history="1" w:anchor="_Toc216288565">
            <w:r w:rsidRPr="00B97E65">
              <w:rPr>
                <w:rStyle w:val="Hyperlink"/>
                <w:noProof/>
              </w:rPr>
              <w:t>6.</w:t>
            </w:r>
            <w:r>
              <w:rPr>
                <w:rFonts w:asciiTheme="minorHAnsi" w:hAnsiTheme="minorHAnsi" w:cstheme="minorBidi"/>
                <w:noProof/>
                <w:kern w:val="2"/>
                <w:sz w:val="24"/>
                <w:szCs w:val="24"/>
                <w14:ligatures w14:val="standardContextual"/>
              </w:rPr>
              <w:tab/>
            </w:r>
            <w:r w:rsidRPr="00B97E65">
              <w:rPr>
                <w:rStyle w:val="Hyperlink"/>
                <w:noProof/>
              </w:rPr>
              <w:t>Summary of Public Comment</w:t>
            </w:r>
            <w:r>
              <w:rPr>
                <w:noProof/>
                <w:webHidden/>
              </w:rPr>
              <w:tab/>
            </w:r>
            <w:r>
              <w:rPr>
                <w:noProof/>
                <w:webHidden/>
              </w:rPr>
              <w:fldChar w:fldCharType="begin"/>
            </w:r>
            <w:r>
              <w:rPr>
                <w:noProof/>
                <w:webHidden/>
              </w:rPr>
              <w:instrText xml:space="preserve"> PAGEREF _Toc216288565 \h </w:instrText>
            </w:r>
            <w:r>
              <w:rPr>
                <w:noProof/>
                <w:webHidden/>
              </w:rPr>
            </w:r>
            <w:r>
              <w:rPr>
                <w:noProof/>
                <w:webHidden/>
              </w:rPr>
              <w:fldChar w:fldCharType="separate"/>
            </w:r>
            <w:r w:rsidR="00D0516C">
              <w:rPr>
                <w:noProof/>
                <w:webHidden/>
              </w:rPr>
              <w:t>16</w:t>
            </w:r>
            <w:r>
              <w:rPr>
                <w:noProof/>
                <w:webHidden/>
              </w:rPr>
              <w:fldChar w:fldCharType="end"/>
            </w:r>
          </w:hyperlink>
        </w:p>
        <w:p w:rsidR="0041190E" w:rsidRDefault="0041190E" w14:paraId="35DA81A4" w14:textId="4390CD92">
          <w:pPr>
            <w:pStyle w:val="TOC1"/>
            <w:tabs>
              <w:tab w:val="right" w:leader="dot" w:pos="9350"/>
            </w:tabs>
            <w:rPr>
              <w:rFonts w:asciiTheme="minorHAnsi" w:hAnsiTheme="minorHAnsi" w:cstheme="minorBidi"/>
              <w:noProof/>
              <w:kern w:val="2"/>
              <w:sz w:val="24"/>
              <w:szCs w:val="24"/>
              <w14:ligatures w14:val="standardContextual"/>
            </w:rPr>
          </w:pPr>
          <w:hyperlink w:history="1" w:anchor="_Toc216288566">
            <w:r w:rsidRPr="00B97E65">
              <w:rPr>
                <w:rStyle w:val="Hyperlink"/>
                <w:noProof/>
              </w:rPr>
              <w:t>7.</w:t>
            </w:r>
            <w:r>
              <w:rPr>
                <w:rFonts w:asciiTheme="minorHAnsi" w:hAnsiTheme="minorHAnsi" w:cstheme="minorBidi"/>
                <w:noProof/>
                <w:kern w:val="2"/>
                <w:sz w:val="24"/>
                <w:szCs w:val="24"/>
                <w14:ligatures w14:val="standardContextual"/>
              </w:rPr>
              <w:tab/>
            </w:r>
            <w:r w:rsidRPr="00B97E65">
              <w:rPr>
                <w:rStyle w:val="Hyperlink"/>
                <w:noProof/>
              </w:rPr>
              <w:t>Waiver of Comment Period</w:t>
            </w:r>
            <w:r>
              <w:rPr>
                <w:noProof/>
                <w:webHidden/>
              </w:rPr>
              <w:tab/>
            </w:r>
            <w:r>
              <w:rPr>
                <w:noProof/>
                <w:webHidden/>
              </w:rPr>
              <w:fldChar w:fldCharType="begin"/>
            </w:r>
            <w:r>
              <w:rPr>
                <w:noProof/>
                <w:webHidden/>
              </w:rPr>
              <w:instrText xml:space="preserve"> PAGEREF _Toc216288566 \h </w:instrText>
            </w:r>
            <w:r>
              <w:rPr>
                <w:noProof/>
                <w:webHidden/>
              </w:rPr>
            </w:r>
            <w:r>
              <w:rPr>
                <w:noProof/>
                <w:webHidden/>
              </w:rPr>
              <w:fldChar w:fldCharType="separate"/>
            </w:r>
            <w:r w:rsidR="00D0516C">
              <w:rPr>
                <w:noProof/>
                <w:webHidden/>
              </w:rPr>
              <w:t>17</w:t>
            </w:r>
            <w:r>
              <w:rPr>
                <w:noProof/>
                <w:webHidden/>
              </w:rPr>
              <w:fldChar w:fldCharType="end"/>
            </w:r>
          </w:hyperlink>
        </w:p>
        <w:p w:rsidR="0041190E" w:rsidRDefault="0041190E" w14:paraId="1AAC4F5D" w14:textId="017C6DD7">
          <w:pPr>
            <w:pStyle w:val="TOC1"/>
            <w:tabs>
              <w:tab w:val="right" w:leader="dot" w:pos="9350"/>
            </w:tabs>
            <w:rPr>
              <w:rFonts w:asciiTheme="minorHAnsi" w:hAnsiTheme="minorHAnsi" w:cstheme="minorBidi"/>
              <w:noProof/>
              <w:kern w:val="2"/>
              <w:sz w:val="24"/>
              <w:szCs w:val="24"/>
              <w14:ligatures w14:val="standardContextual"/>
            </w:rPr>
          </w:pPr>
          <w:hyperlink w:history="1" w:anchor="_Toc216288567">
            <w:r w:rsidRPr="00B97E65">
              <w:rPr>
                <w:rStyle w:val="Hyperlink"/>
                <w:noProof/>
              </w:rPr>
              <w:t>8.</w:t>
            </w:r>
            <w:r>
              <w:rPr>
                <w:rFonts w:asciiTheme="minorHAnsi" w:hAnsiTheme="minorHAnsi" w:cstheme="minorBidi"/>
                <w:noProof/>
                <w:kern w:val="2"/>
                <w:sz w:val="24"/>
                <w:szCs w:val="24"/>
                <w14:ligatures w14:val="standardContextual"/>
              </w:rPr>
              <w:tab/>
            </w:r>
            <w:r w:rsidRPr="00B97E65">
              <w:rPr>
                <w:rStyle w:val="Hyperlink"/>
                <w:noProof/>
              </w:rPr>
              <w:t>Assignment of Proceeding</w:t>
            </w:r>
            <w:r>
              <w:rPr>
                <w:noProof/>
                <w:webHidden/>
              </w:rPr>
              <w:tab/>
            </w:r>
            <w:r>
              <w:rPr>
                <w:noProof/>
                <w:webHidden/>
              </w:rPr>
              <w:fldChar w:fldCharType="begin"/>
            </w:r>
            <w:r>
              <w:rPr>
                <w:noProof/>
                <w:webHidden/>
              </w:rPr>
              <w:instrText xml:space="preserve"> PAGEREF _Toc216288567 \h </w:instrText>
            </w:r>
            <w:r>
              <w:rPr>
                <w:noProof/>
                <w:webHidden/>
              </w:rPr>
            </w:r>
            <w:r>
              <w:rPr>
                <w:noProof/>
                <w:webHidden/>
              </w:rPr>
              <w:fldChar w:fldCharType="separate"/>
            </w:r>
            <w:r w:rsidR="00D0516C">
              <w:rPr>
                <w:noProof/>
                <w:webHidden/>
              </w:rPr>
              <w:t>17</w:t>
            </w:r>
            <w:r>
              <w:rPr>
                <w:noProof/>
                <w:webHidden/>
              </w:rPr>
              <w:fldChar w:fldCharType="end"/>
            </w:r>
          </w:hyperlink>
        </w:p>
        <w:p w:rsidR="0041190E" w:rsidRDefault="0041190E" w14:paraId="5F6D7401" w14:textId="25CD28FC">
          <w:pPr>
            <w:pStyle w:val="TOC1"/>
            <w:tabs>
              <w:tab w:val="right" w:leader="dot" w:pos="9350"/>
            </w:tabs>
            <w:rPr>
              <w:rFonts w:asciiTheme="minorHAnsi" w:hAnsiTheme="minorHAnsi" w:cstheme="minorBidi"/>
              <w:noProof/>
              <w:kern w:val="2"/>
              <w:sz w:val="24"/>
              <w:szCs w:val="24"/>
              <w14:ligatures w14:val="standardContextual"/>
            </w:rPr>
          </w:pPr>
          <w:hyperlink w:history="1" w:anchor="_Toc216288568">
            <w:r w:rsidRPr="00B97E65">
              <w:rPr>
                <w:rStyle w:val="Hyperlink"/>
                <w:noProof/>
              </w:rPr>
              <w:t>Findings of Fact</w:t>
            </w:r>
            <w:r>
              <w:rPr>
                <w:noProof/>
                <w:webHidden/>
              </w:rPr>
              <w:tab/>
            </w:r>
            <w:r>
              <w:rPr>
                <w:noProof/>
                <w:webHidden/>
              </w:rPr>
              <w:fldChar w:fldCharType="begin"/>
            </w:r>
            <w:r>
              <w:rPr>
                <w:noProof/>
                <w:webHidden/>
              </w:rPr>
              <w:instrText xml:space="preserve"> PAGEREF _Toc216288568 \h </w:instrText>
            </w:r>
            <w:r>
              <w:rPr>
                <w:noProof/>
                <w:webHidden/>
              </w:rPr>
            </w:r>
            <w:r>
              <w:rPr>
                <w:noProof/>
                <w:webHidden/>
              </w:rPr>
              <w:fldChar w:fldCharType="separate"/>
            </w:r>
            <w:r w:rsidR="00D0516C">
              <w:rPr>
                <w:noProof/>
                <w:webHidden/>
              </w:rPr>
              <w:t>17</w:t>
            </w:r>
            <w:r>
              <w:rPr>
                <w:noProof/>
                <w:webHidden/>
              </w:rPr>
              <w:fldChar w:fldCharType="end"/>
            </w:r>
          </w:hyperlink>
        </w:p>
        <w:p w:rsidR="0041190E" w:rsidRDefault="0041190E" w14:paraId="050846AC" w14:textId="6C237B32">
          <w:pPr>
            <w:pStyle w:val="TOC1"/>
            <w:tabs>
              <w:tab w:val="right" w:leader="dot" w:pos="9350"/>
            </w:tabs>
            <w:rPr>
              <w:rFonts w:asciiTheme="minorHAnsi" w:hAnsiTheme="minorHAnsi" w:cstheme="minorBidi"/>
              <w:noProof/>
              <w:kern w:val="2"/>
              <w:sz w:val="24"/>
              <w:szCs w:val="24"/>
              <w14:ligatures w14:val="standardContextual"/>
            </w:rPr>
          </w:pPr>
          <w:hyperlink w:history="1" w:anchor="_Toc216288569">
            <w:r w:rsidRPr="00B97E65">
              <w:rPr>
                <w:rStyle w:val="Hyperlink"/>
                <w:noProof/>
              </w:rPr>
              <w:t>Conclusions of Law</w:t>
            </w:r>
            <w:r>
              <w:rPr>
                <w:noProof/>
                <w:webHidden/>
              </w:rPr>
              <w:tab/>
            </w:r>
            <w:r>
              <w:rPr>
                <w:noProof/>
                <w:webHidden/>
              </w:rPr>
              <w:fldChar w:fldCharType="begin"/>
            </w:r>
            <w:r>
              <w:rPr>
                <w:noProof/>
                <w:webHidden/>
              </w:rPr>
              <w:instrText xml:space="preserve"> PAGEREF _Toc216288569 \h </w:instrText>
            </w:r>
            <w:r>
              <w:rPr>
                <w:noProof/>
                <w:webHidden/>
              </w:rPr>
            </w:r>
            <w:r>
              <w:rPr>
                <w:noProof/>
                <w:webHidden/>
              </w:rPr>
              <w:fldChar w:fldCharType="separate"/>
            </w:r>
            <w:r w:rsidR="00D0516C">
              <w:rPr>
                <w:noProof/>
                <w:webHidden/>
              </w:rPr>
              <w:t>19</w:t>
            </w:r>
            <w:r>
              <w:rPr>
                <w:noProof/>
                <w:webHidden/>
              </w:rPr>
              <w:fldChar w:fldCharType="end"/>
            </w:r>
          </w:hyperlink>
        </w:p>
        <w:p w:rsidR="0041190E" w:rsidRDefault="0041190E" w14:paraId="298BF513" w14:textId="22061881">
          <w:pPr>
            <w:pStyle w:val="TOC1"/>
            <w:tabs>
              <w:tab w:val="right" w:leader="dot" w:pos="9350"/>
            </w:tabs>
            <w:rPr>
              <w:rFonts w:asciiTheme="minorHAnsi" w:hAnsiTheme="minorHAnsi" w:cstheme="minorBidi"/>
              <w:noProof/>
              <w:kern w:val="2"/>
              <w:sz w:val="24"/>
              <w:szCs w:val="24"/>
              <w14:ligatures w14:val="standardContextual"/>
            </w:rPr>
          </w:pPr>
          <w:hyperlink w:history="1" w:anchor="_Toc216288570">
            <w:r w:rsidRPr="00B97E65">
              <w:rPr>
                <w:rStyle w:val="Hyperlink"/>
                <w:noProof/>
              </w:rPr>
              <w:t>ORDER</w:t>
            </w:r>
            <w:r>
              <w:rPr>
                <w:noProof/>
                <w:webHidden/>
              </w:rPr>
              <w:tab/>
            </w:r>
            <w:r>
              <w:rPr>
                <w:noProof/>
                <w:webHidden/>
              </w:rPr>
              <w:fldChar w:fldCharType="begin"/>
            </w:r>
            <w:r>
              <w:rPr>
                <w:noProof/>
                <w:webHidden/>
              </w:rPr>
              <w:instrText xml:space="preserve"> PAGEREF _Toc216288570 \h </w:instrText>
            </w:r>
            <w:r>
              <w:rPr>
                <w:noProof/>
                <w:webHidden/>
              </w:rPr>
            </w:r>
            <w:r>
              <w:rPr>
                <w:noProof/>
                <w:webHidden/>
              </w:rPr>
              <w:fldChar w:fldCharType="separate"/>
            </w:r>
            <w:r w:rsidR="00D0516C">
              <w:rPr>
                <w:noProof/>
                <w:webHidden/>
              </w:rPr>
              <w:t>19</w:t>
            </w:r>
            <w:r>
              <w:rPr>
                <w:noProof/>
                <w:webHidden/>
              </w:rPr>
              <w:fldChar w:fldCharType="end"/>
            </w:r>
          </w:hyperlink>
        </w:p>
        <w:p w:rsidRPr="0041190E" w:rsidR="00D82A43" w:rsidP="008C7413" w:rsidRDefault="008C7413" w14:paraId="049F853D" w14:textId="7945A367">
          <w:pPr>
            <w:pStyle w:val="TOC1"/>
            <w:tabs>
              <w:tab w:val="right" w:leader="dot" w:pos="9350"/>
            </w:tabs>
          </w:pPr>
          <w:r w:rsidRPr="0041190E">
            <w:rPr>
              <w:rFonts w:asciiTheme="minorHAnsi" w:hAnsiTheme="minorHAnsi"/>
              <w:sz w:val="22"/>
            </w:rPr>
            <w:fldChar w:fldCharType="end"/>
          </w:r>
        </w:p>
      </w:sdtContent>
    </w:sdt>
    <w:p w:rsidRPr="0041190E" w:rsidR="00D44DB6" w:rsidP="00D44DB6" w:rsidRDefault="00D44DB6" w14:paraId="6E6F08BF" w14:textId="39015204">
      <w:pPr>
        <w:spacing w:line="240" w:lineRule="auto"/>
        <w:ind w:firstLine="0"/>
        <w:rPr>
          <w:rFonts w:cs="Arial"/>
          <w:i/>
          <w:szCs w:val="26"/>
        </w:rPr>
        <w:sectPr w:rsidRPr="0041190E" w:rsidR="00D44DB6" w:rsidSect="00096B16">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283F96" w:rsidP="00283F96" w:rsidRDefault="00283F96" w14:paraId="5609459B" w14:textId="77777777">
      <w:pPr>
        <w:pStyle w:val="Dummy"/>
        <w:spacing w:after="0"/>
        <w:jc w:val="center"/>
      </w:pPr>
      <w:bookmarkStart w:name="_Toc8123714" w:id="5"/>
      <w:bookmarkStart w:name="_Toc164991193" w:id="6"/>
      <w:bookmarkStart w:name="_Toc216288553" w:id="7"/>
      <w:r w:rsidRPr="0041190E">
        <w:lastRenderedPageBreak/>
        <w:t>DECISION AUTHORIZING THE CITY OF ENCINITAS TO CONSTRUCT</w:t>
      </w:r>
      <w:r>
        <w:t xml:space="preserve"> T</w:t>
      </w:r>
      <w:r w:rsidRPr="0041190E">
        <w:t xml:space="preserve">WO NEW AT-GRADE PEDESTRIAN RAIL CROSSINGS </w:t>
      </w:r>
    </w:p>
    <w:p w:rsidR="00283F96" w:rsidP="00283F96" w:rsidRDefault="00283F96" w14:paraId="3CC03602" w14:textId="77777777">
      <w:pPr>
        <w:pStyle w:val="Dummy"/>
        <w:spacing w:after="0"/>
        <w:jc w:val="center"/>
      </w:pPr>
      <w:r w:rsidRPr="0041190E">
        <w:t xml:space="preserve">OF THE NORTH COUNTY TRANSIT DISTRICT’S SAN DIEGO SUBDIVISION AT GRANDVIEW STREET AT MILEPOST 235.66 AND </w:t>
      </w:r>
    </w:p>
    <w:p w:rsidRPr="0041190E" w:rsidR="00283F96" w:rsidP="00283F96" w:rsidRDefault="00283F96" w14:paraId="34E4C2D8" w14:textId="77777777">
      <w:pPr>
        <w:pStyle w:val="Dummy"/>
        <w:spacing w:after="0"/>
        <w:jc w:val="center"/>
      </w:pPr>
      <w:r w:rsidRPr="0041190E">
        <w:t xml:space="preserve">AT PHOEBE STREET AT MILEPOST 236.12 IN THE CITY OF ENCINITAS AND COUNTY OF SAN DIEGO, CALIFORNIA </w:t>
      </w:r>
    </w:p>
    <w:p w:rsidRPr="0041190E" w:rsidR="00283F96" w:rsidP="00283F96" w:rsidRDefault="00283F96" w14:paraId="4713A352" w14:textId="77777777"/>
    <w:p w:rsidRPr="0041190E" w:rsidR="005A148C" w:rsidP="005A148C" w:rsidRDefault="005A148C" w14:paraId="49C6E212" w14:textId="77777777">
      <w:pPr>
        <w:pStyle w:val="Dummy"/>
      </w:pPr>
      <w:r w:rsidRPr="0041190E">
        <w:t>Summary</w:t>
      </w:r>
      <w:bookmarkEnd w:id="5"/>
      <w:bookmarkEnd w:id="6"/>
      <w:bookmarkEnd w:id="7"/>
    </w:p>
    <w:p w:rsidRPr="0041190E" w:rsidR="00303558" w:rsidP="005B190E" w:rsidRDefault="000D3727" w14:paraId="4F21A15A" w14:textId="6B496081">
      <w:pPr>
        <w:pStyle w:val="Standard"/>
      </w:pPr>
      <w:bookmarkStart w:name="_Hlk161163494" w:id="8"/>
      <w:bookmarkStart w:name="_Hlk161257613" w:id="9"/>
      <w:r w:rsidRPr="0041190E">
        <w:t xml:space="preserve">This decision grants City of Encinitas authority to construct </w:t>
      </w:r>
      <w:r w:rsidRPr="0041190E" w:rsidR="00303558">
        <w:t xml:space="preserve">two </w:t>
      </w:r>
      <w:r w:rsidRPr="0041190E" w:rsidR="00FC7680">
        <w:t>at-grade</w:t>
      </w:r>
      <w:r w:rsidRPr="0041190E">
        <w:t xml:space="preserve"> pedestrian rail crossings </w:t>
      </w:r>
      <w:r w:rsidRPr="0041190E" w:rsidR="00303558">
        <w:t>across</w:t>
      </w:r>
      <w:r w:rsidRPr="0041190E">
        <w:t xml:space="preserve"> North County Transit District San Diego Subdivision track</w:t>
      </w:r>
      <w:r w:rsidRPr="0041190E" w:rsidR="00303558">
        <w:t xml:space="preserve">s at </w:t>
      </w:r>
      <w:r w:rsidRPr="0041190E">
        <w:t xml:space="preserve">Grandview Street </w:t>
      </w:r>
      <w:r w:rsidRPr="0041190E" w:rsidR="00303558">
        <w:t>at</w:t>
      </w:r>
      <w:r w:rsidRPr="0041190E">
        <w:t xml:space="preserve"> Milepost 235.66 </w:t>
      </w:r>
      <w:r w:rsidRPr="0041190E" w:rsidR="00303558">
        <w:t xml:space="preserve">and Phoebe Street at Milepost 236.12 in the City of Encinitas, County of San Diego, California. </w:t>
      </w:r>
    </w:p>
    <w:bookmarkEnd w:id="8"/>
    <w:bookmarkEnd w:id="9"/>
    <w:p w:rsidRPr="0041190E" w:rsidR="005D317C" w:rsidP="00EB38E9" w:rsidRDefault="001C7C80" w14:paraId="43478F46" w14:textId="1A852180">
      <w:pPr>
        <w:pStyle w:val="Standard"/>
      </w:pPr>
      <w:r w:rsidRPr="0041190E">
        <w:t>The proceeding is closed.</w:t>
      </w:r>
    </w:p>
    <w:p w:rsidRPr="0041190E" w:rsidR="0021656F" w:rsidP="00283F96" w:rsidRDefault="002C7FE9" w14:paraId="4A9BA002" w14:textId="43C377F0">
      <w:pPr>
        <w:pStyle w:val="Heading1"/>
      </w:pPr>
      <w:bookmarkStart w:name="_Toc216288554" w:id="10"/>
      <w:r w:rsidRPr="00283F96">
        <w:t>Background</w:t>
      </w:r>
      <w:bookmarkEnd w:id="10"/>
    </w:p>
    <w:p w:rsidRPr="0041190E" w:rsidR="009423E6" w:rsidP="00283F96" w:rsidRDefault="009423E6" w14:paraId="083A821E" w14:textId="3D59E101">
      <w:pPr>
        <w:pStyle w:val="Heading2"/>
      </w:pPr>
      <w:bookmarkStart w:name="_Toc216288555" w:id="11"/>
      <w:r w:rsidRPr="0041190E">
        <w:t>Procedural Background</w:t>
      </w:r>
      <w:bookmarkEnd w:id="11"/>
      <w:r w:rsidRPr="0041190E">
        <w:t xml:space="preserve"> </w:t>
      </w:r>
    </w:p>
    <w:p w:rsidRPr="0041190E" w:rsidR="008F1928" w:rsidP="0028744B" w:rsidRDefault="00BB24AF" w14:paraId="70940A92" w14:textId="7917F57D">
      <w:pPr>
        <w:pStyle w:val="Standard"/>
      </w:pPr>
      <w:bookmarkStart w:name="_Hlk161162534" w:id="12"/>
      <w:r w:rsidRPr="0041190E">
        <w:t xml:space="preserve">On </w:t>
      </w:r>
      <w:r w:rsidRPr="0041190E" w:rsidR="00303558">
        <w:t>March 25, 2025</w:t>
      </w:r>
      <w:r w:rsidRPr="0041190E">
        <w:t xml:space="preserve">, the City of </w:t>
      </w:r>
      <w:r w:rsidRPr="0041190E" w:rsidR="0028744B">
        <w:t>Encinitas</w:t>
      </w:r>
      <w:r w:rsidRPr="0041190E">
        <w:t xml:space="preserve"> (</w:t>
      </w:r>
      <w:r w:rsidRPr="0041190E" w:rsidR="0028744B">
        <w:t>Encinitas</w:t>
      </w:r>
      <w:r w:rsidRPr="0041190E">
        <w:t>) filed Application (A.) </w:t>
      </w:r>
      <w:r w:rsidRPr="0041190E" w:rsidR="0028744B">
        <w:t>25</w:t>
      </w:r>
      <w:r w:rsidRPr="0041190E">
        <w:t>-</w:t>
      </w:r>
      <w:r w:rsidRPr="0041190E" w:rsidR="0028744B">
        <w:t>03</w:t>
      </w:r>
      <w:r w:rsidRPr="0041190E">
        <w:t>-</w:t>
      </w:r>
      <w:r w:rsidRPr="0041190E" w:rsidR="0028744B">
        <w:t>014</w:t>
      </w:r>
      <w:r w:rsidRPr="0041190E">
        <w:t xml:space="preserve"> </w:t>
      </w:r>
      <w:bookmarkStart w:name="_Hlk193746825" w:id="13"/>
      <w:r w:rsidRPr="0041190E">
        <w:t>with its supporting Exhibits A through E</w:t>
      </w:r>
      <w:bookmarkEnd w:id="13"/>
      <w:r w:rsidRPr="0041190E" w:rsidR="0082733B">
        <w:rPr>
          <w:rStyle w:val="FootnoteReference"/>
        </w:rPr>
        <w:footnoteReference w:id="2"/>
      </w:r>
      <w:r w:rsidRPr="0041190E">
        <w:t xml:space="preserve">  with the California Public Utilities Commission (CPUC or Commission) seeking authority t</w:t>
      </w:r>
      <w:r w:rsidRPr="0041190E" w:rsidR="0028744B">
        <w:t xml:space="preserve">o construct two </w:t>
      </w:r>
      <w:r w:rsidRPr="0041190E" w:rsidR="00FC7680">
        <w:t>at-grade</w:t>
      </w:r>
      <w:r w:rsidRPr="0041190E" w:rsidR="0028744B">
        <w:t xml:space="preserve"> pedestrian rail crossings </w:t>
      </w:r>
      <w:r w:rsidRPr="0041190E">
        <w:t xml:space="preserve">across </w:t>
      </w:r>
      <w:r w:rsidRPr="0041190E" w:rsidR="0028744B">
        <w:t>North County Transit District San Diego Subdivision (</w:t>
      </w:r>
      <w:r w:rsidRPr="0041190E" w:rsidR="007D4431">
        <w:t>NCTD</w:t>
      </w:r>
      <w:r w:rsidRPr="0041190E" w:rsidR="0028744B">
        <w:t xml:space="preserve">) </w:t>
      </w:r>
      <w:r w:rsidRPr="0041190E" w:rsidR="009E0423">
        <w:t xml:space="preserve">rail </w:t>
      </w:r>
      <w:r w:rsidRPr="0041190E" w:rsidR="0028744B">
        <w:t xml:space="preserve">tracks at Grandview Street at Milepost 235.66 and Phoebe Street at Milepost 236.12 in the Leucadia neighborhood </w:t>
      </w:r>
      <w:r w:rsidRPr="0041190E" w:rsidR="003422CE">
        <w:t>in the</w:t>
      </w:r>
      <w:r w:rsidRPr="0041190E" w:rsidR="0028744B">
        <w:t xml:space="preserve"> City of Encinitas, County of San Diego, California </w:t>
      </w:r>
      <w:r w:rsidRPr="0041190E" w:rsidR="00E247C3">
        <w:t xml:space="preserve">(sometimes hereinafter the </w:t>
      </w:r>
      <w:r w:rsidRPr="0041190E" w:rsidR="00213C2E">
        <w:t xml:space="preserve">Proposed </w:t>
      </w:r>
      <w:r w:rsidRPr="0041190E" w:rsidR="00A6645D">
        <w:t>Crossing</w:t>
      </w:r>
      <w:r w:rsidRPr="0041190E" w:rsidR="0028744B">
        <w:t>s</w:t>
      </w:r>
      <w:r w:rsidRPr="0041190E" w:rsidR="00E247C3">
        <w:t>).</w:t>
      </w:r>
      <w:r w:rsidRPr="0041190E" w:rsidR="0021656F">
        <w:rPr>
          <w:vertAlign w:val="superscript"/>
        </w:rPr>
        <w:footnoteReference w:id="3"/>
      </w:r>
      <w:bookmarkEnd w:id="12"/>
      <w:r w:rsidRPr="0041190E" w:rsidR="008516B1">
        <w:t xml:space="preserve"> </w:t>
      </w:r>
      <w:r w:rsidRPr="0041190E" w:rsidR="008F1928">
        <w:t xml:space="preserve"> </w:t>
      </w:r>
    </w:p>
    <w:p w:rsidRPr="0041190E" w:rsidR="00142647" w:rsidP="006F5C32" w:rsidRDefault="008F1928" w14:paraId="18280335" w14:textId="1DA6AD7B">
      <w:pPr>
        <w:pStyle w:val="Standard"/>
      </w:pPr>
      <w:r w:rsidRPr="0041190E">
        <w:lastRenderedPageBreak/>
        <w:t>The Proposed Crossing</w:t>
      </w:r>
      <w:r w:rsidRPr="0041190E" w:rsidR="006F5C32">
        <w:t>s</w:t>
      </w:r>
      <w:r w:rsidRPr="0041190E" w:rsidR="00BB24AF">
        <w:t xml:space="preserve"> </w:t>
      </w:r>
      <w:r w:rsidRPr="0041190E" w:rsidR="007D4431">
        <w:t>are</w:t>
      </w:r>
      <w:r w:rsidRPr="0041190E" w:rsidR="00BB24AF">
        <w:t xml:space="preserve"> part of Applicant</w:t>
      </w:r>
      <w:r w:rsidRPr="0041190E" w:rsidR="007D4431">
        <w:t xml:space="preserve"> Encinitas</w:t>
      </w:r>
      <w:r w:rsidR="00202787">
        <w:t>’</w:t>
      </w:r>
      <w:r w:rsidRPr="0041190E" w:rsidR="00BB24AF">
        <w:t xml:space="preserve"> larger </w:t>
      </w:r>
      <w:r w:rsidRPr="0041190E" w:rsidR="007D4431">
        <w:rPr>
          <w:i/>
          <w:iCs/>
        </w:rPr>
        <w:t>North Leucadia Pedestrian and Bicycle Rail Crossings Project</w:t>
      </w:r>
      <w:r w:rsidRPr="0041190E">
        <w:t xml:space="preserve"> </w:t>
      </w:r>
      <w:bookmarkStart w:name="_Hlk179239849" w:id="15"/>
      <w:r w:rsidRPr="0041190E" w:rsidR="008B6545">
        <w:t xml:space="preserve">which proposes to </w:t>
      </w:r>
      <w:bookmarkEnd w:id="15"/>
      <w:r w:rsidRPr="0041190E" w:rsidR="005E7877">
        <w:t xml:space="preserve">construct </w:t>
      </w:r>
      <w:r w:rsidRPr="0041190E" w:rsidR="007D4431">
        <w:t>new at-grade rail crossings for bicyclist</w:t>
      </w:r>
      <w:r w:rsidR="006D73CD">
        <w:t>s</w:t>
      </w:r>
      <w:r w:rsidRPr="0041190E" w:rsidR="007D4431">
        <w:t xml:space="preserve"> and pedestrians along </w:t>
      </w:r>
      <w:r w:rsidRPr="0041190E" w:rsidR="000E1F9A">
        <w:t>a 1.3</w:t>
      </w:r>
      <w:r w:rsidR="006D73CD">
        <w:t>-</w:t>
      </w:r>
      <w:r w:rsidRPr="0041190E" w:rsidR="000E1F9A">
        <w:t>mile southern section of the</w:t>
      </w:r>
      <w:r w:rsidRPr="0041190E" w:rsidR="007D4431">
        <w:t xml:space="preserve"> NCTD Los Angeles-San Luis Obispo (LOSSAN) rail corrido</w:t>
      </w:r>
      <w:r w:rsidRPr="0041190E" w:rsidR="000E1F9A">
        <w:t>r in the Leucadia neighborhood in Encinitas</w:t>
      </w:r>
      <w:r w:rsidRPr="0041190E" w:rsidR="006F5C32">
        <w:t xml:space="preserve"> to improve pedestrian rail safety and pedestrian access to beaches, coastal resources</w:t>
      </w:r>
      <w:r w:rsidR="006D73CD">
        <w:t>,</w:t>
      </w:r>
      <w:r w:rsidRPr="0041190E" w:rsidR="006F5C32">
        <w:t xml:space="preserve"> commercial areas, and residential neighborhoods (the Leucadia Project).</w:t>
      </w:r>
      <w:r w:rsidRPr="0041190E" w:rsidR="00142647">
        <w:rPr>
          <w:rStyle w:val="FootnoteReference"/>
        </w:rPr>
        <w:footnoteReference w:id="4"/>
      </w:r>
      <w:r w:rsidRPr="0041190E" w:rsidR="00142647">
        <w:t xml:space="preserve"> </w:t>
      </w:r>
    </w:p>
    <w:p w:rsidRPr="0041190E" w:rsidR="00EA3AB3" w:rsidP="00071179" w:rsidRDefault="00071179" w14:paraId="01531112" w14:textId="7B73CC84">
      <w:pPr>
        <w:pStyle w:val="Standard"/>
      </w:pPr>
      <w:r w:rsidRPr="0041190E">
        <w:t xml:space="preserve">Commissioner </w:t>
      </w:r>
      <w:r w:rsidRPr="0041190E" w:rsidR="006F5C32">
        <w:t>Darcie L. Houck</w:t>
      </w:r>
      <w:r w:rsidRPr="0041190E">
        <w:t xml:space="preserve"> and Administrative Law Judge (ALJ) Andrea D. McGary were assigned to this A.</w:t>
      </w:r>
      <w:r w:rsidRPr="0041190E" w:rsidR="00F840E5">
        <w:t>2</w:t>
      </w:r>
      <w:r w:rsidRPr="0041190E" w:rsidR="006F5C32">
        <w:t>5-03-014</w:t>
      </w:r>
      <w:r w:rsidRPr="0041190E">
        <w:t xml:space="preserve"> proceeding on </w:t>
      </w:r>
      <w:r w:rsidRPr="0041190E" w:rsidR="006F5C32">
        <w:t>April</w:t>
      </w:r>
      <w:r w:rsidRPr="0041190E" w:rsidR="00F840E5">
        <w:t xml:space="preserve"> </w:t>
      </w:r>
      <w:r w:rsidRPr="0041190E" w:rsidR="006F5C32">
        <w:t>4</w:t>
      </w:r>
      <w:r w:rsidRPr="0041190E">
        <w:t xml:space="preserve">, </w:t>
      </w:r>
      <w:r w:rsidRPr="0041190E" w:rsidR="006F5C32">
        <w:t>2025</w:t>
      </w:r>
      <w:r w:rsidRPr="0041190E">
        <w:t xml:space="preserve">. </w:t>
      </w:r>
      <w:r w:rsidRPr="0041190E" w:rsidR="00EA3AB3">
        <w:t xml:space="preserve">On </w:t>
      </w:r>
      <w:r w:rsidRPr="0041190E" w:rsidR="006F5C32">
        <w:t>April 23, 2025</w:t>
      </w:r>
      <w:r w:rsidRPr="0041190E" w:rsidR="00EA3AB3">
        <w:t xml:space="preserve">, </w:t>
      </w:r>
      <w:r w:rsidRPr="0041190E" w:rsidR="00EA3AB3">
        <w:rPr>
          <w:i/>
          <w:iCs/>
        </w:rPr>
        <w:t>Administrative Law Judge</w:t>
      </w:r>
      <w:r w:rsidRPr="0041190E" w:rsidR="00BF26D3">
        <w:rPr>
          <w:i/>
          <w:iCs/>
        </w:rPr>
        <w:t>’</w:t>
      </w:r>
      <w:r w:rsidRPr="0041190E" w:rsidR="00EA3AB3">
        <w:rPr>
          <w:i/>
          <w:iCs/>
        </w:rPr>
        <w:t>s Ruling Setting Remote Prehearing Conference</w:t>
      </w:r>
      <w:r w:rsidRPr="0041190E" w:rsidR="00B67637">
        <w:rPr>
          <w:i/>
          <w:iCs/>
        </w:rPr>
        <w:t> </w:t>
      </w:r>
      <w:r w:rsidRPr="0041190E" w:rsidR="004A5F93">
        <w:rPr>
          <w:i/>
          <w:iCs/>
        </w:rPr>
        <w:t xml:space="preserve">&amp; </w:t>
      </w:r>
      <w:r w:rsidRPr="0041190E" w:rsidR="00EA3AB3">
        <w:rPr>
          <w:i/>
          <w:iCs/>
        </w:rPr>
        <w:t>Prehearing Conference Statement Deadline</w:t>
      </w:r>
      <w:r w:rsidRPr="0041190E" w:rsidR="00EA3AB3">
        <w:t xml:space="preserve"> was issued</w:t>
      </w:r>
      <w:r w:rsidRPr="0041190E" w:rsidR="000420D9">
        <w:t xml:space="preserve">, </w:t>
      </w:r>
      <w:r w:rsidRPr="0041190E" w:rsidR="00EA3AB3">
        <w:t xml:space="preserve">setting a prehearing conference (PHC) for </w:t>
      </w:r>
      <w:r w:rsidRPr="0041190E" w:rsidR="004E05E5">
        <w:t xml:space="preserve">May 9, </w:t>
      </w:r>
      <w:proofErr w:type="gramStart"/>
      <w:r w:rsidRPr="0041190E" w:rsidR="004E05E5">
        <w:t>2025</w:t>
      </w:r>
      <w:proofErr w:type="gramEnd"/>
      <w:r w:rsidRPr="0041190E" w:rsidR="00F643DE">
        <w:t xml:space="preserve"> and a joint PHC Statement </w:t>
      </w:r>
      <w:r w:rsidRPr="0041190E" w:rsidR="009E0423">
        <w:t>d</w:t>
      </w:r>
      <w:r w:rsidRPr="0041190E" w:rsidR="00F643DE">
        <w:t>eadline of May 5, 2025.</w:t>
      </w:r>
    </w:p>
    <w:p w:rsidRPr="0041190E" w:rsidR="00F643DE" w:rsidP="00F643DE" w:rsidRDefault="00EA3AB3" w14:paraId="7B7C7E90" w14:textId="77777777">
      <w:pPr>
        <w:pStyle w:val="Standard"/>
      </w:pPr>
      <w:r w:rsidRPr="0041190E">
        <w:t>The Commission</w:t>
      </w:r>
      <w:r w:rsidRPr="0041190E" w:rsidR="00BF26D3">
        <w:t>’</w:t>
      </w:r>
      <w:r w:rsidRPr="0041190E">
        <w:t xml:space="preserve">s Rail Safety Division (RSD) filed a Response to the Application on </w:t>
      </w:r>
      <w:r w:rsidRPr="0041190E" w:rsidR="00F643DE">
        <w:t>April 15</w:t>
      </w:r>
      <w:r w:rsidRPr="0041190E" w:rsidR="004E05E5">
        <w:t>, 2025</w:t>
      </w:r>
      <w:r w:rsidRPr="0041190E">
        <w:t>.</w:t>
      </w:r>
      <w:r w:rsidRPr="0041190E">
        <w:rPr>
          <w:vertAlign w:val="superscript"/>
        </w:rPr>
        <w:footnoteReference w:id="5"/>
      </w:r>
      <w:r w:rsidRPr="0041190E" w:rsidR="007147C1">
        <w:t xml:space="preserve"> </w:t>
      </w:r>
      <w:r w:rsidRPr="0041190E" w:rsidR="00F643DE">
        <w:t>No other response or protest to A.25</w:t>
      </w:r>
      <w:r w:rsidRPr="0041190E" w:rsidR="00F643DE">
        <w:noBreakHyphen/>
        <w:t xml:space="preserve">03-014 was filed. </w:t>
      </w:r>
    </w:p>
    <w:p w:rsidRPr="0041190E" w:rsidR="004E05E5" w:rsidP="00F643DE" w:rsidRDefault="00EA3AB3" w14:paraId="62C3DDB2" w14:textId="007A7DBD">
      <w:pPr>
        <w:pStyle w:val="Standard"/>
      </w:pPr>
      <w:r w:rsidRPr="0041190E">
        <w:t xml:space="preserve">A PHC was held on </w:t>
      </w:r>
      <w:r w:rsidRPr="0041190E" w:rsidR="004E05E5">
        <w:t xml:space="preserve">May 9, </w:t>
      </w:r>
      <w:proofErr w:type="gramStart"/>
      <w:r w:rsidRPr="0041190E" w:rsidR="004E05E5">
        <w:t>2025</w:t>
      </w:r>
      <w:proofErr w:type="gramEnd"/>
      <w:r w:rsidRPr="0041190E">
        <w:t xml:space="preserve"> to discuss the issues of law and fact, the need for hearing, and schedule </w:t>
      </w:r>
      <w:r w:rsidR="006D73CD">
        <w:t>for</w:t>
      </w:r>
      <w:r w:rsidRPr="0041190E" w:rsidR="006D73CD">
        <w:t xml:space="preserve"> </w:t>
      </w:r>
      <w:r w:rsidRPr="0041190E" w:rsidR="002E53E7">
        <w:t>resolv</w:t>
      </w:r>
      <w:r w:rsidR="006D73CD">
        <w:t>ing</w:t>
      </w:r>
      <w:r w:rsidRPr="0041190E">
        <w:t xml:space="preserve"> this </w:t>
      </w:r>
      <w:r w:rsidRPr="0041190E" w:rsidR="00F840E5">
        <w:t>proceeding</w:t>
      </w:r>
      <w:r w:rsidRPr="0041190E">
        <w:t>.</w:t>
      </w:r>
      <w:r w:rsidRPr="0041190E" w:rsidR="00F643DE">
        <w:t xml:space="preserve">  During the PHC, </w:t>
      </w:r>
      <w:r w:rsidRPr="0041190E" w:rsidR="004E05E5">
        <w:t>ALJ McGary ordered Applicant Encinitas to supplement the proceeding record with information regarding:</w:t>
      </w:r>
    </w:p>
    <w:p w:rsidRPr="0041190E" w:rsidR="004E05E5" w:rsidP="004E05E5" w:rsidRDefault="004E05E5" w14:paraId="0F1CE383" w14:textId="77777777">
      <w:pPr>
        <w:pStyle w:val="Standard"/>
        <w:numPr>
          <w:ilvl w:val="0"/>
          <w:numId w:val="32"/>
        </w:numPr>
        <w:spacing w:after="120" w:line="240" w:lineRule="auto"/>
        <w:ind w:left="1080" w:right="1440"/>
      </w:pPr>
      <w:r w:rsidRPr="0041190E">
        <w:t xml:space="preserve">The </w:t>
      </w:r>
      <w:proofErr w:type="gramStart"/>
      <w:r w:rsidRPr="0041190E">
        <w:t>period of time</w:t>
      </w:r>
      <w:proofErr w:type="gramEnd"/>
      <w:r w:rsidRPr="0041190E">
        <w:t xml:space="preserve"> needed to complete the construction of the proposed crossings; and</w:t>
      </w:r>
    </w:p>
    <w:p w:rsidRPr="0041190E" w:rsidR="004E05E5" w:rsidP="004E05E5" w:rsidRDefault="004E05E5" w14:paraId="6250D701" w14:textId="77777777">
      <w:pPr>
        <w:pStyle w:val="Standard"/>
        <w:numPr>
          <w:ilvl w:val="0"/>
          <w:numId w:val="32"/>
        </w:numPr>
        <w:spacing w:after="120" w:line="240" w:lineRule="auto"/>
        <w:ind w:left="1080" w:right="1440"/>
      </w:pPr>
      <w:r w:rsidRPr="0041190E">
        <w:lastRenderedPageBreak/>
        <w:t xml:space="preserve">Any applicable analysis of the proposed </w:t>
      </w:r>
      <w:proofErr w:type="gramStart"/>
      <w:r w:rsidRPr="0041190E">
        <w:t>construction’s</w:t>
      </w:r>
      <w:proofErr w:type="gramEnd"/>
      <w:r w:rsidRPr="0041190E">
        <w:t xml:space="preserve"> alignment with the Commission's Environmental and Social Justice Action (ESJ) Plan 2.0.</w:t>
      </w:r>
      <w:r w:rsidRPr="0041190E">
        <w:rPr>
          <w:rStyle w:val="FootnoteReference"/>
        </w:rPr>
        <w:footnoteReference w:id="6"/>
      </w:r>
      <w:r w:rsidRPr="0041190E">
        <w:t xml:space="preserve"> </w:t>
      </w:r>
    </w:p>
    <w:p w:rsidRPr="0041190E" w:rsidR="009423E6" w:rsidP="0071556A" w:rsidRDefault="004E05E5" w14:paraId="3B29950F" w14:textId="2588CE9C">
      <w:pPr>
        <w:pStyle w:val="Standard"/>
        <w:ind w:firstLine="0"/>
      </w:pPr>
      <w:r w:rsidRPr="0041190E">
        <w:t>Applicant Encinitas provided the requested supplemental information on May 28, 2025.</w:t>
      </w:r>
      <w:r w:rsidRPr="0041190E">
        <w:rPr>
          <w:rStyle w:val="FootnoteReference"/>
        </w:rPr>
        <w:footnoteReference w:id="7"/>
      </w:r>
      <w:r w:rsidRPr="0041190E" w:rsidR="0071556A">
        <w:t xml:space="preserve">  </w:t>
      </w:r>
      <w:r w:rsidRPr="0041190E" w:rsidR="00E1150A">
        <w:rPr>
          <w:i/>
          <w:iCs/>
        </w:rPr>
        <w:t>Assigned Commissioner</w:t>
      </w:r>
      <w:r w:rsidRPr="0041190E" w:rsidR="00BF26D3">
        <w:rPr>
          <w:i/>
          <w:iCs/>
        </w:rPr>
        <w:t>’</w:t>
      </w:r>
      <w:r w:rsidRPr="0041190E" w:rsidR="00E1150A">
        <w:rPr>
          <w:i/>
          <w:iCs/>
        </w:rPr>
        <w:t>s Scoping Memo</w:t>
      </w:r>
      <w:r w:rsidRPr="0041190E" w:rsidR="00B67637">
        <w:rPr>
          <w:i/>
          <w:iCs/>
        </w:rPr>
        <w:t> </w:t>
      </w:r>
      <w:r w:rsidRPr="0041190E" w:rsidR="009423E6">
        <w:rPr>
          <w:i/>
          <w:iCs/>
        </w:rPr>
        <w:t>and</w:t>
      </w:r>
      <w:r w:rsidRPr="0041190E" w:rsidR="004A5F93">
        <w:rPr>
          <w:i/>
          <w:iCs/>
        </w:rPr>
        <w:t xml:space="preserve"> </w:t>
      </w:r>
      <w:r w:rsidRPr="0041190E" w:rsidR="00E1150A">
        <w:rPr>
          <w:i/>
          <w:iCs/>
        </w:rPr>
        <w:t>Ruling</w:t>
      </w:r>
      <w:r w:rsidRPr="0041190E" w:rsidR="00E1150A">
        <w:t xml:space="preserve"> (Scoping Memo) was issued on </w:t>
      </w:r>
      <w:r w:rsidRPr="0041190E">
        <w:t>August 19, 2025</w:t>
      </w:r>
      <w:r w:rsidRPr="0041190E" w:rsidR="004C74C6">
        <w:t>.</w:t>
      </w:r>
      <w:r w:rsidRPr="0041190E" w:rsidR="00F9164A">
        <w:t xml:space="preserve"> </w:t>
      </w:r>
    </w:p>
    <w:p w:rsidRPr="0041190E" w:rsidR="009423E6" w:rsidP="00283F96" w:rsidRDefault="009423E6" w14:paraId="0C13A147" w14:textId="5B78720E">
      <w:pPr>
        <w:pStyle w:val="Heading2"/>
      </w:pPr>
      <w:bookmarkStart w:name="_Toc216288556" w:id="16"/>
      <w:r w:rsidRPr="00283F96">
        <w:t>Submission</w:t>
      </w:r>
      <w:r w:rsidRPr="0041190E">
        <w:t xml:space="preserve"> Date</w:t>
      </w:r>
      <w:bookmarkEnd w:id="16"/>
    </w:p>
    <w:p w:rsidRPr="0041190E" w:rsidR="005D317C" w:rsidP="00D2333B" w:rsidRDefault="00A476ED" w14:paraId="01063F7A" w14:textId="083D4071">
      <w:pPr>
        <w:pStyle w:val="Standard"/>
      </w:pPr>
      <w:r w:rsidRPr="0041190E">
        <w:t xml:space="preserve">This matter was submitted </w:t>
      </w:r>
      <w:r w:rsidRPr="0041190E" w:rsidR="0071556A">
        <w:t xml:space="preserve">following issuance of the August 19, </w:t>
      </w:r>
      <w:proofErr w:type="gramStart"/>
      <w:r w:rsidRPr="0041190E" w:rsidR="0071556A">
        <w:t>2025</w:t>
      </w:r>
      <w:proofErr w:type="gramEnd"/>
      <w:r w:rsidRPr="0041190E" w:rsidR="0071556A">
        <w:t xml:space="preserve"> Scoping Memo. </w:t>
      </w:r>
    </w:p>
    <w:p w:rsidRPr="0041190E" w:rsidR="005D317C" w:rsidP="00283F96" w:rsidRDefault="0063491C" w14:paraId="7AB442CC" w14:textId="1E0EE8F9">
      <w:pPr>
        <w:pStyle w:val="Heading1"/>
      </w:pPr>
      <w:bookmarkStart w:name="_Toc8123718" w:id="17"/>
      <w:bookmarkStart w:name="_Toc164991195" w:id="18"/>
      <w:bookmarkStart w:name="_Toc216288557" w:id="19"/>
      <w:r w:rsidRPr="00283F96">
        <w:t>Jurisdiction</w:t>
      </w:r>
      <w:bookmarkEnd w:id="17"/>
      <w:bookmarkEnd w:id="18"/>
      <w:bookmarkEnd w:id="19"/>
    </w:p>
    <w:p w:rsidRPr="0041190E" w:rsidR="00EC5AE7" w:rsidP="0021656F" w:rsidRDefault="00EC5AE7" w14:paraId="05D82BC9" w14:textId="783592E2">
      <w:pPr>
        <w:pStyle w:val="Standard"/>
      </w:pPr>
      <w:r w:rsidRPr="0041190E">
        <w:t xml:space="preserve">The Commission has jurisdiction over </w:t>
      </w:r>
      <w:r w:rsidRPr="0041190E" w:rsidR="00E50C55">
        <w:t xml:space="preserve">railroad crossings </w:t>
      </w:r>
      <w:r w:rsidRPr="0041190E">
        <w:t>per Public Utilities (</w:t>
      </w:r>
      <w:r w:rsidRPr="0041190E" w:rsidR="00774B03">
        <w:t>Pub.</w:t>
      </w:r>
      <w:r w:rsidRPr="0041190E" w:rsidR="00B67637">
        <w:t> </w:t>
      </w:r>
      <w:r w:rsidRPr="0041190E" w:rsidR="00774B03">
        <w:t>Util.</w:t>
      </w:r>
      <w:r w:rsidRPr="0041190E">
        <w:t xml:space="preserve">) Code </w:t>
      </w:r>
      <w:r w:rsidRPr="0041190E" w:rsidR="007A740D">
        <w:t>Sections</w:t>
      </w:r>
      <w:r w:rsidRPr="0041190E" w:rsidR="00B67637">
        <w:t> </w:t>
      </w:r>
      <w:r w:rsidRPr="0041190E" w:rsidR="00053D1F">
        <w:t>1201 and 1202</w:t>
      </w:r>
      <w:r w:rsidRPr="0041190E">
        <w:t xml:space="preserve">. </w:t>
      </w:r>
      <w:r w:rsidR="006D73CD">
        <w:t xml:space="preserve"> </w:t>
      </w:r>
      <w:r w:rsidRPr="0041190E">
        <w:t xml:space="preserve">The applicable safety and regulatory requirements are found in </w:t>
      </w:r>
      <w:r w:rsidRPr="0041190E" w:rsidR="00774B03">
        <w:t>Pub.</w:t>
      </w:r>
      <w:r w:rsidRPr="0041190E" w:rsidR="00B67637">
        <w:t> </w:t>
      </w:r>
      <w:r w:rsidRPr="0041190E" w:rsidR="00774B03">
        <w:t>Util.</w:t>
      </w:r>
      <w:r w:rsidRPr="0041190E">
        <w:t xml:space="preserve"> Code </w:t>
      </w:r>
      <w:r w:rsidRPr="0041190E" w:rsidR="007A740D">
        <w:t>Sections</w:t>
      </w:r>
      <w:r w:rsidRPr="0041190E" w:rsidR="00B67637">
        <w:t> </w:t>
      </w:r>
      <w:r w:rsidRPr="0041190E">
        <w:t>1201</w:t>
      </w:r>
      <w:r w:rsidRPr="0041190E" w:rsidR="00B67637">
        <w:noBreakHyphen/>
      </w:r>
      <w:r w:rsidRPr="0041190E">
        <w:t xml:space="preserve">1205 and </w:t>
      </w:r>
      <w:r w:rsidRPr="0041190E" w:rsidR="004A235D">
        <w:t>Section </w:t>
      </w:r>
      <w:r w:rsidRPr="0041190E">
        <w:t>99152.</w:t>
      </w:r>
      <w:r w:rsidRPr="0041190E" w:rsidR="00FD3F4D">
        <w:t xml:space="preserve"> </w:t>
      </w:r>
      <w:r w:rsidR="006D73CD">
        <w:t xml:space="preserve"> </w:t>
      </w:r>
      <w:r w:rsidRPr="0041190E" w:rsidR="00FD3F4D">
        <w:t>Rules</w:t>
      </w:r>
      <w:r w:rsidRPr="0041190E" w:rsidR="00B67637">
        <w:t> </w:t>
      </w:r>
      <w:r w:rsidRPr="0041190E" w:rsidR="00FD3F4D">
        <w:t>3.7 to 3.11 of the Commission’s Rules of Practice and Procedure (Rules)</w:t>
      </w:r>
      <w:r w:rsidRPr="0041190E" w:rsidR="0078316F">
        <w:rPr>
          <w:rStyle w:val="FootnoteReference"/>
        </w:rPr>
        <w:footnoteReference w:id="8"/>
      </w:r>
      <w:r w:rsidRPr="0041190E" w:rsidR="00FD3F4D">
        <w:t xml:space="preserve"> also govern applications to construct crossings involving railroads and public roads.</w:t>
      </w:r>
    </w:p>
    <w:p w:rsidRPr="0041190E" w:rsidR="005A148C" w:rsidP="00283F96" w:rsidRDefault="005939A5" w14:paraId="659A5709" w14:textId="5B211F39">
      <w:pPr>
        <w:pStyle w:val="Heading1"/>
      </w:pPr>
      <w:bookmarkStart w:name="_Toc8123719" w:id="20"/>
      <w:bookmarkStart w:name="_Toc164991196" w:id="21"/>
      <w:bookmarkStart w:name="_Toc216288558" w:id="22"/>
      <w:r w:rsidRPr="0041190E">
        <w:t xml:space="preserve">Issues Before </w:t>
      </w:r>
      <w:r w:rsidRPr="00283F96">
        <w:t>the</w:t>
      </w:r>
      <w:r w:rsidRPr="0041190E">
        <w:t xml:space="preserve"> </w:t>
      </w:r>
      <w:bookmarkEnd w:id="20"/>
      <w:r w:rsidRPr="0041190E" w:rsidR="008A08BF">
        <w:t>Commission</w:t>
      </w:r>
      <w:bookmarkEnd w:id="21"/>
      <w:bookmarkEnd w:id="22"/>
    </w:p>
    <w:p w:rsidRPr="0041190E" w:rsidR="00EC5AE7" w:rsidP="00B57B41" w:rsidRDefault="00EC5AE7" w14:paraId="23A22B11" w14:textId="77777777">
      <w:pPr>
        <w:pStyle w:val="Standard"/>
      </w:pPr>
      <w:r w:rsidRPr="0041190E">
        <w:t>The issues to be determined or otherwise considered are:</w:t>
      </w:r>
    </w:p>
    <w:p w:rsidRPr="0041190E" w:rsidR="00E50C55" w:rsidP="00E50C55" w:rsidRDefault="005818EE" w14:paraId="513CCC82" w14:textId="76366B63">
      <w:pPr>
        <w:pStyle w:val="ListNum"/>
        <w:numPr>
          <w:ilvl w:val="6"/>
          <w:numId w:val="1"/>
        </w:numPr>
        <w:tabs>
          <w:tab w:val="clear" w:pos="1080"/>
        </w:tabs>
        <w:ind w:right="1440"/>
      </w:pPr>
      <w:r w:rsidRPr="0041190E">
        <w:t xml:space="preserve">Does the Application meet </w:t>
      </w:r>
      <w:proofErr w:type="gramStart"/>
      <w:r w:rsidRPr="0041190E">
        <w:t>all of</w:t>
      </w:r>
      <w:proofErr w:type="gramEnd"/>
      <w:r w:rsidRPr="0041190E">
        <w:t xml:space="preserve"> the Commission’s requirements, including Rule 3.7, to grant the City of Encinitas authority to construct two (2) at-grade pedestrian</w:t>
      </w:r>
      <w:r w:rsidR="006D73CD">
        <w:t xml:space="preserve"> </w:t>
      </w:r>
      <w:r w:rsidRPr="0041190E">
        <w:t xml:space="preserve">rail crossings across North County Transit District (NCTD) </w:t>
      </w:r>
      <w:r w:rsidRPr="0041190E">
        <w:lastRenderedPageBreak/>
        <w:t>San Diego Subdivision tracks in the City of Encinitas, County of San Diego, California at:</w:t>
      </w:r>
    </w:p>
    <w:p w:rsidRPr="0041190E" w:rsidR="005818EE" w:rsidP="005818EE" w:rsidRDefault="005818EE" w14:paraId="46FA74C0" w14:textId="66FB035C">
      <w:pPr>
        <w:pStyle w:val="ListAlpha"/>
        <w:numPr>
          <w:ilvl w:val="7"/>
          <w:numId w:val="1"/>
        </w:numPr>
        <w:ind w:left="1440" w:right="1440"/>
      </w:pPr>
      <w:r w:rsidRPr="0041190E">
        <w:t>Grandview Street: One new at-grade pedestrian</w:t>
      </w:r>
      <w:r w:rsidR="006D73CD">
        <w:t xml:space="preserve"> </w:t>
      </w:r>
      <w:r w:rsidRPr="0041190E">
        <w:t xml:space="preserve">rail crossing at Grandview Street on the </w:t>
      </w:r>
      <w:r w:rsidRPr="0041190E" w:rsidR="006D73CD">
        <w:t>N</w:t>
      </w:r>
      <w:r w:rsidR="006D73CD">
        <w:t>C</w:t>
      </w:r>
      <w:r w:rsidRPr="0041190E" w:rsidR="006D73CD">
        <w:t>T</w:t>
      </w:r>
      <w:r w:rsidR="006D73CD">
        <w:t>D</w:t>
      </w:r>
      <w:r w:rsidRPr="0041190E" w:rsidR="006D73CD">
        <w:t xml:space="preserve"> </w:t>
      </w:r>
      <w:r w:rsidRPr="0041190E">
        <w:t>San Diego Subdivision, Milepost 235.66; and</w:t>
      </w:r>
    </w:p>
    <w:p w:rsidRPr="0041190E" w:rsidR="005818EE" w:rsidP="005818EE" w:rsidRDefault="005818EE" w14:paraId="67BB2F8E" w14:textId="524DC1FC">
      <w:pPr>
        <w:pStyle w:val="ListAlpha"/>
        <w:numPr>
          <w:ilvl w:val="7"/>
          <w:numId w:val="1"/>
        </w:numPr>
        <w:ind w:left="1440" w:right="1440"/>
      </w:pPr>
      <w:r w:rsidRPr="0041190E">
        <w:t>Phoebe Street: One new at</w:t>
      </w:r>
      <w:r w:rsidR="006D73CD">
        <w:t>-</w:t>
      </w:r>
      <w:r w:rsidRPr="0041190E">
        <w:t xml:space="preserve">grade </w:t>
      </w:r>
      <w:r w:rsidRPr="0041190E" w:rsidR="006D73CD">
        <w:t>highway</w:t>
      </w:r>
      <w:r w:rsidR="006D73CD">
        <w:t xml:space="preserve"> </w:t>
      </w:r>
      <w:r w:rsidRPr="0041190E">
        <w:t>rail crossing at Phoebe Street on NCTD San Diego Subdivision, Milepost 236.12?</w:t>
      </w:r>
    </w:p>
    <w:p w:rsidRPr="0041190E" w:rsidR="00E50C55" w:rsidP="00E50C55" w:rsidRDefault="00E50C55" w14:paraId="247E8380" w14:textId="58BD31CD">
      <w:pPr>
        <w:pStyle w:val="ListNum"/>
        <w:numPr>
          <w:ilvl w:val="6"/>
          <w:numId w:val="1"/>
        </w:numPr>
        <w:tabs>
          <w:tab w:val="clear" w:pos="1080"/>
        </w:tabs>
        <w:ind w:right="1440"/>
      </w:pPr>
      <w:r w:rsidRPr="0041190E">
        <w:t>Has the Applicant complied with the California Environmental Quality Act</w:t>
      </w:r>
      <w:r w:rsidR="006D73CD">
        <w:t xml:space="preserve"> (CEQA)</w:t>
      </w:r>
      <w:r w:rsidRPr="0041190E" w:rsidR="005818EE">
        <w:t>?</w:t>
      </w:r>
    </w:p>
    <w:p w:rsidRPr="0041190E" w:rsidR="00E50C55" w:rsidP="009C2971" w:rsidRDefault="00E50C55" w14:paraId="24878B09" w14:textId="0C17BA51">
      <w:pPr>
        <w:pStyle w:val="ListNum"/>
        <w:numPr>
          <w:ilvl w:val="6"/>
          <w:numId w:val="1"/>
        </w:numPr>
        <w:tabs>
          <w:tab w:val="clear" w:pos="1080"/>
        </w:tabs>
        <w:ind w:right="1440"/>
      </w:pPr>
      <w:r>
        <w:t xml:space="preserve">Should the Commission grant the authority requested in </w:t>
      </w:r>
      <w:bookmarkStart w:name="_Hlk168498759" w:id="23"/>
      <w:r>
        <w:t>A.</w:t>
      </w:r>
      <w:r w:rsidR="005818EE">
        <w:t>25</w:t>
      </w:r>
      <w:r>
        <w:t>-</w:t>
      </w:r>
      <w:bookmarkEnd w:id="23"/>
      <w:r w:rsidR="005818EE">
        <w:t>03</w:t>
      </w:r>
      <w:r>
        <w:t>-</w:t>
      </w:r>
      <w:r w:rsidR="005818EE">
        <w:t>014?</w:t>
      </w:r>
    </w:p>
    <w:p w:rsidRPr="0041190E" w:rsidR="005818EE" w:rsidP="005818EE" w:rsidRDefault="005818EE" w14:paraId="573D3A86" w14:textId="77777777">
      <w:pPr>
        <w:pStyle w:val="ListNum"/>
        <w:numPr>
          <w:ilvl w:val="6"/>
          <w:numId w:val="1"/>
        </w:numPr>
        <w:tabs>
          <w:tab w:val="clear" w:pos="1080"/>
        </w:tabs>
        <w:ind w:right="1440"/>
      </w:pPr>
      <w:r w:rsidRPr="0041190E">
        <w:t>Should the Commission grant the Applicant a period of five (5) years from the Application approval date to complete the proposed project?</w:t>
      </w:r>
    </w:p>
    <w:p w:rsidRPr="0041190E" w:rsidR="00F77280" w:rsidP="005818EE" w:rsidRDefault="005818EE" w14:paraId="089002D2" w14:textId="62FB0C6E">
      <w:pPr>
        <w:pStyle w:val="ListNum"/>
        <w:numPr>
          <w:ilvl w:val="6"/>
          <w:numId w:val="1"/>
        </w:numPr>
        <w:ind w:right="1440"/>
      </w:pPr>
      <w:r w:rsidRPr="0041190E">
        <w:t>Does the Application align with or promote the achievement of the nine goals of the Commission's Environmental and Social Justice Action Plan?</w:t>
      </w:r>
    </w:p>
    <w:p w:rsidRPr="0041190E" w:rsidR="0073353F" w:rsidP="00283F96" w:rsidRDefault="005939A5" w14:paraId="09B528D7" w14:textId="54E563BE">
      <w:pPr>
        <w:pStyle w:val="Heading1"/>
      </w:pPr>
      <w:bookmarkStart w:name="_Toc8123720" w:id="24"/>
      <w:bookmarkStart w:name="_Toc164991197" w:id="25"/>
      <w:bookmarkStart w:name="_Toc216288559" w:id="26"/>
      <w:r w:rsidRPr="00283F96">
        <w:t>Discussion</w:t>
      </w:r>
      <w:bookmarkEnd w:id="24"/>
      <w:bookmarkEnd w:id="25"/>
      <w:bookmarkEnd w:id="26"/>
    </w:p>
    <w:p w:rsidRPr="0041190E" w:rsidR="0021656F" w:rsidP="00283F96" w:rsidRDefault="0021656F" w14:paraId="32B18594" w14:textId="7B7B9EDC">
      <w:pPr>
        <w:pStyle w:val="Heading2"/>
      </w:pPr>
      <w:bookmarkStart w:name="_Toc164991198" w:id="27"/>
      <w:bookmarkStart w:name="_Toc216288560" w:id="28"/>
      <w:r w:rsidRPr="0041190E">
        <w:t xml:space="preserve">Filing, Safety and </w:t>
      </w:r>
      <w:r w:rsidRPr="00283F96">
        <w:t>Engineering</w:t>
      </w:r>
      <w:r w:rsidRPr="0041190E">
        <w:t xml:space="preserve"> Requirements</w:t>
      </w:r>
      <w:bookmarkEnd w:id="27"/>
      <w:bookmarkEnd w:id="28"/>
    </w:p>
    <w:p w:rsidRPr="0041190E" w:rsidR="006D6750" w:rsidP="00B57B41" w:rsidRDefault="00EC7A26" w14:paraId="3323EB63" w14:textId="055359C5">
      <w:pPr>
        <w:pStyle w:val="Standard"/>
        <w:spacing w:after="120"/>
      </w:pPr>
      <w:r w:rsidRPr="0041190E">
        <w:t xml:space="preserve">In </w:t>
      </w:r>
      <w:r w:rsidRPr="0041190E" w:rsidR="00855FBE">
        <w:t>A.</w:t>
      </w:r>
      <w:r w:rsidRPr="0041190E" w:rsidR="009E0423">
        <w:t>25-03-014</w:t>
      </w:r>
      <w:r w:rsidRPr="0041190E" w:rsidR="00855FBE">
        <w:t xml:space="preserve">, </w:t>
      </w:r>
      <w:r w:rsidRPr="0041190E" w:rsidR="009E0423">
        <w:t>Encinitas</w:t>
      </w:r>
      <w:r w:rsidRPr="0041190E" w:rsidR="006D6750">
        <w:t xml:space="preserve"> requests</w:t>
      </w:r>
      <w:r w:rsidRPr="0041190E" w:rsidR="00620EAE">
        <w:t xml:space="preserve"> </w:t>
      </w:r>
      <w:r w:rsidRPr="0041190E" w:rsidR="006D6750">
        <w:t>authority</w:t>
      </w:r>
      <w:r w:rsidRPr="0041190E" w:rsidR="00620EAE">
        <w:t xml:space="preserve"> from the Commission</w:t>
      </w:r>
      <w:r w:rsidRPr="0041190E" w:rsidR="006D6750">
        <w:t xml:space="preserve"> to</w:t>
      </w:r>
      <w:r w:rsidRPr="0041190E" w:rsidR="00113795">
        <w:t xml:space="preserve"> construct two at-grade pedestrian rail crossings across NCTD San Diego Subdivision rail tracks at Grandview Street at Milepost 235.66 and Phoebe Street at Milepost 236.12 in the Leucadia neighborhood of the City of Encinitas, California</w:t>
      </w:r>
      <w:r w:rsidRPr="0041190E" w:rsidR="00F8304C">
        <w:t>,</w:t>
      </w:r>
      <w:r w:rsidRPr="0041190E">
        <w:t xml:space="preserve"> as identified below</w:t>
      </w:r>
      <w:r w:rsidRPr="0041190E" w:rsidR="00855FBE">
        <w:t>:</w:t>
      </w:r>
    </w:p>
    <w:tbl>
      <w:tblPr>
        <w:tblStyle w:val="TableGrid"/>
        <w:tblW w:w="4281" w:type="pct"/>
        <w:jc w:val="center"/>
        <w:tblCellMar>
          <w:top w:w="58" w:type="dxa"/>
          <w:bottom w:w="58" w:type="dxa"/>
        </w:tblCellMar>
        <w:tblLook w:val="04A0" w:firstRow="1" w:lastRow="0" w:firstColumn="1" w:lastColumn="0" w:noHBand="0" w:noVBand="1"/>
      </w:tblPr>
      <w:tblGrid>
        <w:gridCol w:w="1321"/>
        <w:gridCol w:w="1515"/>
        <w:gridCol w:w="1252"/>
        <w:gridCol w:w="1193"/>
        <w:gridCol w:w="1249"/>
        <w:gridCol w:w="1475"/>
      </w:tblGrid>
      <w:tr w:rsidRPr="0041190E" w:rsidR="00113795" w:rsidTr="00113795" w14:paraId="3E1F8A5E" w14:textId="77777777">
        <w:trPr>
          <w:tblHeader/>
          <w:jc w:val="center"/>
        </w:trPr>
        <w:tc>
          <w:tcPr>
            <w:tcW w:w="1321" w:type="dxa"/>
            <w:shd w:val="clear" w:color="auto" w:fill="E7E6E6" w:themeFill="background2"/>
          </w:tcPr>
          <w:p w:rsidRPr="0041190E" w:rsidR="00113795" w:rsidP="00D57ED1" w:rsidRDefault="00113795" w14:paraId="356DD5D8"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 xml:space="preserve">Crossing </w:t>
            </w:r>
            <w:r w:rsidRPr="0041190E">
              <w:rPr>
                <w:rFonts w:ascii="Arial" w:hAnsi="Arial" w:cs="Arial"/>
                <w:b/>
                <w:bCs/>
                <w:sz w:val="20"/>
                <w:szCs w:val="20"/>
              </w:rPr>
              <w:br/>
              <w:t>Name</w:t>
            </w:r>
          </w:p>
        </w:tc>
        <w:tc>
          <w:tcPr>
            <w:tcW w:w="1515" w:type="dxa"/>
            <w:shd w:val="clear" w:color="auto" w:fill="E7E6E6" w:themeFill="background2"/>
          </w:tcPr>
          <w:p w:rsidRPr="0041190E" w:rsidR="00113795" w:rsidP="00D57ED1" w:rsidRDefault="00113795" w14:paraId="51B19051"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City</w:t>
            </w:r>
          </w:p>
        </w:tc>
        <w:tc>
          <w:tcPr>
            <w:tcW w:w="1252" w:type="dxa"/>
            <w:shd w:val="clear" w:color="auto" w:fill="E7E6E6" w:themeFill="background2"/>
          </w:tcPr>
          <w:p w:rsidRPr="0041190E" w:rsidR="00113795" w:rsidP="00D57ED1" w:rsidRDefault="00113795" w14:paraId="23FA4CE4"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County</w:t>
            </w:r>
          </w:p>
        </w:tc>
        <w:tc>
          <w:tcPr>
            <w:tcW w:w="1193" w:type="dxa"/>
            <w:shd w:val="clear" w:color="auto" w:fill="E7E6E6" w:themeFill="background2"/>
          </w:tcPr>
          <w:p w:rsidRPr="0041190E" w:rsidR="00113795" w:rsidP="00D57ED1" w:rsidRDefault="00113795" w14:paraId="54649C05"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North County Transit District Milepost</w:t>
            </w:r>
          </w:p>
        </w:tc>
        <w:tc>
          <w:tcPr>
            <w:tcW w:w="1249" w:type="dxa"/>
            <w:shd w:val="clear" w:color="auto" w:fill="E7E6E6" w:themeFill="background2"/>
          </w:tcPr>
          <w:p w:rsidRPr="0041190E" w:rsidR="00113795" w:rsidP="00D57ED1" w:rsidRDefault="00113795" w14:paraId="32C259D0"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Grade</w:t>
            </w:r>
          </w:p>
        </w:tc>
        <w:tc>
          <w:tcPr>
            <w:tcW w:w="1475" w:type="dxa"/>
            <w:shd w:val="clear" w:color="auto" w:fill="E7E6E6" w:themeFill="background2"/>
          </w:tcPr>
          <w:p w:rsidRPr="0041190E" w:rsidR="00113795" w:rsidP="00D57ED1" w:rsidRDefault="00113795" w14:paraId="64FC4CEA" w14:textId="77777777">
            <w:pPr>
              <w:keepNext/>
              <w:spacing w:line="240" w:lineRule="auto"/>
              <w:ind w:firstLine="0"/>
              <w:rPr>
                <w:rFonts w:ascii="Arial" w:hAnsi="Arial" w:cs="Arial"/>
                <w:b/>
                <w:bCs/>
                <w:sz w:val="20"/>
                <w:szCs w:val="20"/>
              </w:rPr>
            </w:pPr>
            <w:r w:rsidRPr="0041190E">
              <w:rPr>
                <w:rFonts w:ascii="Arial" w:hAnsi="Arial" w:cs="Arial"/>
                <w:b/>
                <w:bCs/>
                <w:sz w:val="20"/>
                <w:szCs w:val="20"/>
              </w:rPr>
              <w:t>CPUC Nos.</w:t>
            </w:r>
          </w:p>
        </w:tc>
      </w:tr>
      <w:tr w:rsidRPr="0041190E" w:rsidR="00113795" w:rsidTr="00113795" w14:paraId="25D043CC" w14:textId="77777777">
        <w:trPr>
          <w:jc w:val="center"/>
        </w:trPr>
        <w:tc>
          <w:tcPr>
            <w:tcW w:w="1321" w:type="dxa"/>
          </w:tcPr>
          <w:p w:rsidRPr="0041190E" w:rsidR="00113795" w:rsidP="00D57ED1" w:rsidRDefault="00113795" w14:paraId="5B0C1E6D" w14:textId="77777777">
            <w:pPr>
              <w:spacing w:line="240" w:lineRule="auto"/>
              <w:ind w:firstLine="0"/>
              <w:rPr>
                <w:rFonts w:ascii="Arial" w:hAnsi="Arial" w:cs="Arial"/>
                <w:sz w:val="20"/>
                <w:szCs w:val="20"/>
              </w:rPr>
            </w:pPr>
            <w:r w:rsidRPr="0041190E">
              <w:rPr>
                <w:rFonts w:ascii="Arial" w:hAnsi="Arial" w:cs="Arial"/>
                <w:sz w:val="20"/>
                <w:szCs w:val="20"/>
              </w:rPr>
              <w:t xml:space="preserve">Grandview Street </w:t>
            </w:r>
          </w:p>
        </w:tc>
        <w:tc>
          <w:tcPr>
            <w:tcW w:w="1515" w:type="dxa"/>
          </w:tcPr>
          <w:p w:rsidRPr="0041190E" w:rsidR="00113795" w:rsidP="00D57ED1" w:rsidRDefault="00113795" w14:paraId="7AF8131C"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 xml:space="preserve">City of Encinitas, </w:t>
            </w:r>
            <w:r w:rsidRPr="0041190E">
              <w:rPr>
                <w:rFonts w:ascii="Arial" w:hAnsi="Arial" w:cs="Arial"/>
                <w:b/>
                <w:bCs/>
                <w:sz w:val="20"/>
                <w:szCs w:val="20"/>
              </w:rPr>
              <w:br/>
              <w:t>California</w:t>
            </w:r>
          </w:p>
        </w:tc>
        <w:tc>
          <w:tcPr>
            <w:tcW w:w="1252" w:type="dxa"/>
          </w:tcPr>
          <w:p w:rsidRPr="0041190E" w:rsidR="00113795" w:rsidP="00D57ED1" w:rsidRDefault="00113795" w14:paraId="1A021F5F" w14:textId="77777777">
            <w:pPr>
              <w:spacing w:line="240" w:lineRule="auto"/>
              <w:ind w:firstLine="0"/>
              <w:jc w:val="center"/>
              <w:rPr>
                <w:rFonts w:ascii="Arial" w:hAnsi="Arial" w:cs="Arial"/>
                <w:sz w:val="20"/>
                <w:szCs w:val="20"/>
              </w:rPr>
            </w:pPr>
            <w:r w:rsidRPr="0041190E">
              <w:rPr>
                <w:rFonts w:ascii="Arial" w:hAnsi="Arial" w:cs="Arial"/>
                <w:sz w:val="20"/>
                <w:szCs w:val="20"/>
              </w:rPr>
              <w:t>San Diego</w:t>
            </w:r>
          </w:p>
        </w:tc>
        <w:tc>
          <w:tcPr>
            <w:tcW w:w="1193" w:type="dxa"/>
          </w:tcPr>
          <w:p w:rsidRPr="0041190E" w:rsidR="00113795" w:rsidP="00D57ED1" w:rsidRDefault="00113795" w14:paraId="5E7A3F46" w14:textId="77777777">
            <w:pPr>
              <w:spacing w:line="240" w:lineRule="auto"/>
              <w:ind w:firstLine="0"/>
              <w:jc w:val="center"/>
              <w:rPr>
                <w:rFonts w:ascii="Arial" w:hAnsi="Arial" w:cs="Arial"/>
                <w:sz w:val="20"/>
                <w:szCs w:val="20"/>
              </w:rPr>
            </w:pPr>
            <w:r w:rsidRPr="0041190E">
              <w:rPr>
                <w:rFonts w:ascii="Arial" w:hAnsi="Arial" w:cs="Arial"/>
                <w:sz w:val="20"/>
                <w:szCs w:val="20"/>
              </w:rPr>
              <w:t>235.66</w:t>
            </w:r>
          </w:p>
        </w:tc>
        <w:tc>
          <w:tcPr>
            <w:tcW w:w="1249" w:type="dxa"/>
          </w:tcPr>
          <w:p w:rsidRPr="0041190E" w:rsidR="00113795" w:rsidP="00D57ED1" w:rsidRDefault="00113795" w14:paraId="12DA5060" w14:textId="69A791B6">
            <w:pPr>
              <w:spacing w:line="240" w:lineRule="auto"/>
              <w:ind w:firstLine="0"/>
              <w:jc w:val="center"/>
              <w:rPr>
                <w:rFonts w:ascii="Arial" w:hAnsi="Arial" w:cs="Arial"/>
                <w:sz w:val="20"/>
                <w:szCs w:val="20"/>
              </w:rPr>
            </w:pPr>
            <w:r w:rsidRPr="0041190E">
              <w:rPr>
                <w:rFonts w:ascii="Arial" w:hAnsi="Arial" w:cs="Arial"/>
                <w:sz w:val="20"/>
                <w:szCs w:val="20"/>
              </w:rPr>
              <w:t>At-grade Pedestrian</w:t>
            </w:r>
            <w:r w:rsidR="006D73CD">
              <w:rPr>
                <w:rFonts w:ascii="Arial" w:hAnsi="Arial" w:cs="Arial"/>
                <w:sz w:val="20"/>
                <w:szCs w:val="20"/>
              </w:rPr>
              <w:t>-</w:t>
            </w:r>
            <w:r w:rsidRPr="0041190E">
              <w:rPr>
                <w:rFonts w:ascii="Arial" w:hAnsi="Arial" w:cs="Arial"/>
                <w:sz w:val="20"/>
                <w:szCs w:val="20"/>
              </w:rPr>
              <w:t>Rail Crossing</w:t>
            </w:r>
          </w:p>
        </w:tc>
        <w:tc>
          <w:tcPr>
            <w:tcW w:w="1475" w:type="dxa"/>
          </w:tcPr>
          <w:p w:rsidRPr="0041190E" w:rsidR="00113795" w:rsidP="00D57ED1" w:rsidRDefault="00113795" w14:paraId="5C4A3496" w14:textId="77777777">
            <w:pPr>
              <w:spacing w:line="240" w:lineRule="auto"/>
              <w:ind w:firstLine="0"/>
              <w:jc w:val="center"/>
              <w:rPr>
                <w:rFonts w:ascii="Arial" w:hAnsi="Arial" w:cs="Arial"/>
                <w:sz w:val="20"/>
                <w:szCs w:val="20"/>
              </w:rPr>
            </w:pPr>
            <w:r w:rsidRPr="0041190E">
              <w:rPr>
                <w:rFonts w:ascii="Arial" w:hAnsi="Arial" w:cs="Arial"/>
                <w:sz w:val="20"/>
                <w:szCs w:val="20"/>
              </w:rPr>
              <w:t>106-235.66-D</w:t>
            </w:r>
          </w:p>
        </w:tc>
      </w:tr>
      <w:tr w:rsidRPr="0041190E" w:rsidR="00113795" w:rsidTr="00113795" w14:paraId="594560C3" w14:textId="77777777">
        <w:trPr>
          <w:jc w:val="center"/>
        </w:trPr>
        <w:tc>
          <w:tcPr>
            <w:tcW w:w="1321" w:type="dxa"/>
          </w:tcPr>
          <w:p w:rsidRPr="0041190E" w:rsidR="00113795" w:rsidP="00D57ED1" w:rsidRDefault="00113795" w14:paraId="41C5B2C4" w14:textId="77777777">
            <w:pPr>
              <w:spacing w:line="240" w:lineRule="auto"/>
              <w:ind w:firstLine="0"/>
              <w:rPr>
                <w:rFonts w:ascii="Arial" w:hAnsi="Arial" w:cs="Arial"/>
                <w:sz w:val="20"/>
                <w:szCs w:val="20"/>
              </w:rPr>
            </w:pPr>
            <w:r w:rsidRPr="0041190E">
              <w:rPr>
                <w:rFonts w:ascii="Arial" w:hAnsi="Arial" w:cs="Arial"/>
                <w:sz w:val="20"/>
                <w:szCs w:val="20"/>
              </w:rPr>
              <w:lastRenderedPageBreak/>
              <w:t xml:space="preserve">Phoebe Street </w:t>
            </w:r>
          </w:p>
        </w:tc>
        <w:tc>
          <w:tcPr>
            <w:tcW w:w="1515" w:type="dxa"/>
          </w:tcPr>
          <w:p w:rsidRPr="0041190E" w:rsidR="00113795" w:rsidP="00D57ED1" w:rsidRDefault="00113795" w14:paraId="5867D1E2" w14:textId="77777777">
            <w:pPr>
              <w:keepNext/>
              <w:spacing w:line="240" w:lineRule="auto"/>
              <w:ind w:firstLine="0"/>
              <w:jc w:val="center"/>
              <w:rPr>
                <w:rFonts w:ascii="Arial" w:hAnsi="Arial" w:cs="Arial"/>
                <w:b/>
                <w:bCs/>
                <w:sz w:val="20"/>
                <w:szCs w:val="20"/>
              </w:rPr>
            </w:pPr>
            <w:r w:rsidRPr="0041190E">
              <w:rPr>
                <w:rFonts w:ascii="Arial" w:hAnsi="Arial" w:cs="Arial"/>
                <w:b/>
                <w:bCs/>
                <w:sz w:val="20"/>
                <w:szCs w:val="20"/>
              </w:rPr>
              <w:t xml:space="preserve">City of Encinitas, </w:t>
            </w:r>
            <w:r w:rsidRPr="0041190E">
              <w:rPr>
                <w:rFonts w:ascii="Arial" w:hAnsi="Arial" w:cs="Arial"/>
                <w:b/>
                <w:bCs/>
                <w:sz w:val="20"/>
                <w:szCs w:val="20"/>
              </w:rPr>
              <w:br/>
              <w:t>California</w:t>
            </w:r>
          </w:p>
        </w:tc>
        <w:tc>
          <w:tcPr>
            <w:tcW w:w="1252" w:type="dxa"/>
          </w:tcPr>
          <w:p w:rsidRPr="0041190E" w:rsidR="00113795" w:rsidP="00D57ED1" w:rsidRDefault="00113795" w14:paraId="21EBAC49" w14:textId="77777777">
            <w:pPr>
              <w:spacing w:line="240" w:lineRule="auto"/>
              <w:ind w:firstLine="0"/>
              <w:jc w:val="center"/>
              <w:rPr>
                <w:rFonts w:ascii="Arial" w:hAnsi="Arial" w:cs="Arial"/>
                <w:sz w:val="20"/>
                <w:szCs w:val="20"/>
              </w:rPr>
            </w:pPr>
            <w:r w:rsidRPr="0041190E">
              <w:rPr>
                <w:rFonts w:ascii="Arial" w:hAnsi="Arial" w:cs="Arial"/>
                <w:sz w:val="20"/>
                <w:szCs w:val="20"/>
              </w:rPr>
              <w:t>San Diego</w:t>
            </w:r>
          </w:p>
        </w:tc>
        <w:tc>
          <w:tcPr>
            <w:tcW w:w="1193" w:type="dxa"/>
          </w:tcPr>
          <w:p w:rsidRPr="0041190E" w:rsidR="00113795" w:rsidP="00D57ED1" w:rsidRDefault="00113795" w14:paraId="693D368C" w14:textId="77777777">
            <w:pPr>
              <w:spacing w:line="240" w:lineRule="auto"/>
              <w:ind w:firstLine="0"/>
              <w:jc w:val="center"/>
              <w:rPr>
                <w:rFonts w:ascii="Arial" w:hAnsi="Arial" w:cs="Arial"/>
                <w:sz w:val="20"/>
                <w:szCs w:val="20"/>
              </w:rPr>
            </w:pPr>
            <w:r w:rsidRPr="0041190E">
              <w:rPr>
                <w:rFonts w:ascii="Arial" w:hAnsi="Arial" w:cs="Arial"/>
                <w:sz w:val="20"/>
                <w:szCs w:val="20"/>
              </w:rPr>
              <w:t>236.12</w:t>
            </w:r>
          </w:p>
        </w:tc>
        <w:tc>
          <w:tcPr>
            <w:tcW w:w="1249" w:type="dxa"/>
          </w:tcPr>
          <w:p w:rsidRPr="0041190E" w:rsidR="00113795" w:rsidP="00D57ED1" w:rsidRDefault="00113795" w14:paraId="6C628461" w14:textId="5C8DE754">
            <w:pPr>
              <w:spacing w:line="240" w:lineRule="auto"/>
              <w:ind w:firstLine="0"/>
              <w:jc w:val="center"/>
              <w:rPr>
                <w:rFonts w:ascii="Arial" w:hAnsi="Arial" w:cs="Arial"/>
                <w:sz w:val="20"/>
                <w:szCs w:val="20"/>
              </w:rPr>
            </w:pPr>
            <w:r w:rsidRPr="0041190E">
              <w:rPr>
                <w:rFonts w:ascii="Arial" w:hAnsi="Arial" w:cs="Arial"/>
                <w:sz w:val="20"/>
                <w:szCs w:val="20"/>
              </w:rPr>
              <w:t>At-grade Pedestrian</w:t>
            </w:r>
            <w:r w:rsidR="006D73CD">
              <w:rPr>
                <w:rFonts w:ascii="Arial" w:hAnsi="Arial" w:cs="Arial"/>
                <w:sz w:val="20"/>
                <w:szCs w:val="20"/>
              </w:rPr>
              <w:t>-</w:t>
            </w:r>
            <w:r w:rsidRPr="0041190E">
              <w:rPr>
                <w:rFonts w:ascii="Arial" w:hAnsi="Arial" w:cs="Arial"/>
                <w:sz w:val="20"/>
                <w:szCs w:val="20"/>
              </w:rPr>
              <w:t>Rail Crossing</w:t>
            </w:r>
          </w:p>
        </w:tc>
        <w:tc>
          <w:tcPr>
            <w:tcW w:w="1475" w:type="dxa"/>
          </w:tcPr>
          <w:p w:rsidRPr="0041190E" w:rsidR="00113795" w:rsidP="00D57ED1" w:rsidRDefault="00113795" w14:paraId="1A7D702E" w14:textId="77777777">
            <w:pPr>
              <w:spacing w:line="240" w:lineRule="auto"/>
              <w:ind w:firstLine="0"/>
              <w:jc w:val="center"/>
              <w:rPr>
                <w:rFonts w:ascii="Arial" w:hAnsi="Arial" w:cs="Arial"/>
                <w:sz w:val="20"/>
                <w:szCs w:val="20"/>
              </w:rPr>
            </w:pPr>
            <w:r w:rsidRPr="0041190E">
              <w:rPr>
                <w:rFonts w:ascii="Arial" w:hAnsi="Arial" w:cs="Arial"/>
                <w:sz w:val="20"/>
                <w:szCs w:val="20"/>
              </w:rPr>
              <w:t>106-236.12-D</w:t>
            </w:r>
          </w:p>
        </w:tc>
      </w:tr>
    </w:tbl>
    <w:p w:rsidRPr="0041190E" w:rsidR="00903E9F" w:rsidP="00B57B41" w:rsidRDefault="00903E9F" w14:paraId="658BCB17" w14:textId="60F16E72">
      <w:pPr>
        <w:pStyle w:val="Standard"/>
        <w:spacing w:before="240"/>
      </w:pPr>
      <w:bookmarkStart w:name="_Hlk161158732" w:id="29"/>
      <w:r w:rsidRPr="0041190E">
        <w:t>As discussed, the Proposed Crossin</w:t>
      </w:r>
      <w:r w:rsidRPr="0041190E" w:rsidR="00C045D6">
        <w:t>g</w:t>
      </w:r>
      <w:r w:rsidRPr="0041190E" w:rsidR="00113795">
        <w:t>s</w:t>
      </w:r>
      <w:r w:rsidRPr="0041190E" w:rsidR="00C045D6">
        <w:t xml:space="preserve"> </w:t>
      </w:r>
      <w:r w:rsidRPr="0041190E">
        <w:t>a</w:t>
      </w:r>
      <w:r w:rsidRPr="0041190E" w:rsidR="00113795">
        <w:t>re</w:t>
      </w:r>
      <w:r w:rsidRPr="0041190E">
        <w:t xml:space="preserve"> part of Applicant’s</w:t>
      </w:r>
      <w:r w:rsidRPr="0041190E" w:rsidR="00113795">
        <w:t xml:space="preserve"> larger Leucadia </w:t>
      </w:r>
      <w:r w:rsidRPr="0041190E" w:rsidR="007F7728">
        <w:t>Project</w:t>
      </w:r>
      <w:r w:rsidRPr="0041190E" w:rsidR="00C045D6">
        <w:t>. Commission</w:t>
      </w:r>
      <w:r w:rsidRPr="0041190E" w:rsidR="00113795">
        <w:t xml:space="preserve"> </w:t>
      </w:r>
      <w:r w:rsidRPr="0041190E">
        <w:t>Rule 3.7 applies to construction of a public road, highway, or street across a railroad</w:t>
      </w:r>
      <w:r w:rsidRPr="0041190E" w:rsidR="00B447C1">
        <w:t xml:space="preserve"> and </w:t>
      </w:r>
      <w:r w:rsidRPr="0041190E">
        <w:t>is applicable here.</w:t>
      </w:r>
      <w:r w:rsidRPr="0041190E" w:rsidR="00822C71">
        <w:rPr>
          <w:rStyle w:val="FootnoteReference"/>
          <w:szCs w:val="26"/>
        </w:rPr>
        <w:footnoteReference w:id="9"/>
      </w:r>
      <w:r w:rsidRPr="0041190E" w:rsidR="00822C71">
        <w:rPr>
          <w:szCs w:val="26"/>
        </w:rPr>
        <w:t xml:space="preserve">  </w:t>
      </w:r>
    </w:p>
    <w:p w:rsidRPr="0041190E" w:rsidR="002C7FC9" w:rsidP="00B447C1" w:rsidRDefault="00113795" w14:paraId="57B0FE95" w14:textId="50892BD2">
      <w:pPr>
        <w:pStyle w:val="Standard"/>
        <w:rPr>
          <w:szCs w:val="26"/>
        </w:rPr>
      </w:pPr>
      <w:r w:rsidRPr="0041190E">
        <w:rPr>
          <w:szCs w:val="26"/>
        </w:rPr>
        <w:t>Encinitas</w:t>
      </w:r>
      <w:r w:rsidRPr="0041190E" w:rsidR="00903E9F">
        <w:rPr>
          <w:szCs w:val="26"/>
        </w:rPr>
        <w:t xml:space="preserve"> Application information included the following showing in support of </w:t>
      </w:r>
      <w:proofErr w:type="gramStart"/>
      <w:r w:rsidRPr="0041190E" w:rsidR="00903E9F">
        <w:rPr>
          <w:szCs w:val="26"/>
        </w:rPr>
        <w:t>its</w:t>
      </w:r>
      <w:proofErr w:type="gramEnd"/>
      <w:r w:rsidRPr="0041190E" w:rsidR="00903E9F">
        <w:rPr>
          <w:szCs w:val="26"/>
        </w:rPr>
        <w:t xml:space="preserve"> prove</w:t>
      </w:r>
      <w:r w:rsidRPr="0041190E" w:rsidR="00903E9F">
        <w:rPr>
          <w:szCs w:val="26"/>
        </w:rPr>
        <w:noBreakHyphen/>
        <w:t>up of Rule 3.7 compliance:</w:t>
      </w:r>
      <w:bookmarkEnd w:id="29"/>
    </w:p>
    <w:tbl>
      <w:tblPr>
        <w:tblStyle w:val="TableGrid"/>
        <w:tblW w:w="9360" w:type="dxa"/>
        <w:jc w:val="center"/>
        <w:tblCellMar>
          <w:top w:w="58" w:type="dxa"/>
          <w:bottom w:w="58" w:type="dxa"/>
        </w:tblCellMar>
        <w:tblLook w:val="04A0" w:firstRow="1" w:lastRow="0" w:firstColumn="1" w:lastColumn="0" w:noHBand="0" w:noVBand="1"/>
      </w:tblPr>
      <w:tblGrid>
        <w:gridCol w:w="1133"/>
        <w:gridCol w:w="8227"/>
      </w:tblGrid>
      <w:tr w:rsidRPr="0054450B" w:rsidR="00B447C1" w:rsidTr="00642CFA" w14:paraId="55A8FA73" w14:textId="77777777">
        <w:trPr>
          <w:cantSplit/>
          <w:trHeight w:val="488"/>
          <w:tblHeader/>
          <w:jc w:val="center"/>
        </w:trPr>
        <w:tc>
          <w:tcPr>
            <w:tcW w:w="1133" w:type="dxa"/>
            <w:vAlign w:val="center"/>
          </w:tcPr>
          <w:p w:rsidRPr="0054450B" w:rsidR="00B447C1" w:rsidP="00B57B41" w:rsidRDefault="00B447C1" w14:paraId="2FBBA127" w14:textId="77777777">
            <w:pPr>
              <w:pStyle w:val="Standard"/>
              <w:spacing w:line="240" w:lineRule="auto"/>
              <w:ind w:firstLine="0"/>
              <w:jc w:val="center"/>
              <w:rPr>
                <w:rFonts w:cs="Arial"/>
                <w:b/>
                <w:bCs/>
                <w:sz w:val="20"/>
                <w:szCs w:val="20"/>
                <w:u w:val="single"/>
              </w:rPr>
            </w:pPr>
            <w:r w:rsidRPr="0054450B">
              <w:rPr>
                <w:rFonts w:cs="Arial"/>
                <w:b/>
                <w:bCs/>
                <w:sz w:val="20"/>
                <w:szCs w:val="20"/>
                <w:u w:val="single"/>
              </w:rPr>
              <w:t>Rule</w:t>
            </w:r>
          </w:p>
        </w:tc>
        <w:tc>
          <w:tcPr>
            <w:tcW w:w="8227" w:type="dxa"/>
            <w:vAlign w:val="center"/>
          </w:tcPr>
          <w:p w:rsidRPr="0054450B" w:rsidR="00B447C1" w:rsidP="00B57B41" w:rsidRDefault="00B447C1" w14:paraId="4C2229C3" w14:textId="77777777">
            <w:pPr>
              <w:pStyle w:val="Standard"/>
              <w:spacing w:line="240" w:lineRule="auto"/>
              <w:ind w:firstLine="0"/>
              <w:jc w:val="center"/>
              <w:rPr>
                <w:rFonts w:cs="Arial"/>
                <w:b/>
                <w:bCs/>
                <w:sz w:val="20"/>
                <w:szCs w:val="20"/>
                <w:u w:val="single"/>
              </w:rPr>
            </w:pPr>
            <w:r w:rsidRPr="0054450B">
              <w:rPr>
                <w:rFonts w:cs="Arial"/>
                <w:b/>
                <w:bCs/>
                <w:sz w:val="20"/>
                <w:szCs w:val="20"/>
                <w:u w:val="single"/>
              </w:rPr>
              <w:t>Description</w:t>
            </w:r>
          </w:p>
        </w:tc>
      </w:tr>
      <w:tr w:rsidRPr="0054450B" w:rsidR="00B447C1" w:rsidTr="00642CFA" w14:paraId="6CA9C0E9" w14:textId="77777777">
        <w:trPr>
          <w:cantSplit/>
          <w:trHeight w:val="288"/>
          <w:jc w:val="center"/>
        </w:trPr>
        <w:tc>
          <w:tcPr>
            <w:tcW w:w="1133" w:type="dxa"/>
            <w:vAlign w:val="center"/>
            <w:hideMark/>
          </w:tcPr>
          <w:p w:rsidRPr="0054450B" w:rsidR="00B447C1" w:rsidP="00B57B41" w:rsidRDefault="00B447C1" w14:paraId="4E9CFB19" w14:textId="77777777">
            <w:pPr>
              <w:pStyle w:val="NoSpacing"/>
              <w:jc w:val="center"/>
              <w:rPr>
                <w:rFonts w:cs="Arial"/>
                <w:sz w:val="20"/>
                <w:szCs w:val="20"/>
              </w:rPr>
            </w:pPr>
            <w:r w:rsidRPr="0054450B">
              <w:rPr>
                <w:rFonts w:cs="Arial"/>
                <w:sz w:val="20"/>
                <w:szCs w:val="20"/>
              </w:rPr>
              <w:t>3.7(a)</w:t>
            </w:r>
          </w:p>
        </w:tc>
        <w:tc>
          <w:tcPr>
            <w:tcW w:w="8227" w:type="dxa"/>
            <w:vAlign w:val="center"/>
            <w:hideMark/>
          </w:tcPr>
          <w:p w:rsidRPr="0054450B" w:rsidR="00B447C1" w:rsidP="00B57B41" w:rsidRDefault="005A6027" w14:paraId="7759C871" w14:textId="41F89F4A">
            <w:pPr>
              <w:autoSpaceDE w:val="0"/>
              <w:autoSpaceDN w:val="0"/>
              <w:adjustRightInd w:val="0"/>
              <w:spacing w:line="240" w:lineRule="auto"/>
              <w:ind w:firstLine="0"/>
              <w:rPr>
                <w:rFonts w:cs="Arial"/>
                <w:sz w:val="20"/>
                <w:szCs w:val="20"/>
              </w:rPr>
            </w:pPr>
            <w:r w:rsidRPr="0054450B">
              <w:rPr>
                <w:rFonts w:cs="Arial"/>
                <w:sz w:val="20"/>
                <w:szCs w:val="20"/>
              </w:rPr>
              <w:t xml:space="preserve">The milepost, geographic coordinate information </w:t>
            </w:r>
            <w:r w:rsidRPr="0054450B" w:rsidR="00BA5492">
              <w:rPr>
                <w:rFonts w:cs="Arial"/>
                <w:sz w:val="20"/>
                <w:szCs w:val="20"/>
              </w:rPr>
              <w:t>(longitude and legal description)</w:t>
            </w:r>
            <w:r w:rsidRPr="0054450B">
              <w:rPr>
                <w:rFonts w:cs="Arial"/>
                <w:sz w:val="20"/>
                <w:szCs w:val="20"/>
              </w:rPr>
              <w:t xml:space="preserve"> for the</w:t>
            </w:r>
            <w:r w:rsidRPr="0054450B" w:rsidR="006E580E">
              <w:rPr>
                <w:rFonts w:cs="Arial"/>
                <w:sz w:val="20"/>
                <w:szCs w:val="20"/>
              </w:rPr>
              <w:t xml:space="preserve"> </w:t>
            </w:r>
            <w:r w:rsidRPr="0054450B">
              <w:rPr>
                <w:rFonts w:cs="Arial"/>
                <w:sz w:val="20"/>
                <w:szCs w:val="20"/>
              </w:rPr>
              <w:t>Proposed Crossing</w:t>
            </w:r>
            <w:r w:rsidRPr="0054450B" w:rsidR="00606B9B">
              <w:rPr>
                <w:rFonts w:cs="Arial"/>
                <w:sz w:val="20"/>
                <w:szCs w:val="20"/>
              </w:rPr>
              <w:t>s</w:t>
            </w:r>
            <w:r w:rsidRPr="0054450B">
              <w:rPr>
                <w:rFonts w:cs="Arial"/>
                <w:sz w:val="20"/>
                <w:szCs w:val="20"/>
              </w:rPr>
              <w:t>, in compliance with Rule 3.7(a) are in the</w:t>
            </w:r>
            <w:r w:rsidRPr="0054450B" w:rsidR="00697579">
              <w:rPr>
                <w:rFonts w:cs="Arial"/>
                <w:sz w:val="20"/>
                <w:szCs w:val="20"/>
              </w:rPr>
              <w:t xml:space="preserve"> </w:t>
            </w:r>
            <w:r w:rsidRPr="0054450B">
              <w:rPr>
                <w:rFonts w:cs="Arial"/>
                <w:sz w:val="20"/>
                <w:szCs w:val="20"/>
              </w:rPr>
              <w:t xml:space="preserve">Application </w:t>
            </w:r>
            <w:r w:rsidRPr="0054450B" w:rsidR="00E12C26">
              <w:rPr>
                <w:rFonts w:cs="Arial"/>
                <w:sz w:val="20"/>
                <w:szCs w:val="20"/>
              </w:rPr>
              <w:t xml:space="preserve">at </w:t>
            </w:r>
            <w:r w:rsidRPr="0054450B" w:rsidR="006E580E">
              <w:rPr>
                <w:rFonts w:cs="Arial"/>
                <w:sz w:val="20"/>
                <w:szCs w:val="20"/>
              </w:rPr>
              <w:t>page</w:t>
            </w:r>
            <w:r w:rsidRPr="0054450B" w:rsidR="00606B9B">
              <w:rPr>
                <w:rFonts w:cs="Arial"/>
                <w:sz w:val="20"/>
                <w:szCs w:val="20"/>
              </w:rPr>
              <w:t>s</w:t>
            </w:r>
            <w:r w:rsidRPr="0054450B" w:rsidR="006E580E">
              <w:rPr>
                <w:rFonts w:cs="Arial"/>
                <w:sz w:val="20"/>
                <w:szCs w:val="20"/>
              </w:rPr>
              <w:t xml:space="preserve"> </w:t>
            </w:r>
            <w:r w:rsidRPr="0054450B" w:rsidR="00606B9B">
              <w:rPr>
                <w:rFonts w:cs="Arial"/>
                <w:sz w:val="20"/>
                <w:szCs w:val="20"/>
              </w:rPr>
              <w:t>3-4</w:t>
            </w:r>
            <w:r w:rsidRPr="0054450B">
              <w:rPr>
                <w:rFonts w:cs="Arial"/>
                <w:sz w:val="20"/>
                <w:szCs w:val="20"/>
              </w:rPr>
              <w:t xml:space="preserve"> </w:t>
            </w:r>
            <w:r w:rsidRPr="0054450B" w:rsidR="00B447C1">
              <w:rPr>
                <w:rFonts w:cs="Arial"/>
                <w:sz w:val="20"/>
                <w:szCs w:val="20"/>
              </w:rPr>
              <w:t xml:space="preserve">and its Exhibit </w:t>
            </w:r>
            <w:r w:rsidRPr="0054450B" w:rsidR="006E580E">
              <w:rPr>
                <w:rFonts w:cs="Arial"/>
                <w:sz w:val="20"/>
                <w:szCs w:val="20"/>
              </w:rPr>
              <w:t>A (</w:t>
            </w:r>
            <w:r w:rsidRPr="0054450B" w:rsidR="00606B9B">
              <w:rPr>
                <w:rFonts w:cs="Arial"/>
                <w:i/>
                <w:iCs/>
                <w:sz w:val="20"/>
                <w:szCs w:val="20"/>
              </w:rPr>
              <w:t>Railroad Milepost and Location Description</w:t>
            </w:r>
            <w:r w:rsidRPr="0054450B" w:rsidR="006E580E">
              <w:rPr>
                <w:rFonts w:cs="Arial"/>
                <w:sz w:val="20"/>
                <w:szCs w:val="20"/>
              </w:rPr>
              <w:t>)</w:t>
            </w:r>
          </w:p>
          <w:p w:rsidRPr="0054450B" w:rsidR="00B447C1" w:rsidP="00B57B41" w:rsidRDefault="00B447C1" w14:paraId="4A6B9980" w14:textId="77777777">
            <w:pPr>
              <w:autoSpaceDE w:val="0"/>
              <w:autoSpaceDN w:val="0"/>
              <w:adjustRightInd w:val="0"/>
              <w:spacing w:line="240" w:lineRule="auto"/>
              <w:ind w:firstLine="0"/>
              <w:rPr>
                <w:rFonts w:cs="Arial"/>
                <w:sz w:val="20"/>
                <w:szCs w:val="20"/>
              </w:rPr>
            </w:pPr>
          </w:p>
          <w:p w:rsidRPr="0054450B" w:rsidR="00606B9B" w:rsidP="00606B9B" w:rsidRDefault="00606B9B" w14:paraId="791E8FA0" w14:textId="521A6435">
            <w:pPr>
              <w:autoSpaceDE w:val="0"/>
              <w:autoSpaceDN w:val="0"/>
              <w:adjustRightInd w:val="0"/>
              <w:spacing w:line="240" w:lineRule="auto"/>
              <w:ind w:firstLine="0"/>
              <w:rPr>
                <w:rFonts w:cs="Arial"/>
                <w:sz w:val="20"/>
                <w:szCs w:val="20"/>
              </w:rPr>
            </w:pPr>
            <w:r w:rsidRPr="0054450B">
              <w:rPr>
                <w:rFonts w:cs="Arial"/>
                <w:sz w:val="20"/>
                <w:szCs w:val="20"/>
              </w:rPr>
              <w:t>Crossing Name:</w:t>
            </w:r>
            <w:r w:rsidRPr="0054450B">
              <w:rPr>
                <w:rFonts w:cs="Arial"/>
                <w:sz w:val="20"/>
                <w:szCs w:val="20"/>
              </w:rPr>
              <w:tab/>
              <w:t>Grandview Street</w:t>
            </w:r>
          </w:p>
          <w:p w:rsidRPr="0054450B" w:rsidR="00606B9B" w:rsidP="00606B9B" w:rsidRDefault="00606B9B" w14:paraId="2478DA5F" w14:textId="3E811F9E">
            <w:pPr>
              <w:autoSpaceDE w:val="0"/>
              <w:autoSpaceDN w:val="0"/>
              <w:adjustRightInd w:val="0"/>
              <w:spacing w:line="240" w:lineRule="auto"/>
              <w:ind w:firstLine="0"/>
              <w:rPr>
                <w:rFonts w:cs="Arial"/>
                <w:sz w:val="20"/>
                <w:szCs w:val="20"/>
              </w:rPr>
            </w:pPr>
            <w:r w:rsidRPr="0054450B">
              <w:rPr>
                <w:rFonts w:cs="Arial"/>
                <w:sz w:val="20"/>
                <w:szCs w:val="20"/>
              </w:rPr>
              <w:t>Proposed CPUC Crossing No.</w:t>
            </w:r>
            <w:proofErr w:type="gramStart"/>
            <w:r w:rsidRPr="0054450B">
              <w:rPr>
                <w:rFonts w:cs="Arial"/>
                <w:sz w:val="20"/>
                <w:szCs w:val="20"/>
              </w:rPr>
              <w:t>:  106</w:t>
            </w:r>
            <w:proofErr w:type="gramEnd"/>
            <w:r w:rsidRPr="0054450B">
              <w:rPr>
                <w:rFonts w:cs="Arial"/>
                <w:sz w:val="20"/>
                <w:szCs w:val="20"/>
              </w:rPr>
              <w:t>-235.66-D</w:t>
            </w:r>
          </w:p>
          <w:p w:rsidRPr="0054450B" w:rsidR="00606B9B" w:rsidP="00606B9B" w:rsidRDefault="00BA5492" w14:paraId="389710EA" w14:textId="248B6EB3">
            <w:pPr>
              <w:autoSpaceDE w:val="0"/>
              <w:autoSpaceDN w:val="0"/>
              <w:adjustRightInd w:val="0"/>
              <w:spacing w:line="240" w:lineRule="auto"/>
              <w:ind w:firstLine="0"/>
              <w:rPr>
                <w:rFonts w:cs="Arial"/>
                <w:sz w:val="20"/>
                <w:szCs w:val="20"/>
              </w:rPr>
            </w:pPr>
            <w:r w:rsidRPr="0054450B">
              <w:rPr>
                <w:rFonts w:cs="Arial"/>
                <w:sz w:val="20"/>
                <w:szCs w:val="20"/>
              </w:rPr>
              <w:t>Coordinates:</w:t>
            </w:r>
            <w:r w:rsidRPr="0054450B" w:rsidR="00606B9B">
              <w:rPr>
                <w:rFonts w:cs="Arial"/>
                <w:sz w:val="20"/>
                <w:szCs w:val="20"/>
              </w:rPr>
              <w:t xml:space="preserve"> </w:t>
            </w:r>
            <w:r w:rsidRPr="0054450B">
              <w:rPr>
                <w:rFonts w:cs="Arial"/>
                <w:sz w:val="20"/>
                <w:szCs w:val="20"/>
              </w:rPr>
              <w:tab/>
            </w:r>
            <w:r w:rsidRPr="0054450B">
              <w:rPr>
                <w:rFonts w:cs="Arial"/>
                <w:sz w:val="20"/>
                <w:szCs w:val="20"/>
              </w:rPr>
              <w:tab/>
              <w:t>33.0762111,</w:t>
            </w:r>
            <w:r w:rsidRPr="0054450B" w:rsidR="00606B9B">
              <w:rPr>
                <w:rFonts w:cs="Arial"/>
                <w:sz w:val="20"/>
                <w:szCs w:val="20"/>
              </w:rPr>
              <w:t xml:space="preserve"> </w:t>
            </w:r>
            <w:r w:rsidRPr="0054450B">
              <w:rPr>
                <w:rFonts w:cs="Arial"/>
                <w:sz w:val="20"/>
                <w:szCs w:val="20"/>
              </w:rPr>
              <w:t>-117.3058972</w:t>
            </w:r>
          </w:p>
          <w:p w:rsidRPr="0054450B" w:rsidR="00606B9B" w:rsidP="00606B9B" w:rsidRDefault="00606B9B" w14:paraId="0ED089AF" w14:textId="77777777">
            <w:pPr>
              <w:autoSpaceDE w:val="0"/>
              <w:autoSpaceDN w:val="0"/>
              <w:adjustRightInd w:val="0"/>
              <w:spacing w:line="240" w:lineRule="auto"/>
              <w:ind w:firstLine="0"/>
              <w:rPr>
                <w:rFonts w:cs="Arial"/>
                <w:sz w:val="20"/>
                <w:szCs w:val="20"/>
              </w:rPr>
            </w:pPr>
          </w:p>
          <w:p w:rsidRPr="0054450B" w:rsidR="00606B9B" w:rsidP="00606B9B" w:rsidRDefault="00606B9B" w14:paraId="7A19013A" w14:textId="4197E327">
            <w:pPr>
              <w:autoSpaceDE w:val="0"/>
              <w:autoSpaceDN w:val="0"/>
              <w:adjustRightInd w:val="0"/>
              <w:spacing w:line="240" w:lineRule="auto"/>
              <w:ind w:firstLine="0"/>
              <w:rPr>
                <w:rFonts w:cs="Arial"/>
                <w:sz w:val="20"/>
                <w:szCs w:val="20"/>
              </w:rPr>
            </w:pPr>
            <w:r w:rsidRPr="0054450B">
              <w:rPr>
                <w:rFonts w:cs="Arial"/>
                <w:sz w:val="20"/>
                <w:szCs w:val="20"/>
              </w:rPr>
              <w:t>Crossing Name:</w:t>
            </w:r>
            <w:r w:rsidRPr="0054450B">
              <w:rPr>
                <w:rFonts w:cs="Arial"/>
                <w:sz w:val="20"/>
                <w:szCs w:val="20"/>
              </w:rPr>
              <w:tab/>
              <w:t>Phoebe Street</w:t>
            </w:r>
          </w:p>
          <w:p w:rsidRPr="0054450B" w:rsidR="00606B9B" w:rsidP="00606B9B" w:rsidRDefault="00606B9B" w14:paraId="2C510EB9" w14:textId="4E8D57B0">
            <w:pPr>
              <w:autoSpaceDE w:val="0"/>
              <w:autoSpaceDN w:val="0"/>
              <w:adjustRightInd w:val="0"/>
              <w:spacing w:line="240" w:lineRule="auto"/>
              <w:ind w:firstLine="0"/>
              <w:rPr>
                <w:rFonts w:cs="Arial"/>
                <w:sz w:val="20"/>
                <w:szCs w:val="20"/>
              </w:rPr>
            </w:pPr>
            <w:r w:rsidRPr="0054450B">
              <w:rPr>
                <w:rFonts w:cs="Arial"/>
                <w:sz w:val="20"/>
                <w:szCs w:val="20"/>
              </w:rPr>
              <w:t>Proposed CPUC Crossing No. 106-236.12-D</w:t>
            </w:r>
          </w:p>
          <w:p w:rsidRPr="0054450B" w:rsidR="00606B9B" w:rsidP="00BA5492" w:rsidRDefault="00BA5492" w14:paraId="61C8BA8E" w14:textId="6445BF4E">
            <w:pPr>
              <w:autoSpaceDE w:val="0"/>
              <w:autoSpaceDN w:val="0"/>
              <w:adjustRightInd w:val="0"/>
              <w:spacing w:line="240" w:lineRule="auto"/>
              <w:ind w:firstLine="0"/>
              <w:rPr>
                <w:rFonts w:cs="Arial"/>
                <w:sz w:val="20"/>
                <w:szCs w:val="20"/>
              </w:rPr>
            </w:pPr>
            <w:r w:rsidRPr="0054450B">
              <w:rPr>
                <w:rFonts w:cs="Arial"/>
                <w:sz w:val="20"/>
                <w:szCs w:val="20"/>
              </w:rPr>
              <w:t>Coordinates</w:t>
            </w:r>
            <w:proofErr w:type="gramStart"/>
            <w:r w:rsidRPr="0054450B">
              <w:rPr>
                <w:rFonts w:cs="Arial"/>
                <w:sz w:val="20"/>
                <w:szCs w:val="20"/>
              </w:rPr>
              <w:t>:</w:t>
            </w:r>
            <w:r w:rsidRPr="0054450B">
              <w:rPr>
                <w:rFonts w:cs="Arial"/>
                <w:sz w:val="20"/>
                <w:szCs w:val="20"/>
              </w:rPr>
              <w:tab/>
            </w:r>
            <w:r w:rsidRPr="0054450B">
              <w:rPr>
                <w:rFonts w:cs="Arial"/>
                <w:sz w:val="20"/>
                <w:szCs w:val="20"/>
              </w:rPr>
              <w:tab/>
              <w:t>33.0695581</w:t>
            </w:r>
            <w:proofErr w:type="gramEnd"/>
            <w:r w:rsidRPr="0054450B">
              <w:rPr>
                <w:rFonts w:cs="Arial"/>
                <w:sz w:val="20"/>
                <w:szCs w:val="20"/>
              </w:rPr>
              <w:t>, -117.3036831</w:t>
            </w:r>
          </w:p>
        </w:tc>
      </w:tr>
      <w:tr w:rsidRPr="0054450B" w:rsidR="00B447C1" w:rsidTr="00642CFA" w14:paraId="7002EE89" w14:textId="77777777">
        <w:trPr>
          <w:cantSplit/>
          <w:trHeight w:val="288"/>
          <w:jc w:val="center"/>
        </w:trPr>
        <w:tc>
          <w:tcPr>
            <w:tcW w:w="1133" w:type="dxa"/>
            <w:vAlign w:val="center"/>
            <w:hideMark/>
          </w:tcPr>
          <w:p w:rsidRPr="0054450B" w:rsidR="00B447C1" w:rsidP="00B57B41" w:rsidRDefault="00B447C1" w14:paraId="475A96FE" w14:textId="6DBF7E56">
            <w:pPr>
              <w:pStyle w:val="NoSpacing"/>
              <w:jc w:val="center"/>
              <w:rPr>
                <w:rFonts w:cs="Arial"/>
                <w:sz w:val="20"/>
                <w:szCs w:val="20"/>
              </w:rPr>
            </w:pPr>
            <w:r w:rsidRPr="0054450B">
              <w:rPr>
                <w:rFonts w:cs="Arial"/>
                <w:sz w:val="20"/>
                <w:szCs w:val="20"/>
              </w:rPr>
              <w:t>3.7(b)</w:t>
            </w:r>
          </w:p>
        </w:tc>
        <w:tc>
          <w:tcPr>
            <w:tcW w:w="8227" w:type="dxa"/>
            <w:vAlign w:val="center"/>
            <w:hideMark/>
          </w:tcPr>
          <w:p w:rsidRPr="0054450B" w:rsidR="00B447C1" w:rsidP="00B57B41" w:rsidRDefault="00B447C1" w14:paraId="7FD4E808" w14:textId="695555CE">
            <w:pPr>
              <w:autoSpaceDE w:val="0"/>
              <w:autoSpaceDN w:val="0"/>
              <w:adjustRightInd w:val="0"/>
              <w:spacing w:line="240" w:lineRule="auto"/>
              <w:ind w:firstLine="0"/>
              <w:rPr>
                <w:rFonts w:cs="Arial"/>
                <w:sz w:val="20"/>
                <w:szCs w:val="20"/>
              </w:rPr>
            </w:pPr>
            <w:r w:rsidRPr="0054450B">
              <w:rPr>
                <w:rFonts w:cs="Arial"/>
                <w:sz w:val="20"/>
                <w:szCs w:val="20"/>
              </w:rPr>
              <w:t>Crossing identification Numbers of the Nearest Existing Public Crossings</w:t>
            </w:r>
            <w:r w:rsidRPr="0054450B" w:rsidR="00521D89">
              <w:rPr>
                <w:rFonts w:cs="Arial"/>
                <w:sz w:val="20"/>
                <w:szCs w:val="20"/>
              </w:rPr>
              <w:t xml:space="preserve"> in the County of</w:t>
            </w:r>
            <w:r w:rsidRPr="0054450B" w:rsidR="00DC11D8">
              <w:rPr>
                <w:rFonts w:cs="Arial"/>
                <w:sz w:val="20"/>
                <w:szCs w:val="20"/>
              </w:rPr>
              <w:t xml:space="preserve"> </w:t>
            </w:r>
            <w:r w:rsidRPr="0054450B" w:rsidR="00BA5492">
              <w:rPr>
                <w:rFonts w:cs="Arial"/>
                <w:sz w:val="20"/>
                <w:szCs w:val="20"/>
              </w:rPr>
              <w:t>San Diego</w:t>
            </w:r>
            <w:r w:rsidRPr="0054450B" w:rsidR="00490F4B">
              <w:rPr>
                <w:rFonts w:cs="Arial"/>
                <w:sz w:val="20"/>
                <w:szCs w:val="20"/>
              </w:rPr>
              <w:t>:</w:t>
            </w:r>
          </w:p>
          <w:p w:rsidRPr="0054450B" w:rsidR="00B447C1" w:rsidP="00B57B41" w:rsidRDefault="00B447C1" w14:paraId="25D68839" w14:textId="77777777">
            <w:pPr>
              <w:autoSpaceDE w:val="0"/>
              <w:autoSpaceDN w:val="0"/>
              <w:adjustRightInd w:val="0"/>
              <w:spacing w:line="240" w:lineRule="auto"/>
              <w:ind w:firstLine="0"/>
              <w:rPr>
                <w:rFonts w:cs="Arial"/>
                <w:sz w:val="20"/>
                <w:szCs w:val="20"/>
              </w:rPr>
            </w:pPr>
          </w:p>
          <w:p w:rsidRPr="0054450B" w:rsidR="002F712D" w:rsidP="002F712D" w:rsidRDefault="002F712D" w14:paraId="1E93FBE1" w14:textId="0EC2A976">
            <w:pPr>
              <w:autoSpaceDE w:val="0"/>
              <w:autoSpaceDN w:val="0"/>
              <w:adjustRightInd w:val="0"/>
              <w:spacing w:line="240" w:lineRule="auto"/>
              <w:ind w:firstLine="0"/>
              <w:rPr>
                <w:rFonts w:cs="Arial"/>
                <w:sz w:val="20"/>
                <w:szCs w:val="20"/>
              </w:rPr>
            </w:pPr>
            <w:r w:rsidRPr="0054450B">
              <w:rPr>
                <w:rFonts w:cs="Arial"/>
                <w:sz w:val="20"/>
                <w:szCs w:val="20"/>
              </w:rPr>
              <w:t>Nearest Crossing (North</w:t>
            </w:r>
            <w:proofErr w:type="gramStart"/>
            <w:r w:rsidRPr="0054450B">
              <w:rPr>
                <w:rFonts w:cs="Arial"/>
                <w:sz w:val="20"/>
                <w:szCs w:val="20"/>
              </w:rPr>
              <w:t>:  La</w:t>
            </w:r>
            <w:proofErr w:type="gramEnd"/>
            <w:r w:rsidRPr="0054450B">
              <w:rPr>
                <w:rFonts w:cs="Arial"/>
                <w:sz w:val="20"/>
                <w:szCs w:val="20"/>
              </w:rPr>
              <w:t xml:space="preserve"> Costa Avenue):</w:t>
            </w:r>
          </w:p>
          <w:p w:rsidRPr="0054450B" w:rsidR="002F712D" w:rsidP="002F712D" w:rsidRDefault="002F712D" w14:paraId="2E32A621" w14:textId="0241E349">
            <w:pPr>
              <w:autoSpaceDE w:val="0"/>
              <w:autoSpaceDN w:val="0"/>
              <w:adjustRightInd w:val="0"/>
              <w:spacing w:line="240" w:lineRule="auto"/>
              <w:ind w:firstLine="0"/>
              <w:rPr>
                <w:rFonts w:cs="Arial"/>
                <w:sz w:val="20"/>
                <w:szCs w:val="20"/>
              </w:rPr>
            </w:pPr>
            <w:r w:rsidRPr="0054450B">
              <w:rPr>
                <w:rFonts w:cs="Arial"/>
                <w:sz w:val="20"/>
                <w:szCs w:val="20"/>
              </w:rPr>
              <w:t>CPUC Number 106-235.10-A, US DOT No. 026826N</w:t>
            </w:r>
          </w:p>
          <w:p w:rsidRPr="0054450B" w:rsidR="002F712D" w:rsidP="002F712D" w:rsidRDefault="002F712D" w14:paraId="5FFFE1F6" w14:textId="77777777">
            <w:pPr>
              <w:autoSpaceDE w:val="0"/>
              <w:autoSpaceDN w:val="0"/>
              <w:adjustRightInd w:val="0"/>
              <w:spacing w:line="240" w:lineRule="auto"/>
              <w:ind w:firstLine="0"/>
              <w:rPr>
                <w:rFonts w:cs="Arial"/>
                <w:sz w:val="20"/>
                <w:szCs w:val="20"/>
              </w:rPr>
            </w:pPr>
          </w:p>
          <w:p w:rsidRPr="0054450B" w:rsidR="002F712D" w:rsidP="002F712D" w:rsidRDefault="002F712D" w14:paraId="681C0D16" w14:textId="367AB7D4">
            <w:pPr>
              <w:autoSpaceDE w:val="0"/>
              <w:autoSpaceDN w:val="0"/>
              <w:adjustRightInd w:val="0"/>
              <w:spacing w:line="240" w:lineRule="auto"/>
              <w:ind w:firstLine="0"/>
              <w:rPr>
                <w:rFonts w:cs="Arial"/>
                <w:sz w:val="20"/>
                <w:szCs w:val="20"/>
              </w:rPr>
            </w:pPr>
            <w:r w:rsidRPr="0054450B">
              <w:rPr>
                <w:rFonts w:cs="Arial"/>
                <w:sz w:val="20"/>
                <w:szCs w:val="20"/>
              </w:rPr>
              <w:t>Nearest Crossing (South</w:t>
            </w:r>
            <w:proofErr w:type="gramStart"/>
            <w:r w:rsidRPr="0054450B">
              <w:rPr>
                <w:rFonts w:cs="Arial"/>
                <w:sz w:val="20"/>
                <w:szCs w:val="20"/>
              </w:rPr>
              <w:t>:  Leucadia</w:t>
            </w:r>
            <w:proofErr w:type="gramEnd"/>
            <w:r w:rsidRPr="0054450B">
              <w:rPr>
                <w:rFonts w:cs="Arial"/>
                <w:sz w:val="20"/>
                <w:szCs w:val="20"/>
              </w:rPr>
              <w:t xml:space="preserve"> Boulevard):</w:t>
            </w:r>
          </w:p>
          <w:p w:rsidRPr="0054450B" w:rsidR="00B447C1" w:rsidP="00DC11D8" w:rsidRDefault="002F712D" w14:paraId="09572A6B" w14:textId="3A0EDB47">
            <w:pPr>
              <w:autoSpaceDE w:val="0"/>
              <w:autoSpaceDN w:val="0"/>
              <w:adjustRightInd w:val="0"/>
              <w:spacing w:line="240" w:lineRule="auto"/>
              <w:ind w:firstLine="0"/>
              <w:rPr>
                <w:rFonts w:cs="Arial"/>
                <w:sz w:val="20"/>
                <w:szCs w:val="20"/>
              </w:rPr>
            </w:pPr>
            <w:r w:rsidRPr="0054450B">
              <w:rPr>
                <w:rFonts w:cs="Arial"/>
                <w:sz w:val="20"/>
                <w:szCs w:val="20"/>
              </w:rPr>
              <w:t>CPUC Number106-236.50, US DOT No. 026827V</w:t>
            </w:r>
            <w:r w:rsidRPr="0054450B" w:rsidR="00F307A5">
              <w:rPr>
                <w:rStyle w:val="FootnoteReference"/>
                <w:rFonts w:cs="Arial"/>
                <w:sz w:val="20"/>
                <w:szCs w:val="20"/>
              </w:rPr>
              <w:footnoteReference w:id="10"/>
            </w:r>
          </w:p>
        </w:tc>
      </w:tr>
      <w:tr w:rsidRPr="0054450B" w:rsidR="00B447C1" w:rsidTr="00642CFA" w14:paraId="3CEDA7BB" w14:textId="77777777">
        <w:trPr>
          <w:cantSplit/>
          <w:trHeight w:val="288"/>
          <w:jc w:val="center"/>
        </w:trPr>
        <w:tc>
          <w:tcPr>
            <w:tcW w:w="1133" w:type="dxa"/>
            <w:vAlign w:val="center"/>
          </w:tcPr>
          <w:p w:rsidRPr="0054450B" w:rsidR="00B447C1" w:rsidP="00B57B41" w:rsidRDefault="00B447C1" w14:paraId="3B85E94B" w14:textId="77777777">
            <w:pPr>
              <w:pStyle w:val="NoSpacing"/>
              <w:jc w:val="center"/>
              <w:rPr>
                <w:rFonts w:cs="Arial"/>
                <w:sz w:val="20"/>
                <w:szCs w:val="20"/>
              </w:rPr>
            </w:pPr>
            <w:r w:rsidRPr="0054450B">
              <w:rPr>
                <w:rFonts w:cs="Arial"/>
                <w:sz w:val="20"/>
                <w:szCs w:val="20"/>
              </w:rPr>
              <w:lastRenderedPageBreak/>
              <w:t>3.7(c)</w:t>
            </w:r>
          </w:p>
        </w:tc>
        <w:tc>
          <w:tcPr>
            <w:tcW w:w="8227" w:type="dxa"/>
            <w:vAlign w:val="center"/>
          </w:tcPr>
          <w:p w:rsidRPr="0054450B" w:rsidR="00961256" w:rsidP="00B57B41" w:rsidRDefault="00961256" w14:paraId="10C20E30" w14:textId="62FBBA31">
            <w:pPr>
              <w:autoSpaceDE w:val="0"/>
              <w:autoSpaceDN w:val="0"/>
              <w:adjustRightInd w:val="0"/>
              <w:spacing w:line="240" w:lineRule="auto"/>
              <w:ind w:firstLine="0"/>
              <w:rPr>
                <w:rFonts w:cs="Arial"/>
                <w:sz w:val="20"/>
                <w:szCs w:val="20"/>
              </w:rPr>
            </w:pPr>
            <w:r w:rsidRPr="0054450B">
              <w:rPr>
                <w:rFonts w:cs="Arial"/>
                <w:sz w:val="20"/>
                <w:szCs w:val="20"/>
              </w:rPr>
              <w:t>3.7(c)(1) Public Interest:</w:t>
            </w:r>
          </w:p>
          <w:p w:rsidRPr="0054450B" w:rsidR="00490F4B" w:rsidP="00B57B41" w:rsidRDefault="00961256" w14:paraId="1127DE48" w14:textId="4AF07727">
            <w:pPr>
              <w:autoSpaceDE w:val="0"/>
              <w:autoSpaceDN w:val="0"/>
              <w:adjustRightInd w:val="0"/>
              <w:spacing w:line="240" w:lineRule="auto"/>
              <w:ind w:firstLine="0"/>
              <w:rPr>
                <w:rFonts w:cs="Arial"/>
                <w:sz w:val="20"/>
                <w:szCs w:val="20"/>
              </w:rPr>
            </w:pPr>
            <w:r w:rsidRPr="0054450B">
              <w:rPr>
                <w:rFonts w:cs="Arial"/>
                <w:sz w:val="20"/>
                <w:szCs w:val="20"/>
              </w:rPr>
              <w:t xml:space="preserve">Rule 3.7(c) is only applicable to </w:t>
            </w:r>
            <w:r w:rsidRPr="0054450B" w:rsidR="00FC7680">
              <w:rPr>
                <w:rFonts w:cs="Arial"/>
                <w:sz w:val="20"/>
                <w:szCs w:val="20"/>
              </w:rPr>
              <w:t>at-grade</w:t>
            </w:r>
            <w:r w:rsidRPr="0054450B">
              <w:rPr>
                <w:rFonts w:cs="Arial"/>
                <w:sz w:val="20"/>
                <w:szCs w:val="20"/>
              </w:rPr>
              <w:t xml:space="preserve"> crossings. The A.</w:t>
            </w:r>
            <w:r w:rsidRPr="0054450B" w:rsidR="00D638F3">
              <w:rPr>
                <w:rFonts w:cs="Arial"/>
                <w:sz w:val="20"/>
                <w:szCs w:val="20"/>
              </w:rPr>
              <w:t>25-03-014</w:t>
            </w:r>
            <w:r w:rsidRPr="0054450B">
              <w:rPr>
                <w:rFonts w:cs="Arial"/>
                <w:sz w:val="20"/>
                <w:szCs w:val="20"/>
              </w:rPr>
              <w:t xml:space="preserve"> Proposed Crossing</w:t>
            </w:r>
            <w:r w:rsidRPr="0054450B" w:rsidR="00D638F3">
              <w:rPr>
                <w:rFonts w:cs="Arial"/>
                <w:sz w:val="20"/>
                <w:szCs w:val="20"/>
              </w:rPr>
              <w:t>s</w:t>
            </w:r>
            <w:r w:rsidRPr="0054450B" w:rsidR="00490F4B">
              <w:rPr>
                <w:rFonts w:cs="Arial"/>
                <w:sz w:val="20"/>
                <w:szCs w:val="20"/>
              </w:rPr>
              <w:t xml:space="preserve"> </w:t>
            </w:r>
            <w:r w:rsidRPr="0054450B" w:rsidR="007825FA">
              <w:rPr>
                <w:rFonts w:cs="Arial"/>
                <w:sz w:val="20"/>
                <w:szCs w:val="20"/>
              </w:rPr>
              <w:t>involve</w:t>
            </w:r>
            <w:r w:rsidRPr="0054450B" w:rsidR="00D638F3">
              <w:rPr>
                <w:rFonts w:cs="Arial"/>
                <w:sz w:val="20"/>
                <w:szCs w:val="20"/>
              </w:rPr>
              <w:t xml:space="preserve"> construction of two at-grade pedestrian rail crossings across </w:t>
            </w:r>
            <w:bookmarkStart w:name="_Hlk216287508" w:id="30"/>
            <w:r w:rsidRPr="0054450B" w:rsidR="00D059C5">
              <w:rPr>
                <w:rFonts w:cs="Arial"/>
                <w:sz w:val="20"/>
                <w:szCs w:val="20"/>
              </w:rPr>
              <w:t>N</w:t>
            </w:r>
            <w:r w:rsidR="00D059C5">
              <w:rPr>
                <w:rFonts w:cs="Arial"/>
                <w:sz w:val="20"/>
                <w:szCs w:val="20"/>
              </w:rPr>
              <w:t>CTD</w:t>
            </w:r>
            <w:r w:rsidRPr="0054450B" w:rsidR="00D059C5">
              <w:rPr>
                <w:rFonts w:cs="Arial"/>
                <w:sz w:val="20"/>
                <w:szCs w:val="20"/>
              </w:rPr>
              <w:t xml:space="preserve"> </w:t>
            </w:r>
            <w:r w:rsidRPr="0054450B" w:rsidR="00D638F3">
              <w:rPr>
                <w:rFonts w:cs="Arial"/>
                <w:sz w:val="20"/>
                <w:szCs w:val="20"/>
              </w:rPr>
              <w:t xml:space="preserve">San Diego Subdivision rail tracks at Grandview Street at Milepost 235.66 and Phoebe Street at Milepost 236.12 in the Leucadia neighborhood in the City of </w:t>
            </w:r>
            <w:bookmarkStart w:name="_Hlk216117599" w:id="31"/>
            <w:r w:rsidRPr="0054450B" w:rsidR="00D638F3">
              <w:rPr>
                <w:rFonts w:cs="Arial"/>
                <w:sz w:val="20"/>
                <w:szCs w:val="20"/>
              </w:rPr>
              <w:t>Encinitas, County of San Diego, California along the southern section of the LOSSAN rail corridor.</w:t>
            </w:r>
            <w:bookmarkEnd w:id="30"/>
            <w:bookmarkEnd w:id="31"/>
            <w:r w:rsidRPr="0054450B" w:rsidR="00D638F3">
              <w:rPr>
                <w:rFonts w:cs="Arial"/>
                <w:sz w:val="20"/>
                <w:szCs w:val="20"/>
              </w:rPr>
              <w:t xml:space="preserve">  </w:t>
            </w:r>
            <w:r w:rsidRPr="0054450B">
              <w:rPr>
                <w:rFonts w:cs="Arial"/>
                <w:sz w:val="20"/>
                <w:szCs w:val="20"/>
              </w:rPr>
              <w:t xml:space="preserve">The Application includes a statement of the public need to be served </w:t>
            </w:r>
            <w:r w:rsidRPr="0054450B" w:rsidR="00490F4B">
              <w:rPr>
                <w:rFonts w:cs="Arial"/>
                <w:sz w:val="20"/>
                <w:szCs w:val="20"/>
              </w:rPr>
              <w:t xml:space="preserve">by </w:t>
            </w:r>
            <w:r w:rsidRPr="0054450B" w:rsidR="007825FA">
              <w:rPr>
                <w:rFonts w:cs="Arial"/>
                <w:sz w:val="20"/>
                <w:szCs w:val="20"/>
              </w:rPr>
              <w:t>the Proposed Crossing</w:t>
            </w:r>
            <w:r w:rsidRPr="0054450B" w:rsidR="00D638F3">
              <w:rPr>
                <w:rFonts w:cs="Arial"/>
                <w:sz w:val="20"/>
                <w:szCs w:val="20"/>
              </w:rPr>
              <w:t>s</w:t>
            </w:r>
            <w:r w:rsidRPr="0054450B" w:rsidR="00490F4B">
              <w:rPr>
                <w:rFonts w:cs="Arial"/>
                <w:sz w:val="20"/>
                <w:szCs w:val="20"/>
              </w:rPr>
              <w:t xml:space="preserve"> as part of the larger</w:t>
            </w:r>
            <w:r w:rsidRPr="0054450B" w:rsidR="007825FA">
              <w:rPr>
                <w:rFonts w:cs="Arial"/>
                <w:sz w:val="20"/>
                <w:szCs w:val="20"/>
              </w:rPr>
              <w:t xml:space="preserve"> </w:t>
            </w:r>
            <w:r w:rsidRPr="0054450B" w:rsidR="00D638F3">
              <w:rPr>
                <w:rFonts w:cs="Arial"/>
                <w:sz w:val="20"/>
                <w:szCs w:val="20"/>
              </w:rPr>
              <w:t xml:space="preserve">Leucadia </w:t>
            </w:r>
            <w:r w:rsidRPr="0054450B" w:rsidR="00490F4B">
              <w:rPr>
                <w:rFonts w:cs="Arial"/>
                <w:sz w:val="20"/>
                <w:szCs w:val="20"/>
              </w:rPr>
              <w:t>Project and how the Proposed Crossing</w:t>
            </w:r>
            <w:r w:rsidRPr="0054450B" w:rsidR="00D638F3">
              <w:rPr>
                <w:rFonts w:cs="Arial"/>
                <w:sz w:val="20"/>
                <w:szCs w:val="20"/>
              </w:rPr>
              <w:t>s</w:t>
            </w:r>
            <w:r w:rsidRPr="0054450B" w:rsidR="00490F4B">
              <w:rPr>
                <w:rFonts w:cs="Arial"/>
                <w:sz w:val="20"/>
                <w:szCs w:val="20"/>
              </w:rPr>
              <w:t xml:space="preserve"> may</w:t>
            </w:r>
            <w:r w:rsidRPr="0054450B" w:rsidR="00EB7059">
              <w:rPr>
                <w:rFonts w:cs="Arial"/>
                <w:sz w:val="20"/>
                <w:szCs w:val="20"/>
              </w:rPr>
              <w:t xml:space="preserve"> help</w:t>
            </w:r>
            <w:r w:rsidRPr="0054450B" w:rsidR="00D638F3">
              <w:rPr>
                <w:rFonts w:cs="Arial"/>
                <w:sz w:val="20"/>
                <w:szCs w:val="20"/>
              </w:rPr>
              <w:t xml:space="preserve"> “</w:t>
            </w:r>
            <w:bookmarkStart w:name="_Hlk216285790" w:id="32"/>
            <w:r w:rsidRPr="0054450B" w:rsidR="00D638F3">
              <w:rPr>
                <w:rFonts w:cs="Arial"/>
                <w:sz w:val="20"/>
                <w:szCs w:val="20"/>
              </w:rPr>
              <w:t>improve pedestrian and rail safety conditions within the project area and improve pedestrian access with Encinitas’ Leucadia community between beaches, coastal resources, commercial areas, and residential neighborhoods</w:t>
            </w:r>
            <w:bookmarkEnd w:id="32"/>
            <w:r w:rsidRPr="0054450B" w:rsidR="00490F4B">
              <w:rPr>
                <w:rFonts w:cs="Arial"/>
                <w:sz w:val="20"/>
                <w:szCs w:val="20"/>
              </w:rPr>
              <w:t>.</w:t>
            </w:r>
            <w:r w:rsidRPr="0054450B" w:rsidR="00EB7059">
              <w:rPr>
                <w:rFonts w:cs="Arial"/>
                <w:sz w:val="20"/>
                <w:szCs w:val="20"/>
              </w:rPr>
              <w:t>”</w:t>
            </w:r>
            <w:r w:rsidRPr="0054450B" w:rsidR="00490F4B">
              <w:rPr>
                <w:rStyle w:val="FootnoteReference"/>
                <w:rFonts w:cs="Arial"/>
                <w:sz w:val="20"/>
                <w:szCs w:val="20"/>
              </w:rPr>
              <w:footnoteReference w:id="11"/>
            </w:r>
          </w:p>
          <w:p w:rsidRPr="0054450B" w:rsidR="00961256" w:rsidP="00B57B41" w:rsidRDefault="00961256" w14:paraId="66B1C9B2" w14:textId="141E8964">
            <w:pPr>
              <w:autoSpaceDE w:val="0"/>
              <w:autoSpaceDN w:val="0"/>
              <w:adjustRightInd w:val="0"/>
              <w:spacing w:line="240" w:lineRule="auto"/>
              <w:ind w:firstLine="0"/>
              <w:rPr>
                <w:rFonts w:cs="Arial"/>
                <w:sz w:val="20"/>
                <w:szCs w:val="20"/>
              </w:rPr>
            </w:pPr>
          </w:p>
          <w:p w:rsidRPr="0054450B" w:rsidR="00961256" w:rsidP="00B57B41" w:rsidRDefault="00961256" w14:paraId="42A743AE" w14:textId="40FBCDB3">
            <w:pPr>
              <w:autoSpaceDE w:val="0"/>
              <w:autoSpaceDN w:val="0"/>
              <w:adjustRightInd w:val="0"/>
              <w:spacing w:line="240" w:lineRule="auto"/>
              <w:ind w:firstLine="0"/>
              <w:rPr>
                <w:rFonts w:cs="Arial"/>
                <w:sz w:val="20"/>
                <w:szCs w:val="20"/>
              </w:rPr>
            </w:pPr>
            <w:r w:rsidRPr="0054450B">
              <w:rPr>
                <w:rFonts w:cs="Arial"/>
                <w:sz w:val="20"/>
                <w:szCs w:val="20"/>
              </w:rPr>
              <w:t>3.7 (c)(2): Practicable Grade Separation:</w:t>
            </w:r>
            <w:r w:rsidRPr="0054450B" w:rsidR="00490F4B">
              <w:rPr>
                <w:rFonts w:cs="Arial"/>
                <w:sz w:val="20"/>
                <w:szCs w:val="20"/>
              </w:rPr>
              <w:t xml:space="preserve"> </w:t>
            </w:r>
          </w:p>
          <w:p w:rsidRPr="0054450B" w:rsidR="00961256" w:rsidP="00B57B41" w:rsidRDefault="00490F4B" w14:paraId="25DC556F" w14:textId="4197475D">
            <w:pPr>
              <w:autoSpaceDE w:val="0"/>
              <w:autoSpaceDN w:val="0"/>
              <w:adjustRightInd w:val="0"/>
              <w:spacing w:line="240" w:lineRule="auto"/>
              <w:ind w:firstLine="0"/>
              <w:rPr>
                <w:rFonts w:cs="Arial"/>
                <w:sz w:val="20"/>
                <w:szCs w:val="20"/>
              </w:rPr>
            </w:pPr>
            <w:bookmarkStart w:name="_Hlk161735679" w:id="33"/>
            <w:r w:rsidRPr="0054450B">
              <w:rPr>
                <w:rFonts w:cs="Arial"/>
                <w:sz w:val="20"/>
                <w:szCs w:val="20"/>
              </w:rPr>
              <w:t>A.</w:t>
            </w:r>
            <w:r w:rsidRPr="0054450B" w:rsidR="00144602">
              <w:rPr>
                <w:rFonts w:cs="Arial"/>
                <w:sz w:val="20"/>
                <w:szCs w:val="20"/>
              </w:rPr>
              <w:t>25-03-014</w:t>
            </w:r>
            <w:r w:rsidRPr="0054450B">
              <w:rPr>
                <w:rFonts w:cs="Arial"/>
                <w:sz w:val="20"/>
                <w:szCs w:val="20"/>
              </w:rPr>
              <w:t xml:space="preserve"> </w:t>
            </w:r>
            <w:bookmarkEnd w:id="33"/>
            <w:r w:rsidRPr="0054450B">
              <w:rPr>
                <w:rFonts w:cs="Arial"/>
                <w:sz w:val="20"/>
                <w:szCs w:val="20"/>
              </w:rPr>
              <w:t>includes</w:t>
            </w:r>
            <w:r w:rsidRPr="0054450B" w:rsidR="00B04317">
              <w:rPr>
                <w:rFonts w:cs="Arial"/>
                <w:sz w:val="20"/>
                <w:szCs w:val="20"/>
              </w:rPr>
              <w:t xml:space="preserve"> a statement </w:t>
            </w:r>
            <w:r w:rsidRPr="0054450B" w:rsidR="007E5EC9">
              <w:rPr>
                <w:rFonts w:cs="Arial"/>
                <w:sz w:val="20"/>
                <w:szCs w:val="20"/>
              </w:rPr>
              <w:t>and its Exhibit C indicating</w:t>
            </w:r>
            <w:r w:rsidRPr="0054450B">
              <w:rPr>
                <w:rFonts w:cs="Arial"/>
                <w:sz w:val="20"/>
                <w:szCs w:val="20"/>
              </w:rPr>
              <w:t xml:space="preserve"> why a separation of grades is not practicable due to 1) </w:t>
            </w:r>
            <w:r w:rsidRPr="0054450B" w:rsidR="00EB7059">
              <w:rPr>
                <w:rFonts w:cs="Arial"/>
                <w:sz w:val="20"/>
                <w:szCs w:val="20"/>
              </w:rPr>
              <w:t xml:space="preserve">existing </w:t>
            </w:r>
            <w:r w:rsidRPr="0054450B" w:rsidR="00144602">
              <w:rPr>
                <w:rFonts w:cs="Arial"/>
                <w:sz w:val="20"/>
                <w:szCs w:val="20"/>
              </w:rPr>
              <w:t>railroad Right of Way (ROW),</w:t>
            </w:r>
            <w:r w:rsidRPr="0054450B" w:rsidR="00FC638E">
              <w:rPr>
                <w:rFonts w:cs="Arial"/>
                <w:sz w:val="20"/>
                <w:szCs w:val="20"/>
              </w:rPr>
              <w:t xml:space="preserve"> </w:t>
            </w:r>
            <w:r w:rsidRPr="0054450B">
              <w:rPr>
                <w:rFonts w:cs="Arial"/>
                <w:sz w:val="20"/>
                <w:szCs w:val="20"/>
              </w:rPr>
              <w:t>2)</w:t>
            </w:r>
            <w:r w:rsidRPr="0054450B" w:rsidR="00144602">
              <w:rPr>
                <w:rFonts w:cs="Arial"/>
                <w:sz w:val="20"/>
                <w:szCs w:val="20"/>
              </w:rPr>
              <w:t xml:space="preserve"> limited space between the tracks and</w:t>
            </w:r>
            <w:r w:rsidRPr="0054450B" w:rsidR="00FC638E">
              <w:rPr>
                <w:rFonts w:cs="Arial"/>
                <w:sz w:val="20"/>
                <w:szCs w:val="20"/>
              </w:rPr>
              <w:t xml:space="preserve"> </w:t>
            </w:r>
            <w:r w:rsidRPr="0054450B" w:rsidR="00144602">
              <w:rPr>
                <w:rFonts w:cs="Arial"/>
                <w:sz w:val="20"/>
                <w:szCs w:val="20"/>
              </w:rPr>
              <w:t>adjacent roadways Highway</w:t>
            </w:r>
            <w:r w:rsidRPr="0054450B" w:rsidR="00B04317">
              <w:rPr>
                <w:rFonts w:cs="Arial"/>
                <w:sz w:val="20"/>
                <w:szCs w:val="20"/>
              </w:rPr>
              <w:t xml:space="preserve"> (Hwy)</w:t>
            </w:r>
            <w:r w:rsidRPr="0054450B" w:rsidR="00144602">
              <w:rPr>
                <w:rFonts w:cs="Arial"/>
                <w:sz w:val="20"/>
                <w:szCs w:val="20"/>
              </w:rPr>
              <w:t xml:space="preserve"> 101 and Vulcan Avenue, 3) </w:t>
            </w:r>
            <w:r w:rsidRPr="0054450B" w:rsidR="00B04317">
              <w:rPr>
                <w:rFonts w:cs="Arial"/>
                <w:sz w:val="20"/>
                <w:szCs w:val="20"/>
              </w:rPr>
              <w:t>impact on existing underground utilities (sewer, fiber optic,</w:t>
            </w:r>
            <w:r w:rsidRPr="0054450B" w:rsidR="007E5EC9">
              <w:rPr>
                <w:rFonts w:cs="Arial"/>
                <w:sz w:val="20"/>
                <w:szCs w:val="20"/>
              </w:rPr>
              <w:t xml:space="preserve"> railroad signal and communications, </w:t>
            </w:r>
            <w:r w:rsidRPr="0054450B" w:rsidR="00B04317">
              <w:rPr>
                <w:rFonts w:cs="Arial"/>
                <w:sz w:val="20"/>
                <w:szCs w:val="20"/>
              </w:rPr>
              <w:t xml:space="preserve">high pressure natural gas line, </w:t>
            </w:r>
            <w:r w:rsidRPr="0054450B" w:rsidR="007E5EC9">
              <w:rPr>
                <w:rFonts w:cs="Arial"/>
                <w:sz w:val="20"/>
                <w:szCs w:val="20"/>
              </w:rPr>
              <w:t xml:space="preserve">and </w:t>
            </w:r>
            <w:r w:rsidRPr="0054450B" w:rsidR="00B04317">
              <w:rPr>
                <w:rFonts w:cs="Arial"/>
                <w:sz w:val="20"/>
                <w:szCs w:val="20"/>
              </w:rPr>
              <w:t>storm drain)</w:t>
            </w:r>
            <w:r w:rsidRPr="0054450B" w:rsidR="00144602">
              <w:rPr>
                <w:rFonts w:cs="Arial"/>
                <w:sz w:val="20"/>
                <w:szCs w:val="20"/>
              </w:rPr>
              <w:t xml:space="preserve"> 4) flood control drainage channel</w:t>
            </w:r>
            <w:r w:rsidRPr="0054450B" w:rsidR="00B04317">
              <w:rPr>
                <w:rFonts w:cs="Arial"/>
                <w:sz w:val="20"/>
                <w:szCs w:val="20"/>
              </w:rPr>
              <w:t xml:space="preserve"> between the tracks, Vulcan Avenue, Leucadia Boulevard, and </w:t>
            </w:r>
            <w:proofErr w:type="spellStart"/>
            <w:r w:rsidRPr="0054450B" w:rsidR="00B04317">
              <w:rPr>
                <w:rFonts w:cs="Arial"/>
                <w:sz w:val="20"/>
                <w:szCs w:val="20"/>
              </w:rPr>
              <w:t>Batiquitos</w:t>
            </w:r>
            <w:proofErr w:type="spellEnd"/>
            <w:r w:rsidRPr="0054450B" w:rsidR="00B04317">
              <w:rPr>
                <w:rFonts w:cs="Arial"/>
                <w:sz w:val="20"/>
                <w:szCs w:val="20"/>
              </w:rPr>
              <w:t xml:space="preserve"> Lagoon</w:t>
            </w:r>
            <w:r w:rsidRPr="0054450B" w:rsidR="00144602">
              <w:rPr>
                <w:rFonts w:cs="Arial"/>
                <w:sz w:val="20"/>
                <w:szCs w:val="20"/>
              </w:rPr>
              <w:t xml:space="preserve">, and 5) </w:t>
            </w:r>
            <w:r w:rsidRPr="0054450B" w:rsidR="00B04317">
              <w:rPr>
                <w:rFonts w:cs="Arial"/>
                <w:sz w:val="20"/>
                <w:szCs w:val="20"/>
              </w:rPr>
              <w:t xml:space="preserve">San Diego Association of Governments </w:t>
            </w:r>
            <w:r w:rsidRPr="0054450B" w:rsidR="00144602">
              <w:rPr>
                <w:rFonts w:cs="Arial"/>
                <w:sz w:val="20"/>
                <w:szCs w:val="20"/>
              </w:rPr>
              <w:t>proposed future</w:t>
            </w:r>
            <w:r w:rsidRPr="0054450B" w:rsidR="007E5EC9">
              <w:rPr>
                <w:rFonts w:cs="Arial"/>
                <w:sz w:val="20"/>
                <w:szCs w:val="20"/>
              </w:rPr>
              <w:t xml:space="preserve"> double</w:t>
            </w:r>
            <w:r w:rsidRPr="0054450B" w:rsidR="00144602">
              <w:rPr>
                <w:rFonts w:cs="Arial"/>
                <w:sz w:val="20"/>
                <w:szCs w:val="20"/>
              </w:rPr>
              <w:t xml:space="preserve"> track expansion</w:t>
            </w:r>
            <w:r w:rsidRPr="0054450B">
              <w:rPr>
                <w:rFonts w:cs="Arial"/>
                <w:sz w:val="20"/>
                <w:szCs w:val="20"/>
              </w:rPr>
              <w:t>.</w:t>
            </w:r>
            <w:r w:rsidRPr="0054450B">
              <w:rPr>
                <w:rStyle w:val="FootnoteReference"/>
                <w:rFonts w:cs="Arial"/>
                <w:sz w:val="20"/>
                <w:szCs w:val="20"/>
              </w:rPr>
              <w:footnoteReference w:id="12"/>
            </w:r>
            <w:r w:rsidRPr="0054450B">
              <w:rPr>
                <w:rFonts w:cs="Arial"/>
                <w:sz w:val="20"/>
                <w:szCs w:val="20"/>
              </w:rPr>
              <w:t xml:space="preserve"> </w:t>
            </w:r>
            <w:r w:rsidRPr="0054450B" w:rsidR="00961256">
              <w:rPr>
                <w:rFonts w:cs="Arial"/>
                <w:sz w:val="20"/>
                <w:szCs w:val="20"/>
              </w:rPr>
              <w:t xml:space="preserve"> </w:t>
            </w:r>
          </w:p>
          <w:p w:rsidRPr="0054450B" w:rsidR="00961256" w:rsidP="00B57B41" w:rsidRDefault="00961256" w14:paraId="31D43498" w14:textId="77777777">
            <w:pPr>
              <w:autoSpaceDE w:val="0"/>
              <w:autoSpaceDN w:val="0"/>
              <w:adjustRightInd w:val="0"/>
              <w:spacing w:line="240" w:lineRule="auto"/>
              <w:ind w:firstLine="0"/>
              <w:rPr>
                <w:rFonts w:cs="Arial"/>
                <w:sz w:val="20"/>
                <w:szCs w:val="20"/>
              </w:rPr>
            </w:pPr>
          </w:p>
          <w:p w:rsidRPr="0054450B" w:rsidR="00961256" w:rsidP="00B57B41" w:rsidRDefault="00961256" w14:paraId="10C65A65" w14:textId="77777777">
            <w:pPr>
              <w:autoSpaceDE w:val="0"/>
              <w:autoSpaceDN w:val="0"/>
              <w:adjustRightInd w:val="0"/>
              <w:spacing w:line="240" w:lineRule="auto"/>
              <w:ind w:firstLine="0"/>
              <w:rPr>
                <w:rFonts w:cs="Arial"/>
                <w:sz w:val="20"/>
                <w:szCs w:val="20"/>
              </w:rPr>
            </w:pPr>
            <w:r w:rsidRPr="0054450B">
              <w:rPr>
                <w:rFonts w:cs="Arial"/>
                <w:sz w:val="20"/>
                <w:szCs w:val="20"/>
              </w:rPr>
              <w:t>3.7(c)(3): Signs, Signals and Other Warning Devices:</w:t>
            </w:r>
          </w:p>
          <w:p w:rsidRPr="0054450B" w:rsidR="00E63C9C" w:rsidP="00B57B41" w:rsidRDefault="00961256" w14:paraId="2F8C8596" w14:textId="4DA89C14">
            <w:pPr>
              <w:autoSpaceDE w:val="0"/>
              <w:autoSpaceDN w:val="0"/>
              <w:adjustRightInd w:val="0"/>
              <w:spacing w:line="240" w:lineRule="auto"/>
              <w:ind w:firstLine="0"/>
              <w:rPr>
                <w:rFonts w:cs="Arial"/>
                <w:sz w:val="20"/>
                <w:szCs w:val="20"/>
              </w:rPr>
            </w:pPr>
            <w:r w:rsidRPr="0054450B">
              <w:rPr>
                <w:rFonts w:cs="Arial"/>
                <w:sz w:val="20"/>
                <w:szCs w:val="20"/>
              </w:rPr>
              <w:t xml:space="preserve">Drawings </w:t>
            </w:r>
            <w:r w:rsidRPr="0054450B" w:rsidR="0024405C">
              <w:rPr>
                <w:rFonts w:cs="Arial"/>
                <w:sz w:val="20"/>
                <w:szCs w:val="20"/>
              </w:rPr>
              <w:t>and descriptions of</w:t>
            </w:r>
            <w:r w:rsidRPr="0054450B">
              <w:rPr>
                <w:rFonts w:cs="Arial"/>
                <w:sz w:val="20"/>
                <w:szCs w:val="20"/>
              </w:rPr>
              <w:t xml:space="preserve"> the signs, signals, or other crossing warning devices</w:t>
            </w:r>
            <w:r w:rsidRPr="0054450B" w:rsidR="0024405C">
              <w:rPr>
                <w:rFonts w:cs="Arial"/>
                <w:sz w:val="20"/>
                <w:szCs w:val="20"/>
              </w:rPr>
              <w:t xml:space="preserve">, including but not limited to </w:t>
            </w:r>
            <w:r w:rsidRPr="0054450B" w:rsidR="00705A16">
              <w:rPr>
                <w:rFonts w:cs="Arial"/>
                <w:sz w:val="20"/>
                <w:szCs w:val="20"/>
              </w:rPr>
              <w:t>passive warning devices</w:t>
            </w:r>
            <w:r w:rsidRPr="0054450B" w:rsidR="007E5EC9">
              <w:rPr>
                <w:rFonts w:cs="Arial"/>
                <w:sz w:val="20"/>
                <w:szCs w:val="20"/>
              </w:rPr>
              <w:t xml:space="preserve"> (</w:t>
            </w:r>
            <w:r w:rsidRPr="0054450B" w:rsidR="008D71F6">
              <w:rPr>
                <w:rFonts w:cs="Arial"/>
                <w:sz w:val="20"/>
                <w:szCs w:val="20"/>
              </w:rPr>
              <w:t xml:space="preserve">swing </w:t>
            </w:r>
            <w:r w:rsidRPr="0054450B" w:rsidR="007E5EC9">
              <w:rPr>
                <w:rFonts w:cs="Arial"/>
                <w:sz w:val="20"/>
                <w:szCs w:val="20"/>
              </w:rPr>
              <w:t>gates, bells, and flashers)</w:t>
            </w:r>
            <w:r w:rsidRPr="0054450B" w:rsidR="00705A16">
              <w:rPr>
                <w:rFonts w:cs="Arial"/>
                <w:sz w:val="20"/>
                <w:szCs w:val="20"/>
              </w:rPr>
              <w:t xml:space="preserve">, striping, signs, chain link fencing as well as </w:t>
            </w:r>
            <w:r w:rsidRPr="0054450B" w:rsidR="008D71F6">
              <w:rPr>
                <w:rFonts w:cs="Arial"/>
                <w:sz w:val="20"/>
                <w:szCs w:val="20"/>
              </w:rPr>
              <w:t>ROW split railing</w:t>
            </w:r>
            <w:r w:rsidRPr="0054450B" w:rsidR="00F42EAC">
              <w:rPr>
                <w:rFonts w:cs="Arial"/>
                <w:sz w:val="20"/>
                <w:szCs w:val="20"/>
              </w:rPr>
              <w:t xml:space="preserve"> </w:t>
            </w:r>
            <w:r w:rsidRPr="0054450B">
              <w:rPr>
                <w:rFonts w:cs="Arial"/>
                <w:sz w:val="20"/>
                <w:szCs w:val="20"/>
              </w:rPr>
              <w:t>for the Proposed Crossing</w:t>
            </w:r>
            <w:r w:rsidRPr="0054450B" w:rsidR="008D71F6">
              <w:rPr>
                <w:rFonts w:cs="Arial"/>
                <w:sz w:val="20"/>
                <w:szCs w:val="20"/>
              </w:rPr>
              <w:t>s</w:t>
            </w:r>
            <w:r w:rsidRPr="0054450B">
              <w:rPr>
                <w:rFonts w:cs="Arial"/>
                <w:sz w:val="20"/>
                <w:szCs w:val="20"/>
              </w:rPr>
              <w:t xml:space="preserve"> are </w:t>
            </w:r>
            <w:r w:rsidRPr="0054450B" w:rsidR="008D71F6">
              <w:rPr>
                <w:rFonts w:cs="Arial"/>
                <w:sz w:val="20"/>
                <w:szCs w:val="20"/>
              </w:rPr>
              <w:t>presented in</w:t>
            </w:r>
            <w:r w:rsidRPr="0054450B" w:rsidR="0024405C">
              <w:rPr>
                <w:rFonts w:cs="Arial"/>
                <w:sz w:val="20"/>
                <w:szCs w:val="20"/>
              </w:rPr>
              <w:t xml:space="preserve"> the Application</w:t>
            </w:r>
            <w:r w:rsidRPr="0054450B" w:rsidR="00CA457A">
              <w:rPr>
                <w:rFonts w:cs="Arial"/>
                <w:sz w:val="20"/>
                <w:szCs w:val="20"/>
              </w:rPr>
              <w:t xml:space="preserve"> as Exhibit B.</w:t>
            </w:r>
            <w:r w:rsidRPr="0054450B" w:rsidR="00CA457A">
              <w:rPr>
                <w:rStyle w:val="FootnoteReference"/>
                <w:rFonts w:cs="Arial"/>
                <w:sz w:val="20"/>
                <w:szCs w:val="20"/>
              </w:rPr>
              <w:footnoteReference w:id="13"/>
            </w:r>
          </w:p>
        </w:tc>
      </w:tr>
      <w:tr w:rsidRPr="0054450B" w:rsidR="00B447C1" w:rsidTr="00642CFA" w14:paraId="58E995EB" w14:textId="77777777">
        <w:trPr>
          <w:cantSplit/>
          <w:trHeight w:val="288"/>
          <w:jc w:val="center"/>
        </w:trPr>
        <w:tc>
          <w:tcPr>
            <w:tcW w:w="1133" w:type="dxa"/>
            <w:vAlign w:val="center"/>
          </w:tcPr>
          <w:p w:rsidRPr="0054450B" w:rsidR="00B447C1" w:rsidP="00B57B41" w:rsidRDefault="00B447C1" w14:paraId="04487B6B" w14:textId="77777777">
            <w:pPr>
              <w:pStyle w:val="NoSpacing"/>
              <w:jc w:val="center"/>
              <w:rPr>
                <w:rFonts w:cs="Arial"/>
                <w:sz w:val="20"/>
                <w:szCs w:val="20"/>
              </w:rPr>
            </w:pPr>
            <w:r w:rsidRPr="0054450B">
              <w:rPr>
                <w:rFonts w:cs="Arial"/>
                <w:sz w:val="20"/>
                <w:szCs w:val="20"/>
              </w:rPr>
              <w:t>3.7 (d)</w:t>
            </w:r>
          </w:p>
        </w:tc>
        <w:tc>
          <w:tcPr>
            <w:tcW w:w="8227" w:type="dxa"/>
            <w:vAlign w:val="center"/>
          </w:tcPr>
          <w:p w:rsidRPr="0054450B" w:rsidR="00CA457A" w:rsidP="00B57B41" w:rsidRDefault="00B447C1" w14:paraId="391E427D" w14:textId="2590EC36">
            <w:pPr>
              <w:autoSpaceDE w:val="0"/>
              <w:autoSpaceDN w:val="0"/>
              <w:adjustRightInd w:val="0"/>
              <w:spacing w:line="240" w:lineRule="auto"/>
              <w:ind w:firstLine="0"/>
              <w:rPr>
                <w:rFonts w:cs="Arial"/>
                <w:sz w:val="20"/>
                <w:szCs w:val="20"/>
              </w:rPr>
            </w:pPr>
            <w:r w:rsidRPr="0054450B">
              <w:rPr>
                <w:rFonts w:cs="Arial"/>
                <w:sz w:val="20"/>
                <w:szCs w:val="20"/>
              </w:rPr>
              <w:t>Maps</w:t>
            </w:r>
            <w:r w:rsidRPr="0054450B" w:rsidR="009F54A7">
              <w:rPr>
                <w:rFonts w:cs="Arial"/>
                <w:sz w:val="20"/>
                <w:szCs w:val="20"/>
              </w:rPr>
              <w:t xml:space="preserve"> and Drawings</w:t>
            </w:r>
            <w:r w:rsidRPr="0054450B">
              <w:rPr>
                <w:rFonts w:cs="Arial"/>
                <w:sz w:val="20"/>
                <w:szCs w:val="20"/>
              </w:rPr>
              <w:t xml:space="preserve"> in compliance with Rule 3.7 (d)</w:t>
            </w:r>
            <w:r w:rsidR="00D059C5">
              <w:rPr>
                <w:rFonts w:cs="Arial"/>
                <w:sz w:val="20"/>
                <w:szCs w:val="20"/>
              </w:rPr>
              <w:t>,</w:t>
            </w:r>
            <w:r w:rsidRPr="0054450B">
              <w:rPr>
                <w:rFonts w:cs="Arial"/>
                <w:sz w:val="20"/>
                <w:szCs w:val="20"/>
              </w:rPr>
              <w:t xml:space="preserve"> are included as Exhibit </w:t>
            </w:r>
            <w:r w:rsidRPr="0054450B" w:rsidR="00B94C12">
              <w:rPr>
                <w:rFonts w:cs="Arial"/>
                <w:sz w:val="20"/>
                <w:szCs w:val="20"/>
              </w:rPr>
              <w:t>B</w:t>
            </w:r>
            <w:r w:rsidRPr="0054450B">
              <w:rPr>
                <w:rFonts w:cs="Arial"/>
                <w:sz w:val="20"/>
                <w:szCs w:val="20"/>
              </w:rPr>
              <w:t xml:space="preserve"> </w:t>
            </w:r>
            <w:r w:rsidRPr="0054450B" w:rsidR="00705FE2">
              <w:rPr>
                <w:rFonts w:cs="Arial"/>
                <w:sz w:val="20"/>
                <w:szCs w:val="20"/>
              </w:rPr>
              <w:t>to</w:t>
            </w:r>
            <w:r w:rsidRPr="0054450B">
              <w:rPr>
                <w:rFonts w:cs="Arial"/>
                <w:sz w:val="20"/>
                <w:szCs w:val="20"/>
              </w:rPr>
              <w:t xml:space="preserve"> the</w:t>
            </w:r>
            <w:r w:rsidRPr="0054450B" w:rsidR="00B94C12">
              <w:rPr>
                <w:rFonts w:cs="Arial"/>
                <w:sz w:val="20"/>
                <w:szCs w:val="20"/>
              </w:rPr>
              <w:t xml:space="preserve"> </w:t>
            </w:r>
            <w:r w:rsidRPr="0054450B">
              <w:rPr>
                <w:rFonts w:cs="Arial"/>
                <w:sz w:val="20"/>
                <w:szCs w:val="20"/>
              </w:rPr>
              <w:t>Application</w:t>
            </w:r>
            <w:r w:rsidRPr="0054450B" w:rsidR="00CA457A">
              <w:rPr>
                <w:rFonts w:cs="Arial"/>
                <w:sz w:val="20"/>
                <w:szCs w:val="20"/>
              </w:rPr>
              <w:t>.</w:t>
            </w:r>
            <w:r w:rsidRPr="0054450B" w:rsidR="00CA457A">
              <w:rPr>
                <w:rStyle w:val="FootnoteReference"/>
                <w:rFonts w:cs="Arial"/>
                <w:sz w:val="20"/>
                <w:szCs w:val="20"/>
              </w:rPr>
              <w:footnoteReference w:id="14"/>
            </w:r>
          </w:p>
        </w:tc>
      </w:tr>
      <w:tr w:rsidRPr="0054450B" w:rsidR="00B447C1" w:rsidTr="00642CFA" w14:paraId="7BD5D5ED" w14:textId="77777777">
        <w:trPr>
          <w:cantSplit/>
          <w:trHeight w:val="288"/>
          <w:jc w:val="center"/>
        </w:trPr>
        <w:tc>
          <w:tcPr>
            <w:tcW w:w="1133" w:type="dxa"/>
            <w:vAlign w:val="center"/>
          </w:tcPr>
          <w:p w:rsidRPr="0054450B" w:rsidR="00B447C1" w:rsidP="00B57B41" w:rsidRDefault="00B447C1" w14:paraId="1429306A" w14:textId="77777777">
            <w:pPr>
              <w:pStyle w:val="NoSpacing"/>
              <w:jc w:val="center"/>
              <w:rPr>
                <w:rFonts w:cs="Arial"/>
                <w:sz w:val="20"/>
                <w:szCs w:val="20"/>
              </w:rPr>
            </w:pPr>
            <w:r w:rsidRPr="0054450B">
              <w:rPr>
                <w:rFonts w:cs="Arial"/>
                <w:sz w:val="20"/>
                <w:szCs w:val="20"/>
              </w:rPr>
              <w:t>3.7 (e)</w:t>
            </w:r>
          </w:p>
        </w:tc>
        <w:tc>
          <w:tcPr>
            <w:tcW w:w="8227" w:type="dxa"/>
            <w:vAlign w:val="center"/>
          </w:tcPr>
          <w:p w:rsidRPr="0054450B" w:rsidR="00B447C1" w:rsidP="00B57B41" w:rsidRDefault="00705FE2" w14:paraId="058FE1CB" w14:textId="43C29B19">
            <w:pPr>
              <w:autoSpaceDE w:val="0"/>
              <w:autoSpaceDN w:val="0"/>
              <w:adjustRightInd w:val="0"/>
              <w:spacing w:line="240" w:lineRule="auto"/>
              <w:ind w:firstLine="0"/>
              <w:rPr>
                <w:rFonts w:cs="Arial"/>
                <w:sz w:val="20"/>
                <w:szCs w:val="20"/>
              </w:rPr>
            </w:pPr>
            <w:r w:rsidRPr="0054450B">
              <w:rPr>
                <w:rFonts w:cs="Arial"/>
                <w:sz w:val="20"/>
                <w:szCs w:val="20"/>
              </w:rPr>
              <w:t xml:space="preserve">Maps in compliance with Rule 3.7 (e) are included as </w:t>
            </w:r>
            <w:r w:rsidRPr="0054450B" w:rsidR="00B94C12">
              <w:rPr>
                <w:rFonts w:cs="Arial"/>
                <w:sz w:val="20"/>
                <w:szCs w:val="20"/>
              </w:rPr>
              <w:t>Exhibit B to the Application</w:t>
            </w:r>
            <w:r w:rsidRPr="0054450B" w:rsidR="00CA457A">
              <w:rPr>
                <w:rFonts w:cs="Arial"/>
                <w:sz w:val="20"/>
                <w:szCs w:val="20"/>
              </w:rPr>
              <w:t>.</w:t>
            </w:r>
            <w:r w:rsidRPr="0054450B" w:rsidR="00CA457A">
              <w:rPr>
                <w:rStyle w:val="FootnoteReference"/>
                <w:rFonts w:cs="Arial"/>
                <w:sz w:val="20"/>
                <w:szCs w:val="20"/>
              </w:rPr>
              <w:footnoteReference w:id="15"/>
            </w:r>
            <w:r w:rsidRPr="0054450B">
              <w:rPr>
                <w:rFonts w:cs="Arial"/>
                <w:sz w:val="20"/>
                <w:szCs w:val="20"/>
              </w:rPr>
              <w:t xml:space="preserve"> </w:t>
            </w:r>
          </w:p>
        </w:tc>
      </w:tr>
      <w:tr w:rsidRPr="0054450B" w:rsidR="00B447C1" w:rsidTr="00642CFA" w14:paraId="216F0F88" w14:textId="77777777">
        <w:trPr>
          <w:cantSplit/>
          <w:trHeight w:val="1745"/>
          <w:jc w:val="center"/>
        </w:trPr>
        <w:tc>
          <w:tcPr>
            <w:tcW w:w="1133" w:type="dxa"/>
            <w:vAlign w:val="center"/>
          </w:tcPr>
          <w:p w:rsidRPr="0054450B" w:rsidR="00B447C1" w:rsidP="00B57B41" w:rsidRDefault="00B447C1" w14:paraId="557CD33E" w14:textId="77777777">
            <w:pPr>
              <w:pStyle w:val="NoSpacing"/>
              <w:jc w:val="center"/>
              <w:rPr>
                <w:rFonts w:cs="Arial"/>
                <w:sz w:val="20"/>
                <w:szCs w:val="20"/>
              </w:rPr>
            </w:pPr>
            <w:r w:rsidRPr="0054450B">
              <w:rPr>
                <w:rFonts w:cs="Arial"/>
                <w:sz w:val="20"/>
                <w:szCs w:val="20"/>
              </w:rPr>
              <w:t>3.7 (f)</w:t>
            </w:r>
          </w:p>
        </w:tc>
        <w:tc>
          <w:tcPr>
            <w:tcW w:w="8227" w:type="dxa"/>
            <w:vAlign w:val="center"/>
          </w:tcPr>
          <w:p w:rsidRPr="0054450B" w:rsidR="00B447C1" w:rsidP="00B57B41" w:rsidRDefault="00CC0A01" w14:paraId="1CE1E731" w14:textId="550B4119">
            <w:pPr>
              <w:autoSpaceDE w:val="0"/>
              <w:autoSpaceDN w:val="0"/>
              <w:adjustRightInd w:val="0"/>
              <w:spacing w:line="240" w:lineRule="auto"/>
              <w:ind w:firstLine="0"/>
              <w:rPr>
                <w:rFonts w:cs="Arial"/>
                <w:sz w:val="20"/>
                <w:szCs w:val="20"/>
              </w:rPr>
            </w:pPr>
            <w:r w:rsidRPr="0054450B">
              <w:rPr>
                <w:rFonts w:cs="Arial"/>
                <w:sz w:val="20"/>
                <w:szCs w:val="20"/>
              </w:rPr>
              <w:t xml:space="preserve">Profiles showing required ground line, grade line, and rate of grade </w:t>
            </w:r>
            <w:r w:rsidRPr="0054450B" w:rsidR="009F54A7">
              <w:rPr>
                <w:rFonts w:cs="Arial"/>
                <w:sz w:val="20"/>
                <w:szCs w:val="20"/>
              </w:rPr>
              <w:t>construction details</w:t>
            </w:r>
            <w:r w:rsidRPr="0054450B">
              <w:rPr>
                <w:rFonts w:cs="Arial"/>
                <w:sz w:val="20"/>
                <w:szCs w:val="20"/>
              </w:rPr>
              <w:t xml:space="preserve"> for the Proposed Crossing</w:t>
            </w:r>
            <w:r w:rsidRPr="0054450B" w:rsidR="008D71F6">
              <w:rPr>
                <w:rFonts w:cs="Arial"/>
                <w:sz w:val="20"/>
                <w:szCs w:val="20"/>
              </w:rPr>
              <w:t>s</w:t>
            </w:r>
            <w:r w:rsidRPr="0054450B" w:rsidR="009F54A7">
              <w:rPr>
                <w:rFonts w:cs="Arial"/>
                <w:sz w:val="20"/>
                <w:szCs w:val="20"/>
              </w:rPr>
              <w:t>,</w:t>
            </w:r>
            <w:r w:rsidRPr="0054450B" w:rsidR="00B447C1">
              <w:rPr>
                <w:rFonts w:cs="Arial"/>
                <w:sz w:val="20"/>
                <w:szCs w:val="20"/>
              </w:rPr>
              <w:t xml:space="preserve"> in compliance with Rule 3.7 (f)</w:t>
            </w:r>
            <w:r w:rsidRPr="0054450B" w:rsidR="009F54A7">
              <w:rPr>
                <w:rFonts w:cs="Arial"/>
                <w:sz w:val="20"/>
                <w:szCs w:val="20"/>
              </w:rPr>
              <w:t xml:space="preserve">, </w:t>
            </w:r>
            <w:r w:rsidRPr="0054450B" w:rsidR="00B447C1">
              <w:rPr>
                <w:rFonts w:cs="Arial"/>
                <w:sz w:val="20"/>
                <w:szCs w:val="20"/>
              </w:rPr>
              <w:t xml:space="preserve">are included </w:t>
            </w:r>
            <w:proofErr w:type="gramStart"/>
            <w:r w:rsidRPr="0054450B" w:rsidR="00E12C26">
              <w:rPr>
                <w:rFonts w:cs="Arial"/>
                <w:sz w:val="20"/>
                <w:szCs w:val="20"/>
              </w:rPr>
              <w:t>at</w:t>
            </w:r>
            <w:proofErr w:type="gramEnd"/>
            <w:r w:rsidRPr="0054450B" w:rsidR="00E12C26">
              <w:rPr>
                <w:rFonts w:cs="Arial"/>
                <w:sz w:val="20"/>
                <w:szCs w:val="20"/>
              </w:rPr>
              <w:t xml:space="preserve"> </w:t>
            </w:r>
            <w:r w:rsidRPr="0054450B" w:rsidR="00896E58">
              <w:rPr>
                <w:rFonts w:cs="Arial"/>
                <w:sz w:val="20"/>
                <w:szCs w:val="20"/>
              </w:rPr>
              <w:t>Exhibit B to the</w:t>
            </w:r>
            <w:r w:rsidRPr="0054450B" w:rsidR="00B447C1">
              <w:rPr>
                <w:rFonts w:cs="Arial"/>
                <w:sz w:val="20"/>
                <w:szCs w:val="20"/>
              </w:rPr>
              <w:t xml:space="preserve"> Application</w:t>
            </w:r>
            <w:r w:rsidRPr="0054450B" w:rsidR="00896E58">
              <w:rPr>
                <w:rFonts w:cs="Arial"/>
                <w:sz w:val="20"/>
                <w:szCs w:val="20"/>
              </w:rPr>
              <w:t>.</w:t>
            </w:r>
          </w:p>
        </w:tc>
      </w:tr>
    </w:tbl>
    <w:p w:rsidRPr="0041190E" w:rsidR="00174338" w:rsidP="00642CFA" w:rsidRDefault="00073519" w14:paraId="36544950" w14:textId="0BE44536">
      <w:pPr>
        <w:pStyle w:val="Standard"/>
        <w:spacing w:before="360"/>
      </w:pPr>
      <w:r w:rsidRPr="0041190E">
        <w:lastRenderedPageBreak/>
        <w:t>The Commission</w:t>
      </w:r>
      <w:r w:rsidRPr="0041190E" w:rsidR="00BF26D3">
        <w:t>’</w:t>
      </w:r>
      <w:r w:rsidRPr="0041190E">
        <w:t xml:space="preserve">s </w:t>
      </w:r>
      <w:r w:rsidRPr="0041190E" w:rsidR="003B6CAE">
        <w:t xml:space="preserve">RSD </w:t>
      </w:r>
      <w:r w:rsidRPr="0041190E" w:rsidR="009A7C5C">
        <w:t>was</w:t>
      </w:r>
      <w:r w:rsidRPr="0041190E" w:rsidR="003B6CAE">
        <w:t xml:space="preserve"> </w:t>
      </w:r>
      <w:r w:rsidRPr="0041190E" w:rsidR="00705231">
        <w:t>required to evaluate the</w:t>
      </w:r>
      <w:r w:rsidRPr="0041190E" w:rsidR="003B6CAE">
        <w:t xml:space="preserve"> proposed construction of</w:t>
      </w:r>
      <w:r w:rsidRPr="0041190E" w:rsidR="007147C1">
        <w:t xml:space="preserve"> </w:t>
      </w:r>
      <w:r w:rsidRPr="0041190E" w:rsidR="003B6CAE">
        <w:t>the rail crossing herein.</w:t>
      </w:r>
      <w:r w:rsidRPr="0041190E" w:rsidR="003B6CAE">
        <w:rPr>
          <w:rStyle w:val="FootnoteReference"/>
        </w:rPr>
        <w:footnoteReference w:id="16"/>
      </w:r>
      <w:r w:rsidRPr="0041190E" w:rsidR="003B6CAE">
        <w:t xml:space="preserve"> To this end, </w:t>
      </w:r>
      <w:r w:rsidRPr="0041190E" w:rsidR="00BF41CA">
        <w:t>RSD</w:t>
      </w:r>
      <w:r w:rsidRPr="0041190E" w:rsidR="008861AB">
        <w:t xml:space="preserve"> </w:t>
      </w:r>
      <w:r w:rsidRPr="0041190E" w:rsidR="00E32ED5">
        <w:t xml:space="preserve">initially </w:t>
      </w:r>
      <w:r w:rsidRPr="0041190E" w:rsidR="003B6CAE">
        <w:t xml:space="preserve">conducted a </w:t>
      </w:r>
      <w:r w:rsidRPr="0041190E" w:rsidR="00E32ED5">
        <w:t xml:space="preserve">field </w:t>
      </w:r>
      <w:r w:rsidRPr="0041190E" w:rsidR="003B6CAE">
        <w:t>diagnostic rev</w:t>
      </w:r>
      <w:r w:rsidRPr="0041190E" w:rsidR="00E32ED5">
        <w:t>iew meeting, reviewed project documentations, and</w:t>
      </w:r>
      <w:r w:rsidRPr="0041190E" w:rsidR="0077738B">
        <w:t xml:space="preserve"> </w:t>
      </w:r>
      <w:r w:rsidRPr="0041190E" w:rsidR="00FF6C4E">
        <w:t>discussed the location and design of the Proposed Crossing</w:t>
      </w:r>
      <w:r w:rsidRPr="0041190E" w:rsidR="00E32ED5">
        <w:t xml:space="preserve">s </w:t>
      </w:r>
      <w:r w:rsidRPr="0041190E" w:rsidR="00FF6C4E">
        <w:t>with Applicant</w:t>
      </w:r>
      <w:r w:rsidRPr="0041190E" w:rsidR="003B6CAE">
        <w:t xml:space="preserve"> on </w:t>
      </w:r>
      <w:r w:rsidRPr="0041190E" w:rsidR="00D63940">
        <w:t xml:space="preserve">June </w:t>
      </w:r>
      <w:r w:rsidRPr="0041190E" w:rsidR="00E32ED5">
        <w:t>29</w:t>
      </w:r>
      <w:r w:rsidRPr="0041190E" w:rsidR="004C05DA">
        <w:t xml:space="preserve">, </w:t>
      </w:r>
      <w:r w:rsidRPr="0041190E" w:rsidR="00E32ED5">
        <w:t>2023, with a follow-up on October 11, 2024.</w:t>
      </w:r>
      <w:r w:rsidRPr="0041190E" w:rsidR="00C221F3">
        <w:rPr>
          <w:rStyle w:val="FootnoteReference"/>
        </w:rPr>
        <w:footnoteReference w:id="17"/>
      </w:r>
      <w:r w:rsidRPr="0041190E" w:rsidR="00E32ED5">
        <w:t xml:space="preserve"> RSD </w:t>
      </w:r>
      <w:r w:rsidRPr="0041190E" w:rsidR="008861AB">
        <w:t>found no safety concerns</w:t>
      </w:r>
      <w:r w:rsidRPr="0041190E" w:rsidR="00705231">
        <w:t xml:space="preserve"> </w:t>
      </w:r>
      <w:r w:rsidRPr="0041190E" w:rsidR="008A1686">
        <w:t xml:space="preserve">or issues </w:t>
      </w:r>
      <w:r w:rsidRPr="0041190E" w:rsidR="00705231">
        <w:t xml:space="preserve">with </w:t>
      </w:r>
      <w:r w:rsidRPr="0041190E" w:rsidR="00DD0C9B">
        <w:t xml:space="preserve">the </w:t>
      </w:r>
      <w:r w:rsidRPr="0041190E" w:rsidR="00213C2E">
        <w:t>Proposed Crossing</w:t>
      </w:r>
      <w:r w:rsidRPr="0041190E" w:rsidR="004D0080">
        <w:t xml:space="preserve">, reviewed the Application on </w:t>
      </w:r>
      <w:r w:rsidRPr="0041190E" w:rsidR="00E32ED5">
        <w:t>April 10, 2025</w:t>
      </w:r>
      <w:r w:rsidRPr="0041190E" w:rsidR="004029B1">
        <w:t>,</w:t>
      </w:r>
      <w:r w:rsidRPr="0041190E" w:rsidR="009A7C5C">
        <w:t xml:space="preserve"> and filed its</w:t>
      </w:r>
      <w:r w:rsidRPr="0041190E" w:rsidR="004B1FFF">
        <w:t xml:space="preserve"> </w:t>
      </w:r>
      <w:r w:rsidRPr="0041190E" w:rsidR="00E32ED5">
        <w:t>April 15</w:t>
      </w:r>
      <w:r w:rsidRPr="0041190E" w:rsidR="003B219D">
        <w:t xml:space="preserve">, </w:t>
      </w:r>
      <w:r w:rsidRPr="0041190E" w:rsidR="00E32ED5">
        <w:t>2025</w:t>
      </w:r>
      <w:r w:rsidRPr="0041190E" w:rsidR="00CF1B68">
        <w:t xml:space="preserve"> Response</w:t>
      </w:r>
      <w:r w:rsidRPr="0041190E" w:rsidR="00C027EB">
        <w:t xml:space="preserve">. </w:t>
      </w:r>
      <w:r w:rsidRPr="0041190E" w:rsidR="009A7C5C">
        <w:t>RSD concluded</w:t>
      </w:r>
      <w:r w:rsidRPr="0041190E" w:rsidR="00BF41CA">
        <w:t xml:space="preserve"> th</w:t>
      </w:r>
      <w:r w:rsidRPr="0041190E" w:rsidR="00C027EB">
        <w:t>at</w:t>
      </w:r>
      <w:r w:rsidRPr="0041190E" w:rsidR="00BF41CA">
        <w:t xml:space="preserve"> </w:t>
      </w:r>
      <w:r w:rsidRPr="0041190E" w:rsidR="00C027EB">
        <w:t>A.</w:t>
      </w:r>
      <w:r w:rsidRPr="0041190E" w:rsidR="00E32ED5">
        <w:t>25-03</w:t>
      </w:r>
      <w:r w:rsidRPr="0041190E" w:rsidR="00AF7ECB">
        <w:t>-</w:t>
      </w:r>
      <w:r w:rsidRPr="0041190E" w:rsidR="00E32ED5">
        <w:t>014</w:t>
      </w:r>
      <w:r w:rsidRPr="0041190E" w:rsidR="00BF41CA">
        <w:t xml:space="preserve"> complied with </w:t>
      </w:r>
      <w:r w:rsidRPr="0041190E" w:rsidR="00FD65E7">
        <w:t xml:space="preserve">the </w:t>
      </w:r>
      <w:r w:rsidRPr="0041190E" w:rsidR="00AC66FA">
        <w:t xml:space="preserve">applicable safety and regulatory requirements provided in </w:t>
      </w:r>
      <w:bookmarkStart w:name="_Hlk170931509" w:id="35"/>
      <w:r w:rsidRPr="0041190E" w:rsidR="00AC66FA">
        <w:t>1</w:t>
      </w:r>
      <w:r w:rsidRPr="0041190E" w:rsidR="005B4687">
        <w:t>)</w:t>
      </w:r>
      <w:r w:rsidRPr="0041190E" w:rsidR="009E244F">
        <w:rPr>
          <w:szCs w:val="26"/>
        </w:rPr>
        <w:t xml:space="preserve"> </w:t>
      </w:r>
      <w:r w:rsidRPr="0041190E" w:rsidR="00774B03">
        <w:t>Pub. Util.</w:t>
      </w:r>
      <w:r w:rsidRPr="0041190E" w:rsidR="00AC66FA">
        <w:t xml:space="preserve"> Code </w:t>
      </w:r>
      <w:r w:rsidRPr="0041190E" w:rsidR="007A740D">
        <w:t>Sections</w:t>
      </w:r>
      <w:r w:rsidRPr="0041190E" w:rsidR="00B67637">
        <w:rPr>
          <w:szCs w:val="26"/>
        </w:rPr>
        <w:t> </w:t>
      </w:r>
      <w:r w:rsidRPr="0041190E" w:rsidR="00AC66FA">
        <w:t>1201</w:t>
      </w:r>
      <w:r w:rsidRPr="0041190E" w:rsidR="00AC66FA">
        <w:rPr>
          <w:szCs w:val="26"/>
        </w:rPr>
        <w:t xml:space="preserve"> through </w:t>
      </w:r>
      <w:r w:rsidRPr="0041190E" w:rsidR="00AC66FA">
        <w:t>120</w:t>
      </w:r>
      <w:r w:rsidRPr="0041190E" w:rsidR="00FF6C4E">
        <w:t>5</w:t>
      </w:r>
      <w:r w:rsidRPr="0041190E" w:rsidR="00174338">
        <w:t xml:space="preserve">, </w:t>
      </w:r>
      <w:r w:rsidRPr="0041190E" w:rsidR="00DE4CB1">
        <w:t xml:space="preserve">and </w:t>
      </w:r>
      <w:r w:rsidR="00D059C5">
        <w:t>2</w:t>
      </w:r>
      <w:r w:rsidRPr="0041190E" w:rsidR="005B4687">
        <w:t>)</w:t>
      </w:r>
      <w:r w:rsidRPr="0041190E" w:rsidR="00B67637">
        <w:rPr>
          <w:szCs w:val="26"/>
        </w:rPr>
        <w:t> </w:t>
      </w:r>
      <w:r w:rsidRPr="0041190E" w:rsidR="00BF41CA">
        <w:t xml:space="preserve">relevant </w:t>
      </w:r>
      <w:r w:rsidRPr="0041190E" w:rsidR="00FD65E7">
        <w:t xml:space="preserve">Commission </w:t>
      </w:r>
      <w:r w:rsidRPr="0041190E" w:rsidR="00BF41CA">
        <w:t>G</w:t>
      </w:r>
      <w:r w:rsidRPr="0041190E" w:rsidR="00AC66FA">
        <w:t>eneral Order</w:t>
      </w:r>
      <w:r w:rsidR="00D059C5">
        <w:t>s</w:t>
      </w:r>
      <w:r w:rsidRPr="0041190E" w:rsidR="001F32FA">
        <w:t xml:space="preserve"> (GO) </w:t>
      </w:r>
      <w:r w:rsidRPr="0041190E" w:rsidR="00174338">
        <w:t>72</w:t>
      </w:r>
      <w:r w:rsidRPr="0041190E" w:rsidR="00174338">
        <w:noBreakHyphen/>
        <w:t>B</w:t>
      </w:r>
      <w:r w:rsidRPr="0041190E" w:rsidR="00174338">
        <w:rPr>
          <w:rStyle w:val="FootnoteReference"/>
        </w:rPr>
        <w:footnoteReference w:id="18"/>
      </w:r>
      <w:r w:rsidRPr="0041190E" w:rsidR="00174338">
        <w:t xml:space="preserve"> </w:t>
      </w:r>
      <w:r w:rsidRPr="0041190E" w:rsidR="00E32ED5">
        <w:t xml:space="preserve">and </w:t>
      </w:r>
      <w:r w:rsidRPr="0041190E" w:rsidR="007B2D2A">
        <w:t xml:space="preserve">GO </w:t>
      </w:r>
      <w:r w:rsidRPr="0041190E" w:rsidR="00174338">
        <w:t>75</w:t>
      </w:r>
      <w:r w:rsidRPr="0041190E" w:rsidR="00174338">
        <w:noBreakHyphen/>
        <w:t>D</w:t>
      </w:r>
      <w:r w:rsidR="00D059C5">
        <w:t>,</w:t>
      </w:r>
      <w:r w:rsidRPr="0041190E" w:rsidR="00174338">
        <w:rPr>
          <w:rStyle w:val="FootnoteReference"/>
        </w:rPr>
        <w:footnoteReference w:id="19"/>
      </w:r>
      <w:r w:rsidRPr="0041190E" w:rsidR="00E32ED5">
        <w:t xml:space="preserve"> </w:t>
      </w:r>
      <w:r w:rsidRPr="0041190E" w:rsidR="00705231">
        <w:t>as follows</w:t>
      </w:r>
      <w:r w:rsidRPr="0041190E" w:rsidR="00BF41CA">
        <w:t>:</w:t>
      </w:r>
    </w:p>
    <w:p w:rsidRPr="0041190E" w:rsidR="00174338" w:rsidP="004F239C" w:rsidRDefault="00174338" w14:paraId="6A36C946" w14:textId="1D53F210">
      <w:pPr>
        <w:pStyle w:val="ListNum"/>
        <w:keepNext/>
        <w:keepLines/>
        <w:numPr>
          <w:ilvl w:val="6"/>
          <w:numId w:val="22"/>
        </w:numPr>
        <w:ind w:left="1080" w:right="1440"/>
      </w:pPr>
      <w:r w:rsidRPr="0041190E">
        <w:t xml:space="preserve">Public Utilities Code Sections 1201 – 1205: Applicant applied to the Commission for authority to construct </w:t>
      </w:r>
      <w:r w:rsidRPr="0041190E" w:rsidR="00951E27">
        <w:t>two</w:t>
      </w:r>
      <w:r w:rsidRPr="0041190E">
        <w:t xml:space="preserve"> </w:t>
      </w:r>
      <w:r w:rsidRPr="0041190E" w:rsidR="00F22948">
        <w:t xml:space="preserve">new at-grade </w:t>
      </w:r>
      <w:r w:rsidRPr="0041190E" w:rsidR="00951E27">
        <w:t>pedestrian</w:t>
      </w:r>
      <w:r w:rsidRPr="0041190E" w:rsidR="00F22948">
        <w:t xml:space="preserve"> rail crossing</w:t>
      </w:r>
      <w:r w:rsidRPr="0041190E" w:rsidR="00951E27">
        <w:t>s</w:t>
      </w:r>
      <w:r w:rsidRPr="0041190E" w:rsidR="00F22948">
        <w:t xml:space="preserve"> under </w:t>
      </w:r>
      <w:r w:rsidRPr="0041190E" w:rsidR="00951E27">
        <w:t xml:space="preserve">the </w:t>
      </w:r>
      <w:r w:rsidRPr="0041190E">
        <w:t xml:space="preserve">applicable Public Utilities Code </w:t>
      </w:r>
      <w:r w:rsidRPr="0041190E" w:rsidR="00951E27">
        <w:t>S</w:t>
      </w:r>
      <w:r w:rsidRPr="0041190E">
        <w:t>ections.</w:t>
      </w:r>
    </w:p>
    <w:p w:rsidRPr="0041190E" w:rsidR="001F32FA" w:rsidP="004F239C" w:rsidRDefault="00174338" w14:paraId="0D8382E1" w14:textId="764FFBA4">
      <w:pPr>
        <w:pStyle w:val="ListNum"/>
        <w:keepNext/>
        <w:numPr>
          <w:ilvl w:val="6"/>
          <w:numId w:val="22"/>
        </w:numPr>
        <w:ind w:left="1080" w:right="1440"/>
      </w:pPr>
      <w:r w:rsidRPr="0041190E">
        <w:t xml:space="preserve">General </w:t>
      </w:r>
      <w:r w:rsidRPr="0041190E" w:rsidR="004F239C">
        <w:t>Order </w:t>
      </w:r>
      <w:r w:rsidRPr="0041190E">
        <w:t xml:space="preserve">72-B: </w:t>
      </w:r>
    </w:p>
    <w:p w:rsidRPr="0041190E" w:rsidR="00174338" w:rsidP="00F22948" w:rsidRDefault="00951E27" w14:paraId="52D4615D" w14:textId="4F3FE0E3">
      <w:pPr>
        <w:pStyle w:val="BlockQuote0"/>
        <w:ind w:left="1080"/>
      </w:pPr>
      <w:r w:rsidRPr="0041190E">
        <w:t>[</w:t>
      </w:r>
      <w:r w:rsidRPr="0041190E" w:rsidR="00174338">
        <w:t>The at-grade</w:t>
      </w:r>
      <w:r w:rsidRPr="0041190E">
        <w:t>]</w:t>
      </w:r>
      <w:r w:rsidRPr="0041190E" w:rsidR="00174338">
        <w:t xml:space="preserve"> </w:t>
      </w:r>
      <w:r w:rsidRPr="0041190E">
        <w:t>[c]</w:t>
      </w:r>
      <w:proofErr w:type="spellStart"/>
      <w:r w:rsidRPr="0041190E" w:rsidR="00174338">
        <w:t>rossing</w:t>
      </w:r>
      <w:proofErr w:type="spellEnd"/>
      <w:r w:rsidRPr="0041190E">
        <w:t xml:space="preserve"> surface[s] . . . [are] in compliance with GO 72-B</w:t>
      </w:r>
      <w:r w:rsidRPr="0041190E" w:rsidR="00174338">
        <w:t>.</w:t>
      </w:r>
    </w:p>
    <w:p w:rsidRPr="0041190E" w:rsidR="001F32FA" w:rsidP="004F239C" w:rsidRDefault="00174338" w14:paraId="5807857D" w14:textId="3E79C9F6">
      <w:pPr>
        <w:pStyle w:val="ListNum"/>
        <w:keepNext/>
        <w:numPr>
          <w:ilvl w:val="6"/>
          <w:numId w:val="22"/>
        </w:numPr>
        <w:ind w:left="1080" w:right="1440"/>
      </w:pPr>
      <w:r w:rsidRPr="0041190E">
        <w:t xml:space="preserve">General </w:t>
      </w:r>
      <w:r w:rsidRPr="0041190E" w:rsidR="004F239C">
        <w:t>Order </w:t>
      </w:r>
      <w:r w:rsidRPr="0041190E">
        <w:t xml:space="preserve">75-D: </w:t>
      </w:r>
    </w:p>
    <w:p w:rsidRPr="0041190E" w:rsidR="00174338" w:rsidP="00951E27" w:rsidRDefault="00951E27" w14:paraId="7C647B84" w14:textId="5D53FBA3">
      <w:pPr>
        <w:pStyle w:val="BlockQuote0"/>
        <w:ind w:left="1080"/>
      </w:pPr>
      <w:proofErr w:type="gramStart"/>
      <w:r w:rsidRPr="0041190E">
        <w:t>Crossings</w:t>
      </w:r>
      <w:proofErr w:type="gramEnd"/>
      <w:r w:rsidRPr="0041190E">
        <w:t xml:space="preserve"> identification and emergency notification telephone </w:t>
      </w:r>
      <w:proofErr w:type="gramStart"/>
      <w:r w:rsidRPr="0041190E">
        <w:t>number</w:t>
      </w:r>
      <w:proofErr w:type="gramEnd"/>
      <w:r w:rsidRPr="0041190E">
        <w:t xml:space="preserve"> will be posted to </w:t>
      </w:r>
      <w:proofErr w:type="gramStart"/>
      <w:r w:rsidRPr="0041190E">
        <w:t>be in compliance with</w:t>
      </w:r>
      <w:proofErr w:type="gramEnd"/>
      <w:r w:rsidRPr="0041190E">
        <w:t xml:space="preserve"> GO 75-D, Section 5.1</w:t>
      </w:r>
      <w:r w:rsidRPr="0041190E" w:rsidR="00521A9F">
        <w:t>.</w:t>
      </w:r>
      <w:r w:rsidRPr="0041190E" w:rsidR="00C81006">
        <w:rPr>
          <w:rStyle w:val="FootnoteReference"/>
        </w:rPr>
        <w:footnoteReference w:id="20"/>
      </w:r>
    </w:p>
    <w:bookmarkEnd w:id="35"/>
    <w:p w:rsidRPr="0041190E" w:rsidR="005D317C" w:rsidP="00F15F96" w:rsidRDefault="00AD26AA" w14:paraId="7F447570" w14:textId="379624B5">
      <w:pPr>
        <w:pStyle w:val="Standard"/>
      </w:pPr>
      <w:r w:rsidRPr="0041190E">
        <w:lastRenderedPageBreak/>
        <w:t>RSD</w:t>
      </w:r>
      <w:r w:rsidRPr="0041190E" w:rsidR="00BF41CA">
        <w:t xml:space="preserve"> has no objection to the construction of the </w:t>
      </w:r>
      <w:r w:rsidRPr="0041190E" w:rsidR="00213C2E">
        <w:t>Proposed Crossing</w:t>
      </w:r>
      <w:r w:rsidRPr="0041190E" w:rsidR="00951E27">
        <w:t>s</w:t>
      </w:r>
      <w:r w:rsidRPr="0041190E" w:rsidR="00DD0C9B">
        <w:t xml:space="preserve"> </w:t>
      </w:r>
      <w:r w:rsidRPr="0041190E" w:rsidR="00BF41CA">
        <w:t xml:space="preserve">and recommends </w:t>
      </w:r>
      <w:r w:rsidRPr="0041190E" w:rsidR="00DD0C9B">
        <w:t>the Commission approve A.</w:t>
      </w:r>
      <w:r w:rsidRPr="0041190E" w:rsidR="00951E27">
        <w:t>25</w:t>
      </w:r>
      <w:r w:rsidRPr="0041190E" w:rsidR="00AF7ECB">
        <w:t>-</w:t>
      </w:r>
      <w:r w:rsidRPr="0041190E" w:rsidR="00951E27">
        <w:t>03</w:t>
      </w:r>
      <w:r w:rsidRPr="0041190E" w:rsidR="00AF7ECB">
        <w:t>-</w:t>
      </w:r>
      <w:r w:rsidRPr="0041190E" w:rsidR="00951E27">
        <w:t>014</w:t>
      </w:r>
      <w:r w:rsidRPr="0041190E" w:rsidR="00BF41CA">
        <w:t>.</w:t>
      </w:r>
      <w:r w:rsidRPr="0041190E" w:rsidR="001B02FB">
        <w:rPr>
          <w:rStyle w:val="FootnoteReference"/>
          <w:szCs w:val="26"/>
        </w:rPr>
        <w:footnoteReference w:id="21"/>
      </w:r>
      <w:r w:rsidRPr="0041190E" w:rsidR="00CF4F5D">
        <w:t xml:space="preserve">  </w:t>
      </w:r>
    </w:p>
    <w:p w:rsidRPr="0041190E" w:rsidR="005D317C" w:rsidP="003B6CAE" w:rsidRDefault="0015319D" w14:paraId="210F11CB" w14:textId="03DF0273">
      <w:pPr>
        <w:pStyle w:val="Standard"/>
      </w:pPr>
      <w:r w:rsidRPr="0041190E">
        <w:rPr>
          <w:szCs w:val="26"/>
        </w:rPr>
        <w:t>After</w:t>
      </w:r>
      <w:r w:rsidRPr="0041190E" w:rsidR="003B6CAE">
        <w:rPr>
          <w:szCs w:val="26"/>
        </w:rPr>
        <w:t xml:space="preserve"> </w:t>
      </w:r>
      <w:r w:rsidRPr="0041190E" w:rsidR="0054450B">
        <w:rPr>
          <w:szCs w:val="26"/>
        </w:rPr>
        <w:t>reviewing</w:t>
      </w:r>
      <w:r w:rsidRPr="0041190E" w:rsidR="003B6CAE">
        <w:rPr>
          <w:szCs w:val="26"/>
        </w:rPr>
        <w:t xml:space="preserve"> the Application and RSD</w:t>
      </w:r>
      <w:r w:rsidRPr="0041190E" w:rsidR="00BF26D3">
        <w:rPr>
          <w:szCs w:val="26"/>
        </w:rPr>
        <w:t>’</w:t>
      </w:r>
      <w:r w:rsidRPr="0041190E" w:rsidR="003B6CAE">
        <w:rPr>
          <w:szCs w:val="26"/>
        </w:rPr>
        <w:t xml:space="preserve">s Response, the </w:t>
      </w:r>
      <w:r w:rsidRPr="0041190E" w:rsidR="00C027EB">
        <w:rPr>
          <w:szCs w:val="26"/>
        </w:rPr>
        <w:t>Commission finds that the Application does not</w:t>
      </w:r>
      <w:r w:rsidRPr="0041190E" w:rsidR="00872A9C">
        <w:rPr>
          <w:szCs w:val="26"/>
        </w:rPr>
        <w:t xml:space="preserve"> currently</w:t>
      </w:r>
      <w:r w:rsidRPr="0041190E" w:rsidR="00C027EB">
        <w:rPr>
          <w:szCs w:val="26"/>
        </w:rPr>
        <w:t xml:space="preserve"> pose any significant safety issues, is consistent with the Safety Policy Statement</w:t>
      </w:r>
      <w:r w:rsidRPr="0041190E" w:rsidR="00AD26AA">
        <w:rPr>
          <w:szCs w:val="26"/>
        </w:rPr>
        <w:t>,</w:t>
      </w:r>
      <w:r w:rsidRPr="0041190E" w:rsidR="00C027EB">
        <w:rPr>
          <w:rFonts w:eastAsia="Times New Roman" w:cs="Times New Roman"/>
          <w:szCs w:val="26"/>
          <w:vertAlign w:val="superscript"/>
        </w:rPr>
        <w:footnoteReference w:id="22"/>
      </w:r>
      <w:r w:rsidRPr="0041190E" w:rsidR="00C027EB">
        <w:t xml:space="preserve"> </w:t>
      </w:r>
      <w:r w:rsidRPr="0041190E" w:rsidR="00C027EB">
        <w:rPr>
          <w:szCs w:val="26"/>
        </w:rPr>
        <w:t xml:space="preserve">and complies with the applicable </w:t>
      </w:r>
      <w:r w:rsidRPr="0041190E" w:rsidR="00C027EB">
        <w:t>Public Utilities Codes, the Commission</w:t>
      </w:r>
      <w:r w:rsidRPr="0041190E" w:rsidR="00BF26D3">
        <w:t>’</w:t>
      </w:r>
      <w:r w:rsidRPr="0041190E" w:rsidR="00C027EB">
        <w:t>s Rules, and General Orders</w:t>
      </w:r>
      <w:r w:rsidRPr="0041190E">
        <w:t xml:space="preserve"> </w:t>
      </w:r>
      <w:r w:rsidRPr="0041190E" w:rsidR="00812C89">
        <w:t>for light rail public transit systems and crossings with public roads across railroads.</w:t>
      </w:r>
    </w:p>
    <w:p w:rsidRPr="0041190E" w:rsidR="005D317C" w:rsidP="00B70586" w:rsidRDefault="0021656F" w14:paraId="242273BA" w14:textId="3F5A9A67">
      <w:pPr>
        <w:pStyle w:val="Heading2"/>
      </w:pPr>
      <w:bookmarkStart w:name="_Toc164991199" w:id="36"/>
      <w:bookmarkStart w:name="_Toc216288561" w:id="37"/>
      <w:r w:rsidRPr="0041190E">
        <w:t xml:space="preserve">Environmental </w:t>
      </w:r>
      <w:r w:rsidRPr="0041190E" w:rsidR="00190DFB">
        <w:t>Review</w:t>
      </w:r>
      <w:bookmarkEnd w:id="36"/>
      <w:bookmarkEnd w:id="37"/>
    </w:p>
    <w:p w:rsidRPr="0041190E" w:rsidR="000466C0" w:rsidP="00CC04CB" w:rsidRDefault="002A5789" w14:paraId="5FEA057C" w14:textId="548FBAA7">
      <w:pPr>
        <w:pStyle w:val="Standard"/>
      </w:pPr>
      <w:bookmarkStart w:name="_Hlk179243108" w:id="38"/>
      <w:bookmarkStart w:name="_Hlk179243471" w:id="39"/>
      <w:r w:rsidRPr="0041190E">
        <w:t xml:space="preserve">The California Environmental Quality Act of 1970, as amended under Public Resources </w:t>
      </w:r>
      <w:r w:rsidRPr="0041190E" w:rsidR="00E51E90">
        <w:t xml:space="preserve">Code </w:t>
      </w:r>
      <w:r w:rsidRPr="0041190E" w:rsidR="007A740D">
        <w:t>Sections</w:t>
      </w:r>
      <w:r w:rsidRPr="0041190E" w:rsidR="00B67637">
        <w:t> </w:t>
      </w:r>
      <w:r w:rsidRPr="0041190E">
        <w:t xml:space="preserve">21000, </w:t>
      </w:r>
      <w:r w:rsidRPr="0041190E" w:rsidR="00226B82">
        <w:rPr>
          <w:i/>
          <w:iCs/>
        </w:rPr>
        <w:t>et</w:t>
      </w:r>
      <w:r w:rsidRPr="0041190E" w:rsidR="00B67637">
        <w:t> </w:t>
      </w:r>
      <w:r w:rsidRPr="0041190E" w:rsidR="00226B82">
        <w:rPr>
          <w:i/>
          <w:iCs/>
        </w:rPr>
        <w:t>seq</w:t>
      </w:r>
      <w:r w:rsidRPr="0041190E">
        <w:t>. CEQA</w:t>
      </w:r>
      <w:r w:rsidRPr="0041190E" w:rsidR="00554340">
        <w:t xml:space="preserve"> </w:t>
      </w:r>
      <w:r w:rsidRPr="0041190E" w:rsidR="001A6FD4">
        <w:t>requires state and local government agencies to inform decisionmakers and the public about the potential environmental impacts of proposed projects, and to reduce those environmental impacts to the extent feasible.</w:t>
      </w:r>
      <w:r w:rsidRPr="0041190E" w:rsidR="007147C1">
        <w:t xml:space="preserve"> </w:t>
      </w:r>
      <w:r w:rsidRPr="0041190E" w:rsidR="001A6FD4">
        <w:t>CEQA applies to discretionary projects to be carried out or approved by public agencies.</w:t>
      </w:r>
      <w:r w:rsidRPr="0041190E" w:rsidR="00CC04CB">
        <w:t xml:space="preserve"> </w:t>
      </w:r>
      <w:r w:rsidRPr="0041190E" w:rsidR="000466C0">
        <w:t xml:space="preserve">Here, the broader </w:t>
      </w:r>
      <w:r w:rsidRPr="0041190E" w:rsidR="00872A9C">
        <w:t>Leucadia</w:t>
      </w:r>
      <w:r w:rsidRPr="0041190E" w:rsidR="008F75B9">
        <w:t xml:space="preserve"> Project</w:t>
      </w:r>
      <w:r w:rsidRPr="0041190E" w:rsidR="00CC04CB">
        <w:t xml:space="preserve"> in the County of </w:t>
      </w:r>
      <w:r w:rsidRPr="0041190E" w:rsidR="00872A9C">
        <w:t>San Diego</w:t>
      </w:r>
      <w:r w:rsidRPr="0041190E" w:rsidR="000466C0">
        <w:t xml:space="preserve">, California of which the </w:t>
      </w:r>
      <w:r w:rsidRPr="0041190E" w:rsidR="00213C2E">
        <w:t>Proposed Crossing</w:t>
      </w:r>
      <w:r w:rsidRPr="0041190E" w:rsidR="00C62E43">
        <w:t xml:space="preserve"> </w:t>
      </w:r>
      <w:r w:rsidRPr="0041190E" w:rsidR="00514883">
        <w:t xml:space="preserve">is </w:t>
      </w:r>
      <w:r w:rsidRPr="0041190E" w:rsidR="0021215D">
        <w:t xml:space="preserve">a </w:t>
      </w:r>
      <w:r w:rsidRPr="0041190E" w:rsidR="000466C0">
        <w:t>part, is subject to CEQA</w:t>
      </w:r>
      <w:r w:rsidRPr="0041190E" w:rsidR="00CC04CB">
        <w:t xml:space="preserve"> review for compliance or exemption</w:t>
      </w:r>
      <w:r w:rsidRPr="0041190E" w:rsidR="000466C0">
        <w:t>.</w:t>
      </w:r>
    </w:p>
    <w:p w:rsidRPr="0041190E" w:rsidR="005C764A" w:rsidP="005C764A" w:rsidRDefault="001A6FD4" w14:paraId="35400AF8" w14:textId="18DDBD3A">
      <w:pPr>
        <w:pStyle w:val="Standard"/>
      </w:pPr>
      <w:r w:rsidRPr="0041190E">
        <w:t xml:space="preserve">Pursuant to CEQA, the lead agency is the public agency that carries out the project. </w:t>
      </w:r>
      <w:r w:rsidRPr="0041190E" w:rsidR="00224338">
        <w:t>For purposes of CEQA, t</w:t>
      </w:r>
      <w:r w:rsidRPr="0041190E">
        <w:t xml:space="preserve">he Commission is a responsible agency because </w:t>
      </w:r>
      <w:r w:rsidRPr="0041190E" w:rsidR="00224338">
        <w:t xml:space="preserve">the broader project, </w:t>
      </w:r>
      <w:bookmarkStart w:name="_Hlk171597193" w:id="40"/>
      <w:r w:rsidRPr="0041190E" w:rsidR="00A209BD">
        <w:t xml:space="preserve">the </w:t>
      </w:r>
      <w:r w:rsidRPr="0041190E" w:rsidR="00872A9C">
        <w:t>Leucadia</w:t>
      </w:r>
      <w:r w:rsidRPr="0041190E" w:rsidR="008F75B9">
        <w:t xml:space="preserve"> Project</w:t>
      </w:r>
      <w:r w:rsidRPr="0041190E" w:rsidR="00224338">
        <w:t xml:space="preserve">, of which the </w:t>
      </w:r>
      <w:r w:rsidRPr="0041190E" w:rsidR="00213C2E">
        <w:t>Proposed Crossing</w:t>
      </w:r>
      <w:r w:rsidRPr="0041190E" w:rsidR="00C62E43">
        <w:t xml:space="preserve"> </w:t>
      </w:r>
      <w:r w:rsidRPr="0041190E" w:rsidR="00A209BD">
        <w:t>is</w:t>
      </w:r>
      <w:r w:rsidRPr="0041190E" w:rsidR="00224338">
        <w:t xml:space="preserve"> </w:t>
      </w:r>
      <w:r w:rsidRPr="0041190E" w:rsidR="0021215D">
        <w:t xml:space="preserve">a </w:t>
      </w:r>
      <w:r w:rsidRPr="0041190E" w:rsidR="00224338">
        <w:t xml:space="preserve">part, </w:t>
      </w:r>
      <w:bookmarkEnd w:id="40"/>
      <w:r w:rsidRPr="0041190E" w:rsidR="00224338">
        <w:t xml:space="preserve">is being carried out by </w:t>
      </w:r>
      <w:r w:rsidRPr="0041190E" w:rsidR="00872A9C">
        <w:t>Encinitas</w:t>
      </w:r>
      <w:r w:rsidRPr="0041190E" w:rsidR="000466C0">
        <w:t xml:space="preserve"> as the lead agency,</w:t>
      </w:r>
      <w:r w:rsidRPr="0041190E" w:rsidR="00224338">
        <w:t xml:space="preserve"> and the Commission’s scope of discretionary authority is limited to </w:t>
      </w:r>
      <w:r w:rsidRPr="0041190E">
        <w:t xml:space="preserve">the requested authorizations to construct the </w:t>
      </w:r>
      <w:r w:rsidRPr="0041190E" w:rsidR="00213C2E">
        <w:t>Proposed Crossing</w:t>
      </w:r>
      <w:r w:rsidRPr="0041190E" w:rsidR="00A30FCD">
        <w:t>s</w:t>
      </w:r>
      <w:r w:rsidRPr="0041190E">
        <w:t xml:space="preserve">. As a responsible agency, the Commission </w:t>
      </w:r>
      <w:r w:rsidRPr="0041190E">
        <w:lastRenderedPageBreak/>
        <w:t>must consider the lead agency</w:t>
      </w:r>
      <w:r w:rsidRPr="0041190E" w:rsidR="00BF26D3">
        <w:t>’</w:t>
      </w:r>
      <w:r w:rsidRPr="0041190E">
        <w:t xml:space="preserve">s environmental impact documents and findings before acting on or approving </w:t>
      </w:r>
      <w:r w:rsidRPr="0041190E" w:rsidR="00224338">
        <w:t>the instant application</w:t>
      </w:r>
      <w:r w:rsidRPr="0041190E">
        <w:t>.</w:t>
      </w:r>
      <w:r w:rsidRPr="0041190E">
        <w:rPr>
          <w:rStyle w:val="FootnoteReference"/>
        </w:rPr>
        <w:footnoteReference w:id="23"/>
      </w:r>
      <w:r w:rsidRPr="0041190E" w:rsidR="007147C1">
        <w:t xml:space="preserve"> </w:t>
      </w:r>
      <w:r w:rsidRPr="0041190E" w:rsidR="000D0B0A">
        <w:t>In its review</w:t>
      </w:r>
      <w:r w:rsidRPr="0041190E" w:rsidR="00A86EDA">
        <w:t>,</w:t>
      </w:r>
      <w:r w:rsidRPr="0041190E" w:rsidR="000D0B0A">
        <w:t xml:space="preserve"> the Commission </w:t>
      </w:r>
      <w:r w:rsidRPr="0041190E" w:rsidR="004002C9">
        <w:t>considered</w:t>
      </w:r>
      <w:r w:rsidRPr="0041190E" w:rsidR="000D0B0A">
        <w:t xml:space="preserve"> </w:t>
      </w:r>
      <w:r w:rsidRPr="0041190E" w:rsidR="00A86EDA">
        <w:t xml:space="preserve">Applicant’s proffered environmental impact documents for CEQA compliance or exemption as to </w:t>
      </w:r>
      <w:r w:rsidRPr="0041190E" w:rsidR="000D0B0A">
        <w:t>1) significant environmental impacts</w:t>
      </w:r>
      <w:r w:rsidRPr="0041190E" w:rsidR="006655B4">
        <w:t>;</w:t>
      </w:r>
      <w:r w:rsidRPr="0041190E" w:rsidR="000D0B0A">
        <w:rPr>
          <w:rStyle w:val="FootnoteReference"/>
        </w:rPr>
        <w:footnoteReference w:id="24"/>
      </w:r>
      <w:r w:rsidRPr="0041190E" w:rsidR="000D0B0A">
        <w:t xml:space="preserve"> 2) mitigation measures and/or project alternatives that may eliminate or lessen any identified significant environmental impacts</w:t>
      </w:r>
      <w:r w:rsidRPr="0041190E" w:rsidR="006655B4">
        <w:t>;</w:t>
      </w:r>
      <w:r w:rsidRPr="0041190E" w:rsidR="000D0B0A">
        <w:rPr>
          <w:rStyle w:val="FootnoteReference"/>
        </w:rPr>
        <w:footnoteReference w:id="25"/>
      </w:r>
      <w:r w:rsidRPr="0041190E" w:rsidR="000D0B0A">
        <w:t xml:space="preserve"> 3) existence of environmentally superior alternatives to the </w:t>
      </w:r>
      <w:r w:rsidRPr="0041190E" w:rsidR="006655B4">
        <w:t>proposed project;</w:t>
      </w:r>
      <w:r w:rsidRPr="0041190E" w:rsidR="000D0B0A">
        <w:rPr>
          <w:rStyle w:val="FootnoteReference"/>
        </w:rPr>
        <w:footnoteReference w:id="26"/>
      </w:r>
      <w:r w:rsidRPr="0041190E" w:rsidR="00A86EDA">
        <w:t xml:space="preserve"> 4)</w:t>
      </w:r>
      <w:r w:rsidRPr="0041190E" w:rsidR="008D4E28">
        <w:t xml:space="preserve"> </w:t>
      </w:r>
      <w:r w:rsidRPr="0041190E" w:rsidR="006655B4">
        <w:t>review and</w:t>
      </w:r>
      <w:r w:rsidRPr="0041190E" w:rsidR="008D4E28">
        <w:t xml:space="preserve"> exercise of independent judgment </w:t>
      </w:r>
      <w:r w:rsidRPr="0041190E" w:rsidR="006655B4">
        <w:t>by</w:t>
      </w:r>
      <w:r w:rsidRPr="0041190E" w:rsidR="008D4E28">
        <w:t xml:space="preserve"> the </w:t>
      </w:r>
      <w:r w:rsidRPr="0041190E" w:rsidR="004C5ECE">
        <w:t>lead agency</w:t>
      </w:r>
      <w:r w:rsidRPr="0041190E" w:rsidR="008D4E28">
        <w:t xml:space="preserve"> in </w:t>
      </w:r>
      <w:r w:rsidRPr="0041190E" w:rsidR="006655B4">
        <w:t>preparing and completing</w:t>
      </w:r>
      <w:r w:rsidRPr="0041190E" w:rsidR="008D4E28">
        <w:t xml:space="preserve"> </w:t>
      </w:r>
      <w:r w:rsidRPr="0041190E" w:rsidR="005C764A">
        <w:t>a</w:t>
      </w:r>
      <w:r w:rsidRPr="0041190E" w:rsidR="006655B4">
        <w:t xml:space="preserve"> CEQA compliant </w:t>
      </w:r>
      <w:r w:rsidRPr="0041190E" w:rsidR="008D4E28">
        <w:t>environmental review document</w:t>
      </w:r>
      <w:r w:rsidRPr="0041190E" w:rsidR="005C764A">
        <w:t xml:space="preserve"> for the project</w:t>
      </w:r>
      <w:r w:rsidRPr="0041190E" w:rsidR="006655B4">
        <w:t>;</w:t>
      </w:r>
      <w:r w:rsidRPr="0041190E" w:rsidR="000D0B0A">
        <w:rPr>
          <w:rStyle w:val="FootnoteReference"/>
        </w:rPr>
        <w:footnoteReference w:id="27"/>
      </w:r>
      <w:r w:rsidRPr="0041190E" w:rsidR="008D4E28">
        <w:t xml:space="preserve"> 5) </w:t>
      </w:r>
      <w:r w:rsidRPr="0041190E" w:rsidR="005C764A">
        <w:t>in</w:t>
      </w:r>
      <w:r w:rsidRPr="0041190E" w:rsidR="008D4E28">
        <w:t>feasibility of any identified mitigation measures or environmentally superior alternative</w:t>
      </w:r>
      <w:r w:rsidRPr="0041190E" w:rsidR="006655B4">
        <w:t>;</w:t>
      </w:r>
      <w:r w:rsidRPr="0041190E" w:rsidR="000D0B0A">
        <w:rPr>
          <w:rStyle w:val="FootnoteReference"/>
        </w:rPr>
        <w:footnoteReference w:id="28"/>
      </w:r>
      <w:r w:rsidRPr="0041190E" w:rsidR="008D4E28">
        <w:t xml:space="preserve">and 6) </w:t>
      </w:r>
      <w:r w:rsidRPr="0041190E" w:rsidR="006655B4">
        <w:t xml:space="preserve">overriding considerations for </w:t>
      </w:r>
      <w:r w:rsidRPr="0041190E" w:rsidR="005C764A">
        <w:t xml:space="preserve">identified </w:t>
      </w:r>
      <w:r w:rsidRPr="0041190E" w:rsidR="006655B4">
        <w:t>significant unavoidable impacts.</w:t>
      </w:r>
      <w:r w:rsidRPr="0041190E" w:rsidR="000D0B0A">
        <w:rPr>
          <w:rStyle w:val="FootnoteReference"/>
        </w:rPr>
        <w:footnoteReference w:id="29"/>
      </w:r>
    </w:p>
    <w:p w:rsidRPr="0041190E" w:rsidR="005D317C" w:rsidP="005C764A" w:rsidRDefault="00224338" w14:paraId="1A438804" w14:textId="2AF2D712">
      <w:pPr>
        <w:pStyle w:val="Standard"/>
      </w:pPr>
      <w:r w:rsidRPr="0041190E">
        <w:t>If t</w:t>
      </w:r>
      <w:r w:rsidRPr="0041190E" w:rsidR="001A6FD4">
        <w:t xml:space="preserve">he Commission </w:t>
      </w:r>
      <w:r w:rsidRPr="0041190E">
        <w:t xml:space="preserve">chooses to approve the </w:t>
      </w:r>
      <w:r w:rsidRPr="0041190E" w:rsidR="00213C2E">
        <w:t>Proposed Crossing</w:t>
      </w:r>
      <w:r w:rsidRPr="0041190E">
        <w:t xml:space="preserve">, it </w:t>
      </w:r>
      <w:r w:rsidRPr="0041190E" w:rsidR="00B8772A">
        <w:t>will be</w:t>
      </w:r>
      <w:r w:rsidRPr="0041190E" w:rsidR="001A6FD4">
        <w:t xml:space="preserve"> responsible for mitigating </w:t>
      </w:r>
      <w:r w:rsidRPr="0041190E" w:rsidR="00945B13">
        <w:t xml:space="preserve">and/or </w:t>
      </w:r>
      <w:r w:rsidRPr="0041190E" w:rsidR="001A6FD4">
        <w:t xml:space="preserve">avoiding environmental effects </w:t>
      </w:r>
      <w:r w:rsidRPr="0041190E">
        <w:t xml:space="preserve">associated with </w:t>
      </w:r>
      <w:r w:rsidRPr="0041190E" w:rsidR="001A6FD4">
        <w:t xml:space="preserve">the </w:t>
      </w:r>
      <w:r w:rsidRPr="0041190E">
        <w:t>construction of the approved crossing</w:t>
      </w:r>
      <w:r w:rsidRPr="0041190E" w:rsidR="001A6FD4">
        <w:t>.</w:t>
      </w:r>
    </w:p>
    <w:p w:rsidRPr="0041190E" w:rsidR="004729C1" w:rsidP="00023821" w:rsidRDefault="007C12C0" w14:paraId="28893411" w14:textId="773BD90A">
      <w:pPr>
        <w:pStyle w:val="Standard"/>
      </w:pPr>
      <w:bookmarkStart w:name="_Hlk179241513" w:id="43"/>
      <w:r w:rsidRPr="0041190E">
        <w:t xml:space="preserve">As referenced, the Proposed Crossing is part of Applicant’s </w:t>
      </w:r>
      <w:r w:rsidRPr="0041190E" w:rsidR="00872A9C">
        <w:t xml:space="preserve">Leucadia </w:t>
      </w:r>
      <w:r w:rsidRPr="0041190E">
        <w:t xml:space="preserve">Project which aims to improve access and </w:t>
      </w:r>
      <w:r w:rsidRPr="0041190E" w:rsidR="00023821">
        <w:t xml:space="preserve">rail </w:t>
      </w:r>
      <w:r w:rsidRPr="0041190E">
        <w:t xml:space="preserve">safety for pedestrian and bicycle users as well as </w:t>
      </w:r>
      <w:r w:rsidRPr="0041190E" w:rsidR="00023821">
        <w:t xml:space="preserve">improve pedestrian access between beaches, coastal resources, </w:t>
      </w:r>
      <w:r w:rsidRPr="0041190E" w:rsidR="00023821">
        <w:lastRenderedPageBreak/>
        <w:t>commercial areas, and residential neighborhoods within the Leucadia community in the City of Encinitas in San Diego, County, California</w:t>
      </w:r>
      <w:r w:rsidRPr="0041190E">
        <w:t>.</w:t>
      </w:r>
    </w:p>
    <w:p w:rsidRPr="0041190E" w:rsidR="00BA2EBA" w:rsidP="00B57B41" w:rsidRDefault="007C12C0" w14:paraId="22AAFE67" w14:textId="2D3081FB">
      <w:pPr>
        <w:pStyle w:val="Standard"/>
        <w:rPr>
          <w:szCs w:val="26"/>
        </w:rPr>
      </w:pPr>
      <w:proofErr w:type="gramStart"/>
      <w:r w:rsidRPr="0041190E">
        <w:t>Applicant</w:t>
      </w:r>
      <w:proofErr w:type="gramEnd"/>
      <w:r w:rsidRPr="0041190E">
        <w:t xml:space="preserve"> submitted </w:t>
      </w:r>
      <w:r w:rsidRPr="0041190E" w:rsidR="0034310F">
        <w:t>a CEQA Categorial Exemption Memo</w:t>
      </w:r>
      <w:r w:rsidRPr="0041190E" w:rsidR="0020371A">
        <w:t xml:space="preserve"> date August 1, </w:t>
      </w:r>
      <w:proofErr w:type="gramStart"/>
      <w:r w:rsidRPr="0041190E" w:rsidR="0020371A">
        <w:t>2024</w:t>
      </w:r>
      <w:proofErr w:type="gramEnd"/>
      <w:r w:rsidRPr="0041190E" w:rsidR="0020371A">
        <w:t xml:space="preserve"> </w:t>
      </w:r>
      <w:r w:rsidRPr="0041190E">
        <w:t>in support of this A.</w:t>
      </w:r>
      <w:r w:rsidRPr="0041190E" w:rsidR="0034310F">
        <w:t>25-03-014</w:t>
      </w:r>
      <w:r w:rsidRPr="0041190E">
        <w:t xml:space="preserve"> proceeding.</w:t>
      </w:r>
      <w:r w:rsidRPr="0041190E">
        <w:rPr>
          <w:rStyle w:val="FootnoteReference"/>
        </w:rPr>
        <w:footnoteReference w:id="30"/>
      </w:r>
      <w:r w:rsidRPr="0041190E">
        <w:t xml:space="preserve"> </w:t>
      </w:r>
      <w:r w:rsidRPr="0041190E">
        <w:rPr>
          <w:szCs w:val="26"/>
        </w:rPr>
        <w:t xml:space="preserve"> </w:t>
      </w:r>
      <w:r w:rsidRPr="0041190E" w:rsidR="0052387C">
        <w:rPr>
          <w:szCs w:val="26"/>
        </w:rPr>
        <w:t>Encinitas</w:t>
      </w:r>
      <w:r w:rsidRPr="0041190E">
        <w:rPr>
          <w:szCs w:val="26"/>
        </w:rPr>
        <w:t xml:space="preserve">, in collaboration with its </w:t>
      </w:r>
      <w:r w:rsidRPr="0041190E" w:rsidR="0052387C">
        <w:rPr>
          <w:szCs w:val="26"/>
        </w:rPr>
        <w:t xml:space="preserve">environmental </w:t>
      </w:r>
      <w:r w:rsidRPr="0041190E">
        <w:rPr>
          <w:szCs w:val="26"/>
        </w:rPr>
        <w:t xml:space="preserve">consulting service </w:t>
      </w:r>
      <w:r w:rsidRPr="0041190E" w:rsidR="0020371A">
        <w:rPr>
          <w:szCs w:val="26"/>
        </w:rPr>
        <w:t>Rincon Consulting, Inc.</w:t>
      </w:r>
      <w:r w:rsidRPr="0041190E">
        <w:rPr>
          <w:szCs w:val="26"/>
        </w:rPr>
        <w:t xml:space="preserve">, prepared the </w:t>
      </w:r>
      <w:bookmarkStart w:name="_Hlk216113394" w:id="44"/>
      <w:r w:rsidRPr="0041190E" w:rsidR="0020371A">
        <w:rPr>
          <w:szCs w:val="26"/>
        </w:rPr>
        <w:t>August 2024 CEQA Memo</w:t>
      </w:r>
      <w:bookmarkEnd w:id="44"/>
      <w:r w:rsidRPr="0041190E">
        <w:rPr>
          <w:szCs w:val="26"/>
        </w:rPr>
        <w:t xml:space="preserve"> in its capacity as the lead CEQA agency and as the public agency approving, and carrying out the</w:t>
      </w:r>
      <w:r w:rsidRPr="0041190E" w:rsidR="00A30FCD">
        <w:rPr>
          <w:szCs w:val="26"/>
        </w:rPr>
        <w:t xml:space="preserve"> larger</w:t>
      </w:r>
      <w:r w:rsidRPr="0041190E">
        <w:rPr>
          <w:szCs w:val="26"/>
        </w:rPr>
        <w:t xml:space="preserve"> </w:t>
      </w:r>
      <w:r w:rsidRPr="0041190E" w:rsidR="0020371A">
        <w:rPr>
          <w:szCs w:val="26"/>
        </w:rPr>
        <w:t>Leucadia</w:t>
      </w:r>
      <w:r w:rsidRPr="0041190E">
        <w:rPr>
          <w:szCs w:val="26"/>
        </w:rPr>
        <w:t xml:space="preserve"> Project.  </w:t>
      </w:r>
      <w:r w:rsidRPr="0041190E" w:rsidR="0001164C">
        <w:rPr>
          <w:szCs w:val="26"/>
        </w:rPr>
        <w:t>Applicant’s CEQA Memo included analysis of conceptual plans, biological resources assessments, and cultural resource assessment.</w:t>
      </w:r>
      <w:r w:rsidRPr="0041190E" w:rsidR="0001164C">
        <w:rPr>
          <w:rStyle w:val="FootnoteReference"/>
          <w:szCs w:val="26"/>
        </w:rPr>
        <w:footnoteReference w:id="31"/>
      </w:r>
      <w:r w:rsidRPr="0041190E" w:rsidR="0001164C">
        <w:rPr>
          <w:szCs w:val="26"/>
        </w:rPr>
        <w:t xml:space="preserve"> </w:t>
      </w:r>
    </w:p>
    <w:p w:rsidRPr="0041190E" w:rsidR="00BA2EBA" w:rsidP="00B57B41" w:rsidRDefault="00BA2EBA" w14:paraId="2CEBB459" w14:textId="5618E48B">
      <w:pPr>
        <w:pStyle w:val="Standard"/>
        <w:rPr>
          <w:szCs w:val="26"/>
        </w:rPr>
      </w:pPr>
      <w:r w:rsidRPr="0041190E">
        <w:rPr>
          <w:szCs w:val="26"/>
        </w:rPr>
        <w:t xml:space="preserve">The larger Leucadia Project consists of installation of two pedestrian at-grade railroad crossings on the NCTD San Diego Subdivision, along </w:t>
      </w:r>
      <w:r w:rsidRPr="0041190E" w:rsidR="004A0742">
        <w:rPr>
          <w:szCs w:val="26"/>
        </w:rPr>
        <w:t xml:space="preserve">a </w:t>
      </w:r>
      <w:r w:rsidRPr="0041190E" w:rsidR="0054450B">
        <w:rPr>
          <w:szCs w:val="26"/>
        </w:rPr>
        <w:t>1.3-mile</w:t>
      </w:r>
      <w:r w:rsidRPr="0041190E">
        <w:rPr>
          <w:szCs w:val="26"/>
        </w:rPr>
        <w:t xml:space="preserve"> southern section of the LOSSAN Rail Corridor in the Leucadia neighborhood of Encinitas, </w:t>
      </w:r>
      <w:r w:rsidRPr="0041190E" w:rsidR="00DB2BDA">
        <w:rPr>
          <w:szCs w:val="26"/>
        </w:rPr>
        <w:t xml:space="preserve">California </w:t>
      </w:r>
      <w:r w:rsidRPr="0041190E">
        <w:rPr>
          <w:szCs w:val="26"/>
        </w:rPr>
        <w:t>described in pertinent part as:</w:t>
      </w:r>
    </w:p>
    <w:p w:rsidRPr="0041190E" w:rsidR="00BA2EBA" w:rsidP="00BA2EBA" w:rsidRDefault="00BA2EBA" w14:paraId="19324B41" w14:textId="745AFDFE">
      <w:pPr>
        <w:pStyle w:val="BlockQuote0"/>
      </w:pPr>
      <w:r w:rsidRPr="0041190E">
        <w:t xml:space="preserve">The first crossing will be between the Coral Cove Way and Hillcrest Drive intersections with Vulcan Avenue, providing access across the tracks at the Grandview Street and Hwy 101 intersection (Grandview Street Crossing). The second crossing is located between Jason Street and Glaucus Street on Vulcan Avenue adjacent to </w:t>
      </w:r>
      <w:proofErr w:type="gramStart"/>
      <w:r w:rsidRPr="0041190E">
        <w:t>the Phoebe</w:t>
      </w:r>
      <w:proofErr w:type="gramEnd"/>
      <w:r w:rsidRPr="0041190E">
        <w:t xml:space="preserve"> Street and Hwy 101 intersection across the tracks (Phoebe Street Crossing).</w:t>
      </w:r>
      <w:r w:rsidRPr="0041190E">
        <w:rPr>
          <w:rStyle w:val="FootnoteReference"/>
        </w:rPr>
        <w:footnoteReference w:id="32"/>
      </w:r>
    </w:p>
    <w:p w:rsidRPr="0041190E" w:rsidR="00276FBF" w:rsidP="00276FBF" w:rsidRDefault="00C02FA3" w14:paraId="149D0B53" w14:textId="2C09A1AB">
      <w:pPr>
        <w:pStyle w:val="Standard"/>
        <w:rPr>
          <w:szCs w:val="26"/>
        </w:rPr>
      </w:pPr>
      <w:r w:rsidRPr="0041190E">
        <w:rPr>
          <w:szCs w:val="26"/>
        </w:rPr>
        <w:lastRenderedPageBreak/>
        <w:t xml:space="preserve">Applicant puts forth </w:t>
      </w:r>
      <w:r w:rsidRPr="0041190E" w:rsidR="00A30FCD">
        <w:rPr>
          <w:szCs w:val="26"/>
        </w:rPr>
        <w:t>the August 2024 CEQA Memo</w:t>
      </w:r>
      <w:r w:rsidRPr="0041190E">
        <w:rPr>
          <w:szCs w:val="26"/>
        </w:rPr>
        <w:t xml:space="preserve"> </w:t>
      </w:r>
      <w:r w:rsidRPr="0041190E" w:rsidR="00656EEF">
        <w:rPr>
          <w:szCs w:val="26"/>
        </w:rPr>
        <w:t>in support of its proposition that the</w:t>
      </w:r>
      <w:r w:rsidRPr="0041190E">
        <w:rPr>
          <w:szCs w:val="26"/>
        </w:rPr>
        <w:t xml:space="preserve"> </w:t>
      </w:r>
      <w:r w:rsidRPr="0041190E" w:rsidR="00A30FCD">
        <w:rPr>
          <w:szCs w:val="26"/>
        </w:rPr>
        <w:t xml:space="preserve">Leucadia </w:t>
      </w:r>
      <w:r w:rsidRPr="0041190E">
        <w:rPr>
          <w:szCs w:val="26"/>
        </w:rPr>
        <w:t>Project</w:t>
      </w:r>
      <w:r w:rsidRPr="0041190E" w:rsidR="00656EEF">
        <w:rPr>
          <w:szCs w:val="26"/>
        </w:rPr>
        <w:t xml:space="preserve">, for which the Proposed Crossings are a part, </w:t>
      </w:r>
      <w:r w:rsidRPr="0041190E" w:rsidR="00761BE4">
        <w:rPr>
          <w:szCs w:val="26"/>
        </w:rPr>
        <w:t>will not have a significant impact on the environment and is</w:t>
      </w:r>
      <w:r w:rsidRPr="0041190E" w:rsidR="00181E2B">
        <w:rPr>
          <w:szCs w:val="26"/>
        </w:rPr>
        <w:t xml:space="preserve"> exempt </w:t>
      </w:r>
      <w:r w:rsidRPr="0041190E" w:rsidR="00FA727B">
        <w:rPr>
          <w:szCs w:val="26"/>
        </w:rPr>
        <w:t>as a Class 3 CEQA Exemption</w:t>
      </w:r>
      <w:r w:rsidRPr="0041190E" w:rsidR="00FA727B">
        <w:rPr>
          <w:rStyle w:val="FootnoteReference"/>
          <w:szCs w:val="26"/>
        </w:rPr>
        <w:footnoteReference w:id="33"/>
      </w:r>
      <w:r w:rsidRPr="0041190E" w:rsidR="00FA727B">
        <w:rPr>
          <w:szCs w:val="26"/>
        </w:rPr>
        <w:t xml:space="preserve"> pursuant to Section 15303 of CEQA Guidelines</w:t>
      </w:r>
      <w:r w:rsidRPr="0041190E" w:rsidR="007F37F8">
        <w:rPr>
          <w:szCs w:val="26"/>
        </w:rPr>
        <w:t xml:space="preserve"> (Class 3 Exemption)</w:t>
      </w:r>
      <w:r w:rsidRPr="0041190E" w:rsidR="00FA727B">
        <w:rPr>
          <w:szCs w:val="26"/>
        </w:rPr>
        <w:t xml:space="preserve"> </w:t>
      </w:r>
      <w:r w:rsidRPr="0041190E" w:rsidR="00276FBF">
        <w:rPr>
          <w:szCs w:val="26"/>
        </w:rPr>
        <w:t>as a project involving:</w:t>
      </w:r>
      <w:r w:rsidRPr="0041190E" w:rsidR="00DC4D82">
        <w:rPr>
          <w:szCs w:val="26"/>
        </w:rPr>
        <w:t xml:space="preserve"> </w:t>
      </w:r>
    </w:p>
    <w:p w:rsidRPr="0041190E" w:rsidR="007C12C0" w:rsidP="005439F5" w:rsidRDefault="005439F5" w14:paraId="6BB4D940" w14:textId="532C38EF">
      <w:pPr>
        <w:pStyle w:val="BlockQuote0"/>
      </w:pPr>
      <w:r w:rsidRPr="0041190E">
        <w:t>[T]he construction of a limited number of new structures at both crossing locations, including bollards and pedestrian railing, a ramp approaching the east side of the railroad tracks, a crossing area over the tracks, and a second ramp on the west side of the railroad tracks . . . operation of the project would be similar to existing maintenance activities and the project would not accommodate additional demand.</w:t>
      </w:r>
      <w:r w:rsidRPr="0041190E" w:rsidR="00C02FA3">
        <w:rPr>
          <w:rStyle w:val="FootnoteReference"/>
          <w:szCs w:val="26"/>
        </w:rPr>
        <w:footnoteReference w:id="34"/>
      </w:r>
      <w:r w:rsidRPr="0041190E" w:rsidR="00C02FA3">
        <w:t xml:space="preserve"> </w:t>
      </w:r>
    </w:p>
    <w:p w:rsidRPr="0041190E" w:rsidR="00BA51C8" w:rsidP="00BA51C8" w:rsidRDefault="00BA51C8" w14:paraId="79D7380D" w14:textId="2D6C94EE">
      <w:pPr>
        <w:pStyle w:val="Standard"/>
      </w:pPr>
      <w:r w:rsidRPr="0041190E">
        <w:t xml:space="preserve">The August 2024 CEQA Memo also includes mitigation measures to avoid and minimize potential for environmental impacts to nesting birds, </w:t>
      </w:r>
      <w:r w:rsidRPr="0041190E" w:rsidR="00B23EC7">
        <w:t>inadvertent encounters with archaeological resources during ground disturbance, and unanticipated discovery of human remains.</w:t>
      </w:r>
      <w:r w:rsidRPr="0041190E" w:rsidR="00B23EC7">
        <w:rPr>
          <w:rStyle w:val="FootnoteReference"/>
        </w:rPr>
        <w:footnoteReference w:id="35"/>
      </w:r>
    </w:p>
    <w:p w:rsidRPr="0041190E" w:rsidR="00C02FA3" w:rsidP="00BA51C8" w:rsidRDefault="00085DB7" w14:paraId="25726035" w14:textId="68C62344">
      <w:pPr>
        <w:pStyle w:val="Standard"/>
      </w:pPr>
      <w:r w:rsidRPr="0041190E">
        <w:t>Assert</w:t>
      </w:r>
      <w:r w:rsidR="00916098">
        <w:t>ion</w:t>
      </w:r>
      <w:r w:rsidRPr="0041190E" w:rsidR="007F37F8">
        <w:t xml:space="preserve"> of a </w:t>
      </w:r>
      <w:r w:rsidRPr="0041190E" w:rsidR="004B6320">
        <w:t>Class 3 Exemption</w:t>
      </w:r>
      <w:r w:rsidRPr="0041190E">
        <w:t xml:space="preserve"> does not automatically exempt </w:t>
      </w:r>
      <w:r w:rsidRPr="0041190E" w:rsidR="004B6320">
        <w:t>the Proposed Crossings</w:t>
      </w:r>
      <w:r w:rsidRPr="0041190E">
        <w:t xml:space="preserve"> from CEQA review.  </w:t>
      </w:r>
      <w:r w:rsidRPr="0041190E" w:rsidR="00C02FA3">
        <w:t xml:space="preserve">In its review, the Commission considered Applicant’s proffered </w:t>
      </w:r>
      <w:r w:rsidRPr="0041190E" w:rsidR="00656EEF">
        <w:t>August 2024 CEQA Memo</w:t>
      </w:r>
      <w:r w:rsidRPr="0041190E" w:rsidR="00C02FA3">
        <w:t xml:space="preserve"> for CEQA </w:t>
      </w:r>
      <w:r w:rsidRPr="0041190E" w:rsidR="00C02FA3">
        <w:lastRenderedPageBreak/>
        <w:t>compliance</w:t>
      </w:r>
      <w:r w:rsidRPr="0041190E" w:rsidR="00761BE4">
        <w:t xml:space="preserve"> and </w:t>
      </w:r>
      <w:r w:rsidRPr="0041190E" w:rsidR="00244BE5">
        <w:t>the</w:t>
      </w:r>
      <w:r w:rsidRPr="0041190E" w:rsidR="00761BE4">
        <w:t xml:space="preserve"> asserted</w:t>
      </w:r>
      <w:r w:rsidRPr="0041190E" w:rsidR="005439F5">
        <w:t xml:space="preserve"> </w:t>
      </w:r>
      <w:r w:rsidRPr="0041190E" w:rsidR="004B6320">
        <w:rPr>
          <w:szCs w:val="26"/>
        </w:rPr>
        <w:t>Class 3 Exemption</w:t>
      </w:r>
      <w:r w:rsidRPr="0041190E" w:rsidR="00BA51C8">
        <w:rPr>
          <w:szCs w:val="26"/>
        </w:rPr>
        <w:t>,</w:t>
      </w:r>
      <w:r w:rsidRPr="0041190E" w:rsidR="00234D53">
        <w:rPr>
          <w:rStyle w:val="FootnoteReference"/>
          <w:szCs w:val="26"/>
        </w:rPr>
        <w:footnoteReference w:id="36"/>
      </w:r>
      <w:r w:rsidRPr="0041190E" w:rsidR="00BA51C8">
        <w:rPr>
          <w:szCs w:val="26"/>
        </w:rPr>
        <w:t xml:space="preserve"> </w:t>
      </w:r>
      <w:r w:rsidRPr="0041190E" w:rsidR="00992ED0">
        <w:rPr>
          <w:szCs w:val="26"/>
        </w:rPr>
        <w:t>such as</w:t>
      </w:r>
      <w:r w:rsidRPr="0041190E" w:rsidR="00BA51C8">
        <w:rPr>
          <w:szCs w:val="26"/>
        </w:rPr>
        <w:t xml:space="preserve"> </w:t>
      </w:r>
      <w:r w:rsidRPr="0041190E" w:rsidR="00C02FA3">
        <w:t>1) significant environmental impacts;</w:t>
      </w:r>
      <w:r w:rsidRPr="0041190E" w:rsidR="00C02FA3">
        <w:rPr>
          <w:rStyle w:val="FootnoteReference"/>
        </w:rPr>
        <w:footnoteReference w:id="37"/>
      </w:r>
      <w:r w:rsidRPr="0041190E" w:rsidR="00C02FA3">
        <w:t xml:space="preserve"> 2) mitigation measures and/or project alternatives that may eliminate or lessen any identified significant environmental impacts;</w:t>
      </w:r>
      <w:r w:rsidRPr="0041190E" w:rsidR="00C02FA3">
        <w:rPr>
          <w:rStyle w:val="FootnoteReference"/>
        </w:rPr>
        <w:footnoteReference w:id="38"/>
      </w:r>
      <w:r w:rsidRPr="0041190E" w:rsidR="00C02FA3">
        <w:t xml:space="preserve"> 3) existence of environmentally superior alternatives to the proposed project;</w:t>
      </w:r>
      <w:r w:rsidRPr="0041190E" w:rsidR="00C02FA3">
        <w:rPr>
          <w:rStyle w:val="FootnoteReference"/>
        </w:rPr>
        <w:footnoteReference w:id="39"/>
      </w:r>
      <w:r w:rsidRPr="0041190E" w:rsidR="00C02FA3">
        <w:t xml:space="preserve"> 4) review and exercise of independent judgment by the lead agency in preparing and completing a CEQA compliant environmental review document for the project;</w:t>
      </w:r>
      <w:r w:rsidRPr="0041190E" w:rsidR="00C02FA3">
        <w:rPr>
          <w:rStyle w:val="FootnoteReference"/>
        </w:rPr>
        <w:footnoteReference w:id="40"/>
      </w:r>
      <w:r w:rsidRPr="0041190E" w:rsidR="00C02FA3">
        <w:t xml:space="preserve"> 5) infeasibility of any identified mitigation measures or environmentally superior alternative;</w:t>
      </w:r>
      <w:r w:rsidRPr="0041190E" w:rsidR="00C02FA3">
        <w:rPr>
          <w:rStyle w:val="FootnoteReference"/>
        </w:rPr>
        <w:footnoteReference w:id="41"/>
      </w:r>
      <w:r w:rsidRPr="0041190E" w:rsidR="00C02FA3">
        <w:t>and 6) overriding considerations for identified significant unavoidable impacts.</w:t>
      </w:r>
      <w:r w:rsidRPr="0041190E" w:rsidR="00C02FA3">
        <w:rPr>
          <w:rStyle w:val="FootnoteReference"/>
        </w:rPr>
        <w:footnoteReference w:id="42"/>
      </w:r>
    </w:p>
    <w:p w:rsidRPr="0041190E" w:rsidR="007F37F8" w:rsidP="00D4564D" w:rsidRDefault="00D4564D" w14:paraId="70046E46" w14:textId="4505BAFC">
      <w:pPr>
        <w:rPr>
          <w:szCs w:val="26"/>
        </w:rPr>
      </w:pPr>
      <w:r w:rsidRPr="0041190E">
        <w:rPr>
          <w:szCs w:val="26"/>
        </w:rPr>
        <w:t xml:space="preserve">The </w:t>
      </w:r>
      <w:r w:rsidRPr="0041190E" w:rsidR="00761BE4">
        <w:rPr>
          <w:szCs w:val="26"/>
        </w:rPr>
        <w:t>August 2024 CEQA Memo</w:t>
      </w:r>
      <w:r w:rsidRPr="0041190E">
        <w:rPr>
          <w:szCs w:val="26"/>
        </w:rPr>
        <w:t xml:space="preserve"> found </w:t>
      </w:r>
      <w:r w:rsidRPr="0041190E" w:rsidR="00085DB7">
        <w:rPr>
          <w:szCs w:val="26"/>
        </w:rPr>
        <w:t xml:space="preserve">no </w:t>
      </w:r>
      <w:r w:rsidRPr="0041190E" w:rsidR="00761BE4">
        <w:rPr>
          <w:szCs w:val="26"/>
        </w:rPr>
        <w:t xml:space="preserve">significant </w:t>
      </w:r>
      <w:proofErr w:type="gramStart"/>
      <w:r w:rsidRPr="0041190E" w:rsidR="00761BE4">
        <w:rPr>
          <w:szCs w:val="26"/>
        </w:rPr>
        <w:t>impacts</w:t>
      </w:r>
      <w:proofErr w:type="gramEnd"/>
      <w:r w:rsidRPr="0041190E" w:rsidR="00761BE4">
        <w:rPr>
          <w:szCs w:val="26"/>
        </w:rPr>
        <w:t xml:space="preserve"> </w:t>
      </w:r>
      <w:proofErr w:type="gramStart"/>
      <w:r w:rsidRPr="0041190E" w:rsidR="00761BE4">
        <w:rPr>
          <w:szCs w:val="26"/>
        </w:rPr>
        <w:t>to</w:t>
      </w:r>
      <w:proofErr w:type="gramEnd"/>
      <w:r w:rsidRPr="0041190E" w:rsidR="00761BE4">
        <w:rPr>
          <w:szCs w:val="26"/>
        </w:rPr>
        <w:t xml:space="preserve"> the environment in</w:t>
      </w:r>
      <w:r w:rsidRPr="0041190E" w:rsidR="004B6320">
        <w:rPr>
          <w:szCs w:val="26"/>
        </w:rPr>
        <w:t xml:space="preserve"> construction of</w:t>
      </w:r>
      <w:r w:rsidRPr="0041190E" w:rsidR="00761BE4">
        <w:rPr>
          <w:szCs w:val="26"/>
        </w:rPr>
        <w:t xml:space="preserve"> the Proposed Crossings</w:t>
      </w:r>
      <w:r w:rsidRPr="0041190E" w:rsidR="00085DB7">
        <w:rPr>
          <w:szCs w:val="26"/>
        </w:rPr>
        <w:t xml:space="preserve"> beyond two new safe and legal rail crossings</w:t>
      </w:r>
      <w:r w:rsidRPr="0041190E" w:rsidR="007F37F8">
        <w:rPr>
          <w:szCs w:val="26"/>
        </w:rPr>
        <w:t>, requiring only:</w:t>
      </w:r>
    </w:p>
    <w:p w:rsidRPr="0041190E" w:rsidR="00D4564D" w:rsidP="007F37F8" w:rsidRDefault="007F37F8" w14:paraId="60633BDB" w14:textId="01848307">
      <w:pPr>
        <w:pStyle w:val="BlockQuote0"/>
      </w:pPr>
      <w:r w:rsidRPr="0041190E">
        <w:t>[P]</w:t>
      </w:r>
      <w:proofErr w:type="spellStart"/>
      <w:r w:rsidRPr="0041190E">
        <w:t>aving</w:t>
      </w:r>
      <w:proofErr w:type="spellEnd"/>
      <w:r w:rsidRPr="0041190E">
        <w:t xml:space="preserve"> of a small area adjacent to Vulcan Drive with asphalt concrete, installation of bollards and pedestrian railing on either side of the newly paved areas, construction of a ramp approaching the east side of the railroad tracks, removal of rail ties, removal and replacement of approximately 20 linear feet of rails, surfacing of the crossing area across the railroad tracks, and construction of a second ramp on the west side of the railroad tracks in the unpaved area adjacent Highway 101.</w:t>
      </w:r>
      <w:r w:rsidRPr="0041190E" w:rsidR="00D4564D">
        <w:rPr>
          <w:rStyle w:val="FootnoteReference"/>
          <w:szCs w:val="26"/>
        </w:rPr>
        <w:footnoteReference w:id="43"/>
      </w:r>
      <w:r w:rsidRPr="0041190E" w:rsidR="00D4564D">
        <w:rPr>
          <w:szCs w:val="26"/>
        </w:rPr>
        <w:t xml:space="preserve">  </w:t>
      </w:r>
    </w:p>
    <w:p w:rsidRPr="0041190E" w:rsidR="00D4564D" w:rsidP="00D4564D" w:rsidRDefault="00244BE5" w14:paraId="6DC19893" w14:textId="6879AD04">
      <w:pPr>
        <w:rPr>
          <w:szCs w:val="26"/>
        </w:rPr>
      </w:pPr>
      <w:r w:rsidRPr="0041190E">
        <w:rPr>
          <w:szCs w:val="26"/>
        </w:rPr>
        <w:lastRenderedPageBreak/>
        <w:t>Risk of p</w:t>
      </w:r>
      <w:r w:rsidRPr="0041190E" w:rsidR="00D4564D">
        <w:rPr>
          <w:szCs w:val="26"/>
        </w:rPr>
        <w:t xml:space="preserve">otential </w:t>
      </w:r>
      <w:r w:rsidRPr="0041190E">
        <w:rPr>
          <w:szCs w:val="26"/>
        </w:rPr>
        <w:t xml:space="preserve">unintended </w:t>
      </w:r>
      <w:r w:rsidRPr="0041190E" w:rsidR="00D4564D">
        <w:rPr>
          <w:szCs w:val="26"/>
        </w:rPr>
        <w:t>impacts to</w:t>
      </w:r>
      <w:r w:rsidRPr="0041190E">
        <w:rPr>
          <w:szCs w:val="26"/>
        </w:rPr>
        <w:t xml:space="preserve"> nesting birds</w:t>
      </w:r>
      <w:r w:rsidRPr="0041190E" w:rsidR="00A96769">
        <w:rPr>
          <w:szCs w:val="26"/>
        </w:rPr>
        <w:t xml:space="preserve"> and unanticipated discovery of </w:t>
      </w:r>
      <w:r w:rsidRPr="0041190E" w:rsidR="00F22FDC">
        <w:rPr>
          <w:szCs w:val="26"/>
        </w:rPr>
        <w:t>archaeological</w:t>
      </w:r>
      <w:r w:rsidRPr="0041190E">
        <w:rPr>
          <w:szCs w:val="26"/>
        </w:rPr>
        <w:t xml:space="preserve"> </w:t>
      </w:r>
      <w:r w:rsidRPr="0041190E" w:rsidR="00FD5348">
        <w:rPr>
          <w:szCs w:val="26"/>
        </w:rPr>
        <w:t xml:space="preserve">and </w:t>
      </w:r>
      <w:r w:rsidRPr="0041190E">
        <w:rPr>
          <w:szCs w:val="26"/>
        </w:rPr>
        <w:t>cultural resources</w:t>
      </w:r>
      <w:r w:rsidRPr="0041190E" w:rsidR="00D4564D">
        <w:rPr>
          <w:szCs w:val="26"/>
        </w:rPr>
        <w:t xml:space="preserve">, </w:t>
      </w:r>
      <w:r w:rsidRPr="0041190E">
        <w:rPr>
          <w:szCs w:val="26"/>
        </w:rPr>
        <w:t>and human remain</w:t>
      </w:r>
      <w:r w:rsidRPr="0041190E" w:rsidR="00D4564D">
        <w:rPr>
          <w:szCs w:val="26"/>
        </w:rPr>
        <w:t>,</w:t>
      </w:r>
      <w:r w:rsidRPr="0041190E" w:rsidR="00F22FDC">
        <w:rPr>
          <w:rStyle w:val="FootnoteReference"/>
          <w:szCs w:val="26"/>
        </w:rPr>
        <w:t xml:space="preserve"> </w:t>
      </w:r>
      <w:r w:rsidRPr="0041190E" w:rsidR="00D4564D">
        <w:rPr>
          <w:szCs w:val="26"/>
        </w:rPr>
        <w:t xml:space="preserve">were </w:t>
      </w:r>
      <w:r w:rsidRPr="0041190E" w:rsidR="007F37F8">
        <w:rPr>
          <w:szCs w:val="26"/>
        </w:rPr>
        <w:t>identified</w:t>
      </w:r>
      <w:r w:rsidRPr="0041190E">
        <w:rPr>
          <w:szCs w:val="26"/>
        </w:rPr>
        <w:t xml:space="preserve"> but </w:t>
      </w:r>
      <w:r w:rsidRPr="0041190E" w:rsidR="00FD5348">
        <w:rPr>
          <w:szCs w:val="26"/>
        </w:rPr>
        <w:t>significant impacts could be avoided by</w:t>
      </w:r>
      <w:r w:rsidRPr="0041190E" w:rsidR="00D4564D">
        <w:rPr>
          <w:szCs w:val="26"/>
        </w:rPr>
        <w:t xml:space="preserve"> implementation of </w:t>
      </w:r>
      <w:r w:rsidRPr="0041190E" w:rsidR="00FD5348">
        <w:rPr>
          <w:szCs w:val="26"/>
        </w:rPr>
        <w:t xml:space="preserve">Applicant’s </w:t>
      </w:r>
      <w:r w:rsidRPr="0041190E" w:rsidR="00D4564D">
        <w:rPr>
          <w:szCs w:val="26"/>
        </w:rPr>
        <w:t xml:space="preserve">proposed </w:t>
      </w:r>
      <w:r w:rsidRPr="0041190E">
        <w:rPr>
          <w:szCs w:val="26"/>
        </w:rPr>
        <w:t>avoidance and minimization</w:t>
      </w:r>
      <w:r w:rsidRPr="0041190E" w:rsidR="00D4564D">
        <w:rPr>
          <w:szCs w:val="26"/>
        </w:rPr>
        <w:t xml:space="preserve"> measures.</w:t>
      </w:r>
      <w:r w:rsidRPr="0041190E" w:rsidR="00F22FDC">
        <w:rPr>
          <w:rStyle w:val="FootnoteReference"/>
          <w:szCs w:val="26"/>
        </w:rPr>
        <w:footnoteReference w:id="44"/>
      </w:r>
    </w:p>
    <w:p w:rsidRPr="0041190E" w:rsidR="002174AA" w:rsidP="0081436A" w:rsidRDefault="00D4564D" w14:paraId="4503B07C" w14:textId="0E33734F">
      <w:r w:rsidRPr="0041190E">
        <w:t xml:space="preserve">The </w:t>
      </w:r>
      <w:r w:rsidRPr="0041190E" w:rsidR="00F22FDC">
        <w:t>August 2024 CEQA Memo</w:t>
      </w:r>
      <w:r w:rsidRPr="0041190E">
        <w:t xml:space="preserve"> </w:t>
      </w:r>
      <w:r w:rsidRPr="0041190E" w:rsidR="007F37F8">
        <w:t>also reviewed location, cumulative impact, significant effect, scenic highway, hazardous waste site, and historical resource factors to assess whether any</w:t>
      </w:r>
      <w:r w:rsidRPr="0041190E" w:rsidR="0081436A">
        <w:t xml:space="preserve"> CEQA Guideline</w:t>
      </w:r>
      <w:r w:rsidRPr="0041190E" w:rsidR="007F37F8">
        <w:t xml:space="preserve"> exceptions existed to Applicant’s claimed </w:t>
      </w:r>
      <w:r w:rsidRPr="0041190E" w:rsidR="00992ED0">
        <w:t>Class 3 Exemption.</w:t>
      </w:r>
      <w:r w:rsidRPr="0041190E" w:rsidR="00FD5348">
        <w:t xml:space="preserve"> Encinitas determined that no exceptions existed. </w:t>
      </w:r>
      <w:r w:rsidRPr="0041190E" w:rsidR="00992ED0">
        <w:rPr>
          <w:rStyle w:val="FootnoteReference"/>
        </w:rPr>
        <w:footnoteReference w:id="45"/>
      </w:r>
    </w:p>
    <w:p w:rsidRPr="0041190E" w:rsidR="00157C3E" w:rsidP="00D4564D" w:rsidRDefault="00D4564D" w14:paraId="40F2827A" w14:textId="30E1B1CB">
      <w:pPr>
        <w:pStyle w:val="Standard"/>
      </w:pPr>
      <w:r w:rsidRPr="0041190E">
        <w:t xml:space="preserve">Based on the </w:t>
      </w:r>
      <w:r w:rsidRPr="0041190E" w:rsidR="0081436A">
        <w:t>August 2024 CEQA Memo</w:t>
      </w:r>
      <w:r w:rsidRPr="0041190E">
        <w:t xml:space="preserve"> provided b</w:t>
      </w:r>
      <w:r w:rsidRPr="0041190E" w:rsidR="0081436A">
        <w:t>y Encinitas</w:t>
      </w:r>
      <w:r w:rsidRPr="0041190E">
        <w:t xml:space="preserve"> as well as the record of this proceeding, the Commission finds that Applicant 1) has made a sufficient showing that the Proposed Crossing</w:t>
      </w:r>
      <w:r w:rsidRPr="0041190E" w:rsidR="0081436A">
        <w:t>s</w:t>
      </w:r>
      <w:r w:rsidRPr="0041190E">
        <w:t xml:space="preserve"> </w:t>
      </w:r>
      <w:r w:rsidRPr="0041190E" w:rsidR="0081436A">
        <w:t>are new construction or conversion of small structures</w:t>
      </w:r>
      <w:r w:rsidRPr="0041190E">
        <w:t xml:space="preserve">, 2) </w:t>
      </w:r>
      <w:r w:rsidRPr="0041190E" w:rsidR="0081436A">
        <w:t>have</w:t>
      </w:r>
      <w:r w:rsidRPr="0041190E">
        <w:t xml:space="preserve"> no significant environmental impact, and 3) </w:t>
      </w:r>
      <w:r w:rsidRPr="0041190E" w:rsidR="0081436A">
        <w:t>are</w:t>
      </w:r>
      <w:r w:rsidRPr="0041190E">
        <w:t xml:space="preserve"> statutorily and categorically exempt from CEQA.</w:t>
      </w:r>
      <w:r w:rsidRPr="0041190E">
        <w:rPr>
          <w:rStyle w:val="FootnoteReference"/>
        </w:rPr>
        <w:footnoteReference w:id="46"/>
      </w:r>
      <w:r w:rsidRPr="0041190E">
        <w:t xml:space="preserve">  Accordingly, the Commission finds that authority to construct the Proposed Crossing</w:t>
      </w:r>
      <w:r w:rsidRPr="0041190E" w:rsidR="0081436A">
        <w:t>s</w:t>
      </w:r>
      <w:r w:rsidRPr="0041190E">
        <w:t xml:space="preserve"> sought in A.</w:t>
      </w:r>
      <w:r w:rsidRPr="0041190E" w:rsidR="0081436A">
        <w:t>25-03-014</w:t>
      </w:r>
      <w:r w:rsidRPr="0041190E">
        <w:t xml:space="preserve"> is categorically exempt under CEQA.</w:t>
      </w:r>
      <w:bookmarkEnd w:id="38"/>
      <w:bookmarkEnd w:id="43"/>
      <w:r w:rsidRPr="0041190E" w:rsidR="00C174F9">
        <w:t xml:space="preserve"> </w:t>
      </w:r>
    </w:p>
    <w:p w:rsidRPr="0041190E" w:rsidR="00603238" w:rsidP="00283F96" w:rsidRDefault="0021656F" w14:paraId="09EFCAF7" w14:textId="2E6E7708">
      <w:pPr>
        <w:pStyle w:val="Heading2"/>
      </w:pPr>
      <w:bookmarkStart w:name="_Toc171602827" w:id="51"/>
      <w:bookmarkStart w:name="_Toc171602828" w:id="52"/>
      <w:bookmarkStart w:name="_Toc164991201" w:id="53"/>
      <w:bookmarkStart w:name="_Toc216288562" w:id="54"/>
      <w:bookmarkEnd w:id="39"/>
      <w:bookmarkEnd w:id="51"/>
      <w:bookmarkEnd w:id="52"/>
      <w:r w:rsidRPr="0041190E">
        <w:t xml:space="preserve">Impact on </w:t>
      </w:r>
      <w:r w:rsidRPr="00283F96">
        <w:t>Environmental</w:t>
      </w:r>
      <w:r w:rsidRPr="0041190E">
        <w:t xml:space="preserve"> </w:t>
      </w:r>
      <w:r w:rsidRPr="0041190E" w:rsidR="00FA5538">
        <w:t>and</w:t>
      </w:r>
      <w:r w:rsidRPr="0041190E" w:rsidR="00FA5538">
        <w:br/>
      </w:r>
      <w:r w:rsidRPr="0041190E">
        <w:t>Social Justice Communities</w:t>
      </w:r>
      <w:bookmarkStart w:name="_Toc8123721" w:id="55"/>
      <w:bookmarkEnd w:id="53"/>
      <w:bookmarkEnd w:id="54"/>
    </w:p>
    <w:p w:rsidRPr="0041190E" w:rsidR="00D4564D" w:rsidP="00D4564D" w:rsidRDefault="00D4564D" w14:paraId="257FAFD6" w14:textId="77777777">
      <w:pPr>
        <w:pStyle w:val="Standard"/>
      </w:pPr>
      <w:bookmarkStart w:name="_Hlk179243740" w:id="56"/>
      <w:bookmarkStart w:name="_Hlk179243870" w:id="57"/>
      <w:r w:rsidRPr="0041190E">
        <w:t xml:space="preserve">On April 7, 2022, the Commission adopted Version 2.0 of the ESJ Action Plan which was approved in Public Agenda 3505 as Item #45 (Agenda ID #20479). The ESJ Action Plan serves as a roadmap for implementing the Commission’s vision to advance equity in its programs and policies for ESJ or </w:t>
      </w:r>
      <w:r w:rsidRPr="0041190E">
        <w:lastRenderedPageBreak/>
        <w:t>disadvantaged communities and includes goals related to health and safety, consumer protection, program benefits, and enforcement in sectors regulated by the Commission.</w:t>
      </w:r>
    </w:p>
    <w:p w:rsidRPr="0041190E" w:rsidR="001C2660" w:rsidP="008D4CB5" w:rsidRDefault="00D4564D" w14:paraId="19054C6C" w14:textId="02BE4319">
      <w:pPr>
        <w:pStyle w:val="Standard"/>
      </w:pPr>
      <w:r w:rsidRPr="0041190E">
        <w:t>As discussed, the Proposed Crossing</w:t>
      </w:r>
      <w:r w:rsidRPr="0041190E" w:rsidR="00DB2BDA">
        <w:t>s</w:t>
      </w:r>
      <w:r w:rsidRPr="0041190E">
        <w:t xml:space="preserve"> </w:t>
      </w:r>
      <w:r w:rsidRPr="0041190E" w:rsidR="00DB2BDA">
        <w:t>are</w:t>
      </w:r>
      <w:r w:rsidRPr="0041190E">
        <w:t xml:space="preserve"> part of </w:t>
      </w:r>
      <w:r w:rsidRPr="0041190E" w:rsidR="001C2660">
        <w:t>Applicant’s</w:t>
      </w:r>
      <w:r w:rsidRPr="0041190E">
        <w:t xml:space="preserve"> </w:t>
      </w:r>
      <w:r w:rsidRPr="0041190E" w:rsidR="00DB2BDA">
        <w:t>Leucadia</w:t>
      </w:r>
      <w:r w:rsidRPr="0041190E">
        <w:t xml:space="preserve"> Project. </w:t>
      </w:r>
      <w:r w:rsidRPr="0041190E" w:rsidR="00DB2BDA">
        <w:t>Encinitas’</w:t>
      </w:r>
      <w:r w:rsidRPr="0041190E">
        <w:t xml:space="preserve"> purpose for the </w:t>
      </w:r>
      <w:r w:rsidRPr="0041190E" w:rsidR="00DB2BDA">
        <w:t>Leucadia</w:t>
      </w:r>
      <w:r w:rsidRPr="0041190E">
        <w:t xml:space="preserve"> Project</w:t>
      </w:r>
      <w:r w:rsidRPr="0041190E" w:rsidR="00DB2BDA">
        <w:t xml:space="preserve"> is</w:t>
      </w:r>
      <w:r w:rsidRPr="0041190E">
        <w:t xml:space="preserve"> </w:t>
      </w:r>
      <w:bookmarkStart w:name="_Hlk216285495" w:id="58"/>
      <w:r w:rsidRPr="0041190E">
        <w:t>to</w:t>
      </w:r>
      <w:r w:rsidRPr="0041190E" w:rsidR="00DB2BDA">
        <w:t xml:space="preserve"> improve options for residents to legally and safely cross the NC</w:t>
      </w:r>
      <w:r w:rsidR="00916098">
        <w:t>T</w:t>
      </w:r>
      <w:r w:rsidRPr="0041190E" w:rsidR="00DB2BDA">
        <w:t>D San Diego Subdivision, along a 1</w:t>
      </w:r>
      <w:r w:rsidRPr="0041190E" w:rsidR="007E4D8E">
        <w:t>.3</w:t>
      </w:r>
      <w:r w:rsidR="00916098">
        <w:t>-</w:t>
      </w:r>
      <w:r w:rsidRPr="0041190E" w:rsidR="00DB2BDA">
        <w:t xml:space="preserve">mile southern section of the LOSSAN Rail Corridor in the Leucadia neighborhood </w:t>
      </w:r>
      <w:r w:rsidRPr="0041190E" w:rsidR="008D4CB5">
        <w:t>in the City of</w:t>
      </w:r>
      <w:r w:rsidRPr="0041190E" w:rsidR="00DB2BDA">
        <w:t xml:space="preserve"> Encinita</w:t>
      </w:r>
      <w:r w:rsidRPr="0041190E" w:rsidR="008D4CB5">
        <w:t>s, County of San Diego, California</w:t>
      </w:r>
      <w:bookmarkEnd w:id="58"/>
      <w:r w:rsidRPr="0041190E" w:rsidR="001C2660">
        <w:t>.</w:t>
      </w:r>
      <w:r w:rsidRPr="0041190E" w:rsidR="001C2660">
        <w:rPr>
          <w:rStyle w:val="FootnoteReference"/>
        </w:rPr>
        <w:footnoteReference w:id="47"/>
      </w:r>
      <w:bookmarkEnd w:id="56"/>
      <w:r w:rsidRPr="0041190E" w:rsidR="008D4CB5">
        <w:t xml:space="preserve"> </w:t>
      </w:r>
      <w:r w:rsidRPr="0041190E" w:rsidR="001C2660">
        <w:t>Applicant asserts the Proposed Crossing</w:t>
      </w:r>
      <w:r w:rsidRPr="0041190E" w:rsidR="008D4CB5">
        <w:t>s</w:t>
      </w:r>
      <w:r w:rsidRPr="0041190E" w:rsidR="001C2660">
        <w:t xml:space="preserve"> </w:t>
      </w:r>
      <w:bookmarkStart w:name="_Hlk216285816" w:id="59"/>
      <w:r w:rsidRPr="0041190E" w:rsidR="001C2660">
        <w:t>will extend rail safety and “create improved public access for pedestrians and cyclists as well as for residents in the neighborhoods located on either side of the railroad tracks by providing safer, more direct access between neighborhoods, parking, businesses, and beaches”</w:t>
      </w:r>
      <w:r w:rsidRPr="0041190E" w:rsidR="00C70605">
        <w:t xml:space="preserve"> and aligns with Section 3.3 of the ESJ Action Plan.</w:t>
      </w:r>
      <w:bookmarkEnd w:id="59"/>
      <w:r w:rsidRPr="0041190E" w:rsidR="001C2660">
        <w:rPr>
          <w:rStyle w:val="FootnoteReference"/>
        </w:rPr>
        <w:footnoteReference w:id="48"/>
      </w:r>
    </w:p>
    <w:p w:rsidRPr="0041190E" w:rsidR="00D4564D" w:rsidP="00D4564D" w:rsidRDefault="00D4564D" w14:paraId="6A9099E5" w14:textId="209EEA28">
      <w:pPr>
        <w:pStyle w:val="Standard"/>
      </w:pPr>
      <w:r w:rsidRPr="0041190E">
        <w:t xml:space="preserve">Based on our review, the </w:t>
      </w:r>
      <w:r w:rsidRPr="0041190E" w:rsidR="008D4CB5">
        <w:t>Leucadia</w:t>
      </w:r>
      <w:r w:rsidRPr="0041190E">
        <w:t xml:space="preserve"> Project and </w:t>
      </w:r>
      <w:r w:rsidRPr="0041190E" w:rsidR="008D4CB5">
        <w:t xml:space="preserve">the </w:t>
      </w:r>
      <w:r w:rsidRPr="0041190E">
        <w:t>Proposed Crossing</w:t>
      </w:r>
      <w:r w:rsidRPr="0041190E" w:rsidR="008D4CB5">
        <w:t>s</w:t>
      </w:r>
      <w:r w:rsidRPr="0041190E">
        <w:t xml:space="preserve"> align with the Commission’s ESJ Action Pla</w:t>
      </w:r>
      <w:r w:rsidRPr="0041190E" w:rsidR="001C2660">
        <w:t>n Goal 3.3 to “bolster safety along rail lines in ESJ communities</w:t>
      </w:r>
      <w:r w:rsidRPr="0041190E" w:rsidR="008D4CB5">
        <w:t>.”</w:t>
      </w:r>
      <w:r w:rsidRPr="0041190E">
        <w:rPr>
          <w:rStyle w:val="FootnoteReference"/>
        </w:rPr>
        <w:footnoteReference w:id="49"/>
      </w:r>
    </w:p>
    <w:p w:rsidRPr="0041190E" w:rsidR="005C14E9" w:rsidP="00D4564D" w:rsidRDefault="00C70605" w14:paraId="5C3196A1" w14:textId="50B12984">
      <w:pPr>
        <w:pStyle w:val="Standard"/>
      </w:pPr>
      <w:r w:rsidRPr="0041190E">
        <w:t>Accordingly</w:t>
      </w:r>
      <w:r w:rsidRPr="0041190E" w:rsidR="00D4564D">
        <w:t>, we conclude that the Proposed Crossing</w:t>
      </w:r>
      <w:r w:rsidRPr="0041190E" w:rsidR="008D4CB5">
        <w:t>s do not have adverse economic and environmental impacts and</w:t>
      </w:r>
      <w:r w:rsidRPr="0041190E" w:rsidR="00D4564D">
        <w:t xml:space="preserve"> align with Goal </w:t>
      </w:r>
      <w:r w:rsidRPr="0041190E" w:rsidR="001C2660">
        <w:t>3.3</w:t>
      </w:r>
      <w:r w:rsidRPr="0041190E" w:rsidR="00D4564D">
        <w:t xml:space="preserve"> of the nine goals of the Commission’s ESJ Action Plan.</w:t>
      </w:r>
    </w:p>
    <w:p w:rsidRPr="0041190E" w:rsidR="00146511" w:rsidP="00146511" w:rsidRDefault="00635E05" w14:paraId="4476128B" w14:textId="00E90FF5">
      <w:pPr>
        <w:pStyle w:val="Heading2"/>
      </w:pPr>
      <w:bookmarkStart w:name="_Toc216288563" w:id="60"/>
      <w:bookmarkEnd w:id="57"/>
      <w:r w:rsidRPr="0041190E">
        <w:t>Five</w:t>
      </w:r>
      <w:r w:rsidRPr="0041190E" w:rsidR="00146511">
        <w:t xml:space="preserve"> Years to Complete</w:t>
      </w:r>
      <w:r w:rsidRPr="0041190E" w:rsidR="00146511">
        <w:br/>
        <w:t xml:space="preserve">the </w:t>
      </w:r>
      <w:r w:rsidRPr="0041190E" w:rsidR="00213C2E">
        <w:t>Proposed Crossing</w:t>
      </w:r>
      <w:r w:rsidRPr="0041190E" w:rsidR="00CA457A">
        <w:t>s</w:t>
      </w:r>
      <w:bookmarkEnd w:id="60"/>
    </w:p>
    <w:p w:rsidRPr="0041190E" w:rsidR="00146511" w:rsidP="00146511" w:rsidRDefault="00CA457A" w14:paraId="00B22768" w14:textId="6184CE48">
      <w:pPr>
        <w:pStyle w:val="Standard"/>
      </w:pPr>
      <w:r w:rsidRPr="0041190E">
        <w:t xml:space="preserve">The design for the Leucadia Project’s Proposed Crossing </w:t>
      </w:r>
      <w:proofErr w:type="gramStart"/>
      <w:r w:rsidRPr="0041190E">
        <w:t>are</w:t>
      </w:r>
      <w:proofErr w:type="gramEnd"/>
      <w:r w:rsidRPr="0041190E">
        <w:t xml:space="preserve"> not yet finalized </w:t>
      </w:r>
      <w:r w:rsidRPr="0041190E" w:rsidR="00635E05">
        <w:t>but</w:t>
      </w:r>
      <w:r w:rsidRPr="0041190E">
        <w:t xml:space="preserve"> Encinitas</w:t>
      </w:r>
      <w:r w:rsidRPr="0041190E" w:rsidR="00EE1148">
        <w:t xml:space="preserve"> estimates that its proposed construction activities can be </w:t>
      </w:r>
      <w:r w:rsidRPr="0041190E" w:rsidR="00EE1148">
        <w:lastRenderedPageBreak/>
        <w:t xml:space="preserve">completed in </w:t>
      </w:r>
      <w:r w:rsidRPr="0041190E">
        <w:t>five years</w:t>
      </w:r>
      <w:r w:rsidRPr="0041190E" w:rsidR="00EE1148">
        <w:t>.</w:t>
      </w:r>
      <w:r w:rsidRPr="0041190E" w:rsidR="0045780E">
        <w:t xml:space="preserve"> </w:t>
      </w:r>
      <w:r w:rsidRPr="0041190E" w:rsidR="00EE1148">
        <w:t xml:space="preserve">RSD </w:t>
      </w:r>
      <w:r w:rsidRPr="0041190E" w:rsidR="00146511">
        <w:t xml:space="preserve">does not </w:t>
      </w:r>
      <w:r w:rsidRPr="0041190E" w:rsidR="00CD4493">
        <w:t>object to</w:t>
      </w:r>
      <w:r w:rsidRPr="0041190E" w:rsidR="00EE1148">
        <w:t xml:space="preserve"> the </w:t>
      </w:r>
      <w:r w:rsidRPr="0041190E" w:rsidR="00635E05">
        <w:t>requested</w:t>
      </w:r>
      <w:r w:rsidRPr="0041190E" w:rsidR="00146511">
        <w:t xml:space="preserve"> </w:t>
      </w:r>
      <w:r w:rsidRPr="0041190E">
        <w:t>five</w:t>
      </w:r>
      <w:r w:rsidRPr="0041190E" w:rsidR="00146511">
        <w:noBreakHyphen/>
        <w:t xml:space="preserve">year </w:t>
      </w:r>
      <w:proofErr w:type="gramStart"/>
      <w:r w:rsidRPr="0041190E" w:rsidR="00146511">
        <w:t>time period</w:t>
      </w:r>
      <w:proofErr w:type="gramEnd"/>
      <w:r w:rsidRPr="0041190E" w:rsidR="00635E05">
        <w:t xml:space="preserve"> but does request that Applicant continue to work with it to finalize the design of the Proposed Crossings. </w:t>
      </w:r>
      <w:r w:rsidRPr="0041190E" w:rsidR="00146511">
        <w:t xml:space="preserve"> The </w:t>
      </w:r>
      <w:r w:rsidRPr="0041190E" w:rsidR="00635E05">
        <w:t>five</w:t>
      </w:r>
      <w:r w:rsidRPr="0041190E" w:rsidR="009E0217">
        <w:t>-year</w:t>
      </w:r>
      <w:r w:rsidRPr="0041190E" w:rsidR="00146511">
        <w:t xml:space="preserve"> period to construct the </w:t>
      </w:r>
      <w:r w:rsidRPr="0041190E" w:rsidR="00213C2E">
        <w:t>Proposed Crossing</w:t>
      </w:r>
      <w:r w:rsidRPr="0041190E" w:rsidR="00896E58">
        <w:t>s</w:t>
      </w:r>
      <w:r w:rsidRPr="0041190E" w:rsidR="00146511">
        <w:t xml:space="preserve"> in the </w:t>
      </w:r>
      <w:r w:rsidRPr="0041190E" w:rsidR="00557AA7">
        <w:t xml:space="preserve">City </w:t>
      </w:r>
      <w:r w:rsidRPr="0041190E" w:rsidR="00EE1148">
        <w:t xml:space="preserve">of </w:t>
      </w:r>
      <w:r w:rsidRPr="0041190E" w:rsidR="00635E05">
        <w:t>Encinitas</w:t>
      </w:r>
      <w:r w:rsidRPr="0041190E" w:rsidR="00D4564D">
        <w:t>,</w:t>
      </w:r>
      <w:r w:rsidRPr="0041190E" w:rsidR="008F75B9">
        <w:t xml:space="preserve"> County</w:t>
      </w:r>
      <w:r w:rsidRPr="0041190E" w:rsidR="00146511">
        <w:t xml:space="preserve"> of </w:t>
      </w:r>
      <w:r w:rsidRPr="0041190E" w:rsidR="00635E05">
        <w:t>San Diego</w:t>
      </w:r>
      <w:r w:rsidRPr="0041190E" w:rsidR="00146511">
        <w:t>, California is reasonable and therefore granted.</w:t>
      </w:r>
      <w:r w:rsidRPr="0041190E" w:rsidR="00EE1148">
        <w:rPr>
          <w:rStyle w:val="FootnoteReference"/>
        </w:rPr>
        <w:footnoteReference w:id="50"/>
      </w:r>
    </w:p>
    <w:p w:rsidRPr="0041190E" w:rsidR="00FA1B4F" w:rsidP="00B70586" w:rsidRDefault="005939A5" w14:paraId="4F4A1F0D" w14:textId="77777777">
      <w:pPr>
        <w:pStyle w:val="Heading1"/>
      </w:pPr>
      <w:bookmarkStart w:name="_Toc171602832" w:id="61"/>
      <w:bookmarkStart w:name="_Toc164991202" w:id="62"/>
      <w:bookmarkStart w:name="_Toc216288564" w:id="63"/>
      <w:bookmarkEnd w:id="61"/>
      <w:r w:rsidRPr="0041190E">
        <w:t>Conclusion</w:t>
      </w:r>
      <w:bookmarkEnd w:id="55"/>
      <w:bookmarkEnd w:id="62"/>
      <w:bookmarkEnd w:id="63"/>
    </w:p>
    <w:p w:rsidRPr="0041190E" w:rsidR="005D317C" w:rsidP="00875CAE" w:rsidRDefault="00B95CB2" w14:paraId="23664C9E" w14:textId="6DE2C2CC">
      <w:pPr>
        <w:pStyle w:val="Standard"/>
      </w:pPr>
      <w:bookmarkStart w:name="_Hlk171600317" w:id="64"/>
      <w:bookmarkStart w:name="_Toc8123723" w:id="65"/>
      <w:r w:rsidRPr="0041190E">
        <w:t xml:space="preserve">As discussed in the preceding sections, the </w:t>
      </w:r>
      <w:r w:rsidRPr="0041190E" w:rsidR="00213C2E">
        <w:t>Proposed Crossing</w:t>
      </w:r>
      <w:r w:rsidRPr="0041190E" w:rsidR="00C55036">
        <w:t xml:space="preserve"> </w:t>
      </w:r>
      <w:r w:rsidRPr="0041190E" w:rsidR="0021215D">
        <w:t>in the A</w:t>
      </w:r>
      <w:r w:rsidRPr="0041190E">
        <w:t xml:space="preserve">pplication </w:t>
      </w:r>
      <w:r w:rsidRPr="0041190E" w:rsidR="00C62E43">
        <w:t>complies</w:t>
      </w:r>
      <w:r w:rsidRPr="0041190E" w:rsidR="00C55036">
        <w:t xml:space="preserve"> </w:t>
      </w:r>
      <w:r w:rsidRPr="0041190E">
        <w:t xml:space="preserve">with the requirements set forth </w:t>
      </w:r>
      <w:r w:rsidRPr="0041190E" w:rsidR="00E03F3B">
        <w:t>in</w:t>
      </w:r>
      <w:r w:rsidRPr="0041190E">
        <w:t xml:space="preserve"> </w:t>
      </w:r>
      <w:r w:rsidRPr="0041190E" w:rsidR="00150F49">
        <w:t>Rul</w:t>
      </w:r>
      <w:r w:rsidRPr="0041190E" w:rsidR="00896E58">
        <w:t xml:space="preserve">e 3.7 </w:t>
      </w:r>
      <w:r w:rsidRPr="0041190E">
        <w:t>as well as the relevant sections of</w:t>
      </w:r>
      <w:r w:rsidRPr="0041190E" w:rsidR="00557AA7">
        <w:t xml:space="preserve"> </w:t>
      </w:r>
      <w:r w:rsidRPr="0041190E" w:rsidR="000226F8">
        <w:t xml:space="preserve">GO </w:t>
      </w:r>
      <w:r w:rsidRPr="0041190E" w:rsidR="00557AA7">
        <w:t>72-B</w:t>
      </w:r>
      <w:r w:rsidRPr="0041190E" w:rsidR="00896E58">
        <w:t xml:space="preserve"> and</w:t>
      </w:r>
      <w:r w:rsidRPr="0041190E" w:rsidR="00557AA7">
        <w:t xml:space="preserve"> </w:t>
      </w:r>
      <w:r w:rsidRPr="0041190E" w:rsidR="00865C2C">
        <w:t>GO </w:t>
      </w:r>
      <w:r w:rsidRPr="0041190E" w:rsidR="00557AA7">
        <w:t>75-D</w:t>
      </w:r>
      <w:r w:rsidRPr="0041190E" w:rsidR="00896E58">
        <w:t>.</w:t>
      </w:r>
      <w:r w:rsidRPr="0041190E" w:rsidR="001413A8">
        <w:t xml:space="preserve"> </w:t>
      </w:r>
      <w:r w:rsidRPr="0041190E">
        <w:t>The Application also complies with CEQA</w:t>
      </w:r>
      <w:r w:rsidRPr="0041190E" w:rsidR="000226F8">
        <w:t xml:space="preserve"> review and exemption requirements</w:t>
      </w:r>
      <w:r w:rsidRPr="0041190E">
        <w:t xml:space="preserve"> and </w:t>
      </w:r>
      <w:r w:rsidRPr="0041190E" w:rsidR="0021215D">
        <w:t xml:space="preserve">aligns with several </w:t>
      </w:r>
      <w:r w:rsidRPr="0041190E" w:rsidR="00C55036">
        <w:t xml:space="preserve">of </w:t>
      </w:r>
      <w:r w:rsidRPr="0041190E">
        <w:t>the goals of the Commission</w:t>
      </w:r>
      <w:r w:rsidRPr="0041190E" w:rsidR="00BF26D3">
        <w:t>’</w:t>
      </w:r>
      <w:r w:rsidRPr="0041190E">
        <w:t>s ESJ Action Plan.</w:t>
      </w:r>
    </w:p>
    <w:bookmarkEnd w:id="64"/>
    <w:p w:rsidRPr="0041190E" w:rsidR="0021215D" w:rsidP="00503D6D" w:rsidRDefault="00B95CB2" w14:paraId="43F25DCD" w14:textId="23CC224A">
      <w:pPr>
        <w:pStyle w:val="Standard"/>
      </w:pPr>
      <w:r w:rsidRPr="0041190E">
        <w:t xml:space="preserve">We therefore conclude that </w:t>
      </w:r>
      <w:r w:rsidRPr="0041190E" w:rsidR="00FC7680">
        <w:t xml:space="preserve">construction of </w:t>
      </w:r>
      <w:r w:rsidRPr="0041190E">
        <w:t xml:space="preserve">the </w:t>
      </w:r>
      <w:r w:rsidRPr="0041190E" w:rsidR="00213C2E">
        <w:t>Proposed Crossing</w:t>
      </w:r>
      <w:r w:rsidRPr="0041190E" w:rsidR="00FC7680">
        <w:t>s</w:t>
      </w:r>
      <w:r w:rsidRPr="0041190E" w:rsidR="000226F8">
        <w:t xml:space="preserve"> </w:t>
      </w:r>
      <w:r w:rsidRPr="0041190E">
        <w:t xml:space="preserve">should be </w:t>
      </w:r>
      <w:r w:rsidRPr="0041190E" w:rsidR="00CF5AA0">
        <w:t>authorized,</w:t>
      </w:r>
      <w:r w:rsidRPr="0041190E" w:rsidR="0021215D">
        <w:t xml:space="preserve"> and the Application should be granted</w:t>
      </w:r>
      <w:r w:rsidRPr="0041190E" w:rsidR="000C6DDF">
        <w:t xml:space="preserve">. </w:t>
      </w:r>
      <w:r w:rsidRPr="0041190E" w:rsidR="00FC7680">
        <w:t>Encinitas</w:t>
      </w:r>
      <w:r w:rsidRPr="0041190E">
        <w:t xml:space="preserve"> should be granted a period of </w:t>
      </w:r>
      <w:r w:rsidRPr="0041190E" w:rsidR="00F70ED0">
        <w:t>five</w:t>
      </w:r>
      <w:r w:rsidRPr="0041190E">
        <w:t xml:space="preserve"> years from the date of this decision within which to complete construction </w:t>
      </w:r>
      <w:r w:rsidRPr="0041190E" w:rsidR="000C6DDF">
        <w:t xml:space="preserve">of </w:t>
      </w:r>
      <w:r w:rsidRPr="0041190E" w:rsidR="0021215D">
        <w:t xml:space="preserve">the </w:t>
      </w:r>
      <w:r w:rsidRPr="0041190E" w:rsidR="00213C2E">
        <w:t>Proposed Crossing</w:t>
      </w:r>
      <w:r w:rsidRPr="0041190E" w:rsidR="00FC7680">
        <w:t>s</w:t>
      </w:r>
      <w:r w:rsidRPr="0041190E" w:rsidR="00503D6D">
        <w:t xml:space="preserve">. </w:t>
      </w:r>
    </w:p>
    <w:p w:rsidRPr="0041190E" w:rsidR="005D317C" w:rsidP="00B95CB2" w:rsidRDefault="0021215D" w14:paraId="58869BBB" w14:textId="7A1FBB95">
      <w:pPr>
        <w:pStyle w:val="Standard"/>
      </w:pPr>
      <w:r w:rsidRPr="0041190E">
        <w:t>Finally, w</w:t>
      </w:r>
      <w:r w:rsidRPr="0041190E" w:rsidR="00B95CB2">
        <w:t>e also find it reasonable</w:t>
      </w:r>
      <w:r w:rsidRPr="0041190E" w:rsidR="0079550D">
        <w:t xml:space="preserve"> </w:t>
      </w:r>
      <w:r w:rsidR="009C2971">
        <w:t xml:space="preserve">to adopt </w:t>
      </w:r>
      <w:r w:rsidRPr="0041190E" w:rsidR="0079550D">
        <w:t xml:space="preserve">and </w:t>
      </w:r>
      <w:r w:rsidRPr="0041190E" w:rsidR="000C6DDF">
        <w:t>do</w:t>
      </w:r>
      <w:r w:rsidRPr="0041190E" w:rsidR="0079550D">
        <w:t xml:space="preserve"> hereby</w:t>
      </w:r>
      <w:r w:rsidRPr="0041190E" w:rsidR="00B95CB2">
        <w:t xml:space="preserve"> adopt RSD</w:t>
      </w:r>
      <w:r w:rsidRPr="0041190E" w:rsidR="00BF26D3">
        <w:t>’</w:t>
      </w:r>
      <w:r w:rsidRPr="0041190E" w:rsidR="00B95CB2">
        <w:t>s recommended language</w:t>
      </w:r>
      <w:r w:rsidRPr="0041190E" w:rsidR="000C6DDF">
        <w:t>, in part,</w:t>
      </w:r>
      <w:r w:rsidRPr="0041190E" w:rsidR="00B95CB2">
        <w:t xml:space="preserve"> for the Commissioner</w:t>
      </w:r>
      <w:r w:rsidRPr="0041190E" w:rsidR="00BF26D3">
        <w:t>’</w:t>
      </w:r>
      <w:r w:rsidRPr="0041190E" w:rsidR="00B95CB2">
        <w:t>s Ordering Paragraphs in this decision.</w:t>
      </w:r>
    </w:p>
    <w:p w:rsidRPr="0041190E" w:rsidR="00F84F94" w:rsidP="00B70586" w:rsidRDefault="00F84F94" w14:paraId="4E094E3A" w14:textId="326F1179">
      <w:pPr>
        <w:pStyle w:val="Heading1"/>
      </w:pPr>
      <w:bookmarkStart w:name="_Toc171602834" w:id="66"/>
      <w:bookmarkStart w:name="_Toc171602835" w:id="67"/>
      <w:bookmarkStart w:name="_Toc216288565" w:id="68"/>
      <w:bookmarkStart w:name="_Toc164991203" w:id="69"/>
      <w:bookmarkEnd w:id="65"/>
      <w:bookmarkEnd w:id="66"/>
      <w:bookmarkEnd w:id="67"/>
      <w:r w:rsidRPr="0041190E">
        <w:t>Summary of Public Comment</w:t>
      </w:r>
      <w:bookmarkEnd w:id="68"/>
    </w:p>
    <w:p w:rsidRPr="0041190E" w:rsidR="004418FC" w:rsidP="004418FC" w:rsidRDefault="004418FC" w14:paraId="3B6AAAC9" w14:textId="0F3E0117">
      <w:pPr>
        <w:pStyle w:val="Standard"/>
      </w:pPr>
      <w:r w:rsidRPr="0041190E">
        <w:t xml:space="preserve">The Commission encourages and welcomes comments from the public on issues and proceedings to help us reach informed decisions. </w:t>
      </w:r>
      <w:r w:rsidR="00916098">
        <w:t xml:space="preserve"> </w:t>
      </w:r>
      <w:r w:rsidRPr="0041190E">
        <w:t xml:space="preserve">Commission Rule 1.18 allows any member of the public to submit written comment in any Commission proceeding using the “Public Comment” tab of the online Docket for that proceeding on the Commission’s website.  Rule 1.18(b) requires that </w:t>
      </w:r>
      <w:r w:rsidRPr="0041190E">
        <w:lastRenderedPageBreak/>
        <w:t>relevant written comments submitted in a proceeding must be summarized in the final decision issued in that proceeding.</w:t>
      </w:r>
    </w:p>
    <w:p w:rsidRPr="0041190E" w:rsidR="004418FC" w:rsidP="000D0B1D" w:rsidRDefault="004418FC" w14:paraId="64BC606D" w14:textId="0B6579EF">
      <w:pPr>
        <w:pStyle w:val="Standard"/>
      </w:pPr>
      <w:r w:rsidRPr="0041190E">
        <w:t xml:space="preserve">In this A.25-03-014 proceeding, three comments from residents of Encinitas were posted to the Docket card.  Collectively, </w:t>
      </w:r>
      <w:r w:rsidRPr="0041190E" w:rsidR="000D0B1D">
        <w:t xml:space="preserve">the three Public Commenters generally support the construction of Proposed Crossings for their potential improvement to safety conditions. </w:t>
      </w:r>
      <w:r w:rsidR="00916098">
        <w:t xml:space="preserve"> </w:t>
      </w:r>
      <w:r w:rsidRPr="0041190E" w:rsidR="000D0B1D">
        <w:t xml:space="preserve">However, </w:t>
      </w:r>
      <w:r w:rsidRPr="0041190E">
        <w:t xml:space="preserve">two of the three Public Commenters expressed a preference for construction of underground tunnels rather than the proposed at-grade crossings, with one member of the public </w:t>
      </w:r>
      <w:r w:rsidRPr="0041190E" w:rsidR="00D93DCD">
        <w:t>detailed</w:t>
      </w:r>
      <w:r w:rsidRPr="0041190E">
        <w:t xml:space="preserve"> concerns</w:t>
      </w:r>
      <w:r w:rsidRPr="0041190E" w:rsidR="00D93DCD">
        <w:t xml:space="preserve"> about potential interference with sleep and rest patterns</w:t>
      </w:r>
      <w:r w:rsidRPr="0041190E">
        <w:t xml:space="preserve"> from</w:t>
      </w:r>
      <w:r w:rsidRPr="0041190E" w:rsidR="000D0B1D">
        <w:t xml:space="preserve"> </w:t>
      </w:r>
      <w:r w:rsidRPr="0041190E" w:rsidR="00D93DCD">
        <w:t xml:space="preserve">at-grade noise producing </w:t>
      </w:r>
      <w:r w:rsidRPr="0041190E">
        <w:t>safety devices</w:t>
      </w:r>
      <w:r w:rsidRPr="0041190E" w:rsidR="00647595">
        <w:t xml:space="preserve"> such as horns</w:t>
      </w:r>
      <w:r w:rsidRPr="0041190E" w:rsidR="00D93DCD">
        <w:t xml:space="preserve">, rather than underground placements. </w:t>
      </w:r>
      <w:r w:rsidRPr="0041190E" w:rsidR="000D0B1D">
        <w:t xml:space="preserve"> </w:t>
      </w:r>
      <w:r w:rsidRPr="0041190E" w:rsidR="00D93DCD">
        <w:t>One proponent also expressed strong support for</w:t>
      </w:r>
      <w:r w:rsidRPr="0041190E" w:rsidR="00647595">
        <w:t xml:space="preserve"> the proposed</w:t>
      </w:r>
      <w:r w:rsidRPr="0041190E" w:rsidR="00D93DCD">
        <w:t xml:space="preserve"> improvements to ingress and egress options f</w:t>
      </w:r>
      <w:r w:rsidRPr="0041190E" w:rsidR="00647595">
        <w:t xml:space="preserve">or residents to legally and safely access beaches and businesses on each side of the current </w:t>
      </w:r>
      <w:r w:rsidRPr="0041190E" w:rsidR="00916098">
        <w:t>NC</w:t>
      </w:r>
      <w:r w:rsidR="00916098">
        <w:t>TD</w:t>
      </w:r>
      <w:r w:rsidRPr="0041190E" w:rsidR="00916098">
        <w:t xml:space="preserve"> </w:t>
      </w:r>
      <w:r w:rsidRPr="0041190E" w:rsidR="00647595">
        <w:t xml:space="preserve">railroad track configuration in the Leucadia neighborhood in Encinitas.  </w:t>
      </w:r>
    </w:p>
    <w:p w:rsidRPr="0041190E" w:rsidR="005939A5" w:rsidP="00B70586" w:rsidRDefault="00F65E3C" w14:paraId="3C9DBBF6" w14:textId="57F43104">
      <w:pPr>
        <w:pStyle w:val="Heading1"/>
      </w:pPr>
      <w:bookmarkStart w:name="_Toc216288566" w:id="70"/>
      <w:r w:rsidRPr="0041190E">
        <w:t>Waiver of Comment Period</w:t>
      </w:r>
      <w:bookmarkEnd w:id="69"/>
      <w:bookmarkEnd w:id="70"/>
    </w:p>
    <w:p w:rsidRPr="0041190E" w:rsidR="005939A5" w:rsidP="00F65E3C" w:rsidRDefault="00F65E3C" w14:paraId="6A18D4BF" w14:textId="1E337B2B">
      <w:pPr>
        <w:pStyle w:val="Standard"/>
      </w:pPr>
      <w:r w:rsidRPr="0041190E">
        <w:t xml:space="preserve">This is an uncontested matter in which the decision grants the relief requested. Accordingly, as provided in </w:t>
      </w:r>
      <w:r w:rsidRPr="0041190E" w:rsidR="00150F49">
        <w:t>Rule</w:t>
      </w:r>
      <w:r w:rsidRPr="0041190E" w:rsidR="00B67637">
        <w:t> </w:t>
      </w:r>
      <w:r w:rsidRPr="0041190E">
        <w:t>14.6(c)(2), the otherwise applicable 30</w:t>
      </w:r>
      <w:r w:rsidRPr="0041190E" w:rsidR="00B67637">
        <w:noBreakHyphen/>
      </w:r>
      <w:r w:rsidRPr="0041190E">
        <w:t>day public review and comment period for this decision is waived</w:t>
      </w:r>
      <w:r w:rsidRPr="0041190E" w:rsidR="00C878D5">
        <w:t>.</w:t>
      </w:r>
    </w:p>
    <w:p w:rsidRPr="0041190E" w:rsidR="005939A5" w:rsidP="00B70586" w:rsidRDefault="005939A5" w14:paraId="55A699C6" w14:textId="21C0F2A2">
      <w:pPr>
        <w:pStyle w:val="Heading1"/>
      </w:pPr>
      <w:bookmarkStart w:name="_Toc8123724" w:id="71"/>
      <w:bookmarkStart w:name="_Toc164991204" w:id="72"/>
      <w:bookmarkStart w:name="_Toc216288567" w:id="73"/>
      <w:r w:rsidRPr="0041190E">
        <w:t>Assignment of Proceeding</w:t>
      </w:r>
      <w:bookmarkEnd w:id="71"/>
      <w:bookmarkEnd w:id="72"/>
      <w:bookmarkEnd w:id="73"/>
    </w:p>
    <w:p w:rsidRPr="0041190E" w:rsidR="005939A5" w:rsidP="006E6574" w:rsidRDefault="00E414AE" w14:paraId="73661A77" w14:textId="7C39E711">
      <w:pPr>
        <w:pStyle w:val="Standard"/>
      </w:pPr>
      <w:r w:rsidRPr="0041190E">
        <w:t xml:space="preserve">Commissioner </w:t>
      </w:r>
      <w:r w:rsidRPr="0041190E" w:rsidR="00647595">
        <w:t>Darcie L. Houck</w:t>
      </w:r>
      <w:r w:rsidRPr="0041190E" w:rsidR="005939A5">
        <w:t xml:space="preserve"> is the assigned Commissioner and </w:t>
      </w:r>
      <w:r w:rsidRPr="0041190E" w:rsidR="00647595">
        <w:t>Andrea D McGary</w:t>
      </w:r>
      <w:r w:rsidRPr="0041190E" w:rsidR="005939A5">
        <w:t xml:space="preserve"> is the assigned Administrative Law Judg</w:t>
      </w:r>
      <w:r w:rsidRPr="0041190E" w:rsidR="00E638C3">
        <w:t xml:space="preserve">e </w:t>
      </w:r>
      <w:r w:rsidRPr="0041190E" w:rsidR="005939A5">
        <w:t>in this proceeding.</w:t>
      </w:r>
    </w:p>
    <w:p w:rsidRPr="0041190E" w:rsidR="005939A5" w:rsidP="003852FC" w:rsidRDefault="005939A5" w14:paraId="2F1249C2" w14:textId="77777777">
      <w:pPr>
        <w:pStyle w:val="Dummy"/>
      </w:pPr>
      <w:bookmarkStart w:name="_Toc8123725" w:id="74"/>
      <w:bookmarkStart w:name="_Toc164991205" w:id="75"/>
      <w:bookmarkStart w:name="_Toc216288568" w:id="76"/>
      <w:r w:rsidRPr="0041190E">
        <w:t>Findings of Fact</w:t>
      </w:r>
      <w:bookmarkEnd w:id="74"/>
      <w:bookmarkEnd w:id="75"/>
      <w:bookmarkEnd w:id="76"/>
    </w:p>
    <w:p w:rsidRPr="0041190E" w:rsidR="00CB0C95" w:rsidP="00D47242" w:rsidRDefault="00CB0C95" w14:paraId="6E96606B" w14:textId="092E29CD">
      <w:pPr>
        <w:pStyle w:val="FoF"/>
      </w:pPr>
      <w:bookmarkStart w:name="_Toc8123726" w:id="77"/>
      <w:r w:rsidRPr="0041190E">
        <w:t xml:space="preserve">The </w:t>
      </w:r>
      <w:r w:rsidRPr="0041190E" w:rsidR="0045780E">
        <w:t xml:space="preserve">at-grade </w:t>
      </w:r>
      <w:r w:rsidRPr="0041190E" w:rsidR="0002472C">
        <w:t xml:space="preserve">pedestrian and bicycle rail crossings </w:t>
      </w:r>
      <w:r w:rsidRPr="0041190E">
        <w:t xml:space="preserve">requested in this Application must comply with the requirements set forth </w:t>
      </w:r>
      <w:r w:rsidRPr="0041190E" w:rsidR="00872A9C">
        <w:t>in</w:t>
      </w:r>
      <w:r w:rsidRPr="0041190E" w:rsidR="000D3084">
        <w:t xml:space="preserve"> </w:t>
      </w:r>
      <w:r w:rsidRPr="0041190E" w:rsidR="00164731">
        <w:t xml:space="preserve">Rule 3.7 </w:t>
      </w:r>
      <w:r w:rsidRPr="0041190E">
        <w:t>of the Rules of Practice and Procedure.</w:t>
      </w:r>
    </w:p>
    <w:p w:rsidRPr="0041190E" w:rsidR="00CB0C95" w:rsidP="00D47242" w:rsidRDefault="00872A9C" w14:paraId="19FDEC13" w14:textId="03827EDE">
      <w:pPr>
        <w:pStyle w:val="FoF"/>
      </w:pPr>
      <w:r w:rsidRPr="0041190E">
        <w:lastRenderedPageBreak/>
        <w:t>Encinitas</w:t>
      </w:r>
      <w:r w:rsidRPr="0041190E" w:rsidR="00CB0C95">
        <w:t xml:space="preserve"> provided information showing compliance with the requirements set forth in </w:t>
      </w:r>
      <w:r w:rsidRPr="0041190E" w:rsidR="00150F49">
        <w:t>Rule</w:t>
      </w:r>
      <w:r w:rsidRPr="0041190E" w:rsidR="00B67637">
        <w:t> </w:t>
      </w:r>
      <w:r w:rsidRPr="0041190E" w:rsidR="00164731">
        <w:t>3.</w:t>
      </w:r>
      <w:r w:rsidRPr="0041190E" w:rsidR="00A6645D">
        <w:t>7</w:t>
      </w:r>
      <w:r w:rsidRPr="0041190E" w:rsidR="00CB0C95">
        <w:t>.</w:t>
      </w:r>
    </w:p>
    <w:p w:rsidRPr="0041190E" w:rsidR="005D317C" w:rsidP="00D47242" w:rsidRDefault="00CB0C95" w14:paraId="101420ED" w14:textId="07234B0B">
      <w:pPr>
        <w:pStyle w:val="FoF"/>
      </w:pPr>
      <w:r w:rsidRPr="0041190E">
        <w:t xml:space="preserve">RSD conducted a </w:t>
      </w:r>
      <w:bookmarkStart w:name="_Hlk164974455" w:id="78"/>
      <w:r w:rsidRPr="0041190E">
        <w:t xml:space="preserve">diagnostic review of the </w:t>
      </w:r>
      <w:r w:rsidRPr="0041190E" w:rsidR="00213C2E">
        <w:t>Proposed Crossing</w:t>
      </w:r>
      <w:r w:rsidRPr="0041190E" w:rsidR="00872A9C">
        <w:t>s</w:t>
      </w:r>
      <w:r w:rsidRPr="0041190E">
        <w:t xml:space="preserve"> with </w:t>
      </w:r>
      <w:r w:rsidRPr="0041190E" w:rsidR="00872A9C">
        <w:t>Encinitas</w:t>
      </w:r>
      <w:r w:rsidRPr="0041190E">
        <w:t xml:space="preserve"> </w:t>
      </w:r>
      <w:r w:rsidRPr="0041190E" w:rsidR="00E03F3B">
        <w:t>s</w:t>
      </w:r>
      <w:r w:rsidRPr="0041190E">
        <w:t>taff</w:t>
      </w:r>
      <w:r w:rsidRPr="0041190E" w:rsidR="004B1CF3">
        <w:t xml:space="preserve"> on </w:t>
      </w:r>
      <w:bookmarkEnd w:id="78"/>
      <w:r w:rsidRPr="0041190E" w:rsidR="00872A9C">
        <w:t xml:space="preserve">June 29, </w:t>
      </w:r>
      <w:proofErr w:type="gramStart"/>
      <w:r w:rsidRPr="0041190E" w:rsidR="00872A9C">
        <w:t>2023</w:t>
      </w:r>
      <w:proofErr w:type="gramEnd"/>
      <w:r w:rsidRPr="0041190E" w:rsidR="00872A9C">
        <w:t xml:space="preserve"> and October 11, 2024, respectively</w:t>
      </w:r>
      <w:r w:rsidRPr="0041190E">
        <w:t>.</w:t>
      </w:r>
    </w:p>
    <w:p w:rsidRPr="0041190E" w:rsidR="00CB0C95" w:rsidP="00D47242" w:rsidRDefault="00CB0C95" w14:paraId="3273FF4A" w14:textId="106EC17C">
      <w:pPr>
        <w:pStyle w:val="FoF"/>
      </w:pPr>
      <w:r w:rsidRPr="0041190E">
        <w:t xml:space="preserve">RSD found no safety issues </w:t>
      </w:r>
      <w:r w:rsidRPr="0041190E" w:rsidR="00875CAE">
        <w:t xml:space="preserve">and </w:t>
      </w:r>
      <w:r w:rsidRPr="0041190E">
        <w:t>concluded that the request complies with the applicable regulatory and safety requirements.</w:t>
      </w:r>
    </w:p>
    <w:p w:rsidRPr="0041190E" w:rsidR="005D317C" w:rsidP="00D47242" w:rsidRDefault="00CB0C95" w14:paraId="7F8B9094" w14:textId="700297CB">
      <w:pPr>
        <w:pStyle w:val="FoF"/>
      </w:pPr>
      <w:r w:rsidRPr="0041190E">
        <w:t xml:space="preserve">The Application was filed prior to </w:t>
      </w:r>
      <w:r w:rsidRPr="0041190E" w:rsidR="00A50A67">
        <w:t>commencing</w:t>
      </w:r>
      <w:r w:rsidRPr="0041190E">
        <w:t xml:space="preserve"> construction</w:t>
      </w:r>
      <w:r w:rsidRPr="0041190E" w:rsidR="00A50A67">
        <w:t xml:space="preserve"> of the Proposed </w:t>
      </w:r>
      <w:r w:rsidRPr="0041190E" w:rsidR="00A6645D">
        <w:t>Crossing</w:t>
      </w:r>
      <w:r w:rsidRPr="0041190E" w:rsidR="00872A9C">
        <w:t>s</w:t>
      </w:r>
      <w:r w:rsidRPr="0041190E" w:rsidR="008E61E1">
        <w:t>.</w:t>
      </w:r>
    </w:p>
    <w:p w:rsidRPr="0041190E" w:rsidR="00CB0C95" w:rsidP="0034117B" w:rsidRDefault="0034117B" w14:paraId="791BFB38" w14:textId="032A3E07">
      <w:pPr>
        <w:pStyle w:val="FoF"/>
      </w:pPr>
      <w:r w:rsidRPr="0041190E">
        <w:t>The Proposed Crossing</w:t>
      </w:r>
      <w:r w:rsidRPr="0041190E" w:rsidR="00872A9C">
        <w:t>s</w:t>
      </w:r>
      <w:r w:rsidRPr="0041190E">
        <w:t xml:space="preserve"> </w:t>
      </w:r>
      <w:r w:rsidRPr="0041190E" w:rsidR="00872A9C">
        <w:t>are</w:t>
      </w:r>
      <w:r w:rsidRPr="0041190E">
        <w:t xml:space="preserve"> part of the </w:t>
      </w:r>
      <w:r w:rsidRPr="0041190E" w:rsidR="00872A9C">
        <w:t>Leucadia</w:t>
      </w:r>
      <w:r w:rsidRPr="0041190E">
        <w:t xml:space="preserve"> Project</w:t>
      </w:r>
      <w:r w:rsidRPr="0041190E" w:rsidR="0002472C">
        <w:t xml:space="preserve">, </w:t>
      </w:r>
      <w:r w:rsidRPr="0041190E">
        <w:t xml:space="preserve">which proposes to construct </w:t>
      </w:r>
      <w:r w:rsidRPr="0041190E" w:rsidR="008C7A04">
        <w:t>two new at-grade rail crossings for bicyclist</w:t>
      </w:r>
      <w:r w:rsidR="00916098">
        <w:t>s</w:t>
      </w:r>
      <w:r w:rsidRPr="0041190E" w:rsidR="008C7A04">
        <w:t xml:space="preserve"> and pedestrians </w:t>
      </w:r>
      <w:r w:rsidRPr="0041190E" w:rsidR="00AA6667">
        <w:t xml:space="preserve">of the </w:t>
      </w:r>
      <w:r w:rsidRPr="0041190E" w:rsidR="00916098">
        <w:t>N</w:t>
      </w:r>
      <w:r w:rsidR="00916098">
        <w:t>CTD</w:t>
      </w:r>
      <w:r w:rsidRPr="0041190E" w:rsidR="00916098">
        <w:t xml:space="preserve"> </w:t>
      </w:r>
      <w:r w:rsidRPr="0041190E" w:rsidR="00AA6667">
        <w:t xml:space="preserve">San Diego Subdivision rail tracks at Grandview Street at Milepost 235.66 and Phoebe Street at Milepost 236.12 in the Leucadia neighborhood in the City of Encinitas, County of San Diego, California along </w:t>
      </w:r>
      <w:r w:rsidRPr="0041190E" w:rsidR="008C7A04">
        <w:t>a 1.3 mile southern section of the LOSSAN Rail Corridor to improve pedestrian rail safety and pedestrian access to beaches, coastal resources</w:t>
      </w:r>
      <w:r w:rsidR="00916098">
        <w:t>,</w:t>
      </w:r>
      <w:r w:rsidRPr="0041190E" w:rsidR="008C7A04">
        <w:t xml:space="preserve"> commercial areas, and residential neighborhoods.</w:t>
      </w:r>
    </w:p>
    <w:p w:rsidRPr="0041190E" w:rsidR="0034117B" w:rsidP="0034117B" w:rsidRDefault="0034117B" w14:paraId="7CB290D8" w14:textId="02BD6F7F">
      <w:pPr>
        <w:pStyle w:val="FoF"/>
      </w:pPr>
      <w:bookmarkStart w:name="_Hlk171431636" w:id="79"/>
      <w:r w:rsidRPr="0041190E">
        <w:t>The Proposed Crossing</w:t>
      </w:r>
      <w:r w:rsidRPr="0041190E" w:rsidR="0029435F">
        <w:t>s</w:t>
      </w:r>
      <w:r w:rsidRPr="0041190E">
        <w:t xml:space="preserve">, as part of the larger </w:t>
      </w:r>
      <w:r w:rsidRPr="0041190E" w:rsidR="00872A9C">
        <w:t>Leucadia</w:t>
      </w:r>
      <w:r w:rsidRPr="0041190E">
        <w:t xml:space="preserve"> Project, </w:t>
      </w:r>
      <w:r w:rsidRPr="0041190E" w:rsidR="00556C55">
        <w:t xml:space="preserve">will benefit </w:t>
      </w:r>
      <w:r w:rsidRPr="0041190E" w:rsidR="0002472C">
        <w:t xml:space="preserve">the safety and access of </w:t>
      </w:r>
      <w:r w:rsidRPr="0041190E" w:rsidR="00556C55">
        <w:t xml:space="preserve">residents and visitors </w:t>
      </w:r>
      <w:r w:rsidRPr="0041190E" w:rsidR="009253A0">
        <w:t>to</w:t>
      </w:r>
      <w:r w:rsidRPr="0041190E" w:rsidR="00556C55">
        <w:t xml:space="preserve"> the</w:t>
      </w:r>
      <w:r w:rsidRPr="0041190E" w:rsidR="00AA6667">
        <w:t xml:space="preserve"> beaches, coastal resources, commercial areas, and residential neighborhoods</w:t>
      </w:r>
      <w:r w:rsidRPr="0041190E" w:rsidR="00556C55">
        <w:t xml:space="preserve"> </w:t>
      </w:r>
      <w:r w:rsidRPr="0041190E" w:rsidR="00AA6667">
        <w:t xml:space="preserve">of the </w:t>
      </w:r>
      <w:r w:rsidRPr="0041190E" w:rsidR="00556C55">
        <w:t xml:space="preserve">Leucadia </w:t>
      </w:r>
      <w:r w:rsidRPr="0041190E" w:rsidR="0002472C">
        <w:t>community of Encinitas</w:t>
      </w:r>
      <w:r w:rsidRPr="0041190E" w:rsidR="008C7A04">
        <w:t>.</w:t>
      </w:r>
      <w:r w:rsidRPr="0041190E">
        <w:t xml:space="preserve"> </w:t>
      </w:r>
    </w:p>
    <w:p w:rsidRPr="0041190E" w:rsidR="0034117B" w:rsidP="0034117B" w:rsidRDefault="0034117B" w14:paraId="696BB291" w14:textId="4B33DB22">
      <w:pPr>
        <w:pStyle w:val="FoF"/>
      </w:pPr>
      <w:r w:rsidRPr="0041190E">
        <w:t>The construction of the Proposed Crossing</w:t>
      </w:r>
      <w:r w:rsidRPr="0041190E" w:rsidR="000F0D2A">
        <w:t>s</w:t>
      </w:r>
      <w:r w:rsidRPr="0041190E">
        <w:t xml:space="preserve"> and the </w:t>
      </w:r>
      <w:bookmarkStart w:name="_Hlk209654403" w:id="80"/>
      <w:r w:rsidRPr="0041190E" w:rsidR="000F0D2A">
        <w:t>Leucadia Project</w:t>
      </w:r>
      <w:bookmarkEnd w:id="80"/>
      <w:r w:rsidRPr="0041190E" w:rsidR="000F0D2A">
        <w:t xml:space="preserve">] </w:t>
      </w:r>
      <w:r w:rsidRPr="0041190E">
        <w:t xml:space="preserve">meets the goals of the Commission’s ESJ Action Plan 2.0 toward improvement of </w:t>
      </w:r>
      <w:r w:rsidRPr="0041190E" w:rsidR="0002472C">
        <w:t>access to transportation and safety along rail lines in ESJ communities</w:t>
      </w:r>
      <w:r w:rsidRPr="0041190E">
        <w:t>.</w:t>
      </w:r>
      <w:r w:rsidRPr="0041190E" w:rsidR="000F0D2A">
        <w:t xml:space="preserve"> </w:t>
      </w:r>
    </w:p>
    <w:p w:rsidRPr="0041190E" w:rsidR="004D2F8E" w:rsidP="0034117B" w:rsidRDefault="0034117B" w14:paraId="019375B1" w14:textId="14A010C0">
      <w:pPr>
        <w:pStyle w:val="FoF"/>
      </w:pPr>
      <w:r w:rsidRPr="0041190E">
        <w:t>The Proposed Crossing</w:t>
      </w:r>
      <w:r w:rsidRPr="0041190E" w:rsidR="000F0D2A">
        <w:t>s</w:t>
      </w:r>
      <w:r w:rsidRPr="0041190E">
        <w:t xml:space="preserve"> align with the Commission’s ESJ Action Plan 2.0.</w:t>
      </w:r>
      <w:r w:rsidRPr="0041190E" w:rsidR="004D2F8E">
        <w:t xml:space="preserve"> </w:t>
      </w:r>
    </w:p>
    <w:p w:rsidRPr="0041190E" w:rsidR="005939A5" w:rsidP="003852FC" w:rsidRDefault="005939A5" w14:paraId="4A76BDE8" w14:textId="77777777">
      <w:pPr>
        <w:pStyle w:val="Dummy"/>
      </w:pPr>
      <w:bookmarkStart w:name="_Toc164991206" w:id="81"/>
      <w:bookmarkStart w:name="_Toc216288569" w:id="82"/>
      <w:bookmarkEnd w:id="79"/>
      <w:r w:rsidRPr="0041190E">
        <w:lastRenderedPageBreak/>
        <w:t>Conclusions of Law</w:t>
      </w:r>
      <w:bookmarkEnd w:id="77"/>
      <w:bookmarkEnd w:id="81"/>
      <w:bookmarkEnd w:id="82"/>
    </w:p>
    <w:p w:rsidRPr="0041190E" w:rsidR="00CB0C95" w:rsidP="00D47242" w:rsidRDefault="00CB0C95" w14:paraId="64D99EB9" w14:textId="0A232350">
      <w:pPr>
        <w:pStyle w:val="CoL"/>
      </w:pPr>
      <w:r w:rsidRPr="0041190E">
        <w:t xml:space="preserve">The Application complies with the applicable provisions of </w:t>
      </w:r>
      <w:r w:rsidRPr="0041190E" w:rsidR="00A35EAA">
        <w:t>Rules of Practice and Procedure, includ</w:t>
      </w:r>
      <w:r w:rsidRPr="0041190E" w:rsidR="00CD4493">
        <w:t>ing</w:t>
      </w:r>
      <w:r w:rsidRPr="0041190E" w:rsidR="00A35EAA">
        <w:t xml:space="preserve"> Rule</w:t>
      </w:r>
      <w:r w:rsidRPr="0041190E" w:rsidR="00872A9C">
        <w:t xml:space="preserve"> 3.7, </w:t>
      </w:r>
      <w:r w:rsidRPr="0041190E" w:rsidR="00865C2C">
        <w:t>GO </w:t>
      </w:r>
      <w:r w:rsidRPr="0041190E" w:rsidR="00F70ED0">
        <w:t>72-B</w:t>
      </w:r>
      <w:r w:rsidRPr="0041190E" w:rsidR="00663FEF">
        <w:t xml:space="preserve">, and </w:t>
      </w:r>
      <w:r w:rsidRPr="0041190E" w:rsidR="00865C2C">
        <w:t>GO </w:t>
      </w:r>
      <w:r w:rsidRPr="0041190E" w:rsidR="00F70ED0">
        <w:t>72-D</w:t>
      </w:r>
      <w:r w:rsidRPr="0041190E">
        <w:t>.</w:t>
      </w:r>
      <w:r w:rsidRPr="0041190E" w:rsidR="00B81804">
        <w:t xml:space="preserve"> </w:t>
      </w:r>
    </w:p>
    <w:p w:rsidRPr="0041190E" w:rsidR="0034117B" w:rsidP="0034117B" w:rsidRDefault="0034117B" w14:paraId="6A8B1240" w14:textId="2622D317">
      <w:pPr>
        <w:pStyle w:val="CoL"/>
      </w:pPr>
      <w:r w:rsidRPr="0041190E">
        <w:t xml:space="preserve">The </w:t>
      </w:r>
      <w:r w:rsidRPr="0041190E" w:rsidR="00AA6667">
        <w:t xml:space="preserve">August 2024 </w:t>
      </w:r>
      <w:r w:rsidRPr="0041190E" w:rsidR="000F0D2A">
        <w:t xml:space="preserve">CEQA </w:t>
      </w:r>
      <w:r w:rsidRPr="0041190E" w:rsidR="00AA6667">
        <w:t xml:space="preserve">Memo </w:t>
      </w:r>
      <w:r w:rsidRPr="0041190E">
        <w:t xml:space="preserve">prepared for the </w:t>
      </w:r>
      <w:r w:rsidRPr="0041190E" w:rsidR="00AA6667">
        <w:t>Leucadia Project</w:t>
      </w:r>
      <w:r w:rsidRPr="0041190E">
        <w:t>, including the Proposed Crossing</w:t>
      </w:r>
      <w:r w:rsidRPr="0041190E" w:rsidR="000F0D2A">
        <w:t>s</w:t>
      </w:r>
      <w:r w:rsidRPr="0041190E">
        <w:t>, is adequate for our decision-making purposes.</w:t>
      </w:r>
    </w:p>
    <w:p w:rsidRPr="0041190E" w:rsidR="00B61A2A" w:rsidP="0034117B" w:rsidRDefault="0034117B" w14:paraId="7D012B99" w14:textId="68CD2C2A">
      <w:pPr>
        <w:pStyle w:val="CoL"/>
      </w:pPr>
      <w:r w:rsidRPr="0041190E">
        <w:t>The Application</w:t>
      </w:r>
      <w:r w:rsidRPr="0041190E" w:rsidR="00AA6667">
        <w:t xml:space="preserve"> and the August 2024 CEQA Memo </w:t>
      </w:r>
      <w:r w:rsidRPr="0041190E">
        <w:t>comply with CEQA review and exemption requirements</w:t>
      </w:r>
      <w:r w:rsidRPr="0041190E" w:rsidR="00B61A2A">
        <w:t>.</w:t>
      </w:r>
    </w:p>
    <w:p w:rsidRPr="0041190E" w:rsidR="00423908" w:rsidP="00D47242" w:rsidRDefault="00423908" w14:paraId="10118B96" w14:textId="69A6DF54">
      <w:pPr>
        <w:pStyle w:val="CoL"/>
      </w:pPr>
      <w:r w:rsidRPr="0041190E">
        <w:t xml:space="preserve">The Proposed Crossing is exempt from CEQA </w:t>
      </w:r>
      <w:r w:rsidRPr="0041190E" w:rsidR="007A18F9">
        <w:t xml:space="preserve">pursuant to </w:t>
      </w:r>
      <w:r w:rsidRPr="0041190E">
        <w:t xml:space="preserve">Public Resources Code Section </w:t>
      </w:r>
      <w:r w:rsidRPr="0041190E" w:rsidR="009253A0">
        <w:t>21084</w:t>
      </w:r>
      <w:r w:rsidRPr="0041190E">
        <w:t xml:space="preserve"> and CEQA Guidelines, 14 CCR Section </w:t>
      </w:r>
      <w:proofErr w:type="gramStart"/>
      <w:r w:rsidRPr="0041190E" w:rsidR="009253A0">
        <w:t xml:space="preserve">15303 </w:t>
      </w:r>
      <w:r w:rsidRPr="0041190E">
        <w:t xml:space="preserve"> </w:t>
      </w:r>
      <w:r w:rsidRPr="0041190E" w:rsidR="009253A0">
        <w:t>(</w:t>
      </w:r>
      <w:proofErr w:type="gramEnd"/>
      <w:r w:rsidRPr="0041190E" w:rsidR="009253A0">
        <w:rPr>
          <w:i/>
          <w:iCs/>
        </w:rPr>
        <w:t>New Construction or Conversion of Small Structures</w:t>
      </w:r>
      <w:r w:rsidRPr="0041190E" w:rsidR="009253A0">
        <w:t>).</w:t>
      </w:r>
    </w:p>
    <w:p w:rsidRPr="0041190E" w:rsidR="00593537" w:rsidP="00D47242" w:rsidRDefault="00593537" w14:paraId="19D598C5" w14:textId="04B6C416">
      <w:pPr>
        <w:pStyle w:val="CoL"/>
      </w:pPr>
      <w:r w:rsidRPr="0041190E">
        <w:t xml:space="preserve">The </w:t>
      </w:r>
      <w:r w:rsidRPr="0041190E" w:rsidR="00D30963">
        <w:t xml:space="preserve">construction of the </w:t>
      </w:r>
      <w:r w:rsidRPr="0041190E" w:rsidR="00213C2E">
        <w:t xml:space="preserve">Proposed </w:t>
      </w:r>
      <w:r w:rsidRPr="0041190E" w:rsidR="00A6645D">
        <w:t>Crossing</w:t>
      </w:r>
      <w:r w:rsidRPr="0041190E" w:rsidR="007A3433">
        <w:t>s</w:t>
      </w:r>
      <w:r w:rsidRPr="0041190E" w:rsidR="00213C2E">
        <w:t xml:space="preserve"> </w:t>
      </w:r>
      <w:proofErr w:type="gramStart"/>
      <w:r w:rsidRPr="0041190E" w:rsidR="00136F8D">
        <w:t>align</w:t>
      </w:r>
      <w:proofErr w:type="gramEnd"/>
      <w:r w:rsidRPr="0041190E">
        <w:t xml:space="preserve"> </w:t>
      </w:r>
      <w:r w:rsidRPr="0041190E" w:rsidR="00D30963">
        <w:t xml:space="preserve">with </w:t>
      </w:r>
      <w:r w:rsidRPr="0041190E">
        <w:t>and promote</w:t>
      </w:r>
      <w:r w:rsidRPr="0041190E" w:rsidR="00D30963">
        <w:t>s</w:t>
      </w:r>
      <w:r w:rsidRPr="0041190E">
        <w:t xml:space="preserve"> </w:t>
      </w:r>
      <w:r w:rsidRPr="0041190E" w:rsidR="00D30963">
        <w:t>G</w:t>
      </w:r>
      <w:r w:rsidRPr="0041190E">
        <w:t>oal</w:t>
      </w:r>
      <w:r w:rsidRPr="0041190E" w:rsidR="0034117B">
        <w:t xml:space="preserve"> </w:t>
      </w:r>
      <w:proofErr w:type="gramStart"/>
      <w:r w:rsidRPr="0041190E" w:rsidR="009E4D17">
        <w:t xml:space="preserve">3.3 </w:t>
      </w:r>
      <w:r w:rsidRPr="0041190E" w:rsidR="007F11C0">
        <w:t xml:space="preserve"> (</w:t>
      </w:r>
      <w:proofErr w:type="gramEnd"/>
      <w:r w:rsidRPr="0041190E" w:rsidR="007F11C0">
        <w:rPr>
          <w:i/>
          <w:iCs/>
        </w:rPr>
        <w:t>Extend Rail Safety to ESJ Communities</w:t>
      </w:r>
      <w:r w:rsidRPr="0041190E" w:rsidR="007F11C0">
        <w:t xml:space="preserve">) </w:t>
      </w:r>
      <w:r w:rsidRPr="0041190E" w:rsidR="00D30963">
        <w:t>of</w:t>
      </w:r>
      <w:r w:rsidRPr="0041190E">
        <w:t xml:space="preserve"> the Commission</w:t>
      </w:r>
      <w:r w:rsidRPr="0041190E" w:rsidR="00BF26D3">
        <w:t>’</w:t>
      </w:r>
      <w:r w:rsidRPr="0041190E">
        <w:t>s ESJ Action Plan</w:t>
      </w:r>
      <w:r w:rsidRPr="0041190E" w:rsidR="009E4D17">
        <w:t xml:space="preserve"> 2.0</w:t>
      </w:r>
      <w:r w:rsidRPr="0041190E">
        <w:t>.</w:t>
      </w:r>
    </w:p>
    <w:p w:rsidRPr="0041190E" w:rsidR="00674DC3" w:rsidP="00D47242" w:rsidRDefault="00674DC3" w14:paraId="1BB83DEA" w14:textId="33418DCF">
      <w:pPr>
        <w:pStyle w:val="CoL"/>
      </w:pPr>
      <w:r w:rsidRPr="0041190E">
        <w:t>The Proposed Crossing, in this Application, should be approved and the requested authorization to construct should be granted.</w:t>
      </w:r>
    </w:p>
    <w:p w:rsidRPr="0041190E" w:rsidR="005D317C" w:rsidP="00D47242" w:rsidRDefault="00DF7A7D" w14:paraId="232DDD5E" w14:textId="194CD7AD">
      <w:pPr>
        <w:pStyle w:val="CoL"/>
      </w:pPr>
      <w:r w:rsidRPr="0041190E">
        <w:t>Encinitas</w:t>
      </w:r>
      <w:r w:rsidRPr="0041190E" w:rsidR="00CB0C95">
        <w:t xml:space="preserve"> should be granted a period of </w:t>
      </w:r>
      <w:r w:rsidRPr="0041190E" w:rsidR="00863563">
        <w:t>five</w:t>
      </w:r>
      <w:r w:rsidRPr="0041190E" w:rsidR="00EB3FCD">
        <w:t xml:space="preserve"> </w:t>
      </w:r>
      <w:r w:rsidRPr="0041190E" w:rsidR="00CB0C95">
        <w:t xml:space="preserve">years to complete construction of the </w:t>
      </w:r>
      <w:r w:rsidRPr="0041190E" w:rsidR="00C62E43">
        <w:t>Proposed Crossing</w:t>
      </w:r>
      <w:r w:rsidRPr="0041190E" w:rsidR="00CB0C95">
        <w:t>.</w:t>
      </w:r>
    </w:p>
    <w:p w:rsidRPr="0041190E" w:rsidR="008F143D" w:rsidP="00D47242" w:rsidRDefault="00D30963" w14:paraId="734C6A2C" w14:textId="6ABBADAD">
      <w:pPr>
        <w:pStyle w:val="CoL"/>
      </w:pPr>
      <w:r w:rsidRPr="0041190E">
        <w:t xml:space="preserve">This </w:t>
      </w:r>
      <w:r w:rsidRPr="0041190E" w:rsidR="00360D8A">
        <w:t>proceeding</w:t>
      </w:r>
      <w:r w:rsidRPr="0041190E" w:rsidR="00CB0C95">
        <w:t xml:space="preserve"> should be closed.</w:t>
      </w:r>
    </w:p>
    <w:p w:rsidRPr="0041190E" w:rsidR="00BB0243" w:rsidP="00AC051F" w:rsidRDefault="005939A5" w14:paraId="55920CA0" w14:textId="77777777">
      <w:pPr>
        <w:pStyle w:val="Mainex"/>
        <w:spacing w:before="180"/>
      </w:pPr>
      <w:bookmarkStart w:name="_Toc164991207" w:id="83"/>
      <w:bookmarkStart w:name="_Toc216288570" w:id="84"/>
      <w:r w:rsidRPr="0041190E">
        <w:t>O</w:t>
      </w:r>
      <w:r w:rsidRPr="0041190E" w:rsidR="00722850">
        <w:t>RDER</w:t>
      </w:r>
      <w:bookmarkEnd w:id="83"/>
      <w:bookmarkEnd w:id="84"/>
    </w:p>
    <w:p w:rsidRPr="0041190E" w:rsidR="00BB0243" w:rsidP="000A6E05" w:rsidRDefault="00BB0243" w14:paraId="5EFB2CAA" w14:textId="77777777">
      <w:pPr>
        <w:keepNext/>
      </w:pPr>
      <w:r w:rsidRPr="0041190E">
        <w:rPr>
          <w:b/>
        </w:rPr>
        <w:t>IT IS ORDERED</w:t>
      </w:r>
      <w:r w:rsidRPr="0041190E">
        <w:t xml:space="preserve"> that:</w:t>
      </w:r>
    </w:p>
    <w:p w:rsidRPr="0041190E" w:rsidR="00C81684" w:rsidP="00C81684" w:rsidRDefault="00C81684" w14:paraId="09F765B6" w14:textId="66838AD0">
      <w:pPr>
        <w:pStyle w:val="OP"/>
        <w:numPr>
          <w:ilvl w:val="0"/>
          <w:numId w:val="9"/>
        </w:numPr>
      </w:pPr>
      <w:r w:rsidRPr="0041190E">
        <w:t xml:space="preserve">Application </w:t>
      </w:r>
      <w:r w:rsidRPr="0041190E" w:rsidR="00DF7A7D">
        <w:t>25</w:t>
      </w:r>
      <w:r w:rsidRPr="0041190E" w:rsidR="00AF7ECB">
        <w:t>-</w:t>
      </w:r>
      <w:r w:rsidRPr="0041190E" w:rsidR="00DF7A7D">
        <w:t>03</w:t>
      </w:r>
      <w:r w:rsidRPr="0041190E" w:rsidR="00AF7ECB">
        <w:t>-</w:t>
      </w:r>
      <w:r w:rsidRPr="0041190E" w:rsidR="00DF7A7D">
        <w:t>014</w:t>
      </w:r>
      <w:r w:rsidRPr="0041190E">
        <w:t xml:space="preserve"> filed by the</w:t>
      </w:r>
      <w:r w:rsidRPr="0041190E" w:rsidR="00486A14">
        <w:t xml:space="preserve"> City of </w:t>
      </w:r>
      <w:r w:rsidRPr="0041190E" w:rsidR="00DF7A7D">
        <w:t>Encinitas</w:t>
      </w:r>
      <w:r w:rsidRPr="0041190E">
        <w:t xml:space="preserve"> </w:t>
      </w:r>
      <w:r w:rsidRPr="0041190E" w:rsidR="00171AD6">
        <w:t xml:space="preserve">on </w:t>
      </w:r>
      <w:r w:rsidRPr="0041190E" w:rsidR="00DF7A7D">
        <w:t>March 21</w:t>
      </w:r>
      <w:r w:rsidRPr="0041190E" w:rsidR="00486A14">
        <w:t xml:space="preserve">, </w:t>
      </w:r>
      <w:proofErr w:type="gramStart"/>
      <w:r w:rsidRPr="0041190E" w:rsidR="00DF7A7D">
        <w:t>2025</w:t>
      </w:r>
      <w:proofErr w:type="gramEnd"/>
      <w:r w:rsidRPr="0041190E" w:rsidR="00171AD6">
        <w:t xml:space="preserve"> </w:t>
      </w:r>
      <w:r w:rsidRPr="0041190E">
        <w:t>is granted.</w:t>
      </w:r>
    </w:p>
    <w:p w:rsidRPr="0041190E" w:rsidR="00171AD6" w:rsidP="00D8182B" w:rsidRDefault="00CB0C95" w14:paraId="35C88FB7" w14:textId="1C91B34B">
      <w:pPr>
        <w:pStyle w:val="OP"/>
        <w:numPr>
          <w:ilvl w:val="0"/>
          <w:numId w:val="9"/>
        </w:numPr>
      </w:pPr>
      <w:r w:rsidRPr="0041190E">
        <w:t xml:space="preserve">The </w:t>
      </w:r>
      <w:r w:rsidRPr="0041190E" w:rsidR="00072725">
        <w:t xml:space="preserve">City of </w:t>
      </w:r>
      <w:r w:rsidRPr="0041190E" w:rsidR="00B17940">
        <w:t>Encinitas</w:t>
      </w:r>
      <w:r w:rsidRPr="0041190E" w:rsidR="00EB4675">
        <w:t xml:space="preserve"> </w:t>
      </w:r>
      <w:r w:rsidRPr="0041190E">
        <w:t xml:space="preserve">is authorized </w:t>
      </w:r>
      <w:bookmarkStart w:name="_Hlk152086471" w:id="85"/>
      <w:r w:rsidRPr="0041190E" w:rsidR="00486A14">
        <w:t>to</w:t>
      </w:r>
      <w:r w:rsidRPr="0041190E" w:rsidR="00DF7A7D">
        <w:t xml:space="preserve"> </w:t>
      </w:r>
      <w:r w:rsidRPr="0041190E" w:rsidR="00F84F94">
        <w:t xml:space="preserve">construct two </w:t>
      </w:r>
      <w:r w:rsidRPr="0041190E" w:rsidR="00FC7680">
        <w:t>at-grade</w:t>
      </w:r>
      <w:r w:rsidRPr="0041190E" w:rsidR="00F84F94">
        <w:t xml:space="preserve"> pedestrian rail crossings across North County Transit District San Diego Subdivision tracks at Grandview Street at Milepost 235.66 and Phoebe Street at Milepost 236.12 in </w:t>
      </w:r>
      <w:r w:rsidRPr="0041190E" w:rsidR="00F84F94">
        <w:lastRenderedPageBreak/>
        <w:t>the Leucadia neighborhood in the City of Encinitas, County of San Diego, California.</w:t>
      </w:r>
    </w:p>
    <w:bookmarkEnd w:id="85"/>
    <w:p w:rsidRPr="0041190E" w:rsidR="00F70ED0" w:rsidP="00642CFA" w:rsidRDefault="00CB0C95" w14:paraId="5A5133E2" w14:textId="0874AD5B">
      <w:pPr>
        <w:pStyle w:val="OP"/>
        <w:keepNext/>
        <w:numPr>
          <w:ilvl w:val="0"/>
          <w:numId w:val="9"/>
        </w:numPr>
        <w:spacing w:after="120"/>
      </w:pPr>
      <w:r w:rsidRPr="0041190E">
        <w:t xml:space="preserve">The </w:t>
      </w:r>
      <w:r w:rsidRPr="0041190E" w:rsidR="00E03C89">
        <w:t xml:space="preserve">authorized </w:t>
      </w:r>
      <w:r w:rsidRPr="0041190E" w:rsidR="00F70ED0">
        <w:t>C</w:t>
      </w:r>
      <w:r w:rsidRPr="0041190E" w:rsidR="00A6645D">
        <w:t>rossing</w:t>
      </w:r>
      <w:r w:rsidRPr="0041190E" w:rsidR="00DF7A7D">
        <w:t>s</w:t>
      </w:r>
      <w:r w:rsidRPr="0041190E">
        <w:t xml:space="preserve"> shall have the configuration</w:t>
      </w:r>
      <w:r w:rsidRPr="0041190E" w:rsidR="00673CD6">
        <w:t>s</w:t>
      </w:r>
      <w:r w:rsidRPr="0041190E">
        <w:t xml:space="preserve"> described and specified in the application </w:t>
      </w:r>
      <w:r w:rsidRPr="0041190E" w:rsidR="001E3B65">
        <w:t>and its exhibits</w:t>
      </w:r>
      <w:r w:rsidRPr="0041190E" w:rsidR="00D8182B">
        <w:t xml:space="preserve">, attachments, and </w:t>
      </w:r>
      <w:r w:rsidRPr="0041190E" w:rsidR="001E3B65">
        <w:t>appendices</w:t>
      </w:r>
      <w:r w:rsidRPr="0041190E" w:rsidR="00F70ED0">
        <w:t xml:space="preserve"> and shall continue to work with the California Public Utilities Commission’s Rail Crossings and Engineering Branch of the Rail Safety Division to finalize the </w:t>
      </w:r>
      <w:r w:rsidRPr="0041190E" w:rsidR="008C7A04">
        <w:t>design</w:t>
      </w:r>
      <w:r w:rsidRPr="0041190E" w:rsidR="00F70ED0">
        <w:t xml:space="preserve"> of the authorized Crossings. </w:t>
      </w:r>
    </w:p>
    <w:p w:rsidRPr="0041190E" w:rsidR="00D8182B" w:rsidP="00642CFA" w:rsidRDefault="00CB0C95" w14:paraId="51E26612" w14:textId="6A0B9B49">
      <w:pPr>
        <w:pStyle w:val="OP"/>
        <w:keepNext/>
        <w:numPr>
          <w:ilvl w:val="0"/>
          <w:numId w:val="9"/>
        </w:numPr>
        <w:spacing w:after="120"/>
      </w:pPr>
      <w:r w:rsidRPr="0041190E">
        <w:t xml:space="preserve">The </w:t>
      </w:r>
      <w:r w:rsidRPr="0041190E" w:rsidR="00A6645D">
        <w:t>Crossing</w:t>
      </w:r>
      <w:r w:rsidRPr="0041190E" w:rsidR="00F84F94">
        <w:t>s</w:t>
      </w:r>
      <w:r w:rsidRPr="0041190E">
        <w:t xml:space="preserve"> shall be identified by the following California Public Utilities Commission Crossing Number</w:t>
      </w:r>
      <w:r w:rsidRPr="0041190E" w:rsidR="00F84F94">
        <w:t>s</w:t>
      </w:r>
      <w:r w:rsidRPr="0041190E">
        <w:t xml:space="preserve"> (CPUC No</w:t>
      </w:r>
      <w:r w:rsidRPr="0041190E" w:rsidR="00F84F94">
        <w:t>s</w:t>
      </w:r>
      <w:r w:rsidRPr="0041190E">
        <w:t>.):</w:t>
      </w:r>
    </w:p>
    <w:tbl>
      <w:tblPr>
        <w:tblStyle w:val="TableGrid"/>
        <w:tblW w:w="4895" w:type="pct"/>
        <w:jc w:val="center"/>
        <w:tblCellMar>
          <w:top w:w="58" w:type="dxa"/>
          <w:bottom w:w="58" w:type="dxa"/>
        </w:tblCellMar>
        <w:tblLook w:val="04A0" w:firstRow="1" w:lastRow="0" w:firstColumn="1" w:lastColumn="0" w:noHBand="0" w:noVBand="1"/>
      </w:tblPr>
      <w:tblGrid>
        <w:gridCol w:w="1794"/>
        <w:gridCol w:w="1709"/>
        <w:gridCol w:w="1456"/>
        <w:gridCol w:w="1243"/>
        <w:gridCol w:w="1249"/>
        <w:gridCol w:w="1703"/>
      </w:tblGrid>
      <w:tr w:rsidRPr="0041190E" w:rsidR="00F874B9" w:rsidTr="00B17940" w14:paraId="39942E52" w14:textId="77777777">
        <w:trPr>
          <w:tblHeader/>
          <w:jc w:val="center"/>
        </w:trPr>
        <w:tc>
          <w:tcPr>
            <w:tcW w:w="1795" w:type="dxa"/>
            <w:shd w:val="clear" w:color="auto" w:fill="E7E6E6" w:themeFill="background2"/>
          </w:tcPr>
          <w:p w:rsidRPr="0041190E" w:rsidR="00F874B9" w:rsidP="00F874B9" w:rsidRDefault="00F874B9" w14:paraId="7F470671" w14:textId="51CE3B7F">
            <w:pPr>
              <w:keepNext/>
              <w:spacing w:line="240" w:lineRule="auto"/>
              <w:ind w:firstLine="0"/>
              <w:jc w:val="center"/>
              <w:rPr>
                <w:rFonts w:cs="Arial"/>
                <w:b/>
                <w:bCs/>
                <w:sz w:val="22"/>
              </w:rPr>
            </w:pPr>
            <w:r w:rsidRPr="0041190E">
              <w:rPr>
                <w:rFonts w:cs="Arial"/>
                <w:b/>
                <w:bCs/>
                <w:sz w:val="22"/>
              </w:rPr>
              <w:t xml:space="preserve">Crossing </w:t>
            </w:r>
            <w:r w:rsidRPr="0041190E">
              <w:rPr>
                <w:rFonts w:cs="Arial"/>
                <w:b/>
                <w:bCs/>
                <w:sz w:val="22"/>
              </w:rPr>
              <w:br/>
              <w:t>Name</w:t>
            </w:r>
          </w:p>
        </w:tc>
        <w:tc>
          <w:tcPr>
            <w:tcW w:w="1710" w:type="dxa"/>
            <w:shd w:val="clear" w:color="auto" w:fill="E7E6E6" w:themeFill="background2"/>
          </w:tcPr>
          <w:p w:rsidRPr="0041190E" w:rsidR="00F874B9" w:rsidP="00F874B9" w:rsidRDefault="00F874B9" w14:paraId="478F6BD4" w14:textId="541589F2">
            <w:pPr>
              <w:keepNext/>
              <w:spacing w:line="240" w:lineRule="auto"/>
              <w:ind w:firstLine="0"/>
              <w:jc w:val="center"/>
              <w:rPr>
                <w:rFonts w:cs="Arial"/>
                <w:b/>
                <w:bCs/>
                <w:sz w:val="22"/>
              </w:rPr>
            </w:pPr>
            <w:r w:rsidRPr="0041190E">
              <w:rPr>
                <w:rFonts w:cs="Arial"/>
                <w:b/>
                <w:bCs/>
                <w:sz w:val="22"/>
              </w:rPr>
              <w:t>City</w:t>
            </w:r>
          </w:p>
        </w:tc>
        <w:tc>
          <w:tcPr>
            <w:tcW w:w="1457" w:type="dxa"/>
            <w:shd w:val="clear" w:color="auto" w:fill="E7E6E6" w:themeFill="background2"/>
          </w:tcPr>
          <w:p w:rsidRPr="0041190E" w:rsidR="00F874B9" w:rsidP="00F874B9" w:rsidRDefault="00F874B9" w14:paraId="629AA4AD" w14:textId="5A227C27">
            <w:pPr>
              <w:keepNext/>
              <w:spacing w:line="240" w:lineRule="auto"/>
              <w:ind w:firstLine="0"/>
              <w:jc w:val="center"/>
              <w:rPr>
                <w:rFonts w:cs="Arial"/>
                <w:b/>
                <w:bCs/>
                <w:sz w:val="22"/>
              </w:rPr>
            </w:pPr>
            <w:r w:rsidRPr="0041190E">
              <w:rPr>
                <w:rFonts w:cs="Arial"/>
                <w:b/>
                <w:bCs/>
                <w:sz w:val="22"/>
              </w:rPr>
              <w:t>County</w:t>
            </w:r>
          </w:p>
        </w:tc>
        <w:tc>
          <w:tcPr>
            <w:tcW w:w="1243" w:type="dxa"/>
            <w:shd w:val="clear" w:color="auto" w:fill="E7E6E6" w:themeFill="background2"/>
          </w:tcPr>
          <w:p w:rsidRPr="0041190E" w:rsidR="00F874B9" w:rsidP="00F874B9" w:rsidRDefault="00F874B9" w14:paraId="10230AEA" w14:textId="33BF89FC">
            <w:pPr>
              <w:keepNext/>
              <w:spacing w:line="240" w:lineRule="auto"/>
              <w:ind w:firstLine="0"/>
              <w:jc w:val="center"/>
              <w:rPr>
                <w:rFonts w:cs="Arial"/>
                <w:b/>
                <w:bCs/>
                <w:sz w:val="22"/>
              </w:rPr>
            </w:pPr>
            <w:r w:rsidRPr="0041190E">
              <w:rPr>
                <w:rFonts w:cs="Arial"/>
                <w:b/>
                <w:bCs/>
                <w:sz w:val="22"/>
              </w:rPr>
              <w:t>North County Transit District Milepost</w:t>
            </w:r>
          </w:p>
        </w:tc>
        <w:tc>
          <w:tcPr>
            <w:tcW w:w="1243" w:type="dxa"/>
            <w:shd w:val="clear" w:color="auto" w:fill="E7E6E6" w:themeFill="background2"/>
          </w:tcPr>
          <w:p w:rsidRPr="0041190E" w:rsidR="00F874B9" w:rsidP="00F874B9" w:rsidRDefault="00F874B9" w14:paraId="59B4AE90" w14:textId="31AB3528">
            <w:pPr>
              <w:keepNext/>
              <w:spacing w:line="240" w:lineRule="auto"/>
              <w:ind w:firstLine="0"/>
              <w:jc w:val="center"/>
              <w:rPr>
                <w:rFonts w:cs="Arial"/>
                <w:b/>
                <w:bCs/>
                <w:sz w:val="22"/>
              </w:rPr>
            </w:pPr>
            <w:r w:rsidRPr="0041190E">
              <w:rPr>
                <w:rFonts w:cs="Arial"/>
                <w:b/>
                <w:bCs/>
                <w:sz w:val="22"/>
              </w:rPr>
              <w:t>Grade</w:t>
            </w:r>
          </w:p>
        </w:tc>
        <w:tc>
          <w:tcPr>
            <w:tcW w:w="1705" w:type="dxa"/>
            <w:shd w:val="clear" w:color="auto" w:fill="E7E6E6" w:themeFill="background2"/>
          </w:tcPr>
          <w:p w:rsidRPr="0041190E" w:rsidR="00F874B9" w:rsidP="00F874B9" w:rsidRDefault="00F874B9" w14:paraId="0399AD26" w14:textId="49CF3253">
            <w:pPr>
              <w:keepNext/>
              <w:spacing w:line="240" w:lineRule="auto"/>
              <w:ind w:firstLine="0"/>
              <w:rPr>
                <w:rFonts w:cs="Arial"/>
                <w:b/>
                <w:bCs/>
                <w:sz w:val="22"/>
              </w:rPr>
            </w:pPr>
            <w:r w:rsidRPr="0041190E">
              <w:rPr>
                <w:rFonts w:cs="Arial"/>
                <w:b/>
                <w:bCs/>
                <w:sz w:val="22"/>
              </w:rPr>
              <w:t>CPUC No</w:t>
            </w:r>
            <w:r w:rsidRPr="0041190E" w:rsidR="00F84F94">
              <w:rPr>
                <w:rFonts w:cs="Arial"/>
                <w:b/>
                <w:bCs/>
                <w:sz w:val="22"/>
              </w:rPr>
              <w:t>s</w:t>
            </w:r>
            <w:r w:rsidRPr="0041190E">
              <w:rPr>
                <w:rFonts w:cs="Arial"/>
                <w:b/>
                <w:bCs/>
                <w:sz w:val="22"/>
              </w:rPr>
              <w:t>.</w:t>
            </w:r>
          </w:p>
        </w:tc>
      </w:tr>
      <w:tr w:rsidRPr="0041190E" w:rsidR="00F874B9" w:rsidTr="00F874B9" w14:paraId="0A498091" w14:textId="77777777">
        <w:trPr>
          <w:jc w:val="center"/>
        </w:trPr>
        <w:tc>
          <w:tcPr>
            <w:tcW w:w="1795" w:type="dxa"/>
          </w:tcPr>
          <w:p w:rsidRPr="0041190E" w:rsidR="00F874B9" w:rsidP="00F874B9" w:rsidRDefault="00F874B9" w14:paraId="04C1DD61" w14:textId="56814376">
            <w:pPr>
              <w:spacing w:line="240" w:lineRule="auto"/>
              <w:ind w:firstLine="0"/>
              <w:rPr>
                <w:rFonts w:cs="Arial"/>
                <w:sz w:val="22"/>
              </w:rPr>
            </w:pPr>
            <w:bookmarkStart w:name="_Hlk172553990" w:id="86"/>
            <w:r w:rsidRPr="0041190E">
              <w:rPr>
                <w:rFonts w:cs="Arial"/>
                <w:sz w:val="22"/>
              </w:rPr>
              <w:t xml:space="preserve">Grandview Street </w:t>
            </w:r>
          </w:p>
        </w:tc>
        <w:tc>
          <w:tcPr>
            <w:tcW w:w="1710" w:type="dxa"/>
          </w:tcPr>
          <w:p w:rsidRPr="0041190E" w:rsidR="00F874B9" w:rsidP="00F874B9" w:rsidRDefault="00B17940" w14:paraId="7DE8D95A" w14:textId="62CC1B9C">
            <w:pPr>
              <w:keepNext/>
              <w:spacing w:line="240" w:lineRule="auto"/>
              <w:ind w:firstLine="0"/>
              <w:jc w:val="center"/>
              <w:rPr>
                <w:rFonts w:cs="Arial"/>
                <w:b/>
                <w:bCs/>
                <w:sz w:val="22"/>
              </w:rPr>
            </w:pPr>
            <w:r w:rsidRPr="0041190E">
              <w:rPr>
                <w:rFonts w:cs="Arial"/>
                <w:b/>
                <w:bCs/>
                <w:sz w:val="22"/>
              </w:rPr>
              <w:t xml:space="preserve">City of </w:t>
            </w:r>
            <w:r w:rsidRPr="0041190E" w:rsidR="00F874B9">
              <w:rPr>
                <w:rFonts w:cs="Arial"/>
                <w:b/>
                <w:bCs/>
                <w:sz w:val="22"/>
              </w:rPr>
              <w:t xml:space="preserve">Encinitas, </w:t>
            </w:r>
            <w:r w:rsidRPr="0041190E" w:rsidR="00F874B9">
              <w:rPr>
                <w:rFonts w:cs="Arial"/>
                <w:b/>
                <w:bCs/>
                <w:sz w:val="22"/>
              </w:rPr>
              <w:br/>
              <w:t>California</w:t>
            </w:r>
          </w:p>
        </w:tc>
        <w:tc>
          <w:tcPr>
            <w:tcW w:w="1457" w:type="dxa"/>
          </w:tcPr>
          <w:p w:rsidRPr="0041190E" w:rsidR="00F874B9" w:rsidP="00F874B9" w:rsidRDefault="00F874B9" w14:paraId="2F02A260" w14:textId="1B723606">
            <w:pPr>
              <w:spacing w:line="240" w:lineRule="auto"/>
              <w:ind w:firstLine="0"/>
              <w:jc w:val="center"/>
              <w:rPr>
                <w:rFonts w:cs="Arial"/>
                <w:sz w:val="22"/>
              </w:rPr>
            </w:pPr>
            <w:r w:rsidRPr="0041190E">
              <w:rPr>
                <w:rFonts w:cs="Arial"/>
                <w:sz w:val="22"/>
              </w:rPr>
              <w:t>San Diego</w:t>
            </w:r>
          </w:p>
        </w:tc>
        <w:tc>
          <w:tcPr>
            <w:tcW w:w="1243" w:type="dxa"/>
          </w:tcPr>
          <w:p w:rsidRPr="0041190E" w:rsidR="00F874B9" w:rsidP="00F874B9" w:rsidRDefault="00F874B9" w14:paraId="10E9C692" w14:textId="561D56EC">
            <w:pPr>
              <w:spacing w:line="240" w:lineRule="auto"/>
              <w:ind w:firstLine="0"/>
              <w:jc w:val="center"/>
              <w:rPr>
                <w:rFonts w:cs="Arial"/>
                <w:sz w:val="22"/>
              </w:rPr>
            </w:pPr>
            <w:r w:rsidRPr="0041190E">
              <w:rPr>
                <w:rFonts w:cs="Arial"/>
                <w:sz w:val="22"/>
              </w:rPr>
              <w:t>235.66</w:t>
            </w:r>
          </w:p>
        </w:tc>
        <w:tc>
          <w:tcPr>
            <w:tcW w:w="1243" w:type="dxa"/>
          </w:tcPr>
          <w:p w:rsidRPr="0041190E" w:rsidR="00F874B9" w:rsidP="00F874B9" w:rsidRDefault="00FC7680" w14:paraId="7096EDE1" w14:textId="0E0FB9FC">
            <w:pPr>
              <w:spacing w:line="240" w:lineRule="auto"/>
              <w:ind w:firstLine="0"/>
              <w:jc w:val="center"/>
              <w:rPr>
                <w:rFonts w:cs="Arial"/>
                <w:sz w:val="22"/>
              </w:rPr>
            </w:pPr>
            <w:r w:rsidRPr="0041190E">
              <w:rPr>
                <w:rFonts w:cs="Arial"/>
                <w:sz w:val="22"/>
              </w:rPr>
              <w:t>At-grade</w:t>
            </w:r>
            <w:r w:rsidRPr="0041190E" w:rsidR="00B17940">
              <w:rPr>
                <w:rFonts w:cs="Arial"/>
                <w:sz w:val="22"/>
              </w:rPr>
              <w:t xml:space="preserve"> Pedestrian Rail Crossing</w:t>
            </w:r>
          </w:p>
        </w:tc>
        <w:tc>
          <w:tcPr>
            <w:tcW w:w="1705" w:type="dxa"/>
          </w:tcPr>
          <w:p w:rsidRPr="0041190E" w:rsidR="00F874B9" w:rsidP="00F874B9" w:rsidRDefault="00F874B9" w14:paraId="110BBC75" w14:textId="658B1E54">
            <w:pPr>
              <w:spacing w:line="240" w:lineRule="auto"/>
              <w:ind w:firstLine="0"/>
              <w:jc w:val="center"/>
              <w:rPr>
                <w:rFonts w:cs="Arial"/>
                <w:sz w:val="22"/>
              </w:rPr>
            </w:pPr>
            <w:r w:rsidRPr="0041190E">
              <w:rPr>
                <w:rFonts w:cs="Arial"/>
                <w:sz w:val="22"/>
              </w:rPr>
              <w:t>106-235.66-D</w:t>
            </w:r>
          </w:p>
        </w:tc>
      </w:tr>
      <w:tr w:rsidRPr="0041190E" w:rsidR="00F874B9" w:rsidTr="00F874B9" w14:paraId="21C8FB86" w14:textId="77777777">
        <w:trPr>
          <w:jc w:val="center"/>
        </w:trPr>
        <w:tc>
          <w:tcPr>
            <w:tcW w:w="1795" w:type="dxa"/>
          </w:tcPr>
          <w:p w:rsidRPr="0041190E" w:rsidR="00F874B9" w:rsidP="00F874B9" w:rsidRDefault="00F874B9" w14:paraId="65BC5492" w14:textId="4A2A0170">
            <w:pPr>
              <w:spacing w:line="240" w:lineRule="auto"/>
              <w:ind w:firstLine="0"/>
              <w:rPr>
                <w:rFonts w:cs="Arial"/>
                <w:sz w:val="22"/>
              </w:rPr>
            </w:pPr>
            <w:r w:rsidRPr="0041190E">
              <w:rPr>
                <w:rFonts w:cs="Arial"/>
                <w:sz w:val="22"/>
              </w:rPr>
              <w:t xml:space="preserve">Phoebe Street </w:t>
            </w:r>
          </w:p>
        </w:tc>
        <w:tc>
          <w:tcPr>
            <w:tcW w:w="1710" w:type="dxa"/>
          </w:tcPr>
          <w:p w:rsidRPr="0041190E" w:rsidR="00F874B9" w:rsidP="00F874B9" w:rsidRDefault="00B17940" w14:paraId="37D971ED" w14:textId="59CA300E">
            <w:pPr>
              <w:keepNext/>
              <w:spacing w:line="240" w:lineRule="auto"/>
              <w:ind w:firstLine="0"/>
              <w:jc w:val="center"/>
              <w:rPr>
                <w:rFonts w:cs="Arial"/>
                <w:b/>
                <w:bCs/>
                <w:sz w:val="22"/>
              </w:rPr>
            </w:pPr>
            <w:r w:rsidRPr="0041190E">
              <w:rPr>
                <w:rFonts w:cs="Arial"/>
                <w:b/>
                <w:bCs/>
                <w:sz w:val="22"/>
              </w:rPr>
              <w:t xml:space="preserve">City of </w:t>
            </w:r>
            <w:r w:rsidRPr="0041190E" w:rsidR="00F874B9">
              <w:rPr>
                <w:rFonts w:cs="Arial"/>
                <w:b/>
                <w:bCs/>
                <w:sz w:val="22"/>
              </w:rPr>
              <w:t xml:space="preserve">Encinitas, </w:t>
            </w:r>
            <w:r w:rsidRPr="0041190E" w:rsidR="00F874B9">
              <w:rPr>
                <w:rFonts w:cs="Arial"/>
                <w:b/>
                <w:bCs/>
                <w:sz w:val="22"/>
              </w:rPr>
              <w:br/>
              <w:t>California</w:t>
            </w:r>
          </w:p>
        </w:tc>
        <w:tc>
          <w:tcPr>
            <w:tcW w:w="1457" w:type="dxa"/>
          </w:tcPr>
          <w:p w:rsidRPr="0041190E" w:rsidR="00F874B9" w:rsidP="00F874B9" w:rsidRDefault="00F874B9" w14:paraId="34110526" w14:textId="4D5A9016">
            <w:pPr>
              <w:spacing w:line="240" w:lineRule="auto"/>
              <w:ind w:firstLine="0"/>
              <w:jc w:val="center"/>
              <w:rPr>
                <w:rFonts w:cs="Arial"/>
                <w:sz w:val="22"/>
              </w:rPr>
            </w:pPr>
            <w:r w:rsidRPr="0041190E">
              <w:rPr>
                <w:rFonts w:cs="Arial"/>
                <w:sz w:val="22"/>
              </w:rPr>
              <w:t>San Diego</w:t>
            </w:r>
          </w:p>
        </w:tc>
        <w:tc>
          <w:tcPr>
            <w:tcW w:w="1243" w:type="dxa"/>
          </w:tcPr>
          <w:p w:rsidRPr="0041190E" w:rsidR="00F874B9" w:rsidP="00F874B9" w:rsidRDefault="00F874B9" w14:paraId="304EE00B" w14:textId="66AA3C48">
            <w:pPr>
              <w:spacing w:line="240" w:lineRule="auto"/>
              <w:ind w:firstLine="0"/>
              <w:jc w:val="center"/>
              <w:rPr>
                <w:rFonts w:cs="Arial"/>
                <w:sz w:val="22"/>
              </w:rPr>
            </w:pPr>
            <w:r w:rsidRPr="0041190E">
              <w:rPr>
                <w:rFonts w:cs="Arial"/>
                <w:sz w:val="22"/>
              </w:rPr>
              <w:t>236.12</w:t>
            </w:r>
          </w:p>
        </w:tc>
        <w:tc>
          <w:tcPr>
            <w:tcW w:w="1243" w:type="dxa"/>
          </w:tcPr>
          <w:p w:rsidRPr="0041190E" w:rsidR="00F874B9" w:rsidP="00F874B9" w:rsidRDefault="00FC7680" w14:paraId="2BF4579B" w14:textId="27956CDF">
            <w:pPr>
              <w:spacing w:line="240" w:lineRule="auto"/>
              <w:ind w:firstLine="0"/>
              <w:jc w:val="center"/>
              <w:rPr>
                <w:rFonts w:cs="Arial"/>
                <w:sz w:val="22"/>
              </w:rPr>
            </w:pPr>
            <w:r w:rsidRPr="0041190E">
              <w:rPr>
                <w:rFonts w:cs="Arial"/>
                <w:sz w:val="22"/>
              </w:rPr>
              <w:t>At-grade</w:t>
            </w:r>
            <w:r w:rsidRPr="0041190E" w:rsidR="00B17940">
              <w:rPr>
                <w:rFonts w:cs="Arial"/>
                <w:sz w:val="22"/>
              </w:rPr>
              <w:t xml:space="preserve"> Pedestrian Rail Crossing</w:t>
            </w:r>
          </w:p>
        </w:tc>
        <w:tc>
          <w:tcPr>
            <w:tcW w:w="1705" w:type="dxa"/>
          </w:tcPr>
          <w:p w:rsidRPr="0041190E" w:rsidR="00F874B9" w:rsidP="00F874B9" w:rsidRDefault="00F874B9" w14:paraId="57D1AC39" w14:textId="7FD57202">
            <w:pPr>
              <w:spacing w:line="240" w:lineRule="auto"/>
              <w:ind w:firstLine="0"/>
              <w:jc w:val="center"/>
              <w:rPr>
                <w:rFonts w:cs="Arial"/>
                <w:sz w:val="22"/>
              </w:rPr>
            </w:pPr>
            <w:r w:rsidRPr="0041190E">
              <w:rPr>
                <w:rFonts w:cs="Arial"/>
                <w:sz w:val="22"/>
              </w:rPr>
              <w:t>106-236.12-D</w:t>
            </w:r>
          </w:p>
        </w:tc>
      </w:tr>
    </w:tbl>
    <w:bookmarkEnd w:id="86"/>
    <w:p w:rsidRPr="0041190E" w:rsidR="004A5770" w:rsidP="004A5770" w:rsidRDefault="004A5770" w14:paraId="46924929" w14:textId="2AFE22B3">
      <w:pPr>
        <w:pStyle w:val="OP"/>
        <w:numPr>
          <w:ilvl w:val="0"/>
          <w:numId w:val="9"/>
        </w:numPr>
        <w:spacing w:before="240"/>
      </w:pPr>
      <w:r w:rsidRPr="0041190E">
        <w:t xml:space="preserve">The City of Encinitas shall coordinate with the North County Transit District to obtain and assign a </w:t>
      </w:r>
      <w:r w:rsidRPr="0041190E" w:rsidR="006F7DD9">
        <w:t>United States Department of Transportation</w:t>
      </w:r>
      <w:r w:rsidRPr="0041190E">
        <w:t xml:space="preserve"> Crossing Identification Number for the </w:t>
      </w:r>
      <w:r w:rsidRPr="0041190E" w:rsidR="006F7DD9">
        <w:t>authorized crossings</w:t>
      </w:r>
      <w:r w:rsidRPr="0041190E">
        <w:t xml:space="preserve"> and submit them to the </w:t>
      </w:r>
      <w:bookmarkStart w:name="_Hlk215780666" w:id="87"/>
      <w:r w:rsidRPr="0041190E">
        <w:t>California Public Utilities Commission’s Rail Crossings and Engineering Branch of the Rail Safety Division</w:t>
      </w:r>
      <w:bookmarkEnd w:id="87"/>
      <w:r w:rsidRPr="0041190E">
        <w:t>.</w:t>
      </w:r>
    </w:p>
    <w:p w:rsidRPr="0041190E" w:rsidR="00CB0C95" w:rsidP="004A5770" w:rsidRDefault="00CB0C95" w14:paraId="59D14CE4" w14:textId="181BE2D8">
      <w:pPr>
        <w:pStyle w:val="OP"/>
        <w:numPr>
          <w:ilvl w:val="0"/>
          <w:numId w:val="9"/>
        </w:numPr>
      </w:pPr>
      <w:r w:rsidRPr="0041190E">
        <w:t xml:space="preserve">The </w:t>
      </w:r>
      <w:r w:rsidRPr="0041190E" w:rsidR="00072725">
        <w:t xml:space="preserve">City of </w:t>
      </w:r>
      <w:r w:rsidRPr="0041190E" w:rsidR="00F84F94">
        <w:t>Encinitas</w:t>
      </w:r>
      <w:r w:rsidRPr="0041190E" w:rsidR="00EB4675">
        <w:t xml:space="preserve"> </w:t>
      </w:r>
      <w:r w:rsidRPr="0041190E">
        <w:t>shall comply with all applicable rules, including the California Public Utilities Commission</w:t>
      </w:r>
      <w:r w:rsidRPr="0041190E" w:rsidR="00BF26D3">
        <w:t>’</w:t>
      </w:r>
      <w:r w:rsidRPr="0041190E">
        <w:t>s General Orders, California Manual on Uniform Traffic Control Devices, and the Americans with Disabilities Act.</w:t>
      </w:r>
    </w:p>
    <w:p w:rsidRPr="0041190E" w:rsidR="00CB0C95" w:rsidP="00D909E7" w:rsidRDefault="00CB0C95" w14:paraId="014037E6" w14:textId="7B18DE96">
      <w:pPr>
        <w:pStyle w:val="OP"/>
        <w:numPr>
          <w:ilvl w:val="0"/>
          <w:numId w:val="9"/>
        </w:numPr>
      </w:pPr>
      <w:r w:rsidRPr="0041190E">
        <w:lastRenderedPageBreak/>
        <w:t xml:space="preserve">The </w:t>
      </w:r>
      <w:r w:rsidRPr="0041190E" w:rsidR="00072725">
        <w:t xml:space="preserve">City of </w:t>
      </w:r>
      <w:r w:rsidRPr="0041190E" w:rsidR="00F84F94">
        <w:t>Encinitas</w:t>
      </w:r>
      <w:r w:rsidRPr="0041190E" w:rsidR="00EB4675">
        <w:t xml:space="preserve"> </w:t>
      </w:r>
      <w:r w:rsidRPr="0041190E">
        <w:t>shall notify the California Public Utilities Commission</w:t>
      </w:r>
      <w:r w:rsidRPr="0041190E" w:rsidR="00BF26D3">
        <w:t>’</w:t>
      </w:r>
      <w:r w:rsidRPr="0041190E">
        <w:t xml:space="preserve">s Rail Safety Division, Rail Crossings and Engineering Branch at least </w:t>
      </w:r>
      <w:r w:rsidRPr="0041190E" w:rsidR="002F6E45">
        <w:t>30</w:t>
      </w:r>
      <w:r w:rsidRPr="0041190E">
        <w:t xml:space="preserve"> days prior to the opening of the crossing. Notification should be made by </w:t>
      </w:r>
      <w:r w:rsidRPr="0041190E" w:rsidR="00CC5B0B">
        <w:t>email</w:t>
      </w:r>
      <w:r w:rsidRPr="0041190E">
        <w:t xml:space="preserve"> to </w:t>
      </w:r>
      <w:hyperlink w:history="1" r:id="rId17">
        <w:r w:rsidRPr="0041190E">
          <w:rPr>
            <w:rStyle w:val="Hyperlink"/>
          </w:rPr>
          <w:t>rceb@cpuc.ca.gov</w:t>
        </w:r>
      </w:hyperlink>
      <w:r w:rsidRPr="0041190E">
        <w:t>.</w:t>
      </w:r>
    </w:p>
    <w:p w:rsidRPr="0041190E" w:rsidR="00FC7680" w:rsidP="00D909E7" w:rsidRDefault="00FC7680" w14:paraId="3D9B0547" w14:textId="6A5A5486">
      <w:pPr>
        <w:pStyle w:val="OP"/>
        <w:numPr>
          <w:ilvl w:val="0"/>
          <w:numId w:val="9"/>
        </w:numPr>
      </w:pPr>
      <w:r w:rsidRPr="0041190E">
        <w:t>The City of Encinitas shall have its design build contractor provide a compliance filing of 100 percent design level drawings for the crossings to the California Public Utilities Commission’s Rail Safety Division, Rail Crossings and Engineering Branch no later than 60 days prior to commencing construction. The compliance filing will serve to demonstrate conformance with the crossing designs approved in this Order.</w:t>
      </w:r>
    </w:p>
    <w:p w:rsidRPr="0041190E" w:rsidR="00E1244A" w:rsidP="00E1244A" w:rsidRDefault="00E1244A" w14:paraId="127D385F" w14:textId="381390E7">
      <w:pPr>
        <w:pStyle w:val="ListParagraph"/>
        <w:numPr>
          <w:ilvl w:val="0"/>
          <w:numId w:val="9"/>
        </w:numPr>
      </w:pPr>
      <w:r w:rsidRPr="0041190E">
        <w:t>The City of Encinitas shall review its design build contractor’s compliance filing of 100 percent design level drawings for the crossings for conformance with their applicable standards.</w:t>
      </w:r>
    </w:p>
    <w:p w:rsidRPr="0041190E" w:rsidR="00CB0C95" w:rsidP="00D909E7" w:rsidRDefault="00CB0C95" w14:paraId="17AD279B" w14:textId="158071F1">
      <w:pPr>
        <w:pStyle w:val="OP"/>
        <w:numPr>
          <w:ilvl w:val="0"/>
          <w:numId w:val="9"/>
        </w:numPr>
      </w:pPr>
      <w:r w:rsidRPr="0041190E">
        <w:t xml:space="preserve">Within </w:t>
      </w:r>
      <w:r w:rsidRPr="0041190E" w:rsidR="002F6E45">
        <w:t>30</w:t>
      </w:r>
      <w:r w:rsidRPr="0041190E">
        <w:t xml:space="preserve"> days after completion of the work authorized by this decision, the </w:t>
      </w:r>
      <w:r w:rsidRPr="0041190E" w:rsidR="00AA16B9">
        <w:t xml:space="preserve">City of the </w:t>
      </w:r>
      <w:r w:rsidRPr="0041190E" w:rsidR="00F84F94">
        <w:t>Encinitas</w:t>
      </w:r>
      <w:r w:rsidRPr="0041190E" w:rsidR="00EB4675">
        <w:t xml:space="preserve"> </w:t>
      </w:r>
      <w:r w:rsidRPr="0041190E">
        <w:t>shall notify the California Public Utilities Commission</w:t>
      </w:r>
      <w:r w:rsidRPr="0041190E" w:rsidR="00BF26D3">
        <w:t>’</w:t>
      </w:r>
      <w:r w:rsidRPr="0041190E">
        <w:t>s Rail Safety Division, Rail Crossings and Engineering Branch by submitting a completed California Public Utilities Commission Standard Form</w:t>
      </w:r>
      <w:r w:rsidRPr="0041190E" w:rsidR="00397E73">
        <w:t> </w:t>
      </w:r>
      <w:r w:rsidRPr="0041190E">
        <w:t>G (</w:t>
      </w:r>
      <w:r w:rsidRPr="0041190E">
        <w:rPr>
          <w:i/>
          <w:iCs/>
        </w:rPr>
        <w:t>Report of Changes at Highway Grade Crossing and Separations</w:t>
      </w:r>
      <w:r w:rsidRPr="0041190E">
        <w:t xml:space="preserve">), for the completion of the authorized work. </w:t>
      </w:r>
      <w:proofErr w:type="gramStart"/>
      <w:r w:rsidRPr="0041190E">
        <w:t>Form</w:t>
      </w:r>
      <w:proofErr w:type="gramEnd"/>
      <w:r w:rsidRPr="0041190E" w:rsidR="00951C66">
        <w:t> </w:t>
      </w:r>
      <w:r w:rsidRPr="0041190E">
        <w:t xml:space="preserve">G requirements and forms can be obtained at the California Public Utilities Commission web site at </w:t>
      </w:r>
      <w:hyperlink w:history="1" r:id="rId18">
        <w:r w:rsidRPr="0041190E">
          <w:rPr>
            <w:rStyle w:val="Hyperlink"/>
          </w:rPr>
          <w:t>www.cpuc.ca.gov/crossings</w:t>
        </w:r>
      </w:hyperlink>
      <w:r w:rsidRPr="0041190E">
        <w:t xml:space="preserve">. The completed report must be submitted via email to </w:t>
      </w:r>
      <w:hyperlink w:history="1" r:id="rId19">
        <w:r w:rsidRPr="0041190E">
          <w:rPr>
            <w:rStyle w:val="Hyperlink"/>
          </w:rPr>
          <w:t>rceb@cpuc.ca.gov</w:t>
        </w:r>
      </w:hyperlink>
      <w:r w:rsidRPr="0041190E">
        <w:t>.</w:t>
      </w:r>
    </w:p>
    <w:p w:rsidRPr="0041190E" w:rsidR="00572ACC" w:rsidP="00D909E7" w:rsidRDefault="00572ACC" w14:paraId="7FBD05F1" w14:textId="4A87FA1D">
      <w:pPr>
        <w:pStyle w:val="OP"/>
        <w:numPr>
          <w:ilvl w:val="0"/>
          <w:numId w:val="9"/>
        </w:numPr>
      </w:pPr>
      <w:r w:rsidRPr="0041190E">
        <w:t xml:space="preserve">Within 30 days after completion of the work authorized by this decision, the City of the Encinitas shall provide the California Public Utilities Commission’s Rail Safety Division, Rail Crossings and Engineering Branch with copy of an executed maintenance agreement between the City of Encinitas and </w:t>
      </w:r>
      <w:r w:rsidRPr="0041190E">
        <w:lastRenderedPageBreak/>
        <w:t>the North County Transit District</w:t>
      </w:r>
      <w:r w:rsidRPr="0041190E" w:rsidR="006F7DD9">
        <w:t xml:space="preserve"> for the authorized at-grade pedestrian rail crossings</w:t>
      </w:r>
      <w:r w:rsidRPr="0041190E">
        <w:t xml:space="preserve">. </w:t>
      </w:r>
    </w:p>
    <w:p w:rsidRPr="0041190E" w:rsidR="00CB0C95" w:rsidP="00D909E7" w:rsidRDefault="00CB0C95" w14:paraId="68D52FDC" w14:textId="35A9C6AB">
      <w:pPr>
        <w:pStyle w:val="OP"/>
        <w:numPr>
          <w:ilvl w:val="0"/>
          <w:numId w:val="9"/>
        </w:numPr>
      </w:pPr>
      <w:r w:rsidRPr="0041190E">
        <w:t xml:space="preserve">This authorization shall expire if not exercised within </w:t>
      </w:r>
      <w:r w:rsidRPr="0041190E" w:rsidR="00F70ED0">
        <w:t>five</w:t>
      </w:r>
      <w:r w:rsidRPr="0041190E">
        <w:t xml:space="preserve"> years of the issuance of this decision unless time is extended or if the above conditions are not satisfied. Authorization may be revoked or modified if public convenience, necessity, or </w:t>
      </w:r>
      <w:proofErr w:type="gramStart"/>
      <w:r w:rsidRPr="0041190E">
        <w:t>safety so</w:t>
      </w:r>
      <w:proofErr w:type="gramEnd"/>
      <w:r w:rsidRPr="0041190E">
        <w:t xml:space="preserve"> </w:t>
      </w:r>
      <w:proofErr w:type="gramStart"/>
      <w:r w:rsidRPr="0041190E">
        <w:t>require</w:t>
      </w:r>
      <w:proofErr w:type="gramEnd"/>
      <w:r w:rsidRPr="0041190E">
        <w:t>.</w:t>
      </w:r>
    </w:p>
    <w:p w:rsidRPr="0041190E" w:rsidR="00CB0C95" w:rsidP="00D909E7" w:rsidRDefault="00CB0C95" w14:paraId="5DEBC4DE" w14:textId="527E6BA3">
      <w:pPr>
        <w:pStyle w:val="OP"/>
        <w:numPr>
          <w:ilvl w:val="0"/>
          <w:numId w:val="9"/>
        </w:numPr>
      </w:pPr>
      <w:r w:rsidRPr="0041190E">
        <w:t xml:space="preserve">A request for extension of the </w:t>
      </w:r>
      <w:r w:rsidRPr="0041190E" w:rsidR="00F70ED0">
        <w:t>five</w:t>
      </w:r>
      <w:r w:rsidRPr="0041190E" w:rsidR="00681C56">
        <w:noBreakHyphen/>
      </w:r>
      <w:r w:rsidRPr="0041190E">
        <w:t>year authorization must be submitted to the California Public Utilities Commission</w:t>
      </w:r>
      <w:r w:rsidRPr="0041190E" w:rsidR="00BF26D3">
        <w:t>’</w:t>
      </w:r>
      <w:r w:rsidRPr="0041190E">
        <w:t>s Rail Safety Division, Rail Crossings and Engineering Branch at least 30 days before the expiration of that period. A copy of the extension request shall be sent to all interested parties.</w:t>
      </w:r>
    </w:p>
    <w:p w:rsidRPr="0041190E" w:rsidR="00F6397D" w:rsidP="00B57B41" w:rsidRDefault="0012728C" w14:paraId="03A55D9F" w14:textId="3AAB292E">
      <w:pPr>
        <w:pStyle w:val="OP"/>
        <w:keepNext/>
        <w:numPr>
          <w:ilvl w:val="0"/>
          <w:numId w:val="9"/>
        </w:numPr>
      </w:pPr>
      <w:r w:rsidRPr="0041190E">
        <w:t>Application</w:t>
      </w:r>
      <w:r w:rsidRPr="0041190E" w:rsidR="00B57B41">
        <w:t> </w:t>
      </w:r>
      <w:r w:rsidRPr="0041190E" w:rsidR="009959CC">
        <w:t>25-03-014</w:t>
      </w:r>
      <w:r w:rsidRPr="0041190E" w:rsidR="00E23CBB">
        <w:t xml:space="preserve"> is closed.</w:t>
      </w:r>
    </w:p>
    <w:p w:rsidRPr="0041190E" w:rsidR="008F0116" w:rsidP="00B57B41" w:rsidRDefault="008F0116" w14:paraId="7A055A80" w14:textId="77777777">
      <w:pPr>
        <w:pStyle w:val="Standard"/>
        <w:keepNext/>
      </w:pPr>
      <w:r w:rsidRPr="0041190E">
        <w:t>This order is effective today.</w:t>
      </w:r>
    </w:p>
    <w:p w:rsidR="00714CF2" w:rsidP="00B57B41" w:rsidRDefault="008F0116" w14:paraId="3A6DD41D" w14:textId="76A9CAC0">
      <w:pPr>
        <w:pStyle w:val="Standard"/>
        <w:keepNext/>
      </w:pPr>
      <w:r w:rsidRPr="0041190E">
        <w:t xml:space="preserve">Dated </w:t>
      </w:r>
      <w:r w:rsidR="00D83369">
        <w:t>February 5, 2026</w:t>
      </w:r>
      <w:r w:rsidRPr="0041190E">
        <w:t xml:space="preserve">, </w:t>
      </w:r>
      <w:proofErr w:type="gramStart"/>
      <w:r w:rsidRPr="0041190E">
        <w:t>at</w:t>
      </w:r>
      <w:proofErr w:type="gramEnd"/>
      <w:r w:rsidRPr="0041190E">
        <w:t xml:space="preserve"> </w:t>
      </w:r>
      <w:r w:rsidR="0054450B">
        <w:t>Sacramento</w:t>
      </w:r>
      <w:r w:rsidRPr="0041190E">
        <w:t>, California</w:t>
      </w:r>
      <w:r w:rsidRPr="0041190E" w:rsidR="006D07C2">
        <w:t>.</w:t>
      </w:r>
    </w:p>
    <w:p w:rsidR="00D83369" w:rsidP="00B57B41" w:rsidRDefault="00D83369" w14:paraId="0D77BD4A" w14:textId="77777777">
      <w:pPr>
        <w:pStyle w:val="Standard"/>
        <w:keepNext/>
      </w:pPr>
    </w:p>
    <w:p w:rsidRPr="00D83369" w:rsidR="00D83369" w:rsidP="00D83369" w:rsidRDefault="00D83369" w14:paraId="534C52C1" w14:textId="77777777">
      <w:pPr>
        <w:autoSpaceDE w:val="0"/>
        <w:autoSpaceDN w:val="0"/>
        <w:adjustRightInd w:val="0"/>
        <w:spacing w:line="240" w:lineRule="auto"/>
        <w:ind w:left="4320"/>
        <w:jc w:val="both"/>
        <w:rPr>
          <w:rFonts w:cs="Times New Roman"/>
          <w:szCs w:val="20"/>
        </w:rPr>
      </w:pPr>
      <w:r w:rsidRPr="00D83369">
        <w:rPr>
          <w:rFonts w:cs="Times New Roman"/>
          <w:szCs w:val="20"/>
        </w:rPr>
        <w:t>ALICE REYNOLDS</w:t>
      </w:r>
    </w:p>
    <w:p w:rsidRPr="00D83369" w:rsidR="00D83369" w:rsidP="00D83369" w:rsidRDefault="00D83369" w14:paraId="320F8BAF" w14:textId="5A38813C">
      <w:pPr>
        <w:autoSpaceDE w:val="0"/>
        <w:autoSpaceDN w:val="0"/>
        <w:adjustRightInd w:val="0"/>
        <w:spacing w:line="240" w:lineRule="auto"/>
        <w:jc w:val="both"/>
        <w:rPr>
          <w:rFonts w:cs="Times New Roman"/>
          <w:szCs w:val="20"/>
        </w:rPr>
      </w:pPr>
      <w:r w:rsidRPr="00D83369">
        <w:rPr>
          <w:rFonts w:cs="Times New Roman"/>
          <w:szCs w:val="20"/>
        </w:rPr>
        <w:tab/>
      </w:r>
      <w:r w:rsidRPr="00D83369">
        <w:rPr>
          <w:rFonts w:cs="Times New Roman"/>
          <w:szCs w:val="20"/>
        </w:rPr>
        <w:tab/>
      </w:r>
      <w:r w:rsidRPr="00D83369">
        <w:rPr>
          <w:rFonts w:cs="Times New Roman"/>
          <w:szCs w:val="20"/>
        </w:rPr>
        <w:tab/>
      </w:r>
      <w:r w:rsidRPr="00D83369">
        <w:rPr>
          <w:rFonts w:cs="Times New Roman"/>
          <w:szCs w:val="20"/>
        </w:rPr>
        <w:tab/>
      </w:r>
      <w:r w:rsidRPr="00D83369">
        <w:rPr>
          <w:rFonts w:cs="Times New Roman"/>
          <w:szCs w:val="20"/>
        </w:rPr>
        <w:tab/>
        <w:t xml:space="preserve">                       </w:t>
      </w:r>
      <w:r>
        <w:rPr>
          <w:rFonts w:cs="Times New Roman"/>
          <w:szCs w:val="20"/>
        </w:rPr>
        <w:tab/>
      </w:r>
      <w:r w:rsidRPr="00D83369">
        <w:rPr>
          <w:rFonts w:cs="Times New Roman"/>
          <w:szCs w:val="20"/>
        </w:rPr>
        <w:t>President</w:t>
      </w:r>
    </w:p>
    <w:p w:rsidRPr="00D83369" w:rsidR="00D83369" w:rsidP="00D83369" w:rsidRDefault="00D83369" w14:paraId="196E7CB0" w14:textId="77777777">
      <w:pPr>
        <w:autoSpaceDE w:val="0"/>
        <w:autoSpaceDN w:val="0"/>
        <w:adjustRightInd w:val="0"/>
        <w:spacing w:line="240" w:lineRule="auto"/>
        <w:ind w:left="4320"/>
        <w:jc w:val="both"/>
        <w:rPr>
          <w:rFonts w:cs="Times New Roman"/>
          <w:szCs w:val="20"/>
        </w:rPr>
      </w:pPr>
      <w:r w:rsidRPr="00D83369">
        <w:rPr>
          <w:rFonts w:cs="Times New Roman"/>
          <w:szCs w:val="20"/>
        </w:rPr>
        <w:t>DARCIE L. HOUCK</w:t>
      </w:r>
    </w:p>
    <w:p w:rsidRPr="00D83369" w:rsidR="00D83369" w:rsidP="00D83369" w:rsidRDefault="00D83369" w14:paraId="3EB223AF" w14:textId="77777777">
      <w:pPr>
        <w:autoSpaceDE w:val="0"/>
        <w:autoSpaceDN w:val="0"/>
        <w:adjustRightInd w:val="0"/>
        <w:spacing w:line="240" w:lineRule="auto"/>
        <w:ind w:left="4320"/>
        <w:jc w:val="both"/>
        <w:rPr>
          <w:rFonts w:cs="Times New Roman"/>
          <w:szCs w:val="20"/>
        </w:rPr>
      </w:pPr>
      <w:r w:rsidRPr="00D83369">
        <w:rPr>
          <w:rFonts w:cs="Times New Roman"/>
          <w:szCs w:val="20"/>
        </w:rPr>
        <w:t>JOHN REYNOLDS</w:t>
      </w:r>
    </w:p>
    <w:p w:rsidRPr="00D83369" w:rsidR="00D83369" w:rsidP="00D83369" w:rsidRDefault="00D83369" w14:paraId="530FCFCF" w14:textId="77777777">
      <w:pPr>
        <w:autoSpaceDE w:val="0"/>
        <w:autoSpaceDN w:val="0"/>
        <w:adjustRightInd w:val="0"/>
        <w:spacing w:line="240" w:lineRule="auto"/>
        <w:ind w:left="4320"/>
        <w:jc w:val="both"/>
        <w:rPr>
          <w:rFonts w:eastAsia="Times New Roman" w:cs="Calibri"/>
          <w:color w:val="000000"/>
          <w:szCs w:val="26"/>
        </w:rPr>
      </w:pPr>
      <w:r w:rsidRPr="00D83369">
        <w:rPr>
          <w:rFonts w:eastAsia="Times New Roman" w:cs="Calibri"/>
          <w:color w:val="000000"/>
          <w:szCs w:val="26"/>
        </w:rPr>
        <w:t>KAREN DOUGLAS</w:t>
      </w:r>
    </w:p>
    <w:p w:rsidRPr="00D83369" w:rsidR="00D83369" w:rsidP="00D83369" w:rsidRDefault="00D83369" w14:paraId="20A40CDF" w14:textId="77777777">
      <w:pPr>
        <w:autoSpaceDE w:val="0"/>
        <w:autoSpaceDN w:val="0"/>
        <w:adjustRightInd w:val="0"/>
        <w:spacing w:line="240" w:lineRule="auto"/>
        <w:ind w:left="4320"/>
        <w:jc w:val="both"/>
        <w:rPr>
          <w:rFonts w:cs="Times New Roman"/>
          <w:szCs w:val="20"/>
        </w:rPr>
      </w:pPr>
      <w:r w:rsidRPr="00D83369">
        <w:rPr>
          <w:rFonts w:eastAsia="Times New Roman" w:cs="Calibri"/>
          <w:color w:val="000000"/>
          <w:szCs w:val="26"/>
        </w:rPr>
        <w:t>MATTHEW BAKER</w:t>
      </w:r>
    </w:p>
    <w:p w:rsidRPr="00D83369" w:rsidR="00D83369" w:rsidP="00D83369" w:rsidRDefault="00D83369" w14:paraId="508E843A" w14:textId="7ABB933D">
      <w:pPr>
        <w:autoSpaceDE w:val="0"/>
        <w:autoSpaceDN w:val="0"/>
        <w:adjustRightInd w:val="0"/>
        <w:spacing w:line="240" w:lineRule="auto"/>
        <w:ind w:left="4320"/>
        <w:jc w:val="both"/>
        <w:rPr>
          <w:rFonts w:cs="Times New Roman"/>
          <w:szCs w:val="20"/>
        </w:rPr>
      </w:pPr>
      <w:r w:rsidRPr="00D83369">
        <w:rPr>
          <w:rFonts w:cs="Times New Roman"/>
          <w:szCs w:val="20"/>
        </w:rPr>
        <w:t xml:space="preserve">           </w:t>
      </w:r>
      <w:r>
        <w:rPr>
          <w:rFonts w:cs="Times New Roman"/>
          <w:szCs w:val="20"/>
        </w:rPr>
        <w:tab/>
      </w:r>
      <w:r>
        <w:rPr>
          <w:rFonts w:cs="Times New Roman"/>
          <w:szCs w:val="20"/>
        </w:rPr>
        <w:tab/>
      </w:r>
      <w:r w:rsidRPr="00D83369">
        <w:rPr>
          <w:rFonts w:cs="Times New Roman"/>
          <w:szCs w:val="20"/>
        </w:rPr>
        <w:t xml:space="preserve"> Commissioners</w:t>
      </w:r>
    </w:p>
    <w:p w:rsidR="00D83369" w:rsidP="00B57B41" w:rsidRDefault="00D83369" w14:paraId="684FAA7C" w14:textId="77777777">
      <w:pPr>
        <w:pStyle w:val="Standard"/>
        <w:keepNext/>
      </w:pPr>
    </w:p>
    <w:p w:rsidRPr="00714CF2" w:rsidR="001C3AE6" w:rsidP="001C3AE6" w:rsidRDefault="001C3AE6" w14:paraId="6750DE20" w14:textId="77777777">
      <w:pPr>
        <w:pStyle w:val="Standard"/>
        <w:keepNext/>
      </w:pPr>
    </w:p>
    <w:sectPr w:rsidRPr="00714CF2" w:rsidR="001C3AE6" w:rsidSect="00096B16">
      <w:footerReference w:type="default" r:id="rId20"/>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1A78" w14:textId="77777777" w:rsidR="004723E1" w:rsidRDefault="004723E1" w:rsidP="0098138E">
      <w:pPr>
        <w:spacing w:line="240" w:lineRule="auto"/>
      </w:pPr>
      <w:r>
        <w:separator/>
      </w:r>
    </w:p>
  </w:endnote>
  <w:endnote w:type="continuationSeparator" w:id="0">
    <w:p w14:paraId="67C62418" w14:textId="77777777" w:rsidR="004723E1" w:rsidRDefault="004723E1" w:rsidP="0098138E">
      <w:pPr>
        <w:spacing w:line="240" w:lineRule="auto"/>
      </w:pPr>
      <w:r>
        <w:continuationSeparator/>
      </w:r>
    </w:p>
  </w:endnote>
  <w:endnote w:type="continuationNotice" w:id="1">
    <w:p w14:paraId="03E282F3" w14:textId="77777777" w:rsidR="004723E1" w:rsidRDefault="004723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060E" w14:textId="65BEA22A" w:rsidR="00F92385" w:rsidRDefault="00681C56" w:rsidP="00A44A42">
    <w:pPr>
      <w:spacing w:line="240" w:lineRule="auto"/>
      <w:ind w:firstLine="0"/>
      <w:jc w:val="center"/>
    </w:pPr>
    <w:r>
      <w:noBreakHyphen/>
    </w:r>
    <w:r w:rsidR="00A44A42">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A44A42">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AFFB" w14:textId="6F18DF16" w:rsidR="00632207" w:rsidRDefault="00D712C1" w:rsidP="00E777FC">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Pr="00D712C1">
          <w:rPr>
            <w:sz w:val="16"/>
            <w:szCs w:val="12"/>
          </w:rPr>
          <w:t>598260679</w:t>
        </w:r>
        <w:r w:rsidR="00632207">
          <w:rPr>
            <w:rFonts w:ascii="Arial" w:hAnsi="Arial" w:cs="Arial"/>
            <w:sz w:val="16"/>
            <w:szCs w:val="16"/>
          </w:rPr>
          <w:tab/>
        </w:r>
        <w:r w:rsidR="00681C56">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B67637">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098F" w14:textId="77777777" w:rsidR="00E23CBB" w:rsidRDefault="00E23CBB" w:rsidP="00AC051F">
    <w:pPr>
      <w:spacing w:line="240" w:lineRule="auto"/>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2C7" w14:textId="668D57BD" w:rsidR="00E23CBB" w:rsidRDefault="00681C56" w:rsidP="00E777FC">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B67637">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6182" w14:textId="77777777" w:rsidR="004723E1" w:rsidRDefault="004723E1" w:rsidP="00DF58E7">
      <w:pPr>
        <w:spacing w:line="240" w:lineRule="auto"/>
        <w:ind w:firstLine="0"/>
      </w:pPr>
      <w:r>
        <w:separator/>
      </w:r>
    </w:p>
  </w:footnote>
  <w:footnote w:type="continuationSeparator" w:id="0">
    <w:p w14:paraId="0D646188" w14:textId="77777777" w:rsidR="004723E1" w:rsidRDefault="004723E1" w:rsidP="00DF58E7">
      <w:pPr>
        <w:spacing w:line="240" w:lineRule="auto"/>
        <w:ind w:firstLine="0"/>
      </w:pPr>
      <w:r>
        <w:continuationSeparator/>
      </w:r>
    </w:p>
  </w:footnote>
  <w:footnote w:type="continuationNotice" w:id="1">
    <w:p w14:paraId="5D02A37F" w14:textId="77777777" w:rsidR="004723E1" w:rsidRPr="00DF58E7" w:rsidRDefault="004723E1" w:rsidP="00DF58E7">
      <w:pPr>
        <w:spacing w:line="240" w:lineRule="auto"/>
        <w:ind w:firstLine="0"/>
        <w:jc w:val="right"/>
        <w:rPr>
          <w:i/>
          <w:sz w:val="22"/>
        </w:rPr>
      </w:pPr>
    </w:p>
  </w:footnote>
  <w:footnote w:id="2">
    <w:p w14:paraId="7FB9220A" w14:textId="4E17D600" w:rsidR="0082733B" w:rsidRDefault="0082733B">
      <w:pPr>
        <w:pStyle w:val="FootnoteText"/>
      </w:pPr>
      <w:r>
        <w:rPr>
          <w:rStyle w:val="FootnoteReference"/>
        </w:rPr>
        <w:footnoteRef/>
      </w:r>
      <w:r>
        <w:t xml:space="preserve"> </w:t>
      </w:r>
      <w:r w:rsidR="009E0423" w:rsidRPr="009E0423">
        <w:rPr>
          <w:u w:val="single"/>
        </w:rPr>
        <w:t>See</w:t>
      </w:r>
      <w:r w:rsidR="009E0423">
        <w:t xml:space="preserve"> Application at </w:t>
      </w:r>
      <w:r w:rsidR="009E0423" w:rsidRPr="009E0423">
        <w:t>Exhibit A (</w:t>
      </w:r>
      <w:r w:rsidR="009E0423" w:rsidRPr="009E0423">
        <w:rPr>
          <w:i/>
          <w:iCs/>
        </w:rPr>
        <w:t>Railroad Milepost and Location Description</w:t>
      </w:r>
      <w:r w:rsidR="009E0423" w:rsidRPr="009E0423">
        <w:t>)</w:t>
      </w:r>
      <w:r w:rsidR="009E0423">
        <w:t>, Exhibit B (</w:t>
      </w:r>
      <w:r w:rsidR="009E0423" w:rsidRPr="009E0423">
        <w:rPr>
          <w:i/>
          <w:iCs/>
        </w:rPr>
        <w:t>Leucadia Proposed Preliminary Crossing Design and Vicinity Map</w:t>
      </w:r>
      <w:r w:rsidR="009E0423">
        <w:t xml:space="preserve">), </w:t>
      </w:r>
      <w:bookmarkStart w:id="14" w:name="_Hlk215776004"/>
      <w:r w:rsidR="009E0423">
        <w:t xml:space="preserve">Exhibit C </w:t>
      </w:r>
      <w:r w:rsidR="009E0423" w:rsidRPr="009E0423">
        <w:rPr>
          <w:i/>
          <w:iCs/>
        </w:rPr>
        <w:t>(Encinitas – Leucadia Grade Separation Impact Exhibits</w:t>
      </w:r>
      <w:r w:rsidR="009E0423">
        <w:t>)</w:t>
      </w:r>
      <w:bookmarkEnd w:id="14"/>
      <w:r w:rsidR="009E0423">
        <w:t>, Exhibit D (</w:t>
      </w:r>
      <w:r w:rsidR="009E0423" w:rsidRPr="009E0423">
        <w:rPr>
          <w:i/>
          <w:iCs/>
        </w:rPr>
        <w:t>Encinitas – Leucadia Ped and Bike Crossing Categorical Exemption Memo</w:t>
      </w:r>
      <w:r w:rsidR="009E0423">
        <w:t>), and Exhibit E (</w:t>
      </w:r>
      <w:r w:rsidR="009E0423" w:rsidRPr="009E0423">
        <w:rPr>
          <w:i/>
          <w:iCs/>
        </w:rPr>
        <w:t>Encinitas – Leucadia Ped and Bike Crossing Cultural Resource Assessment Letter</w:t>
      </w:r>
      <w:r w:rsidR="009E0423">
        <w:t>).</w:t>
      </w:r>
    </w:p>
  </w:footnote>
  <w:footnote w:id="3">
    <w:p w14:paraId="666DDB84" w14:textId="5A70C811" w:rsidR="0021656F" w:rsidRPr="008F1928" w:rsidRDefault="0021656F" w:rsidP="00642CFA">
      <w:pPr>
        <w:pStyle w:val="FootnoteText"/>
      </w:pPr>
      <w:r w:rsidRPr="008F1928">
        <w:rPr>
          <w:rStyle w:val="FootnoteReference"/>
        </w:rPr>
        <w:footnoteRef/>
      </w:r>
      <w:r w:rsidR="007F44FE" w:rsidRPr="008F1928">
        <w:t xml:space="preserve"> </w:t>
      </w:r>
      <w:r w:rsidR="00282D06">
        <w:t>Application</w:t>
      </w:r>
      <w:r w:rsidR="002C1BEB" w:rsidRPr="002C1BEB">
        <w:t xml:space="preserve"> </w:t>
      </w:r>
      <w:r w:rsidR="003422CE">
        <w:t>at 3-4 and</w:t>
      </w:r>
      <w:r w:rsidR="007F7728">
        <w:t xml:space="preserve"> Exhibit </w:t>
      </w:r>
      <w:r w:rsidR="0028744B">
        <w:t>A</w:t>
      </w:r>
      <w:r w:rsidR="008516B1" w:rsidRPr="008F1928">
        <w:t>.</w:t>
      </w:r>
    </w:p>
  </w:footnote>
  <w:footnote w:id="4">
    <w:p w14:paraId="021D591A" w14:textId="117058B8" w:rsidR="00142647" w:rsidRPr="00FE05F9" w:rsidRDefault="00142647" w:rsidP="00642CFA">
      <w:pPr>
        <w:pStyle w:val="FootnoteText"/>
        <w:rPr>
          <w:highlight w:val="yellow"/>
        </w:rPr>
      </w:pPr>
      <w:r w:rsidRPr="00480659">
        <w:rPr>
          <w:rStyle w:val="FootnoteReference"/>
        </w:rPr>
        <w:footnoteRef/>
      </w:r>
      <w:r w:rsidRPr="00480659">
        <w:t xml:space="preserve"> </w:t>
      </w:r>
      <w:r w:rsidR="006F5C32" w:rsidRPr="00282D06">
        <w:t>I</w:t>
      </w:r>
      <w:r w:rsidR="00282D06" w:rsidRPr="00282D06">
        <w:t>bid</w:t>
      </w:r>
      <w:r w:rsidR="006F5C32" w:rsidRPr="00282D06">
        <w:t>.</w:t>
      </w:r>
      <w:r w:rsidR="006F5C32">
        <w:rPr>
          <w:u w:val="single"/>
        </w:rPr>
        <w:t xml:space="preserve"> </w:t>
      </w:r>
      <w:r w:rsidR="00C61314" w:rsidRPr="00480659">
        <w:t xml:space="preserve"> </w:t>
      </w:r>
    </w:p>
  </w:footnote>
  <w:footnote w:id="5">
    <w:p w14:paraId="33C8937A" w14:textId="5D2E678A" w:rsidR="00EA3AB3" w:rsidRPr="00FE05F9" w:rsidRDefault="00EA3AB3" w:rsidP="00642CFA">
      <w:pPr>
        <w:pStyle w:val="FootnoteText"/>
        <w:rPr>
          <w:highlight w:val="yellow"/>
        </w:rPr>
      </w:pPr>
      <w:r w:rsidRPr="002E53E7">
        <w:rPr>
          <w:rStyle w:val="FootnoteReference"/>
        </w:rPr>
        <w:footnoteRef/>
      </w:r>
      <w:r w:rsidR="007F44FE" w:rsidRPr="002E53E7">
        <w:t xml:space="preserve"> </w:t>
      </w:r>
      <w:r w:rsidR="00D4720B" w:rsidRPr="002E53E7">
        <w:rPr>
          <w:u w:val="single"/>
        </w:rPr>
        <w:t>See</w:t>
      </w:r>
      <w:r w:rsidR="00D4720B" w:rsidRPr="002E53E7">
        <w:t xml:space="preserve"> </w:t>
      </w:r>
      <w:r w:rsidR="004E05E5" w:rsidRPr="004E05E5">
        <w:rPr>
          <w:i/>
          <w:iCs/>
        </w:rPr>
        <w:t>Response of The Rail Safety Division To The Application Of The City of Encinitas To Construction Two At-Grade Pedestrian Railroad Crossing</w:t>
      </w:r>
      <w:r w:rsidR="002E53E7" w:rsidRPr="002E53E7">
        <w:rPr>
          <w:i/>
          <w:iCs/>
        </w:rPr>
        <w:t xml:space="preserve"> </w:t>
      </w:r>
      <w:r w:rsidR="004E05E5">
        <w:t>(</w:t>
      </w:r>
      <w:r w:rsidR="00F643DE">
        <w:t>April 15, 2025)</w:t>
      </w:r>
      <w:r w:rsidR="00437396" w:rsidRPr="002E53E7">
        <w:rPr>
          <w:i/>
          <w:iCs/>
        </w:rPr>
        <w:t xml:space="preserve"> </w:t>
      </w:r>
      <w:r w:rsidRPr="002E53E7">
        <w:t>(RSD Response).</w:t>
      </w:r>
    </w:p>
  </w:footnote>
  <w:footnote w:id="6">
    <w:p w14:paraId="40B73D89" w14:textId="77777777" w:rsidR="004E05E5" w:rsidRDefault="004E05E5" w:rsidP="004E05E5">
      <w:pPr>
        <w:pStyle w:val="FootnoteText"/>
      </w:pPr>
      <w:r>
        <w:rPr>
          <w:rStyle w:val="FootnoteReference"/>
        </w:rPr>
        <w:footnoteRef/>
      </w:r>
      <w:r>
        <w:t xml:space="preserve"> The Commissions’</w:t>
      </w:r>
      <w:r w:rsidRPr="00342A74">
        <w:t xml:space="preserve"> </w:t>
      </w:r>
      <w:r>
        <w:t>ESJ</w:t>
      </w:r>
      <w:r w:rsidRPr="00342A74">
        <w:t xml:space="preserve"> Action Plan </w:t>
      </w:r>
      <w:r>
        <w:t xml:space="preserve">2.0 (April 7, 2022) </w:t>
      </w:r>
      <w:r w:rsidRPr="00342A74">
        <w:t>serves as a roadmap for implementing the Commission’s vision to advance equity in its programs and policies for ESJ or disadvantaged communities and includes goals related to health and safety, consumer protection, program benefits, and enforcement in sectors regulated by the Commission</w:t>
      </w:r>
      <w:r>
        <w:t>.</w:t>
      </w:r>
    </w:p>
  </w:footnote>
  <w:footnote w:id="7">
    <w:p w14:paraId="50C09373" w14:textId="219D61DE" w:rsidR="004E05E5" w:rsidRDefault="004E05E5" w:rsidP="004E05E5">
      <w:pPr>
        <w:pStyle w:val="FootnoteText"/>
      </w:pPr>
      <w:r>
        <w:rPr>
          <w:rStyle w:val="FootnoteReference"/>
        </w:rPr>
        <w:footnoteRef/>
      </w:r>
      <w:r>
        <w:t xml:space="preserve"> </w:t>
      </w:r>
      <w:r w:rsidRPr="00BF13CE">
        <w:rPr>
          <w:i/>
          <w:iCs/>
        </w:rPr>
        <w:t xml:space="preserve">Response To </w:t>
      </w:r>
      <w:r>
        <w:rPr>
          <w:i/>
          <w:iCs/>
        </w:rPr>
        <w:t>Administrative Law Judge</w:t>
      </w:r>
      <w:r w:rsidRPr="00BF13CE">
        <w:rPr>
          <w:i/>
          <w:iCs/>
        </w:rPr>
        <w:t xml:space="preserve"> Inquiry</w:t>
      </w:r>
      <w:r>
        <w:t xml:space="preserve"> (May 28, 2025)</w:t>
      </w:r>
      <w:r w:rsidR="00635E05">
        <w:t xml:space="preserve"> (May 2025 Supplement)</w:t>
      </w:r>
      <w:r>
        <w:t xml:space="preserve">. </w:t>
      </w:r>
    </w:p>
  </w:footnote>
  <w:footnote w:id="8">
    <w:p w14:paraId="1027719D" w14:textId="70CAD53E" w:rsidR="0078316F" w:rsidRPr="00FE05F9" w:rsidRDefault="0078316F" w:rsidP="00642CFA">
      <w:pPr>
        <w:pStyle w:val="FootnoteText"/>
        <w:rPr>
          <w:highlight w:val="yellow"/>
        </w:rPr>
      </w:pPr>
      <w:r w:rsidRPr="006B72E5">
        <w:rPr>
          <w:rStyle w:val="FootnoteReference"/>
        </w:rPr>
        <w:footnoteRef/>
      </w:r>
      <w:r w:rsidRPr="006B72E5">
        <w:t xml:space="preserve"> All references to Rule or Rules in this decision refer to the Commission’s Rules of Practice and Procedure, unless otherwise stated, at California Code of Regulations (CCR), Title 20, Division</w:t>
      </w:r>
      <w:r w:rsidR="004F239C" w:rsidRPr="006B72E5">
        <w:t> </w:t>
      </w:r>
      <w:r w:rsidRPr="006B72E5">
        <w:t>1, Chapter 1</w:t>
      </w:r>
      <w:r w:rsidR="00642CFA" w:rsidRPr="006B72E5">
        <w:t>.</w:t>
      </w:r>
    </w:p>
  </w:footnote>
  <w:footnote w:id="9">
    <w:p w14:paraId="1F07578A" w14:textId="7F1FDA08" w:rsidR="00822C71" w:rsidRPr="00D47242" w:rsidRDefault="00822C71" w:rsidP="00642CFA">
      <w:pPr>
        <w:pStyle w:val="Standard"/>
        <w:spacing w:after="120" w:line="240" w:lineRule="auto"/>
        <w:ind w:firstLine="0"/>
        <w:rPr>
          <w:sz w:val="22"/>
        </w:rPr>
      </w:pPr>
      <w:r w:rsidRPr="0041190E">
        <w:rPr>
          <w:rStyle w:val="FootnoteReference"/>
          <w:sz w:val="22"/>
        </w:rPr>
        <w:footnoteRef/>
      </w:r>
      <w:r w:rsidRPr="0041190E">
        <w:rPr>
          <w:sz w:val="22"/>
        </w:rPr>
        <w:t xml:space="preserve"> Rule 3.7 </w:t>
      </w:r>
      <w:r w:rsidRPr="0041190E">
        <w:rPr>
          <w:i/>
          <w:iCs/>
          <w:sz w:val="22"/>
        </w:rPr>
        <w:t>Public Road Across Railroad</w:t>
      </w:r>
      <w:r w:rsidR="00BA5492" w:rsidRPr="0041190E">
        <w:rPr>
          <w:sz w:val="22"/>
        </w:rPr>
        <w:t>.</w:t>
      </w:r>
    </w:p>
  </w:footnote>
  <w:footnote w:id="10">
    <w:p w14:paraId="5A4993CA" w14:textId="4EA942DE" w:rsidR="00F307A5" w:rsidRPr="00FE05F9" w:rsidRDefault="00F307A5">
      <w:pPr>
        <w:pStyle w:val="FootnoteText"/>
        <w:rPr>
          <w:highlight w:val="yellow"/>
        </w:rPr>
      </w:pPr>
      <w:r w:rsidRPr="00D47242">
        <w:rPr>
          <w:rStyle w:val="FootnoteReference"/>
        </w:rPr>
        <w:footnoteRef/>
      </w:r>
      <w:r w:rsidRPr="00D47242">
        <w:t xml:space="preserve"> </w:t>
      </w:r>
      <w:r w:rsidR="002F712D">
        <w:t xml:space="preserve">Application at 3. </w:t>
      </w:r>
      <w:r w:rsidR="002F712D" w:rsidRPr="002F712D">
        <w:rPr>
          <w:u w:val="single"/>
        </w:rPr>
        <w:t>See</w:t>
      </w:r>
      <w:r w:rsidR="002F712D">
        <w:t xml:space="preserve"> </w:t>
      </w:r>
      <w:r w:rsidR="002F712D" w:rsidRPr="002F712D">
        <w:rPr>
          <w:u w:val="single"/>
        </w:rPr>
        <w:t>also</w:t>
      </w:r>
      <w:r w:rsidR="002F712D">
        <w:t xml:space="preserve"> </w:t>
      </w:r>
      <w:r w:rsidRPr="00D47242">
        <w:t>RSD Response Attachment A at A 2.</w:t>
      </w:r>
    </w:p>
  </w:footnote>
  <w:footnote w:id="11">
    <w:p w14:paraId="777A7A83" w14:textId="546E7750" w:rsidR="00490F4B" w:rsidRPr="00D47242" w:rsidRDefault="00490F4B" w:rsidP="00642CFA">
      <w:pPr>
        <w:pStyle w:val="FootnoteText"/>
      </w:pPr>
      <w:r w:rsidRPr="0041190E">
        <w:rPr>
          <w:rStyle w:val="FootnoteReference"/>
        </w:rPr>
        <w:footnoteRef/>
      </w:r>
      <w:r w:rsidRPr="0041190E">
        <w:t xml:space="preserve"> </w:t>
      </w:r>
      <w:r w:rsidR="001A3733" w:rsidRPr="0041190E">
        <w:t xml:space="preserve">Application at </w:t>
      </w:r>
      <w:r w:rsidR="00D638F3" w:rsidRPr="0041190E">
        <w:t>3-4</w:t>
      </w:r>
      <w:r w:rsidR="00EB7059" w:rsidRPr="0041190E">
        <w:t>.</w:t>
      </w:r>
      <w:r w:rsidR="00EB7059" w:rsidRPr="00D47242">
        <w:t xml:space="preserve">  </w:t>
      </w:r>
    </w:p>
  </w:footnote>
  <w:footnote w:id="12">
    <w:p w14:paraId="1F0A3E3F" w14:textId="4FA49BD4" w:rsidR="00490F4B" w:rsidRPr="00FE05F9" w:rsidRDefault="00490F4B" w:rsidP="00642CFA">
      <w:pPr>
        <w:pStyle w:val="FootnoteText"/>
        <w:rPr>
          <w:highlight w:val="yellow"/>
        </w:rPr>
      </w:pPr>
      <w:r w:rsidRPr="00D47242">
        <w:rPr>
          <w:rStyle w:val="FootnoteReference"/>
        </w:rPr>
        <w:footnoteRef/>
      </w:r>
      <w:r w:rsidRPr="00D47242">
        <w:t xml:space="preserve"> </w:t>
      </w:r>
      <w:r w:rsidR="00705A16" w:rsidRPr="00D47242">
        <w:t xml:space="preserve">Application at </w:t>
      </w:r>
      <w:r w:rsidR="007E5EC9">
        <w:t xml:space="preserve">6-11 and </w:t>
      </w:r>
      <w:r w:rsidR="007E5EC9" w:rsidRPr="007E5EC9">
        <w:t>Exhibit C</w:t>
      </w:r>
      <w:r w:rsidR="007E5EC9">
        <w:t>.</w:t>
      </w:r>
    </w:p>
  </w:footnote>
  <w:footnote w:id="13">
    <w:p w14:paraId="5C8C7BCC" w14:textId="705B7343" w:rsidR="00CA457A" w:rsidRDefault="00CA457A">
      <w:pPr>
        <w:pStyle w:val="FootnoteText"/>
      </w:pPr>
      <w:r>
        <w:rPr>
          <w:rStyle w:val="FootnoteReference"/>
        </w:rPr>
        <w:footnoteRef/>
      </w:r>
      <w:r>
        <w:t xml:space="preserve"> Application at 11-12 and Exhibit B. </w:t>
      </w:r>
    </w:p>
  </w:footnote>
  <w:footnote w:id="14">
    <w:p w14:paraId="2C6DA4D4" w14:textId="1346D4E8" w:rsidR="00CA457A" w:rsidRDefault="00CA457A">
      <w:pPr>
        <w:pStyle w:val="FootnoteText"/>
      </w:pPr>
      <w:r>
        <w:rPr>
          <w:rStyle w:val="FootnoteReference"/>
        </w:rPr>
        <w:footnoteRef/>
      </w:r>
      <w:r>
        <w:t xml:space="preserve"> </w:t>
      </w:r>
      <w:r w:rsidR="00E32ED5" w:rsidRPr="00E32ED5">
        <w:t>Application at Exhibit B</w:t>
      </w:r>
      <w:r w:rsidRPr="00E32ED5">
        <w:t>.</w:t>
      </w:r>
      <w:r>
        <w:t xml:space="preserve"> </w:t>
      </w:r>
    </w:p>
  </w:footnote>
  <w:footnote w:id="15">
    <w:p w14:paraId="6928A189" w14:textId="5546D25E" w:rsidR="00CA457A" w:rsidRDefault="00CA457A">
      <w:pPr>
        <w:pStyle w:val="FootnoteText"/>
      </w:pPr>
      <w:r>
        <w:rPr>
          <w:rStyle w:val="FootnoteReference"/>
        </w:rPr>
        <w:footnoteRef/>
      </w:r>
      <w:r>
        <w:t xml:space="preserve"> </w:t>
      </w:r>
      <w:r w:rsidR="00282D06" w:rsidRPr="00283F96">
        <w:rPr>
          <w:i/>
          <w:iCs/>
        </w:rPr>
        <w:t>Ibid</w:t>
      </w:r>
      <w:r>
        <w:t xml:space="preserve">. </w:t>
      </w:r>
    </w:p>
  </w:footnote>
  <w:footnote w:id="16">
    <w:p w14:paraId="5DE044A8" w14:textId="3FA61489" w:rsidR="003B6CAE" w:rsidRPr="00D47242" w:rsidRDefault="003B6CAE" w:rsidP="00642CFA">
      <w:pPr>
        <w:pStyle w:val="FootnoteText"/>
      </w:pPr>
      <w:r w:rsidRPr="00D47242">
        <w:rPr>
          <w:rStyle w:val="FootnoteReference"/>
        </w:rPr>
        <w:footnoteRef/>
      </w:r>
      <w:r w:rsidRPr="00D47242">
        <w:t xml:space="preserve"> </w:t>
      </w:r>
      <w:r w:rsidR="00774B03" w:rsidRPr="00D47242">
        <w:t>Pub.</w:t>
      </w:r>
      <w:r w:rsidR="00B67637" w:rsidRPr="00D47242">
        <w:t> </w:t>
      </w:r>
      <w:r w:rsidR="00774B03" w:rsidRPr="00D47242">
        <w:t>Util.</w:t>
      </w:r>
      <w:r w:rsidRPr="00D47242">
        <w:t xml:space="preserve"> Code </w:t>
      </w:r>
      <w:r w:rsidR="008F48A8" w:rsidRPr="00D47242">
        <w:t>§</w:t>
      </w:r>
      <w:r w:rsidR="007A740D" w:rsidRPr="00D47242">
        <w:t> </w:t>
      </w:r>
      <w:r w:rsidRPr="00D47242">
        <w:t>99152.</w:t>
      </w:r>
    </w:p>
  </w:footnote>
  <w:footnote w:id="17">
    <w:p w14:paraId="378F9EE1" w14:textId="39C43E2B" w:rsidR="00C221F3" w:rsidRPr="00D47242" w:rsidRDefault="00C221F3" w:rsidP="00642CFA">
      <w:pPr>
        <w:pStyle w:val="FootnoteText"/>
      </w:pPr>
      <w:r w:rsidRPr="00D47242">
        <w:rPr>
          <w:rStyle w:val="FootnoteReference"/>
        </w:rPr>
        <w:footnoteRef/>
      </w:r>
      <w:r w:rsidRPr="00D47242">
        <w:t xml:space="preserve"> </w:t>
      </w:r>
      <w:bookmarkStart w:id="34" w:name="_Hlk179217531"/>
      <w:r w:rsidRPr="00D47242">
        <w:rPr>
          <w:u w:val="single"/>
        </w:rPr>
        <w:t>See</w:t>
      </w:r>
      <w:r w:rsidRPr="00D47242">
        <w:t xml:space="preserve"> </w:t>
      </w:r>
      <w:r w:rsidR="00D63940" w:rsidRPr="00D47242">
        <w:t>RSD</w:t>
      </w:r>
      <w:r w:rsidRPr="00D47242">
        <w:t xml:space="preserve"> Response</w:t>
      </w:r>
      <w:r w:rsidR="00880FF6" w:rsidRPr="00D47242">
        <w:t xml:space="preserve"> at 2 and </w:t>
      </w:r>
      <w:r w:rsidRPr="00D47242">
        <w:t>Attachment A at A</w:t>
      </w:r>
      <w:r w:rsidRPr="00D47242">
        <w:noBreakHyphen/>
        <w:t>1</w:t>
      </w:r>
      <w:bookmarkEnd w:id="34"/>
      <w:r w:rsidR="00E32ED5">
        <w:t>.</w:t>
      </w:r>
      <w:r w:rsidR="00F64AF2" w:rsidRPr="00D47242">
        <w:t xml:space="preserve"> </w:t>
      </w:r>
    </w:p>
  </w:footnote>
  <w:footnote w:id="18">
    <w:p w14:paraId="1BC1C172" w14:textId="77777777" w:rsidR="00174338" w:rsidRPr="00D47242" w:rsidRDefault="00174338" w:rsidP="00642CFA">
      <w:pPr>
        <w:pStyle w:val="FootnoteText"/>
      </w:pPr>
      <w:r w:rsidRPr="00D47242">
        <w:rPr>
          <w:rStyle w:val="FootnoteReference"/>
        </w:rPr>
        <w:footnoteRef/>
      </w:r>
      <w:r w:rsidRPr="00D47242">
        <w:t xml:space="preserve"> Commission GO 72</w:t>
      </w:r>
      <w:r w:rsidRPr="00D47242">
        <w:noBreakHyphen/>
        <w:t>B (</w:t>
      </w:r>
      <w:r w:rsidRPr="00D47242">
        <w:rPr>
          <w:i/>
          <w:iCs/>
        </w:rPr>
        <w:t>Rules Governing the Construction and Maintenance of Crossings at Grade of Railroads With Public Streets, Roads and Highways in the State of California</w:t>
      </w:r>
      <w:r w:rsidRPr="00D47242">
        <w:t>).</w:t>
      </w:r>
    </w:p>
  </w:footnote>
  <w:footnote w:id="19">
    <w:p w14:paraId="73270103" w14:textId="23345FC1" w:rsidR="00174338" w:rsidRPr="00D47242" w:rsidRDefault="00174338" w:rsidP="00642CFA">
      <w:pPr>
        <w:pStyle w:val="FootnoteText"/>
      </w:pPr>
      <w:r w:rsidRPr="00D47242">
        <w:rPr>
          <w:rStyle w:val="FootnoteReference"/>
        </w:rPr>
        <w:footnoteRef/>
      </w:r>
      <w:r w:rsidRPr="00D47242">
        <w:t xml:space="preserve"> Commission GO 75</w:t>
      </w:r>
      <w:r w:rsidRPr="00D47242">
        <w:noBreakHyphen/>
        <w:t>D (</w:t>
      </w:r>
      <w:r w:rsidRPr="00D47242">
        <w:rPr>
          <w:i/>
          <w:iCs/>
        </w:rPr>
        <w:t>Regulations Governing Standards for Warning Devices for At</w:t>
      </w:r>
      <w:r w:rsidRPr="00D47242">
        <w:rPr>
          <w:i/>
          <w:iCs/>
        </w:rPr>
        <w:noBreakHyphen/>
        <w:t>Grade Highway</w:t>
      </w:r>
      <w:r w:rsidRPr="00D47242">
        <w:rPr>
          <w:i/>
          <w:iCs/>
        </w:rPr>
        <w:noBreakHyphen/>
        <w:t>Rail Crossings in the State of California</w:t>
      </w:r>
      <w:r w:rsidRPr="00D47242">
        <w:t xml:space="preserve">). </w:t>
      </w:r>
    </w:p>
  </w:footnote>
  <w:footnote w:id="20">
    <w:p w14:paraId="3C9E1EF7" w14:textId="0909A946" w:rsidR="00C81006" w:rsidRPr="00D47242" w:rsidRDefault="00C81006" w:rsidP="00642CFA">
      <w:pPr>
        <w:pStyle w:val="FootnoteText"/>
      </w:pPr>
      <w:r w:rsidRPr="00D47242">
        <w:rPr>
          <w:rStyle w:val="FootnoteReference"/>
          <w:u w:val="single"/>
        </w:rPr>
        <w:footnoteRef/>
      </w:r>
      <w:r w:rsidRPr="00D47242">
        <w:t xml:space="preserve"> </w:t>
      </w:r>
      <w:r w:rsidR="00BF631F" w:rsidRPr="00D47242">
        <w:rPr>
          <w:u w:val="single"/>
        </w:rPr>
        <w:t>See</w:t>
      </w:r>
      <w:r w:rsidR="00BF631F" w:rsidRPr="00D47242">
        <w:t xml:space="preserve"> RSD</w:t>
      </w:r>
      <w:r w:rsidR="00F22948" w:rsidRPr="00D47242">
        <w:t xml:space="preserve"> </w:t>
      </w:r>
      <w:r w:rsidR="00BF631F" w:rsidRPr="00D47242">
        <w:t xml:space="preserve">Response at </w:t>
      </w:r>
      <w:r w:rsidR="00951E27">
        <w:t>2</w:t>
      </w:r>
      <w:r w:rsidR="00BF631F" w:rsidRPr="00D47242">
        <w:t xml:space="preserve"> and Attachment A at A-</w:t>
      </w:r>
      <w:r w:rsidR="00521A9F" w:rsidRPr="00D47242">
        <w:t>2</w:t>
      </w:r>
      <w:r w:rsidR="00BF631F" w:rsidRPr="00D47242">
        <w:t>.</w:t>
      </w:r>
    </w:p>
  </w:footnote>
  <w:footnote w:id="21">
    <w:p w14:paraId="68F4825B" w14:textId="12A9363B" w:rsidR="001B02FB" w:rsidRPr="00D47242" w:rsidRDefault="001B02FB" w:rsidP="00642CFA">
      <w:pPr>
        <w:pStyle w:val="FootnoteText"/>
      </w:pPr>
      <w:r w:rsidRPr="00282D06">
        <w:rPr>
          <w:rStyle w:val="FootnoteReference"/>
        </w:rPr>
        <w:footnoteRef/>
      </w:r>
      <w:r w:rsidRPr="00282D06">
        <w:t xml:space="preserve"> </w:t>
      </w:r>
      <w:r w:rsidR="00282D06" w:rsidRPr="00282D06">
        <w:rPr>
          <w:u w:val="single"/>
        </w:rPr>
        <w:t>See</w:t>
      </w:r>
      <w:r w:rsidR="00282D06" w:rsidRPr="00282D06">
        <w:t xml:space="preserve"> RSD Response</w:t>
      </w:r>
      <w:r w:rsidR="00282D06">
        <w:t xml:space="preserve"> </w:t>
      </w:r>
      <w:r w:rsidR="00872A9C">
        <w:t>at 2 and 5.</w:t>
      </w:r>
    </w:p>
  </w:footnote>
  <w:footnote w:id="22">
    <w:p w14:paraId="607779DC" w14:textId="30DE05C1" w:rsidR="00C027EB" w:rsidRPr="00FE05F9" w:rsidRDefault="00C027EB" w:rsidP="00642CFA">
      <w:pPr>
        <w:pStyle w:val="FootnoteText"/>
        <w:rPr>
          <w:szCs w:val="22"/>
          <w:highlight w:val="yellow"/>
        </w:rPr>
      </w:pPr>
      <w:r w:rsidRPr="00D47242">
        <w:rPr>
          <w:rStyle w:val="FootnoteReference"/>
          <w:szCs w:val="22"/>
        </w:rPr>
        <w:footnoteRef/>
      </w:r>
      <w:r w:rsidRPr="00D47242">
        <w:rPr>
          <w:szCs w:val="22"/>
        </w:rPr>
        <w:t xml:space="preserve"> The Commission adopted the Safety Policy Statement on </w:t>
      </w:r>
      <w:r w:rsidR="007147C1" w:rsidRPr="00D47242">
        <w:rPr>
          <w:szCs w:val="22"/>
        </w:rPr>
        <w:t>July</w:t>
      </w:r>
      <w:r w:rsidR="00B67637" w:rsidRPr="00D47242">
        <w:rPr>
          <w:szCs w:val="22"/>
        </w:rPr>
        <w:t> </w:t>
      </w:r>
      <w:r w:rsidRPr="00D47242">
        <w:rPr>
          <w:szCs w:val="22"/>
        </w:rPr>
        <w:t xml:space="preserve">10, 2014 and declared its ultimate safety goal as </w:t>
      </w:r>
      <w:r w:rsidR="00BF26D3" w:rsidRPr="00D47242">
        <w:rPr>
          <w:szCs w:val="22"/>
        </w:rPr>
        <w:t>“</w:t>
      </w:r>
      <w:r w:rsidRPr="00D47242">
        <w:rPr>
          <w:szCs w:val="22"/>
        </w:rPr>
        <w:t>zero accidents and injuries across all utilities and businesses we regulate, and within our own workplace.</w:t>
      </w:r>
      <w:r w:rsidR="00BF26D3" w:rsidRPr="00D47242">
        <w:rPr>
          <w:szCs w:val="22"/>
        </w:rPr>
        <w:t>”</w:t>
      </w:r>
    </w:p>
  </w:footnote>
  <w:footnote w:id="23">
    <w:p w14:paraId="52F68F9F" w14:textId="6293633E" w:rsidR="001A6FD4" w:rsidRPr="00D47242" w:rsidRDefault="001A6FD4" w:rsidP="00642CFA">
      <w:pPr>
        <w:pStyle w:val="FootnoteText"/>
      </w:pPr>
      <w:r w:rsidRPr="00D47242">
        <w:rPr>
          <w:rStyle w:val="FootnoteReference"/>
        </w:rPr>
        <w:footnoteRef/>
      </w:r>
      <w:r w:rsidRPr="00D47242">
        <w:t xml:space="preserve"> </w:t>
      </w:r>
      <w:r w:rsidR="00093ADA" w:rsidRPr="00D47242">
        <w:t>CEQA Guidelines, 14</w:t>
      </w:r>
      <w:r w:rsidR="00B67637" w:rsidRPr="00D47242">
        <w:t> </w:t>
      </w:r>
      <w:r w:rsidR="00093ADA" w:rsidRPr="00D47242">
        <w:t>CCR §§ 15050(b) and 15096.</w:t>
      </w:r>
    </w:p>
  </w:footnote>
  <w:footnote w:id="24">
    <w:p w14:paraId="73045DAC" w14:textId="009240D1" w:rsidR="000D0B0A" w:rsidRPr="00FE05F9" w:rsidRDefault="000D0B0A" w:rsidP="000D0B0A">
      <w:pPr>
        <w:pStyle w:val="FootnoteText"/>
        <w:rPr>
          <w:highlight w:val="yellow"/>
        </w:rPr>
      </w:pPr>
      <w:r w:rsidRPr="00D47242">
        <w:rPr>
          <w:rStyle w:val="FootnoteReference"/>
        </w:rPr>
        <w:footnoteRef/>
      </w:r>
      <w:r w:rsidRPr="00D47242">
        <w:t xml:space="preserve"> CEQA Guidelines, 14 CCR § 15126.2</w:t>
      </w:r>
      <w:r w:rsidR="00282D06">
        <w:t>.</w:t>
      </w:r>
    </w:p>
  </w:footnote>
  <w:footnote w:id="25">
    <w:p w14:paraId="098A9097" w14:textId="05CD3B11" w:rsidR="000D0B0A" w:rsidRPr="00D47242" w:rsidRDefault="000D0B0A" w:rsidP="000D0B0A">
      <w:pPr>
        <w:pStyle w:val="FootnoteText"/>
      </w:pPr>
      <w:r w:rsidRPr="00D47242">
        <w:rPr>
          <w:rStyle w:val="FootnoteReference"/>
        </w:rPr>
        <w:footnoteRef/>
      </w:r>
      <w:r w:rsidRPr="00D47242">
        <w:t xml:space="preserve"> CEQA Guidelines, 14 CCR §§ 15126.4 and 15126.6</w:t>
      </w:r>
      <w:r w:rsidR="00282D06">
        <w:t>.</w:t>
      </w:r>
    </w:p>
  </w:footnote>
  <w:footnote w:id="26">
    <w:p w14:paraId="23D9A322" w14:textId="49210C54" w:rsidR="000D0B0A" w:rsidRPr="00D47242" w:rsidRDefault="000D0B0A" w:rsidP="000D0B0A">
      <w:pPr>
        <w:pStyle w:val="FootnoteText"/>
      </w:pPr>
      <w:r w:rsidRPr="00D47242">
        <w:rPr>
          <w:rStyle w:val="FootnoteReference"/>
        </w:rPr>
        <w:footnoteRef/>
      </w:r>
      <w:r w:rsidRPr="00D47242">
        <w:t xml:space="preserve"> CEQA Guidelines, 14 CCR § 15126.6(e)(2)</w:t>
      </w:r>
      <w:r w:rsidR="00282D06">
        <w:t>.</w:t>
      </w:r>
    </w:p>
  </w:footnote>
  <w:footnote w:id="27">
    <w:p w14:paraId="6F54249E" w14:textId="13E2E0C7" w:rsidR="000D0B0A" w:rsidRPr="00D47242" w:rsidRDefault="000D0B0A" w:rsidP="000D0B0A">
      <w:pPr>
        <w:pStyle w:val="FootnoteText"/>
      </w:pPr>
      <w:r w:rsidRPr="00D47242">
        <w:rPr>
          <w:rStyle w:val="FootnoteReference"/>
        </w:rPr>
        <w:footnoteRef/>
      </w:r>
      <w:r w:rsidRPr="00D47242">
        <w:t xml:space="preserve"> CEQA Guidelines, 14 CCR </w:t>
      </w:r>
      <w:bookmarkStart w:id="41" w:name="_Hlk179504698"/>
      <w:r w:rsidRPr="00D47242">
        <w:t>§</w:t>
      </w:r>
      <w:bookmarkEnd w:id="41"/>
      <w:r w:rsidRPr="00D47242">
        <w:t xml:space="preserve"> 15090</w:t>
      </w:r>
      <w:r w:rsidR="00282D06">
        <w:t>.</w:t>
      </w:r>
    </w:p>
  </w:footnote>
  <w:footnote w:id="28">
    <w:p w14:paraId="0A0DB65D" w14:textId="250EAC57" w:rsidR="000D0B0A" w:rsidRPr="00D47242" w:rsidRDefault="000D0B0A" w:rsidP="000D0B0A">
      <w:pPr>
        <w:pStyle w:val="FootnoteText"/>
      </w:pPr>
      <w:r w:rsidRPr="00D47242">
        <w:rPr>
          <w:rStyle w:val="FootnoteReference"/>
        </w:rPr>
        <w:footnoteRef/>
      </w:r>
      <w:r w:rsidRPr="00D47242">
        <w:t xml:space="preserve"> CEQA Guidelines, 14 CCR § 15091(a)(3)</w:t>
      </w:r>
      <w:r w:rsidR="00656EEF">
        <w:t>.</w:t>
      </w:r>
    </w:p>
  </w:footnote>
  <w:footnote w:id="29">
    <w:p w14:paraId="4B19D617" w14:textId="3EF65BEC" w:rsidR="000D0B0A" w:rsidRPr="0034117B" w:rsidRDefault="000D0B0A" w:rsidP="000D0B0A">
      <w:pPr>
        <w:pStyle w:val="FootnoteText"/>
      </w:pPr>
      <w:r w:rsidRPr="0034117B">
        <w:rPr>
          <w:rStyle w:val="FootnoteReference"/>
        </w:rPr>
        <w:footnoteRef/>
      </w:r>
      <w:r w:rsidRPr="0034117B">
        <w:t xml:space="preserve"> CEQA Guidelines, </w:t>
      </w:r>
      <w:bookmarkStart w:id="42" w:name="_Hlk216272691"/>
      <w:r w:rsidRPr="0034117B">
        <w:t>14 CCR §§ 15093</w:t>
      </w:r>
      <w:bookmarkEnd w:id="42"/>
      <w:r w:rsidR="00656EEF">
        <w:t>.</w:t>
      </w:r>
    </w:p>
  </w:footnote>
  <w:footnote w:id="30">
    <w:p w14:paraId="45F99208" w14:textId="77773954" w:rsidR="007C12C0" w:rsidRPr="0020371A" w:rsidRDefault="007C12C0" w:rsidP="007C12C0">
      <w:pPr>
        <w:pStyle w:val="FootnoteText"/>
      </w:pPr>
      <w:r w:rsidRPr="0034117B">
        <w:rPr>
          <w:rStyle w:val="FootnoteReference"/>
        </w:rPr>
        <w:footnoteRef/>
      </w:r>
      <w:r w:rsidRPr="0034117B">
        <w:t xml:space="preserve"> </w:t>
      </w:r>
      <w:r w:rsidR="0034310F">
        <w:t>Application at 11 and Exhibit D</w:t>
      </w:r>
      <w:r w:rsidR="0020371A">
        <w:t xml:space="preserve"> at </w:t>
      </w:r>
      <w:r w:rsidR="0020371A" w:rsidRPr="0020371A">
        <w:rPr>
          <w:i/>
          <w:iCs/>
        </w:rPr>
        <w:t>CEQA Categorical Exemption Memorandum for the North Leucadia Pedestrian and Bicycle Rail Crossing Project in the City of Encinitas, San Diego County, California</w:t>
      </w:r>
      <w:r w:rsidR="0020371A">
        <w:t>, August 1, 2024 (August 2024 CEQA Memo)</w:t>
      </w:r>
    </w:p>
  </w:footnote>
  <w:footnote w:id="31">
    <w:p w14:paraId="13C4D9FA" w14:textId="33DF3278" w:rsidR="0001164C" w:rsidRDefault="0001164C">
      <w:pPr>
        <w:pStyle w:val="FootnoteText"/>
      </w:pPr>
      <w:r>
        <w:rPr>
          <w:rStyle w:val="FootnoteReference"/>
        </w:rPr>
        <w:footnoteRef/>
      </w:r>
      <w:r>
        <w:t xml:space="preserve"> Application at Exhibit D </w:t>
      </w:r>
      <w:r w:rsidR="007A3433">
        <w:t>(</w:t>
      </w:r>
      <w:r w:rsidR="007A3433" w:rsidRPr="007A3433">
        <w:t>August 2024 CEQA Memo</w:t>
      </w:r>
      <w:r w:rsidR="007A3433">
        <w:t xml:space="preserve">) </w:t>
      </w:r>
      <w:r>
        <w:t>at Attachment A (</w:t>
      </w:r>
      <w:r w:rsidRPr="005439F5">
        <w:rPr>
          <w:i/>
          <w:iCs/>
        </w:rPr>
        <w:t>Conceptual Plans</w:t>
      </w:r>
      <w:r>
        <w:t>), Attachment B (</w:t>
      </w:r>
      <w:r w:rsidRPr="0001164C">
        <w:rPr>
          <w:i/>
          <w:iCs/>
        </w:rPr>
        <w:t xml:space="preserve">Biological Resources Assessment Memorandum Report for the North Leucadia Pedestrian </w:t>
      </w:r>
      <w:r w:rsidR="008C7A04" w:rsidRPr="0001164C">
        <w:rPr>
          <w:i/>
          <w:iCs/>
        </w:rPr>
        <w:t>and</w:t>
      </w:r>
      <w:r w:rsidRPr="0001164C">
        <w:rPr>
          <w:i/>
          <w:iCs/>
        </w:rPr>
        <w:t xml:space="preserve"> Bicycle Rail Crossing Project in Encinitas, San Diego County, California</w:t>
      </w:r>
      <w:r w:rsidRPr="0001164C">
        <w:t xml:space="preserve"> </w:t>
      </w:r>
      <w:r>
        <w:t xml:space="preserve">dated </w:t>
      </w:r>
      <w:r w:rsidRPr="0001164C">
        <w:t>May 30, 2024)</w:t>
      </w:r>
      <w:r>
        <w:t>), and Attachment C (</w:t>
      </w:r>
      <w:r w:rsidRPr="0001164C">
        <w:rPr>
          <w:i/>
          <w:iCs/>
        </w:rPr>
        <w:t xml:space="preserve">Cultural Resources Assessment Letter Report for the North Leucadia Pedestrian </w:t>
      </w:r>
      <w:r w:rsidR="00276FBF">
        <w:rPr>
          <w:i/>
          <w:iCs/>
        </w:rPr>
        <w:t>and</w:t>
      </w:r>
      <w:r w:rsidRPr="0001164C">
        <w:rPr>
          <w:i/>
          <w:iCs/>
        </w:rPr>
        <w:t xml:space="preserve"> Bicycle Rail Crossing Project in Encinitas, San Diego County, California</w:t>
      </w:r>
      <w:r w:rsidRPr="0001164C">
        <w:t xml:space="preserve"> </w:t>
      </w:r>
      <w:r>
        <w:t xml:space="preserve">dated </w:t>
      </w:r>
      <w:r w:rsidRPr="0001164C">
        <w:t>June 21, 2024</w:t>
      </w:r>
      <w:r>
        <w:t xml:space="preserve">). </w:t>
      </w:r>
    </w:p>
  </w:footnote>
  <w:footnote w:id="32">
    <w:p w14:paraId="61CEE372" w14:textId="6C12057D" w:rsidR="00BA2EBA" w:rsidRDefault="00BA2EBA">
      <w:pPr>
        <w:pStyle w:val="FootnoteText"/>
      </w:pPr>
      <w:r>
        <w:rPr>
          <w:rStyle w:val="FootnoteReference"/>
        </w:rPr>
        <w:footnoteRef/>
      </w:r>
      <w:r>
        <w:t xml:space="preserve"> Application at 3-4</w:t>
      </w:r>
      <w:r w:rsidR="004A0742">
        <w:t xml:space="preserve"> and Exhibit D.</w:t>
      </w:r>
      <w:r>
        <w:t xml:space="preserve"> </w:t>
      </w:r>
    </w:p>
  </w:footnote>
  <w:footnote w:id="33">
    <w:p w14:paraId="02085C99" w14:textId="6DC1975A" w:rsidR="00282D06" w:rsidRDefault="00FA727B">
      <w:pPr>
        <w:pStyle w:val="FootnoteText"/>
      </w:pPr>
      <w:r>
        <w:rPr>
          <w:rStyle w:val="FootnoteReference"/>
        </w:rPr>
        <w:footnoteRef/>
      </w:r>
      <w:r>
        <w:t xml:space="preserve"> CEQA Guidelines, </w:t>
      </w:r>
      <w:r w:rsidRPr="00FA727B">
        <w:t xml:space="preserve">14 CCR </w:t>
      </w:r>
      <w:r w:rsidR="00A96769" w:rsidRPr="00A96769">
        <w:t>§</w:t>
      </w:r>
      <w:r w:rsidRPr="00FA727B">
        <w:t xml:space="preserve">15303 </w:t>
      </w:r>
      <w:bookmarkStart w:id="45" w:name="_Hlk216286642"/>
      <w:r w:rsidRPr="00FA727B">
        <w:t>(</w:t>
      </w:r>
      <w:r w:rsidRPr="00FA727B">
        <w:rPr>
          <w:i/>
          <w:iCs/>
        </w:rPr>
        <w:t>New Construction or Conversion of Small Structures</w:t>
      </w:r>
      <w:r w:rsidRPr="00FA727B">
        <w:t>)</w:t>
      </w:r>
      <w:bookmarkEnd w:id="45"/>
      <w:r w:rsidR="00A96769">
        <w:t xml:space="preserve"> exemption:</w:t>
      </w:r>
    </w:p>
    <w:p w14:paraId="0D963A61" w14:textId="15D51826" w:rsidR="00FA727B" w:rsidRDefault="00FA727B" w:rsidP="00282D06">
      <w:pPr>
        <w:pStyle w:val="FootnoteText"/>
        <w:ind w:left="720"/>
      </w:pPr>
      <w:r w:rsidRPr="00FA727B">
        <w:t>[C]onstruction and location of limited numbers of new, small facilities or structures; installation of small new equipment and facilities in small structures; and the conversion of existing small structures from one use to another where only minor modifications are made in the exterior of the structure</w:t>
      </w:r>
      <w:r w:rsidR="00282D06">
        <w:t>.</w:t>
      </w:r>
    </w:p>
  </w:footnote>
  <w:footnote w:id="34">
    <w:p w14:paraId="63F7BEBF" w14:textId="149FEF40" w:rsidR="00C02FA3" w:rsidRPr="00E35163" w:rsidRDefault="00C02FA3" w:rsidP="00C02FA3">
      <w:pPr>
        <w:pStyle w:val="FootnoteText"/>
      </w:pPr>
      <w:r w:rsidRPr="00E35163">
        <w:rPr>
          <w:rStyle w:val="FootnoteReference"/>
        </w:rPr>
        <w:footnoteRef/>
      </w:r>
      <w:r w:rsidR="00A30FCD">
        <w:t xml:space="preserve"> </w:t>
      </w:r>
      <w:r w:rsidR="0021038C">
        <w:t>Application at Exhibit D</w:t>
      </w:r>
      <w:r w:rsidR="00DC4D82">
        <w:t xml:space="preserve"> at </w:t>
      </w:r>
      <w:r w:rsidR="005439F5">
        <w:t>9</w:t>
      </w:r>
      <w:r w:rsidR="0021038C">
        <w:t xml:space="preserve">. </w:t>
      </w:r>
      <w:r w:rsidRPr="00DC4D82">
        <w:rPr>
          <w:u w:val="single"/>
        </w:rPr>
        <w:t>See</w:t>
      </w:r>
      <w:r w:rsidR="0001164C">
        <w:t xml:space="preserve"> </w:t>
      </w:r>
      <w:r w:rsidR="0001164C" w:rsidRPr="005439F5">
        <w:rPr>
          <w:u w:val="single"/>
        </w:rPr>
        <w:t>also</w:t>
      </w:r>
      <w:r w:rsidRPr="00E35163">
        <w:t xml:space="preserve"> CEQA Guidelines, 14 CCR </w:t>
      </w:r>
      <w:bookmarkStart w:id="46" w:name="_Hlk216108127"/>
      <w:r w:rsidRPr="00E35163">
        <w:t>§</w:t>
      </w:r>
      <w:bookmarkEnd w:id="46"/>
      <w:r w:rsidR="00A96769" w:rsidRPr="00A96769">
        <w:t>§</w:t>
      </w:r>
      <w:r w:rsidRPr="00E35163">
        <w:t xml:space="preserve"> </w:t>
      </w:r>
      <w:r w:rsidR="00656EEF">
        <w:t>15003</w:t>
      </w:r>
      <w:r w:rsidRPr="00E35163">
        <w:t xml:space="preserve"> (</w:t>
      </w:r>
      <w:r w:rsidR="00656EEF">
        <w:rPr>
          <w:i/>
          <w:iCs/>
        </w:rPr>
        <w:t>General Concepts</w:t>
      </w:r>
      <w:r w:rsidRPr="00E35163">
        <w:t>)</w:t>
      </w:r>
      <w:r w:rsidR="0021038C">
        <w:t xml:space="preserve"> and 15303. </w:t>
      </w:r>
    </w:p>
  </w:footnote>
  <w:footnote w:id="35">
    <w:p w14:paraId="399A2D2D" w14:textId="56AA32EE" w:rsidR="00B23EC7" w:rsidRDefault="00B23EC7">
      <w:pPr>
        <w:pStyle w:val="FootnoteText"/>
      </w:pPr>
      <w:r>
        <w:rPr>
          <w:rStyle w:val="FootnoteReference"/>
        </w:rPr>
        <w:footnoteRef/>
      </w:r>
      <w:r>
        <w:t xml:space="preserve"> </w:t>
      </w:r>
      <w:bookmarkStart w:id="47" w:name="_Hlk216279103"/>
      <w:bookmarkStart w:id="48" w:name="_Hlk216279963"/>
      <w:r>
        <w:t>Application, Exhibit D at 4-5</w:t>
      </w:r>
      <w:bookmarkEnd w:id="47"/>
      <w:r>
        <w:t>, Section AMM-1 (</w:t>
      </w:r>
      <w:r w:rsidRPr="00B23EC7">
        <w:rPr>
          <w:i/>
          <w:iCs/>
        </w:rPr>
        <w:t>Pre-Construction Nesting Bird Surveys</w:t>
      </w:r>
      <w:r>
        <w:t>), Section AMM-2 (</w:t>
      </w:r>
      <w:r w:rsidRPr="00B23EC7">
        <w:rPr>
          <w:i/>
          <w:iCs/>
        </w:rPr>
        <w:t>Unanticipated Discovery of Cultural Resources</w:t>
      </w:r>
      <w:r>
        <w:t>), and Section AMM-3 (</w:t>
      </w:r>
      <w:r w:rsidRPr="00B23EC7">
        <w:rPr>
          <w:i/>
          <w:iCs/>
        </w:rPr>
        <w:t>Unanticipated Discovery of Human Remains</w:t>
      </w:r>
      <w:r>
        <w:t xml:space="preserve">). </w:t>
      </w:r>
      <w:bookmarkEnd w:id="48"/>
    </w:p>
  </w:footnote>
  <w:footnote w:id="36">
    <w:p w14:paraId="0574E374" w14:textId="5CBE585F" w:rsidR="00234D53" w:rsidRDefault="00234D53">
      <w:pPr>
        <w:pStyle w:val="FootnoteText"/>
      </w:pPr>
      <w:r>
        <w:rPr>
          <w:rStyle w:val="FootnoteReference"/>
        </w:rPr>
        <w:footnoteRef/>
      </w:r>
      <w:r>
        <w:t xml:space="preserve"> </w:t>
      </w:r>
      <w:bookmarkStart w:id="49" w:name="_Hlk216282405"/>
      <w:r w:rsidRPr="00234D53">
        <w:t>CEQA Guidelines</w:t>
      </w:r>
      <w:r>
        <w:t xml:space="preserve">, </w:t>
      </w:r>
      <w:r w:rsidRPr="00234D53">
        <w:t xml:space="preserve">14 CCR § </w:t>
      </w:r>
      <w:r w:rsidR="002174AA">
        <w:t>15300 (</w:t>
      </w:r>
      <w:r w:rsidR="002174AA" w:rsidRPr="002174AA">
        <w:rPr>
          <w:i/>
          <w:iCs/>
        </w:rPr>
        <w:t>Categorical Exemptions</w:t>
      </w:r>
      <w:r w:rsidR="002174AA">
        <w:t xml:space="preserve">) and </w:t>
      </w:r>
      <w:r w:rsidR="002174AA" w:rsidRPr="002174AA">
        <w:t>§</w:t>
      </w:r>
      <w:r w:rsidR="002174AA">
        <w:t xml:space="preserve"> 15300.2 (</w:t>
      </w:r>
      <w:r w:rsidR="002174AA" w:rsidRPr="002174AA">
        <w:rPr>
          <w:i/>
          <w:iCs/>
        </w:rPr>
        <w:t>Exceptions</w:t>
      </w:r>
      <w:r w:rsidR="002174AA">
        <w:t>).</w:t>
      </w:r>
      <w:bookmarkEnd w:id="49"/>
    </w:p>
  </w:footnote>
  <w:footnote w:id="37">
    <w:p w14:paraId="2FE1936B" w14:textId="5F4C78AC" w:rsidR="00C02FA3" w:rsidRPr="00E35163" w:rsidRDefault="00C02FA3" w:rsidP="00C02FA3">
      <w:pPr>
        <w:pStyle w:val="FootnoteText"/>
      </w:pPr>
      <w:r w:rsidRPr="00E35163">
        <w:rPr>
          <w:rStyle w:val="FootnoteReference"/>
        </w:rPr>
        <w:footnoteRef/>
      </w:r>
      <w:bookmarkStart w:id="50" w:name="_Hlk216275851"/>
      <w:r w:rsidRPr="00E35163">
        <w:t xml:space="preserve"> CEQA Guidelines</w:t>
      </w:r>
      <w:bookmarkEnd w:id="50"/>
      <w:r w:rsidRPr="00E35163">
        <w:t>, 14 CCR § 15126.2</w:t>
      </w:r>
      <w:r w:rsidR="00234D53">
        <w:t xml:space="preserve">. </w:t>
      </w:r>
    </w:p>
  </w:footnote>
  <w:footnote w:id="38">
    <w:p w14:paraId="7BE13241" w14:textId="77777777" w:rsidR="00C02FA3" w:rsidRPr="00E35163" w:rsidRDefault="00C02FA3" w:rsidP="00C02FA3">
      <w:pPr>
        <w:pStyle w:val="FootnoteText"/>
      </w:pPr>
      <w:r w:rsidRPr="00E35163">
        <w:rPr>
          <w:rStyle w:val="FootnoteReference"/>
        </w:rPr>
        <w:footnoteRef/>
      </w:r>
      <w:r w:rsidRPr="00E35163">
        <w:t xml:space="preserve"> CEQA Guidelines, 14 CCR §§ 15126.4 and 15126.6</w:t>
      </w:r>
    </w:p>
  </w:footnote>
  <w:footnote w:id="39">
    <w:p w14:paraId="0951E546" w14:textId="77777777" w:rsidR="00C02FA3" w:rsidRPr="00E35163" w:rsidRDefault="00C02FA3" w:rsidP="00C02FA3">
      <w:pPr>
        <w:pStyle w:val="FootnoteText"/>
      </w:pPr>
      <w:r w:rsidRPr="00E35163">
        <w:rPr>
          <w:rStyle w:val="FootnoteReference"/>
        </w:rPr>
        <w:footnoteRef/>
      </w:r>
      <w:r w:rsidRPr="00E35163">
        <w:t xml:space="preserve"> CEQA Guidelines, 14 CCR § 15126.6(e)(2) </w:t>
      </w:r>
    </w:p>
  </w:footnote>
  <w:footnote w:id="40">
    <w:p w14:paraId="25D55312" w14:textId="77777777" w:rsidR="00C02FA3" w:rsidRPr="00E35163" w:rsidRDefault="00C02FA3" w:rsidP="00C02FA3">
      <w:pPr>
        <w:pStyle w:val="FootnoteText"/>
      </w:pPr>
      <w:r w:rsidRPr="00E35163">
        <w:rPr>
          <w:rStyle w:val="FootnoteReference"/>
        </w:rPr>
        <w:footnoteRef/>
      </w:r>
      <w:r w:rsidRPr="00E35163">
        <w:t xml:space="preserve"> CEQA Guidelines, 14 CCR § 15090</w:t>
      </w:r>
    </w:p>
  </w:footnote>
  <w:footnote w:id="41">
    <w:p w14:paraId="03E0AC90" w14:textId="77777777" w:rsidR="00C02FA3" w:rsidRPr="00E35163" w:rsidRDefault="00C02FA3" w:rsidP="00C02FA3">
      <w:pPr>
        <w:pStyle w:val="FootnoteText"/>
      </w:pPr>
      <w:r w:rsidRPr="00E35163">
        <w:rPr>
          <w:rStyle w:val="FootnoteReference"/>
        </w:rPr>
        <w:footnoteRef/>
      </w:r>
      <w:r w:rsidRPr="00E35163">
        <w:t xml:space="preserve"> CEQA Guidelines, 14 CCR § 15091(a)(3)</w:t>
      </w:r>
    </w:p>
  </w:footnote>
  <w:footnote w:id="42">
    <w:p w14:paraId="5D48CDAD" w14:textId="77777777" w:rsidR="00C02FA3" w:rsidRDefault="00C02FA3" w:rsidP="00C02FA3">
      <w:pPr>
        <w:pStyle w:val="FootnoteText"/>
      </w:pPr>
      <w:r w:rsidRPr="00E35163">
        <w:rPr>
          <w:rStyle w:val="FootnoteReference"/>
        </w:rPr>
        <w:footnoteRef/>
      </w:r>
      <w:r w:rsidRPr="00E35163">
        <w:t xml:space="preserve"> CEQA Guidelines, 14 CCR §§ 15093</w:t>
      </w:r>
    </w:p>
  </w:footnote>
  <w:footnote w:id="43">
    <w:p w14:paraId="5FDDF206" w14:textId="05379336" w:rsidR="00D4564D" w:rsidRPr="00085DB7" w:rsidRDefault="00D4564D" w:rsidP="00D4564D">
      <w:pPr>
        <w:pStyle w:val="FootnoteText"/>
      </w:pPr>
      <w:r w:rsidRPr="0034117B">
        <w:rPr>
          <w:rStyle w:val="FootnoteReference"/>
        </w:rPr>
        <w:footnoteRef/>
      </w:r>
      <w:r w:rsidRPr="0034117B">
        <w:t xml:space="preserve"> </w:t>
      </w:r>
      <w:r w:rsidR="00085DB7" w:rsidRPr="00085DB7">
        <w:t>Application, Exhibit D at 4</w:t>
      </w:r>
      <w:r w:rsidR="00085DB7">
        <w:t>.</w:t>
      </w:r>
    </w:p>
  </w:footnote>
  <w:footnote w:id="44">
    <w:p w14:paraId="06C05081" w14:textId="135FC60D" w:rsidR="00F22FDC" w:rsidRPr="00244BE5" w:rsidRDefault="00F22FDC" w:rsidP="00F22FDC">
      <w:pPr>
        <w:pStyle w:val="FootnoteText"/>
      </w:pPr>
      <w:r w:rsidRPr="0034117B">
        <w:rPr>
          <w:rStyle w:val="FootnoteReference"/>
        </w:rPr>
        <w:footnoteRef/>
      </w:r>
      <w:r w:rsidRPr="0034117B">
        <w:t xml:space="preserve"> </w:t>
      </w:r>
      <w:r w:rsidR="00A96769" w:rsidRPr="00A96769">
        <w:t>Application</w:t>
      </w:r>
      <w:r w:rsidRPr="00A96769">
        <w:t xml:space="preserve"> </w:t>
      </w:r>
      <w:r w:rsidRPr="00244BE5">
        <w:t>at Exhibit D at 4-</w:t>
      </w:r>
      <w:r w:rsidR="00FD5348">
        <w:t xml:space="preserve">5 </w:t>
      </w:r>
      <w:r w:rsidRPr="00244BE5">
        <w:t>Section AMM-1 (</w:t>
      </w:r>
      <w:r w:rsidRPr="00244BE5">
        <w:rPr>
          <w:i/>
          <w:iCs/>
        </w:rPr>
        <w:t>Pre-Construction Nesting Bird Surveys</w:t>
      </w:r>
      <w:r w:rsidRPr="00244BE5">
        <w:t>)</w:t>
      </w:r>
      <w:r>
        <w:t xml:space="preserve">, </w:t>
      </w:r>
      <w:r w:rsidRPr="00244BE5">
        <w:t>Section AMM-2 (</w:t>
      </w:r>
      <w:r w:rsidRPr="00244BE5">
        <w:rPr>
          <w:i/>
          <w:iCs/>
        </w:rPr>
        <w:t>Unanticipated Discovery of Cultural Resources</w:t>
      </w:r>
      <w:r w:rsidRPr="00244BE5">
        <w:t>)</w:t>
      </w:r>
      <w:r>
        <w:t xml:space="preserve">, </w:t>
      </w:r>
      <w:r w:rsidRPr="00244BE5">
        <w:t>Section AMM-3 (</w:t>
      </w:r>
      <w:r w:rsidRPr="00F22FDC">
        <w:rPr>
          <w:i/>
          <w:iCs/>
        </w:rPr>
        <w:t>Unanticipated Discovery of Human Remains</w:t>
      </w:r>
      <w:r w:rsidRPr="00244BE5">
        <w:t>)</w:t>
      </w:r>
      <w:r w:rsidR="00FD5348">
        <w:t xml:space="preserve">. </w:t>
      </w:r>
    </w:p>
  </w:footnote>
  <w:footnote w:id="45">
    <w:p w14:paraId="60BBDF2D" w14:textId="13D56730" w:rsidR="00992ED0" w:rsidRDefault="00992ED0">
      <w:pPr>
        <w:pStyle w:val="FootnoteText"/>
      </w:pPr>
      <w:r>
        <w:rPr>
          <w:rStyle w:val="FootnoteReference"/>
        </w:rPr>
        <w:footnoteRef/>
      </w:r>
      <w:r w:rsidR="0081436A" w:rsidRPr="0081436A">
        <w:t xml:space="preserve"> Application at Exhibit D at 6-9 (</w:t>
      </w:r>
      <w:r w:rsidR="0081436A" w:rsidRPr="0081436A">
        <w:rPr>
          <w:i/>
          <w:iCs/>
        </w:rPr>
        <w:t>Discussion of CEQA Guidelines 15300.2 Exceptions</w:t>
      </w:r>
      <w:r w:rsidR="0081436A" w:rsidRPr="0081436A">
        <w:t>).</w:t>
      </w:r>
      <w:r w:rsidR="00282D06">
        <w:t xml:space="preserve"> </w:t>
      </w:r>
      <w:r w:rsidR="00282D06" w:rsidRPr="00282D06">
        <w:rPr>
          <w:u w:val="single"/>
        </w:rPr>
        <w:t>See</w:t>
      </w:r>
      <w:r w:rsidR="00282D06">
        <w:t xml:space="preserve"> </w:t>
      </w:r>
      <w:r w:rsidR="00282D06" w:rsidRPr="00282D06">
        <w:rPr>
          <w:u w:val="single"/>
        </w:rPr>
        <w:t>also</w:t>
      </w:r>
      <w:r w:rsidR="00282D06">
        <w:t xml:space="preserve"> </w:t>
      </w:r>
      <w:r w:rsidRPr="00234D53">
        <w:t>CEQA Guidelines</w:t>
      </w:r>
      <w:r>
        <w:t xml:space="preserve">, </w:t>
      </w:r>
      <w:r w:rsidRPr="00234D53">
        <w:t xml:space="preserve">14 CCR § </w:t>
      </w:r>
      <w:r>
        <w:t>15300 (</w:t>
      </w:r>
      <w:r w:rsidRPr="002174AA">
        <w:rPr>
          <w:i/>
          <w:iCs/>
        </w:rPr>
        <w:t>Categorical Exemptions</w:t>
      </w:r>
      <w:r>
        <w:t xml:space="preserve">) and </w:t>
      </w:r>
      <w:r w:rsidRPr="002174AA">
        <w:t>§</w:t>
      </w:r>
      <w:r>
        <w:t xml:space="preserve"> 15300.2 (</w:t>
      </w:r>
      <w:r w:rsidRPr="002174AA">
        <w:rPr>
          <w:i/>
          <w:iCs/>
        </w:rPr>
        <w:t>Exceptions</w:t>
      </w:r>
      <w:r>
        <w:t>).</w:t>
      </w:r>
    </w:p>
  </w:footnote>
  <w:footnote w:id="46">
    <w:p w14:paraId="41231E7A" w14:textId="0B5FA677" w:rsidR="00D4564D" w:rsidRPr="0034117B" w:rsidRDefault="00D4564D" w:rsidP="00D4564D">
      <w:pPr>
        <w:pStyle w:val="FootnoteText"/>
      </w:pPr>
      <w:r w:rsidRPr="0034117B">
        <w:rPr>
          <w:rStyle w:val="FootnoteReference"/>
        </w:rPr>
        <w:footnoteRef/>
      </w:r>
      <w:r w:rsidRPr="0034117B">
        <w:t xml:space="preserve"> </w:t>
      </w:r>
      <w:r w:rsidR="0081436A" w:rsidRPr="0081436A">
        <w:t>CEQA Guidelines 14 CCR §15303 (</w:t>
      </w:r>
      <w:r w:rsidR="0081436A" w:rsidRPr="0081436A">
        <w:rPr>
          <w:i/>
          <w:iCs/>
        </w:rPr>
        <w:t>New Construction or Conversion of Small Structures</w:t>
      </w:r>
      <w:r w:rsidR="0081436A" w:rsidRPr="0081436A">
        <w:t>), §15300 (</w:t>
      </w:r>
      <w:r w:rsidR="0081436A" w:rsidRPr="0081436A">
        <w:rPr>
          <w:i/>
          <w:iCs/>
        </w:rPr>
        <w:t>Categorical Exemptions</w:t>
      </w:r>
      <w:r w:rsidR="0081436A" w:rsidRPr="0081436A">
        <w:t>) and §</w:t>
      </w:r>
      <w:r w:rsidR="0081436A">
        <w:t xml:space="preserve"> </w:t>
      </w:r>
      <w:r w:rsidR="0081436A" w:rsidRPr="0081436A">
        <w:rPr>
          <w:i/>
          <w:iCs/>
        </w:rPr>
        <w:t>15300.2</w:t>
      </w:r>
      <w:r w:rsidR="0081436A" w:rsidRPr="0081436A">
        <w:t xml:space="preserve"> (Exceptions).</w:t>
      </w:r>
      <w:r w:rsidRPr="0034117B">
        <w:t xml:space="preserve"> </w:t>
      </w:r>
    </w:p>
  </w:footnote>
  <w:footnote w:id="47">
    <w:p w14:paraId="2530ACAE" w14:textId="7E836000" w:rsidR="001C2660" w:rsidRDefault="001C2660">
      <w:pPr>
        <w:pStyle w:val="FootnoteText"/>
      </w:pPr>
      <w:r>
        <w:rPr>
          <w:rStyle w:val="FootnoteReference"/>
        </w:rPr>
        <w:footnoteRef/>
      </w:r>
      <w:r>
        <w:t xml:space="preserve"> </w:t>
      </w:r>
      <w:r w:rsidR="007E4D8E">
        <w:t>Application at 4.</w:t>
      </w:r>
    </w:p>
  </w:footnote>
  <w:footnote w:id="48">
    <w:p w14:paraId="76B66A34" w14:textId="5ABB2EF4" w:rsidR="001C2660" w:rsidRDefault="001C2660">
      <w:pPr>
        <w:pStyle w:val="FootnoteText"/>
      </w:pPr>
      <w:r>
        <w:rPr>
          <w:rStyle w:val="FootnoteReference"/>
        </w:rPr>
        <w:footnoteRef/>
      </w:r>
      <w:r>
        <w:t xml:space="preserve"> </w:t>
      </w:r>
      <w:r w:rsidRPr="001C2660">
        <w:t>May 2025 Supplement</w:t>
      </w:r>
      <w:r>
        <w:t xml:space="preserve"> at 2.</w:t>
      </w:r>
    </w:p>
  </w:footnote>
  <w:footnote w:id="49">
    <w:p w14:paraId="1311F669" w14:textId="77777777" w:rsidR="00D4564D" w:rsidRPr="0034117B" w:rsidRDefault="00D4564D" w:rsidP="00D4564D">
      <w:pPr>
        <w:pStyle w:val="FootnoteText"/>
      </w:pPr>
      <w:r w:rsidRPr="0034117B">
        <w:rPr>
          <w:rStyle w:val="FootnoteReference"/>
        </w:rPr>
        <w:footnoteRef/>
      </w:r>
      <w:r w:rsidRPr="0034117B">
        <w:t xml:space="preserve"> </w:t>
      </w:r>
      <w:r w:rsidRPr="0034117B">
        <w:rPr>
          <w:u w:val="single"/>
        </w:rPr>
        <w:t>See</w:t>
      </w:r>
      <w:r w:rsidRPr="0034117B">
        <w:t xml:space="preserve"> ESJ Action Plan 2.0, Goal 4 (</w:t>
      </w:r>
      <w:r w:rsidRPr="0034117B">
        <w:rPr>
          <w:i/>
          <w:iCs/>
        </w:rPr>
        <w:t>Increase climate resiliency in ESJ communities</w:t>
      </w:r>
      <w:r w:rsidRPr="0034117B">
        <w:t>).</w:t>
      </w:r>
    </w:p>
  </w:footnote>
  <w:footnote w:id="50">
    <w:p w14:paraId="3FB77C84" w14:textId="6F81EC82" w:rsidR="00EE1148" w:rsidRDefault="00EE1148">
      <w:pPr>
        <w:pStyle w:val="FootnoteText"/>
      </w:pPr>
      <w:r w:rsidRPr="0034117B">
        <w:rPr>
          <w:rStyle w:val="FootnoteReference"/>
        </w:rPr>
        <w:footnoteRef/>
      </w:r>
      <w:r w:rsidRPr="0034117B">
        <w:t xml:space="preserve"> </w:t>
      </w:r>
      <w:r w:rsidR="0045780E" w:rsidRPr="0034117B">
        <w:t xml:space="preserve">Application, Exhibit </w:t>
      </w:r>
      <w:r w:rsidR="00635E05">
        <w:t>B</w:t>
      </w:r>
      <w:r w:rsidR="0045780E" w:rsidRPr="0034117B">
        <w:t xml:space="preserve">. </w:t>
      </w:r>
      <w:r w:rsidR="0045780E" w:rsidRPr="0034117B">
        <w:rPr>
          <w:u w:val="single"/>
        </w:rPr>
        <w:t>See</w:t>
      </w:r>
      <w:r w:rsidR="0045780E" w:rsidRPr="0034117B">
        <w:t xml:space="preserve"> </w:t>
      </w:r>
      <w:r w:rsidR="0045780E" w:rsidRPr="0034117B">
        <w:rPr>
          <w:u w:val="single"/>
        </w:rPr>
        <w:t>also</w:t>
      </w:r>
      <w:r w:rsidR="0045780E" w:rsidRPr="0034117B">
        <w:t xml:space="preserve"> </w:t>
      </w:r>
      <w:r w:rsidR="00635E05">
        <w:t xml:space="preserve">May 2025 Supplement at </w:t>
      </w:r>
      <w:r w:rsidR="00896E58">
        <w:t xml:space="preserve">1-2. </w:t>
      </w:r>
      <w:r w:rsidR="00896E58" w:rsidRPr="00896E58">
        <w:rPr>
          <w:u w:val="single"/>
        </w:rPr>
        <w:t>See</w:t>
      </w:r>
      <w:r w:rsidR="00896E58">
        <w:t xml:space="preserve"> </w:t>
      </w:r>
      <w:r w:rsidR="00896E58" w:rsidRPr="00896E58">
        <w:rPr>
          <w:u w:val="single"/>
        </w:rPr>
        <w:t>also</w:t>
      </w:r>
      <w:r w:rsidR="00896E58">
        <w:t xml:space="preserve"> </w:t>
      </w:r>
      <w:r w:rsidR="0045780E" w:rsidRPr="0034117B">
        <w:t>RSD Response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A158" w14:textId="77777777" w:rsidR="00C13832" w:rsidRDefault="00C13832" w:rsidP="00C13832">
    <w:pPr>
      <w:pStyle w:val="Header"/>
      <w:tabs>
        <w:tab w:val="clear" w:pos="4680"/>
      </w:tabs>
      <w:ind w:firstLine="0"/>
      <w:rPr>
        <w:b/>
      </w:rPr>
    </w:pPr>
    <w:proofErr w:type="gramStart"/>
    <w:r>
      <w:t>^  ^</w:t>
    </w:r>
    <w:proofErr w:type="gramEnd"/>
    <w:r>
      <w:t>^^/^^^/^^^</w:t>
    </w:r>
    <w:r>
      <w:tab/>
    </w:r>
    <w:r>
      <w:rPr>
        <w:b/>
      </w:rPr>
      <w:t>PROPOSED DECISION</w:t>
    </w:r>
  </w:p>
  <w:p w14:paraId="49B88589" w14:textId="77777777" w:rsidR="00C13832" w:rsidRPr="00B3087D" w:rsidRDefault="00C13832" w:rsidP="00C13832">
    <w:pPr>
      <w:pStyle w:val="Header"/>
      <w:tabs>
        <w:tab w:val="clear" w:pos="4680"/>
      </w:tabs>
      <w:ind w:firstLine="0"/>
      <w:rPr>
        <w:i/>
        <w:color w:val="FF0000"/>
      </w:rPr>
    </w:pPr>
    <w:r w:rsidRPr="00B3087D">
      <w:rPr>
        <w:i/>
        <w:color w:val="FF0000"/>
      </w:rPr>
      <w:t xml:space="preserve">[Date] Internal Review Draft; Subject to </w:t>
    </w:r>
    <w:r w:rsidRPr="00B3087D">
      <w:rPr>
        <w:b/>
        <w:i/>
        <w:color w:val="FF0000"/>
      </w:rPr>
      <w:t>ALJ Division Review</w:t>
    </w:r>
  </w:p>
  <w:p w14:paraId="65208660" w14:textId="56A37FC1" w:rsidR="00C900A9" w:rsidRDefault="00C13832" w:rsidP="00C900A9">
    <w:pPr>
      <w:pStyle w:val="Header"/>
      <w:tabs>
        <w:tab w:val="clear" w:pos="4680"/>
      </w:tabs>
      <w:ind w:firstLine="0"/>
      <w:rPr>
        <w:i/>
        <w:color w:val="FF0000"/>
      </w:rPr>
    </w:pPr>
    <w:r>
      <w:rPr>
        <w:b/>
        <w:color w:val="FF0000"/>
      </w:rPr>
      <w:t>CONFIDENTIAL</w:t>
    </w:r>
    <w:r w:rsidRPr="00B3087D">
      <w:rPr>
        <w:b/>
        <w:color w:val="FF0000"/>
      </w:rPr>
      <w:t xml:space="preserve">; </w:t>
    </w:r>
    <w:r w:rsidRPr="00B3087D">
      <w:rPr>
        <w:i/>
        <w:color w:val="FF0000"/>
      </w:rPr>
      <w:t>Deliberative Process Privilege</w:t>
    </w:r>
  </w:p>
  <w:p w14:paraId="1F1C47A5" w14:textId="77777777" w:rsidR="00F92385" w:rsidRPr="00C900A9" w:rsidRDefault="00F92385" w:rsidP="00C900A9">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8742" w14:textId="77777777" w:rsidR="00283F96" w:rsidRPr="00B3087D" w:rsidRDefault="00283F96" w:rsidP="00D47242">
    <w:pPr>
      <w:pStyle w:val="Header"/>
      <w:tabs>
        <w:tab w:val="clear" w:pos="4680"/>
      </w:tabs>
      <w:ind w:firstLine="0"/>
      <w:rPr>
        <w:i/>
        <w:color w:val="FF0000"/>
      </w:rPr>
    </w:pPr>
  </w:p>
  <w:p w14:paraId="2391787E" w14:textId="77777777" w:rsidR="00F75920" w:rsidRDefault="00F75920"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C64E" w14:textId="24677AAE" w:rsidR="00A36B34" w:rsidRDefault="00283F96" w:rsidP="00A36B34">
    <w:pPr>
      <w:pStyle w:val="Header"/>
      <w:tabs>
        <w:tab w:val="clear" w:pos="4680"/>
      </w:tabs>
      <w:ind w:firstLine="0"/>
      <w:rPr>
        <w:b/>
      </w:rPr>
    </w:pPr>
    <w:r>
      <w:t>A.25-03-</w:t>
    </w:r>
    <w:proofErr w:type="gramStart"/>
    <w:r>
      <w:t>014  ALJ</w:t>
    </w:r>
    <w:proofErr w:type="gramEnd"/>
    <w:r>
      <w:t>/ADR/</w:t>
    </w:r>
    <w:proofErr w:type="spellStart"/>
    <w:r>
      <w:t>asf</w:t>
    </w:r>
    <w:proofErr w:type="spellEnd"/>
    <w:r w:rsidR="00A36B34">
      <w:tab/>
    </w:r>
  </w:p>
  <w:p w14:paraId="759E1412" w14:textId="77777777" w:rsidR="00283F96" w:rsidRPr="00B3087D" w:rsidRDefault="00283F96" w:rsidP="00D47242">
    <w:pPr>
      <w:pStyle w:val="Header"/>
      <w:tabs>
        <w:tab w:val="clear" w:pos="4680"/>
      </w:tabs>
      <w:ind w:firstLine="0"/>
      <w:rPr>
        <w:i/>
        <w:color w:val="FF0000"/>
      </w:rPr>
    </w:pPr>
  </w:p>
  <w:p w14:paraId="3C7E937A" w14:textId="77777777" w:rsidR="00EE6031" w:rsidRPr="003E5B33" w:rsidRDefault="00EE6031" w:rsidP="003E5B33">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C03ED"/>
    <w:multiLevelType w:val="multilevel"/>
    <w:tmpl w:val="3A2287F6"/>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6C1C14"/>
    <w:multiLevelType w:val="multilevel"/>
    <w:tmpl w:val="0194DE1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0194DE1C"/>
    <w:numStyleLink w:val="FoFCoLOP"/>
  </w:abstractNum>
  <w:abstractNum w:abstractNumId="4" w15:restartNumberingAfterBreak="0">
    <w:nsid w:val="28F8631E"/>
    <w:multiLevelType w:val="hybridMultilevel"/>
    <w:tmpl w:val="895E4F82"/>
    <w:lvl w:ilvl="0" w:tplc="C0D05DBE">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B33DA1"/>
    <w:multiLevelType w:val="multilevel"/>
    <w:tmpl w:val="7F36DAA8"/>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2DD46003"/>
    <w:multiLevelType w:val="singleLevel"/>
    <w:tmpl w:val="2FB6A734"/>
    <w:lvl w:ilvl="0">
      <w:start w:val="1"/>
      <w:numFmt w:val="decimal"/>
      <w:pStyle w:val="bullet1"/>
      <w:lvlText w:val="%1."/>
      <w:legacy w:legacy="1" w:legacySpace="144" w:legacyIndent="0"/>
      <w:lvlJc w:val="left"/>
    </w:lvl>
  </w:abstractNum>
  <w:abstractNum w:abstractNumId="7" w15:restartNumberingAfterBreak="0">
    <w:nsid w:val="331F6D42"/>
    <w:multiLevelType w:val="multilevel"/>
    <w:tmpl w:val="E0188740"/>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59D042D7"/>
    <w:multiLevelType w:val="multilevel"/>
    <w:tmpl w:val="0194DE1C"/>
    <w:numStyleLink w:val="FoFCoLOP"/>
  </w:abstractNum>
  <w:abstractNum w:abstractNumId="9" w15:restartNumberingAfterBreak="0">
    <w:nsid w:val="59D21317"/>
    <w:multiLevelType w:val="hybridMultilevel"/>
    <w:tmpl w:val="354E6898"/>
    <w:lvl w:ilvl="0" w:tplc="02D86F64">
      <w:start w:val="1"/>
      <w:numFmt w:val="decimal"/>
      <w:lvlText w:val="%1."/>
      <w:lvlJc w:val="left"/>
      <w:pPr>
        <w:ind w:left="720" w:hanging="360"/>
      </w:pPr>
    </w:lvl>
    <w:lvl w:ilvl="1" w:tplc="E81C0F24">
      <w:start w:val="1"/>
      <w:numFmt w:val="decimal"/>
      <w:lvlText w:val="%2."/>
      <w:lvlJc w:val="left"/>
      <w:pPr>
        <w:ind w:left="720" w:hanging="360"/>
      </w:pPr>
    </w:lvl>
    <w:lvl w:ilvl="2" w:tplc="4F84EB1E">
      <w:start w:val="1"/>
      <w:numFmt w:val="decimal"/>
      <w:lvlText w:val="%3."/>
      <w:lvlJc w:val="left"/>
      <w:pPr>
        <w:ind w:left="720" w:hanging="360"/>
      </w:pPr>
    </w:lvl>
    <w:lvl w:ilvl="3" w:tplc="7854A868">
      <w:start w:val="1"/>
      <w:numFmt w:val="decimal"/>
      <w:lvlText w:val="%4."/>
      <w:lvlJc w:val="left"/>
      <w:pPr>
        <w:ind w:left="720" w:hanging="360"/>
      </w:pPr>
    </w:lvl>
    <w:lvl w:ilvl="4" w:tplc="28C0CFF8">
      <w:start w:val="1"/>
      <w:numFmt w:val="decimal"/>
      <w:lvlText w:val="%5."/>
      <w:lvlJc w:val="left"/>
      <w:pPr>
        <w:ind w:left="720" w:hanging="360"/>
      </w:pPr>
    </w:lvl>
    <w:lvl w:ilvl="5" w:tplc="1C64909C">
      <w:start w:val="1"/>
      <w:numFmt w:val="decimal"/>
      <w:lvlText w:val="%6."/>
      <w:lvlJc w:val="left"/>
      <w:pPr>
        <w:ind w:left="720" w:hanging="360"/>
      </w:pPr>
    </w:lvl>
    <w:lvl w:ilvl="6" w:tplc="52944A3C">
      <w:start w:val="1"/>
      <w:numFmt w:val="decimal"/>
      <w:lvlText w:val="%7."/>
      <w:lvlJc w:val="left"/>
      <w:pPr>
        <w:ind w:left="720" w:hanging="360"/>
      </w:pPr>
    </w:lvl>
    <w:lvl w:ilvl="7" w:tplc="565C8FE4">
      <w:start w:val="1"/>
      <w:numFmt w:val="decimal"/>
      <w:lvlText w:val="%8."/>
      <w:lvlJc w:val="left"/>
      <w:pPr>
        <w:ind w:left="720" w:hanging="360"/>
      </w:pPr>
    </w:lvl>
    <w:lvl w:ilvl="8" w:tplc="AFCCB1B6">
      <w:start w:val="1"/>
      <w:numFmt w:val="decimal"/>
      <w:lvlText w:val="%9."/>
      <w:lvlJc w:val="left"/>
      <w:pPr>
        <w:ind w:left="720" w:hanging="360"/>
      </w:pPr>
    </w:lvl>
  </w:abstractNum>
  <w:abstractNum w:abstractNumId="10" w15:restartNumberingAfterBreak="0">
    <w:nsid w:val="5A9E2171"/>
    <w:multiLevelType w:val="multilevel"/>
    <w:tmpl w:val="A4F26396"/>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5D05454B"/>
    <w:multiLevelType w:val="hybridMultilevel"/>
    <w:tmpl w:val="D750A6D4"/>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A25780"/>
    <w:multiLevelType w:val="multilevel"/>
    <w:tmpl w:val="E0188740"/>
    <w:numStyleLink w:val="Headings"/>
  </w:abstractNum>
  <w:abstractNum w:abstractNumId="13" w15:restartNumberingAfterBreak="0">
    <w:nsid w:val="789A0AFE"/>
    <w:multiLevelType w:val="multilevel"/>
    <w:tmpl w:val="0194DE1C"/>
    <w:numStyleLink w:val="FoFCoLOP"/>
  </w:abstractNum>
  <w:num w:numId="1" w16cid:durableId="1354526949">
    <w:abstractNumId w:val="10"/>
  </w:num>
  <w:num w:numId="2" w16cid:durableId="140774137">
    <w:abstractNumId w:val="2"/>
  </w:num>
  <w:num w:numId="3" w16cid:durableId="1898543446">
    <w:abstractNumId w:val="8"/>
  </w:num>
  <w:num w:numId="4" w16cid:durableId="701521005">
    <w:abstractNumId w:val="3"/>
  </w:num>
  <w:num w:numId="5" w16cid:durableId="973756952">
    <w:abstractNumId w:val="7"/>
  </w:num>
  <w:num w:numId="6" w16cid:durableId="816924040">
    <w:abstractNumId w:val="0"/>
  </w:num>
  <w:num w:numId="7" w16cid:durableId="1714382259">
    <w:abstractNumId w:val="12"/>
  </w:num>
  <w:num w:numId="8" w16cid:durableId="1287272558">
    <w:abstractNumId w:val="1"/>
  </w:num>
  <w:num w:numId="9" w16cid:durableId="393505943">
    <w:abstractNumId w:val="5"/>
  </w:num>
  <w:num w:numId="10" w16cid:durableId="1058170175">
    <w:abstractNumId w:val="6"/>
  </w:num>
  <w:num w:numId="11" w16cid:durableId="224537662">
    <w:abstractNumId w:val="9"/>
  </w:num>
  <w:num w:numId="12" w16cid:durableId="411201326">
    <w:abstractNumId w:val="8"/>
  </w:num>
  <w:num w:numId="13" w16cid:durableId="808476319">
    <w:abstractNumId w:val="3"/>
  </w:num>
  <w:num w:numId="14" w16cid:durableId="99843438">
    <w:abstractNumId w:val="8"/>
  </w:num>
  <w:num w:numId="15" w16cid:durableId="1783300361">
    <w:abstractNumId w:val="12"/>
  </w:num>
  <w:num w:numId="16" w16cid:durableId="603803481">
    <w:abstractNumId w:val="12"/>
  </w:num>
  <w:num w:numId="17" w16cid:durableId="509612207">
    <w:abstractNumId w:val="12"/>
  </w:num>
  <w:num w:numId="18" w16cid:durableId="911045014">
    <w:abstractNumId w:val="12"/>
  </w:num>
  <w:num w:numId="19" w16cid:durableId="1978412924">
    <w:abstractNumId w:val="12"/>
  </w:num>
  <w:num w:numId="20" w16cid:durableId="384569987">
    <w:abstractNumId w:val="12"/>
  </w:num>
  <w:num w:numId="21" w16cid:durableId="407776470">
    <w:abstractNumId w:val="13"/>
  </w:num>
  <w:num w:numId="22" w16cid:durableId="1536699635">
    <w:abstractNumId w:val="4"/>
  </w:num>
  <w:num w:numId="23" w16cid:durableId="929121328">
    <w:abstractNumId w:val="12"/>
  </w:num>
  <w:num w:numId="24" w16cid:durableId="1731150563">
    <w:abstractNumId w:val="12"/>
  </w:num>
  <w:num w:numId="25" w16cid:durableId="605701113">
    <w:abstractNumId w:val="12"/>
  </w:num>
  <w:num w:numId="26" w16cid:durableId="605816771">
    <w:abstractNumId w:val="12"/>
  </w:num>
  <w:num w:numId="27" w16cid:durableId="1277172981">
    <w:abstractNumId w:val="12"/>
  </w:num>
  <w:num w:numId="28" w16cid:durableId="1344474502">
    <w:abstractNumId w:val="12"/>
  </w:num>
  <w:num w:numId="29" w16cid:durableId="85882886">
    <w:abstractNumId w:val="12"/>
  </w:num>
  <w:num w:numId="30" w16cid:durableId="1514488028">
    <w:abstractNumId w:val="12"/>
  </w:num>
  <w:num w:numId="31" w16cid:durableId="682586422">
    <w:abstractNumId w:val="12"/>
  </w:num>
  <w:num w:numId="32" w16cid:durableId="546575673">
    <w:abstractNumId w:val="11"/>
  </w:num>
  <w:num w:numId="33" w16cid:durableId="1880390705">
    <w:abstractNumId w:val="13"/>
  </w:num>
  <w:num w:numId="34" w16cid:durableId="1867013449">
    <w:abstractNumId w:val="13"/>
  </w:num>
  <w:num w:numId="35" w16cid:durableId="1773817457">
    <w:abstractNumId w:val="13"/>
  </w:num>
  <w:num w:numId="36" w16cid:durableId="1867062577">
    <w:abstractNumId w:val="13"/>
  </w:num>
  <w:num w:numId="37" w16cid:durableId="1978799501">
    <w:abstractNumId w:val="13"/>
  </w:num>
  <w:num w:numId="38" w16cid:durableId="157470505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F6A"/>
    <w:rsid w:val="00001A2E"/>
    <w:rsid w:val="00001DE2"/>
    <w:rsid w:val="00004CB4"/>
    <w:rsid w:val="00005D6C"/>
    <w:rsid w:val="00010254"/>
    <w:rsid w:val="0001164C"/>
    <w:rsid w:val="00013538"/>
    <w:rsid w:val="00015BEA"/>
    <w:rsid w:val="00021271"/>
    <w:rsid w:val="000226F8"/>
    <w:rsid w:val="00023821"/>
    <w:rsid w:val="0002472C"/>
    <w:rsid w:val="00024F4D"/>
    <w:rsid w:val="000349F6"/>
    <w:rsid w:val="00036F44"/>
    <w:rsid w:val="00040208"/>
    <w:rsid w:val="00040AB4"/>
    <w:rsid w:val="00041EA8"/>
    <w:rsid w:val="000420D9"/>
    <w:rsid w:val="00045B06"/>
    <w:rsid w:val="000466C0"/>
    <w:rsid w:val="00051EF4"/>
    <w:rsid w:val="00053D1F"/>
    <w:rsid w:val="00053E5F"/>
    <w:rsid w:val="00057697"/>
    <w:rsid w:val="00060B1B"/>
    <w:rsid w:val="00064044"/>
    <w:rsid w:val="0006548E"/>
    <w:rsid w:val="00066309"/>
    <w:rsid w:val="00067C34"/>
    <w:rsid w:val="0007115A"/>
    <w:rsid w:val="00071179"/>
    <w:rsid w:val="00071F42"/>
    <w:rsid w:val="00072725"/>
    <w:rsid w:val="00073519"/>
    <w:rsid w:val="00083EB1"/>
    <w:rsid w:val="00085DB7"/>
    <w:rsid w:val="000866B9"/>
    <w:rsid w:val="0009019F"/>
    <w:rsid w:val="000908EF"/>
    <w:rsid w:val="00091D52"/>
    <w:rsid w:val="00093ADA"/>
    <w:rsid w:val="000969C9"/>
    <w:rsid w:val="00096B16"/>
    <w:rsid w:val="000973C8"/>
    <w:rsid w:val="00097C9E"/>
    <w:rsid w:val="000A10F8"/>
    <w:rsid w:val="000A1BF3"/>
    <w:rsid w:val="000A2AA9"/>
    <w:rsid w:val="000A56F2"/>
    <w:rsid w:val="000A6891"/>
    <w:rsid w:val="000A6E05"/>
    <w:rsid w:val="000B03C6"/>
    <w:rsid w:val="000B12FA"/>
    <w:rsid w:val="000B158A"/>
    <w:rsid w:val="000B4830"/>
    <w:rsid w:val="000B6D0F"/>
    <w:rsid w:val="000C08BF"/>
    <w:rsid w:val="000C153F"/>
    <w:rsid w:val="000C1813"/>
    <w:rsid w:val="000C3B9A"/>
    <w:rsid w:val="000C5BA2"/>
    <w:rsid w:val="000C6DDF"/>
    <w:rsid w:val="000C7F4C"/>
    <w:rsid w:val="000D0B0A"/>
    <w:rsid w:val="000D0B1D"/>
    <w:rsid w:val="000D0BEA"/>
    <w:rsid w:val="000D25A8"/>
    <w:rsid w:val="000D2D53"/>
    <w:rsid w:val="000D3084"/>
    <w:rsid w:val="000D3727"/>
    <w:rsid w:val="000E0665"/>
    <w:rsid w:val="000E0CCD"/>
    <w:rsid w:val="000E1C5F"/>
    <w:rsid w:val="000E1F9A"/>
    <w:rsid w:val="000E270A"/>
    <w:rsid w:val="000E2F9C"/>
    <w:rsid w:val="000E45B4"/>
    <w:rsid w:val="000E4C53"/>
    <w:rsid w:val="000E6F01"/>
    <w:rsid w:val="000E7152"/>
    <w:rsid w:val="000F0D2A"/>
    <w:rsid w:val="000F11CF"/>
    <w:rsid w:val="000F2518"/>
    <w:rsid w:val="000F290D"/>
    <w:rsid w:val="000F48C6"/>
    <w:rsid w:val="000F610A"/>
    <w:rsid w:val="000F7049"/>
    <w:rsid w:val="00103588"/>
    <w:rsid w:val="00107AE9"/>
    <w:rsid w:val="00107C8A"/>
    <w:rsid w:val="00107CD8"/>
    <w:rsid w:val="0011063B"/>
    <w:rsid w:val="001106B0"/>
    <w:rsid w:val="00112F87"/>
    <w:rsid w:val="00113795"/>
    <w:rsid w:val="0011399D"/>
    <w:rsid w:val="00115D77"/>
    <w:rsid w:val="001163DB"/>
    <w:rsid w:val="00121089"/>
    <w:rsid w:val="0012126F"/>
    <w:rsid w:val="00122292"/>
    <w:rsid w:val="001229F6"/>
    <w:rsid w:val="00122DF9"/>
    <w:rsid w:val="001238DF"/>
    <w:rsid w:val="0012507E"/>
    <w:rsid w:val="0012728C"/>
    <w:rsid w:val="0013036F"/>
    <w:rsid w:val="00130ED3"/>
    <w:rsid w:val="001323C0"/>
    <w:rsid w:val="001334FC"/>
    <w:rsid w:val="00133781"/>
    <w:rsid w:val="00136D98"/>
    <w:rsid w:val="00136F8D"/>
    <w:rsid w:val="001413A8"/>
    <w:rsid w:val="001425B9"/>
    <w:rsid w:val="00142647"/>
    <w:rsid w:val="00144602"/>
    <w:rsid w:val="00146511"/>
    <w:rsid w:val="00150F49"/>
    <w:rsid w:val="0015319D"/>
    <w:rsid w:val="00154FD1"/>
    <w:rsid w:val="00157965"/>
    <w:rsid w:val="00157C3E"/>
    <w:rsid w:val="001604C9"/>
    <w:rsid w:val="00161325"/>
    <w:rsid w:val="00162252"/>
    <w:rsid w:val="00164731"/>
    <w:rsid w:val="0016490D"/>
    <w:rsid w:val="00171AD6"/>
    <w:rsid w:val="00172654"/>
    <w:rsid w:val="00174338"/>
    <w:rsid w:val="001756F2"/>
    <w:rsid w:val="00181E2B"/>
    <w:rsid w:val="001841AB"/>
    <w:rsid w:val="00184271"/>
    <w:rsid w:val="00184A8F"/>
    <w:rsid w:val="00190DFB"/>
    <w:rsid w:val="00192A9F"/>
    <w:rsid w:val="00194340"/>
    <w:rsid w:val="001952B9"/>
    <w:rsid w:val="0019620C"/>
    <w:rsid w:val="001A0AE6"/>
    <w:rsid w:val="001A18E8"/>
    <w:rsid w:val="001A2B0D"/>
    <w:rsid w:val="001A3733"/>
    <w:rsid w:val="001A6FD4"/>
    <w:rsid w:val="001A7660"/>
    <w:rsid w:val="001B02FB"/>
    <w:rsid w:val="001B1199"/>
    <w:rsid w:val="001B2A46"/>
    <w:rsid w:val="001B57C1"/>
    <w:rsid w:val="001B7A74"/>
    <w:rsid w:val="001C2660"/>
    <w:rsid w:val="001C363F"/>
    <w:rsid w:val="001C3AE6"/>
    <w:rsid w:val="001C63BC"/>
    <w:rsid w:val="001C7C80"/>
    <w:rsid w:val="001C7EC3"/>
    <w:rsid w:val="001D03F5"/>
    <w:rsid w:val="001D4BA4"/>
    <w:rsid w:val="001E0A90"/>
    <w:rsid w:val="001E0BD0"/>
    <w:rsid w:val="001E1212"/>
    <w:rsid w:val="001E2A62"/>
    <w:rsid w:val="001E3B65"/>
    <w:rsid w:val="001F0FC6"/>
    <w:rsid w:val="001F2819"/>
    <w:rsid w:val="001F2F4B"/>
    <w:rsid w:val="001F32FA"/>
    <w:rsid w:val="001F5BC3"/>
    <w:rsid w:val="001F78FB"/>
    <w:rsid w:val="00201BDF"/>
    <w:rsid w:val="00202787"/>
    <w:rsid w:val="0020371A"/>
    <w:rsid w:val="002043EC"/>
    <w:rsid w:val="002053DF"/>
    <w:rsid w:val="0020675D"/>
    <w:rsid w:val="002071D6"/>
    <w:rsid w:val="0020769E"/>
    <w:rsid w:val="0021038C"/>
    <w:rsid w:val="00210A14"/>
    <w:rsid w:val="00212021"/>
    <w:rsid w:val="0021215D"/>
    <w:rsid w:val="00212261"/>
    <w:rsid w:val="00212905"/>
    <w:rsid w:val="00213C2E"/>
    <w:rsid w:val="00214184"/>
    <w:rsid w:val="00215CCA"/>
    <w:rsid w:val="0021656F"/>
    <w:rsid w:val="00216583"/>
    <w:rsid w:val="002168B1"/>
    <w:rsid w:val="002174AA"/>
    <w:rsid w:val="0022099A"/>
    <w:rsid w:val="00221CCF"/>
    <w:rsid w:val="00221F1C"/>
    <w:rsid w:val="0022209E"/>
    <w:rsid w:val="00223ECB"/>
    <w:rsid w:val="00224338"/>
    <w:rsid w:val="002253D6"/>
    <w:rsid w:val="0022563A"/>
    <w:rsid w:val="002263D6"/>
    <w:rsid w:val="0022694A"/>
    <w:rsid w:val="00226B82"/>
    <w:rsid w:val="002271A5"/>
    <w:rsid w:val="00234D53"/>
    <w:rsid w:val="0023611F"/>
    <w:rsid w:val="00242FAF"/>
    <w:rsid w:val="00243AC7"/>
    <w:rsid w:val="00243DC0"/>
    <w:rsid w:val="0024405C"/>
    <w:rsid w:val="00244BE5"/>
    <w:rsid w:val="002461EE"/>
    <w:rsid w:val="002468BF"/>
    <w:rsid w:val="00247477"/>
    <w:rsid w:val="00247BE0"/>
    <w:rsid w:val="00251789"/>
    <w:rsid w:val="002522E6"/>
    <w:rsid w:val="002532AA"/>
    <w:rsid w:val="00256350"/>
    <w:rsid w:val="00256B79"/>
    <w:rsid w:val="00256F2C"/>
    <w:rsid w:val="00257030"/>
    <w:rsid w:val="0026120B"/>
    <w:rsid w:val="00263848"/>
    <w:rsid w:val="00263D8D"/>
    <w:rsid w:val="00264962"/>
    <w:rsid w:val="00270440"/>
    <w:rsid w:val="002707A5"/>
    <w:rsid w:val="002730EA"/>
    <w:rsid w:val="00276FBF"/>
    <w:rsid w:val="0028012D"/>
    <w:rsid w:val="00282818"/>
    <w:rsid w:val="00282CD3"/>
    <w:rsid w:val="00282D06"/>
    <w:rsid w:val="00283F96"/>
    <w:rsid w:val="00284D8D"/>
    <w:rsid w:val="0028744B"/>
    <w:rsid w:val="00287A5F"/>
    <w:rsid w:val="00287BC5"/>
    <w:rsid w:val="00291E75"/>
    <w:rsid w:val="0029301E"/>
    <w:rsid w:val="00293C71"/>
    <w:rsid w:val="00293DEE"/>
    <w:rsid w:val="00293FFC"/>
    <w:rsid w:val="0029435F"/>
    <w:rsid w:val="002962B9"/>
    <w:rsid w:val="002A0B5D"/>
    <w:rsid w:val="002A2FA6"/>
    <w:rsid w:val="002A302C"/>
    <w:rsid w:val="002A5789"/>
    <w:rsid w:val="002A67D9"/>
    <w:rsid w:val="002A775D"/>
    <w:rsid w:val="002A7C99"/>
    <w:rsid w:val="002A7DD8"/>
    <w:rsid w:val="002B00FD"/>
    <w:rsid w:val="002B0281"/>
    <w:rsid w:val="002B6DB3"/>
    <w:rsid w:val="002C1BEB"/>
    <w:rsid w:val="002C237F"/>
    <w:rsid w:val="002C5D94"/>
    <w:rsid w:val="002C7FC9"/>
    <w:rsid w:val="002C7FE9"/>
    <w:rsid w:val="002D08EC"/>
    <w:rsid w:val="002D09F4"/>
    <w:rsid w:val="002D0DC5"/>
    <w:rsid w:val="002D2133"/>
    <w:rsid w:val="002D3055"/>
    <w:rsid w:val="002D4EFD"/>
    <w:rsid w:val="002D6415"/>
    <w:rsid w:val="002D7918"/>
    <w:rsid w:val="002E4EB7"/>
    <w:rsid w:val="002E50AF"/>
    <w:rsid w:val="002E53E7"/>
    <w:rsid w:val="002E69B8"/>
    <w:rsid w:val="002E6D98"/>
    <w:rsid w:val="002F05AA"/>
    <w:rsid w:val="002F186C"/>
    <w:rsid w:val="002F226D"/>
    <w:rsid w:val="002F2772"/>
    <w:rsid w:val="002F3072"/>
    <w:rsid w:val="002F37C1"/>
    <w:rsid w:val="002F6E45"/>
    <w:rsid w:val="002F712D"/>
    <w:rsid w:val="00302841"/>
    <w:rsid w:val="00303558"/>
    <w:rsid w:val="00310FE0"/>
    <w:rsid w:val="0031163E"/>
    <w:rsid w:val="00313F87"/>
    <w:rsid w:val="00315A97"/>
    <w:rsid w:val="00316071"/>
    <w:rsid w:val="00316280"/>
    <w:rsid w:val="0032744C"/>
    <w:rsid w:val="003314A7"/>
    <w:rsid w:val="00333937"/>
    <w:rsid w:val="00333A6F"/>
    <w:rsid w:val="00334463"/>
    <w:rsid w:val="0034117B"/>
    <w:rsid w:val="00341DEB"/>
    <w:rsid w:val="003422CE"/>
    <w:rsid w:val="0034310F"/>
    <w:rsid w:val="00343E5C"/>
    <w:rsid w:val="00344E9E"/>
    <w:rsid w:val="00344FB8"/>
    <w:rsid w:val="0034613E"/>
    <w:rsid w:val="00346483"/>
    <w:rsid w:val="00347A70"/>
    <w:rsid w:val="003529FD"/>
    <w:rsid w:val="0035387B"/>
    <w:rsid w:val="00353E2A"/>
    <w:rsid w:val="003575B1"/>
    <w:rsid w:val="00357E5D"/>
    <w:rsid w:val="0036017B"/>
    <w:rsid w:val="003603DE"/>
    <w:rsid w:val="00360D8A"/>
    <w:rsid w:val="00362755"/>
    <w:rsid w:val="00362F41"/>
    <w:rsid w:val="00370C27"/>
    <w:rsid w:val="00373B93"/>
    <w:rsid w:val="003744A3"/>
    <w:rsid w:val="003755EB"/>
    <w:rsid w:val="00380815"/>
    <w:rsid w:val="00380CD1"/>
    <w:rsid w:val="00382207"/>
    <w:rsid w:val="003827AC"/>
    <w:rsid w:val="00383BB2"/>
    <w:rsid w:val="003852FC"/>
    <w:rsid w:val="003876E8"/>
    <w:rsid w:val="00393E45"/>
    <w:rsid w:val="00396B3F"/>
    <w:rsid w:val="00397E73"/>
    <w:rsid w:val="003A02CA"/>
    <w:rsid w:val="003A0704"/>
    <w:rsid w:val="003A247C"/>
    <w:rsid w:val="003A2CAD"/>
    <w:rsid w:val="003A38F0"/>
    <w:rsid w:val="003A3F0A"/>
    <w:rsid w:val="003A43F9"/>
    <w:rsid w:val="003A635F"/>
    <w:rsid w:val="003B054C"/>
    <w:rsid w:val="003B08D6"/>
    <w:rsid w:val="003B0C9B"/>
    <w:rsid w:val="003B1F85"/>
    <w:rsid w:val="003B219D"/>
    <w:rsid w:val="003B5A3B"/>
    <w:rsid w:val="003B6B65"/>
    <w:rsid w:val="003B6CAE"/>
    <w:rsid w:val="003C1E73"/>
    <w:rsid w:val="003C342C"/>
    <w:rsid w:val="003C44BF"/>
    <w:rsid w:val="003C68E2"/>
    <w:rsid w:val="003D4F59"/>
    <w:rsid w:val="003E0A64"/>
    <w:rsid w:val="003E0DB6"/>
    <w:rsid w:val="003E4599"/>
    <w:rsid w:val="003E491E"/>
    <w:rsid w:val="003E553B"/>
    <w:rsid w:val="003E5B33"/>
    <w:rsid w:val="003F069A"/>
    <w:rsid w:val="003F1D29"/>
    <w:rsid w:val="003F1F11"/>
    <w:rsid w:val="003F2F9B"/>
    <w:rsid w:val="003F4329"/>
    <w:rsid w:val="003F5F00"/>
    <w:rsid w:val="003F630F"/>
    <w:rsid w:val="003F684C"/>
    <w:rsid w:val="003F71E5"/>
    <w:rsid w:val="003F7235"/>
    <w:rsid w:val="004002C9"/>
    <w:rsid w:val="004029B1"/>
    <w:rsid w:val="004037D7"/>
    <w:rsid w:val="004045D5"/>
    <w:rsid w:val="00406BD2"/>
    <w:rsid w:val="00410CA8"/>
    <w:rsid w:val="0041190E"/>
    <w:rsid w:val="00412534"/>
    <w:rsid w:val="00412C83"/>
    <w:rsid w:val="004223B4"/>
    <w:rsid w:val="00422AAE"/>
    <w:rsid w:val="00423908"/>
    <w:rsid w:val="00424380"/>
    <w:rsid w:val="00424529"/>
    <w:rsid w:val="00426014"/>
    <w:rsid w:val="004264B9"/>
    <w:rsid w:val="00426944"/>
    <w:rsid w:val="004326E5"/>
    <w:rsid w:val="004330C9"/>
    <w:rsid w:val="004361CD"/>
    <w:rsid w:val="00437396"/>
    <w:rsid w:val="00440907"/>
    <w:rsid w:val="004418FC"/>
    <w:rsid w:val="00443CE4"/>
    <w:rsid w:val="00445D66"/>
    <w:rsid w:val="0044617E"/>
    <w:rsid w:val="004461F1"/>
    <w:rsid w:val="0045450B"/>
    <w:rsid w:val="00456394"/>
    <w:rsid w:val="0045780E"/>
    <w:rsid w:val="0046078B"/>
    <w:rsid w:val="00460B7D"/>
    <w:rsid w:val="00461CF8"/>
    <w:rsid w:val="00463D7F"/>
    <w:rsid w:val="00464A1A"/>
    <w:rsid w:val="00464BA2"/>
    <w:rsid w:val="00465768"/>
    <w:rsid w:val="00467B0A"/>
    <w:rsid w:val="00470547"/>
    <w:rsid w:val="00470E4F"/>
    <w:rsid w:val="004723E1"/>
    <w:rsid w:val="004729C1"/>
    <w:rsid w:val="00473809"/>
    <w:rsid w:val="00475884"/>
    <w:rsid w:val="00480659"/>
    <w:rsid w:val="00480CB0"/>
    <w:rsid w:val="00480EE8"/>
    <w:rsid w:val="00481EDF"/>
    <w:rsid w:val="00483603"/>
    <w:rsid w:val="00486937"/>
    <w:rsid w:val="00486A14"/>
    <w:rsid w:val="00490F4B"/>
    <w:rsid w:val="00494574"/>
    <w:rsid w:val="004A0742"/>
    <w:rsid w:val="004A1EAD"/>
    <w:rsid w:val="004A235D"/>
    <w:rsid w:val="004A2EC1"/>
    <w:rsid w:val="004A452D"/>
    <w:rsid w:val="004A47BE"/>
    <w:rsid w:val="004A5770"/>
    <w:rsid w:val="004A5F93"/>
    <w:rsid w:val="004A714D"/>
    <w:rsid w:val="004B1CF3"/>
    <w:rsid w:val="004B1FEE"/>
    <w:rsid w:val="004B1FFF"/>
    <w:rsid w:val="004B2819"/>
    <w:rsid w:val="004B34EA"/>
    <w:rsid w:val="004B4758"/>
    <w:rsid w:val="004B5494"/>
    <w:rsid w:val="004B6320"/>
    <w:rsid w:val="004B73B4"/>
    <w:rsid w:val="004C05DA"/>
    <w:rsid w:val="004C1544"/>
    <w:rsid w:val="004C2C40"/>
    <w:rsid w:val="004C2D51"/>
    <w:rsid w:val="004C2E75"/>
    <w:rsid w:val="004C5ECE"/>
    <w:rsid w:val="004C74C6"/>
    <w:rsid w:val="004C7A2B"/>
    <w:rsid w:val="004C7D3A"/>
    <w:rsid w:val="004D0080"/>
    <w:rsid w:val="004D1687"/>
    <w:rsid w:val="004D2F8E"/>
    <w:rsid w:val="004D3174"/>
    <w:rsid w:val="004D4D65"/>
    <w:rsid w:val="004D65DD"/>
    <w:rsid w:val="004E05E5"/>
    <w:rsid w:val="004E0959"/>
    <w:rsid w:val="004E489D"/>
    <w:rsid w:val="004F0DF2"/>
    <w:rsid w:val="004F154E"/>
    <w:rsid w:val="004F239C"/>
    <w:rsid w:val="004F56B0"/>
    <w:rsid w:val="004F665B"/>
    <w:rsid w:val="0050081E"/>
    <w:rsid w:val="005018A8"/>
    <w:rsid w:val="005023A1"/>
    <w:rsid w:val="00503A48"/>
    <w:rsid w:val="00503D6D"/>
    <w:rsid w:val="0050413A"/>
    <w:rsid w:val="00505723"/>
    <w:rsid w:val="00505A39"/>
    <w:rsid w:val="00505C5C"/>
    <w:rsid w:val="005104AF"/>
    <w:rsid w:val="00510972"/>
    <w:rsid w:val="00513CA7"/>
    <w:rsid w:val="0051454C"/>
    <w:rsid w:val="0051462D"/>
    <w:rsid w:val="00514883"/>
    <w:rsid w:val="00515190"/>
    <w:rsid w:val="00520DA0"/>
    <w:rsid w:val="00521A9F"/>
    <w:rsid w:val="00521D89"/>
    <w:rsid w:val="00522B5E"/>
    <w:rsid w:val="00522C2A"/>
    <w:rsid w:val="0052387C"/>
    <w:rsid w:val="005240BF"/>
    <w:rsid w:val="005263E1"/>
    <w:rsid w:val="00527DD3"/>
    <w:rsid w:val="0054167E"/>
    <w:rsid w:val="005431D1"/>
    <w:rsid w:val="005439F5"/>
    <w:rsid w:val="0054450B"/>
    <w:rsid w:val="00545BF8"/>
    <w:rsid w:val="005520DC"/>
    <w:rsid w:val="00554340"/>
    <w:rsid w:val="005546C2"/>
    <w:rsid w:val="00556C55"/>
    <w:rsid w:val="00557AA7"/>
    <w:rsid w:val="0056045C"/>
    <w:rsid w:val="005619B4"/>
    <w:rsid w:val="0056592B"/>
    <w:rsid w:val="00566AB0"/>
    <w:rsid w:val="00567719"/>
    <w:rsid w:val="005709B2"/>
    <w:rsid w:val="0057298A"/>
    <w:rsid w:val="00572ACC"/>
    <w:rsid w:val="005818EE"/>
    <w:rsid w:val="0058278F"/>
    <w:rsid w:val="0058420F"/>
    <w:rsid w:val="00585390"/>
    <w:rsid w:val="00586564"/>
    <w:rsid w:val="0058759C"/>
    <w:rsid w:val="00587C65"/>
    <w:rsid w:val="00590022"/>
    <w:rsid w:val="00590266"/>
    <w:rsid w:val="00591708"/>
    <w:rsid w:val="00593537"/>
    <w:rsid w:val="005939A5"/>
    <w:rsid w:val="00594148"/>
    <w:rsid w:val="00595513"/>
    <w:rsid w:val="005A148C"/>
    <w:rsid w:val="005A3140"/>
    <w:rsid w:val="005A37C8"/>
    <w:rsid w:val="005A4461"/>
    <w:rsid w:val="005A4B32"/>
    <w:rsid w:val="005A6027"/>
    <w:rsid w:val="005A678F"/>
    <w:rsid w:val="005A6EFB"/>
    <w:rsid w:val="005A7CE3"/>
    <w:rsid w:val="005B190E"/>
    <w:rsid w:val="005B3E8A"/>
    <w:rsid w:val="005B4687"/>
    <w:rsid w:val="005B47AF"/>
    <w:rsid w:val="005C0139"/>
    <w:rsid w:val="005C12FA"/>
    <w:rsid w:val="005C14E9"/>
    <w:rsid w:val="005C5767"/>
    <w:rsid w:val="005C58FA"/>
    <w:rsid w:val="005C764A"/>
    <w:rsid w:val="005C772D"/>
    <w:rsid w:val="005D1DD1"/>
    <w:rsid w:val="005D317C"/>
    <w:rsid w:val="005D7215"/>
    <w:rsid w:val="005E14AC"/>
    <w:rsid w:val="005E7779"/>
    <w:rsid w:val="005E7877"/>
    <w:rsid w:val="005F5AA6"/>
    <w:rsid w:val="005F66D8"/>
    <w:rsid w:val="005F76FA"/>
    <w:rsid w:val="0060024C"/>
    <w:rsid w:val="006003BC"/>
    <w:rsid w:val="00600B2B"/>
    <w:rsid w:val="00602EC1"/>
    <w:rsid w:val="00603238"/>
    <w:rsid w:val="006040B5"/>
    <w:rsid w:val="00606B9B"/>
    <w:rsid w:val="006137AB"/>
    <w:rsid w:val="00615538"/>
    <w:rsid w:val="00617454"/>
    <w:rsid w:val="00620EAE"/>
    <w:rsid w:val="00626415"/>
    <w:rsid w:val="0063180C"/>
    <w:rsid w:val="00631E44"/>
    <w:rsid w:val="00631F8B"/>
    <w:rsid w:val="00632207"/>
    <w:rsid w:val="00633D03"/>
    <w:rsid w:val="0063491C"/>
    <w:rsid w:val="00635E05"/>
    <w:rsid w:val="00641289"/>
    <w:rsid w:val="00641A5C"/>
    <w:rsid w:val="00642CFA"/>
    <w:rsid w:val="006444A3"/>
    <w:rsid w:val="00645171"/>
    <w:rsid w:val="00647595"/>
    <w:rsid w:val="0065006B"/>
    <w:rsid w:val="006514A3"/>
    <w:rsid w:val="00653A45"/>
    <w:rsid w:val="00656EEF"/>
    <w:rsid w:val="0066149F"/>
    <w:rsid w:val="0066168A"/>
    <w:rsid w:val="00661752"/>
    <w:rsid w:val="00661AFE"/>
    <w:rsid w:val="00661E6B"/>
    <w:rsid w:val="00663FEF"/>
    <w:rsid w:val="006655B4"/>
    <w:rsid w:val="00667275"/>
    <w:rsid w:val="00672349"/>
    <w:rsid w:val="006730FF"/>
    <w:rsid w:val="00673CD6"/>
    <w:rsid w:val="006749A7"/>
    <w:rsid w:val="00674DC3"/>
    <w:rsid w:val="006763F5"/>
    <w:rsid w:val="0067699F"/>
    <w:rsid w:val="00677B45"/>
    <w:rsid w:val="00680F19"/>
    <w:rsid w:val="00681764"/>
    <w:rsid w:val="00681C56"/>
    <w:rsid w:val="00682FAE"/>
    <w:rsid w:val="00683B2C"/>
    <w:rsid w:val="0068516A"/>
    <w:rsid w:val="006878AF"/>
    <w:rsid w:val="006940D0"/>
    <w:rsid w:val="006973BA"/>
    <w:rsid w:val="00697579"/>
    <w:rsid w:val="006A0C7A"/>
    <w:rsid w:val="006A110A"/>
    <w:rsid w:val="006A33A9"/>
    <w:rsid w:val="006A5664"/>
    <w:rsid w:val="006B26AD"/>
    <w:rsid w:val="006B5244"/>
    <w:rsid w:val="006B72E5"/>
    <w:rsid w:val="006C1F10"/>
    <w:rsid w:val="006C1F40"/>
    <w:rsid w:val="006C6C33"/>
    <w:rsid w:val="006C7686"/>
    <w:rsid w:val="006C774E"/>
    <w:rsid w:val="006C7A60"/>
    <w:rsid w:val="006D07C2"/>
    <w:rsid w:val="006D0B4B"/>
    <w:rsid w:val="006D32E7"/>
    <w:rsid w:val="006D6750"/>
    <w:rsid w:val="006D73CD"/>
    <w:rsid w:val="006D7E92"/>
    <w:rsid w:val="006E0770"/>
    <w:rsid w:val="006E172F"/>
    <w:rsid w:val="006E4907"/>
    <w:rsid w:val="006E57C7"/>
    <w:rsid w:val="006E580E"/>
    <w:rsid w:val="006E5E28"/>
    <w:rsid w:val="006E6574"/>
    <w:rsid w:val="006F1B55"/>
    <w:rsid w:val="006F1DF4"/>
    <w:rsid w:val="006F2BC0"/>
    <w:rsid w:val="006F5C32"/>
    <w:rsid w:val="006F7DD9"/>
    <w:rsid w:val="007000D7"/>
    <w:rsid w:val="0070059B"/>
    <w:rsid w:val="00701D39"/>
    <w:rsid w:val="00705231"/>
    <w:rsid w:val="00705A16"/>
    <w:rsid w:val="00705FE2"/>
    <w:rsid w:val="00706464"/>
    <w:rsid w:val="0071256C"/>
    <w:rsid w:val="00713EF4"/>
    <w:rsid w:val="007147C1"/>
    <w:rsid w:val="00714CF2"/>
    <w:rsid w:val="0071556A"/>
    <w:rsid w:val="007156B9"/>
    <w:rsid w:val="007161A2"/>
    <w:rsid w:val="007163FD"/>
    <w:rsid w:val="00720817"/>
    <w:rsid w:val="00722850"/>
    <w:rsid w:val="00725583"/>
    <w:rsid w:val="00730BD9"/>
    <w:rsid w:val="00730C0F"/>
    <w:rsid w:val="0073353F"/>
    <w:rsid w:val="00733BF8"/>
    <w:rsid w:val="0073548C"/>
    <w:rsid w:val="007358F3"/>
    <w:rsid w:val="00735A91"/>
    <w:rsid w:val="007413FB"/>
    <w:rsid w:val="00741591"/>
    <w:rsid w:val="00742E45"/>
    <w:rsid w:val="007447AF"/>
    <w:rsid w:val="00744FBD"/>
    <w:rsid w:val="00750816"/>
    <w:rsid w:val="00754179"/>
    <w:rsid w:val="00755FC0"/>
    <w:rsid w:val="007572E7"/>
    <w:rsid w:val="00761BE4"/>
    <w:rsid w:val="00762DCB"/>
    <w:rsid w:val="007657AC"/>
    <w:rsid w:val="007657C1"/>
    <w:rsid w:val="00773E62"/>
    <w:rsid w:val="00774923"/>
    <w:rsid w:val="00774B03"/>
    <w:rsid w:val="00776394"/>
    <w:rsid w:val="0077738B"/>
    <w:rsid w:val="0077755F"/>
    <w:rsid w:val="007775C0"/>
    <w:rsid w:val="00780F04"/>
    <w:rsid w:val="007812C1"/>
    <w:rsid w:val="0078220C"/>
    <w:rsid w:val="007825FA"/>
    <w:rsid w:val="0078316F"/>
    <w:rsid w:val="00784C67"/>
    <w:rsid w:val="00785F0B"/>
    <w:rsid w:val="00786D18"/>
    <w:rsid w:val="00791C10"/>
    <w:rsid w:val="0079546A"/>
    <w:rsid w:val="0079550D"/>
    <w:rsid w:val="007A0210"/>
    <w:rsid w:val="007A07DA"/>
    <w:rsid w:val="007A0E40"/>
    <w:rsid w:val="007A0FBD"/>
    <w:rsid w:val="007A18F9"/>
    <w:rsid w:val="007A1E0A"/>
    <w:rsid w:val="007A3433"/>
    <w:rsid w:val="007A406D"/>
    <w:rsid w:val="007A62B0"/>
    <w:rsid w:val="007A740D"/>
    <w:rsid w:val="007B2D2A"/>
    <w:rsid w:val="007B4FAF"/>
    <w:rsid w:val="007B574A"/>
    <w:rsid w:val="007B7C76"/>
    <w:rsid w:val="007C12C0"/>
    <w:rsid w:val="007C5A0C"/>
    <w:rsid w:val="007D4431"/>
    <w:rsid w:val="007D4A8E"/>
    <w:rsid w:val="007D549F"/>
    <w:rsid w:val="007D76D6"/>
    <w:rsid w:val="007E0FEE"/>
    <w:rsid w:val="007E18EC"/>
    <w:rsid w:val="007E19E1"/>
    <w:rsid w:val="007E1A35"/>
    <w:rsid w:val="007E3E03"/>
    <w:rsid w:val="007E4D8E"/>
    <w:rsid w:val="007E5EC9"/>
    <w:rsid w:val="007F0495"/>
    <w:rsid w:val="007F072D"/>
    <w:rsid w:val="007F11C0"/>
    <w:rsid w:val="007F2017"/>
    <w:rsid w:val="007F2440"/>
    <w:rsid w:val="007F37F8"/>
    <w:rsid w:val="007F3836"/>
    <w:rsid w:val="007F44FE"/>
    <w:rsid w:val="007F4663"/>
    <w:rsid w:val="007F576B"/>
    <w:rsid w:val="007F7728"/>
    <w:rsid w:val="007F7D2E"/>
    <w:rsid w:val="00800DB4"/>
    <w:rsid w:val="008010AA"/>
    <w:rsid w:val="0080390E"/>
    <w:rsid w:val="00806A73"/>
    <w:rsid w:val="00812C89"/>
    <w:rsid w:val="0081436A"/>
    <w:rsid w:val="008159CF"/>
    <w:rsid w:val="0081681A"/>
    <w:rsid w:val="00816B3B"/>
    <w:rsid w:val="00816E05"/>
    <w:rsid w:val="00822A3B"/>
    <w:rsid w:val="00822C71"/>
    <w:rsid w:val="008267D9"/>
    <w:rsid w:val="00826DAA"/>
    <w:rsid w:val="0082733B"/>
    <w:rsid w:val="00833603"/>
    <w:rsid w:val="008339BB"/>
    <w:rsid w:val="00842EF2"/>
    <w:rsid w:val="00843F6F"/>
    <w:rsid w:val="008475D5"/>
    <w:rsid w:val="00850A95"/>
    <w:rsid w:val="00850B8B"/>
    <w:rsid w:val="008516B1"/>
    <w:rsid w:val="00851A80"/>
    <w:rsid w:val="00852F1E"/>
    <w:rsid w:val="00853C73"/>
    <w:rsid w:val="00855FBE"/>
    <w:rsid w:val="00856026"/>
    <w:rsid w:val="008573B0"/>
    <w:rsid w:val="00857CF5"/>
    <w:rsid w:val="0086183F"/>
    <w:rsid w:val="00863109"/>
    <w:rsid w:val="00863563"/>
    <w:rsid w:val="00863D43"/>
    <w:rsid w:val="0086419A"/>
    <w:rsid w:val="00865C2C"/>
    <w:rsid w:val="00866860"/>
    <w:rsid w:val="0087023B"/>
    <w:rsid w:val="008719C2"/>
    <w:rsid w:val="00872A9C"/>
    <w:rsid w:val="00875CAE"/>
    <w:rsid w:val="00875E72"/>
    <w:rsid w:val="00880FF6"/>
    <w:rsid w:val="0088248A"/>
    <w:rsid w:val="00884EC1"/>
    <w:rsid w:val="008851FB"/>
    <w:rsid w:val="008861AB"/>
    <w:rsid w:val="00891A41"/>
    <w:rsid w:val="00892D87"/>
    <w:rsid w:val="00896E58"/>
    <w:rsid w:val="008A08BF"/>
    <w:rsid w:val="008A1686"/>
    <w:rsid w:val="008A179F"/>
    <w:rsid w:val="008A3123"/>
    <w:rsid w:val="008A4576"/>
    <w:rsid w:val="008A6F9E"/>
    <w:rsid w:val="008B0864"/>
    <w:rsid w:val="008B175A"/>
    <w:rsid w:val="008B4BDE"/>
    <w:rsid w:val="008B6545"/>
    <w:rsid w:val="008C3268"/>
    <w:rsid w:val="008C3CB7"/>
    <w:rsid w:val="008C456C"/>
    <w:rsid w:val="008C7413"/>
    <w:rsid w:val="008C7A04"/>
    <w:rsid w:val="008D02F4"/>
    <w:rsid w:val="008D16B7"/>
    <w:rsid w:val="008D4CB5"/>
    <w:rsid w:val="008D4E28"/>
    <w:rsid w:val="008D7193"/>
    <w:rsid w:val="008D71F6"/>
    <w:rsid w:val="008D7BF7"/>
    <w:rsid w:val="008E0CED"/>
    <w:rsid w:val="008E4139"/>
    <w:rsid w:val="008E489B"/>
    <w:rsid w:val="008E61E1"/>
    <w:rsid w:val="008E67F8"/>
    <w:rsid w:val="008E6AE6"/>
    <w:rsid w:val="008F0116"/>
    <w:rsid w:val="008F143D"/>
    <w:rsid w:val="008F1928"/>
    <w:rsid w:val="008F26B3"/>
    <w:rsid w:val="008F2D44"/>
    <w:rsid w:val="008F48A8"/>
    <w:rsid w:val="008F75B9"/>
    <w:rsid w:val="008F76F6"/>
    <w:rsid w:val="008F7DA1"/>
    <w:rsid w:val="00901EA6"/>
    <w:rsid w:val="009034C2"/>
    <w:rsid w:val="00903E9F"/>
    <w:rsid w:val="00905B10"/>
    <w:rsid w:val="009113F3"/>
    <w:rsid w:val="00914405"/>
    <w:rsid w:val="00915729"/>
    <w:rsid w:val="00916098"/>
    <w:rsid w:val="009161B5"/>
    <w:rsid w:val="00921BC6"/>
    <w:rsid w:val="009253A0"/>
    <w:rsid w:val="00925E22"/>
    <w:rsid w:val="00932865"/>
    <w:rsid w:val="00940339"/>
    <w:rsid w:val="00941850"/>
    <w:rsid w:val="009423E6"/>
    <w:rsid w:val="009427E8"/>
    <w:rsid w:val="00945B13"/>
    <w:rsid w:val="0094697F"/>
    <w:rsid w:val="00951C66"/>
    <w:rsid w:val="00951E27"/>
    <w:rsid w:val="00952DF5"/>
    <w:rsid w:val="00954690"/>
    <w:rsid w:val="009556F4"/>
    <w:rsid w:val="00960F0B"/>
    <w:rsid w:val="00961256"/>
    <w:rsid w:val="009660EF"/>
    <w:rsid w:val="00970671"/>
    <w:rsid w:val="00971ED8"/>
    <w:rsid w:val="009730F7"/>
    <w:rsid w:val="0097400D"/>
    <w:rsid w:val="00974A9B"/>
    <w:rsid w:val="00975705"/>
    <w:rsid w:val="00976253"/>
    <w:rsid w:val="00980D51"/>
    <w:rsid w:val="0098138E"/>
    <w:rsid w:val="0098155B"/>
    <w:rsid w:val="00984698"/>
    <w:rsid w:val="00984F31"/>
    <w:rsid w:val="0098655A"/>
    <w:rsid w:val="00986FCB"/>
    <w:rsid w:val="00992ED0"/>
    <w:rsid w:val="009959CC"/>
    <w:rsid w:val="00995E6F"/>
    <w:rsid w:val="009A2A90"/>
    <w:rsid w:val="009A4CAC"/>
    <w:rsid w:val="009A6E36"/>
    <w:rsid w:val="009A7C5C"/>
    <w:rsid w:val="009B5571"/>
    <w:rsid w:val="009B7FD5"/>
    <w:rsid w:val="009C0CE4"/>
    <w:rsid w:val="009C10CB"/>
    <w:rsid w:val="009C2971"/>
    <w:rsid w:val="009C2FD5"/>
    <w:rsid w:val="009C636C"/>
    <w:rsid w:val="009D3BB9"/>
    <w:rsid w:val="009D6F03"/>
    <w:rsid w:val="009D7286"/>
    <w:rsid w:val="009D7370"/>
    <w:rsid w:val="009E0217"/>
    <w:rsid w:val="009E0249"/>
    <w:rsid w:val="009E0423"/>
    <w:rsid w:val="009E0620"/>
    <w:rsid w:val="009E1033"/>
    <w:rsid w:val="009E244F"/>
    <w:rsid w:val="009E34A9"/>
    <w:rsid w:val="009E4C84"/>
    <w:rsid w:val="009E4D17"/>
    <w:rsid w:val="009E6052"/>
    <w:rsid w:val="009E6B0B"/>
    <w:rsid w:val="009E730A"/>
    <w:rsid w:val="009E7C7F"/>
    <w:rsid w:val="009F1FF4"/>
    <w:rsid w:val="009F526C"/>
    <w:rsid w:val="009F54A7"/>
    <w:rsid w:val="009F7C14"/>
    <w:rsid w:val="00A033D9"/>
    <w:rsid w:val="00A03479"/>
    <w:rsid w:val="00A034D6"/>
    <w:rsid w:val="00A12BC5"/>
    <w:rsid w:val="00A136AA"/>
    <w:rsid w:val="00A144EF"/>
    <w:rsid w:val="00A15587"/>
    <w:rsid w:val="00A158A0"/>
    <w:rsid w:val="00A17CE0"/>
    <w:rsid w:val="00A209BD"/>
    <w:rsid w:val="00A22655"/>
    <w:rsid w:val="00A235F0"/>
    <w:rsid w:val="00A23D48"/>
    <w:rsid w:val="00A25EA4"/>
    <w:rsid w:val="00A264EC"/>
    <w:rsid w:val="00A26537"/>
    <w:rsid w:val="00A26A6F"/>
    <w:rsid w:val="00A30B0E"/>
    <w:rsid w:val="00A30FCD"/>
    <w:rsid w:val="00A31701"/>
    <w:rsid w:val="00A323DD"/>
    <w:rsid w:val="00A329BD"/>
    <w:rsid w:val="00A33AA8"/>
    <w:rsid w:val="00A35EAA"/>
    <w:rsid w:val="00A36B34"/>
    <w:rsid w:val="00A36F64"/>
    <w:rsid w:val="00A37F29"/>
    <w:rsid w:val="00A41636"/>
    <w:rsid w:val="00A417E9"/>
    <w:rsid w:val="00A41977"/>
    <w:rsid w:val="00A42306"/>
    <w:rsid w:val="00A44A42"/>
    <w:rsid w:val="00A44E8D"/>
    <w:rsid w:val="00A46798"/>
    <w:rsid w:val="00A46EA8"/>
    <w:rsid w:val="00A476ED"/>
    <w:rsid w:val="00A47741"/>
    <w:rsid w:val="00A50576"/>
    <w:rsid w:val="00A50652"/>
    <w:rsid w:val="00A50905"/>
    <w:rsid w:val="00A50A67"/>
    <w:rsid w:val="00A5403D"/>
    <w:rsid w:val="00A55957"/>
    <w:rsid w:val="00A55ACD"/>
    <w:rsid w:val="00A56081"/>
    <w:rsid w:val="00A569BE"/>
    <w:rsid w:val="00A621A3"/>
    <w:rsid w:val="00A6645D"/>
    <w:rsid w:val="00A66C72"/>
    <w:rsid w:val="00A67716"/>
    <w:rsid w:val="00A7328A"/>
    <w:rsid w:val="00A739A0"/>
    <w:rsid w:val="00A751DE"/>
    <w:rsid w:val="00A77C5E"/>
    <w:rsid w:val="00A82288"/>
    <w:rsid w:val="00A83EC2"/>
    <w:rsid w:val="00A85D27"/>
    <w:rsid w:val="00A86EDA"/>
    <w:rsid w:val="00A9050C"/>
    <w:rsid w:val="00A90F35"/>
    <w:rsid w:val="00A937D3"/>
    <w:rsid w:val="00A9471B"/>
    <w:rsid w:val="00A96769"/>
    <w:rsid w:val="00A972F8"/>
    <w:rsid w:val="00AA16B9"/>
    <w:rsid w:val="00AA1D70"/>
    <w:rsid w:val="00AA2434"/>
    <w:rsid w:val="00AA43E7"/>
    <w:rsid w:val="00AA5B4D"/>
    <w:rsid w:val="00AA6667"/>
    <w:rsid w:val="00AB00BF"/>
    <w:rsid w:val="00AB153A"/>
    <w:rsid w:val="00AB2C81"/>
    <w:rsid w:val="00AB345B"/>
    <w:rsid w:val="00AB52A5"/>
    <w:rsid w:val="00AB647C"/>
    <w:rsid w:val="00AB7875"/>
    <w:rsid w:val="00AC051F"/>
    <w:rsid w:val="00AC488C"/>
    <w:rsid w:val="00AC66FA"/>
    <w:rsid w:val="00AC68EE"/>
    <w:rsid w:val="00AD26AA"/>
    <w:rsid w:val="00AD333E"/>
    <w:rsid w:val="00AD3DBD"/>
    <w:rsid w:val="00AD4166"/>
    <w:rsid w:val="00AD46D5"/>
    <w:rsid w:val="00AD5A47"/>
    <w:rsid w:val="00AD670D"/>
    <w:rsid w:val="00AD75A9"/>
    <w:rsid w:val="00AE0186"/>
    <w:rsid w:val="00AE0290"/>
    <w:rsid w:val="00AE2978"/>
    <w:rsid w:val="00AE2A2D"/>
    <w:rsid w:val="00AE2BB3"/>
    <w:rsid w:val="00AE5A17"/>
    <w:rsid w:val="00AE5BBE"/>
    <w:rsid w:val="00AF3C7D"/>
    <w:rsid w:val="00AF79E6"/>
    <w:rsid w:val="00AF7ECB"/>
    <w:rsid w:val="00B01F7E"/>
    <w:rsid w:val="00B0428E"/>
    <w:rsid w:val="00B04317"/>
    <w:rsid w:val="00B04415"/>
    <w:rsid w:val="00B07883"/>
    <w:rsid w:val="00B1466D"/>
    <w:rsid w:val="00B14829"/>
    <w:rsid w:val="00B1686A"/>
    <w:rsid w:val="00B16C2A"/>
    <w:rsid w:val="00B17940"/>
    <w:rsid w:val="00B203CB"/>
    <w:rsid w:val="00B213C3"/>
    <w:rsid w:val="00B23EC7"/>
    <w:rsid w:val="00B247E1"/>
    <w:rsid w:val="00B253C6"/>
    <w:rsid w:val="00B26016"/>
    <w:rsid w:val="00B26081"/>
    <w:rsid w:val="00B30374"/>
    <w:rsid w:val="00B3087D"/>
    <w:rsid w:val="00B34794"/>
    <w:rsid w:val="00B35425"/>
    <w:rsid w:val="00B368F5"/>
    <w:rsid w:val="00B40C73"/>
    <w:rsid w:val="00B4466B"/>
    <w:rsid w:val="00B447C1"/>
    <w:rsid w:val="00B460B9"/>
    <w:rsid w:val="00B47051"/>
    <w:rsid w:val="00B518BE"/>
    <w:rsid w:val="00B57B41"/>
    <w:rsid w:val="00B60421"/>
    <w:rsid w:val="00B61310"/>
    <w:rsid w:val="00B61A2A"/>
    <w:rsid w:val="00B62156"/>
    <w:rsid w:val="00B64826"/>
    <w:rsid w:val="00B67637"/>
    <w:rsid w:val="00B70586"/>
    <w:rsid w:val="00B72045"/>
    <w:rsid w:val="00B72820"/>
    <w:rsid w:val="00B72A15"/>
    <w:rsid w:val="00B7612F"/>
    <w:rsid w:val="00B7678E"/>
    <w:rsid w:val="00B775F2"/>
    <w:rsid w:val="00B77CA4"/>
    <w:rsid w:val="00B80007"/>
    <w:rsid w:val="00B80C0C"/>
    <w:rsid w:val="00B81804"/>
    <w:rsid w:val="00B81EB6"/>
    <w:rsid w:val="00B82C6C"/>
    <w:rsid w:val="00B83242"/>
    <w:rsid w:val="00B8501A"/>
    <w:rsid w:val="00B85F32"/>
    <w:rsid w:val="00B8772A"/>
    <w:rsid w:val="00B87CB2"/>
    <w:rsid w:val="00B913B9"/>
    <w:rsid w:val="00B92F90"/>
    <w:rsid w:val="00B933E3"/>
    <w:rsid w:val="00B94C12"/>
    <w:rsid w:val="00B95CB2"/>
    <w:rsid w:val="00B9798D"/>
    <w:rsid w:val="00BA1309"/>
    <w:rsid w:val="00BA2EBA"/>
    <w:rsid w:val="00BA51C8"/>
    <w:rsid w:val="00BA5492"/>
    <w:rsid w:val="00BA70D0"/>
    <w:rsid w:val="00BB0243"/>
    <w:rsid w:val="00BB24AF"/>
    <w:rsid w:val="00BB348C"/>
    <w:rsid w:val="00BB3E39"/>
    <w:rsid w:val="00BB74E9"/>
    <w:rsid w:val="00BC17D1"/>
    <w:rsid w:val="00BC35F2"/>
    <w:rsid w:val="00BC4994"/>
    <w:rsid w:val="00BC604D"/>
    <w:rsid w:val="00BD5267"/>
    <w:rsid w:val="00BE06D8"/>
    <w:rsid w:val="00BE0B18"/>
    <w:rsid w:val="00BE0C79"/>
    <w:rsid w:val="00BE2F60"/>
    <w:rsid w:val="00BE4089"/>
    <w:rsid w:val="00BE40C8"/>
    <w:rsid w:val="00BE5A66"/>
    <w:rsid w:val="00BE69EE"/>
    <w:rsid w:val="00BE6D17"/>
    <w:rsid w:val="00BF26D3"/>
    <w:rsid w:val="00BF2E88"/>
    <w:rsid w:val="00BF41CA"/>
    <w:rsid w:val="00BF4534"/>
    <w:rsid w:val="00BF631F"/>
    <w:rsid w:val="00BF6548"/>
    <w:rsid w:val="00C00130"/>
    <w:rsid w:val="00C00DE7"/>
    <w:rsid w:val="00C027EB"/>
    <w:rsid w:val="00C02FA3"/>
    <w:rsid w:val="00C03A04"/>
    <w:rsid w:val="00C04148"/>
    <w:rsid w:val="00C045D6"/>
    <w:rsid w:val="00C06EB9"/>
    <w:rsid w:val="00C102E2"/>
    <w:rsid w:val="00C10B5F"/>
    <w:rsid w:val="00C10C49"/>
    <w:rsid w:val="00C117BE"/>
    <w:rsid w:val="00C12011"/>
    <w:rsid w:val="00C122B6"/>
    <w:rsid w:val="00C123DB"/>
    <w:rsid w:val="00C13832"/>
    <w:rsid w:val="00C1395B"/>
    <w:rsid w:val="00C13AD6"/>
    <w:rsid w:val="00C140B7"/>
    <w:rsid w:val="00C174F9"/>
    <w:rsid w:val="00C221F3"/>
    <w:rsid w:val="00C26385"/>
    <w:rsid w:val="00C31271"/>
    <w:rsid w:val="00C31B00"/>
    <w:rsid w:val="00C32ADA"/>
    <w:rsid w:val="00C3365F"/>
    <w:rsid w:val="00C33A4F"/>
    <w:rsid w:val="00C34253"/>
    <w:rsid w:val="00C34561"/>
    <w:rsid w:val="00C35583"/>
    <w:rsid w:val="00C365C9"/>
    <w:rsid w:val="00C375E0"/>
    <w:rsid w:val="00C4181A"/>
    <w:rsid w:val="00C41D7D"/>
    <w:rsid w:val="00C55036"/>
    <w:rsid w:val="00C55B3C"/>
    <w:rsid w:val="00C61314"/>
    <w:rsid w:val="00C61C1E"/>
    <w:rsid w:val="00C62AFD"/>
    <w:rsid w:val="00C62E43"/>
    <w:rsid w:val="00C62E59"/>
    <w:rsid w:val="00C67E28"/>
    <w:rsid w:val="00C70605"/>
    <w:rsid w:val="00C71536"/>
    <w:rsid w:val="00C741EF"/>
    <w:rsid w:val="00C74EB3"/>
    <w:rsid w:val="00C76789"/>
    <w:rsid w:val="00C81006"/>
    <w:rsid w:val="00C81684"/>
    <w:rsid w:val="00C81774"/>
    <w:rsid w:val="00C820FE"/>
    <w:rsid w:val="00C842D6"/>
    <w:rsid w:val="00C8542C"/>
    <w:rsid w:val="00C878D5"/>
    <w:rsid w:val="00C900A9"/>
    <w:rsid w:val="00C9033B"/>
    <w:rsid w:val="00C9115A"/>
    <w:rsid w:val="00C913A1"/>
    <w:rsid w:val="00C95640"/>
    <w:rsid w:val="00C95F30"/>
    <w:rsid w:val="00C9675A"/>
    <w:rsid w:val="00CA1D07"/>
    <w:rsid w:val="00CA3032"/>
    <w:rsid w:val="00CA33B0"/>
    <w:rsid w:val="00CA38BF"/>
    <w:rsid w:val="00CA3F75"/>
    <w:rsid w:val="00CA457A"/>
    <w:rsid w:val="00CB0C95"/>
    <w:rsid w:val="00CB48A2"/>
    <w:rsid w:val="00CB55C2"/>
    <w:rsid w:val="00CB77A4"/>
    <w:rsid w:val="00CC04CB"/>
    <w:rsid w:val="00CC0A01"/>
    <w:rsid w:val="00CC3375"/>
    <w:rsid w:val="00CC5B0B"/>
    <w:rsid w:val="00CC5B64"/>
    <w:rsid w:val="00CC6A99"/>
    <w:rsid w:val="00CC748D"/>
    <w:rsid w:val="00CD065A"/>
    <w:rsid w:val="00CD38ED"/>
    <w:rsid w:val="00CD4493"/>
    <w:rsid w:val="00CD53CD"/>
    <w:rsid w:val="00CD68B1"/>
    <w:rsid w:val="00CE0BE5"/>
    <w:rsid w:val="00CE1EF8"/>
    <w:rsid w:val="00CE6752"/>
    <w:rsid w:val="00CE6CBF"/>
    <w:rsid w:val="00CF1123"/>
    <w:rsid w:val="00CF1B68"/>
    <w:rsid w:val="00CF4C91"/>
    <w:rsid w:val="00CF4F5D"/>
    <w:rsid w:val="00CF5AA0"/>
    <w:rsid w:val="00CF67BC"/>
    <w:rsid w:val="00CF7DFA"/>
    <w:rsid w:val="00D00AA3"/>
    <w:rsid w:val="00D00C52"/>
    <w:rsid w:val="00D04E39"/>
    <w:rsid w:val="00D0504E"/>
    <w:rsid w:val="00D0516C"/>
    <w:rsid w:val="00D059C5"/>
    <w:rsid w:val="00D070B7"/>
    <w:rsid w:val="00D0725A"/>
    <w:rsid w:val="00D07F73"/>
    <w:rsid w:val="00D100E2"/>
    <w:rsid w:val="00D11D91"/>
    <w:rsid w:val="00D14844"/>
    <w:rsid w:val="00D15A93"/>
    <w:rsid w:val="00D2041C"/>
    <w:rsid w:val="00D2093B"/>
    <w:rsid w:val="00D216C1"/>
    <w:rsid w:val="00D22C24"/>
    <w:rsid w:val="00D2333B"/>
    <w:rsid w:val="00D25ADE"/>
    <w:rsid w:val="00D30963"/>
    <w:rsid w:val="00D317A6"/>
    <w:rsid w:val="00D31AC9"/>
    <w:rsid w:val="00D32131"/>
    <w:rsid w:val="00D33AB3"/>
    <w:rsid w:val="00D374AD"/>
    <w:rsid w:val="00D37611"/>
    <w:rsid w:val="00D43297"/>
    <w:rsid w:val="00D44612"/>
    <w:rsid w:val="00D44DB6"/>
    <w:rsid w:val="00D4564D"/>
    <w:rsid w:val="00D4720B"/>
    <w:rsid w:val="00D47242"/>
    <w:rsid w:val="00D50119"/>
    <w:rsid w:val="00D5216F"/>
    <w:rsid w:val="00D52AF4"/>
    <w:rsid w:val="00D56005"/>
    <w:rsid w:val="00D60EE6"/>
    <w:rsid w:val="00D638F3"/>
    <w:rsid w:val="00D63940"/>
    <w:rsid w:val="00D7105D"/>
    <w:rsid w:val="00D712C1"/>
    <w:rsid w:val="00D7427D"/>
    <w:rsid w:val="00D75527"/>
    <w:rsid w:val="00D75887"/>
    <w:rsid w:val="00D75C68"/>
    <w:rsid w:val="00D767F2"/>
    <w:rsid w:val="00D77594"/>
    <w:rsid w:val="00D80C38"/>
    <w:rsid w:val="00D8182B"/>
    <w:rsid w:val="00D82A43"/>
    <w:rsid w:val="00D83369"/>
    <w:rsid w:val="00D8424A"/>
    <w:rsid w:val="00D86AD9"/>
    <w:rsid w:val="00D90091"/>
    <w:rsid w:val="00D909E7"/>
    <w:rsid w:val="00D93DCD"/>
    <w:rsid w:val="00D94BC6"/>
    <w:rsid w:val="00D96169"/>
    <w:rsid w:val="00D9626E"/>
    <w:rsid w:val="00D966DF"/>
    <w:rsid w:val="00D96BD0"/>
    <w:rsid w:val="00D979B4"/>
    <w:rsid w:val="00DA1007"/>
    <w:rsid w:val="00DA45FD"/>
    <w:rsid w:val="00DA7B5D"/>
    <w:rsid w:val="00DB0BB2"/>
    <w:rsid w:val="00DB126F"/>
    <w:rsid w:val="00DB2BDA"/>
    <w:rsid w:val="00DB5337"/>
    <w:rsid w:val="00DB7AFE"/>
    <w:rsid w:val="00DC11D8"/>
    <w:rsid w:val="00DC4D82"/>
    <w:rsid w:val="00DC5449"/>
    <w:rsid w:val="00DD0C9B"/>
    <w:rsid w:val="00DD3A4B"/>
    <w:rsid w:val="00DD465A"/>
    <w:rsid w:val="00DD7245"/>
    <w:rsid w:val="00DD78ED"/>
    <w:rsid w:val="00DE3B19"/>
    <w:rsid w:val="00DE4CB1"/>
    <w:rsid w:val="00DF0205"/>
    <w:rsid w:val="00DF1789"/>
    <w:rsid w:val="00DF39A1"/>
    <w:rsid w:val="00DF58E7"/>
    <w:rsid w:val="00DF778C"/>
    <w:rsid w:val="00DF7A7D"/>
    <w:rsid w:val="00DF7C7B"/>
    <w:rsid w:val="00E00CF3"/>
    <w:rsid w:val="00E00D6B"/>
    <w:rsid w:val="00E0189C"/>
    <w:rsid w:val="00E02305"/>
    <w:rsid w:val="00E03C89"/>
    <w:rsid w:val="00E03F3B"/>
    <w:rsid w:val="00E046F2"/>
    <w:rsid w:val="00E05D2C"/>
    <w:rsid w:val="00E07FCA"/>
    <w:rsid w:val="00E110E0"/>
    <w:rsid w:val="00E1150A"/>
    <w:rsid w:val="00E11876"/>
    <w:rsid w:val="00E1244A"/>
    <w:rsid w:val="00E12C26"/>
    <w:rsid w:val="00E13B5E"/>
    <w:rsid w:val="00E1680D"/>
    <w:rsid w:val="00E17763"/>
    <w:rsid w:val="00E20803"/>
    <w:rsid w:val="00E21334"/>
    <w:rsid w:val="00E223A9"/>
    <w:rsid w:val="00E2283C"/>
    <w:rsid w:val="00E2337A"/>
    <w:rsid w:val="00E23CBB"/>
    <w:rsid w:val="00E23F20"/>
    <w:rsid w:val="00E247C3"/>
    <w:rsid w:val="00E30715"/>
    <w:rsid w:val="00E31C0D"/>
    <w:rsid w:val="00E32CEC"/>
    <w:rsid w:val="00E32ED5"/>
    <w:rsid w:val="00E33D59"/>
    <w:rsid w:val="00E35163"/>
    <w:rsid w:val="00E37B59"/>
    <w:rsid w:val="00E414AE"/>
    <w:rsid w:val="00E42C22"/>
    <w:rsid w:val="00E46596"/>
    <w:rsid w:val="00E475B4"/>
    <w:rsid w:val="00E47FF5"/>
    <w:rsid w:val="00E50575"/>
    <w:rsid w:val="00E50911"/>
    <w:rsid w:val="00E50C55"/>
    <w:rsid w:val="00E51982"/>
    <w:rsid w:val="00E51E90"/>
    <w:rsid w:val="00E53438"/>
    <w:rsid w:val="00E534EF"/>
    <w:rsid w:val="00E562DC"/>
    <w:rsid w:val="00E60BB6"/>
    <w:rsid w:val="00E63120"/>
    <w:rsid w:val="00E638C3"/>
    <w:rsid w:val="00E63B6E"/>
    <w:rsid w:val="00E63C9C"/>
    <w:rsid w:val="00E6441A"/>
    <w:rsid w:val="00E652CD"/>
    <w:rsid w:val="00E673BD"/>
    <w:rsid w:val="00E703D1"/>
    <w:rsid w:val="00E725FC"/>
    <w:rsid w:val="00E777FC"/>
    <w:rsid w:val="00E830AC"/>
    <w:rsid w:val="00E83DE7"/>
    <w:rsid w:val="00E84B90"/>
    <w:rsid w:val="00E85055"/>
    <w:rsid w:val="00E862E0"/>
    <w:rsid w:val="00E92BEA"/>
    <w:rsid w:val="00E93376"/>
    <w:rsid w:val="00E96E92"/>
    <w:rsid w:val="00EA36C6"/>
    <w:rsid w:val="00EA389C"/>
    <w:rsid w:val="00EA3AB3"/>
    <w:rsid w:val="00EA60FC"/>
    <w:rsid w:val="00EB0CF3"/>
    <w:rsid w:val="00EB14B7"/>
    <w:rsid w:val="00EB2B8C"/>
    <w:rsid w:val="00EB38E9"/>
    <w:rsid w:val="00EB3FCD"/>
    <w:rsid w:val="00EB4675"/>
    <w:rsid w:val="00EB5864"/>
    <w:rsid w:val="00EB7059"/>
    <w:rsid w:val="00EC04DD"/>
    <w:rsid w:val="00EC30F9"/>
    <w:rsid w:val="00EC5AE7"/>
    <w:rsid w:val="00EC7A26"/>
    <w:rsid w:val="00ED36A5"/>
    <w:rsid w:val="00ED5725"/>
    <w:rsid w:val="00ED7031"/>
    <w:rsid w:val="00ED7691"/>
    <w:rsid w:val="00EE1148"/>
    <w:rsid w:val="00EE3060"/>
    <w:rsid w:val="00EE4315"/>
    <w:rsid w:val="00EE6031"/>
    <w:rsid w:val="00EF2DF3"/>
    <w:rsid w:val="00EF3F9F"/>
    <w:rsid w:val="00EF4B93"/>
    <w:rsid w:val="00EF568C"/>
    <w:rsid w:val="00EF582A"/>
    <w:rsid w:val="00EF681C"/>
    <w:rsid w:val="00EF6925"/>
    <w:rsid w:val="00EF7F2B"/>
    <w:rsid w:val="00F012E7"/>
    <w:rsid w:val="00F04C8F"/>
    <w:rsid w:val="00F10F1F"/>
    <w:rsid w:val="00F12118"/>
    <w:rsid w:val="00F12979"/>
    <w:rsid w:val="00F13C7B"/>
    <w:rsid w:val="00F156B4"/>
    <w:rsid w:val="00F15A62"/>
    <w:rsid w:val="00F15F96"/>
    <w:rsid w:val="00F1716F"/>
    <w:rsid w:val="00F17E00"/>
    <w:rsid w:val="00F21339"/>
    <w:rsid w:val="00F22948"/>
    <w:rsid w:val="00F22FDC"/>
    <w:rsid w:val="00F26ED3"/>
    <w:rsid w:val="00F307A5"/>
    <w:rsid w:val="00F34D87"/>
    <w:rsid w:val="00F4114F"/>
    <w:rsid w:val="00F42EAC"/>
    <w:rsid w:val="00F43372"/>
    <w:rsid w:val="00F43A10"/>
    <w:rsid w:val="00F47FA8"/>
    <w:rsid w:val="00F56410"/>
    <w:rsid w:val="00F61E26"/>
    <w:rsid w:val="00F62B7A"/>
    <w:rsid w:val="00F63834"/>
    <w:rsid w:val="00F6397D"/>
    <w:rsid w:val="00F63A22"/>
    <w:rsid w:val="00F643DE"/>
    <w:rsid w:val="00F643E2"/>
    <w:rsid w:val="00F64AF2"/>
    <w:rsid w:val="00F65B5F"/>
    <w:rsid w:val="00F65D5F"/>
    <w:rsid w:val="00F65D87"/>
    <w:rsid w:val="00F65E3C"/>
    <w:rsid w:val="00F67FF3"/>
    <w:rsid w:val="00F703D8"/>
    <w:rsid w:val="00F70E70"/>
    <w:rsid w:val="00F70ED0"/>
    <w:rsid w:val="00F710AB"/>
    <w:rsid w:val="00F72122"/>
    <w:rsid w:val="00F7293E"/>
    <w:rsid w:val="00F75920"/>
    <w:rsid w:val="00F75E71"/>
    <w:rsid w:val="00F76650"/>
    <w:rsid w:val="00F769A6"/>
    <w:rsid w:val="00F77280"/>
    <w:rsid w:val="00F77D3F"/>
    <w:rsid w:val="00F80254"/>
    <w:rsid w:val="00F8304C"/>
    <w:rsid w:val="00F840E5"/>
    <w:rsid w:val="00F84F94"/>
    <w:rsid w:val="00F85A91"/>
    <w:rsid w:val="00F874B9"/>
    <w:rsid w:val="00F90363"/>
    <w:rsid w:val="00F9164A"/>
    <w:rsid w:val="00F91815"/>
    <w:rsid w:val="00F9187B"/>
    <w:rsid w:val="00F92385"/>
    <w:rsid w:val="00F927C3"/>
    <w:rsid w:val="00F97868"/>
    <w:rsid w:val="00FA1B4F"/>
    <w:rsid w:val="00FA3419"/>
    <w:rsid w:val="00FA5538"/>
    <w:rsid w:val="00FA727B"/>
    <w:rsid w:val="00FA799E"/>
    <w:rsid w:val="00FB0159"/>
    <w:rsid w:val="00FB1DD1"/>
    <w:rsid w:val="00FB2A73"/>
    <w:rsid w:val="00FB6E22"/>
    <w:rsid w:val="00FC0E20"/>
    <w:rsid w:val="00FC2303"/>
    <w:rsid w:val="00FC374E"/>
    <w:rsid w:val="00FC47F9"/>
    <w:rsid w:val="00FC4A8C"/>
    <w:rsid w:val="00FC5037"/>
    <w:rsid w:val="00FC638E"/>
    <w:rsid w:val="00FC70B9"/>
    <w:rsid w:val="00FC7680"/>
    <w:rsid w:val="00FD04D9"/>
    <w:rsid w:val="00FD0623"/>
    <w:rsid w:val="00FD3F4D"/>
    <w:rsid w:val="00FD4F6E"/>
    <w:rsid w:val="00FD5348"/>
    <w:rsid w:val="00FD65E7"/>
    <w:rsid w:val="00FD7A6F"/>
    <w:rsid w:val="00FE05F9"/>
    <w:rsid w:val="00FE0B73"/>
    <w:rsid w:val="00FE2351"/>
    <w:rsid w:val="00FE24BC"/>
    <w:rsid w:val="00FE337D"/>
    <w:rsid w:val="00FE47B6"/>
    <w:rsid w:val="00FE5580"/>
    <w:rsid w:val="00FE5DC0"/>
    <w:rsid w:val="00FE5E3C"/>
    <w:rsid w:val="00FE5FF0"/>
    <w:rsid w:val="00FF00A0"/>
    <w:rsid w:val="00FF110C"/>
    <w:rsid w:val="00FF12AB"/>
    <w:rsid w:val="00FF2E2E"/>
    <w:rsid w:val="00FF59C6"/>
    <w:rsid w:val="00FF656D"/>
    <w:rsid w:val="00FF6C4E"/>
    <w:rsid w:val="2C7A0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3CF9"/>
  <w15:chartTrackingRefBased/>
  <w15:docId w15:val="{6D36E565-FA12-4312-88DA-52630065D9E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1F1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C051F"/>
    <w:pPr>
      <w:numPr>
        <w:numId w:val="20"/>
      </w:numPr>
      <w:ind w:right="2160"/>
    </w:pPr>
    <w:rPr>
      <w:rFonts w:eastAsiaTheme="majorEastAsia" w:cstheme="majorBidi"/>
      <w:szCs w:val="32"/>
    </w:rPr>
  </w:style>
  <w:style w:type="paragraph" w:styleId="Heading2">
    <w:name w:val="heading 2"/>
    <w:basedOn w:val="Dummy"/>
    <w:next w:val="Standard"/>
    <w:link w:val="Heading2Char"/>
    <w:uiPriority w:val="4"/>
    <w:qFormat/>
    <w:rsid w:val="00AC051F"/>
    <w:pPr>
      <w:numPr>
        <w:ilvl w:val="1"/>
        <w:numId w:val="20"/>
      </w:numPr>
      <w:ind w:right="2160"/>
      <w:outlineLvl w:val="1"/>
    </w:pPr>
  </w:style>
  <w:style w:type="paragraph" w:styleId="Heading3">
    <w:name w:val="heading 3"/>
    <w:basedOn w:val="Dummy"/>
    <w:next w:val="Standard"/>
    <w:link w:val="Heading3Char"/>
    <w:uiPriority w:val="4"/>
    <w:qFormat/>
    <w:rsid w:val="00AC051F"/>
    <w:pPr>
      <w:numPr>
        <w:ilvl w:val="2"/>
        <w:numId w:val="20"/>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C051F"/>
    <w:pPr>
      <w:numPr>
        <w:ilvl w:val="3"/>
        <w:numId w:val="20"/>
      </w:numPr>
      <w:ind w:right="2160"/>
      <w:outlineLvl w:val="3"/>
    </w:pPr>
    <w:rPr>
      <w:rFonts w:eastAsiaTheme="majorEastAsia" w:cstheme="majorBidi"/>
      <w:iCs/>
    </w:rPr>
  </w:style>
  <w:style w:type="paragraph" w:styleId="Heading5">
    <w:name w:val="heading 5"/>
    <w:basedOn w:val="Dummy"/>
    <w:next w:val="Standard"/>
    <w:link w:val="Heading5Char"/>
    <w:uiPriority w:val="4"/>
    <w:rsid w:val="00AC051F"/>
    <w:pPr>
      <w:numPr>
        <w:ilvl w:val="4"/>
        <w:numId w:val="20"/>
      </w:numPr>
      <w:ind w:right="2160"/>
      <w:outlineLvl w:val="4"/>
    </w:pPr>
    <w:rPr>
      <w:rFonts w:eastAsiaTheme="majorEastAsia" w:cstheme="majorBidi"/>
    </w:rPr>
  </w:style>
  <w:style w:type="paragraph" w:styleId="Heading6">
    <w:name w:val="heading 6"/>
    <w:basedOn w:val="Dummy"/>
    <w:next w:val="Standard"/>
    <w:link w:val="Heading6Char"/>
    <w:uiPriority w:val="4"/>
    <w:rsid w:val="00AC051F"/>
    <w:pPr>
      <w:numPr>
        <w:ilvl w:val="5"/>
        <w:numId w:val="20"/>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AC051F"/>
    <w:rPr>
      <w:rFonts w:ascii="Arial" w:eastAsiaTheme="majorEastAsia" w:hAnsi="Arial" w:cstheme="majorBidi"/>
      <w:b/>
      <w:sz w:val="26"/>
      <w:szCs w:val="32"/>
    </w:rPr>
  </w:style>
  <w:style w:type="paragraph" w:styleId="TOCHeading">
    <w:name w:val="TOC Heading"/>
    <w:next w:val="Normal"/>
    <w:uiPriority w:val="39"/>
    <w:unhideWhenUsed/>
    <w:rsid w:val="001E0A90"/>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AC051F"/>
    <w:rPr>
      <w:rFonts w:ascii="Arial" w:hAnsi="Arial" w:cs="Arial"/>
      <w:b/>
      <w:sz w:val="26"/>
      <w:szCs w:val="26"/>
    </w:rPr>
  </w:style>
  <w:style w:type="character" w:customStyle="1" w:styleId="Heading3Char">
    <w:name w:val="Heading 3 Char"/>
    <w:basedOn w:val="DefaultParagraphFont"/>
    <w:link w:val="Heading3"/>
    <w:uiPriority w:val="4"/>
    <w:rsid w:val="00AC051F"/>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AC051F"/>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AC051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AC051F"/>
    <w:pPr>
      <w:spacing w:line="240" w:lineRule="auto"/>
      <w:ind w:left="864" w:hanging="648"/>
    </w:pPr>
    <w:rPr>
      <w:rFonts w:eastAsiaTheme="minorEastAsia" w:cs="Times New Roman"/>
    </w:rPr>
  </w:style>
  <w:style w:type="paragraph" w:styleId="TOC1">
    <w:name w:val="toc 1"/>
    <w:basedOn w:val="Normal"/>
    <w:next w:val="Normal"/>
    <w:uiPriority w:val="39"/>
    <w:unhideWhenUsed/>
    <w:rsid w:val="00AC051F"/>
    <w:pPr>
      <w:spacing w:line="240" w:lineRule="auto"/>
      <w:ind w:left="432" w:hanging="432"/>
    </w:pPr>
    <w:rPr>
      <w:rFonts w:eastAsiaTheme="minorEastAsia" w:cs="Times New Roman"/>
    </w:rPr>
  </w:style>
  <w:style w:type="paragraph" w:styleId="TOC3">
    <w:name w:val="toc 3"/>
    <w:basedOn w:val="Normal"/>
    <w:next w:val="Normal"/>
    <w:uiPriority w:val="39"/>
    <w:unhideWhenUsed/>
    <w:rsid w:val="00AC051F"/>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AC051F"/>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ALTS FOOTNOTE,fn C"/>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ALTS FOOTNOTE Char"/>
    <w:basedOn w:val="DefaultParagraphFont"/>
    <w:link w:val="FootnoteText"/>
    <w:uiPriority w:val="40"/>
    <w:rsid w:val="007657C1"/>
    <w:rPr>
      <w:rFonts w:ascii="Book Antiqua" w:hAnsi="Book Antiqua"/>
      <w:szCs w:val="20"/>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 Reference1"/>
    <w:basedOn w:val="DefaultParagraphFont"/>
    <w:uiPriority w:val="99"/>
    <w:unhideWhenUsed/>
    <w:qFormat/>
    <w:rsid w:val="00DF58E7"/>
    <w:rPr>
      <w:vertAlign w:val="superscript"/>
    </w:rPr>
  </w:style>
  <w:style w:type="paragraph" w:customStyle="1" w:styleId="FoF">
    <w:name w:val="FoF"/>
    <w:basedOn w:val="Standard"/>
    <w:uiPriority w:val="6"/>
    <w:qFormat/>
    <w:rsid w:val="00AC051F"/>
    <w:pPr>
      <w:numPr>
        <w:numId w:val="14"/>
      </w:numPr>
    </w:pPr>
  </w:style>
  <w:style w:type="paragraph" w:customStyle="1" w:styleId="CoL">
    <w:name w:val="CoL"/>
    <w:basedOn w:val="Standard"/>
    <w:uiPriority w:val="7"/>
    <w:qFormat/>
    <w:rsid w:val="00AC051F"/>
    <w:pPr>
      <w:numPr>
        <w:numId w:val="13"/>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AC051F"/>
    <w:pPr>
      <w:numPr>
        <w:numId w:val="21"/>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AC051F"/>
  </w:style>
  <w:style w:type="paragraph" w:customStyle="1" w:styleId="ListAlpha">
    <w:name w:val="List Alpha"/>
    <w:basedOn w:val="Standard"/>
    <w:uiPriority w:val="4"/>
    <w:qFormat/>
    <w:rsid w:val="000E270A"/>
    <w:pPr>
      <w:spacing w:after="120" w:line="240" w:lineRule="auto"/>
      <w:ind w:firstLine="0"/>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AC051F"/>
    <w:rPr>
      <w:rFonts w:ascii="Arial" w:eastAsiaTheme="majorEastAsia" w:hAnsi="Arial" w:cstheme="majorBidi"/>
      <w:b/>
      <w:sz w:val="26"/>
      <w:szCs w:val="26"/>
    </w:rPr>
  </w:style>
  <w:style w:type="paragraph" w:styleId="TOC4">
    <w:name w:val="toc 4"/>
    <w:basedOn w:val="Normal"/>
    <w:next w:val="Normal"/>
    <w:autoRedefine/>
    <w:uiPriority w:val="39"/>
    <w:unhideWhenUsed/>
    <w:rsid w:val="00AC051F"/>
    <w:pPr>
      <w:spacing w:line="240" w:lineRule="auto"/>
      <w:ind w:left="1728" w:hanging="1080"/>
    </w:pPr>
  </w:style>
  <w:style w:type="paragraph" w:styleId="TOC5">
    <w:name w:val="toc 5"/>
    <w:basedOn w:val="Normal"/>
    <w:next w:val="Normal"/>
    <w:autoRedefine/>
    <w:uiPriority w:val="39"/>
    <w:unhideWhenUsed/>
    <w:rsid w:val="00AC051F"/>
    <w:pPr>
      <w:spacing w:line="240" w:lineRule="auto"/>
      <w:ind w:left="2160" w:hanging="1296"/>
    </w:pPr>
  </w:style>
  <w:style w:type="paragraph" w:styleId="TOC6">
    <w:name w:val="toc 6"/>
    <w:basedOn w:val="Normal"/>
    <w:next w:val="Normal"/>
    <w:autoRedefine/>
    <w:uiPriority w:val="39"/>
    <w:unhideWhenUsed/>
    <w:rsid w:val="00AC051F"/>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0"/>
      </w:numPr>
      <w:spacing w:after="120" w:line="240" w:lineRule="auto"/>
    </w:pPr>
  </w:style>
  <w:style w:type="paragraph" w:styleId="ListParagraph">
    <w:name w:val="List Paragraph"/>
    <w:basedOn w:val="Normal"/>
    <w:uiPriority w:val="34"/>
    <w:rsid w:val="00855FBE"/>
    <w:pPr>
      <w:ind w:left="720"/>
      <w:contextualSpacing/>
    </w:pPr>
  </w:style>
  <w:style w:type="character" w:styleId="UnresolvedMention">
    <w:name w:val="Unresolved Mention"/>
    <w:basedOn w:val="DefaultParagraphFont"/>
    <w:uiPriority w:val="99"/>
    <w:semiHidden/>
    <w:unhideWhenUsed/>
    <w:rsid w:val="00A476ED"/>
    <w:rPr>
      <w:color w:val="605E5C"/>
      <w:shd w:val="clear" w:color="auto" w:fill="E1DFDD"/>
    </w:rPr>
  </w:style>
  <w:style w:type="character" w:styleId="CommentReference">
    <w:name w:val="annotation reference"/>
    <w:basedOn w:val="DefaultParagraphFont"/>
    <w:uiPriority w:val="99"/>
    <w:semiHidden/>
    <w:unhideWhenUsed/>
    <w:rsid w:val="00D86AD9"/>
    <w:rPr>
      <w:sz w:val="16"/>
      <w:szCs w:val="16"/>
    </w:rPr>
  </w:style>
  <w:style w:type="paragraph" w:styleId="CommentText">
    <w:name w:val="annotation text"/>
    <w:basedOn w:val="Normal"/>
    <w:link w:val="CommentTextChar"/>
    <w:uiPriority w:val="99"/>
    <w:unhideWhenUsed/>
    <w:rsid w:val="00D86AD9"/>
    <w:pPr>
      <w:spacing w:line="240" w:lineRule="auto"/>
    </w:pPr>
    <w:rPr>
      <w:sz w:val="20"/>
      <w:szCs w:val="20"/>
    </w:rPr>
  </w:style>
  <w:style w:type="character" w:customStyle="1" w:styleId="CommentTextChar">
    <w:name w:val="Comment Text Char"/>
    <w:basedOn w:val="DefaultParagraphFont"/>
    <w:link w:val="CommentText"/>
    <w:uiPriority w:val="99"/>
    <w:rsid w:val="00D86AD9"/>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86AD9"/>
    <w:rPr>
      <w:b/>
      <w:bCs/>
    </w:rPr>
  </w:style>
  <w:style w:type="character" w:customStyle="1" w:styleId="CommentSubjectChar">
    <w:name w:val="Comment Subject Char"/>
    <w:basedOn w:val="CommentTextChar"/>
    <w:link w:val="CommentSubject"/>
    <w:uiPriority w:val="99"/>
    <w:semiHidden/>
    <w:rsid w:val="00D86AD9"/>
    <w:rPr>
      <w:rFonts w:ascii="Book Antiqua" w:hAnsi="Book Antiqua"/>
      <w:b/>
      <w:bCs/>
      <w:sz w:val="20"/>
      <w:szCs w:val="20"/>
    </w:rPr>
  </w:style>
  <w:style w:type="paragraph" w:styleId="Revision">
    <w:name w:val="Revision"/>
    <w:hidden/>
    <w:uiPriority w:val="99"/>
    <w:semiHidden/>
    <w:rsid w:val="00E51E90"/>
    <w:pPr>
      <w:spacing w:after="0" w:line="240" w:lineRule="auto"/>
    </w:pPr>
    <w:rPr>
      <w:rFonts w:ascii="Book Antiqua" w:hAnsi="Book Antiqua"/>
      <w:sz w:val="26"/>
    </w:rPr>
  </w:style>
  <w:style w:type="paragraph" w:customStyle="1" w:styleId="StandardTableSub">
    <w:name w:val="StandardTableSub"/>
    <w:basedOn w:val="Standard"/>
    <w:rsid w:val="00E02305"/>
    <w:pPr>
      <w:spacing w:before="180"/>
    </w:pPr>
  </w:style>
  <w:style w:type="paragraph" w:customStyle="1" w:styleId="BlockQuote0">
    <w:name w:val="BlockQuote"/>
    <w:basedOn w:val="Normal"/>
    <w:qFormat/>
    <w:rsid w:val="00D216C1"/>
    <w:pPr>
      <w:spacing w:after="120" w:line="240" w:lineRule="auto"/>
      <w:ind w:left="720" w:right="1440" w:firstLine="0"/>
    </w:pPr>
  </w:style>
  <w:style w:type="paragraph" w:customStyle="1" w:styleId="BlockQuoteH025">
    <w:name w:val="BlockQuoteH025"/>
    <w:basedOn w:val="Normal"/>
    <w:qFormat/>
    <w:rsid w:val="00D2333B"/>
    <w:pPr>
      <w:spacing w:after="120" w:line="240" w:lineRule="auto"/>
      <w:ind w:left="1080" w:right="1440" w:hanging="360"/>
    </w:pPr>
  </w:style>
  <w:style w:type="paragraph" w:customStyle="1" w:styleId="BlockQuoteH025subH025">
    <w:name w:val="BlockQuoteH025subH025"/>
    <w:basedOn w:val="Normal"/>
    <w:qFormat/>
    <w:rsid w:val="00510972"/>
    <w:pPr>
      <w:spacing w:after="120" w:line="240" w:lineRule="auto"/>
      <w:ind w:left="1404" w:right="1440" w:hanging="360"/>
    </w:pPr>
  </w:style>
  <w:style w:type="character" w:styleId="FollowedHyperlink">
    <w:name w:val="FollowedHyperlink"/>
    <w:basedOn w:val="DefaultParagraphFont"/>
    <w:uiPriority w:val="99"/>
    <w:semiHidden/>
    <w:unhideWhenUsed/>
    <w:rsid w:val="00E51982"/>
    <w:rPr>
      <w:color w:val="954F72" w:themeColor="followedHyperlink"/>
      <w:u w:val="single"/>
    </w:rPr>
  </w:style>
  <w:style w:type="paragraph" w:customStyle="1" w:styleId="standard0">
    <w:name w:val="standard"/>
    <w:basedOn w:val="Normal"/>
    <w:link w:val="standardChar"/>
    <w:rsid w:val="00591708"/>
    <w:rPr>
      <w:rFonts w:ascii="Palatino" w:eastAsia="Times New Roman" w:hAnsi="Palatino" w:cs="Times New Roman"/>
      <w:szCs w:val="20"/>
    </w:rPr>
  </w:style>
  <w:style w:type="character" w:customStyle="1" w:styleId="standardChar">
    <w:name w:val="standard Char"/>
    <w:link w:val="standard0"/>
    <w:rsid w:val="00591708"/>
    <w:rPr>
      <w:rFonts w:ascii="Palatino" w:eastAsia="Times New Roman" w:hAnsi="Palatino" w:cs="Times New Roman"/>
      <w:sz w:val="26"/>
      <w:szCs w:val="20"/>
    </w:rPr>
  </w:style>
  <w:style w:type="paragraph" w:customStyle="1" w:styleId="bullet1">
    <w:name w:val="bullet1"/>
    <w:basedOn w:val="Normal"/>
    <w:rsid w:val="00591708"/>
    <w:pPr>
      <w:numPr>
        <w:numId w:val="10"/>
      </w:numPr>
      <w:spacing w:after="120" w:line="240" w:lineRule="auto"/>
      <w:ind w:left="1440" w:hanging="360"/>
    </w:pPr>
    <w:rPr>
      <w:rFonts w:ascii="Palatino" w:eastAsia="Times New Roman" w:hAnsi="Palatino"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50307916">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puc.ca.gov/cross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ceb@cpuc.c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ceb@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
        <AccountId xsi:nil="true"/>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A4132-F47A-4FEF-A7F3-01E44361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4857</ap:Words>
  <ap:Characters>27686</ap:Characters>
  <ap:Application>Microsoft Office Word</ap:Application>
  <ap:DocSecurity>0</ap:DocSecurity>
  <ap:Lines>230</ap:Lines>
  <ap:Paragraphs>64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32479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2026-02-09T10:42:53Z</dcterms:created>
  <dcterms:modified xsi:type="dcterms:W3CDTF">2026-02-09T10:42:53Z</dcterms:modified>
</cp:coreProperties>
</file>