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42CE0" w:rsidR="00326F37" w:rsidP="000C6A71" w:rsidRDefault="00B42CE0" w14:paraId="3D3B6156" w14:textId="02FB156F">
      <w:pPr>
        <w:tabs>
          <w:tab w:val="center" w:pos="4680"/>
          <w:tab w:val="right" w:pos="9360"/>
        </w:tabs>
        <w:spacing w:line="240" w:lineRule="auto"/>
        <w:ind w:firstLine="0"/>
        <w:rPr>
          <w:b/>
          <w:bCs/>
        </w:rPr>
      </w:pPr>
      <w:r>
        <w:t>ALJ/JYL/sgu</w:t>
      </w:r>
      <w:r>
        <w:tab/>
      </w:r>
      <w:r>
        <w:tab/>
      </w:r>
      <w:r w:rsidR="000C6A71">
        <w:rPr>
          <w:b/>
          <w:bCs/>
        </w:rPr>
        <w:t>Date of Issuance 2/11/2026</w:t>
      </w:r>
    </w:p>
    <w:p w:rsidR="006B5C99" w:rsidP="006B5C99" w:rsidRDefault="006B5C99" w14:paraId="2468685B" w14:textId="77777777">
      <w:pPr>
        <w:tabs>
          <w:tab w:val="center" w:pos="4680"/>
          <w:tab w:val="right" w:pos="9360"/>
        </w:tabs>
        <w:spacing w:line="240" w:lineRule="auto"/>
        <w:ind w:firstLine="0"/>
      </w:pPr>
    </w:p>
    <w:p w:rsidR="00214045" w:rsidP="006B5C99" w:rsidRDefault="00214045" w14:paraId="2ADAFF8B" w14:textId="77777777">
      <w:pPr>
        <w:tabs>
          <w:tab w:val="center" w:pos="4680"/>
          <w:tab w:val="right" w:pos="9360"/>
        </w:tabs>
        <w:spacing w:line="240" w:lineRule="auto"/>
        <w:ind w:firstLine="0"/>
      </w:pPr>
    </w:p>
    <w:p w:rsidRPr="000C6A71" w:rsidR="00B42CE0" w:rsidP="00B42CE0" w:rsidRDefault="00B42CE0" w14:paraId="15884E92" w14:textId="0BB1E364">
      <w:pPr>
        <w:spacing w:line="240" w:lineRule="auto"/>
        <w:ind w:left="1080" w:hanging="1080"/>
      </w:pPr>
      <w:r w:rsidRPr="000C6A71">
        <w:t xml:space="preserve">Decision </w:t>
      </w:r>
      <w:r w:rsidRPr="000C6A71" w:rsidR="000C6A71">
        <w:t>26-02-003 February 5, 2026</w:t>
      </w:r>
    </w:p>
    <w:p w:rsidR="006B5C99" w:rsidP="006B5C99" w:rsidRDefault="006B5C99" w14:paraId="54782EF1" w14:textId="77777777">
      <w:pPr>
        <w:tabs>
          <w:tab w:val="center" w:pos="4680"/>
          <w:tab w:val="right" w:pos="9360"/>
        </w:tabs>
        <w:spacing w:line="240" w:lineRule="auto"/>
        <w:ind w:firstLine="0"/>
      </w:pPr>
    </w:p>
    <w:p w:rsidR="006B5C99" w:rsidP="006B5C99" w:rsidRDefault="006B5C99" w14:paraId="21ADC31F" w14:textId="77777777">
      <w:pPr>
        <w:tabs>
          <w:tab w:val="center" w:pos="4680"/>
          <w:tab w:val="right" w:pos="9360"/>
        </w:tabs>
        <w:spacing w:line="240" w:lineRule="auto"/>
        <w:ind w:firstLine="0"/>
      </w:pPr>
    </w:p>
    <w:p w:rsidR="00DA7B5D" w:rsidP="00B8641B" w:rsidRDefault="00DA7B5D" w14:paraId="2223417F" w14:textId="77777777">
      <w:pPr>
        <w:tabs>
          <w:tab w:val="center" w:pos="4680"/>
          <w:tab w:val="right" w:pos="9360"/>
        </w:tabs>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3D9478AF"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00DA7B5D" w:rsidTr="00636DB7" w14:paraId="584AB573" w14:textId="77777777">
        <w:trPr>
          <w:jc w:val="center"/>
        </w:trPr>
        <w:tc>
          <w:tcPr>
            <w:tcW w:w="5040" w:type="dxa"/>
            <w:tcBorders>
              <w:top w:val="nil"/>
              <w:left w:val="nil"/>
              <w:bottom w:val="single" w:color="auto" w:sz="4" w:space="0"/>
              <w:right w:val="single" w:color="auto" w:sz="4" w:space="0"/>
            </w:tcBorders>
          </w:tcPr>
          <w:p w:rsidRPr="00DA7B5D" w:rsidR="00DA7B5D" w:rsidP="00C10B5F" w:rsidRDefault="00E468B0" w14:paraId="03E6995C" w14:textId="5E3C3174">
            <w:pPr>
              <w:spacing w:line="240" w:lineRule="auto"/>
              <w:ind w:firstLine="0"/>
              <w:rPr>
                <w:rFonts w:cs="Arial"/>
                <w:szCs w:val="26"/>
              </w:rPr>
            </w:pPr>
            <w:r w:rsidRPr="00E468B0">
              <w:rPr>
                <w:rFonts w:cs="Arial"/>
                <w:szCs w:val="26"/>
              </w:rPr>
              <w:t>In the Matter of the Application of California Resources Production Corporation for a Certificate of Public Convenience and Necessity to Operate as a Gas Corporation in the State of California</w:t>
            </w:r>
            <w:r w:rsidRPr="00DA7B5D" w:rsidR="00DA7B5D">
              <w:rPr>
                <w:rFonts w:cs="Arial"/>
                <w:szCs w:val="26"/>
              </w:rPr>
              <w:br/>
            </w:r>
          </w:p>
        </w:tc>
        <w:tc>
          <w:tcPr>
            <w:tcW w:w="5040" w:type="dxa"/>
            <w:tcBorders>
              <w:top w:val="nil"/>
              <w:left w:val="single" w:color="auto" w:sz="4" w:space="0"/>
              <w:bottom w:val="nil"/>
              <w:right w:val="nil"/>
            </w:tcBorders>
            <w:vAlign w:val="center"/>
          </w:tcPr>
          <w:p w:rsidR="00DA7B5D" w:rsidP="00412C83" w:rsidRDefault="00B4296E" w14:paraId="048F3933" w14:textId="77777777">
            <w:pPr>
              <w:spacing w:line="240" w:lineRule="auto"/>
              <w:ind w:firstLine="0"/>
              <w:jc w:val="center"/>
              <w:rPr>
                <w:rFonts w:cs="Arial"/>
                <w:szCs w:val="26"/>
              </w:rPr>
            </w:pPr>
            <w:r>
              <w:rPr>
                <w:rFonts w:cs="Arial"/>
                <w:szCs w:val="26"/>
              </w:rPr>
              <w:t>Application 23-07-008</w:t>
            </w:r>
          </w:p>
          <w:p w:rsidRPr="00DA7B5D" w:rsidR="0041742E" w:rsidP="00C50FA6" w:rsidRDefault="0041742E" w14:paraId="40961259" w14:textId="51C12CD0">
            <w:pPr>
              <w:spacing w:line="240" w:lineRule="auto"/>
              <w:ind w:firstLine="0"/>
              <w:jc w:val="center"/>
              <w:rPr>
                <w:rFonts w:cs="Arial"/>
                <w:szCs w:val="26"/>
              </w:rPr>
            </w:pPr>
          </w:p>
        </w:tc>
      </w:tr>
    </w:tbl>
    <w:p w:rsidR="00DA7B5D" w:rsidP="008F0116" w:rsidRDefault="00DA7B5D" w14:paraId="451FE3CE" w14:textId="77777777">
      <w:pPr>
        <w:spacing w:line="240" w:lineRule="auto"/>
        <w:ind w:firstLine="0"/>
        <w:rPr>
          <w:rFonts w:ascii="Arial" w:hAnsi="Arial" w:cs="Arial"/>
          <w:sz w:val="24"/>
          <w:szCs w:val="24"/>
        </w:rPr>
      </w:pPr>
    </w:p>
    <w:p w:rsidR="0041742E" w:rsidP="008F0116" w:rsidRDefault="0041742E" w14:paraId="45B96F29" w14:textId="77777777">
      <w:pPr>
        <w:spacing w:line="240" w:lineRule="auto"/>
        <w:ind w:firstLine="0"/>
        <w:rPr>
          <w:rFonts w:ascii="Arial" w:hAnsi="Arial" w:cs="Arial"/>
          <w:sz w:val="24"/>
          <w:szCs w:val="24"/>
        </w:rPr>
      </w:pPr>
    </w:p>
    <w:p w:rsidR="00007833" w:rsidP="0041742E" w:rsidRDefault="0041742E" w14:paraId="4B36B1FF" w14:textId="44B6F23E">
      <w:pPr>
        <w:pStyle w:val="Dummy"/>
        <w:jc w:val="center"/>
        <w:rPr>
          <w:bCs/>
        </w:rPr>
      </w:pPr>
      <w:bookmarkStart w:name="_Hlk174370196" w:id="0"/>
      <w:bookmarkStart w:name="_Toc211606185" w:id="1"/>
      <w:bookmarkStart w:name="_Toc220596312" w:id="2"/>
      <w:bookmarkStart w:name="_Toc220972195" w:id="3"/>
      <w:r w:rsidRPr="00141212">
        <w:rPr>
          <w:bCs/>
        </w:rPr>
        <w:t xml:space="preserve">DECISION </w:t>
      </w:r>
      <w:r w:rsidR="00D41997">
        <w:rPr>
          <w:bCs/>
        </w:rPr>
        <w:t>D</w:t>
      </w:r>
      <w:r w:rsidR="00693DB9">
        <w:rPr>
          <w:bCs/>
        </w:rPr>
        <w:t>ISMISSING</w:t>
      </w:r>
      <w:r w:rsidRPr="00141212" w:rsidR="00D41997">
        <w:rPr>
          <w:bCs/>
        </w:rPr>
        <w:t xml:space="preserve"> </w:t>
      </w:r>
      <w:r>
        <w:rPr>
          <w:bCs/>
        </w:rPr>
        <w:t>APPLICATION</w:t>
      </w:r>
      <w:bookmarkEnd w:id="0"/>
      <w:bookmarkEnd w:id="1"/>
      <w:bookmarkEnd w:id="2"/>
      <w:bookmarkEnd w:id="3"/>
      <w:r w:rsidR="00D36EB5">
        <w:rPr>
          <w:bCs/>
        </w:rPr>
        <w:t xml:space="preserve"> </w:t>
      </w:r>
    </w:p>
    <w:p w:rsidR="00395232" w:rsidP="00395232" w:rsidRDefault="00395232" w14:paraId="43CFF5B6" w14:textId="77777777">
      <w:pPr>
        <w:sectPr w:rsidR="00395232" w:rsidSect="00B42CE0">
          <w:footerReference w:type="default" r:id="rId11"/>
          <w:footerReference w:type="first" r:id="rId12"/>
          <w:pgSz w:w="12240" w:h="15840"/>
          <w:pgMar w:top="1728" w:right="1440" w:bottom="1440" w:left="1440" w:header="720" w:footer="720" w:gutter="0"/>
          <w:pgNumType w:start="1"/>
          <w:cols w:space="720"/>
          <w:titlePg/>
          <w:docGrid w:linePitch="360"/>
        </w:sectPr>
      </w:pPr>
    </w:p>
    <w:p w:rsidRPr="0041742E" w:rsidR="00DA7B5D" w:rsidP="008F0116" w:rsidRDefault="00DA7B5D" w14:paraId="7373264E" w14:textId="77777777"/>
    <w:p w:rsidRPr="001E2A62" w:rsidR="0041742E" w:rsidP="0041742E" w:rsidRDefault="0041742E" w14:paraId="12F93EE0" w14:textId="11353D74">
      <w:pPr>
        <w:pStyle w:val="Main"/>
        <w:rPr>
          <w:rFonts w:ascii="Book Antiqua" w:hAnsi="Book Antiqua"/>
        </w:rPr>
      </w:pPr>
      <w:r>
        <w:rPr>
          <w:rFonts w:ascii="Book Antiqua" w:hAnsi="Book Antiqua"/>
        </w:rPr>
        <w:t xml:space="preserve"> </w:t>
      </w:r>
      <w:r w:rsidRPr="001E2A62">
        <w:rPr>
          <w:rFonts w:ascii="Book Antiqua" w:hAnsi="Book Antiqua"/>
        </w:rPr>
        <w:t>TABLE OF CONTENTS</w:t>
      </w:r>
    </w:p>
    <w:p w:rsidRPr="00D50119" w:rsidR="0041742E" w:rsidP="0041742E" w:rsidRDefault="0041742E" w14:paraId="7EEDDD0E" w14:textId="77777777">
      <w:pPr>
        <w:tabs>
          <w:tab w:val="right" w:pos="9360"/>
        </w:tabs>
        <w:ind w:firstLine="0"/>
      </w:pPr>
      <w:r w:rsidRPr="00D50119">
        <w:rPr>
          <w:b/>
        </w:rPr>
        <w:t>Title</w:t>
      </w:r>
      <w:r>
        <w:tab/>
      </w:r>
      <w:r w:rsidRPr="00D50119">
        <w:rPr>
          <w:b/>
        </w:rPr>
        <w:t>Page</w:t>
      </w:r>
    </w:p>
    <w:sdt>
      <w:sdtPr>
        <w:id w:val="-1224440197"/>
        <w:docPartObj>
          <w:docPartGallery w:val="Table of Contents"/>
          <w:docPartUnique/>
        </w:docPartObj>
      </w:sdtPr>
      <w:sdtEndPr>
        <w:rPr>
          <w:b/>
          <w:bCs/>
          <w:noProof/>
        </w:rPr>
      </w:sdtEndPr>
      <w:sdtContent>
        <w:p w:rsidR="001A48E7" w:rsidRDefault="0041742E" w14:paraId="473541B5" w14:textId="7CD3E679">
          <w:pPr>
            <w:pStyle w:val="TOC1"/>
            <w:tabs>
              <w:tab w:val="right" w:leader="dot" w:pos="9350"/>
            </w:tabs>
            <w:rPr>
              <w:rFonts w:asciiTheme="minorHAnsi" w:hAnsiTheme="minorHAnsi" w:cstheme="minorBidi"/>
              <w:noProof/>
              <w:kern w:val="2"/>
              <w:sz w:val="24"/>
              <w:szCs w:val="24"/>
              <w14:ligatures w14:val="standardContextual"/>
            </w:rPr>
          </w:pPr>
          <w:r>
            <w:rPr>
              <w:rFonts w:asciiTheme="minorHAnsi" w:hAnsiTheme="minorHAnsi"/>
              <w:sz w:val="22"/>
            </w:rPr>
            <w:fldChar w:fldCharType="begin"/>
          </w:r>
          <w:r>
            <w:rPr>
              <w:rFonts w:asciiTheme="minorHAnsi" w:hAnsiTheme="minorHAnsi"/>
              <w:sz w:val="22"/>
            </w:rPr>
            <w:instrText xml:space="preserve"> TOC \o "1-6" \h \z \u </w:instrText>
          </w:r>
          <w:r>
            <w:rPr>
              <w:rFonts w:asciiTheme="minorHAnsi" w:hAnsiTheme="minorHAnsi"/>
              <w:sz w:val="22"/>
            </w:rPr>
            <w:fldChar w:fldCharType="separate"/>
          </w:r>
          <w:hyperlink w:history="1" w:anchor="_Toc220972195">
            <w:r w:rsidRPr="00596C99" w:rsidR="001A48E7">
              <w:rPr>
                <w:rStyle w:val="Hyperlink"/>
                <w:bCs/>
                <w:noProof/>
              </w:rPr>
              <w:t>DECISION DISMISSING APPLICATION</w:t>
            </w:r>
            <w:r w:rsidR="001A48E7">
              <w:rPr>
                <w:noProof/>
                <w:webHidden/>
              </w:rPr>
              <w:tab/>
            </w:r>
            <w:r w:rsidR="001A48E7">
              <w:rPr>
                <w:noProof/>
                <w:webHidden/>
              </w:rPr>
              <w:fldChar w:fldCharType="begin"/>
            </w:r>
            <w:r w:rsidR="001A48E7">
              <w:rPr>
                <w:noProof/>
                <w:webHidden/>
              </w:rPr>
              <w:instrText xml:space="preserve"> PAGEREF _Toc220972195 \h </w:instrText>
            </w:r>
            <w:r w:rsidR="001A48E7">
              <w:rPr>
                <w:noProof/>
                <w:webHidden/>
              </w:rPr>
            </w:r>
            <w:r w:rsidR="001A48E7">
              <w:rPr>
                <w:noProof/>
                <w:webHidden/>
              </w:rPr>
              <w:fldChar w:fldCharType="separate"/>
            </w:r>
            <w:r w:rsidR="000C6A71">
              <w:rPr>
                <w:noProof/>
                <w:webHidden/>
              </w:rPr>
              <w:t>1</w:t>
            </w:r>
            <w:r w:rsidR="001A48E7">
              <w:rPr>
                <w:noProof/>
                <w:webHidden/>
              </w:rPr>
              <w:fldChar w:fldCharType="end"/>
            </w:r>
          </w:hyperlink>
        </w:p>
        <w:p w:rsidR="001A48E7" w:rsidRDefault="001A48E7" w14:paraId="6126A79A" w14:textId="79704EB0">
          <w:pPr>
            <w:pStyle w:val="TOC1"/>
            <w:tabs>
              <w:tab w:val="right" w:leader="dot" w:pos="9350"/>
            </w:tabs>
            <w:rPr>
              <w:rFonts w:asciiTheme="minorHAnsi" w:hAnsiTheme="minorHAnsi" w:cstheme="minorBidi"/>
              <w:noProof/>
              <w:kern w:val="2"/>
              <w:sz w:val="24"/>
              <w:szCs w:val="24"/>
              <w14:ligatures w14:val="standardContextual"/>
            </w:rPr>
          </w:pPr>
          <w:hyperlink w:history="1" w:anchor="_Toc220972196">
            <w:r w:rsidRPr="00596C99">
              <w:rPr>
                <w:rStyle w:val="Hyperlink"/>
                <w:noProof/>
              </w:rPr>
              <w:t>Summary</w:t>
            </w:r>
            <w:r>
              <w:rPr>
                <w:noProof/>
                <w:webHidden/>
              </w:rPr>
              <w:tab/>
            </w:r>
            <w:r>
              <w:rPr>
                <w:noProof/>
                <w:webHidden/>
              </w:rPr>
              <w:fldChar w:fldCharType="begin"/>
            </w:r>
            <w:r>
              <w:rPr>
                <w:noProof/>
                <w:webHidden/>
              </w:rPr>
              <w:instrText xml:space="preserve"> PAGEREF _Toc220972196 \h </w:instrText>
            </w:r>
            <w:r>
              <w:rPr>
                <w:noProof/>
                <w:webHidden/>
              </w:rPr>
            </w:r>
            <w:r>
              <w:rPr>
                <w:noProof/>
                <w:webHidden/>
              </w:rPr>
              <w:fldChar w:fldCharType="separate"/>
            </w:r>
            <w:r w:rsidR="000C6A71">
              <w:rPr>
                <w:noProof/>
                <w:webHidden/>
              </w:rPr>
              <w:t>2</w:t>
            </w:r>
            <w:r>
              <w:rPr>
                <w:noProof/>
                <w:webHidden/>
              </w:rPr>
              <w:fldChar w:fldCharType="end"/>
            </w:r>
          </w:hyperlink>
        </w:p>
        <w:p w:rsidR="001A48E7" w:rsidRDefault="001A48E7" w14:paraId="22F89989" w14:textId="17D1C28C">
          <w:pPr>
            <w:pStyle w:val="TOC1"/>
            <w:tabs>
              <w:tab w:val="right" w:leader="dot" w:pos="9350"/>
            </w:tabs>
            <w:rPr>
              <w:rFonts w:asciiTheme="minorHAnsi" w:hAnsiTheme="minorHAnsi" w:cstheme="minorBidi"/>
              <w:noProof/>
              <w:kern w:val="2"/>
              <w:sz w:val="24"/>
              <w:szCs w:val="24"/>
              <w14:ligatures w14:val="standardContextual"/>
            </w:rPr>
          </w:pPr>
          <w:hyperlink w:history="1" w:anchor="_Toc220972197">
            <w:r w:rsidRPr="00596C99">
              <w:rPr>
                <w:rStyle w:val="Hyperlink"/>
                <w:noProof/>
              </w:rPr>
              <w:t>1.</w:t>
            </w:r>
            <w:r>
              <w:rPr>
                <w:rFonts w:asciiTheme="minorHAnsi" w:hAnsiTheme="minorHAnsi" w:cstheme="minorBidi"/>
                <w:noProof/>
                <w:kern w:val="2"/>
                <w:sz w:val="24"/>
                <w:szCs w:val="24"/>
                <w14:ligatures w14:val="standardContextual"/>
              </w:rPr>
              <w:tab/>
            </w:r>
            <w:r w:rsidRPr="00596C99">
              <w:rPr>
                <w:rStyle w:val="Hyperlink"/>
                <w:noProof/>
              </w:rPr>
              <w:t>Background</w:t>
            </w:r>
            <w:r>
              <w:rPr>
                <w:noProof/>
                <w:webHidden/>
              </w:rPr>
              <w:tab/>
            </w:r>
            <w:r>
              <w:rPr>
                <w:noProof/>
                <w:webHidden/>
              </w:rPr>
              <w:fldChar w:fldCharType="begin"/>
            </w:r>
            <w:r>
              <w:rPr>
                <w:noProof/>
                <w:webHidden/>
              </w:rPr>
              <w:instrText xml:space="preserve"> PAGEREF _Toc220972197 \h </w:instrText>
            </w:r>
            <w:r>
              <w:rPr>
                <w:noProof/>
                <w:webHidden/>
              </w:rPr>
            </w:r>
            <w:r>
              <w:rPr>
                <w:noProof/>
                <w:webHidden/>
              </w:rPr>
              <w:fldChar w:fldCharType="separate"/>
            </w:r>
            <w:r w:rsidR="000C6A71">
              <w:rPr>
                <w:noProof/>
                <w:webHidden/>
              </w:rPr>
              <w:t>3</w:t>
            </w:r>
            <w:r>
              <w:rPr>
                <w:noProof/>
                <w:webHidden/>
              </w:rPr>
              <w:fldChar w:fldCharType="end"/>
            </w:r>
          </w:hyperlink>
        </w:p>
        <w:p w:rsidR="001A48E7" w:rsidRDefault="001A48E7" w14:paraId="3626E766" w14:textId="2E707882">
          <w:pPr>
            <w:pStyle w:val="TOC2"/>
            <w:tabs>
              <w:tab w:val="right" w:leader="dot" w:pos="9350"/>
            </w:tabs>
            <w:rPr>
              <w:rFonts w:asciiTheme="minorHAnsi" w:hAnsiTheme="minorHAnsi" w:cstheme="minorBidi"/>
              <w:noProof/>
              <w:kern w:val="2"/>
              <w:sz w:val="24"/>
              <w:szCs w:val="24"/>
              <w14:ligatures w14:val="standardContextual"/>
            </w:rPr>
          </w:pPr>
          <w:hyperlink w:history="1" w:anchor="_Toc220972198">
            <w:r w:rsidRPr="00596C99">
              <w:rPr>
                <w:rStyle w:val="Hyperlink"/>
                <w:noProof/>
              </w:rPr>
              <w:t>1.1.</w:t>
            </w:r>
            <w:r>
              <w:rPr>
                <w:rFonts w:asciiTheme="minorHAnsi" w:hAnsiTheme="minorHAnsi" w:cstheme="minorBidi"/>
                <w:noProof/>
                <w:kern w:val="2"/>
                <w:sz w:val="24"/>
                <w:szCs w:val="24"/>
                <w14:ligatures w14:val="standardContextual"/>
              </w:rPr>
              <w:tab/>
            </w:r>
            <w:r w:rsidRPr="00596C99">
              <w:rPr>
                <w:rStyle w:val="Hyperlink"/>
                <w:noProof/>
              </w:rPr>
              <w:t>CRPC’s Application</w:t>
            </w:r>
            <w:r>
              <w:rPr>
                <w:noProof/>
                <w:webHidden/>
              </w:rPr>
              <w:tab/>
            </w:r>
            <w:r>
              <w:rPr>
                <w:noProof/>
                <w:webHidden/>
              </w:rPr>
              <w:fldChar w:fldCharType="begin"/>
            </w:r>
            <w:r>
              <w:rPr>
                <w:noProof/>
                <w:webHidden/>
              </w:rPr>
              <w:instrText xml:space="preserve"> PAGEREF _Toc220972198 \h </w:instrText>
            </w:r>
            <w:r>
              <w:rPr>
                <w:noProof/>
                <w:webHidden/>
              </w:rPr>
            </w:r>
            <w:r>
              <w:rPr>
                <w:noProof/>
                <w:webHidden/>
              </w:rPr>
              <w:fldChar w:fldCharType="separate"/>
            </w:r>
            <w:r w:rsidR="000C6A71">
              <w:rPr>
                <w:noProof/>
                <w:webHidden/>
              </w:rPr>
              <w:t>3</w:t>
            </w:r>
            <w:r>
              <w:rPr>
                <w:noProof/>
                <w:webHidden/>
              </w:rPr>
              <w:fldChar w:fldCharType="end"/>
            </w:r>
          </w:hyperlink>
        </w:p>
        <w:p w:rsidR="001A48E7" w:rsidRDefault="001A48E7" w14:paraId="0D880A9A" w14:textId="593F784E">
          <w:pPr>
            <w:pStyle w:val="TOC2"/>
            <w:tabs>
              <w:tab w:val="right" w:leader="dot" w:pos="9350"/>
            </w:tabs>
            <w:rPr>
              <w:rFonts w:asciiTheme="minorHAnsi" w:hAnsiTheme="minorHAnsi" w:cstheme="minorBidi"/>
              <w:noProof/>
              <w:kern w:val="2"/>
              <w:sz w:val="24"/>
              <w:szCs w:val="24"/>
              <w14:ligatures w14:val="standardContextual"/>
            </w:rPr>
          </w:pPr>
          <w:hyperlink w:history="1" w:anchor="_Toc220972199">
            <w:r w:rsidRPr="00596C99">
              <w:rPr>
                <w:rStyle w:val="Hyperlink"/>
                <w:noProof/>
              </w:rPr>
              <w:t>1.2.</w:t>
            </w:r>
            <w:r>
              <w:rPr>
                <w:rFonts w:asciiTheme="minorHAnsi" w:hAnsiTheme="minorHAnsi" w:cstheme="minorBidi"/>
                <w:noProof/>
                <w:kern w:val="2"/>
                <w:sz w:val="24"/>
                <w:szCs w:val="24"/>
                <w14:ligatures w14:val="standardContextual"/>
              </w:rPr>
              <w:tab/>
            </w:r>
            <w:r w:rsidRPr="00596C99">
              <w:rPr>
                <w:rStyle w:val="Hyperlink"/>
                <w:noProof/>
              </w:rPr>
              <w:t>Factual Background</w:t>
            </w:r>
            <w:r>
              <w:rPr>
                <w:noProof/>
                <w:webHidden/>
              </w:rPr>
              <w:tab/>
            </w:r>
            <w:r>
              <w:rPr>
                <w:noProof/>
                <w:webHidden/>
              </w:rPr>
              <w:fldChar w:fldCharType="begin"/>
            </w:r>
            <w:r>
              <w:rPr>
                <w:noProof/>
                <w:webHidden/>
              </w:rPr>
              <w:instrText xml:space="preserve"> PAGEREF _Toc220972199 \h </w:instrText>
            </w:r>
            <w:r>
              <w:rPr>
                <w:noProof/>
                <w:webHidden/>
              </w:rPr>
            </w:r>
            <w:r>
              <w:rPr>
                <w:noProof/>
                <w:webHidden/>
              </w:rPr>
              <w:fldChar w:fldCharType="separate"/>
            </w:r>
            <w:r w:rsidR="000C6A71">
              <w:rPr>
                <w:noProof/>
                <w:webHidden/>
              </w:rPr>
              <w:t>8</w:t>
            </w:r>
            <w:r>
              <w:rPr>
                <w:noProof/>
                <w:webHidden/>
              </w:rPr>
              <w:fldChar w:fldCharType="end"/>
            </w:r>
          </w:hyperlink>
        </w:p>
        <w:p w:rsidR="001A48E7" w:rsidRDefault="001A48E7" w14:paraId="370B618E" w14:textId="7606C6A9">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0972200">
            <w:r w:rsidRPr="00596C99">
              <w:rPr>
                <w:rStyle w:val="Hyperlink"/>
                <w:noProof/>
              </w:rPr>
              <w:t>1.2.1.</w:t>
            </w:r>
            <w:r>
              <w:rPr>
                <w:rFonts w:asciiTheme="minorHAnsi" w:hAnsiTheme="minorHAnsi" w:cstheme="minorBidi"/>
                <w:noProof/>
                <w:kern w:val="2"/>
                <w:sz w:val="24"/>
                <w:szCs w:val="24"/>
                <w14:ligatures w14:val="standardContextual"/>
              </w:rPr>
              <w:tab/>
            </w:r>
            <w:r w:rsidRPr="00596C99">
              <w:rPr>
                <w:rStyle w:val="Hyperlink"/>
                <w:noProof/>
              </w:rPr>
              <w:t>Applicant CRPC</w:t>
            </w:r>
            <w:r>
              <w:rPr>
                <w:noProof/>
                <w:webHidden/>
              </w:rPr>
              <w:tab/>
            </w:r>
            <w:r>
              <w:rPr>
                <w:noProof/>
                <w:webHidden/>
              </w:rPr>
              <w:fldChar w:fldCharType="begin"/>
            </w:r>
            <w:r>
              <w:rPr>
                <w:noProof/>
                <w:webHidden/>
              </w:rPr>
              <w:instrText xml:space="preserve"> PAGEREF _Toc220972200 \h </w:instrText>
            </w:r>
            <w:r>
              <w:rPr>
                <w:noProof/>
                <w:webHidden/>
              </w:rPr>
            </w:r>
            <w:r>
              <w:rPr>
                <w:noProof/>
                <w:webHidden/>
              </w:rPr>
              <w:fldChar w:fldCharType="separate"/>
            </w:r>
            <w:r w:rsidR="000C6A71">
              <w:rPr>
                <w:noProof/>
                <w:webHidden/>
              </w:rPr>
              <w:t>8</w:t>
            </w:r>
            <w:r>
              <w:rPr>
                <w:noProof/>
                <w:webHidden/>
              </w:rPr>
              <w:fldChar w:fldCharType="end"/>
            </w:r>
          </w:hyperlink>
        </w:p>
        <w:p w:rsidR="001A48E7" w:rsidRDefault="001A48E7" w14:paraId="4AAA537C" w14:textId="13741C9E">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0972201">
            <w:r w:rsidRPr="00596C99">
              <w:rPr>
                <w:rStyle w:val="Hyperlink"/>
                <w:noProof/>
              </w:rPr>
              <w:t>1.2.2.</w:t>
            </w:r>
            <w:r>
              <w:rPr>
                <w:rFonts w:asciiTheme="minorHAnsi" w:hAnsiTheme="minorHAnsi" w:cstheme="minorBidi"/>
                <w:noProof/>
                <w:kern w:val="2"/>
                <w:sz w:val="24"/>
                <w:szCs w:val="24"/>
                <w14:ligatures w14:val="standardContextual"/>
              </w:rPr>
              <w:tab/>
            </w:r>
            <w:r w:rsidRPr="00596C99">
              <w:rPr>
                <w:rStyle w:val="Hyperlink"/>
                <w:noProof/>
              </w:rPr>
              <w:t>UI Pipeline</w:t>
            </w:r>
            <w:r>
              <w:rPr>
                <w:noProof/>
                <w:webHidden/>
              </w:rPr>
              <w:tab/>
            </w:r>
            <w:r>
              <w:rPr>
                <w:noProof/>
                <w:webHidden/>
              </w:rPr>
              <w:fldChar w:fldCharType="begin"/>
            </w:r>
            <w:r>
              <w:rPr>
                <w:noProof/>
                <w:webHidden/>
              </w:rPr>
              <w:instrText xml:space="preserve"> PAGEREF _Toc220972201 \h </w:instrText>
            </w:r>
            <w:r>
              <w:rPr>
                <w:noProof/>
                <w:webHidden/>
              </w:rPr>
            </w:r>
            <w:r>
              <w:rPr>
                <w:noProof/>
                <w:webHidden/>
              </w:rPr>
              <w:fldChar w:fldCharType="separate"/>
            </w:r>
            <w:r w:rsidR="000C6A71">
              <w:rPr>
                <w:noProof/>
                <w:webHidden/>
              </w:rPr>
              <w:t>9</w:t>
            </w:r>
            <w:r>
              <w:rPr>
                <w:noProof/>
                <w:webHidden/>
              </w:rPr>
              <w:fldChar w:fldCharType="end"/>
            </w:r>
          </w:hyperlink>
        </w:p>
        <w:p w:rsidR="001A48E7" w:rsidRDefault="001A48E7" w14:paraId="0351A028" w14:textId="7AB66065">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0972202">
            <w:r w:rsidRPr="00596C99">
              <w:rPr>
                <w:rStyle w:val="Hyperlink"/>
                <w:noProof/>
              </w:rPr>
              <w:t>1.2.3.</w:t>
            </w:r>
            <w:r>
              <w:rPr>
                <w:rFonts w:asciiTheme="minorHAnsi" w:hAnsiTheme="minorHAnsi" w:cstheme="minorBidi"/>
                <w:noProof/>
                <w:kern w:val="2"/>
                <w:sz w:val="24"/>
                <w:szCs w:val="24"/>
                <w14:ligatures w14:val="standardContextual"/>
              </w:rPr>
              <w:tab/>
            </w:r>
            <w:r w:rsidRPr="00596C99">
              <w:rPr>
                <w:rStyle w:val="Hyperlink"/>
                <w:noProof/>
              </w:rPr>
              <w:t>CRPC Franchise Agreement Expirations and Pending Local Applications</w:t>
            </w:r>
            <w:r>
              <w:rPr>
                <w:noProof/>
                <w:webHidden/>
              </w:rPr>
              <w:tab/>
            </w:r>
            <w:r>
              <w:rPr>
                <w:noProof/>
                <w:webHidden/>
              </w:rPr>
              <w:fldChar w:fldCharType="begin"/>
            </w:r>
            <w:r>
              <w:rPr>
                <w:noProof/>
                <w:webHidden/>
              </w:rPr>
              <w:instrText xml:space="preserve"> PAGEREF _Toc220972202 \h </w:instrText>
            </w:r>
            <w:r>
              <w:rPr>
                <w:noProof/>
                <w:webHidden/>
              </w:rPr>
            </w:r>
            <w:r>
              <w:rPr>
                <w:noProof/>
                <w:webHidden/>
              </w:rPr>
              <w:fldChar w:fldCharType="separate"/>
            </w:r>
            <w:r w:rsidR="000C6A71">
              <w:rPr>
                <w:noProof/>
                <w:webHidden/>
              </w:rPr>
              <w:t>9</w:t>
            </w:r>
            <w:r>
              <w:rPr>
                <w:noProof/>
                <w:webHidden/>
              </w:rPr>
              <w:fldChar w:fldCharType="end"/>
            </w:r>
          </w:hyperlink>
        </w:p>
        <w:p w:rsidR="001A48E7" w:rsidRDefault="001A48E7" w14:paraId="6D79C56B" w14:textId="1B696822">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0972203">
            <w:r w:rsidRPr="00596C99">
              <w:rPr>
                <w:rStyle w:val="Hyperlink"/>
                <w:noProof/>
              </w:rPr>
              <w:t>1.2.4.</w:t>
            </w:r>
            <w:r>
              <w:rPr>
                <w:rFonts w:asciiTheme="minorHAnsi" w:hAnsiTheme="minorHAnsi" w:cstheme="minorBidi"/>
                <w:noProof/>
                <w:kern w:val="2"/>
                <w:sz w:val="24"/>
                <w:szCs w:val="24"/>
                <w14:ligatures w14:val="standardContextual"/>
              </w:rPr>
              <w:tab/>
            </w:r>
            <w:r w:rsidRPr="00596C99">
              <w:rPr>
                <w:rStyle w:val="Hyperlink"/>
                <w:noProof/>
              </w:rPr>
              <w:t>Phase II Pipeline Litigation Status</w:t>
            </w:r>
            <w:r>
              <w:rPr>
                <w:noProof/>
                <w:webHidden/>
              </w:rPr>
              <w:tab/>
            </w:r>
            <w:r>
              <w:rPr>
                <w:noProof/>
                <w:webHidden/>
              </w:rPr>
              <w:fldChar w:fldCharType="begin"/>
            </w:r>
            <w:r>
              <w:rPr>
                <w:noProof/>
                <w:webHidden/>
              </w:rPr>
              <w:instrText xml:space="preserve"> PAGEREF _Toc220972203 \h </w:instrText>
            </w:r>
            <w:r>
              <w:rPr>
                <w:noProof/>
                <w:webHidden/>
              </w:rPr>
            </w:r>
            <w:r>
              <w:rPr>
                <w:noProof/>
                <w:webHidden/>
              </w:rPr>
              <w:fldChar w:fldCharType="separate"/>
            </w:r>
            <w:r w:rsidR="000C6A71">
              <w:rPr>
                <w:noProof/>
                <w:webHidden/>
              </w:rPr>
              <w:t>12</w:t>
            </w:r>
            <w:r>
              <w:rPr>
                <w:noProof/>
                <w:webHidden/>
              </w:rPr>
              <w:fldChar w:fldCharType="end"/>
            </w:r>
          </w:hyperlink>
        </w:p>
        <w:p w:rsidR="001A48E7" w:rsidRDefault="001A48E7" w14:paraId="73977E20" w14:textId="61F75CBB">
          <w:pPr>
            <w:pStyle w:val="TOC2"/>
            <w:tabs>
              <w:tab w:val="right" w:leader="dot" w:pos="9350"/>
            </w:tabs>
            <w:rPr>
              <w:rFonts w:asciiTheme="minorHAnsi" w:hAnsiTheme="minorHAnsi" w:cstheme="minorBidi"/>
              <w:noProof/>
              <w:kern w:val="2"/>
              <w:sz w:val="24"/>
              <w:szCs w:val="24"/>
              <w14:ligatures w14:val="standardContextual"/>
            </w:rPr>
          </w:pPr>
          <w:hyperlink w:history="1" w:anchor="_Toc220972204">
            <w:r w:rsidRPr="00596C99">
              <w:rPr>
                <w:rStyle w:val="Hyperlink"/>
                <w:noProof/>
              </w:rPr>
              <w:t>1.3.</w:t>
            </w:r>
            <w:r>
              <w:rPr>
                <w:rFonts w:asciiTheme="minorHAnsi" w:hAnsiTheme="minorHAnsi" w:cstheme="minorBidi"/>
                <w:noProof/>
                <w:kern w:val="2"/>
                <w:sz w:val="24"/>
                <w:szCs w:val="24"/>
                <w14:ligatures w14:val="standardContextual"/>
              </w:rPr>
              <w:tab/>
            </w:r>
            <w:r w:rsidRPr="00596C99">
              <w:rPr>
                <w:rStyle w:val="Hyperlink"/>
                <w:noProof/>
              </w:rPr>
              <w:t>Procedural Background</w:t>
            </w:r>
            <w:r>
              <w:rPr>
                <w:noProof/>
                <w:webHidden/>
              </w:rPr>
              <w:tab/>
            </w:r>
            <w:r>
              <w:rPr>
                <w:noProof/>
                <w:webHidden/>
              </w:rPr>
              <w:fldChar w:fldCharType="begin"/>
            </w:r>
            <w:r>
              <w:rPr>
                <w:noProof/>
                <w:webHidden/>
              </w:rPr>
              <w:instrText xml:space="preserve"> PAGEREF _Toc220972204 \h </w:instrText>
            </w:r>
            <w:r>
              <w:rPr>
                <w:noProof/>
                <w:webHidden/>
              </w:rPr>
            </w:r>
            <w:r>
              <w:rPr>
                <w:noProof/>
                <w:webHidden/>
              </w:rPr>
              <w:fldChar w:fldCharType="separate"/>
            </w:r>
            <w:r w:rsidR="000C6A71">
              <w:rPr>
                <w:noProof/>
                <w:webHidden/>
              </w:rPr>
              <w:t>13</w:t>
            </w:r>
            <w:r>
              <w:rPr>
                <w:noProof/>
                <w:webHidden/>
              </w:rPr>
              <w:fldChar w:fldCharType="end"/>
            </w:r>
          </w:hyperlink>
        </w:p>
        <w:p w:rsidR="001A48E7" w:rsidRDefault="001A48E7" w14:paraId="15CE83E5" w14:textId="7E90557D">
          <w:pPr>
            <w:pStyle w:val="TOC2"/>
            <w:tabs>
              <w:tab w:val="right" w:leader="dot" w:pos="9350"/>
            </w:tabs>
            <w:rPr>
              <w:rFonts w:asciiTheme="minorHAnsi" w:hAnsiTheme="minorHAnsi" w:cstheme="minorBidi"/>
              <w:noProof/>
              <w:kern w:val="2"/>
              <w:sz w:val="24"/>
              <w:szCs w:val="24"/>
              <w14:ligatures w14:val="standardContextual"/>
            </w:rPr>
          </w:pPr>
          <w:hyperlink w:history="1" w:anchor="_Toc220972205">
            <w:r w:rsidRPr="00596C99">
              <w:rPr>
                <w:rStyle w:val="Hyperlink"/>
                <w:noProof/>
              </w:rPr>
              <w:t>1.4.</w:t>
            </w:r>
            <w:r>
              <w:rPr>
                <w:rFonts w:asciiTheme="minorHAnsi" w:hAnsiTheme="minorHAnsi" w:cstheme="minorBidi"/>
                <w:noProof/>
                <w:kern w:val="2"/>
                <w:sz w:val="24"/>
                <w:szCs w:val="24"/>
                <w14:ligatures w14:val="standardContextual"/>
              </w:rPr>
              <w:tab/>
            </w:r>
            <w:r w:rsidRPr="00596C99">
              <w:rPr>
                <w:rStyle w:val="Hyperlink"/>
                <w:noProof/>
              </w:rPr>
              <w:t>Submission Date</w:t>
            </w:r>
            <w:r>
              <w:rPr>
                <w:noProof/>
                <w:webHidden/>
              </w:rPr>
              <w:tab/>
            </w:r>
            <w:r>
              <w:rPr>
                <w:noProof/>
                <w:webHidden/>
              </w:rPr>
              <w:fldChar w:fldCharType="begin"/>
            </w:r>
            <w:r>
              <w:rPr>
                <w:noProof/>
                <w:webHidden/>
              </w:rPr>
              <w:instrText xml:space="preserve"> PAGEREF _Toc220972205 \h </w:instrText>
            </w:r>
            <w:r>
              <w:rPr>
                <w:noProof/>
                <w:webHidden/>
              </w:rPr>
            </w:r>
            <w:r>
              <w:rPr>
                <w:noProof/>
                <w:webHidden/>
              </w:rPr>
              <w:fldChar w:fldCharType="separate"/>
            </w:r>
            <w:r w:rsidR="000C6A71">
              <w:rPr>
                <w:noProof/>
                <w:webHidden/>
              </w:rPr>
              <w:t>19</w:t>
            </w:r>
            <w:r>
              <w:rPr>
                <w:noProof/>
                <w:webHidden/>
              </w:rPr>
              <w:fldChar w:fldCharType="end"/>
            </w:r>
          </w:hyperlink>
        </w:p>
        <w:p w:rsidR="001A48E7" w:rsidRDefault="001A48E7" w14:paraId="2EA69BD2" w14:textId="74E7EEE1">
          <w:pPr>
            <w:pStyle w:val="TOC1"/>
            <w:tabs>
              <w:tab w:val="right" w:leader="dot" w:pos="9350"/>
            </w:tabs>
            <w:rPr>
              <w:rFonts w:asciiTheme="minorHAnsi" w:hAnsiTheme="minorHAnsi" w:cstheme="minorBidi"/>
              <w:noProof/>
              <w:kern w:val="2"/>
              <w:sz w:val="24"/>
              <w:szCs w:val="24"/>
              <w14:ligatures w14:val="standardContextual"/>
            </w:rPr>
          </w:pPr>
          <w:hyperlink w:history="1" w:anchor="_Toc220972206">
            <w:r w:rsidRPr="00596C99">
              <w:rPr>
                <w:rStyle w:val="Hyperlink"/>
                <w:noProof/>
              </w:rPr>
              <w:t>2.</w:t>
            </w:r>
            <w:r>
              <w:rPr>
                <w:rFonts w:asciiTheme="minorHAnsi" w:hAnsiTheme="minorHAnsi" w:cstheme="minorBidi"/>
                <w:noProof/>
                <w:kern w:val="2"/>
                <w:sz w:val="24"/>
                <w:szCs w:val="24"/>
                <w14:ligatures w14:val="standardContextual"/>
              </w:rPr>
              <w:tab/>
            </w:r>
            <w:r w:rsidRPr="00596C99">
              <w:rPr>
                <w:rStyle w:val="Hyperlink"/>
                <w:noProof/>
              </w:rPr>
              <w:t>Jurisdiction and Burden of Proof</w:t>
            </w:r>
            <w:r>
              <w:rPr>
                <w:noProof/>
                <w:webHidden/>
              </w:rPr>
              <w:tab/>
            </w:r>
            <w:r>
              <w:rPr>
                <w:noProof/>
                <w:webHidden/>
              </w:rPr>
              <w:fldChar w:fldCharType="begin"/>
            </w:r>
            <w:r>
              <w:rPr>
                <w:noProof/>
                <w:webHidden/>
              </w:rPr>
              <w:instrText xml:space="preserve"> PAGEREF _Toc220972206 \h </w:instrText>
            </w:r>
            <w:r>
              <w:rPr>
                <w:noProof/>
                <w:webHidden/>
              </w:rPr>
            </w:r>
            <w:r>
              <w:rPr>
                <w:noProof/>
                <w:webHidden/>
              </w:rPr>
              <w:fldChar w:fldCharType="separate"/>
            </w:r>
            <w:r w:rsidR="000C6A71">
              <w:rPr>
                <w:noProof/>
                <w:webHidden/>
              </w:rPr>
              <w:t>19</w:t>
            </w:r>
            <w:r>
              <w:rPr>
                <w:noProof/>
                <w:webHidden/>
              </w:rPr>
              <w:fldChar w:fldCharType="end"/>
            </w:r>
          </w:hyperlink>
        </w:p>
        <w:p w:rsidR="001A48E7" w:rsidRDefault="001A48E7" w14:paraId="48B48089" w14:textId="4A171BB4">
          <w:pPr>
            <w:pStyle w:val="TOC1"/>
            <w:tabs>
              <w:tab w:val="right" w:leader="dot" w:pos="9350"/>
            </w:tabs>
            <w:rPr>
              <w:rFonts w:asciiTheme="minorHAnsi" w:hAnsiTheme="minorHAnsi" w:cstheme="minorBidi"/>
              <w:noProof/>
              <w:kern w:val="2"/>
              <w:sz w:val="24"/>
              <w:szCs w:val="24"/>
              <w14:ligatures w14:val="standardContextual"/>
            </w:rPr>
          </w:pPr>
          <w:hyperlink w:history="1" w:anchor="_Toc220972207">
            <w:r w:rsidRPr="00596C99">
              <w:rPr>
                <w:rStyle w:val="Hyperlink"/>
                <w:noProof/>
              </w:rPr>
              <w:t>3.</w:t>
            </w:r>
            <w:r>
              <w:rPr>
                <w:rFonts w:asciiTheme="minorHAnsi" w:hAnsiTheme="minorHAnsi" w:cstheme="minorBidi"/>
                <w:noProof/>
                <w:kern w:val="2"/>
                <w:sz w:val="24"/>
                <w:szCs w:val="24"/>
                <w14:ligatures w14:val="standardContextual"/>
              </w:rPr>
              <w:tab/>
            </w:r>
            <w:r w:rsidRPr="00596C99">
              <w:rPr>
                <w:rStyle w:val="Hyperlink"/>
                <w:noProof/>
              </w:rPr>
              <w:t>Issues Before the Commission</w:t>
            </w:r>
            <w:r>
              <w:rPr>
                <w:noProof/>
                <w:webHidden/>
              </w:rPr>
              <w:tab/>
            </w:r>
            <w:r>
              <w:rPr>
                <w:noProof/>
                <w:webHidden/>
              </w:rPr>
              <w:fldChar w:fldCharType="begin"/>
            </w:r>
            <w:r>
              <w:rPr>
                <w:noProof/>
                <w:webHidden/>
              </w:rPr>
              <w:instrText xml:space="preserve"> PAGEREF _Toc220972207 \h </w:instrText>
            </w:r>
            <w:r>
              <w:rPr>
                <w:noProof/>
                <w:webHidden/>
              </w:rPr>
            </w:r>
            <w:r>
              <w:rPr>
                <w:noProof/>
                <w:webHidden/>
              </w:rPr>
              <w:fldChar w:fldCharType="separate"/>
            </w:r>
            <w:r w:rsidR="000C6A71">
              <w:rPr>
                <w:noProof/>
                <w:webHidden/>
              </w:rPr>
              <w:t>20</w:t>
            </w:r>
            <w:r>
              <w:rPr>
                <w:noProof/>
                <w:webHidden/>
              </w:rPr>
              <w:fldChar w:fldCharType="end"/>
            </w:r>
          </w:hyperlink>
        </w:p>
        <w:p w:rsidR="001A48E7" w:rsidRDefault="001A48E7" w14:paraId="4FB3D8EB" w14:textId="15973F16">
          <w:pPr>
            <w:pStyle w:val="TOC1"/>
            <w:tabs>
              <w:tab w:val="right" w:leader="dot" w:pos="9350"/>
            </w:tabs>
            <w:rPr>
              <w:rFonts w:asciiTheme="minorHAnsi" w:hAnsiTheme="minorHAnsi" w:cstheme="minorBidi"/>
              <w:noProof/>
              <w:kern w:val="2"/>
              <w:sz w:val="24"/>
              <w:szCs w:val="24"/>
              <w14:ligatures w14:val="standardContextual"/>
            </w:rPr>
          </w:pPr>
          <w:hyperlink w:history="1" w:anchor="_Toc220972208">
            <w:r w:rsidRPr="00596C99">
              <w:rPr>
                <w:rStyle w:val="Hyperlink"/>
                <w:rFonts w:cs="Arial"/>
                <w:noProof/>
              </w:rPr>
              <w:t>4.</w:t>
            </w:r>
            <w:r>
              <w:rPr>
                <w:rFonts w:asciiTheme="minorHAnsi" w:hAnsiTheme="minorHAnsi" w:cstheme="minorBidi"/>
                <w:noProof/>
                <w:kern w:val="2"/>
                <w:sz w:val="24"/>
                <w:szCs w:val="24"/>
                <w14:ligatures w14:val="standardContextual"/>
              </w:rPr>
              <w:tab/>
            </w:r>
            <w:r w:rsidRPr="00596C99">
              <w:rPr>
                <w:rStyle w:val="Hyperlink"/>
                <w:rFonts w:cs="Arial"/>
                <w:bCs/>
                <w:noProof/>
                <w:lang w:val="en-ZW"/>
              </w:rPr>
              <w:t>Discussion</w:t>
            </w:r>
            <w:r>
              <w:rPr>
                <w:noProof/>
                <w:webHidden/>
              </w:rPr>
              <w:tab/>
            </w:r>
            <w:r>
              <w:rPr>
                <w:noProof/>
                <w:webHidden/>
              </w:rPr>
              <w:fldChar w:fldCharType="begin"/>
            </w:r>
            <w:r>
              <w:rPr>
                <w:noProof/>
                <w:webHidden/>
              </w:rPr>
              <w:instrText xml:space="preserve"> PAGEREF _Toc220972208 \h </w:instrText>
            </w:r>
            <w:r>
              <w:rPr>
                <w:noProof/>
                <w:webHidden/>
              </w:rPr>
            </w:r>
            <w:r>
              <w:rPr>
                <w:noProof/>
                <w:webHidden/>
              </w:rPr>
              <w:fldChar w:fldCharType="separate"/>
            </w:r>
            <w:r w:rsidR="000C6A71">
              <w:rPr>
                <w:noProof/>
                <w:webHidden/>
              </w:rPr>
              <w:t>20</w:t>
            </w:r>
            <w:r>
              <w:rPr>
                <w:noProof/>
                <w:webHidden/>
              </w:rPr>
              <w:fldChar w:fldCharType="end"/>
            </w:r>
          </w:hyperlink>
        </w:p>
        <w:p w:rsidR="001A48E7" w:rsidRDefault="001A48E7" w14:paraId="41957E59" w14:textId="453C64D9">
          <w:pPr>
            <w:pStyle w:val="TOC2"/>
            <w:tabs>
              <w:tab w:val="right" w:leader="dot" w:pos="9350"/>
            </w:tabs>
            <w:rPr>
              <w:rFonts w:asciiTheme="minorHAnsi" w:hAnsiTheme="minorHAnsi" w:cstheme="minorBidi"/>
              <w:noProof/>
              <w:kern w:val="2"/>
              <w:sz w:val="24"/>
              <w:szCs w:val="24"/>
              <w14:ligatures w14:val="standardContextual"/>
            </w:rPr>
          </w:pPr>
          <w:hyperlink w:history="1" w:anchor="_Toc220972209">
            <w:r w:rsidRPr="00596C99">
              <w:rPr>
                <w:rStyle w:val="Hyperlink"/>
                <w:noProof/>
                <w:lang w:val="en-ZW"/>
              </w:rPr>
              <w:t>4.1.</w:t>
            </w:r>
            <w:r>
              <w:rPr>
                <w:rFonts w:asciiTheme="minorHAnsi" w:hAnsiTheme="minorHAnsi" w:cstheme="minorBidi"/>
                <w:noProof/>
                <w:kern w:val="2"/>
                <w:sz w:val="24"/>
                <w:szCs w:val="24"/>
                <w14:ligatures w14:val="standardContextual"/>
              </w:rPr>
              <w:tab/>
            </w:r>
            <w:r w:rsidRPr="00596C99">
              <w:rPr>
                <w:rStyle w:val="Hyperlink"/>
                <w:noProof/>
                <w:lang w:val="en-ZW"/>
              </w:rPr>
              <w:t>Ripeness</w:t>
            </w:r>
            <w:r>
              <w:rPr>
                <w:noProof/>
                <w:webHidden/>
              </w:rPr>
              <w:tab/>
            </w:r>
            <w:r>
              <w:rPr>
                <w:noProof/>
                <w:webHidden/>
              </w:rPr>
              <w:fldChar w:fldCharType="begin"/>
            </w:r>
            <w:r>
              <w:rPr>
                <w:noProof/>
                <w:webHidden/>
              </w:rPr>
              <w:instrText xml:space="preserve"> PAGEREF _Toc220972209 \h </w:instrText>
            </w:r>
            <w:r>
              <w:rPr>
                <w:noProof/>
                <w:webHidden/>
              </w:rPr>
            </w:r>
            <w:r>
              <w:rPr>
                <w:noProof/>
                <w:webHidden/>
              </w:rPr>
              <w:fldChar w:fldCharType="separate"/>
            </w:r>
            <w:r w:rsidR="000C6A71">
              <w:rPr>
                <w:noProof/>
                <w:webHidden/>
              </w:rPr>
              <w:t>20</w:t>
            </w:r>
            <w:r>
              <w:rPr>
                <w:noProof/>
                <w:webHidden/>
              </w:rPr>
              <w:fldChar w:fldCharType="end"/>
            </w:r>
          </w:hyperlink>
        </w:p>
        <w:p w:rsidR="001A48E7" w:rsidRDefault="001A48E7" w14:paraId="1F1CE10B" w14:textId="0B5C458E">
          <w:pPr>
            <w:pStyle w:val="TOC2"/>
            <w:tabs>
              <w:tab w:val="right" w:leader="dot" w:pos="9350"/>
            </w:tabs>
            <w:rPr>
              <w:rFonts w:asciiTheme="minorHAnsi" w:hAnsiTheme="minorHAnsi" w:cstheme="minorBidi"/>
              <w:noProof/>
              <w:kern w:val="2"/>
              <w:sz w:val="24"/>
              <w:szCs w:val="24"/>
              <w14:ligatures w14:val="standardContextual"/>
            </w:rPr>
          </w:pPr>
          <w:hyperlink w:history="1" w:anchor="_Toc220972210">
            <w:r w:rsidRPr="00596C99">
              <w:rPr>
                <w:rStyle w:val="Hyperlink"/>
                <w:noProof/>
              </w:rPr>
              <w:t>4.2.</w:t>
            </w:r>
            <w:r>
              <w:rPr>
                <w:rFonts w:asciiTheme="minorHAnsi" w:hAnsiTheme="minorHAnsi" w:cstheme="minorBidi"/>
                <w:noProof/>
                <w:kern w:val="2"/>
                <w:sz w:val="24"/>
                <w:szCs w:val="24"/>
                <w14:ligatures w14:val="standardContextual"/>
              </w:rPr>
              <w:tab/>
            </w:r>
            <w:r w:rsidRPr="00596C99">
              <w:rPr>
                <w:rStyle w:val="Hyperlink"/>
                <w:noProof/>
              </w:rPr>
              <w:t>Public Utilities Code Sections 216 and 222</w:t>
            </w:r>
            <w:r>
              <w:rPr>
                <w:noProof/>
                <w:webHidden/>
              </w:rPr>
              <w:tab/>
            </w:r>
            <w:r>
              <w:rPr>
                <w:noProof/>
                <w:webHidden/>
              </w:rPr>
              <w:fldChar w:fldCharType="begin"/>
            </w:r>
            <w:r>
              <w:rPr>
                <w:noProof/>
                <w:webHidden/>
              </w:rPr>
              <w:instrText xml:space="preserve"> PAGEREF _Toc220972210 \h </w:instrText>
            </w:r>
            <w:r>
              <w:rPr>
                <w:noProof/>
                <w:webHidden/>
              </w:rPr>
            </w:r>
            <w:r>
              <w:rPr>
                <w:noProof/>
                <w:webHidden/>
              </w:rPr>
              <w:fldChar w:fldCharType="separate"/>
            </w:r>
            <w:r w:rsidR="000C6A71">
              <w:rPr>
                <w:noProof/>
                <w:webHidden/>
              </w:rPr>
              <w:t>23</w:t>
            </w:r>
            <w:r>
              <w:rPr>
                <w:noProof/>
                <w:webHidden/>
              </w:rPr>
              <w:fldChar w:fldCharType="end"/>
            </w:r>
          </w:hyperlink>
        </w:p>
        <w:p w:rsidR="001A48E7" w:rsidRDefault="001A48E7" w14:paraId="31F22C21" w14:textId="11E0078C">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0972211">
            <w:r w:rsidRPr="00596C99">
              <w:rPr>
                <w:rStyle w:val="Hyperlink"/>
                <w:noProof/>
              </w:rPr>
              <w:t>4.2.1.</w:t>
            </w:r>
            <w:r>
              <w:rPr>
                <w:rFonts w:asciiTheme="minorHAnsi" w:hAnsiTheme="minorHAnsi" w:cstheme="minorBidi"/>
                <w:noProof/>
                <w:kern w:val="2"/>
                <w:sz w:val="24"/>
                <w:szCs w:val="24"/>
                <w14:ligatures w14:val="standardContextual"/>
              </w:rPr>
              <w:tab/>
            </w:r>
            <w:r w:rsidRPr="00596C99">
              <w:rPr>
                <w:rStyle w:val="Hyperlink"/>
                <w:noProof/>
                <w:lang w:val="en-ZW"/>
              </w:rPr>
              <w:t>“</w:t>
            </w:r>
            <w:r w:rsidRPr="00596C99">
              <w:rPr>
                <w:rStyle w:val="Hyperlink"/>
                <w:noProof/>
              </w:rPr>
              <w:t>Gas Corporation”</w:t>
            </w:r>
            <w:r>
              <w:rPr>
                <w:noProof/>
                <w:webHidden/>
              </w:rPr>
              <w:tab/>
            </w:r>
            <w:r>
              <w:rPr>
                <w:noProof/>
                <w:webHidden/>
              </w:rPr>
              <w:fldChar w:fldCharType="begin"/>
            </w:r>
            <w:r>
              <w:rPr>
                <w:noProof/>
                <w:webHidden/>
              </w:rPr>
              <w:instrText xml:space="preserve"> PAGEREF _Toc220972211 \h </w:instrText>
            </w:r>
            <w:r>
              <w:rPr>
                <w:noProof/>
                <w:webHidden/>
              </w:rPr>
            </w:r>
            <w:r>
              <w:rPr>
                <w:noProof/>
                <w:webHidden/>
              </w:rPr>
              <w:fldChar w:fldCharType="separate"/>
            </w:r>
            <w:r w:rsidR="000C6A71">
              <w:rPr>
                <w:noProof/>
                <w:webHidden/>
              </w:rPr>
              <w:t>25</w:t>
            </w:r>
            <w:r>
              <w:rPr>
                <w:noProof/>
                <w:webHidden/>
              </w:rPr>
              <w:fldChar w:fldCharType="end"/>
            </w:r>
          </w:hyperlink>
        </w:p>
        <w:p w:rsidR="001A48E7" w:rsidRDefault="001A48E7" w14:paraId="3293AC41" w14:textId="4E1CF6DA">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0972212">
            <w:r w:rsidRPr="00596C99">
              <w:rPr>
                <w:rStyle w:val="Hyperlink"/>
                <w:noProof/>
              </w:rPr>
              <w:t>4.2.2.</w:t>
            </w:r>
            <w:r>
              <w:rPr>
                <w:rFonts w:asciiTheme="minorHAnsi" w:hAnsiTheme="minorHAnsi" w:cstheme="minorBidi"/>
                <w:noProof/>
                <w:kern w:val="2"/>
                <w:sz w:val="24"/>
                <w:szCs w:val="24"/>
                <w14:ligatures w14:val="standardContextual"/>
              </w:rPr>
              <w:tab/>
            </w:r>
            <w:r w:rsidRPr="00596C99">
              <w:rPr>
                <w:rStyle w:val="Hyperlink"/>
                <w:noProof/>
                <w:lang w:val="en-ZW"/>
              </w:rPr>
              <w:t>“</w:t>
            </w:r>
            <w:r w:rsidRPr="00596C99">
              <w:rPr>
                <w:rStyle w:val="Hyperlink"/>
                <w:noProof/>
              </w:rPr>
              <w:t>Public Utility”</w:t>
            </w:r>
            <w:r>
              <w:rPr>
                <w:noProof/>
                <w:webHidden/>
              </w:rPr>
              <w:tab/>
            </w:r>
            <w:r>
              <w:rPr>
                <w:noProof/>
                <w:webHidden/>
              </w:rPr>
              <w:fldChar w:fldCharType="begin"/>
            </w:r>
            <w:r>
              <w:rPr>
                <w:noProof/>
                <w:webHidden/>
              </w:rPr>
              <w:instrText xml:space="preserve"> PAGEREF _Toc220972212 \h </w:instrText>
            </w:r>
            <w:r>
              <w:rPr>
                <w:noProof/>
                <w:webHidden/>
              </w:rPr>
            </w:r>
            <w:r>
              <w:rPr>
                <w:noProof/>
                <w:webHidden/>
              </w:rPr>
              <w:fldChar w:fldCharType="separate"/>
            </w:r>
            <w:r w:rsidR="000C6A71">
              <w:rPr>
                <w:noProof/>
                <w:webHidden/>
              </w:rPr>
              <w:t>27</w:t>
            </w:r>
            <w:r>
              <w:rPr>
                <w:noProof/>
                <w:webHidden/>
              </w:rPr>
              <w:fldChar w:fldCharType="end"/>
            </w:r>
          </w:hyperlink>
        </w:p>
        <w:p w:rsidR="001A48E7" w:rsidRDefault="001A48E7" w14:paraId="66441147" w14:textId="4A184CC4">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0972213">
            <w:r w:rsidRPr="00596C99">
              <w:rPr>
                <w:rStyle w:val="Hyperlink"/>
                <w:noProof/>
              </w:rPr>
              <w:t>4.2.3.</w:t>
            </w:r>
            <w:r>
              <w:rPr>
                <w:rFonts w:asciiTheme="minorHAnsi" w:hAnsiTheme="minorHAnsi" w:cstheme="minorBidi"/>
                <w:noProof/>
                <w:kern w:val="2"/>
                <w:sz w:val="24"/>
                <w:szCs w:val="24"/>
                <w14:ligatures w14:val="standardContextual"/>
              </w:rPr>
              <w:tab/>
            </w:r>
            <w:r w:rsidRPr="00596C99">
              <w:rPr>
                <w:rStyle w:val="Hyperlink"/>
                <w:noProof/>
              </w:rPr>
              <w:t>Interim Decision D.07-12-047</w:t>
            </w:r>
            <w:r>
              <w:rPr>
                <w:noProof/>
                <w:webHidden/>
              </w:rPr>
              <w:tab/>
            </w:r>
            <w:r>
              <w:rPr>
                <w:noProof/>
                <w:webHidden/>
              </w:rPr>
              <w:fldChar w:fldCharType="begin"/>
            </w:r>
            <w:r>
              <w:rPr>
                <w:noProof/>
                <w:webHidden/>
              </w:rPr>
              <w:instrText xml:space="preserve"> PAGEREF _Toc220972213 \h </w:instrText>
            </w:r>
            <w:r>
              <w:rPr>
                <w:noProof/>
                <w:webHidden/>
              </w:rPr>
            </w:r>
            <w:r>
              <w:rPr>
                <w:noProof/>
                <w:webHidden/>
              </w:rPr>
              <w:fldChar w:fldCharType="separate"/>
            </w:r>
            <w:r w:rsidR="000C6A71">
              <w:rPr>
                <w:noProof/>
                <w:webHidden/>
              </w:rPr>
              <w:t>28</w:t>
            </w:r>
            <w:r>
              <w:rPr>
                <w:noProof/>
                <w:webHidden/>
              </w:rPr>
              <w:fldChar w:fldCharType="end"/>
            </w:r>
          </w:hyperlink>
        </w:p>
        <w:p w:rsidR="001A48E7" w:rsidRDefault="001A48E7" w14:paraId="5C57BE90" w14:textId="66CB27D1">
          <w:pPr>
            <w:pStyle w:val="TOC2"/>
            <w:tabs>
              <w:tab w:val="right" w:leader="dot" w:pos="9350"/>
            </w:tabs>
            <w:rPr>
              <w:rFonts w:asciiTheme="minorHAnsi" w:hAnsiTheme="minorHAnsi" w:cstheme="minorBidi"/>
              <w:noProof/>
              <w:kern w:val="2"/>
              <w:sz w:val="24"/>
              <w:szCs w:val="24"/>
              <w14:ligatures w14:val="standardContextual"/>
            </w:rPr>
          </w:pPr>
          <w:hyperlink w:history="1" w:anchor="_Toc220972214">
            <w:r w:rsidRPr="00596C99">
              <w:rPr>
                <w:rStyle w:val="Hyperlink"/>
                <w:noProof/>
              </w:rPr>
              <w:t>4.3.</w:t>
            </w:r>
            <w:r>
              <w:rPr>
                <w:rFonts w:asciiTheme="minorHAnsi" w:hAnsiTheme="minorHAnsi" w:cstheme="minorBidi"/>
                <w:noProof/>
                <w:kern w:val="2"/>
                <w:sz w:val="24"/>
                <w:szCs w:val="24"/>
                <w14:ligatures w14:val="standardContextual"/>
              </w:rPr>
              <w:tab/>
            </w:r>
            <w:r w:rsidRPr="00596C99">
              <w:rPr>
                <w:rStyle w:val="Hyperlink"/>
                <w:noProof/>
              </w:rPr>
              <w:t>CPCN to Operate the UI Pipeline</w:t>
            </w:r>
            <w:r>
              <w:rPr>
                <w:noProof/>
                <w:webHidden/>
              </w:rPr>
              <w:tab/>
            </w:r>
            <w:r>
              <w:rPr>
                <w:noProof/>
                <w:webHidden/>
              </w:rPr>
              <w:fldChar w:fldCharType="begin"/>
            </w:r>
            <w:r>
              <w:rPr>
                <w:noProof/>
                <w:webHidden/>
              </w:rPr>
              <w:instrText xml:space="preserve"> PAGEREF _Toc220972214 \h </w:instrText>
            </w:r>
            <w:r>
              <w:rPr>
                <w:noProof/>
                <w:webHidden/>
              </w:rPr>
            </w:r>
            <w:r>
              <w:rPr>
                <w:noProof/>
                <w:webHidden/>
              </w:rPr>
              <w:fldChar w:fldCharType="separate"/>
            </w:r>
            <w:r w:rsidR="000C6A71">
              <w:rPr>
                <w:noProof/>
                <w:webHidden/>
              </w:rPr>
              <w:t>31</w:t>
            </w:r>
            <w:r>
              <w:rPr>
                <w:noProof/>
                <w:webHidden/>
              </w:rPr>
              <w:fldChar w:fldCharType="end"/>
            </w:r>
          </w:hyperlink>
        </w:p>
        <w:p w:rsidR="001A48E7" w:rsidRDefault="001A48E7" w14:paraId="2D367820" w14:textId="3CBA9CEF">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0972215">
            <w:r w:rsidRPr="00596C99">
              <w:rPr>
                <w:rStyle w:val="Hyperlink"/>
                <w:noProof/>
              </w:rPr>
              <w:t>4.3.1.</w:t>
            </w:r>
            <w:r>
              <w:rPr>
                <w:rFonts w:asciiTheme="minorHAnsi" w:hAnsiTheme="minorHAnsi" w:cstheme="minorBidi"/>
                <w:noProof/>
                <w:kern w:val="2"/>
                <w:sz w:val="24"/>
                <w:szCs w:val="24"/>
                <w14:ligatures w14:val="standardContextual"/>
              </w:rPr>
              <w:tab/>
            </w:r>
            <w:r w:rsidRPr="00596C99">
              <w:rPr>
                <w:rStyle w:val="Hyperlink"/>
                <w:noProof/>
              </w:rPr>
              <w:t>Section 1001(a)</w:t>
            </w:r>
            <w:r>
              <w:rPr>
                <w:noProof/>
                <w:webHidden/>
              </w:rPr>
              <w:tab/>
            </w:r>
            <w:r>
              <w:rPr>
                <w:noProof/>
                <w:webHidden/>
              </w:rPr>
              <w:fldChar w:fldCharType="begin"/>
            </w:r>
            <w:r>
              <w:rPr>
                <w:noProof/>
                <w:webHidden/>
              </w:rPr>
              <w:instrText xml:space="preserve"> PAGEREF _Toc220972215 \h </w:instrText>
            </w:r>
            <w:r>
              <w:rPr>
                <w:noProof/>
                <w:webHidden/>
              </w:rPr>
            </w:r>
            <w:r>
              <w:rPr>
                <w:noProof/>
                <w:webHidden/>
              </w:rPr>
              <w:fldChar w:fldCharType="separate"/>
            </w:r>
            <w:r w:rsidR="000C6A71">
              <w:rPr>
                <w:noProof/>
                <w:webHidden/>
              </w:rPr>
              <w:t>31</w:t>
            </w:r>
            <w:r>
              <w:rPr>
                <w:noProof/>
                <w:webHidden/>
              </w:rPr>
              <w:fldChar w:fldCharType="end"/>
            </w:r>
          </w:hyperlink>
        </w:p>
        <w:p w:rsidR="001A48E7" w:rsidRDefault="001A48E7" w14:paraId="1DAB26FD" w14:textId="3393EE44">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0972216">
            <w:r w:rsidRPr="00596C99">
              <w:rPr>
                <w:rStyle w:val="Hyperlink"/>
                <w:noProof/>
              </w:rPr>
              <w:t>4.3.2.</w:t>
            </w:r>
            <w:r>
              <w:rPr>
                <w:rFonts w:asciiTheme="minorHAnsi" w:hAnsiTheme="minorHAnsi" w:cstheme="minorBidi"/>
                <w:noProof/>
                <w:kern w:val="2"/>
                <w:sz w:val="24"/>
                <w:szCs w:val="24"/>
                <w14:ligatures w14:val="standardContextual"/>
              </w:rPr>
              <w:tab/>
            </w:r>
            <w:r w:rsidRPr="00596C99">
              <w:rPr>
                <w:rStyle w:val="Hyperlink"/>
                <w:noProof/>
              </w:rPr>
              <w:t>Section 1002(a)</w:t>
            </w:r>
            <w:r>
              <w:rPr>
                <w:noProof/>
                <w:webHidden/>
              </w:rPr>
              <w:tab/>
            </w:r>
            <w:r>
              <w:rPr>
                <w:noProof/>
                <w:webHidden/>
              </w:rPr>
              <w:fldChar w:fldCharType="begin"/>
            </w:r>
            <w:r>
              <w:rPr>
                <w:noProof/>
                <w:webHidden/>
              </w:rPr>
              <w:instrText xml:space="preserve"> PAGEREF _Toc220972216 \h </w:instrText>
            </w:r>
            <w:r>
              <w:rPr>
                <w:noProof/>
                <w:webHidden/>
              </w:rPr>
            </w:r>
            <w:r>
              <w:rPr>
                <w:noProof/>
                <w:webHidden/>
              </w:rPr>
              <w:fldChar w:fldCharType="separate"/>
            </w:r>
            <w:r w:rsidR="000C6A71">
              <w:rPr>
                <w:noProof/>
                <w:webHidden/>
              </w:rPr>
              <w:t>32</w:t>
            </w:r>
            <w:r>
              <w:rPr>
                <w:noProof/>
                <w:webHidden/>
              </w:rPr>
              <w:fldChar w:fldCharType="end"/>
            </w:r>
          </w:hyperlink>
        </w:p>
        <w:p w:rsidR="001A48E7" w:rsidRDefault="001A48E7" w14:paraId="4A0376B3" w14:textId="6FA9061C">
          <w:pPr>
            <w:pStyle w:val="TOC2"/>
            <w:tabs>
              <w:tab w:val="right" w:leader="dot" w:pos="9350"/>
            </w:tabs>
            <w:rPr>
              <w:rFonts w:asciiTheme="minorHAnsi" w:hAnsiTheme="minorHAnsi" w:cstheme="minorBidi"/>
              <w:noProof/>
              <w:kern w:val="2"/>
              <w:sz w:val="24"/>
              <w:szCs w:val="24"/>
              <w14:ligatures w14:val="standardContextual"/>
            </w:rPr>
          </w:pPr>
          <w:hyperlink w:history="1" w:anchor="_Toc220972217">
            <w:r w:rsidRPr="00596C99">
              <w:rPr>
                <w:rStyle w:val="Hyperlink"/>
                <w:noProof/>
              </w:rPr>
              <w:t>4.4.</w:t>
            </w:r>
            <w:r>
              <w:rPr>
                <w:rFonts w:asciiTheme="minorHAnsi" w:hAnsiTheme="minorHAnsi" w:cstheme="minorBidi"/>
                <w:noProof/>
                <w:kern w:val="2"/>
                <w:sz w:val="24"/>
                <w:szCs w:val="24"/>
                <w14:ligatures w14:val="standardContextual"/>
              </w:rPr>
              <w:tab/>
            </w:r>
            <w:r w:rsidRPr="00596C99">
              <w:rPr>
                <w:rStyle w:val="Hyperlink"/>
                <w:noProof/>
              </w:rPr>
              <w:t>Conclusion</w:t>
            </w:r>
            <w:r>
              <w:rPr>
                <w:noProof/>
                <w:webHidden/>
              </w:rPr>
              <w:tab/>
            </w:r>
            <w:r>
              <w:rPr>
                <w:noProof/>
                <w:webHidden/>
              </w:rPr>
              <w:fldChar w:fldCharType="begin"/>
            </w:r>
            <w:r>
              <w:rPr>
                <w:noProof/>
                <w:webHidden/>
              </w:rPr>
              <w:instrText xml:space="preserve"> PAGEREF _Toc220972217 \h </w:instrText>
            </w:r>
            <w:r>
              <w:rPr>
                <w:noProof/>
                <w:webHidden/>
              </w:rPr>
            </w:r>
            <w:r>
              <w:rPr>
                <w:noProof/>
                <w:webHidden/>
              </w:rPr>
              <w:fldChar w:fldCharType="separate"/>
            </w:r>
            <w:r w:rsidR="000C6A71">
              <w:rPr>
                <w:noProof/>
                <w:webHidden/>
              </w:rPr>
              <w:t>33</w:t>
            </w:r>
            <w:r>
              <w:rPr>
                <w:noProof/>
                <w:webHidden/>
              </w:rPr>
              <w:fldChar w:fldCharType="end"/>
            </w:r>
          </w:hyperlink>
        </w:p>
        <w:p w:rsidR="001A48E7" w:rsidRDefault="001A48E7" w14:paraId="01ED931D" w14:textId="18155736">
          <w:pPr>
            <w:pStyle w:val="TOC1"/>
            <w:tabs>
              <w:tab w:val="right" w:leader="dot" w:pos="9350"/>
            </w:tabs>
            <w:rPr>
              <w:rFonts w:asciiTheme="minorHAnsi" w:hAnsiTheme="minorHAnsi" w:cstheme="minorBidi"/>
              <w:noProof/>
              <w:kern w:val="2"/>
              <w:sz w:val="24"/>
              <w:szCs w:val="24"/>
              <w14:ligatures w14:val="standardContextual"/>
            </w:rPr>
          </w:pPr>
          <w:hyperlink w:history="1" w:anchor="_Toc220972218">
            <w:r w:rsidRPr="00596C99">
              <w:rPr>
                <w:rStyle w:val="Hyperlink"/>
                <w:noProof/>
              </w:rPr>
              <w:t>5.</w:t>
            </w:r>
            <w:r>
              <w:rPr>
                <w:rFonts w:asciiTheme="minorHAnsi" w:hAnsiTheme="minorHAnsi" w:cstheme="minorBidi"/>
                <w:noProof/>
                <w:kern w:val="2"/>
                <w:sz w:val="24"/>
                <w:szCs w:val="24"/>
                <w14:ligatures w14:val="standardContextual"/>
              </w:rPr>
              <w:tab/>
            </w:r>
            <w:r w:rsidRPr="00596C99">
              <w:rPr>
                <w:rStyle w:val="Hyperlink"/>
                <w:noProof/>
              </w:rPr>
              <w:t>Summary of Public Comment</w:t>
            </w:r>
            <w:r>
              <w:rPr>
                <w:noProof/>
                <w:webHidden/>
              </w:rPr>
              <w:tab/>
            </w:r>
            <w:r>
              <w:rPr>
                <w:noProof/>
                <w:webHidden/>
              </w:rPr>
              <w:fldChar w:fldCharType="begin"/>
            </w:r>
            <w:r>
              <w:rPr>
                <w:noProof/>
                <w:webHidden/>
              </w:rPr>
              <w:instrText xml:space="preserve"> PAGEREF _Toc220972218 \h </w:instrText>
            </w:r>
            <w:r>
              <w:rPr>
                <w:noProof/>
                <w:webHidden/>
              </w:rPr>
            </w:r>
            <w:r>
              <w:rPr>
                <w:noProof/>
                <w:webHidden/>
              </w:rPr>
              <w:fldChar w:fldCharType="separate"/>
            </w:r>
            <w:r w:rsidR="000C6A71">
              <w:rPr>
                <w:noProof/>
                <w:webHidden/>
              </w:rPr>
              <w:t>34</w:t>
            </w:r>
            <w:r>
              <w:rPr>
                <w:noProof/>
                <w:webHidden/>
              </w:rPr>
              <w:fldChar w:fldCharType="end"/>
            </w:r>
          </w:hyperlink>
        </w:p>
        <w:p w:rsidR="001A48E7" w:rsidRDefault="001A48E7" w14:paraId="12316A19" w14:textId="1A96A6B3">
          <w:pPr>
            <w:pStyle w:val="TOC1"/>
            <w:tabs>
              <w:tab w:val="right" w:leader="dot" w:pos="9350"/>
            </w:tabs>
            <w:rPr>
              <w:rFonts w:asciiTheme="minorHAnsi" w:hAnsiTheme="minorHAnsi" w:cstheme="minorBidi"/>
              <w:noProof/>
              <w:kern w:val="2"/>
              <w:sz w:val="24"/>
              <w:szCs w:val="24"/>
              <w14:ligatures w14:val="standardContextual"/>
            </w:rPr>
          </w:pPr>
          <w:hyperlink w:history="1" w:anchor="_Toc220972219">
            <w:r w:rsidRPr="00596C99">
              <w:rPr>
                <w:rStyle w:val="Hyperlink"/>
                <w:noProof/>
                <w:lang w:val="en-ZW"/>
              </w:rPr>
              <w:t>6.</w:t>
            </w:r>
            <w:r>
              <w:rPr>
                <w:rFonts w:asciiTheme="minorHAnsi" w:hAnsiTheme="minorHAnsi" w:cstheme="minorBidi"/>
                <w:noProof/>
                <w:kern w:val="2"/>
                <w:sz w:val="24"/>
                <w:szCs w:val="24"/>
                <w14:ligatures w14:val="standardContextual"/>
              </w:rPr>
              <w:tab/>
            </w:r>
            <w:r w:rsidRPr="00596C99">
              <w:rPr>
                <w:rStyle w:val="Hyperlink"/>
                <w:noProof/>
                <w:lang w:val="en-ZW"/>
              </w:rPr>
              <w:t>Pending Procedural Requests</w:t>
            </w:r>
            <w:r>
              <w:rPr>
                <w:noProof/>
                <w:webHidden/>
              </w:rPr>
              <w:tab/>
            </w:r>
            <w:r>
              <w:rPr>
                <w:noProof/>
                <w:webHidden/>
              </w:rPr>
              <w:fldChar w:fldCharType="begin"/>
            </w:r>
            <w:r>
              <w:rPr>
                <w:noProof/>
                <w:webHidden/>
              </w:rPr>
              <w:instrText xml:space="preserve"> PAGEREF _Toc220972219 \h </w:instrText>
            </w:r>
            <w:r>
              <w:rPr>
                <w:noProof/>
                <w:webHidden/>
              </w:rPr>
            </w:r>
            <w:r>
              <w:rPr>
                <w:noProof/>
                <w:webHidden/>
              </w:rPr>
              <w:fldChar w:fldCharType="separate"/>
            </w:r>
            <w:r w:rsidR="000C6A71">
              <w:rPr>
                <w:noProof/>
                <w:webHidden/>
              </w:rPr>
              <w:t>35</w:t>
            </w:r>
            <w:r>
              <w:rPr>
                <w:noProof/>
                <w:webHidden/>
              </w:rPr>
              <w:fldChar w:fldCharType="end"/>
            </w:r>
          </w:hyperlink>
        </w:p>
        <w:p w:rsidR="001A48E7" w:rsidRDefault="001A48E7" w14:paraId="0CBFFB28" w14:textId="7273ED61">
          <w:pPr>
            <w:pStyle w:val="TOC2"/>
            <w:tabs>
              <w:tab w:val="right" w:leader="dot" w:pos="9350"/>
            </w:tabs>
            <w:rPr>
              <w:rFonts w:asciiTheme="minorHAnsi" w:hAnsiTheme="minorHAnsi" w:cstheme="minorBidi"/>
              <w:noProof/>
              <w:kern w:val="2"/>
              <w:sz w:val="24"/>
              <w:szCs w:val="24"/>
              <w14:ligatures w14:val="standardContextual"/>
            </w:rPr>
          </w:pPr>
          <w:hyperlink w:history="1" w:anchor="_Toc220972220">
            <w:r w:rsidRPr="00596C99">
              <w:rPr>
                <w:rStyle w:val="Hyperlink"/>
                <w:noProof/>
              </w:rPr>
              <w:t>6.1.</w:t>
            </w:r>
            <w:r>
              <w:rPr>
                <w:rFonts w:asciiTheme="minorHAnsi" w:hAnsiTheme="minorHAnsi" w:cstheme="minorBidi"/>
                <w:noProof/>
                <w:kern w:val="2"/>
                <w:sz w:val="24"/>
                <w:szCs w:val="24"/>
                <w14:ligatures w14:val="standardContextual"/>
              </w:rPr>
              <w:tab/>
            </w:r>
            <w:r w:rsidRPr="00596C99">
              <w:rPr>
                <w:rStyle w:val="Hyperlink"/>
                <w:noProof/>
                <w:lang w:val="en-ZW"/>
              </w:rPr>
              <w:t>Cities’ Request to Hold Proceeding In Abeyance</w:t>
            </w:r>
            <w:r>
              <w:rPr>
                <w:noProof/>
                <w:webHidden/>
              </w:rPr>
              <w:tab/>
            </w:r>
            <w:r>
              <w:rPr>
                <w:noProof/>
                <w:webHidden/>
              </w:rPr>
              <w:fldChar w:fldCharType="begin"/>
            </w:r>
            <w:r>
              <w:rPr>
                <w:noProof/>
                <w:webHidden/>
              </w:rPr>
              <w:instrText xml:space="preserve"> PAGEREF _Toc220972220 \h </w:instrText>
            </w:r>
            <w:r>
              <w:rPr>
                <w:noProof/>
                <w:webHidden/>
              </w:rPr>
            </w:r>
            <w:r>
              <w:rPr>
                <w:noProof/>
                <w:webHidden/>
              </w:rPr>
              <w:fldChar w:fldCharType="separate"/>
            </w:r>
            <w:r w:rsidR="000C6A71">
              <w:rPr>
                <w:noProof/>
                <w:webHidden/>
              </w:rPr>
              <w:t>35</w:t>
            </w:r>
            <w:r>
              <w:rPr>
                <w:noProof/>
                <w:webHidden/>
              </w:rPr>
              <w:fldChar w:fldCharType="end"/>
            </w:r>
          </w:hyperlink>
        </w:p>
        <w:p w:rsidR="001A48E7" w:rsidRDefault="001A48E7" w14:paraId="3C12EF3E" w14:textId="725C6A76">
          <w:pPr>
            <w:pStyle w:val="TOC2"/>
            <w:tabs>
              <w:tab w:val="right" w:leader="dot" w:pos="9350"/>
            </w:tabs>
            <w:rPr>
              <w:rFonts w:asciiTheme="minorHAnsi" w:hAnsiTheme="minorHAnsi" w:cstheme="minorBidi"/>
              <w:noProof/>
              <w:kern w:val="2"/>
              <w:sz w:val="24"/>
              <w:szCs w:val="24"/>
              <w14:ligatures w14:val="standardContextual"/>
            </w:rPr>
          </w:pPr>
          <w:hyperlink w:history="1" w:anchor="_Toc220972221">
            <w:r w:rsidRPr="00596C99">
              <w:rPr>
                <w:rStyle w:val="Hyperlink"/>
                <w:noProof/>
              </w:rPr>
              <w:t>6.2.</w:t>
            </w:r>
            <w:r>
              <w:rPr>
                <w:rFonts w:asciiTheme="minorHAnsi" w:hAnsiTheme="minorHAnsi" w:cstheme="minorBidi"/>
                <w:noProof/>
                <w:kern w:val="2"/>
                <w:sz w:val="24"/>
                <w:szCs w:val="24"/>
                <w14:ligatures w14:val="standardContextual"/>
              </w:rPr>
              <w:tab/>
            </w:r>
            <w:r w:rsidRPr="00596C99">
              <w:rPr>
                <w:rStyle w:val="Hyperlink"/>
                <w:noProof/>
              </w:rPr>
              <w:t>CRPC Motion to Amend</w:t>
            </w:r>
            <w:r>
              <w:rPr>
                <w:noProof/>
                <w:webHidden/>
              </w:rPr>
              <w:tab/>
            </w:r>
            <w:r>
              <w:rPr>
                <w:noProof/>
                <w:webHidden/>
              </w:rPr>
              <w:fldChar w:fldCharType="begin"/>
            </w:r>
            <w:r>
              <w:rPr>
                <w:noProof/>
                <w:webHidden/>
              </w:rPr>
              <w:instrText xml:space="preserve"> PAGEREF _Toc220972221 \h </w:instrText>
            </w:r>
            <w:r>
              <w:rPr>
                <w:noProof/>
                <w:webHidden/>
              </w:rPr>
            </w:r>
            <w:r>
              <w:rPr>
                <w:noProof/>
                <w:webHidden/>
              </w:rPr>
              <w:fldChar w:fldCharType="separate"/>
            </w:r>
            <w:r w:rsidR="000C6A71">
              <w:rPr>
                <w:noProof/>
                <w:webHidden/>
              </w:rPr>
              <w:t>37</w:t>
            </w:r>
            <w:r>
              <w:rPr>
                <w:noProof/>
                <w:webHidden/>
              </w:rPr>
              <w:fldChar w:fldCharType="end"/>
            </w:r>
          </w:hyperlink>
        </w:p>
        <w:p w:rsidR="001A48E7" w:rsidRDefault="001A48E7" w14:paraId="3D7102D4" w14:textId="49F7348A">
          <w:pPr>
            <w:pStyle w:val="TOC2"/>
            <w:tabs>
              <w:tab w:val="right" w:leader="dot" w:pos="9350"/>
            </w:tabs>
            <w:rPr>
              <w:rFonts w:asciiTheme="minorHAnsi" w:hAnsiTheme="minorHAnsi" w:cstheme="minorBidi"/>
              <w:noProof/>
              <w:kern w:val="2"/>
              <w:sz w:val="24"/>
              <w:szCs w:val="24"/>
              <w14:ligatures w14:val="standardContextual"/>
            </w:rPr>
          </w:pPr>
          <w:hyperlink w:history="1" w:anchor="_Toc220972222">
            <w:r w:rsidRPr="00596C99">
              <w:rPr>
                <w:rStyle w:val="Hyperlink"/>
                <w:noProof/>
              </w:rPr>
              <w:t>6.3.</w:t>
            </w:r>
            <w:r>
              <w:rPr>
                <w:rFonts w:asciiTheme="minorHAnsi" w:hAnsiTheme="minorHAnsi" w:cstheme="minorBidi"/>
                <w:noProof/>
                <w:kern w:val="2"/>
                <w:sz w:val="24"/>
                <w:szCs w:val="24"/>
                <w14:ligatures w14:val="standardContextual"/>
              </w:rPr>
              <w:tab/>
            </w:r>
            <w:r w:rsidRPr="00596C99">
              <w:rPr>
                <w:rStyle w:val="Hyperlink"/>
                <w:noProof/>
              </w:rPr>
              <w:t>CRPC Requests to File Under Seal</w:t>
            </w:r>
            <w:r>
              <w:rPr>
                <w:noProof/>
                <w:webHidden/>
              </w:rPr>
              <w:tab/>
            </w:r>
            <w:r>
              <w:rPr>
                <w:noProof/>
                <w:webHidden/>
              </w:rPr>
              <w:fldChar w:fldCharType="begin"/>
            </w:r>
            <w:r>
              <w:rPr>
                <w:noProof/>
                <w:webHidden/>
              </w:rPr>
              <w:instrText xml:space="preserve"> PAGEREF _Toc220972222 \h </w:instrText>
            </w:r>
            <w:r>
              <w:rPr>
                <w:noProof/>
                <w:webHidden/>
              </w:rPr>
            </w:r>
            <w:r>
              <w:rPr>
                <w:noProof/>
                <w:webHidden/>
              </w:rPr>
              <w:fldChar w:fldCharType="separate"/>
            </w:r>
            <w:r w:rsidR="000C6A71">
              <w:rPr>
                <w:noProof/>
                <w:webHidden/>
              </w:rPr>
              <w:t>38</w:t>
            </w:r>
            <w:r>
              <w:rPr>
                <w:noProof/>
                <w:webHidden/>
              </w:rPr>
              <w:fldChar w:fldCharType="end"/>
            </w:r>
          </w:hyperlink>
        </w:p>
        <w:p w:rsidR="001A48E7" w:rsidRDefault="001A48E7" w14:paraId="338648AC" w14:textId="7062347E">
          <w:pPr>
            <w:pStyle w:val="TOC2"/>
            <w:tabs>
              <w:tab w:val="right" w:leader="dot" w:pos="9350"/>
            </w:tabs>
            <w:rPr>
              <w:rFonts w:asciiTheme="minorHAnsi" w:hAnsiTheme="minorHAnsi" w:cstheme="minorBidi"/>
              <w:noProof/>
              <w:kern w:val="2"/>
              <w:sz w:val="24"/>
              <w:szCs w:val="24"/>
              <w14:ligatures w14:val="standardContextual"/>
            </w:rPr>
          </w:pPr>
          <w:hyperlink w:history="1" w:anchor="_Toc220972223">
            <w:r w:rsidRPr="00596C99">
              <w:rPr>
                <w:rStyle w:val="Hyperlink"/>
                <w:noProof/>
              </w:rPr>
              <w:t>6.4.</w:t>
            </w:r>
            <w:r>
              <w:rPr>
                <w:rFonts w:asciiTheme="minorHAnsi" w:hAnsiTheme="minorHAnsi" w:cstheme="minorBidi"/>
                <w:noProof/>
                <w:kern w:val="2"/>
                <w:sz w:val="24"/>
                <w:szCs w:val="24"/>
                <w14:ligatures w14:val="standardContextual"/>
              </w:rPr>
              <w:tab/>
            </w:r>
            <w:r w:rsidRPr="00596C99">
              <w:rPr>
                <w:rStyle w:val="Hyperlink"/>
                <w:noProof/>
              </w:rPr>
              <w:t>Motion to Reopen the Record</w:t>
            </w:r>
            <w:r>
              <w:rPr>
                <w:noProof/>
                <w:webHidden/>
              </w:rPr>
              <w:tab/>
            </w:r>
            <w:r>
              <w:rPr>
                <w:noProof/>
                <w:webHidden/>
              </w:rPr>
              <w:fldChar w:fldCharType="begin"/>
            </w:r>
            <w:r>
              <w:rPr>
                <w:noProof/>
                <w:webHidden/>
              </w:rPr>
              <w:instrText xml:space="preserve"> PAGEREF _Toc220972223 \h </w:instrText>
            </w:r>
            <w:r>
              <w:rPr>
                <w:noProof/>
                <w:webHidden/>
              </w:rPr>
            </w:r>
            <w:r>
              <w:rPr>
                <w:noProof/>
                <w:webHidden/>
              </w:rPr>
              <w:fldChar w:fldCharType="separate"/>
            </w:r>
            <w:r w:rsidR="000C6A71">
              <w:rPr>
                <w:noProof/>
                <w:webHidden/>
              </w:rPr>
              <w:t>39</w:t>
            </w:r>
            <w:r>
              <w:rPr>
                <w:noProof/>
                <w:webHidden/>
              </w:rPr>
              <w:fldChar w:fldCharType="end"/>
            </w:r>
          </w:hyperlink>
        </w:p>
        <w:p w:rsidR="001A48E7" w:rsidRDefault="001A48E7" w14:paraId="419EB72A" w14:textId="53E5F3D8">
          <w:pPr>
            <w:pStyle w:val="TOC2"/>
            <w:tabs>
              <w:tab w:val="right" w:leader="dot" w:pos="9350"/>
            </w:tabs>
            <w:rPr>
              <w:rFonts w:asciiTheme="minorHAnsi" w:hAnsiTheme="minorHAnsi" w:cstheme="minorBidi"/>
              <w:noProof/>
              <w:kern w:val="2"/>
              <w:sz w:val="24"/>
              <w:szCs w:val="24"/>
              <w14:ligatures w14:val="standardContextual"/>
            </w:rPr>
          </w:pPr>
          <w:hyperlink w:history="1" w:anchor="_Toc220972224">
            <w:r w:rsidRPr="00596C99">
              <w:rPr>
                <w:rStyle w:val="Hyperlink"/>
                <w:noProof/>
              </w:rPr>
              <w:t>6.5.</w:t>
            </w:r>
            <w:r>
              <w:rPr>
                <w:rFonts w:asciiTheme="minorHAnsi" w:hAnsiTheme="minorHAnsi" w:cstheme="minorBidi"/>
                <w:noProof/>
                <w:kern w:val="2"/>
                <w:sz w:val="24"/>
                <w:szCs w:val="24"/>
                <w14:ligatures w14:val="standardContextual"/>
              </w:rPr>
              <w:tab/>
            </w:r>
            <w:r w:rsidRPr="00596C99">
              <w:rPr>
                <w:rStyle w:val="Hyperlink"/>
                <w:noProof/>
              </w:rPr>
              <w:t>Other Pending Motions</w:t>
            </w:r>
            <w:r>
              <w:rPr>
                <w:noProof/>
                <w:webHidden/>
              </w:rPr>
              <w:tab/>
            </w:r>
            <w:r>
              <w:rPr>
                <w:noProof/>
                <w:webHidden/>
              </w:rPr>
              <w:fldChar w:fldCharType="begin"/>
            </w:r>
            <w:r>
              <w:rPr>
                <w:noProof/>
                <w:webHidden/>
              </w:rPr>
              <w:instrText xml:space="preserve"> PAGEREF _Toc220972224 \h </w:instrText>
            </w:r>
            <w:r>
              <w:rPr>
                <w:noProof/>
                <w:webHidden/>
              </w:rPr>
            </w:r>
            <w:r>
              <w:rPr>
                <w:noProof/>
                <w:webHidden/>
              </w:rPr>
              <w:fldChar w:fldCharType="separate"/>
            </w:r>
            <w:r w:rsidR="000C6A71">
              <w:rPr>
                <w:noProof/>
                <w:webHidden/>
              </w:rPr>
              <w:t>42</w:t>
            </w:r>
            <w:r>
              <w:rPr>
                <w:noProof/>
                <w:webHidden/>
              </w:rPr>
              <w:fldChar w:fldCharType="end"/>
            </w:r>
          </w:hyperlink>
        </w:p>
        <w:p w:rsidR="001A48E7" w:rsidRDefault="001A48E7" w14:paraId="00E5A772" w14:textId="3802A0BC">
          <w:pPr>
            <w:pStyle w:val="TOC1"/>
            <w:tabs>
              <w:tab w:val="right" w:leader="dot" w:pos="9350"/>
            </w:tabs>
            <w:rPr>
              <w:rFonts w:asciiTheme="minorHAnsi" w:hAnsiTheme="minorHAnsi" w:cstheme="minorBidi"/>
              <w:noProof/>
              <w:kern w:val="2"/>
              <w:sz w:val="24"/>
              <w:szCs w:val="24"/>
              <w14:ligatures w14:val="standardContextual"/>
            </w:rPr>
          </w:pPr>
          <w:hyperlink w:history="1" w:anchor="_Toc220972225">
            <w:r w:rsidRPr="00596C99">
              <w:rPr>
                <w:rStyle w:val="Hyperlink"/>
                <w:noProof/>
              </w:rPr>
              <w:t>7.</w:t>
            </w:r>
            <w:r>
              <w:rPr>
                <w:rFonts w:asciiTheme="minorHAnsi" w:hAnsiTheme="minorHAnsi" w:cstheme="minorBidi"/>
                <w:noProof/>
                <w:kern w:val="2"/>
                <w:sz w:val="24"/>
                <w:szCs w:val="24"/>
                <w14:ligatures w14:val="standardContextual"/>
              </w:rPr>
              <w:tab/>
            </w:r>
            <w:r w:rsidRPr="00596C99">
              <w:rPr>
                <w:rStyle w:val="Hyperlink"/>
                <w:noProof/>
              </w:rPr>
              <w:t>Category of Proceeding</w:t>
            </w:r>
            <w:r>
              <w:rPr>
                <w:noProof/>
                <w:webHidden/>
              </w:rPr>
              <w:tab/>
            </w:r>
            <w:r>
              <w:rPr>
                <w:noProof/>
                <w:webHidden/>
              </w:rPr>
              <w:fldChar w:fldCharType="begin"/>
            </w:r>
            <w:r>
              <w:rPr>
                <w:noProof/>
                <w:webHidden/>
              </w:rPr>
              <w:instrText xml:space="preserve"> PAGEREF _Toc220972225 \h </w:instrText>
            </w:r>
            <w:r>
              <w:rPr>
                <w:noProof/>
                <w:webHidden/>
              </w:rPr>
            </w:r>
            <w:r>
              <w:rPr>
                <w:noProof/>
                <w:webHidden/>
              </w:rPr>
              <w:fldChar w:fldCharType="separate"/>
            </w:r>
            <w:r w:rsidR="000C6A71">
              <w:rPr>
                <w:noProof/>
                <w:webHidden/>
              </w:rPr>
              <w:t>42</w:t>
            </w:r>
            <w:r>
              <w:rPr>
                <w:noProof/>
                <w:webHidden/>
              </w:rPr>
              <w:fldChar w:fldCharType="end"/>
            </w:r>
          </w:hyperlink>
        </w:p>
        <w:p w:rsidR="001A48E7" w:rsidRDefault="001A48E7" w14:paraId="05556415" w14:textId="5284A9BB">
          <w:pPr>
            <w:pStyle w:val="TOC1"/>
            <w:tabs>
              <w:tab w:val="right" w:leader="dot" w:pos="9350"/>
            </w:tabs>
            <w:rPr>
              <w:rFonts w:asciiTheme="minorHAnsi" w:hAnsiTheme="minorHAnsi" w:cstheme="minorBidi"/>
              <w:noProof/>
              <w:kern w:val="2"/>
              <w:sz w:val="24"/>
              <w:szCs w:val="24"/>
              <w14:ligatures w14:val="standardContextual"/>
            </w:rPr>
          </w:pPr>
          <w:hyperlink w:history="1" w:anchor="_Toc220972226">
            <w:r w:rsidRPr="00596C99">
              <w:rPr>
                <w:rStyle w:val="Hyperlink"/>
                <w:noProof/>
              </w:rPr>
              <w:t>8.</w:t>
            </w:r>
            <w:r>
              <w:rPr>
                <w:rFonts w:asciiTheme="minorHAnsi" w:hAnsiTheme="minorHAnsi" w:cstheme="minorBidi"/>
                <w:noProof/>
                <w:kern w:val="2"/>
                <w:sz w:val="24"/>
                <w:szCs w:val="24"/>
                <w14:ligatures w14:val="standardContextual"/>
              </w:rPr>
              <w:tab/>
            </w:r>
            <w:r w:rsidRPr="00596C99">
              <w:rPr>
                <w:rStyle w:val="Hyperlink"/>
                <w:noProof/>
              </w:rPr>
              <w:t>Comments on Proposed Decision</w:t>
            </w:r>
            <w:r>
              <w:rPr>
                <w:noProof/>
                <w:webHidden/>
              </w:rPr>
              <w:tab/>
            </w:r>
            <w:r>
              <w:rPr>
                <w:noProof/>
                <w:webHidden/>
              </w:rPr>
              <w:fldChar w:fldCharType="begin"/>
            </w:r>
            <w:r>
              <w:rPr>
                <w:noProof/>
                <w:webHidden/>
              </w:rPr>
              <w:instrText xml:space="preserve"> PAGEREF _Toc220972226 \h </w:instrText>
            </w:r>
            <w:r>
              <w:rPr>
                <w:noProof/>
                <w:webHidden/>
              </w:rPr>
            </w:r>
            <w:r>
              <w:rPr>
                <w:noProof/>
                <w:webHidden/>
              </w:rPr>
              <w:fldChar w:fldCharType="separate"/>
            </w:r>
            <w:r w:rsidR="000C6A71">
              <w:rPr>
                <w:noProof/>
                <w:webHidden/>
              </w:rPr>
              <w:t>42</w:t>
            </w:r>
            <w:r>
              <w:rPr>
                <w:noProof/>
                <w:webHidden/>
              </w:rPr>
              <w:fldChar w:fldCharType="end"/>
            </w:r>
          </w:hyperlink>
        </w:p>
        <w:p w:rsidR="001A48E7" w:rsidRDefault="001A48E7" w14:paraId="37ED3ECA" w14:textId="561A02A8">
          <w:pPr>
            <w:pStyle w:val="TOC1"/>
            <w:tabs>
              <w:tab w:val="right" w:leader="dot" w:pos="9350"/>
            </w:tabs>
            <w:rPr>
              <w:rFonts w:asciiTheme="minorHAnsi" w:hAnsiTheme="minorHAnsi" w:cstheme="minorBidi"/>
              <w:noProof/>
              <w:kern w:val="2"/>
              <w:sz w:val="24"/>
              <w:szCs w:val="24"/>
              <w14:ligatures w14:val="standardContextual"/>
            </w:rPr>
          </w:pPr>
          <w:hyperlink w:history="1" w:anchor="_Toc220972227">
            <w:r w:rsidRPr="00596C99">
              <w:rPr>
                <w:rStyle w:val="Hyperlink"/>
                <w:noProof/>
              </w:rPr>
              <w:t>9.</w:t>
            </w:r>
            <w:r>
              <w:rPr>
                <w:rFonts w:asciiTheme="minorHAnsi" w:hAnsiTheme="minorHAnsi" w:cstheme="minorBidi"/>
                <w:noProof/>
                <w:kern w:val="2"/>
                <w:sz w:val="24"/>
                <w:szCs w:val="24"/>
                <w14:ligatures w14:val="standardContextual"/>
              </w:rPr>
              <w:tab/>
            </w:r>
            <w:r w:rsidRPr="00596C99">
              <w:rPr>
                <w:rStyle w:val="Hyperlink"/>
                <w:noProof/>
              </w:rPr>
              <w:t>Assignment of Proceeding</w:t>
            </w:r>
            <w:r>
              <w:rPr>
                <w:noProof/>
                <w:webHidden/>
              </w:rPr>
              <w:tab/>
            </w:r>
            <w:r>
              <w:rPr>
                <w:noProof/>
                <w:webHidden/>
              </w:rPr>
              <w:fldChar w:fldCharType="begin"/>
            </w:r>
            <w:r>
              <w:rPr>
                <w:noProof/>
                <w:webHidden/>
              </w:rPr>
              <w:instrText xml:space="preserve"> PAGEREF _Toc220972227 \h </w:instrText>
            </w:r>
            <w:r>
              <w:rPr>
                <w:noProof/>
                <w:webHidden/>
              </w:rPr>
            </w:r>
            <w:r>
              <w:rPr>
                <w:noProof/>
                <w:webHidden/>
              </w:rPr>
              <w:fldChar w:fldCharType="separate"/>
            </w:r>
            <w:r w:rsidR="000C6A71">
              <w:rPr>
                <w:noProof/>
                <w:webHidden/>
              </w:rPr>
              <w:t>52</w:t>
            </w:r>
            <w:r>
              <w:rPr>
                <w:noProof/>
                <w:webHidden/>
              </w:rPr>
              <w:fldChar w:fldCharType="end"/>
            </w:r>
          </w:hyperlink>
        </w:p>
        <w:p w:rsidR="001A48E7" w:rsidRDefault="001A48E7" w14:paraId="238EA375" w14:textId="332037F5">
          <w:pPr>
            <w:pStyle w:val="TOC1"/>
            <w:tabs>
              <w:tab w:val="right" w:leader="dot" w:pos="9350"/>
            </w:tabs>
            <w:rPr>
              <w:rFonts w:asciiTheme="minorHAnsi" w:hAnsiTheme="minorHAnsi" w:cstheme="minorBidi"/>
              <w:noProof/>
              <w:kern w:val="2"/>
              <w:sz w:val="24"/>
              <w:szCs w:val="24"/>
              <w14:ligatures w14:val="standardContextual"/>
            </w:rPr>
          </w:pPr>
          <w:hyperlink w:history="1" w:anchor="_Toc220972228">
            <w:r w:rsidRPr="00596C99">
              <w:rPr>
                <w:rStyle w:val="Hyperlink"/>
                <w:noProof/>
              </w:rPr>
              <w:t>Findings of Fact</w:t>
            </w:r>
            <w:r>
              <w:rPr>
                <w:noProof/>
                <w:webHidden/>
              </w:rPr>
              <w:tab/>
            </w:r>
            <w:r>
              <w:rPr>
                <w:noProof/>
                <w:webHidden/>
              </w:rPr>
              <w:fldChar w:fldCharType="begin"/>
            </w:r>
            <w:r>
              <w:rPr>
                <w:noProof/>
                <w:webHidden/>
              </w:rPr>
              <w:instrText xml:space="preserve"> PAGEREF _Toc220972228 \h </w:instrText>
            </w:r>
            <w:r>
              <w:rPr>
                <w:noProof/>
                <w:webHidden/>
              </w:rPr>
            </w:r>
            <w:r>
              <w:rPr>
                <w:noProof/>
                <w:webHidden/>
              </w:rPr>
              <w:fldChar w:fldCharType="separate"/>
            </w:r>
            <w:r w:rsidR="000C6A71">
              <w:rPr>
                <w:noProof/>
                <w:webHidden/>
              </w:rPr>
              <w:t>52</w:t>
            </w:r>
            <w:r>
              <w:rPr>
                <w:noProof/>
                <w:webHidden/>
              </w:rPr>
              <w:fldChar w:fldCharType="end"/>
            </w:r>
          </w:hyperlink>
        </w:p>
        <w:p w:rsidR="001A48E7" w:rsidRDefault="001A48E7" w14:paraId="32219273" w14:textId="40BE9071">
          <w:pPr>
            <w:pStyle w:val="TOC1"/>
            <w:tabs>
              <w:tab w:val="right" w:leader="dot" w:pos="9350"/>
            </w:tabs>
            <w:rPr>
              <w:rFonts w:asciiTheme="minorHAnsi" w:hAnsiTheme="minorHAnsi" w:cstheme="minorBidi"/>
              <w:noProof/>
              <w:kern w:val="2"/>
              <w:sz w:val="24"/>
              <w:szCs w:val="24"/>
              <w14:ligatures w14:val="standardContextual"/>
            </w:rPr>
          </w:pPr>
          <w:hyperlink w:history="1" w:anchor="_Toc220972229">
            <w:r w:rsidRPr="00596C99">
              <w:rPr>
                <w:rStyle w:val="Hyperlink"/>
                <w:noProof/>
              </w:rPr>
              <w:t>Conclusions of Law</w:t>
            </w:r>
            <w:r>
              <w:rPr>
                <w:noProof/>
                <w:webHidden/>
              </w:rPr>
              <w:tab/>
            </w:r>
            <w:r>
              <w:rPr>
                <w:noProof/>
                <w:webHidden/>
              </w:rPr>
              <w:fldChar w:fldCharType="begin"/>
            </w:r>
            <w:r>
              <w:rPr>
                <w:noProof/>
                <w:webHidden/>
              </w:rPr>
              <w:instrText xml:space="preserve"> PAGEREF _Toc220972229 \h </w:instrText>
            </w:r>
            <w:r>
              <w:rPr>
                <w:noProof/>
                <w:webHidden/>
              </w:rPr>
            </w:r>
            <w:r>
              <w:rPr>
                <w:noProof/>
                <w:webHidden/>
              </w:rPr>
              <w:fldChar w:fldCharType="separate"/>
            </w:r>
            <w:r w:rsidR="000C6A71">
              <w:rPr>
                <w:noProof/>
                <w:webHidden/>
              </w:rPr>
              <w:t>54</w:t>
            </w:r>
            <w:r>
              <w:rPr>
                <w:noProof/>
                <w:webHidden/>
              </w:rPr>
              <w:fldChar w:fldCharType="end"/>
            </w:r>
          </w:hyperlink>
        </w:p>
        <w:p w:rsidR="001A48E7" w:rsidRDefault="001A48E7" w14:paraId="4CFC228A" w14:textId="4AA7D665">
          <w:pPr>
            <w:pStyle w:val="TOC1"/>
            <w:tabs>
              <w:tab w:val="right" w:leader="dot" w:pos="9350"/>
            </w:tabs>
            <w:rPr>
              <w:rFonts w:asciiTheme="minorHAnsi" w:hAnsiTheme="minorHAnsi" w:cstheme="minorBidi"/>
              <w:noProof/>
              <w:kern w:val="2"/>
              <w:sz w:val="24"/>
              <w:szCs w:val="24"/>
              <w14:ligatures w14:val="standardContextual"/>
            </w:rPr>
          </w:pPr>
          <w:hyperlink w:history="1" w:anchor="_Toc220972230">
            <w:r w:rsidRPr="00596C99">
              <w:rPr>
                <w:rStyle w:val="Hyperlink"/>
                <w:noProof/>
              </w:rPr>
              <w:t>ORDER</w:t>
            </w:r>
            <w:r>
              <w:rPr>
                <w:noProof/>
                <w:webHidden/>
              </w:rPr>
              <w:tab/>
            </w:r>
            <w:r>
              <w:rPr>
                <w:noProof/>
                <w:webHidden/>
              </w:rPr>
              <w:fldChar w:fldCharType="begin"/>
            </w:r>
            <w:r>
              <w:rPr>
                <w:noProof/>
                <w:webHidden/>
              </w:rPr>
              <w:instrText xml:space="preserve"> PAGEREF _Toc220972230 \h </w:instrText>
            </w:r>
            <w:r>
              <w:rPr>
                <w:noProof/>
                <w:webHidden/>
              </w:rPr>
            </w:r>
            <w:r>
              <w:rPr>
                <w:noProof/>
                <w:webHidden/>
              </w:rPr>
              <w:fldChar w:fldCharType="separate"/>
            </w:r>
            <w:r w:rsidR="000C6A71">
              <w:rPr>
                <w:noProof/>
                <w:webHidden/>
              </w:rPr>
              <w:t>55</w:t>
            </w:r>
            <w:r>
              <w:rPr>
                <w:noProof/>
                <w:webHidden/>
              </w:rPr>
              <w:fldChar w:fldCharType="end"/>
            </w:r>
          </w:hyperlink>
        </w:p>
        <w:p w:rsidRPr="00B42CE0" w:rsidR="0041742E" w:rsidP="00B42CE0" w:rsidRDefault="0041742E" w14:paraId="5D91099C" w14:textId="7FC5DD06">
          <w:pPr>
            <w:pStyle w:val="TOC1"/>
            <w:tabs>
              <w:tab w:val="right" w:leader="dot" w:pos="9350"/>
            </w:tabs>
            <w:ind w:left="0" w:firstLine="0"/>
          </w:pPr>
          <w:r>
            <w:rPr>
              <w:rFonts w:asciiTheme="minorHAnsi" w:hAnsiTheme="minorHAnsi"/>
              <w:sz w:val="22"/>
            </w:rPr>
            <w:fldChar w:fldCharType="end"/>
          </w:r>
        </w:p>
      </w:sdtContent>
    </w:sdt>
    <w:p w:rsidRPr="006C10E5" w:rsidR="00395232" w:rsidP="0041742E" w:rsidRDefault="00395232" w14:paraId="2BDF8153" w14:textId="77777777">
      <w:pPr>
        <w:spacing w:line="240" w:lineRule="auto"/>
        <w:ind w:firstLine="0"/>
        <w:rPr>
          <w:rFonts w:cs="Arial"/>
          <w:iCs/>
          <w:szCs w:val="26"/>
        </w:rPr>
      </w:pPr>
    </w:p>
    <w:p w:rsidR="00326F37" w:rsidRDefault="00326F37" w14:paraId="5FF47636" w14:textId="77777777">
      <w:pPr>
        <w:spacing w:after="160" w:line="259" w:lineRule="auto"/>
        <w:ind w:firstLine="0"/>
        <w:rPr>
          <w:rFonts w:ascii="Arial" w:hAnsi="Arial" w:eastAsiaTheme="majorEastAsia" w:cstheme="majorBidi"/>
          <w:b/>
          <w:caps/>
          <w:szCs w:val="56"/>
        </w:rPr>
        <w:sectPr w:rsidR="00326F37" w:rsidSect="00326F37">
          <w:headerReference w:type="default" r:id="rId13"/>
          <w:footerReference w:type="default" r:id="rId14"/>
          <w:headerReference w:type="first" r:id="rId15"/>
          <w:footerReference w:type="first" r:id="rId16"/>
          <w:pgSz w:w="12240" w:h="15840"/>
          <w:pgMar w:top="1728" w:right="1440" w:bottom="1440" w:left="1440" w:header="720" w:footer="720" w:gutter="0"/>
          <w:pgNumType w:fmt="lowerRoman" w:start="1"/>
          <w:cols w:space="720"/>
          <w:titlePg/>
          <w:docGrid w:linePitch="360"/>
        </w:sectPr>
      </w:pPr>
    </w:p>
    <w:p w:rsidR="0098655A" w:rsidP="0041742E" w:rsidRDefault="00FC3982" w14:paraId="239181B0" w14:textId="10E5EB67">
      <w:pPr>
        <w:pStyle w:val="Main"/>
        <w:spacing w:after="240"/>
      </w:pPr>
      <w:r>
        <w:lastRenderedPageBreak/>
        <w:t>DECISION</w:t>
      </w:r>
      <w:r w:rsidR="006B5C99">
        <w:t xml:space="preserve"> </w:t>
      </w:r>
      <w:r w:rsidR="002B587F">
        <w:t>DISMISSING</w:t>
      </w:r>
      <w:r w:rsidR="003459CD">
        <w:t xml:space="preserve"> </w:t>
      </w:r>
      <w:r w:rsidR="0086205E">
        <w:t>aPPLICATION</w:t>
      </w:r>
    </w:p>
    <w:p w:rsidR="00B4296E" w:rsidP="0050296D" w:rsidRDefault="00B4296E" w14:paraId="780C0769" w14:textId="2D39303E">
      <w:pPr>
        <w:pStyle w:val="Heading1"/>
        <w:numPr>
          <w:ilvl w:val="0"/>
          <w:numId w:val="0"/>
        </w:numPr>
      </w:pPr>
      <w:bookmarkStart w:name="_Toc211606186" w:id="4"/>
      <w:bookmarkStart w:name="_Toc220596313" w:id="5"/>
      <w:bookmarkStart w:name="_Toc220972196" w:id="6"/>
      <w:r>
        <w:t>Summary</w:t>
      </w:r>
      <w:bookmarkEnd w:id="4"/>
      <w:bookmarkEnd w:id="5"/>
      <w:bookmarkEnd w:id="6"/>
    </w:p>
    <w:p w:rsidR="009A75CB" w:rsidP="009A75CB" w:rsidRDefault="00B4296E" w14:paraId="354D0A30" w14:textId="1A178007">
      <w:pPr>
        <w:rPr>
          <w:rFonts w:eastAsia="Calibri" w:cs="Times New Roman"/>
        </w:rPr>
      </w:pPr>
      <w:r>
        <w:t xml:space="preserve">This </w:t>
      </w:r>
      <w:r w:rsidR="006077EB">
        <w:t>decision</w:t>
      </w:r>
      <w:r>
        <w:t xml:space="preserve"> </w:t>
      </w:r>
      <w:r w:rsidR="009A75CB">
        <w:t xml:space="preserve">dismisses without prejudice California Resources Production Corporation’s (CRPC) Application (A.) 23-07-008, requesting a </w:t>
      </w:r>
      <w:r w:rsidRPr="001E7433" w:rsidR="009A75CB">
        <w:rPr>
          <w:rFonts w:cstheme="majorHAnsi"/>
          <w:szCs w:val="26"/>
        </w:rPr>
        <w:t>Certificate of Public Convenience and Necessity</w:t>
      </w:r>
      <w:r w:rsidR="009A75CB">
        <w:t xml:space="preserve"> (CPCN) to operate as a public utility gas corporation. The application is not ripe</w:t>
      </w:r>
      <w:r w:rsidR="00E90082">
        <w:t xml:space="preserve"> </w:t>
      </w:r>
      <w:r w:rsidR="006D5A98">
        <w:t>because of</w:t>
      </w:r>
      <w:r w:rsidR="00E90082">
        <w:t xml:space="preserve"> pend</w:t>
      </w:r>
      <w:r w:rsidR="006D5A98">
        <w:t>ing</w:t>
      </w:r>
      <w:r w:rsidR="00E90082">
        <w:t xml:space="preserve"> parallel judicial and local administrative proceedings</w:t>
      </w:r>
      <w:r w:rsidR="009A75CB">
        <w:t xml:space="preserve">. </w:t>
      </w:r>
      <w:r w:rsidR="00946934">
        <w:t xml:space="preserve">The Commission cannot determine </w:t>
      </w:r>
      <w:r w:rsidR="00E50F15">
        <w:t xml:space="preserve">at this time </w:t>
      </w:r>
      <w:r w:rsidR="00946934">
        <w:t xml:space="preserve">whether </w:t>
      </w:r>
      <w:r w:rsidR="009A75CB">
        <w:t xml:space="preserve">CRPC </w:t>
      </w:r>
      <w:r w:rsidR="009A75CB">
        <w:rPr>
          <w:rFonts w:eastAsia="Calibri" w:cs="Times New Roman"/>
        </w:rPr>
        <w:t>qualifies as a “gas corporation</w:t>
      </w:r>
      <w:r w:rsidRPr="000423F3" w:rsidR="009A75CB">
        <w:rPr>
          <w:rFonts w:eastAsia="Calibri" w:cs="Times New Roman"/>
        </w:rPr>
        <w:t>” under Pub</w:t>
      </w:r>
      <w:r w:rsidR="009A75CB">
        <w:rPr>
          <w:rFonts w:eastAsia="Calibri" w:cs="Times New Roman"/>
        </w:rPr>
        <w:t>lic</w:t>
      </w:r>
      <w:r w:rsidRPr="000423F3" w:rsidR="009A75CB">
        <w:rPr>
          <w:rFonts w:eastAsia="Calibri" w:cs="Times New Roman"/>
        </w:rPr>
        <w:t xml:space="preserve"> Util</w:t>
      </w:r>
      <w:r w:rsidR="009A75CB">
        <w:rPr>
          <w:rFonts w:eastAsia="Calibri" w:cs="Times New Roman"/>
        </w:rPr>
        <w:t>ities</w:t>
      </w:r>
      <w:r w:rsidRPr="000423F3" w:rsidR="009A75CB">
        <w:rPr>
          <w:rFonts w:eastAsia="Calibri" w:cs="Times New Roman"/>
        </w:rPr>
        <w:t xml:space="preserve"> Code </w:t>
      </w:r>
      <w:r w:rsidR="009A75CB">
        <w:rPr>
          <w:rFonts w:eastAsia="Calibri" w:cs="Times New Roman"/>
        </w:rPr>
        <w:t>S</w:t>
      </w:r>
      <w:r w:rsidRPr="000423F3" w:rsidR="009A75CB">
        <w:rPr>
          <w:rFonts w:eastAsia="Calibri" w:cs="Times New Roman"/>
        </w:rPr>
        <w:t>ection 2</w:t>
      </w:r>
      <w:r w:rsidR="009A75CB">
        <w:rPr>
          <w:rFonts w:eastAsia="Calibri" w:cs="Times New Roman"/>
        </w:rPr>
        <w:t>22</w:t>
      </w:r>
      <w:r w:rsidRPr="00B85D36" w:rsidR="009A75CB">
        <w:rPr>
          <w:szCs w:val="26"/>
        </w:rPr>
        <w:t xml:space="preserve"> </w:t>
      </w:r>
      <w:r w:rsidR="009A75CB">
        <w:t>because (1) CPRC’s o</w:t>
      </w:r>
      <w:r w:rsidRPr="000423F3" w:rsidR="009A75CB">
        <w:rPr>
          <w:rFonts w:eastAsia="Calibri" w:cs="Times New Roman"/>
        </w:rPr>
        <w:t xml:space="preserve">wnership of the </w:t>
      </w:r>
      <w:r w:rsidRPr="001E7433" w:rsidR="009A75CB">
        <w:rPr>
          <w:rFonts w:cstheme="majorHAnsi"/>
          <w:szCs w:val="26"/>
        </w:rPr>
        <w:t>U</w:t>
      </w:r>
      <w:r w:rsidR="009A75CB">
        <w:rPr>
          <w:rFonts w:cstheme="majorHAnsi"/>
          <w:szCs w:val="26"/>
        </w:rPr>
        <w:t>I</w:t>
      </w:r>
      <w:r w:rsidRPr="00D018F7" w:rsidR="009A75CB">
        <w:t xml:space="preserve"> </w:t>
      </w:r>
      <w:r w:rsidR="009A75CB">
        <w:t>P</w:t>
      </w:r>
      <w:r w:rsidRPr="00D018F7" w:rsidR="009A75CB">
        <w:t>ipeline</w:t>
      </w:r>
      <w:r w:rsidRPr="000423F3" w:rsidR="009A75CB">
        <w:rPr>
          <w:rFonts w:eastAsia="Calibri" w:cs="Times New Roman"/>
        </w:rPr>
        <w:t xml:space="preserve"> segment </w:t>
      </w:r>
      <w:r w:rsidR="009A75CB">
        <w:rPr>
          <w:rFonts w:eastAsia="Calibri" w:cs="Times New Roman"/>
        </w:rPr>
        <w:t>within the City of Antioch’s right-of-way has been</w:t>
      </w:r>
      <w:r w:rsidRPr="000423F3" w:rsidR="009A75CB">
        <w:rPr>
          <w:rFonts w:eastAsia="Calibri" w:cs="Times New Roman"/>
        </w:rPr>
        <w:t xml:space="preserve"> </w:t>
      </w:r>
      <w:r w:rsidR="009A72CD">
        <w:rPr>
          <w:rFonts w:eastAsia="Calibri" w:cs="Times New Roman"/>
        </w:rPr>
        <w:t>challenged</w:t>
      </w:r>
      <w:r w:rsidR="009A75CB">
        <w:rPr>
          <w:rFonts w:eastAsia="Calibri" w:cs="Times New Roman"/>
        </w:rPr>
        <w:t xml:space="preserve"> in a pending judicial action; and (2) CRPC </w:t>
      </w:r>
      <w:r w:rsidR="00E74367">
        <w:rPr>
          <w:rFonts w:eastAsia="Calibri" w:cs="Times New Roman"/>
        </w:rPr>
        <w:t xml:space="preserve">has pending franchise requests </w:t>
      </w:r>
      <w:r w:rsidR="009A75CB">
        <w:rPr>
          <w:rFonts w:eastAsia="Calibri" w:cs="Times New Roman"/>
        </w:rPr>
        <w:t>to control, operate or manage the UI Pipeline segments within the Cities of Antioch and Brentwood.</w:t>
      </w:r>
    </w:p>
    <w:p w:rsidR="00C35254" w:rsidP="009A75CB" w:rsidRDefault="009A75CB" w14:paraId="5DB2911A" w14:textId="171A0219">
      <w:r>
        <w:rPr>
          <w:rFonts w:eastAsia="Calibri" w:cs="Times New Roman"/>
        </w:rPr>
        <w:t xml:space="preserve">CRPC or its successor in interest may file a </w:t>
      </w:r>
      <w:r w:rsidRPr="00D64B24">
        <w:rPr>
          <w:rFonts w:eastAsia="Calibri" w:cs="Times New Roman"/>
        </w:rPr>
        <w:t xml:space="preserve">new application </w:t>
      </w:r>
      <w:r>
        <w:rPr>
          <w:rFonts w:eastAsia="Calibri" w:cs="Times New Roman"/>
        </w:rPr>
        <w:t xml:space="preserve">for </w:t>
      </w:r>
      <w:r>
        <w:t xml:space="preserve">a </w:t>
      </w:r>
      <w:r>
        <w:rPr>
          <w:rFonts w:cstheme="majorHAnsi"/>
          <w:szCs w:val="26"/>
        </w:rPr>
        <w:t>CPCN</w:t>
      </w:r>
      <w:r>
        <w:t xml:space="preserve"> to operate as a public utility gas corporation</w:t>
      </w:r>
      <w:r>
        <w:rPr>
          <w:rFonts w:eastAsia="Calibri" w:cs="Times New Roman"/>
        </w:rPr>
        <w:t xml:space="preserve"> u</w:t>
      </w:r>
      <w:r w:rsidRPr="00D64B24">
        <w:rPr>
          <w:rFonts w:eastAsia="Calibri" w:cs="Times New Roman"/>
        </w:rPr>
        <w:t>pon</w:t>
      </w:r>
      <w:r>
        <w:rPr>
          <w:rFonts w:eastAsia="Calibri" w:cs="Times New Roman"/>
        </w:rPr>
        <w:t xml:space="preserve"> either confirmation</w:t>
      </w:r>
      <w:r w:rsidRPr="00D64B24">
        <w:rPr>
          <w:rFonts w:eastAsia="Calibri" w:cs="Times New Roman"/>
        </w:rPr>
        <w:t xml:space="preserve"> of </w:t>
      </w:r>
      <w:r>
        <w:rPr>
          <w:rFonts w:eastAsia="Calibri" w:cs="Times New Roman"/>
        </w:rPr>
        <w:t xml:space="preserve">present </w:t>
      </w:r>
      <w:r w:rsidRPr="000423F3">
        <w:rPr>
          <w:rFonts w:eastAsia="Calibri" w:cs="Times New Roman"/>
        </w:rPr>
        <w:t xml:space="preserve">ownership </w:t>
      </w:r>
      <w:r w:rsidRPr="00D64B24">
        <w:rPr>
          <w:rFonts w:eastAsia="Calibri" w:cs="Times New Roman"/>
        </w:rPr>
        <w:t xml:space="preserve">rights </w:t>
      </w:r>
      <w:r>
        <w:rPr>
          <w:rFonts w:eastAsia="Calibri" w:cs="Times New Roman"/>
        </w:rPr>
        <w:t xml:space="preserve">to all segments of </w:t>
      </w:r>
      <w:r w:rsidRPr="00D64B24">
        <w:rPr>
          <w:rFonts w:eastAsia="Calibri" w:cs="Times New Roman"/>
        </w:rPr>
        <w:t xml:space="preserve">the </w:t>
      </w:r>
      <w:r w:rsidRPr="001E7433">
        <w:rPr>
          <w:rFonts w:cstheme="majorHAnsi"/>
          <w:szCs w:val="26"/>
        </w:rPr>
        <w:t>U</w:t>
      </w:r>
      <w:r>
        <w:t>I</w:t>
      </w:r>
      <w:r w:rsidRPr="00D018F7">
        <w:t xml:space="preserve"> </w:t>
      </w:r>
      <w:r>
        <w:t>P</w:t>
      </w:r>
      <w:r w:rsidRPr="00D018F7">
        <w:t>ipeline</w:t>
      </w:r>
      <w:r>
        <w:rPr>
          <w:rFonts w:eastAsia="Calibri" w:cs="Times New Roman"/>
        </w:rPr>
        <w:t xml:space="preserve"> or upon </w:t>
      </w:r>
      <w:r>
        <w:t xml:space="preserve">acquiring present rights to </w:t>
      </w:r>
      <w:r w:rsidRPr="006D4DE2">
        <w:rPr>
          <w:szCs w:val="26"/>
        </w:rPr>
        <w:t xml:space="preserve">control, operate, </w:t>
      </w:r>
      <w:r w:rsidRPr="00B85D36">
        <w:rPr>
          <w:szCs w:val="26"/>
        </w:rPr>
        <w:t>or</w:t>
      </w:r>
      <w:r w:rsidRPr="006D4DE2">
        <w:rPr>
          <w:szCs w:val="26"/>
        </w:rPr>
        <w:t xml:space="preserve"> manage</w:t>
      </w:r>
      <w:r w:rsidRPr="000E5E68">
        <w:rPr>
          <w:szCs w:val="26"/>
        </w:rPr>
        <w:t xml:space="preserve"> </w:t>
      </w:r>
      <w:r>
        <w:rPr>
          <w:rFonts w:eastAsia="Calibri" w:cs="Times New Roman"/>
        </w:rPr>
        <w:t xml:space="preserve">all segments of </w:t>
      </w:r>
      <w:r w:rsidRPr="00D64B24">
        <w:rPr>
          <w:rFonts w:eastAsia="Calibri" w:cs="Times New Roman"/>
        </w:rPr>
        <w:t xml:space="preserve">the </w:t>
      </w:r>
      <w:r w:rsidRPr="001E7433">
        <w:rPr>
          <w:rFonts w:cstheme="majorHAnsi"/>
          <w:szCs w:val="26"/>
        </w:rPr>
        <w:t>U</w:t>
      </w:r>
      <w:r>
        <w:t>I</w:t>
      </w:r>
      <w:r w:rsidRPr="00D018F7">
        <w:t xml:space="preserve"> </w:t>
      </w:r>
      <w:r>
        <w:t>P</w:t>
      </w:r>
      <w:r w:rsidRPr="00D018F7">
        <w:t>ipeline</w:t>
      </w:r>
      <w:r w:rsidR="00824045">
        <w:t>.</w:t>
      </w:r>
      <w:r w:rsidR="005A0948">
        <w:t xml:space="preserve"> </w:t>
      </w:r>
    </w:p>
    <w:p w:rsidR="00482206" w:rsidP="00B4296E" w:rsidRDefault="00824045" w14:paraId="58A7D532" w14:textId="12975168">
      <w:r>
        <w:t xml:space="preserve">This decision also </w:t>
      </w:r>
      <w:r w:rsidR="00AA7535">
        <w:t xml:space="preserve">denies </w:t>
      </w:r>
      <w:r w:rsidR="00126A66">
        <w:t xml:space="preserve">the </w:t>
      </w:r>
      <w:r w:rsidR="007F0F59">
        <w:t xml:space="preserve">request to hold this proceeding in abeyance </w:t>
      </w:r>
      <w:r>
        <w:t xml:space="preserve">made </w:t>
      </w:r>
      <w:r w:rsidR="007F0F59">
        <w:t xml:space="preserve">by the cities of </w:t>
      </w:r>
      <w:r w:rsidRPr="002B436D" w:rsidR="007F0F59">
        <w:t>Antioch and Brentwood, California</w:t>
      </w:r>
      <w:r w:rsidR="00A11EFC">
        <w:t>;</w:t>
      </w:r>
      <w:r w:rsidR="007F0F59">
        <w:t xml:space="preserve"> denies </w:t>
      </w:r>
      <w:r w:rsidR="006879E8">
        <w:t>California Resources Production Corporation</w:t>
      </w:r>
      <w:r w:rsidR="00EB35A7">
        <w:t xml:space="preserve">’s motion to amend </w:t>
      </w:r>
      <w:r w:rsidR="004E1563">
        <w:t>Application 23-07-008</w:t>
      </w:r>
      <w:r w:rsidR="00A11EFC">
        <w:t>; and grants for a period of three years</w:t>
      </w:r>
      <w:r w:rsidR="00C10F62">
        <w:t xml:space="preserve"> </w:t>
      </w:r>
      <w:r w:rsidRPr="00884582" w:rsidR="00A11EFC">
        <w:rPr>
          <w:rFonts w:cstheme="majorHAnsi"/>
          <w:szCs w:val="26"/>
        </w:rPr>
        <w:t>California Resources Production Corporation</w:t>
      </w:r>
      <w:r w:rsidRPr="00884582" w:rsidR="00A11EFC">
        <w:t xml:space="preserve">’s motions to file </w:t>
      </w:r>
      <w:r w:rsidR="00C10F62">
        <w:t xml:space="preserve">certain materials </w:t>
      </w:r>
      <w:r w:rsidRPr="00884582" w:rsidR="00A11EFC">
        <w:t>as confidential under seal</w:t>
      </w:r>
      <w:r w:rsidR="006077EB">
        <w:t>.</w:t>
      </w:r>
    </w:p>
    <w:p w:rsidRPr="006B5C99" w:rsidR="00B4296E" w:rsidP="00B4296E" w:rsidRDefault="00011ED8" w14:paraId="124549D1" w14:textId="7DBD0CFA">
      <w:r>
        <w:t xml:space="preserve">Application 23-07-008 </w:t>
      </w:r>
      <w:r w:rsidR="006077EB">
        <w:t xml:space="preserve">is closed. </w:t>
      </w:r>
      <w:r w:rsidR="00B4296E">
        <w:t xml:space="preserve"> </w:t>
      </w:r>
    </w:p>
    <w:p w:rsidR="0050296D" w:rsidP="00B4296E" w:rsidRDefault="0050296D" w14:paraId="2DCF8DE4" w14:textId="76C636A7">
      <w:pPr>
        <w:pStyle w:val="Heading1"/>
      </w:pPr>
      <w:bookmarkStart w:name="_Toc211606187" w:id="7"/>
      <w:bookmarkStart w:name="_Toc220596314" w:id="8"/>
      <w:bookmarkStart w:name="_Toc220972197" w:id="9"/>
      <w:r>
        <w:t>Background</w:t>
      </w:r>
      <w:bookmarkEnd w:id="7"/>
      <w:bookmarkEnd w:id="8"/>
      <w:bookmarkEnd w:id="9"/>
    </w:p>
    <w:p w:rsidR="00D865BC" w:rsidP="00D865BC" w:rsidRDefault="002711C7" w14:paraId="6DD9B64E" w14:textId="1F179B6F">
      <w:pPr>
        <w:pStyle w:val="Heading2"/>
      </w:pPr>
      <w:bookmarkStart w:name="_Toc211606188" w:id="10"/>
      <w:bookmarkStart w:name="_Toc220596315" w:id="11"/>
      <w:bookmarkStart w:name="_Toc220972198" w:id="12"/>
      <w:r>
        <w:t xml:space="preserve">CRPC’s </w:t>
      </w:r>
      <w:r w:rsidR="00D865BC">
        <w:t>Application</w:t>
      </w:r>
      <w:bookmarkEnd w:id="10"/>
      <w:bookmarkEnd w:id="11"/>
      <w:bookmarkEnd w:id="12"/>
    </w:p>
    <w:p w:rsidR="00B26C0A" w:rsidP="004B6771" w:rsidRDefault="00D865BC" w14:paraId="0A0CDE6C" w14:textId="493FD24A">
      <w:pPr>
        <w:pStyle w:val="Standard"/>
      </w:pPr>
      <w:r w:rsidRPr="001E7433">
        <w:rPr>
          <w:rFonts w:cstheme="majorHAnsi"/>
          <w:szCs w:val="26"/>
        </w:rPr>
        <w:t>On July 19, 2023, Applicant California Resources Production Corporation (CRPC) filed Application (A.) 23-07-008</w:t>
      </w:r>
      <w:r w:rsidR="00A2311D">
        <w:rPr>
          <w:rFonts w:cstheme="majorHAnsi"/>
          <w:szCs w:val="26"/>
        </w:rPr>
        <w:t>,</w:t>
      </w:r>
      <w:r w:rsidRPr="001E7433">
        <w:rPr>
          <w:rFonts w:cstheme="majorHAnsi"/>
          <w:szCs w:val="26"/>
        </w:rPr>
        <w:t xml:space="preserve"> requesting a Certificate of Public </w:t>
      </w:r>
      <w:r w:rsidRPr="001E7433">
        <w:rPr>
          <w:rFonts w:cstheme="majorHAnsi"/>
          <w:szCs w:val="26"/>
        </w:rPr>
        <w:lastRenderedPageBreak/>
        <w:t>Convenience and Necessity (CPCN) from the California Public Utilities Commission (Commission)</w:t>
      </w:r>
      <w:r w:rsidR="003668A2">
        <w:rPr>
          <w:rFonts w:cstheme="majorHAnsi"/>
          <w:szCs w:val="26"/>
        </w:rPr>
        <w:t xml:space="preserve">. </w:t>
      </w:r>
      <w:r w:rsidR="00DE167E">
        <w:rPr>
          <w:rFonts w:cstheme="majorHAnsi"/>
          <w:szCs w:val="26"/>
        </w:rPr>
        <w:t xml:space="preserve">Specifically, </w:t>
      </w:r>
      <w:r w:rsidRPr="00B4453F" w:rsidR="002F57B7">
        <w:t>CRPC seek</w:t>
      </w:r>
      <w:r w:rsidR="00EF2A80">
        <w:t>s</w:t>
      </w:r>
      <w:r w:rsidRPr="00B4453F" w:rsidR="002F57B7">
        <w:t xml:space="preserve"> a</w:t>
      </w:r>
      <w:r w:rsidR="002F57B7">
        <w:t xml:space="preserve"> Commission</w:t>
      </w:r>
      <w:r w:rsidRPr="00B4453F" w:rsidR="002F57B7">
        <w:t xml:space="preserve"> order </w:t>
      </w:r>
      <w:r w:rsidRPr="00C43415" w:rsidR="00C43415">
        <w:t>designat</w:t>
      </w:r>
      <w:r w:rsidR="00C43415">
        <w:t xml:space="preserve">ing </w:t>
      </w:r>
      <w:r w:rsidRPr="00C43415" w:rsidR="00C43415">
        <w:t xml:space="preserve">it </w:t>
      </w:r>
      <w:r w:rsidRPr="00B4453F" w:rsidR="002F57B7">
        <w:t xml:space="preserve">a </w:t>
      </w:r>
      <w:r w:rsidR="00935B2A">
        <w:t>“</w:t>
      </w:r>
      <w:r w:rsidR="00A15D4F">
        <w:t xml:space="preserve">public utility </w:t>
      </w:r>
      <w:r w:rsidRPr="00B4453F" w:rsidR="002F57B7">
        <w:t>gas corporation</w:t>
      </w:r>
      <w:r w:rsidR="00935B2A">
        <w:t>”</w:t>
      </w:r>
      <w:r w:rsidR="00A15D4F">
        <w:t xml:space="preserve"> </w:t>
      </w:r>
      <w:r w:rsidR="00B5381C">
        <w:t xml:space="preserve">pursuant to </w:t>
      </w:r>
      <w:r w:rsidR="009D1159">
        <w:t xml:space="preserve">California </w:t>
      </w:r>
      <w:r w:rsidR="00B5381C">
        <w:t>Public Utility Code</w:t>
      </w:r>
      <w:r w:rsidR="000575B9">
        <w:rPr>
          <w:rStyle w:val="FootnoteReference"/>
        </w:rPr>
        <w:footnoteReference w:id="2"/>
      </w:r>
      <w:r w:rsidR="00B5381C">
        <w:t xml:space="preserve"> Sections 216 and 222 </w:t>
      </w:r>
      <w:r w:rsidRPr="001E7433">
        <w:rPr>
          <w:rFonts w:cstheme="majorHAnsi"/>
          <w:szCs w:val="26"/>
        </w:rPr>
        <w:t xml:space="preserve">to </w:t>
      </w:r>
      <w:r w:rsidR="00C43415">
        <w:rPr>
          <w:rFonts w:cstheme="majorHAnsi"/>
          <w:szCs w:val="26"/>
        </w:rPr>
        <w:t xml:space="preserve">enable it to </w:t>
      </w:r>
      <w:r w:rsidRPr="001E7433">
        <w:rPr>
          <w:rFonts w:cstheme="majorHAnsi"/>
          <w:szCs w:val="26"/>
        </w:rPr>
        <w:t xml:space="preserve">operate the </w:t>
      </w:r>
      <w:r w:rsidRPr="002C1017" w:rsidR="007D65CB">
        <w:rPr>
          <w:rFonts w:cstheme="majorHAnsi"/>
          <w:szCs w:val="26"/>
        </w:rPr>
        <w:t>35.14 mile</w:t>
      </w:r>
      <w:r w:rsidR="007D65CB">
        <w:rPr>
          <w:rFonts w:cstheme="majorHAnsi"/>
          <w:szCs w:val="26"/>
        </w:rPr>
        <w:t xml:space="preserve"> </w:t>
      </w:r>
      <w:r w:rsidRPr="001E7433">
        <w:rPr>
          <w:rFonts w:cstheme="majorHAnsi"/>
          <w:szCs w:val="26"/>
        </w:rPr>
        <w:t xml:space="preserve">Union Island </w:t>
      </w:r>
      <w:r w:rsidRPr="00D018F7" w:rsidR="00B77D62">
        <w:t xml:space="preserve">natural gas pipeline </w:t>
      </w:r>
      <w:r w:rsidRPr="001E7433">
        <w:rPr>
          <w:rFonts w:cstheme="majorHAnsi"/>
          <w:szCs w:val="26"/>
        </w:rPr>
        <w:t>(UI Pipeline)</w:t>
      </w:r>
      <w:r w:rsidRPr="00395232">
        <w:t>.</w:t>
      </w:r>
      <w:r w:rsidRPr="00395232" w:rsidR="005E1E65">
        <w:rPr>
          <w:rStyle w:val="FootnoteReference"/>
        </w:rPr>
        <w:footnoteReference w:id="3"/>
      </w:r>
      <w:r w:rsidRPr="00395232">
        <w:rPr>
          <w:rStyle w:val="FootnoteReference"/>
        </w:rPr>
        <w:t xml:space="preserve"> </w:t>
      </w:r>
      <w:r w:rsidRPr="00395232" w:rsidR="00D018F7">
        <w:t>The Application</w:t>
      </w:r>
      <w:r w:rsidRPr="00395232">
        <w:t xml:space="preserve"> state</w:t>
      </w:r>
      <w:r w:rsidRPr="00395232" w:rsidR="00D018F7">
        <w:t>s</w:t>
      </w:r>
      <w:r w:rsidRPr="00395232">
        <w:t xml:space="preserve"> that CRPC </w:t>
      </w:r>
      <w:r w:rsidR="003E2697">
        <w:t xml:space="preserve">previously </w:t>
      </w:r>
      <w:r w:rsidRPr="00395232">
        <w:t xml:space="preserve">operated the </w:t>
      </w:r>
      <w:r w:rsidR="0032142F">
        <w:t xml:space="preserve">full </w:t>
      </w:r>
      <w:r w:rsidRPr="00395232">
        <w:t xml:space="preserve">UI Pipeline </w:t>
      </w:r>
      <w:r w:rsidR="00F13334">
        <w:t>--</w:t>
      </w:r>
      <w:r w:rsidR="002B492A">
        <w:t xml:space="preserve"> as a private </w:t>
      </w:r>
      <w:r w:rsidR="001351E7">
        <w:t>party</w:t>
      </w:r>
      <w:r w:rsidR="00294A6D">
        <w:t xml:space="preserve"> </w:t>
      </w:r>
      <w:r w:rsidR="0045456B">
        <w:t xml:space="preserve">-- </w:t>
      </w:r>
      <w:r w:rsidRPr="00395232">
        <w:t>to transport natural gas for CRPC</w:t>
      </w:r>
      <w:r w:rsidRPr="00395232" w:rsidR="00932FC7">
        <w:t xml:space="preserve">, </w:t>
      </w:r>
      <w:r w:rsidRPr="00395232" w:rsidR="004B6771">
        <w:t xml:space="preserve">its </w:t>
      </w:r>
      <w:r w:rsidRPr="00395232">
        <w:t>affiliates</w:t>
      </w:r>
      <w:r w:rsidRPr="00395232" w:rsidR="00932FC7">
        <w:t>,</w:t>
      </w:r>
      <w:r w:rsidRPr="00395232">
        <w:t xml:space="preserve"> and for third-party customers on a contractual basis</w:t>
      </w:r>
      <w:r w:rsidR="00D15CD0">
        <w:t>,</w:t>
      </w:r>
      <w:r w:rsidRPr="00395232">
        <w:t xml:space="preserve"> </w:t>
      </w:r>
      <w:r w:rsidR="004D1401">
        <w:t xml:space="preserve">beginning in </w:t>
      </w:r>
      <w:r w:rsidRPr="00395232">
        <w:t>2013.</w:t>
      </w:r>
      <w:r w:rsidRPr="00395232">
        <w:rPr>
          <w:rStyle w:val="FootnoteReference"/>
        </w:rPr>
        <w:footnoteReference w:id="4"/>
      </w:r>
      <w:r w:rsidRPr="00395232">
        <w:rPr>
          <w:rStyle w:val="FootnoteReference"/>
        </w:rPr>
        <w:t xml:space="preserve"> </w:t>
      </w:r>
      <w:r w:rsidR="00A7462F">
        <w:t xml:space="preserve"> </w:t>
      </w:r>
      <w:r w:rsidRPr="00395232">
        <w:t>The UI Pipeline ceased transport</w:t>
      </w:r>
      <w:r w:rsidR="00AD5B38">
        <w:t>ing</w:t>
      </w:r>
      <w:r w:rsidRPr="00395232">
        <w:t xml:space="preserve"> gas in May 2023.</w:t>
      </w:r>
      <w:r w:rsidRPr="00395232">
        <w:rPr>
          <w:rStyle w:val="FootnoteReference"/>
        </w:rPr>
        <w:footnoteReference w:id="5"/>
      </w:r>
      <w:r w:rsidRPr="00395232">
        <w:rPr>
          <w:rStyle w:val="FootnoteReference"/>
        </w:rPr>
        <w:t xml:space="preserve"> </w:t>
      </w:r>
    </w:p>
    <w:p w:rsidRPr="00DB24E8" w:rsidR="00D43BD8" w:rsidP="004B6771" w:rsidRDefault="003B4304" w14:paraId="17D015CE" w14:textId="1105BFAE">
      <w:pPr>
        <w:pStyle w:val="Standard"/>
      </w:pPr>
      <w:r>
        <w:t xml:space="preserve">At all times during the pendency of </w:t>
      </w:r>
      <w:r w:rsidR="002E070B">
        <w:t>A.</w:t>
      </w:r>
      <w:r w:rsidRPr="001E7433" w:rsidR="001368DB">
        <w:rPr>
          <w:rFonts w:cstheme="majorHAnsi"/>
          <w:szCs w:val="26"/>
        </w:rPr>
        <w:t>23-07-008</w:t>
      </w:r>
      <w:r>
        <w:t xml:space="preserve">, </w:t>
      </w:r>
      <w:r w:rsidRPr="002B436D" w:rsidR="00D364B5">
        <w:t xml:space="preserve">CRPC </w:t>
      </w:r>
      <w:r>
        <w:t>has</w:t>
      </w:r>
      <w:r w:rsidRPr="002B436D">
        <w:t xml:space="preserve"> </w:t>
      </w:r>
      <w:r w:rsidRPr="002B436D" w:rsidR="00D364B5">
        <w:t>lack</w:t>
      </w:r>
      <w:r>
        <w:t>ed</w:t>
      </w:r>
      <w:r w:rsidRPr="002B436D" w:rsidR="00D364B5">
        <w:t xml:space="preserve"> </w:t>
      </w:r>
      <w:r w:rsidRPr="002B436D" w:rsidR="00B06699">
        <w:t xml:space="preserve">legal rights to </w:t>
      </w:r>
      <w:r w:rsidR="00A83EED">
        <w:t xml:space="preserve">control, </w:t>
      </w:r>
      <w:r w:rsidRPr="002B436D" w:rsidR="00B06699">
        <w:t>operate</w:t>
      </w:r>
      <w:r w:rsidR="009C1176">
        <w:t>, or manage</w:t>
      </w:r>
      <w:r w:rsidRPr="002B436D" w:rsidR="00B06699">
        <w:t xml:space="preserve"> U</w:t>
      </w:r>
      <w:r w:rsidRPr="002B436D" w:rsidR="001332F8">
        <w:t>I</w:t>
      </w:r>
      <w:r w:rsidRPr="002B436D" w:rsidR="00B06699">
        <w:t xml:space="preserve"> Pipeline segments</w:t>
      </w:r>
      <w:r w:rsidR="004214F9">
        <w:t xml:space="preserve"> </w:t>
      </w:r>
      <w:r w:rsidRPr="002B436D" w:rsidR="00B06699">
        <w:t>within the public rights-of-way of Antioch and Brentwood, California (jointly</w:t>
      </w:r>
      <w:r w:rsidRPr="002B436D" w:rsidR="00AE1903">
        <w:t>,</w:t>
      </w:r>
      <w:r w:rsidRPr="002B436D" w:rsidR="00B06699">
        <w:t xml:space="preserve"> the Cities)</w:t>
      </w:r>
      <w:r w:rsidRPr="002B436D" w:rsidR="004E1944">
        <w:t xml:space="preserve">. </w:t>
      </w:r>
      <w:r w:rsidRPr="002B436D" w:rsidR="00756990">
        <w:t xml:space="preserve">The Cities </w:t>
      </w:r>
      <w:r w:rsidR="008B6A2B">
        <w:t xml:space="preserve">previously granted </w:t>
      </w:r>
      <w:r w:rsidR="00C41348">
        <w:t>those rights to CRP</w:t>
      </w:r>
      <w:r w:rsidR="002C03D2">
        <w:t>C</w:t>
      </w:r>
      <w:r w:rsidR="00C41348">
        <w:t xml:space="preserve"> through </w:t>
      </w:r>
      <w:r w:rsidR="00220C61">
        <w:t xml:space="preserve">local </w:t>
      </w:r>
      <w:r w:rsidRPr="002B436D" w:rsidR="00F24E66">
        <w:t xml:space="preserve">franchise </w:t>
      </w:r>
      <w:r w:rsidRPr="002B436D" w:rsidR="004E1944">
        <w:lastRenderedPageBreak/>
        <w:t>agreements</w:t>
      </w:r>
      <w:r w:rsidR="00A922DB">
        <w:t xml:space="preserve"> </w:t>
      </w:r>
      <w:r w:rsidR="001C3B80">
        <w:t xml:space="preserve">that </w:t>
      </w:r>
      <w:r w:rsidR="000D6AB5">
        <w:t>expired in 2021</w:t>
      </w:r>
      <w:r w:rsidR="00C7112A">
        <w:t>.</w:t>
      </w:r>
      <w:r w:rsidR="007600B8">
        <w:rPr>
          <w:rStyle w:val="FootnoteReference"/>
          <w:szCs w:val="26"/>
          <w:lang w:val="en-ZW"/>
        </w:rPr>
        <w:footnoteReference w:id="6"/>
      </w:r>
      <w:r w:rsidR="000D6AB5">
        <w:t xml:space="preserve"> </w:t>
      </w:r>
      <w:r w:rsidRPr="00DB24E8" w:rsidR="00241480">
        <w:t xml:space="preserve">To secure new franchise rights, </w:t>
      </w:r>
      <w:r w:rsidRPr="00DB24E8" w:rsidR="00050D0B">
        <w:t xml:space="preserve">CRPC </w:t>
      </w:r>
      <w:r w:rsidRPr="00DB24E8" w:rsidR="000A07C1">
        <w:t xml:space="preserve">initiated </w:t>
      </w:r>
      <w:r w:rsidRPr="00DB24E8" w:rsidR="005A31EC">
        <w:t xml:space="preserve">local administrative </w:t>
      </w:r>
      <w:r w:rsidRPr="00DB24E8" w:rsidR="00747C4C">
        <w:t xml:space="preserve">proceedings </w:t>
      </w:r>
      <w:r w:rsidR="00AE0089">
        <w:t>with</w:t>
      </w:r>
      <w:r w:rsidRPr="00DB24E8" w:rsidR="00AE0089">
        <w:t xml:space="preserve"> </w:t>
      </w:r>
      <w:r w:rsidRPr="00DB24E8" w:rsidR="000B422A">
        <w:t xml:space="preserve">each </w:t>
      </w:r>
      <w:r w:rsidR="007E143F">
        <w:t>C</w:t>
      </w:r>
      <w:r w:rsidRPr="00DB24E8" w:rsidR="000B422A">
        <w:t>ity</w:t>
      </w:r>
      <w:r w:rsidRPr="00DB24E8" w:rsidR="00D43BD8">
        <w:t xml:space="preserve">. </w:t>
      </w:r>
      <w:r w:rsidR="005B26E9">
        <w:t>To date, n</w:t>
      </w:r>
      <w:r w:rsidR="00B70917">
        <w:t xml:space="preserve">either City has reauthorized </w:t>
      </w:r>
      <w:r w:rsidR="009F5397">
        <w:t xml:space="preserve">a </w:t>
      </w:r>
      <w:r w:rsidR="00500595">
        <w:t>franchise agreement</w:t>
      </w:r>
      <w:r w:rsidR="009F5397">
        <w:t xml:space="preserve"> </w:t>
      </w:r>
      <w:r w:rsidR="003D70D5">
        <w:t xml:space="preserve">or other </w:t>
      </w:r>
      <w:r w:rsidR="009C0495">
        <w:t xml:space="preserve">permit </w:t>
      </w:r>
      <w:r w:rsidR="009F5397">
        <w:t>allowing</w:t>
      </w:r>
      <w:r w:rsidR="00500595">
        <w:t xml:space="preserve"> </w:t>
      </w:r>
      <w:r w:rsidR="00B70917">
        <w:t xml:space="preserve">CPRC to </w:t>
      </w:r>
      <w:r w:rsidR="003212C5">
        <w:t xml:space="preserve">control, </w:t>
      </w:r>
      <w:r w:rsidR="00B70917">
        <w:t>operat</w:t>
      </w:r>
      <w:r w:rsidR="009F5397">
        <w:t>e</w:t>
      </w:r>
      <w:r w:rsidR="003212C5">
        <w:t>, or manage</w:t>
      </w:r>
      <w:r w:rsidR="00B70917">
        <w:t xml:space="preserve"> the UI Pipeline segment</w:t>
      </w:r>
      <w:r w:rsidR="009F5397">
        <w:t xml:space="preserve"> w</w:t>
      </w:r>
      <w:r w:rsidR="003F50F5">
        <w:t xml:space="preserve">ithin </w:t>
      </w:r>
      <w:r w:rsidR="00300E8D">
        <w:t>its</w:t>
      </w:r>
      <w:r w:rsidR="002720DE">
        <w:t xml:space="preserve"> </w:t>
      </w:r>
      <w:r w:rsidR="007819A6">
        <w:t>jurisdiction</w:t>
      </w:r>
      <w:r w:rsidRPr="002B436D" w:rsidR="00B70917">
        <w:t>.</w:t>
      </w:r>
      <w:r w:rsidRPr="002B436D" w:rsidR="00B70917">
        <w:rPr>
          <w:rStyle w:val="FootnoteReference"/>
        </w:rPr>
        <w:footnoteReference w:id="7"/>
      </w:r>
    </w:p>
    <w:p w:rsidRPr="006C10E5" w:rsidR="00BC4CB0" w:rsidP="003D0A12" w:rsidRDefault="00060840" w14:paraId="6CF02A7B" w14:textId="070A05FE">
      <w:pPr>
        <w:pStyle w:val="Standard"/>
      </w:pPr>
      <w:bookmarkStart w:name="_Hlk197346747" w:id="13"/>
      <w:r w:rsidRPr="00F00752">
        <w:t>Moreover</w:t>
      </w:r>
      <w:r w:rsidRPr="00F00752" w:rsidR="00A01EC3">
        <w:t xml:space="preserve">, </w:t>
      </w:r>
      <w:r w:rsidRPr="00F00752" w:rsidR="00116081">
        <w:t>a</w:t>
      </w:r>
      <w:r w:rsidRPr="00F00752" w:rsidR="00A01EC3">
        <w:t>t all times during the pendency of A.</w:t>
      </w:r>
      <w:r w:rsidRPr="00F00752" w:rsidR="00A01EC3">
        <w:rPr>
          <w:rFonts w:cstheme="majorHAnsi"/>
          <w:szCs w:val="26"/>
        </w:rPr>
        <w:t>23-07-008</w:t>
      </w:r>
      <w:r w:rsidRPr="00F00752" w:rsidR="00A01EC3">
        <w:t xml:space="preserve">, CRPC </w:t>
      </w:r>
      <w:r w:rsidRPr="006C10E5" w:rsidR="0060367F">
        <w:t xml:space="preserve">or its </w:t>
      </w:r>
      <w:r w:rsidRPr="006C10E5" w:rsidR="00956B70">
        <w:t xml:space="preserve">successor-in-interest </w:t>
      </w:r>
      <w:r w:rsidRPr="00F00752" w:rsidR="00A01EC3">
        <w:t xml:space="preserve">has </w:t>
      </w:r>
      <w:r w:rsidRPr="006C10E5" w:rsidR="00CD48A5">
        <w:t>held disputed ownership</w:t>
      </w:r>
      <w:r w:rsidRPr="006C10E5" w:rsidR="003B7F7D">
        <w:t xml:space="preserve"> rights in the</w:t>
      </w:r>
      <w:r w:rsidRPr="00F00752" w:rsidR="00A01EC3">
        <w:t xml:space="preserve"> UI Pipeline segment within Antioch.</w:t>
      </w:r>
      <w:r w:rsidRPr="00F00752" w:rsidR="00116081">
        <w:t xml:space="preserve"> </w:t>
      </w:r>
      <w:r w:rsidRPr="00F00752" w:rsidR="000B0016">
        <w:t xml:space="preserve">Prior to the filing of the Application with the Commission, </w:t>
      </w:r>
      <w:r w:rsidRPr="00F00752" w:rsidR="002A2FFB">
        <w:rPr>
          <w:rFonts w:eastAsia="Calibri" w:cs="Times New Roman"/>
        </w:rPr>
        <w:t xml:space="preserve">on December 27, 2021, </w:t>
      </w:r>
      <w:r w:rsidRPr="00F00752" w:rsidR="00EE5D15">
        <w:rPr>
          <w:rFonts w:eastAsia="Calibri" w:cs="Times New Roman"/>
        </w:rPr>
        <w:t xml:space="preserve">CRPC filed a Petition for Writ of Mandamus and Complaint </w:t>
      </w:r>
      <w:r w:rsidRPr="00F00752" w:rsidR="00E07431">
        <w:t xml:space="preserve">to challenge </w:t>
      </w:r>
      <w:r w:rsidRPr="00F00752" w:rsidR="00266441">
        <w:t>Antioch’s franchise agreement t</w:t>
      </w:r>
      <w:r w:rsidRPr="00F00752" w:rsidR="001A1B22">
        <w:t>ermination</w:t>
      </w:r>
      <w:r w:rsidRPr="00F00752" w:rsidR="00747C4C">
        <w:t xml:space="preserve"> in </w:t>
      </w:r>
      <w:r w:rsidRPr="00F00752" w:rsidR="007E1DCD">
        <w:t xml:space="preserve">Contra Costa County </w:t>
      </w:r>
      <w:r w:rsidRPr="00F00752" w:rsidR="00747C4C">
        <w:t>Superior Court</w:t>
      </w:r>
      <w:r w:rsidRPr="00F00752" w:rsidR="00B32042">
        <w:t>.</w:t>
      </w:r>
      <w:r w:rsidRPr="00F00752" w:rsidR="001A1B22">
        <w:t xml:space="preserve"> </w:t>
      </w:r>
    </w:p>
    <w:p w:rsidR="00AF1AC1" w:rsidP="003D0A12" w:rsidRDefault="003D0A12" w14:paraId="6784E789" w14:textId="39664B8F">
      <w:pPr>
        <w:pStyle w:val="Standard"/>
      </w:pPr>
      <w:r w:rsidRPr="00BB21A9">
        <w:lastRenderedPageBreak/>
        <w:t xml:space="preserve">Antioch filed a cross-complaint against CRPC </w:t>
      </w:r>
      <w:r w:rsidRPr="00BB21A9" w:rsidR="00AA72FE">
        <w:t>on February 10, 2022</w:t>
      </w:r>
      <w:r w:rsidRPr="006C10E5" w:rsidR="00606B09">
        <w:t xml:space="preserve"> that was</w:t>
      </w:r>
      <w:r w:rsidRPr="006C10E5" w:rsidR="00DE55ED">
        <w:t xml:space="preserve"> amended on March 30, 2022. </w:t>
      </w:r>
      <w:r w:rsidRPr="006C10E5" w:rsidR="006A759E">
        <w:t xml:space="preserve">Antioch </w:t>
      </w:r>
      <w:r w:rsidRPr="006C10E5" w:rsidR="00E26931">
        <w:t>sought</w:t>
      </w:r>
      <w:r w:rsidRPr="00BB21A9">
        <w:t xml:space="preserve"> a permanent injunction </w:t>
      </w:r>
      <w:r w:rsidRPr="006C10E5" w:rsidR="002601ED">
        <w:t>requiring CRPC to abandon the Antioch segment</w:t>
      </w:r>
      <w:r w:rsidRPr="006C10E5" w:rsidR="005E557E">
        <w:t>,</w:t>
      </w:r>
      <w:r w:rsidRPr="006C10E5" w:rsidR="002601ED">
        <w:t xml:space="preserve"> </w:t>
      </w:r>
      <w:r w:rsidRPr="00BB21A9">
        <w:t xml:space="preserve">as well as other relief. </w:t>
      </w:r>
      <w:r w:rsidRPr="00BB21A9" w:rsidR="00247380">
        <w:t xml:space="preserve">Antioch </w:t>
      </w:r>
      <w:r w:rsidRPr="00BB21A9" w:rsidR="00146D59">
        <w:t xml:space="preserve">challenged </w:t>
      </w:r>
      <w:r w:rsidRPr="00BB21A9" w:rsidR="001700EA">
        <w:t>CRPC’s prior</w:t>
      </w:r>
      <w:r w:rsidRPr="00BB21A9" w:rsidR="000166C2">
        <w:t>, present, and future</w:t>
      </w:r>
      <w:r w:rsidRPr="00BB21A9" w:rsidR="001700EA">
        <w:t xml:space="preserve"> ownership rights </w:t>
      </w:r>
      <w:r w:rsidRPr="00BB21A9" w:rsidR="00C57626">
        <w:t xml:space="preserve">to the UI Pipeline segment within the City, </w:t>
      </w:r>
      <w:r w:rsidRPr="00BB21A9" w:rsidR="009D62D7">
        <w:t>ple</w:t>
      </w:r>
      <w:r w:rsidRPr="00BB21A9" w:rsidR="00C57626">
        <w:t>a</w:t>
      </w:r>
      <w:r w:rsidRPr="00BB21A9" w:rsidR="009D62D7">
        <w:t>d</w:t>
      </w:r>
      <w:r w:rsidRPr="00BB21A9" w:rsidR="00C57626">
        <w:t>ing</w:t>
      </w:r>
      <w:r w:rsidRPr="00BB21A9" w:rsidR="00D7785A">
        <w:t xml:space="preserve">, </w:t>
      </w:r>
      <w:r w:rsidRPr="00BB21A9" w:rsidR="00D7785A">
        <w:rPr>
          <w:i/>
          <w:iCs/>
        </w:rPr>
        <w:t>inter alia</w:t>
      </w:r>
      <w:r w:rsidRPr="00BB21A9" w:rsidR="00D7785A">
        <w:t xml:space="preserve">, </w:t>
      </w:r>
      <w:r w:rsidRPr="00BB21A9" w:rsidR="00115B62">
        <w:t xml:space="preserve">that CRPC abandoned </w:t>
      </w:r>
      <w:r w:rsidRPr="00BB21A9" w:rsidR="0041718D">
        <w:t>that</w:t>
      </w:r>
      <w:r w:rsidRPr="00BB21A9" w:rsidR="00115B62">
        <w:t xml:space="preserve"> UI Pipeline segment</w:t>
      </w:r>
      <w:r w:rsidRPr="00BB21A9" w:rsidR="0041718D">
        <w:t xml:space="preserve"> </w:t>
      </w:r>
      <w:r w:rsidRPr="00BB21A9" w:rsidR="00115B62">
        <w:t xml:space="preserve">upon its </w:t>
      </w:r>
      <w:r w:rsidRPr="00BB21A9" w:rsidR="00AB2105">
        <w:t xml:space="preserve">2021 </w:t>
      </w:r>
      <w:r w:rsidRPr="00BB21A9" w:rsidR="00115B62">
        <w:t>franchise termination</w:t>
      </w:r>
      <w:r w:rsidRPr="00BB21A9" w:rsidR="00DF5218">
        <w:t xml:space="preserve">, </w:t>
      </w:r>
      <w:r w:rsidRPr="006C10E5" w:rsidR="00465AF9">
        <w:t xml:space="preserve">thus </w:t>
      </w:r>
      <w:r w:rsidRPr="00BB21A9" w:rsidR="00DF5218">
        <w:t xml:space="preserve">causing </w:t>
      </w:r>
      <w:r w:rsidRPr="00BB21A9" w:rsidR="003269CF">
        <w:t xml:space="preserve">ownership of that segment </w:t>
      </w:r>
      <w:r w:rsidRPr="00BB21A9" w:rsidR="00DF5218">
        <w:t xml:space="preserve">to </w:t>
      </w:r>
      <w:r w:rsidRPr="00BB21A9" w:rsidR="003269CF">
        <w:t xml:space="preserve">vest in Antioch </w:t>
      </w:r>
      <w:r w:rsidRPr="00BB21A9" w:rsidR="00ED5F0F">
        <w:t xml:space="preserve">in 2021 </w:t>
      </w:r>
      <w:r w:rsidRPr="00BB21A9" w:rsidR="003269CF">
        <w:t xml:space="preserve">under </w:t>
      </w:r>
      <w:r w:rsidR="00AE2F07">
        <w:t>S</w:t>
      </w:r>
      <w:r w:rsidRPr="006C10E5" w:rsidR="00DE55ED">
        <w:t xml:space="preserve">ection 10 of </w:t>
      </w:r>
      <w:r w:rsidRPr="00BB21A9" w:rsidR="003269CF">
        <w:t>the expired franchise agreement</w:t>
      </w:r>
      <w:r w:rsidRPr="00BB21A9" w:rsidR="00115B62">
        <w:t>.</w:t>
      </w:r>
      <w:r w:rsidRPr="006C10E5" w:rsidR="004A6D72">
        <w:rPr>
          <w:rStyle w:val="FootnoteReference"/>
        </w:rPr>
        <w:footnoteReference w:id="8"/>
      </w:r>
      <w:r w:rsidRPr="00BB21A9" w:rsidR="00851D2A">
        <w:t xml:space="preserve"> </w:t>
      </w:r>
      <w:r w:rsidRPr="006C10E5" w:rsidR="005E7573">
        <w:t>The court sustained a demurre</w:t>
      </w:r>
      <w:r w:rsidR="00A07FF0">
        <w:t>r</w:t>
      </w:r>
      <w:r w:rsidRPr="006C10E5" w:rsidR="005E7573">
        <w:t xml:space="preserve"> to </w:t>
      </w:r>
      <w:r w:rsidRPr="006C10E5" w:rsidR="005357F5">
        <w:t xml:space="preserve">the </w:t>
      </w:r>
      <w:r w:rsidRPr="006C10E5" w:rsidR="003358BB">
        <w:t xml:space="preserve">pleading of </w:t>
      </w:r>
      <w:r w:rsidRPr="006C10E5" w:rsidR="00143364">
        <w:t>that abandonment</w:t>
      </w:r>
      <w:r w:rsidRPr="006C10E5" w:rsidR="005E7573">
        <w:t xml:space="preserve"> claim </w:t>
      </w:r>
      <w:r w:rsidRPr="006C10E5" w:rsidR="00F53C56">
        <w:t xml:space="preserve">on October </w:t>
      </w:r>
      <w:r w:rsidRPr="006C10E5" w:rsidR="00EF4F9A">
        <w:t>4</w:t>
      </w:r>
      <w:r w:rsidRPr="006C10E5" w:rsidR="00F53C56">
        <w:t xml:space="preserve">, 2022 </w:t>
      </w:r>
      <w:r w:rsidRPr="006C10E5" w:rsidR="005E7573">
        <w:t xml:space="preserve">and </w:t>
      </w:r>
      <w:r w:rsidRPr="00BB21A9" w:rsidR="00D73F78">
        <w:t xml:space="preserve">gave </w:t>
      </w:r>
      <w:r w:rsidRPr="00BB21A9" w:rsidR="000A388A">
        <w:t xml:space="preserve">Antioch </w:t>
      </w:r>
      <w:r w:rsidRPr="006C10E5" w:rsidR="00A47AE8">
        <w:t>leave</w:t>
      </w:r>
      <w:r w:rsidRPr="00BB21A9" w:rsidR="000A388A">
        <w:t xml:space="preserve"> to amend </w:t>
      </w:r>
      <w:r w:rsidRPr="00BB21A9" w:rsidR="0009043C">
        <w:t>that and other</w:t>
      </w:r>
      <w:r w:rsidRPr="00BB21A9" w:rsidR="000A388A">
        <w:t xml:space="preserve"> claims</w:t>
      </w:r>
      <w:r w:rsidRPr="006C10E5" w:rsidR="00A47AE8">
        <w:t xml:space="preserve"> in a second amended complaint</w:t>
      </w:r>
      <w:r w:rsidRPr="006C10E5" w:rsidR="00884055">
        <w:t>.</w:t>
      </w:r>
      <w:r w:rsidRPr="006C10E5" w:rsidR="00884055">
        <w:rPr>
          <w:rStyle w:val="FootnoteReference"/>
        </w:rPr>
        <w:footnoteReference w:id="9"/>
      </w:r>
      <w:r w:rsidRPr="006C10E5" w:rsidR="00884055">
        <w:t xml:space="preserve"> </w:t>
      </w:r>
      <w:r w:rsidRPr="006C10E5" w:rsidR="0006356E">
        <w:t>Antioch’s second amended complaint has not yet been filed with the court.</w:t>
      </w:r>
      <w:r w:rsidRPr="006C10E5" w:rsidR="0006356E">
        <w:rPr>
          <w:rStyle w:val="FootnoteReference"/>
        </w:rPr>
        <w:footnoteReference w:id="10"/>
      </w:r>
    </w:p>
    <w:p w:rsidR="001F6877" w:rsidP="004B6771" w:rsidRDefault="008F67A7" w14:paraId="34680A72" w14:textId="38EDF58D">
      <w:pPr>
        <w:pStyle w:val="Standard"/>
      </w:pPr>
      <w:r>
        <w:t xml:space="preserve">The court </w:t>
      </w:r>
      <w:r w:rsidR="00D77434">
        <w:t>addressed</w:t>
      </w:r>
      <w:r w:rsidR="009200C2">
        <w:t xml:space="preserve"> CRPC’s </w:t>
      </w:r>
      <w:r w:rsidR="00523BEC">
        <w:t xml:space="preserve">challenge as Phase I </w:t>
      </w:r>
      <w:r w:rsidR="005B1FC0">
        <w:t>of that case</w:t>
      </w:r>
      <w:r w:rsidR="007F3531">
        <w:t xml:space="preserve"> </w:t>
      </w:r>
      <w:r w:rsidR="00523BEC">
        <w:t xml:space="preserve">and </w:t>
      </w:r>
      <w:r w:rsidR="00D77434">
        <w:t>i</w:t>
      </w:r>
      <w:r w:rsidR="009864A1">
        <w:t>s</w:t>
      </w:r>
      <w:r w:rsidR="00D77434">
        <w:t xml:space="preserve"> presently deciding </w:t>
      </w:r>
      <w:r w:rsidR="00523BEC">
        <w:t>Antioch’s cross-claims as Phase II</w:t>
      </w:r>
      <w:r w:rsidR="00D77434">
        <w:t xml:space="preserve">. </w:t>
      </w:r>
      <w:r w:rsidRPr="004F439D" w:rsidR="00870185">
        <w:t>This ong</w:t>
      </w:r>
      <w:r w:rsidR="004D6495">
        <w:t>o</w:t>
      </w:r>
      <w:r w:rsidRPr="004F439D" w:rsidR="00870185">
        <w:t xml:space="preserve">ing litigation is generally referenced in this decision as the Pipeline Litigation. </w:t>
      </w:r>
    </w:p>
    <w:p w:rsidR="005A0948" w:rsidP="004B6771" w:rsidRDefault="00C66661" w14:paraId="605DAAF7" w14:textId="67C948A4">
      <w:pPr>
        <w:pStyle w:val="Standard"/>
      </w:pPr>
      <w:r w:rsidRPr="004F439D">
        <w:t xml:space="preserve">In Phase I of the </w:t>
      </w:r>
      <w:r w:rsidRPr="004F439D" w:rsidR="00870185">
        <w:t>Pipeline L</w:t>
      </w:r>
      <w:r w:rsidRPr="004F439D" w:rsidR="0044283D">
        <w:t xml:space="preserve">itigation, </w:t>
      </w:r>
      <w:r w:rsidR="00955F74">
        <w:t>the</w:t>
      </w:r>
      <w:r w:rsidRPr="00DB24E8" w:rsidR="00955F74">
        <w:t xml:space="preserve"> </w:t>
      </w:r>
      <w:r w:rsidR="007E74FD">
        <w:t xml:space="preserve">trial </w:t>
      </w:r>
      <w:r w:rsidRPr="00DB24E8" w:rsidR="007A5973">
        <w:t xml:space="preserve">court sustained Antioch’s demurrer, dismissing </w:t>
      </w:r>
      <w:r w:rsidRPr="00DB24E8" w:rsidR="00733DFA">
        <w:t>CRPC’s challeng</w:t>
      </w:r>
      <w:r w:rsidRPr="00DB24E8" w:rsidR="007E1DCD">
        <w:t xml:space="preserve">e </w:t>
      </w:r>
      <w:r w:rsidRPr="004F439D" w:rsidR="002610BB">
        <w:t>to</w:t>
      </w:r>
      <w:r w:rsidRPr="00DB24E8" w:rsidR="00733DFA">
        <w:t xml:space="preserve"> Antioch’s </w:t>
      </w:r>
      <w:r w:rsidR="00166912">
        <w:t xml:space="preserve">franchise </w:t>
      </w:r>
      <w:r w:rsidRPr="00DB24E8" w:rsidR="00733DFA">
        <w:t xml:space="preserve">termination decision. </w:t>
      </w:r>
      <w:r w:rsidRPr="00DB24E8" w:rsidR="00CE77D2">
        <w:t xml:space="preserve">The California Court of Appeal </w:t>
      </w:r>
      <w:r w:rsidRPr="00DB24E8" w:rsidR="00572DFA">
        <w:t>affirm</w:t>
      </w:r>
      <w:r w:rsidRPr="00DB24E8" w:rsidR="00CE77D2">
        <w:t>ed</w:t>
      </w:r>
      <w:r w:rsidRPr="00DB24E8" w:rsidR="00572DFA">
        <w:t xml:space="preserve"> the </w:t>
      </w:r>
      <w:r w:rsidRPr="00DB24E8" w:rsidR="00470E2A">
        <w:t xml:space="preserve">lower court’s </w:t>
      </w:r>
      <w:r w:rsidRPr="00DB24E8" w:rsidR="00936376">
        <w:t>decision</w:t>
      </w:r>
      <w:r w:rsidRPr="00DB24E8" w:rsidR="0028146C">
        <w:t xml:space="preserve"> </w:t>
      </w:r>
      <w:r w:rsidRPr="00DB24E8" w:rsidR="00566AF7">
        <w:t xml:space="preserve">on </w:t>
      </w:r>
      <w:r w:rsidRPr="00DB24E8" w:rsidR="00566AF7">
        <w:lastRenderedPageBreak/>
        <w:t>December 18, 2024</w:t>
      </w:r>
      <w:r w:rsidRPr="00DB24E8" w:rsidR="007E1DCD">
        <w:t>,</w:t>
      </w:r>
      <w:r w:rsidRPr="00DB24E8" w:rsidR="00566AF7">
        <w:t xml:space="preserve"> </w:t>
      </w:r>
      <w:r w:rsidRPr="00DB24E8" w:rsidR="00CE675A">
        <w:t xml:space="preserve">in </w:t>
      </w:r>
      <w:r w:rsidRPr="00DB24E8" w:rsidR="00CE675A">
        <w:rPr>
          <w:i/>
          <w:iCs/>
        </w:rPr>
        <w:t>Cal. Res. Prod. Corp. v. Antioch City Council</w:t>
      </w:r>
      <w:r w:rsidRPr="00DB24E8" w:rsidR="00756990">
        <w:t>.</w:t>
      </w:r>
      <w:r w:rsidRPr="00DB24E8" w:rsidR="00DB4177">
        <w:rPr>
          <w:rStyle w:val="FootnoteReference"/>
        </w:rPr>
        <w:footnoteReference w:id="11"/>
      </w:r>
      <w:r w:rsidRPr="00DB24E8" w:rsidR="005B1DFB">
        <w:t xml:space="preserve"> </w:t>
      </w:r>
      <w:r w:rsidRPr="00DB24E8" w:rsidR="00F80A14">
        <w:t xml:space="preserve">The California Supreme Court denied </w:t>
      </w:r>
      <w:r w:rsidRPr="00DB24E8" w:rsidR="00016C1C">
        <w:t xml:space="preserve">CRPC’s petition for review </w:t>
      </w:r>
      <w:r w:rsidRPr="00DB24E8" w:rsidR="00F93ABC">
        <w:t>on February 11, 2025</w:t>
      </w:r>
      <w:r w:rsidRPr="00DB24E8" w:rsidR="009B2A0D">
        <w:t xml:space="preserve">, ending CRPC’s </w:t>
      </w:r>
      <w:r w:rsidR="00D20C55">
        <w:t>legal</w:t>
      </w:r>
      <w:r w:rsidR="0047522C">
        <w:t xml:space="preserve"> </w:t>
      </w:r>
      <w:r w:rsidRPr="00DB24E8" w:rsidR="009B2A0D">
        <w:t>challenge</w:t>
      </w:r>
      <w:r w:rsidR="00D84710">
        <w:t xml:space="preserve"> to Antioch’s termination of </w:t>
      </w:r>
      <w:r w:rsidR="00A07DEE">
        <w:t xml:space="preserve">the company’s </w:t>
      </w:r>
      <w:r w:rsidR="0045676E">
        <w:t xml:space="preserve">UI Pipeline </w:t>
      </w:r>
      <w:r w:rsidR="00926AA3">
        <w:t xml:space="preserve">franchise </w:t>
      </w:r>
      <w:r w:rsidR="00A07DEE">
        <w:t>operating rights</w:t>
      </w:r>
      <w:r w:rsidR="0045676E">
        <w:t xml:space="preserve"> </w:t>
      </w:r>
      <w:r w:rsidR="001339C4">
        <w:t>for the Antioch segment</w:t>
      </w:r>
      <w:r w:rsidRPr="00DB24E8" w:rsidR="00F93ABC">
        <w:t>.</w:t>
      </w:r>
      <w:r w:rsidRPr="00DB24E8" w:rsidR="00F93ABC">
        <w:rPr>
          <w:rStyle w:val="FootnoteReference"/>
        </w:rPr>
        <w:footnoteReference w:id="12"/>
      </w:r>
      <w:r w:rsidRPr="00DB24E8" w:rsidR="00F93ABC">
        <w:t xml:space="preserve"> </w:t>
      </w:r>
      <w:bookmarkEnd w:id="13"/>
    </w:p>
    <w:p w:rsidR="00F24E66" w:rsidP="004B6771" w:rsidRDefault="009003C5" w14:paraId="748ACA55" w14:textId="2770D3AE">
      <w:pPr>
        <w:pStyle w:val="Standard"/>
      </w:pPr>
      <w:r w:rsidRPr="00DB24E8">
        <w:t xml:space="preserve">Presently, </w:t>
      </w:r>
      <w:r w:rsidR="00E62A02">
        <w:t xml:space="preserve">there </w:t>
      </w:r>
      <w:r w:rsidR="007E74FD">
        <w:t>remains</w:t>
      </w:r>
      <w:r w:rsidR="00E62A02">
        <w:t xml:space="preserve"> uncertainty regarding </w:t>
      </w:r>
      <w:r w:rsidR="0086462C">
        <w:t>ownership of the Antioch segment of the UI Pipeline</w:t>
      </w:r>
      <w:r w:rsidR="00E62A02">
        <w:t>. T</w:t>
      </w:r>
      <w:r w:rsidR="005604F9">
        <w:t>he</w:t>
      </w:r>
      <w:r w:rsidRPr="00DB24E8" w:rsidR="005604F9">
        <w:t xml:space="preserve"> </w:t>
      </w:r>
      <w:r w:rsidRPr="00DB24E8" w:rsidR="003D0831">
        <w:t xml:space="preserve">Superior Court is adjudicating </w:t>
      </w:r>
      <w:r w:rsidRPr="00DB24E8" w:rsidR="00946F69">
        <w:t>Antioch</w:t>
      </w:r>
      <w:r w:rsidRPr="00DB24E8" w:rsidR="009D7D42">
        <w:t>’s</w:t>
      </w:r>
      <w:r w:rsidRPr="00DB24E8" w:rsidR="00946F69">
        <w:t xml:space="preserve"> </w:t>
      </w:r>
      <w:r w:rsidRPr="00DB24E8" w:rsidR="003D0831">
        <w:t>cross-claims</w:t>
      </w:r>
      <w:r w:rsidRPr="004F439D" w:rsidR="00C30B97">
        <w:t xml:space="preserve"> in Phase II of the Pipeline Litigation</w:t>
      </w:r>
      <w:r w:rsidR="00131D6A">
        <w:t>.</w:t>
      </w:r>
      <w:r w:rsidR="00CF08BB">
        <w:rPr>
          <w:rStyle w:val="FootnoteReference"/>
        </w:rPr>
        <w:footnoteReference w:id="13"/>
      </w:r>
      <w:r w:rsidR="00131D6A">
        <w:t xml:space="preserve"> Antioch has raised the issue </w:t>
      </w:r>
      <w:r w:rsidR="00D756A5">
        <w:t xml:space="preserve">of </w:t>
      </w:r>
      <w:r w:rsidR="00AA3CCF">
        <w:t>whether</w:t>
      </w:r>
      <w:r w:rsidRPr="007E1DCD" w:rsidR="00A85F1A">
        <w:t xml:space="preserve"> CRPC </w:t>
      </w:r>
      <w:r w:rsidR="00BF151A">
        <w:t xml:space="preserve">has </w:t>
      </w:r>
      <w:r w:rsidRPr="007E1DCD" w:rsidR="00A85F1A">
        <w:t>abandoned</w:t>
      </w:r>
      <w:r w:rsidR="00BF151A">
        <w:t xml:space="preserve"> or must abandon</w:t>
      </w:r>
      <w:r w:rsidR="00A85F1A">
        <w:t xml:space="preserve"> </w:t>
      </w:r>
      <w:r w:rsidRPr="007E1DCD" w:rsidR="00A85F1A">
        <w:t>its</w:t>
      </w:r>
      <w:r w:rsidR="00A85F1A">
        <w:t xml:space="preserve"> </w:t>
      </w:r>
      <w:r w:rsidR="007C437B">
        <w:t xml:space="preserve">prior </w:t>
      </w:r>
      <w:r w:rsidRPr="007E1DCD" w:rsidR="00A85F1A">
        <w:t xml:space="preserve">ownership interests in the UI Pipeline segment within the </w:t>
      </w:r>
      <w:r w:rsidR="00A85F1A">
        <w:t>City</w:t>
      </w:r>
      <w:r w:rsidR="00D756A5">
        <w:t xml:space="preserve"> </w:t>
      </w:r>
      <w:r w:rsidRPr="007E1DCD" w:rsidR="00A85F1A">
        <w:t xml:space="preserve">upon its </w:t>
      </w:r>
      <w:r w:rsidR="00213F07">
        <w:t xml:space="preserve">2021 </w:t>
      </w:r>
      <w:r w:rsidRPr="007E1DCD" w:rsidR="00A85F1A">
        <w:t>franchise termination</w:t>
      </w:r>
      <w:r w:rsidR="00040D7C">
        <w:t xml:space="preserve">, </w:t>
      </w:r>
      <w:r w:rsidR="00E11678">
        <w:t>contesting</w:t>
      </w:r>
      <w:r w:rsidR="00040D7C">
        <w:t xml:space="preserve"> </w:t>
      </w:r>
      <w:r w:rsidR="002C4DA9">
        <w:t xml:space="preserve">CRPC’s </w:t>
      </w:r>
      <w:r w:rsidR="00040D7C">
        <w:t>ownership interests</w:t>
      </w:r>
      <w:r w:rsidR="00C30B97">
        <w:t>.</w:t>
      </w:r>
      <w:r w:rsidRPr="004F439D" w:rsidR="00C30B97">
        <w:t xml:space="preserve"> </w:t>
      </w:r>
      <w:r w:rsidR="00561E86">
        <w:t xml:space="preserve">In light of the </w:t>
      </w:r>
      <w:r w:rsidR="005A6F85">
        <w:t xml:space="preserve">delays and uncertainty caused by the </w:t>
      </w:r>
      <w:r w:rsidR="007B356F">
        <w:t xml:space="preserve">pending </w:t>
      </w:r>
      <w:r w:rsidR="005A6F85">
        <w:t xml:space="preserve">Phase II </w:t>
      </w:r>
      <w:r w:rsidR="003B7D7B">
        <w:t xml:space="preserve">litigation </w:t>
      </w:r>
      <w:r w:rsidR="007B356F">
        <w:t xml:space="preserve">and </w:t>
      </w:r>
      <w:r w:rsidR="0046653F">
        <w:t xml:space="preserve">the </w:t>
      </w:r>
      <w:r w:rsidR="00945ED3">
        <w:t>Cities</w:t>
      </w:r>
      <w:r w:rsidR="000E0997">
        <w:t>’</w:t>
      </w:r>
      <w:r w:rsidR="00945ED3">
        <w:t xml:space="preserve"> </w:t>
      </w:r>
      <w:r w:rsidR="00301415">
        <w:t xml:space="preserve">respective </w:t>
      </w:r>
      <w:r w:rsidR="00945ED3">
        <w:t xml:space="preserve">administrative proceedings, </w:t>
      </w:r>
      <w:r w:rsidR="00123EBD">
        <w:t xml:space="preserve">both </w:t>
      </w:r>
      <w:r w:rsidR="00945ED3">
        <w:t>Cities request</w:t>
      </w:r>
      <w:r w:rsidR="000026FC">
        <w:t>ed</w:t>
      </w:r>
      <w:r w:rsidR="00945ED3">
        <w:t xml:space="preserve"> that the Commission hold this proceeding in abeyance </w:t>
      </w:r>
      <w:r w:rsidR="002750F0">
        <w:t>for an indeterminate period</w:t>
      </w:r>
      <w:r w:rsidR="00383D6B">
        <w:t xml:space="preserve"> until the </w:t>
      </w:r>
      <w:r w:rsidR="00090A7E">
        <w:t xml:space="preserve">Pipeline Litigation is </w:t>
      </w:r>
      <w:r w:rsidR="00352CFE">
        <w:t xml:space="preserve">fully </w:t>
      </w:r>
      <w:r w:rsidR="00090A7E">
        <w:t>resolved</w:t>
      </w:r>
      <w:r w:rsidR="002750F0">
        <w:t>.</w:t>
      </w:r>
    </w:p>
    <w:p w:rsidR="00E07719" w:rsidP="004B6771" w:rsidRDefault="00AB17CD" w14:paraId="6C83ECCA" w14:textId="0FA672F8">
      <w:pPr>
        <w:pStyle w:val="Standard"/>
      </w:pPr>
      <w:r>
        <w:t xml:space="preserve">In </w:t>
      </w:r>
      <w:r w:rsidR="001B3B39">
        <w:t xml:space="preserve">its </w:t>
      </w:r>
      <w:r>
        <w:t xml:space="preserve">Application, </w:t>
      </w:r>
      <w:r w:rsidRPr="00395232" w:rsidR="000C3322">
        <w:t xml:space="preserve">CRPC </w:t>
      </w:r>
      <w:r>
        <w:t>seek</w:t>
      </w:r>
      <w:r w:rsidR="00AB2AAC">
        <w:t>s the Commission</w:t>
      </w:r>
      <w:r>
        <w:t xml:space="preserve">’s issuance of </w:t>
      </w:r>
      <w:r w:rsidR="00AB2AAC">
        <w:t xml:space="preserve">a </w:t>
      </w:r>
      <w:r w:rsidRPr="00395232" w:rsidR="00D865BC">
        <w:t>CPCN</w:t>
      </w:r>
      <w:r w:rsidRPr="00395232" w:rsidR="00527DA0">
        <w:t xml:space="preserve"> </w:t>
      </w:r>
      <w:r w:rsidR="008700A8">
        <w:t>c</w:t>
      </w:r>
      <w:r w:rsidR="00D64F2F">
        <w:t>onferring</w:t>
      </w:r>
      <w:r w:rsidRPr="00395232" w:rsidR="00D95924">
        <w:t xml:space="preserve"> </w:t>
      </w:r>
      <w:r>
        <w:t xml:space="preserve">it </w:t>
      </w:r>
      <w:r w:rsidRPr="00395232" w:rsidR="00D95924">
        <w:t xml:space="preserve">public utility </w:t>
      </w:r>
      <w:r w:rsidR="00D64F2F">
        <w:t xml:space="preserve">status </w:t>
      </w:r>
      <w:r w:rsidR="001631E1">
        <w:t>primarily</w:t>
      </w:r>
      <w:r w:rsidR="00873A2F">
        <w:t xml:space="preserve"> for </w:t>
      </w:r>
      <w:r w:rsidR="0092166B">
        <w:t xml:space="preserve">the </w:t>
      </w:r>
      <w:r w:rsidR="008B666B">
        <w:t xml:space="preserve">private </w:t>
      </w:r>
      <w:r w:rsidR="0092166B">
        <w:t>company’s</w:t>
      </w:r>
      <w:r w:rsidR="00873A2F">
        <w:t xml:space="preserve"> stated purpose</w:t>
      </w:r>
      <w:r w:rsidR="00AB2AAC">
        <w:t xml:space="preserve"> to </w:t>
      </w:r>
      <w:r w:rsidR="00732000">
        <w:t xml:space="preserve">acquire </w:t>
      </w:r>
      <w:r w:rsidR="00073082">
        <w:t xml:space="preserve">the </w:t>
      </w:r>
      <w:r w:rsidRPr="00395232" w:rsidR="00D865BC">
        <w:t xml:space="preserve">authority </w:t>
      </w:r>
      <w:r w:rsidR="00AC22D2">
        <w:t xml:space="preserve">to </w:t>
      </w:r>
      <w:r w:rsidR="00CD0F93">
        <w:t>initiate</w:t>
      </w:r>
      <w:r w:rsidR="003B0CB5">
        <w:t xml:space="preserve"> </w:t>
      </w:r>
      <w:r w:rsidR="00A75DFE">
        <w:t xml:space="preserve">eminent domain </w:t>
      </w:r>
      <w:r w:rsidR="003B0CB5">
        <w:t>proceedings</w:t>
      </w:r>
      <w:r w:rsidR="004F480A">
        <w:t>.</w:t>
      </w:r>
      <w:r w:rsidR="009D7BC7">
        <w:t xml:space="preserve"> CRPC </w:t>
      </w:r>
      <w:r w:rsidR="00FF228A">
        <w:lastRenderedPageBreak/>
        <w:t>states</w:t>
      </w:r>
      <w:r>
        <w:t xml:space="preserve"> </w:t>
      </w:r>
      <w:r w:rsidR="0025102F">
        <w:t>that</w:t>
      </w:r>
      <w:r>
        <w:t xml:space="preserve"> </w:t>
      </w:r>
      <w:r w:rsidR="003B387F">
        <w:t xml:space="preserve">granting </w:t>
      </w:r>
      <w:r w:rsidR="00847B7F">
        <w:t xml:space="preserve">it </w:t>
      </w:r>
      <w:r w:rsidR="00A85F1A">
        <w:t xml:space="preserve">such </w:t>
      </w:r>
      <w:r w:rsidR="00D35077">
        <w:t xml:space="preserve">new </w:t>
      </w:r>
      <w:r w:rsidR="00A85F1A">
        <w:t xml:space="preserve">status </w:t>
      </w:r>
      <w:r>
        <w:t>would</w:t>
      </w:r>
      <w:r w:rsidR="00C2536E">
        <w:t xml:space="preserve"> enabl</w:t>
      </w:r>
      <w:r>
        <w:t>e</w:t>
      </w:r>
      <w:r w:rsidR="00C2536E">
        <w:t xml:space="preserve"> </w:t>
      </w:r>
      <w:r w:rsidR="00073082">
        <w:t xml:space="preserve">it </w:t>
      </w:r>
      <w:r w:rsidR="006A1BC3">
        <w:t>to</w:t>
      </w:r>
      <w:r w:rsidR="00400AB6">
        <w:t xml:space="preserve"> </w:t>
      </w:r>
      <w:bookmarkStart w:name="_Hlk206075012" w:id="14"/>
      <w:r w:rsidR="0027303C">
        <w:t>condemn</w:t>
      </w:r>
      <w:r w:rsidR="00400AB6">
        <w:t xml:space="preserve"> </w:t>
      </w:r>
      <w:r w:rsidR="00D832F2">
        <w:t>public right</w:t>
      </w:r>
      <w:r w:rsidR="00CC165F">
        <w:t>s</w:t>
      </w:r>
      <w:r w:rsidR="00D832F2">
        <w:t>-of-way</w:t>
      </w:r>
      <w:r w:rsidR="00400AB6">
        <w:t xml:space="preserve"> </w:t>
      </w:r>
      <w:r w:rsidR="00AA6D88">
        <w:t xml:space="preserve">for </w:t>
      </w:r>
      <w:r w:rsidR="008F2AF4">
        <w:t>the company’s</w:t>
      </w:r>
      <w:r w:rsidR="00AA6D88">
        <w:t xml:space="preserve"> proposed uses</w:t>
      </w:r>
      <w:r w:rsidR="00882CAE">
        <w:t>.</w:t>
      </w:r>
      <w:r w:rsidRPr="00395232" w:rsidR="00E22377">
        <w:rPr>
          <w:rStyle w:val="FootnoteReference"/>
        </w:rPr>
        <w:footnoteReference w:id="14"/>
      </w:r>
      <w:r w:rsidR="00882CAE">
        <w:t xml:space="preserve"> </w:t>
      </w:r>
      <w:r w:rsidR="00253C4F">
        <w:t>Th</w:t>
      </w:r>
      <w:r w:rsidR="00753F5D">
        <w:t xml:space="preserve">rough that </w:t>
      </w:r>
      <w:r w:rsidR="00253C4F">
        <w:t>requ</w:t>
      </w:r>
      <w:r w:rsidR="005A64A2">
        <w:t>e</w:t>
      </w:r>
      <w:r w:rsidR="00253C4F">
        <w:t>sted</w:t>
      </w:r>
      <w:r w:rsidR="005F005C">
        <w:t xml:space="preserve"> CPCN</w:t>
      </w:r>
      <w:r w:rsidR="00753F5D">
        <w:t xml:space="preserve">, </w:t>
      </w:r>
      <w:r w:rsidR="00854336">
        <w:t xml:space="preserve">CRPC </w:t>
      </w:r>
      <w:r w:rsidR="003E449A">
        <w:t>may</w:t>
      </w:r>
      <w:r w:rsidR="00653EA9">
        <w:t xml:space="preserve"> </w:t>
      </w:r>
      <w:bookmarkEnd w:id="14"/>
      <w:r w:rsidR="00D622BB">
        <w:t xml:space="preserve">circumvent </w:t>
      </w:r>
      <w:r w:rsidR="00C35060">
        <w:t xml:space="preserve">the </w:t>
      </w:r>
      <w:r w:rsidR="002012E8">
        <w:t xml:space="preserve">Cities’ </w:t>
      </w:r>
      <w:r w:rsidR="00F36234">
        <w:t xml:space="preserve">franchise </w:t>
      </w:r>
      <w:r w:rsidR="00CE74B3">
        <w:t xml:space="preserve">agreement </w:t>
      </w:r>
      <w:r w:rsidR="002A7EEB">
        <w:t>expiration</w:t>
      </w:r>
      <w:r w:rsidR="00B31C65">
        <w:t>s</w:t>
      </w:r>
      <w:r w:rsidR="00005198">
        <w:t xml:space="preserve">, Antioch’s judicially-affirmed termination of CRPC’s franchise </w:t>
      </w:r>
      <w:r w:rsidRPr="00395232" w:rsidR="00005198">
        <w:t>right</w:t>
      </w:r>
      <w:r w:rsidR="00005198">
        <w:t>s, the Cities’ pending administrative proceedings</w:t>
      </w:r>
      <w:r w:rsidRPr="00395232" w:rsidR="00005198">
        <w:t xml:space="preserve"> </w:t>
      </w:r>
      <w:r w:rsidR="00005198">
        <w:t xml:space="preserve">regarding CRPC’s </w:t>
      </w:r>
      <w:r w:rsidRPr="00395232" w:rsidR="00005198">
        <w:t>operat</w:t>
      </w:r>
      <w:r w:rsidR="00005198">
        <w:t xml:space="preserve">ing rights for the </w:t>
      </w:r>
      <w:r w:rsidRPr="00395232" w:rsidR="00005198">
        <w:t>U</w:t>
      </w:r>
      <w:r w:rsidR="00005198">
        <w:t>I</w:t>
      </w:r>
      <w:r w:rsidRPr="00395232" w:rsidR="00005198">
        <w:t xml:space="preserve"> Pipeline segments</w:t>
      </w:r>
      <w:r w:rsidR="00005198">
        <w:t xml:space="preserve"> within both Cities</w:t>
      </w:r>
      <w:r w:rsidR="00840473">
        <w:t xml:space="preserve">, and </w:t>
      </w:r>
      <w:r w:rsidR="005C0B1E">
        <w:t>Phase II Pipeline Litigation cross-claims</w:t>
      </w:r>
      <w:r w:rsidR="00643F0A">
        <w:t>.</w:t>
      </w:r>
      <w:r w:rsidR="00395232">
        <w:rPr>
          <w:rStyle w:val="FootnoteReference"/>
        </w:rPr>
        <w:t xml:space="preserve"> </w:t>
      </w:r>
      <w:r w:rsidRPr="00395232" w:rsidR="00D865BC">
        <w:t xml:space="preserve"> </w:t>
      </w:r>
    </w:p>
    <w:p w:rsidR="001766AD" w:rsidP="004B6771" w:rsidRDefault="00400127" w14:paraId="1EA63E08" w14:textId="77777777">
      <w:pPr>
        <w:pStyle w:val="Standard"/>
      </w:pPr>
      <w:r>
        <w:t>If the Commission authorizes CRPC</w:t>
      </w:r>
      <w:r w:rsidR="005F557F">
        <w:t>’s application for a CPCN</w:t>
      </w:r>
      <w:r w:rsidR="00FD7040">
        <w:t>,</w:t>
      </w:r>
      <w:r w:rsidRPr="00395232">
        <w:t xml:space="preserve"> </w:t>
      </w:r>
      <w:r w:rsidRPr="00395232" w:rsidR="00D865BC">
        <w:t xml:space="preserve">CRPC </w:t>
      </w:r>
      <w:r w:rsidR="00253718">
        <w:t>proposes</w:t>
      </w:r>
      <w:r w:rsidRPr="00395232" w:rsidR="00253718">
        <w:t xml:space="preserve"> </w:t>
      </w:r>
      <w:r w:rsidR="00CB385E">
        <w:t xml:space="preserve">to </w:t>
      </w:r>
      <w:r w:rsidRPr="00395232" w:rsidR="009231A6">
        <w:t xml:space="preserve">begin </w:t>
      </w:r>
      <w:r w:rsidRPr="00395232" w:rsidR="00D865BC">
        <w:t>commit</w:t>
      </w:r>
      <w:r w:rsidRPr="00395232" w:rsidR="00E53B4E">
        <w:t>ting</w:t>
      </w:r>
      <w:r w:rsidRPr="00395232" w:rsidR="00D865BC">
        <w:t xml:space="preserve"> the </w:t>
      </w:r>
      <w:r w:rsidR="007A17F1">
        <w:t xml:space="preserve">full </w:t>
      </w:r>
      <w:r w:rsidRPr="00395232" w:rsidR="00D865BC">
        <w:t>UI Pipeline to public use and offer</w:t>
      </w:r>
      <w:r w:rsidRPr="00395232" w:rsidR="00E53B4E">
        <w:t>ing</w:t>
      </w:r>
      <w:r w:rsidRPr="00395232" w:rsidR="00D865BC">
        <w:t xml:space="preserve"> transportation services to third-party producers of natural gas </w:t>
      </w:r>
      <w:r w:rsidRPr="00395232" w:rsidR="00467EF7">
        <w:t xml:space="preserve">from four gas </w:t>
      </w:r>
      <w:r w:rsidRPr="00395232" w:rsidR="00E01092">
        <w:t xml:space="preserve">fields </w:t>
      </w:r>
      <w:r w:rsidRPr="00395232" w:rsidR="00D865BC">
        <w:t>on an open-access, tariffed basis</w:t>
      </w:r>
      <w:r w:rsidR="00C408E3">
        <w:t xml:space="preserve"> under </w:t>
      </w:r>
      <w:r w:rsidR="001530AD">
        <w:t>Commission</w:t>
      </w:r>
      <w:r w:rsidR="00C408E3">
        <w:t xml:space="preserve"> jurisdiction</w:t>
      </w:r>
      <w:r w:rsidRPr="00395232" w:rsidR="00D865BC">
        <w:t>.</w:t>
      </w:r>
      <w:r w:rsidRPr="00395232" w:rsidR="005D4D1D">
        <w:rPr>
          <w:rStyle w:val="FootnoteReference"/>
        </w:rPr>
        <w:footnoteReference w:id="15"/>
      </w:r>
      <w:r w:rsidR="003D2857">
        <w:t xml:space="preserve"> </w:t>
      </w:r>
      <w:r w:rsidR="00AE3A43">
        <w:t>Regaining</w:t>
      </w:r>
      <w:r w:rsidR="004A5973">
        <w:t xml:space="preserve"> </w:t>
      </w:r>
      <w:r w:rsidR="001A1221">
        <w:t xml:space="preserve">use of the full UI Pipeline </w:t>
      </w:r>
      <w:r w:rsidR="00391909">
        <w:t>may</w:t>
      </w:r>
      <w:r w:rsidR="00DD2A20">
        <w:t xml:space="preserve"> also </w:t>
      </w:r>
      <w:r w:rsidR="0035625E">
        <w:t xml:space="preserve">allow CRPC to </w:t>
      </w:r>
      <w:r w:rsidR="00DD2A20">
        <w:t>resume</w:t>
      </w:r>
      <w:r w:rsidR="000D6986">
        <w:t xml:space="preserve"> </w:t>
      </w:r>
      <w:r w:rsidR="00B61F45">
        <w:t xml:space="preserve">its </w:t>
      </w:r>
      <w:r w:rsidR="00B24237">
        <w:t>private</w:t>
      </w:r>
      <w:r w:rsidR="00DF14CA">
        <w:t xml:space="preserve"> bu</w:t>
      </w:r>
      <w:r w:rsidR="001766AD">
        <w:t xml:space="preserve">siness involving </w:t>
      </w:r>
      <w:r w:rsidR="00F309D9">
        <w:t xml:space="preserve">company </w:t>
      </w:r>
      <w:r w:rsidRPr="00395232" w:rsidR="00391909">
        <w:t>affiliates</w:t>
      </w:r>
      <w:r w:rsidR="00CC5506">
        <w:t xml:space="preserve"> and</w:t>
      </w:r>
      <w:r w:rsidRPr="00395232" w:rsidR="00391909">
        <w:t xml:space="preserve"> third-party customers on a contractual basis</w:t>
      </w:r>
      <w:r w:rsidR="00F309D9">
        <w:t xml:space="preserve">, as </w:t>
      </w:r>
      <w:r w:rsidR="00CF73D6">
        <w:t xml:space="preserve">during the period </w:t>
      </w:r>
      <w:r w:rsidR="005D5C6D">
        <w:t>up to</w:t>
      </w:r>
      <w:r w:rsidR="00CF73D6">
        <w:t xml:space="preserve"> 2023</w:t>
      </w:r>
      <w:r w:rsidRPr="00395232" w:rsidR="00391909">
        <w:t>.</w:t>
      </w:r>
      <w:r w:rsidR="007063E5">
        <w:t xml:space="preserve"> </w:t>
      </w:r>
    </w:p>
    <w:p w:rsidR="007A6BB2" w:rsidP="004B6771" w:rsidRDefault="007006EB" w14:paraId="1519D423" w14:textId="77777777">
      <w:pPr>
        <w:pStyle w:val="Standard"/>
      </w:pPr>
      <w:r>
        <w:t>Accor</w:t>
      </w:r>
      <w:r w:rsidR="00FD7040">
        <w:t>d</w:t>
      </w:r>
      <w:r>
        <w:t>in</w:t>
      </w:r>
      <w:r w:rsidR="00320829">
        <w:t>g</w:t>
      </w:r>
      <w:r>
        <w:t xml:space="preserve"> to CRPC</w:t>
      </w:r>
      <w:r w:rsidR="00F5287F">
        <w:t>, u</w:t>
      </w:r>
      <w:r w:rsidR="00675684">
        <w:t xml:space="preserve">pon </w:t>
      </w:r>
      <w:r w:rsidR="006D59F6">
        <w:t>receiving</w:t>
      </w:r>
      <w:r w:rsidR="00675684">
        <w:t xml:space="preserve"> public utility status, </w:t>
      </w:r>
      <w:r>
        <w:t>it should be</w:t>
      </w:r>
      <w:r w:rsidR="00675684">
        <w:t xml:space="preserve"> immediate</w:t>
      </w:r>
      <w:r>
        <w:t>ly</w:t>
      </w:r>
      <w:r w:rsidR="00675684">
        <w:t xml:space="preserve"> exempt</w:t>
      </w:r>
      <w:r>
        <w:t>ed</w:t>
      </w:r>
      <w:r w:rsidR="00675684">
        <w:t xml:space="preserve"> from </w:t>
      </w:r>
      <w:r w:rsidR="00990250">
        <w:t>various</w:t>
      </w:r>
      <w:r w:rsidR="00BC1B70">
        <w:t xml:space="preserve"> </w:t>
      </w:r>
      <w:r w:rsidR="00675684">
        <w:t xml:space="preserve">regulatory duties </w:t>
      </w:r>
      <w:r w:rsidR="00573804">
        <w:t>to the Commission</w:t>
      </w:r>
      <w:r w:rsidR="00400AB6">
        <w:t xml:space="preserve"> </w:t>
      </w:r>
      <w:r w:rsidR="00400AB6">
        <w:lastRenderedPageBreak/>
        <w:t xml:space="preserve">imposed on </w:t>
      </w:r>
      <w:r w:rsidR="00724629">
        <w:t xml:space="preserve">other </w:t>
      </w:r>
      <w:r w:rsidR="00400AB6">
        <w:t>public utility gas transporters</w:t>
      </w:r>
      <w:r w:rsidR="00247569">
        <w:t xml:space="preserve"> by statute</w:t>
      </w:r>
      <w:r w:rsidR="00477480">
        <w:t xml:space="preserve"> and </w:t>
      </w:r>
      <w:r w:rsidR="00BE73AB">
        <w:t>Commission rules</w:t>
      </w:r>
      <w:r w:rsidR="00675684">
        <w:t>.</w:t>
      </w:r>
      <w:r w:rsidR="00675684">
        <w:rPr>
          <w:rStyle w:val="FootnoteReference"/>
        </w:rPr>
        <w:footnoteReference w:id="16"/>
      </w:r>
      <w:r w:rsidR="00675684">
        <w:t xml:space="preserve"> </w:t>
      </w:r>
    </w:p>
    <w:p w:rsidRPr="001E7433" w:rsidR="00CF2434" w:rsidP="00227903" w:rsidRDefault="00CF2434" w14:paraId="169FCBE9" w14:textId="721994B5">
      <w:pPr>
        <w:pStyle w:val="Standard"/>
        <w:rPr>
          <w:rFonts w:cstheme="majorHAnsi"/>
          <w:w w:val="105"/>
          <w:szCs w:val="26"/>
        </w:rPr>
      </w:pPr>
      <w:r>
        <w:t xml:space="preserve">In addition, </w:t>
      </w:r>
      <w:r w:rsidR="00062732">
        <w:t>in January 2025</w:t>
      </w:r>
      <w:r w:rsidR="00482B3D">
        <w:t xml:space="preserve">, </w:t>
      </w:r>
      <w:r>
        <w:t>CRPC informed the Commission that</w:t>
      </w:r>
      <w:r w:rsidR="00D02E06">
        <w:t>,</w:t>
      </w:r>
      <w:r w:rsidR="00364CDE">
        <w:t xml:space="preserve"> </w:t>
      </w:r>
      <w:r w:rsidR="00713E34">
        <w:t xml:space="preserve">on October 24, 2024, </w:t>
      </w:r>
      <w:r w:rsidR="00423919">
        <w:t>the company</w:t>
      </w:r>
      <w:r w:rsidR="009E23F6">
        <w:t xml:space="preserve"> transferred its ownership </w:t>
      </w:r>
      <w:r w:rsidR="00FF6A80">
        <w:t>interests</w:t>
      </w:r>
      <w:r w:rsidR="009E23F6">
        <w:t xml:space="preserve"> </w:t>
      </w:r>
      <w:r w:rsidR="00423919">
        <w:t>in</w:t>
      </w:r>
      <w:r w:rsidR="009E23F6">
        <w:t xml:space="preserve"> </w:t>
      </w:r>
      <w:r w:rsidR="00364CDE">
        <w:t xml:space="preserve">the UI Pipeline to </w:t>
      </w:r>
      <w:r w:rsidR="00EF2AC7">
        <w:t>its</w:t>
      </w:r>
      <w:r w:rsidR="00364CDE">
        <w:t xml:space="preserve"> subsidiary</w:t>
      </w:r>
      <w:r w:rsidR="005343BA">
        <w:t>,</w:t>
      </w:r>
      <w:r w:rsidR="00423919">
        <w:t xml:space="preserve"> </w:t>
      </w:r>
      <w:r w:rsidRPr="004260A7" w:rsidR="00E23C83">
        <w:t>California Resources Pipeline Company, LLC</w:t>
      </w:r>
      <w:r w:rsidR="00B80142">
        <w:t xml:space="preserve"> </w:t>
      </w:r>
      <w:r w:rsidR="00E23C83">
        <w:t>(Successor Subsidiary)</w:t>
      </w:r>
      <w:r w:rsidR="00364CDE">
        <w:t>.</w:t>
      </w:r>
      <w:r w:rsidR="00EA0A7A">
        <w:t xml:space="preserve"> </w:t>
      </w:r>
      <w:r w:rsidR="00F030AB">
        <w:t xml:space="preserve">On January 3, 2025, </w:t>
      </w:r>
      <w:r w:rsidR="002C0A9F">
        <w:t>CRPC</w:t>
      </w:r>
      <w:r w:rsidR="00EA0A7A">
        <w:t xml:space="preserve"> </w:t>
      </w:r>
      <w:r w:rsidR="00F030AB">
        <w:t>filed a motion to</w:t>
      </w:r>
      <w:r w:rsidR="00EA0A7A">
        <w:t xml:space="preserve"> amend </w:t>
      </w:r>
      <w:r w:rsidRPr="001E7433" w:rsidR="00EA0A7A">
        <w:rPr>
          <w:rFonts w:cstheme="majorHAnsi"/>
          <w:szCs w:val="26"/>
        </w:rPr>
        <w:t>A.23-07-008</w:t>
      </w:r>
      <w:r w:rsidR="00EA0A7A">
        <w:rPr>
          <w:rFonts w:cstheme="majorHAnsi"/>
          <w:szCs w:val="26"/>
        </w:rPr>
        <w:t xml:space="preserve"> to </w:t>
      </w:r>
      <w:r w:rsidR="002D56DB">
        <w:rPr>
          <w:rFonts w:cstheme="majorHAnsi"/>
          <w:szCs w:val="26"/>
        </w:rPr>
        <w:t xml:space="preserve">substitute </w:t>
      </w:r>
      <w:r w:rsidR="005343BA">
        <w:t>Successor Subsidiary</w:t>
      </w:r>
      <w:r w:rsidR="005343BA">
        <w:rPr>
          <w:rFonts w:cstheme="majorHAnsi"/>
          <w:szCs w:val="26"/>
        </w:rPr>
        <w:t xml:space="preserve"> </w:t>
      </w:r>
      <w:r w:rsidR="002D56DB">
        <w:rPr>
          <w:rFonts w:cstheme="majorHAnsi"/>
          <w:szCs w:val="26"/>
        </w:rPr>
        <w:t xml:space="preserve">as the </w:t>
      </w:r>
      <w:r w:rsidR="00931AE2">
        <w:rPr>
          <w:rFonts w:cstheme="majorHAnsi"/>
          <w:szCs w:val="26"/>
        </w:rPr>
        <w:t xml:space="preserve">new </w:t>
      </w:r>
      <w:r w:rsidR="002D56DB">
        <w:rPr>
          <w:rFonts w:cstheme="majorHAnsi"/>
          <w:szCs w:val="26"/>
        </w:rPr>
        <w:t>CPCN applicant</w:t>
      </w:r>
      <w:r w:rsidR="00383A01">
        <w:rPr>
          <w:rFonts w:cstheme="majorHAnsi"/>
          <w:szCs w:val="26"/>
        </w:rPr>
        <w:t xml:space="preserve"> (Motion to Amend)</w:t>
      </w:r>
      <w:r w:rsidR="002D56DB">
        <w:rPr>
          <w:rFonts w:cstheme="majorHAnsi"/>
          <w:szCs w:val="26"/>
        </w:rPr>
        <w:t>.</w:t>
      </w:r>
      <w:r w:rsidR="00646C8B">
        <w:rPr>
          <w:rFonts w:cstheme="majorHAnsi"/>
          <w:szCs w:val="26"/>
        </w:rPr>
        <w:t xml:space="preserve"> As discussed below, </w:t>
      </w:r>
      <w:r w:rsidR="0073650F">
        <w:rPr>
          <w:rFonts w:cstheme="majorHAnsi"/>
          <w:szCs w:val="26"/>
        </w:rPr>
        <w:t xml:space="preserve">we </w:t>
      </w:r>
      <w:r w:rsidR="009D2E15">
        <w:rPr>
          <w:rFonts w:cstheme="majorHAnsi"/>
          <w:szCs w:val="26"/>
        </w:rPr>
        <w:t>deny</w:t>
      </w:r>
      <w:r w:rsidR="0014593E">
        <w:rPr>
          <w:rFonts w:cstheme="majorHAnsi"/>
          <w:szCs w:val="26"/>
        </w:rPr>
        <w:t xml:space="preserve"> </w:t>
      </w:r>
      <w:r w:rsidR="0073650F">
        <w:rPr>
          <w:rFonts w:cstheme="majorHAnsi"/>
          <w:szCs w:val="26"/>
        </w:rPr>
        <w:t>the Motion to Amend</w:t>
      </w:r>
      <w:r w:rsidR="00CF65E9">
        <w:rPr>
          <w:rFonts w:cstheme="majorHAnsi"/>
          <w:szCs w:val="26"/>
        </w:rPr>
        <w:t xml:space="preserve"> because </w:t>
      </w:r>
      <w:r w:rsidR="00FD3F4D">
        <w:rPr>
          <w:rFonts w:cstheme="majorHAnsi"/>
          <w:szCs w:val="26"/>
        </w:rPr>
        <w:t xml:space="preserve">the proposed </w:t>
      </w:r>
      <w:r w:rsidR="00461147">
        <w:rPr>
          <w:rFonts w:cstheme="majorHAnsi"/>
          <w:szCs w:val="26"/>
        </w:rPr>
        <w:t xml:space="preserve">amendment </w:t>
      </w:r>
      <w:r w:rsidR="00FD3F4D">
        <w:rPr>
          <w:rFonts w:cstheme="majorHAnsi"/>
          <w:szCs w:val="26"/>
        </w:rPr>
        <w:t>would</w:t>
      </w:r>
      <w:r w:rsidR="00461147">
        <w:rPr>
          <w:rFonts w:cstheme="majorHAnsi"/>
          <w:szCs w:val="26"/>
        </w:rPr>
        <w:t xml:space="preserve"> not cure the</w:t>
      </w:r>
      <w:r w:rsidR="009E22DD">
        <w:rPr>
          <w:rFonts w:cstheme="majorHAnsi"/>
          <w:szCs w:val="26"/>
        </w:rPr>
        <w:t xml:space="preserve"> </w:t>
      </w:r>
      <w:r w:rsidR="00461147">
        <w:rPr>
          <w:rFonts w:cstheme="majorHAnsi"/>
          <w:szCs w:val="26"/>
        </w:rPr>
        <w:t xml:space="preserve">defects </w:t>
      </w:r>
      <w:r w:rsidR="00B36E10">
        <w:rPr>
          <w:rFonts w:cstheme="majorHAnsi"/>
          <w:szCs w:val="26"/>
        </w:rPr>
        <w:t xml:space="preserve">requiring </w:t>
      </w:r>
      <w:r w:rsidR="001C2ABA">
        <w:rPr>
          <w:rFonts w:cstheme="majorHAnsi"/>
          <w:szCs w:val="26"/>
        </w:rPr>
        <w:t>dismissal</w:t>
      </w:r>
      <w:r w:rsidR="00B0623E">
        <w:rPr>
          <w:rFonts w:cstheme="majorHAnsi"/>
          <w:szCs w:val="26"/>
        </w:rPr>
        <w:t xml:space="preserve"> without prejudice</w:t>
      </w:r>
      <w:r w:rsidR="001C2ABA">
        <w:rPr>
          <w:rFonts w:cstheme="majorHAnsi"/>
          <w:szCs w:val="26"/>
        </w:rPr>
        <w:t xml:space="preserve"> </w:t>
      </w:r>
      <w:r w:rsidR="00B36E10">
        <w:rPr>
          <w:rFonts w:cstheme="majorHAnsi"/>
          <w:szCs w:val="26"/>
        </w:rPr>
        <w:t xml:space="preserve">of </w:t>
      </w:r>
      <w:r w:rsidR="00FD3F4D">
        <w:rPr>
          <w:rFonts w:cstheme="majorHAnsi"/>
          <w:szCs w:val="26"/>
        </w:rPr>
        <w:t xml:space="preserve">the </w:t>
      </w:r>
      <w:r w:rsidR="005A4F82">
        <w:rPr>
          <w:rFonts w:cstheme="majorHAnsi"/>
          <w:szCs w:val="26"/>
        </w:rPr>
        <w:t xml:space="preserve">instant </w:t>
      </w:r>
      <w:r w:rsidR="00FD3F4D">
        <w:rPr>
          <w:rFonts w:cstheme="majorHAnsi"/>
          <w:szCs w:val="26"/>
        </w:rPr>
        <w:t>Application</w:t>
      </w:r>
      <w:r w:rsidR="0014593E">
        <w:rPr>
          <w:rFonts w:cstheme="majorHAnsi"/>
          <w:szCs w:val="26"/>
        </w:rPr>
        <w:t xml:space="preserve"> and Successor Subsidiary has the opportunity to file a new Application</w:t>
      </w:r>
      <w:r w:rsidR="0073650F">
        <w:rPr>
          <w:rFonts w:cstheme="majorHAnsi"/>
          <w:szCs w:val="26"/>
        </w:rPr>
        <w:t>.</w:t>
      </w:r>
      <w:r w:rsidR="00646C8B">
        <w:rPr>
          <w:rFonts w:cstheme="majorHAnsi"/>
          <w:szCs w:val="26"/>
        </w:rPr>
        <w:t xml:space="preserve"> </w:t>
      </w:r>
    </w:p>
    <w:p w:rsidRPr="00F24069" w:rsidR="0068641F" w:rsidP="0068641F" w:rsidRDefault="0068641F" w14:paraId="189BD918" w14:textId="77777777">
      <w:pPr>
        <w:pStyle w:val="Heading2"/>
      </w:pPr>
      <w:bookmarkStart w:name="_Toc211606189" w:id="15"/>
      <w:bookmarkStart w:name="_Toc220596316" w:id="16"/>
      <w:bookmarkStart w:name="_Toc220972199" w:id="17"/>
      <w:r w:rsidRPr="00F24069">
        <w:t>Factual Background</w:t>
      </w:r>
      <w:bookmarkEnd w:id="15"/>
      <w:bookmarkEnd w:id="16"/>
      <w:bookmarkEnd w:id="17"/>
    </w:p>
    <w:p w:rsidR="00806FAC" w:rsidP="006E6438" w:rsidRDefault="005C0773" w14:paraId="7F06300E" w14:textId="373406D3">
      <w:pPr>
        <w:pStyle w:val="Heading3"/>
      </w:pPr>
      <w:bookmarkStart w:name="_Toc211606190" w:id="18"/>
      <w:bookmarkStart w:name="_Toc220596317" w:id="19"/>
      <w:bookmarkStart w:name="_Toc220972200" w:id="20"/>
      <w:r>
        <w:t>Applicant CRPC</w:t>
      </w:r>
      <w:bookmarkEnd w:id="18"/>
      <w:bookmarkEnd w:id="19"/>
      <w:bookmarkEnd w:id="20"/>
    </w:p>
    <w:p w:rsidR="001F0317" w:rsidP="00F7578B" w:rsidRDefault="001F0317" w14:paraId="4405BEEA" w14:textId="174BBB32">
      <w:pPr>
        <w:pStyle w:val="Standard"/>
      </w:pPr>
      <w:r>
        <w:t>CRPC is a corporation formed in 2014 under the laws of the state of Delaware. It is</w:t>
      </w:r>
      <w:r w:rsidR="00E577ED">
        <w:t xml:space="preserve"> </w:t>
      </w:r>
      <w:r>
        <w:t>qualified to do business in California.</w:t>
      </w:r>
      <w:r w:rsidR="00E577ED">
        <w:t xml:space="preserve"> </w:t>
      </w:r>
      <w:r w:rsidR="003A0578">
        <w:t>CRPC’s</w:t>
      </w:r>
      <w:r>
        <w:t xml:space="preserve"> principal place of business is 1 World Trade Center,</w:t>
      </w:r>
      <w:r w:rsidR="00E577ED">
        <w:t xml:space="preserve"> </w:t>
      </w:r>
      <w:r>
        <w:t>Suite 1500, Long Beach, California, 90831.</w:t>
      </w:r>
      <w:r w:rsidR="00E577ED">
        <w:t xml:space="preserve"> </w:t>
      </w:r>
      <w:r>
        <w:t>It has approximately 1,090 employees</w:t>
      </w:r>
      <w:r w:rsidR="0077304E">
        <w:t xml:space="preserve"> </w:t>
      </w:r>
      <w:r>
        <w:t>across its locations and has an annual revenue of $80.71 million.</w:t>
      </w:r>
      <w:r w:rsidR="006E04E9">
        <w:t xml:space="preserve"> </w:t>
      </w:r>
      <w:r w:rsidR="00EE5BE9">
        <w:t>CRPC’s</w:t>
      </w:r>
      <w:r w:rsidR="00F7578B">
        <w:t xml:space="preserve"> </w:t>
      </w:r>
      <w:r w:rsidR="00FB0C05">
        <w:t xml:space="preserve">corporate </w:t>
      </w:r>
      <w:r w:rsidR="00F7578B">
        <w:t xml:space="preserve">assets include </w:t>
      </w:r>
      <w:r w:rsidR="00126D0A">
        <w:t xml:space="preserve">ownership interests in </w:t>
      </w:r>
      <w:r w:rsidR="00126D0A">
        <w:lastRenderedPageBreak/>
        <w:t xml:space="preserve">the </w:t>
      </w:r>
      <w:r w:rsidRPr="00D9427B" w:rsidR="00F7578B">
        <w:t>UI Pipeline</w:t>
      </w:r>
      <w:r w:rsidR="00F7578B">
        <w:t xml:space="preserve"> </w:t>
      </w:r>
      <w:r w:rsidR="00126D0A">
        <w:t>(</w:t>
      </w:r>
      <w:r w:rsidR="00E5291F">
        <w:t>transferred to</w:t>
      </w:r>
      <w:r w:rsidR="00866EC0">
        <w:t xml:space="preserve"> </w:t>
      </w:r>
      <w:r w:rsidR="00A66F65">
        <w:t>Successor Subsidiary)</w:t>
      </w:r>
      <w:r w:rsidR="00FF1AA6">
        <w:t xml:space="preserve"> </w:t>
      </w:r>
      <w:r w:rsidR="00F7578B">
        <w:t xml:space="preserve">and over 30 oil and gas fields within </w:t>
      </w:r>
      <w:r w:rsidRPr="00375883" w:rsidR="00375883">
        <w:t>the southern San Joaquin Valley</w:t>
      </w:r>
      <w:r w:rsidR="00375883">
        <w:t>.</w:t>
      </w:r>
      <w:r w:rsidR="00CC444A">
        <w:rPr>
          <w:rStyle w:val="FootnoteReference"/>
        </w:rPr>
        <w:footnoteReference w:id="17"/>
      </w:r>
      <w:r w:rsidR="00FB0C05">
        <w:t xml:space="preserve"> </w:t>
      </w:r>
    </w:p>
    <w:p w:rsidR="00681942" w:rsidP="006E6438" w:rsidRDefault="00D25F32" w14:paraId="5807912D" w14:textId="5F9F31DC">
      <w:pPr>
        <w:pStyle w:val="Heading3"/>
      </w:pPr>
      <w:bookmarkStart w:name="_Toc211606191" w:id="21"/>
      <w:bookmarkStart w:name="_Toc220596318" w:id="22"/>
      <w:bookmarkStart w:name="_Toc220972201" w:id="23"/>
      <w:r>
        <w:t>UI Pipeline</w:t>
      </w:r>
      <w:bookmarkEnd w:id="21"/>
      <w:bookmarkEnd w:id="22"/>
      <w:bookmarkEnd w:id="23"/>
    </w:p>
    <w:p w:rsidR="0043007F" w:rsidP="00926186" w:rsidRDefault="00926186" w14:paraId="2490DB01" w14:textId="4F78A3EA">
      <w:pPr>
        <w:pStyle w:val="Standard"/>
      </w:pPr>
      <w:r>
        <w:t>T</w:t>
      </w:r>
      <w:r w:rsidRPr="00D018F7" w:rsidR="00D018F7">
        <w:t>he UI Pipeline</w:t>
      </w:r>
      <w:r>
        <w:t xml:space="preserve"> is</w:t>
      </w:r>
      <w:r w:rsidRPr="00D018F7" w:rsidR="00D018F7">
        <w:t xml:space="preserve"> a 12.75-inch-diameter carbon steel</w:t>
      </w:r>
      <w:r w:rsidR="00D018F7">
        <w:t xml:space="preserve"> </w:t>
      </w:r>
      <w:r w:rsidRPr="00D018F7" w:rsidR="00D018F7">
        <w:t>natural gas pipeline extending 35.14 miles from the Union Island Gas field in western San Joaquin</w:t>
      </w:r>
      <w:r w:rsidR="00D018F7">
        <w:t xml:space="preserve"> </w:t>
      </w:r>
      <w:r w:rsidRPr="00D018F7" w:rsidR="00D018F7">
        <w:t>County to the Los Medanos meter station</w:t>
      </w:r>
      <w:r w:rsidR="00F05A02">
        <w:t>, located</w:t>
      </w:r>
      <w:r w:rsidRPr="00D018F7" w:rsidR="00D018F7">
        <w:t xml:space="preserve"> east of Pittsburg, California</w:t>
      </w:r>
      <w:r>
        <w:t>.</w:t>
      </w:r>
      <w:r w:rsidR="00BF0E13">
        <w:rPr>
          <w:rStyle w:val="FootnoteReference"/>
        </w:rPr>
        <w:footnoteReference w:id="18"/>
      </w:r>
      <w:r>
        <w:t xml:space="preserve">  </w:t>
      </w:r>
      <w:r w:rsidR="00B7654B">
        <w:t>It</w:t>
      </w:r>
      <w:r w:rsidRPr="00D018F7" w:rsidR="00BA2976">
        <w:t xml:space="preserve"> is buried at a minimum of four feet below the surface for its entire length,</w:t>
      </w:r>
      <w:r w:rsidR="00BA2976">
        <w:t xml:space="preserve"> </w:t>
      </w:r>
      <w:r w:rsidRPr="00D018F7" w:rsidR="00BA2976">
        <w:t xml:space="preserve">and passes through unincorporated </w:t>
      </w:r>
      <w:r w:rsidR="00755438">
        <w:t xml:space="preserve">portions of </w:t>
      </w:r>
      <w:r w:rsidR="006340B3">
        <w:t xml:space="preserve">western </w:t>
      </w:r>
      <w:r w:rsidRPr="00D018F7" w:rsidR="00BA2976">
        <w:t xml:space="preserve">San Joaquin and </w:t>
      </w:r>
      <w:r w:rsidR="006340B3">
        <w:t xml:space="preserve">eastern </w:t>
      </w:r>
      <w:r w:rsidRPr="00D018F7" w:rsidR="00BA2976">
        <w:t xml:space="preserve">Contra Costa counties, and </w:t>
      </w:r>
      <w:r w:rsidR="006340B3">
        <w:t xml:space="preserve">then </w:t>
      </w:r>
      <w:r w:rsidRPr="00D018F7" w:rsidR="00BA2976">
        <w:t>through the cities</w:t>
      </w:r>
      <w:r w:rsidR="00BA2976">
        <w:t xml:space="preserve"> </w:t>
      </w:r>
      <w:r w:rsidRPr="00D018F7" w:rsidR="00BA2976">
        <w:t xml:space="preserve">of </w:t>
      </w:r>
      <w:r w:rsidR="006340B3">
        <w:t xml:space="preserve">Brentwood and </w:t>
      </w:r>
      <w:r w:rsidRPr="00D018F7" w:rsidR="00BA2976">
        <w:t>Antioch</w:t>
      </w:r>
      <w:r w:rsidR="00C75D6F">
        <w:t>, California</w:t>
      </w:r>
      <w:r w:rsidRPr="00D018F7" w:rsidR="00BA2976">
        <w:t>.</w:t>
      </w:r>
      <w:r w:rsidR="004E1FDC">
        <w:rPr>
          <w:rStyle w:val="FootnoteReference"/>
        </w:rPr>
        <w:footnoteReference w:id="19"/>
      </w:r>
      <w:r w:rsidRPr="00D018F7" w:rsidR="00BA2976">
        <w:t xml:space="preserve"> </w:t>
      </w:r>
      <w:r>
        <w:t>The</w:t>
      </w:r>
      <w:r w:rsidR="001E7D32">
        <w:t xml:space="preserve"> </w:t>
      </w:r>
      <w:r w:rsidR="008F67FE">
        <w:t xml:space="preserve">natural gas </w:t>
      </w:r>
      <w:r w:rsidR="00C10FDC">
        <w:t>moving</w:t>
      </w:r>
      <w:r w:rsidR="008F67FE">
        <w:t xml:space="preserve"> through the UI Pipeline </w:t>
      </w:r>
      <w:r w:rsidR="0033399E">
        <w:t xml:space="preserve">then flows </w:t>
      </w:r>
      <w:r w:rsidR="005C3D54">
        <w:t>i</w:t>
      </w:r>
      <w:r w:rsidR="0033399E">
        <w:t xml:space="preserve">nto </w:t>
      </w:r>
      <w:r w:rsidR="005F5EE5">
        <w:t>a privately-owned pipeline</w:t>
      </w:r>
      <w:r w:rsidR="00EC6B40">
        <w:t xml:space="preserve"> at the </w:t>
      </w:r>
      <w:r w:rsidRPr="00D018F7">
        <w:t>Los Medanos meter station</w:t>
      </w:r>
      <w:r w:rsidR="00EC6B40">
        <w:t xml:space="preserve">, </w:t>
      </w:r>
      <w:r w:rsidRPr="00D018F7" w:rsidR="00D018F7">
        <w:t xml:space="preserve">owned by </w:t>
      </w:r>
      <w:r w:rsidRPr="00D018F7" w:rsidR="003F3AF6">
        <w:t>Chevron Pipeline Company</w:t>
      </w:r>
      <w:r w:rsidR="003F3AF6">
        <w:t xml:space="preserve"> (Chevron)</w:t>
      </w:r>
      <w:r w:rsidRPr="00D018F7" w:rsidR="00D018F7">
        <w:t>.</w:t>
      </w:r>
      <w:r w:rsidR="00D37B11">
        <w:rPr>
          <w:rStyle w:val="FootnoteReference"/>
        </w:rPr>
        <w:footnoteReference w:id="20"/>
      </w:r>
    </w:p>
    <w:p w:rsidR="0011185B" w:rsidP="0011185B" w:rsidRDefault="0011185B" w14:paraId="606E1C81" w14:textId="77777777">
      <w:pPr>
        <w:pStyle w:val="Heading3"/>
      </w:pPr>
      <w:bookmarkStart w:name="_Toc202476624" w:id="24"/>
      <w:bookmarkStart w:name="_Toc211606192" w:id="25"/>
      <w:bookmarkStart w:name="_Toc220596319" w:id="26"/>
      <w:bookmarkStart w:name="_Toc220972202" w:id="27"/>
      <w:bookmarkEnd w:id="24"/>
      <w:r>
        <w:t>CRPC Franchise Agreement Expirations and Pending Local Applications</w:t>
      </w:r>
      <w:bookmarkEnd w:id="25"/>
      <w:bookmarkEnd w:id="26"/>
      <w:bookmarkEnd w:id="27"/>
    </w:p>
    <w:p w:rsidR="00275B1E" w:rsidP="00BA2976" w:rsidRDefault="00BA2976" w14:paraId="45838F9E" w14:textId="09780BFF">
      <w:pPr>
        <w:pStyle w:val="Standard"/>
      </w:pPr>
      <w:r w:rsidRPr="00D018F7">
        <w:t xml:space="preserve">CRPC </w:t>
      </w:r>
      <w:r w:rsidR="00721816">
        <w:t xml:space="preserve">presently </w:t>
      </w:r>
      <w:r w:rsidRPr="00D018F7">
        <w:t>holds franchise agreements with both San Joaquin County and</w:t>
      </w:r>
      <w:r>
        <w:t xml:space="preserve"> </w:t>
      </w:r>
      <w:r w:rsidRPr="00D018F7">
        <w:t xml:space="preserve">Contra Costa County </w:t>
      </w:r>
      <w:r w:rsidR="00EA291E">
        <w:t>to</w:t>
      </w:r>
      <w:r w:rsidRPr="00D018F7" w:rsidR="00EA291E">
        <w:t xml:space="preserve"> </w:t>
      </w:r>
      <w:r w:rsidRPr="00D018F7">
        <w:t>operat</w:t>
      </w:r>
      <w:r w:rsidR="00F5349D">
        <w:t>e</w:t>
      </w:r>
      <w:r w:rsidRPr="00D018F7">
        <w:t xml:space="preserve"> and maint</w:t>
      </w:r>
      <w:r w:rsidR="00F5349D">
        <w:t>ain</w:t>
      </w:r>
      <w:r w:rsidRPr="00D018F7">
        <w:t xml:space="preserve"> the UI Pipeline in </w:t>
      </w:r>
      <w:r w:rsidR="008D3A85">
        <w:lastRenderedPageBreak/>
        <w:t xml:space="preserve">unincorporated areas within </w:t>
      </w:r>
      <w:r w:rsidRPr="00D018F7">
        <w:t xml:space="preserve">those </w:t>
      </w:r>
      <w:r w:rsidR="008D3A85">
        <w:t>counties</w:t>
      </w:r>
      <w:r w:rsidRPr="00D018F7">
        <w:t>.</w:t>
      </w:r>
      <w:r w:rsidR="00C31C6B">
        <w:rPr>
          <w:rStyle w:val="FootnoteReference"/>
        </w:rPr>
        <w:footnoteReference w:id="21"/>
      </w:r>
      <w:r w:rsidR="00275B1E">
        <w:t xml:space="preserve"> </w:t>
      </w:r>
      <w:r w:rsidRPr="00D018F7">
        <w:t xml:space="preserve">CRPC previously held franchise agreements with the </w:t>
      </w:r>
      <w:r w:rsidR="007F7928">
        <w:rPr>
          <w:w w:val="105"/>
        </w:rPr>
        <w:t xml:space="preserve">City of Antioch and the City of Brentwood </w:t>
      </w:r>
      <w:r w:rsidR="00DD4129">
        <w:t xml:space="preserve">to operate </w:t>
      </w:r>
      <w:r w:rsidR="00885AE2">
        <w:t xml:space="preserve">and maintain </w:t>
      </w:r>
      <w:r w:rsidR="00DD4129">
        <w:t>the</w:t>
      </w:r>
      <w:r w:rsidRPr="00D018F7">
        <w:t xml:space="preserve"> UI</w:t>
      </w:r>
      <w:r>
        <w:t xml:space="preserve"> </w:t>
      </w:r>
      <w:r w:rsidRPr="00D018F7">
        <w:t xml:space="preserve">Pipeline within </w:t>
      </w:r>
      <w:r w:rsidR="003A7445">
        <w:t>the C</w:t>
      </w:r>
      <w:r w:rsidRPr="00D018F7">
        <w:t>ities’ respective rights</w:t>
      </w:r>
      <w:r w:rsidR="002A79F2">
        <w:t>-</w:t>
      </w:r>
      <w:r w:rsidRPr="00D018F7">
        <w:t>of</w:t>
      </w:r>
      <w:r w:rsidR="002A79F2">
        <w:t>-</w:t>
      </w:r>
      <w:r w:rsidRPr="00D018F7">
        <w:t>way</w:t>
      </w:r>
      <w:r w:rsidR="001113AB">
        <w:t>. T</w:t>
      </w:r>
      <w:r w:rsidR="00DD2F97">
        <w:t xml:space="preserve">hose franchise agreements </w:t>
      </w:r>
      <w:r w:rsidR="00AF1B72">
        <w:t>expired</w:t>
      </w:r>
      <w:r w:rsidR="002D6C63">
        <w:t xml:space="preserve"> in February 2021</w:t>
      </w:r>
      <w:r w:rsidR="003A7445">
        <w:t>.</w:t>
      </w:r>
      <w:r w:rsidR="00AF1B72">
        <w:rPr>
          <w:rStyle w:val="FootnoteReference"/>
        </w:rPr>
        <w:footnoteReference w:id="22"/>
      </w:r>
      <w:r w:rsidR="003A7445">
        <w:t xml:space="preserve"> </w:t>
      </w:r>
    </w:p>
    <w:p w:rsidR="00A253B4" w:rsidP="00BA2976" w:rsidRDefault="001258B5" w14:paraId="05051AB9" w14:textId="47379EBB">
      <w:pPr>
        <w:pStyle w:val="Standard"/>
      </w:pPr>
      <w:r w:rsidRPr="00C3297A">
        <w:t xml:space="preserve">Antioch’s </w:t>
      </w:r>
      <w:r w:rsidRPr="00C3297A" w:rsidR="00D76962">
        <w:t xml:space="preserve">most recent </w:t>
      </w:r>
      <w:r w:rsidRPr="00C3297A" w:rsidR="003A7445">
        <w:t xml:space="preserve">franchise agreement </w:t>
      </w:r>
      <w:r w:rsidRPr="00C3297A" w:rsidR="00952EA2">
        <w:t xml:space="preserve">extension </w:t>
      </w:r>
      <w:r w:rsidRPr="00C3297A" w:rsidR="003A7445">
        <w:t xml:space="preserve">expired on </w:t>
      </w:r>
      <w:r w:rsidRPr="00C3297A" w:rsidR="00E77201">
        <w:t>February 7, 2021.</w:t>
      </w:r>
      <w:r w:rsidRPr="00C3297A" w:rsidR="00E77201">
        <w:rPr>
          <w:rStyle w:val="FootnoteReference"/>
        </w:rPr>
        <w:footnoteReference w:id="23"/>
      </w:r>
      <w:r w:rsidRPr="00C3297A" w:rsidR="003A7445">
        <w:t xml:space="preserve"> </w:t>
      </w:r>
      <w:r w:rsidRPr="006C10E5" w:rsidR="00135D13">
        <w:t>Section 10</w:t>
      </w:r>
      <w:r w:rsidRPr="00C3297A" w:rsidR="002F6E1C">
        <w:t xml:space="preserve"> of that franchise agreement stated that upon a permitted abandonment, ownership of the Antioch pipeline segment “shall thereafter vest in [the] CITY.”</w:t>
      </w:r>
      <w:r w:rsidRPr="00C3297A" w:rsidR="002F6E1C">
        <w:rPr>
          <w:rStyle w:val="FootnoteReference"/>
        </w:rPr>
        <w:footnoteReference w:id="24"/>
      </w:r>
      <w:r w:rsidRPr="00C3297A" w:rsidR="002F6E1C">
        <w:t xml:space="preserve"> </w:t>
      </w:r>
      <w:r w:rsidRPr="00C3297A" w:rsidR="00E77201">
        <w:t xml:space="preserve">On September </w:t>
      </w:r>
      <w:r w:rsidRPr="00C3297A" w:rsidR="007E7113">
        <w:t>2</w:t>
      </w:r>
      <w:r w:rsidRPr="00C3297A" w:rsidR="00E77201">
        <w:t xml:space="preserve">8, 2021, the Antioch City Council took official action not to renew </w:t>
      </w:r>
      <w:r w:rsidRPr="00C3297A" w:rsidR="0046749D">
        <w:t>it</w:t>
      </w:r>
      <w:r w:rsidRPr="00C3297A" w:rsidR="00E559C2">
        <w:t xml:space="preserve"> after extensive public comment</w:t>
      </w:r>
      <w:r w:rsidRPr="00C3297A" w:rsidR="00E77201">
        <w:t>.</w:t>
      </w:r>
      <w:r w:rsidRPr="00C3297A" w:rsidR="009A5C78">
        <w:rPr>
          <w:rStyle w:val="FootnoteReference"/>
        </w:rPr>
        <w:footnoteReference w:id="25"/>
      </w:r>
      <w:r w:rsidRPr="00C3297A" w:rsidR="00E77201">
        <w:t xml:space="preserve"> </w:t>
      </w:r>
      <w:r w:rsidRPr="00C3297A" w:rsidR="00BA2976">
        <w:t>On November 2, 2021, Antioch issued a Notice of Termination</w:t>
      </w:r>
      <w:r w:rsidRPr="00C3297A" w:rsidR="00B507A5">
        <w:t>, informing</w:t>
      </w:r>
      <w:r w:rsidRPr="00C3297A" w:rsidR="00BA2976">
        <w:t xml:space="preserve"> CRPC that the franchise agreement was terminated, effective September 28, 2021.</w:t>
      </w:r>
      <w:r w:rsidRPr="00C3297A" w:rsidR="0052750F">
        <w:rPr>
          <w:rStyle w:val="FootnoteReference"/>
        </w:rPr>
        <w:footnoteReference w:id="26"/>
      </w:r>
      <w:r w:rsidRPr="00C3297A" w:rsidR="00BA2976">
        <w:t xml:space="preserve"> </w:t>
      </w:r>
      <w:r w:rsidRPr="00C3297A" w:rsidR="00AE6F31">
        <w:t>Antioch’s Notice of Termination</w:t>
      </w:r>
      <w:r w:rsidRPr="00C3297A" w:rsidR="007B32ED">
        <w:t xml:space="preserve"> ordered </w:t>
      </w:r>
      <w:r w:rsidRPr="00C3297A" w:rsidR="002E4645">
        <w:t xml:space="preserve">CRPC </w:t>
      </w:r>
      <w:r w:rsidRPr="00C3297A" w:rsidR="00CF38B5">
        <w:t>“</w:t>
      </w:r>
      <w:r w:rsidRPr="00C3297A" w:rsidR="002E4645">
        <w:t xml:space="preserve">to </w:t>
      </w:r>
      <w:r w:rsidRPr="00C3297A" w:rsidR="00CF38B5">
        <w:rPr>
          <w:i/>
          <w:iCs/>
        </w:rPr>
        <w:t xml:space="preserve">immediately </w:t>
      </w:r>
      <w:r w:rsidRPr="00C3297A" w:rsidR="002E4645">
        <w:rPr>
          <w:i/>
          <w:iCs/>
        </w:rPr>
        <w:t xml:space="preserve">discontinue </w:t>
      </w:r>
      <w:r w:rsidRPr="00C3297A" w:rsidR="00B317F9">
        <w:rPr>
          <w:i/>
          <w:iCs/>
        </w:rPr>
        <w:t xml:space="preserve">the </w:t>
      </w:r>
      <w:r w:rsidRPr="00C3297A" w:rsidR="002E4645">
        <w:rPr>
          <w:i/>
          <w:iCs/>
        </w:rPr>
        <w:t>use</w:t>
      </w:r>
      <w:r w:rsidRPr="00C3297A" w:rsidR="002E4645">
        <w:t xml:space="preserve"> </w:t>
      </w:r>
      <w:r w:rsidRPr="00C3297A" w:rsidR="00B317F9">
        <w:t>of all [CPRC] pipelines that are in operation</w:t>
      </w:r>
      <w:r w:rsidRPr="00C3297A" w:rsidR="007C2F43">
        <w:t>”</w:t>
      </w:r>
      <w:r w:rsidRPr="00C3297A" w:rsidR="00B317F9">
        <w:t xml:space="preserve"> within</w:t>
      </w:r>
      <w:r w:rsidRPr="00C3297A" w:rsidR="007C2F43">
        <w:t xml:space="preserve"> Antioch</w:t>
      </w:r>
      <w:r w:rsidRPr="00C3297A" w:rsidR="00B317F9">
        <w:t>’s</w:t>
      </w:r>
      <w:r w:rsidRPr="00C3297A" w:rsidR="007C2F43">
        <w:t xml:space="preserve"> “</w:t>
      </w:r>
      <w:r w:rsidRPr="00C3297A" w:rsidR="00B317F9">
        <w:t xml:space="preserve">jurisdiction </w:t>
      </w:r>
      <w:r w:rsidRPr="00C3297A" w:rsidR="002E4645">
        <w:t xml:space="preserve">and </w:t>
      </w:r>
      <w:r w:rsidRPr="00C3297A" w:rsidR="00047574">
        <w:rPr>
          <w:i/>
          <w:iCs/>
        </w:rPr>
        <w:t xml:space="preserve">take any and all actions necessary to </w:t>
      </w:r>
      <w:r w:rsidRPr="00C3297A" w:rsidR="002E4645">
        <w:rPr>
          <w:i/>
          <w:iCs/>
        </w:rPr>
        <w:t>abandon</w:t>
      </w:r>
      <w:r w:rsidRPr="00C3297A" w:rsidR="002E4645">
        <w:t xml:space="preserve"> the </w:t>
      </w:r>
      <w:r w:rsidRPr="00C3297A" w:rsidR="00047574">
        <w:t>pipelines.”</w:t>
      </w:r>
      <w:r w:rsidRPr="00C3297A" w:rsidR="00BC3CB6">
        <w:rPr>
          <w:rStyle w:val="FootnoteReference"/>
        </w:rPr>
        <w:footnoteReference w:id="27"/>
      </w:r>
      <w:r w:rsidR="00047574">
        <w:t xml:space="preserve"> </w:t>
      </w:r>
    </w:p>
    <w:p w:rsidR="00D252E6" w:rsidP="00BA2976" w:rsidRDefault="00875D48" w14:paraId="2CE2C379" w14:textId="408D66AE">
      <w:pPr>
        <w:pStyle w:val="Standard"/>
      </w:pPr>
      <w:r w:rsidRPr="00840D2B">
        <w:t>CRPC’s</w:t>
      </w:r>
      <w:r w:rsidRPr="00840D2B" w:rsidR="00400760">
        <w:t xml:space="preserve"> unsuccessful</w:t>
      </w:r>
      <w:r w:rsidRPr="00840D2B">
        <w:t xml:space="preserve"> </w:t>
      </w:r>
      <w:r w:rsidRPr="00840D2B" w:rsidR="00966F39">
        <w:t xml:space="preserve">Phase I </w:t>
      </w:r>
      <w:r w:rsidRPr="00840D2B" w:rsidR="00283B21">
        <w:t xml:space="preserve">Pipeline Litigation </w:t>
      </w:r>
      <w:r w:rsidRPr="00840D2B" w:rsidR="00400760">
        <w:t xml:space="preserve">claims </w:t>
      </w:r>
      <w:r w:rsidRPr="00840D2B" w:rsidR="00283B21">
        <w:t>challeng</w:t>
      </w:r>
      <w:r w:rsidRPr="00840D2B" w:rsidR="002B14DE">
        <w:t>ed</w:t>
      </w:r>
      <w:r w:rsidRPr="00840D2B" w:rsidR="00283B21">
        <w:t xml:space="preserve"> Antioch’s franchise agreement termination in Contra Costa County Superior </w:t>
      </w:r>
      <w:r w:rsidRPr="00840D2B" w:rsidR="00283B21">
        <w:lastRenderedPageBreak/>
        <w:t xml:space="preserve">Court. </w:t>
      </w:r>
      <w:r w:rsidRPr="00840D2B" w:rsidR="0020050D">
        <w:t xml:space="preserve">As noted above, </w:t>
      </w:r>
      <w:r w:rsidRPr="00840D2B" w:rsidR="00283B21">
        <w:t>CRPC</w:t>
      </w:r>
      <w:r w:rsidRPr="00840D2B" w:rsidR="0020050D">
        <w:t xml:space="preserve"> </w:t>
      </w:r>
      <w:r w:rsidRPr="00840D2B" w:rsidR="001569C4">
        <w:t>exhaust</w:t>
      </w:r>
      <w:r w:rsidRPr="00840D2B" w:rsidR="00687D1A">
        <w:t>ed</w:t>
      </w:r>
      <w:r w:rsidRPr="00840D2B" w:rsidR="001569C4">
        <w:t xml:space="preserve"> its </w:t>
      </w:r>
      <w:r w:rsidRPr="00840D2B" w:rsidR="0074011C">
        <w:t xml:space="preserve">judicial </w:t>
      </w:r>
      <w:r w:rsidRPr="00840D2B" w:rsidR="002D1B41">
        <w:t xml:space="preserve">appeals </w:t>
      </w:r>
      <w:r w:rsidRPr="00840D2B" w:rsidR="00C8326C">
        <w:t>to</w:t>
      </w:r>
      <w:r w:rsidRPr="00840D2B" w:rsidR="00283B21">
        <w:t xml:space="preserve"> challenge Antioch’s termination decision</w:t>
      </w:r>
      <w:r w:rsidRPr="00840D2B" w:rsidR="00687D1A">
        <w:t xml:space="preserve"> and did not prevail in those appeals</w:t>
      </w:r>
      <w:r w:rsidRPr="00840D2B" w:rsidR="00283B21">
        <w:t>.</w:t>
      </w:r>
      <w:r w:rsidR="00283B21">
        <w:t xml:space="preserve"> </w:t>
      </w:r>
    </w:p>
    <w:p w:rsidR="00D93299" w:rsidP="00D93299" w:rsidRDefault="00D93299" w14:paraId="4A54C43D" w14:textId="77777777">
      <w:pPr>
        <w:pStyle w:val="Standard"/>
      </w:pPr>
      <w:r w:rsidRPr="00376A8D">
        <w:t xml:space="preserve">In addition, </w:t>
      </w:r>
      <w:r>
        <w:t xml:space="preserve">on June 28, 2022, </w:t>
      </w:r>
      <w:r w:rsidRPr="00376A8D">
        <w:t>CRPC sought</w:t>
      </w:r>
      <w:r>
        <w:t xml:space="preserve"> and was denied</w:t>
      </w:r>
      <w:r w:rsidRPr="00376A8D">
        <w:t xml:space="preserve"> an Encroachment Permit from Antioch</w:t>
      </w:r>
      <w:r>
        <w:t>.</w:t>
      </w:r>
      <w:r>
        <w:rPr>
          <w:rStyle w:val="FootnoteReference"/>
        </w:rPr>
        <w:footnoteReference w:id="28"/>
      </w:r>
      <w:r w:rsidRPr="00376A8D">
        <w:t xml:space="preserve"> </w:t>
      </w:r>
      <w:r>
        <w:t xml:space="preserve">CRPC </w:t>
      </w:r>
      <w:r w:rsidRPr="00376A8D">
        <w:t xml:space="preserve">appealed </w:t>
      </w:r>
      <w:r>
        <w:t>that</w:t>
      </w:r>
      <w:r w:rsidRPr="00376A8D">
        <w:t xml:space="preserve"> denial</w:t>
      </w:r>
      <w:r>
        <w:t xml:space="preserve"> to the Antioch City Council and that appeal was held in abeyance by agreement of Antioch and CRPC pending the outcome of the Phase I Pipeline Litigation appeals</w:t>
      </w:r>
      <w:r w:rsidRPr="00C065C3">
        <w:t>.</w:t>
      </w:r>
      <w:r w:rsidRPr="00C065C3">
        <w:rPr>
          <w:rStyle w:val="FootnoteReference"/>
        </w:rPr>
        <w:footnoteReference w:id="29"/>
      </w:r>
      <w:r w:rsidRPr="00C065C3">
        <w:t xml:space="preserve"> CRPC’s </w:t>
      </w:r>
      <w:r>
        <w:t xml:space="preserve">administrative </w:t>
      </w:r>
      <w:r w:rsidRPr="00C065C3">
        <w:t>appeal to its Antioch Encroachment Permit request remains pending</w:t>
      </w:r>
      <w:r>
        <w:t xml:space="preserve"> and in abeyance</w:t>
      </w:r>
      <w:r w:rsidRPr="00C065C3">
        <w:t>.</w:t>
      </w:r>
      <w:r w:rsidRPr="00C065C3">
        <w:rPr>
          <w:rStyle w:val="FootnoteReference"/>
        </w:rPr>
        <w:footnoteReference w:id="30"/>
      </w:r>
      <w:r>
        <w:t xml:space="preserve"> </w:t>
      </w:r>
    </w:p>
    <w:p w:rsidR="00D252E6" w:rsidP="00D252E6" w:rsidRDefault="00275B1E" w14:paraId="44CEB8C8" w14:textId="4F13B4EC">
      <w:pPr>
        <w:pStyle w:val="Standard"/>
      </w:pPr>
      <w:r w:rsidRPr="00B2396F">
        <w:t>Brentwood</w:t>
      </w:r>
      <w:r w:rsidR="003E383C">
        <w:t>’s</w:t>
      </w:r>
      <w:r w:rsidRPr="00B2396F">
        <w:t xml:space="preserve"> </w:t>
      </w:r>
      <w:r w:rsidR="007C2F43">
        <w:t>f</w:t>
      </w:r>
      <w:r w:rsidRPr="00B2396F">
        <w:t xml:space="preserve">ranchise </w:t>
      </w:r>
      <w:r w:rsidR="007C2F43">
        <w:t>a</w:t>
      </w:r>
      <w:r w:rsidRPr="00B2396F">
        <w:t xml:space="preserve">greement </w:t>
      </w:r>
      <w:r w:rsidRPr="00B2396F" w:rsidR="00D421DA">
        <w:t>with CRPC</w:t>
      </w:r>
      <w:r w:rsidR="00F5349D">
        <w:t xml:space="preserve"> authorized</w:t>
      </w:r>
      <w:r w:rsidRPr="00F5349D" w:rsidR="00F5349D">
        <w:t xml:space="preserve"> </w:t>
      </w:r>
      <w:r w:rsidRPr="00B2396F" w:rsidR="00F5349D">
        <w:t>CRPC to “construct, maintain, operate and remove” the UI Pipeline segment within Brentwood</w:t>
      </w:r>
      <w:r w:rsidR="00D96CDF">
        <w:t>.</w:t>
      </w:r>
      <w:r w:rsidRPr="00B2396F" w:rsidR="00F5349D">
        <w:rPr>
          <w:rStyle w:val="FootnoteReference"/>
        </w:rPr>
        <w:footnoteReference w:id="31"/>
      </w:r>
      <w:r w:rsidRPr="00B2396F" w:rsidR="00F5349D">
        <w:t xml:space="preserve"> </w:t>
      </w:r>
      <w:r w:rsidR="00DB5457">
        <w:t xml:space="preserve">That franchise agreement </w:t>
      </w:r>
      <w:r w:rsidRPr="00B2396F">
        <w:t xml:space="preserve">expired on </w:t>
      </w:r>
      <w:r w:rsidRPr="00B2396F" w:rsidR="003F5061">
        <w:t>February 22, 2021</w:t>
      </w:r>
      <w:r w:rsidRPr="00B2396F">
        <w:t>.</w:t>
      </w:r>
      <w:r w:rsidRPr="00B2396F" w:rsidR="006758EA">
        <w:rPr>
          <w:rStyle w:val="FootnoteReference"/>
        </w:rPr>
        <w:footnoteReference w:id="32"/>
      </w:r>
      <w:r w:rsidRPr="00B2396F">
        <w:t xml:space="preserve"> </w:t>
      </w:r>
      <w:r w:rsidRPr="00B2396F" w:rsidR="00D252E6">
        <w:t xml:space="preserve">CRPC applied for a </w:t>
      </w:r>
      <w:r w:rsidRPr="00B2396F" w:rsidR="009973E6">
        <w:t>f</w:t>
      </w:r>
      <w:r w:rsidRPr="00B2396F" w:rsidR="00D252E6">
        <w:t xml:space="preserve">ranchise </w:t>
      </w:r>
      <w:r w:rsidRPr="00B2396F" w:rsidR="00747D16">
        <w:t>agreement e</w:t>
      </w:r>
      <w:r w:rsidRPr="00B2396F" w:rsidR="00D252E6">
        <w:t>xtension with Brentwood</w:t>
      </w:r>
      <w:r w:rsidRPr="00B2396F" w:rsidR="00206528">
        <w:t xml:space="preserve"> that was </w:t>
      </w:r>
      <w:r w:rsidRPr="00B2396F" w:rsidR="00A224C3">
        <w:t xml:space="preserve">heard by </w:t>
      </w:r>
      <w:r w:rsidRPr="00B2396F" w:rsidR="00A224C3">
        <w:lastRenderedPageBreak/>
        <w:t>the Brentwood City Council on May 11, 2021</w:t>
      </w:r>
      <w:r w:rsidR="007C2F43">
        <w:t>.</w:t>
      </w:r>
      <w:r w:rsidRPr="00B2396F" w:rsidR="00CC1713">
        <w:rPr>
          <w:rStyle w:val="FootnoteReference"/>
        </w:rPr>
        <w:footnoteReference w:id="33"/>
      </w:r>
      <w:r w:rsidRPr="00B2396F" w:rsidR="00D252E6">
        <w:t xml:space="preserve"> </w:t>
      </w:r>
      <w:r w:rsidR="007843BD">
        <w:t>T</w:t>
      </w:r>
      <w:r w:rsidR="00494BD6">
        <w:t xml:space="preserve">hat </w:t>
      </w:r>
      <w:r w:rsidR="006D0895">
        <w:t xml:space="preserve">application </w:t>
      </w:r>
      <w:r w:rsidR="00DB5457">
        <w:t xml:space="preserve">has not been granted and </w:t>
      </w:r>
      <w:r w:rsidR="009D6EBC">
        <w:t>remains</w:t>
      </w:r>
      <w:r w:rsidRPr="00B2396F" w:rsidR="00D252E6">
        <w:t xml:space="preserve"> pending before the Brentwood City Council.</w:t>
      </w:r>
      <w:r w:rsidRPr="00B2396F">
        <w:rPr>
          <w:rStyle w:val="FootnoteReference"/>
        </w:rPr>
        <w:footnoteReference w:id="34"/>
      </w:r>
    </w:p>
    <w:p w:rsidR="0019622C" w:rsidP="005B37E4" w:rsidRDefault="00EA5B8F" w14:paraId="5802E916" w14:textId="077B7F97">
      <w:pPr>
        <w:pStyle w:val="Standard"/>
      </w:pPr>
      <w:r>
        <w:rPr>
          <w:rFonts w:eastAsiaTheme="majorEastAsia" w:cstheme="majorBidi"/>
          <w:bCs/>
          <w:szCs w:val="24"/>
        </w:rPr>
        <w:t xml:space="preserve">On February </w:t>
      </w:r>
      <w:r w:rsidR="006B3B32">
        <w:rPr>
          <w:rFonts w:eastAsiaTheme="majorEastAsia" w:cstheme="majorBidi"/>
          <w:bCs/>
          <w:szCs w:val="24"/>
        </w:rPr>
        <w:t xml:space="preserve">28, 2025, </w:t>
      </w:r>
      <w:r w:rsidRPr="004F439D" w:rsidR="00BB5B1A">
        <w:rPr>
          <w:rFonts w:eastAsiaTheme="majorEastAsia" w:cstheme="majorBidi"/>
          <w:bCs/>
          <w:szCs w:val="24"/>
        </w:rPr>
        <w:t xml:space="preserve">CRPC’s Successor Subsidiary </w:t>
      </w:r>
      <w:r w:rsidRPr="004F439D" w:rsidR="00696512">
        <w:rPr>
          <w:rFonts w:eastAsiaTheme="majorEastAsia" w:cstheme="majorBidi"/>
          <w:bCs/>
          <w:szCs w:val="24"/>
        </w:rPr>
        <w:t>filed an application for a franchise agreement with Antioch that remains pending with the Anti</w:t>
      </w:r>
      <w:r w:rsidRPr="004F439D" w:rsidR="00735AD7">
        <w:rPr>
          <w:rFonts w:eastAsiaTheme="majorEastAsia" w:cstheme="majorBidi"/>
          <w:bCs/>
          <w:szCs w:val="24"/>
        </w:rPr>
        <w:t>och City Council</w:t>
      </w:r>
      <w:r w:rsidRPr="004F439D" w:rsidR="00696512">
        <w:rPr>
          <w:rFonts w:eastAsiaTheme="majorEastAsia" w:cstheme="majorBidi"/>
          <w:bCs/>
          <w:szCs w:val="24"/>
        </w:rPr>
        <w:t>.</w:t>
      </w:r>
      <w:r w:rsidR="009C1AC3">
        <w:rPr>
          <w:rStyle w:val="FootnoteReference"/>
          <w:rFonts w:eastAsiaTheme="majorEastAsia" w:cstheme="majorBidi"/>
          <w:bCs/>
          <w:szCs w:val="24"/>
        </w:rPr>
        <w:footnoteReference w:id="35"/>
      </w:r>
      <w:r w:rsidRPr="004F439D" w:rsidR="00696512">
        <w:rPr>
          <w:rFonts w:eastAsiaTheme="majorEastAsia" w:cstheme="majorBidi"/>
          <w:b/>
          <w:szCs w:val="24"/>
        </w:rPr>
        <w:t xml:space="preserve"> </w:t>
      </w:r>
      <w:r w:rsidRPr="00FE64F5" w:rsidR="006D2F44">
        <w:rPr>
          <w:rFonts w:eastAsiaTheme="majorEastAsia" w:cstheme="majorBidi"/>
          <w:bCs/>
          <w:szCs w:val="24"/>
        </w:rPr>
        <w:t>With a hearing on that application scheduled for November 11, 2025,</w:t>
      </w:r>
      <w:r w:rsidR="006D2F44">
        <w:rPr>
          <w:rFonts w:eastAsiaTheme="majorEastAsia" w:cstheme="majorBidi"/>
          <w:b/>
          <w:szCs w:val="24"/>
        </w:rPr>
        <w:t xml:space="preserve"> </w:t>
      </w:r>
      <w:r w:rsidRPr="00FE64F5" w:rsidR="006F214D">
        <w:rPr>
          <w:rFonts w:eastAsiaTheme="majorEastAsia" w:cstheme="majorBidi"/>
          <w:bCs/>
          <w:szCs w:val="24"/>
        </w:rPr>
        <w:t>CRPC</w:t>
      </w:r>
      <w:r w:rsidR="006F214D">
        <w:rPr>
          <w:rFonts w:eastAsiaTheme="majorEastAsia" w:cstheme="majorBidi"/>
          <w:b/>
          <w:szCs w:val="24"/>
        </w:rPr>
        <w:t xml:space="preserve"> </w:t>
      </w:r>
      <w:r w:rsidR="00C62BB0">
        <w:t xml:space="preserve">requested that its Successor Subsidiary’s application be </w:t>
      </w:r>
      <w:r w:rsidR="00D73989">
        <w:t>taken off Antioch’s hearing calendar and held in abeyance.</w:t>
      </w:r>
      <w:r w:rsidR="008350DD">
        <w:rPr>
          <w:rStyle w:val="FootnoteReference"/>
        </w:rPr>
        <w:footnoteReference w:id="36"/>
      </w:r>
      <w:r w:rsidR="00D73989">
        <w:t xml:space="preserve"> </w:t>
      </w:r>
    </w:p>
    <w:p w:rsidR="00F430A9" w:rsidP="006C10E5" w:rsidRDefault="00F430A9" w14:paraId="352C87F2" w14:textId="0B235F65">
      <w:pPr>
        <w:pStyle w:val="Heading3"/>
      </w:pPr>
      <w:bookmarkStart w:name="_Toc220596320" w:id="28"/>
      <w:bookmarkStart w:name="_Toc220972203" w:id="29"/>
      <w:r>
        <w:t>Phase II Pipeline Litigation Status</w:t>
      </w:r>
      <w:bookmarkEnd w:id="28"/>
      <w:bookmarkEnd w:id="29"/>
    </w:p>
    <w:p w:rsidRPr="006C10E5" w:rsidR="00427AE3" w:rsidP="00C64CDA" w:rsidRDefault="00254D18" w14:paraId="334E3FCC" w14:textId="65121A64">
      <w:pPr>
        <w:pStyle w:val="Standard"/>
      </w:pPr>
      <w:bookmarkStart w:name="_Toc200757639" w:id="30"/>
      <w:bookmarkStart w:name="_Toc200757640" w:id="31"/>
      <w:bookmarkStart w:name="_Toc200757641" w:id="32"/>
      <w:bookmarkStart w:name="_Toc200757642" w:id="33"/>
      <w:bookmarkStart w:name="_Toc200757643" w:id="34"/>
      <w:bookmarkStart w:name="_Toc200757644" w:id="35"/>
      <w:bookmarkStart w:name="_Toc200757645" w:id="36"/>
      <w:bookmarkStart w:name="_Toc200757646" w:id="37"/>
      <w:bookmarkStart w:name="_Toc200757647" w:id="38"/>
      <w:bookmarkEnd w:id="30"/>
      <w:bookmarkEnd w:id="31"/>
      <w:bookmarkEnd w:id="32"/>
      <w:bookmarkEnd w:id="33"/>
      <w:bookmarkEnd w:id="34"/>
      <w:bookmarkEnd w:id="35"/>
      <w:bookmarkEnd w:id="36"/>
      <w:bookmarkEnd w:id="37"/>
      <w:bookmarkEnd w:id="38"/>
      <w:r w:rsidRPr="004B492F">
        <w:t>T</w:t>
      </w:r>
      <w:r w:rsidRPr="004B492F" w:rsidR="00C64CDA">
        <w:t>he Contra Costa Superior Court</w:t>
      </w:r>
      <w:r w:rsidRPr="004B492F" w:rsidR="005E166F">
        <w:t xml:space="preserve"> issued an</w:t>
      </w:r>
      <w:r w:rsidRPr="004B492F" w:rsidR="00C64CDA">
        <w:t xml:space="preserve"> </w:t>
      </w:r>
      <w:r w:rsidRPr="004B492F">
        <w:t xml:space="preserve">August 21, 2025 </w:t>
      </w:r>
      <w:r w:rsidRPr="004B492F" w:rsidR="00C64CDA">
        <w:t>order granting Antioch</w:t>
      </w:r>
      <w:r w:rsidRPr="004B492F">
        <w:t>’s</w:t>
      </w:r>
      <w:r w:rsidRPr="004B492F" w:rsidR="008701B1">
        <w:t xml:space="preserve"> </w:t>
      </w:r>
      <w:r w:rsidRPr="004B492F" w:rsidR="00C64CDA">
        <w:t xml:space="preserve">motion to lift </w:t>
      </w:r>
      <w:r w:rsidR="00C04E8C">
        <w:t xml:space="preserve">a </w:t>
      </w:r>
      <w:r w:rsidRPr="004B492F" w:rsidR="007E21CA">
        <w:t xml:space="preserve">litigation </w:t>
      </w:r>
      <w:r w:rsidRPr="004B492F" w:rsidR="00C64CDA">
        <w:t>stay</w:t>
      </w:r>
      <w:r w:rsidRPr="004B492F" w:rsidR="005E166F">
        <w:t>,</w:t>
      </w:r>
      <w:r w:rsidRPr="004B492F" w:rsidR="00C64CDA">
        <w:t xml:space="preserve"> </w:t>
      </w:r>
      <w:r w:rsidRPr="004B492F" w:rsidR="00D17F8C">
        <w:t>allow</w:t>
      </w:r>
      <w:r w:rsidRPr="004B492F" w:rsidR="005E166F">
        <w:t>ing</w:t>
      </w:r>
      <w:r w:rsidRPr="004B492F" w:rsidR="00D17F8C">
        <w:t xml:space="preserve"> </w:t>
      </w:r>
      <w:r w:rsidRPr="004B492F">
        <w:t>that</w:t>
      </w:r>
      <w:r w:rsidRPr="004B492F" w:rsidR="00FF095D">
        <w:t xml:space="preserve"> court to decide </w:t>
      </w:r>
      <w:r w:rsidRPr="004B492F" w:rsidR="007F566F">
        <w:t>Antioch’s</w:t>
      </w:r>
      <w:r w:rsidRPr="004B492F" w:rsidR="00D17F8C">
        <w:t xml:space="preserve"> </w:t>
      </w:r>
      <w:r w:rsidRPr="004B492F" w:rsidR="00560866">
        <w:t>cross-claims</w:t>
      </w:r>
      <w:r w:rsidRPr="004B492F" w:rsidR="00DD6A12">
        <w:t xml:space="preserve"> </w:t>
      </w:r>
      <w:r w:rsidRPr="004B492F" w:rsidR="00361E63">
        <w:t xml:space="preserve">in </w:t>
      </w:r>
      <w:r w:rsidRPr="004B492F" w:rsidR="00C0766F">
        <w:t>Phase II of the Pipeline Litigation</w:t>
      </w:r>
      <w:r w:rsidRPr="004B492F" w:rsidR="00560866">
        <w:t>.</w:t>
      </w:r>
      <w:r w:rsidRPr="004B492F" w:rsidR="008B798E">
        <w:rPr>
          <w:rStyle w:val="FootnoteReference"/>
        </w:rPr>
        <w:footnoteReference w:id="37"/>
      </w:r>
      <w:r w:rsidRPr="004B492F" w:rsidR="00560866">
        <w:t xml:space="preserve"> </w:t>
      </w:r>
    </w:p>
    <w:p w:rsidRPr="006C10E5" w:rsidR="00427AE3" w:rsidP="00427AE3" w:rsidRDefault="00275004" w14:paraId="7444AE87" w14:textId="6DCA9B10">
      <w:pPr>
        <w:pStyle w:val="Standard"/>
        <w:rPr>
          <w:szCs w:val="26"/>
        </w:rPr>
      </w:pPr>
      <w:r w:rsidRPr="006C10E5">
        <w:rPr>
          <w:szCs w:val="26"/>
        </w:rPr>
        <w:t>Antioch</w:t>
      </w:r>
      <w:r w:rsidR="007C5ED7">
        <w:rPr>
          <w:szCs w:val="26"/>
        </w:rPr>
        <w:t>’s</w:t>
      </w:r>
      <w:r w:rsidRPr="006C10E5">
        <w:rPr>
          <w:szCs w:val="26"/>
        </w:rPr>
        <w:t xml:space="preserve"> </w:t>
      </w:r>
      <w:r w:rsidRPr="006C10E5" w:rsidR="00427AE3">
        <w:rPr>
          <w:szCs w:val="26"/>
        </w:rPr>
        <w:t>amended cross-claims</w:t>
      </w:r>
      <w:r w:rsidRPr="006C10E5">
        <w:rPr>
          <w:szCs w:val="26"/>
        </w:rPr>
        <w:t>, alleging</w:t>
      </w:r>
      <w:r w:rsidRPr="006C10E5" w:rsidR="00427AE3">
        <w:rPr>
          <w:szCs w:val="26"/>
        </w:rPr>
        <w:t xml:space="preserve"> breach of contract, trespass, ejectment, and nuisance, and seeking a</w:t>
      </w:r>
      <w:r w:rsidR="002D46F0">
        <w:rPr>
          <w:szCs w:val="26"/>
        </w:rPr>
        <w:t>n</w:t>
      </w:r>
      <w:r w:rsidRPr="006C10E5" w:rsidR="00427AE3">
        <w:rPr>
          <w:szCs w:val="26"/>
        </w:rPr>
        <w:t xml:space="preserve"> injunction requiring CRPC to permanently abandon the Antioch segment, as well as other relief</w:t>
      </w:r>
      <w:r w:rsidR="007C5ED7">
        <w:rPr>
          <w:szCs w:val="26"/>
        </w:rPr>
        <w:t xml:space="preserve">, date back to </w:t>
      </w:r>
      <w:r w:rsidRPr="008B4D89" w:rsidR="007C5ED7">
        <w:rPr>
          <w:szCs w:val="26"/>
        </w:rPr>
        <w:t>March 30, 2022</w:t>
      </w:r>
      <w:r w:rsidRPr="006C10E5" w:rsidR="00427AE3">
        <w:rPr>
          <w:szCs w:val="26"/>
        </w:rPr>
        <w:t xml:space="preserve">. Antioch challenged CRPC’s prior, present, and future ownership rights to the UI Pipeline segment within the City, pleading, </w:t>
      </w:r>
      <w:r w:rsidRPr="006C10E5" w:rsidR="00427AE3">
        <w:rPr>
          <w:i/>
          <w:iCs/>
          <w:szCs w:val="26"/>
        </w:rPr>
        <w:t>inter alia</w:t>
      </w:r>
      <w:r w:rsidRPr="006C10E5" w:rsidR="00427AE3">
        <w:rPr>
          <w:szCs w:val="26"/>
        </w:rPr>
        <w:t xml:space="preserve">, that CRPC abandoned that UI Pipeline segment upon its 2021 franchise termination, thus </w:t>
      </w:r>
      <w:r w:rsidRPr="006C10E5" w:rsidR="00427AE3">
        <w:rPr>
          <w:szCs w:val="26"/>
        </w:rPr>
        <w:lastRenderedPageBreak/>
        <w:t xml:space="preserve">causing ownership of that segment automatically to vest in Antioch in 2021 under </w:t>
      </w:r>
      <w:r w:rsidR="003A581E">
        <w:rPr>
          <w:szCs w:val="26"/>
        </w:rPr>
        <w:t>S</w:t>
      </w:r>
      <w:r w:rsidRPr="006C10E5" w:rsidR="00427AE3">
        <w:rPr>
          <w:szCs w:val="26"/>
        </w:rPr>
        <w:t>ection 10 of the expired franchise agreement.</w:t>
      </w:r>
      <w:r w:rsidRPr="006C10E5" w:rsidR="00427AE3">
        <w:rPr>
          <w:rStyle w:val="FootnoteReference"/>
          <w:szCs w:val="26"/>
        </w:rPr>
        <w:footnoteReference w:id="38"/>
      </w:r>
      <w:r w:rsidRPr="006C10E5" w:rsidR="00427AE3">
        <w:rPr>
          <w:szCs w:val="26"/>
        </w:rPr>
        <w:t xml:space="preserve"> </w:t>
      </w:r>
    </w:p>
    <w:p w:rsidRPr="00433F0C" w:rsidR="00427AE3" w:rsidP="00427AE3" w:rsidRDefault="00427AE3" w14:paraId="1235477E" w14:textId="6D77A174">
      <w:pPr>
        <w:pStyle w:val="Standard"/>
        <w:rPr>
          <w:highlight w:val="yellow"/>
        </w:rPr>
      </w:pPr>
      <w:r w:rsidRPr="006C10E5">
        <w:rPr>
          <w:szCs w:val="26"/>
        </w:rPr>
        <w:t>The court sustained a demurre</w:t>
      </w:r>
      <w:r w:rsidR="00F70A18">
        <w:rPr>
          <w:szCs w:val="26"/>
        </w:rPr>
        <w:t>r</w:t>
      </w:r>
      <w:r w:rsidRPr="006C10E5">
        <w:rPr>
          <w:szCs w:val="26"/>
        </w:rPr>
        <w:t xml:space="preserve"> to the pleading of that claim on October 4, 2022 and gave Antioch leave to amend that and other claims in a second amended complaint.</w:t>
      </w:r>
      <w:r w:rsidRPr="006C10E5">
        <w:rPr>
          <w:rStyle w:val="FootnoteReference"/>
          <w:szCs w:val="26"/>
        </w:rPr>
        <w:footnoteReference w:id="39"/>
      </w:r>
      <w:r w:rsidRPr="006C10E5">
        <w:rPr>
          <w:szCs w:val="26"/>
        </w:rPr>
        <w:t xml:space="preserve"> CRPC </w:t>
      </w:r>
      <w:r w:rsidR="0044592D">
        <w:rPr>
          <w:szCs w:val="26"/>
        </w:rPr>
        <w:t xml:space="preserve">subsequently </w:t>
      </w:r>
      <w:r w:rsidRPr="006C10E5">
        <w:rPr>
          <w:szCs w:val="26"/>
        </w:rPr>
        <w:t xml:space="preserve">acknowledged that the court’s ruling neither determined </w:t>
      </w:r>
      <w:r w:rsidR="00167E21">
        <w:rPr>
          <w:szCs w:val="26"/>
        </w:rPr>
        <w:t>n</w:t>
      </w:r>
      <w:r w:rsidRPr="006C10E5">
        <w:rPr>
          <w:szCs w:val="26"/>
        </w:rPr>
        <w:t>or foreclosed Antioch’s abandonment cross-claim or vesting of ownership of the Antioch pipeline segment with the City, nor prevented the court from ordering CRPC to abandon the Antioch pipeline segment.</w:t>
      </w:r>
      <w:r w:rsidRPr="006C10E5">
        <w:rPr>
          <w:rStyle w:val="FootnoteReference"/>
          <w:szCs w:val="26"/>
        </w:rPr>
        <w:footnoteReference w:id="40"/>
      </w:r>
      <w:r w:rsidRPr="006C10E5">
        <w:rPr>
          <w:szCs w:val="26"/>
        </w:rPr>
        <w:t xml:space="preserve"> Antioch’s second amended complaint has not yet been filed with the court.</w:t>
      </w:r>
    </w:p>
    <w:p w:rsidRPr="00657C40" w:rsidR="00B4296E" w:rsidP="0050296D" w:rsidRDefault="00B4296E" w14:paraId="7771569D" w14:textId="3A57DC0C">
      <w:pPr>
        <w:pStyle w:val="Heading2"/>
      </w:pPr>
      <w:bookmarkStart w:name="_Toc215436819" w:id="39"/>
      <w:bookmarkStart w:name="_Toc216181955" w:id="40"/>
      <w:bookmarkStart w:name="_Toc216186761" w:id="41"/>
      <w:bookmarkStart w:name="_Toc195296422" w:id="42"/>
      <w:bookmarkStart w:name="_Toc195296712" w:id="43"/>
      <w:bookmarkStart w:name="_Toc195913680" w:id="44"/>
      <w:bookmarkStart w:name="_Toc196397845" w:id="45"/>
      <w:bookmarkStart w:name="_Toc197081586" w:id="46"/>
      <w:bookmarkStart w:name="_Toc197082005" w:id="47"/>
      <w:bookmarkStart w:name="_Toc197088360" w:id="48"/>
      <w:bookmarkStart w:name="_Toc197088395" w:id="49"/>
      <w:bookmarkStart w:name="_Toc197088430" w:id="50"/>
      <w:bookmarkStart w:name="_Toc197089047" w:id="51"/>
      <w:bookmarkStart w:name="_Toc197090192" w:id="52"/>
      <w:bookmarkStart w:name="_Toc197090716" w:id="53"/>
      <w:bookmarkStart w:name="_Toc211606193" w:id="54"/>
      <w:bookmarkStart w:name="_Toc220596321" w:id="55"/>
      <w:bookmarkStart w:name="_Toc220972204" w:id="56"/>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657C40">
        <w:t xml:space="preserve">Procedural </w:t>
      </w:r>
      <w:r w:rsidRPr="00657C40" w:rsidR="0050296D">
        <w:t>Background</w:t>
      </w:r>
      <w:bookmarkEnd w:id="54"/>
      <w:bookmarkEnd w:id="55"/>
      <w:bookmarkEnd w:id="56"/>
    </w:p>
    <w:p w:rsidRPr="00FC010E" w:rsidR="00E14E5A" w:rsidP="00F153AB" w:rsidRDefault="006077EB" w14:paraId="227B849F" w14:textId="262CC468">
      <w:pPr>
        <w:pStyle w:val="Standard"/>
        <w:rPr>
          <w:w w:val="105"/>
        </w:rPr>
      </w:pPr>
      <w:r w:rsidRPr="00FC010E">
        <w:t xml:space="preserve">CRPC </w:t>
      </w:r>
      <w:r w:rsidRPr="00FC010E" w:rsidR="000B72F4">
        <w:t xml:space="preserve">filed </w:t>
      </w:r>
      <w:r w:rsidRPr="00FC010E" w:rsidR="006E3F25">
        <w:t>A.</w:t>
      </w:r>
      <w:r w:rsidRPr="00FC010E" w:rsidR="000B72F4">
        <w:t>23-07-008</w:t>
      </w:r>
      <w:r w:rsidRPr="00FC010E" w:rsidR="00963564">
        <w:t xml:space="preserve"> on July 19, 2023</w:t>
      </w:r>
      <w:r w:rsidR="00852B91">
        <w:t xml:space="preserve">, accompanied by a </w:t>
      </w:r>
      <w:r w:rsidRPr="00A127CD" w:rsidR="00852B91">
        <w:t>Motion to File Under Seal the Confidential Version of its Application</w:t>
      </w:r>
      <w:r w:rsidR="00D40272">
        <w:t xml:space="preserve">. </w:t>
      </w:r>
      <w:r w:rsidR="002922C4">
        <w:t>At that time</w:t>
      </w:r>
      <w:r w:rsidR="00D40272">
        <w:t>,</w:t>
      </w:r>
      <w:r w:rsidR="0020050D">
        <w:t xml:space="preserve"> the </w:t>
      </w:r>
      <w:r w:rsidR="0091040F">
        <w:t xml:space="preserve">Phase I </w:t>
      </w:r>
      <w:r w:rsidR="0020050D">
        <w:t xml:space="preserve">Pipeline Litigation </w:t>
      </w:r>
      <w:r w:rsidR="00D40272">
        <w:t>was working through the appellate process</w:t>
      </w:r>
      <w:r w:rsidR="005C0455">
        <w:t>.</w:t>
      </w:r>
      <w:r w:rsidR="00B07521">
        <w:t xml:space="preserve"> </w:t>
      </w:r>
      <w:r w:rsidR="00EA3071">
        <w:t xml:space="preserve">Phase II was stayed pending completion of all </w:t>
      </w:r>
      <w:r w:rsidR="00FA0234">
        <w:t>such appeals</w:t>
      </w:r>
      <w:r w:rsidR="00BB3D86">
        <w:t xml:space="preserve">. </w:t>
      </w:r>
      <w:r w:rsidR="00331709">
        <w:t>T</w:t>
      </w:r>
      <w:r w:rsidR="00700CCB">
        <w:t>hroughout this proceeding, t</w:t>
      </w:r>
      <w:r w:rsidR="00221DA7">
        <w:t xml:space="preserve">he parties </w:t>
      </w:r>
      <w:r w:rsidR="005A09D1">
        <w:t>presented</w:t>
      </w:r>
      <w:r w:rsidR="00221DA7">
        <w:t xml:space="preserve"> voluminous </w:t>
      </w:r>
      <w:r w:rsidR="005A09D1">
        <w:t>filings</w:t>
      </w:r>
      <w:r w:rsidR="00372DC5">
        <w:t xml:space="preserve"> addressing </w:t>
      </w:r>
      <w:r w:rsidR="008A77B8">
        <w:t xml:space="preserve">numerous </w:t>
      </w:r>
      <w:r w:rsidR="00372DC5">
        <w:t>issues</w:t>
      </w:r>
      <w:r w:rsidR="005A09D1">
        <w:t>, including</w:t>
      </w:r>
      <w:r w:rsidR="00097F28">
        <w:t xml:space="preserve">, but </w:t>
      </w:r>
      <w:r w:rsidR="00097F28">
        <w:lastRenderedPageBreak/>
        <w:t>not limited to</w:t>
      </w:r>
      <w:r w:rsidR="005A09D1">
        <w:t xml:space="preserve"> </w:t>
      </w:r>
      <w:r w:rsidR="003966E4">
        <w:t xml:space="preserve">protests, </w:t>
      </w:r>
      <w:r w:rsidR="00372DC5">
        <w:t xml:space="preserve">responses, replies, </w:t>
      </w:r>
      <w:r w:rsidR="00D24E0C">
        <w:t xml:space="preserve">motions, </w:t>
      </w:r>
      <w:r w:rsidR="005A09D1">
        <w:t>status reports</w:t>
      </w:r>
      <w:r w:rsidR="007C1F35">
        <w:t>, and updates</w:t>
      </w:r>
      <w:r w:rsidR="005A09D1">
        <w:t xml:space="preserve"> regarding the </w:t>
      </w:r>
      <w:r w:rsidR="002A0A4D">
        <w:t>Pipeline Litigation and local proceedings</w:t>
      </w:r>
      <w:r w:rsidR="00530887">
        <w:t>,</w:t>
      </w:r>
      <w:r w:rsidR="002A0A4D">
        <w:t xml:space="preserve"> </w:t>
      </w:r>
      <w:r w:rsidR="00562D1F">
        <w:t>all file</w:t>
      </w:r>
      <w:r w:rsidR="007C1F35">
        <w:t>d</w:t>
      </w:r>
      <w:r w:rsidR="00562D1F">
        <w:t xml:space="preserve"> </w:t>
      </w:r>
      <w:r w:rsidR="002A0A4D">
        <w:t xml:space="preserve">under </w:t>
      </w:r>
      <w:r w:rsidR="00FA0234">
        <w:t xml:space="preserve">the </w:t>
      </w:r>
      <w:r w:rsidR="001F36DF">
        <w:t xml:space="preserve">strict </w:t>
      </w:r>
      <w:r w:rsidR="00CE16E3">
        <w:t>requirements for truth</w:t>
      </w:r>
      <w:r w:rsidR="00530887">
        <w:t>fulness</w:t>
      </w:r>
      <w:r w:rsidR="00CE16E3">
        <w:t xml:space="preserve"> and candor imposed by Commission Rule 1.</w:t>
      </w:r>
    </w:p>
    <w:p w:rsidR="00BF11C6" w:rsidP="00BF11C6" w:rsidRDefault="00EC7442" w14:paraId="33339270" w14:textId="531E8581">
      <w:pPr>
        <w:pStyle w:val="Standard"/>
        <w:rPr>
          <w:w w:val="105"/>
        </w:rPr>
      </w:pPr>
      <w:r>
        <w:rPr>
          <w:w w:val="105"/>
        </w:rPr>
        <w:t xml:space="preserve">On August 22, 2023, the </w:t>
      </w:r>
      <w:r w:rsidR="00F910D0">
        <w:t>Cities</w:t>
      </w:r>
      <w:r w:rsidRPr="000B72F4" w:rsidR="000B72F4">
        <w:t xml:space="preserve"> filed a joint protest</w:t>
      </w:r>
      <w:r>
        <w:t xml:space="preserve"> to the Application</w:t>
      </w:r>
      <w:r w:rsidRPr="000B72F4" w:rsidR="000B72F4">
        <w:t xml:space="preserve">. </w:t>
      </w:r>
      <w:r>
        <w:rPr>
          <w:w w:val="105"/>
        </w:rPr>
        <w:t>On August 25, 2023, the Public Advocates</w:t>
      </w:r>
      <w:r>
        <w:rPr>
          <w:spacing w:val="-2"/>
          <w:w w:val="105"/>
        </w:rPr>
        <w:t xml:space="preserve"> </w:t>
      </w:r>
      <w:r>
        <w:rPr>
          <w:w w:val="105"/>
        </w:rPr>
        <w:t>Office</w:t>
      </w:r>
      <w:r>
        <w:rPr>
          <w:spacing w:val="-2"/>
          <w:w w:val="105"/>
        </w:rPr>
        <w:t xml:space="preserve"> </w:t>
      </w:r>
      <w:r>
        <w:rPr>
          <w:w w:val="105"/>
        </w:rPr>
        <w:t>(Cal</w:t>
      </w:r>
      <w:r>
        <w:rPr>
          <w:spacing w:val="-1"/>
          <w:w w:val="105"/>
        </w:rPr>
        <w:t xml:space="preserve"> </w:t>
      </w:r>
      <w:r>
        <w:rPr>
          <w:w w:val="105"/>
        </w:rPr>
        <w:t>Advocates)</w:t>
      </w:r>
      <w:r>
        <w:rPr>
          <w:spacing w:val="-2"/>
          <w:w w:val="105"/>
        </w:rPr>
        <w:t xml:space="preserve"> </w:t>
      </w:r>
      <w:r>
        <w:rPr>
          <w:w w:val="105"/>
        </w:rPr>
        <w:t>filed</w:t>
      </w:r>
      <w:r>
        <w:rPr>
          <w:spacing w:val="-2"/>
          <w:w w:val="105"/>
        </w:rPr>
        <w:t xml:space="preserve"> </w:t>
      </w:r>
      <w:r>
        <w:rPr>
          <w:w w:val="105"/>
        </w:rPr>
        <w:t>a</w:t>
      </w:r>
      <w:r>
        <w:rPr>
          <w:spacing w:val="-2"/>
          <w:w w:val="105"/>
        </w:rPr>
        <w:t xml:space="preserve"> </w:t>
      </w:r>
      <w:r>
        <w:rPr>
          <w:w w:val="105"/>
        </w:rPr>
        <w:t>motion</w:t>
      </w:r>
      <w:r>
        <w:rPr>
          <w:spacing w:val="-2"/>
          <w:w w:val="105"/>
        </w:rPr>
        <w:t xml:space="preserve"> </w:t>
      </w:r>
      <w:r>
        <w:rPr>
          <w:w w:val="105"/>
        </w:rPr>
        <w:t>for</w:t>
      </w:r>
      <w:r>
        <w:rPr>
          <w:spacing w:val="-2"/>
          <w:w w:val="105"/>
        </w:rPr>
        <w:t xml:space="preserve"> </w:t>
      </w:r>
      <w:r>
        <w:rPr>
          <w:w w:val="105"/>
        </w:rPr>
        <w:t>party</w:t>
      </w:r>
      <w:r>
        <w:rPr>
          <w:spacing w:val="-2"/>
          <w:w w:val="105"/>
        </w:rPr>
        <w:t xml:space="preserve"> </w:t>
      </w:r>
      <w:r>
        <w:rPr>
          <w:w w:val="105"/>
        </w:rPr>
        <w:t>status,</w:t>
      </w:r>
      <w:r>
        <w:rPr>
          <w:spacing w:val="-1"/>
          <w:w w:val="105"/>
        </w:rPr>
        <w:t xml:space="preserve"> </w:t>
      </w:r>
      <w:r w:rsidR="00D40272">
        <w:rPr>
          <w:spacing w:val="-1"/>
          <w:w w:val="105"/>
        </w:rPr>
        <w:t xml:space="preserve">which was </w:t>
      </w:r>
      <w:r>
        <w:rPr>
          <w:w w:val="105"/>
        </w:rPr>
        <w:t>granted on August 31, 2023.</w:t>
      </w:r>
      <w:r>
        <w:rPr>
          <w:spacing w:val="40"/>
          <w:w w:val="105"/>
        </w:rPr>
        <w:t xml:space="preserve"> </w:t>
      </w:r>
      <w:r>
        <w:rPr>
          <w:w w:val="105"/>
        </w:rPr>
        <w:t xml:space="preserve">On August 31, 2023, CRPC filed a reply to the </w:t>
      </w:r>
      <w:r w:rsidR="002646AE">
        <w:rPr>
          <w:w w:val="105"/>
        </w:rPr>
        <w:t xml:space="preserve">Cities’ </w:t>
      </w:r>
      <w:r>
        <w:rPr>
          <w:w w:val="105"/>
        </w:rPr>
        <w:t xml:space="preserve">joint protest. </w:t>
      </w:r>
    </w:p>
    <w:p w:rsidRPr="002646AE" w:rsidR="002646AE" w:rsidP="002646AE" w:rsidRDefault="002646AE" w14:paraId="160137B8" w14:textId="4F668F3F">
      <w:pPr>
        <w:pStyle w:val="Standard"/>
      </w:pPr>
      <w:r w:rsidRPr="002646AE">
        <w:t xml:space="preserve">On September 15, 2023, the assigned </w:t>
      </w:r>
      <w:r w:rsidR="00D40272">
        <w:t>Administrative Law Judge (</w:t>
      </w:r>
      <w:r w:rsidRPr="002646AE">
        <w:t>ALJ</w:t>
      </w:r>
      <w:r w:rsidR="00D40272">
        <w:t>)</w:t>
      </w:r>
      <w:r w:rsidRPr="002646AE">
        <w:t xml:space="preserve"> issued a ruling setting a prehearing conference (PHC) date and directing that PHC statements </w:t>
      </w:r>
      <w:r w:rsidR="00F873DB">
        <w:t xml:space="preserve">be </w:t>
      </w:r>
      <w:r w:rsidRPr="002646AE">
        <w:t xml:space="preserve">filed in advance of the PHC. On September 26, 2023, the Cities filed a joint PHC statement, and CRPC filed </w:t>
      </w:r>
      <w:r w:rsidR="007626C2">
        <w:t>its</w:t>
      </w:r>
      <w:r w:rsidRPr="002646AE">
        <w:t xml:space="preserve"> </w:t>
      </w:r>
      <w:r w:rsidR="002E5D9D">
        <w:t xml:space="preserve">own </w:t>
      </w:r>
      <w:r w:rsidRPr="002646AE">
        <w:t>PHC statement.</w:t>
      </w:r>
    </w:p>
    <w:p w:rsidRPr="002646AE" w:rsidR="002646AE" w:rsidP="002646AE" w:rsidRDefault="009822EB" w14:paraId="2C316FFC" w14:textId="060AF6E3">
      <w:pPr>
        <w:pStyle w:val="Standard"/>
      </w:pPr>
      <w:r w:rsidRPr="00250FAE">
        <w:t>On October 3, 2023, a</w:t>
      </w:r>
      <w:r w:rsidRPr="00250FAE" w:rsidR="002646AE">
        <w:t xml:space="preserve"> PHC was held to address the issues of law and fact, determine the need for a hearing, set the schedule for resolving the matter, and address other matters as necessary. During the PHC, </w:t>
      </w:r>
      <w:r w:rsidRPr="00250FAE" w:rsidR="00D40272">
        <w:t xml:space="preserve">the assigned </w:t>
      </w:r>
      <w:r w:rsidRPr="00250FAE" w:rsidR="00F7288B">
        <w:t>ALJ</w:t>
      </w:r>
      <w:r w:rsidRPr="00250FAE" w:rsidR="002646AE">
        <w:t xml:space="preserve"> directed CRPC to file additional information by October 16, 2023, regarding Commission Rules </w:t>
      </w:r>
      <w:r w:rsidRPr="00250FAE" w:rsidR="00DA4C32">
        <w:t xml:space="preserve">of Practice and Procedure </w:t>
      </w:r>
      <w:r w:rsidRPr="006E3F0F" w:rsidR="003C7D97">
        <w:t xml:space="preserve">(Rules) </w:t>
      </w:r>
      <w:r w:rsidRPr="00250FAE" w:rsidR="002646AE">
        <w:t>3.1(c) and 3.1(k)(1) and to answer the question, “</w:t>
      </w:r>
      <w:r w:rsidRPr="00433F0C" w:rsidR="005201A5">
        <w:rPr>
          <w:i/>
        </w:rPr>
        <w:t>W</w:t>
      </w:r>
      <w:r w:rsidRPr="00433F0C" w:rsidR="002646AE">
        <w:rPr>
          <w:i/>
        </w:rPr>
        <w:t>hich obligations of a public utility is CRPC proposing to adhere to?</w:t>
      </w:r>
      <w:r w:rsidRPr="00250FAE" w:rsidR="002646AE">
        <w:t>” On October 16, 2023, CRPC filed the additional information.</w:t>
      </w:r>
    </w:p>
    <w:p w:rsidR="007626C2" w:rsidP="00BF11C6" w:rsidRDefault="000B72F4" w14:paraId="6CE31615" w14:textId="2CB72592">
      <w:pPr>
        <w:pStyle w:val="Standard"/>
      </w:pPr>
      <w:r w:rsidRPr="000B72F4">
        <w:t xml:space="preserve">On November 6, 2023, </w:t>
      </w:r>
      <w:r w:rsidR="00CE6A2A">
        <w:t>a</w:t>
      </w:r>
      <w:r w:rsidRPr="002646AE" w:rsidR="00CE6A2A">
        <w:t xml:space="preserve">fter considering the </w:t>
      </w:r>
      <w:r w:rsidR="00D40272">
        <w:t>record of the proceeding</w:t>
      </w:r>
      <w:r w:rsidR="000E4AAD">
        <w:t>,</w:t>
      </w:r>
      <w:r w:rsidR="00D40272">
        <w:t xml:space="preserve"> including the </w:t>
      </w:r>
      <w:r w:rsidR="00AB5C3D">
        <w:t>A</w:t>
      </w:r>
      <w:r w:rsidRPr="002646AE" w:rsidR="00AB5C3D">
        <w:t>pplication</w:t>
      </w:r>
      <w:r w:rsidRPr="002646AE" w:rsidR="00CE6A2A">
        <w:t>, the Cities</w:t>
      </w:r>
      <w:r w:rsidR="00D40272">
        <w:t>’</w:t>
      </w:r>
      <w:r w:rsidRPr="002646AE" w:rsidR="00CE6A2A">
        <w:t xml:space="preserve"> joint protest, CRPC’s reply, the PHC statements, discussion at the prehearing conference, and CRPC’s response</w:t>
      </w:r>
      <w:r w:rsidR="00030BB0">
        <w:t>s</w:t>
      </w:r>
      <w:r w:rsidRPr="002646AE" w:rsidR="00CE6A2A">
        <w:t xml:space="preserve"> to</w:t>
      </w:r>
      <w:r w:rsidR="00CE6A2A">
        <w:t xml:space="preserve"> </w:t>
      </w:r>
      <w:r w:rsidR="00AF5BAA">
        <w:t xml:space="preserve">the </w:t>
      </w:r>
      <w:r w:rsidRPr="002646AE" w:rsidR="00CE6A2A">
        <w:t>ALJ</w:t>
      </w:r>
      <w:r w:rsidR="00AF5BAA">
        <w:t>’s</w:t>
      </w:r>
      <w:r w:rsidRPr="002646AE" w:rsidR="00CE6A2A">
        <w:t xml:space="preserve"> questions, </w:t>
      </w:r>
      <w:r w:rsidRPr="000B72F4">
        <w:t>Commissioner Karen Douglas issued a Scoping Memo and Ruling</w:t>
      </w:r>
      <w:r w:rsidR="00D93AB6">
        <w:t xml:space="preserve"> (Scoping Memo)</w:t>
      </w:r>
      <w:r w:rsidRPr="000B72F4">
        <w:t>.</w:t>
      </w:r>
      <w:r w:rsidR="005B1FD3">
        <w:t xml:space="preserve">  </w:t>
      </w:r>
      <w:r w:rsidR="005B1FD3">
        <w:rPr>
          <w:spacing w:val="16"/>
        </w:rPr>
        <w:t xml:space="preserve"> </w:t>
      </w:r>
    </w:p>
    <w:p w:rsidR="00D53798" w:rsidP="00BF11C6" w:rsidRDefault="00D53798" w14:paraId="142D027D" w14:textId="7D58471D">
      <w:pPr>
        <w:pStyle w:val="Standard"/>
      </w:pPr>
      <w:r>
        <w:t xml:space="preserve">On </w:t>
      </w:r>
      <w:r w:rsidRPr="00D40272" w:rsidR="00D40272">
        <w:t>December 18, 2023</w:t>
      </w:r>
      <w:r w:rsidR="00D40272">
        <w:t>, and December 20, 2023</w:t>
      </w:r>
      <w:r>
        <w:t xml:space="preserve">, </w:t>
      </w:r>
      <w:r w:rsidR="00D40272">
        <w:t xml:space="preserve">the assigned ALJ granted </w:t>
      </w:r>
      <w:r w:rsidR="00BE2A11">
        <w:t xml:space="preserve">party status to </w:t>
      </w:r>
      <w:r>
        <w:t>Indicated Shippers</w:t>
      </w:r>
      <w:r w:rsidR="005F719F">
        <w:t xml:space="preserve"> (representing </w:t>
      </w:r>
      <w:r w:rsidR="005F719F">
        <w:rPr>
          <w:lang w:val="en-ZW"/>
        </w:rPr>
        <w:t>t</w:t>
      </w:r>
      <w:r w:rsidRPr="004300F6" w:rsidR="005F719F">
        <w:t>he</w:t>
      </w:r>
      <w:r w:rsidR="005F719F">
        <w:t xml:space="preserve"> </w:t>
      </w:r>
      <w:r w:rsidRPr="004300F6" w:rsidR="005F719F">
        <w:t xml:space="preserve">natural gas non-core </w:t>
      </w:r>
      <w:r w:rsidRPr="004300F6" w:rsidR="005F719F">
        <w:lastRenderedPageBreak/>
        <w:t>customer interests of Chevron U.S.A. Inc., Marathon Petroleum Company LP, and PBF Holding Company</w:t>
      </w:r>
      <w:r w:rsidR="005F719F">
        <w:t>)</w:t>
      </w:r>
      <w:r>
        <w:t xml:space="preserve"> </w:t>
      </w:r>
      <w:r w:rsidR="00D40272">
        <w:t xml:space="preserve">and </w:t>
      </w:r>
      <w:r>
        <w:t>Pacific Gas and Electric Company.</w:t>
      </w:r>
    </w:p>
    <w:p w:rsidR="00FA2D30" w:rsidP="0051230A" w:rsidRDefault="00D53798" w14:paraId="220E6861" w14:textId="3EAD2829">
      <w:pPr>
        <w:pStyle w:val="Standard"/>
      </w:pPr>
      <w:r w:rsidRPr="000B72F4">
        <w:t xml:space="preserve">The Scoping Memo identified </w:t>
      </w:r>
      <w:r w:rsidR="004226B8">
        <w:t xml:space="preserve">a </w:t>
      </w:r>
      <w:r w:rsidRPr="000B72F4">
        <w:t>threshold</w:t>
      </w:r>
      <w:r>
        <w:t xml:space="preserve"> </w:t>
      </w:r>
      <w:r w:rsidRPr="000B72F4">
        <w:t>question</w:t>
      </w:r>
      <w:r w:rsidR="00D22F59">
        <w:t xml:space="preserve"> and issues</w:t>
      </w:r>
      <w:r w:rsidRPr="000B72F4">
        <w:t xml:space="preserve"> </w:t>
      </w:r>
      <w:r w:rsidR="00BE2A11">
        <w:t xml:space="preserve">for </w:t>
      </w:r>
      <w:r w:rsidRPr="000B72F4">
        <w:t>the parties to brief</w:t>
      </w:r>
      <w:r w:rsidR="00BE2A11">
        <w:t xml:space="preserve">. </w:t>
      </w:r>
      <w:r>
        <w:t>CRPC, the Cities, Indicated Shippers, and PG&amp;E fil</w:t>
      </w:r>
      <w:r w:rsidR="00BE2A11">
        <w:t>ed</w:t>
      </w:r>
      <w:r>
        <w:t xml:space="preserve"> opening briefs on December 6, 2023.  </w:t>
      </w:r>
    </w:p>
    <w:p w:rsidR="007B3935" w:rsidP="007B3935" w:rsidRDefault="007B3935" w14:paraId="557874B6" w14:textId="4961805B">
      <w:pPr>
        <w:pStyle w:val="Standard"/>
      </w:pPr>
      <w:r w:rsidRPr="000B72F4">
        <w:t>On December 20, 202</w:t>
      </w:r>
      <w:r>
        <w:t>3</w:t>
      </w:r>
      <w:r w:rsidRPr="000B72F4">
        <w:t>, A.23-07-008 was reassigned to ALJ Jeffrey Lee.</w:t>
      </w:r>
    </w:p>
    <w:p w:rsidR="000B72F4" w:rsidP="0051230A" w:rsidRDefault="00FF1729" w14:paraId="464EDDCB" w14:textId="13EA73DB">
      <w:pPr>
        <w:pStyle w:val="Standard"/>
      </w:pPr>
      <w:r>
        <w:t>On December 21, 2023, CRPC, the Cities, Indicated Shippers, and PG&amp;E filed reply briefs on the threshold question</w:t>
      </w:r>
      <w:r w:rsidR="00FA01C7">
        <w:t xml:space="preserve"> and issues</w:t>
      </w:r>
      <w:r>
        <w:t xml:space="preserve"> identified in the Scoping Memo. </w:t>
      </w:r>
      <w:r w:rsidR="00432A5D">
        <w:t>T</w:t>
      </w:r>
      <w:r w:rsidR="000B72F4">
        <w:t>he Cities</w:t>
      </w:r>
      <w:r w:rsidR="001C4D27">
        <w:t>’</w:t>
      </w:r>
      <w:r w:rsidR="000B72F4">
        <w:t xml:space="preserve"> Joint Reply Brief on Threshold Questions</w:t>
      </w:r>
      <w:r w:rsidR="00D53798">
        <w:t xml:space="preserve"> </w:t>
      </w:r>
      <w:r w:rsidR="000B72F4">
        <w:t xml:space="preserve">included a request to hold A.23-07-008 in abeyance pending the outcome of </w:t>
      </w:r>
      <w:r w:rsidR="00FA2D30">
        <w:t xml:space="preserve">the </w:t>
      </w:r>
      <w:r w:rsidR="00E14E5A">
        <w:t>preexisting</w:t>
      </w:r>
      <w:r w:rsidR="000B72F4">
        <w:t xml:space="preserve"> </w:t>
      </w:r>
      <w:r w:rsidR="00CB0D7C">
        <w:t>Pipeline Litigation</w:t>
      </w:r>
      <w:r w:rsidR="000B72F4">
        <w:t>.</w:t>
      </w:r>
      <w:r w:rsidR="00F910D0">
        <w:rPr>
          <w:rStyle w:val="FootnoteReference"/>
        </w:rPr>
        <w:footnoteReference w:id="41"/>
      </w:r>
    </w:p>
    <w:p w:rsidR="00BD01DF" w:rsidP="00146A40" w:rsidRDefault="00146A40" w14:paraId="2F210696" w14:textId="6492ABB4">
      <w:pPr>
        <w:pStyle w:val="Standard"/>
      </w:pPr>
      <w:r>
        <w:t xml:space="preserve">On June 20, 2024, </w:t>
      </w:r>
      <w:r w:rsidR="00BE2A11">
        <w:t xml:space="preserve">the assigned </w:t>
      </w:r>
      <w:r>
        <w:t xml:space="preserve">ALJ issued a </w:t>
      </w:r>
      <w:r w:rsidR="00BE2A11">
        <w:t>r</w:t>
      </w:r>
      <w:r>
        <w:t xml:space="preserve">uling </w:t>
      </w:r>
      <w:r w:rsidR="00BE2A11">
        <w:t>directing the p</w:t>
      </w:r>
      <w:r>
        <w:t xml:space="preserve">arties to </w:t>
      </w:r>
      <w:r w:rsidR="00BE2A11">
        <w:t>file</w:t>
      </w:r>
      <w:r w:rsidR="00A7494C">
        <w:t xml:space="preserve"> </w:t>
      </w:r>
      <w:r w:rsidR="00BE2A11">
        <w:t xml:space="preserve">status </w:t>
      </w:r>
      <w:r w:rsidR="00A7494C">
        <w:t>update</w:t>
      </w:r>
      <w:r w:rsidR="00A24BA9">
        <w:t>s</w:t>
      </w:r>
      <w:r w:rsidR="00BE2A11">
        <w:t xml:space="preserve"> </w:t>
      </w:r>
      <w:r w:rsidR="006010F6">
        <w:t xml:space="preserve">regarding </w:t>
      </w:r>
      <w:r w:rsidR="000674F7">
        <w:t xml:space="preserve">the </w:t>
      </w:r>
      <w:r w:rsidR="00A50570">
        <w:t xml:space="preserve">then-pending </w:t>
      </w:r>
      <w:r w:rsidR="00A35FA8">
        <w:t xml:space="preserve">Phase I </w:t>
      </w:r>
      <w:r w:rsidR="00CB0D7C">
        <w:t>Pipeline Litigation</w:t>
      </w:r>
      <w:r w:rsidR="000674F7">
        <w:t xml:space="preserve"> appeal and </w:t>
      </w:r>
      <w:r w:rsidR="00C14417">
        <w:t xml:space="preserve">all </w:t>
      </w:r>
      <w:r w:rsidR="006010F6">
        <w:t xml:space="preserve">related proceedings </w:t>
      </w:r>
      <w:r>
        <w:t>to evaluate the Cities</w:t>
      </w:r>
      <w:r w:rsidR="009E0C2E">
        <w:t>’</w:t>
      </w:r>
      <w:r>
        <w:t xml:space="preserve"> abeyance </w:t>
      </w:r>
      <w:r w:rsidR="00E14E5A">
        <w:t>request</w:t>
      </w:r>
      <w:r>
        <w:t xml:space="preserve">. </w:t>
      </w:r>
      <w:r w:rsidR="006010F6">
        <w:t>That</w:t>
      </w:r>
      <w:r w:rsidRPr="00046F93">
        <w:t xml:space="preserve"> </w:t>
      </w:r>
      <w:r>
        <w:t xml:space="preserve">ruling </w:t>
      </w:r>
      <w:r w:rsidR="001E6803">
        <w:t>ordered the</w:t>
      </w:r>
      <w:r w:rsidR="00F910D0">
        <w:t xml:space="preserve"> </w:t>
      </w:r>
      <w:r>
        <w:t>parties</w:t>
      </w:r>
      <w:r w:rsidR="001E6803">
        <w:t xml:space="preserve"> to</w:t>
      </w:r>
      <w:r>
        <w:t xml:space="preserve"> identify and describe each </w:t>
      </w:r>
      <w:r w:rsidR="00A7494C">
        <w:t>related matter</w:t>
      </w:r>
      <w:r>
        <w:t xml:space="preserve"> that may be relevant to this </w:t>
      </w:r>
      <w:r w:rsidR="00A7494C">
        <w:t>Application</w:t>
      </w:r>
      <w:r>
        <w:t xml:space="preserve"> and the consequences of a decision on A.23-07-008 by this </w:t>
      </w:r>
      <w:r w:rsidR="00B93A1E">
        <w:t>C</w:t>
      </w:r>
      <w:r>
        <w:t xml:space="preserve">ommission on each </w:t>
      </w:r>
      <w:r w:rsidR="00A7494C">
        <w:t xml:space="preserve">related </w:t>
      </w:r>
      <w:r>
        <w:t>matter.</w:t>
      </w:r>
      <w:r>
        <w:rPr>
          <w:rStyle w:val="FootnoteReference"/>
        </w:rPr>
        <w:footnoteReference w:id="42"/>
      </w:r>
      <w:r>
        <w:t xml:space="preserve"> </w:t>
      </w:r>
      <w:r w:rsidR="00BD01DF">
        <w:t xml:space="preserve">The </w:t>
      </w:r>
      <w:r w:rsidR="00C16D89">
        <w:t>Cities and CRPC</w:t>
      </w:r>
      <w:r w:rsidR="00BD01DF">
        <w:t xml:space="preserve"> filed their opening responses on </w:t>
      </w:r>
      <w:r w:rsidR="00C16D89">
        <w:t>July 1, 2024</w:t>
      </w:r>
      <w:r w:rsidR="00BD01DF">
        <w:t xml:space="preserve">. The </w:t>
      </w:r>
      <w:r w:rsidR="00C16D89">
        <w:t>Cities and CRPC</w:t>
      </w:r>
      <w:r w:rsidR="00BD01DF">
        <w:t xml:space="preserve"> filed repl</w:t>
      </w:r>
      <w:r w:rsidR="00C16D89">
        <w:t xml:space="preserve">ies </w:t>
      </w:r>
      <w:r w:rsidR="00BD01DF">
        <w:t xml:space="preserve">on </w:t>
      </w:r>
      <w:r w:rsidR="00C16D89">
        <w:t>July 17 and 18, 2024, respectively</w:t>
      </w:r>
      <w:r w:rsidR="00BD01DF">
        <w:t>.</w:t>
      </w:r>
    </w:p>
    <w:p w:rsidR="005D03BB" w:rsidP="00D5725D" w:rsidRDefault="00D5725D" w14:paraId="13EA53AE" w14:textId="0D28E36A">
      <w:pPr>
        <w:pStyle w:val="Standard"/>
      </w:pPr>
      <w:r>
        <w:t xml:space="preserve">On </w:t>
      </w:r>
      <w:r w:rsidRPr="00D5725D">
        <w:t>October 7, 2024</w:t>
      </w:r>
      <w:r>
        <w:t xml:space="preserve">, </w:t>
      </w:r>
      <w:r w:rsidR="00BE2A11">
        <w:t xml:space="preserve">the assigned </w:t>
      </w:r>
      <w:r w:rsidRPr="00D5725D">
        <w:t>ALJ issued a</w:t>
      </w:r>
      <w:r w:rsidR="00BE2A11">
        <w:t xml:space="preserve"> r</w:t>
      </w:r>
      <w:r w:rsidRPr="00D5725D">
        <w:t xml:space="preserve">uling </w:t>
      </w:r>
      <w:r w:rsidR="00BE2A11">
        <w:t>directing the parties to file further updates</w:t>
      </w:r>
      <w:r w:rsidRPr="00D5725D">
        <w:t xml:space="preserve">. </w:t>
      </w:r>
      <w:r>
        <w:t xml:space="preserve">CRPC and the Cities filed timely updated responses on October 18, 2024.  </w:t>
      </w:r>
      <w:r w:rsidR="00822CB1">
        <w:t xml:space="preserve">  </w:t>
      </w:r>
    </w:p>
    <w:p w:rsidR="00D5725D" w:rsidP="00D5725D" w:rsidRDefault="00D5725D" w14:paraId="60D0464E" w14:textId="6DD23E87">
      <w:pPr>
        <w:pStyle w:val="Standard"/>
      </w:pPr>
      <w:r>
        <w:lastRenderedPageBreak/>
        <w:t>On October 2</w:t>
      </w:r>
      <w:r w:rsidR="003154D7">
        <w:t>3</w:t>
      </w:r>
      <w:r>
        <w:t xml:space="preserve">, 2024, CRPC filed a supplemental updated response, informing </w:t>
      </w:r>
      <w:r w:rsidR="00EF6048">
        <w:t xml:space="preserve">the Commission </w:t>
      </w:r>
      <w:r>
        <w:t xml:space="preserve">that </w:t>
      </w:r>
      <w:r w:rsidRPr="00D5725D">
        <w:t>the California Court of Appeal issued an Oral Argument</w:t>
      </w:r>
      <w:r>
        <w:t xml:space="preserve"> </w:t>
      </w:r>
      <w:r w:rsidRPr="00D5725D">
        <w:t xml:space="preserve">Notice on October 22, 2024, setting oral argument </w:t>
      </w:r>
      <w:r w:rsidR="00AB42B7">
        <w:t>for</w:t>
      </w:r>
      <w:r w:rsidRPr="00D5725D">
        <w:t xml:space="preserve"> </w:t>
      </w:r>
      <w:r w:rsidR="00136177">
        <w:t>CRPC’s</w:t>
      </w:r>
      <w:r w:rsidRPr="0068712C" w:rsidR="00136177">
        <w:t xml:space="preserve"> </w:t>
      </w:r>
      <w:r w:rsidR="00CB7A87">
        <w:t xml:space="preserve">appeal (that had been </w:t>
      </w:r>
      <w:r w:rsidR="00AB42B7">
        <w:t>c</w:t>
      </w:r>
      <w:r w:rsidRPr="0068712C" w:rsidR="0068712C">
        <w:t xml:space="preserve">onsolidated </w:t>
      </w:r>
      <w:r w:rsidR="00CB7A87">
        <w:t>with a related a</w:t>
      </w:r>
      <w:r w:rsidRPr="0068712C" w:rsidR="0068712C">
        <w:t>ppeal</w:t>
      </w:r>
      <w:r w:rsidR="00AB42B7">
        <w:t>)</w:t>
      </w:r>
      <w:r w:rsidRPr="00D5725D">
        <w:t xml:space="preserve"> </w:t>
      </w:r>
      <w:r w:rsidR="00AB42B7">
        <w:t>on</w:t>
      </w:r>
      <w:r w:rsidRPr="00D5725D" w:rsidR="00AB42B7">
        <w:t xml:space="preserve"> </w:t>
      </w:r>
      <w:r w:rsidRPr="00D5725D">
        <w:t>November 12, 2024</w:t>
      </w:r>
      <w:r w:rsidR="005D03BB">
        <w:t>.</w:t>
      </w:r>
      <w:r w:rsidR="003154D7">
        <w:t xml:space="preserve"> The Cities filed a Joint Supplemental Response on November 26, 2024</w:t>
      </w:r>
      <w:r w:rsidR="007A27AA">
        <w:t xml:space="preserve">, </w:t>
      </w:r>
      <w:r w:rsidRPr="007A27AA" w:rsidR="007A27AA">
        <w:t>provid</w:t>
      </w:r>
      <w:r w:rsidR="007A27AA">
        <w:t>ing</w:t>
      </w:r>
      <w:r w:rsidRPr="007A27AA" w:rsidR="007A27AA">
        <w:t xml:space="preserve"> a copy of the Court of Appeal’s </w:t>
      </w:r>
      <w:r w:rsidR="00631392">
        <w:t>o</w:t>
      </w:r>
      <w:r w:rsidRPr="007A27AA" w:rsidR="007A27AA">
        <w:t>pinion</w:t>
      </w:r>
      <w:r w:rsidR="001A7AD3">
        <w:t xml:space="preserve"> in</w:t>
      </w:r>
      <w:r w:rsidR="00884FEB">
        <w:t xml:space="preserve"> </w:t>
      </w:r>
      <w:r w:rsidRPr="007B333C" w:rsidR="007A27AA">
        <w:rPr>
          <w:i/>
          <w:iCs/>
        </w:rPr>
        <w:t>California Resources Production Corporation v. City of Antioch, et al</w:t>
      </w:r>
      <w:r w:rsidR="00A610D4">
        <w:t>.</w:t>
      </w:r>
      <w:r w:rsidR="00961385">
        <w:rPr>
          <w:rStyle w:val="FootnoteReference"/>
        </w:rPr>
        <w:footnoteReference w:id="43"/>
      </w:r>
    </w:p>
    <w:p w:rsidR="00E2691C" w:rsidP="00E2691C" w:rsidRDefault="00FF5947" w14:paraId="4304CBCE" w14:textId="721A46F0">
      <w:pPr>
        <w:pStyle w:val="Standard"/>
      </w:pPr>
      <w:r>
        <w:t xml:space="preserve">On </w:t>
      </w:r>
      <w:r w:rsidR="001B2202">
        <w:t xml:space="preserve">December 11, 2025, CRPC filed a </w:t>
      </w:r>
      <w:r w:rsidR="00863C50">
        <w:t>M</w:t>
      </w:r>
      <w:r w:rsidR="001B2202">
        <w:t xml:space="preserve">otion to </w:t>
      </w:r>
      <w:r w:rsidR="00863C50">
        <w:t>S</w:t>
      </w:r>
      <w:r w:rsidR="001B2202">
        <w:t xml:space="preserve">et a </w:t>
      </w:r>
      <w:r w:rsidR="00863C50">
        <w:t>S</w:t>
      </w:r>
      <w:r w:rsidR="001B2202">
        <w:t xml:space="preserve">tatus </w:t>
      </w:r>
      <w:r w:rsidR="00863C50">
        <w:t>C</w:t>
      </w:r>
      <w:r w:rsidR="001B2202">
        <w:t xml:space="preserve">onference. </w:t>
      </w:r>
      <w:r w:rsidR="00354E03">
        <w:t xml:space="preserve">The Cities opposed </w:t>
      </w:r>
      <w:r w:rsidR="002734EB">
        <w:t>that</w:t>
      </w:r>
      <w:r w:rsidR="00354E03">
        <w:t xml:space="preserve"> motion on December 26, 2024. </w:t>
      </w:r>
      <w:r w:rsidR="006143E7">
        <w:t xml:space="preserve">CRPC </w:t>
      </w:r>
      <w:r w:rsidR="00E2691C">
        <w:t>filed a reply on January 6, 2025</w:t>
      </w:r>
      <w:r w:rsidR="00910418">
        <w:t xml:space="preserve">. </w:t>
      </w:r>
    </w:p>
    <w:p w:rsidR="00AE113F" w:rsidP="00E2691C" w:rsidRDefault="00040F65" w14:paraId="6BC39A59" w14:textId="246B4C90">
      <w:pPr>
        <w:pStyle w:val="Standard"/>
      </w:pPr>
      <w:r>
        <w:t xml:space="preserve">On January 3, 2025, CRPC filed </w:t>
      </w:r>
      <w:r w:rsidR="0006221B">
        <w:t xml:space="preserve">a </w:t>
      </w:r>
      <w:r>
        <w:t>Motion to Amend</w:t>
      </w:r>
      <w:r w:rsidR="009D442C">
        <w:t xml:space="preserve"> Its Application</w:t>
      </w:r>
      <w:r w:rsidR="008A0A69">
        <w:t xml:space="preserve">, accompanied by a </w:t>
      </w:r>
      <w:r w:rsidR="00E30FA4">
        <w:t xml:space="preserve">Motion to File a Confidential Version of its Motion </w:t>
      </w:r>
      <w:r w:rsidR="008A0A69">
        <w:t xml:space="preserve">to Amend </w:t>
      </w:r>
      <w:r w:rsidR="00FA21A0">
        <w:t xml:space="preserve">Its </w:t>
      </w:r>
      <w:r w:rsidR="00F8241B">
        <w:t xml:space="preserve">Application </w:t>
      </w:r>
      <w:r w:rsidR="00E30FA4">
        <w:t xml:space="preserve">Under Seal. </w:t>
      </w:r>
      <w:r w:rsidR="00E70CE3">
        <w:t xml:space="preserve">CRPC </w:t>
      </w:r>
      <w:r w:rsidR="00EE3CE9">
        <w:t xml:space="preserve">states in its Motion to Amend that </w:t>
      </w:r>
      <w:r w:rsidR="00C662CF">
        <w:t xml:space="preserve">it seeks to amend </w:t>
      </w:r>
      <w:r w:rsidR="00EE3CE9">
        <w:t>“</w:t>
      </w:r>
      <w:r w:rsidRPr="00EE3CE9" w:rsidR="00EE3CE9">
        <w:t>solely for the purpose of noticing the transfer of ownership of the Union Island Pipeline (UI Pipeline) from CRPC to California Resources Pipeline Company, LLC</w:t>
      </w:r>
      <w:r w:rsidR="00EE3CE9">
        <w:t>.”</w:t>
      </w:r>
      <w:r w:rsidR="00D638AD">
        <w:rPr>
          <w:rStyle w:val="FootnoteReference"/>
        </w:rPr>
        <w:footnoteReference w:id="44"/>
      </w:r>
      <w:r w:rsidR="003C7FDE">
        <w:t xml:space="preserve">  CRPC</w:t>
      </w:r>
      <w:r w:rsidR="004260A7">
        <w:t xml:space="preserve"> </w:t>
      </w:r>
      <w:r w:rsidR="00BE2A11">
        <w:t>indicated</w:t>
      </w:r>
      <w:r w:rsidR="00580658">
        <w:t xml:space="preserve"> that </w:t>
      </w:r>
      <w:r w:rsidR="00BE2A11">
        <w:t>it</w:t>
      </w:r>
      <w:r w:rsidR="00DD587B">
        <w:t xml:space="preserve"> </w:t>
      </w:r>
      <w:r w:rsidR="004260A7">
        <w:t>“</w:t>
      </w:r>
      <w:r w:rsidRPr="004260A7" w:rsidR="004260A7">
        <w:t>transfer</w:t>
      </w:r>
      <w:r w:rsidR="004260A7">
        <w:t>[ed]</w:t>
      </w:r>
      <w:r w:rsidRPr="004260A7" w:rsidR="004260A7">
        <w:t xml:space="preserve"> the UI Pipeline to a subsidiary, California Resources Pipeline Company, LLC, </w:t>
      </w:r>
      <w:r w:rsidR="00CA3A11">
        <w:t xml:space="preserve">[Successor </w:t>
      </w:r>
      <w:r w:rsidR="007D7C22">
        <w:t>Subsidiary</w:t>
      </w:r>
      <w:r w:rsidR="00485DF2">
        <w:t xml:space="preserve">] </w:t>
      </w:r>
      <w:r w:rsidRPr="004260A7" w:rsidR="004260A7">
        <w:t>the transfer of which was effective in Q4 2024.</w:t>
      </w:r>
      <w:r w:rsidR="00972658">
        <w:t>”</w:t>
      </w:r>
      <w:r w:rsidR="00ED0D43">
        <w:rPr>
          <w:rStyle w:val="FootnoteReference"/>
        </w:rPr>
        <w:footnoteReference w:id="45"/>
      </w:r>
      <w:r w:rsidR="00CC39B5">
        <w:t xml:space="preserve"> </w:t>
      </w:r>
      <w:r w:rsidR="00776288">
        <w:t>CRPC</w:t>
      </w:r>
      <w:r w:rsidRPr="00776288" w:rsidR="00776288">
        <w:t xml:space="preserve"> requests that the </w:t>
      </w:r>
      <w:r w:rsidR="00CB3198">
        <w:lastRenderedPageBreak/>
        <w:t>application</w:t>
      </w:r>
      <w:r w:rsidRPr="00776288" w:rsidR="00776288">
        <w:t xml:space="preserve"> be updated to reflect the </w:t>
      </w:r>
      <w:r w:rsidR="008444E7">
        <w:t xml:space="preserve">October 24, 2024 </w:t>
      </w:r>
      <w:r w:rsidRPr="00776288" w:rsidR="00776288">
        <w:t>transfer in ownership</w:t>
      </w:r>
      <w:r w:rsidR="00D11BCB">
        <w:t xml:space="preserve"> to </w:t>
      </w:r>
      <w:r w:rsidR="00BF34F1">
        <w:t>Successor Subsidiary</w:t>
      </w:r>
      <w:r w:rsidRPr="00776288" w:rsidR="00776288">
        <w:t>.</w:t>
      </w:r>
      <w:r w:rsidR="00480868">
        <w:rPr>
          <w:rStyle w:val="FootnoteReference"/>
        </w:rPr>
        <w:footnoteReference w:id="46"/>
      </w:r>
      <w:r w:rsidR="00673FBF">
        <w:t xml:space="preserve"> </w:t>
      </w:r>
    </w:p>
    <w:p w:rsidR="00DF087B" w:rsidP="00E2691C" w:rsidRDefault="00C51138" w14:paraId="77B1D395" w14:textId="4F797453">
      <w:pPr>
        <w:pStyle w:val="Standard"/>
      </w:pPr>
      <w:r>
        <w:t xml:space="preserve">The parties to the proceeding filed responses to CRPC’s Motion to Amend </w:t>
      </w:r>
      <w:r w:rsidR="00C0346E">
        <w:t xml:space="preserve">pursuant to </w:t>
      </w:r>
      <w:r w:rsidR="00B163A3">
        <w:t>a</w:t>
      </w:r>
      <w:r w:rsidR="00C0346E">
        <w:t xml:space="preserve"> </w:t>
      </w:r>
      <w:r w:rsidR="00B163A3">
        <w:t xml:space="preserve">January 11, 2025 </w:t>
      </w:r>
      <w:r w:rsidR="00C0346E">
        <w:t>ALJ</w:t>
      </w:r>
      <w:r w:rsidR="00365331">
        <w:t xml:space="preserve"> </w:t>
      </w:r>
      <w:r w:rsidR="002B7934">
        <w:t>ruling</w:t>
      </w:r>
      <w:r w:rsidR="00D45076">
        <w:t xml:space="preserve">. </w:t>
      </w:r>
      <w:r w:rsidR="008C52C7">
        <w:t xml:space="preserve">On January 31, 2025, </w:t>
      </w:r>
      <w:r w:rsidR="0087653B">
        <w:t>t</w:t>
      </w:r>
      <w:r w:rsidR="00FC6866">
        <w:t xml:space="preserve">he Cities filed </w:t>
      </w:r>
      <w:r w:rsidR="00DD2BA0">
        <w:t>a joint response</w:t>
      </w:r>
      <w:r w:rsidR="00C67EC5">
        <w:t xml:space="preserve"> opposing the </w:t>
      </w:r>
      <w:r w:rsidR="005832A0">
        <w:t xml:space="preserve">Motion to Amend </w:t>
      </w:r>
      <w:r w:rsidR="008C52C7">
        <w:t>and Indicated Shippers filed a response in support of the motion</w:t>
      </w:r>
      <w:r w:rsidR="00DD2BA0">
        <w:t xml:space="preserve">. </w:t>
      </w:r>
      <w:r w:rsidR="00CF29DB">
        <w:t>CRPC filed a reply brief on February 10, 2025.</w:t>
      </w:r>
    </w:p>
    <w:p w:rsidR="00E06E91" w:rsidP="00E2691C" w:rsidRDefault="00E06E91" w14:paraId="5A18524A" w14:textId="01706B99">
      <w:pPr>
        <w:pStyle w:val="Standard"/>
      </w:pPr>
      <w:r w:rsidRPr="003B7E0F">
        <w:t xml:space="preserve">On January 16, 2025, the Commission issued </w:t>
      </w:r>
      <w:r w:rsidRPr="003B7E0F" w:rsidR="00BE2A11">
        <w:t>Decision (</w:t>
      </w:r>
      <w:r w:rsidRPr="003B7E0F">
        <w:t>D.</w:t>
      </w:r>
      <w:r w:rsidRPr="003B7E0F" w:rsidR="00BE2A11">
        <w:t xml:space="preserve">) </w:t>
      </w:r>
      <w:r w:rsidRPr="003B7E0F" w:rsidR="007B41FB">
        <w:t>25-01-016</w:t>
      </w:r>
      <w:r w:rsidRPr="003B7E0F" w:rsidR="00BE2A11">
        <w:t xml:space="preserve"> and </w:t>
      </w:r>
      <w:r w:rsidRPr="003B7E0F" w:rsidR="003C7254">
        <w:t xml:space="preserve">extended the statutory deadline </w:t>
      </w:r>
      <w:r w:rsidRPr="003B7E0F" w:rsidR="00481C0E">
        <w:t>in this proceeding to July 31, 2025.</w:t>
      </w:r>
    </w:p>
    <w:p w:rsidR="00481C0E" w:rsidP="00E2691C" w:rsidRDefault="00D63700" w14:paraId="4AE33C4E" w14:textId="1C9C02B4">
      <w:pPr>
        <w:pStyle w:val="Standard"/>
      </w:pPr>
      <w:r>
        <w:t xml:space="preserve">On February 14, 2025, the Cities filed </w:t>
      </w:r>
      <w:r w:rsidR="00B32C12">
        <w:t xml:space="preserve">a </w:t>
      </w:r>
      <w:r w:rsidRPr="00451E53" w:rsidR="00451E53">
        <w:t xml:space="preserve">Supplemental Joint Response to </w:t>
      </w:r>
      <w:r w:rsidR="006B1B41">
        <w:t>the ALJ’s</w:t>
      </w:r>
      <w:r w:rsidRPr="00451E53" w:rsidR="00451E53">
        <w:t xml:space="preserve"> First Ruling Requiring Parties to File a Response, dated June 20, 2024, and Email Ruling Requiring Parties to File Updated Responses to the First Ruling, dated October 7, 2024</w:t>
      </w:r>
      <w:r w:rsidR="00EC4582">
        <w:t xml:space="preserve">. </w:t>
      </w:r>
      <w:r w:rsidR="004F445E">
        <w:t xml:space="preserve">The Cities therein notified the Commission that the California </w:t>
      </w:r>
      <w:r w:rsidRPr="00590092" w:rsidR="00590092">
        <w:t xml:space="preserve">Supreme Court </w:t>
      </w:r>
      <w:r w:rsidR="00EC4F08">
        <w:t xml:space="preserve">had </w:t>
      </w:r>
      <w:r w:rsidRPr="00590092" w:rsidR="00590092">
        <w:t xml:space="preserve">denied </w:t>
      </w:r>
      <w:r w:rsidR="00590092">
        <w:t>CRPC’s</w:t>
      </w:r>
      <w:r w:rsidRPr="00590092" w:rsidR="00590092">
        <w:t xml:space="preserve"> </w:t>
      </w:r>
      <w:r w:rsidR="004220A1">
        <w:t>p</w:t>
      </w:r>
      <w:r w:rsidRPr="00590092" w:rsidR="00590092">
        <w:t xml:space="preserve">etition </w:t>
      </w:r>
      <w:r w:rsidR="001D7184">
        <w:t>to</w:t>
      </w:r>
      <w:r w:rsidRPr="00590092" w:rsidR="00590092">
        <w:t xml:space="preserve"> review the </w:t>
      </w:r>
      <w:r w:rsidR="0076695A">
        <w:t>Court of Appeal</w:t>
      </w:r>
      <w:r w:rsidR="003F3913">
        <w:t>’</w:t>
      </w:r>
      <w:r w:rsidR="0076695A">
        <w:t xml:space="preserve">s </w:t>
      </w:r>
      <w:r w:rsidR="007B3457">
        <w:t>o</w:t>
      </w:r>
      <w:r w:rsidRPr="00590092" w:rsidR="00590092">
        <w:t>pinion</w:t>
      </w:r>
      <w:r w:rsidR="00A657AF">
        <w:t xml:space="preserve">, ending </w:t>
      </w:r>
      <w:r w:rsidRPr="00590092" w:rsidR="00590092">
        <w:t>CRPC</w:t>
      </w:r>
      <w:r w:rsidR="00A657AF">
        <w:t>’s</w:t>
      </w:r>
      <w:r w:rsidRPr="00590092" w:rsidR="00590092">
        <w:t xml:space="preserve"> challenge </w:t>
      </w:r>
      <w:r w:rsidR="00A657AF">
        <w:t xml:space="preserve">to </w:t>
      </w:r>
      <w:r w:rsidRPr="00590092" w:rsidR="00590092">
        <w:t>Antioch</w:t>
      </w:r>
      <w:r w:rsidR="000E5BFA">
        <w:t>’s</w:t>
      </w:r>
      <w:r w:rsidRPr="00590092" w:rsidR="00590092">
        <w:t xml:space="preserve"> decision </w:t>
      </w:r>
      <w:r w:rsidR="007E50DE">
        <w:t>terminating</w:t>
      </w:r>
      <w:r w:rsidRPr="00590092" w:rsidR="00590092">
        <w:t xml:space="preserve"> </w:t>
      </w:r>
      <w:r w:rsidR="00692A86">
        <w:t>its</w:t>
      </w:r>
      <w:r w:rsidRPr="00590092" w:rsidR="00590092">
        <w:t xml:space="preserve"> franchise</w:t>
      </w:r>
      <w:r w:rsidR="00A63D23">
        <w:t xml:space="preserve"> agreement</w:t>
      </w:r>
      <w:r w:rsidR="007C77FD">
        <w:t xml:space="preserve"> and </w:t>
      </w:r>
      <w:r w:rsidR="00CC6477">
        <w:t xml:space="preserve">concluding </w:t>
      </w:r>
      <w:r w:rsidR="007C77FD">
        <w:t>Phase I of the Pipeline Litigation</w:t>
      </w:r>
      <w:r w:rsidRPr="00590092" w:rsidR="00590092">
        <w:t>.</w:t>
      </w:r>
      <w:r w:rsidR="00ED672A">
        <w:rPr>
          <w:rStyle w:val="FootnoteReference"/>
        </w:rPr>
        <w:footnoteReference w:id="47"/>
      </w:r>
      <w:r w:rsidR="00FD0B1C">
        <w:t xml:space="preserve"> </w:t>
      </w:r>
    </w:p>
    <w:p w:rsidR="001D5DAA" w:rsidP="006E3F0F" w:rsidRDefault="00F47791" w14:paraId="15515DCF" w14:textId="55E189E6">
      <w:pPr>
        <w:pStyle w:val="Standard"/>
      </w:pPr>
      <w:r>
        <w:t xml:space="preserve">On March </w:t>
      </w:r>
      <w:r w:rsidR="00605EE4">
        <w:t xml:space="preserve">6, 2025, </w:t>
      </w:r>
      <w:r w:rsidRPr="00605EE4" w:rsidR="00605EE4">
        <w:t>CRPC</w:t>
      </w:r>
      <w:r w:rsidR="00605EE4">
        <w:t xml:space="preserve"> filed</w:t>
      </w:r>
      <w:r w:rsidRPr="00605EE4" w:rsidR="00605EE4">
        <w:t xml:space="preserve"> </w:t>
      </w:r>
      <w:r w:rsidR="00605EE4">
        <w:t>a</w:t>
      </w:r>
      <w:r w:rsidRPr="00605EE4" w:rsidR="00605EE4">
        <w:t xml:space="preserve"> second supplemental response to the October 7, 2024 Administrative Law Judge’s Email Ruling Requiring Parties to File Updated Responses to </w:t>
      </w:r>
      <w:r w:rsidR="00590814">
        <w:t>June 20</w:t>
      </w:r>
      <w:r w:rsidRPr="00605EE4" w:rsidR="00605EE4">
        <w:t xml:space="preserve">, 2024, Administrative Law Judge’s First Ruling. </w:t>
      </w:r>
      <w:r w:rsidR="00E56542">
        <w:t xml:space="preserve">CRPC informed the Commission </w:t>
      </w:r>
      <w:r w:rsidR="00A32EFA">
        <w:t xml:space="preserve">about a pending </w:t>
      </w:r>
      <w:r w:rsidR="002D441D">
        <w:t xml:space="preserve">franchise </w:t>
      </w:r>
      <w:r w:rsidR="002B0871">
        <w:t xml:space="preserve">request </w:t>
      </w:r>
      <w:r w:rsidR="001C066B">
        <w:t xml:space="preserve">filed </w:t>
      </w:r>
      <w:r w:rsidR="00772A3D">
        <w:t xml:space="preserve">by Successor Subsidiary </w:t>
      </w:r>
      <w:r w:rsidR="00DB2A6B">
        <w:t xml:space="preserve">on February </w:t>
      </w:r>
      <w:r w:rsidR="009456B9">
        <w:t xml:space="preserve">28, 2025 </w:t>
      </w:r>
      <w:r w:rsidR="001C066B">
        <w:t>with Antioch</w:t>
      </w:r>
      <w:r w:rsidR="007A3998">
        <w:t xml:space="preserve">. </w:t>
      </w:r>
      <w:r w:rsidR="003B076D">
        <w:t xml:space="preserve">CRPC confirmed that </w:t>
      </w:r>
      <w:r w:rsidR="002971D6">
        <w:t>a</w:t>
      </w:r>
      <w:r w:rsidR="003B076D">
        <w:t xml:space="preserve"> franchise, if granted by Antioch, would </w:t>
      </w:r>
      <w:r w:rsidR="004C3022">
        <w:t>“</w:t>
      </w:r>
      <w:r w:rsidR="00AE19E1">
        <w:t>allow</w:t>
      </w:r>
      <w:r w:rsidR="005B54A5">
        <w:t xml:space="preserve"> </w:t>
      </w:r>
      <w:r w:rsidR="00A057E2">
        <w:t>[</w:t>
      </w:r>
      <w:r w:rsidR="005B54A5">
        <w:t>Successor Subsidiary</w:t>
      </w:r>
      <w:r w:rsidR="00A057E2">
        <w:t>], the</w:t>
      </w:r>
      <w:r w:rsidR="00064019">
        <w:t xml:space="preserve"> </w:t>
      </w:r>
      <w:r w:rsidR="00064019">
        <w:lastRenderedPageBreak/>
        <w:t xml:space="preserve">current </w:t>
      </w:r>
      <w:r w:rsidR="00A057E2">
        <w:t xml:space="preserve">owner of the </w:t>
      </w:r>
      <w:r w:rsidR="00064019">
        <w:t>U</w:t>
      </w:r>
      <w:r w:rsidR="00D4766B">
        <w:t xml:space="preserve">nion </w:t>
      </w:r>
      <w:r w:rsidR="00064019">
        <w:t>I</w:t>
      </w:r>
      <w:r w:rsidR="00D4766B">
        <w:t>sland</w:t>
      </w:r>
      <w:r w:rsidR="00064019">
        <w:t xml:space="preserve"> Pipeline owner</w:t>
      </w:r>
      <w:r w:rsidR="00D4766B">
        <w:t xml:space="preserve"> </w:t>
      </w:r>
      <w:r w:rsidRPr="003050E0" w:rsidR="00D4766B">
        <w:t>to transport natural gas through the City of Antioch for a term of 20 years.</w:t>
      </w:r>
      <w:r w:rsidR="00D4766B">
        <w:t>”</w:t>
      </w:r>
      <w:r w:rsidR="00D4766B">
        <w:rPr>
          <w:rStyle w:val="FootnoteReference"/>
        </w:rPr>
        <w:footnoteReference w:id="48"/>
      </w:r>
      <w:r w:rsidR="005B54A5">
        <w:t xml:space="preserve"> </w:t>
      </w:r>
    </w:p>
    <w:p w:rsidR="00A648BB" w:rsidP="00D5725D" w:rsidRDefault="00DC2B3D" w14:paraId="2FE7A105" w14:textId="48742AB3">
      <w:pPr>
        <w:pStyle w:val="Standard"/>
      </w:pPr>
      <w:r>
        <w:t>On May</w:t>
      </w:r>
      <w:r w:rsidRPr="00D5725D">
        <w:t xml:space="preserve"> </w:t>
      </w:r>
      <w:r>
        <w:t>2</w:t>
      </w:r>
      <w:r w:rsidRPr="00D5725D">
        <w:t>, 202</w:t>
      </w:r>
      <w:r>
        <w:t xml:space="preserve">5, </w:t>
      </w:r>
      <w:r w:rsidR="00B863EE">
        <w:t xml:space="preserve">the assigned </w:t>
      </w:r>
      <w:r w:rsidRPr="00D5725D">
        <w:t>ALJ issued a</w:t>
      </w:r>
      <w:r w:rsidR="00B863EE">
        <w:t xml:space="preserve"> r</w:t>
      </w:r>
      <w:r w:rsidRPr="00D5725D">
        <w:t xml:space="preserve">uling </w:t>
      </w:r>
      <w:r w:rsidR="00B863EE">
        <w:t>directing the p</w:t>
      </w:r>
      <w:r w:rsidRPr="00D5725D">
        <w:t>arties to</w:t>
      </w:r>
      <w:r w:rsidR="00B863EE">
        <w:t xml:space="preserve"> fi</w:t>
      </w:r>
      <w:r w:rsidRPr="00D5725D">
        <w:t xml:space="preserve">le </w:t>
      </w:r>
      <w:r w:rsidR="00B863EE">
        <w:t xml:space="preserve">further </w:t>
      </w:r>
      <w:r w:rsidR="008A6DD7">
        <w:t xml:space="preserve">supplemental </w:t>
      </w:r>
      <w:r w:rsidR="00CE5D1A">
        <w:t>reports</w:t>
      </w:r>
      <w:r w:rsidR="00B863EE">
        <w:t xml:space="preserve"> </w:t>
      </w:r>
      <w:r w:rsidR="00CE5D1A">
        <w:t xml:space="preserve">to update their responses to the June 20, 2024 Administrative Law Judge’s First Ruling </w:t>
      </w:r>
      <w:r w:rsidR="00B863EE">
        <w:t xml:space="preserve">regarding the Pipeline Litigation </w:t>
      </w:r>
      <w:r w:rsidR="006A615D">
        <w:t>and pending administrative proceedings</w:t>
      </w:r>
      <w:r w:rsidRPr="00D5725D">
        <w:t>.</w:t>
      </w:r>
      <w:r>
        <w:t xml:space="preserve"> CRPC and the Cities filed timely updated</w:t>
      </w:r>
      <w:r w:rsidR="00527EBB">
        <w:t xml:space="preserve"> supplemental</w:t>
      </w:r>
      <w:r>
        <w:t xml:space="preserve"> responses on </w:t>
      </w:r>
      <w:r w:rsidR="00717A4E">
        <w:t xml:space="preserve">May </w:t>
      </w:r>
      <w:r w:rsidRPr="004F439D" w:rsidR="00E9150C">
        <w:t>9</w:t>
      </w:r>
      <w:r w:rsidR="00717A4E">
        <w:t>, 2025</w:t>
      </w:r>
      <w:r>
        <w:t>.</w:t>
      </w:r>
    </w:p>
    <w:p w:rsidR="00951C54" w:rsidP="00D5725D" w:rsidRDefault="005E51F1" w14:paraId="5BF4749A" w14:textId="39D55179">
      <w:pPr>
        <w:pStyle w:val="Standard"/>
      </w:pPr>
      <w:r>
        <w:t xml:space="preserve">On </w:t>
      </w:r>
      <w:r w:rsidR="00DE04EE">
        <w:t xml:space="preserve">July </w:t>
      </w:r>
      <w:r w:rsidR="00122CD9">
        <w:t>29</w:t>
      </w:r>
      <w:r w:rsidR="00DE04EE">
        <w:t xml:space="preserve">, 2025, the Commission issued </w:t>
      </w:r>
      <w:r w:rsidRPr="00DE04EE" w:rsidR="00DE04EE">
        <w:t>D</w:t>
      </w:r>
      <w:r w:rsidR="00DE04EE">
        <w:t>.</w:t>
      </w:r>
      <w:r w:rsidRPr="00DE04EE" w:rsidR="00DE04EE">
        <w:t>25</w:t>
      </w:r>
      <w:r w:rsidR="00DE04EE">
        <w:t>-</w:t>
      </w:r>
      <w:r w:rsidRPr="00DE04EE" w:rsidR="00DE04EE">
        <w:t>07</w:t>
      </w:r>
      <w:r w:rsidR="00DE04EE">
        <w:t>-</w:t>
      </w:r>
      <w:r w:rsidRPr="00DE04EE" w:rsidR="00DE04EE">
        <w:t xml:space="preserve">022 </w:t>
      </w:r>
      <w:r w:rsidR="00AC7CBF">
        <w:t>and extended the statutory deadline in this proceeding to October 31, 2025.</w:t>
      </w:r>
    </w:p>
    <w:p w:rsidR="004B0DAE" w:rsidP="004B0DAE" w:rsidRDefault="004B0DAE" w14:paraId="4B79725E" w14:textId="46EB4F71">
      <w:pPr>
        <w:pStyle w:val="Standard"/>
      </w:pPr>
      <w:r>
        <w:t xml:space="preserve">On </w:t>
      </w:r>
      <w:r w:rsidR="00622D1C">
        <w:t xml:space="preserve">September </w:t>
      </w:r>
      <w:r w:rsidR="0006529A">
        <w:t>30</w:t>
      </w:r>
      <w:r w:rsidRPr="00D5725D">
        <w:t>, 202</w:t>
      </w:r>
      <w:r>
        <w:t xml:space="preserve">5, the assigned </w:t>
      </w:r>
      <w:r w:rsidRPr="00D5725D">
        <w:t>ALJ issued a</w:t>
      </w:r>
      <w:r>
        <w:t xml:space="preserve"> r</w:t>
      </w:r>
      <w:r w:rsidRPr="00D5725D">
        <w:t xml:space="preserve">uling </w:t>
      </w:r>
      <w:r>
        <w:t>directing the p</w:t>
      </w:r>
      <w:r w:rsidRPr="00D5725D">
        <w:t>arties to</w:t>
      </w:r>
      <w:r>
        <w:t xml:space="preserve"> fi</w:t>
      </w:r>
      <w:r w:rsidRPr="00D5725D">
        <w:t xml:space="preserve">le </w:t>
      </w:r>
      <w:r>
        <w:t xml:space="preserve">further </w:t>
      </w:r>
      <w:r w:rsidR="00527EBB">
        <w:t>supplemental</w:t>
      </w:r>
      <w:r>
        <w:t xml:space="preserve"> reports to update their responses to the June 20, 2024 Administrative Law Judge’s First Ruling regarding the Pipeline Litigation and pending administrative proceedings</w:t>
      </w:r>
      <w:r w:rsidRPr="00D5725D">
        <w:t>.</w:t>
      </w:r>
      <w:r>
        <w:t xml:space="preserve"> CRPC and the Cities filed </w:t>
      </w:r>
      <w:r w:rsidR="007E4055">
        <w:t xml:space="preserve">their </w:t>
      </w:r>
      <w:r>
        <w:t xml:space="preserve">timely updated </w:t>
      </w:r>
      <w:r w:rsidR="00527EBB">
        <w:t xml:space="preserve">supplemental </w:t>
      </w:r>
      <w:r>
        <w:t xml:space="preserve">responses on </w:t>
      </w:r>
      <w:r w:rsidR="0006529A">
        <w:t>October 10</w:t>
      </w:r>
      <w:r>
        <w:t>, 2025.</w:t>
      </w:r>
    </w:p>
    <w:p w:rsidR="00A55E19" w:rsidP="004B0DAE" w:rsidRDefault="00A55E19" w14:paraId="0E719437" w14:textId="0A7D61C3">
      <w:pPr>
        <w:pStyle w:val="Standard"/>
      </w:pPr>
      <w:r>
        <w:t xml:space="preserve">The Commission issued a proposed decision in this proceeding on October 17, 2025. </w:t>
      </w:r>
    </w:p>
    <w:p w:rsidR="00F30F31" w:rsidP="004B0DAE" w:rsidRDefault="00F30F31" w14:paraId="0AFF555D" w14:textId="138AE4A2">
      <w:pPr>
        <w:pStyle w:val="Standard"/>
      </w:pPr>
      <w:r w:rsidRPr="00CF6CF7">
        <w:t xml:space="preserve">On October </w:t>
      </w:r>
      <w:r w:rsidRPr="00CF6CF7" w:rsidR="00031C7D">
        <w:t>30</w:t>
      </w:r>
      <w:r w:rsidRPr="00CF6CF7">
        <w:t>, 2025, the Commission issued D.</w:t>
      </w:r>
      <w:r w:rsidRPr="00CF6CF7" w:rsidR="006374B7">
        <w:t>25</w:t>
      </w:r>
      <w:r w:rsidRPr="00CF6CF7" w:rsidR="0067226A">
        <w:t>-</w:t>
      </w:r>
      <w:r w:rsidRPr="00CF6CF7" w:rsidR="006374B7">
        <w:t>10</w:t>
      </w:r>
      <w:r w:rsidRPr="00CF6CF7" w:rsidR="0067226A">
        <w:t>-</w:t>
      </w:r>
      <w:r w:rsidRPr="00CF6CF7" w:rsidR="006374B7">
        <w:t>050</w:t>
      </w:r>
      <w:r w:rsidRPr="00CF6CF7">
        <w:t xml:space="preserve"> and extended the statutory deadline in this proceeding to </w:t>
      </w:r>
      <w:r w:rsidRPr="00CF6CF7" w:rsidR="00AB7A09">
        <w:t>April</w:t>
      </w:r>
      <w:r w:rsidRPr="00CF6CF7">
        <w:t xml:space="preserve"> 3, 202</w:t>
      </w:r>
      <w:r w:rsidRPr="00CF6CF7" w:rsidR="00AB7A09">
        <w:t>6</w:t>
      </w:r>
      <w:r w:rsidRPr="00CF6CF7">
        <w:t>.</w:t>
      </w:r>
    </w:p>
    <w:p w:rsidR="00F77078" w:rsidP="004B0DAE" w:rsidRDefault="00884DFC" w14:paraId="4A1428B3" w14:textId="49D1E46E">
      <w:pPr>
        <w:pStyle w:val="Standard"/>
      </w:pPr>
      <w:r>
        <w:t>On November 6, 2025, CRPC file</w:t>
      </w:r>
      <w:r w:rsidR="00942B7C">
        <w:t>d</w:t>
      </w:r>
      <w:r>
        <w:t xml:space="preserve"> a Motion to Reopen the Record.</w:t>
      </w:r>
      <w:r w:rsidR="00190AB6">
        <w:t xml:space="preserve"> </w:t>
      </w:r>
    </w:p>
    <w:p w:rsidR="00D74B7A" w:rsidP="004B0DAE" w:rsidRDefault="006B6D51" w14:paraId="5929CD72" w14:textId="0B266664">
      <w:pPr>
        <w:pStyle w:val="Standard"/>
      </w:pPr>
      <w:r>
        <w:lastRenderedPageBreak/>
        <w:t>As discussed below, o</w:t>
      </w:r>
      <w:r w:rsidR="00190AB6">
        <w:t xml:space="preserve">n </w:t>
      </w:r>
      <w:r>
        <w:t>November 6, 2025</w:t>
      </w:r>
      <w:r w:rsidR="00C872D1">
        <w:t>,</w:t>
      </w:r>
      <w:r w:rsidR="00190AB6">
        <w:t xml:space="preserve"> CRPC and Indicated Shippers filed comments on the proposed decision</w:t>
      </w:r>
      <w:r w:rsidR="0001555F">
        <w:t>.</w:t>
      </w:r>
      <w:r w:rsidR="00B574BF">
        <w:t xml:space="preserve"> </w:t>
      </w:r>
      <w:r w:rsidR="0001555F">
        <w:t>T</w:t>
      </w:r>
      <w:r w:rsidR="0041692E">
        <w:t xml:space="preserve">he </w:t>
      </w:r>
      <w:r w:rsidR="00942B7C">
        <w:t xml:space="preserve">CPRC and the </w:t>
      </w:r>
      <w:r w:rsidR="0041692E">
        <w:t xml:space="preserve">Cities </w:t>
      </w:r>
      <w:r w:rsidR="00942B7C">
        <w:t xml:space="preserve">filed </w:t>
      </w:r>
      <w:r w:rsidR="0041692E">
        <w:t>reply comments o</w:t>
      </w:r>
      <w:r w:rsidR="00B20BB7">
        <w:t>n November 12, 2025</w:t>
      </w:r>
      <w:r w:rsidR="00E824B7">
        <w:t>.</w:t>
      </w:r>
      <w:r>
        <w:t xml:space="preserve"> </w:t>
      </w:r>
    </w:p>
    <w:p w:rsidR="0070083C" w:rsidP="004B0DAE" w:rsidRDefault="0070083C" w14:paraId="6E897C20" w14:textId="33AD6B43">
      <w:pPr>
        <w:pStyle w:val="Standard"/>
      </w:pPr>
      <w:r>
        <w:t>On November 21, 2025 Indicated Shippers and the Cities filed their respective responses to CRPC’s Motion to Reopen the Record.</w:t>
      </w:r>
    </w:p>
    <w:p w:rsidR="005C53D0" w:rsidP="00A41CF2" w:rsidRDefault="005C53D0" w14:paraId="26D583D8" w14:textId="08775408">
      <w:pPr>
        <w:pStyle w:val="Heading2"/>
      </w:pPr>
      <w:bookmarkStart w:name="_Toc211532391" w:id="57"/>
      <w:bookmarkStart w:name="_Toc211606194" w:id="58"/>
      <w:bookmarkStart w:name="_Toc220596322" w:id="59"/>
      <w:bookmarkStart w:name="_Toc220972205" w:id="60"/>
      <w:bookmarkEnd w:id="57"/>
      <w:r>
        <w:t>Submission</w:t>
      </w:r>
      <w:r w:rsidR="00A41CF2">
        <w:t xml:space="preserve"> Date</w:t>
      </w:r>
      <w:bookmarkEnd w:id="58"/>
      <w:bookmarkEnd w:id="59"/>
      <w:bookmarkEnd w:id="60"/>
    </w:p>
    <w:p w:rsidR="0090294C" w:rsidP="00983573" w:rsidRDefault="00BE4FCF" w14:paraId="4717F628" w14:textId="0714DBB5">
      <w:pPr>
        <w:pStyle w:val="Standard"/>
      </w:pPr>
      <w:r w:rsidRPr="0056277F">
        <w:t>This matter was submitted on</w:t>
      </w:r>
      <w:r w:rsidR="003B509C">
        <w:t xml:space="preserve"> October 10, 2025, upon the filing of CRPC and the Cities’ respective </w:t>
      </w:r>
      <w:r w:rsidRPr="0056277F" w:rsidR="003B509C">
        <w:t>Supplemental Response</w:t>
      </w:r>
      <w:r w:rsidR="003B509C">
        <w:t>s pursuant to the ALJ’s September 30</w:t>
      </w:r>
      <w:r w:rsidRPr="00D5725D" w:rsidR="003B509C">
        <w:t>, 202</w:t>
      </w:r>
      <w:r w:rsidR="003B509C">
        <w:t>5 ruling</w:t>
      </w:r>
      <w:r w:rsidRPr="0056277F" w:rsidR="003B509C">
        <w:t>.</w:t>
      </w:r>
      <w:r w:rsidRPr="0056277F">
        <w:t xml:space="preserve"> </w:t>
      </w:r>
    </w:p>
    <w:p w:rsidRPr="00716CA4" w:rsidR="008426B4" w:rsidP="008426B4" w:rsidRDefault="008426B4" w14:paraId="45AC6F76" w14:textId="77777777">
      <w:pPr>
        <w:pStyle w:val="Heading1"/>
      </w:pPr>
      <w:bookmarkStart w:name="_Toc8123718" w:id="61"/>
      <w:bookmarkStart w:name="_Toc148604994" w:id="62"/>
      <w:bookmarkStart w:name="_Toc211606195" w:id="63"/>
      <w:bookmarkStart w:name="_Toc220596323" w:id="64"/>
      <w:bookmarkStart w:name="_Toc220972206" w:id="65"/>
      <w:r w:rsidRPr="00716CA4">
        <w:t>Jurisdiction and Burden of Proof</w:t>
      </w:r>
      <w:bookmarkEnd w:id="61"/>
      <w:bookmarkEnd w:id="62"/>
      <w:bookmarkEnd w:id="63"/>
      <w:bookmarkEnd w:id="64"/>
      <w:bookmarkEnd w:id="65"/>
    </w:p>
    <w:p w:rsidR="00AD60ED" w:rsidP="008C7CEC" w:rsidRDefault="00DA3E74" w14:paraId="285F520D" w14:textId="6F8064A9">
      <w:pPr>
        <w:pStyle w:val="Standard"/>
      </w:pPr>
      <w:r w:rsidRPr="475A0C90">
        <w:t>The Commission has jurisdiction over the activities of public utilities.</w:t>
      </w:r>
      <w:r w:rsidRPr="475A0C90">
        <w:rPr>
          <w:rStyle w:val="FootnoteReference"/>
        </w:rPr>
        <w:footnoteReference w:id="49"/>
      </w:r>
      <w:r w:rsidRPr="475A0C90">
        <w:t xml:space="preserve">  </w:t>
      </w:r>
      <w:r w:rsidR="00107D79">
        <w:t>Pub</w:t>
      </w:r>
      <w:r w:rsidR="00E5315B">
        <w:t>.</w:t>
      </w:r>
      <w:r w:rsidR="00107D79">
        <w:t xml:space="preserve"> Util</w:t>
      </w:r>
      <w:r w:rsidR="00E5315B">
        <w:t>.</w:t>
      </w:r>
      <w:r w:rsidR="00107D79">
        <w:t xml:space="preserve"> Code </w:t>
      </w:r>
      <w:r w:rsidR="00E5315B">
        <w:t>S</w:t>
      </w:r>
      <w:r w:rsidR="00107D79">
        <w:t>ection</w:t>
      </w:r>
      <w:r w:rsidRPr="00EE32DA" w:rsidR="008426B4">
        <w:t xml:space="preserve"> </w:t>
      </w:r>
      <w:r w:rsidRPr="00107D79" w:rsidR="00107D79">
        <w:t>1001(a)</w:t>
      </w:r>
      <w:r w:rsidR="00107D79">
        <w:t xml:space="preserve"> provides</w:t>
      </w:r>
      <w:r w:rsidR="008C7CEC">
        <w:t xml:space="preserve"> the Commission with the authority to grant or deny </w:t>
      </w:r>
      <w:r w:rsidR="001530AD">
        <w:t xml:space="preserve">a </w:t>
      </w:r>
      <w:r w:rsidR="008C7CEC">
        <w:t>CPCN</w:t>
      </w:r>
      <w:r w:rsidR="002D46F0">
        <w:t xml:space="preserve"> to a public utility</w:t>
      </w:r>
      <w:r w:rsidR="008C7CEC">
        <w:t>.</w:t>
      </w:r>
      <w:r w:rsidRPr="008C7CEC" w:rsidR="008C7CEC">
        <w:t xml:space="preserve"> </w:t>
      </w:r>
    </w:p>
    <w:p w:rsidR="008426B4" w:rsidP="008C7CEC" w:rsidRDefault="008C7CEC" w14:paraId="033CE65A" w14:textId="3B864058">
      <w:pPr>
        <w:pStyle w:val="Standard"/>
      </w:pPr>
      <w:r w:rsidRPr="008C7CEC">
        <w:t>In the instant Application, CPRC requests</w:t>
      </w:r>
      <w:r w:rsidR="00A96AC1">
        <w:t xml:space="preserve"> that</w:t>
      </w:r>
      <w:r w:rsidRPr="008C7CEC">
        <w:t xml:space="preserve"> </w:t>
      </w:r>
      <w:r w:rsidR="004A2324">
        <w:t xml:space="preserve">the </w:t>
      </w:r>
      <w:r w:rsidRPr="008C7CEC">
        <w:t xml:space="preserve">Commission </w:t>
      </w:r>
      <w:bookmarkStart w:name="_Hlk202257426" w:id="66"/>
      <w:r w:rsidRPr="008C7CEC">
        <w:t xml:space="preserve">designate it </w:t>
      </w:r>
      <w:r w:rsidR="00B81EBE">
        <w:t xml:space="preserve">a </w:t>
      </w:r>
      <w:r w:rsidRPr="008C7CEC">
        <w:t xml:space="preserve">public utility </w:t>
      </w:r>
      <w:r w:rsidR="00671787">
        <w:t>gas corporation</w:t>
      </w:r>
      <w:r w:rsidR="00B81EBE">
        <w:t xml:space="preserve"> </w:t>
      </w:r>
      <w:r w:rsidRPr="008C7CEC">
        <w:t>and issue a CPCN</w:t>
      </w:r>
      <w:r w:rsidR="000870C2">
        <w:t xml:space="preserve"> to enable its proposed operation of the </w:t>
      </w:r>
      <w:r w:rsidR="00631A98">
        <w:t xml:space="preserve">full </w:t>
      </w:r>
      <w:r w:rsidR="000870C2">
        <w:t>UI Pipeline</w:t>
      </w:r>
      <w:bookmarkEnd w:id="66"/>
      <w:r w:rsidRPr="008C7CEC">
        <w:t>.</w:t>
      </w:r>
      <w:r w:rsidR="00D0789A">
        <w:rPr>
          <w:rStyle w:val="FootnoteReference"/>
        </w:rPr>
        <w:footnoteReference w:id="50"/>
      </w:r>
      <w:r w:rsidRPr="008C7CEC">
        <w:t xml:space="preserve"> </w:t>
      </w:r>
    </w:p>
    <w:p w:rsidR="008C7CEC" w:rsidP="008C7CEC" w:rsidRDefault="0001555F" w14:paraId="7373B03E" w14:textId="2B0153A4">
      <w:pPr>
        <w:pStyle w:val="Standard"/>
      </w:pPr>
      <w:r>
        <w:t xml:space="preserve">As part of the CPCN process, </w:t>
      </w:r>
      <w:r w:rsidRPr="00135EED" w:rsidR="008C7CEC">
        <w:t>CRPC, as applicant, bears the burden to</w:t>
      </w:r>
      <w:r w:rsidRPr="004F439D" w:rsidR="00AF4280">
        <w:t xml:space="preserve"> establish that it meets the requirements of </w:t>
      </w:r>
      <w:r w:rsidR="00E5315B">
        <w:t>Section</w:t>
      </w:r>
      <w:r w:rsidRPr="004F439D" w:rsidR="007E74C7">
        <w:t xml:space="preserve">s </w:t>
      </w:r>
      <w:r w:rsidRPr="004F439D" w:rsidR="004058E3">
        <w:t xml:space="preserve">216 and 222 </w:t>
      </w:r>
      <w:r w:rsidRPr="004F439D" w:rsidR="001368D8">
        <w:t>to qualify as a public utility gas corporation</w:t>
      </w:r>
      <w:r w:rsidR="00434632">
        <w:t xml:space="preserve"> by a </w:t>
      </w:r>
      <w:r w:rsidR="00D673DB">
        <w:t>preponderance of the evidence</w:t>
      </w:r>
      <w:r w:rsidRPr="004F439D" w:rsidR="001368D8">
        <w:t>.</w:t>
      </w:r>
      <w:r w:rsidRPr="004F439D" w:rsidR="00C56F99">
        <w:t xml:space="preserve"> In addition, </w:t>
      </w:r>
      <w:r w:rsidRPr="004F439D" w:rsidR="00120E71">
        <w:t xml:space="preserve">if the Commission finds CRPC meets its burden to </w:t>
      </w:r>
      <w:r w:rsidRPr="004F439D" w:rsidR="008A2868">
        <w:t>establish it</w:t>
      </w:r>
      <w:r w:rsidR="00C43415">
        <w:t>s</w:t>
      </w:r>
      <w:r w:rsidRPr="004F439D" w:rsidR="008A2868">
        <w:t xml:space="preserve"> qualifi</w:t>
      </w:r>
      <w:r w:rsidR="00C43415">
        <w:t>cation</w:t>
      </w:r>
      <w:r w:rsidR="00F5618E">
        <w:t>s</w:t>
      </w:r>
      <w:r w:rsidRPr="004F439D" w:rsidR="008A2868">
        <w:t xml:space="preserve"> as a public uti</w:t>
      </w:r>
      <w:r w:rsidRPr="004F439D" w:rsidR="0030680A">
        <w:t xml:space="preserve">lity gas corporation, </w:t>
      </w:r>
      <w:r w:rsidR="00E626A2">
        <w:t>Applicant</w:t>
      </w:r>
      <w:r w:rsidRPr="004F439D" w:rsidR="00E626A2">
        <w:t xml:space="preserve"> </w:t>
      </w:r>
      <w:r w:rsidRPr="004F439D" w:rsidR="00C56F99">
        <w:t>must</w:t>
      </w:r>
      <w:r w:rsidR="00AB1872">
        <w:t xml:space="preserve"> then</w:t>
      </w:r>
      <w:r w:rsidRPr="004F439D" w:rsidR="00C56F99">
        <w:t xml:space="preserve"> </w:t>
      </w:r>
      <w:r w:rsidR="0022391F">
        <w:t xml:space="preserve">separately </w:t>
      </w:r>
      <w:r w:rsidR="006017D0">
        <w:t>satisfy</w:t>
      </w:r>
      <w:r w:rsidRPr="004F439D" w:rsidR="006017D0">
        <w:t xml:space="preserve"> </w:t>
      </w:r>
      <w:r w:rsidRPr="004F439D" w:rsidR="00C56F99">
        <w:t xml:space="preserve">its burden to establish that </w:t>
      </w:r>
      <w:r w:rsidRPr="004F439D" w:rsidR="0030680A">
        <w:t xml:space="preserve">it </w:t>
      </w:r>
      <w:r w:rsidRPr="004F439D" w:rsidR="008B3B59">
        <w:t xml:space="preserve">is entitled to a CPCN under </w:t>
      </w:r>
      <w:r w:rsidR="006E3E6D">
        <w:t>Section</w:t>
      </w:r>
      <w:r w:rsidRPr="004F439D" w:rsidR="008B3B59">
        <w:t xml:space="preserve"> 1001</w:t>
      </w:r>
      <w:r w:rsidRPr="004F439D" w:rsidR="003F1EF7">
        <w:t>.</w:t>
      </w:r>
      <w:r w:rsidRPr="004F439D" w:rsidR="001368D8">
        <w:t xml:space="preserve"> </w:t>
      </w:r>
      <w:r w:rsidRPr="00135EED" w:rsidR="008C7CEC">
        <w:t xml:space="preserve"> </w:t>
      </w:r>
    </w:p>
    <w:p w:rsidR="00FB6104" w:rsidP="00FB6104" w:rsidRDefault="00FB6104" w14:paraId="29E30532" w14:textId="77777777">
      <w:pPr>
        <w:pStyle w:val="Heading1"/>
      </w:pPr>
      <w:bookmarkStart w:name="_Toc195200731" w:id="67"/>
      <w:bookmarkStart w:name="_Toc195201733" w:id="68"/>
      <w:bookmarkStart w:name="_Toc195274141" w:id="69"/>
      <w:bookmarkStart w:name="_Toc195286782" w:id="70"/>
      <w:bookmarkStart w:name="_Toc195288026" w:id="71"/>
      <w:bookmarkStart w:name="_Toc195288105" w:id="72"/>
      <w:bookmarkStart w:name="_Toc195290618" w:id="73"/>
      <w:bookmarkStart w:name="_Toc195296426" w:id="74"/>
      <w:bookmarkStart w:name="_Toc195296716" w:id="75"/>
      <w:bookmarkStart w:name="_Toc195913684" w:id="76"/>
      <w:bookmarkStart w:name="_Toc196397849" w:id="77"/>
      <w:bookmarkStart w:name="_Toc197081590" w:id="78"/>
      <w:bookmarkStart w:name="_Toc197082009" w:id="79"/>
      <w:bookmarkStart w:name="_Toc197088364" w:id="80"/>
      <w:bookmarkStart w:name="_Toc197088399" w:id="81"/>
      <w:bookmarkStart w:name="_Toc197088434" w:id="82"/>
      <w:bookmarkStart w:name="_Toc197089051" w:id="83"/>
      <w:bookmarkStart w:name="_Toc197090196" w:id="84"/>
      <w:bookmarkStart w:name="_Toc197090720" w:id="85"/>
      <w:bookmarkStart w:name="_Toc8123719" w:id="86"/>
      <w:bookmarkStart w:name="_Toc148604995" w:id="87"/>
      <w:bookmarkStart w:name="_Toc211606196" w:id="88"/>
      <w:bookmarkStart w:name="_Toc220596324" w:id="89"/>
      <w:bookmarkStart w:name="_Toc220972207" w:id="90"/>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lastRenderedPageBreak/>
        <w:t xml:space="preserve">Issues Before the </w:t>
      </w:r>
      <w:bookmarkEnd w:id="86"/>
      <w:r>
        <w:t>Commission</w:t>
      </w:r>
      <w:bookmarkEnd w:id="87"/>
      <w:bookmarkEnd w:id="88"/>
      <w:bookmarkEnd w:id="89"/>
      <w:bookmarkEnd w:id="90"/>
    </w:p>
    <w:p w:rsidRPr="00395232" w:rsidR="004D39E2" w:rsidP="004F439D" w:rsidRDefault="00421CDE" w14:paraId="29DC1A7C" w14:textId="5A40B2E3">
      <w:pPr>
        <w:pStyle w:val="Standard"/>
        <w:rPr>
          <w:spacing w:val="-2"/>
          <w:szCs w:val="26"/>
        </w:rPr>
      </w:pPr>
      <w:r>
        <w:rPr>
          <w:szCs w:val="26"/>
        </w:rPr>
        <w:t xml:space="preserve">As articulated in the Scoping Memo, </w:t>
      </w:r>
      <w:r w:rsidR="00425163">
        <w:rPr>
          <w:szCs w:val="26"/>
        </w:rPr>
        <w:t>“</w:t>
      </w:r>
      <w:r>
        <w:rPr>
          <w:szCs w:val="26"/>
        </w:rPr>
        <w:t>t</w:t>
      </w:r>
      <w:r w:rsidRPr="00616CA9" w:rsidR="00B4755A">
        <w:rPr>
          <w:szCs w:val="26"/>
        </w:rPr>
        <w:t xml:space="preserve">he </w:t>
      </w:r>
      <w:r w:rsidR="00425163">
        <w:rPr>
          <w:szCs w:val="26"/>
        </w:rPr>
        <w:t xml:space="preserve">central </w:t>
      </w:r>
      <w:r w:rsidRPr="00616CA9" w:rsidR="00B4755A">
        <w:rPr>
          <w:szCs w:val="26"/>
        </w:rPr>
        <w:t>threshold issue</w:t>
      </w:r>
      <w:r w:rsidR="00425163">
        <w:rPr>
          <w:szCs w:val="26"/>
        </w:rPr>
        <w:t xml:space="preserve"> in this case</w:t>
      </w:r>
      <w:r w:rsidR="008E2CAA">
        <w:rPr>
          <w:szCs w:val="26"/>
        </w:rPr>
        <w:t>”</w:t>
      </w:r>
      <w:r w:rsidRPr="00616CA9" w:rsidR="00B4755A">
        <w:rPr>
          <w:szCs w:val="26"/>
        </w:rPr>
        <w:t xml:space="preserve"> is </w:t>
      </w:r>
      <w:r w:rsidR="00E42467">
        <w:rPr>
          <w:szCs w:val="26"/>
        </w:rPr>
        <w:t>“</w:t>
      </w:r>
      <w:r w:rsidR="008E2CAA">
        <w:rPr>
          <w:szCs w:val="26"/>
        </w:rPr>
        <w:t>W</w:t>
      </w:r>
      <w:r w:rsidRPr="00616CA9" w:rsidR="00B4755A">
        <w:rPr>
          <w:szCs w:val="26"/>
        </w:rPr>
        <w:t xml:space="preserve">hether </w:t>
      </w:r>
      <w:bookmarkStart w:name="_Hlk202263110" w:id="91"/>
      <w:r w:rsidRPr="00616CA9" w:rsidR="00B4755A">
        <w:rPr>
          <w:szCs w:val="26"/>
        </w:rPr>
        <w:t xml:space="preserve">CRPC is a </w:t>
      </w:r>
      <w:r w:rsidRPr="00A127CD" w:rsidR="00B4755A">
        <w:rPr>
          <w:szCs w:val="26"/>
        </w:rPr>
        <w:t>public utility gas corporation</w:t>
      </w:r>
      <w:r w:rsidRPr="00616CA9" w:rsidR="00B4755A">
        <w:rPr>
          <w:b/>
          <w:bCs/>
          <w:i/>
          <w:iCs/>
          <w:szCs w:val="26"/>
        </w:rPr>
        <w:t xml:space="preserve"> </w:t>
      </w:r>
      <w:r w:rsidRPr="00616CA9" w:rsidR="00B4755A">
        <w:rPr>
          <w:szCs w:val="26"/>
        </w:rPr>
        <w:t>as defined by Pub</w:t>
      </w:r>
      <w:r w:rsidR="002874C0">
        <w:rPr>
          <w:szCs w:val="26"/>
        </w:rPr>
        <w:t>.</w:t>
      </w:r>
      <w:r w:rsidRPr="00616CA9" w:rsidR="00B4755A">
        <w:rPr>
          <w:szCs w:val="26"/>
        </w:rPr>
        <w:t xml:space="preserve"> Util</w:t>
      </w:r>
      <w:r w:rsidR="002874C0">
        <w:rPr>
          <w:szCs w:val="26"/>
        </w:rPr>
        <w:t>.</w:t>
      </w:r>
      <w:r w:rsidRPr="00616CA9" w:rsidR="00B4755A">
        <w:rPr>
          <w:szCs w:val="26"/>
        </w:rPr>
        <w:t xml:space="preserve"> Code </w:t>
      </w:r>
      <w:r w:rsidR="00067BD3">
        <w:rPr>
          <w:szCs w:val="26"/>
        </w:rPr>
        <w:t>s</w:t>
      </w:r>
      <w:r w:rsidRPr="00616CA9" w:rsidR="00B4755A">
        <w:rPr>
          <w:szCs w:val="26"/>
        </w:rPr>
        <w:t xml:space="preserve">ections 216 and 222 that should be granted a certificate of public convenience and necessity </w:t>
      </w:r>
      <w:r w:rsidRPr="004F439D" w:rsidR="00B4755A">
        <w:rPr>
          <w:szCs w:val="26"/>
        </w:rPr>
        <w:t>to operate</w:t>
      </w:r>
      <w:r w:rsidRPr="00616CA9" w:rsidR="00B4755A">
        <w:rPr>
          <w:szCs w:val="26"/>
        </w:rPr>
        <w:t xml:space="preserve"> the UI Pipeline</w:t>
      </w:r>
      <w:bookmarkEnd w:id="91"/>
      <w:r w:rsidRPr="00966856" w:rsidR="004D39E2">
        <w:rPr>
          <w:spacing w:val="-2"/>
          <w:szCs w:val="26"/>
        </w:rPr>
        <w:t>.</w:t>
      </w:r>
      <w:r w:rsidR="00900394">
        <w:rPr>
          <w:spacing w:val="-2"/>
          <w:szCs w:val="26"/>
        </w:rPr>
        <w:t>”</w:t>
      </w:r>
      <w:r w:rsidRPr="00966856" w:rsidR="004D39E2">
        <w:rPr>
          <w:rStyle w:val="FootnoteReference"/>
          <w:spacing w:val="-2"/>
          <w:szCs w:val="26"/>
        </w:rPr>
        <w:footnoteReference w:id="51"/>
      </w:r>
      <w:r w:rsidR="00620490">
        <w:rPr>
          <w:spacing w:val="-2"/>
          <w:szCs w:val="26"/>
        </w:rPr>
        <w:t xml:space="preserve"> </w:t>
      </w:r>
    </w:p>
    <w:p w:rsidRPr="00E01A04" w:rsidR="007A27D9" w:rsidP="007B333C" w:rsidRDefault="00DE06B6" w14:paraId="4729628E" w14:textId="7FF3A1DD">
      <w:pPr>
        <w:pStyle w:val="Heading1"/>
        <w:rPr>
          <w:rFonts w:cs="Arial"/>
          <w:szCs w:val="26"/>
        </w:rPr>
      </w:pPr>
      <w:bookmarkStart w:name="_Toc197081592" w:id="92"/>
      <w:bookmarkStart w:name="_Toc197082011" w:id="93"/>
      <w:bookmarkStart w:name="_Toc197088366" w:id="94"/>
      <w:bookmarkStart w:name="_Toc197088401" w:id="95"/>
      <w:bookmarkStart w:name="_Toc197088436" w:id="96"/>
      <w:bookmarkStart w:name="_Toc197089053" w:id="97"/>
      <w:bookmarkStart w:name="_Toc197090198" w:id="98"/>
      <w:bookmarkStart w:name="_Toc197090722" w:id="99"/>
      <w:bookmarkStart w:name="_Toc211606197" w:id="100"/>
      <w:bookmarkStart w:name="_Toc220596325" w:id="101"/>
      <w:bookmarkStart w:name="_Toc220972208" w:id="102"/>
      <w:bookmarkEnd w:id="92"/>
      <w:bookmarkEnd w:id="93"/>
      <w:bookmarkEnd w:id="94"/>
      <w:bookmarkEnd w:id="95"/>
      <w:bookmarkEnd w:id="96"/>
      <w:bookmarkEnd w:id="97"/>
      <w:bookmarkEnd w:id="98"/>
      <w:bookmarkEnd w:id="99"/>
      <w:r>
        <w:rPr>
          <w:rFonts w:cs="Arial"/>
          <w:bCs/>
          <w:szCs w:val="26"/>
          <w:lang w:val="en-ZW"/>
        </w:rPr>
        <w:t>Discussion</w:t>
      </w:r>
      <w:bookmarkEnd w:id="100"/>
      <w:bookmarkEnd w:id="101"/>
      <w:bookmarkEnd w:id="102"/>
    </w:p>
    <w:p w:rsidR="00DE06B6" w:rsidP="004F439D" w:rsidRDefault="00DE06B6" w14:paraId="5CC61C73" w14:textId="2837505F">
      <w:pPr>
        <w:rPr>
          <w:szCs w:val="26"/>
          <w:lang w:val="en-ZW"/>
        </w:rPr>
      </w:pPr>
      <w:r>
        <w:rPr>
          <w:szCs w:val="26"/>
          <w:lang w:val="en-ZW"/>
        </w:rPr>
        <w:t xml:space="preserve">As discussed below, </w:t>
      </w:r>
      <w:r w:rsidR="008E68C9">
        <w:rPr>
          <w:szCs w:val="26"/>
          <w:lang w:val="en-ZW"/>
        </w:rPr>
        <w:t xml:space="preserve">the Application requesting a CPCN </w:t>
      </w:r>
      <w:r w:rsidRPr="00DE06B6" w:rsidR="008E68C9">
        <w:rPr>
          <w:szCs w:val="26"/>
          <w:lang w:val="en-ZW"/>
        </w:rPr>
        <w:t xml:space="preserve">to operate the </w:t>
      </w:r>
      <w:r w:rsidR="008E68C9">
        <w:rPr>
          <w:szCs w:val="26"/>
          <w:lang w:val="en-ZW"/>
        </w:rPr>
        <w:t xml:space="preserve">full </w:t>
      </w:r>
      <w:r w:rsidRPr="00DE06B6" w:rsidR="008E68C9">
        <w:rPr>
          <w:szCs w:val="26"/>
          <w:lang w:val="en-ZW"/>
        </w:rPr>
        <w:t>UI Pipeline</w:t>
      </w:r>
      <w:r w:rsidR="008E68C9">
        <w:rPr>
          <w:szCs w:val="26"/>
          <w:lang w:val="en-ZW"/>
        </w:rPr>
        <w:t xml:space="preserve"> is not ripe for Commission review. At present, we cannot </w:t>
      </w:r>
      <w:r w:rsidR="00236EC1">
        <w:rPr>
          <w:szCs w:val="26"/>
          <w:lang w:val="en-ZW"/>
        </w:rPr>
        <w:t>decide</w:t>
      </w:r>
      <w:r w:rsidR="008E68C9">
        <w:rPr>
          <w:szCs w:val="26"/>
          <w:lang w:val="en-ZW"/>
        </w:rPr>
        <w:t xml:space="preserve"> the scoped threshold issue under Pub. Util. Code Sections 216 and 222 without final determinations of CRPC’s underlying rights to own, control, operate, or manage the UI Pipeline segments within the Cities. Those underlying rights are pending decisions in parallel judicial and local administrative proceedings. Accordingly, the Application is premature and dismissed without prejudice as unripe</w:t>
      </w:r>
      <w:r>
        <w:rPr>
          <w:szCs w:val="26"/>
          <w:lang w:val="en-ZW"/>
        </w:rPr>
        <w:t>.</w:t>
      </w:r>
    </w:p>
    <w:p w:rsidRPr="0099050D" w:rsidR="008D7A4B" w:rsidP="008D7A4B" w:rsidRDefault="008D7A4B" w14:paraId="53AB6430" w14:textId="36661923">
      <w:pPr>
        <w:pStyle w:val="Heading2"/>
        <w:rPr>
          <w:lang w:val="en-ZW"/>
        </w:rPr>
      </w:pPr>
      <w:bookmarkStart w:name="_Toc197092447" w:id="103"/>
      <w:bookmarkStart w:name="_Toc220596326" w:id="104"/>
      <w:bookmarkStart w:name="_Toc220972209" w:id="105"/>
      <w:r w:rsidRPr="0099050D">
        <w:rPr>
          <w:lang w:val="en-ZW"/>
        </w:rPr>
        <w:t>Ripeness</w:t>
      </w:r>
      <w:bookmarkEnd w:id="103"/>
      <w:bookmarkEnd w:id="104"/>
      <w:bookmarkEnd w:id="105"/>
    </w:p>
    <w:p w:rsidR="00F0671E" w:rsidP="00F0671E" w:rsidRDefault="008D7A4B" w14:paraId="7C61BC1D" w14:textId="21CE43AB">
      <w:pPr>
        <w:rPr>
          <w:szCs w:val="26"/>
          <w:lang w:val="en-ZW"/>
        </w:rPr>
      </w:pPr>
      <w:r>
        <w:rPr>
          <w:szCs w:val="26"/>
          <w:lang w:val="en-ZW"/>
        </w:rPr>
        <w:t xml:space="preserve">The ripeness doctrine addresses the timing of review, preventing a tribunal from issuing </w:t>
      </w:r>
      <w:r w:rsidR="00F0671E">
        <w:rPr>
          <w:szCs w:val="26"/>
          <w:lang w:val="en-ZW"/>
        </w:rPr>
        <w:t>“advisory opinions” on hypothetical matters.</w:t>
      </w:r>
      <w:r w:rsidR="00F0671E">
        <w:rPr>
          <w:rStyle w:val="FootnoteReference"/>
          <w:szCs w:val="26"/>
          <w:lang w:val="en-ZW"/>
        </w:rPr>
        <w:footnoteReference w:id="52"/>
      </w:r>
      <w:r w:rsidR="00F0671E">
        <w:rPr>
          <w:szCs w:val="26"/>
          <w:lang w:val="en-ZW"/>
        </w:rPr>
        <w:t xml:space="preserve"> </w:t>
      </w:r>
      <w:r w:rsidRPr="00675BD0" w:rsidR="00F0671E">
        <w:rPr>
          <w:lang w:val="en-ZW"/>
        </w:rPr>
        <w:t>The</w:t>
      </w:r>
      <w:r w:rsidR="00F0671E">
        <w:rPr>
          <w:szCs w:val="26"/>
          <w:lang w:val="en-ZW"/>
        </w:rPr>
        <w:t xml:space="preserve"> California Supreme Court recognized the doctrine’s underlying principles in </w:t>
      </w:r>
      <w:r w:rsidRPr="00EE5965" w:rsidR="00F0671E">
        <w:rPr>
          <w:i/>
          <w:iCs/>
          <w:szCs w:val="26"/>
          <w:lang w:val="en-ZW"/>
        </w:rPr>
        <w:t>Pacific Legal Foundation v. California Coastal Commission</w:t>
      </w:r>
      <w:r w:rsidR="00F0671E">
        <w:rPr>
          <w:szCs w:val="26"/>
          <w:lang w:val="en-ZW"/>
        </w:rPr>
        <w:t>, including to limit a tribunal’s review to concrete facts:</w:t>
      </w:r>
    </w:p>
    <w:p w:rsidR="00F0671E" w:rsidP="00F0671E" w:rsidRDefault="0049741A" w14:paraId="4C7A9AC6" w14:textId="3EBA5BE0">
      <w:pPr>
        <w:spacing w:line="240" w:lineRule="auto"/>
        <w:ind w:left="1440" w:firstLine="0"/>
        <w:rPr>
          <w:szCs w:val="26"/>
        </w:rPr>
      </w:pPr>
      <w:r>
        <w:rPr>
          <w:szCs w:val="26"/>
        </w:rPr>
        <w:lastRenderedPageBreak/>
        <w:t>[</w:t>
      </w:r>
      <w:r w:rsidR="00266F71">
        <w:rPr>
          <w:szCs w:val="26"/>
        </w:rPr>
        <w:t>The r</w:t>
      </w:r>
      <w:r>
        <w:rPr>
          <w:szCs w:val="26"/>
        </w:rPr>
        <w:t>ipeness</w:t>
      </w:r>
      <w:r w:rsidR="00266F71">
        <w:rPr>
          <w:szCs w:val="26"/>
        </w:rPr>
        <w:t xml:space="preserve"> doctrine</w:t>
      </w:r>
      <w:r>
        <w:rPr>
          <w:szCs w:val="26"/>
        </w:rPr>
        <w:t>]</w:t>
      </w:r>
      <w:r w:rsidRPr="003C4456" w:rsidR="00F0671E">
        <w:rPr>
          <w:szCs w:val="26"/>
        </w:rPr>
        <w:t xml:space="preserve"> is rooted in the fundamental concept that the proper role of the judiciary does not extend to the resolution of abstract differences of legal opinion. It is in part designed to </w:t>
      </w:r>
      <w:r w:rsidRPr="00EE5965" w:rsidR="00F0671E">
        <w:rPr>
          <w:i/>
          <w:iCs/>
          <w:szCs w:val="26"/>
        </w:rPr>
        <w:t>regulate the workload</w:t>
      </w:r>
      <w:r w:rsidRPr="003C4456" w:rsidR="00F0671E">
        <w:rPr>
          <w:szCs w:val="26"/>
        </w:rPr>
        <w:t xml:space="preserve"> of courts by </w:t>
      </w:r>
      <w:r w:rsidRPr="00EE5965" w:rsidR="00F0671E">
        <w:rPr>
          <w:i/>
          <w:iCs/>
          <w:szCs w:val="26"/>
        </w:rPr>
        <w:t>preventing judicial consideration of lawsuits that seek only to obtain general guidance</w:t>
      </w:r>
      <w:r w:rsidRPr="003C4456" w:rsidR="00F0671E">
        <w:rPr>
          <w:szCs w:val="26"/>
        </w:rPr>
        <w:t xml:space="preserve">, rather than to resolve specific legal disputes. </w:t>
      </w:r>
      <w:bookmarkStart w:name="Bookmark_I4FS5NGT0K1MNJ4DM0000400" w:id="106"/>
      <w:bookmarkEnd w:id="106"/>
      <w:r w:rsidRPr="003C4456" w:rsidR="00F0671E">
        <w:rPr>
          <w:szCs w:val="26"/>
        </w:rPr>
        <w:t xml:space="preserve">However, the ripeness doctrine is </w:t>
      </w:r>
      <w:r w:rsidRPr="00EE5965" w:rsidR="00F0671E">
        <w:rPr>
          <w:i/>
          <w:iCs/>
          <w:szCs w:val="26"/>
        </w:rPr>
        <w:t xml:space="preserve">primarily bottomed on the recognition that judicial decisionmaking is best conducted in the context of an actual set of facts </w:t>
      </w:r>
      <w:r w:rsidRPr="003C4456" w:rsidR="00F0671E">
        <w:rPr>
          <w:szCs w:val="26"/>
        </w:rPr>
        <w:t>so that the issues will be framed with sufficient definiteness to enable the court to make a decree finally disposing of the controversy.</w:t>
      </w:r>
      <w:r w:rsidR="00F0671E">
        <w:rPr>
          <w:rStyle w:val="FootnoteReference"/>
          <w:szCs w:val="26"/>
        </w:rPr>
        <w:footnoteReference w:id="53"/>
      </w:r>
      <w:r w:rsidRPr="003C4456" w:rsidR="00F0671E">
        <w:rPr>
          <w:szCs w:val="26"/>
        </w:rPr>
        <w:t xml:space="preserve">  </w:t>
      </w:r>
    </w:p>
    <w:p w:rsidR="00F0671E" w:rsidP="00F0671E" w:rsidRDefault="00F0671E" w14:paraId="169069AF" w14:textId="77777777">
      <w:pPr>
        <w:spacing w:line="240" w:lineRule="auto"/>
        <w:ind w:left="1440" w:firstLine="0"/>
        <w:rPr>
          <w:szCs w:val="26"/>
          <w:lang w:val="en-ZW"/>
        </w:rPr>
      </w:pPr>
      <w:r>
        <w:rPr>
          <w:szCs w:val="26"/>
          <w:lang w:val="en-ZW"/>
        </w:rPr>
        <w:t xml:space="preserve"> </w:t>
      </w:r>
    </w:p>
    <w:p w:rsidR="00F0671E" w:rsidP="00F0671E" w:rsidRDefault="00F0671E" w14:paraId="3D332A8D" w14:textId="77777777">
      <w:pPr>
        <w:rPr>
          <w:szCs w:val="26"/>
        </w:rPr>
      </w:pPr>
      <w:r>
        <w:rPr>
          <w:szCs w:val="26"/>
          <w:lang w:val="en-ZW"/>
        </w:rPr>
        <w:t>Consistent with these principles, t</w:t>
      </w:r>
      <w:r w:rsidRPr="00716EC1">
        <w:rPr>
          <w:szCs w:val="26"/>
        </w:rPr>
        <w:t>he Commission has a</w:t>
      </w:r>
      <w:r>
        <w:rPr>
          <w:szCs w:val="26"/>
        </w:rPr>
        <w:t xml:space="preserve"> </w:t>
      </w:r>
      <w:r w:rsidRPr="00716EC1">
        <w:rPr>
          <w:szCs w:val="26"/>
        </w:rPr>
        <w:t>“longstanding policy against issuing advisory opinions”</w:t>
      </w:r>
      <w:r>
        <w:rPr>
          <w:szCs w:val="26"/>
        </w:rPr>
        <w:t xml:space="preserve"> t</w:t>
      </w:r>
      <w:r w:rsidRPr="00716EC1">
        <w:rPr>
          <w:szCs w:val="26"/>
        </w:rPr>
        <w:t xml:space="preserve">o preserve </w:t>
      </w:r>
      <w:r>
        <w:rPr>
          <w:szCs w:val="26"/>
        </w:rPr>
        <w:t>judicial</w:t>
      </w:r>
      <w:r w:rsidRPr="00716EC1">
        <w:rPr>
          <w:szCs w:val="26"/>
        </w:rPr>
        <w:t xml:space="preserve"> resources</w:t>
      </w:r>
      <w:r>
        <w:rPr>
          <w:szCs w:val="26"/>
        </w:rPr>
        <w:t>.</w:t>
      </w:r>
      <w:r>
        <w:rPr>
          <w:rStyle w:val="FootnoteReference"/>
          <w:szCs w:val="26"/>
        </w:rPr>
        <w:footnoteReference w:id="54"/>
      </w:r>
      <w:r>
        <w:rPr>
          <w:szCs w:val="26"/>
        </w:rPr>
        <w:t xml:space="preserve"> </w:t>
      </w:r>
      <w:r>
        <w:rPr>
          <w:szCs w:val="26"/>
          <w:lang w:val="en-ZW"/>
        </w:rPr>
        <w:t>Where an application requests authority for a hypothetical activity</w:t>
      </w:r>
      <w:r w:rsidRPr="00716EC1">
        <w:rPr>
          <w:szCs w:val="26"/>
        </w:rPr>
        <w:t>, a</w:t>
      </w:r>
      <w:r>
        <w:rPr>
          <w:szCs w:val="26"/>
        </w:rPr>
        <w:t xml:space="preserve"> decision</w:t>
      </w:r>
      <w:r w:rsidRPr="00716EC1">
        <w:rPr>
          <w:szCs w:val="26"/>
        </w:rPr>
        <w:t xml:space="preserve"> issued by the</w:t>
      </w:r>
      <w:r>
        <w:rPr>
          <w:szCs w:val="26"/>
        </w:rPr>
        <w:t xml:space="preserve"> </w:t>
      </w:r>
      <w:r w:rsidRPr="00716EC1">
        <w:rPr>
          <w:szCs w:val="26"/>
        </w:rPr>
        <w:t xml:space="preserve">Commission would </w:t>
      </w:r>
      <w:r>
        <w:rPr>
          <w:szCs w:val="26"/>
        </w:rPr>
        <w:t>constitute</w:t>
      </w:r>
      <w:r w:rsidRPr="00716EC1">
        <w:rPr>
          <w:szCs w:val="26"/>
        </w:rPr>
        <w:t xml:space="preserve"> a</w:t>
      </w:r>
      <w:r>
        <w:rPr>
          <w:szCs w:val="26"/>
        </w:rPr>
        <w:t xml:space="preserve"> prohibited</w:t>
      </w:r>
      <w:r w:rsidRPr="00716EC1">
        <w:rPr>
          <w:szCs w:val="26"/>
        </w:rPr>
        <w:t xml:space="preserve"> advisory opinion.</w:t>
      </w:r>
      <w:r>
        <w:rPr>
          <w:rStyle w:val="FootnoteReference"/>
          <w:szCs w:val="26"/>
        </w:rPr>
        <w:footnoteReference w:id="55"/>
      </w:r>
      <w:r w:rsidRPr="00716EC1">
        <w:rPr>
          <w:szCs w:val="26"/>
        </w:rPr>
        <w:t xml:space="preserve"> </w:t>
      </w:r>
    </w:p>
    <w:p w:rsidR="00F0671E" w:rsidP="00F0671E" w:rsidRDefault="00F0671E" w14:paraId="6EF4441A" w14:textId="5C2972F7">
      <w:pPr>
        <w:rPr>
          <w:szCs w:val="26"/>
          <w:lang w:val="en-ZW"/>
        </w:rPr>
      </w:pPr>
      <w:r>
        <w:rPr>
          <w:szCs w:val="26"/>
          <w:lang w:val="en-ZW"/>
        </w:rPr>
        <w:t xml:space="preserve">The Commission applies these ripeness principles expressly or implicitly to </w:t>
      </w:r>
      <w:r>
        <w:rPr>
          <w:lang w:val="en-ZW"/>
        </w:rPr>
        <w:t>promote efficiency and conservation of resources when a parallel proceeding is pending.</w:t>
      </w:r>
      <w:r>
        <w:rPr>
          <w:rStyle w:val="FootnoteReference"/>
          <w:lang w:val="en-ZW"/>
        </w:rPr>
        <w:footnoteReference w:id="56"/>
      </w:r>
      <w:r>
        <w:rPr>
          <w:lang w:val="en-ZW"/>
        </w:rPr>
        <w:t xml:space="preserve"> This practice </w:t>
      </w:r>
      <w:r>
        <w:rPr>
          <w:szCs w:val="26"/>
          <w:lang w:val="en-ZW"/>
        </w:rPr>
        <w:t>prevents our premature review of matters until resolution of parallel proceedings that may determine underlying rights and/or facts germane to our proceeding. A matter that is unripe is typically dismissed without prejudice to refiling upon determination of the necessary facts and/or rights through the parallel proceeding.</w:t>
      </w:r>
    </w:p>
    <w:p w:rsidR="00F0671E" w:rsidP="00F0671E" w:rsidRDefault="00F0671E" w14:paraId="2BE59454" w14:textId="66E84035">
      <w:pPr>
        <w:rPr>
          <w:szCs w:val="26"/>
          <w:lang w:val="en-ZW"/>
        </w:rPr>
      </w:pPr>
      <w:r>
        <w:rPr>
          <w:szCs w:val="26"/>
          <w:lang w:val="en-ZW"/>
        </w:rPr>
        <w:lastRenderedPageBreak/>
        <w:t>We articulated this approach to an application involving a parallel proceeding in D.10-06-006. There, the Commission considered whether the application was ripe for review at a time while a parallel federal court proceeding remained pending.</w:t>
      </w:r>
      <w:r>
        <w:rPr>
          <w:rStyle w:val="FootnoteReference"/>
          <w:szCs w:val="26"/>
          <w:lang w:val="en-ZW"/>
        </w:rPr>
        <w:footnoteReference w:id="57"/>
      </w:r>
      <w:r>
        <w:rPr>
          <w:szCs w:val="26"/>
          <w:lang w:val="en-ZW"/>
        </w:rPr>
        <w:t xml:space="preserve">  We resolved the issue as follows:   </w:t>
      </w:r>
    </w:p>
    <w:p w:rsidR="00F0671E" w:rsidP="00F0671E" w:rsidRDefault="00F0671E" w14:paraId="21783029" w14:textId="2BADED54">
      <w:pPr>
        <w:pStyle w:val="standard0"/>
        <w:spacing w:line="240" w:lineRule="auto"/>
        <w:ind w:left="1440" w:firstLine="0"/>
      </w:pPr>
      <w:r>
        <w:t xml:space="preserve">The question before </w:t>
      </w:r>
      <w:r w:rsidRPr="00675BD0">
        <w:t xml:space="preserve">the Commission </w:t>
      </w:r>
      <w:r>
        <w:t xml:space="preserve">is whether to consider </w:t>
      </w:r>
      <w:r w:rsidRPr="00EE5965">
        <w:rPr>
          <w:i/>
          <w:iCs/>
        </w:rPr>
        <w:t>at this time</w:t>
      </w:r>
      <w:r w:rsidRPr="00675BD0">
        <w:t xml:space="preserve"> the </w:t>
      </w:r>
      <w:r>
        <w:t xml:space="preserve">application of North County. On this question, we conclude that it is not prudent to commit </w:t>
      </w:r>
      <w:r w:rsidRPr="00675BD0">
        <w:t xml:space="preserve">Commission </w:t>
      </w:r>
      <w:r>
        <w:t xml:space="preserve">resources to a consideration of this application </w:t>
      </w:r>
      <w:r w:rsidRPr="00EE5965">
        <w:rPr>
          <w:i/>
          <w:iCs/>
        </w:rPr>
        <w:t>at this time</w:t>
      </w:r>
      <w:r>
        <w:t xml:space="preserve">. Furthermore, since statutory deadlines limit the time that the Commission can take to process a proceeding, it is not a preferred Commission policy to hold a proceeding “in abeyance” while awaiting the actions of courts or other regulatory agencies. Instead, </w:t>
      </w:r>
      <w:r w:rsidRPr="00EE5965">
        <w:rPr>
          <w:i/>
          <w:iCs/>
        </w:rPr>
        <w:t>we will dismiss the application of North County without prejudice</w:t>
      </w:r>
      <w:r>
        <w:t>.</w:t>
      </w:r>
      <w:r>
        <w:rPr>
          <w:rStyle w:val="FootnoteReference"/>
          <w:szCs w:val="26"/>
          <w:lang w:val="en-ZW"/>
        </w:rPr>
        <w:footnoteReference w:id="58"/>
      </w:r>
    </w:p>
    <w:p w:rsidR="00F0671E" w:rsidP="00F0671E" w:rsidRDefault="00F0671E" w14:paraId="1ADC5FFA" w14:textId="77777777">
      <w:pPr>
        <w:pStyle w:val="standard0"/>
        <w:spacing w:line="240" w:lineRule="auto"/>
        <w:ind w:left="1440" w:firstLine="0"/>
      </w:pPr>
    </w:p>
    <w:p w:rsidR="00F0671E" w:rsidP="00F0671E" w:rsidRDefault="00F0671E" w14:paraId="135AAD73" w14:textId="77777777">
      <w:pPr>
        <w:pStyle w:val="standard0"/>
        <w:ind w:firstLine="0"/>
      </w:pPr>
      <w:r>
        <w:t>Significantly, we recognized there that the pending federal litigation might resolve all or part of that application, warranting that dismissal:</w:t>
      </w:r>
    </w:p>
    <w:p w:rsidR="00F0671E" w:rsidP="00F0671E" w:rsidRDefault="00F0671E" w14:paraId="18BCCE06" w14:textId="03A0755E">
      <w:pPr>
        <w:spacing w:line="240" w:lineRule="auto"/>
        <w:ind w:left="1440" w:firstLine="0"/>
      </w:pPr>
      <w:r>
        <w:t xml:space="preserve">On the question before us – whether to proceed at this time – the arguments of MetroPCS and the Wireless Coalition are convincing. First, </w:t>
      </w:r>
      <w:r w:rsidRPr="00EE5965">
        <w:rPr>
          <w:i/>
          <w:iCs/>
        </w:rPr>
        <w:t>it makes no sense to proceed with this matter while it is before the D.C. Circuit</w:t>
      </w:r>
      <w:r>
        <w:t xml:space="preserve">. Initially, both parties sought resolution of this entire matter by the FCC, and MetroPCS is appealing the FCC’s decision to the D.C. Circuit. </w:t>
      </w:r>
      <w:r w:rsidRPr="00EE5965">
        <w:rPr>
          <w:i/>
          <w:iCs/>
        </w:rPr>
        <w:t>The decision of that court may lead to a resolution of this matter, and will likely shed light on the many jurisdictional issues that the parties have raised in the FCC proceeding and in this proceeding</w:t>
      </w:r>
      <w:r>
        <w:t xml:space="preserve">, as well. Thus, </w:t>
      </w:r>
      <w:r w:rsidRPr="00EE5965">
        <w:rPr>
          <w:i/>
          <w:iCs/>
        </w:rPr>
        <w:t>awaiting the court decision may either resolve this matter or provide guidance that facilitates action by this Commission</w:t>
      </w:r>
      <w:r>
        <w:t>.</w:t>
      </w:r>
      <w:r>
        <w:rPr>
          <w:rStyle w:val="FootnoteReference"/>
          <w:szCs w:val="26"/>
          <w:lang w:val="en-ZW"/>
        </w:rPr>
        <w:footnoteReference w:id="59"/>
      </w:r>
    </w:p>
    <w:p w:rsidR="00F0671E" w:rsidP="00F0671E" w:rsidRDefault="00F0671E" w14:paraId="1E388D54" w14:textId="77777777">
      <w:pPr>
        <w:rPr>
          <w:szCs w:val="26"/>
          <w:lang w:val="en-ZW"/>
        </w:rPr>
      </w:pPr>
    </w:p>
    <w:p w:rsidR="00F0671E" w:rsidP="00F0671E" w:rsidRDefault="00F0671E" w14:paraId="7A929E7D" w14:textId="57496E2B">
      <w:pPr>
        <w:rPr>
          <w:szCs w:val="26"/>
          <w:lang w:val="en-ZW"/>
        </w:rPr>
      </w:pPr>
      <w:r>
        <w:rPr>
          <w:szCs w:val="26"/>
          <w:lang w:val="en-ZW"/>
        </w:rPr>
        <w:t xml:space="preserve">Similarly, for the reasons discussed below, </w:t>
      </w:r>
      <w:r w:rsidR="00793511">
        <w:rPr>
          <w:szCs w:val="26"/>
          <w:lang w:val="en-ZW"/>
        </w:rPr>
        <w:t>the same</w:t>
      </w:r>
      <w:r>
        <w:rPr>
          <w:szCs w:val="26"/>
          <w:lang w:val="en-ZW"/>
        </w:rPr>
        <w:t xml:space="preserve"> disposition is </w:t>
      </w:r>
      <w:r w:rsidR="00D4226A">
        <w:rPr>
          <w:szCs w:val="26"/>
          <w:lang w:val="en-ZW"/>
        </w:rPr>
        <w:t>appropriate</w:t>
      </w:r>
      <w:r>
        <w:rPr>
          <w:szCs w:val="26"/>
          <w:lang w:val="en-ZW"/>
        </w:rPr>
        <w:t xml:space="preserve"> here. We find the instant Application unripe while relevant issues </w:t>
      </w:r>
      <w:r>
        <w:rPr>
          <w:szCs w:val="26"/>
          <w:lang w:val="en-ZW"/>
        </w:rPr>
        <w:lastRenderedPageBreak/>
        <w:t xml:space="preserve">remain pending in other </w:t>
      </w:r>
      <w:r>
        <w:rPr>
          <w:i/>
          <w:iCs/>
          <w:szCs w:val="26"/>
          <w:lang w:val="en-ZW"/>
        </w:rPr>
        <w:t xml:space="preserve">fora </w:t>
      </w:r>
      <w:r>
        <w:rPr>
          <w:szCs w:val="26"/>
          <w:lang w:val="en-ZW"/>
        </w:rPr>
        <w:t xml:space="preserve">whose decisions </w:t>
      </w:r>
      <w:r w:rsidRPr="00EE5965">
        <w:t>may either resolve this matter or provide guidance that facilitates action by this Commission</w:t>
      </w:r>
      <w:r w:rsidRPr="00C10882">
        <w:t>.</w:t>
      </w:r>
      <w:r>
        <w:rPr>
          <w:szCs w:val="26"/>
          <w:lang w:val="en-ZW"/>
        </w:rPr>
        <w:t xml:space="preserve"> At present, the Commission cannot decide the scoped threshold issue under Pub. Util. Code Sections 216 and 222 without final determinations of CRPC’s underlying rights that are pending decision in parallel judicial and local administrative proceedings. In particular, the Superior Court must determine in the Phase II Pipeline Litigation whether Applicant owns the pipeline segment fixed in Antioch’s rights-of-way. Separately, the parallel franchise and permit proceedings pending within Antioch and Brentwood may result in final determinations of Applicant’s present rights to control, operate, or manage the UI Pipeline segments within each City. We cannot assume or adopt facts or rights contingent on those proceedings. To do so would result in consideration of one or more hypothetical scenarios.</w:t>
      </w:r>
    </w:p>
    <w:p w:rsidR="008D7A4B" w:rsidP="00F0671E" w:rsidRDefault="00F0671E" w14:paraId="439ECAFE" w14:textId="1E3DF3C3">
      <w:pPr>
        <w:rPr>
          <w:szCs w:val="26"/>
          <w:lang w:val="en-ZW"/>
        </w:rPr>
      </w:pPr>
      <w:r>
        <w:rPr>
          <w:szCs w:val="26"/>
          <w:lang w:val="en-ZW"/>
        </w:rPr>
        <w:t>Our decision here addresses only the timing of our review. It preserves a proper applicant’s rights to pursue the instant Application when ripe. To be clear, that party may bring a new application to the Commission after one or more parallel proceedings resolve the circumstances of applicant’s underlying rights to own, control, operate, or manage the UI Pipeline, including segments subject to the Cities’ dispute</w:t>
      </w:r>
      <w:r w:rsidR="009F35C4">
        <w:rPr>
          <w:szCs w:val="26"/>
          <w:lang w:val="en-ZW"/>
        </w:rPr>
        <w:t>.</w:t>
      </w:r>
    </w:p>
    <w:p w:rsidRPr="00616CA9" w:rsidR="00E2657E" w:rsidP="004F439D" w:rsidRDefault="00E2657E" w14:paraId="617A50C7" w14:textId="1D59CCC6">
      <w:pPr>
        <w:pStyle w:val="Heading2"/>
      </w:pPr>
      <w:bookmarkStart w:name="_Toc202268970" w:id="107"/>
      <w:bookmarkStart w:name="_Toc202476632" w:id="108"/>
      <w:bookmarkStart w:name="_Toc211606198" w:id="109"/>
      <w:bookmarkStart w:name="_Toc220596327" w:id="110"/>
      <w:bookmarkStart w:name="_Toc220972210" w:id="111"/>
      <w:bookmarkEnd w:id="107"/>
      <w:bookmarkEnd w:id="108"/>
      <w:r w:rsidRPr="00616CA9">
        <w:t xml:space="preserve">Public Utilities Code </w:t>
      </w:r>
      <w:r w:rsidR="007F1999">
        <w:t>S</w:t>
      </w:r>
      <w:r w:rsidRPr="00616CA9">
        <w:t xml:space="preserve">ections </w:t>
      </w:r>
      <w:r w:rsidR="007F1999">
        <w:t>216 and 222</w:t>
      </w:r>
      <w:bookmarkEnd w:id="109"/>
      <w:bookmarkEnd w:id="110"/>
      <w:bookmarkEnd w:id="111"/>
    </w:p>
    <w:p w:rsidRPr="00616CA9" w:rsidR="00DE06B6" w:rsidP="00DE06B6" w:rsidRDefault="00DE06B6" w14:paraId="3B2D64A6" w14:textId="4589BBCF">
      <w:pPr>
        <w:rPr>
          <w:szCs w:val="26"/>
        </w:rPr>
      </w:pPr>
      <w:r>
        <w:rPr>
          <w:szCs w:val="26"/>
        </w:rPr>
        <w:t>CRPC request</w:t>
      </w:r>
      <w:r w:rsidR="007C4A67">
        <w:rPr>
          <w:szCs w:val="26"/>
        </w:rPr>
        <w:t>s</w:t>
      </w:r>
      <w:r>
        <w:rPr>
          <w:szCs w:val="26"/>
        </w:rPr>
        <w:t xml:space="preserve"> a Commission determination that it meets the statutory criteria to be a </w:t>
      </w:r>
      <w:r w:rsidRPr="00616CA9">
        <w:rPr>
          <w:szCs w:val="26"/>
        </w:rPr>
        <w:t>public utility gas corporation</w:t>
      </w:r>
      <w:r>
        <w:rPr>
          <w:szCs w:val="26"/>
        </w:rPr>
        <w:t xml:space="preserve">. For the reasons below, we find that </w:t>
      </w:r>
      <w:r w:rsidR="00B06FF8">
        <w:rPr>
          <w:szCs w:val="26"/>
        </w:rPr>
        <w:t xml:space="preserve">it is premature for </w:t>
      </w:r>
      <w:r w:rsidR="0094274F">
        <w:rPr>
          <w:szCs w:val="26"/>
        </w:rPr>
        <w:t xml:space="preserve">us to decide whether </w:t>
      </w:r>
      <w:r w:rsidRPr="00616CA9">
        <w:rPr>
          <w:szCs w:val="26"/>
        </w:rPr>
        <w:t>CRPC satisf</w:t>
      </w:r>
      <w:r w:rsidR="00723FD8">
        <w:rPr>
          <w:szCs w:val="26"/>
        </w:rPr>
        <w:t>ies</w:t>
      </w:r>
      <w:r w:rsidRPr="00616CA9">
        <w:rPr>
          <w:szCs w:val="26"/>
        </w:rPr>
        <w:t xml:space="preserve"> th</w:t>
      </w:r>
      <w:r>
        <w:rPr>
          <w:szCs w:val="26"/>
        </w:rPr>
        <w:t xml:space="preserve">ose </w:t>
      </w:r>
      <w:r w:rsidRPr="00616CA9">
        <w:rPr>
          <w:szCs w:val="26"/>
        </w:rPr>
        <w:t xml:space="preserve">criteria under </w:t>
      </w:r>
      <w:r>
        <w:rPr>
          <w:szCs w:val="26"/>
        </w:rPr>
        <w:t>S</w:t>
      </w:r>
      <w:r w:rsidRPr="00616CA9">
        <w:rPr>
          <w:szCs w:val="26"/>
        </w:rPr>
        <w:t xml:space="preserve">ections 216 and 222. </w:t>
      </w:r>
    </w:p>
    <w:p w:rsidRPr="00616CA9" w:rsidR="00E2657E" w:rsidP="004F439D" w:rsidRDefault="00E2657E" w14:paraId="2C79BF5B" w14:textId="2C1B3CD0">
      <w:pPr>
        <w:rPr>
          <w:szCs w:val="26"/>
        </w:rPr>
      </w:pPr>
      <w:r w:rsidRPr="00616CA9">
        <w:rPr>
          <w:szCs w:val="26"/>
        </w:rPr>
        <w:t>To qualify to become a public utility gas corporation</w:t>
      </w:r>
      <w:r w:rsidR="00140731">
        <w:rPr>
          <w:szCs w:val="26"/>
        </w:rPr>
        <w:t>,</w:t>
      </w:r>
      <w:r w:rsidRPr="00616CA9">
        <w:rPr>
          <w:szCs w:val="26"/>
        </w:rPr>
        <w:t xml:space="preserve"> CRPC must </w:t>
      </w:r>
      <w:r w:rsidR="00292098">
        <w:rPr>
          <w:szCs w:val="26"/>
        </w:rPr>
        <w:t xml:space="preserve">meet its burden </w:t>
      </w:r>
      <w:r w:rsidR="000E5E68">
        <w:rPr>
          <w:szCs w:val="26"/>
        </w:rPr>
        <w:t xml:space="preserve">to </w:t>
      </w:r>
      <w:r w:rsidRPr="00616CA9">
        <w:rPr>
          <w:szCs w:val="26"/>
        </w:rPr>
        <w:t xml:space="preserve">establish that it satisfies </w:t>
      </w:r>
      <w:r w:rsidR="00BB07B2">
        <w:rPr>
          <w:szCs w:val="26"/>
        </w:rPr>
        <w:t>the</w:t>
      </w:r>
      <w:r w:rsidRPr="00616CA9" w:rsidR="00BB07B2">
        <w:rPr>
          <w:szCs w:val="26"/>
        </w:rPr>
        <w:t xml:space="preserve"> </w:t>
      </w:r>
      <w:r w:rsidRPr="00616CA9">
        <w:rPr>
          <w:szCs w:val="26"/>
        </w:rPr>
        <w:t>statutory criteria</w:t>
      </w:r>
      <w:r w:rsidRPr="00140731" w:rsidR="00140731">
        <w:rPr>
          <w:szCs w:val="26"/>
        </w:rPr>
        <w:t xml:space="preserve"> </w:t>
      </w:r>
      <w:r w:rsidRPr="00616CA9" w:rsidR="00140731">
        <w:rPr>
          <w:szCs w:val="26"/>
        </w:rPr>
        <w:t xml:space="preserve">under </w:t>
      </w:r>
      <w:r w:rsidR="00B97F13">
        <w:rPr>
          <w:szCs w:val="26"/>
        </w:rPr>
        <w:t>Section</w:t>
      </w:r>
      <w:r w:rsidRPr="00616CA9" w:rsidR="00140731">
        <w:rPr>
          <w:szCs w:val="26"/>
        </w:rPr>
        <w:t xml:space="preserve">s 216 and </w:t>
      </w:r>
      <w:r w:rsidRPr="00616CA9" w:rsidR="00140731">
        <w:rPr>
          <w:szCs w:val="26"/>
        </w:rPr>
        <w:lastRenderedPageBreak/>
        <w:t>222</w:t>
      </w:r>
      <w:r w:rsidRPr="00616CA9">
        <w:rPr>
          <w:szCs w:val="26"/>
        </w:rPr>
        <w:t xml:space="preserve">. The legislature enacted </w:t>
      </w:r>
      <w:r>
        <w:rPr>
          <w:szCs w:val="26"/>
        </w:rPr>
        <w:t xml:space="preserve">the </w:t>
      </w:r>
      <w:r w:rsidR="0042203B">
        <w:rPr>
          <w:szCs w:val="26"/>
        </w:rPr>
        <w:t xml:space="preserve">criteria </w:t>
      </w:r>
      <w:r>
        <w:rPr>
          <w:szCs w:val="26"/>
        </w:rPr>
        <w:t xml:space="preserve">of </w:t>
      </w:r>
      <w:r w:rsidRPr="00616CA9">
        <w:rPr>
          <w:szCs w:val="26"/>
        </w:rPr>
        <w:t xml:space="preserve">both </w:t>
      </w:r>
      <w:r w:rsidR="00B97F13">
        <w:rPr>
          <w:szCs w:val="26"/>
        </w:rPr>
        <w:t>Section</w:t>
      </w:r>
      <w:r w:rsidRPr="00616CA9">
        <w:rPr>
          <w:szCs w:val="26"/>
        </w:rPr>
        <w:t>s 216 and 222</w:t>
      </w:r>
      <w:r>
        <w:rPr>
          <w:szCs w:val="26"/>
        </w:rPr>
        <w:t xml:space="preserve"> </w:t>
      </w:r>
      <w:r w:rsidRPr="00616CA9">
        <w:rPr>
          <w:szCs w:val="26"/>
        </w:rPr>
        <w:t xml:space="preserve">using </w:t>
      </w:r>
      <w:r>
        <w:rPr>
          <w:szCs w:val="26"/>
        </w:rPr>
        <w:t xml:space="preserve">clear and unambiguous </w:t>
      </w:r>
      <w:r w:rsidRPr="00616CA9">
        <w:rPr>
          <w:szCs w:val="26"/>
        </w:rPr>
        <w:t xml:space="preserve">present tense </w:t>
      </w:r>
      <w:r w:rsidR="00194362">
        <w:rPr>
          <w:szCs w:val="26"/>
        </w:rPr>
        <w:t>language</w:t>
      </w:r>
      <w:r w:rsidRPr="00616CA9">
        <w:rPr>
          <w:szCs w:val="26"/>
        </w:rPr>
        <w:t xml:space="preserve">. </w:t>
      </w:r>
      <w:r>
        <w:rPr>
          <w:szCs w:val="26"/>
        </w:rPr>
        <w:t>Those sections allow for neither past (</w:t>
      </w:r>
      <w:r w:rsidRPr="00CC06A8">
        <w:rPr>
          <w:i/>
          <w:iCs/>
          <w:szCs w:val="26"/>
        </w:rPr>
        <w:t>i.e</w:t>
      </w:r>
      <w:r>
        <w:rPr>
          <w:szCs w:val="26"/>
        </w:rPr>
        <w:t xml:space="preserve">., expired) status nor uncertain </w:t>
      </w:r>
      <w:r w:rsidR="00D84BAA">
        <w:rPr>
          <w:szCs w:val="26"/>
        </w:rPr>
        <w:t xml:space="preserve">future </w:t>
      </w:r>
      <w:r>
        <w:rPr>
          <w:szCs w:val="26"/>
        </w:rPr>
        <w:t>(</w:t>
      </w:r>
      <w:r w:rsidRPr="000C46BB">
        <w:rPr>
          <w:i/>
          <w:iCs/>
          <w:szCs w:val="26"/>
        </w:rPr>
        <w:t>i.e</w:t>
      </w:r>
      <w:r>
        <w:rPr>
          <w:szCs w:val="26"/>
        </w:rPr>
        <w:t xml:space="preserve">., speculative) status to satisfy their </w:t>
      </w:r>
      <w:r w:rsidR="0042203B">
        <w:rPr>
          <w:szCs w:val="26"/>
        </w:rPr>
        <w:t>criteria</w:t>
      </w:r>
      <w:r>
        <w:rPr>
          <w:szCs w:val="26"/>
        </w:rPr>
        <w:t>.</w:t>
      </w:r>
    </w:p>
    <w:p w:rsidRPr="00616CA9" w:rsidR="00E2657E" w:rsidP="004F439D" w:rsidRDefault="00A225E1" w14:paraId="55AED076" w14:textId="1AD9DE89">
      <w:pPr>
        <w:rPr>
          <w:szCs w:val="26"/>
        </w:rPr>
      </w:pPr>
      <w:r>
        <w:rPr>
          <w:szCs w:val="26"/>
        </w:rPr>
        <w:t>Section</w:t>
      </w:r>
      <w:r w:rsidRPr="00616CA9" w:rsidR="00E2657E">
        <w:rPr>
          <w:szCs w:val="26"/>
        </w:rPr>
        <w:t xml:space="preserve"> 216(a)(1) provides the </w:t>
      </w:r>
      <w:r w:rsidR="00E2657E">
        <w:rPr>
          <w:szCs w:val="26"/>
        </w:rPr>
        <w:t xml:space="preserve">operating </w:t>
      </w:r>
      <w:r w:rsidR="004651B1">
        <w:rPr>
          <w:szCs w:val="26"/>
        </w:rPr>
        <w:t xml:space="preserve">eligibility </w:t>
      </w:r>
      <w:r w:rsidR="00EB5196">
        <w:rPr>
          <w:szCs w:val="26"/>
        </w:rPr>
        <w:t xml:space="preserve">status </w:t>
      </w:r>
      <w:r w:rsidRPr="00616CA9" w:rsidR="00E2657E">
        <w:rPr>
          <w:szCs w:val="26"/>
        </w:rPr>
        <w:t>for classification as a public utility in California:</w:t>
      </w:r>
    </w:p>
    <w:p w:rsidRPr="00616CA9" w:rsidR="00E2657E" w:rsidP="00A127CD" w:rsidRDefault="00E2657E" w14:paraId="2E8026DE" w14:textId="77777777">
      <w:pPr>
        <w:spacing w:line="240" w:lineRule="auto"/>
        <w:ind w:left="720" w:right="1080" w:firstLine="0"/>
        <w:rPr>
          <w:szCs w:val="26"/>
        </w:rPr>
      </w:pPr>
      <w:r w:rsidRPr="00616CA9">
        <w:rPr>
          <w:szCs w:val="26"/>
        </w:rPr>
        <w:t>“</w:t>
      </w:r>
      <w:r w:rsidRPr="00616CA9">
        <w:rPr>
          <w:b/>
          <w:bCs/>
          <w:i/>
          <w:iCs/>
          <w:szCs w:val="26"/>
        </w:rPr>
        <w:t>Public utility</w:t>
      </w:r>
      <w:r w:rsidRPr="00616CA9">
        <w:rPr>
          <w:szCs w:val="26"/>
        </w:rPr>
        <w:t xml:space="preserve">” includes every common carrier, toll bridge corporation, pipeline corporation, </w:t>
      </w:r>
      <w:r w:rsidRPr="00616CA9">
        <w:rPr>
          <w:b/>
          <w:bCs/>
          <w:i/>
          <w:iCs/>
          <w:szCs w:val="26"/>
        </w:rPr>
        <w:t>gas corporation</w:t>
      </w:r>
      <w:r w:rsidRPr="00616CA9">
        <w:rPr>
          <w:szCs w:val="26"/>
        </w:rPr>
        <w:t xml:space="preserve">, electrical corporation, telephone corporation, telegraph corporation, water corporation, sewer system corporation, and heat corporation, </w:t>
      </w:r>
      <w:r w:rsidRPr="00253A34">
        <w:rPr>
          <w:szCs w:val="26"/>
        </w:rPr>
        <w:t xml:space="preserve">where the </w:t>
      </w:r>
      <w:r w:rsidRPr="00C573AC">
        <w:rPr>
          <w:szCs w:val="26"/>
        </w:rPr>
        <w:t>service is performed for</w:t>
      </w:r>
      <w:r w:rsidRPr="00253A34">
        <w:rPr>
          <w:szCs w:val="26"/>
        </w:rPr>
        <w:t xml:space="preserve">, or the </w:t>
      </w:r>
      <w:r w:rsidRPr="00C573AC">
        <w:rPr>
          <w:szCs w:val="26"/>
        </w:rPr>
        <w:t>commodity is delivered to</w:t>
      </w:r>
      <w:r w:rsidRPr="00253A34">
        <w:rPr>
          <w:szCs w:val="26"/>
        </w:rPr>
        <w:t>,</w:t>
      </w:r>
      <w:r w:rsidRPr="00616CA9">
        <w:rPr>
          <w:szCs w:val="26"/>
        </w:rPr>
        <w:t xml:space="preserve"> the public or any portion thereof. (emphasis added).</w:t>
      </w:r>
    </w:p>
    <w:p w:rsidR="005F3B8D" w:rsidP="00A127CD" w:rsidRDefault="005F3B8D" w14:paraId="2FB2E5AD" w14:textId="77777777">
      <w:pPr>
        <w:spacing w:line="240" w:lineRule="auto"/>
        <w:rPr>
          <w:szCs w:val="26"/>
        </w:rPr>
      </w:pPr>
    </w:p>
    <w:p w:rsidRPr="00616CA9" w:rsidR="00E2657E" w:rsidP="004F439D" w:rsidRDefault="0011789B" w14:paraId="055FF0FD" w14:textId="03B70BE5">
      <w:pPr>
        <w:rPr>
          <w:szCs w:val="26"/>
        </w:rPr>
      </w:pPr>
      <w:r>
        <w:rPr>
          <w:szCs w:val="26"/>
        </w:rPr>
        <w:t>A</w:t>
      </w:r>
      <w:r w:rsidRPr="00616CA9">
        <w:rPr>
          <w:szCs w:val="26"/>
        </w:rPr>
        <w:t xml:space="preserve"> California “gas corporation” </w:t>
      </w:r>
      <w:r>
        <w:rPr>
          <w:szCs w:val="26"/>
        </w:rPr>
        <w:t xml:space="preserve">is </w:t>
      </w:r>
      <w:r w:rsidRPr="00616CA9" w:rsidR="00E2657E">
        <w:rPr>
          <w:szCs w:val="26"/>
        </w:rPr>
        <w:t>define</w:t>
      </w:r>
      <w:r>
        <w:rPr>
          <w:szCs w:val="26"/>
        </w:rPr>
        <w:t xml:space="preserve">d </w:t>
      </w:r>
      <w:r w:rsidR="00DA5811">
        <w:rPr>
          <w:szCs w:val="26"/>
        </w:rPr>
        <w:t xml:space="preserve">by </w:t>
      </w:r>
      <w:r w:rsidR="00A225E1">
        <w:rPr>
          <w:szCs w:val="26"/>
        </w:rPr>
        <w:t>Section</w:t>
      </w:r>
      <w:r w:rsidRPr="00616CA9">
        <w:rPr>
          <w:szCs w:val="26"/>
        </w:rPr>
        <w:t xml:space="preserve"> 222 </w:t>
      </w:r>
      <w:r w:rsidR="0076521A">
        <w:rPr>
          <w:szCs w:val="26"/>
        </w:rPr>
        <w:t xml:space="preserve">with </w:t>
      </w:r>
      <w:r w:rsidR="00947481">
        <w:rPr>
          <w:szCs w:val="26"/>
        </w:rPr>
        <w:t xml:space="preserve">language </w:t>
      </w:r>
      <w:r w:rsidR="0076521A">
        <w:rPr>
          <w:szCs w:val="26"/>
        </w:rPr>
        <w:t xml:space="preserve">referring to </w:t>
      </w:r>
      <w:r w:rsidR="00525765">
        <w:rPr>
          <w:szCs w:val="26"/>
        </w:rPr>
        <w:t xml:space="preserve">a corporation’s </w:t>
      </w:r>
      <w:r w:rsidR="00705C3A">
        <w:rPr>
          <w:szCs w:val="26"/>
        </w:rPr>
        <w:t>present</w:t>
      </w:r>
      <w:r w:rsidR="00E2657E">
        <w:rPr>
          <w:szCs w:val="26"/>
        </w:rPr>
        <w:t xml:space="preserve"> </w:t>
      </w:r>
      <w:r w:rsidR="00E27403">
        <w:rPr>
          <w:szCs w:val="26"/>
        </w:rPr>
        <w:t xml:space="preserve">ownership, control, operation, or management </w:t>
      </w:r>
      <w:r w:rsidR="00E2657E">
        <w:rPr>
          <w:szCs w:val="26"/>
        </w:rPr>
        <w:t xml:space="preserve">activities, </w:t>
      </w:r>
      <w:r w:rsidRPr="00616CA9" w:rsidR="00E2657E">
        <w:rPr>
          <w:szCs w:val="26"/>
        </w:rPr>
        <w:t>as follows:</w:t>
      </w:r>
      <w:r w:rsidR="00A00553">
        <w:rPr>
          <w:rStyle w:val="FootnoteReference"/>
          <w:szCs w:val="26"/>
        </w:rPr>
        <w:footnoteReference w:id="60"/>
      </w:r>
    </w:p>
    <w:p w:rsidRPr="00AE11EF" w:rsidR="00302670" w:rsidP="00AE11EF" w:rsidRDefault="00E2657E" w14:paraId="231A0486" w14:textId="2D07DEF1">
      <w:pPr>
        <w:spacing w:after="120" w:line="240" w:lineRule="auto"/>
        <w:ind w:left="720" w:right="1080" w:firstLine="0"/>
        <w:rPr>
          <w:szCs w:val="26"/>
        </w:rPr>
      </w:pPr>
      <w:r w:rsidRPr="00616CA9">
        <w:rPr>
          <w:szCs w:val="26"/>
        </w:rPr>
        <w:t>“</w:t>
      </w:r>
      <w:r w:rsidRPr="00616CA9">
        <w:rPr>
          <w:b/>
          <w:bCs/>
          <w:i/>
          <w:iCs/>
          <w:szCs w:val="26"/>
        </w:rPr>
        <w:t>Gas corporation</w:t>
      </w:r>
      <w:r w:rsidRPr="00616CA9">
        <w:rPr>
          <w:szCs w:val="26"/>
        </w:rPr>
        <w:t xml:space="preserve">” includes every corporation or person </w:t>
      </w:r>
      <w:r w:rsidRPr="00616CA9">
        <w:rPr>
          <w:b/>
          <w:bCs/>
          <w:i/>
          <w:iCs/>
          <w:szCs w:val="26"/>
        </w:rPr>
        <w:t xml:space="preserve">owning, controlling, operating, </w:t>
      </w:r>
      <w:r w:rsidRPr="00433F0C">
        <w:rPr>
          <w:b/>
          <w:i/>
        </w:rPr>
        <w:t>or</w:t>
      </w:r>
      <w:r w:rsidRPr="00616CA9">
        <w:rPr>
          <w:b/>
          <w:bCs/>
          <w:i/>
          <w:iCs/>
          <w:szCs w:val="26"/>
        </w:rPr>
        <w:t xml:space="preserve"> managing</w:t>
      </w:r>
      <w:r w:rsidRPr="00616CA9">
        <w:rPr>
          <w:szCs w:val="26"/>
        </w:rPr>
        <w:t xml:space="preserve"> any </w:t>
      </w:r>
      <w:r w:rsidRPr="00616CA9">
        <w:rPr>
          <w:b/>
          <w:bCs/>
          <w:i/>
          <w:iCs/>
          <w:szCs w:val="26"/>
        </w:rPr>
        <w:t>gas plant</w:t>
      </w:r>
      <w:r w:rsidRPr="00616CA9">
        <w:rPr>
          <w:szCs w:val="26"/>
        </w:rPr>
        <w:t xml:space="preserve"> for compensation within this state, except where gas is made or produced on and distributed by the maker or producer through private property alone solely for his own use or the use of his tenants and not for sale to others. (emphasis added).</w:t>
      </w:r>
      <w:r>
        <w:rPr>
          <w:szCs w:val="26"/>
        </w:rPr>
        <w:t xml:space="preserve"> </w:t>
      </w:r>
    </w:p>
    <w:p w:rsidR="000E5E68" w:rsidP="0008452A" w:rsidRDefault="00A225E1" w14:paraId="4E74004B" w14:textId="1BC60210">
      <w:pPr>
        <w:rPr>
          <w:szCs w:val="26"/>
        </w:rPr>
      </w:pPr>
      <w:r>
        <w:rPr>
          <w:szCs w:val="26"/>
        </w:rPr>
        <w:t>Section</w:t>
      </w:r>
      <w:r w:rsidRPr="00DD26E3" w:rsidR="00E2657E">
        <w:rPr>
          <w:szCs w:val="26"/>
        </w:rPr>
        <w:t xml:space="preserve"> 221 </w:t>
      </w:r>
      <w:r w:rsidR="000276B5">
        <w:rPr>
          <w:szCs w:val="26"/>
        </w:rPr>
        <w:t>identifies</w:t>
      </w:r>
      <w:r w:rsidRPr="00DD26E3" w:rsidR="000276B5">
        <w:rPr>
          <w:szCs w:val="26"/>
        </w:rPr>
        <w:t xml:space="preserve"> </w:t>
      </w:r>
      <w:r w:rsidRPr="00DD26E3" w:rsidR="009459D3">
        <w:rPr>
          <w:szCs w:val="26"/>
        </w:rPr>
        <w:t xml:space="preserve"> </w:t>
      </w:r>
      <w:r w:rsidRPr="00DD26E3" w:rsidR="00E2657E">
        <w:rPr>
          <w:szCs w:val="26"/>
        </w:rPr>
        <w:t>a</w:t>
      </w:r>
      <w:r w:rsidR="000E5E68">
        <w:rPr>
          <w:szCs w:val="26"/>
        </w:rPr>
        <w:t xml:space="preserve"> </w:t>
      </w:r>
      <w:r w:rsidRPr="00125C2E" w:rsidR="00E2657E">
        <w:rPr>
          <w:szCs w:val="26"/>
        </w:rPr>
        <w:t>“Gas plant</w:t>
      </w:r>
      <w:r w:rsidR="000E5E68">
        <w:rPr>
          <w:szCs w:val="26"/>
        </w:rPr>
        <w:t>”</w:t>
      </w:r>
      <w:r w:rsidR="000276B5">
        <w:rPr>
          <w:szCs w:val="26"/>
        </w:rPr>
        <w:t xml:space="preserve"> with reference to the present status of </w:t>
      </w:r>
      <w:r w:rsidR="0008452A">
        <w:rPr>
          <w:szCs w:val="26"/>
        </w:rPr>
        <w:t>certain property:</w:t>
      </w:r>
    </w:p>
    <w:p w:rsidR="00E2657E" w:rsidP="000E5E68" w:rsidRDefault="0072701A" w14:paraId="3AC35F30" w14:textId="38F22571">
      <w:pPr>
        <w:spacing w:line="240" w:lineRule="auto"/>
        <w:ind w:left="720" w:right="1080" w:firstLine="0"/>
        <w:rPr>
          <w:szCs w:val="26"/>
        </w:rPr>
      </w:pPr>
      <w:r>
        <w:rPr>
          <w:szCs w:val="26"/>
        </w:rPr>
        <w:t>[I]</w:t>
      </w:r>
      <w:r w:rsidRPr="00125C2E" w:rsidR="00E2657E">
        <w:rPr>
          <w:szCs w:val="26"/>
        </w:rPr>
        <w:t xml:space="preserve">ncludes all real estate, fixtures, and personal property, </w:t>
      </w:r>
      <w:r w:rsidRPr="006E3F0F" w:rsidR="00E2657E">
        <w:rPr>
          <w:b/>
          <w:bCs/>
          <w:i/>
          <w:iCs/>
          <w:szCs w:val="26"/>
        </w:rPr>
        <w:t>owned, controlled, operated, or managed</w:t>
      </w:r>
      <w:r w:rsidRPr="00125C2E" w:rsidR="00E2657E">
        <w:rPr>
          <w:szCs w:val="26"/>
        </w:rPr>
        <w:t xml:space="preserve"> in connection with or to facilitate the production, generation, transmission, delivery, underground storage, or furnishing of gas, natural or manufactured, except propane, for light, heat, or power.</w:t>
      </w:r>
      <w:r w:rsidR="003D0813">
        <w:rPr>
          <w:szCs w:val="26"/>
        </w:rPr>
        <w:t xml:space="preserve"> </w:t>
      </w:r>
      <w:r w:rsidRPr="00616CA9" w:rsidR="003D0813">
        <w:rPr>
          <w:szCs w:val="26"/>
        </w:rPr>
        <w:t>(emphasis added).</w:t>
      </w:r>
    </w:p>
    <w:p w:rsidR="000E5E68" w:rsidP="00A127CD" w:rsidRDefault="000E5E68" w14:paraId="73C3D1FF" w14:textId="77777777">
      <w:pPr>
        <w:spacing w:line="240" w:lineRule="auto"/>
        <w:ind w:left="720" w:right="1080" w:firstLine="0"/>
        <w:rPr>
          <w:szCs w:val="26"/>
        </w:rPr>
      </w:pPr>
    </w:p>
    <w:p w:rsidRPr="00616CA9" w:rsidR="00E2657E" w:rsidP="00A127CD" w:rsidRDefault="003267A7" w14:paraId="2E3C17F0" w14:textId="37804B43">
      <w:pPr>
        <w:pStyle w:val="Heading3"/>
      </w:pPr>
      <w:bookmarkStart w:name="_Toc211606199" w:id="112"/>
      <w:bookmarkStart w:name="_Toc220596328" w:id="113"/>
      <w:bookmarkStart w:name="_Toc220972211" w:id="114"/>
      <w:r>
        <w:rPr>
          <w:lang w:val="en-ZW"/>
        </w:rPr>
        <w:t>“</w:t>
      </w:r>
      <w:r w:rsidRPr="00616CA9" w:rsidR="00E2657E">
        <w:t>Gas Corporation</w:t>
      </w:r>
      <w:r>
        <w:t>”</w:t>
      </w:r>
      <w:bookmarkEnd w:id="112"/>
      <w:bookmarkEnd w:id="113"/>
      <w:bookmarkEnd w:id="114"/>
    </w:p>
    <w:p w:rsidR="000E5E68" w:rsidP="001450EB" w:rsidRDefault="00E2657E" w14:paraId="08FE1CC3" w14:textId="3DC34B39">
      <w:pPr>
        <w:rPr>
          <w:szCs w:val="26"/>
        </w:rPr>
      </w:pPr>
      <w:r w:rsidRPr="00616CA9">
        <w:rPr>
          <w:szCs w:val="26"/>
        </w:rPr>
        <w:t xml:space="preserve">First, </w:t>
      </w:r>
      <w:r w:rsidR="00CF3CD6">
        <w:rPr>
          <w:szCs w:val="26"/>
        </w:rPr>
        <w:t xml:space="preserve">it is premature for </w:t>
      </w:r>
      <w:r w:rsidR="00677D9C">
        <w:rPr>
          <w:szCs w:val="26"/>
        </w:rPr>
        <w:t xml:space="preserve">us to determine whether </w:t>
      </w:r>
      <w:r w:rsidRPr="00616CA9">
        <w:rPr>
          <w:szCs w:val="26"/>
        </w:rPr>
        <w:t xml:space="preserve">CRPC is a “gas corporation” under </w:t>
      </w:r>
      <w:r w:rsidR="00A225E1">
        <w:rPr>
          <w:szCs w:val="26"/>
        </w:rPr>
        <w:t>Section</w:t>
      </w:r>
      <w:r w:rsidRPr="00616CA9">
        <w:rPr>
          <w:szCs w:val="26"/>
        </w:rPr>
        <w:t xml:space="preserve"> 222 </w:t>
      </w:r>
      <w:r w:rsidR="0073312A">
        <w:rPr>
          <w:szCs w:val="26"/>
        </w:rPr>
        <w:t xml:space="preserve">while </w:t>
      </w:r>
      <w:r w:rsidR="008345C8">
        <w:rPr>
          <w:szCs w:val="26"/>
        </w:rPr>
        <w:t>the Phase II Pipeline Litigation and local administrative proceedings are pending</w:t>
      </w:r>
      <w:r w:rsidR="003F5C9C">
        <w:rPr>
          <w:szCs w:val="26"/>
        </w:rPr>
        <w:t xml:space="preserve">. The results of those </w:t>
      </w:r>
      <w:r w:rsidR="000B57FA">
        <w:rPr>
          <w:szCs w:val="26"/>
        </w:rPr>
        <w:t xml:space="preserve">tribunals may provide relevant </w:t>
      </w:r>
      <w:r w:rsidR="00FE689E">
        <w:rPr>
          <w:szCs w:val="26"/>
        </w:rPr>
        <w:t xml:space="preserve">facts </w:t>
      </w:r>
      <w:r w:rsidR="00CB57B5">
        <w:rPr>
          <w:szCs w:val="26"/>
        </w:rPr>
        <w:t xml:space="preserve">needed to determine whether CRPC </w:t>
      </w:r>
      <w:r w:rsidR="007B15D4">
        <w:rPr>
          <w:szCs w:val="26"/>
        </w:rPr>
        <w:t xml:space="preserve">will </w:t>
      </w:r>
      <w:r w:rsidRPr="00616CA9">
        <w:rPr>
          <w:szCs w:val="26"/>
        </w:rPr>
        <w:t xml:space="preserve"> </w:t>
      </w:r>
      <w:r w:rsidR="00DE2289">
        <w:rPr>
          <w:szCs w:val="26"/>
        </w:rPr>
        <w:t>meet its burden to</w:t>
      </w:r>
      <w:r w:rsidRPr="00616CA9">
        <w:rPr>
          <w:szCs w:val="26"/>
        </w:rPr>
        <w:t xml:space="preserve"> establish</w:t>
      </w:r>
      <w:r w:rsidR="00DE2289">
        <w:rPr>
          <w:szCs w:val="26"/>
        </w:rPr>
        <w:t xml:space="preserve"> itself</w:t>
      </w:r>
      <w:r w:rsidRPr="00616CA9">
        <w:rPr>
          <w:szCs w:val="26"/>
        </w:rPr>
        <w:t xml:space="preserve"> as</w:t>
      </w:r>
      <w:r w:rsidR="00253F3F">
        <w:rPr>
          <w:szCs w:val="26"/>
        </w:rPr>
        <w:t xml:space="preserve"> presently</w:t>
      </w:r>
      <w:r>
        <w:rPr>
          <w:szCs w:val="26"/>
        </w:rPr>
        <w:t xml:space="preserve"> </w:t>
      </w:r>
      <w:r w:rsidRPr="000E5E68">
        <w:rPr>
          <w:szCs w:val="26"/>
        </w:rPr>
        <w:t>own</w:t>
      </w:r>
      <w:r w:rsidRPr="00A127CD">
        <w:rPr>
          <w:szCs w:val="26"/>
        </w:rPr>
        <w:t>ing</w:t>
      </w:r>
      <w:r w:rsidRPr="000E5E68">
        <w:rPr>
          <w:szCs w:val="26"/>
        </w:rPr>
        <w:t>, controll</w:t>
      </w:r>
      <w:r w:rsidRPr="00A127CD">
        <w:rPr>
          <w:szCs w:val="26"/>
        </w:rPr>
        <w:t>ing</w:t>
      </w:r>
      <w:r w:rsidRPr="000E5E68">
        <w:rPr>
          <w:szCs w:val="26"/>
        </w:rPr>
        <w:t>, operat</w:t>
      </w:r>
      <w:r w:rsidRPr="00A127CD">
        <w:rPr>
          <w:szCs w:val="26"/>
        </w:rPr>
        <w:t>ing</w:t>
      </w:r>
      <w:r w:rsidRPr="000E5E68">
        <w:rPr>
          <w:szCs w:val="26"/>
        </w:rPr>
        <w:t>, or manag</w:t>
      </w:r>
      <w:r w:rsidRPr="00A127CD">
        <w:rPr>
          <w:szCs w:val="26"/>
        </w:rPr>
        <w:t>ing</w:t>
      </w:r>
      <w:r w:rsidRPr="000E5E68">
        <w:rPr>
          <w:szCs w:val="26"/>
        </w:rPr>
        <w:t xml:space="preserve"> a </w:t>
      </w:r>
      <w:r w:rsidR="00A76AF3">
        <w:rPr>
          <w:szCs w:val="26"/>
        </w:rPr>
        <w:t>“</w:t>
      </w:r>
      <w:r w:rsidRPr="00A127CD">
        <w:rPr>
          <w:szCs w:val="26"/>
        </w:rPr>
        <w:t>gas plant</w:t>
      </w:r>
      <w:r>
        <w:rPr>
          <w:szCs w:val="26"/>
        </w:rPr>
        <w:t>,</w:t>
      </w:r>
      <w:r w:rsidR="00A76AF3">
        <w:rPr>
          <w:szCs w:val="26"/>
        </w:rPr>
        <w:t>”</w:t>
      </w:r>
      <w:r>
        <w:rPr>
          <w:szCs w:val="26"/>
        </w:rPr>
        <w:t xml:space="preserve"> </w:t>
      </w:r>
      <w:r w:rsidRPr="00B33FB7">
        <w:rPr>
          <w:i/>
          <w:iCs/>
          <w:szCs w:val="26"/>
        </w:rPr>
        <w:t>i.e</w:t>
      </w:r>
      <w:r>
        <w:rPr>
          <w:szCs w:val="26"/>
        </w:rPr>
        <w:t xml:space="preserve">., the </w:t>
      </w:r>
      <w:r w:rsidR="009D0402">
        <w:rPr>
          <w:szCs w:val="26"/>
        </w:rPr>
        <w:t xml:space="preserve">full </w:t>
      </w:r>
      <w:r>
        <w:rPr>
          <w:szCs w:val="26"/>
        </w:rPr>
        <w:t xml:space="preserve">UI Pipeline at this time. </w:t>
      </w:r>
    </w:p>
    <w:p w:rsidR="004B59E7" w:rsidP="001450EB" w:rsidRDefault="005A6D04" w14:paraId="5586D9EC" w14:textId="54FAB864">
      <w:r w:rsidRPr="00BB4628">
        <w:t xml:space="preserve">We </w:t>
      </w:r>
      <w:r w:rsidRPr="006C10E5" w:rsidR="00587D88">
        <w:t>recognize that</w:t>
      </w:r>
      <w:r w:rsidRPr="00BB4628">
        <w:t xml:space="preserve"> </w:t>
      </w:r>
      <w:r w:rsidRPr="006C10E5" w:rsidR="00507285">
        <w:t xml:space="preserve">CRPC </w:t>
      </w:r>
      <w:r w:rsidRPr="006C10E5" w:rsidR="005B68E6">
        <w:t xml:space="preserve">previously </w:t>
      </w:r>
      <w:r w:rsidRPr="006C10E5" w:rsidR="00587D88">
        <w:t xml:space="preserve">held </w:t>
      </w:r>
      <w:r w:rsidR="00916298">
        <w:t xml:space="preserve">unchallenged </w:t>
      </w:r>
      <w:r w:rsidRPr="006C10E5" w:rsidR="00587D88">
        <w:t>ownership interest in the full UI Pipeline</w:t>
      </w:r>
      <w:r w:rsidRPr="006C10E5" w:rsidR="0096531B">
        <w:t xml:space="preserve">. However, </w:t>
      </w:r>
      <w:r w:rsidRPr="006C10E5" w:rsidR="00D50220">
        <w:t xml:space="preserve">it is undisputed that </w:t>
      </w:r>
      <w:r w:rsidR="004B649E">
        <w:t xml:space="preserve">after </w:t>
      </w:r>
      <w:r w:rsidR="000C608E">
        <w:t xml:space="preserve">expiration of </w:t>
      </w:r>
      <w:r w:rsidR="00E66B08">
        <w:t>CRPC’s</w:t>
      </w:r>
      <w:r w:rsidR="000C608E">
        <w:t xml:space="preserve"> franchise agreement in 2021</w:t>
      </w:r>
      <w:r w:rsidRPr="006C10E5" w:rsidR="0031556C">
        <w:t xml:space="preserve">, Antioch </w:t>
      </w:r>
      <w:r w:rsidR="00DA383F">
        <w:t xml:space="preserve">sued to </w:t>
      </w:r>
      <w:r w:rsidR="004C5A8C">
        <w:t>contest</w:t>
      </w:r>
      <w:r w:rsidR="000C608E">
        <w:t xml:space="preserve"> CRPC’s ownership </w:t>
      </w:r>
      <w:r w:rsidR="00F92C58">
        <w:t>of the Antioch segment</w:t>
      </w:r>
      <w:r w:rsidR="0001555F">
        <w:t>;</w:t>
      </w:r>
      <w:r w:rsidR="00F92C58">
        <w:t xml:space="preserve"> </w:t>
      </w:r>
      <w:r w:rsidRPr="006C10E5" w:rsidR="0031556C">
        <w:t>fil</w:t>
      </w:r>
      <w:r w:rsidR="00F92C58">
        <w:t>ing</w:t>
      </w:r>
      <w:r w:rsidRPr="006C10E5" w:rsidR="0031556C">
        <w:t xml:space="preserve"> its </w:t>
      </w:r>
      <w:r w:rsidR="00FB58B1">
        <w:t xml:space="preserve">abandonment, </w:t>
      </w:r>
      <w:r w:rsidRPr="006C10E5" w:rsidR="00E06084">
        <w:t>trespass, ejectment</w:t>
      </w:r>
      <w:r w:rsidR="002C5C6C">
        <w:t>,</w:t>
      </w:r>
      <w:r w:rsidRPr="006C10E5" w:rsidR="00E06084">
        <w:t xml:space="preserve"> and </w:t>
      </w:r>
      <w:r w:rsidR="004C5A8C">
        <w:t xml:space="preserve">declaratory relief </w:t>
      </w:r>
      <w:r w:rsidRPr="006C10E5" w:rsidR="0031556C">
        <w:t xml:space="preserve">cross-claims </w:t>
      </w:r>
      <w:r w:rsidRPr="006C10E5" w:rsidR="00E06084">
        <w:t xml:space="preserve">in the </w:t>
      </w:r>
      <w:r w:rsidRPr="00BB4628" w:rsidR="00B63C8B">
        <w:t xml:space="preserve">Phase II </w:t>
      </w:r>
      <w:r w:rsidRPr="00BB4628" w:rsidR="004371A0">
        <w:t>Pipeline Litigation</w:t>
      </w:r>
      <w:r w:rsidRPr="00BB4628" w:rsidR="00D50220">
        <w:t>. Th</w:t>
      </w:r>
      <w:r w:rsidR="00CC3BAB">
        <w:t xml:space="preserve">e </w:t>
      </w:r>
      <w:r w:rsidRPr="00BB4628" w:rsidR="003656C8">
        <w:t>cross-claim</w:t>
      </w:r>
      <w:r w:rsidR="00C02254">
        <w:t>s</w:t>
      </w:r>
      <w:r w:rsidR="00FB58B1">
        <w:t xml:space="preserve"> </w:t>
      </w:r>
      <w:r w:rsidRPr="00BB4628" w:rsidR="00F611BD">
        <w:t>challenge</w:t>
      </w:r>
      <w:r w:rsidR="0014619F">
        <w:t>d</w:t>
      </w:r>
      <w:r w:rsidRPr="00BB4628" w:rsidR="00F611BD">
        <w:t xml:space="preserve"> CRPC’s ownership</w:t>
      </w:r>
      <w:r w:rsidR="0001555F">
        <w:t xml:space="preserve"> of the UI Pipeline</w:t>
      </w:r>
      <w:r w:rsidR="00735203">
        <w:t xml:space="preserve">, </w:t>
      </w:r>
      <w:r w:rsidR="00924A19">
        <w:t xml:space="preserve">with Antioch </w:t>
      </w:r>
      <w:r w:rsidRPr="00BB4628" w:rsidR="00F611BD">
        <w:t>claim</w:t>
      </w:r>
      <w:r w:rsidR="00735203">
        <w:t>ing</w:t>
      </w:r>
      <w:r w:rsidRPr="00BB4628" w:rsidR="00F611BD">
        <w:t xml:space="preserve"> </w:t>
      </w:r>
      <w:r w:rsidR="00924A19">
        <w:t xml:space="preserve">that </w:t>
      </w:r>
      <w:r w:rsidRPr="00BB4628" w:rsidR="00F611BD">
        <w:t>ownership</w:t>
      </w:r>
      <w:r w:rsidR="00735203">
        <w:t xml:space="preserve"> of th</w:t>
      </w:r>
      <w:r w:rsidR="00924A19">
        <w:t>e</w:t>
      </w:r>
      <w:r w:rsidR="00735203">
        <w:t xml:space="preserve"> segment</w:t>
      </w:r>
      <w:r w:rsidRPr="00BB4628" w:rsidR="00F611BD">
        <w:t xml:space="preserve"> </w:t>
      </w:r>
      <w:r w:rsidR="00924A19">
        <w:t>of the U</w:t>
      </w:r>
      <w:r w:rsidR="000D675E">
        <w:t>I</w:t>
      </w:r>
      <w:r w:rsidR="00924A19">
        <w:t xml:space="preserve"> Pipeline located in Antioch </w:t>
      </w:r>
      <w:r w:rsidR="00C04048">
        <w:t>vested in</w:t>
      </w:r>
      <w:r w:rsidRPr="00BB4628" w:rsidR="003656C8">
        <w:t xml:space="preserve"> Antioch</w:t>
      </w:r>
      <w:r w:rsidRPr="00BB4628" w:rsidR="00D50220">
        <w:t xml:space="preserve"> </w:t>
      </w:r>
      <w:r w:rsidR="00B27780">
        <w:t>after</w:t>
      </w:r>
      <w:r w:rsidRPr="00BB4628" w:rsidR="00D50220">
        <w:t xml:space="preserve"> termination of </w:t>
      </w:r>
      <w:r w:rsidR="00924A19">
        <w:t>CPRC’s</w:t>
      </w:r>
      <w:r w:rsidRPr="00BB4628" w:rsidR="00D50220">
        <w:t xml:space="preserve"> franchise agreement in 2021</w:t>
      </w:r>
      <w:r w:rsidRPr="00BB4628" w:rsidR="00E06084">
        <w:t>.</w:t>
      </w:r>
      <w:r w:rsidR="00175FE5">
        <w:t xml:space="preserve"> </w:t>
      </w:r>
      <w:r w:rsidR="000D458D">
        <w:t xml:space="preserve">The court granted Antioch </w:t>
      </w:r>
      <w:r w:rsidR="00D66CCB">
        <w:t xml:space="preserve">leave to amend that claim </w:t>
      </w:r>
      <w:r w:rsidR="00F31C14">
        <w:t>through</w:t>
      </w:r>
      <w:r w:rsidR="00AA7346">
        <w:t xml:space="preserve"> a second amended complaint that has not yet been presented to the court</w:t>
      </w:r>
      <w:r w:rsidR="00D66CCB">
        <w:t xml:space="preserve">. </w:t>
      </w:r>
    </w:p>
    <w:p w:rsidR="006F4CBC" w:rsidP="002C33D6" w:rsidRDefault="00DF13FB" w14:paraId="156BEC6C" w14:textId="504DE28B">
      <w:pPr>
        <w:rPr>
          <w:rFonts w:eastAsia="Calibri" w:cs="Times New Roman"/>
        </w:rPr>
      </w:pPr>
      <w:r w:rsidRPr="006731B6">
        <w:t xml:space="preserve">Because of the </w:t>
      </w:r>
      <w:r w:rsidRPr="006731B6" w:rsidR="005E7654">
        <w:t xml:space="preserve">uncertainty created by the pending </w:t>
      </w:r>
      <w:r w:rsidRPr="006731B6" w:rsidR="00DE0979">
        <w:t xml:space="preserve">Phase II </w:t>
      </w:r>
      <w:r w:rsidRPr="006731B6" w:rsidR="003D6C9A">
        <w:t xml:space="preserve">Pipeline Litigation, </w:t>
      </w:r>
      <w:r w:rsidRPr="006731B6" w:rsidR="00697CE3">
        <w:t xml:space="preserve">CRPC </w:t>
      </w:r>
      <w:r w:rsidRPr="006731B6" w:rsidR="00922007">
        <w:rPr>
          <w:rFonts w:eastAsia="Calibri" w:cs="Times New Roman"/>
        </w:rPr>
        <w:t>cannot</w:t>
      </w:r>
      <w:r w:rsidRPr="006731B6" w:rsidR="00D67DB3">
        <w:rPr>
          <w:rFonts w:eastAsia="Calibri" w:cs="Times New Roman"/>
        </w:rPr>
        <w:t xml:space="preserve"> </w:t>
      </w:r>
      <w:r w:rsidRPr="006731B6" w:rsidR="00A968A3">
        <w:rPr>
          <w:szCs w:val="26"/>
        </w:rPr>
        <w:t xml:space="preserve">clearly </w:t>
      </w:r>
      <w:r w:rsidRPr="006731B6" w:rsidR="00CF42F7">
        <w:rPr>
          <w:szCs w:val="26"/>
        </w:rPr>
        <w:t xml:space="preserve">establish </w:t>
      </w:r>
      <w:r w:rsidRPr="006731B6" w:rsidR="008B5C6B">
        <w:rPr>
          <w:szCs w:val="26"/>
        </w:rPr>
        <w:t xml:space="preserve">itself as “owning” </w:t>
      </w:r>
      <w:r w:rsidRPr="006731B6" w:rsidR="00D67DB3">
        <w:rPr>
          <w:szCs w:val="26"/>
        </w:rPr>
        <w:t xml:space="preserve">the full </w:t>
      </w:r>
      <w:r w:rsidRPr="006731B6" w:rsidR="00E82496">
        <w:rPr>
          <w:rFonts w:cstheme="majorHAnsi"/>
          <w:szCs w:val="26"/>
        </w:rPr>
        <w:t>UI P</w:t>
      </w:r>
      <w:r w:rsidRPr="006731B6" w:rsidR="00D54244">
        <w:rPr>
          <w:rFonts w:cstheme="majorHAnsi"/>
          <w:szCs w:val="26"/>
        </w:rPr>
        <w:t>i</w:t>
      </w:r>
      <w:r w:rsidRPr="006731B6" w:rsidR="00D67DB3">
        <w:t>peline</w:t>
      </w:r>
      <w:r w:rsidRPr="006731B6" w:rsidR="00D67DB3">
        <w:rPr>
          <w:szCs w:val="26"/>
        </w:rPr>
        <w:t xml:space="preserve"> at this time</w:t>
      </w:r>
      <w:r w:rsidRPr="006731B6" w:rsidR="00D67DB3">
        <w:rPr>
          <w:rFonts w:eastAsia="Calibri" w:cs="Times New Roman"/>
        </w:rPr>
        <w:t xml:space="preserve"> </w:t>
      </w:r>
      <w:r w:rsidR="004F3733">
        <w:rPr>
          <w:rFonts w:eastAsia="Calibri" w:cs="Times New Roman"/>
        </w:rPr>
        <w:t>to qualify as a</w:t>
      </w:r>
      <w:r w:rsidRPr="006731B6" w:rsidR="00D67DB3">
        <w:rPr>
          <w:rFonts w:eastAsia="Calibri" w:cs="Times New Roman"/>
        </w:rPr>
        <w:t xml:space="preserve"> “gas corporation” </w:t>
      </w:r>
      <w:r w:rsidR="00625B59">
        <w:rPr>
          <w:rFonts w:eastAsia="Calibri" w:cs="Times New Roman"/>
        </w:rPr>
        <w:t>to support a finding under</w:t>
      </w:r>
      <w:r w:rsidR="00695D4F">
        <w:rPr>
          <w:rFonts w:eastAsia="Calibri" w:cs="Times New Roman"/>
        </w:rPr>
        <w:t xml:space="preserve"> </w:t>
      </w:r>
      <w:r w:rsidRPr="006731B6" w:rsidR="00C12D93">
        <w:rPr>
          <w:rFonts w:eastAsia="Calibri" w:cs="Times New Roman"/>
        </w:rPr>
        <w:t>S</w:t>
      </w:r>
      <w:r w:rsidRPr="006731B6" w:rsidR="00D67DB3">
        <w:rPr>
          <w:rFonts w:eastAsia="Calibri" w:cs="Times New Roman"/>
        </w:rPr>
        <w:t>ection</w:t>
      </w:r>
      <w:r w:rsidRPr="006731B6" w:rsidR="00C12D93">
        <w:rPr>
          <w:rFonts w:eastAsia="Calibri" w:cs="Times New Roman"/>
        </w:rPr>
        <w:t xml:space="preserve"> 222. </w:t>
      </w:r>
      <w:r w:rsidRPr="006731B6" w:rsidR="00BB4628">
        <w:rPr>
          <w:rFonts w:eastAsia="Calibri" w:cs="Times New Roman"/>
        </w:rPr>
        <w:t>No party contests</w:t>
      </w:r>
      <w:r w:rsidRPr="006731B6" w:rsidR="005D7B61">
        <w:rPr>
          <w:rFonts w:eastAsia="Calibri" w:cs="Times New Roman"/>
        </w:rPr>
        <w:t xml:space="preserve"> that o</w:t>
      </w:r>
      <w:r w:rsidRPr="006731B6" w:rsidR="00D67DB3">
        <w:rPr>
          <w:rFonts w:eastAsia="Calibri" w:cs="Times New Roman"/>
        </w:rPr>
        <w:t xml:space="preserve">wnership of the </w:t>
      </w:r>
      <w:r w:rsidRPr="006731B6" w:rsidR="00EE4535">
        <w:rPr>
          <w:rFonts w:cstheme="majorHAnsi"/>
          <w:szCs w:val="26"/>
        </w:rPr>
        <w:t xml:space="preserve">UI </w:t>
      </w:r>
      <w:r w:rsidRPr="006731B6" w:rsidR="0088779C">
        <w:rPr>
          <w:rFonts w:cstheme="majorHAnsi"/>
          <w:szCs w:val="26"/>
        </w:rPr>
        <w:t>P</w:t>
      </w:r>
      <w:r w:rsidRPr="006731B6" w:rsidR="00D67DB3">
        <w:t>ipeline</w:t>
      </w:r>
      <w:r w:rsidRPr="006731B6" w:rsidR="00D67DB3">
        <w:rPr>
          <w:rFonts w:eastAsia="Calibri" w:cs="Times New Roman"/>
        </w:rPr>
        <w:t xml:space="preserve"> segment within Antioch’s rights-of-way </w:t>
      </w:r>
      <w:r w:rsidR="002C5C6C">
        <w:rPr>
          <w:rFonts w:eastAsia="Calibri" w:cs="Times New Roman"/>
        </w:rPr>
        <w:t>is</w:t>
      </w:r>
      <w:r w:rsidRPr="006731B6" w:rsidR="00D67DB3">
        <w:rPr>
          <w:rFonts w:eastAsia="Calibri" w:cs="Times New Roman"/>
        </w:rPr>
        <w:t xml:space="preserve"> disputed</w:t>
      </w:r>
      <w:r w:rsidRPr="006731B6" w:rsidR="00377E89">
        <w:rPr>
          <w:rFonts w:eastAsia="Calibri" w:cs="Times New Roman"/>
        </w:rPr>
        <w:t xml:space="preserve">. </w:t>
      </w:r>
    </w:p>
    <w:p w:rsidR="00251FB0" w:rsidP="002C33D6" w:rsidRDefault="00CF4772" w14:paraId="0DFFBBE9" w14:textId="74F39286">
      <w:pPr>
        <w:rPr>
          <w:rFonts w:eastAsia="Calibri" w:cs="Times New Roman"/>
        </w:rPr>
      </w:pPr>
      <w:r w:rsidRPr="006731B6">
        <w:rPr>
          <w:rFonts w:eastAsia="Calibri" w:cs="Times New Roman"/>
        </w:rPr>
        <w:t xml:space="preserve">In addition, no party can accurately predict </w:t>
      </w:r>
      <w:r w:rsidRPr="006731B6" w:rsidR="00982394">
        <w:rPr>
          <w:rFonts w:eastAsia="Calibri" w:cs="Times New Roman"/>
        </w:rPr>
        <w:t>when the court</w:t>
      </w:r>
      <w:r w:rsidR="00F27DD4">
        <w:rPr>
          <w:rFonts w:eastAsia="Calibri" w:cs="Times New Roman"/>
        </w:rPr>
        <w:t>(</w:t>
      </w:r>
      <w:r w:rsidRPr="006731B6" w:rsidR="00982394">
        <w:rPr>
          <w:rFonts w:eastAsia="Calibri" w:cs="Times New Roman"/>
        </w:rPr>
        <w:t>s</w:t>
      </w:r>
      <w:r w:rsidR="006668FA">
        <w:rPr>
          <w:rFonts w:eastAsia="Calibri" w:cs="Times New Roman"/>
        </w:rPr>
        <w:t>)</w:t>
      </w:r>
      <w:r w:rsidRPr="006731B6" w:rsidR="00982394">
        <w:rPr>
          <w:rFonts w:eastAsia="Calibri" w:cs="Times New Roman"/>
        </w:rPr>
        <w:t xml:space="preserve"> will decide </w:t>
      </w:r>
      <w:r w:rsidRPr="006731B6" w:rsidR="00F626B2">
        <w:rPr>
          <w:rFonts w:eastAsia="Calibri" w:cs="Times New Roman"/>
        </w:rPr>
        <w:t xml:space="preserve">Antioch’s </w:t>
      </w:r>
      <w:r w:rsidRPr="006731B6" w:rsidR="00982394">
        <w:rPr>
          <w:rFonts w:eastAsia="Calibri" w:cs="Times New Roman"/>
        </w:rPr>
        <w:t xml:space="preserve">Phase II </w:t>
      </w:r>
      <w:r w:rsidRPr="006731B6" w:rsidR="00F626B2">
        <w:rPr>
          <w:rFonts w:eastAsia="Calibri" w:cs="Times New Roman"/>
        </w:rPr>
        <w:t>cross-</w:t>
      </w:r>
      <w:r w:rsidRPr="006731B6" w:rsidR="00982394">
        <w:rPr>
          <w:rFonts w:eastAsia="Calibri" w:cs="Times New Roman"/>
        </w:rPr>
        <w:t>claims with finality.</w:t>
      </w:r>
      <w:r w:rsidRPr="006731B6" w:rsidR="0016367C">
        <w:rPr>
          <w:rFonts w:eastAsia="Calibri" w:cs="Times New Roman"/>
        </w:rPr>
        <w:t xml:space="preserve"> </w:t>
      </w:r>
      <w:r w:rsidRPr="006731B6" w:rsidR="001E6EB9">
        <w:rPr>
          <w:rFonts w:eastAsia="Calibri" w:cs="Times New Roman"/>
        </w:rPr>
        <w:t>T</w:t>
      </w:r>
      <w:r w:rsidRPr="006731B6" w:rsidR="0016367C">
        <w:rPr>
          <w:rFonts w:eastAsia="Calibri" w:cs="Times New Roman"/>
        </w:rPr>
        <w:t xml:space="preserve">he </w:t>
      </w:r>
      <w:r w:rsidRPr="006731B6" w:rsidR="0007524C">
        <w:rPr>
          <w:rFonts w:eastAsia="Calibri" w:cs="Times New Roman"/>
        </w:rPr>
        <w:t xml:space="preserve">Pipeline Litigation </w:t>
      </w:r>
      <w:r w:rsidRPr="006731B6" w:rsidR="0016367C">
        <w:rPr>
          <w:rFonts w:eastAsia="Calibri" w:cs="Times New Roman"/>
        </w:rPr>
        <w:t xml:space="preserve">has been pending in </w:t>
      </w:r>
      <w:r w:rsidRPr="006731B6" w:rsidR="009632AA">
        <w:rPr>
          <w:rFonts w:eastAsia="Calibri" w:cs="Times New Roman"/>
        </w:rPr>
        <w:t>the courts</w:t>
      </w:r>
      <w:r w:rsidRPr="006731B6" w:rsidR="0016367C">
        <w:rPr>
          <w:rFonts w:eastAsia="Calibri" w:cs="Times New Roman"/>
        </w:rPr>
        <w:t xml:space="preserve"> since </w:t>
      </w:r>
      <w:r w:rsidRPr="006731B6" w:rsidR="002C33D6">
        <w:rPr>
          <w:rFonts w:eastAsia="Calibri" w:cs="Times New Roman"/>
        </w:rPr>
        <w:t xml:space="preserve">CRPC filed its original </w:t>
      </w:r>
      <w:r w:rsidRPr="006731B6" w:rsidR="002A4FB1">
        <w:rPr>
          <w:rFonts w:eastAsia="Calibri" w:cs="Times New Roman"/>
        </w:rPr>
        <w:t>December 27, 2021</w:t>
      </w:r>
      <w:r w:rsidR="002A4FB1">
        <w:rPr>
          <w:rFonts w:eastAsia="Calibri" w:cs="Times New Roman"/>
        </w:rPr>
        <w:t xml:space="preserve"> </w:t>
      </w:r>
      <w:r w:rsidRPr="006731B6" w:rsidR="002C33D6">
        <w:rPr>
          <w:rFonts w:eastAsia="Calibri" w:cs="Times New Roman"/>
        </w:rPr>
        <w:t xml:space="preserve">Petition for </w:t>
      </w:r>
      <w:r w:rsidRPr="006731B6" w:rsidR="002C33D6">
        <w:rPr>
          <w:rFonts w:eastAsia="Calibri" w:cs="Times New Roman"/>
        </w:rPr>
        <w:lastRenderedPageBreak/>
        <w:t>Writ of Mandamus and Complaint</w:t>
      </w:r>
      <w:r w:rsidR="00205E72">
        <w:rPr>
          <w:rFonts w:eastAsia="Calibri" w:cs="Times New Roman"/>
        </w:rPr>
        <w:t>. Phase I</w:t>
      </w:r>
      <w:r w:rsidRPr="006731B6" w:rsidR="00A60AE8">
        <w:rPr>
          <w:rFonts w:eastAsia="Calibri" w:cs="Times New Roman"/>
        </w:rPr>
        <w:t xml:space="preserve"> </w:t>
      </w:r>
      <w:r w:rsidRPr="006731B6" w:rsidR="0089363C">
        <w:rPr>
          <w:rFonts w:eastAsia="Calibri" w:cs="Times New Roman"/>
        </w:rPr>
        <w:t>made its way</w:t>
      </w:r>
      <w:r w:rsidRPr="006731B6" w:rsidR="001E6EB9">
        <w:rPr>
          <w:rFonts w:eastAsia="Calibri" w:cs="Times New Roman"/>
        </w:rPr>
        <w:t xml:space="preserve"> through </w:t>
      </w:r>
      <w:r w:rsidRPr="006731B6" w:rsidR="002D0DF0">
        <w:rPr>
          <w:rFonts w:eastAsia="Calibri" w:cs="Times New Roman"/>
        </w:rPr>
        <w:t xml:space="preserve">the California </w:t>
      </w:r>
      <w:r w:rsidRPr="006C10E5" w:rsidR="001F6350">
        <w:rPr>
          <w:rFonts w:eastAsia="Calibri" w:cs="Times New Roman"/>
        </w:rPr>
        <w:t>Court of Appeal</w:t>
      </w:r>
      <w:r w:rsidRPr="006C10E5" w:rsidR="00FD0554">
        <w:rPr>
          <w:rFonts w:eastAsia="Calibri" w:cs="Times New Roman"/>
        </w:rPr>
        <w:t>, the California</w:t>
      </w:r>
      <w:r w:rsidRPr="006C10E5" w:rsidR="001F6350">
        <w:rPr>
          <w:rFonts w:eastAsia="Calibri" w:cs="Times New Roman"/>
        </w:rPr>
        <w:t xml:space="preserve"> </w:t>
      </w:r>
      <w:r w:rsidRPr="006731B6" w:rsidR="002D0DF0">
        <w:rPr>
          <w:rFonts w:eastAsia="Calibri" w:cs="Times New Roman"/>
        </w:rPr>
        <w:t>Supreme Court</w:t>
      </w:r>
      <w:r w:rsidR="00E47F34">
        <w:rPr>
          <w:rFonts w:eastAsia="Calibri" w:cs="Times New Roman"/>
        </w:rPr>
        <w:t xml:space="preserve"> over a </w:t>
      </w:r>
      <w:r w:rsidR="002D47AD">
        <w:rPr>
          <w:rFonts w:eastAsia="Calibri" w:cs="Times New Roman"/>
        </w:rPr>
        <w:t>three</w:t>
      </w:r>
      <w:r w:rsidR="00E47F34">
        <w:rPr>
          <w:rFonts w:eastAsia="Calibri" w:cs="Times New Roman"/>
        </w:rPr>
        <w:t>-year period</w:t>
      </w:r>
      <w:r w:rsidRPr="006731B6" w:rsidR="0016367C">
        <w:rPr>
          <w:rFonts w:eastAsia="Calibri" w:cs="Times New Roman"/>
        </w:rPr>
        <w:t xml:space="preserve">, </w:t>
      </w:r>
      <w:r w:rsidRPr="006731B6" w:rsidR="0089363C">
        <w:rPr>
          <w:rFonts w:eastAsia="Calibri" w:cs="Times New Roman"/>
        </w:rPr>
        <w:t xml:space="preserve">and </w:t>
      </w:r>
      <w:r w:rsidR="00591195">
        <w:rPr>
          <w:rFonts w:eastAsia="Calibri" w:cs="Times New Roman"/>
        </w:rPr>
        <w:t xml:space="preserve">Phase II </w:t>
      </w:r>
      <w:r w:rsidR="006668FA">
        <w:rPr>
          <w:rFonts w:eastAsia="Calibri" w:cs="Times New Roman"/>
        </w:rPr>
        <w:t>has</w:t>
      </w:r>
      <w:r w:rsidRPr="006731B6" w:rsidR="006668FA">
        <w:rPr>
          <w:rFonts w:eastAsia="Calibri" w:cs="Times New Roman"/>
        </w:rPr>
        <w:t xml:space="preserve"> </w:t>
      </w:r>
      <w:r w:rsidRPr="006731B6" w:rsidR="00A60AE8">
        <w:rPr>
          <w:rFonts w:eastAsia="Calibri" w:cs="Times New Roman"/>
        </w:rPr>
        <w:t xml:space="preserve">now </w:t>
      </w:r>
      <w:r w:rsidR="008F18D6">
        <w:rPr>
          <w:rFonts w:eastAsia="Calibri" w:cs="Times New Roman"/>
        </w:rPr>
        <w:t>recommenc</w:t>
      </w:r>
      <w:r w:rsidR="003160EB">
        <w:rPr>
          <w:rFonts w:eastAsia="Calibri" w:cs="Times New Roman"/>
        </w:rPr>
        <w:t>ed</w:t>
      </w:r>
      <w:r w:rsidR="00880A23">
        <w:rPr>
          <w:rFonts w:eastAsia="Calibri" w:cs="Times New Roman"/>
        </w:rPr>
        <w:t xml:space="preserve"> </w:t>
      </w:r>
      <w:r w:rsidRPr="006731B6" w:rsidR="00A60AE8">
        <w:rPr>
          <w:rFonts w:eastAsia="Calibri" w:cs="Times New Roman"/>
        </w:rPr>
        <w:t>before the Superior Court</w:t>
      </w:r>
      <w:r w:rsidR="00122047">
        <w:rPr>
          <w:rFonts w:eastAsia="Calibri" w:cs="Times New Roman"/>
        </w:rPr>
        <w:t xml:space="preserve"> more than four years later</w:t>
      </w:r>
      <w:r w:rsidRPr="006731B6" w:rsidR="001F6350">
        <w:rPr>
          <w:rFonts w:eastAsia="Calibri" w:cs="Times New Roman"/>
        </w:rPr>
        <w:t xml:space="preserve">. </w:t>
      </w:r>
    </w:p>
    <w:p w:rsidR="00A11A2D" w:rsidP="001450EB" w:rsidRDefault="002444AD" w14:paraId="648FEC08" w14:textId="76E55C23">
      <w:pPr>
        <w:rPr>
          <w:szCs w:val="26"/>
        </w:rPr>
      </w:pPr>
      <w:r>
        <w:rPr>
          <w:rFonts w:eastAsia="Calibri" w:cs="Times New Roman"/>
        </w:rPr>
        <w:t>U</w:t>
      </w:r>
      <w:r w:rsidR="00C80A91">
        <w:rPr>
          <w:rFonts w:eastAsia="Calibri" w:cs="Times New Roman"/>
        </w:rPr>
        <w:t xml:space="preserve">ntil </w:t>
      </w:r>
      <w:r w:rsidR="001809D0">
        <w:rPr>
          <w:rFonts w:eastAsia="Calibri" w:cs="Times New Roman"/>
        </w:rPr>
        <w:t>the</w:t>
      </w:r>
      <w:r w:rsidR="00C80A91">
        <w:rPr>
          <w:rFonts w:eastAsia="Calibri" w:cs="Times New Roman"/>
        </w:rPr>
        <w:t xml:space="preserve"> </w:t>
      </w:r>
      <w:r w:rsidR="00F45CAB">
        <w:rPr>
          <w:rFonts w:eastAsia="Calibri" w:cs="Times New Roman"/>
        </w:rPr>
        <w:t>uncertain</w:t>
      </w:r>
      <w:r w:rsidR="00C80A91">
        <w:rPr>
          <w:rFonts w:eastAsia="Calibri" w:cs="Times New Roman"/>
        </w:rPr>
        <w:t xml:space="preserve"> ownership </w:t>
      </w:r>
      <w:r w:rsidR="00BC7A44">
        <w:rPr>
          <w:rFonts w:eastAsia="Calibri" w:cs="Times New Roman"/>
        </w:rPr>
        <w:t xml:space="preserve">of the Antioch pipeline segment </w:t>
      </w:r>
      <w:r w:rsidR="00C80A91">
        <w:rPr>
          <w:rFonts w:eastAsia="Calibri" w:cs="Times New Roman"/>
        </w:rPr>
        <w:t xml:space="preserve">is </w:t>
      </w:r>
      <w:r w:rsidR="00433969">
        <w:rPr>
          <w:rFonts w:eastAsia="Calibri" w:cs="Times New Roman"/>
        </w:rPr>
        <w:t>resolved</w:t>
      </w:r>
      <w:r w:rsidR="00C80A91">
        <w:rPr>
          <w:rFonts w:eastAsia="Calibri" w:cs="Times New Roman"/>
        </w:rPr>
        <w:t xml:space="preserve"> </w:t>
      </w:r>
      <w:r w:rsidR="00433969">
        <w:rPr>
          <w:rFonts w:eastAsia="Calibri" w:cs="Times New Roman"/>
        </w:rPr>
        <w:t>by the court</w:t>
      </w:r>
      <w:r w:rsidR="00284507">
        <w:rPr>
          <w:rFonts w:eastAsia="Calibri" w:cs="Times New Roman"/>
        </w:rPr>
        <w:t>s</w:t>
      </w:r>
      <w:r w:rsidR="00433969">
        <w:rPr>
          <w:rFonts w:eastAsia="Calibri" w:cs="Times New Roman"/>
        </w:rPr>
        <w:t xml:space="preserve">, </w:t>
      </w:r>
      <w:r w:rsidR="0034050E">
        <w:rPr>
          <w:rFonts w:eastAsia="Calibri" w:cs="Times New Roman"/>
        </w:rPr>
        <w:t xml:space="preserve">it </w:t>
      </w:r>
      <w:r w:rsidR="00E60D2C">
        <w:rPr>
          <w:rFonts w:eastAsia="Calibri" w:cs="Times New Roman"/>
        </w:rPr>
        <w:t>would be</w:t>
      </w:r>
      <w:r w:rsidR="0034050E">
        <w:rPr>
          <w:rFonts w:eastAsia="Calibri" w:cs="Times New Roman"/>
        </w:rPr>
        <w:t xml:space="preserve"> premature</w:t>
      </w:r>
      <w:r w:rsidRPr="00284507" w:rsidR="00284507">
        <w:rPr>
          <w:rFonts w:eastAsia="Calibri" w:cs="Times New Roman"/>
        </w:rPr>
        <w:t xml:space="preserve"> </w:t>
      </w:r>
      <w:r w:rsidR="00284507">
        <w:rPr>
          <w:rFonts w:eastAsia="Calibri" w:cs="Times New Roman"/>
        </w:rPr>
        <w:t xml:space="preserve">for the Commission to find at this time that CRPC (or its Successor Subsidiary) is the owner of the </w:t>
      </w:r>
      <w:r w:rsidR="005E77B5">
        <w:rPr>
          <w:rFonts w:eastAsia="Calibri" w:cs="Times New Roman"/>
        </w:rPr>
        <w:t>full</w:t>
      </w:r>
      <w:r w:rsidR="00036218">
        <w:rPr>
          <w:rFonts w:eastAsia="Calibri" w:cs="Times New Roman"/>
        </w:rPr>
        <w:t xml:space="preserve"> UI Pipeline </w:t>
      </w:r>
      <w:r w:rsidR="00284507">
        <w:rPr>
          <w:rFonts w:eastAsia="Calibri" w:cs="Times New Roman"/>
        </w:rPr>
        <w:t xml:space="preserve">for purposes of Section 222. We are </w:t>
      </w:r>
      <w:r w:rsidR="00D94615">
        <w:rPr>
          <w:rFonts w:eastAsia="Calibri" w:cs="Times New Roman"/>
        </w:rPr>
        <w:t>further</w:t>
      </w:r>
      <w:r w:rsidR="00284507">
        <w:rPr>
          <w:rFonts w:eastAsia="Calibri" w:cs="Times New Roman"/>
        </w:rPr>
        <w:t xml:space="preserve"> wary of </w:t>
      </w:r>
      <w:r w:rsidR="00407655">
        <w:rPr>
          <w:rFonts w:eastAsia="Calibri" w:cs="Times New Roman"/>
        </w:rPr>
        <w:t>issuing a decision that may</w:t>
      </w:r>
      <w:r w:rsidR="000F1F9E">
        <w:rPr>
          <w:rFonts w:eastAsia="Calibri" w:cs="Times New Roman"/>
        </w:rPr>
        <w:t xml:space="preserve"> delay,</w:t>
      </w:r>
      <w:r w:rsidR="00407655">
        <w:rPr>
          <w:rFonts w:eastAsia="Calibri" w:cs="Times New Roman"/>
        </w:rPr>
        <w:t xml:space="preserve"> conflict</w:t>
      </w:r>
      <w:r w:rsidR="000F1F9E">
        <w:rPr>
          <w:rFonts w:eastAsia="Calibri" w:cs="Times New Roman"/>
        </w:rPr>
        <w:t>,</w:t>
      </w:r>
      <w:r w:rsidR="00407655">
        <w:rPr>
          <w:rFonts w:eastAsia="Calibri" w:cs="Times New Roman"/>
        </w:rPr>
        <w:t xml:space="preserve"> </w:t>
      </w:r>
      <w:r w:rsidR="00E91DE2">
        <w:rPr>
          <w:rFonts w:eastAsia="Calibri" w:cs="Times New Roman"/>
        </w:rPr>
        <w:t xml:space="preserve">or be inconsistent </w:t>
      </w:r>
      <w:r w:rsidR="00407655">
        <w:rPr>
          <w:rFonts w:eastAsia="Calibri" w:cs="Times New Roman"/>
        </w:rPr>
        <w:t xml:space="preserve">with </w:t>
      </w:r>
      <w:r w:rsidR="00952DEA">
        <w:rPr>
          <w:rFonts w:eastAsia="Calibri" w:cs="Times New Roman"/>
        </w:rPr>
        <w:t>an eventual</w:t>
      </w:r>
      <w:r w:rsidR="00407655">
        <w:rPr>
          <w:rFonts w:eastAsia="Calibri" w:cs="Times New Roman"/>
        </w:rPr>
        <w:t xml:space="preserve"> </w:t>
      </w:r>
      <w:r w:rsidR="00D60B4F">
        <w:rPr>
          <w:rFonts w:eastAsia="Calibri" w:cs="Times New Roman"/>
        </w:rPr>
        <w:t xml:space="preserve">property </w:t>
      </w:r>
      <w:r w:rsidR="00E91DE2">
        <w:rPr>
          <w:rFonts w:eastAsia="Calibri" w:cs="Times New Roman"/>
        </w:rPr>
        <w:t xml:space="preserve">ownership </w:t>
      </w:r>
      <w:r w:rsidR="00407655">
        <w:rPr>
          <w:rFonts w:eastAsia="Calibri" w:cs="Times New Roman"/>
        </w:rPr>
        <w:t>d</w:t>
      </w:r>
      <w:r w:rsidR="00E91DE2">
        <w:rPr>
          <w:rFonts w:eastAsia="Calibri" w:cs="Times New Roman"/>
        </w:rPr>
        <w:t xml:space="preserve">etermination </w:t>
      </w:r>
      <w:r w:rsidR="00952DEA">
        <w:rPr>
          <w:rFonts w:eastAsia="Calibri" w:cs="Times New Roman"/>
        </w:rPr>
        <w:t xml:space="preserve">that is </w:t>
      </w:r>
      <w:r w:rsidR="00D4475C">
        <w:rPr>
          <w:rFonts w:eastAsia="Calibri" w:cs="Times New Roman"/>
        </w:rPr>
        <w:t xml:space="preserve">within the province of </w:t>
      </w:r>
      <w:r w:rsidR="00E91DE2">
        <w:rPr>
          <w:rFonts w:eastAsia="Calibri" w:cs="Times New Roman"/>
        </w:rPr>
        <w:t>the courts.</w:t>
      </w:r>
      <w:r w:rsidR="0034050E">
        <w:rPr>
          <w:rFonts w:eastAsia="Calibri" w:cs="Times New Roman"/>
        </w:rPr>
        <w:t xml:space="preserve"> </w:t>
      </w:r>
      <w:r w:rsidR="00433969">
        <w:rPr>
          <w:rFonts w:eastAsia="Calibri" w:cs="Times New Roman"/>
        </w:rPr>
        <w:t xml:space="preserve"> </w:t>
      </w:r>
    </w:p>
    <w:p w:rsidR="005000D8" w:rsidP="00E2657E" w:rsidRDefault="00E2657E" w14:paraId="425BE365" w14:textId="07EDCD4E">
      <w:pPr>
        <w:rPr>
          <w:szCs w:val="26"/>
        </w:rPr>
      </w:pPr>
      <w:r>
        <w:rPr>
          <w:szCs w:val="26"/>
        </w:rPr>
        <w:t xml:space="preserve">Here, </w:t>
      </w:r>
      <w:r w:rsidRPr="00616CA9">
        <w:rPr>
          <w:szCs w:val="26"/>
        </w:rPr>
        <w:t xml:space="preserve">CRPC </w:t>
      </w:r>
      <w:r>
        <w:rPr>
          <w:szCs w:val="26"/>
        </w:rPr>
        <w:t>established</w:t>
      </w:r>
      <w:r w:rsidRPr="00616CA9">
        <w:rPr>
          <w:szCs w:val="26"/>
        </w:rPr>
        <w:t xml:space="preserve"> </w:t>
      </w:r>
      <w:r>
        <w:rPr>
          <w:szCs w:val="26"/>
        </w:rPr>
        <w:t xml:space="preserve">that it holds </w:t>
      </w:r>
      <w:r w:rsidRPr="00616CA9">
        <w:rPr>
          <w:szCs w:val="26"/>
        </w:rPr>
        <w:t>franchise rights to segments of the UI Pipeline within San Joaquin and Contra Costa Counties</w:t>
      </w:r>
      <w:r w:rsidR="008942EC">
        <w:rPr>
          <w:szCs w:val="26"/>
        </w:rPr>
        <w:t xml:space="preserve"> that are not within the Cities</w:t>
      </w:r>
      <w:r>
        <w:rPr>
          <w:szCs w:val="26"/>
        </w:rPr>
        <w:t xml:space="preserve">. </w:t>
      </w:r>
      <w:r w:rsidR="000E5E68">
        <w:rPr>
          <w:szCs w:val="26"/>
        </w:rPr>
        <w:t>However</w:t>
      </w:r>
      <w:r>
        <w:rPr>
          <w:szCs w:val="26"/>
        </w:rPr>
        <w:t>, the record shows that CRPC</w:t>
      </w:r>
      <w:r w:rsidRPr="00616CA9">
        <w:rPr>
          <w:szCs w:val="26"/>
        </w:rPr>
        <w:t xml:space="preserve"> </w:t>
      </w:r>
      <w:r>
        <w:rPr>
          <w:szCs w:val="26"/>
        </w:rPr>
        <w:t xml:space="preserve">presently </w:t>
      </w:r>
      <w:r w:rsidRPr="00616CA9">
        <w:rPr>
          <w:szCs w:val="26"/>
        </w:rPr>
        <w:t>lack</w:t>
      </w:r>
      <w:r>
        <w:rPr>
          <w:szCs w:val="26"/>
        </w:rPr>
        <w:t>s</w:t>
      </w:r>
      <w:r w:rsidRPr="00616CA9">
        <w:rPr>
          <w:szCs w:val="26"/>
        </w:rPr>
        <w:t xml:space="preserve"> </w:t>
      </w:r>
      <w:r>
        <w:rPr>
          <w:szCs w:val="26"/>
        </w:rPr>
        <w:t>franchise</w:t>
      </w:r>
      <w:r w:rsidRPr="00616CA9">
        <w:rPr>
          <w:szCs w:val="26"/>
        </w:rPr>
        <w:t xml:space="preserve"> rights to </w:t>
      </w:r>
      <w:r w:rsidR="005F482C">
        <w:rPr>
          <w:szCs w:val="26"/>
        </w:rPr>
        <w:t>“</w:t>
      </w:r>
      <w:r w:rsidR="00630F03">
        <w:rPr>
          <w:szCs w:val="26"/>
        </w:rPr>
        <w:t xml:space="preserve">control, </w:t>
      </w:r>
      <w:r w:rsidRPr="00616CA9">
        <w:rPr>
          <w:szCs w:val="26"/>
        </w:rPr>
        <w:t>operate</w:t>
      </w:r>
      <w:r w:rsidR="008E4B41">
        <w:rPr>
          <w:szCs w:val="26"/>
        </w:rPr>
        <w:t xml:space="preserve">, </w:t>
      </w:r>
      <w:r w:rsidRPr="00616CA9">
        <w:rPr>
          <w:szCs w:val="26"/>
        </w:rPr>
        <w:t xml:space="preserve">or </w:t>
      </w:r>
      <w:r w:rsidR="00630F03">
        <w:rPr>
          <w:szCs w:val="26"/>
        </w:rPr>
        <w:t>manage</w:t>
      </w:r>
      <w:r w:rsidR="005F482C">
        <w:rPr>
          <w:szCs w:val="26"/>
        </w:rPr>
        <w:t>”</w:t>
      </w:r>
      <w:r w:rsidRPr="00616CA9" w:rsidR="00630F03">
        <w:rPr>
          <w:szCs w:val="26"/>
        </w:rPr>
        <w:t xml:space="preserve"> </w:t>
      </w:r>
      <w:r w:rsidRPr="00616CA9">
        <w:rPr>
          <w:szCs w:val="26"/>
        </w:rPr>
        <w:t xml:space="preserve">the </w:t>
      </w:r>
      <w:r w:rsidR="00045C59">
        <w:rPr>
          <w:szCs w:val="26"/>
        </w:rPr>
        <w:t xml:space="preserve">pipeline </w:t>
      </w:r>
      <w:r w:rsidRPr="00616CA9">
        <w:rPr>
          <w:szCs w:val="26"/>
        </w:rPr>
        <w:t xml:space="preserve">segments </w:t>
      </w:r>
      <w:r w:rsidR="0003727D">
        <w:rPr>
          <w:rFonts w:eastAsia="Calibri" w:cs="Times New Roman"/>
        </w:rPr>
        <w:t xml:space="preserve">for purposes of Section 222 </w:t>
      </w:r>
      <w:r w:rsidRPr="00616CA9">
        <w:rPr>
          <w:szCs w:val="26"/>
        </w:rPr>
        <w:t>within the public rights</w:t>
      </w:r>
      <w:r w:rsidR="00E45484">
        <w:rPr>
          <w:szCs w:val="26"/>
        </w:rPr>
        <w:t>-</w:t>
      </w:r>
      <w:r w:rsidRPr="00616CA9">
        <w:rPr>
          <w:szCs w:val="26"/>
        </w:rPr>
        <w:t>of</w:t>
      </w:r>
      <w:r w:rsidR="00E45484">
        <w:rPr>
          <w:szCs w:val="26"/>
        </w:rPr>
        <w:t>-</w:t>
      </w:r>
      <w:r w:rsidRPr="00616CA9">
        <w:rPr>
          <w:szCs w:val="26"/>
        </w:rPr>
        <w:t xml:space="preserve">way </w:t>
      </w:r>
      <w:r w:rsidR="00E45484">
        <w:rPr>
          <w:szCs w:val="26"/>
        </w:rPr>
        <w:t>within</w:t>
      </w:r>
      <w:r w:rsidRPr="00616CA9" w:rsidR="00E45484">
        <w:rPr>
          <w:szCs w:val="26"/>
        </w:rPr>
        <w:t xml:space="preserve"> </w:t>
      </w:r>
      <w:r w:rsidRPr="00616CA9">
        <w:rPr>
          <w:szCs w:val="26"/>
        </w:rPr>
        <w:t xml:space="preserve">both Antioch and Brentwood. </w:t>
      </w:r>
    </w:p>
    <w:p w:rsidR="000E5E68" w:rsidP="00E2657E" w:rsidRDefault="00E2657E" w14:paraId="2400F8E5" w14:textId="7CE65AB7">
      <w:pPr>
        <w:rPr>
          <w:szCs w:val="26"/>
        </w:rPr>
      </w:pPr>
      <w:r>
        <w:rPr>
          <w:szCs w:val="26"/>
        </w:rPr>
        <w:t xml:space="preserve">Despite once holding now-expired franchise rights, CRPC failed to persuade the courts that its Antioch franchise agreement should be reinstated </w:t>
      </w:r>
      <w:r w:rsidR="002F207E">
        <w:rPr>
          <w:szCs w:val="26"/>
        </w:rPr>
        <w:t xml:space="preserve">in Phase I of the Pipeline Litigation </w:t>
      </w:r>
      <w:r>
        <w:rPr>
          <w:szCs w:val="26"/>
        </w:rPr>
        <w:t xml:space="preserve">and is presently at risk of a judicial determination </w:t>
      </w:r>
      <w:r w:rsidR="002F207E">
        <w:rPr>
          <w:szCs w:val="26"/>
        </w:rPr>
        <w:t xml:space="preserve">in Phase II </w:t>
      </w:r>
      <w:r>
        <w:rPr>
          <w:szCs w:val="26"/>
        </w:rPr>
        <w:t xml:space="preserve">that </w:t>
      </w:r>
      <w:r w:rsidR="000049BE">
        <w:rPr>
          <w:szCs w:val="26"/>
        </w:rPr>
        <w:t xml:space="preserve">the company </w:t>
      </w:r>
      <w:r>
        <w:rPr>
          <w:szCs w:val="26"/>
        </w:rPr>
        <w:t xml:space="preserve">has abandoned (or must abandon) all rights to that </w:t>
      </w:r>
      <w:r w:rsidR="00D168BA">
        <w:rPr>
          <w:szCs w:val="26"/>
        </w:rPr>
        <w:t xml:space="preserve">Antioch </w:t>
      </w:r>
      <w:r>
        <w:rPr>
          <w:szCs w:val="26"/>
        </w:rPr>
        <w:t>segment of the pipeline. Moreover, the record also shows that CRPC’s franchise to operate and maintain the UI Pipeline segment within Brentwood is expired.</w:t>
      </w:r>
      <w:r w:rsidR="000E5E68">
        <w:rPr>
          <w:szCs w:val="26"/>
        </w:rPr>
        <w:t xml:space="preserve"> </w:t>
      </w:r>
      <w:r w:rsidR="006A7153">
        <w:rPr>
          <w:szCs w:val="26"/>
        </w:rPr>
        <w:t xml:space="preserve">CRPC also reported that </w:t>
      </w:r>
      <w:r w:rsidR="00257849">
        <w:rPr>
          <w:szCs w:val="26"/>
        </w:rPr>
        <w:t xml:space="preserve">it requested that its Successor Subsidiary’s franchise application with Antioch be held in abeyance by that city. </w:t>
      </w:r>
      <w:r>
        <w:rPr>
          <w:szCs w:val="26"/>
        </w:rPr>
        <w:t xml:space="preserve">In addition, CRPC </w:t>
      </w:r>
      <w:r w:rsidR="00B224A4">
        <w:rPr>
          <w:szCs w:val="26"/>
        </w:rPr>
        <w:t xml:space="preserve">established that it ceased </w:t>
      </w:r>
      <w:r w:rsidR="00E67EB6">
        <w:rPr>
          <w:szCs w:val="26"/>
        </w:rPr>
        <w:t>operation</w:t>
      </w:r>
      <w:r w:rsidR="007F11EB">
        <w:rPr>
          <w:szCs w:val="26"/>
        </w:rPr>
        <w:t xml:space="preserve"> of the UI Pipeline to transport gas in May 2023 and </w:t>
      </w:r>
      <w:r>
        <w:rPr>
          <w:szCs w:val="26"/>
        </w:rPr>
        <w:t xml:space="preserve">cannot identify a date certain by which it will secure such operating rights in either </w:t>
      </w:r>
      <w:r w:rsidR="009968E8">
        <w:rPr>
          <w:szCs w:val="26"/>
        </w:rPr>
        <w:t>C</w:t>
      </w:r>
      <w:r>
        <w:rPr>
          <w:szCs w:val="26"/>
        </w:rPr>
        <w:t xml:space="preserve">ity. </w:t>
      </w:r>
    </w:p>
    <w:p w:rsidR="00E31E35" w:rsidP="00E2657E" w:rsidRDefault="00E2657E" w14:paraId="5C56A40C" w14:textId="3D8886CE">
      <w:pPr>
        <w:rPr>
          <w:szCs w:val="26"/>
        </w:rPr>
      </w:pPr>
      <w:r>
        <w:rPr>
          <w:szCs w:val="26"/>
        </w:rPr>
        <w:lastRenderedPageBreak/>
        <w:t xml:space="preserve">As a result, CRPC </w:t>
      </w:r>
      <w:r w:rsidR="009D0FE3">
        <w:rPr>
          <w:szCs w:val="26"/>
        </w:rPr>
        <w:t xml:space="preserve">has not </w:t>
      </w:r>
      <w:r>
        <w:rPr>
          <w:szCs w:val="26"/>
        </w:rPr>
        <w:t>establish</w:t>
      </w:r>
      <w:r w:rsidR="009D0FE3">
        <w:rPr>
          <w:szCs w:val="26"/>
        </w:rPr>
        <w:t>ed</w:t>
      </w:r>
      <w:r>
        <w:rPr>
          <w:szCs w:val="26"/>
        </w:rPr>
        <w:t xml:space="preserve"> itself as </w:t>
      </w:r>
      <w:r w:rsidRPr="00981085">
        <w:rPr>
          <w:szCs w:val="26"/>
        </w:rPr>
        <w:t>“</w:t>
      </w:r>
      <w:r w:rsidRPr="00616CA9">
        <w:rPr>
          <w:szCs w:val="26"/>
        </w:rPr>
        <w:t>owning, controlling, operating, or managing</w:t>
      </w:r>
      <w:r w:rsidRPr="00981085">
        <w:rPr>
          <w:szCs w:val="26"/>
        </w:rPr>
        <w:t>”</w:t>
      </w:r>
      <w:r w:rsidRPr="00616CA9">
        <w:rPr>
          <w:szCs w:val="26"/>
        </w:rPr>
        <w:t xml:space="preserve"> </w:t>
      </w:r>
      <w:r>
        <w:rPr>
          <w:szCs w:val="26"/>
        </w:rPr>
        <w:t xml:space="preserve">the full UI Pipeline </w:t>
      </w:r>
      <w:r w:rsidRPr="00616CA9" w:rsidR="00A72EA5">
        <w:rPr>
          <w:szCs w:val="26"/>
        </w:rPr>
        <w:t xml:space="preserve">under </w:t>
      </w:r>
      <w:r w:rsidR="00A72EA5">
        <w:rPr>
          <w:szCs w:val="26"/>
        </w:rPr>
        <w:t>Section</w:t>
      </w:r>
      <w:r w:rsidRPr="00616CA9" w:rsidR="00A72EA5">
        <w:rPr>
          <w:szCs w:val="26"/>
        </w:rPr>
        <w:t xml:space="preserve"> 222</w:t>
      </w:r>
      <w:r w:rsidR="00A72EA5">
        <w:rPr>
          <w:szCs w:val="26"/>
        </w:rPr>
        <w:t xml:space="preserve"> </w:t>
      </w:r>
      <w:r w:rsidR="006B2246">
        <w:rPr>
          <w:szCs w:val="26"/>
        </w:rPr>
        <w:t>(</w:t>
      </w:r>
      <w:r w:rsidR="0081491E">
        <w:rPr>
          <w:szCs w:val="26"/>
        </w:rPr>
        <w:t>as a gas plant</w:t>
      </w:r>
      <w:r w:rsidR="006B2246">
        <w:rPr>
          <w:szCs w:val="26"/>
        </w:rPr>
        <w:t>)</w:t>
      </w:r>
      <w:r w:rsidR="0081491E">
        <w:rPr>
          <w:szCs w:val="26"/>
        </w:rPr>
        <w:t xml:space="preserve"> </w:t>
      </w:r>
      <w:r>
        <w:rPr>
          <w:szCs w:val="26"/>
        </w:rPr>
        <w:t xml:space="preserve">at </w:t>
      </w:r>
      <w:r w:rsidR="00D42649">
        <w:rPr>
          <w:szCs w:val="26"/>
        </w:rPr>
        <w:t>present</w:t>
      </w:r>
      <w:r w:rsidR="00AE68AF">
        <w:rPr>
          <w:szCs w:val="26"/>
        </w:rPr>
        <w:t>. It</w:t>
      </w:r>
      <w:r w:rsidR="00564E25">
        <w:rPr>
          <w:szCs w:val="26"/>
        </w:rPr>
        <w:t xml:space="preserve"> may do so </w:t>
      </w:r>
      <w:r>
        <w:rPr>
          <w:szCs w:val="26"/>
        </w:rPr>
        <w:t>in the future</w:t>
      </w:r>
      <w:r w:rsidR="00BB6E67">
        <w:rPr>
          <w:szCs w:val="26"/>
        </w:rPr>
        <w:t>, depending on the outcome o</w:t>
      </w:r>
      <w:r w:rsidR="004F63B7">
        <w:rPr>
          <w:szCs w:val="26"/>
        </w:rPr>
        <w:t>f the</w:t>
      </w:r>
      <w:r w:rsidR="00BB6E67">
        <w:rPr>
          <w:szCs w:val="26"/>
        </w:rPr>
        <w:t xml:space="preserve"> pending parallel proceedings in </w:t>
      </w:r>
      <w:r w:rsidR="00C0364A">
        <w:rPr>
          <w:szCs w:val="26"/>
        </w:rPr>
        <w:t>Superior Court and the Cities</w:t>
      </w:r>
      <w:r>
        <w:rPr>
          <w:szCs w:val="26"/>
        </w:rPr>
        <w:t xml:space="preserve">. </w:t>
      </w:r>
    </w:p>
    <w:p w:rsidR="00E2657E" w:rsidP="00E2657E" w:rsidRDefault="00D81B13" w14:paraId="0CA5A97B" w14:textId="4487409B">
      <w:pPr>
        <w:rPr>
          <w:szCs w:val="26"/>
        </w:rPr>
      </w:pPr>
      <w:r>
        <w:rPr>
          <w:szCs w:val="26"/>
        </w:rPr>
        <w:t>Therefore, u</w:t>
      </w:r>
      <w:r w:rsidR="0054656A">
        <w:rPr>
          <w:szCs w:val="26"/>
        </w:rPr>
        <w:t xml:space="preserve">ntil </w:t>
      </w:r>
      <w:r w:rsidR="00786179">
        <w:rPr>
          <w:szCs w:val="26"/>
        </w:rPr>
        <w:t xml:space="preserve">undisputed rights of </w:t>
      </w:r>
      <w:r w:rsidR="00D31614">
        <w:rPr>
          <w:szCs w:val="26"/>
        </w:rPr>
        <w:t>ownership, control, operation</w:t>
      </w:r>
      <w:r w:rsidR="00786179">
        <w:rPr>
          <w:szCs w:val="26"/>
        </w:rPr>
        <w:t>, or management</w:t>
      </w:r>
      <w:r w:rsidR="00240C1F">
        <w:rPr>
          <w:szCs w:val="26"/>
        </w:rPr>
        <w:t xml:space="preserve"> of the full UI Pipeline are </w:t>
      </w:r>
      <w:r w:rsidR="004A35D3">
        <w:rPr>
          <w:szCs w:val="26"/>
        </w:rPr>
        <w:t xml:space="preserve">determined, the Application presents a hypothetical </w:t>
      </w:r>
      <w:r w:rsidR="00E31E35">
        <w:rPr>
          <w:szCs w:val="26"/>
        </w:rPr>
        <w:t xml:space="preserve">pipeline operation. As such, the Application is </w:t>
      </w:r>
      <w:r w:rsidR="00165143">
        <w:rPr>
          <w:szCs w:val="26"/>
        </w:rPr>
        <w:t xml:space="preserve">premature and </w:t>
      </w:r>
      <w:r w:rsidR="00E31E35">
        <w:rPr>
          <w:szCs w:val="26"/>
        </w:rPr>
        <w:t>unripe.</w:t>
      </w:r>
    </w:p>
    <w:p w:rsidR="00A5631F" w:rsidP="00E2657E" w:rsidRDefault="0016367C" w14:paraId="4D20EDBB" w14:textId="2046926B">
      <w:pPr>
        <w:rPr>
          <w:rFonts w:eastAsia="Calibri" w:cs="Times New Roman"/>
        </w:rPr>
      </w:pPr>
      <w:r>
        <w:rPr>
          <w:rFonts w:eastAsia="Calibri" w:cs="Times New Roman"/>
        </w:rPr>
        <w:t>By find</w:t>
      </w:r>
      <w:r w:rsidR="00653903">
        <w:rPr>
          <w:rFonts w:eastAsia="Calibri" w:cs="Times New Roman"/>
        </w:rPr>
        <w:t>ing</w:t>
      </w:r>
      <w:r>
        <w:rPr>
          <w:rFonts w:eastAsia="Calibri" w:cs="Times New Roman"/>
        </w:rPr>
        <w:t xml:space="preserve"> this application is not ripe, t</w:t>
      </w:r>
      <w:r w:rsidR="00B84A33">
        <w:rPr>
          <w:rFonts w:eastAsia="Calibri" w:cs="Times New Roman"/>
        </w:rPr>
        <w:t xml:space="preserve">his decision addresses the timing of Commission review. </w:t>
      </w:r>
      <w:r w:rsidR="001F7E6A">
        <w:rPr>
          <w:rFonts w:eastAsia="Calibri" w:cs="Times New Roman"/>
        </w:rPr>
        <w:t>Nevertheless</w:t>
      </w:r>
      <w:r w:rsidR="00653903">
        <w:rPr>
          <w:rFonts w:eastAsia="Calibri" w:cs="Times New Roman"/>
        </w:rPr>
        <w:t>, i</w:t>
      </w:r>
      <w:r w:rsidRPr="006731B6" w:rsidR="00653903">
        <w:rPr>
          <w:rFonts w:eastAsia="Calibri" w:cs="Times New Roman"/>
        </w:rPr>
        <w:t xml:space="preserve">t would be imprudent to continue to keep </w:t>
      </w:r>
      <w:r w:rsidR="00653903">
        <w:rPr>
          <w:rFonts w:eastAsia="Calibri" w:cs="Times New Roman"/>
        </w:rPr>
        <w:t xml:space="preserve">open </w:t>
      </w:r>
      <w:r w:rsidRPr="006731B6" w:rsidR="00653903">
        <w:rPr>
          <w:rFonts w:eastAsia="Calibri" w:cs="Times New Roman"/>
        </w:rPr>
        <w:t>this Commission proceeding</w:t>
      </w:r>
      <w:r w:rsidR="002F557F">
        <w:rPr>
          <w:rFonts w:eastAsia="Calibri" w:cs="Times New Roman"/>
        </w:rPr>
        <w:t xml:space="preserve"> indefin</w:t>
      </w:r>
      <w:r w:rsidR="007544C5">
        <w:rPr>
          <w:rFonts w:eastAsia="Calibri" w:cs="Times New Roman"/>
        </w:rPr>
        <w:t>i</w:t>
      </w:r>
      <w:r w:rsidR="002F557F">
        <w:rPr>
          <w:rFonts w:eastAsia="Calibri" w:cs="Times New Roman"/>
        </w:rPr>
        <w:t>tely</w:t>
      </w:r>
      <w:r w:rsidR="007544C5">
        <w:rPr>
          <w:rFonts w:eastAsia="Calibri" w:cs="Times New Roman"/>
        </w:rPr>
        <w:t xml:space="preserve"> beyond the current April 3, 2026 statutory deadline</w:t>
      </w:r>
      <w:r w:rsidRPr="006731B6" w:rsidR="00653903">
        <w:rPr>
          <w:rFonts w:eastAsia="Calibri" w:cs="Times New Roman"/>
        </w:rPr>
        <w:t xml:space="preserve">, </w:t>
      </w:r>
      <w:r w:rsidR="002F557F">
        <w:rPr>
          <w:rFonts w:eastAsia="Calibri" w:cs="Times New Roman"/>
        </w:rPr>
        <w:t>when it</w:t>
      </w:r>
      <w:r w:rsidRPr="006731B6" w:rsidR="00AE5FE9">
        <w:rPr>
          <w:rFonts w:eastAsia="Calibri" w:cs="Times New Roman"/>
        </w:rPr>
        <w:t xml:space="preserve"> </w:t>
      </w:r>
      <w:r w:rsidRPr="006731B6" w:rsidR="00653903">
        <w:rPr>
          <w:rFonts w:eastAsia="Calibri" w:cs="Times New Roman"/>
        </w:rPr>
        <w:t xml:space="preserve">has already been pending for over </w:t>
      </w:r>
      <w:r w:rsidR="00A916C6">
        <w:rPr>
          <w:rFonts w:eastAsia="Calibri" w:cs="Times New Roman"/>
        </w:rPr>
        <w:t>30</w:t>
      </w:r>
      <w:r w:rsidRPr="006731B6" w:rsidR="00A916C6">
        <w:rPr>
          <w:rFonts w:eastAsia="Calibri" w:cs="Times New Roman"/>
        </w:rPr>
        <w:t xml:space="preserve"> </w:t>
      </w:r>
      <w:r w:rsidRPr="006731B6" w:rsidR="00653903">
        <w:rPr>
          <w:rFonts w:eastAsia="Calibri" w:cs="Times New Roman"/>
        </w:rPr>
        <w:t>months.</w:t>
      </w:r>
      <w:r w:rsidR="001F7E6A">
        <w:rPr>
          <w:rFonts w:eastAsia="Calibri" w:cs="Times New Roman"/>
        </w:rPr>
        <w:t xml:space="preserve"> </w:t>
      </w:r>
    </w:p>
    <w:p w:rsidR="00B84A33" w:rsidP="00E2657E" w:rsidRDefault="00B84A33" w14:paraId="693BD4E0" w14:textId="56C6F342">
      <w:pPr>
        <w:rPr>
          <w:szCs w:val="26"/>
        </w:rPr>
      </w:pPr>
      <w:r>
        <w:rPr>
          <w:rFonts w:eastAsia="Calibri" w:cs="Times New Roman"/>
        </w:rPr>
        <w:t>A</w:t>
      </w:r>
      <w:r w:rsidRPr="00D64B24">
        <w:rPr>
          <w:rFonts w:eastAsia="Calibri" w:cs="Times New Roman"/>
        </w:rPr>
        <w:t xml:space="preserve"> new application </w:t>
      </w:r>
      <w:r>
        <w:t xml:space="preserve">requesting designation as a gas corporation </w:t>
      </w:r>
      <w:r w:rsidR="001140D6">
        <w:t xml:space="preserve">under </w:t>
      </w:r>
      <w:r w:rsidR="00A61F71">
        <w:t>Section 222</w:t>
      </w:r>
      <w:r w:rsidRPr="00D64B24" w:rsidR="00FA3494">
        <w:rPr>
          <w:rFonts w:eastAsia="Calibri" w:cs="Times New Roman"/>
        </w:rPr>
        <w:t xml:space="preserve"> </w:t>
      </w:r>
      <w:r>
        <w:rPr>
          <w:rFonts w:eastAsia="Calibri" w:cs="Times New Roman"/>
        </w:rPr>
        <w:t xml:space="preserve">may be filed </w:t>
      </w:r>
      <w:r w:rsidRPr="00D64B24">
        <w:rPr>
          <w:rFonts w:eastAsia="Calibri" w:cs="Times New Roman"/>
        </w:rPr>
        <w:t>with the Commission</w:t>
      </w:r>
      <w:r>
        <w:rPr>
          <w:rFonts w:eastAsia="Calibri" w:cs="Times New Roman"/>
        </w:rPr>
        <w:t xml:space="preserve"> by a proper party u</w:t>
      </w:r>
      <w:r w:rsidRPr="00D64B24">
        <w:rPr>
          <w:rFonts w:eastAsia="Calibri" w:cs="Times New Roman"/>
        </w:rPr>
        <w:t xml:space="preserve">pon </w:t>
      </w:r>
      <w:r>
        <w:rPr>
          <w:rFonts w:eastAsia="Calibri" w:cs="Times New Roman"/>
        </w:rPr>
        <w:t>(1) confirmation</w:t>
      </w:r>
      <w:r w:rsidRPr="00D64B24">
        <w:rPr>
          <w:rFonts w:eastAsia="Calibri" w:cs="Times New Roman"/>
        </w:rPr>
        <w:t xml:space="preserve"> of </w:t>
      </w:r>
      <w:r w:rsidRPr="000423F3">
        <w:rPr>
          <w:rFonts w:eastAsia="Calibri" w:cs="Times New Roman"/>
        </w:rPr>
        <w:t xml:space="preserve">ownership </w:t>
      </w:r>
      <w:r w:rsidRPr="00D64B24">
        <w:rPr>
          <w:rFonts w:eastAsia="Calibri" w:cs="Times New Roman"/>
        </w:rPr>
        <w:t xml:space="preserve">rights to </w:t>
      </w:r>
      <w:r>
        <w:rPr>
          <w:rFonts w:eastAsia="Calibri" w:cs="Times New Roman"/>
        </w:rPr>
        <w:t xml:space="preserve">all segments of </w:t>
      </w:r>
      <w:r w:rsidRPr="00D64B24">
        <w:rPr>
          <w:rFonts w:eastAsia="Calibri" w:cs="Times New Roman"/>
        </w:rPr>
        <w:t>the full UI Pipeline</w:t>
      </w:r>
      <w:r w:rsidR="00C35D57">
        <w:rPr>
          <w:rFonts w:eastAsia="Calibri" w:cs="Times New Roman"/>
        </w:rPr>
        <w:t xml:space="preserve"> with certainty</w:t>
      </w:r>
      <w:r>
        <w:rPr>
          <w:rFonts w:eastAsia="Calibri" w:cs="Times New Roman"/>
        </w:rPr>
        <w:t xml:space="preserve">; or (2) </w:t>
      </w:r>
      <w:r>
        <w:t>an applicant acquiring present rights to “</w:t>
      </w:r>
      <w:r w:rsidRPr="006D4DE2">
        <w:rPr>
          <w:szCs w:val="26"/>
        </w:rPr>
        <w:t xml:space="preserve">control, operate, </w:t>
      </w:r>
      <w:r w:rsidRPr="00B85D36">
        <w:rPr>
          <w:szCs w:val="26"/>
        </w:rPr>
        <w:t>or</w:t>
      </w:r>
      <w:r w:rsidRPr="006D4DE2">
        <w:rPr>
          <w:szCs w:val="26"/>
        </w:rPr>
        <w:t xml:space="preserve"> manage”</w:t>
      </w:r>
      <w:r w:rsidRPr="000E5E68">
        <w:rPr>
          <w:szCs w:val="26"/>
        </w:rPr>
        <w:t xml:space="preserve"> </w:t>
      </w:r>
      <w:r>
        <w:rPr>
          <w:rFonts w:eastAsia="Calibri" w:cs="Times New Roman"/>
        </w:rPr>
        <w:t xml:space="preserve">all segments of </w:t>
      </w:r>
      <w:r w:rsidRPr="00D64B24">
        <w:rPr>
          <w:rFonts w:eastAsia="Calibri" w:cs="Times New Roman"/>
        </w:rPr>
        <w:t xml:space="preserve">the </w:t>
      </w:r>
      <w:r w:rsidR="00245CD3">
        <w:rPr>
          <w:rFonts w:cstheme="majorHAnsi"/>
          <w:szCs w:val="26"/>
        </w:rPr>
        <w:t>full</w:t>
      </w:r>
      <w:r w:rsidRPr="001E7433">
        <w:rPr>
          <w:rFonts w:cstheme="majorHAnsi"/>
          <w:szCs w:val="26"/>
        </w:rPr>
        <w:t xml:space="preserve"> </w:t>
      </w:r>
      <w:r w:rsidRPr="00D018F7">
        <w:t>pipeline</w:t>
      </w:r>
      <w:r>
        <w:t>.</w:t>
      </w:r>
    </w:p>
    <w:p w:rsidRPr="00616CA9" w:rsidR="00E2657E" w:rsidP="00A127CD" w:rsidRDefault="003267A7" w14:paraId="4A637A45" w14:textId="6D15E889">
      <w:pPr>
        <w:pStyle w:val="Heading3"/>
      </w:pPr>
      <w:bookmarkStart w:name="_Toc211606200" w:id="115"/>
      <w:bookmarkStart w:name="_Toc220596329" w:id="116"/>
      <w:bookmarkStart w:name="_Toc220972212" w:id="117"/>
      <w:r>
        <w:rPr>
          <w:lang w:val="en-ZW"/>
        </w:rPr>
        <w:t>“</w:t>
      </w:r>
      <w:r w:rsidRPr="00616CA9" w:rsidR="00E2657E">
        <w:t>Public Utility</w:t>
      </w:r>
      <w:r>
        <w:t>”</w:t>
      </w:r>
      <w:bookmarkEnd w:id="115"/>
      <w:bookmarkEnd w:id="116"/>
      <w:bookmarkEnd w:id="117"/>
    </w:p>
    <w:p w:rsidR="006410C2" w:rsidP="00B569C2" w:rsidRDefault="00F65E5A" w14:paraId="6BE2E737" w14:textId="676BA3A1">
      <w:pPr>
        <w:rPr>
          <w:szCs w:val="26"/>
        </w:rPr>
      </w:pPr>
      <w:r w:rsidRPr="00616CA9">
        <w:rPr>
          <w:szCs w:val="26"/>
        </w:rPr>
        <w:t xml:space="preserve">CRPC </w:t>
      </w:r>
      <w:r w:rsidR="005D209F">
        <w:rPr>
          <w:szCs w:val="26"/>
        </w:rPr>
        <w:t>seeks</w:t>
      </w:r>
      <w:r w:rsidRPr="00616CA9">
        <w:rPr>
          <w:szCs w:val="26"/>
        </w:rPr>
        <w:t xml:space="preserve"> “</w:t>
      </w:r>
      <w:r>
        <w:rPr>
          <w:szCs w:val="26"/>
        </w:rPr>
        <w:t>public utility</w:t>
      </w:r>
      <w:r w:rsidRPr="00616CA9">
        <w:rPr>
          <w:szCs w:val="26"/>
        </w:rPr>
        <w:t xml:space="preserve">” </w:t>
      </w:r>
      <w:r w:rsidR="005D209F">
        <w:rPr>
          <w:szCs w:val="26"/>
        </w:rPr>
        <w:t xml:space="preserve">status </w:t>
      </w:r>
      <w:r w:rsidRPr="00616CA9">
        <w:rPr>
          <w:szCs w:val="26"/>
        </w:rPr>
        <w:t xml:space="preserve">under </w:t>
      </w:r>
      <w:r w:rsidR="00A225E1">
        <w:rPr>
          <w:szCs w:val="26"/>
        </w:rPr>
        <w:t>Section</w:t>
      </w:r>
      <w:r w:rsidRPr="00616CA9">
        <w:rPr>
          <w:szCs w:val="26"/>
        </w:rPr>
        <w:t xml:space="preserve"> 216(a)(1)</w:t>
      </w:r>
      <w:r>
        <w:rPr>
          <w:szCs w:val="26"/>
        </w:rPr>
        <w:t xml:space="preserve">. Section 216(a) expressly requires CRPC to satisfy the Section 222 criteria for designation as a gas corporation. </w:t>
      </w:r>
      <w:r w:rsidR="007567C5">
        <w:rPr>
          <w:szCs w:val="26"/>
        </w:rPr>
        <w:t xml:space="preserve">As discussed above, </w:t>
      </w:r>
      <w:r w:rsidR="00DE3150">
        <w:rPr>
          <w:szCs w:val="26"/>
        </w:rPr>
        <w:t xml:space="preserve">it is premature for us to determine </w:t>
      </w:r>
      <w:r w:rsidR="000A7834">
        <w:rPr>
          <w:szCs w:val="26"/>
        </w:rPr>
        <w:t>CRPC</w:t>
      </w:r>
      <w:r w:rsidR="000D0B0E">
        <w:rPr>
          <w:szCs w:val="26"/>
        </w:rPr>
        <w:t>’s</w:t>
      </w:r>
      <w:r w:rsidR="00692E21">
        <w:rPr>
          <w:szCs w:val="26"/>
        </w:rPr>
        <w:t xml:space="preserve"> </w:t>
      </w:r>
      <w:r w:rsidRPr="00616CA9" w:rsidR="004D6DE8">
        <w:rPr>
          <w:szCs w:val="26"/>
        </w:rPr>
        <w:t>own</w:t>
      </w:r>
      <w:r w:rsidR="00855CF1">
        <w:rPr>
          <w:szCs w:val="26"/>
        </w:rPr>
        <w:t>ership</w:t>
      </w:r>
      <w:r w:rsidRPr="00616CA9" w:rsidR="004D6DE8">
        <w:rPr>
          <w:szCs w:val="26"/>
        </w:rPr>
        <w:t>, control, operat</w:t>
      </w:r>
      <w:r w:rsidR="00855CF1">
        <w:rPr>
          <w:szCs w:val="26"/>
        </w:rPr>
        <w:t>ion</w:t>
      </w:r>
      <w:r w:rsidRPr="00616CA9" w:rsidR="004D6DE8">
        <w:rPr>
          <w:szCs w:val="26"/>
        </w:rPr>
        <w:t>, or manag</w:t>
      </w:r>
      <w:r w:rsidR="00855CF1">
        <w:rPr>
          <w:szCs w:val="26"/>
        </w:rPr>
        <w:t>ements</w:t>
      </w:r>
      <w:r w:rsidRPr="00616CA9" w:rsidR="004D6DE8">
        <w:rPr>
          <w:szCs w:val="26"/>
        </w:rPr>
        <w:t xml:space="preserve"> </w:t>
      </w:r>
      <w:r w:rsidR="00855CF1">
        <w:rPr>
          <w:szCs w:val="26"/>
        </w:rPr>
        <w:t xml:space="preserve">of </w:t>
      </w:r>
      <w:r w:rsidR="004D6DE8">
        <w:rPr>
          <w:szCs w:val="26"/>
        </w:rPr>
        <w:t xml:space="preserve">the full </w:t>
      </w:r>
      <w:r w:rsidR="000A7834">
        <w:rPr>
          <w:szCs w:val="26"/>
        </w:rPr>
        <w:t>UI Pipeline (</w:t>
      </w:r>
      <w:r w:rsidRPr="00A127CD" w:rsidR="00D52556">
        <w:rPr>
          <w:i/>
          <w:iCs/>
          <w:szCs w:val="26"/>
        </w:rPr>
        <w:t>i.e.</w:t>
      </w:r>
      <w:r w:rsidR="00D52556">
        <w:rPr>
          <w:szCs w:val="26"/>
        </w:rPr>
        <w:t xml:space="preserve">, </w:t>
      </w:r>
      <w:r w:rsidR="000A7834">
        <w:rPr>
          <w:szCs w:val="26"/>
        </w:rPr>
        <w:t>gas plant)</w:t>
      </w:r>
      <w:r w:rsidR="00855CF1">
        <w:rPr>
          <w:szCs w:val="26"/>
        </w:rPr>
        <w:t>,</w:t>
      </w:r>
      <w:r w:rsidR="000A7834">
        <w:rPr>
          <w:szCs w:val="26"/>
        </w:rPr>
        <w:t xml:space="preserve"> </w:t>
      </w:r>
      <w:r w:rsidR="00965BC1">
        <w:rPr>
          <w:szCs w:val="26"/>
        </w:rPr>
        <w:t>preclud</w:t>
      </w:r>
      <w:r w:rsidR="00855CF1">
        <w:rPr>
          <w:szCs w:val="26"/>
        </w:rPr>
        <w:t>ing</w:t>
      </w:r>
      <w:r w:rsidR="000A7834">
        <w:rPr>
          <w:szCs w:val="26"/>
        </w:rPr>
        <w:t xml:space="preserve"> its classification as </w:t>
      </w:r>
      <w:r w:rsidR="009835F1">
        <w:rPr>
          <w:szCs w:val="26"/>
        </w:rPr>
        <w:t xml:space="preserve">a </w:t>
      </w:r>
      <w:r w:rsidR="00CA32E4">
        <w:rPr>
          <w:szCs w:val="26"/>
        </w:rPr>
        <w:t>gas corporation</w:t>
      </w:r>
      <w:r w:rsidR="009835F1">
        <w:rPr>
          <w:szCs w:val="26"/>
        </w:rPr>
        <w:t xml:space="preserve"> under Section 222</w:t>
      </w:r>
      <w:r w:rsidR="000A7834">
        <w:rPr>
          <w:szCs w:val="26"/>
        </w:rPr>
        <w:t xml:space="preserve">. </w:t>
      </w:r>
      <w:r w:rsidR="00917B99">
        <w:rPr>
          <w:szCs w:val="26"/>
        </w:rPr>
        <w:t>Therefore</w:t>
      </w:r>
      <w:r w:rsidR="0060543E">
        <w:rPr>
          <w:szCs w:val="26"/>
        </w:rPr>
        <w:t xml:space="preserve">, </w:t>
      </w:r>
      <w:r w:rsidR="00BB3C0E">
        <w:rPr>
          <w:szCs w:val="26"/>
        </w:rPr>
        <w:t xml:space="preserve">until </w:t>
      </w:r>
      <w:r w:rsidR="000C2BEA">
        <w:rPr>
          <w:szCs w:val="26"/>
        </w:rPr>
        <w:t xml:space="preserve">showing it can satisfy Section 222, </w:t>
      </w:r>
      <w:r w:rsidR="00917B99">
        <w:rPr>
          <w:szCs w:val="26"/>
        </w:rPr>
        <w:t xml:space="preserve">CRPC </w:t>
      </w:r>
      <w:r w:rsidR="0060543E">
        <w:rPr>
          <w:szCs w:val="26"/>
        </w:rPr>
        <w:t xml:space="preserve">cannot </w:t>
      </w:r>
      <w:r w:rsidR="000A7834">
        <w:rPr>
          <w:szCs w:val="26"/>
        </w:rPr>
        <w:t>establish</w:t>
      </w:r>
      <w:r w:rsidR="0060543E">
        <w:rPr>
          <w:szCs w:val="26"/>
        </w:rPr>
        <w:t xml:space="preserve"> itself as </w:t>
      </w:r>
      <w:r w:rsidR="000A7834">
        <w:rPr>
          <w:szCs w:val="26"/>
        </w:rPr>
        <w:t xml:space="preserve">a public utility </w:t>
      </w:r>
      <w:r w:rsidR="000C2BEA">
        <w:rPr>
          <w:szCs w:val="26"/>
        </w:rPr>
        <w:t xml:space="preserve">gas corporation </w:t>
      </w:r>
      <w:r w:rsidR="0060543E">
        <w:rPr>
          <w:szCs w:val="26"/>
        </w:rPr>
        <w:t xml:space="preserve">that is capable of performing </w:t>
      </w:r>
      <w:r w:rsidR="000A7834">
        <w:rPr>
          <w:szCs w:val="26"/>
        </w:rPr>
        <w:t xml:space="preserve">gas </w:t>
      </w:r>
      <w:r w:rsidRPr="00616CA9" w:rsidR="000A7834">
        <w:rPr>
          <w:szCs w:val="26"/>
        </w:rPr>
        <w:t xml:space="preserve">service </w:t>
      </w:r>
      <w:r w:rsidR="0060543E">
        <w:rPr>
          <w:szCs w:val="26"/>
        </w:rPr>
        <w:t xml:space="preserve">or </w:t>
      </w:r>
      <w:r w:rsidR="0060543E">
        <w:rPr>
          <w:szCs w:val="26"/>
        </w:rPr>
        <w:lastRenderedPageBreak/>
        <w:t xml:space="preserve">delivering </w:t>
      </w:r>
      <w:r w:rsidR="000A7834">
        <w:rPr>
          <w:szCs w:val="26"/>
        </w:rPr>
        <w:t>gas</w:t>
      </w:r>
      <w:r w:rsidR="0060543E">
        <w:rPr>
          <w:szCs w:val="26"/>
        </w:rPr>
        <w:t xml:space="preserve"> service to “</w:t>
      </w:r>
      <w:r w:rsidRPr="00616CA9" w:rsidR="000A7834">
        <w:rPr>
          <w:szCs w:val="26"/>
        </w:rPr>
        <w:t>the public or any portion thereof</w:t>
      </w:r>
      <w:r w:rsidR="000A7834">
        <w:rPr>
          <w:szCs w:val="26"/>
        </w:rPr>
        <w:t xml:space="preserve">” under </w:t>
      </w:r>
      <w:r w:rsidR="00A225E1">
        <w:rPr>
          <w:szCs w:val="26"/>
        </w:rPr>
        <w:t>Section</w:t>
      </w:r>
      <w:r w:rsidRPr="00616CA9" w:rsidR="000A7834">
        <w:rPr>
          <w:szCs w:val="26"/>
        </w:rPr>
        <w:t xml:space="preserve"> 216(a)(1)</w:t>
      </w:r>
      <w:r w:rsidR="00E2657E">
        <w:rPr>
          <w:szCs w:val="26"/>
        </w:rPr>
        <w:t xml:space="preserve">. </w:t>
      </w:r>
    </w:p>
    <w:p w:rsidRPr="009F39D1" w:rsidR="001F0EE7" w:rsidP="00A127CD" w:rsidRDefault="00DE06B6" w14:paraId="5942AF04" w14:textId="2E5ABB5C">
      <w:pPr>
        <w:pStyle w:val="Heading3"/>
      </w:pPr>
      <w:bookmarkStart w:name="_Toc211606201" w:id="118"/>
      <w:bookmarkStart w:name="_Toc220596330" w:id="119"/>
      <w:bookmarkStart w:name="_Toc220972213" w:id="120"/>
      <w:r w:rsidRPr="009F39D1">
        <w:t>Interim Decision D.</w:t>
      </w:r>
      <w:r w:rsidRPr="009F39D1" w:rsidR="00C73CF4">
        <w:t>07-12-047</w:t>
      </w:r>
      <w:bookmarkEnd w:id="118"/>
      <w:bookmarkEnd w:id="119"/>
      <w:bookmarkEnd w:id="120"/>
    </w:p>
    <w:p w:rsidR="00555BCF" w:rsidP="00555BCF" w:rsidRDefault="000E3D11" w14:paraId="532D04D7" w14:textId="76E33AC8">
      <w:pPr>
        <w:rPr>
          <w:szCs w:val="26"/>
          <w:lang w:val="en-ZW"/>
        </w:rPr>
      </w:pPr>
      <w:r>
        <w:rPr>
          <w:szCs w:val="26"/>
          <w:lang w:val="en-ZW"/>
        </w:rPr>
        <w:t xml:space="preserve">To support its </w:t>
      </w:r>
      <w:r w:rsidR="009E5AFE">
        <w:rPr>
          <w:szCs w:val="26"/>
          <w:lang w:val="en-ZW"/>
        </w:rPr>
        <w:t xml:space="preserve">request </w:t>
      </w:r>
      <w:r w:rsidR="00A7770C">
        <w:rPr>
          <w:szCs w:val="26"/>
          <w:lang w:val="en-ZW"/>
        </w:rPr>
        <w:t xml:space="preserve">for </w:t>
      </w:r>
      <w:r w:rsidR="00A7770C">
        <w:rPr>
          <w:szCs w:val="26"/>
        </w:rPr>
        <w:t xml:space="preserve">a determination that it meets the statutory criteria to be a </w:t>
      </w:r>
      <w:r w:rsidRPr="00616CA9" w:rsidR="00A7770C">
        <w:rPr>
          <w:szCs w:val="26"/>
        </w:rPr>
        <w:t>public utility gas corporation</w:t>
      </w:r>
      <w:r>
        <w:rPr>
          <w:szCs w:val="26"/>
          <w:lang w:val="en-ZW"/>
        </w:rPr>
        <w:t xml:space="preserve">, </w:t>
      </w:r>
      <w:r w:rsidR="00555BCF">
        <w:rPr>
          <w:szCs w:val="26"/>
          <w:lang w:val="en-ZW"/>
        </w:rPr>
        <w:t xml:space="preserve">CRPC cites </w:t>
      </w:r>
      <w:r w:rsidRPr="00D63827" w:rsidR="00555BCF">
        <w:rPr>
          <w:szCs w:val="26"/>
        </w:rPr>
        <w:t>D.07-12-047</w:t>
      </w:r>
      <w:r w:rsidR="00555BCF">
        <w:rPr>
          <w:szCs w:val="26"/>
        </w:rPr>
        <w:t>.</w:t>
      </w:r>
      <w:r w:rsidR="005F11CA">
        <w:rPr>
          <w:rStyle w:val="FootnoteReference"/>
          <w:szCs w:val="26"/>
        </w:rPr>
        <w:footnoteReference w:id="61"/>
      </w:r>
      <w:r w:rsidR="00555BCF">
        <w:rPr>
          <w:szCs w:val="26"/>
        </w:rPr>
        <w:t xml:space="preserve"> There, </w:t>
      </w:r>
      <w:r w:rsidR="00CA628F">
        <w:rPr>
          <w:szCs w:val="26"/>
          <w:lang w:val="en-ZW"/>
        </w:rPr>
        <w:t xml:space="preserve">the Commission </w:t>
      </w:r>
      <w:r w:rsidR="00555BCF">
        <w:rPr>
          <w:szCs w:val="26"/>
          <w:lang w:val="en-ZW"/>
        </w:rPr>
        <w:t xml:space="preserve">issued an interim decision, conditionally and revocably, recognizing an applicant’s </w:t>
      </w:r>
      <w:r w:rsidRPr="00871745" w:rsidR="00555BCF">
        <w:rPr>
          <w:i/>
          <w:iCs/>
          <w:szCs w:val="26"/>
          <w:lang w:val="en-ZW"/>
        </w:rPr>
        <w:t>prospective</w:t>
      </w:r>
      <w:r w:rsidR="00555BCF">
        <w:rPr>
          <w:szCs w:val="26"/>
          <w:lang w:val="en-ZW"/>
        </w:rPr>
        <w:t xml:space="preserve"> status as a public utility pipeline corporation under Sections 228 and 216. However, CRPC’s reliance on that decision is misplaced </w:t>
      </w:r>
      <w:r w:rsidR="00F81950">
        <w:rPr>
          <w:szCs w:val="26"/>
          <w:lang w:val="en-ZW"/>
        </w:rPr>
        <w:t xml:space="preserve">under </w:t>
      </w:r>
      <w:r w:rsidR="00555BCF">
        <w:rPr>
          <w:szCs w:val="26"/>
          <w:lang w:val="en-ZW"/>
        </w:rPr>
        <w:t xml:space="preserve">the </w:t>
      </w:r>
      <w:r w:rsidR="00256BE7">
        <w:rPr>
          <w:szCs w:val="26"/>
          <w:lang w:val="en-ZW"/>
        </w:rPr>
        <w:t xml:space="preserve">company’s </w:t>
      </w:r>
      <w:r w:rsidR="00555BCF">
        <w:rPr>
          <w:szCs w:val="26"/>
          <w:lang w:val="en-ZW"/>
        </w:rPr>
        <w:t xml:space="preserve">present circumstances. </w:t>
      </w:r>
    </w:p>
    <w:p w:rsidR="00555BCF" w:rsidP="00555BCF" w:rsidRDefault="00555BCF" w14:paraId="011F9A67" w14:textId="47F36DB3">
      <w:pPr>
        <w:rPr>
          <w:szCs w:val="26"/>
          <w:lang w:val="en-ZW"/>
        </w:rPr>
      </w:pPr>
      <w:r>
        <w:rPr>
          <w:szCs w:val="26"/>
          <w:lang w:val="en-ZW"/>
        </w:rPr>
        <w:t xml:space="preserve">In interim decision </w:t>
      </w:r>
      <w:r w:rsidRPr="00D63827">
        <w:rPr>
          <w:szCs w:val="26"/>
        </w:rPr>
        <w:t>D.07-12-047</w:t>
      </w:r>
      <w:r>
        <w:rPr>
          <w:szCs w:val="26"/>
          <w:lang w:val="en-ZW"/>
        </w:rPr>
        <w:t>, at the applicant’s request, the Commission declared WesPac Pipelines – Los Angeles LLC (WesPac), the proponent for a jet fuel pipeline construction project in A.</w:t>
      </w:r>
      <w:r w:rsidRPr="00725A4F">
        <w:rPr>
          <w:szCs w:val="26"/>
        </w:rPr>
        <w:t>07-04-003</w:t>
      </w:r>
      <w:r>
        <w:rPr>
          <w:szCs w:val="26"/>
          <w:lang w:val="en-ZW"/>
        </w:rPr>
        <w:t>, to be a “pipeline corporation” within the meaning of Section 228, and a “public utility” under Section 216. The City of Gardena filed, but then withdrew, its protest to granting applicant WesPac such status. WesPac’s request was therefore unopposed</w:t>
      </w:r>
      <w:r w:rsidR="003659C7">
        <w:rPr>
          <w:szCs w:val="26"/>
          <w:lang w:val="en-ZW"/>
        </w:rPr>
        <w:t xml:space="preserve"> at the time of our interim decision</w:t>
      </w:r>
      <w:r>
        <w:rPr>
          <w:szCs w:val="26"/>
          <w:lang w:val="en-ZW"/>
        </w:rPr>
        <w:t xml:space="preserve">. </w:t>
      </w:r>
    </w:p>
    <w:p w:rsidR="00555BCF" w:rsidP="00555BCF" w:rsidRDefault="007A43D8" w14:paraId="34732348" w14:textId="39D49741">
      <w:pPr>
        <w:rPr>
          <w:szCs w:val="26"/>
          <w:lang w:val="en-ZW"/>
        </w:rPr>
      </w:pPr>
      <w:r>
        <w:rPr>
          <w:szCs w:val="26"/>
          <w:lang w:val="en-ZW"/>
        </w:rPr>
        <w:t>I</w:t>
      </w:r>
      <w:r w:rsidR="00555BCF">
        <w:rPr>
          <w:szCs w:val="26"/>
          <w:lang w:val="en-ZW"/>
        </w:rPr>
        <w:t xml:space="preserve">n </w:t>
      </w:r>
      <w:r w:rsidRPr="00D63827" w:rsidR="00555BCF">
        <w:rPr>
          <w:szCs w:val="26"/>
        </w:rPr>
        <w:t>D.07-12-047</w:t>
      </w:r>
      <w:r>
        <w:rPr>
          <w:szCs w:val="26"/>
        </w:rPr>
        <w:t>, the Commission preliminar</w:t>
      </w:r>
      <w:r w:rsidR="00397BCE">
        <w:rPr>
          <w:szCs w:val="26"/>
        </w:rPr>
        <w:t>ily</w:t>
      </w:r>
      <w:r>
        <w:rPr>
          <w:szCs w:val="26"/>
        </w:rPr>
        <w:t xml:space="preserve"> consider</w:t>
      </w:r>
      <w:r w:rsidR="00397BCE">
        <w:rPr>
          <w:szCs w:val="26"/>
        </w:rPr>
        <w:t>ed</w:t>
      </w:r>
      <w:r w:rsidR="00555BCF">
        <w:rPr>
          <w:szCs w:val="26"/>
          <w:lang w:val="en-ZW"/>
        </w:rPr>
        <w:t xml:space="preserve"> WesPac’s “intention to acquire a pipeline and operate it as a common carrier was sufficient to satisfy the </w:t>
      </w:r>
      <w:r w:rsidRPr="00770B25" w:rsidR="00555BCF">
        <w:rPr>
          <w:i/>
          <w:iCs/>
          <w:szCs w:val="26"/>
          <w:lang w:val="en-ZW"/>
        </w:rPr>
        <w:t>requirement of present ownership and control of pipeline assets</w:t>
      </w:r>
      <w:r w:rsidR="00555BCF">
        <w:rPr>
          <w:szCs w:val="26"/>
          <w:lang w:val="en-ZW"/>
        </w:rPr>
        <w:t xml:space="preserve"> under Public Utilities Code Section 227.”</w:t>
      </w:r>
      <w:r w:rsidR="00555BCF">
        <w:rPr>
          <w:rStyle w:val="FootnoteReference"/>
          <w:szCs w:val="26"/>
          <w:lang w:val="en-ZW"/>
        </w:rPr>
        <w:footnoteReference w:id="62"/>
      </w:r>
      <w:r w:rsidR="00555BCF">
        <w:rPr>
          <w:szCs w:val="26"/>
        </w:rPr>
        <w:t xml:space="preserve"> Notwithstanding our </w:t>
      </w:r>
      <w:r w:rsidR="00FB61EB">
        <w:rPr>
          <w:szCs w:val="26"/>
        </w:rPr>
        <w:t xml:space="preserve">interim </w:t>
      </w:r>
      <w:r w:rsidR="00555BCF">
        <w:rPr>
          <w:szCs w:val="26"/>
        </w:rPr>
        <w:t xml:space="preserve">acknowledgment of WesPac’s intentions, we expressly conditioned WesPac’s </w:t>
      </w:r>
      <w:r w:rsidR="00555BCF">
        <w:rPr>
          <w:szCs w:val="26"/>
        </w:rPr>
        <w:lastRenderedPageBreak/>
        <w:t>final designation as a public utility pipeline corporation on both (1) WesPac constructing the proposed pipeline and (2) dedicating it to public use.</w:t>
      </w:r>
      <w:r w:rsidR="00555BCF">
        <w:rPr>
          <w:rStyle w:val="FootnoteReference"/>
          <w:szCs w:val="26"/>
        </w:rPr>
        <w:footnoteReference w:id="63"/>
      </w:r>
    </w:p>
    <w:p w:rsidR="008B5647" w:rsidP="00555BCF" w:rsidRDefault="00555BCF" w14:paraId="05FCC563" w14:textId="24B06092">
      <w:pPr>
        <w:rPr>
          <w:szCs w:val="26"/>
          <w:lang w:val="en-ZW"/>
        </w:rPr>
      </w:pPr>
      <w:r>
        <w:rPr>
          <w:szCs w:val="26"/>
          <w:lang w:val="en-ZW"/>
        </w:rPr>
        <w:t xml:space="preserve">In contrast, CRPC’s proposal </w:t>
      </w:r>
      <w:r w:rsidR="007A43D8">
        <w:rPr>
          <w:szCs w:val="26"/>
          <w:lang w:val="en-ZW"/>
        </w:rPr>
        <w:t xml:space="preserve">in the instant Application is highly contested and differs in </w:t>
      </w:r>
      <w:r w:rsidR="008B5647">
        <w:rPr>
          <w:szCs w:val="26"/>
          <w:lang w:val="en-ZW"/>
        </w:rPr>
        <w:t xml:space="preserve">other </w:t>
      </w:r>
      <w:r w:rsidR="00C60F30">
        <w:rPr>
          <w:szCs w:val="26"/>
          <w:lang w:val="en-ZW"/>
        </w:rPr>
        <w:t xml:space="preserve">important </w:t>
      </w:r>
      <w:r w:rsidR="007A43D8">
        <w:rPr>
          <w:szCs w:val="26"/>
          <w:lang w:val="en-ZW"/>
        </w:rPr>
        <w:t xml:space="preserve">respects </w:t>
      </w:r>
      <w:r w:rsidR="005A53D8">
        <w:rPr>
          <w:szCs w:val="26"/>
          <w:lang w:val="en-ZW"/>
        </w:rPr>
        <w:t xml:space="preserve">from </w:t>
      </w:r>
      <w:r w:rsidR="007A43D8">
        <w:rPr>
          <w:szCs w:val="26"/>
          <w:lang w:val="en-ZW"/>
        </w:rPr>
        <w:t xml:space="preserve">the uncontested circumstances involving </w:t>
      </w:r>
      <w:r>
        <w:rPr>
          <w:szCs w:val="26"/>
          <w:lang w:val="en-ZW"/>
        </w:rPr>
        <w:t xml:space="preserve">WesPac </w:t>
      </w:r>
      <w:r w:rsidR="007A43D8">
        <w:rPr>
          <w:szCs w:val="26"/>
          <w:lang w:val="en-ZW"/>
        </w:rPr>
        <w:t xml:space="preserve">and </w:t>
      </w:r>
      <w:r w:rsidR="00427E17">
        <w:rPr>
          <w:szCs w:val="26"/>
          <w:lang w:val="en-ZW"/>
        </w:rPr>
        <w:t>our</w:t>
      </w:r>
      <w:r w:rsidR="008B5647">
        <w:rPr>
          <w:szCs w:val="26"/>
          <w:lang w:val="en-ZW"/>
        </w:rPr>
        <w:t xml:space="preserve"> related</w:t>
      </w:r>
      <w:r>
        <w:rPr>
          <w:szCs w:val="26"/>
          <w:lang w:val="en-ZW"/>
        </w:rPr>
        <w:t xml:space="preserve"> </w:t>
      </w:r>
      <w:r w:rsidRPr="007B6F3D">
        <w:rPr>
          <w:i/>
          <w:iCs/>
          <w:szCs w:val="26"/>
          <w:lang w:val="en-ZW"/>
        </w:rPr>
        <w:t>interim</w:t>
      </w:r>
      <w:r>
        <w:rPr>
          <w:szCs w:val="26"/>
          <w:lang w:val="en-ZW"/>
        </w:rPr>
        <w:t xml:space="preserve"> </w:t>
      </w:r>
      <w:r w:rsidR="007A43D8">
        <w:rPr>
          <w:szCs w:val="26"/>
          <w:lang w:val="en-ZW"/>
        </w:rPr>
        <w:t>decision,</w:t>
      </w:r>
      <w:r>
        <w:rPr>
          <w:szCs w:val="26"/>
          <w:lang w:val="en-ZW"/>
        </w:rPr>
        <w:t xml:space="preserve"> </w:t>
      </w:r>
      <w:r w:rsidRPr="00D0782E">
        <w:rPr>
          <w:szCs w:val="26"/>
        </w:rPr>
        <w:t>D.07-12-047.</w:t>
      </w:r>
      <w:r>
        <w:rPr>
          <w:szCs w:val="26"/>
          <w:lang w:val="en-ZW"/>
        </w:rPr>
        <w:t xml:space="preserve"> </w:t>
      </w:r>
    </w:p>
    <w:p w:rsidR="001119CC" w:rsidP="00433F0C" w:rsidRDefault="008B5647" w14:paraId="5910F5D5" w14:textId="23A0F479">
      <w:pPr>
        <w:rPr>
          <w:szCs w:val="26"/>
          <w:lang w:val="en-ZW"/>
        </w:rPr>
      </w:pPr>
      <w:r>
        <w:rPr>
          <w:szCs w:val="26"/>
          <w:lang w:val="en-ZW"/>
        </w:rPr>
        <w:t>Most notably, that</w:t>
      </w:r>
      <w:r w:rsidR="00555BCF">
        <w:rPr>
          <w:szCs w:val="26"/>
          <w:lang w:val="en-ZW"/>
        </w:rPr>
        <w:t xml:space="preserve"> interim decision was based on a developing record and the rationale that the </w:t>
      </w:r>
      <w:r w:rsidR="00BF5CB5">
        <w:rPr>
          <w:szCs w:val="26"/>
          <w:lang w:val="en-ZW"/>
        </w:rPr>
        <w:t xml:space="preserve">proposed </w:t>
      </w:r>
      <w:r w:rsidR="00555BCF">
        <w:rPr>
          <w:szCs w:val="26"/>
          <w:lang w:val="en-ZW"/>
        </w:rPr>
        <w:t xml:space="preserve">construction project </w:t>
      </w:r>
      <w:r w:rsidR="00BF5CB5">
        <w:rPr>
          <w:szCs w:val="26"/>
          <w:lang w:val="en-ZW"/>
        </w:rPr>
        <w:t xml:space="preserve">there </w:t>
      </w:r>
      <w:r w:rsidR="00555BCF">
        <w:rPr>
          <w:szCs w:val="26"/>
          <w:lang w:val="en-ZW"/>
        </w:rPr>
        <w:t xml:space="preserve">was unopposed and progressing through the </w:t>
      </w:r>
      <w:r>
        <w:rPr>
          <w:szCs w:val="26"/>
          <w:lang w:val="en-ZW"/>
        </w:rPr>
        <w:t>ordinary course of</w:t>
      </w:r>
      <w:r w:rsidR="00555BCF">
        <w:rPr>
          <w:szCs w:val="26"/>
          <w:lang w:val="en-ZW"/>
        </w:rPr>
        <w:t xml:space="preserve"> environmental review at the time of our </w:t>
      </w:r>
      <w:r w:rsidR="00E839B6">
        <w:rPr>
          <w:szCs w:val="26"/>
          <w:lang w:val="en-ZW"/>
        </w:rPr>
        <w:t xml:space="preserve">conditional </w:t>
      </w:r>
      <w:r w:rsidR="00555BCF">
        <w:rPr>
          <w:szCs w:val="26"/>
          <w:lang w:val="en-ZW"/>
        </w:rPr>
        <w:t>determination. H</w:t>
      </w:r>
      <w:r>
        <w:rPr>
          <w:szCs w:val="26"/>
          <w:lang w:val="en-ZW"/>
        </w:rPr>
        <w:t>ere</w:t>
      </w:r>
      <w:r w:rsidR="00555BCF">
        <w:rPr>
          <w:szCs w:val="26"/>
          <w:lang w:val="en-ZW"/>
        </w:rPr>
        <w:t xml:space="preserve">, the record in the present proceeding establishes materially different </w:t>
      </w:r>
      <w:r w:rsidR="0028516A">
        <w:rPr>
          <w:szCs w:val="26"/>
          <w:lang w:val="en-ZW"/>
        </w:rPr>
        <w:t xml:space="preserve">and unique </w:t>
      </w:r>
      <w:r w:rsidR="00555BCF">
        <w:rPr>
          <w:szCs w:val="26"/>
          <w:lang w:val="en-ZW"/>
        </w:rPr>
        <w:t xml:space="preserve">circumstances for the </w:t>
      </w:r>
      <w:r w:rsidR="00861A2D">
        <w:rPr>
          <w:szCs w:val="26"/>
          <w:lang w:val="en-ZW"/>
        </w:rPr>
        <w:t>Applicant</w:t>
      </w:r>
      <w:r w:rsidR="00555BCF">
        <w:rPr>
          <w:szCs w:val="26"/>
          <w:lang w:val="en-ZW"/>
        </w:rPr>
        <w:t xml:space="preserve">. </w:t>
      </w:r>
      <w:r w:rsidR="00F0642E">
        <w:rPr>
          <w:szCs w:val="26"/>
          <w:lang w:val="en-ZW"/>
        </w:rPr>
        <w:t xml:space="preserve">Unlike WesPac, </w:t>
      </w:r>
      <w:r w:rsidR="00555BCF">
        <w:rPr>
          <w:szCs w:val="26"/>
          <w:lang w:val="en-ZW"/>
        </w:rPr>
        <w:t xml:space="preserve">CRPC is not engaged in </w:t>
      </w:r>
      <w:r w:rsidR="00D832F0">
        <w:rPr>
          <w:szCs w:val="26"/>
          <w:lang w:val="en-ZW"/>
        </w:rPr>
        <w:t>an</w:t>
      </w:r>
      <w:r w:rsidR="00555BCF">
        <w:rPr>
          <w:szCs w:val="26"/>
          <w:lang w:val="en-ZW"/>
        </w:rPr>
        <w:t xml:space="preserve"> </w:t>
      </w:r>
      <w:r w:rsidR="00B467A2">
        <w:rPr>
          <w:szCs w:val="26"/>
          <w:lang w:val="en-ZW"/>
        </w:rPr>
        <w:t xml:space="preserve">uncontested </w:t>
      </w:r>
      <w:r w:rsidR="00AA4790">
        <w:rPr>
          <w:szCs w:val="26"/>
          <w:lang w:val="en-ZW"/>
        </w:rPr>
        <w:t xml:space="preserve">proceeding </w:t>
      </w:r>
      <w:r w:rsidR="00DC287A">
        <w:rPr>
          <w:szCs w:val="26"/>
          <w:lang w:val="en-ZW"/>
        </w:rPr>
        <w:t xml:space="preserve">to construct a new pipeline </w:t>
      </w:r>
      <w:r w:rsidR="00B467A2">
        <w:rPr>
          <w:szCs w:val="26"/>
          <w:lang w:val="en-ZW"/>
        </w:rPr>
        <w:t xml:space="preserve">and would not be </w:t>
      </w:r>
      <w:r w:rsidR="00626DDC">
        <w:rPr>
          <w:szCs w:val="26"/>
          <w:lang w:val="en-ZW"/>
        </w:rPr>
        <w:t>subject to</w:t>
      </w:r>
      <w:r w:rsidR="00B24BBD">
        <w:rPr>
          <w:szCs w:val="26"/>
          <w:lang w:val="en-ZW"/>
        </w:rPr>
        <w:t xml:space="preserve"> </w:t>
      </w:r>
      <w:r w:rsidR="00B467A2">
        <w:rPr>
          <w:szCs w:val="26"/>
          <w:lang w:val="en-ZW"/>
        </w:rPr>
        <w:t xml:space="preserve">a </w:t>
      </w:r>
      <w:r w:rsidR="00743E99">
        <w:rPr>
          <w:szCs w:val="26"/>
          <w:lang w:val="en-ZW"/>
        </w:rPr>
        <w:t>post-</w:t>
      </w:r>
      <w:r w:rsidR="00323B76">
        <w:rPr>
          <w:szCs w:val="26"/>
          <w:lang w:val="en-ZW"/>
        </w:rPr>
        <w:t xml:space="preserve">interim </w:t>
      </w:r>
      <w:r w:rsidR="00743E99">
        <w:rPr>
          <w:szCs w:val="26"/>
          <w:lang w:val="en-ZW"/>
        </w:rPr>
        <w:t>decision</w:t>
      </w:r>
      <w:r w:rsidR="00555BCF">
        <w:rPr>
          <w:szCs w:val="26"/>
          <w:lang w:val="en-ZW"/>
        </w:rPr>
        <w:t xml:space="preserve"> review process. </w:t>
      </w:r>
      <w:r w:rsidRPr="00A56EB7" w:rsidR="00AA4790">
        <w:rPr>
          <w:szCs w:val="26"/>
          <w:lang w:val="en-ZW"/>
        </w:rPr>
        <w:t>Instead, t</w:t>
      </w:r>
      <w:r w:rsidRPr="00A56EB7">
        <w:rPr>
          <w:szCs w:val="26"/>
          <w:lang w:val="en-ZW"/>
        </w:rPr>
        <w:t xml:space="preserve">he record of this instant proceeding has been building </w:t>
      </w:r>
      <w:r w:rsidRPr="00A56EB7" w:rsidR="00FE38E5">
        <w:rPr>
          <w:szCs w:val="26"/>
          <w:lang w:val="en-ZW"/>
        </w:rPr>
        <w:t xml:space="preserve">consistently </w:t>
      </w:r>
      <w:r w:rsidRPr="00A56EB7" w:rsidR="00AA4790">
        <w:rPr>
          <w:szCs w:val="26"/>
          <w:lang w:val="en-ZW"/>
        </w:rPr>
        <w:t>and</w:t>
      </w:r>
      <w:r w:rsidRPr="00A56EB7">
        <w:rPr>
          <w:szCs w:val="26"/>
          <w:lang w:val="en-ZW"/>
        </w:rPr>
        <w:t xml:space="preserve"> confirms </w:t>
      </w:r>
      <w:r w:rsidRPr="00A56EB7" w:rsidR="00555BCF">
        <w:rPr>
          <w:szCs w:val="26"/>
          <w:lang w:val="en-ZW"/>
        </w:rPr>
        <w:t xml:space="preserve">the </w:t>
      </w:r>
      <w:r w:rsidRPr="006E3F0F" w:rsidR="00F74E5F">
        <w:rPr>
          <w:szCs w:val="26"/>
          <w:lang w:val="en-ZW"/>
        </w:rPr>
        <w:t>following</w:t>
      </w:r>
      <w:r w:rsidRPr="006E3F0F" w:rsidR="00F454CB">
        <w:rPr>
          <w:szCs w:val="26"/>
          <w:lang w:val="en-ZW"/>
        </w:rPr>
        <w:t xml:space="preserve"> </w:t>
      </w:r>
      <w:r w:rsidRPr="006E3F0F" w:rsidR="00F95015">
        <w:rPr>
          <w:szCs w:val="26"/>
          <w:lang w:val="en-ZW"/>
        </w:rPr>
        <w:t xml:space="preserve">strong </w:t>
      </w:r>
      <w:r w:rsidRPr="006E3F0F" w:rsidR="00FE5B73">
        <w:rPr>
          <w:szCs w:val="26"/>
          <w:lang w:val="en-ZW"/>
        </w:rPr>
        <w:t>opposition</w:t>
      </w:r>
      <w:r w:rsidR="005B40F3">
        <w:rPr>
          <w:szCs w:val="26"/>
          <w:lang w:val="en-ZW"/>
        </w:rPr>
        <w:t>s</w:t>
      </w:r>
      <w:r w:rsidRPr="006E3F0F" w:rsidR="00F95015">
        <w:rPr>
          <w:szCs w:val="26"/>
          <w:lang w:val="en-ZW"/>
        </w:rPr>
        <w:t xml:space="preserve"> to </w:t>
      </w:r>
      <w:r w:rsidR="0047056D">
        <w:rPr>
          <w:szCs w:val="26"/>
          <w:lang w:val="en-ZW"/>
        </w:rPr>
        <w:t xml:space="preserve">prevent </w:t>
      </w:r>
      <w:r w:rsidRPr="006E3F0F" w:rsidR="008E2CE4">
        <w:rPr>
          <w:szCs w:val="26"/>
          <w:lang w:val="en-ZW"/>
        </w:rPr>
        <w:t xml:space="preserve">CRPC’s </w:t>
      </w:r>
      <w:r w:rsidR="005D5541">
        <w:rPr>
          <w:szCs w:val="26"/>
          <w:lang w:val="en-ZW"/>
        </w:rPr>
        <w:t>UI P</w:t>
      </w:r>
      <w:r w:rsidRPr="006E3F0F" w:rsidR="008E2CE4">
        <w:rPr>
          <w:szCs w:val="26"/>
          <w:lang w:val="en-ZW"/>
        </w:rPr>
        <w:t>ipeline operation</w:t>
      </w:r>
      <w:r w:rsidRPr="006E3F0F" w:rsidR="00F74E5F">
        <w:rPr>
          <w:szCs w:val="26"/>
          <w:lang w:val="en-ZW"/>
        </w:rPr>
        <w:t xml:space="preserve">: </w:t>
      </w:r>
      <w:r w:rsidRPr="006E3F0F" w:rsidR="008B4C44">
        <w:rPr>
          <w:szCs w:val="26"/>
          <w:lang w:val="en-ZW"/>
        </w:rPr>
        <w:t>the Cities’ termination</w:t>
      </w:r>
      <w:r w:rsidR="00D23E06">
        <w:rPr>
          <w:szCs w:val="26"/>
          <w:lang w:val="en-ZW"/>
        </w:rPr>
        <w:t>, non-renewal</w:t>
      </w:r>
      <w:r w:rsidR="00693306">
        <w:rPr>
          <w:szCs w:val="26"/>
          <w:lang w:val="en-ZW"/>
        </w:rPr>
        <w:t>,</w:t>
      </w:r>
      <w:r w:rsidRPr="006E3F0F" w:rsidR="008B4C44">
        <w:rPr>
          <w:szCs w:val="26"/>
          <w:lang w:val="en-ZW"/>
        </w:rPr>
        <w:t xml:space="preserve"> and/or denial of CRPC’s franchise agreement</w:t>
      </w:r>
      <w:r w:rsidR="00316DBA">
        <w:rPr>
          <w:szCs w:val="26"/>
          <w:lang w:val="en-ZW"/>
        </w:rPr>
        <w:t>s</w:t>
      </w:r>
      <w:r w:rsidRPr="006E3F0F" w:rsidR="008B4C44">
        <w:rPr>
          <w:szCs w:val="26"/>
          <w:lang w:val="en-ZW"/>
        </w:rPr>
        <w:t xml:space="preserve">; </w:t>
      </w:r>
      <w:r w:rsidR="007F507A">
        <w:rPr>
          <w:szCs w:val="26"/>
          <w:lang w:val="en-ZW"/>
        </w:rPr>
        <w:t>Antioch’s</w:t>
      </w:r>
      <w:r w:rsidRPr="00A56EB7" w:rsidR="00555BCF">
        <w:rPr>
          <w:szCs w:val="26"/>
          <w:lang w:val="en-ZW"/>
        </w:rPr>
        <w:t xml:space="preserve"> past and ongoing </w:t>
      </w:r>
      <w:r w:rsidRPr="00A56EB7">
        <w:rPr>
          <w:szCs w:val="26"/>
          <w:lang w:val="en-ZW"/>
        </w:rPr>
        <w:t>litigation</w:t>
      </w:r>
      <w:r w:rsidRPr="006E3F0F" w:rsidR="00837451">
        <w:rPr>
          <w:szCs w:val="26"/>
          <w:lang w:val="en-ZW"/>
        </w:rPr>
        <w:t>,</w:t>
      </w:r>
      <w:r w:rsidRPr="00A56EB7">
        <w:rPr>
          <w:szCs w:val="26"/>
          <w:lang w:val="en-ZW"/>
        </w:rPr>
        <w:t xml:space="preserve"> </w:t>
      </w:r>
      <w:r w:rsidRPr="006E3F0F" w:rsidR="00837451">
        <w:rPr>
          <w:szCs w:val="26"/>
          <w:lang w:val="en-ZW"/>
        </w:rPr>
        <w:t xml:space="preserve">including the past Phase I and pending Phase II </w:t>
      </w:r>
      <w:r w:rsidRPr="006E3F0F" w:rsidR="00F719D2">
        <w:rPr>
          <w:szCs w:val="26"/>
          <w:lang w:val="en-ZW"/>
        </w:rPr>
        <w:t>Pipeline Litigation</w:t>
      </w:r>
      <w:r w:rsidRPr="006E3F0F" w:rsidR="00837451">
        <w:rPr>
          <w:szCs w:val="26"/>
          <w:lang w:val="en-ZW"/>
        </w:rPr>
        <w:t xml:space="preserve">; </w:t>
      </w:r>
      <w:r w:rsidRPr="00A56EB7">
        <w:rPr>
          <w:szCs w:val="26"/>
          <w:lang w:val="en-ZW"/>
        </w:rPr>
        <w:t xml:space="preserve">and </w:t>
      </w:r>
      <w:r w:rsidR="007F507A">
        <w:rPr>
          <w:szCs w:val="26"/>
          <w:lang w:val="en-ZW"/>
        </w:rPr>
        <w:t xml:space="preserve">both Cities’ </w:t>
      </w:r>
      <w:r w:rsidR="004D28D2">
        <w:rPr>
          <w:szCs w:val="26"/>
          <w:lang w:val="en-ZW"/>
        </w:rPr>
        <w:t xml:space="preserve">vigorous </w:t>
      </w:r>
      <w:r w:rsidR="00967774">
        <w:rPr>
          <w:szCs w:val="26"/>
          <w:lang w:val="en-ZW"/>
        </w:rPr>
        <w:t xml:space="preserve">and ongoing </w:t>
      </w:r>
      <w:r w:rsidRPr="006E3F0F" w:rsidR="00384F59">
        <w:rPr>
          <w:szCs w:val="26"/>
          <w:lang w:val="en-ZW"/>
        </w:rPr>
        <w:t>protests</w:t>
      </w:r>
      <w:r w:rsidRPr="00A56EB7" w:rsidR="00384F59">
        <w:rPr>
          <w:szCs w:val="26"/>
          <w:lang w:val="en-ZW"/>
        </w:rPr>
        <w:t xml:space="preserve"> </w:t>
      </w:r>
      <w:r w:rsidRPr="00A56EB7" w:rsidR="00AA4790">
        <w:rPr>
          <w:szCs w:val="26"/>
          <w:lang w:val="en-ZW"/>
        </w:rPr>
        <w:t>to CRPC’s Application</w:t>
      </w:r>
      <w:r w:rsidRPr="006E3F0F" w:rsidR="00837451">
        <w:rPr>
          <w:szCs w:val="26"/>
          <w:lang w:val="en-ZW"/>
        </w:rPr>
        <w:t xml:space="preserve"> before this Commission</w:t>
      </w:r>
      <w:r w:rsidRPr="00A56EB7" w:rsidR="00555BCF">
        <w:rPr>
          <w:szCs w:val="26"/>
          <w:lang w:val="en-ZW"/>
        </w:rPr>
        <w:t>.</w:t>
      </w:r>
      <w:r w:rsidR="00555BCF">
        <w:rPr>
          <w:szCs w:val="26"/>
          <w:lang w:val="en-ZW"/>
        </w:rPr>
        <w:t xml:space="preserve"> Consequently, unlike WesPac</w:t>
      </w:r>
      <w:r w:rsidR="0060234B">
        <w:rPr>
          <w:szCs w:val="26"/>
          <w:lang w:val="en-ZW"/>
        </w:rPr>
        <w:t xml:space="preserve">’s </w:t>
      </w:r>
      <w:r w:rsidR="009070F6">
        <w:rPr>
          <w:szCs w:val="26"/>
          <w:lang w:val="en-ZW"/>
        </w:rPr>
        <w:t xml:space="preserve">construction </w:t>
      </w:r>
      <w:r w:rsidR="00BF1F44">
        <w:rPr>
          <w:szCs w:val="26"/>
          <w:lang w:val="en-ZW"/>
        </w:rPr>
        <w:t xml:space="preserve">CPCN </w:t>
      </w:r>
      <w:r w:rsidR="0060234B">
        <w:rPr>
          <w:szCs w:val="26"/>
          <w:lang w:val="en-ZW"/>
        </w:rPr>
        <w:t>application</w:t>
      </w:r>
      <w:r w:rsidR="00865D87">
        <w:rPr>
          <w:szCs w:val="26"/>
          <w:lang w:val="en-ZW"/>
        </w:rPr>
        <w:t>,</w:t>
      </w:r>
      <w:r w:rsidR="0060234B">
        <w:rPr>
          <w:szCs w:val="26"/>
          <w:lang w:val="en-ZW"/>
        </w:rPr>
        <w:t xml:space="preserve"> </w:t>
      </w:r>
      <w:r w:rsidR="00772A4C">
        <w:rPr>
          <w:szCs w:val="26"/>
          <w:lang w:val="en-ZW"/>
        </w:rPr>
        <w:t>for</w:t>
      </w:r>
      <w:r w:rsidR="000673BB">
        <w:rPr>
          <w:szCs w:val="26"/>
          <w:lang w:val="en-ZW"/>
        </w:rPr>
        <w:t xml:space="preserve"> which </w:t>
      </w:r>
      <w:r w:rsidR="0060234B">
        <w:rPr>
          <w:szCs w:val="26"/>
          <w:lang w:val="en-ZW"/>
        </w:rPr>
        <w:t xml:space="preserve">no foreseeable </w:t>
      </w:r>
      <w:r w:rsidR="005B2B39">
        <w:rPr>
          <w:szCs w:val="26"/>
          <w:lang w:val="en-ZW"/>
        </w:rPr>
        <w:t xml:space="preserve">opposition </w:t>
      </w:r>
      <w:r w:rsidR="000673BB">
        <w:rPr>
          <w:szCs w:val="26"/>
          <w:lang w:val="en-ZW"/>
        </w:rPr>
        <w:t xml:space="preserve">existed </w:t>
      </w:r>
      <w:r w:rsidR="0060234B">
        <w:rPr>
          <w:szCs w:val="26"/>
          <w:lang w:val="en-ZW"/>
        </w:rPr>
        <w:t>at the time of the interim decision</w:t>
      </w:r>
      <w:r w:rsidR="00555BCF">
        <w:rPr>
          <w:szCs w:val="26"/>
          <w:lang w:val="en-ZW"/>
        </w:rPr>
        <w:t xml:space="preserve">, </w:t>
      </w:r>
      <w:r w:rsidR="00D02ABF">
        <w:rPr>
          <w:szCs w:val="26"/>
          <w:lang w:val="en-ZW"/>
        </w:rPr>
        <w:t xml:space="preserve">the instant Application </w:t>
      </w:r>
      <w:r w:rsidR="00AF7805">
        <w:rPr>
          <w:szCs w:val="26"/>
          <w:lang w:val="en-ZW"/>
        </w:rPr>
        <w:t>remains highly contested</w:t>
      </w:r>
      <w:r w:rsidR="00A8079B">
        <w:rPr>
          <w:szCs w:val="26"/>
          <w:lang w:val="en-ZW"/>
        </w:rPr>
        <w:t xml:space="preserve"> at the Commission </w:t>
      </w:r>
      <w:r w:rsidR="0062635A">
        <w:rPr>
          <w:szCs w:val="26"/>
          <w:lang w:val="en-ZW"/>
        </w:rPr>
        <w:t>by</w:t>
      </w:r>
      <w:r w:rsidR="00CF1064">
        <w:rPr>
          <w:szCs w:val="26"/>
          <w:lang w:val="en-ZW"/>
        </w:rPr>
        <w:t xml:space="preserve"> </w:t>
      </w:r>
      <w:r w:rsidR="00035F0E">
        <w:rPr>
          <w:szCs w:val="26"/>
          <w:lang w:val="en-ZW"/>
        </w:rPr>
        <w:t xml:space="preserve">the Cities </w:t>
      </w:r>
      <w:r w:rsidR="00EC444D">
        <w:rPr>
          <w:szCs w:val="26"/>
          <w:lang w:val="en-ZW"/>
        </w:rPr>
        <w:t>of</w:t>
      </w:r>
      <w:r w:rsidR="00035F0E">
        <w:rPr>
          <w:szCs w:val="26"/>
          <w:lang w:val="en-ZW"/>
        </w:rPr>
        <w:t xml:space="preserve"> Antioch and </w:t>
      </w:r>
      <w:r w:rsidR="00CF1064">
        <w:rPr>
          <w:szCs w:val="26"/>
          <w:lang w:val="en-ZW"/>
        </w:rPr>
        <w:t>Brentwood</w:t>
      </w:r>
      <w:r w:rsidR="00B069DB">
        <w:rPr>
          <w:szCs w:val="26"/>
          <w:lang w:val="en-ZW"/>
        </w:rPr>
        <w:t xml:space="preserve">, and </w:t>
      </w:r>
      <w:r w:rsidR="00D60AFC">
        <w:rPr>
          <w:szCs w:val="26"/>
          <w:lang w:val="en-ZW"/>
        </w:rPr>
        <w:t>subject to</w:t>
      </w:r>
      <w:r w:rsidR="00185A84">
        <w:rPr>
          <w:szCs w:val="26"/>
          <w:lang w:val="en-ZW"/>
        </w:rPr>
        <w:t xml:space="preserve"> the</w:t>
      </w:r>
      <w:r w:rsidR="00D60AFC">
        <w:rPr>
          <w:szCs w:val="26"/>
          <w:lang w:val="en-ZW"/>
        </w:rPr>
        <w:t xml:space="preserve"> </w:t>
      </w:r>
      <w:r w:rsidR="00541214">
        <w:rPr>
          <w:szCs w:val="26"/>
          <w:lang w:val="en-ZW"/>
        </w:rPr>
        <w:t xml:space="preserve">Phase II Pipeline Litigation currently </w:t>
      </w:r>
      <w:r w:rsidR="000A4C87">
        <w:rPr>
          <w:szCs w:val="26"/>
          <w:lang w:val="en-ZW"/>
        </w:rPr>
        <w:t>in Superior Court</w:t>
      </w:r>
      <w:r w:rsidR="00B32EBD">
        <w:rPr>
          <w:szCs w:val="26"/>
          <w:lang w:val="en-ZW"/>
        </w:rPr>
        <w:t xml:space="preserve">. </w:t>
      </w:r>
    </w:p>
    <w:p w:rsidR="00555BCF" w:rsidP="008B5647" w:rsidRDefault="000673BB" w14:paraId="3F477C2F" w14:textId="52847864">
      <w:pPr>
        <w:rPr>
          <w:szCs w:val="26"/>
          <w:lang w:val="en-ZW"/>
        </w:rPr>
      </w:pPr>
      <w:r>
        <w:rPr>
          <w:szCs w:val="26"/>
          <w:lang w:val="en-ZW"/>
        </w:rPr>
        <w:lastRenderedPageBreak/>
        <w:t>Th</w:t>
      </w:r>
      <w:r w:rsidR="00F97C8B">
        <w:rPr>
          <w:szCs w:val="26"/>
          <w:lang w:val="en-ZW"/>
        </w:rPr>
        <w:t>e</w:t>
      </w:r>
      <w:r>
        <w:rPr>
          <w:szCs w:val="26"/>
          <w:lang w:val="en-ZW"/>
        </w:rPr>
        <w:t xml:space="preserve"> </w:t>
      </w:r>
      <w:r w:rsidR="00F97C8B">
        <w:rPr>
          <w:szCs w:val="26"/>
          <w:lang w:val="en-ZW"/>
        </w:rPr>
        <w:t>A</w:t>
      </w:r>
      <w:r>
        <w:rPr>
          <w:szCs w:val="26"/>
          <w:lang w:val="en-ZW"/>
        </w:rPr>
        <w:t xml:space="preserve">pplication </w:t>
      </w:r>
      <w:r w:rsidR="00B32EBD">
        <w:rPr>
          <w:szCs w:val="26"/>
          <w:lang w:val="en-ZW"/>
        </w:rPr>
        <w:t>is also</w:t>
      </w:r>
      <w:r w:rsidR="00AF7805">
        <w:rPr>
          <w:szCs w:val="26"/>
          <w:lang w:val="en-ZW"/>
        </w:rPr>
        <w:t xml:space="preserve"> </w:t>
      </w:r>
      <w:r w:rsidR="00AF313A">
        <w:rPr>
          <w:szCs w:val="26"/>
          <w:lang w:val="en-ZW"/>
        </w:rPr>
        <w:t>hypothetical</w:t>
      </w:r>
      <w:r w:rsidR="00B220E2">
        <w:rPr>
          <w:szCs w:val="26"/>
          <w:lang w:val="en-ZW"/>
        </w:rPr>
        <w:t xml:space="preserve">. </w:t>
      </w:r>
      <w:r w:rsidR="00555BCF">
        <w:rPr>
          <w:szCs w:val="26"/>
          <w:lang w:val="en-ZW"/>
        </w:rPr>
        <w:t>CRPC</w:t>
      </w:r>
      <w:r w:rsidR="00AA4790">
        <w:rPr>
          <w:szCs w:val="26"/>
          <w:lang w:val="en-ZW"/>
        </w:rPr>
        <w:t xml:space="preserve">’s ability to </w:t>
      </w:r>
      <w:r w:rsidR="0060234B">
        <w:rPr>
          <w:szCs w:val="26"/>
          <w:lang w:val="en-ZW"/>
        </w:rPr>
        <w:t xml:space="preserve">carry out what it proposes in </w:t>
      </w:r>
      <w:r w:rsidR="00C10095">
        <w:rPr>
          <w:szCs w:val="26"/>
          <w:lang w:val="en-ZW"/>
        </w:rPr>
        <w:t>its</w:t>
      </w:r>
      <w:r w:rsidR="0060234B">
        <w:rPr>
          <w:szCs w:val="26"/>
          <w:lang w:val="en-ZW"/>
        </w:rPr>
        <w:t xml:space="preserve"> Application has been and remain</w:t>
      </w:r>
      <w:r w:rsidR="009A257E">
        <w:rPr>
          <w:szCs w:val="26"/>
          <w:lang w:val="en-ZW"/>
        </w:rPr>
        <w:t>s</w:t>
      </w:r>
      <w:r w:rsidR="0060234B">
        <w:rPr>
          <w:szCs w:val="26"/>
          <w:lang w:val="en-ZW"/>
        </w:rPr>
        <w:t xml:space="preserve"> </w:t>
      </w:r>
      <w:r w:rsidR="005A1AA8">
        <w:rPr>
          <w:szCs w:val="26"/>
          <w:lang w:val="en-ZW"/>
        </w:rPr>
        <w:t>lacking</w:t>
      </w:r>
      <w:r w:rsidR="0060234B">
        <w:rPr>
          <w:szCs w:val="26"/>
          <w:lang w:val="en-ZW"/>
        </w:rPr>
        <w:t xml:space="preserve"> at </w:t>
      </w:r>
      <w:r w:rsidR="00694098">
        <w:rPr>
          <w:szCs w:val="26"/>
          <w:lang w:val="en-ZW"/>
        </w:rPr>
        <w:t>present</w:t>
      </w:r>
      <w:r w:rsidR="0060234B">
        <w:rPr>
          <w:szCs w:val="26"/>
          <w:lang w:val="en-ZW"/>
        </w:rPr>
        <w:t xml:space="preserve"> and </w:t>
      </w:r>
      <w:r w:rsidR="00816A9A">
        <w:rPr>
          <w:szCs w:val="26"/>
          <w:lang w:val="en-ZW"/>
        </w:rPr>
        <w:t xml:space="preserve">is </w:t>
      </w:r>
      <w:r w:rsidR="0060234B">
        <w:rPr>
          <w:szCs w:val="26"/>
          <w:lang w:val="en-ZW"/>
        </w:rPr>
        <w:t xml:space="preserve">uncertain </w:t>
      </w:r>
      <w:r w:rsidR="00F3501E">
        <w:rPr>
          <w:szCs w:val="26"/>
          <w:lang w:val="en-ZW"/>
        </w:rPr>
        <w:t xml:space="preserve">for </w:t>
      </w:r>
      <w:r w:rsidR="0060234B">
        <w:rPr>
          <w:szCs w:val="26"/>
          <w:lang w:val="en-ZW"/>
        </w:rPr>
        <w:t>the foreseeable future</w:t>
      </w:r>
      <w:r w:rsidR="005E35EF">
        <w:rPr>
          <w:szCs w:val="26"/>
          <w:lang w:val="en-ZW"/>
        </w:rPr>
        <w:t xml:space="preserve">. CRPC’s circumstances have </w:t>
      </w:r>
      <w:r w:rsidR="00FD562B">
        <w:rPr>
          <w:szCs w:val="26"/>
          <w:lang w:val="en-ZW"/>
        </w:rPr>
        <w:t>persisted</w:t>
      </w:r>
      <w:r w:rsidR="0060234B">
        <w:rPr>
          <w:szCs w:val="26"/>
          <w:lang w:val="en-ZW"/>
        </w:rPr>
        <w:t xml:space="preserve"> despite its </w:t>
      </w:r>
      <w:r w:rsidR="003601D3">
        <w:rPr>
          <w:szCs w:val="26"/>
          <w:lang w:val="en-ZW"/>
        </w:rPr>
        <w:t xml:space="preserve">many </w:t>
      </w:r>
      <w:r w:rsidR="0060234B">
        <w:rPr>
          <w:szCs w:val="26"/>
          <w:lang w:val="en-ZW"/>
        </w:rPr>
        <w:t>years of efforts through the Cities’ internal administrative processes, Superior Court proceedings</w:t>
      </w:r>
      <w:r w:rsidR="00E9790F">
        <w:rPr>
          <w:szCs w:val="26"/>
          <w:lang w:val="en-ZW"/>
        </w:rPr>
        <w:t>,</w:t>
      </w:r>
      <w:r w:rsidR="0060234B">
        <w:rPr>
          <w:szCs w:val="26"/>
          <w:lang w:val="en-ZW"/>
        </w:rPr>
        <w:t xml:space="preserve"> and </w:t>
      </w:r>
      <w:r w:rsidR="00391F65">
        <w:rPr>
          <w:szCs w:val="26"/>
          <w:lang w:val="en-ZW"/>
        </w:rPr>
        <w:t xml:space="preserve">judicial </w:t>
      </w:r>
      <w:r w:rsidR="000C2FF3">
        <w:rPr>
          <w:szCs w:val="26"/>
          <w:lang w:val="en-ZW"/>
        </w:rPr>
        <w:t>appeal</w:t>
      </w:r>
      <w:r w:rsidR="0060234B">
        <w:rPr>
          <w:szCs w:val="26"/>
          <w:lang w:val="en-ZW"/>
        </w:rPr>
        <w:t xml:space="preserve">s. </w:t>
      </w:r>
      <w:r w:rsidR="0095435A">
        <w:rPr>
          <w:szCs w:val="26"/>
          <w:lang w:val="en-ZW"/>
        </w:rPr>
        <w:t>T</w:t>
      </w:r>
      <w:r w:rsidR="0060234B">
        <w:rPr>
          <w:szCs w:val="26"/>
          <w:lang w:val="en-ZW"/>
        </w:rPr>
        <w:t xml:space="preserve">he various </w:t>
      </w:r>
      <w:r w:rsidR="00555BCF">
        <w:rPr>
          <w:szCs w:val="26"/>
          <w:lang w:val="en-ZW"/>
        </w:rPr>
        <w:t xml:space="preserve">pending administrative and judicial proceedings, may </w:t>
      </w:r>
      <w:r w:rsidR="00FC6703">
        <w:rPr>
          <w:szCs w:val="26"/>
          <w:lang w:val="en-ZW"/>
        </w:rPr>
        <w:t>continue</w:t>
      </w:r>
      <w:r w:rsidR="00555BCF">
        <w:rPr>
          <w:szCs w:val="26"/>
          <w:lang w:val="en-ZW"/>
        </w:rPr>
        <w:t xml:space="preserve"> indefinitely.  </w:t>
      </w:r>
    </w:p>
    <w:p w:rsidR="004B5E12" w:rsidP="00555BCF" w:rsidRDefault="00555BCF" w14:paraId="169F244F" w14:textId="3623870F">
      <w:pPr>
        <w:rPr>
          <w:szCs w:val="26"/>
          <w:lang w:val="en-ZW"/>
        </w:rPr>
      </w:pPr>
      <w:r>
        <w:rPr>
          <w:szCs w:val="26"/>
          <w:lang w:val="en-ZW"/>
        </w:rPr>
        <w:t xml:space="preserve">In addition, CRPC’s request for a </w:t>
      </w:r>
      <w:r w:rsidRPr="006E3F0F" w:rsidR="00567F38">
        <w:rPr>
          <w:i/>
          <w:iCs/>
          <w:szCs w:val="26"/>
          <w:lang w:val="en-ZW"/>
        </w:rPr>
        <w:t>final</w:t>
      </w:r>
      <w:r w:rsidR="00567F38">
        <w:rPr>
          <w:szCs w:val="26"/>
          <w:lang w:val="en-ZW"/>
        </w:rPr>
        <w:t xml:space="preserve"> </w:t>
      </w:r>
      <w:r>
        <w:rPr>
          <w:szCs w:val="26"/>
          <w:lang w:val="en-ZW"/>
        </w:rPr>
        <w:t>designation as a public utility gas corporation is fundamentally different tha</w:t>
      </w:r>
      <w:r w:rsidR="00FA20FB">
        <w:rPr>
          <w:szCs w:val="26"/>
          <w:lang w:val="en-ZW"/>
        </w:rPr>
        <w:t>n</w:t>
      </w:r>
      <w:r>
        <w:rPr>
          <w:szCs w:val="26"/>
          <w:lang w:val="en-ZW"/>
        </w:rPr>
        <w:t xml:space="preserve"> WesPac’s </w:t>
      </w:r>
      <w:r w:rsidR="00865112">
        <w:rPr>
          <w:szCs w:val="26"/>
          <w:lang w:val="en-ZW"/>
        </w:rPr>
        <w:t>grant of</w:t>
      </w:r>
      <w:r>
        <w:rPr>
          <w:szCs w:val="26"/>
          <w:lang w:val="en-ZW"/>
        </w:rPr>
        <w:t xml:space="preserve"> </w:t>
      </w:r>
      <w:r w:rsidRPr="006E3F0F">
        <w:rPr>
          <w:i/>
          <w:iCs/>
          <w:szCs w:val="26"/>
          <w:lang w:val="en-ZW"/>
        </w:rPr>
        <w:t>interim</w:t>
      </w:r>
      <w:r>
        <w:rPr>
          <w:szCs w:val="26"/>
          <w:lang w:val="en-ZW"/>
        </w:rPr>
        <w:t xml:space="preserve"> status.</w:t>
      </w:r>
      <w:r w:rsidR="00FC6703">
        <w:rPr>
          <w:rStyle w:val="FootnoteReference"/>
          <w:szCs w:val="26"/>
          <w:lang w:val="en-ZW"/>
        </w:rPr>
        <w:footnoteReference w:id="64"/>
      </w:r>
      <w:r w:rsidR="00FC6703">
        <w:rPr>
          <w:szCs w:val="26"/>
          <w:lang w:val="en-ZW"/>
        </w:rPr>
        <w:t xml:space="preserve"> </w:t>
      </w:r>
      <w:r>
        <w:rPr>
          <w:szCs w:val="26"/>
          <w:lang w:val="en-ZW"/>
        </w:rPr>
        <w:t xml:space="preserve"> In </w:t>
      </w:r>
      <w:r w:rsidR="0060234B">
        <w:rPr>
          <w:szCs w:val="26"/>
          <w:lang w:val="en-ZW"/>
        </w:rPr>
        <w:t>WesPac’s</w:t>
      </w:r>
      <w:r>
        <w:rPr>
          <w:szCs w:val="26"/>
          <w:lang w:val="en-ZW"/>
        </w:rPr>
        <w:t xml:space="preserve"> interim </w:t>
      </w:r>
      <w:r w:rsidR="00296E9C">
        <w:rPr>
          <w:szCs w:val="26"/>
          <w:lang w:val="en-ZW"/>
        </w:rPr>
        <w:t>decision,</w:t>
      </w:r>
      <w:r>
        <w:rPr>
          <w:szCs w:val="26"/>
          <w:lang w:val="en-ZW"/>
        </w:rPr>
        <w:t xml:space="preserve"> we expressly stated that </w:t>
      </w:r>
      <w:r w:rsidR="00167374">
        <w:rPr>
          <w:szCs w:val="26"/>
          <w:lang w:val="en-ZW"/>
        </w:rPr>
        <w:t xml:space="preserve">WesPac’s public utility status </w:t>
      </w:r>
      <w:r>
        <w:rPr>
          <w:szCs w:val="26"/>
          <w:lang w:val="en-ZW"/>
        </w:rPr>
        <w:t xml:space="preserve">would be rescinded if the </w:t>
      </w:r>
      <w:r w:rsidR="00633640">
        <w:rPr>
          <w:szCs w:val="26"/>
          <w:lang w:val="en-ZW"/>
        </w:rPr>
        <w:t xml:space="preserve">proposed </w:t>
      </w:r>
      <w:r>
        <w:rPr>
          <w:szCs w:val="26"/>
          <w:lang w:val="en-ZW"/>
        </w:rPr>
        <w:t xml:space="preserve">pipeline was not </w:t>
      </w:r>
      <w:r w:rsidR="00C2368C">
        <w:rPr>
          <w:szCs w:val="26"/>
          <w:lang w:val="en-ZW"/>
        </w:rPr>
        <w:t>constructed</w:t>
      </w:r>
      <w:r>
        <w:rPr>
          <w:szCs w:val="26"/>
          <w:lang w:val="en-ZW"/>
        </w:rPr>
        <w:t xml:space="preserve"> </w:t>
      </w:r>
      <w:r w:rsidR="00C2368C">
        <w:rPr>
          <w:szCs w:val="26"/>
          <w:lang w:val="en-ZW"/>
        </w:rPr>
        <w:t>and</w:t>
      </w:r>
      <w:r>
        <w:rPr>
          <w:szCs w:val="26"/>
          <w:lang w:val="en-ZW"/>
        </w:rPr>
        <w:t xml:space="preserve"> dedicated for public use.</w:t>
      </w:r>
      <w:r w:rsidR="00CA628F">
        <w:rPr>
          <w:rStyle w:val="FootnoteReference"/>
          <w:szCs w:val="26"/>
          <w:lang w:val="en-ZW"/>
        </w:rPr>
        <w:footnoteReference w:id="65"/>
      </w:r>
      <w:r>
        <w:rPr>
          <w:szCs w:val="26"/>
          <w:lang w:val="en-ZW"/>
        </w:rPr>
        <w:t xml:space="preserve"> That interim designation </w:t>
      </w:r>
      <w:r w:rsidR="004B5E12">
        <w:rPr>
          <w:szCs w:val="26"/>
          <w:lang w:val="en-ZW"/>
        </w:rPr>
        <w:t>did not authorize</w:t>
      </w:r>
      <w:r w:rsidR="00002D74">
        <w:rPr>
          <w:szCs w:val="26"/>
          <w:lang w:val="en-ZW"/>
        </w:rPr>
        <w:t xml:space="preserve">, </w:t>
      </w:r>
      <w:r w:rsidR="00D87DF5">
        <w:rPr>
          <w:szCs w:val="26"/>
          <w:lang w:val="en-ZW"/>
        </w:rPr>
        <w:t>contemplate</w:t>
      </w:r>
      <w:r w:rsidR="00002D74">
        <w:rPr>
          <w:szCs w:val="26"/>
          <w:lang w:val="en-ZW"/>
        </w:rPr>
        <w:t>, or require</w:t>
      </w:r>
      <w:r w:rsidR="00D87DF5">
        <w:rPr>
          <w:szCs w:val="26"/>
          <w:lang w:val="en-ZW"/>
        </w:rPr>
        <w:t xml:space="preserve"> </w:t>
      </w:r>
      <w:r>
        <w:rPr>
          <w:szCs w:val="26"/>
          <w:lang w:val="en-ZW"/>
        </w:rPr>
        <w:t xml:space="preserve">WesPac </w:t>
      </w:r>
      <w:r w:rsidR="00345AF7">
        <w:rPr>
          <w:szCs w:val="26"/>
          <w:lang w:val="en-ZW"/>
        </w:rPr>
        <w:t xml:space="preserve">to </w:t>
      </w:r>
      <w:r w:rsidR="002C1B60">
        <w:rPr>
          <w:szCs w:val="26"/>
          <w:lang w:val="en-ZW"/>
        </w:rPr>
        <w:t>tak</w:t>
      </w:r>
      <w:r w:rsidR="004702B8">
        <w:rPr>
          <w:szCs w:val="26"/>
          <w:lang w:val="en-ZW"/>
        </w:rPr>
        <w:t>e</w:t>
      </w:r>
      <w:r w:rsidR="002C1B60">
        <w:rPr>
          <w:szCs w:val="26"/>
          <w:lang w:val="en-ZW"/>
        </w:rPr>
        <w:t xml:space="preserve"> </w:t>
      </w:r>
      <w:r w:rsidRPr="00364B37">
        <w:rPr>
          <w:szCs w:val="26"/>
          <w:lang w:val="en-ZW"/>
        </w:rPr>
        <w:t xml:space="preserve">present ownership and control of </w:t>
      </w:r>
      <w:r w:rsidR="00F558FA">
        <w:rPr>
          <w:szCs w:val="26"/>
          <w:lang w:val="en-ZW"/>
        </w:rPr>
        <w:t>a</w:t>
      </w:r>
      <w:r w:rsidR="00472D7E">
        <w:rPr>
          <w:szCs w:val="26"/>
          <w:lang w:val="en-ZW"/>
        </w:rPr>
        <w:t xml:space="preserve"> pre-</w:t>
      </w:r>
      <w:r w:rsidR="00F558FA">
        <w:rPr>
          <w:szCs w:val="26"/>
          <w:lang w:val="en-ZW"/>
        </w:rPr>
        <w:t>existing</w:t>
      </w:r>
      <w:r>
        <w:rPr>
          <w:szCs w:val="26"/>
          <w:lang w:val="en-ZW"/>
        </w:rPr>
        <w:t xml:space="preserve"> </w:t>
      </w:r>
      <w:r w:rsidRPr="00364B37">
        <w:rPr>
          <w:szCs w:val="26"/>
          <w:lang w:val="en-ZW"/>
        </w:rPr>
        <w:t>pipeline</w:t>
      </w:r>
      <w:r w:rsidR="000816CF">
        <w:rPr>
          <w:szCs w:val="26"/>
          <w:lang w:val="en-ZW"/>
        </w:rPr>
        <w:t xml:space="preserve"> </w:t>
      </w:r>
      <w:r w:rsidR="00731696">
        <w:rPr>
          <w:szCs w:val="26"/>
          <w:lang w:val="en-ZW"/>
        </w:rPr>
        <w:t xml:space="preserve">through eminent domain </w:t>
      </w:r>
      <w:r w:rsidR="00983FF5">
        <w:rPr>
          <w:szCs w:val="26"/>
          <w:lang w:val="en-ZW"/>
        </w:rPr>
        <w:t xml:space="preserve">– and did not </w:t>
      </w:r>
      <w:r w:rsidR="00894289">
        <w:rPr>
          <w:szCs w:val="26"/>
          <w:lang w:val="en-ZW"/>
        </w:rPr>
        <w:t xml:space="preserve">grant WesPac public utility status </w:t>
      </w:r>
      <w:r w:rsidR="007135EB">
        <w:rPr>
          <w:szCs w:val="26"/>
          <w:lang w:val="en-ZW"/>
        </w:rPr>
        <w:t>solely</w:t>
      </w:r>
      <w:r w:rsidR="00594918">
        <w:rPr>
          <w:szCs w:val="26"/>
          <w:lang w:val="en-ZW"/>
        </w:rPr>
        <w:t xml:space="preserve"> to </w:t>
      </w:r>
      <w:r w:rsidR="00480D0C">
        <w:rPr>
          <w:szCs w:val="26"/>
          <w:lang w:val="en-ZW"/>
        </w:rPr>
        <w:t>bestow</w:t>
      </w:r>
      <w:r w:rsidR="00781A45">
        <w:rPr>
          <w:szCs w:val="26"/>
          <w:lang w:val="en-ZW"/>
        </w:rPr>
        <w:t xml:space="preserve"> eminent domain powers </w:t>
      </w:r>
      <w:r w:rsidR="0025386B">
        <w:rPr>
          <w:szCs w:val="26"/>
          <w:lang w:val="en-ZW"/>
        </w:rPr>
        <w:t xml:space="preserve">to </w:t>
      </w:r>
      <w:r w:rsidR="00D37738">
        <w:rPr>
          <w:szCs w:val="26"/>
          <w:lang w:val="en-ZW"/>
        </w:rPr>
        <w:t xml:space="preserve">seize </w:t>
      </w:r>
      <w:r w:rsidR="008C378E">
        <w:rPr>
          <w:szCs w:val="26"/>
          <w:lang w:val="en-ZW"/>
        </w:rPr>
        <w:t xml:space="preserve">such </w:t>
      </w:r>
      <w:r w:rsidR="00D37738">
        <w:rPr>
          <w:szCs w:val="26"/>
          <w:lang w:val="en-ZW"/>
        </w:rPr>
        <w:t xml:space="preserve">necessary </w:t>
      </w:r>
      <w:r w:rsidR="008C378E">
        <w:rPr>
          <w:szCs w:val="26"/>
          <w:lang w:val="en-ZW"/>
        </w:rPr>
        <w:t>assets</w:t>
      </w:r>
      <w:r w:rsidR="001A4F01">
        <w:rPr>
          <w:szCs w:val="26"/>
          <w:lang w:val="en-ZW"/>
        </w:rPr>
        <w:t xml:space="preserve"> by condemnation</w:t>
      </w:r>
      <w:r w:rsidR="005F22D3">
        <w:rPr>
          <w:szCs w:val="26"/>
          <w:lang w:val="en-ZW"/>
        </w:rPr>
        <w:t xml:space="preserve"> of public </w:t>
      </w:r>
      <w:r w:rsidR="00C112E6">
        <w:rPr>
          <w:szCs w:val="26"/>
          <w:lang w:val="en-ZW"/>
        </w:rPr>
        <w:t>rights-of way</w:t>
      </w:r>
      <w:r>
        <w:rPr>
          <w:szCs w:val="26"/>
          <w:lang w:val="en-ZW"/>
        </w:rPr>
        <w:t xml:space="preserve">. </w:t>
      </w:r>
      <w:r w:rsidR="004B5E12">
        <w:rPr>
          <w:szCs w:val="26"/>
          <w:lang w:val="en-ZW"/>
        </w:rPr>
        <w:t>Instead,</w:t>
      </w:r>
      <w:r>
        <w:rPr>
          <w:szCs w:val="26"/>
          <w:lang w:val="en-ZW"/>
        </w:rPr>
        <w:t xml:space="preserve"> </w:t>
      </w:r>
      <w:r w:rsidR="004F6A4F">
        <w:rPr>
          <w:szCs w:val="26"/>
          <w:lang w:val="en-ZW"/>
        </w:rPr>
        <w:t xml:space="preserve">our </w:t>
      </w:r>
      <w:r>
        <w:rPr>
          <w:szCs w:val="26"/>
          <w:lang w:val="en-ZW"/>
        </w:rPr>
        <w:t xml:space="preserve">express conditions in </w:t>
      </w:r>
      <w:r w:rsidRPr="00D63827">
        <w:rPr>
          <w:szCs w:val="26"/>
        </w:rPr>
        <w:t>D.07-12-047</w:t>
      </w:r>
      <w:r>
        <w:rPr>
          <w:szCs w:val="26"/>
        </w:rPr>
        <w:t xml:space="preserve"> indicated the limited consequences of </w:t>
      </w:r>
      <w:r w:rsidR="006441B2">
        <w:rPr>
          <w:szCs w:val="26"/>
        </w:rPr>
        <w:t xml:space="preserve">WesPac’s </w:t>
      </w:r>
      <w:r>
        <w:rPr>
          <w:szCs w:val="26"/>
        </w:rPr>
        <w:t xml:space="preserve">interim public utility designation. </w:t>
      </w:r>
      <w:r>
        <w:rPr>
          <w:szCs w:val="26"/>
          <w:lang w:val="en-ZW"/>
        </w:rPr>
        <w:t xml:space="preserve">In contrast, CRPC does not </w:t>
      </w:r>
      <w:r w:rsidR="004B5E12">
        <w:rPr>
          <w:szCs w:val="26"/>
          <w:lang w:val="en-ZW"/>
        </w:rPr>
        <w:t xml:space="preserve">seek </w:t>
      </w:r>
      <w:r w:rsidR="00184A71">
        <w:rPr>
          <w:szCs w:val="26"/>
          <w:lang w:val="en-ZW"/>
        </w:rPr>
        <w:t xml:space="preserve">such </w:t>
      </w:r>
      <w:r w:rsidR="004B5E12">
        <w:rPr>
          <w:szCs w:val="26"/>
          <w:lang w:val="en-ZW"/>
        </w:rPr>
        <w:t>an</w:t>
      </w:r>
      <w:r>
        <w:rPr>
          <w:szCs w:val="26"/>
          <w:lang w:val="en-ZW"/>
        </w:rPr>
        <w:t xml:space="preserve"> interim</w:t>
      </w:r>
      <w:r w:rsidR="003233CA">
        <w:rPr>
          <w:szCs w:val="26"/>
          <w:lang w:val="en-ZW"/>
        </w:rPr>
        <w:t>, conditional</w:t>
      </w:r>
      <w:r>
        <w:rPr>
          <w:szCs w:val="26"/>
          <w:lang w:val="en-ZW"/>
        </w:rPr>
        <w:t xml:space="preserve"> designation. Instead, it seeks a final, </w:t>
      </w:r>
      <w:r w:rsidR="007A206A">
        <w:rPr>
          <w:szCs w:val="26"/>
          <w:lang w:val="en-ZW"/>
        </w:rPr>
        <w:t>unconditional</w:t>
      </w:r>
      <w:r>
        <w:rPr>
          <w:szCs w:val="26"/>
          <w:lang w:val="en-ZW"/>
        </w:rPr>
        <w:t xml:space="preserve"> designation </w:t>
      </w:r>
      <w:r w:rsidR="004B2DA4">
        <w:rPr>
          <w:szCs w:val="26"/>
          <w:lang w:val="en-ZW"/>
        </w:rPr>
        <w:t xml:space="preserve">granting it </w:t>
      </w:r>
      <w:r w:rsidR="00B11B14">
        <w:rPr>
          <w:szCs w:val="26"/>
          <w:lang w:val="en-ZW"/>
        </w:rPr>
        <w:t xml:space="preserve">new </w:t>
      </w:r>
      <w:r w:rsidR="004B2DA4">
        <w:rPr>
          <w:szCs w:val="26"/>
          <w:lang w:val="en-ZW"/>
        </w:rPr>
        <w:t>power</w:t>
      </w:r>
      <w:r w:rsidR="008F6AE5">
        <w:rPr>
          <w:szCs w:val="26"/>
          <w:lang w:val="en-ZW"/>
        </w:rPr>
        <w:t>s</w:t>
      </w:r>
      <w:r w:rsidR="00B11B14">
        <w:rPr>
          <w:szCs w:val="26"/>
          <w:lang w:val="en-ZW"/>
        </w:rPr>
        <w:t>,</w:t>
      </w:r>
      <w:r w:rsidR="004B2DA4">
        <w:rPr>
          <w:szCs w:val="26"/>
          <w:lang w:val="en-ZW"/>
        </w:rPr>
        <w:t xml:space="preserve"> </w:t>
      </w:r>
      <w:r w:rsidR="0028322C">
        <w:rPr>
          <w:szCs w:val="26"/>
          <w:lang w:val="en-ZW"/>
        </w:rPr>
        <w:t>as a public utility</w:t>
      </w:r>
      <w:r w:rsidR="00B11B14">
        <w:rPr>
          <w:szCs w:val="26"/>
          <w:lang w:val="en-ZW"/>
        </w:rPr>
        <w:t>,</w:t>
      </w:r>
      <w:r w:rsidR="0028322C">
        <w:rPr>
          <w:szCs w:val="26"/>
          <w:lang w:val="en-ZW"/>
        </w:rPr>
        <w:t xml:space="preserve"> </w:t>
      </w:r>
      <w:r w:rsidR="00781A45">
        <w:rPr>
          <w:szCs w:val="26"/>
          <w:lang w:val="en-ZW"/>
        </w:rPr>
        <w:t xml:space="preserve">for the </w:t>
      </w:r>
      <w:r w:rsidR="00AB3A58">
        <w:rPr>
          <w:szCs w:val="26"/>
          <w:lang w:val="en-ZW"/>
        </w:rPr>
        <w:t xml:space="preserve">primary </w:t>
      </w:r>
      <w:r w:rsidR="00781A45">
        <w:rPr>
          <w:szCs w:val="26"/>
          <w:lang w:val="en-ZW"/>
        </w:rPr>
        <w:t xml:space="preserve">purpose of </w:t>
      </w:r>
      <w:r w:rsidR="004B2DA4">
        <w:rPr>
          <w:szCs w:val="26"/>
          <w:lang w:val="en-ZW"/>
        </w:rPr>
        <w:t>tak</w:t>
      </w:r>
      <w:r w:rsidR="00781A45">
        <w:rPr>
          <w:szCs w:val="26"/>
          <w:lang w:val="en-ZW"/>
        </w:rPr>
        <w:t>ing</w:t>
      </w:r>
      <w:r w:rsidR="004B2DA4">
        <w:rPr>
          <w:szCs w:val="26"/>
          <w:lang w:val="en-ZW"/>
        </w:rPr>
        <w:t xml:space="preserve"> </w:t>
      </w:r>
      <w:r w:rsidR="00BC416D">
        <w:rPr>
          <w:szCs w:val="26"/>
          <w:lang w:val="en-ZW"/>
        </w:rPr>
        <w:t>public property within the Cities by use of eminent domain</w:t>
      </w:r>
      <w:r>
        <w:rPr>
          <w:szCs w:val="26"/>
          <w:lang w:val="en-ZW"/>
        </w:rPr>
        <w:t xml:space="preserve">. </w:t>
      </w:r>
    </w:p>
    <w:p w:rsidRPr="00433F0C" w:rsidR="001F0EE7" w:rsidP="00555BCF" w:rsidRDefault="00FE1F5A" w14:paraId="72822B59" w14:textId="3F4906AE">
      <w:r w:rsidRPr="008C11B0">
        <w:rPr>
          <w:szCs w:val="26"/>
          <w:lang w:val="en-ZW"/>
        </w:rPr>
        <w:lastRenderedPageBreak/>
        <w:t>A final</w:t>
      </w:r>
      <w:r w:rsidRPr="008C11B0" w:rsidR="00555BCF">
        <w:rPr>
          <w:szCs w:val="26"/>
          <w:lang w:val="en-ZW"/>
        </w:rPr>
        <w:t xml:space="preserve"> Commission decision </w:t>
      </w:r>
      <w:r w:rsidRPr="008C11B0" w:rsidR="001C4027">
        <w:rPr>
          <w:szCs w:val="26"/>
          <w:lang w:val="en-ZW"/>
        </w:rPr>
        <w:t xml:space="preserve">for CRPC </w:t>
      </w:r>
      <w:r w:rsidR="00D21E3E">
        <w:rPr>
          <w:szCs w:val="26"/>
          <w:lang w:val="en-ZW"/>
        </w:rPr>
        <w:t xml:space="preserve">at this time and </w:t>
      </w:r>
      <w:r w:rsidR="000F5C79">
        <w:rPr>
          <w:szCs w:val="26"/>
          <w:lang w:val="en-ZW"/>
        </w:rPr>
        <w:t xml:space="preserve">under </w:t>
      </w:r>
      <w:r w:rsidR="00D21E3E">
        <w:rPr>
          <w:szCs w:val="26"/>
          <w:lang w:val="en-ZW"/>
        </w:rPr>
        <w:t xml:space="preserve">the present circumstances </w:t>
      </w:r>
      <w:r w:rsidRPr="008C11B0" w:rsidR="00555BCF">
        <w:rPr>
          <w:szCs w:val="26"/>
          <w:lang w:val="en-ZW"/>
        </w:rPr>
        <w:t xml:space="preserve">here would </w:t>
      </w:r>
      <w:r w:rsidRPr="008C11B0" w:rsidR="00F86551">
        <w:rPr>
          <w:szCs w:val="26"/>
          <w:lang w:val="en-ZW"/>
        </w:rPr>
        <w:t xml:space="preserve">negate </w:t>
      </w:r>
      <w:r w:rsidRPr="008C11B0" w:rsidR="00555BCF">
        <w:rPr>
          <w:szCs w:val="26"/>
          <w:lang w:val="en-ZW"/>
        </w:rPr>
        <w:t xml:space="preserve">the requirement that CRPC establish its </w:t>
      </w:r>
      <w:r w:rsidRPr="008C11B0" w:rsidR="00555BCF">
        <w:rPr>
          <w:i/>
          <w:iCs/>
          <w:szCs w:val="26"/>
          <w:lang w:val="en-ZW"/>
        </w:rPr>
        <w:t xml:space="preserve">present </w:t>
      </w:r>
      <w:r w:rsidRPr="008C11B0" w:rsidR="00555BCF">
        <w:rPr>
          <w:szCs w:val="26"/>
          <w:lang w:val="en-ZW"/>
        </w:rPr>
        <w:t>ownership</w:t>
      </w:r>
      <w:r w:rsidRPr="008C11B0" w:rsidR="00F068FA">
        <w:rPr>
          <w:szCs w:val="26"/>
        </w:rPr>
        <w:t>,</w:t>
      </w:r>
      <w:r w:rsidRPr="00433F0C" w:rsidR="00F068FA">
        <w:t xml:space="preserve"> control</w:t>
      </w:r>
      <w:r w:rsidRPr="008C11B0" w:rsidR="00F068FA">
        <w:rPr>
          <w:szCs w:val="26"/>
        </w:rPr>
        <w:t>, operation, or management</w:t>
      </w:r>
      <w:r w:rsidRPr="00433F0C" w:rsidR="00F068FA">
        <w:t xml:space="preserve"> of </w:t>
      </w:r>
      <w:r w:rsidRPr="008C11B0" w:rsidR="00F068FA">
        <w:rPr>
          <w:szCs w:val="26"/>
        </w:rPr>
        <w:t xml:space="preserve"> the full</w:t>
      </w:r>
      <w:r w:rsidRPr="00433F0C" w:rsidR="00F068FA">
        <w:t xml:space="preserve"> </w:t>
      </w:r>
      <w:r w:rsidRPr="00433F0C" w:rsidR="00D31B46">
        <w:t>UI P</w:t>
      </w:r>
      <w:r w:rsidRPr="00433F0C" w:rsidR="00F068FA">
        <w:t xml:space="preserve">ipeline </w:t>
      </w:r>
      <w:r w:rsidRPr="00433F0C" w:rsidR="003D3521">
        <w:t xml:space="preserve">to </w:t>
      </w:r>
      <w:r w:rsidRPr="008C11B0" w:rsidR="003D3521">
        <w:rPr>
          <w:szCs w:val="26"/>
        </w:rPr>
        <w:t xml:space="preserve">qualify as a </w:t>
      </w:r>
      <w:r w:rsidRPr="008C11B0" w:rsidR="00F068FA">
        <w:rPr>
          <w:rFonts w:eastAsia="Calibri" w:cs="Times New Roman"/>
        </w:rPr>
        <w:t xml:space="preserve">“gas corporation” under Pub. Util. Code sections 222 </w:t>
      </w:r>
      <w:r w:rsidRPr="008C11B0" w:rsidR="0063076F">
        <w:rPr>
          <w:rFonts w:eastAsia="Calibri" w:cs="Times New Roman"/>
        </w:rPr>
        <w:t>and</w:t>
      </w:r>
      <w:r w:rsidRPr="008C11B0" w:rsidR="00F068FA">
        <w:rPr>
          <w:rFonts w:eastAsia="Calibri" w:cs="Times New Roman"/>
        </w:rPr>
        <w:t xml:space="preserve"> a “</w:t>
      </w:r>
      <w:r w:rsidRPr="00153B35" w:rsidR="00F068FA">
        <w:t xml:space="preserve">public </w:t>
      </w:r>
      <w:r w:rsidRPr="008C11B0" w:rsidR="00F068FA">
        <w:rPr>
          <w:rFonts w:eastAsia="Calibri" w:cs="Times New Roman"/>
        </w:rPr>
        <w:t>utility” under Pub. Util. Code section 216(a)(1).</w:t>
      </w:r>
      <w:r w:rsidRPr="00433F0C" w:rsidR="00F068FA">
        <w:t xml:space="preserve"> </w:t>
      </w:r>
      <w:r w:rsidRPr="008C11B0" w:rsidR="004E301B">
        <w:rPr>
          <w:szCs w:val="26"/>
          <w:lang w:val="en-ZW"/>
        </w:rPr>
        <w:t>T</w:t>
      </w:r>
      <w:r w:rsidRPr="008C11B0" w:rsidR="00555BCF">
        <w:rPr>
          <w:szCs w:val="26"/>
          <w:lang w:val="en-ZW"/>
        </w:rPr>
        <w:t>he</w:t>
      </w:r>
      <w:r w:rsidRPr="008C11B0" w:rsidR="00886BFD">
        <w:rPr>
          <w:szCs w:val="26"/>
          <w:lang w:val="en-ZW"/>
        </w:rPr>
        <w:t xml:space="preserve"> </w:t>
      </w:r>
      <w:r w:rsidRPr="008C11B0" w:rsidR="00555BCF">
        <w:rPr>
          <w:szCs w:val="26"/>
          <w:lang w:val="en-ZW"/>
        </w:rPr>
        <w:t xml:space="preserve">record in this </w:t>
      </w:r>
      <w:bookmarkStart w:name="_Hlk206075356" w:id="121"/>
      <w:r w:rsidRPr="008C11B0" w:rsidR="00555BCF">
        <w:rPr>
          <w:szCs w:val="26"/>
          <w:lang w:val="en-ZW"/>
        </w:rPr>
        <w:t>proceeding</w:t>
      </w:r>
      <w:r w:rsidRPr="008C11B0" w:rsidR="004E301B">
        <w:rPr>
          <w:szCs w:val="26"/>
          <w:lang w:val="en-ZW"/>
        </w:rPr>
        <w:t xml:space="preserve"> does not warrant </w:t>
      </w:r>
      <w:r w:rsidRPr="008C11B0" w:rsidR="00967E74">
        <w:rPr>
          <w:szCs w:val="26"/>
          <w:lang w:val="en-ZW"/>
        </w:rPr>
        <w:t xml:space="preserve">granting </w:t>
      </w:r>
      <w:r w:rsidRPr="008C11B0" w:rsidR="004E301B">
        <w:rPr>
          <w:szCs w:val="26"/>
          <w:lang w:val="en-ZW"/>
        </w:rPr>
        <w:t xml:space="preserve">CRPC’s </w:t>
      </w:r>
      <w:r w:rsidRPr="008C11B0" w:rsidR="00797072">
        <w:rPr>
          <w:szCs w:val="26"/>
          <w:lang w:val="en-ZW"/>
        </w:rPr>
        <w:t>A</w:t>
      </w:r>
      <w:r w:rsidRPr="008C11B0" w:rsidR="004E301B">
        <w:rPr>
          <w:szCs w:val="26"/>
          <w:lang w:val="en-ZW"/>
        </w:rPr>
        <w:t xml:space="preserve">pplication </w:t>
      </w:r>
      <w:r w:rsidRPr="008C11B0" w:rsidR="00797072">
        <w:rPr>
          <w:szCs w:val="26"/>
          <w:lang w:val="en-ZW"/>
        </w:rPr>
        <w:t>or</w:t>
      </w:r>
      <w:r w:rsidRPr="008C11B0" w:rsidR="004E301B">
        <w:rPr>
          <w:szCs w:val="26"/>
          <w:lang w:val="en-ZW"/>
        </w:rPr>
        <w:t xml:space="preserve"> request</w:t>
      </w:r>
      <w:bookmarkEnd w:id="121"/>
      <w:r w:rsidRPr="006C10E5" w:rsidR="00503398">
        <w:rPr>
          <w:szCs w:val="26"/>
          <w:lang w:val="en-ZW"/>
        </w:rPr>
        <w:t xml:space="preserve"> at this time</w:t>
      </w:r>
      <w:r w:rsidRPr="008C11B0" w:rsidR="00555BCF">
        <w:rPr>
          <w:szCs w:val="26"/>
          <w:lang w:val="en-ZW"/>
        </w:rPr>
        <w:t>.</w:t>
      </w:r>
      <w:r w:rsidR="00555BCF">
        <w:rPr>
          <w:szCs w:val="26"/>
          <w:lang w:val="en-ZW"/>
        </w:rPr>
        <w:t xml:space="preserve"> </w:t>
      </w:r>
      <w:bookmarkStart w:name="_Toc211532400" w:id="122"/>
      <w:bookmarkStart w:name="_Toc211532401" w:id="123"/>
      <w:bookmarkEnd w:id="122"/>
      <w:bookmarkEnd w:id="123"/>
    </w:p>
    <w:p w:rsidR="00F36596" w:rsidP="00A127CD" w:rsidRDefault="00685763" w14:paraId="53697505" w14:textId="47ADF95F">
      <w:pPr>
        <w:pStyle w:val="Heading2"/>
      </w:pPr>
      <w:bookmarkStart w:name="_Toc211606203" w:id="124"/>
      <w:bookmarkStart w:name="_Toc220596331" w:id="125"/>
      <w:bookmarkStart w:name="_Toc220972214" w:id="126"/>
      <w:r w:rsidRPr="00685763">
        <w:t>CPCN to Operate the UI Pipeline</w:t>
      </w:r>
      <w:bookmarkEnd w:id="124"/>
      <w:bookmarkEnd w:id="125"/>
      <w:bookmarkEnd w:id="126"/>
    </w:p>
    <w:p w:rsidR="00B029E0" w:rsidP="00B029E0" w:rsidRDefault="00B029E0" w14:paraId="373FF1CB" w14:textId="6F921F8B">
      <w:pPr>
        <w:rPr>
          <w:szCs w:val="26"/>
        </w:rPr>
      </w:pPr>
      <w:r>
        <w:rPr>
          <w:szCs w:val="26"/>
        </w:rPr>
        <w:t>CRPC</w:t>
      </w:r>
      <w:r w:rsidR="004B5E12">
        <w:rPr>
          <w:szCs w:val="26"/>
        </w:rPr>
        <w:t xml:space="preserve">’s </w:t>
      </w:r>
      <w:r w:rsidR="00064931">
        <w:rPr>
          <w:szCs w:val="26"/>
        </w:rPr>
        <w:t xml:space="preserve">present </w:t>
      </w:r>
      <w:r w:rsidR="004B5E12">
        <w:rPr>
          <w:szCs w:val="26"/>
        </w:rPr>
        <w:t xml:space="preserve">request for </w:t>
      </w:r>
      <w:r w:rsidR="00020C48">
        <w:rPr>
          <w:szCs w:val="26"/>
        </w:rPr>
        <w:t xml:space="preserve">a </w:t>
      </w:r>
      <w:r w:rsidR="004B5E12">
        <w:rPr>
          <w:szCs w:val="26"/>
        </w:rPr>
        <w:t xml:space="preserve">CPCN </w:t>
      </w:r>
      <w:r w:rsidRPr="00C73CF4" w:rsidR="00C73CF4">
        <w:rPr>
          <w:szCs w:val="26"/>
        </w:rPr>
        <w:t xml:space="preserve">to operate the UI Pipeline </w:t>
      </w:r>
      <w:r w:rsidR="004B5E12">
        <w:rPr>
          <w:szCs w:val="26"/>
        </w:rPr>
        <w:t xml:space="preserve">is </w:t>
      </w:r>
      <w:r w:rsidR="00FA72AF">
        <w:rPr>
          <w:szCs w:val="26"/>
        </w:rPr>
        <w:t>dismissed</w:t>
      </w:r>
      <w:r w:rsidR="00593A71">
        <w:rPr>
          <w:szCs w:val="26"/>
        </w:rPr>
        <w:t xml:space="preserve"> without prejudice</w:t>
      </w:r>
      <w:r>
        <w:rPr>
          <w:szCs w:val="26"/>
        </w:rPr>
        <w:t>.</w:t>
      </w:r>
    </w:p>
    <w:p w:rsidR="00F025A1" w:rsidP="00A127CD" w:rsidRDefault="00F025A1" w14:paraId="1B314943" w14:textId="7E67BE36">
      <w:pPr>
        <w:pStyle w:val="Heading3"/>
      </w:pPr>
      <w:bookmarkStart w:name="_Toc211606204" w:id="127"/>
      <w:bookmarkStart w:name="_Toc220596332" w:id="128"/>
      <w:bookmarkStart w:name="_Toc220972215" w:id="129"/>
      <w:r>
        <w:t>Section 1001(a)</w:t>
      </w:r>
      <w:bookmarkEnd w:id="127"/>
      <w:bookmarkEnd w:id="128"/>
      <w:bookmarkEnd w:id="129"/>
    </w:p>
    <w:p w:rsidR="00407115" w:rsidP="00CE3F09" w:rsidRDefault="00F47EE4" w14:paraId="357ADF5D" w14:textId="569434A1">
      <w:pPr>
        <w:rPr>
          <w:szCs w:val="26"/>
        </w:rPr>
      </w:pPr>
      <w:r>
        <w:rPr>
          <w:szCs w:val="26"/>
        </w:rPr>
        <w:t xml:space="preserve">In the instant Application, </w:t>
      </w:r>
      <w:r w:rsidR="00C73CF4">
        <w:rPr>
          <w:szCs w:val="26"/>
        </w:rPr>
        <w:t>CRPC</w:t>
      </w:r>
      <w:r w:rsidR="00CE3F09">
        <w:rPr>
          <w:szCs w:val="26"/>
        </w:rPr>
        <w:t xml:space="preserve"> </w:t>
      </w:r>
      <w:r w:rsidR="001037A6">
        <w:rPr>
          <w:szCs w:val="26"/>
        </w:rPr>
        <w:t>proposes</w:t>
      </w:r>
      <w:r w:rsidR="00CE3F09">
        <w:rPr>
          <w:szCs w:val="26"/>
        </w:rPr>
        <w:t xml:space="preserve"> no construction or extension involving the UI Pipeline</w:t>
      </w:r>
      <w:r w:rsidR="000E2E12">
        <w:rPr>
          <w:szCs w:val="26"/>
        </w:rPr>
        <w:t>. Instead</w:t>
      </w:r>
      <w:r w:rsidR="00CE3F09">
        <w:rPr>
          <w:szCs w:val="26"/>
        </w:rPr>
        <w:t xml:space="preserve">, </w:t>
      </w:r>
      <w:r w:rsidR="00C73CF4">
        <w:rPr>
          <w:szCs w:val="26"/>
        </w:rPr>
        <w:t xml:space="preserve">it </w:t>
      </w:r>
      <w:r w:rsidR="00447C9D">
        <w:rPr>
          <w:szCs w:val="26"/>
        </w:rPr>
        <w:t xml:space="preserve">seeks a CPCN </w:t>
      </w:r>
      <w:r w:rsidR="00D1593F">
        <w:rPr>
          <w:szCs w:val="26"/>
        </w:rPr>
        <w:t xml:space="preserve">merely </w:t>
      </w:r>
      <w:r w:rsidR="00447C9D">
        <w:rPr>
          <w:szCs w:val="26"/>
        </w:rPr>
        <w:t xml:space="preserve">to </w:t>
      </w:r>
      <w:r w:rsidRPr="00BB3C7F" w:rsidR="00447C9D">
        <w:rPr>
          <w:i/>
          <w:iCs/>
          <w:szCs w:val="26"/>
        </w:rPr>
        <w:t>operate</w:t>
      </w:r>
      <w:r w:rsidR="00447C9D">
        <w:rPr>
          <w:szCs w:val="26"/>
        </w:rPr>
        <w:t xml:space="preserve"> the existing pipeline under Section 1001. </w:t>
      </w:r>
      <w:r w:rsidR="008C21AA">
        <w:rPr>
          <w:szCs w:val="26"/>
        </w:rPr>
        <w:t>C</w:t>
      </w:r>
      <w:r w:rsidR="00CE3F09">
        <w:rPr>
          <w:szCs w:val="26"/>
        </w:rPr>
        <w:t xml:space="preserve">onstruction or extension </w:t>
      </w:r>
      <w:r w:rsidR="008C21AA">
        <w:rPr>
          <w:szCs w:val="26"/>
        </w:rPr>
        <w:t>are</w:t>
      </w:r>
      <w:r w:rsidR="00197855">
        <w:rPr>
          <w:szCs w:val="26"/>
        </w:rPr>
        <w:t xml:space="preserve"> the </w:t>
      </w:r>
      <w:r w:rsidR="0056759C">
        <w:rPr>
          <w:szCs w:val="26"/>
        </w:rPr>
        <w:t>express statutory</w:t>
      </w:r>
      <w:r w:rsidR="00197855">
        <w:rPr>
          <w:szCs w:val="26"/>
        </w:rPr>
        <w:t xml:space="preserve"> purpose</w:t>
      </w:r>
      <w:r w:rsidR="008C21AA">
        <w:rPr>
          <w:szCs w:val="26"/>
        </w:rPr>
        <w:t>s</w:t>
      </w:r>
      <w:r w:rsidR="00197855">
        <w:rPr>
          <w:szCs w:val="26"/>
        </w:rPr>
        <w:t xml:space="preserve"> of </w:t>
      </w:r>
      <w:r w:rsidR="00530ACE">
        <w:rPr>
          <w:szCs w:val="26"/>
        </w:rPr>
        <w:t xml:space="preserve">a </w:t>
      </w:r>
      <w:r w:rsidR="00163C7C">
        <w:rPr>
          <w:szCs w:val="26"/>
        </w:rPr>
        <w:t xml:space="preserve">Commission </w:t>
      </w:r>
      <w:r w:rsidR="00DE54E7">
        <w:rPr>
          <w:szCs w:val="26"/>
        </w:rPr>
        <w:t xml:space="preserve">gas pipeline </w:t>
      </w:r>
      <w:r w:rsidR="00530ACE">
        <w:rPr>
          <w:szCs w:val="26"/>
        </w:rPr>
        <w:t>CPCN</w:t>
      </w:r>
      <w:r w:rsidR="000E2E12">
        <w:rPr>
          <w:szCs w:val="26"/>
        </w:rPr>
        <w:t xml:space="preserve">. </w:t>
      </w:r>
    </w:p>
    <w:p w:rsidR="00CE3F09" w:rsidP="00CE3F09" w:rsidRDefault="00CE3F09" w14:paraId="04ABB20E" w14:textId="6FDABC68">
      <w:pPr>
        <w:rPr>
          <w:szCs w:val="26"/>
        </w:rPr>
      </w:pPr>
      <w:r>
        <w:rPr>
          <w:szCs w:val="26"/>
        </w:rPr>
        <w:t>Section 1001(a) provides as follows:</w:t>
      </w:r>
    </w:p>
    <w:p w:rsidR="00CE3F09" w:rsidP="004F439D" w:rsidRDefault="00CE3F09" w14:paraId="49DA7536" w14:textId="30023959">
      <w:pPr>
        <w:spacing w:line="240" w:lineRule="auto"/>
        <w:ind w:left="720" w:firstLine="0"/>
        <w:rPr>
          <w:szCs w:val="26"/>
          <w:lang w:val="en-ZW"/>
        </w:rPr>
      </w:pPr>
      <w:r w:rsidRPr="00AF6DDE">
        <w:rPr>
          <w:szCs w:val="26"/>
        </w:rPr>
        <w:t>A </w:t>
      </w:r>
      <w:r w:rsidR="00544DC6">
        <w:rPr>
          <w:szCs w:val="26"/>
        </w:rPr>
        <w:t>. . .</w:t>
      </w:r>
      <w:r w:rsidRPr="00AF6DDE">
        <w:rPr>
          <w:szCs w:val="26"/>
        </w:rPr>
        <w:t xml:space="preserve"> </w:t>
      </w:r>
      <w:r w:rsidRPr="0076399C">
        <w:rPr>
          <w:b/>
          <w:bCs/>
          <w:i/>
          <w:iCs/>
          <w:szCs w:val="26"/>
        </w:rPr>
        <w:t>gas corporation</w:t>
      </w:r>
      <w:r w:rsidRPr="00AF6DDE">
        <w:rPr>
          <w:szCs w:val="26"/>
        </w:rPr>
        <w:t xml:space="preserve">, </w:t>
      </w:r>
      <w:r w:rsidR="00DA2D52">
        <w:rPr>
          <w:szCs w:val="26"/>
        </w:rPr>
        <w:t>. . .</w:t>
      </w:r>
      <w:r w:rsidRPr="00BB71E7">
        <w:rPr>
          <w:szCs w:val="26"/>
        </w:rPr>
        <w:t xml:space="preserve"> shall not </w:t>
      </w:r>
      <w:r w:rsidRPr="00433F0C">
        <w:rPr>
          <w:b/>
          <w:i/>
        </w:rPr>
        <w:t>begin the construction</w:t>
      </w:r>
      <w:r w:rsidRPr="00BB71E7">
        <w:rPr>
          <w:szCs w:val="26"/>
        </w:rPr>
        <w:t xml:space="preserve"> </w:t>
      </w:r>
      <w:r w:rsidR="006459E2">
        <w:rPr>
          <w:szCs w:val="26"/>
        </w:rPr>
        <w:t>. . .</w:t>
      </w:r>
      <w:r w:rsidRPr="00BB71E7">
        <w:rPr>
          <w:szCs w:val="26"/>
        </w:rPr>
        <w:t xml:space="preserve"> of a line, plant, or system, or of </w:t>
      </w:r>
      <w:r w:rsidRPr="00C573AC">
        <w:rPr>
          <w:b/>
          <w:bCs/>
          <w:i/>
          <w:iCs/>
          <w:szCs w:val="26"/>
        </w:rPr>
        <w:t>any extension</w:t>
      </w:r>
      <w:r w:rsidRPr="00BB71E7">
        <w:rPr>
          <w:szCs w:val="26"/>
        </w:rPr>
        <w:t xml:space="preserve"> thereof, without having first obtained from the commission a certificate that the present or future public convenience and necessity require or will </w:t>
      </w:r>
      <w:r w:rsidRPr="00433F0C">
        <w:rPr>
          <w:b/>
          <w:i/>
        </w:rPr>
        <w:t>require its construction</w:t>
      </w:r>
      <w:r w:rsidRPr="00BB71E7">
        <w:rPr>
          <w:szCs w:val="26"/>
        </w:rPr>
        <w:t>.</w:t>
      </w:r>
      <w:r>
        <w:rPr>
          <w:b/>
          <w:bCs/>
          <w:i/>
          <w:iCs/>
          <w:szCs w:val="26"/>
        </w:rPr>
        <w:t xml:space="preserve"> </w:t>
      </w:r>
      <w:r w:rsidRPr="00D81C38">
        <w:rPr>
          <w:szCs w:val="26"/>
        </w:rPr>
        <w:t>(</w:t>
      </w:r>
      <w:r>
        <w:rPr>
          <w:szCs w:val="26"/>
        </w:rPr>
        <w:t>emphasis</w:t>
      </w:r>
      <w:r w:rsidRPr="00D81C38">
        <w:rPr>
          <w:szCs w:val="26"/>
        </w:rPr>
        <w:t xml:space="preserve"> added)</w:t>
      </w:r>
      <w:r>
        <w:rPr>
          <w:szCs w:val="26"/>
        </w:rPr>
        <w:t>.</w:t>
      </w:r>
    </w:p>
    <w:p w:rsidR="00F36596" w:rsidP="00A127CD" w:rsidRDefault="00F36596" w14:paraId="294BA883" w14:textId="77777777">
      <w:pPr>
        <w:spacing w:line="240" w:lineRule="auto"/>
        <w:rPr>
          <w:szCs w:val="26"/>
        </w:rPr>
      </w:pPr>
    </w:p>
    <w:p w:rsidR="00B76606" w:rsidP="00153B35" w:rsidRDefault="00E603EA" w14:paraId="32FAC061" w14:textId="463A06FF">
      <w:pPr>
        <w:rPr>
          <w:szCs w:val="26"/>
          <w:lang w:val="en-ZW"/>
        </w:rPr>
      </w:pPr>
      <w:r>
        <w:rPr>
          <w:szCs w:val="26"/>
          <w:lang w:val="en-ZW"/>
        </w:rPr>
        <w:t>Significantly</w:t>
      </w:r>
      <w:r w:rsidR="001A0C3F">
        <w:rPr>
          <w:szCs w:val="26"/>
          <w:lang w:val="en-ZW"/>
        </w:rPr>
        <w:t xml:space="preserve">, </w:t>
      </w:r>
      <w:r w:rsidR="001A77AD">
        <w:rPr>
          <w:szCs w:val="26"/>
          <w:lang w:val="en-ZW"/>
        </w:rPr>
        <w:t xml:space="preserve">the plain language of </w:t>
      </w:r>
      <w:r w:rsidR="001A0C3F">
        <w:rPr>
          <w:szCs w:val="26"/>
        </w:rPr>
        <w:t xml:space="preserve">Section 1001(a) </w:t>
      </w:r>
      <w:r w:rsidRPr="00870AEE" w:rsidR="001A0C3F">
        <w:rPr>
          <w:szCs w:val="26"/>
          <w:lang w:val="en-ZW"/>
        </w:rPr>
        <w:t>authorizes the Commission to grant a CPCN to a “gas corporation</w:t>
      </w:r>
      <w:r w:rsidR="000E3EE9">
        <w:rPr>
          <w:szCs w:val="26"/>
          <w:lang w:val="en-ZW"/>
        </w:rPr>
        <w:t xml:space="preserve">” </w:t>
      </w:r>
      <w:r w:rsidRPr="000E3EE9" w:rsidR="000E3EE9">
        <w:rPr>
          <w:szCs w:val="26"/>
          <w:lang w:val="en-ZW"/>
        </w:rPr>
        <w:t xml:space="preserve">in order to “begin … </w:t>
      </w:r>
      <w:r w:rsidRPr="000E3EE9" w:rsidR="000E3EE9">
        <w:rPr>
          <w:szCs w:val="26"/>
          <w:lang w:val="en-ZW"/>
        </w:rPr>
        <w:lastRenderedPageBreak/>
        <w:t>construction.”</w:t>
      </w:r>
      <w:r w:rsidRPr="000E3EE9" w:rsidR="000E3EE9">
        <w:rPr>
          <w:szCs w:val="26"/>
          <w:vertAlign w:val="superscript"/>
        </w:rPr>
        <w:t xml:space="preserve"> </w:t>
      </w:r>
      <w:r w:rsidRPr="000E3EE9" w:rsidR="000E3EE9">
        <w:rPr>
          <w:szCs w:val="26"/>
          <w:vertAlign w:val="superscript"/>
        </w:rPr>
        <w:footnoteReference w:id="66"/>
      </w:r>
      <w:r w:rsidRPr="00870AEE" w:rsidR="001A0C3F">
        <w:rPr>
          <w:szCs w:val="26"/>
          <w:lang w:val="en-ZW"/>
        </w:rPr>
        <w:t xml:space="preserve"> </w:t>
      </w:r>
      <w:r w:rsidR="00C73CF4">
        <w:rPr>
          <w:szCs w:val="26"/>
          <w:lang w:val="en-ZW"/>
        </w:rPr>
        <w:t>Moreover, the California Supreme Court established that Section 1001 only applies to public utilities.</w:t>
      </w:r>
      <w:r w:rsidR="00C73CF4">
        <w:rPr>
          <w:rStyle w:val="FootnoteReference"/>
          <w:szCs w:val="26"/>
          <w:lang w:val="en-ZW"/>
        </w:rPr>
        <w:footnoteReference w:id="67"/>
      </w:r>
      <w:r w:rsidR="00C73CF4">
        <w:rPr>
          <w:szCs w:val="26"/>
          <w:lang w:val="en-ZW"/>
        </w:rPr>
        <w:t xml:space="preserve"> </w:t>
      </w:r>
    </w:p>
    <w:p w:rsidR="00F36596" w:rsidP="00433F0C" w:rsidRDefault="001A0C3F" w14:paraId="13885A4E" w14:textId="53D10BA2">
      <w:pPr>
        <w:rPr>
          <w:szCs w:val="26"/>
          <w:lang w:val="en-ZW"/>
        </w:rPr>
      </w:pPr>
      <w:r w:rsidRPr="00870AEE">
        <w:rPr>
          <w:szCs w:val="26"/>
          <w:lang w:val="en-ZW"/>
        </w:rPr>
        <w:t xml:space="preserve">As discussed above, </w:t>
      </w:r>
      <w:r w:rsidR="00D64868">
        <w:rPr>
          <w:szCs w:val="26"/>
          <w:lang w:val="en-ZW"/>
        </w:rPr>
        <w:t xml:space="preserve">it is premature to determine whether </w:t>
      </w:r>
      <w:r w:rsidR="00512208">
        <w:rPr>
          <w:szCs w:val="26"/>
          <w:lang w:val="en-ZW"/>
        </w:rPr>
        <w:t>CRPC</w:t>
      </w:r>
      <w:r w:rsidRPr="00870AEE" w:rsidR="00512208">
        <w:rPr>
          <w:szCs w:val="26"/>
          <w:lang w:val="en-ZW"/>
        </w:rPr>
        <w:t xml:space="preserve"> </w:t>
      </w:r>
      <w:r w:rsidRPr="00870AEE">
        <w:rPr>
          <w:szCs w:val="26"/>
          <w:lang w:val="en-ZW"/>
        </w:rPr>
        <w:t xml:space="preserve">is </w:t>
      </w:r>
      <w:r w:rsidR="00C73CF4">
        <w:rPr>
          <w:szCs w:val="26"/>
          <w:lang w:val="en-ZW"/>
        </w:rPr>
        <w:t>a public utility</w:t>
      </w:r>
      <w:r w:rsidR="00754E5B">
        <w:rPr>
          <w:szCs w:val="26"/>
          <w:lang w:val="en-ZW"/>
        </w:rPr>
        <w:t xml:space="preserve"> under Section </w:t>
      </w:r>
      <w:r w:rsidR="0006285E">
        <w:rPr>
          <w:szCs w:val="26"/>
          <w:lang w:val="en-ZW"/>
        </w:rPr>
        <w:t>216</w:t>
      </w:r>
      <w:r w:rsidR="00291BF9">
        <w:rPr>
          <w:szCs w:val="26"/>
          <w:lang w:val="en-ZW"/>
        </w:rPr>
        <w:t xml:space="preserve">, </w:t>
      </w:r>
      <w:r w:rsidR="002748C3">
        <w:rPr>
          <w:szCs w:val="26"/>
          <w:lang w:val="en-ZW"/>
        </w:rPr>
        <w:t xml:space="preserve">because </w:t>
      </w:r>
      <w:r w:rsidR="00DE3DBF">
        <w:rPr>
          <w:szCs w:val="26"/>
          <w:lang w:val="en-ZW"/>
        </w:rPr>
        <w:t xml:space="preserve">of </w:t>
      </w:r>
      <w:r w:rsidR="00EF7046">
        <w:rPr>
          <w:szCs w:val="26"/>
          <w:lang w:val="en-ZW"/>
        </w:rPr>
        <w:t xml:space="preserve">the </w:t>
      </w:r>
      <w:r w:rsidR="00DE3DBF">
        <w:rPr>
          <w:szCs w:val="26"/>
          <w:lang w:val="en-ZW"/>
        </w:rPr>
        <w:t xml:space="preserve">pending Phase II </w:t>
      </w:r>
      <w:r w:rsidR="00EF7046">
        <w:rPr>
          <w:szCs w:val="26"/>
          <w:lang w:val="en-ZW"/>
        </w:rPr>
        <w:t>L</w:t>
      </w:r>
      <w:r w:rsidR="00DE3DBF">
        <w:rPr>
          <w:szCs w:val="26"/>
          <w:lang w:val="en-ZW"/>
        </w:rPr>
        <w:t xml:space="preserve">itigation </w:t>
      </w:r>
      <w:r w:rsidR="00D64868">
        <w:rPr>
          <w:szCs w:val="26"/>
          <w:lang w:val="en-ZW"/>
        </w:rPr>
        <w:t xml:space="preserve">and local proceedings </w:t>
      </w:r>
      <w:r w:rsidR="00DE3DBF">
        <w:rPr>
          <w:szCs w:val="26"/>
          <w:lang w:val="en-ZW"/>
        </w:rPr>
        <w:t xml:space="preserve">that may determine whether it may become </w:t>
      </w:r>
      <w:r w:rsidRPr="00870AEE">
        <w:rPr>
          <w:szCs w:val="26"/>
          <w:lang w:val="en-ZW"/>
        </w:rPr>
        <w:t>a gas corporation</w:t>
      </w:r>
      <w:r w:rsidR="0006285E">
        <w:rPr>
          <w:szCs w:val="26"/>
          <w:lang w:val="en-ZW"/>
        </w:rPr>
        <w:t xml:space="preserve"> under Section 222</w:t>
      </w:r>
      <w:r w:rsidR="00711278">
        <w:rPr>
          <w:szCs w:val="26"/>
          <w:lang w:val="en-ZW"/>
        </w:rPr>
        <w:t xml:space="preserve">. </w:t>
      </w:r>
      <w:r w:rsidR="00123B25">
        <w:rPr>
          <w:szCs w:val="26"/>
          <w:lang w:val="en-ZW"/>
        </w:rPr>
        <w:t xml:space="preserve">The record </w:t>
      </w:r>
      <w:r w:rsidR="00C46303">
        <w:rPr>
          <w:szCs w:val="26"/>
          <w:lang w:val="en-ZW"/>
        </w:rPr>
        <w:t xml:space="preserve">establishes </w:t>
      </w:r>
      <w:r w:rsidR="00A25F74">
        <w:rPr>
          <w:szCs w:val="26"/>
          <w:lang w:val="en-ZW"/>
        </w:rPr>
        <w:t xml:space="preserve">that CRPC </w:t>
      </w:r>
      <w:r w:rsidRPr="00870AEE">
        <w:rPr>
          <w:szCs w:val="26"/>
          <w:lang w:val="en-ZW"/>
        </w:rPr>
        <w:t xml:space="preserve">cannot </w:t>
      </w:r>
      <w:r w:rsidR="00A25F74">
        <w:rPr>
          <w:szCs w:val="26"/>
          <w:lang w:val="en-ZW"/>
        </w:rPr>
        <w:t>claim</w:t>
      </w:r>
      <w:r w:rsidRPr="00870AEE">
        <w:rPr>
          <w:szCs w:val="26"/>
          <w:lang w:val="en-ZW"/>
        </w:rPr>
        <w:t xml:space="preserve"> with certainty to </w:t>
      </w:r>
      <w:r w:rsidR="009D3E58">
        <w:rPr>
          <w:szCs w:val="26"/>
          <w:lang w:val="en-ZW"/>
        </w:rPr>
        <w:t>become a public utility</w:t>
      </w:r>
      <w:r w:rsidRPr="00870AEE" w:rsidR="00BF6350">
        <w:rPr>
          <w:szCs w:val="26"/>
          <w:lang w:val="en-ZW"/>
        </w:rPr>
        <w:t xml:space="preserve"> </w:t>
      </w:r>
      <w:r w:rsidRPr="00870AEE">
        <w:rPr>
          <w:szCs w:val="26"/>
          <w:lang w:val="en-ZW"/>
        </w:rPr>
        <w:t xml:space="preserve">in the reasonably near future. As a result, CRPC </w:t>
      </w:r>
      <w:r w:rsidR="00ED1289">
        <w:rPr>
          <w:szCs w:val="26"/>
          <w:lang w:val="en-ZW"/>
        </w:rPr>
        <w:t xml:space="preserve">does not currently </w:t>
      </w:r>
      <w:r>
        <w:rPr>
          <w:szCs w:val="26"/>
          <w:lang w:val="en-ZW"/>
        </w:rPr>
        <w:t>qualify</w:t>
      </w:r>
      <w:r w:rsidRPr="00153B35">
        <w:rPr>
          <w:lang w:val="en-ZW"/>
        </w:rPr>
        <w:t xml:space="preserve"> </w:t>
      </w:r>
      <w:r w:rsidRPr="00433F0C" w:rsidR="00ED1289">
        <w:rPr>
          <w:lang w:val="en-ZW"/>
        </w:rPr>
        <w:t>for</w:t>
      </w:r>
      <w:r w:rsidRPr="00433F0C">
        <w:rPr>
          <w:lang w:val="en-ZW"/>
        </w:rPr>
        <w:t xml:space="preserve"> </w:t>
      </w:r>
      <w:r w:rsidRPr="00870AEE">
        <w:rPr>
          <w:szCs w:val="26"/>
          <w:lang w:val="en-ZW"/>
        </w:rPr>
        <w:t>a CPCN under Section 1001(a)</w:t>
      </w:r>
      <w:r w:rsidR="00A02551">
        <w:rPr>
          <w:szCs w:val="26"/>
          <w:lang w:val="en-ZW"/>
        </w:rPr>
        <w:t xml:space="preserve"> for </w:t>
      </w:r>
      <w:r w:rsidR="00180E43">
        <w:rPr>
          <w:szCs w:val="26"/>
          <w:lang w:val="en-ZW"/>
        </w:rPr>
        <w:t xml:space="preserve">construction </w:t>
      </w:r>
      <w:r w:rsidR="0015009F">
        <w:rPr>
          <w:szCs w:val="26"/>
          <w:lang w:val="en-ZW"/>
        </w:rPr>
        <w:t xml:space="preserve">-- </w:t>
      </w:r>
      <w:r w:rsidR="00180E43">
        <w:rPr>
          <w:szCs w:val="26"/>
          <w:lang w:val="en-ZW"/>
        </w:rPr>
        <w:t>or any other purpose</w:t>
      </w:r>
      <w:r w:rsidRPr="00870AEE">
        <w:rPr>
          <w:szCs w:val="26"/>
          <w:lang w:val="en-ZW"/>
        </w:rPr>
        <w:t xml:space="preserve">. </w:t>
      </w:r>
    </w:p>
    <w:p w:rsidR="00066D1F" w:rsidP="00A127CD" w:rsidRDefault="00066D1F" w14:paraId="244980B8" w14:textId="5DD854B9">
      <w:pPr>
        <w:pStyle w:val="Heading3"/>
      </w:pPr>
      <w:bookmarkStart w:name="_Toc211606205" w:id="130"/>
      <w:bookmarkStart w:name="_Toc220596333" w:id="131"/>
      <w:bookmarkStart w:name="_Toc220972216" w:id="132"/>
      <w:r>
        <w:t>Section 1002(a)</w:t>
      </w:r>
      <w:bookmarkEnd w:id="130"/>
      <w:bookmarkEnd w:id="131"/>
      <w:bookmarkEnd w:id="132"/>
    </w:p>
    <w:p w:rsidRPr="00066D1F" w:rsidR="00066D1F" w:rsidP="00457998" w:rsidRDefault="00B46F87" w14:paraId="7E3FAD25" w14:textId="7CFDBB57">
      <w:pPr>
        <w:pStyle w:val="Standard"/>
      </w:pPr>
      <w:r w:rsidRPr="00FE64F5">
        <w:rPr>
          <w:szCs w:val="26"/>
          <w:lang w:val="en-ZW"/>
        </w:rPr>
        <w:t xml:space="preserve">The parties have presented considerations relevant to evaluation of a CPCN application under Pub. Util. Code Section 1002(a), including the values of communities to be affected by CRPC’s operation </w:t>
      </w:r>
      <w:r w:rsidR="003B4036">
        <w:rPr>
          <w:szCs w:val="26"/>
          <w:lang w:val="en-ZW"/>
        </w:rPr>
        <w:t xml:space="preserve">or non-operation </w:t>
      </w:r>
      <w:r w:rsidRPr="00FE64F5">
        <w:rPr>
          <w:szCs w:val="26"/>
          <w:lang w:val="en-ZW"/>
        </w:rPr>
        <w:t xml:space="preserve">of the full UI Pipeline. Because we have concluded above that </w:t>
      </w:r>
      <w:r w:rsidR="008C501F">
        <w:rPr>
          <w:szCs w:val="26"/>
          <w:lang w:val="en-ZW"/>
        </w:rPr>
        <w:t xml:space="preserve">it is premature to determine whether </w:t>
      </w:r>
      <w:r w:rsidRPr="00FE64F5">
        <w:rPr>
          <w:szCs w:val="26"/>
          <w:lang w:val="en-ZW"/>
        </w:rPr>
        <w:t>CRPC is a public utility gas corporation</w:t>
      </w:r>
      <w:r w:rsidR="006322FC">
        <w:rPr>
          <w:szCs w:val="26"/>
          <w:lang w:val="en-ZW"/>
        </w:rPr>
        <w:t xml:space="preserve"> at this time</w:t>
      </w:r>
      <w:r w:rsidRPr="00FE64F5">
        <w:rPr>
          <w:szCs w:val="26"/>
          <w:lang w:val="en-ZW"/>
        </w:rPr>
        <w:t>, we do not address whether CRPC’s proposed pipeline operation would satisfy the further considerations to obtain a CPCN under Section 1002(a).</w:t>
      </w:r>
    </w:p>
    <w:p w:rsidRPr="004F439D" w:rsidR="00906E24" w:rsidP="00433F0C" w:rsidRDefault="00906E24" w14:paraId="0BAA9FAF" w14:textId="427F2F61">
      <w:pPr>
        <w:pStyle w:val="Heading2"/>
      </w:pPr>
      <w:bookmarkStart w:name="_Toc206620201" w:id="133"/>
      <w:bookmarkStart w:name="_Toc211606206" w:id="134"/>
      <w:bookmarkStart w:name="_Toc220596334" w:id="135"/>
      <w:bookmarkStart w:name="_Toc220972217" w:id="136"/>
      <w:bookmarkEnd w:id="133"/>
      <w:r>
        <w:lastRenderedPageBreak/>
        <w:t>Conclusion</w:t>
      </w:r>
      <w:bookmarkEnd w:id="134"/>
      <w:bookmarkEnd w:id="135"/>
      <w:bookmarkEnd w:id="136"/>
    </w:p>
    <w:p w:rsidR="009021CE" w:rsidP="009021CE" w:rsidRDefault="009F298B" w14:paraId="3F60168A" w14:textId="0829ACC4">
      <w:pPr>
        <w:rPr>
          <w:szCs w:val="26"/>
        </w:rPr>
      </w:pPr>
      <w:r>
        <w:rPr>
          <w:szCs w:val="26"/>
          <w:lang w:val="en-ZW"/>
        </w:rPr>
        <w:t>CRPC</w:t>
      </w:r>
      <w:r w:rsidR="00906E24">
        <w:rPr>
          <w:szCs w:val="26"/>
          <w:lang w:val="en-ZW"/>
        </w:rPr>
        <w:t xml:space="preserve">’s </w:t>
      </w:r>
      <w:r w:rsidR="003255C2">
        <w:rPr>
          <w:szCs w:val="26"/>
          <w:lang w:val="en-ZW"/>
        </w:rPr>
        <w:t>Application</w:t>
      </w:r>
      <w:r w:rsidRPr="00433F0C" w:rsidR="003255C2">
        <w:rPr>
          <w:lang w:val="en-ZW"/>
        </w:rPr>
        <w:t xml:space="preserve"> </w:t>
      </w:r>
      <w:r w:rsidR="00906E24">
        <w:rPr>
          <w:szCs w:val="26"/>
        </w:rPr>
        <w:t xml:space="preserve">is </w:t>
      </w:r>
      <w:r w:rsidR="00C01ADF">
        <w:rPr>
          <w:szCs w:val="26"/>
        </w:rPr>
        <w:t xml:space="preserve">premature and </w:t>
      </w:r>
      <w:r w:rsidR="0090268C">
        <w:rPr>
          <w:szCs w:val="26"/>
        </w:rPr>
        <w:t>dismissed</w:t>
      </w:r>
      <w:r w:rsidR="003C0437">
        <w:rPr>
          <w:szCs w:val="26"/>
        </w:rPr>
        <w:t xml:space="preserve"> </w:t>
      </w:r>
      <w:r w:rsidR="0000213F">
        <w:rPr>
          <w:szCs w:val="26"/>
        </w:rPr>
        <w:t xml:space="preserve">without prejudice </w:t>
      </w:r>
      <w:r w:rsidR="003C0437">
        <w:rPr>
          <w:szCs w:val="26"/>
        </w:rPr>
        <w:t>as unripe</w:t>
      </w:r>
      <w:r w:rsidR="00F12E31">
        <w:rPr>
          <w:szCs w:val="26"/>
        </w:rPr>
        <w:t>.</w:t>
      </w:r>
      <w:r w:rsidR="00906E24">
        <w:rPr>
          <w:szCs w:val="26"/>
        </w:rPr>
        <w:t xml:space="preserve"> </w:t>
      </w:r>
      <w:r w:rsidR="00BD13B1">
        <w:rPr>
          <w:szCs w:val="26"/>
        </w:rPr>
        <w:t xml:space="preserve">We cannot now determine whether </w:t>
      </w:r>
      <w:r>
        <w:rPr>
          <w:szCs w:val="26"/>
        </w:rPr>
        <w:t xml:space="preserve">CRPC is </w:t>
      </w:r>
      <w:r w:rsidR="00CE2E1A">
        <w:rPr>
          <w:szCs w:val="26"/>
        </w:rPr>
        <w:t xml:space="preserve">presently </w:t>
      </w:r>
      <w:r>
        <w:rPr>
          <w:szCs w:val="26"/>
        </w:rPr>
        <w:t xml:space="preserve">a </w:t>
      </w:r>
      <w:r w:rsidR="00291859">
        <w:rPr>
          <w:szCs w:val="26"/>
        </w:rPr>
        <w:t>public utility</w:t>
      </w:r>
      <w:r>
        <w:rPr>
          <w:szCs w:val="26"/>
        </w:rPr>
        <w:t xml:space="preserve"> </w:t>
      </w:r>
      <w:r w:rsidR="00F6573E">
        <w:rPr>
          <w:szCs w:val="26"/>
          <w:lang w:val="en-ZW"/>
        </w:rPr>
        <w:t xml:space="preserve">under Section 216, or </w:t>
      </w:r>
      <w:r w:rsidRPr="00870AEE" w:rsidR="00F6573E">
        <w:rPr>
          <w:szCs w:val="26"/>
          <w:lang w:val="en-ZW"/>
        </w:rPr>
        <w:t>a gas corporation</w:t>
      </w:r>
      <w:r w:rsidR="00F6573E">
        <w:rPr>
          <w:szCs w:val="26"/>
          <w:lang w:val="en-ZW"/>
        </w:rPr>
        <w:t xml:space="preserve"> under Section 222</w:t>
      </w:r>
      <w:r w:rsidR="00BD750B">
        <w:rPr>
          <w:szCs w:val="26"/>
          <w:lang w:val="en-ZW"/>
        </w:rPr>
        <w:t>. CRPC</w:t>
      </w:r>
      <w:r w:rsidRPr="00433F0C" w:rsidR="00BD750B">
        <w:rPr>
          <w:lang w:val="en-ZW"/>
        </w:rPr>
        <w:t xml:space="preserve"> </w:t>
      </w:r>
      <w:r>
        <w:rPr>
          <w:szCs w:val="26"/>
        </w:rPr>
        <w:t>therefore</w:t>
      </w:r>
      <w:r w:rsidR="00A23229">
        <w:rPr>
          <w:szCs w:val="26"/>
        </w:rPr>
        <w:t xml:space="preserve"> is</w:t>
      </w:r>
      <w:r>
        <w:rPr>
          <w:szCs w:val="26"/>
        </w:rPr>
        <w:t xml:space="preserve"> ineligible for a CPCN under Section 1001(a)</w:t>
      </w:r>
      <w:r w:rsidR="003C0437">
        <w:rPr>
          <w:szCs w:val="26"/>
        </w:rPr>
        <w:t xml:space="preserve"> at this time</w:t>
      </w:r>
      <w:r w:rsidR="00C42376">
        <w:rPr>
          <w:szCs w:val="26"/>
        </w:rPr>
        <w:t>.</w:t>
      </w:r>
      <w:r w:rsidR="009021CE">
        <w:rPr>
          <w:szCs w:val="26"/>
        </w:rPr>
        <w:t xml:space="preserve"> </w:t>
      </w:r>
    </w:p>
    <w:p w:rsidR="001B7CA1" w:rsidP="009021CE" w:rsidRDefault="000069DD" w14:paraId="349753E8" w14:textId="00DF5989">
      <w:pPr>
        <w:rPr>
          <w:rFonts w:eastAsia="Calibri" w:cs="Times New Roman"/>
        </w:rPr>
      </w:pPr>
      <w:r>
        <w:rPr>
          <w:rFonts w:eastAsia="Calibri" w:cs="Times New Roman"/>
        </w:rPr>
        <w:t>T</w:t>
      </w:r>
      <w:r w:rsidR="00945B34">
        <w:rPr>
          <w:rFonts w:eastAsia="Calibri" w:cs="Times New Roman"/>
        </w:rPr>
        <w:t xml:space="preserve">his decision addresses the timing of Commission review. </w:t>
      </w:r>
      <w:r w:rsidR="00B23174">
        <w:rPr>
          <w:rFonts w:eastAsia="Calibri" w:cs="Times New Roman"/>
        </w:rPr>
        <w:t xml:space="preserve">The risk of inconsistent </w:t>
      </w:r>
      <w:r w:rsidR="00DE15A1">
        <w:rPr>
          <w:rFonts w:eastAsia="Calibri" w:cs="Times New Roman"/>
        </w:rPr>
        <w:t xml:space="preserve">decisions and principles of judicial economy compel us to </w:t>
      </w:r>
      <w:r w:rsidR="00C142FE">
        <w:rPr>
          <w:rFonts w:cs="Arial"/>
          <w:szCs w:val="26"/>
        </w:rPr>
        <w:t xml:space="preserve">avoid </w:t>
      </w:r>
      <w:r w:rsidR="000369C7">
        <w:rPr>
          <w:rFonts w:cs="Arial"/>
          <w:szCs w:val="26"/>
        </w:rPr>
        <w:t xml:space="preserve">deciding issues pending in other </w:t>
      </w:r>
      <w:r w:rsidR="00455404">
        <w:rPr>
          <w:rFonts w:cs="Arial"/>
          <w:szCs w:val="26"/>
        </w:rPr>
        <w:t>proceedings</w:t>
      </w:r>
      <w:r w:rsidR="00726AC3">
        <w:rPr>
          <w:rFonts w:cs="Arial"/>
          <w:szCs w:val="26"/>
        </w:rPr>
        <w:t>.</w:t>
      </w:r>
      <w:r w:rsidR="008B55D1">
        <w:rPr>
          <w:rStyle w:val="FootnoteReference"/>
        </w:rPr>
        <w:footnoteReference w:id="68"/>
      </w:r>
      <w:r w:rsidR="00B23174">
        <w:rPr>
          <w:rFonts w:cs="Arial"/>
          <w:szCs w:val="26"/>
        </w:rPr>
        <w:t xml:space="preserve"> Here, </w:t>
      </w:r>
      <w:r w:rsidR="009451D2">
        <w:rPr>
          <w:rFonts w:eastAsia="Calibri" w:cs="Times New Roman"/>
        </w:rPr>
        <w:t>w</w:t>
      </w:r>
      <w:r w:rsidR="00D74FDC">
        <w:rPr>
          <w:rFonts w:eastAsia="Calibri" w:cs="Times New Roman"/>
        </w:rPr>
        <w:t xml:space="preserve">e are not inclined to </w:t>
      </w:r>
      <w:r w:rsidR="00B32B4D">
        <w:rPr>
          <w:rFonts w:eastAsia="Calibri" w:cs="Times New Roman"/>
        </w:rPr>
        <w:t xml:space="preserve">find </w:t>
      </w:r>
      <w:r w:rsidR="00D74FDC">
        <w:rPr>
          <w:rFonts w:eastAsia="Calibri" w:cs="Times New Roman"/>
        </w:rPr>
        <w:t xml:space="preserve">whether </w:t>
      </w:r>
      <w:r w:rsidR="00B75BCA">
        <w:rPr>
          <w:rFonts w:eastAsia="Calibri" w:cs="Times New Roman"/>
        </w:rPr>
        <w:t xml:space="preserve">or not </w:t>
      </w:r>
      <w:r w:rsidR="00D74FDC">
        <w:rPr>
          <w:rFonts w:eastAsia="Calibri" w:cs="Times New Roman"/>
        </w:rPr>
        <w:t xml:space="preserve">CRPC or its Successor Subsidiary or the City of Antioch is the owner of the Antioch segment of the UI Pipeline while the court </w:t>
      </w:r>
      <w:r w:rsidR="00AD41ED">
        <w:rPr>
          <w:rFonts w:eastAsia="Calibri" w:cs="Times New Roman"/>
        </w:rPr>
        <w:t xml:space="preserve">may </w:t>
      </w:r>
      <w:r w:rsidR="00D74FDC">
        <w:rPr>
          <w:rFonts w:eastAsia="Calibri" w:cs="Times New Roman"/>
        </w:rPr>
        <w:t xml:space="preserve">address that issue in Phase II of the Pipeline Litigation. </w:t>
      </w:r>
      <w:r w:rsidR="00DE3F93">
        <w:rPr>
          <w:rFonts w:eastAsia="Calibri" w:cs="Times New Roman"/>
        </w:rPr>
        <w:t>Instead, t</w:t>
      </w:r>
      <w:r w:rsidR="00A57030">
        <w:rPr>
          <w:rFonts w:eastAsia="Calibri" w:cs="Times New Roman"/>
        </w:rPr>
        <w:t xml:space="preserve">he risk of </w:t>
      </w:r>
      <w:r w:rsidR="00794325">
        <w:rPr>
          <w:rFonts w:eastAsia="Calibri" w:cs="Times New Roman"/>
        </w:rPr>
        <w:t xml:space="preserve">conflicting or </w:t>
      </w:r>
      <w:r w:rsidR="00A57030">
        <w:rPr>
          <w:rFonts w:eastAsia="Calibri" w:cs="Times New Roman"/>
        </w:rPr>
        <w:t>inconsistent decisions between the Commission and the court</w:t>
      </w:r>
      <w:r w:rsidR="00794325">
        <w:rPr>
          <w:rFonts w:eastAsia="Calibri" w:cs="Times New Roman"/>
        </w:rPr>
        <w:t xml:space="preserve">s cautions us to </w:t>
      </w:r>
      <w:r w:rsidR="00265BB0">
        <w:rPr>
          <w:rFonts w:eastAsia="Calibri" w:cs="Times New Roman"/>
        </w:rPr>
        <w:t xml:space="preserve">await </w:t>
      </w:r>
      <w:r w:rsidR="00A10901">
        <w:rPr>
          <w:rFonts w:eastAsia="Calibri" w:cs="Times New Roman"/>
        </w:rPr>
        <w:t xml:space="preserve">a final </w:t>
      </w:r>
      <w:r w:rsidR="00265BB0">
        <w:rPr>
          <w:rFonts w:eastAsia="Calibri" w:cs="Times New Roman"/>
        </w:rPr>
        <w:t>judicial determination</w:t>
      </w:r>
      <w:r w:rsidR="008B7583">
        <w:rPr>
          <w:rFonts w:eastAsia="Calibri" w:cs="Times New Roman"/>
        </w:rPr>
        <w:t xml:space="preserve"> upon which we may address the merits of issues raised by this Application</w:t>
      </w:r>
      <w:r w:rsidR="0022071A">
        <w:rPr>
          <w:rFonts w:eastAsia="Calibri" w:cs="Times New Roman"/>
        </w:rPr>
        <w:t>.</w:t>
      </w:r>
      <w:r w:rsidR="00D74FDC">
        <w:rPr>
          <w:rFonts w:eastAsia="Calibri" w:cs="Times New Roman"/>
        </w:rPr>
        <w:t xml:space="preserve"> </w:t>
      </w:r>
      <w:r w:rsidRPr="00F15E8E" w:rsidR="00F15E8E">
        <w:rPr>
          <w:rFonts w:eastAsia="Calibri" w:cs="Times New Roman"/>
        </w:rPr>
        <w:t xml:space="preserve">We also recognize that </w:t>
      </w:r>
      <w:r w:rsidR="00F53E5E">
        <w:rPr>
          <w:rFonts w:eastAsia="Calibri" w:cs="Times New Roman"/>
        </w:rPr>
        <w:t>decisions on</w:t>
      </w:r>
      <w:r w:rsidRPr="00F15E8E" w:rsidR="00F15E8E">
        <w:rPr>
          <w:rFonts w:eastAsia="Calibri" w:cs="Times New Roman"/>
        </w:rPr>
        <w:t xml:space="preserve"> </w:t>
      </w:r>
      <w:r w:rsidR="0073789B">
        <w:rPr>
          <w:rFonts w:eastAsia="Calibri" w:cs="Times New Roman"/>
        </w:rPr>
        <w:t>CRPC or Successor Subsidiary’s</w:t>
      </w:r>
      <w:r w:rsidRPr="00F15E8E" w:rsidR="00F15E8E">
        <w:rPr>
          <w:rFonts w:eastAsia="Calibri" w:cs="Times New Roman"/>
        </w:rPr>
        <w:t xml:space="preserve"> franchise agreement proceedings in each City may perfect rights upon which findings under Section 222 </w:t>
      </w:r>
      <w:r w:rsidR="007A51D9">
        <w:rPr>
          <w:rFonts w:eastAsia="Calibri" w:cs="Times New Roman"/>
        </w:rPr>
        <w:t>might</w:t>
      </w:r>
      <w:r w:rsidRPr="00F15E8E" w:rsidR="00F15E8E">
        <w:rPr>
          <w:rFonts w:eastAsia="Calibri" w:cs="Times New Roman"/>
        </w:rPr>
        <w:t xml:space="preserve"> be made.</w:t>
      </w:r>
      <w:r w:rsidR="00F11A2A">
        <w:rPr>
          <w:rFonts w:eastAsia="Calibri" w:cs="Times New Roman"/>
        </w:rPr>
        <w:t xml:space="preserve"> </w:t>
      </w:r>
      <w:r w:rsidRPr="00653CE5" w:rsidR="001B7CA1">
        <w:rPr>
          <w:rFonts w:eastAsia="Calibri" w:cs="Times New Roman"/>
        </w:rPr>
        <w:t xml:space="preserve">Moreover, </w:t>
      </w:r>
      <w:r w:rsidRPr="00653CE5" w:rsidR="00D72FC2">
        <w:rPr>
          <w:rFonts w:eastAsia="Calibri" w:cs="Times New Roman"/>
        </w:rPr>
        <w:t xml:space="preserve">dismissal of this Application </w:t>
      </w:r>
      <w:r w:rsidR="00DF4295">
        <w:rPr>
          <w:rFonts w:eastAsia="Calibri" w:cs="Times New Roman"/>
        </w:rPr>
        <w:t xml:space="preserve">at this time </w:t>
      </w:r>
      <w:r w:rsidR="00CA3DAD">
        <w:rPr>
          <w:rFonts w:eastAsia="Calibri" w:cs="Times New Roman"/>
        </w:rPr>
        <w:t>will</w:t>
      </w:r>
      <w:r w:rsidRPr="00653CE5" w:rsidR="00D72FC2">
        <w:rPr>
          <w:rFonts w:eastAsia="Calibri" w:cs="Times New Roman"/>
        </w:rPr>
        <w:t xml:space="preserve"> </w:t>
      </w:r>
      <w:r w:rsidR="00CA3DAD">
        <w:rPr>
          <w:rFonts w:eastAsia="Calibri" w:cs="Times New Roman"/>
        </w:rPr>
        <w:t>prevent</w:t>
      </w:r>
      <w:r w:rsidRPr="00653CE5" w:rsidR="00882A7B">
        <w:rPr>
          <w:rFonts w:eastAsia="Calibri" w:cs="Times New Roman"/>
        </w:rPr>
        <w:t xml:space="preserve"> confusion between this proceeding and the </w:t>
      </w:r>
      <w:r w:rsidRPr="00653CE5" w:rsidR="005B5054">
        <w:rPr>
          <w:rFonts w:eastAsia="Calibri" w:cs="Times New Roman"/>
        </w:rPr>
        <w:t>c</w:t>
      </w:r>
      <w:r w:rsidRPr="00653CE5" w:rsidR="00B73D1F">
        <w:rPr>
          <w:rFonts w:eastAsia="Calibri" w:cs="Times New Roman"/>
        </w:rPr>
        <w:t>ourt’s adjudication of the Phase II Pipeline Litigation</w:t>
      </w:r>
      <w:r w:rsidR="00952625">
        <w:rPr>
          <w:rFonts w:eastAsia="Calibri" w:cs="Times New Roman"/>
        </w:rPr>
        <w:t xml:space="preserve"> by </w:t>
      </w:r>
      <w:r w:rsidR="00952625">
        <w:rPr>
          <w:rFonts w:eastAsia="Calibri" w:cs="Times New Roman"/>
        </w:rPr>
        <w:lastRenderedPageBreak/>
        <w:t>removing a</w:t>
      </w:r>
      <w:r w:rsidR="00B7272E">
        <w:rPr>
          <w:rFonts w:eastAsia="Calibri" w:cs="Times New Roman"/>
        </w:rPr>
        <w:t xml:space="preserve"> </w:t>
      </w:r>
      <w:r w:rsidR="00D65F87">
        <w:rPr>
          <w:rFonts w:eastAsia="Calibri" w:cs="Times New Roman"/>
        </w:rPr>
        <w:t xml:space="preserve">potential </w:t>
      </w:r>
      <w:r w:rsidR="00B7272E">
        <w:rPr>
          <w:rFonts w:eastAsia="Calibri" w:cs="Times New Roman"/>
        </w:rPr>
        <w:t>conflict</w:t>
      </w:r>
      <w:r w:rsidR="00952625">
        <w:rPr>
          <w:rFonts w:eastAsia="Calibri" w:cs="Times New Roman"/>
        </w:rPr>
        <w:t xml:space="preserve"> </w:t>
      </w:r>
      <w:r w:rsidR="00A65B02">
        <w:rPr>
          <w:rFonts w:eastAsia="Calibri" w:cs="Times New Roman"/>
        </w:rPr>
        <w:t xml:space="preserve">under the doctrine of </w:t>
      </w:r>
      <w:r w:rsidR="0027092F">
        <w:rPr>
          <w:rFonts w:eastAsia="Calibri" w:cs="Times New Roman"/>
        </w:rPr>
        <w:t>“</w:t>
      </w:r>
      <w:r w:rsidR="00A65B02">
        <w:rPr>
          <w:rFonts w:eastAsia="Calibri" w:cs="Times New Roman"/>
        </w:rPr>
        <w:t>primary jurisdiction</w:t>
      </w:r>
      <w:r w:rsidRPr="00653CE5" w:rsidR="00B73D1F">
        <w:rPr>
          <w:rFonts w:eastAsia="Calibri" w:cs="Times New Roman"/>
        </w:rPr>
        <w:t>.</w:t>
      </w:r>
      <w:r w:rsidR="0027092F">
        <w:rPr>
          <w:rFonts w:eastAsia="Calibri" w:cs="Times New Roman"/>
        </w:rPr>
        <w:t>”</w:t>
      </w:r>
      <w:r w:rsidRPr="00653CE5" w:rsidR="009E3D13">
        <w:rPr>
          <w:rStyle w:val="FootnoteReference"/>
          <w:rFonts w:eastAsia="Calibri" w:cs="Times New Roman"/>
        </w:rPr>
        <w:footnoteReference w:id="69"/>
      </w:r>
      <w:r w:rsidRPr="00653CE5" w:rsidR="00CF58C0">
        <w:rPr>
          <w:rFonts w:eastAsia="Calibri" w:cs="Times New Roman"/>
        </w:rPr>
        <w:t xml:space="preserve"> </w:t>
      </w:r>
      <w:r w:rsidRPr="00653CE5" w:rsidR="004B63B3">
        <w:rPr>
          <w:rFonts w:eastAsia="Calibri" w:cs="Times New Roman"/>
        </w:rPr>
        <w:t xml:space="preserve">For this additional reason, </w:t>
      </w:r>
      <w:r w:rsidRPr="00653CE5" w:rsidR="003255C2">
        <w:rPr>
          <w:rFonts w:eastAsia="Calibri" w:cs="Times New Roman"/>
        </w:rPr>
        <w:t xml:space="preserve">dismissal of this </w:t>
      </w:r>
      <w:r w:rsidRPr="00653CE5" w:rsidR="004A67B9">
        <w:rPr>
          <w:rFonts w:eastAsia="Calibri" w:cs="Times New Roman"/>
        </w:rPr>
        <w:t xml:space="preserve">Application is </w:t>
      </w:r>
      <w:r w:rsidRPr="00653CE5" w:rsidR="00496E45">
        <w:rPr>
          <w:rFonts w:eastAsia="Calibri" w:cs="Times New Roman"/>
        </w:rPr>
        <w:t>warranted</w:t>
      </w:r>
      <w:r w:rsidRPr="00653CE5" w:rsidR="004A67B9">
        <w:rPr>
          <w:rFonts w:eastAsia="Calibri" w:cs="Times New Roman"/>
        </w:rPr>
        <w:t>.</w:t>
      </w:r>
    </w:p>
    <w:p w:rsidRPr="006C10E5" w:rsidR="004C57AD" w:rsidP="009021CE" w:rsidRDefault="004C57AD" w14:paraId="54B04415" w14:textId="29B57B1A">
      <w:pPr>
        <w:rPr>
          <w:szCs w:val="26"/>
        </w:rPr>
      </w:pPr>
      <w:r>
        <w:rPr>
          <w:rFonts w:eastAsia="Calibri" w:cs="Times New Roman"/>
        </w:rPr>
        <w:t>This decision does not preclude a</w:t>
      </w:r>
      <w:r w:rsidRPr="00D64B24">
        <w:rPr>
          <w:rFonts w:eastAsia="Calibri" w:cs="Times New Roman"/>
        </w:rPr>
        <w:t xml:space="preserve"> new application </w:t>
      </w:r>
      <w:r>
        <w:t>requesting designation as a public utility gas corporation under Sections 222 and 216</w:t>
      </w:r>
      <w:r w:rsidRPr="00D64B24">
        <w:rPr>
          <w:rFonts w:eastAsia="Calibri" w:cs="Times New Roman"/>
        </w:rPr>
        <w:t xml:space="preserve"> </w:t>
      </w:r>
      <w:r>
        <w:t xml:space="preserve">and for a </w:t>
      </w:r>
      <w:r>
        <w:rPr>
          <w:rFonts w:cstheme="majorHAnsi"/>
          <w:szCs w:val="26"/>
        </w:rPr>
        <w:t>CPCN</w:t>
      </w:r>
      <w:r>
        <w:t xml:space="preserve"> under Section </w:t>
      </w:r>
      <w:r>
        <w:rPr>
          <w:szCs w:val="26"/>
        </w:rPr>
        <w:t xml:space="preserve">1001 that </w:t>
      </w:r>
      <w:r>
        <w:rPr>
          <w:rFonts w:eastAsia="Calibri" w:cs="Times New Roman"/>
        </w:rPr>
        <w:t xml:space="preserve">may be filed </w:t>
      </w:r>
      <w:r w:rsidRPr="00D64B24">
        <w:rPr>
          <w:rFonts w:eastAsia="Calibri" w:cs="Times New Roman"/>
        </w:rPr>
        <w:t>with the Commission</w:t>
      </w:r>
      <w:r>
        <w:rPr>
          <w:rFonts w:eastAsia="Calibri" w:cs="Times New Roman"/>
        </w:rPr>
        <w:t xml:space="preserve"> by a proper party u</w:t>
      </w:r>
      <w:r w:rsidRPr="00D64B24">
        <w:rPr>
          <w:rFonts w:eastAsia="Calibri" w:cs="Times New Roman"/>
        </w:rPr>
        <w:t xml:space="preserve">pon </w:t>
      </w:r>
      <w:r>
        <w:rPr>
          <w:rFonts w:eastAsia="Calibri" w:cs="Times New Roman"/>
        </w:rPr>
        <w:t>(1) confirmation</w:t>
      </w:r>
      <w:r w:rsidRPr="00D64B24">
        <w:rPr>
          <w:rFonts w:eastAsia="Calibri" w:cs="Times New Roman"/>
        </w:rPr>
        <w:t xml:space="preserve"> of </w:t>
      </w:r>
      <w:r w:rsidRPr="000423F3">
        <w:rPr>
          <w:rFonts w:eastAsia="Calibri" w:cs="Times New Roman"/>
        </w:rPr>
        <w:t xml:space="preserve">ownership </w:t>
      </w:r>
      <w:r w:rsidRPr="00D64B24">
        <w:rPr>
          <w:rFonts w:eastAsia="Calibri" w:cs="Times New Roman"/>
        </w:rPr>
        <w:t xml:space="preserve">rights to </w:t>
      </w:r>
      <w:r>
        <w:rPr>
          <w:rFonts w:eastAsia="Calibri" w:cs="Times New Roman"/>
        </w:rPr>
        <w:t xml:space="preserve">all segments of </w:t>
      </w:r>
      <w:r w:rsidRPr="00D64B24">
        <w:rPr>
          <w:rFonts w:eastAsia="Calibri" w:cs="Times New Roman"/>
        </w:rPr>
        <w:t>the full UI Pipeline</w:t>
      </w:r>
      <w:r>
        <w:rPr>
          <w:rFonts w:eastAsia="Calibri" w:cs="Times New Roman"/>
        </w:rPr>
        <w:t xml:space="preserve">; or (2) </w:t>
      </w:r>
      <w:r>
        <w:t>an applicant acquiring present rights to “</w:t>
      </w:r>
      <w:r w:rsidRPr="006D4DE2">
        <w:rPr>
          <w:szCs w:val="26"/>
        </w:rPr>
        <w:t xml:space="preserve">control, operate, </w:t>
      </w:r>
      <w:r w:rsidRPr="00B85D36">
        <w:rPr>
          <w:szCs w:val="26"/>
        </w:rPr>
        <w:t>or</w:t>
      </w:r>
      <w:r w:rsidRPr="006D4DE2">
        <w:rPr>
          <w:szCs w:val="26"/>
        </w:rPr>
        <w:t xml:space="preserve"> manage”</w:t>
      </w:r>
      <w:r w:rsidRPr="000E5E68">
        <w:rPr>
          <w:szCs w:val="26"/>
        </w:rPr>
        <w:t xml:space="preserve"> </w:t>
      </w:r>
      <w:r>
        <w:rPr>
          <w:rFonts w:eastAsia="Calibri" w:cs="Times New Roman"/>
        </w:rPr>
        <w:t xml:space="preserve">all segments of </w:t>
      </w:r>
      <w:r w:rsidRPr="00D64B24">
        <w:rPr>
          <w:rFonts w:eastAsia="Calibri" w:cs="Times New Roman"/>
        </w:rPr>
        <w:t xml:space="preserve">the </w:t>
      </w:r>
      <w:r>
        <w:rPr>
          <w:rFonts w:cstheme="majorHAnsi"/>
          <w:szCs w:val="26"/>
        </w:rPr>
        <w:t>full</w:t>
      </w:r>
      <w:r w:rsidRPr="001E7433">
        <w:rPr>
          <w:rFonts w:cstheme="majorHAnsi"/>
          <w:szCs w:val="26"/>
        </w:rPr>
        <w:t xml:space="preserve"> UI </w:t>
      </w:r>
      <w:r w:rsidR="003C3DA2">
        <w:t>P</w:t>
      </w:r>
      <w:r w:rsidRPr="00D018F7">
        <w:t>ipeline</w:t>
      </w:r>
      <w:r>
        <w:t>.</w:t>
      </w:r>
    </w:p>
    <w:p w:rsidR="00A650BD" w:rsidP="00A650BD" w:rsidRDefault="00A650BD" w14:paraId="03DD13C0" w14:textId="77777777">
      <w:pPr>
        <w:pStyle w:val="Heading1"/>
      </w:pPr>
      <w:bookmarkStart w:name="_Toc215436834" w:id="137"/>
      <w:bookmarkStart w:name="_Toc216181970" w:id="138"/>
      <w:bookmarkStart w:name="_Toc216186776" w:id="139"/>
      <w:bookmarkStart w:name="_Toc133843852" w:id="140"/>
      <w:bookmarkStart w:name="_Toc211606207" w:id="141"/>
      <w:bookmarkStart w:name="_Toc220596335" w:id="142"/>
      <w:bookmarkStart w:name="_Toc220972218" w:id="143"/>
      <w:bookmarkEnd w:id="137"/>
      <w:bookmarkEnd w:id="138"/>
      <w:bookmarkEnd w:id="139"/>
      <w:r>
        <w:t>Summary of Public Comment</w:t>
      </w:r>
      <w:bookmarkEnd w:id="140"/>
      <w:bookmarkEnd w:id="141"/>
      <w:bookmarkEnd w:id="142"/>
      <w:bookmarkEnd w:id="143"/>
    </w:p>
    <w:p w:rsidRPr="006E3F0F" w:rsidR="00A650BD" w:rsidP="00A650BD" w:rsidRDefault="00A650BD" w14:paraId="0DB482E0" w14:textId="60247A0E">
      <w:pPr>
        <w:rPr>
          <w:rFonts w:ascii="Calibri" w:hAnsi="Calibri"/>
          <w:sz w:val="22"/>
        </w:rPr>
      </w:pPr>
      <w:r w:rsidRPr="006E3F0F">
        <w:t>Rule 1.18 allows any member of the public to submit written comment in any Commission proceeding using the “Public Comment” tab of the online Docket Card for that proceeding on the Commission’s website. Rule 1.18(b) requires that relevant written comment</w:t>
      </w:r>
      <w:r w:rsidR="00DA4A3E">
        <w:t>s</w:t>
      </w:r>
      <w:r w:rsidRPr="006E3F0F">
        <w:t xml:space="preserve"> submitted in a proceeding be summarized in the final decision issued in that proceeding.</w:t>
      </w:r>
    </w:p>
    <w:p w:rsidR="00A650BD" w:rsidP="00A650BD" w:rsidRDefault="00BC321A" w14:paraId="42E7CAEB" w14:textId="7B13EF36">
      <w:pPr>
        <w:rPr>
          <w:szCs w:val="26"/>
        </w:rPr>
      </w:pPr>
      <w:r>
        <w:t xml:space="preserve">During this proceeding </w:t>
      </w:r>
      <w:r w:rsidR="0023577F">
        <w:t>t</w:t>
      </w:r>
      <w:r w:rsidR="001B29C1">
        <w:t xml:space="preserve">wo </w:t>
      </w:r>
      <w:r w:rsidR="00A650BD">
        <w:t>public comment</w:t>
      </w:r>
      <w:r w:rsidR="001B29C1">
        <w:t>s</w:t>
      </w:r>
      <w:r w:rsidR="00F42B80">
        <w:t xml:space="preserve"> appeared </w:t>
      </w:r>
      <w:r w:rsidR="00A650BD">
        <w:t>on the Docket Card</w:t>
      </w:r>
      <w:r w:rsidR="00C4269D">
        <w:t xml:space="preserve"> for this proceeding.</w:t>
      </w:r>
      <w:r w:rsidR="00786E2F">
        <w:t xml:space="preserve"> </w:t>
      </w:r>
      <w:r w:rsidR="00DE1AD7">
        <w:t xml:space="preserve">The first </w:t>
      </w:r>
      <w:r w:rsidR="009F4924">
        <w:t>comment</w:t>
      </w:r>
      <w:r w:rsidR="00360FD9">
        <w:t>er</w:t>
      </w:r>
      <w:r w:rsidR="009F4924">
        <w:t xml:space="preserve"> </w:t>
      </w:r>
      <w:r w:rsidR="00CD4573">
        <w:t>asked the Commission “</w:t>
      </w:r>
      <w:r w:rsidRPr="00CD4573" w:rsidR="00CD4573">
        <w:t xml:space="preserve">not to </w:t>
      </w:r>
      <w:r w:rsidRPr="00CD4573" w:rsidR="00CD4573">
        <w:lastRenderedPageBreak/>
        <w:t>force the closure of the Union Island Pipeline</w:t>
      </w:r>
      <w:r w:rsidR="00CD4573">
        <w:t xml:space="preserve">” because </w:t>
      </w:r>
      <w:r w:rsidR="00FC6CE3">
        <w:t xml:space="preserve">the commenter would </w:t>
      </w:r>
      <w:r w:rsidR="00891DD8">
        <w:t xml:space="preserve">lose </w:t>
      </w:r>
      <w:r w:rsidR="00E90F56">
        <w:t>“</w:t>
      </w:r>
      <w:r w:rsidR="00891DD8">
        <w:t>modest</w:t>
      </w:r>
      <w:r w:rsidR="00E90F56">
        <w:t>”</w:t>
      </w:r>
      <w:r w:rsidR="00891DD8">
        <w:t xml:space="preserve"> royalty income from the Lathrop field.</w:t>
      </w:r>
      <w:r w:rsidR="00DE1AD7">
        <w:t xml:space="preserve"> The second comment</w:t>
      </w:r>
      <w:r w:rsidR="00572241">
        <w:t xml:space="preserve">, submitted </w:t>
      </w:r>
      <w:r w:rsidR="00B86410">
        <w:t>“[</w:t>
      </w:r>
      <w:r w:rsidR="00572241">
        <w:t>o</w:t>
      </w:r>
      <w:r w:rsidR="00B86410">
        <w:t>]</w:t>
      </w:r>
      <w:r w:rsidRPr="00A94786" w:rsidR="00572241">
        <w:t>n behalf of the nearly half a million hardworking members of the State Building and Construction Trades Council of California</w:t>
      </w:r>
      <w:r w:rsidR="00B86410">
        <w:t xml:space="preserve">,” </w:t>
      </w:r>
      <w:r w:rsidRPr="00A94786" w:rsidR="00A94786">
        <w:t>support</w:t>
      </w:r>
      <w:r w:rsidR="00490BF4">
        <w:t>ed</w:t>
      </w:r>
      <w:r w:rsidRPr="00A94786" w:rsidR="00A94786">
        <w:t xml:space="preserve"> </w:t>
      </w:r>
      <w:r w:rsidR="00E3544D">
        <w:t xml:space="preserve">local action </w:t>
      </w:r>
      <w:r w:rsidR="00AD5506">
        <w:t xml:space="preserve">through Antioch’s </w:t>
      </w:r>
      <w:r w:rsidRPr="00A94786" w:rsidR="00A94786">
        <w:t xml:space="preserve">renewal </w:t>
      </w:r>
      <w:r w:rsidR="00AD5506">
        <w:t>of a</w:t>
      </w:r>
      <w:r w:rsidRPr="00A94786" w:rsidR="00A94786">
        <w:t xml:space="preserve"> franchise agreement </w:t>
      </w:r>
      <w:r w:rsidR="00177CE4">
        <w:t xml:space="preserve">application by </w:t>
      </w:r>
      <w:r w:rsidR="006F226C">
        <w:t>Successor Subsidiary</w:t>
      </w:r>
      <w:r w:rsidR="00B44490">
        <w:t xml:space="preserve"> </w:t>
      </w:r>
      <w:r w:rsidR="00401C3F">
        <w:t xml:space="preserve">to transport natural gas </w:t>
      </w:r>
      <w:r w:rsidR="00487AFE">
        <w:t>through the UI Pipeline</w:t>
      </w:r>
      <w:r w:rsidR="00D3656E">
        <w:t xml:space="preserve"> for affordability and </w:t>
      </w:r>
      <w:r w:rsidR="007651F0">
        <w:t>emission reduction purposes</w:t>
      </w:r>
      <w:r w:rsidR="00487AFE">
        <w:t xml:space="preserve">. </w:t>
      </w:r>
      <w:r w:rsidR="00A748C8">
        <w:t>No other public comments were received</w:t>
      </w:r>
      <w:r w:rsidR="004E5B13">
        <w:t>.</w:t>
      </w:r>
    </w:p>
    <w:p w:rsidR="001F5D63" w:rsidP="007B333C" w:rsidRDefault="001F5D63" w14:paraId="081BF3F0" w14:textId="5133FF81">
      <w:pPr>
        <w:pStyle w:val="Heading1"/>
        <w:rPr>
          <w:lang w:val="en-ZW"/>
        </w:rPr>
      </w:pPr>
      <w:bookmarkStart w:name="_Toc202268980" w:id="144"/>
      <w:bookmarkStart w:name="_Toc202476642" w:id="145"/>
      <w:bookmarkStart w:name="_Toc201004398" w:id="146"/>
      <w:bookmarkStart w:name="_Toc201004717" w:id="147"/>
      <w:bookmarkStart w:name="_Toc201006992" w:id="148"/>
      <w:bookmarkStart w:name="_Toc201004399" w:id="149"/>
      <w:bookmarkStart w:name="_Toc201004718" w:id="150"/>
      <w:bookmarkStart w:name="_Toc201006993" w:id="151"/>
      <w:bookmarkStart w:name="_Toc195274151" w:id="152"/>
      <w:bookmarkStart w:name="_Toc195286791" w:id="153"/>
      <w:bookmarkStart w:name="_Toc195288035" w:id="154"/>
      <w:bookmarkStart w:name="_Toc195288114" w:id="155"/>
      <w:bookmarkStart w:name="_Toc195290627" w:id="156"/>
      <w:bookmarkStart w:name="_Toc195296435" w:id="157"/>
      <w:bookmarkStart w:name="_Toc195296725" w:id="158"/>
      <w:bookmarkStart w:name="_Toc195913693" w:id="159"/>
      <w:bookmarkStart w:name="_Toc196397859" w:id="160"/>
      <w:bookmarkStart w:name="_Toc197081600" w:id="161"/>
      <w:bookmarkStart w:name="_Toc197082019" w:id="162"/>
      <w:bookmarkStart w:name="_Toc197088374" w:id="163"/>
      <w:bookmarkStart w:name="_Toc197088409" w:id="164"/>
      <w:bookmarkStart w:name="_Toc197088444" w:id="165"/>
      <w:bookmarkStart w:name="_Toc197089062" w:id="166"/>
      <w:bookmarkStart w:name="_Toc197090207" w:id="167"/>
      <w:bookmarkStart w:name="_Toc197090731" w:id="168"/>
      <w:bookmarkStart w:name="_Toc211606208" w:id="169"/>
      <w:bookmarkStart w:name="_Toc220972219" w:id="170"/>
      <w:bookmarkStart w:name="_Toc220596336" w:id="171"/>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Pr>
          <w:lang w:val="en-ZW"/>
        </w:rPr>
        <w:t>Pending Procedural Requests</w:t>
      </w:r>
      <w:bookmarkEnd w:id="169"/>
      <w:bookmarkEnd w:id="170"/>
      <w:r>
        <w:rPr>
          <w:lang w:val="en-ZW"/>
        </w:rPr>
        <w:t xml:space="preserve"> </w:t>
      </w:r>
      <w:bookmarkEnd w:id="171"/>
    </w:p>
    <w:p w:rsidRPr="009A7F54" w:rsidR="009A7F54" w:rsidP="00A127CD" w:rsidRDefault="009A7F54" w14:paraId="333B0837" w14:textId="4020A8AB">
      <w:pPr>
        <w:pStyle w:val="Standard"/>
        <w:rPr>
          <w:lang w:val="en-ZW"/>
        </w:rPr>
      </w:pPr>
      <w:r>
        <w:rPr>
          <w:lang w:val="en-ZW"/>
        </w:rPr>
        <w:t xml:space="preserve">As discussed below, </w:t>
      </w:r>
      <w:r w:rsidR="009B0883">
        <w:rPr>
          <w:lang w:val="en-ZW"/>
        </w:rPr>
        <w:t xml:space="preserve">the </w:t>
      </w:r>
      <w:r>
        <w:rPr>
          <w:lang w:val="en-ZW"/>
        </w:rPr>
        <w:t xml:space="preserve">Cities’ request to hold </w:t>
      </w:r>
      <w:r w:rsidRPr="009A7F54">
        <w:rPr>
          <w:lang w:val="en-ZW"/>
        </w:rPr>
        <w:t xml:space="preserve">A.23-07-008 </w:t>
      </w:r>
      <w:r>
        <w:rPr>
          <w:lang w:val="en-ZW"/>
        </w:rPr>
        <w:t>in abeyance is denied</w:t>
      </w:r>
      <w:r w:rsidRPr="009A7F54">
        <w:rPr>
          <w:lang w:val="en-ZW"/>
        </w:rPr>
        <w:t>.</w:t>
      </w:r>
      <w:r w:rsidR="00E75567">
        <w:rPr>
          <w:lang w:val="en-ZW"/>
        </w:rPr>
        <w:t xml:space="preserve"> </w:t>
      </w:r>
      <w:r w:rsidR="00BC1F69">
        <w:rPr>
          <w:lang w:val="en-ZW"/>
        </w:rPr>
        <w:t xml:space="preserve">CRPC’s Motion to Amend </w:t>
      </w:r>
      <w:r w:rsidR="00E75567">
        <w:rPr>
          <w:lang w:val="en-ZW"/>
        </w:rPr>
        <w:t xml:space="preserve">the </w:t>
      </w:r>
      <w:r w:rsidR="00BC1F69">
        <w:rPr>
          <w:lang w:val="en-ZW"/>
        </w:rPr>
        <w:t xml:space="preserve">Application is denied. </w:t>
      </w:r>
      <w:r w:rsidR="00E36C3F">
        <w:rPr>
          <w:lang w:val="en-ZW"/>
        </w:rPr>
        <w:t xml:space="preserve">CRPC’s </w:t>
      </w:r>
      <w:r w:rsidR="009B0883">
        <w:rPr>
          <w:lang w:val="en-ZW"/>
        </w:rPr>
        <w:t xml:space="preserve">two </w:t>
      </w:r>
      <w:r w:rsidR="00E36C3F">
        <w:rPr>
          <w:lang w:val="en-ZW"/>
        </w:rPr>
        <w:t xml:space="preserve">motions to </w:t>
      </w:r>
      <w:r w:rsidR="005E1C0D">
        <w:rPr>
          <w:lang w:val="en-ZW"/>
        </w:rPr>
        <w:t xml:space="preserve">file confidential </w:t>
      </w:r>
      <w:r w:rsidR="009B0883">
        <w:rPr>
          <w:lang w:val="en-ZW"/>
        </w:rPr>
        <w:t>materials under seal are granted.</w:t>
      </w:r>
      <w:r w:rsidR="003462A9">
        <w:rPr>
          <w:lang w:val="en-ZW"/>
        </w:rPr>
        <w:t xml:space="preserve"> C</w:t>
      </w:r>
      <w:r w:rsidR="00CA2D2C">
        <w:rPr>
          <w:lang w:val="en-ZW"/>
        </w:rPr>
        <w:t xml:space="preserve">RPC’s </w:t>
      </w:r>
      <w:r w:rsidR="00C01215">
        <w:rPr>
          <w:lang w:val="en-ZW"/>
        </w:rPr>
        <w:t>M</w:t>
      </w:r>
      <w:r w:rsidR="00CA2D2C">
        <w:rPr>
          <w:lang w:val="en-ZW"/>
        </w:rPr>
        <w:t xml:space="preserve">otion to </w:t>
      </w:r>
      <w:r w:rsidR="00C01215">
        <w:rPr>
          <w:lang w:val="en-ZW"/>
        </w:rPr>
        <w:t>R</w:t>
      </w:r>
      <w:r w:rsidR="00CA2D2C">
        <w:rPr>
          <w:lang w:val="en-ZW"/>
        </w:rPr>
        <w:t xml:space="preserve">eopen the </w:t>
      </w:r>
      <w:r w:rsidR="00C01215">
        <w:rPr>
          <w:lang w:val="en-ZW"/>
        </w:rPr>
        <w:t>R</w:t>
      </w:r>
      <w:r w:rsidR="00CA2D2C">
        <w:rPr>
          <w:lang w:val="en-ZW"/>
        </w:rPr>
        <w:t>ecord is denied.</w:t>
      </w:r>
    </w:p>
    <w:p w:rsidRPr="00FE574D" w:rsidR="00221BC4" w:rsidP="00A127CD" w:rsidRDefault="001F5D63" w14:paraId="303D4071" w14:textId="3240B561">
      <w:pPr>
        <w:pStyle w:val="Heading2"/>
      </w:pPr>
      <w:bookmarkStart w:name="_Toc211606209" w:id="172"/>
      <w:bookmarkStart w:name="_Toc220596337" w:id="173"/>
      <w:bookmarkStart w:name="_Toc220972220" w:id="174"/>
      <w:r>
        <w:rPr>
          <w:lang w:val="en-ZW"/>
        </w:rPr>
        <w:t>C</w:t>
      </w:r>
      <w:r w:rsidRPr="00AA44A8" w:rsidR="00AA44A8">
        <w:rPr>
          <w:lang w:val="en-ZW"/>
        </w:rPr>
        <w:t xml:space="preserve">ities’ </w:t>
      </w:r>
      <w:r w:rsidR="00AA44A8">
        <w:rPr>
          <w:lang w:val="en-ZW"/>
        </w:rPr>
        <w:t>R</w:t>
      </w:r>
      <w:r w:rsidRPr="00AA44A8" w:rsidR="00AA44A8">
        <w:rPr>
          <w:lang w:val="en-ZW"/>
        </w:rPr>
        <w:t xml:space="preserve">equest to </w:t>
      </w:r>
      <w:r w:rsidR="00AA44A8">
        <w:rPr>
          <w:lang w:val="en-ZW"/>
        </w:rPr>
        <w:t>H</w:t>
      </w:r>
      <w:r w:rsidRPr="00AA44A8" w:rsidR="00AA44A8">
        <w:rPr>
          <w:lang w:val="en-ZW"/>
        </w:rPr>
        <w:t xml:space="preserve">old </w:t>
      </w:r>
      <w:r w:rsidR="00AA44A8">
        <w:rPr>
          <w:lang w:val="en-ZW"/>
        </w:rPr>
        <w:t>P</w:t>
      </w:r>
      <w:r w:rsidRPr="00AA44A8" w:rsidR="00AA44A8">
        <w:rPr>
          <w:lang w:val="en-ZW"/>
        </w:rPr>
        <w:t xml:space="preserve">roceeding </w:t>
      </w:r>
      <w:r w:rsidR="00AA44A8">
        <w:rPr>
          <w:lang w:val="en-ZW"/>
        </w:rPr>
        <w:t>I</w:t>
      </w:r>
      <w:r w:rsidRPr="00AA44A8" w:rsidR="00AA44A8">
        <w:rPr>
          <w:lang w:val="en-ZW"/>
        </w:rPr>
        <w:t xml:space="preserve">n </w:t>
      </w:r>
      <w:r w:rsidR="00AA44A8">
        <w:rPr>
          <w:lang w:val="en-ZW"/>
        </w:rPr>
        <w:t>A</w:t>
      </w:r>
      <w:r w:rsidRPr="00AA44A8" w:rsidR="00AA44A8">
        <w:rPr>
          <w:lang w:val="en-ZW"/>
        </w:rPr>
        <w:t>beyance</w:t>
      </w:r>
      <w:bookmarkEnd w:id="172"/>
      <w:bookmarkEnd w:id="173"/>
      <w:bookmarkEnd w:id="174"/>
      <w:r w:rsidR="00F47752">
        <w:t xml:space="preserve"> </w:t>
      </w:r>
    </w:p>
    <w:p w:rsidR="00331890" w:rsidP="00A127CD" w:rsidRDefault="00D04D02" w14:paraId="34D81977" w14:textId="7D336945">
      <w:pPr>
        <w:pStyle w:val="Standard"/>
        <w:rPr>
          <w:szCs w:val="26"/>
          <w:lang w:val="en-ZW"/>
        </w:rPr>
      </w:pPr>
      <w:r>
        <w:rPr>
          <w:szCs w:val="26"/>
          <w:lang w:val="en-ZW"/>
        </w:rPr>
        <w:t>In view of the foregoing</w:t>
      </w:r>
      <w:r w:rsidR="00390E14">
        <w:rPr>
          <w:szCs w:val="26"/>
          <w:lang w:val="en-ZW"/>
        </w:rPr>
        <w:t xml:space="preserve">, we </w:t>
      </w:r>
      <w:r w:rsidR="000C34D3">
        <w:rPr>
          <w:szCs w:val="26"/>
          <w:lang w:val="en-ZW"/>
        </w:rPr>
        <w:t>deny</w:t>
      </w:r>
      <w:r>
        <w:rPr>
          <w:szCs w:val="26"/>
          <w:lang w:val="en-ZW"/>
        </w:rPr>
        <w:t xml:space="preserve"> </w:t>
      </w:r>
      <w:r w:rsidR="00390E14">
        <w:rPr>
          <w:szCs w:val="26"/>
          <w:lang w:val="en-ZW"/>
        </w:rPr>
        <w:t>the Cities’ request to hold this proceeding in abeyance until conclusion of the Superior Court</w:t>
      </w:r>
      <w:r w:rsidR="00343039">
        <w:rPr>
          <w:szCs w:val="26"/>
          <w:lang w:val="en-ZW"/>
        </w:rPr>
        <w:t xml:space="preserve">’s </w:t>
      </w:r>
      <w:r w:rsidRPr="004F4BFE" w:rsidR="00343039">
        <w:rPr>
          <w:szCs w:val="26"/>
          <w:lang w:val="en-ZW"/>
        </w:rPr>
        <w:t>Phase II</w:t>
      </w:r>
      <w:r w:rsidR="00343039">
        <w:rPr>
          <w:szCs w:val="26"/>
          <w:lang w:val="en-ZW"/>
        </w:rPr>
        <w:t xml:space="preserve"> </w:t>
      </w:r>
      <w:r w:rsidR="00390E14">
        <w:rPr>
          <w:szCs w:val="26"/>
          <w:lang w:val="en-ZW"/>
        </w:rPr>
        <w:t xml:space="preserve">Pipeline Litigation and/or the Cities’ approval of </w:t>
      </w:r>
      <w:r w:rsidR="00680D02">
        <w:rPr>
          <w:szCs w:val="26"/>
          <w:lang w:val="en-ZW"/>
        </w:rPr>
        <w:t xml:space="preserve">necessary </w:t>
      </w:r>
      <w:r w:rsidR="00390E14">
        <w:rPr>
          <w:szCs w:val="26"/>
          <w:lang w:val="en-ZW"/>
        </w:rPr>
        <w:t xml:space="preserve">franchise agreements. </w:t>
      </w:r>
    </w:p>
    <w:p w:rsidR="00700EC5" w:rsidP="00A127CD" w:rsidRDefault="0064283F" w14:paraId="50DDD2B0" w14:textId="46CCF3BC">
      <w:pPr>
        <w:pStyle w:val="Standard"/>
        <w:rPr>
          <w:szCs w:val="26"/>
        </w:rPr>
      </w:pPr>
      <w:r>
        <w:rPr>
          <w:szCs w:val="26"/>
          <w:lang w:val="en-ZW"/>
        </w:rPr>
        <w:t>Pipeline L</w:t>
      </w:r>
      <w:r w:rsidR="00390E14">
        <w:rPr>
          <w:szCs w:val="26"/>
          <w:lang w:val="en-ZW"/>
        </w:rPr>
        <w:t xml:space="preserve">itigation </w:t>
      </w:r>
      <w:r>
        <w:rPr>
          <w:szCs w:val="26"/>
          <w:lang w:val="en-ZW"/>
        </w:rPr>
        <w:t xml:space="preserve">Phase II </w:t>
      </w:r>
      <w:r w:rsidR="00390E14">
        <w:rPr>
          <w:szCs w:val="26"/>
          <w:lang w:val="en-ZW"/>
        </w:rPr>
        <w:t>will address</w:t>
      </w:r>
      <w:r>
        <w:rPr>
          <w:szCs w:val="26"/>
          <w:lang w:val="en-ZW"/>
        </w:rPr>
        <w:t xml:space="preserve"> </w:t>
      </w:r>
      <w:r w:rsidR="00390E14">
        <w:rPr>
          <w:szCs w:val="26"/>
          <w:lang w:val="en-ZW"/>
        </w:rPr>
        <w:t>Antioch’s cross-claims for a judicial determination</w:t>
      </w:r>
      <w:r w:rsidR="00914ACE">
        <w:rPr>
          <w:szCs w:val="26"/>
          <w:lang w:val="en-ZW"/>
        </w:rPr>
        <w:t xml:space="preserve"> that </w:t>
      </w:r>
      <w:r w:rsidR="00390E14">
        <w:rPr>
          <w:szCs w:val="26"/>
          <w:lang w:val="en-ZW"/>
        </w:rPr>
        <w:t xml:space="preserve">CRPC </w:t>
      </w:r>
      <w:r w:rsidR="00890861">
        <w:rPr>
          <w:szCs w:val="26"/>
          <w:lang w:val="en-ZW"/>
        </w:rPr>
        <w:t xml:space="preserve">abandoned </w:t>
      </w:r>
      <w:r w:rsidR="0078778B">
        <w:rPr>
          <w:szCs w:val="26"/>
          <w:lang w:val="en-ZW"/>
        </w:rPr>
        <w:t>and/</w:t>
      </w:r>
      <w:r w:rsidR="00390E14">
        <w:rPr>
          <w:szCs w:val="26"/>
          <w:lang w:val="en-ZW"/>
        </w:rPr>
        <w:t>or must abandon the UI Pipeline segment within Antioch</w:t>
      </w:r>
      <w:r w:rsidR="007F138E">
        <w:rPr>
          <w:szCs w:val="26"/>
          <w:lang w:val="en-ZW"/>
        </w:rPr>
        <w:t xml:space="preserve">, </w:t>
      </w:r>
      <w:r w:rsidR="00C82C77">
        <w:rPr>
          <w:szCs w:val="26"/>
          <w:lang w:val="en-ZW"/>
        </w:rPr>
        <w:t xml:space="preserve">raising a </w:t>
      </w:r>
      <w:r w:rsidR="007F138E">
        <w:rPr>
          <w:szCs w:val="26"/>
          <w:lang w:val="en-ZW"/>
        </w:rPr>
        <w:t>dispute over ownership of that pipeline segment</w:t>
      </w:r>
      <w:r w:rsidR="00390E14">
        <w:rPr>
          <w:szCs w:val="26"/>
          <w:lang w:val="en-ZW"/>
        </w:rPr>
        <w:t xml:space="preserve">. No party has identified a definite date of resolution to that </w:t>
      </w:r>
      <w:r w:rsidR="00D04D02">
        <w:rPr>
          <w:szCs w:val="26"/>
          <w:lang w:val="en-ZW"/>
        </w:rPr>
        <w:t xml:space="preserve">multi-year </w:t>
      </w:r>
      <w:r w:rsidR="00390E14">
        <w:rPr>
          <w:szCs w:val="26"/>
          <w:lang w:val="en-ZW"/>
        </w:rPr>
        <w:t xml:space="preserve">litigation or the </w:t>
      </w:r>
      <w:r w:rsidR="00000194">
        <w:rPr>
          <w:szCs w:val="26"/>
          <w:lang w:val="en-ZW"/>
        </w:rPr>
        <w:t>pending</w:t>
      </w:r>
      <w:r w:rsidR="00390E14">
        <w:rPr>
          <w:szCs w:val="26"/>
          <w:lang w:val="en-ZW"/>
        </w:rPr>
        <w:t xml:space="preserve"> franchise </w:t>
      </w:r>
      <w:r w:rsidR="00A22575">
        <w:rPr>
          <w:szCs w:val="26"/>
          <w:lang w:val="en-ZW"/>
        </w:rPr>
        <w:t xml:space="preserve">application </w:t>
      </w:r>
      <w:r w:rsidR="00390E14">
        <w:rPr>
          <w:szCs w:val="26"/>
          <w:lang w:val="en-ZW"/>
        </w:rPr>
        <w:t>decisions</w:t>
      </w:r>
      <w:r w:rsidR="00DA5C1D">
        <w:rPr>
          <w:szCs w:val="26"/>
          <w:lang w:val="en-ZW"/>
        </w:rPr>
        <w:t xml:space="preserve"> </w:t>
      </w:r>
      <w:r w:rsidR="00207952">
        <w:rPr>
          <w:szCs w:val="26"/>
          <w:lang w:val="en-ZW"/>
        </w:rPr>
        <w:t>before the Cities</w:t>
      </w:r>
      <w:r w:rsidR="00390E14">
        <w:rPr>
          <w:szCs w:val="26"/>
          <w:lang w:val="en-ZW"/>
        </w:rPr>
        <w:t>.</w:t>
      </w:r>
      <w:r w:rsidR="002B3DAA">
        <w:rPr>
          <w:szCs w:val="26"/>
          <w:lang w:val="en-ZW"/>
        </w:rPr>
        <w:t xml:space="preserve"> </w:t>
      </w:r>
      <w:r w:rsidR="00D04D02">
        <w:rPr>
          <w:szCs w:val="26"/>
          <w:lang w:val="en-ZW"/>
        </w:rPr>
        <w:t>D</w:t>
      </w:r>
      <w:r w:rsidRPr="00D04D02" w:rsidR="00D04D02">
        <w:rPr>
          <w:szCs w:val="26"/>
          <w:lang w:val="en-ZW"/>
        </w:rPr>
        <w:t xml:space="preserve">uring </w:t>
      </w:r>
      <w:r w:rsidR="00D04D02">
        <w:rPr>
          <w:szCs w:val="26"/>
          <w:lang w:val="en-ZW"/>
        </w:rPr>
        <w:t xml:space="preserve">the pendency of those various </w:t>
      </w:r>
      <w:r w:rsidR="00FA03F5">
        <w:rPr>
          <w:szCs w:val="26"/>
          <w:lang w:val="en-ZW"/>
        </w:rPr>
        <w:t>extended</w:t>
      </w:r>
      <w:r w:rsidR="00D04D02">
        <w:rPr>
          <w:szCs w:val="26"/>
          <w:lang w:val="en-ZW"/>
        </w:rPr>
        <w:t xml:space="preserve"> </w:t>
      </w:r>
      <w:r w:rsidR="00BE4BE5">
        <w:rPr>
          <w:szCs w:val="26"/>
          <w:lang w:val="en-ZW"/>
        </w:rPr>
        <w:t xml:space="preserve">parallel </w:t>
      </w:r>
      <w:r w:rsidR="00D04D02">
        <w:rPr>
          <w:szCs w:val="26"/>
          <w:lang w:val="en-ZW"/>
        </w:rPr>
        <w:t>proceedings</w:t>
      </w:r>
      <w:r w:rsidR="009B406E">
        <w:rPr>
          <w:szCs w:val="26"/>
          <w:lang w:val="en-ZW"/>
        </w:rPr>
        <w:t xml:space="preserve"> in other </w:t>
      </w:r>
      <w:r w:rsidRPr="006E3F0F" w:rsidR="009B406E">
        <w:rPr>
          <w:i/>
          <w:iCs/>
          <w:szCs w:val="26"/>
          <w:lang w:val="en-ZW"/>
        </w:rPr>
        <w:t>fora</w:t>
      </w:r>
      <w:r w:rsidR="00D04D02">
        <w:rPr>
          <w:szCs w:val="26"/>
          <w:lang w:val="en-ZW"/>
        </w:rPr>
        <w:t xml:space="preserve">, </w:t>
      </w:r>
      <w:r w:rsidRPr="00D04D02" w:rsidR="00D04D02">
        <w:rPr>
          <w:szCs w:val="26"/>
          <w:lang w:val="en-ZW"/>
        </w:rPr>
        <w:t>this instant proceeding has been held largely in abeyance</w:t>
      </w:r>
      <w:r w:rsidR="00B54402">
        <w:rPr>
          <w:szCs w:val="26"/>
          <w:lang w:val="en-ZW"/>
        </w:rPr>
        <w:t xml:space="preserve"> by the Commission</w:t>
      </w:r>
      <w:r w:rsidR="00D04D02">
        <w:rPr>
          <w:szCs w:val="26"/>
          <w:lang w:val="en-ZW"/>
        </w:rPr>
        <w:t>.</w:t>
      </w:r>
      <w:bookmarkStart w:name="_Toc201004402" w:id="175"/>
      <w:bookmarkStart w:name="_Toc201004721" w:id="176"/>
      <w:bookmarkStart w:name="_Toc201006996" w:id="177"/>
      <w:bookmarkStart w:name="_Toc201004403" w:id="178"/>
      <w:bookmarkStart w:name="_Toc201004722" w:id="179"/>
      <w:bookmarkStart w:name="_Toc201006997" w:id="180"/>
      <w:bookmarkEnd w:id="175"/>
      <w:bookmarkEnd w:id="176"/>
      <w:bookmarkEnd w:id="177"/>
      <w:bookmarkEnd w:id="178"/>
      <w:bookmarkEnd w:id="179"/>
      <w:bookmarkEnd w:id="180"/>
    </w:p>
    <w:p w:rsidR="009D2E53" w:rsidP="00A127CD" w:rsidRDefault="004F62FD" w14:paraId="6F25425A" w14:textId="69F89D6F">
      <w:pPr>
        <w:pStyle w:val="Standard"/>
        <w:rPr>
          <w:szCs w:val="26"/>
        </w:rPr>
      </w:pPr>
      <w:r>
        <w:rPr>
          <w:szCs w:val="26"/>
        </w:rPr>
        <w:lastRenderedPageBreak/>
        <w:t>While</w:t>
      </w:r>
      <w:r w:rsidR="00700EC5">
        <w:rPr>
          <w:szCs w:val="26"/>
        </w:rPr>
        <w:t xml:space="preserve"> CRPC await</w:t>
      </w:r>
      <w:r>
        <w:rPr>
          <w:szCs w:val="26"/>
        </w:rPr>
        <w:t>s</w:t>
      </w:r>
      <w:r w:rsidR="00700EC5">
        <w:rPr>
          <w:szCs w:val="26"/>
        </w:rPr>
        <w:t xml:space="preserve"> a decision from the</w:t>
      </w:r>
      <w:r w:rsidR="000926E1">
        <w:rPr>
          <w:szCs w:val="26"/>
        </w:rPr>
        <w:t xml:space="preserve"> </w:t>
      </w:r>
      <w:r w:rsidR="00700EC5">
        <w:rPr>
          <w:szCs w:val="26"/>
        </w:rPr>
        <w:t xml:space="preserve">Superior Court that may determine </w:t>
      </w:r>
      <w:r w:rsidR="003611C5">
        <w:rPr>
          <w:szCs w:val="26"/>
        </w:rPr>
        <w:t xml:space="preserve">whether </w:t>
      </w:r>
      <w:r w:rsidR="00700EC5">
        <w:rPr>
          <w:szCs w:val="26"/>
        </w:rPr>
        <w:t>CRPC abandoned the UI Pipeline segment within Antioch</w:t>
      </w:r>
      <w:r>
        <w:rPr>
          <w:szCs w:val="26"/>
        </w:rPr>
        <w:t>, CPRC continues to lack</w:t>
      </w:r>
      <w:r w:rsidR="00700EC5">
        <w:rPr>
          <w:szCs w:val="26"/>
        </w:rPr>
        <w:t xml:space="preserve"> franchise </w:t>
      </w:r>
      <w:r w:rsidR="009E785A">
        <w:rPr>
          <w:szCs w:val="26"/>
        </w:rPr>
        <w:t xml:space="preserve">rights </w:t>
      </w:r>
      <w:r w:rsidR="00700EC5">
        <w:rPr>
          <w:szCs w:val="26"/>
        </w:rPr>
        <w:t xml:space="preserve">to operate the pipeline within </w:t>
      </w:r>
      <w:r w:rsidRPr="008F37B4" w:rsidR="00700EC5">
        <w:rPr>
          <w:szCs w:val="26"/>
        </w:rPr>
        <w:t xml:space="preserve">public rights-of-way </w:t>
      </w:r>
      <w:r w:rsidR="00700EC5">
        <w:rPr>
          <w:szCs w:val="26"/>
        </w:rPr>
        <w:t xml:space="preserve">of Antioch and Brentwood. </w:t>
      </w:r>
      <w:r w:rsidR="001F5D63">
        <w:rPr>
          <w:szCs w:val="26"/>
        </w:rPr>
        <w:t>This has been the case since</w:t>
      </w:r>
      <w:r>
        <w:rPr>
          <w:szCs w:val="26"/>
        </w:rPr>
        <w:t xml:space="preserve"> </w:t>
      </w:r>
      <w:r w:rsidR="009D2E53">
        <w:rPr>
          <w:szCs w:val="26"/>
        </w:rPr>
        <w:t>July 19, 2023</w:t>
      </w:r>
      <w:r>
        <w:rPr>
          <w:szCs w:val="26"/>
        </w:rPr>
        <w:t>, when the instant Application was filed</w:t>
      </w:r>
      <w:r w:rsidR="004644BD">
        <w:rPr>
          <w:szCs w:val="26"/>
        </w:rPr>
        <w:t xml:space="preserve">, </w:t>
      </w:r>
      <w:r>
        <w:rPr>
          <w:szCs w:val="26"/>
        </w:rPr>
        <w:t>initiating this proceeding</w:t>
      </w:r>
      <w:r w:rsidR="009D2E53">
        <w:rPr>
          <w:szCs w:val="26"/>
        </w:rPr>
        <w:t xml:space="preserve">. </w:t>
      </w:r>
    </w:p>
    <w:p w:rsidR="00D94052" w:rsidP="00141DF1" w:rsidRDefault="00D94052" w14:paraId="6806C6D0" w14:textId="11D65C55">
      <w:pPr>
        <w:pStyle w:val="Standard"/>
      </w:pPr>
      <w:r>
        <w:t xml:space="preserve">The Commission is statutorily bound to resolve </w:t>
      </w:r>
      <w:r w:rsidR="00557F02">
        <w:t xml:space="preserve">a </w:t>
      </w:r>
      <w:r>
        <w:t xml:space="preserve">ratesetting proceeding </w:t>
      </w:r>
      <w:r>
        <w:rPr>
          <w:w w:val="105"/>
        </w:rPr>
        <w:t xml:space="preserve">within 18 months by </w:t>
      </w:r>
      <w:r w:rsidR="00A225E1">
        <w:rPr>
          <w:w w:val="105"/>
        </w:rPr>
        <w:t>Section</w:t>
      </w:r>
      <w:r>
        <w:rPr>
          <w:w w:val="105"/>
        </w:rPr>
        <w:t xml:space="preserve"> 1701.5</w:t>
      </w:r>
      <w:r>
        <w:t xml:space="preserve">. </w:t>
      </w:r>
      <w:r w:rsidR="00557F02">
        <w:t>Here, t</w:t>
      </w:r>
      <w:r>
        <w:t>he Commission previously extended that initial 18-month deadline to July 31, 2025</w:t>
      </w:r>
      <w:r w:rsidR="001F5D63">
        <w:t>,</w:t>
      </w:r>
      <w:r>
        <w:t xml:space="preserve"> </w:t>
      </w:r>
      <w:r w:rsidR="00DD40CC">
        <w:t>and</w:t>
      </w:r>
      <w:r>
        <w:t xml:space="preserve"> </w:t>
      </w:r>
      <w:r w:rsidR="00B82B70">
        <w:t xml:space="preserve">then </w:t>
      </w:r>
      <w:r>
        <w:t xml:space="preserve">further extended it to </w:t>
      </w:r>
      <w:r w:rsidR="004C16D9">
        <w:t>October 31, 2025</w:t>
      </w:r>
      <w:r w:rsidR="002F23BD">
        <w:t>, and</w:t>
      </w:r>
      <w:r w:rsidR="00EC478B">
        <w:t xml:space="preserve"> </w:t>
      </w:r>
      <w:r w:rsidR="00C51321">
        <w:t xml:space="preserve">again </w:t>
      </w:r>
      <w:r w:rsidR="00EC478B">
        <w:t>to</w:t>
      </w:r>
      <w:r w:rsidR="002F23BD">
        <w:t xml:space="preserve"> April </w:t>
      </w:r>
      <w:r w:rsidR="00624203">
        <w:t>3, 2026</w:t>
      </w:r>
      <w:r w:rsidR="001073E9">
        <w:t>,</w:t>
      </w:r>
      <w:r w:rsidR="00384F04">
        <w:t xml:space="preserve"> </w:t>
      </w:r>
      <w:r w:rsidR="006E0E0E">
        <w:t>based on</w:t>
      </w:r>
      <w:r>
        <w:t xml:space="preserve"> the parties</w:t>
      </w:r>
      <w:r w:rsidR="00B82B70">
        <w:t>’</w:t>
      </w:r>
      <w:r>
        <w:t xml:space="preserve"> reports </w:t>
      </w:r>
      <w:r w:rsidR="006E0E0E">
        <w:t xml:space="preserve">regarding </w:t>
      </w:r>
      <w:r>
        <w:t xml:space="preserve">the status of the pending </w:t>
      </w:r>
      <w:r w:rsidR="009A1DC9">
        <w:t>Pipeline L</w:t>
      </w:r>
      <w:r>
        <w:t xml:space="preserve">itigation and local proceedings. </w:t>
      </w:r>
      <w:r w:rsidR="00013DD1">
        <w:t xml:space="preserve">Now, </w:t>
      </w:r>
      <w:r w:rsidR="004B5472">
        <w:t xml:space="preserve">over </w:t>
      </w:r>
      <w:r w:rsidR="00013DD1">
        <w:t>two</w:t>
      </w:r>
      <w:r w:rsidR="00893FD7">
        <w:t>-and-one-half</w:t>
      </w:r>
      <w:r w:rsidR="00013DD1">
        <w:t xml:space="preserve"> years </w:t>
      </w:r>
      <w:r w:rsidR="0042229C">
        <w:t>later, w</w:t>
      </w:r>
      <w:r>
        <w:t xml:space="preserve">e have provided an adequate period </w:t>
      </w:r>
      <w:r w:rsidR="0081235C">
        <w:t xml:space="preserve">of time </w:t>
      </w:r>
      <w:r>
        <w:t xml:space="preserve">for CRPC to </w:t>
      </w:r>
      <w:r w:rsidR="004F1D97">
        <w:t xml:space="preserve">establish </w:t>
      </w:r>
      <w:r>
        <w:t xml:space="preserve">the </w:t>
      </w:r>
      <w:r w:rsidR="0042229C">
        <w:t>necessary</w:t>
      </w:r>
      <w:r w:rsidR="00360DA7">
        <w:t xml:space="preserve"> ownership, control, operation, </w:t>
      </w:r>
      <w:r w:rsidR="00CC4B9B">
        <w:t xml:space="preserve">or management </w:t>
      </w:r>
      <w:r>
        <w:t>rights to the full UI Pipeline</w:t>
      </w:r>
      <w:r w:rsidR="00CC4B9B">
        <w:t xml:space="preserve"> under Sections 216 and 222</w:t>
      </w:r>
      <w:r>
        <w:t xml:space="preserve">, </w:t>
      </w:r>
      <w:r w:rsidR="00737883">
        <w:t xml:space="preserve">identified as the threshold issue in </w:t>
      </w:r>
      <w:r w:rsidR="00A44FC7">
        <w:t>the Scoping Memo</w:t>
      </w:r>
      <w:r>
        <w:t>.</w:t>
      </w:r>
      <w:r w:rsidR="001E6621">
        <w:rPr>
          <w:rStyle w:val="FootnoteReference"/>
        </w:rPr>
        <w:footnoteReference w:id="70"/>
      </w:r>
      <w:r w:rsidR="00BE7079">
        <w:t xml:space="preserve"> </w:t>
      </w:r>
    </w:p>
    <w:p w:rsidR="00141DF1" w:rsidP="00141DF1" w:rsidRDefault="00706330" w14:paraId="5C2615E3" w14:textId="1BD40395">
      <w:pPr>
        <w:pStyle w:val="Standard"/>
      </w:pPr>
      <w:r>
        <w:t>N</w:t>
      </w:r>
      <w:r w:rsidRPr="00B55B24">
        <w:t xml:space="preserve">o party has proposed a date </w:t>
      </w:r>
      <w:r>
        <w:t xml:space="preserve">certain </w:t>
      </w:r>
      <w:r w:rsidRPr="00B55B24">
        <w:t xml:space="preserve">until which we should </w:t>
      </w:r>
      <w:r w:rsidR="008E3221">
        <w:t>hold</w:t>
      </w:r>
      <w:r w:rsidRPr="00B55B24">
        <w:t xml:space="preserve"> this proceeding</w:t>
      </w:r>
      <w:r w:rsidR="008E3221">
        <w:t xml:space="preserve"> in abeyance</w:t>
      </w:r>
      <w:r>
        <w:t xml:space="preserve">. </w:t>
      </w:r>
      <w:r w:rsidR="00141DF1">
        <w:t xml:space="preserve">No party offered a </w:t>
      </w:r>
      <w:r w:rsidR="00AF1CCC">
        <w:t>definite estimate</w:t>
      </w:r>
      <w:r w:rsidR="002A3047">
        <w:t xml:space="preserve"> </w:t>
      </w:r>
      <w:r w:rsidR="00141DF1">
        <w:t xml:space="preserve">that CRPC </w:t>
      </w:r>
      <w:r w:rsidR="00B17C02">
        <w:t>(</w:t>
      </w:r>
      <w:r w:rsidR="00141DF1">
        <w:t>or Successor Subsidiary</w:t>
      </w:r>
      <w:r w:rsidR="00B17C02">
        <w:t>)</w:t>
      </w:r>
      <w:r w:rsidR="00141DF1">
        <w:t xml:space="preserve"> would acquire </w:t>
      </w:r>
      <w:r w:rsidR="0003045F">
        <w:t xml:space="preserve">or be denied </w:t>
      </w:r>
      <w:r w:rsidR="00141DF1">
        <w:t xml:space="preserve">sufficient rights to </w:t>
      </w:r>
      <w:r w:rsidR="000A46D6">
        <w:t xml:space="preserve">own, control, </w:t>
      </w:r>
      <w:r w:rsidR="00141DF1">
        <w:t>operate</w:t>
      </w:r>
      <w:r w:rsidR="000A46D6">
        <w:t>, or manage</w:t>
      </w:r>
      <w:r w:rsidR="00141DF1">
        <w:t xml:space="preserve"> the UI Pipeline </w:t>
      </w:r>
      <w:r w:rsidR="00561669">
        <w:t xml:space="preserve">segments </w:t>
      </w:r>
      <w:r w:rsidR="00141DF1">
        <w:t xml:space="preserve">within either City’s jurisdiction </w:t>
      </w:r>
      <w:r w:rsidR="00C04602">
        <w:t xml:space="preserve">with finality </w:t>
      </w:r>
      <w:r w:rsidR="00141DF1">
        <w:t xml:space="preserve">by the </w:t>
      </w:r>
      <w:r w:rsidR="00187D46">
        <w:t xml:space="preserve">extended </w:t>
      </w:r>
      <w:r w:rsidR="00141DF1">
        <w:t>statutory deadline or anytime in</w:t>
      </w:r>
      <w:r w:rsidR="00A31BCB">
        <w:t>to</w:t>
      </w:r>
      <w:r w:rsidR="001F5D63">
        <w:t xml:space="preserve"> the reasonably foreseeable </w:t>
      </w:r>
      <w:r w:rsidR="00141DF1">
        <w:t>future</w:t>
      </w:r>
      <w:r w:rsidRPr="00B55B24" w:rsidR="00141DF1">
        <w:t xml:space="preserve">. </w:t>
      </w:r>
    </w:p>
    <w:p w:rsidR="00812657" w:rsidRDefault="00524112" w14:paraId="3C3F59CE" w14:textId="67A0ECE9">
      <w:pPr>
        <w:pStyle w:val="Standard"/>
        <w:rPr>
          <w:szCs w:val="26"/>
        </w:rPr>
      </w:pPr>
      <w:r>
        <w:t xml:space="preserve">As discussed above, this </w:t>
      </w:r>
      <w:r w:rsidR="001356DC">
        <w:t xml:space="preserve">Application is unripe, warranting dismissal without prejudice, rather than holding it in abeyance indefinitely. </w:t>
      </w:r>
      <w:r w:rsidR="00040649">
        <w:t xml:space="preserve">Without the </w:t>
      </w:r>
      <w:r w:rsidR="00040649">
        <w:lastRenderedPageBreak/>
        <w:t xml:space="preserve">necessary </w:t>
      </w:r>
      <w:r w:rsidR="000A4824">
        <w:t xml:space="preserve">clear ownership or </w:t>
      </w:r>
      <w:r w:rsidR="00040649">
        <w:t xml:space="preserve">legal rights to </w:t>
      </w:r>
      <w:r w:rsidR="00D8498B">
        <w:t xml:space="preserve">control, </w:t>
      </w:r>
      <w:r w:rsidR="00040649">
        <w:t>operate</w:t>
      </w:r>
      <w:r w:rsidR="00CE7AE5">
        <w:t>, or manage</w:t>
      </w:r>
      <w:r w:rsidR="00040649">
        <w:t xml:space="preserve"> the full UI Pipeline</w:t>
      </w:r>
      <w:r w:rsidR="00741BC5">
        <w:t>,</w:t>
      </w:r>
      <w:r w:rsidR="00040649">
        <w:t xml:space="preserve"> as proposed in the Application</w:t>
      </w:r>
      <w:r w:rsidR="00741BC5">
        <w:t>,</w:t>
      </w:r>
      <w:r w:rsidR="00040649">
        <w:t xml:space="preserve"> at present or in the reasonably foreseeable future, CRPC’s </w:t>
      </w:r>
      <w:r w:rsidR="00677422">
        <w:t xml:space="preserve">Application </w:t>
      </w:r>
      <w:r w:rsidR="0018490C">
        <w:t xml:space="preserve">presents </w:t>
      </w:r>
      <w:r w:rsidR="0064734E">
        <w:t>a</w:t>
      </w:r>
      <w:r w:rsidR="0028163B">
        <w:t xml:space="preserve"> hypothetical </w:t>
      </w:r>
      <w:r w:rsidR="00F20738">
        <w:t xml:space="preserve">pipeline </w:t>
      </w:r>
      <w:r w:rsidR="0064734E">
        <w:t>operation</w:t>
      </w:r>
      <w:r w:rsidR="00040649">
        <w:t>.</w:t>
      </w:r>
      <w:r w:rsidR="00E42B7C">
        <w:rPr>
          <w:rStyle w:val="FootnoteReference"/>
        </w:rPr>
        <w:footnoteReference w:id="71"/>
      </w:r>
      <w:r w:rsidR="00040649">
        <w:t xml:space="preserve"> </w:t>
      </w:r>
      <w:r w:rsidR="00DA2E29">
        <w:t xml:space="preserve">After </w:t>
      </w:r>
      <w:r w:rsidR="00F171BD">
        <w:t>years</w:t>
      </w:r>
      <w:r w:rsidR="003D301C">
        <w:t xml:space="preserve"> of litigation</w:t>
      </w:r>
      <w:r w:rsidR="00446DDE">
        <w:t xml:space="preserve"> and local franchise </w:t>
      </w:r>
      <w:r w:rsidR="00E84571">
        <w:t>proceedings</w:t>
      </w:r>
      <w:r w:rsidR="00DA2E29">
        <w:t>,</w:t>
      </w:r>
      <w:r w:rsidRPr="00DA2E29" w:rsidR="00DA2E29">
        <w:t xml:space="preserve"> CRPC is no closer to resolving </w:t>
      </w:r>
      <w:r w:rsidR="00040649">
        <w:t>th</w:t>
      </w:r>
      <w:r w:rsidR="00C0084D">
        <w:t>is</w:t>
      </w:r>
      <w:r w:rsidRPr="00DA2E29" w:rsidR="00DA2E29">
        <w:t xml:space="preserve"> </w:t>
      </w:r>
      <w:r w:rsidR="00A17907">
        <w:t xml:space="preserve">defect in </w:t>
      </w:r>
      <w:r w:rsidR="00E84571">
        <w:t xml:space="preserve">its </w:t>
      </w:r>
      <w:r w:rsidR="00A17907">
        <w:t>Application</w:t>
      </w:r>
      <w:r w:rsidRPr="00DA2E29" w:rsidR="00DA2E29">
        <w:t xml:space="preserve">. The Commission therefore will not continue to hold </w:t>
      </w:r>
      <w:r w:rsidR="00BA4F6D">
        <w:t xml:space="preserve">A.23-07-008 </w:t>
      </w:r>
      <w:r w:rsidRPr="00DA2E29" w:rsidR="00DA2E29">
        <w:t xml:space="preserve">in abeyance. </w:t>
      </w:r>
    </w:p>
    <w:p w:rsidR="00DD609E" w:rsidP="00A127CD" w:rsidRDefault="00841A24" w14:paraId="67508C52" w14:textId="23ADA427">
      <w:pPr>
        <w:pStyle w:val="Standard"/>
      </w:pPr>
      <w:r>
        <w:t xml:space="preserve">Accordingly, the Cities’ request to hold the proceeding in abeyance is denied. Instead, </w:t>
      </w:r>
      <w:r w:rsidR="003E2F5C">
        <w:t xml:space="preserve">the </w:t>
      </w:r>
      <w:r>
        <w:t xml:space="preserve">instant Application is </w:t>
      </w:r>
      <w:r w:rsidR="009F2EA1">
        <w:t>dismissed</w:t>
      </w:r>
      <w:r w:rsidR="002A65B7">
        <w:t xml:space="preserve"> without prejudice</w:t>
      </w:r>
      <w:r>
        <w:t>.</w:t>
      </w:r>
    </w:p>
    <w:p w:rsidRPr="002C7D6C" w:rsidR="00043B0A" w:rsidP="00A127CD" w:rsidRDefault="00280DE2" w14:paraId="5AF212F5" w14:textId="5D446151">
      <w:pPr>
        <w:pStyle w:val="Heading2"/>
      </w:pPr>
      <w:bookmarkStart w:name="_Toc201004406" w:id="181"/>
      <w:bookmarkStart w:name="_Toc201004725" w:id="182"/>
      <w:bookmarkStart w:name="_Toc201007000" w:id="183"/>
      <w:bookmarkStart w:name="_Toc201004407" w:id="184"/>
      <w:bookmarkStart w:name="_Toc201004726" w:id="185"/>
      <w:bookmarkStart w:name="_Toc201007001" w:id="186"/>
      <w:bookmarkStart w:name="_Toc200992958" w:id="187"/>
      <w:bookmarkStart w:name="_Toc201004408" w:id="188"/>
      <w:bookmarkStart w:name="_Toc201004727" w:id="189"/>
      <w:bookmarkStart w:name="_Toc201007002" w:id="190"/>
      <w:bookmarkStart w:name="_Toc211606210" w:id="191"/>
      <w:bookmarkStart w:name="_Toc220596338" w:id="192"/>
      <w:bookmarkStart w:name="_Toc220972221" w:id="193"/>
      <w:bookmarkStart w:name="_Toc148605001" w:id="194"/>
      <w:bookmarkStart w:name="_Toc8123723" w:id="195"/>
      <w:bookmarkEnd w:id="181"/>
      <w:bookmarkEnd w:id="182"/>
      <w:bookmarkEnd w:id="183"/>
      <w:bookmarkEnd w:id="184"/>
      <w:bookmarkEnd w:id="185"/>
      <w:bookmarkEnd w:id="186"/>
      <w:bookmarkEnd w:id="187"/>
      <w:bookmarkEnd w:id="188"/>
      <w:bookmarkEnd w:id="189"/>
      <w:bookmarkEnd w:id="190"/>
      <w:r>
        <w:t xml:space="preserve">CRPC </w:t>
      </w:r>
      <w:r w:rsidR="00043B0A">
        <w:t>Motion to</w:t>
      </w:r>
      <w:r w:rsidRPr="002C7D6C" w:rsidR="00043B0A">
        <w:t xml:space="preserve"> Amend</w:t>
      </w:r>
      <w:bookmarkEnd w:id="191"/>
      <w:bookmarkEnd w:id="192"/>
      <w:bookmarkEnd w:id="193"/>
      <w:r w:rsidRPr="002C7D6C" w:rsidR="00043B0A">
        <w:t xml:space="preserve"> </w:t>
      </w:r>
    </w:p>
    <w:p w:rsidR="009640D4" w:rsidP="00043B0A" w:rsidRDefault="00EF1AED" w14:paraId="11ACCA92" w14:textId="2E37AC3A">
      <w:pPr>
        <w:pStyle w:val="Standard"/>
      </w:pPr>
      <w:r>
        <w:t xml:space="preserve">We deny </w:t>
      </w:r>
      <w:r w:rsidR="009640D4">
        <w:t xml:space="preserve">CRPC’s Motion to Amend </w:t>
      </w:r>
      <w:r w:rsidR="00C03C33">
        <w:t>the Application</w:t>
      </w:r>
      <w:r>
        <w:t xml:space="preserve">. That </w:t>
      </w:r>
      <w:r w:rsidR="00582EE2">
        <w:t xml:space="preserve">motion </w:t>
      </w:r>
      <w:r w:rsidR="009640D4">
        <w:t xml:space="preserve">asserts that </w:t>
      </w:r>
      <w:r w:rsidR="00F10965">
        <w:t xml:space="preserve">CRPC </w:t>
      </w:r>
      <w:r w:rsidR="009640D4">
        <w:t xml:space="preserve">requests a </w:t>
      </w:r>
      <w:r w:rsidR="006047F9">
        <w:t xml:space="preserve">purported </w:t>
      </w:r>
      <w:r w:rsidR="00FE5B7C">
        <w:t>“</w:t>
      </w:r>
      <w:r w:rsidR="009640D4">
        <w:t>non-substantive</w:t>
      </w:r>
      <w:r w:rsidR="00B03490">
        <w:t>”</w:t>
      </w:r>
      <w:r w:rsidR="009640D4">
        <w:t xml:space="preserve"> amendment to recognize the </w:t>
      </w:r>
      <w:r w:rsidR="006753EC">
        <w:t xml:space="preserve">October 2024 </w:t>
      </w:r>
      <w:r w:rsidR="009640D4">
        <w:t>transfer of ownership of the UI Pipeline to Successor Subsidiary.</w:t>
      </w:r>
      <w:r w:rsidR="00545A64">
        <w:rPr>
          <w:rStyle w:val="FootnoteReference"/>
        </w:rPr>
        <w:footnoteReference w:id="72"/>
      </w:r>
      <w:r w:rsidR="009640D4">
        <w:t xml:space="preserve"> CRPC asks the Commission to substitut</w:t>
      </w:r>
      <w:r w:rsidR="001323F9">
        <w:t>e</w:t>
      </w:r>
      <w:r w:rsidR="009640D4">
        <w:t xml:space="preserve"> </w:t>
      </w:r>
      <w:r w:rsidR="00C107FB">
        <w:t xml:space="preserve">a new party </w:t>
      </w:r>
      <w:r w:rsidR="00FE5B7C">
        <w:t xml:space="preserve">-- </w:t>
      </w:r>
      <w:r w:rsidR="009640D4">
        <w:t xml:space="preserve">Successor Subsidiary </w:t>
      </w:r>
      <w:r w:rsidR="00FE5B7C">
        <w:t xml:space="preserve">-- </w:t>
      </w:r>
      <w:r w:rsidR="009640D4">
        <w:t xml:space="preserve">for CRPC as the applicant for a CPCN to operate the </w:t>
      </w:r>
      <w:r w:rsidR="00F757F7">
        <w:t>full pipeline</w:t>
      </w:r>
      <w:r w:rsidR="009640D4">
        <w:t xml:space="preserve">. </w:t>
      </w:r>
    </w:p>
    <w:p w:rsidR="005C4AA2" w:rsidP="00F74462" w:rsidRDefault="00107DCC" w14:paraId="44B056F9" w14:textId="445ADE30">
      <w:pPr>
        <w:pStyle w:val="Standard"/>
      </w:pPr>
      <w:r>
        <w:t xml:space="preserve">In light of our analysis above, </w:t>
      </w:r>
      <w:r w:rsidRPr="005E0F33" w:rsidR="00043B0A">
        <w:t xml:space="preserve">CRPC’s proposed amendment does not cure </w:t>
      </w:r>
      <w:r w:rsidR="007A0B04">
        <w:t xml:space="preserve">the Application’s </w:t>
      </w:r>
      <w:r w:rsidR="00133AA2">
        <w:t>defect</w:t>
      </w:r>
      <w:r w:rsidR="00B71EFF">
        <w:t xml:space="preserve">s </w:t>
      </w:r>
      <w:r w:rsidR="00393582">
        <w:t>through</w:t>
      </w:r>
      <w:r w:rsidRPr="005E0F33" w:rsidR="00393582">
        <w:t xml:space="preserve"> </w:t>
      </w:r>
      <w:r w:rsidR="001F75F0">
        <w:t xml:space="preserve">substitution of </w:t>
      </w:r>
      <w:r w:rsidR="00715B05">
        <w:t xml:space="preserve">its </w:t>
      </w:r>
      <w:r w:rsidRPr="005E0F33" w:rsidR="00025476">
        <w:t>Successor Subsidiary</w:t>
      </w:r>
      <w:r w:rsidRPr="005E0F33" w:rsidR="00043B0A">
        <w:t xml:space="preserve">. </w:t>
      </w:r>
      <w:r w:rsidR="001B7A4D">
        <w:t>Significantly</w:t>
      </w:r>
      <w:r w:rsidRPr="005E0F33" w:rsidR="00043B0A">
        <w:t xml:space="preserve">, the </w:t>
      </w:r>
      <w:r w:rsidRPr="005E0F33" w:rsidR="007252B2">
        <w:t xml:space="preserve">proceeding </w:t>
      </w:r>
      <w:r w:rsidRPr="005E0F33" w:rsidR="00043B0A">
        <w:t xml:space="preserve">record shows that </w:t>
      </w:r>
      <w:r w:rsidR="00DE1DB1">
        <w:t xml:space="preserve">CRPC transferred its ownership interests in the UI Pipeline to </w:t>
      </w:r>
      <w:r w:rsidRPr="005E0F33" w:rsidR="00043B0A">
        <w:t>Successor Subsidiary</w:t>
      </w:r>
      <w:r w:rsidR="00C43ACE">
        <w:t xml:space="preserve"> in October 202</w:t>
      </w:r>
      <w:r w:rsidR="001B4A12">
        <w:t>4</w:t>
      </w:r>
      <w:r w:rsidR="00DE1DB1">
        <w:t xml:space="preserve">. Those ownership interests </w:t>
      </w:r>
      <w:r w:rsidR="003C3B12">
        <w:t xml:space="preserve">dating back to the </w:t>
      </w:r>
      <w:r w:rsidR="00F76D18">
        <w:t xml:space="preserve">2021 franchise termination </w:t>
      </w:r>
      <w:r w:rsidR="00F15166">
        <w:t>were</w:t>
      </w:r>
      <w:r w:rsidR="00DE1DB1">
        <w:t xml:space="preserve"> </w:t>
      </w:r>
      <w:r w:rsidR="003F426A">
        <w:t xml:space="preserve">made </w:t>
      </w:r>
      <w:r w:rsidR="00F76D18">
        <w:t>uncertain</w:t>
      </w:r>
      <w:r w:rsidR="00DE1DB1">
        <w:t xml:space="preserve"> by </w:t>
      </w:r>
      <w:r w:rsidR="003E4014">
        <w:t xml:space="preserve">Antioch’s </w:t>
      </w:r>
      <w:r w:rsidR="00192315">
        <w:t>cross-</w:t>
      </w:r>
      <w:r w:rsidR="003E4014">
        <w:t>claim</w:t>
      </w:r>
      <w:r w:rsidR="00442209">
        <w:t>s</w:t>
      </w:r>
      <w:r w:rsidR="003E4014">
        <w:t xml:space="preserve"> </w:t>
      </w:r>
      <w:r w:rsidR="00D525B8">
        <w:t xml:space="preserve">in the Phase II Pipeline Litigation. In addition, Successor </w:t>
      </w:r>
      <w:r w:rsidR="009B5A03">
        <w:t>Subsidiary</w:t>
      </w:r>
      <w:r w:rsidRPr="005E0F33" w:rsidR="00043B0A">
        <w:t xml:space="preserve"> filed a pending application to obtain a franchise </w:t>
      </w:r>
      <w:r w:rsidRPr="005E0F33" w:rsidR="00043B0A">
        <w:lastRenderedPageBreak/>
        <w:t>agreement</w:t>
      </w:r>
      <w:r w:rsidR="00A07F24">
        <w:t xml:space="preserve"> with Antioch</w:t>
      </w:r>
      <w:r w:rsidR="00502B04">
        <w:t xml:space="preserve">. CRPC </w:t>
      </w:r>
      <w:r w:rsidRPr="005E0F33" w:rsidR="00043B0A">
        <w:t xml:space="preserve">thereby </w:t>
      </w:r>
      <w:r w:rsidR="0047377E">
        <w:t>confirms</w:t>
      </w:r>
      <w:r w:rsidRPr="005E0F33" w:rsidR="0047377E">
        <w:t xml:space="preserve"> </w:t>
      </w:r>
      <w:r w:rsidRPr="005E0F33" w:rsidR="00AD52E1">
        <w:t xml:space="preserve">that </w:t>
      </w:r>
      <w:r w:rsidRPr="005E0F33" w:rsidR="00502B04">
        <w:t xml:space="preserve">Successor Subsidiary </w:t>
      </w:r>
      <w:r w:rsidRPr="005E0F33" w:rsidR="00C76715">
        <w:t xml:space="preserve">lacks </w:t>
      </w:r>
      <w:r w:rsidR="00B91303">
        <w:t xml:space="preserve">present </w:t>
      </w:r>
      <w:r w:rsidRPr="005E0F33" w:rsidR="00C76715">
        <w:t xml:space="preserve">rights </w:t>
      </w:r>
      <w:r w:rsidR="008E4944">
        <w:t xml:space="preserve">to operate that </w:t>
      </w:r>
      <w:r w:rsidR="00DE4592">
        <w:t>segment</w:t>
      </w:r>
      <w:r w:rsidR="008E4944">
        <w:t xml:space="preserve"> of the UI Pipeline </w:t>
      </w:r>
      <w:r w:rsidR="008B0BC8">
        <w:t>within</w:t>
      </w:r>
      <w:r w:rsidRPr="005E0F33" w:rsidR="008B0BC8">
        <w:t xml:space="preserve"> Antioch </w:t>
      </w:r>
      <w:r w:rsidRPr="005E0F33" w:rsidR="00C76715">
        <w:t xml:space="preserve">and </w:t>
      </w:r>
      <w:r w:rsidR="00502B04">
        <w:t>has initiated</w:t>
      </w:r>
      <w:r w:rsidRPr="005E0F33" w:rsidR="00043B0A">
        <w:t xml:space="preserve"> a</w:t>
      </w:r>
      <w:r w:rsidRPr="005E0F33" w:rsidR="00C76715">
        <w:t xml:space="preserve"> </w:t>
      </w:r>
      <w:r w:rsidRPr="005E0F33" w:rsidR="00043B0A">
        <w:t xml:space="preserve">new process </w:t>
      </w:r>
      <w:r w:rsidR="00DF653A">
        <w:t>to</w:t>
      </w:r>
      <w:r w:rsidRPr="005E0F33" w:rsidR="00043B0A">
        <w:t xml:space="preserve"> obtain</w:t>
      </w:r>
      <w:r w:rsidR="00DF653A">
        <w:t xml:space="preserve"> those</w:t>
      </w:r>
      <w:r w:rsidRPr="005E0F33" w:rsidR="00043B0A">
        <w:t xml:space="preserve"> rights.</w:t>
      </w:r>
      <w:r w:rsidR="00043B0A">
        <w:t xml:space="preserve"> </w:t>
      </w:r>
      <w:r w:rsidR="008C73EC">
        <w:t xml:space="preserve">Moreover, CRPC </w:t>
      </w:r>
      <w:r w:rsidR="00905388">
        <w:t xml:space="preserve">requested that Antioch hold Successor Subsidiary’s franchise application in abeyance, </w:t>
      </w:r>
      <w:r w:rsidR="008B455C">
        <w:t>delaying a decision.</w:t>
      </w:r>
      <w:r w:rsidR="004E7333">
        <w:rPr>
          <w:rStyle w:val="FootnoteReference"/>
        </w:rPr>
        <w:footnoteReference w:id="73"/>
      </w:r>
    </w:p>
    <w:p w:rsidR="005C4AA2" w:rsidP="00F74462" w:rsidRDefault="001D4069" w14:paraId="2610673F" w14:textId="6D0ABE89">
      <w:pPr>
        <w:pStyle w:val="Standard"/>
      </w:pPr>
      <w:r>
        <w:t>CRPC</w:t>
      </w:r>
      <w:r w:rsidR="00043B0A">
        <w:t xml:space="preserve"> </w:t>
      </w:r>
      <w:r w:rsidR="001B7A4D">
        <w:t>also fails to</w:t>
      </w:r>
      <w:r w:rsidR="00043B0A">
        <w:t xml:space="preserve"> establish that Successor Subsidiary has </w:t>
      </w:r>
      <w:r w:rsidR="00711181">
        <w:t>secured</w:t>
      </w:r>
      <w:r w:rsidR="003E33F6">
        <w:t xml:space="preserve"> or sought</w:t>
      </w:r>
      <w:r w:rsidR="00043B0A">
        <w:t xml:space="preserve"> </w:t>
      </w:r>
      <w:r w:rsidR="005703E7">
        <w:t xml:space="preserve">the </w:t>
      </w:r>
      <w:r w:rsidR="003E33F6">
        <w:t>necessary</w:t>
      </w:r>
      <w:r w:rsidR="00043B0A">
        <w:t xml:space="preserve"> operating rights </w:t>
      </w:r>
      <w:r w:rsidR="00C90D5B">
        <w:t xml:space="preserve">franchise </w:t>
      </w:r>
      <w:r w:rsidR="005703E7">
        <w:t xml:space="preserve">from </w:t>
      </w:r>
      <w:r w:rsidR="00043B0A">
        <w:t>Brentwood.</w:t>
      </w:r>
      <w:r w:rsidR="00476934">
        <w:t xml:space="preserve"> </w:t>
      </w:r>
      <w:r w:rsidR="008B393C">
        <w:t xml:space="preserve">Therefore, it </w:t>
      </w:r>
      <w:r w:rsidR="00BD5777">
        <w:t xml:space="preserve">remains speculative whether or when </w:t>
      </w:r>
      <w:r w:rsidR="006D4FF1">
        <w:t xml:space="preserve">Successor Subsidiary may </w:t>
      </w:r>
      <w:r w:rsidR="008C598C">
        <w:t xml:space="preserve">secure franchise rights to </w:t>
      </w:r>
      <w:r w:rsidR="006D4FF1">
        <w:t xml:space="preserve">operate </w:t>
      </w:r>
      <w:r w:rsidR="009E144E">
        <w:t>that portion of the UI Pipeline</w:t>
      </w:r>
      <w:r w:rsidR="006D4FF1">
        <w:t>.</w:t>
      </w:r>
      <w:r w:rsidR="00D7548B">
        <w:t xml:space="preserve"> It is </w:t>
      </w:r>
      <w:r w:rsidR="008F34A3">
        <w:t xml:space="preserve">therefore </w:t>
      </w:r>
      <w:r w:rsidR="00D7548B">
        <w:t>similarly situate</w:t>
      </w:r>
      <w:r w:rsidR="00A715B6">
        <w:t xml:space="preserve">d </w:t>
      </w:r>
      <w:r w:rsidR="00E66B98">
        <w:t xml:space="preserve">to </w:t>
      </w:r>
      <w:r w:rsidR="00A715B6">
        <w:t>CRPC</w:t>
      </w:r>
      <w:r w:rsidR="00DF4F93">
        <w:t xml:space="preserve"> </w:t>
      </w:r>
      <w:r w:rsidR="006A7E23">
        <w:t>because</w:t>
      </w:r>
      <w:r w:rsidR="00DF4F93">
        <w:t xml:space="preserve"> it </w:t>
      </w:r>
      <w:r w:rsidR="00A3159A">
        <w:t xml:space="preserve">presently </w:t>
      </w:r>
      <w:r w:rsidR="00DF4F93">
        <w:t xml:space="preserve">lacks </w:t>
      </w:r>
      <w:r w:rsidR="008F2354">
        <w:t xml:space="preserve">undisputed ownership </w:t>
      </w:r>
      <w:r w:rsidR="00814D6B">
        <w:t xml:space="preserve">of </w:t>
      </w:r>
      <w:r w:rsidR="0048449A">
        <w:t xml:space="preserve">and </w:t>
      </w:r>
      <w:r w:rsidR="00DF4F93">
        <w:t xml:space="preserve">necessary </w:t>
      </w:r>
      <w:r w:rsidR="00A432BE">
        <w:t>rights</w:t>
      </w:r>
      <w:r w:rsidR="00DF4F93">
        <w:t xml:space="preserve"> </w:t>
      </w:r>
      <w:r w:rsidR="007F50C6">
        <w:t>to</w:t>
      </w:r>
      <w:r w:rsidR="00D1787E">
        <w:t xml:space="preserve"> control, </w:t>
      </w:r>
      <w:r w:rsidR="00DF4F93">
        <w:t>operate</w:t>
      </w:r>
      <w:r w:rsidR="00D1787E">
        <w:t xml:space="preserve">, or manage </w:t>
      </w:r>
      <w:r w:rsidR="00DF4F93">
        <w:t>the full UI Pipeline</w:t>
      </w:r>
      <w:r w:rsidR="00A715B6">
        <w:t>.</w:t>
      </w:r>
    </w:p>
    <w:p w:rsidR="007F36D0" w:rsidP="00F74462" w:rsidRDefault="00DA2E29" w14:paraId="1DCBF817" w14:textId="77777777">
      <w:pPr>
        <w:pStyle w:val="Standard"/>
      </w:pPr>
      <w:r>
        <w:t>Based on the foregoing</w:t>
      </w:r>
      <w:r w:rsidR="00043B0A">
        <w:t xml:space="preserve">, CRPC’s Motion to Amend </w:t>
      </w:r>
      <w:r>
        <w:t>is denied</w:t>
      </w:r>
      <w:r w:rsidR="009A7F54">
        <w:t xml:space="preserve"> because </w:t>
      </w:r>
      <w:r w:rsidR="00A7717E">
        <w:t>substitut</w:t>
      </w:r>
      <w:r w:rsidR="009A7F54">
        <w:t>ion</w:t>
      </w:r>
      <w:r w:rsidR="00A7717E">
        <w:t xml:space="preserve"> </w:t>
      </w:r>
      <w:r w:rsidR="00171AEA">
        <w:t xml:space="preserve">of </w:t>
      </w:r>
      <w:r w:rsidR="00EA6FEA">
        <w:t>CRPC’s</w:t>
      </w:r>
      <w:r w:rsidR="00043B0A">
        <w:t xml:space="preserve"> Successor Subsidiary </w:t>
      </w:r>
      <w:r w:rsidR="00EA6FEA">
        <w:t xml:space="preserve">as the </w:t>
      </w:r>
      <w:r w:rsidR="00AC4017">
        <w:t xml:space="preserve">CPCN </w:t>
      </w:r>
      <w:r w:rsidR="00EA6FEA">
        <w:t xml:space="preserve">applicant </w:t>
      </w:r>
      <w:r w:rsidR="00AD72D1">
        <w:t xml:space="preserve">is futile and </w:t>
      </w:r>
      <w:r w:rsidR="008A04F1">
        <w:t xml:space="preserve">would </w:t>
      </w:r>
      <w:r w:rsidR="009A7F54">
        <w:t xml:space="preserve">not </w:t>
      </w:r>
      <w:r w:rsidR="00173031">
        <w:t>remedy</w:t>
      </w:r>
      <w:r w:rsidR="009A7F54">
        <w:t xml:space="preserve"> </w:t>
      </w:r>
      <w:r w:rsidR="009F016E">
        <w:t>the Application’s defects</w:t>
      </w:r>
      <w:r w:rsidR="00043B0A">
        <w:t xml:space="preserve">. </w:t>
      </w:r>
    </w:p>
    <w:p w:rsidR="00A45BD0" w:rsidP="00F74462" w:rsidRDefault="009736AF" w14:paraId="331DB0E9" w14:textId="0DF226ED">
      <w:pPr>
        <w:pStyle w:val="Standard"/>
      </w:pPr>
      <w:r>
        <w:t xml:space="preserve">In addition, </w:t>
      </w:r>
      <w:r w:rsidR="00A67C9F">
        <w:t xml:space="preserve">removal of CRPC as </w:t>
      </w:r>
      <w:r w:rsidR="00667C87">
        <w:t xml:space="preserve">the </w:t>
      </w:r>
      <w:r w:rsidR="00A67C9F">
        <w:t xml:space="preserve">applicant and substitution of a </w:t>
      </w:r>
      <w:r w:rsidR="00667C87">
        <w:t>different</w:t>
      </w:r>
      <w:r w:rsidR="00A67C9F">
        <w:t xml:space="preserve"> entity </w:t>
      </w:r>
      <w:r w:rsidR="00667C87">
        <w:t xml:space="preserve">as the sole applicant </w:t>
      </w:r>
      <w:r w:rsidR="00A67C9F">
        <w:t>present</w:t>
      </w:r>
      <w:r w:rsidR="00667C87">
        <w:t>s</w:t>
      </w:r>
      <w:r w:rsidR="00A67C9F">
        <w:t xml:space="preserve"> a </w:t>
      </w:r>
      <w:r w:rsidRPr="006C10E5" w:rsidR="00A67C9F">
        <w:t>substantive</w:t>
      </w:r>
      <w:r w:rsidR="00A67C9F">
        <w:t xml:space="preserve"> change to </w:t>
      </w:r>
      <w:r w:rsidR="006D1D0C">
        <w:t>the</w:t>
      </w:r>
      <w:r w:rsidR="00A67C9F">
        <w:t xml:space="preserve"> </w:t>
      </w:r>
      <w:r w:rsidR="006D1D0C">
        <w:t>A</w:t>
      </w:r>
      <w:r w:rsidR="00A67C9F">
        <w:t>pplication after issuance of a scoping memo</w:t>
      </w:r>
      <w:r w:rsidR="006D1D0C">
        <w:t xml:space="preserve"> that is prohibited under</w:t>
      </w:r>
      <w:r w:rsidR="00A67C9F">
        <w:t xml:space="preserve"> Rule 1.12</w:t>
      </w:r>
      <w:r w:rsidR="006D1D0C">
        <w:t>.</w:t>
      </w:r>
    </w:p>
    <w:p w:rsidRPr="00036329" w:rsidR="0044219A" w:rsidP="00A127CD" w:rsidRDefault="004D7344" w14:paraId="0BB2011A" w14:textId="39D391DE">
      <w:pPr>
        <w:pStyle w:val="Heading2"/>
      </w:pPr>
      <w:bookmarkStart w:name="_Toc176782627" w:id="196"/>
      <w:bookmarkStart w:name="_Toc211606211" w:id="197"/>
      <w:bookmarkStart w:name="_Toc220596339" w:id="198"/>
      <w:bookmarkStart w:name="_Toc220972222" w:id="199"/>
      <w:r>
        <w:t xml:space="preserve">CRPC </w:t>
      </w:r>
      <w:r w:rsidRPr="00B23BF4" w:rsidR="0044219A">
        <w:t>Request</w:t>
      </w:r>
      <w:r w:rsidR="0044219A">
        <w:t>s</w:t>
      </w:r>
      <w:r w:rsidRPr="00661D38" w:rsidR="0044219A">
        <w:t xml:space="preserve"> to File Under Seal</w:t>
      </w:r>
      <w:bookmarkEnd w:id="196"/>
      <w:bookmarkEnd w:id="197"/>
      <w:bookmarkEnd w:id="198"/>
      <w:bookmarkEnd w:id="199"/>
      <w:r w:rsidR="0044219A">
        <w:t xml:space="preserve"> </w:t>
      </w:r>
    </w:p>
    <w:p w:rsidRPr="00A127CD" w:rsidR="0044219A" w:rsidP="0044219A" w:rsidRDefault="0044219A" w14:paraId="48955F9A" w14:textId="16053AEE">
      <w:pPr>
        <w:pStyle w:val="Standard"/>
      </w:pPr>
      <w:r w:rsidRPr="00A127CD">
        <w:rPr>
          <w:color w:val="000000"/>
        </w:rPr>
        <w:t xml:space="preserve">Pursuant to Rule 11.4, </w:t>
      </w:r>
      <w:r w:rsidRPr="00A127CD">
        <w:rPr>
          <w:bCs/>
        </w:rPr>
        <w:t>CRPC</w:t>
      </w:r>
      <w:r w:rsidRPr="00A127CD">
        <w:t xml:space="preserve"> </w:t>
      </w:r>
      <w:r w:rsidRPr="00A127CD">
        <w:rPr>
          <w:color w:val="000000"/>
        </w:rPr>
        <w:t>filed two</w:t>
      </w:r>
      <w:r w:rsidR="0097008F">
        <w:rPr>
          <w:color w:val="000000"/>
        </w:rPr>
        <w:t xml:space="preserve"> unopposed</w:t>
      </w:r>
      <w:r w:rsidRPr="00A127CD">
        <w:rPr>
          <w:color w:val="000000"/>
        </w:rPr>
        <w:t xml:space="preserve"> motions to file confidential materials under seal: (1) a July 19, 2023 </w:t>
      </w:r>
      <w:r w:rsidRPr="00A127CD">
        <w:t>Motion to File Under Seal the Confidential Version of its Application</w:t>
      </w:r>
      <w:r w:rsidRPr="00A127CD">
        <w:rPr>
          <w:color w:val="000000"/>
        </w:rPr>
        <w:t xml:space="preserve"> and (2) a </w:t>
      </w:r>
      <w:r w:rsidRPr="00A127CD">
        <w:t xml:space="preserve">January 3, 2025 Motion to File Under Seal the Confidential Version of its Motion to Amend the Application. </w:t>
      </w:r>
    </w:p>
    <w:p w:rsidRPr="00A127CD" w:rsidR="0044219A" w:rsidP="0044219A" w:rsidRDefault="0044219A" w14:paraId="258176A1" w14:textId="66912992">
      <w:pPr>
        <w:pStyle w:val="Standard"/>
      </w:pPr>
      <w:r w:rsidRPr="00A127CD">
        <w:t xml:space="preserve">In its </w:t>
      </w:r>
      <w:r w:rsidRPr="00A127CD">
        <w:rPr>
          <w:color w:val="000000"/>
        </w:rPr>
        <w:t xml:space="preserve">July 19, 2023 </w:t>
      </w:r>
      <w:r w:rsidRPr="00A127CD">
        <w:t xml:space="preserve">motion, CRPC seeks to file its </w:t>
      </w:r>
      <w:r w:rsidRPr="00A127CD">
        <w:rPr>
          <w:color w:val="000000"/>
        </w:rPr>
        <w:t xml:space="preserve">income statements and balance sheet, presented as Appendix C to the Application, as confidential </w:t>
      </w:r>
      <w:r w:rsidRPr="00A127CD">
        <w:rPr>
          <w:color w:val="000000"/>
        </w:rPr>
        <w:lastRenderedPageBreak/>
        <w:t xml:space="preserve">materials under seal. </w:t>
      </w:r>
      <w:r w:rsidRPr="00A127CD">
        <w:rPr>
          <w:bCs/>
        </w:rPr>
        <w:t>CRPC</w:t>
      </w:r>
      <w:r w:rsidRPr="00A127CD">
        <w:t xml:space="preserve"> represents that those financial documents contain proprietary and </w:t>
      </w:r>
      <w:r w:rsidRPr="00A127CD">
        <w:rPr>
          <w:szCs w:val="26"/>
        </w:rPr>
        <w:t>sensitive business information that, if disclosed publicly, could place CRPC at an unfair business disadvantage</w:t>
      </w:r>
      <w:r w:rsidRPr="00A127CD">
        <w:t xml:space="preserve">. The Commission has granted similar requests in the past and does so here. Accordingly, CRPC is granted leave to file </w:t>
      </w:r>
      <w:r w:rsidRPr="00A127CD">
        <w:rPr>
          <w:color w:val="000000"/>
        </w:rPr>
        <w:t>as confidential materials under seal Appendix C to the Application.</w:t>
      </w:r>
    </w:p>
    <w:p w:rsidRPr="00433F0C" w:rsidR="0044219A" w:rsidP="0044219A" w:rsidRDefault="0044219A" w14:paraId="6D067DF2" w14:textId="72B0D69A">
      <w:pPr>
        <w:pStyle w:val="Standard"/>
        <w:rPr>
          <w:color w:val="000000"/>
        </w:rPr>
      </w:pPr>
      <w:r w:rsidRPr="00A127CD">
        <w:t xml:space="preserve">In its January 3, 2025 motion, CRPC seeks to file </w:t>
      </w:r>
      <w:r w:rsidRPr="00A127CD">
        <w:rPr>
          <w:color w:val="000000"/>
        </w:rPr>
        <w:t xml:space="preserve">the income statements and balance sheet of Successor Subsidiary presented as Appendix C to the Amended Application, found in Exhibit B to CRPC’s Motion to Amend, as confidential materials under seal. </w:t>
      </w:r>
      <w:r w:rsidRPr="00A127CD">
        <w:rPr>
          <w:bCs/>
        </w:rPr>
        <w:t>CRPC</w:t>
      </w:r>
      <w:r w:rsidRPr="00A127CD">
        <w:t xml:space="preserve"> represents that those financial documents contain proprietary and </w:t>
      </w:r>
      <w:r w:rsidRPr="00A127CD">
        <w:rPr>
          <w:szCs w:val="26"/>
        </w:rPr>
        <w:t>sensitive business information that, if disclosed publicly, could place CRPC and/or Successor Subsidiary at an unfair business disadvantage</w:t>
      </w:r>
      <w:r w:rsidRPr="00A127CD">
        <w:t xml:space="preserve">. The Commission has granted similar requests in the past and does so here. Accordingly, CRPC is granted leave to file </w:t>
      </w:r>
      <w:r w:rsidRPr="00A127CD">
        <w:rPr>
          <w:color w:val="000000"/>
        </w:rPr>
        <w:t>as confidential materials under seal Appendix C to the Amended Application, appended as Exhibit B to CRPC’s Motion to Amend.</w:t>
      </w:r>
    </w:p>
    <w:p w:rsidR="00D40B89" w:rsidP="00D40B89" w:rsidRDefault="00D40B89" w14:paraId="3726BFA7" w14:textId="3CF60F0F">
      <w:pPr>
        <w:pStyle w:val="Heading2"/>
      </w:pPr>
      <w:bookmarkStart w:name="_Toc220596340" w:id="200"/>
      <w:bookmarkStart w:name="_Toc220972223" w:id="201"/>
      <w:r>
        <w:t>Motion to Reopen the Record</w:t>
      </w:r>
      <w:bookmarkEnd w:id="200"/>
      <w:bookmarkEnd w:id="201"/>
    </w:p>
    <w:p w:rsidR="00EB3029" w:rsidP="00FF0A28" w:rsidRDefault="00F87756" w14:paraId="042C2964" w14:textId="206F1CC1">
      <w:pPr>
        <w:pStyle w:val="Standard"/>
      </w:pPr>
      <w:r>
        <w:t xml:space="preserve">CRPC filed a Motion to Reopen the Record on </w:t>
      </w:r>
      <w:r w:rsidR="00BB7588">
        <w:t xml:space="preserve">November 6, 2025. That motion seeks to </w:t>
      </w:r>
      <w:r w:rsidR="00A41324">
        <w:t xml:space="preserve">set aside the </w:t>
      </w:r>
      <w:r w:rsidR="00893D35">
        <w:t xml:space="preserve">proposed decision and </w:t>
      </w:r>
      <w:r w:rsidR="00BB7588">
        <w:t xml:space="preserve">have admitted </w:t>
      </w:r>
      <w:r w:rsidR="00EC478B">
        <w:t>in</w:t>
      </w:r>
      <w:r w:rsidR="00BB7588">
        <w:t>to the record a</w:t>
      </w:r>
      <w:r w:rsidR="004446DA">
        <w:t xml:space="preserve"> </w:t>
      </w:r>
      <w:r w:rsidR="00893D35">
        <w:t xml:space="preserve">single </w:t>
      </w:r>
      <w:r w:rsidR="004446DA">
        <w:t xml:space="preserve">document </w:t>
      </w:r>
      <w:r w:rsidR="006D4203">
        <w:t xml:space="preserve">that appears to be </w:t>
      </w:r>
      <w:r w:rsidR="002D5B0B">
        <w:t>an unfiled</w:t>
      </w:r>
      <w:r w:rsidR="00192D37">
        <w:t>,</w:t>
      </w:r>
      <w:r w:rsidR="006D4203">
        <w:t xml:space="preserve"> unsigned, undated</w:t>
      </w:r>
      <w:r w:rsidR="002D5B0B">
        <w:t xml:space="preserve"> </w:t>
      </w:r>
      <w:r w:rsidR="00F102F9">
        <w:t xml:space="preserve">item </w:t>
      </w:r>
      <w:r w:rsidR="0031674B">
        <w:t>styled</w:t>
      </w:r>
      <w:r w:rsidR="00F102F9">
        <w:t xml:space="preserve"> </w:t>
      </w:r>
      <w:r w:rsidR="008112C2">
        <w:t>as a</w:t>
      </w:r>
      <w:r w:rsidR="00192D37">
        <w:t xml:space="preserve"> </w:t>
      </w:r>
      <w:r w:rsidR="007026CC">
        <w:t>“</w:t>
      </w:r>
      <w:r w:rsidR="004446DA">
        <w:t xml:space="preserve">Second Amended </w:t>
      </w:r>
      <w:r w:rsidR="00893D35">
        <w:t>Cross-</w:t>
      </w:r>
      <w:r w:rsidR="004446DA">
        <w:t>Complaint</w:t>
      </w:r>
      <w:r w:rsidR="00E768D4">
        <w:t>”</w:t>
      </w:r>
      <w:r w:rsidR="004446DA">
        <w:t xml:space="preserve"> </w:t>
      </w:r>
      <w:r w:rsidR="00BE69D8">
        <w:t>in the</w:t>
      </w:r>
      <w:r w:rsidR="008B6AAB">
        <w:t xml:space="preserve"> Phase II Pipeline Litigation</w:t>
      </w:r>
      <w:r w:rsidR="00FF0A28">
        <w:t xml:space="preserve">, </w:t>
      </w:r>
      <w:r w:rsidRPr="00FF0A28" w:rsidR="00FF0A28">
        <w:rPr>
          <w:i/>
          <w:iCs/>
        </w:rPr>
        <w:t>California Resources Production</w:t>
      </w:r>
      <w:r w:rsidR="00FF0A28">
        <w:rPr>
          <w:i/>
          <w:iCs/>
        </w:rPr>
        <w:t xml:space="preserve"> </w:t>
      </w:r>
      <w:r w:rsidRPr="00FF0A28" w:rsidR="00FF0A28">
        <w:rPr>
          <w:i/>
          <w:iCs/>
        </w:rPr>
        <w:t>Corporation v. City of Antioch, et al.</w:t>
      </w:r>
      <w:r w:rsidRPr="00FF0A28" w:rsidR="00FF0A28">
        <w:t>, Case No. N21-2354</w:t>
      </w:r>
      <w:r w:rsidR="00FF0A28">
        <w:t xml:space="preserve">, pending in </w:t>
      </w:r>
      <w:r w:rsidRPr="00FF0A28" w:rsidR="00FF0A28">
        <w:t>Superior Court</w:t>
      </w:r>
      <w:r w:rsidR="008B6AAB">
        <w:t>.</w:t>
      </w:r>
      <w:r w:rsidR="00B84569">
        <w:t xml:space="preserve"> </w:t>
      </w:r>
      <w:r w:rsidR="00325F99">
        <w:t xml:space="preserve">CRPC concedes that the document </w:t>
      </w:r>
      <w:r w:rsidR="00F35C0E">
        <w:t>it</w:t>
      </w:r>
      <w:r w:rsidR="00325F99">
        <w:t xml:space="preserve"> offers is </w:t>
      </w:r>
      <w:r w:rsidR="00D4650F">
        <w:t xml:space="preserve">a </w:t>
      </w:r>
      <w:r w:rsidR="008D6886">
        <w:t>“</w:t>
      </w:r>
      <w:r w:rsidR="00D4650F">
        <w:t>proposed</w:t>
      </w:r>
      <w:r w:rsidR="008D6886">
        <w:t xml:space="preserve">” version of </w:t>
      </w:r>
      <w:r w:rsidR="00AE46CE">
        <w:t>a</w:t>
      </w:r>
      <w:r w:rsidR="00F35C0E">
        <w:t xml:space="preserve"> second amended </w:t>
      </w:r>
      <w:r w:rsidR="004B46EE">
        <w:t>cross-</w:t>
      </w:r>
      <w:r w:rsidR="00F35C0E">
        <w:t>complaint.</w:t>
      </w:r>
      <w:r w:rsidR="00557ACE">
        <w:rPr>
          <w:rStyle w:val="FootnoteReference"/>
        </w:rPr>
        <w:footnoteReference w:id="74"/>
      </w:r>
      <w:r w:rsidR="00D4650F">
        <w:t xml:space="preserve"> </w:t>
      </w:r>
    </w:p>
    <w:p w:rsidR="00D00BDD" w:rsidP="00FF0A28" w:rsidRDefault="00A95CEF" w14:paraId="029971D3" w14:textId="5341006D">
      <w:pPr>
        <w:pStyle w:val="Standard"/>
      </w:pPr>
      <w:r>
        <w:lastRenderedPageBreak/>
        <w:t xml:space="preserve">Commission Rule 13.15(b) limits </w:t>
      </w:r>
      <w:r w:rsidR="00976B4E">
        <w:t>reopening of the record for a proceeding submitted for decision</w:t>
      </w:r>
      <w:r w:rsidR="007F30CD">
        <w:t>: “</w:t>
      </w:r>
      <w:r w:rsidRPr="007F30CD" w:rsidR="007F30CD">
        <w:t xml:space="preserve">A motion to set aside submission for the taking of additional evidence </w:t>
      </w:r>
      <w:r w:rsidR="007F30CD">
        <w:t xml:space="preserve">. . . </w:t>
      </w:r>
      <w:r w:rsidRPr="007F30CD" w:rsidR="007F30CD">
        <w:t xml:space="preserve">shall </w:t>
      </w:r>
      <w:r w:rsidRPr="006C10E5" w:rsidR="007F30CD">
        <w:rPr>
          <w:i/>
          <w:iCs/>
        </w:rPr>
        <w:t>specify the facts claimed to constitute grounds in justification thereof</w:t>
      </w:r>
      <w:r w:rsidRPr="00070EA9" w:rsidR="007F30CD">
        <w:t xml:space="preserve">, including </w:t>
      </w:r>
      <w:r w:rsidRPr="006C10E5" w:rsidR="007F30CD">
        <w:rPr>
          <w:i/>
          <w:iCs/>
        </w:rPr>
        <w:t>material changes of fact</w:t>
      </w:r>
      <w:r w:rsidRPr="00070EA9" w:rsidR="007F30CD">
        <w:t xml:space="preserve"> or of law </w:t>
      </w:r>
      <w:r w:rsidRPr="006C10E5" w:rsidR="007F30CD">
        <w:rPr>
          <w:i/>
          <w:iCs/>
        </w:rPr>
        <w:t>alleged to have occurred since the conclusion of the hearing</w:t>
      </w:r>
      <w:r w:rsidRPr="007F30CD" w:rsidR="007F30CD">
        <w:t>. It shall contain a brief statement of proposed additional evidence, and explain why such evidence was not previously adduced</w:t>
      </w:r>
      <w:r w:rsidR="007F30CD">
        <w:t>.”</w:t>
      </w:r>
      <w:r w:rsidR="005F725E">
        <w:t>(emphasis added).</w:t>
      </w:r>
    </w:p>
    <w:p w:rsidR="00E54B24" w:rsidP="00E54B24" w:rsidRDefault="00E54B24" w14:paraId="32653EAE" w14:textId="6F9547B5">
      <w:pPr>
        <w:pStyle w:val="Standard"/>
      </w:pPr>
      <w:r>
        <w:t>CRPC offers that document to call out a single sentence contained in paragraph 24: “Either CRPC or [Successor Subsidiary] CRPC LLC owns and/or controls the Antioch Pipeline.”</w:t>
      </w:r>
    </w:p>
    <w:p w:rsidR="00E954D9" w:rsidP="00987265" w:rsidRDefault="00052E0D" w14:paraId="57C3A9EB" w14:textId="742CB7D0">
      <w:pPr>
        <w:pStyle w:val="Standard"/>
      </w:pPr>
      <w:r w:rsidRPr="00270170">
        <w:t>T</w:t>
      </w:r>
      <w:r w:rsidRPr="00270170" w:rsidR="00987265">
        <w:t xml:space="preserve">he Motion to </w:t>
      </w:r>
      <w:r w:rsidRPr="00270170" w:rsidR="00E56255">
        <w:t>r</w:t>
      </w:r>
      <w:r w:rsidRPr="00270170" w:rsidR="00987265">
        <w:t xml:space="preserve">eopen </w:t>
      </w:r>
      <w:r w:rsidRPr="00270170">
        <w:t xml:space="preserve">the record to admit the </w:t>
      </w:r>
      <w:r w:rsidRPr="00270170" w:rsidR="00A66222">
        <w:t xml:space="preserve">document </w:t>
      </w:r>
      <w:r w:rsidRPr="00270170" w:rsidR="00B45C4F">
        <w:t xml:space="preserve">is for the purpose of adding into the record </w:t>
      </w:r>
      <w:r w:rsidRPr="00270170" w:rsidR="00884134">
        <w:t xml:space="preserve">that </w:t>
      </w:r>
      <w:r w:rsidRPr="00270170" w:rsidR="00A66222">
        <w:t>statement</w:t>
      </w:r>
      <w:r w:rsidRPr="00270170" w:rsidR="00884134">
        <w:t xml:space="preserve"> for our consideration. </w:t>
      </w:r>
      <w:r w:rsidRPr="00270170" w:rsidR="00CB19F3">
        <w:t>Here, the statement does not present a change to a material fact</w:t>
      </w:r>
      <w:r w:rsidR="009968D1">
        <w:t xml:space="preserve"> or law</w:t>
      </w:r>
      <w:r w:rsidR="009E3331">
        <w:t xml:space="preserve"> </w:t>
      </w:r>
      <w:r w:rsidR="00CC2921">
        <w:t>to the existing</w:t>
      </w:r>
      <w:r w:rsidR="009E3331">
        <w:t xml:space="preserve"> record </w:t>
      </w:r>
      <w:r w:rsidR="00CC2921">
        <w:t xml:space="preserve">that </w:t>
      </w:r>
      <w:r w:rsidR="009E3331">
        <w:t>was closed</w:t>
      </w:r>
      <w:r w:rsidRPr="00270170" w:rsidR="00CB19F3">
        <w:t xml:space="preserve">. The statement called out by CRPC is cumulative of evidence already in the record that we have considered and upon which we have </w:t>
      </w:r>
      <w:r w:rsidR="00FF5699">
        <w:t xml:space="preserve">already </w:t>
      </w:r>
      <w:r w:rsidRPr="00270170" w:rsidR="00CB19F3">
        <w:t>made Findings of Fact in th</w:t>
      </w:r>
      <w:r w:rsidR="005221D1">
        <w:t>e proposed decision and maintained in this</w:t>
      </w:r>
      <w:r w:rsidRPr="00270170" w:rsidR="00CB19F3">
        <w:t xml:space="preserve"> decision. The Commission recognizes throughout this decision that </w:t>
      </w:r>
      <w:r w:rsidRPr="00270170" w:rsidR="000F4B7E">
        <w:t xml:space="preserve">(1) </w:t>
      </w:r>
      <w:r w:rsidRPr="00270170" w:rsidR="00680E6D">
        <w:t xml:space="preserve">CRPC transferred its ownership interests </w:t>
      </w:r>
      <w:r w:rsidR="00024F1C">
        <w:t xml:space="preserve">in the UI Pipeline </w:t>
      </w:r>
      <w:r w:rsidRPr="00270170" w:rsidR="00680E6D">
        <w:t>to its Successor Subsid</w:t>
      </w:r>
      <w:r w:rsidRPr="00270170" w:rsidR="000F4B7E">
        <w:t xml:space="preserve">iary, and (2) </w:t>
      </w:r>
      <w:r w:rsidR="00542FD2">
        <w:t>CRPC</w:t>
      </w:r>
      <w:r w:rsidR="002A4442">
        <w:t xml:space="preserve"> and </w:t>
      </w:r>
      <w:r w:rsidRPr="00270170" w:rsidR="000F4B7E">
        <w:t>S</w:t>
      </w:r>
      <w:r w:rsidRPr="00270170" w:rsidR="00CB19F3">
        <w:t xml:space="preserve">uccessor Subsidiary’s ownership interest </w:t>
      </w:r>
      <w:r w:rsidR="00102201">
        <w:t>within Antioch</w:t>
      </w:r>
      <w:r w:rsidR="00331293">
        <w:t xml:space="preserve"> exists (but </w:t>
      </w:r>
      <w:r w:rsidRPr="00270170" w:rsidR="00CB19F3">
        <w:t xml:space="preserve">is uncertain </w:t>
      </w:r>
      <w:r w:rsidR="004B3A74">
        <w:t xml:space="preserve">and contested </w:t>
      </w:r>
      <w:r w:rsidRPr="00270170" w:rsidR="00CB19F3">
        <w:t>as a result of the pending Phase II Pipeline Litigation</w:t>
      </w:r>
      <w:r w:rsidR="00BD0E26">
        <w:t>)</w:t>
      </w:r>
      <w:r w:rsidRPr="00270170" w:rsidR="00CB19F3">
        <w:t xml:space="preserve">. We </w:t>
      </w:r>
      <w:r w:rsidRPr="00270170" w:rsidR="00DA13F6">
        <w:t xml:space="preserve">reflected </w:t>
      </w:r>
      <w:r w:rsidR="00D108B9">
        <w:t>those</w:t>
      </w:r>
      <w:r w:rsidRPr="00270170" w:rsidR="00DA13F6">
        <w:t xml:space="preserve"> facts in </w:t>
      </w:r>
      <w:r w:rsidR="00C047A2">
        <w:t xml:space="preserve">the </w:t>
      </w:r>
      <w:r w:rsidR="008A4F48">
        <w:t xml:space="preserve">proposed decision </w:t>
      </w:r>
      <w:r w:rsidR="00C047A2">
        <w:t>and below</w:t>
      </w:r>
      <w:r w:rsidRPr="00270170" w:rsidR="00C047A2">
        <w:t xml:space="preserve"> </w:t>
      </w:r>
      <w:r w:rsidR="00C047A2">
        <w:t xml:space="preserve">in </w:t>
      </w:r>
      <w:r w:rsidRPr="00270170" w:rsidR="00CB19F3">
        <w:t>Finding</w:t>
      </w:r>
      <w:r w:rsidR="00B24A51">
        <w:t>s</w:t>
      </w:r>
      <w:r w:rsidRPr="00270170" w:rsidR="00CB19F3">
        <w:t xml:space="preserve"> of Fact No</w:t>
      </w:r>
      <w:r w:rsidR="00B24A51">
        <w:t>s</w:t>
      </w:r>
      <w:r w:rsidRPr="00270170" w:rsidR="00CB19F3">
        <w:t>. 8</w:t>
      </w:r>
      <w:r w:rsidR="00102201">
        <w:t xml:space="preserve"> and </w:t>
      </w:r>
      <w:r w:rsidRPr="00270170" w:rsidR="00CB19F3">
        <w:t>12</w:t>
      </w:r>
      <w:r w:rsidR="00CB0113">
        <w:t xml:space="preserve">. </w:t>
      </w:r>
      <w:r w:rsidRPr="00270170" w:rsidR="00CB19F3">
        <w:t>The document proffered for the record</w:t>
      </w:r>
      <w:r w:rsidR="007C50FB">
        <w:t xml:space="preserve"> – </w:t>
      </w:r>
      <w:r w:rsidR="00B06ABB">
        <w:t xml:space="preserve">even </w:t>
      </w:r>
      <w:r w:rsidR="007C50FB">
        <w:t>if c</w:t>
      </w:r>
      <w:r w:rsidR="00B06ABB">
        <w:t>redited --</w:t>
      </w:r>
      <w:r w:rsidRPr="00270170" w:rsidR="00CB19F3">
        <w:t xml:space="preserve"> would merely </w:t>
      </w:r>
      <w:r w:rsidR="00191D63">
        <w:t xml:space="preserve">serve as </w:t>
      </w:r>
      <w:r w:rsidR="00837C03">
        <w:t xml:space="preserve">cumulative </w:t>
      </w:r>
      <w:r w:rsidR="00191D63">
        <w:t xml:space="preserve">evidence </w:t>
      </w:r>
      <w:r w:rsidR="00837C03">
        <w:t xml:space="preserve">to </w:t>
      </w:r>
      <w:r w:rsidRPr="00270170" w:rsidR="00CB19F3">
        <w:t xml:space="preserve">support those Findings </w:t>
      </w:r>
      <w:r w:rsidR="005029B7">
        <w:t xml:space="preserve">of Fact </w:t>
      </w:r>
      <w:r w:rsidRPr="00270170" w:rsidR="00CB19F3">
        <w:t xml:space="preserve">already </w:t>
      </w:r>
      <w:r w:rsidR="00E63E92">
        <w:t>made</w:t>
      </w:r>
      <w:r w:rsidRPr="00270170" w:rsidR="00CB19F3">
        <w:t xml:space="preserve"> herein.</w:t>
      </w:r>
      <w:r w:rsidR="00191D63">
        <w:t xml:space="preserve"> The</w:t>
      </w:r>
      <w:r w:rsidR="00FB6F69">
        <w:t>refore, the</w:t>
      </w:r>
      <w:r w:rsidR="00191D63">
        <w:t xml:space="preserve"> proposed evidence would not change </w:t>
      </w:r>
      <w:r w:rsidR="007F3109">
        <w:t>a material fact</w:t>
      </w:r>
      <w:r w:rsidR="00E63E92">
        <w:t xml:space="preserve"> or law</w:t>
      </w:r>
      <w:r w:rsidR="007F3109">
        <w:t>.</w:t>
      </w:r>
    </w:p>
    <w:p w:rsidR="00155DD5" w:rsidP="00155DD5" w:rsidRDefault="00155DD5" w14:paraId="54F7B9CA" w14:textId="7F623815">
      <w:pPr>
        <w:pStyle w:val="Standard"/>
      </w:pPr>
      <w:r>
        <w:lastRenderedPageBreak/>
        <w:t xml:space="preserve">In addition, </w:t>
      </w:r>
      <w:r w:rsidRPr="00BF45E7">
        <w:t>Rule 13.15(b) allows a party to move the Commission to set aside submission of the</w:t>
      </w:r>
      <w:r>
        <w:t xml:space="preserve"> </w:t>
      </w:r>
      <w:r w:rsidRPr="00BF45E7">
        <w:t>record for the taking of additional evidence on the grounds that there have been</w:t>
      </w:r>
      <w:r>
        <w:t xml:space="preserve"> </w:t>
      </w:r>
      <w:r w:rsidRPr="00BF45E7">
        <w:t xml:space="preserve">material changes of fact or law </w:t>
      </w:r>
      <w:r w:rsidR="006F62D2">
        <w:t xml:space="preserve">“alleged to have </w:t>
      </w:r>
      <w:r w:rsidRPr="00BF45E7">
        <w:t>occurred since the conclusion of a hearing.</w:t>
      </w:r>
      <w:r w:rsidR="006F62D2">
        <w:t>”</w:t>
      </w:r>
      <w:r w:rsidR="00837C03">
        <w:t xml:space="preserve"> Here, there is </w:t>
      </w:r>
      <w:r w:rsidR="000C0E9D">
        <w:t>no</w:t>
      </w:r>
      <w:r w:rsidR="0078340D">
        <w:t xml:space="preserve"> </w:t>
      </w:r>
      <w:r w:rsidR="009968D1">
        <w:t>material change of fact or law</w:t>
      </w:r>
      <w:r>
        <w:t xml:space="preserve"> </w:t>
      </w:r>
      <w:r w:rsidR="0083536F">
        <w:t>s</w:t>
      </w:r>
      <w:r w:rsidR="0087251F">
        <w:t>ince the proceeding was submitted on October 10, 2025</w:t>
      </w:r>
      <w:r w:rsidR="00B240BE">
        <w:t>.</w:t>
      </w:r>
      <w:r w:rsidR="008F104F">
        <w:rPr>
          <w:rStyle w:val="FootnoteReference"/>
        </w:rPr>
        <w:footnoteReference w:id="75"/>
      </w:r>
      <w:r w:rsidR="000D5042">
        <w:t xml:space="preserve"> </w:t>
      </w:r>
      <w:r w:rsidR="004104EB">
        <w:t>T</w:t>
      </w:r>
      <w:r w:rsidRPr="005E0F33" w:rsidR="004104EB">
        <w:t xml:space="preserve">he proceeding record shows that </w:t>
      </w:r>
      <w:r w:rsidR="004104EB">
        <w:t xml:space="preserve">CRPC transferred its ownership interests in the UI Pipeline to </w:t>
      </w:r>
      <w:r w:rsidRPr="005E0F33" w:rsidR="004104EB">
        <w:t>Successor Subsidiary</w:t>
      </w:r>
      <w:r w:rsidR="004104EB">
        <w:t xml:space="preserve"> in </w:t>
      </w:r>
      <w:r w:rsidRPr="00701786" w:rsidR="004104EB">
        <w:t>October</w:t>
      </w:r>
      <w:r w:rsidRPr="006C10E5" w:rsidR="004104EB">
        <w:rPr>
          <w:i/>
          <w:iCs/>
        </w:rPr>
        <w:t xml:space="preserve"> 2024</w:t>
      </w:r>
      <w:r w:rsidR="004104EB">
        <w:t>.</w:t>
      </w:r>
      <w:r w:rsidR="008440C3">
        <w:t xml:space="preserve"> </w:t>
      </w:r>
      <w:r w:rsidR="00831F92">
        <w:t>P</w:t>
      </w:r>
      <w:r w:rsidR="00B06ABB">
        <w:t>urported p</w:t>
      </w:r>
      <w:r w:rsidR="00831F92">
        <w:t>aragraph 24 above does not purport to present new information</w:t>
      </w:r>
      <w:r w:rsidR="008A77F1">
        <w:t xml:space="preserve"> after October 10, </w:t>
      </w:r>
      <w:r w:rsidRPr="006C10E5" w:rsidR="008A77F1">
        <w:rPr>
          <w:i/>
          <w:iCs/>
        </w:rPr>
        <w:t>2025</w:t>
      </w:r>
      <w:r w:rsidR="00831F92">
        <w:t>.</w:t>
      </w:r>
    </w:p>
    <w:p w:rsidR="00D0566F" w:rsidP="00D0566F" w:rsidRDefault="00E57FCE" w14:paraId="5AB768C4" w14:textId="081C8446">
      <w:pPr>
        <w:pStyle w:val="Standard"/>
      </w:pPr>
      <w:r>
        <w:t>Further</w:t>
      </w:r>
      <w:r w:rsidR="000C0E9D">
        <w:t xml:space="preserve">, </w:t>
      </w:r>
      <w:r w:rsidR="008A79F3">
        <w:t>CRPC</w:t>
      </w:r>
      <w:r w:rsidR="00E3453F">
        <w:t>’s suggestion</w:t>
      </w:r>
      <w:r w:rsidR="008A79F3">
        <w:t xml:space="preserve"> </w:t>
      </w:r>
      <w:r w:rsidR="00E3453F">
        <w:t>that</w:t>
      </w:r>
      <w:r w:rsidR="004629F7">
        <w:t xml:space="preserve"> the statement in paragraph 24 of the proposed document</w:t>
      </w:r>
      <w:r w:rsidR="00A50B94">
        <w:t xml:space="preserve"> </w:t>
      </w:r>
      <w:r>
        <w:t>should serve as</w:t>
      </w:r>
      <w:r w:rsidR="00A50B94">
        <w:t xml:space="preserve"> a judicial admission </w:t>
      </w:r>
      <w:r w:rsidR="002A0D6C">
        <w:t xml:space="preserve">by Antioch </w:t>
      </w:r>
      <w:r w:rsidR="00A50B94">
        <w:t xml:space="preserve">establishing ownership or control </w:t>
      </w:r>
      <w:r w:rsidR="00F27168">
        <w:t xml:space="preserve">of the UI Pipeline segment </w:t>
      </w:r>
      <w:r w:rsidR="00E411F7">
        <w:t xml:space="preserve">under Section 222 </w:t>
      </w:r>
      <w:r w:rsidR="00A50B94">
        <w:t xml:space="preserve">by Applicant </w:t>
      </w:r>
      <w:r w:rsidR="00FE09AA">
        <w:t>or Successor Subsidiary</w:t>
      </w:r>
      <w:r w:rsidR="00F27168">
        <w:t xml:space="preserve"> </w:t>
      </w:r>
      <w:r w:rsidR="00D72F97">
        <w:t>is unavailing</w:t>
      </w:r>
      <w:r w:rsidR="00F27168">
        <w:t xml:space="preserve">. </w:t>
      </w:r>
      <w:r w:rsidR="00E90041">
        <w:t>First, courts recognize that a</w:t>
      </w:r>
      <w:r w:rsidRPr="000F7EF0" w:rsidR="00E90041">
        <w:t>llegations in an unfiled pleading are not judicial admissions</w:t>
      </w:r>
      <w:r w:rsidR="00E90041">
        <w:t>.</w:t>
      </w:r>
      <w:r w:rsidR="00E90041">
        <w:rPr>
          <w:rStyle w:val="FootnoteReference"/>
        </w:rPr>
        <w:footnoteReference w:id="76"/>
      </w:r>
      <w:r w:rsidR="00E90041">
        <w:t xml:space="preserve"> Here, the document is unsigned, bears no date, shows no indication that it was filed with a court, and is not verified or sponsored by any person with knowledge of its origin. The proposed document has not been filed with the court and was not established as authentic or reliable.</w:t>
      </w:r>
      <w:r w:rsidR="00354FAF">
        <w:t xml:space="preserve"> Second</w:t>
      </w:r>
      <w:r w:rsidR="00851236">
        <w:t xml:space="preserve">, </w:t>
      </w:r>
      <w:r w:rsidR="00D82AF4">
        <w:t xml:space="preserve">adoption of the statement as CRPC urges would require the Commission blindly to ignore the existence of the Phase II Pipeline Litigation </w:t>
      </w:r>
      <w:r w:rsidR="00FB50DA">
        <w:t xml:space="preserve">where Antioch </w:t>
      </w:r>
      <w:r w:rsidR="007D2352">
        <w:t>disputed</w:t>
      </w:r>
      <w:r w:rsidR="00D82AF4">
        <w:t xml:space="preserve"> ownership</w:t>
      </w:r>
      <w:r w:rsidR="00A80F9C">
        <w:t xml:space="preserve"> and seeks </w:t>
      </w:r>
      <w:r w:rsidR="00A96D23">
        <w:t xml:space="preserve">a determination that </w:t>
      </w:r>
      <w:r w:rsidR="00A96D23">
        <w:lastRenderedPageBreak/>
        <w:t xml:space="preserve">CRPC has abandoned or must abandon the </w:t>
      </w:r>
      <w:r w:rsidR="00CD0A96">
        <w:t>Antioch pipeline segment</w:t>
      </w:r>
      <w:r w:rsidR="00D82AF4">
        <w:t>. We cannot do so.</w:t>
      </w:r>
      <w:r w:rsidR="00BA4C6F">
        <w:t xml:space="preserve"> </w:t>
      </w:r>
    </w:p>
    <w:p w:rsidR="00D40B89" w:rsidP="00D40B89" w:rsidRDefault="002D22CE" w14:paraId="67AE515F" w14:textId="08B36B5D">
      <w:pPr>
        <w:pStyle w:val="Standard"/>
      </w:pPr>
      <w:r>
        <w:t xml:space="preserve">CRPC’s </w:t>
      </w:r>
      <w:r w:rsidR="007A7119">
        <w:t>motion does not satisfy the requirements of R</w:t>
      </w:r>
      <w:r>
        <w:t>ule 13.15(b)</w:t>
      </w:r>
      <w:r w:rsidR="007A7119">
        <w:t xml:space="preserve">. </w:t>
      </w:r>
      <w:r w:rsidR="00E94B87">
        <w:t>Accordingly, the Motion to Reopen is denied.</w:t>
      </w:r>
    </w:p>
    <w:p w:rsidRPr="002C7D6C" w:rsidR="00F74462" w:rsidP="00A127CD" w:rsidRDefault="00F74462" w14:paraId="31991FF8" w14:textId="5263AF1E">
      <w:pPr>
        <w:pStyle w:val="Heading2"/>
      </w:pPr>
      <w:bookmarkStart w:name="_Toc215436841" w:id="202"/>
      <w:bookmarkStart w:name="_Toc216181977" w:id="203"/>
      <w:bookmarkStart w:name="_Toc216186783" w:id="204"/>
      <w:bookmarkStart w:name="_Toc202268984" w:id="205"/>
      <w:bookmarkStart w:name="_Toc202476647" w:id="206"/>
      <w:bookmarkStart w:name="_Toc202268985" w:id="207"/>
      <w:bookmarkStart w:name="_Toc202476648" w:id="208"/>
      <w:bookmarkStart w:name="_Toc201004411" w:id="209"/>
      <w:bookmarkStart w:name="_Toc201004730" w:id="210"/>
      <w:bookmarkStart w:name="_Toc201007005" w:id="211"/>
      <w:bookmarkStart w:name="_Toc211606212" w:id="212"/>
      <w:bookmarkStart w:name="_Toc220596341" w:id="213"/>
      <w:bookmarkStart w:name="_Toc220972224" w:id="214"/>
      <w:bookmarkEnd w:id="202"/>
      <w:bookmarkEnd w:id="203"/>
      <w:bookmarkEnd w:id="204"/>
      <w:bookmarkEnd w:id="205"/>
      <w:bookmarkEnd w:id="206"/>
      <w:bookmarkEnd w:id="207"/>
      <w:bookmarkEnd w:id="208"/>
      <w:bookmarkEnd w:id="209"/>
      <w:bookmarkEnd w:id="210"/>
      <w:bookmarkEnd w:id="211"/>
      <w:r>
        <w:t>Other Pending Motions</w:t>
      </w:r>
      <w:bookmarkEnd w:id="212"/>
      <w:bookmarkEnd w:id="213"/>
      <w:bookmarkEnd w:id="214"/>
      <w:r w:rsidRPr="002C7D6C">
        <w:t xml:space="preserve"> </w:t>
      </w:r>
    </w:p>
    <w:p w:rsidR="006E2619" w:rsidP="004C1DB0" w:rsidRDefault="0081717B" w14:paraId="1B3141A0" w14:textId="7AE4289E">
      <w:pPr>
        <w:pStyle w:val="Standard"/>
      </w:pPr>
      <w:r w:rsidRPr="008B175A">
        <w:t xml:space="preserve">This decision affirms all rulings made by the Administrative Law Judge and assigned Commissioner in this proceeding. </w:t>
      </w:r>
      <w:r w:rsidRPr="008108E4" w:rsidR="00F26A33">
        <w:t xml:space="preserve">All motions </w:t>
      </w:r>
      <w:r w:rsidR="00EA0C40">
        <w:t>that</w:t>
      </w:r>
      <w:r w:rsidRPr="008108E4" w:rsidR="00EA0C40">
        <w:t xml:space="preserve"> </w:t>
      </w:r>
      <w:r w:rsidRPr="008108E4" w:rsidR="00F26A33">
        <w:t xml:space="preserve">have not been expressly resolved by the assigned Administrative Law Judge are </w:t>
      </w:r>
      <w:r w:rsidR="00EA0C40">
        <w:t xml:space="preserve">deemed </w:t>
      </w:r>
      <w:r w:rsidRPr="008108E4" w:rsidR="00F26A33">
        <w:t>denied.</w:t>
      </w:r>
    </w:p>
    <w:p w:rsidRPr="00D91C39" w:rsidR="00FB6104" w:rsidP="00FB6104" w:rsidRDefault="00FB6104" w14:paraId="1E9E5395" w14:textId="77777777">
      <w:pPr>
        <w:pStyle w:val="Heading1"/>
      </w:pPr>
      <w:bookmarkStart w:name="_Toc202268987" w:id="215"/>
      <w:bookmarkStart w:name="_Toc202476650" w:id="216"/>
      <w:bookmarkStart w:name="_Toc202268988" w:id="217"/>
      <w:bookmarkStart w:name="_Toc202476651" w:id="218"/>
      <w:bookmarkStart w:name="_Toc211606213" w:id="219"/>
      <w:bookmarkStart w:name="_Toc220596342" w:id="220"/>
      <w:bookmarkStart w:name="_Toc220972225" w:id="221"/>
      <w:bookmarkEnd w:id="215"/>
      <w:bookmarkEnd w:id="216"/>
      <w:bookmarkEnd w:id="217"/>
      <w:bookmarkEnd w:id="218"/>
      <w:r w:rsidRPr="00D91C39">
        <w:t>Category of Proceeding</w:t>
      </w:r>
      <w:bookmarkEnd w:id="194"/>
      <w:bookmarkEnd w:id="219"/>
      <w:bookmarkEnd w:id="220"/>
      <w:bookmarkEnd w:id="221"/>
      <w:r w:rsidRPr="00D91C39">
        <w:t xml:space="preserve"> </w:t>
      </w:r>
    </w:p>
    <w:p w:rsidRPr="00D91C39" w:rsidR="00FB6104" w:rsidP="00FB6104" w:rsidRDefault="00FB6104" w14:paraId="3AF9441C" w14:textId="14ABE5B1">
      <w:pPr>
        <w:pStyle w:val="Standard"/>
      </w:pPr>
      <w:r>
        <w:t>T</w:t>
      </w:r>
      <w:r w:rsidRPr="00D91C39">
        <w:t xml:space="preserve">his matter </w:t>
      </w:r>
      <w:r>
        <w:t>h</w:t>
      </w:r>
      <w:r w:rsidRPr="00D91C39">
        <w:t>as</w:t>
      </w:r>
      <w:r>
        <w:t xml:space="preserve"> been categorized as </w:t>
      </w:r>
      <w:r w:rsidR="00CB7368">
        <w:t>ratesetting</w:t>
      </w:r>
      <w:r w:rsidRPr="00D91C39">
        <w:t>. Hearing</w:t>
      </w:r>
      <w:r>
        <w:t>s</w:t>
      </w:r>
      <w:r w:rsidRPr="00D91C39">
        <w:t xml:space="preserve"> </w:t>
      </w:r>
      <w:r w:rsidR="00CB7368">
        <w:t>are no longer</w:t>
      </w:r>
      <w:r w:rsidRPr="00D91C39">
        <w:t xml:space="preserve"> necessary</w:t>
      </w:r>
      <w:r>
        <w:t>.</w:t>
      </w:r>
    </w:p>
    <w:p w:rsidRPr="009447DD" w:rsidR="00FB6104" w:rsidP="00FB6104" w:rsidRDefault="001806EF" w14:paraId="07B6BCDE" w14:textId="351522C8">
      <w:pPr>
        <w:pStyle w:val="Heading1"/>
      </w:pPr>
      <w:bookmarkStart w:name="_Toc211606214" w:id="222"/>
      <w:bookmarkStart w:name="_Toc220596343" w:id="223"/>
      <w:bookmarkStart w:name="_Toc220972226" w:id="224"/>
      <w:r w:rsidRPr="009447DD">
        <w:t>Comments on Proposed Decision</w:t>
      </w:r>
      <w:bookmarkEnd w:id="222"/>
      <w:bookmarkEnd w:id="223"/>
      <w:bookmarkEnd w:id="224"/>
    </w:p>
    <w:p w:rsidR="001806EF" w:rsidP="001806EF" w:rsidRDefault="001806EF" w14:paraId="0E92F917" w14:textId="3DC35F58">
      <w:pPr>
        <w:pStyle w:val="Standard"/>
      </w:pPr>
      <w:bookmarkStart w:name="_Toc148605004" w:id="225"/>
      <w:r w:rsidRPr="00FB60EC">
        <w:t xml:space="preserve">The proposed decision of </w:t>
      </w:r>
      <w:r w:rsidR="0087735E">
        <w:t>assigned Administrative Law Judge Jeffrey Lee</w:t>
      </w:r>
      <w:r w:rsidRPr="00FB60EC">
        <w:t xml:space="preserve"> in this matter was</w:t>
      </w:r>
      <w:r>
        <w:t xml:space="preserve"> mailed to the parties in accordance with Section 311 of the Public Utilities Code and comments were allowed under Rule 14.3 of the Commission’s Rules of Practice and Procedure. </w:t>
      </w:r>
    </w:p>
    <w:p w:rsidR="008A655D" w:rsidP="008A655D" w:rsidRDefault="008A655D" w14:paraId="37043429" w14:textId="354A1966">
      <w:pPr>
        <w:pStyle w:val="Standard"/>
        <w:rPr>
          <w:rFonts w:eastAsia="Calibri" w:cs="Times New Roman"/>
        </w:rPr>
      </w:pPr>
      <w:r>
        <w:t>Opening comments were filed on November 6, 2025 by CRPC</w:t>
      </w:r>
      <w:r w:rsidRPr="00B428BD">
        <w:rPr>
          <w:rFonts w:eastAsia="Calibri" w:cs="Times New Roman"/>
        </w:rPr>
        <w:t xml:space="preserve"> (</w:t>
      </w:r>
      <w:r>
        <w:rPr>
          <w:rFonts w:eastAsia="Calibri" w:cs="Times New Roman"/>
        </w:rPr>
        <w:t xml:space="preserve">CRPC Opening </w:t>
      </w:r>
      <w:r w:rsidRPr="00B428BD">
        <w:rPr>
          <w:rFonts w:eastAsia="Calibri" w:cs="Times New Roman"/>
        </w:rPr>
        <w:t>Comments)</w:t>
      </w:r>
      <w:r>
        <w:rPr>
          <w:rFonts w:eastAsia="Calibri" w:cs="Times New Roman"/>
        </w:rPr>
        <w:t xml:space="preserve"> and Indicated Shippers (Indicated Shippers Opening Comments)</w:t>
      </w:r>
      <w:r w:rsidRPr="00B428BD">
        <w:rPr>
          <w:rFonts w:eastAsia="Calibri" w:cs="Times New Roman"/>
        </w:rPr>
        <w:t>.</w:t>
      </w:r>
      <w:r>
        <w:rPr>
          <w:rFonts w:eastAsia="Calibri" w:cs="Times New Roman"/>
        </w:rPr>
        <w:t xml:space="preserve"> R</w:t>
      </w:r>
      <w:r>
        <w:t>eply comments were filed on November 12, 2025 by the Cities  (Cities Reply Comments) and on November 12, 2025 by CRPC</w:t>
      </w:r>
      <w:r w:rsidRPr="00B428BD">
        <w:rPr>
          <w:rFonts w:eastAsia="Calibri" w:cs="Times New Roman"/>
        </w:rPr>
        <w:t xml:space="preserve"> (</w:t>
      </w:r>
      <w:r>
        <w:rPr>
          <w:rFonts w:eastAsia="Calibri" w:cs="Times New Roman"/>
        </w:rPr>
        <w:t xml:space="preserve">CRPC Reply </w:t>
      </w:r>
      <w:r w:rsidRPr="00B428BD">
        <w:rPr>
          <w:rFonts w:eastAsia="Calibri" w:cs="Times New Roman"/>
        </w:rPr>
        <w:t>Comments)</w:t>
      </w:r>
      <w:r>
        <w:rPr>
          <w:rFonts w:eastAsia="Calibri" w:cs="Times New Roman"/>
        </w:rPr>
        <w:t>.</w:t>
      </w:r>
      <w:r w:rsidR="006F6FEC">
        <w:rPr>
          <w:rFonts w:eastAsia="Calibri" w:cs="Times New Roman"/>
        </w:rPr>
        <w:t xml:space="preserve"> </w:t>
      </w:r>
      <w:r w:rsidR="00A33B35">
        <w:rPr>
          <w:rFonts w:eastAsia="Calibri" w:cs="Times New Roman"/>
        </w:rPr>
        <w:t xml:space="preserve">All comments were considered and </w:t>
      </w:r>
      <w:r w:rsidR="00A649A5">
        <w:rPr>
          <w:rFonts w:eastAsia="Calibri" w:cs="Times New Roman"/>
        </w:rPr>
        <w:t>result in revisions</w:t>
      </w:r>
      <w:r w:rsidR="00594FCF">
        <w:rPr>
          <w:rFonts w:eastAsia="Calibri" w:cs="Times New Roman"/>
        </w:rPr>
        <w:t xml:space="preserve"> to the decision</w:t>
      </w:r>
      <w:r w:rsidR="00A649A5">
        <w:rPr>
          <w:rFonts w:eastAsia="Calibri" w:cs="Times New Roman"/>
        </w:rPr>
        <w:t xml:space="preserve"> summarized below.</w:t>
      </w:r>
    </w:p>
    <w:p w:rsidR="008A655D" w:rsidP="008A655D" w:rsidRDefault="008A655D" w14:paraId="1F7BF36D" w14:textId="77777777">
      <w:pPr>
        <w:pStyle w:val="Standard"/>
        <w:rPr>
          <w:rFonts w:eastAsia="Calibri" w:cs="Times New Roman"/>
        </w:rPr>
      </w:pPr>
      <w:r w:rsidRPr="00785BDD">
        <w:rPr>
          <w:rFonts w:eastAsia="Calibri" w:cs="Times New Roman"/>
          <w:b/>
          <w:bCs/>
          <w:i/>
          <w:iCs/>
        </w:rPr>
        <w:t>First</w:t>
      </w:r>
      <w:r>
        <w:rPr>
          <w:rFonts w:eastAsia="Calibri" w:cs="Times New Roman"/>
        </w:rPr>
        <w:t xml:space="preserve">, CRPC </w:t>
      </w:r>
      <w:r w:rsidRPr="00B428BD">
        <w:rPr>
          <w:rFonts w:eastAsia="Calibri" w:cs="Times New Roman"/>
        </w:rPr>
        <w:t xml:space="preserve">Comments state </w:t>
      </w:r>
      <w:r>
        <w:rPr>
          <w:rFonts w:eastAsia="Calibri" w:cs="Times New Roman"/>
        </w:rPr>
        <w:t xml:space="preserve">that the proposed decision errs by considering whether CRPC </w:t>
      </w:r>
      <w:r w:rsidRPr="00775FC6">
        <w:rPr>
          <w:rFonts w:eastAsia="Calibri" w:cs="Times New Roman"/>
          <w:i/>
          <w:iCs/>
        </w:rPr>
        <w:t>presently</w:t>
      </w:r>
      <w:r>
        <w:rPr>
          <w:rFonts w:eastAsia="Calibri" w:cs="Times New Roman"/>
        </w:rPr>
        <w:t xml:space="preserve"> owns, controls, operates or manages all </w:t>
      </w:r>
      <w:r>
        <w:rPr>
          <w:rFonts w:eastAsia="Calibri" w:cs="Times New Roman"/>
        </w:rPr>
        <w:lastRenderedPageBreak/>
        <w:t>portions of the UI Pipeline – including that within the Cities’ rights of way – to satisfy Section 222.</w:t>
      </w:r>
      <w:r>
        <w:rPr>
          <w:rStyle w:val="FootnoteReference"/>
          <w:rFonts w:eastAsia="Calibri" w:cs="Times New Roman"/>
        </w:rPr>
        <w:footnoteReference w:id="77"/>
      </w:r>
      <w:r>
        <w:rPr>
          <w:rFonts w:eastAsia="Calibri" w:cs="Times New Roman"/>
        </w:rPr>
        <w:t xml:space="preserve"> </w:t>
      </w:r>
    </w:p>
    <w:p w:rsidR="008A655D" w:rsidP="008A655D" w:rsidRDefault="008A655D" w14:paraId="71364EF2" w14:textId="77777777">
      <w:pPr>
        <w:pStyle w:val="Standard"/>
        <w:rPr>
          <w:rFonts w:eastAsia="Calibri" w:cs="Times New Roman"/>
        </w:rPr>
      </w:pPr>
      <w:r>
        <w:rPr>
          <w:rFonts w:eastAsia="Calibri" w:cs="Times New Roman"/>
        </w:rPr>
        <w:t xml:space="preserve">The Cities </w:t>
      </w:r>
      <w:r w:rsidRPr="00B428BD">
        <w:rPr>
          <w:rFonts w:eastAsia="Calibri" w:cs="Times New Roman"/>
        </w:rPr>
        <w:t xml:space="preserve">Comments state </w:t>
      </w:r>
      <w:r>
        <w:rPr>
          <w:rFonts w:eastAsia="Calibri" w:cs="Times New Roman"/>
        </w:rPr>
        <w:t>that the proposed decision correctly interpreted Sections 216 and 222 to require CRPC to hold present rights to own, control, operate or manage all portions of the UI Pipeline.</w:t>
      </w:r>
      <w:r>
        <w:rPr>
          <w:rStyle w:val="FootnoteReference"/>
          <w:rFonts w:eastAsia="Calibri" w:cs="Times New Roman"/>
        </w:rPr>
        <w:footnoteReference w:id="78"/>
      </w:r>
      <w:r>
        <w:rPr>
          <w:rFonts w:eastAsia="Calibri" w:cs="Times New Roman"/>
        </w:rPr>
        <w:t xml:space="preserve"> The Cities </w:t>
      </w:r>
      <w:r w:rsidRPr="00B428BD">
        <w:rPr>
          <w:rFonts w:eastAsia="Calibri" w:cs="Times New Roman"/>
        </w:rPr>
        <w:t xml:space="preserve">Comments </w:t>
      </w:r>
      <w:r>
        <w:rPr>
          <w:rFonts w:eastAsia="Calibri" w:cs="Times New Roman"/>
        </w:rPr>
        <w:t>correctly state that “</w:t>
      </w:r>
      <w:r w:rsidRPr="00085267">
        <w:rPr>
          <w:rFonts w:eastAsia="Calibri" w:cs="Times New Roman"/>
        </w:rPr>
        <w:t>where – as here – there is no current ownership and/or operation of a utility and future</w:t>
      </w:r>
      <w:r>
        <w:rPr>
          <w:rFonts w:eastAsia="Calibri" w:cs="Times New Roman"/>
        </w:rPr>
        <w:t xml:space="preserve"> </w:t>
      </w:r>
      <w:r w:rsidRPr="00085267">
        <w:rPr>
          <w:rFonts w:eastAsia="Calibri" w:cs="Times New Roman"/>
        </w:rPr>
        <w:t>ownership and/or operation is speculative, the Commission has declined to</w:t>
      </w:r>
      <w:r>
        <w:rPr>
          <w:rFonts w:eastAsia="Calibri" w:cs="Times New Roman"/>
        </w:rPr>
        <w:t xml:space="preserve"> </w:t>
      </w:r>
      <w:r w:rsidRPr="00085267">
        <w:rPr>
          <w:rFonts w:eastAsia="Calibri" w:cs="Times New Roman"/>
        </w:rPr>
        <w:t>grant a CPCN.</w:t>
      </w:r>
      <w:r>
        <w:rPr>
          <w:rFonts w:eastAsia="Calibri" w:cs="Times New Roman"/>
        </w:rPr>
        <w:t>”</w:t>
      </w:r>
      <w:r>
        <w:rPr>
          <w:rStyle w:val="FootnoteReference"/>
          <w:rFonts w:eastAsia="Calibri" w:cs="Times New Roman"/>
        </w:rPr>
        <w:footnoteReference w:id="79"/>
      </w:r>
    </w:p>
    <w:p w:rsidR="008A655D" w:rsidP="008A655D" w:rsidRDefault="008A655D" w14:paraId="469D1EB7" w14:textId="56C976C3">
      <w:pPr>
        <w:pStyle w:val="Standard"/>
        <w:rPr>
          <w:rFonts w:eastAsia="Calibri" w:cs="Times New Roman"/>
        </w:rPr>
      </w:pPr>
      <w:r w:rsidRPr="00785BDD">
        <w:rPr>
          <w:rFonts w:eastAsia="Calibri" w:cs="Times New Roman"/>
          <w:b/>
          <w:bCs/>
          <w:i/>
          <w:iCs/>
        </w:rPr>
        <w:t>Second</w:t>
      </w:r>
      <w:r>
        <w:rPr>
          <w:rFonts w:eastAsia="Calibri" w:cs="Times New Roman"/>
        </w:rPr>
        <w:t xml:space="preserve">, CRPC </w:t>
      </w:r>
      <w:r w:rsidRPr="00B428BD">
        <w:rPr>
          <w:rFonts w:eastAsia="Calibri" w:cs="Times New Roman"/>
        </w:rPr>
        <w:t xml:space="preserve">Comments state </w:t>
      </w:r>
      <w:r>
        <w:rPr>
          <w:rFonts w:eastAsia="Calibri" w:cs="Times New Roman"/>
        </w:rPr>
        <w:t xml:space="preserve">that (1) it </w:t>
      </w:r>
      <w:r w:rsidRPr="000A0CB7">
        <w:rPr>
          <w:rFonts w:eastAsia="Calibri" w:cs="Times New Roman"/>
          <w:b/>
          <w:bCs/>
          <w:i/>
          <w:iCs/>
        </w:rPr>
        <w:t>is</w:t>
      </w:r>
      <w:r>
        <w:rPr>
          <w:rFonts w:eastAsia="Calibri" w:cs="Times New Roman"/>
        </w:rPr>
        <w:t xml:space="preserve"> the </w:t>
      </w:r>
      <w:r w:rsidRPr="000A0CB7">
        <w:rPr>
          <w:rFonts w:eastAsia="Calibri" w:cs="Times New Roman"/>
          <w:b/>
          <w:bCs/>
          <w:i/>
          <w:iCs/>
        </w:rPr>
        <w:t>present owner</w:t>
      </w:r>
      <w:r>
        <w:rPr>
          <w:rFonts w:eastAsia="Calibri" w:cs="Times New Roman"/>
        </w:rPr>
        <w:t xml:space="preserve"> of the UI Pipeline within the Cities; and (2) that status as present owner satisfies the ownership criteria to be a gas corporation under Section 222.</w:t>
      </w:r>
      <w:r>
        <w:rPr>
          <w:rStyle w:val="FootnoteReference"/>
          <w:rFonts w:eastAsia="Calibri" w:cs="Times New Roman"/>
        </w:rPr>
        <w:footnoteReference w:id="80"/>
      </w:r>
      <w:r>
        <w:rPr>
          <w:rFonts w:eastAsia="Calibri" w:cs="Times New Roman"/>
        </w:rPr>
        <w:t xml:space="preserve"> CRPC cites as evidence </w:t>
      </w:r>
      <w:r w:rsidR="00306BF6">
        <w:rPr>
          <w:rFonts w:eastAsia="Calibri" w:cs="Times New Roman"/>
        </w:rPr>
        <w:t>(attached to</w:t>
      </w:r>
      <w:r w:rsidR="00B34009">
        <w:rPr>
          <w:rFonts w:eastAsia="Calibri" w:cs="Times New Roman"/>
        </w:rPr>
        <w:t xml:space="preserve"> its Motion to Reopen the Record</w:t>
      </w:r>
      <w:r w:rsidR="007F5138">
        <w:rPr>
          <w:rFonts w:eastAsia="Calibri" w:cs="Times New Roman"/>
        </w:rPr>
        <w:t>, addressed above</w:t>
      </w:r>
      <w:r w:rsidR="00306BF6">
        <w:rPr>
          <w:rFonts w:eastAsia="Calibri" w:cs="Times New Roman"/>
        </w:rPr>
        <w:t>)</w:t>
      </w:r>
      <w:r w:rsidR="00B34009">
        <w:rPr>
          <w:rFonts w:eastAsia="Calibri" w:cs="Times New Roman"/>
        </w:rPr>
        <w:t xml:space="preserve"> </w:t>
      </w:r>
      <w:r>
        <w:rPr>
          <w:rFonts w:eastAsia="Calibri" w:cs="Times New Roman"/>
        </w:rPr>
        <w:t xml:space="preserve">that Antioch </w:t>
      </w:r>
      <w:r w:rsidR="00365DB9">
        <w:rPr>
          <w:rFonts w:eastAsia="Calibri" w:cs="Times New Roman"/>
        </w:rPr>
        <w:t>admitted in a</w:t>
      </w:r>
      <w:r w:rsidR="00872264">
        <w:rPr>
          <w:rFonts w:eastAsia="Calibri" w:cs="Times New Roman"/>
        </w:rPr>
        <w:t>n unfiled</w:t>
      </w:r>
      <w:r w:rsidR="00720E00">
        <w:rPr>
          <w:rFonts w:eastAsia="Calibri" w:cs="Times New Roman"/>
        </w:rPr>
        <w:t>,</w:t>
      </w:r>
      <w:r w:rsidR="00872264">
        <w:rPr>
          <w:rFonts w:eastAsia="Calibri" w:cs="Times New Roman"/>
        </w:rPr>
        <w:t xml:space="preserve"> proposed Second </w:t>
      </w:r>
      <w:r>
        <w:rPr>
          <w:rFonts w:eastAsia="Calibri" w:cs="Times New Roman"/>
        </w:rPr>
        <w:t xml:space="preserve">Amended Complaint in the </w:t>
      </w:r>
      <w:r w:rsidR="00806BE1">
        <w:rPr>
          <w:rFonts w:eastAsia="Calibri" w:cs="Times New Roman"/>
        </w:rPr>
        <w:t>Phase II</w:t>
      </w:r>
      <w:r>
        <w:rPr>
          <w:rFonts w:eastAsia="Calibri" w:cs="Times New Roman"/>
        </w:rPr>
        <w:t xml:space="preserve"> Pipeline Litigation that CRPC or its Successor Subsidiary “</w:t>
      </w:r>
      <w:r w:rsidRPr="006C10E5">
        <w:rPr>
          <w:rFonts w:eastAsia="Calibri" w:cs="Times New Roman"/>
        </w:rPr>
        <w:t>own</w:t>
      </w:r>
      <w:r w:rsidRPr="006C10E5" w:rsidR="00872264">
        <w:rPr>
          <w:rFonts w:eastAsia="Calibri" w:cs="Times New Roman"/>
        </w:rPr>
        <w:t>s</w:t>
      </w:r>
      <w:r w:rsidRPr="008C0EA0">
        <w:rPr>
          <w:rFonts w:eastAsia="Calibri" w:cs="Times New Roman"/>
        </w:rPr>
        <w:t xml:space="preserve"> and</w:t>
      </w:r>
      <w:r w:rsidRPr="008C0EA0" w:rsidR="00872264">
        <w:rPr>
          <w:rFonts w:eastAsia="Calibri" w:cs="Times New Roman"/>
        </w:rPr>
        <w:t xml:space="preserve">/or </w:t>
      </w:r>
      <w:r w:rsidRPr="008C0EA0">
        <w:rPr>
          <w:rFonts w:eastAsia="Calibri" w:cs="Times New Roman"/>
        </w:rPr>
        <w:t>control</w:t>
      </w:r>
      <w:r w:rsidRPr="008C0EA0" w:rsidR="008C0EA0">
        <w:rPr>
          <w:rFonts w:eastAsia="Calibri" w:cs="Times New Roman"/>
        </w:rPr>
        <w:t>s</w:t>
      </w:r>
      <w:r>
        <w:rPr>
          <w:rFonts w:eastAsia="Calibri" w:cs="Times New Roman"/>
        </w:rPr>
        <w:t>” the Antioch segment of the pipeline.</w:t>
      </w:r>
      <w:r>
        <w:rPr>
          <w:rStyle w:val="FootnoteReference"/>
          <w:rFonts w:eastAsia="Calibri" w:cs="Times New Roman"/>
        </w:rPr>
        <w:footnoteReference w:id="81"/>
      </w:r>
      <w:r>
        <w:rPr>
          <w:rFonts w:eastAsia="Calibri" w:cs="Times New Roman"/>
        </w:rPr>
        <w:t xml:space="preserve"> Indicated Shippers </w:t>
      </w:r>
      <w:r w:rsidRPr="00B428BD">
        <w:rPr>
          <w:rFonts w:eastAsia="Calibri" w:cs="Times New Roman"/>
        </w:rPr>
        <w:t xml:space="preserve">Comments state </w:t>
      </w:r>
      <w:r>
        <w:rPr>
          <w:rFonts w:eastAsia="Calibri" w:cs="Times New Roman"/>
        </w:rPr>
        <w:t xml:space="preserve">similarly that CRPC qualifies as a gas corporation under Section 222 because it (or Successor Subsidiary) presently </w:t>
      </w:r>
      <w:r w:rsidRPr="00C32CBD">
        <w:rPr>
          <w:rFonts w:eastAsia="Calibri" w:cs="Times New Roman"/>
          <w:i/>
          <w:iCs/>
        </w:rPr>
        <w:t>owns</w:t>
      </w:r>
      <w:r>
        <w:rPr>
          <w:rFonts w:eastAsia="Calibri" w:cs="Times New Roman"/>
        </w:rPr>
        <w:t xml:space="preserve"> the full UI Pipeline, including </w:t>
      </w:r>
      <w:r>
        <w:rPr>
          <w:rFonts w:eastAsia="Calibri" w:cs="Times New Roman"/>
        </w:rPr>
        <w:lastRenderedPageBreak/>
        <w:t>within Antioch.</w:t>
      </w:r>
      <w:r>
        <w:rPr>
          <w:rStyle w:val="FootnoteReference"/>
          <w:rFonts w:eastAsia="Calibri" w:cs="Times New Roman"/>
        </w:rPr>
        <w:footnoteReference w:id="82"/>
      </w:r>
      <w:r>
        <w:rPr>
          <w:rFonts w:eastAsia="Calibri" w:cs="Times New Roman"/>
        </w:rPr>
        <w:t xml:space="preserve"> Indicated Shippers and CRPC </w:t>
      </w:r>
      <w:r w:rsidRPr="00B428BD">
        <w:rPr>
          <w:rFonts w:eastAsia="Calibri" w:cs="Times New Roman"/>
        </w:rPr>
        <w:t xml:space="preserve">Comments state </w:t>
      </w:r>
      <w:r>
        <w:rPr>
          <w:rFonts w:eastAsia="Calibri" w:cs="Times New Roman"/>
        </w:rPr>
        <w:t>that Section 222’s language provides that an entity that either “</w:t>
      </w:r>
      <w:r w:rsidRPr="006C554E">
        <w:rPr>
          <w:rFonts w:eastAsia="Calibri" w:cs="Times New Roman"/>
          <w:b/>
          <w:bCs/>
          <w:i/>
          <w:iCs/>
        </w:rPr>
        <w:t>owns</w:t>
      </w:r>
      <w:r>
        <w:rPr>
          <w:rFonts w:eastAsia="Calibri" w:cs="Times New Roman"/>
        </w:rPr>
        <w:t xml:space="preserve">, controls, operates, </w:t>
      </w:r>
      <w:r w:rsidRPr="00467376">
        <w:rPr>
          <w:rFonts w:eastAsia="Calibri" w:cs="Times New Roman"/>
          <w:b/>
          <w:bCs/>
          <w:i/>
          <w:iCs/>
        </w:rPr>
        <w:t>or</w:t>
      </w:r>
      <w:r>
        <w:rPr>
          <w:rFonts w:eastAsia="Calibri" w:cs="Times New Roman"/>
        </w:rPr>
        <w:t xml:space="preserve"> manages” a gas plant may be a gas corporation.</w:t>
      </w:r>
      <w:r>
        <w:rPr>
          <w:rStyle w:val="FootnoteReference"/>
          <w:rFonts w:eastAsia="Calibri" w:cs="Times New Roman"/>
        </w:rPr>
        <w:footnoteReference w:id="83"/>
      </w:r>
    </w:p>
    <w:p w:rsidR="008A655D" w:rsidP="008A655D" w:rsidRDefault="008A655D" w14:paraId="14B02EF2" w14:textId="01C8BC96">
      <w:pPr>
        <w:pStyle w:val="Standard"/>
        <w:rPr>
          <w:rFonts w:eastAsia="Calibri" w:cs="Times New Roman"/>
        </w:rPr>
      </w:pPr>
      <w:r>
        <w:t xml:space="preserve">Indicated Shippers </w:t>
      </w:r>
      <w:r w:rsidRPr="00B428BD">
        <w:rPr>
          <w:rFonts w:eastAsia="Calibri" w:cs="Times New Roman"/>
        </w:rPr>
        <w:t xml:space="preserve">Comments state </w:t>
      </w:r>
      <w:r>
        <w:t>that CRPC’s present ownership rights in the UI Pipeline trump its lack of franchise rights within Antioch and Brentwood.</w:t>
      </w:r>
      <w:r>
        <w:rPr>
          <w:rStyle w:val="FootnoteReference"/>
        </w:rPr>
        <w:footnoteReference w:id="84"/>
      </w:r>
      <w:r>
        <w:t xml:space="preserve"> Indicated Shippers also comment that the proposed decision errs by determining that CRPC cannot be a public utility because it cannot dedicate the full UI Pipeline to public use.</w:t>
      </w:r>
      <w:r>
        <w:rPr>
          <w:rStyle w:val="FootnoteReference"/>
        </w:rPr>
        <w:footnoteReference w:id="85"/>
      </w:r>
      <w:r>
        <w:t xml:space="preserve"> Indicated Shippers relies on CRPC</w:t>
      </w:r>
      <w:r w:rsidR="006B173C">
        <w:t>’</w:t>
      </w:r>
      <w:r>
        <w:t xml:space="preserve"> status as owner of the UI Pipeline to comment that the company previously dedicated and – by defending that ownership (</w:t>
      </w:r>
      <w:r w:rsidRPr="00576A45">
        <w:rPr>
          <w:i/>
          <w:iCs/>
        </w:rPr>
        <w:t>e.g</w:t>
      </w:r>
      <w:r>
        <w:t xml:space="preserve">., in </w:t>
      </w:r>
      <w:r w:rsidR="00806BE1">
        <w:t>Phase II</w:t>
      </w:r>
      <w:r>
        <w:t xml:space="preserve"> of the Pipeline Litigation)</w:t>
      </w:r>
      <w:r w:rsidR="006B173C">
        <w:t xml:space="preserve"> – </w:t>
      </w:r>
      <w:r>
        <w:t xml:space="preserve"> may presently dedicate the full UI Pipeline to public use.</w:t>
      </w:r>
      <w:r>
        <w:rPr>
          <w:rStyle w:val="FootnoteReference"/>
        </w:rPr>
        <w:footnoteReference w:id="86"/>
      </w:r>
    </w:p>
    <w:p w:rsidR="008A655D" w:rsidP="008A655D" w:rsidRDefault="008A655D" w14:paraId="4605B2EF" w14:textId="138C3BCC">
      <w:pPr>
        <w:pStyle w:val="Standard"/>
        <w:rPr>
          <w:rFonts w:eastAsia="Calibri" w:cs="Times New Roman"/>
        </w:rPr>
      </w:pPr>
      <w:r>
        <w:rPr>
          <w:rFonts w:eastAsia="Calibri" w:cs="Times New Roman"/>
        </w:rPr>
        <w:t xml:space="preserve">The Cities </w:t>
      </w:r>
      <w:r w:rsidRPr="00B428BD">
        <w:rPr>
          <w:rFonts w:eastAsia="Calibri" w:cs="Times New Roman"/>
        </w:rPr>
        <w:t xml:space="preserve">Comments state </w:t>
      </w:r>
      <w:r>
        <w:rPr>
          <w:rFonts w:eastAsia="Calibri" w:cs="Times New Roman"/>
        </w:rPr>
        <w:t>that the record shows that CRPC’s “</w:t>
      </w:r>
      <w:r w:rsidRPr="00CE77B0">
        <w:rPr>
          <w:rFonts w:eastAsia="Calibri" w:cs="Times New Roman"/>
        </w:rPr>
        <w:t>ownership of the portion of the Pipeline in</w:t>
      </w:r>
      <w:r>
        <w:rPr>
          <w:rFonts w:eastAsia="Calibri" w:cs="Times New Roman"/>
        </w:rPr>
        <w:t xml:space="preserve"> </w:t>
      </w:r>
      <w:r w:rsidRPr="00CE77B0">
        <w:rPr>
          <w:rFonts w:eastAsia="Calibri" w:cs="Times New Roman"/>
        </w:rPr>
        <w:t xml:space="preserve">Antioch is </w:t>
      </w:r>
      <w:r w:rsidRPr="006C10E5">
        <w:rPr>
          <w:rFonts w:eastAsia="Calibri" w:cs="Times New Roman"/>
          <w:i/>
          <w:iCs/>
        </w:rPr>
        <w:t>disputed</w:t>
      </w:r>
      <w:r w:rsidRPr="00CE77B0">
        <w:rPr>
          <w:rFonts w:eastAsia="Calibri" w:cs="Times New Roman"/>
        </w:rPr>
        <w:t>, and its future ability to own, control, operate, or manage the Pipeline as a</w:t>
      </w:r>
      <w:r>
        <w:rPr>
          <w:rFonts w:eastAsia="Calibri" w:cs="Times New Roman"/>
        </w:rPr>
        <w:t xml:space="preserve"> </w:t>
      </w:r>
      <w:r w:rsidRPr="00CE77B0">
        <w:rPr>
          <w:rFonts w:eastAsia="Calibri" w:cs="Times New Roman"/>
        </w:rPr>
        <w:t xml:space="preserve">whole is entirely </w:t>
      </w:r>
      <w:r w:rsidRPr="006C10E5">
        <w:rPr>
          <w:rFonts w:eastAsia="Calibri" w:cs="Times New Roman"/>
          <w:i/>
          <w:iCs/>
        </w:rPr>
        <w:t>speculative</w:t>
      </w:r>
      <w:r>
        <w:rPr>
          <w:rFonts w:eastAsia="Calibri" w:cs="Times New Roman"/>
        </w:rPr>
        <w:t>.”</w:t>
      </w:r>
      <w:r>
        <w:rPr>
          <w:rStyle w:val="FootnoteReference"/>
          <w:rFonts w:eastAsia="Calibri" w:cs="Times New Roman"/>
        </w:rPr>
        <w:footnoteReference w:id="87"/>
      </w:r>
      <w:r>
        <w:rPr>
          <w:rFonts w:eastAsia="Calibri" w:cs="Times New Roman"/>
        </w:rPr>
        <w:t xml:space="preserve"> The Cities also comment that “</w:t>
      </w:r>
      <w:r w:rsidRPr="00715B03">
        <w:rPr>
          <w:rFonts w:eastAsia="Calibri" w:cs="Times New Roman"/>
        </w:rPr>
        <w:t>CRPC has not established that it owns the UI Pipeline. CRPC’s current</w:t>
      </w:r>
      <w:r>
        <w:rPr>
          <w:rFonts w:eastAsia="Calibri" w:cs="Times New Roman"/>
        </w:rPr>
        <w:t xml:space="preserve"> </w:t>
      </w:r>
      <w:r w:rsidRPr="00715B03">
        <w:rPr>
          <w:rFonts w:eastAsia="Calibri" w:cs="Times New Roman"/>
        </w:rPr>
        <w:t xml:space="preserve">ownership of that portion of the UI Pipeline located in Antioch is </w:t>
      </w:r>
      <w:r w:rsidRPr="00715B03">
        <w:rPr>
          <w:rFonts w:eastAsia="Calibri" w:cs="Times New Roman"/>
        </w:rPr>
        <w:lastRenderedPageBreak/>
        <w:t>hotly contested in the pending</w:t>
      </w:r>
      <w:r>
        <w:rPr>
          <w:rFonts w:eastAsia="Calibri" w:cs="Times New Roman"/>
        </w:rPr>
        <w:t xml:space="preserve"> </w:t>
      </w:r>
      <w:r w:rsidRPr="00715B03">
        <w:rPr>
          <w:rFonts w:eastAsia="Calibri" w:cs="Times New Roman"/>
        </w:rPr>
        <w:t>Pipeline Lawsuit in Contra Costa Superior Court</w:t>
      </w:r>
      <w:r>
        <w:rPr>
          <w:rFonts w:eastAsia="Calibri" w:cs="Times New Roman"/>
        </w:rPr>
        <w:t>.”</w:t>
      </w:r>
      <w:r>
        <w:rPr>
          <w:rStyle w:val="FootnoteReference"/>
          <w:rFonts w:eastAsia="Calibri" w:cs="Times New Roman"/>
        </w:rPr>
        <w:footnoteReference w:id="88"/>
      </w:r>
      <w:r>
        <w:rPr>
          <w:rFonts w:eastAsia="Calibri" w:cs="Times New Roman"/>
        </w:rPr>
        <w:t xml:space="preserve"> They further comment that the record shows that “Antioch’s claims for trespass and ejectment [in the </w:t>
      </w:r>
      <w:r w:rsidR="00806BE1">
        <w:rPr>
          <w:rFonts w:eastAsia="Calibri" w:cs="Times New Roman"/>
        </w:rPr>
        <w:t>Phase II</w:t>
      </w:r>
      <w:r>
        <w:rPr>
          <w:rFonts w:eastAsia="Calibri" w:cs="Times New Roman"/>
        </w:rPr>
        <w:t xml:space="preserve"> Pipeline Litigation] </w:t>
      </w:r>
      <w:r w:rsidRPr="005E72A7">
        <w:rPr>
          <w:rFonts w:eastAsia="Calibri" w:cs="Times New Roman"/>
        </w:rPr>
        <w:t xml:space="preserve">are based in part on </w:t>
      </w:r>
      <w:r>
        <w:rPr>
          <w:rFonts w:eastAsia="Calibri" w:cs="Times New Roman"/>
        </w:rPr>
        <w:t>t</w:t>
      </w:r>
      <w:r w:rsidRPr="005E72A7">
        <w:rPr>
          <w:rFonts w:eastAsia="Calibri" w:cs="Times New Roman"/>
        </w:rPr>
        <w:t>he fact that CPRC was required to abandon the portion of</w:t>
      </w:r>
      <w:r>
        <w:rPr>
          <w:rFonts w:eastAsia="Calibri" w:cs="Times New Roman"/>
        </w:rPr>
        <w:t xml:space="preserve"> </w:t>
      </w:r>
      <w:r w:rsidRPr="005E72A7">
        <w:rPr>
          <w:rFonts w:eastAsia="Calibri" w:cs="Times New Roman"/>
        </w:rPr>
        <w:t>the Pipeline in Antioch when the City demanded that it do so – in November 2021 – at which</w:t>
      </w:r>
      <w:r>
        <w:rPr>
          <w:rFonts w:eastAsia="Calibri" w:cs="Times New Roman"/>
        </w:rPr>
        <w:t xml:space="preserve"> </w:t>
      </w:r>
      <w:r w:rsidRPr="005E72A7">
        <w:rPr>
          <w:rFonts w:eastAsia="Calibri" w:cs="Times New Roman"/>
        </w:rPr>
        <w:t>time ownership of the abandoned portion would have vested in the City.</w:t>
      </w:r>
      <w:r>
        <w:rPr>
          <w:rFonts w:eastAsia="Calibri" w:cs="Times New Roman"/>
        </w:rPr>
        <w:t>”</w:t>
      </w:r>
      <w:r>
        <w:rPr>
          <w:rStyle w:val="FootnoteReference"/>
          <w:rFonts w:eastAsia="Calibri" w:cs="Times New Roman"/>
        </w:rPr>
        <w:footnoteReference w:id="89"/>
      </w:r>
      <w:r>
        <w:rPr>
          <w:rFonts w:eastAsia="Calibri" w:cs="Times New Roman"/>
        </w:rPr>
        <w:t xml:space="preserve"> In addition, the Cities </w:t>
      </w:r>
      <w:r w:rsidRPr="00B428BD">
        <w:rPr>
          <w:rFonts w:eastAsia="Calibri" w:cs="Times New Roman"/>
        </w:rPr>
        <w:t xml:space="preserve">Comments state </w:t>
      </w:r>
      <w:r>
        <w:rPr>
          <w:rFonts w:eastAsia="Calibri" w:cs="Times New Roman"/>
        </w:rPr>
        <w:t xml:space="preserve">that </w:t>
      </w:r>
      <w:r w:rsidRPr="001E51F6">
        <w:rPr>
          <w:rFonts w:eastAsia="Calibri" w:cs="Times New Roman"/>
        </w:rPr>
        <w:t>CRPC</w:t>
      </w:r>
      <w:r>
        <w:rPr>
          <w:rFonts w:eastAsia="Calibri" w:cs="Times New Roman"/>
        </w:rPr>
        <w:t xml:space="preserve"> </w:t>
      </w:r>
      <w:r w:rsidRPr="001E51F6">
        <w:rPr>
          <w:rFonts w:eastAsia="Calibri" w:cs="Times New Roman"/>
        </w:rPr>
        <w:t xml:space="preserve">represented in </w:t>
      </w:r>
      <w:r>
        <w:rPr>
          <w:rFonts w:eastAsia="Calibri" w:cs="Times New Roman"/>
        </w:rPr>
        <w:t>the record</w:t>
      </w:r>
      <w:r w:rsidRPr="001E51F6">
        <w:rPr>
          <w:rFonts w:eastAsia="Calibri" w:cs="Times New Roman"/>
        </w:rPr>
        <w:t xml:space="preserve"> that it no longer owns the </w:t>
      </w:r>
      <w:r>
        <w:rPr>
          <w:rFonts w:eastAsia="Calibri" w:cs="Times New Roman"/>
        </w:rPr>
        <w:t xml:space="preserve">UI </w:t>
      </w:r>
      <w:r w:rsidRPr="001E51F6">
        <w:rPr>
          <w:rFonts w:eastAsia="Calibri" w:cs="Times New Roman"/>
        </w:rPr>
        <w:t xml:space="preserve">Pipeline, having transferred ownership to </w:t>
      </w:r>
      <w:r>
        <w:rPr>
          <w:rFonts w:eastAsia="Calibri" w:cs="Times New Roman"/>
        </w:rPr>
        <w:t xml:space="preserve">Successor Subsidiary </w:t>
      </w:r>
      <w:r w:rsidRPr="001E51F6">
        <w:rPr>
          <w:rFonts w:eastAsia="Calibri" w:cs="Times New Roman"/>
        </w:rPr>
        <w:t>in October 2024.</w:t>
      </w:r>
      <w:r>
        <w:rPr>
          <w:rStyle w:val="FootnoteReference"/>
          <w:rFonts w:eastAsia="Calibri" w:cs="Times New Roman"/>
        </w:rPr>
        <w:footnoteReference w:id="90"/>
      </w:r>
    </w:p>
    <w:p w:rsidR="00CC4BED" w:rsidP="008A655D" w:rsidRDefault="008A655D" w14:paraId="588959D2" w14:textId="288D8ACE">
      <w:pPr>
        <w:pStyle w:val="Standard"/>
        <w:rPr>
          <w:rFonts w:eastAsia="Calibri" w:cs="Times New Roman"/>
        </w:rPr>
      </w:pPr>
      <w:r w:rsidRPr="00D64B24">
        <w:rPr>
          <w:rFonts w:eastAsia="Calibri" w:cs="Times New Roman"/>
        </w:rPr>
        <w:t xml:space="preserve">In response to </w:t>
      </w:r>
      <w:r w:rsidR="00CC4BED">
        <w:rPr>
          <w:rFonts w:eastAsia="Calibri" w:cs="Times New Roman"/>
        </w:rPr>
        <w:t xml:space="preserve">the </w:t>
      </w:r>
      <w:r w:rsidRPr="00D64B24">
        <w:rPr>
          <w:rFonts w:eastAsia="Calibri" w:cs="Times New Roman"/>
        </w:rPr>
        <w:t>Comments</w:t>
      </w:r>
      <w:r w:rsidR="00CC4BED">
        <w:rPr>
          <w:rFonts w:eastAsia="Calibri" w:cs="Times New Roman"/>
        </w:rPr>
        <w:t xml:space="preserve"> above</w:t>
      </w:r>
      <w:r w:rsidRPr="00D64B24">
        <w:rPr>
          <w:rFonts w:eastAsia="Calibri" w:cs="Times New Roman"/>
        </w:rPr>
        <w:t xml:space="preserve">, </w:t>
      </w:r>
      <w:r w:rsidR="00934A25">
        <w:rPr>
          <w:rFonts w:eastAsia="Calibri" w:cs="Times New Roman"/>
        </w:rPr>
        <w:t xml:space="preserve">the Commission considered the parties’ </w:t>
      </w:r>
      <w:r w:rsidR="00267657">
        <w:rPr>
          <w:rFonts w:eastAsia="Calibri" w:cs="Times New Roman"/>
        </w:rPr>
        <w:t xml:space="preserve">focus on the </w:t>
      </w:r>
      <w:r w:rsidR="00770CEF">
        <w:rPr>
          <w:rFonts w:eastAsia="Calibri" w:cs="Times New Roman"/>
        </w:rPr>
        <w:t xml:space="preserve">pending parallel proceeding in Superior Court </w:t>
      </w:r>
      <w:r w:rsidR="0071730C">
        <w:rPr>
          <w:rFonts w:eastAsia="Calibri" w:cs="Times New Roman"/>
        </w:rPr>
        <w:t>that may</w:t>
      </w:r>
      <w:r w:rsidR="00770CEF">
        <w:rPr>
          <w:rFonts w:eastAsia="Calibri" w:cs="Times New Roman"/>
        </w:rPr>
        <w:t xml:space="preserve"> determine </w:t>
      </w:r>
      <w:r w:rsidR="003C19A4">
        <w:rPr>
          <w:rFonts w:eastAsia="Calibri" w:cs="Times New Roman"/>
        </w:rPr>
        <w:t xml:space="preserve">ownership of the Antioch pipeline segment in </w:t>
      </w:r>
      <w:r w:rsidR="002E6D57">
        <w:rPr>
          <w:rFonts w:eastAsia="Calibri" w:cs="Times New Roman"/>
        </w:rPr>
        <w:t>the Phase II Pipeline Litigation</w:t>
      </w:r>
      <w:r w:rsidR="00126099">
        <w:rPr>
          <w:rFonts w:eastAsia="Calibri" w:cs="Times New Roman"/>
        </w:rPr>
        <w:t xml:space="preserve"> with certainty and finality</w:t>
      </w:r>
      <w:r w:rsidR="002E6D57">
        <w:rPr>
          <w:rFonts w:eastAsia="Calibri" w:cs="Times New Roman"/>
        </w:rPr>
        <w:t xml:space="preserve">, as well as the pending local administrative proceedings </w:t>
      </w:r>
      <w:r w:rsidR="00751FF6">
        <w:rPr>
          <w:rFonts w:eastAsia="Calibri" w:cs="Times New Roman"/>
        </w:rPr>
        <w:t xml:space="preserve">that may result in franchise rights </w:t>
      </w:r>
      <w:r w:rsidR="00015833">
        <w:rPr>
          <w:rFonts w:eastAsia="Calibri" w:cs="Times New Roman"/>
        </w:rPr>
        <w:t>within Antioch and/or Brentwood.</w:t>
      </w:r>
      <w:r w:rsidR="00126099">
        <w:rPr>
          <w:rFonts w:eastAsia="Calibri" w:cs="Times New Roman"/>
        </w:rPr>
        <w:t xml:space="preserve"> </w:t>
      </w:r>
      <w:r w:rsidR="00FE6F13">
        <w:rPr>
          <w:rFonts w:eastAsia="Calibri" w:cs="Times New Roman"/>
        </w:rPr>
        <w:t xml:space="preserve">Those underlying rights and facts must be resolved through those </w:t>
      </w:r>
      <w:r w:rsidR="005F32E0">
        <w:rPr>
          <w:rFonts w:eastAsia="Calibri" w:cs="Times New Roman"/>
        </w:rPr>
        <w:t xml:space="preserve">proceedings in other </w:t>
      </w:r>
      <w:r w:rsidR="00BB3EDC">
        <w:rPr>
          <w:rFonts w:eastAsia="Calibri" w:cs="Times New Roman"/>
          <w:i/>
          <w:iCs/>
        </w:rPr>
        <w:t>fora</w:t>
      </w:r>
      <w:r w:rsidR="00BB3EDC">
        <w:rPr>
          <w:rFonts w:eastAsia="Calibri" w:cs="Times New Roman"/>
        </w:rPr>
        <w:t xml:space="preserve"> so that the Commission may review </w:t>
      </w:r>
      <w:r w:rsidR="00331236">
        <w:rPr>
          <w:rFonts w:eastAsia="Calibri" w:cs="Times New Roman"/>
        </w:rPr>
        <w:t xml:space="preserve">the Application. As a result, </w:t>
      </w:r>
      <w:r w:rsidR="00AD593B">
        <w:rPr>
          <w:rFonts w:eastAsia="Calibri" w:cs="Times New Roman"/>
        </w:rPr>
        <w:t xml:space="preserve">consistent with </w:t>
      </w:r>
      <w:r w:rsidR="0020754D">
        <w:rPr>
          <w:rFonts w:eastAsia="Calibri" w:cs="Times New Roman"/>
        </w:rPr>
        <w:t xml:space="preserve">Commission practice, </w:t>
      </w:r>
      <w:r w:rsidR="00331236">
        <w:rPr>
          <w:rFonts w:eastAsia="Calibri" w:cs="Times New Roman"/>
        </w:rPr>
        <w:t xml:space="preserve">the decision was modified </w:t>
      </w:r>
      <w:r w:rsidR="00E60F6F">
        <w:rPr>
          <w:rFonts w:eastAsia="Calibri" w:cs="Times New Roman"/>
        </w:rPr>
        <w:t xml:space="preserve">from a </w:t>
      </w:r>
      <w:r w:rsidR="00440D08">
        <w:rPr>
          <w:rFonts w:eastAsia="Calibri" w:cs="Times New Roman"/>
        </w:rPr>
        <w:t>disposition</w:t>
      </w:r>
      <w:r w:rsidR="00E60F6F">
        <w:rPr>
          <w:rFonts w:eastAsia="Calibri" w:cs="Times New Roman"/>
        </w:rPr>
        <w:t xml:space="preserve"> denying the Application </w:t>
      </w:r>
      <w:r w:rsidR="000407C7">
        <w:rPr>
          <w:rFonts w:eastAsia="Calibri" w:cs="Times New Roman"/>
        </w:rPr>
        <w:t xml:space="preserve">on its merits </w:t>
      </w:r>
      <w:r w:rsidR="00440D08">
        <w:rPr>
          <w:rFonts w:eastAsia="Calibri" w:cs="Times New Roman"/>
        </w:rPr>
        <w:t>due to</w:t>
      </w:r>
      <w:r w:rsidR="00E60F6F">
        <w:rPr>
          <w:rFonts w:eastAsia="Calibri" w:cs="Times New Roman"/>
        </w:rPr>
        <w:t xml:space="preserve"> </w:t>
      </w:r>
      <w:r w:rsidR="000407C7">
        <w:rPr>
          <w:rFonts w:eastAsia="Calibri" w:cs="Times New Roman"/>
        </w:rPr>
        <w:t xml:space="preserve">the </w:t>
      </w:r>
      <w:r w:rsidR="00E60F6F">
        <w:rPr>
          <w:rFonts w:eastAsia="Calibri" w:cs="Times New Roman"/>
        </w:rPr>
        <w:t xml:space="preserve">present </w:t>
      </w:r>
      <w:r w:rsidR="00440D08">
        <w:rPr>
          <w:rFonts w:eastAsia="Calibri" w:cs="Times New Roman"/>
        </w:rPr>
        <w:t>circumstances</w:t>
      </w:r>
      <w:r w:rsidR="00AD593B">
        <w:rPr>
          <w:rFonts w:eastAsia="Calibri" w:cs="Times New Roman"/>
        </w:rPr>
        <w:t xml:space="preserve">, to a dismissal without prejudice </w:t>
      </w:r>
      <w:r w:rsidR="00440D08">
        <w:rPr>
          <w:rFonts w:eastAsia="Calibri" w:cs="Times New Roman"/>
        </w:rPr>
        <w:t>as unripe</w:t>
      </w:r>
      <w:r w:rsidR="0091283A">
        <w:rPr>
          <w:rFonts w:eastAsia="Calibri" w:cs="Times New Roman"/>
        </w:rPr>
        <w:t xml:space="preserve">. </w:t>
      </w:r>
    </w:p>
    <w:p w:rsidR="000D2883" w:rsidP="008A655D" w:rsidRDefault="0061126B" w14:paraId="29F0B4BB" w14:textId="41D593A0">
      <w:pPr>
        <w:pStyle w:val="Standard"/>
        <w:rPr>
          <w:rFonts w:eastAsia="Calibri" w:cs="Times New Roman"/>
        </w:rPr>
      </w:pPr>
      <w:r>
        <w:rPr>
          <w:rFonts w:eastAsia="Calibri" w:cs="Times New Roman"/>
        </w:rPr>
        <w:t xml:space="preserve">More specifically, </w:t>
      </w:r>
      <w:r w:rsidRPr="00D64B24" w:rsidR="008A655D">
        <w:rPr>
          <w:rFonts w:eastAsia="Calibri" w:cs="Times New Roman"/>
        </w:rPr>
        <w:t>the decision was modified to</w:t>
      </w:r>
      <w:r w:rsidR="005C6379">
        <w:rPr>
          <w:rFonts w:eastAsia="Calibri" w:cs="Times New Roman"/>
        </w:rPr>
        <w:t xml:space="preserve"> </w:t>
      </w:r>
      <w:r w:rsidR="00F97670">
        <w:rPr>
          <w:rFonts w:eastAsia="Calibri" w:cs="Times New Roman"/>
        </w:rPr>
        <w:t xml:space="preserve">reiterate and </w:t>
      </w:r>
      <w:r w:rsidR="005C6379">
        <w:rPr>
          <w:rFonts w:eastAsia="Calibri" w:cs="Times New Roman"/>
        </w:rPr>
        <w:t>clarify</w:t>
      </w:r>
      <w:r w:rsidR="004E3A1A">
        <w:rPr>
          <w:rFonts w:eastAsia="Calibri" w:cs="Times New Roman"/>
        </w:rPr>
        <w:t xml:space="preserve"> that </w:t>
      </w:r>
      <w:r w:rsidR="00312597">
        <w:rPr>
          <w:rFonts w:eastAsia="Calibri" w:cs="Times New Roman"/>
        </w:rPr>
        <w:t xml:space="preserve">the Commission considers the present circumstances </w:t>
      </w:r>
      <w:r w:rsidR="00F97670">
        <w:rPr>
          <w:rFonts w:eastAsia="Calibri" w:cs="Times New Roman"/>
        </w:rPr>
        <w:t xml:space="preserve">significant. </w:t>
      </w:r>
      <w:r w:rsidR="007A423E">
        <w:rPr>
          <w:rFonts w:eastAsia="Calibri" w:cs="Times New Roman"/>
        </w:rPr>
        <w:t xml:space="preserve">The decision restates throughout that </w:t>
      </w:r>
      <w:r w:rsidR="00A854FF">
        <w:rPr>
          <w:rFonts w:eastAsia="Calibri" w:cs="Times New Roman"/>
        </w:rPr>
        <w:t xml:space="preserve">pending proceedings in other </w:t>
      </w:r>
      <w:r w:rsidRPr="00153B35" w:rsidR="00A854FF">
        <w:rPr>
          <w:rFonts w:eastAsia="Calibri" w:cs="Times New Roman"/>
          <w:i/>
          <w:iCs/>
        </w:rPr>
        <w:t>fora</w:t>
      </w:r>
      <w:r w:rsidR="00A854FF">
        <w:rPr>
          <w:rFonts w:eastAsia="Calibri" w:cs="Times New Roman"/>
        </w:rPr>
        <w:t xml:space="preserve"> </w:t>
      </w:r>
      <w:r w:rsidR="00466B1D">
        <w:rPr>
          <w:rFonts w:eastAsia="Calibri" w:cs="Times New Roman"/>
        </w:rPr>
        <w:t>make a Commission decision premature under th</w:t>
      </w:r>
      <w:r w:rsidR="0038574A">
        <w:rPr>
          <w:rFonts w:eastAsia="Calibri" w:cs="Times New Roman"/>
        </w:rPr>
        <w:t>ose</w:t>
      </w:r>
      <w:r w:rsidR="00466B1D">
        <w:rPr>
          <w:rFonts w:eastAsia="Calibri" w:cs="Times New Roman"/>
        </w:rPr>
        <w:t xml:space="preserve"> present circumstances. </w:t>
      </w:r>
      <w:r w:rsidR="0031766A">
        <w:rPr>
          <w:rFonts w:eastAsia="Calibri" w:cs="Times New Roman"/>
        </w:rPr>
        <w:t xml:space="preserve">The decision was revised </w:t>
      </w:r>
      <w:r w:rsidR="00BC7CDC">
        <w:rPr>
          <w:rFonts w:eastAsia="Calibri" w:cs="Times New Roman"/>
        </w:rPr>
        <w:lastRenderedPageBreak/>
        <w:t xml:space="preserve">to </w:t>
      </w:r>
      <w:r w:rsidRPr="00D64B24" w:rsidR="008A655D">
        <w:rPr>
          <w:rFonts w:eastAsia="Calibri" w:cs="Times New Roman"/>
        </w:rPr>
        <w:t xml:space="preserve">(1) </w:t>
      </w:r>
      <w:r w:rsidR="00BC7CDC">
        <w:rPr>
          <w:rFonts w:eastAsia="Calibri" w:cs="Times New Roman"/>
        </w:rPr>
        <w:t xml:space="preserve">clarify that </w:t>
      </w:r>
      <w:r w:rsidRPr="000423F3" w:rsidR="008A655D">
        <w:rPr>
          <w:rFonts w:eastAsia="Calibri" w:cs="Times New Roman"/>
        </w:rPr>
        <w:t>CRPC/ Successor</w:t>
      </w:r>
      <w:r w:rsidRPr="00D64B24" w:rsidR="008A655D">
        <w:rPr>
          <w:rFonts w:eastAsia="Calibri" w:cs="Times New Roman"/>
        </w:rPr>
        <w:t xml:space="preserve"> Subsidiary’s</w:t>
      </w:r>
      <w:r w:rsidRPr="000423F3" w:rsidR="008A655D">
        <w:rPr>
          <w:rFonts w:eastAsia="Calibri" w:cs="Times New Roman"/>
        </w:rPr>
        <w:t xml:space="preserve"> “ownership” of the Antioch Pipeline segment is uncertain due to the pendency of Pipeline Litigation Phase </w:t>
      </w:r>
      <w:r w:rsidR="00F131C3">
        <w:rPr>
          <w:rFonts w:eastAsia="Calibri" w:cs="Times New Roman"/>
        </w:rPr>
        <w:t>II</w:t>
      </w:r>
      <w:r w:rsidR="00790262">
        <w:rPr>
          <w:rFonts w:eastAsia="Calibri" w:cs="Times New Roman"/>
        </w:rPr>
        <w:t xml:space="preserve">, as </w:t>
      </w:r>
      <w:r w:rsidR="005A02AE">
        <w:rPr>
          <w:rFonts w:eastAsia="Calibri" w:cs="Times New Roman"/>
        </w:rPr>
        <w:t xml:space="preserve">previously </w:t>
      </w:r>
      <w:r w:rsidR="00790262">
        <w:rPr>
          <w:rFonts w:eastAsia="Calibri" w:cs="Times New Roman"/>
        </w:rPr>
        <w:t>found in Find</w:t>
      </w:r>
      <w:r w:rsidR="0086138A">
        <w:rPr>
          <w:rFonts w:eastAsia="Calibri" w:cs="Times New Roman"/>
        </w:rPr>
        <w:t>ing of Fact 12</w:t>
      </w:r>
      <w:r w:rsidRPr="00D64B24" w:rsidR="008A655D">
        <w:rPr>
          <w:rFonts w:eastAsia="Calibri" w:cs="Times New Roman"/>
        </w:rPr>
        <w:t xml:space="preserve">; </w:t>
      </w:r>
      <w:r w:rsidR="00910AF4">
        <w:rPr>
          <w:rFonts w:eastAsia="Calibri" w:cs="Times New Roman"/>
        </w:rPr>
        <w:t>(</w:t>
      </w:r>
      <w:r w:rsidR="005F6CA1">
        <w:rPr>
          <w:rFonts w:eastAsia="Calibri" w:cs="Times New Roman"/>
        </w:rPr>
        <w:t>2</w:t>
      </w:r>
      <w:r w:rsidR="00910AF4">
        <w:rPr>
          <w:rFonts w:eastAsia="Calibri" w:cs="Times New Roman"/>
        </w:rPr>
        <w:t xml:space="preserve">) </w:t>
      </w:r>
      <w:r w:rsidR="00984DFA">
        <w:rPr>
          <w:rFonts w:eastAsia="Calibri" w:cs="Times New Roman"/>
        </w:rPr>
        <w:t xml:space="preserve">remove </w:t>
      </w:r>
      <w:r w:rsidR="001D72A6">
        <w:rPr>
          <w:rFonts w:eastAsia="Calibri" w:cs="Times New Roman"/>
        </w:rPr>
        <w:t xml:space="preserve">as </w:t>
      </w:r>
      <w:r w:rsidR="00C8457B">
        <w:rPr>
          <w:rFonts w:eastAsia="Calibri" w:cs="Times New Roman"/>
        </w:rPr>
        <w:t xml:space="preserve">unnecessary a </w:t>
      </w:r>
      <w:r w:rsidR="00984DFA">
        <w:rPr>
          <w:rFonts w:eastAsia="Calibri" w:cs="Times New Roman"/>
        </w:rPr>
        <w:t xml:space="preserve">discussion regarding </w:t>
      </w:r>
      <w:r w:rsidR="006315F7">
        <w:rPr>
          <w:rFonts w:eastAsia="Calibri" w:cs="Times New Roman"/>
        </w:rPr>
        <w:t xml:space="preserve">the merits of CRPC and Indicated Shippers’ arguments regarding </w:t>
      </w:r>
      <w:r w:rsidR="00ED1EDF">
        <w:rPr>
          <w:rFonts w:eastAsia="Calibri" w:cs="Times New Roman"/>
        </w:rPr>
        <w:t xml:space="preserve">prior dedication of the UI Pipeline; </w:t>
      </w:r>
      <w:r w:rsidRPr="00D64B24" w:rsidR="008A655D">
        <w:rPr>
          <w:rFonts w:eastAsia="Calibri" w:cs="Times New Roman"/>
        </w:rPr>
        <w:t>and (</w:t>
      </w:r>
      <w:r w:rsidR="00335EE1">
        <w:rPr>
          <w:rFonts w:eastAsia="Calibri" w:cs="Times New Roman"/>
        </w:rPr>
        <w:t>3</w:t>
      </w:r>
      <w:r w:rsidRPr="00D64B24" w:rsidR="008A655D">
        <w:rPr>
          <w:rFonts w:eastAsia="Calibri" w:cs="Times New Roman"/>
        </w:rPr>
        <w:t xml:space="preserve">) </w:t>
      </w:r>
      <w:r w:rsidR="00784F52">
        <w:rPr>
          <w:rFonts w:eastAsia="Calibri" w:cs="Times New Roman"/>
        </w:rPr>
        <w:t xml:space="preserve">explicitly state that </w:t>
      </w:r>
      <w:r w:rsidRPr="00D64B24" w:rsidR="008A655D">
        <w:rPr>
          <w:rFonts w:eastAsia="Calibri" w:cs="Times New Roman"/>
        </w:rPr>
        <w:t xml:space="preserve">upon resolution of the </w:t>
      </w:r>
      <w:r w:rsidR="00DE00DC">
        <w:rPr>
          <w:rFonts w:eastAsia="Calibri" w:cs="Times New Roman"/>
        </w:rPr>
        <w:t xml:space="preserve">present </w:t>
      </w:r>
      <w:r w:rsidRPr="000423F3" w:rsidR="008A655D">
        <w:rPr>
          <w:rFonts w:eastAsia="Calibri" w:cs="Times New Roman"/>
        </w:rPr>
        <w:t xml:space="preserve">uncertainty </w:t>
      </w:r>
      <w:r w:rsidRPr="00D64B24" w:rsidR="008A655D">
        <w:rPr>
          <w:rFonts w:eastAsia="Calibri" w:cs="Times New Roman"/>
        </w:rPr>
        <w:t xml:space="preserve">of </w:t>
      </w:r>
      <w:r w:rsidRPr="000423F3" w:rsidR="008A655D">
        <w:rPr>
          <w:rFonts w:eastAsia="Calibri" w:cs="Times New Roman"/>
        </w:rPr>
        <w:t>ownership</w:t>
      </w:r>
      <w:r w:rsidR="00652643">
        <w:rPr>
          <w:rFonts w:eastAsia="Calibri" w:cs="Times New Roman"/>
        </w:rPr>
        <w:t xml:space="preserve"> and/or other </w:t>
      </w:r>
      <w:r w:rsidRPr="00D64B24" w:rsidR="008A655D">
        <w:rPr>
          <w:rFonts w:eastAsia="Calibri" w:cs="Times New Roman"/>
        </w:rPr>
        <w:t xml:space="preserve">rights to the full UI Pipeline, the proper party </w:t>
      </w:r>
      <w:r w:rsidR="008A655D">
        <w:rPr>
          <w:rFonts w:eastAsia="Calibri" w:cs="Times New Roman"/>
        </w:rPr>
        <w:t>(</w:t>
      </w:r>
      <w:r w:rsidRPr="00D44148" w:rsidR="008A655D">
        <w:rPr>
          <w:rFonts w:eastAsia="Calibri" w:cs="Times New Roman"/>
          <w:i/>
          <w:iCs/>
        </w:rPr>
        <w:t>e.g</w:t>
      </w:r>
      <w:r w:rsidR="008A655D">
        <w:rPr>
          <w:rFonts w:eastAsia="Calibri" w:cs="Times New Roman"/>
        </w:rPr>
        <w:t xml:space="preserve">., Successor Subsidiary) </w:t>
      </w:r>
      <w:r w:rsidRPr="00D64B24" w:rsidR="008A655D">
        <w:rPr>
          <w:rFonts w:eastAsia="Calibri" w:cs="Times New Roman"/>
        </w:rPr>
        <w:t>may file a new application with the Commission</w:t>
      </w:r>
      <w:r w:rsidRPr="000423F3" w:rsidR="008A655D">
        <w:rPr>
          <w:rFonts w:eastAsia="Calibri" w:cs="Times New Roman"/>
        </w:rPr>
        <w:t xml:space="preserve">. </w:t>
      </w:r>
    </w:p>
    <w:p w:rsidRPr="000423F3" w:rsidR="008A655D" w:rsidP="008A655D" w:rsidRDefault="00A7619A" w14:paraId="63AE5D6E" w14:textId="5912CF49">
      <w:pPr>
        <w:pStyle w:val="Standard"/>
        <w:rPr>
          <w:rFonts w:eastAsia="Calibri" w:cs="Times New Roman"/>
        </w:rPr>
      </w:pPr>
      <w:r>
        <w:rPr>
          <w:rFonts w:eastAsia="Calibri" w:cs="Times New Roman"/>
        </w:rPr>
        <w:t>In sum</w:t>
      </w:r>
      <w:r w:rsidR="00302F72">
        <w:rPr>
          <w:rFonts w:eastAsia="Calibri" w:cs="Times New Roman"/>
        </w:rPr>
        <w:t>,</w:t>
      </w:r>
      <w:r w:rsidR="005F6CA1">
        <w:rPr>
          <w:rFonts w:eastAsia="Calibri" w:cs="Times New Roman"/>
        </w:rPr>
        <w:t xml:space="preserve"> in response to </w:t>
      </w:r>
      <w:r w:rsidR="008F40F5">
        <w:rPr>
          <w:rFonts w:eastAsia="Calibri" w:cs="Times New Roman"/>
        </w:rPr>
        <w:t xml:space="preserve">the </w:t>
      </w:r>
      <w:r w:rsidR="005F6CA1">
        <w:rPr>
          <w:rFonts w:eastAsia="Calibri" w:cs="Times New Roman"/>
        </w:rPr>
        <w:t>Comments</w:t>
      </w:r>
      <w:r w:rsidR="008F40F5">
        <w:rPr>
          <w:rFonts w:eastAsia="Calibri" w:cs="Times New Roman"/>
        </w:rPr>
        <w:t xml:space="preserve"> above</w:t>
      </w:r>
      <w:r w:rsidR="005F6CA1">
        <w:rPr>
          <w:rFonts w:eastAsia="Calibri" w:cs="Times New Roman"/>
        </w:rPr>
        <w:t xml:space="preserve">, the decision </w:t>
      </w:r>
      <w:r w:rsidR="00E522E9">
        <w:rPr>
          <w:rFonts w:eastAsia="Calibri" w:cs="Times New Roman"/>
        </w:rPr>
        <w:t xml:space="preserve">disposition </w:t>
      </w:r>
      <w:r w:rsidR="005F6CA1">
        <w:rPr>
          <w:rFonts w:eastAsia="Calibri" w:cs="Times New Roman"/>
        </w:rPr>
        <w:t xml:space="preserve">was </w:t>
      </w:r>
      <w:r w:rsidR="003F0CC1">
        <w:rPr>
          <w:rFonts w:eastAsia="Calibri" w:cs="Times New Roman"/>
        </w:rPr>
        <w:t xml:space="preserve">modified from a denial </w:t>
      </w:r>
      <w:r w:rsidR="00DE00DC">
        <w:rPr>
          <w:rFonts w:eastAsia="Calibri" w:cs="Times New Roman"/>
        </w:rPr>
        <w:t xml:space="preserve">of the Application </w:t>
      </w:r>
      <w:r w:rsidR="003F0CC1">
        <w:rPr>
          <w:rFonts w:eastAsia="Calibri" w:cs="Times New Roman"/>
        </w:rPr>
        <w:t xml:space="preserve">to </w:t>
      </w:r>
      <w:r w:rsidR="00064331">
        <w:rPr>
          <w:rFonts w:eastAsia="Calibri" w:cs="Times New Roman"/>
        </w:rPr>
        <w:t xml:space="preserve">a determination that </w:t>
      </w:r>
      <w:r w:rsidR="005F6CA1">
        <w:rPr>
          <w:rFonts w:eastAsia="Calibri" w:cs="Times New Roman"/>
        </w:rPr>
        <w:t>the current circumstances makes it premature for the Commission to determine whether CRPC i</w:t>
      </w:r>
      <w:r w:rsidRPr="000423F3" w:rsidR="005F6CA1">
        <w:rPr>
          <w:rFonts w:eastAsia="Calibri" w:cs="Times New Roman"/>
        </w:rPr>
        <w:t>s a “public utility” or “gas corporation” under Pub. Util. Code sections 216(a)(1) and 222</w:t>
      </w:r>
      <w:r w:rsidR="00064331">
        <w:rPr>
          <w:rFonts w:eastAsia="Calibri" w:cs="Times New Roman"/>
        </w:rPr>
        <w:t>, warranting a dismissal without prejudice</w:t>
      </w:r>
      <w:r w:rsidR="00CE50F0">
        <w:rPr>
          <w:rFonts w:eastAsia="Calibri" w:cs="Times New Roman"/>
        </w:rPr>
        <w:t xml:space="preserve"> as unripe</w:t>
      </w:r>
      <w:r w:rsidR="00064331">
        <w:rPr>
          <w:rFonts w:eastAsia="Calibri" w:cs="Times New Roman"/>
        </w:rPr>
        <w:t>.</w:t>
      </w:r>
      <w:r w:rsidR="00AE5006">
        <w:rPr>
          <w:rFonts w:eastAsia="Calibri" w:cs="Times New Roman"/>
        </w:rPr>
        <w:t xml:space="preserve"> Moreover, to avoid any prejudice, the decision was modified to explicitly state that a proper applicant may refile a </w:t>
      </w:r>
      <w:r w:rsidR="005C1D21">
        <w:rPr>
          <w:rFonts w:eastAsia="Calibri" w:cs="Times New Roman"/>
        </w:rPr>
        <w:t>new</w:t>
      </w:r>
      <w:r w:rsidR="00AE5006">
        <w:rPr>
          <w:rFonts w:eastAsia="Calibri" w:cs="Times New Roman"/>
        </w:rPr>
        <w:t xml:space="preserve"> application.</w:t>
      </w:r>
    </w:p>
    <w:p w:rsidR="008A655D" w:rsidP="008A655D" w:rsidRDefault="008A655D" w14:paraId="3CB85AA5" w14:textId="77777777">
      <w:pPr>
        <w:pStyle w:val="Standard"/>
      </w:pPr>
      <w:r w:rsidRPr="00785BDD">
        <w:rPr>
          <w:b/>
          <w:bCs/>
          <w:i/>
          <w:iCs/>
        </w:rPr>
        <w:t>Third</w:t>
      </w:r>
      <w:r>
        <w:t xml:space="preserve">, CRPC </w:t>
      </w:r>
      <w:r w:rsidRPr="00B428BD">
        <w:rPr>
          <w:rFonts w:eastAsia="Calibri" w:cs="Times New Roman"/>
        </w:rPr>
        <w:t xml:space="preserve">Comments state </w:t>
      </w:r>
      <w:r>
        <w:t xml:space="preserve">that the Commission’s interim decisions establishing public utility status in the </w:t>
      </w:r>
      <w:r w:rsidRPr="007F07EE">
        <w:rPr>
          <w:i/>
          <w:iCs/>
        </w:rPr>
        <w:t>WesPac</w:t>
      </w:r>
      <w:r>
        <w:t xml:space="preserve"> and </w:t>
      </w:r>
      <w:r w:rsidRPr="007F07EE">
        <w:rPr>
          <w:i/>
          <w:iCs/>
        </w:rPr>
        <w:t>Wickland</w:t>
      </w:r>
      <w:r>
        <w:t xml:space="preserve"> applications are equivalent to the final determination of public utility status sought by CRPC.</w:t>
      </w:r>
      <w:r>
        <w:rPr>
          <w:rStyle w:val="FootnoteReference"/>
        </w:rPr>
        <w:footnoteReference w:id="91"/>
      </w:r>
      <w:r>
        <w:t xml:space="preserve">  </w:t>
      </w:r>
    </w:p>
    <w:p w:rsidR="008A655D" w:rsidP="008A655D" w:rsidRDefault="008A655D" w14:paraId="077A41AA" w14:textId="77777777">
      <w:pPr>
        <w:pStyle w:val="Standard"/>
      </w:pPr>
      <w:r>
        <w:t xml:space="preserve">The Cities </w:t>
      </w:r>
      <w:r w:rsidRPr="00B428BD">
        <w:rPr>
          <w:rFonts w:eastAsia="Calibri" w:cs="Times New Roman"/>
        </w:rPr>
        <w:t xml:space="preserve">Comments state </w:t>
      </w:r>
      <w:r>
        <w:t xml:space="preserve">that the proposed decision correctly recognized that Commission’s </w:t>
      </w:r>
      <w:r w:rsidRPr="007F07EE">
        <w:rPr>
          <w:i/>
          <w:iCs/>
        </w:rPr>
        <w:t>WesPac</w:t>
      </w:r>
      <w:r>
        <w:t xml:space="preserve"> and </w:t>
      </w:r>
      <w:r w:rsidRPr="007F07EE">
        <w:rPr>
          <w:i/>
          <w:iCs/>
        </w:rPr>
        <w:t>Wickland</w:t>
      </w:r>
      <w:r>
        <w:t xml:space="preserve"> decisions differ materially from CRPC’s circumstances because those parties were granted public utility status for (1) proposed new pipeline construction projects; (2) on an interim and conditional basis; and (3) where no parties contested that interim public utility designation.</w:t>
      </w:r>
      <w:r>
        <w:rPr>
          <w:rStyle w:val="FootnoteReference"/>
        </w:rPr>
        <w:footnoteReference w:id="92"/>
      </w:r>
    </w:p>
    <w:p w:rsidR="00607B8E" w:rsidP="008A655D" w:rsidRDefault="00607B8E" w14:paraId="337D3ED2" w14:textId="209C7C71">
      <w:pPr>
        <w:pStyle w:val="Standard"/>
      </w:pPr>
      <w:r>
        <w:lastRenderedPageBreak/>
        <w:t xml:space="preserve">In response to Comments, the decision was revised to clarify </w:t>
      </w:r>
      <w:r w:rsidR="008E6373">
        <w:t xml:space="preserve">the </w:t>
      </w:r>
      <w:r w:rsidR="004B21FE">
        <w:t xml:space="preserve">prior </w:t>
      </w:r>
      <w:r w:rsidR="008E6373">
        <w:t>discussion addressing those issues.</w:t>
      </w:r>
    </w:p>
    <w:p w:rsidR="008A655D" w:rsidP="008A655D" w:rsidRDefault="008A655D" w14:paraId="5DB2396D" w14:textId="624A76F5">
      <w:pPr>
        <w:pStyle w:val="Standard"/>
      </w:pPr>
      <w:r w:rsidRPr="00785BDD">
        <w:rPr>
          <w:b/>
          <w:bCs/>
          <w:i/>
          <w:iCs/>
        </w:rPr>
        <w:t>Fourth</w:t>
      </w:r>
      <w:r>
        <w:t xml:space="preserve">, CRPC </w:t>
      </w:r>
      <w:r w:rsidRPr="00B428BD">
        <w:rPr>
          <w:rFonts w:eastAsia="Calibri" w:cs="Times New Roman"/>
        </w:rPr>
        <w:t xml:space="preserve">Comments state </w:t>
      </w:r>
      <w:r>
        <w:t>that the proposed decision denies CRPC due process by denying CRPC a meaningful opportunity to be heard in this proceeding.</w:t>
      </w:r>
      <w:r>
        <w:rPr>
          <w:rStyle w:val="FootnoteReference"/>
        </w:rPr>
        <w:footnoteReference w:id="93"/>
      </w:r>
      <w:r>
        <w:t xml:space="preserve"> CRPC Comments also state that the Commission made findings of fact based on contested hearsay evidence, in contravention of the rule in </w:t>
      </w:r>
      <w:r w:rsidRPr="00942522">
        <w:rPr>
          <w:i/>
          <w:iCs/>
        </w:rPr>
        <w:t>The Utility Reform Network v. Public Utilities Com.</w:t>
      </w:r>
      <w:r w:rsidRPr="00054434">
        <w:t xml:space="preserve">, </w:t>
      </w:r>
      <w:r w:rsidRPr="00942522">
        <w:t xml:space="preserve">holding that </w:t>
      </w:r>
      <w:r>
        <w:t>“</w:t>
      </w:r>
      <w:r w:rsidRPr="00942522">
        <w:t xml:space="preserve">the Commission may not base a finding of fact solely upon hearsay evidence where the truth of the extra record statements is </w:t>
      </w:r>
      <w:r w:rsidRPr="00054434">
        <w:rPr>
          <w:i/>
          <w:iCs/>
        </w:rPr>
        <w:t>disputed</w:t>
      </w:r>
      <w:r>
        <w:t>.”</w:t>
      </w:r>
      <w:r>
        <w:rPr>
          <w:rStyle w:val="FootnoteReference"/>
        </w:rPr>
        <w:footnoteReference w:id="94"/>
      </w:r>
      <w:r>
        <w:t xml:space="preserve"> CRPC’s </w:t>
      </w:r>
      <w:r w:rsidR="00E63A10">
        <w:t>C</w:t>
      </w:r>
      <w:r>
        <w:t>omments do not specifically identify an offending Finding of Fact or any disputed</w:t>
      </w:r>
      <w:r w:rsidR="005C6379">
        <w:t xml:space="preserve"> hearsay</w:t>
      </w:r>
      <w:r>
        <w:t xml:space="preserve"> evidence relied upon to make such a finding in the decision.</w:t>
      </w:r>
    </w:p>
    <w:p w:rsidR="008A655D" w:rsidP="008A655D" w:rsidRDefault="008A655D" w14:paraId="1951E317" w14:textId="77777777">
      <w:pPr>
        <w:pStyle w:val="Standard"/>
      </w:pPr>
      <w:r>
        <w:t xml:space="preserve">The Cities </w:t>
      </w:r>
      <w:r w:rsidRPr="00B428BD">
        <w:rPr>
          <w:rFonts w:eastAsia="Calibri" w:cs="Times New Roman"/>
        </w:rPr>
        <w:t xml:space="preserve">Comments state </w:t>
      </w:r>
      <w:r>
        <w:t>that the Commission did not deny CRPC due process or abuse its discretion through the proposed decision.</w:t>
      </w:r>
      <w:r>
        <w:rPr>
          <w:rStyle w:val="FootnoteReference"/>
        </w:rPr>
        <w:footnoteReference w:id="95"/>
      </w:r>
      <w:r>
        <w:t xml:space="preserve"> </w:t>
      </w:r>
      <w:r w:rsidRPr="00B811B4">
        <w:t xml:space="preserve">The </w:t>
      </w:r>
      <w:r>
        <w:t xml:space="preserve">Cities </w:t>
      </w:r>
      <w:r w:rsidRPr="00B428BD">
        <w:rPr>
          <w:rFonts w:eastAsia="Calibri" w:cs="Times New Roman"/>
        </w:rPr>
        <w:t xml:space="preserve">Comments state </w:t>
      </w:r>
      <w:r>
        <w:t>that (1) the proposed decision p</w:t>
      </w:r>
      <w:r w:rsidRPr="00B811B4">
        <w:t>roperly addresses the threshold issues in the Scoping Memo based on</w:t>
      </w:r>
      <w:r>
        <w:t xml:space="preserve"> </w:t>
      </w:r>
      <w:r w:rsidRPr="00B811B4">
        <w:t>undisputed facts in the record – such as that ownership of the portion of the UI Pipeline in</w:t>
      </w:r>
      <w:r>
        <w:t xml:space="preserve"> </w:t>
      </w:r>
      <w:r w:rsidRPr="00B811B4">
        <w:t xml:space="preserve">Antioch is disputed and, given the Pipeline Lawsuit, CRPC’s future </w:t>
      </w:r>
      <w:r>
        <w:t xml:space="preserve">ownership </w:t>
      </w:r>
      <w:r w:rsidRPr="00B811B4">
        <w:t>rights over that portion are</w:t>
      </w:r>
      <w:r>
        <w:t xml:space="preserve"> </w:t>
      </w:r>
      <w:r w:rsidRPr="00B811B4">
        <w:t>speculative</w:t>
      </w:r>
      <w:r>
        <w:t>; (2) t</w:t>
      </w:r>
      <w:r w:rsidRPr="00B811B4">
        <w:t xml:space="preserve">he </w:t>
      </w:r>
      <w:r>
        <w:t>proposed decision</w:t>
      </w:r>
      <w:r w:rsidRPr="00B811B4">
        <w:t xml:space="preserve"> relies on facts to which all parties agree</w:t>
      </w:r>
      <w:r>
        <w:t>;</w:t>
      </w:r>
      <w:r w:rsidRPr="00B811B4">
        <w:t xml:space="preserve"> </w:t>
      </w:r>
      <w:r>
        <w:t xml:space="preserve">(3) </w:t>
      </w:r>
      <w:r w:rsidRPr="00B811B4">
        <w:t>the Scoping Memo does not</w:t>
      </w:r>
      <w:r>
        <w:t xml:space="preserve"> </w:t>
      </w:r>
      <w:r w:rsidRPr="00B811B4">
        <w:t>require further briefing or evidentiary hearings</w:t>
      </w:r>
      <w:r>
        <w:t>; and</w:t>
      </w:r>
      <w:r w:rsidRPr="00B811B4">
        <w:t xml:space="preserve"> </w:t>
      </w:r>
      <w:r>
        <w:t xml:space="preserve">(4) </w:t>
      </w:r>
      <w:r w:rsidRPr="00B811B4">
        <w:t>CRPC had a meaningful opportunity to be heard</w:t>
      </w:r>
      <w:r>
        <w:t xml:space="preserve"> </w:t>
      </w:r>
      <w:r w:rsidRPr="00B811B4">
        <w:t>and present evidence and argument related to the threshold issue decided.</w:t>
      </w:r>
    </w:p>
    <w:p w:rsidR="00754422" w:rsidP="00BB373F" w:rsidRDefault="008A655D" w14:paraId="1D759351" w14:textId="0AB41898">
      <w:r w:rsidRPr="00D64B24">
        <w:rPr>
          <w:rFonts w:eastAsia="Calibri" w:cs="Times New Roman"/>
        </w:rPr>
        <w:lastRenderedPageBreak/>
        <w:t>In response to the Comments</w:t>
      </w:r>
      <w:r>
        <w:t>, the decision was revised to clarify that all parties presented extensive briefing, multiple undisputed status reports on local and judicial proceedings pursuant to ALJ requests – all filed pursuant to the duties of Rule 1 of the Commission Rules of Practice and Procedure</w:t>
      </w:r>
      <w:r w:rsidR="00D807EC">
        <w:t xml:space="preserve">. This </w:t>
      </w:r>
      <w:r w:rsidR="0052667B">
        <w:t xml:space="preserve">decision presents </w:t>
      </w:r>
      <w:r>
        <w:t xml:space="preserve">a Commission determination of a legal question under the statutes it administers (Sections 216 and 222) based on </w:t>
      </w:r>
      <w:r w:rsidRPr="006C10E5">
        <w:rPr>
          <w:i/>
          <w:iCs/>
        </w:rPr>
        <w:t>un</w:t>
      </w:r>
      <w:r w:rsidR="005E0497">
        <w:rPr>
          <w:i/>
          <w:iCs/>
        </w:rPr>
        <w:t>disputed</w:t>
      </w:r>
      <w:r>
        <w:t xml:space="preserve"> facts in the record. </w:t>
      </w:r>
    </w:p>
    <w:p w:rsidR="002A05C9" w:rsidP="006C10E5" w:rsidRDefault="00332FA6" w14:paraId="000A6363" w14:textId="41A7042D">
      <w:pPr>
        <w:rPr>
          <w:rFonts w:eastAsia="Calibri" w:cs="Times New Roman"/>
        </w:rPr>
      </w:pPr>
      <w:r>
        <w:t>As discussed above, i</w:t>
      </w:r>
      <w:r w:rsidR="00B84243">
        <w:t>n response to Comments, t</w:t>
      </w:r>
      <w:r w:rsidR="000D5B6A">
        <w:t xml:space="preserve">he </w:t>
      </w:r>
      <w:r w:rsidR="00F128A3">
        <w:t>decision was also revised to</w:t>
      </w:r>
      <w:r w:rsidR="009F46F2">
        <w:t xml:space="preserve"> dismiss </w:t>
      </w:r>
      <w:r w:rsidR="00845F9F">
        <w:t xml:space="preserve">the Application </w:t>
      </w:r>
      <w:r w:rsidR="00E31F19">
        <w:t xml:space="preserve">without prejudice as unripe </w:t>
      </w:r>
      <w:r w:rsidR="009F46F2">
        <w:t xml:space="preserve">rather than </w:t>
      </w:r>
      <w:r w:rsidR="00076B66">
        <w:t xml:space="preserve">the prior </w:t>
      </w:r>
      <w:r w:rsidR="00302F72">
        <w:t>denial</w:t>
      </w:r>
      <w:r w:rsidR="00E87CF0">
        <w:t xml:space="preserve"> of</w:t>
      </w:r>
      <w:r w:rsidR="009F46F2">
        <w:t xml:space="preserve"> the </w:t>
      </w:r>
      <w:r w:rsidR="00E87CF0">
        <w:t xml:space="preserve">Application </w:t>
      </w:r>
      <w:r w:rsidR="002B4564">
        <w:t xml:space="preserve">in light of present circumstances </w:t>
      </w:r>
      <w:r w:rsidR="003F4CE2">
        <w:t xml:space="preserve">(allowing </w:t>
      </w:r>
      <w:r w:rsidR="00B811B8">
        <w:t xml:space="preserve">for </w:t>
      </w:r>
      <w:r w:rsidR="003F4CE2">
        <w:t xml:space="preserve">a new application </w:t>
      </w:r>
      <w:r w:rsidR="00511719">
        <w:t>upon changed circumstances)</w:t>
      </w:r>
      <w:r w:rsidR="00076B66">
        <w:t xml:space="preserve"> </w:t>
      </w:r>
      <w:r w:rsidR="009F46F2">
        <w:t xml:space="preserve">and </w:t>
      </w:r>
      <w:r w:rsidR="00F128A3">
        <w:t xml:space="preserve">more explicitly state </w:t>
      </w:r>
      <w:r w:rsidRPr="000E7BDC" w:rsidR="00F128A3">
        <w:t>that</w:t>
      </w:r>
      <w:r w:rsidR="00F128A3">
        <w:t xml:space="preserve"> </w:t>
      </w:r>
      <w:r w:rsidR="005F5779">
        <w:rPr>
          <w:rFonts w:eastAsia="Calibri" w:cs="Times New Roman"/>
        </w:rPr>
        <w:t>this decision addresses the timing of Commission review</w:t>
      </w:r>
      <w:r w:rsidR="0099711A">
        <w:rPr>
          <w:rFonts w:eastAsia="Calibri" w:cs="Times New Roman"/>
        </w:rPr>
        <w:t xml:space="preserve"> </w:t>
      </w:r>
      <w:r w:rsidR="00250062">
        <w:rPr>
          <w:rFonts w:eastAsia="Calibri" w:cs="Times New Roman"/>
        </w:rPr>
        <w:t xml:space="preserve">to </w:t>
      </w:r>
      <w:r w:rsidR="0099711A">
        <w:rPr>
          <w:rFonts w:eastAsia="Calibri" w:cs="Times New Roman"/>
        </w:rPr>
        <w:t xml:space="preserve">avoid </w:t>
      </w:r>
      <w:r w:rsidR="005F5779">
        <w:rPr>
          <w:rFonts w:eastAsia="Calibri" w:cs="Times New Roman"/>
        </w:rPr>
        <w:t>prematurely decid</w:t>
      </w:r>
      <w:r w:rsidR="0099711A">
        <w:rPr>
          <w:rFonts w:eastAsia="Calibri" w:cs="Times New Roman"/>
        </w:rPr>
        <w:t>ing</w:t>
      </w:r>
      <w:r w:rsidR="005F5779">
        <w:rPr>
          <w:rFonts w:eastAsia="Calibri" w:cs="Times New Roman"/>
        </w:rPr>
        <w:t xml:space="preserve"> owner</w:t>
      </w:r>
      <w:r w:rsidR="006A09E9">
        <w:rPr>
          <w:rFonts w:eastAsia="Calibri" w:cs="Times New Roman"/>
        </w:rPr>
        <w:t>ship</w:t>
      </w:r>
      <w:r w:rsidR="005F5779">
        <w:rPr>
          <w:rFonts w:eastAsia="Calibri" w:cs="Times New Roman"/>
        </w:rPr>
        <w:t xml:space="preserve"> of the </w:t>
      </w:r>
      <w:r w:rsidR="00B0212C">
        <w:rPr>
          <w:rFonts w:eastAsia="Calibri" w:cs="Times New Roman"/>
        </w:rPr>
        <w:t xml:space="preserve">full </w:t>
      </w:r>
      <w:r w:rsidR="005F5779">
        <w:rPr>
          <w:rFonts w:eastAsia="Calibri" w:cs="Times New Roman"/>
        </w:rPr>
        <w:t xml:space="preserve">UI Pipeline while the </w:t>
      </w:r>
      <w:r w:rsidR="00C71355">
        <w:rPr>
          <w:rFonts w:eastAsia="Calibri" w:cs="Times New Roman"/>
        </w:rPr>
        <w:t>Superior C</w:t>
      </w:r>
      <w:r w:rsidR="005F5779">
        <w:rPr>
          <w:rFonts w:eastAsia="Calibri" w:cs="Times New Roman"/>
        </w:rPr>
        <w:t xml:space="preserve">ourt </w:t>
      </w:r>
      <w:r w:rsidR="005F38C4">
        <w:rPr>
          <w:rFonts w:eastAsia="Calibri" w:cs="Times New Roman"/>
        </w:rPr>
        <w:t>may decide</w:t>
      </w:r>
      <w:r w:rsidR="005F5779">
        <w:rPr>
          <w:rFonts w:eastAsia="Calibri" w:cs="Times New Roman"/>
        </w:rPr>
        <w:t xml:space="preserve"> </w:t>
      </w:r>
      <w:r w:rsidR="00B0212C">
        <w:rPr>
          <w:rFonts w:eastAsia="Calibri" w:cs="Times New Roman"/>
        </w:rPr>
        <w:t>ownership of the Antioch segment</w:t>
      </w:r>
      <w:r w:rsidR="005F5779">
        <w:rPr>
          <w:rFonts w:eastAsia="Calibri" w:cs="Times New Roman"/>
        </w:rPr>
        <w:t xml:space="preserve"> in Phase II of the Pipeline Litigation. </w:t>
      </w:r>
    </w:p>
    <w:p w:rsidR="008A655D" w:rsidP="006C10E5" w:rsidRDefault="00B1700B" w14:paraId="7581B0AF" w14:textId="09DDED3C">
      <w:r>
        <w:rPr>
          <w:rFonts w:eastAsia="Calibri" w:cs="Times New Roman"/>
        </w:rPr>
        <w:t>Also i</w:t>
      </w:r>
      <w:r w:rsidR="002A05C9">
        <w:rPr>
          <w:rFonts w:eastAsia="Calibri" w:cs="Times New Roman"/>
        </w:rPr>
        <w:t>n response to Comments, t</w:t>
      </w:r>
      <w:r w:rsidR="005F5779">
        <w:rPr>
          <w:rFonts w:eastAsia="Calibri" w:cs="Times New Roman"/>
        </w:rPr>
        <w:t xml:space="preserve">his decision </w:t>
      </w:r>
      <w:r w:rsidR="000D7077">
        <w:rPr>
          <w:rFonts w:eastAsia="Calibri" w:cs="Times New Roman"/>
        </w:rPr>
        <w:t>was revised to</w:t>
      </w:r>
      <w:r w:rsidR="0008358F">
        <w:rPr>
          <w:rFonts w:eastAsia="Calibri" w:cs="Times New Roman"/>
        </w:rPr>
        <w:t xml:space="preserve"> clarify by</w:t>
      </w:r>
      <w:r w:rsidR="000D7077">
        <w:rPr>
          <w:rFonts w:eastAsia="Calibri" w:cs="Times New Roman"/>
        </w:rPr>
        <w:t xml:space="preserve"> explicitly </w:t>
      </w:r>
      <w:r w:rsidR="008B2A7E">
        <w:rPr>
          <w:rFonts w:eastAsia="Calibri" w:cs="Times New Roman"/>
        </w:rPr>
        <w:t>instruct</w:t>
      </w:r>
      <w:r w:rsidR="0008358F">
        <w:rPr>
          <w:rFonts w:eastAsia="Calibri" w:cs="Times New Roman"/>
        </w:rPr>
        <w:t>ing</w:t>
      </w:r>
      <w:r w:rsidR="000D7077">
        <w:rPr>
          <w:rFonts w:eastAsia="Calibri" w:cs="Times New Roman"/>
        </w:rPr>
        <w:t xml:space="preserve"> that it </w:t>
      </w:r>
      <w:r w:rsidR="005F5779">
        <w:rPr>
          <w:rFonts w:eastAsia="Calibri" w:cs="Times New Roman"/>
        </w:rPr>
        <w:t>does not preclude a</w:t>
      </w:r>
      <w:r w:rsidRPr="00D64B24" w:rsidR="005F5779">
        <w:rPr>
          <w:rFonts w:eastAsia="Calibri" w:cs="Times New Roman"/>
        </w:rPr>
        <w:t xml:space="preserve"> new application </w:t>
      </w:r>
      <w:r w:rsidR="005F5779">
        <w:t>requesting designation as a public utility gas corporation under Sections 222 and 216</w:t>
      </w:r>
      <w:r w:rsidRPr="00D64B24" w:rsidR="005F5779">
        <w:rPr>
          <w:rFonts w:eastAsia="Calibri" w:cs="Times New Roman"/>
        </w:rPr>
        <w:t xml:space="preserve"> </w:t>
      </w:r>
      <w:r w:rsidR="005F5779">
        <w:t xml:space="preserve">and for a </w:t>
      </w:r>
      <w:r w:rsidR="005F5779">
        <w:rPr>
          <w:rFonts w:cstheme="majorHAnsi"/>
          <w:szCs w:val="26"/>
        </w:rPr>
        <w:t>CPCN</w:t>
      </w:r>
      <w:r w:rsidR="005F5779">
        <w:t xml:space="preserve"> under Sections </w:t>
      </w:r>
      <w:r w:rsidR="005F5779">
        <w:rPr>
          <w:szCs w:val="26"/>
        </w:rPr>
        <w:t xml:space="preserve">1001 and 1002 that </w:t>
      </w:r>
      <w:r w:rsidR="005F5779">
        <w:rPr>
          <w:rFonts w:eastAsia="Calibri" w:cs="Times New Roman"/>
        </w:rPr>
        <w:t xml:space="preserve">may be filed </w:t>
      </w:r>
      <w:r w:rsidRPr="00D64B24" w:rsidR="005F5779">
        <w:rPr>
          <w:rFonts w:eastAsia="Calibri" w:cs="Times New Roman"/>
        </w:rPr>
        <w:t>with the Commission</w:t>
      </w:r>
      <w:r w:rsidR="005F5779">
        <w:rPr>
          <w:rFonts w:eastAsia="Calibri" w:cs="Times New Roman"/>
        </w:rPr>
        <w:t xml:space="preserve"> by a proper party u</w:t>
      </w:r>
      <w:r w:rsidRPr="00D64B24" w:rsidR="005F5779">
        <w:rPr>
          <w:rFonts w:eastAsia="Calibri" w:cs="Times New Roman"/>
        </w:rPr>
        <w:t xml:space="preserve">pon </w:t>
      </w:r>
      <w:r w:rsidR="005F5779">
        <w:rPr>
          <w:rFonts w:eastAsia="Calibri" w:cs="Times New Roman"/>
        </w:rPr>
        <w:t>(1) confirmation</w:t>
      </w:r>
      <w:r w:rsidRPr="00D64B24" w:rsidR="005F5779">
        <w:rPr>
          <w:rFonts w:eastAsia="Calibri" w:cs="Times New Roman"/>
        </w:rPr>
        <w:t xml:space="preserve"> of </w:t>
      </w:r>
      <w:r w:rsidRPr="000423F3" w:rsidR="005F5779">
        <w:rPr>
          <w:rFonts w:eastAsia="Calibri" w:cs="Times New Roman"/>
        </w:rPr>
        <w:t xml:space="preserve">ownership </w:t>
      </w:r>
      <w:r w:rsidRPr="00D64B24" w:rsidR="005F5779">
        <w:rPr>
          <w:rFonts w:eastAsia="Calibri" w:cs="Times New Roman"/>
        </w:rPr>
        <w:t xml:space="preserve">rights to </w:t>
      </w:r>
      <w:r w:rsidR="005F5779">
        <w:rPr>
          <w:rFonts w:eastAsia="Calibri" w:cs="Times New Roman"/>
        </w:rPr>
        <w:t xml:space="preserve">all segments of </w:t>
      </w:r>
      <w:r w:rsidRPr="00D64B24" w:rsidR="005F5779">
        <w:rPr>
          <w:rFonts w:eastAsia="Calibri" w:cs="Times New Roman"/>
        </w:rPr>
        <w:t>the full UI Pipeline</w:t>
      </w:r>
      <w:r w:rsidR="005F5779">
        <w:rPr>
          <w:rFonts w:eastAsia="Calibri" w:cs="Times New Roman"/>
        </w:rPr>
        <w:t xml:space="preserve">; or (2) </w:t>
      </w:r>
      <w:r w:rsidR="005F5779">
        <w:t>an applicant acquiring present rights to “</w:t>
      </w:r>
      <w:r w:rsidRPr="006D4DE2" w:rsidR="005F5779">
        <w:rPr>
          <w:szCs w:val="26"/>
        </w:rPr>
        <w:t xml:space="preserve">control, operate, </w:t>
      </w:r>
      <w:r w:rsidRPr="00B85D36" w:rsidR="005F5779">
        <w:rPr>
          <w:szCs w:val="26"/>
        </w:rPr>
        <w:t>or</w:t>
      </w:r>
      <w:r w:rsidRPr="006D4DE2" w:rsidR="005F5779">
        <w:rPr>
          <w:szCs w:val="26"/>
        </w:rPr>
        <w:t xml:space="preserve"> manage”</w:t>
      </w:r>
      <w:r w:rsidRPr="000E5E68" w:rsidR="005F5779">
        <w:rPr>
          <w:szCs w:val="26"/>
        </w:rPr>
        <w:t xml:space="preserve"> </w:t>
      </w:r>
      <w:r w:rsidR="005F5779">
        <w:rPr>
          <w:rFonts w:eastAsia="Calibri" w:cs="Times New Roman"/>
        </w:rPr>
        <w:t xml:space="preserve">all segments of </w:t>
      </w:r>
      <w:r w:rsidRPr="00D64B24" w:rsidR="005F5779">
        <w:rPr>
          <w:rFonts w:eastAsia="Calibri" w:cs="Times New Roman"/>
        </w:rPr>
        <w:t xml:space="preserve">the </w:t>
      </w:r>
      <w:r w:rsidR="005F5779">
        <w:rPr>
          <w:rFonts w:cstheme="majorHAnsi"/>
          <w:szCs w:val="26"/>
        </w:rPr>
        <w:t>full</w:t>
      </w:r>
      <w:r w:rsidRPr="001E7433" w:rsidR="005F5779">
        <w:rPr>
          <w:rFonts w:cstheme="majorHAnsi"/>
          <w:szCs w:val="26"/>
        </w:rPr>
        <w:t xml:space="preserve"> </w:t>
      </w:r>
      <w:r w:rsidR="00BE5551">
        <w:rPr>
          <w:rFonts w:cstheme="majorHAnsi"/>
          <w:szCs w:val="26"/>
        </w:rPr>
        <w:t>UI P</w:t>
      </w:r>
      <w:r w:rsidRPr="00D018F7" w:rsidR="005F5779">
        <w:t>ipeline</w:t>
      </w:r>
      <w:r w:rsidR="005F5779">
        <w:t>.</w:t>
      </w:r>
    </w:p>
    <w:p w:rsidR="008A655D" w:rsidP="008A655D" w:rsidRDefault="008A655D" w14:paraId="0DCC995E" w14:textId="10AB7754">
      <w:pPr>
        <w:pStyle w:val="Standard"/>
      </w:pPr>
      <w:r w:rsidRPr="009717B1">
        <w:rPr>
          <w:b/>
          <w:bCs/>
          <w:i/>
          <w:iCs/>
        </w:rPr>
        <w:t>Fifth</w:t>
      </w:r>
      <w:r>
        <w:t xml:space="preserve">, CRPC </w:t>
      </w:r>
      <w:r w:rsidRPr="00B428BD">
        <w:rPr>
          <w:rFonts w:eastAsia="Calibri" w:cs="Times New Roman"/>
        </w:rPr>
        <w:t xml:space="preserve">Comments </w:t>
      </w:r>
      <w:r>
        <w:t xml:space="preserve">that the Commission should exercise its discretion to grant the company eminent domain authority “to preserve its present ownership, control and management of the UI Pipeline, which would resolve the </w:t>
      </w:r>
      <w:r w:rsidR="00826F02">
        <w:t>[proposed decision’s]</w:t>
      </w:r>
      <w:r>
        <w:t xml:space="preserve"> concerns about the status of certain segments of the UI </w:t>
      </w:r>
      <w:r>
        <w:lastRenderedPageBreak/>
        <w:t>Pipeline.”</w:t>
      </w:r>
      <w:r>
        <w:rPr>
          <w:rStyle w:val="FootnoteReference"/>
        </w:rPr>
        <w:footnoteReference w:id="96"/>
      </w:r>
      <w:r>
        <w:t xml:space="preserve"> As its final appeal, CRPC </w:t>
      </w:r>
      <w:r w:rsidRPr="00B428BD">
        <w:rPr>
          <w:rFonts w:eastAsia="Calibri" w:cs="Times New Roman"/>
        </w:rPr>
        <w:t xml:space="preserve">Comments </w:t>
      </w:r>
      <w:r>
        <w:t>conclude that “it is entirely appropriate for the  Commission to consider granting that relief to address a parochial pollical [sic] decision that has a significant economic and environmental impact beyond the borders of the City of Antioch (or Brentwood, were it to act).”</w:t>
      </w:r>
      <w:r>
        <w:rPr>
          <w:rStyle w:val="FootnoteReference"/>
        </w:rPr>
        <w:footnoteReference w:id="97"/>
      </w:r>
    </w:p>
    <w:p w:rsidR="008A655D" w:rsidP="008A655D" w:rsidRDefault="008A655D" w14:paraId="7D246643" w14:textId="5C98CD40">
      <w:pPr>
        <w:pStyle w:val="Standard"/>
      </w:pPr>
      <w:r>
        <w:t xml:space="preserve">Indicated Shippers </w:t>
      </w:r>
      <w:r w:rsidRPr="00B428BD">
        <w:rPr>
          <w:rFonts w:eastAsia="Calibri" w:cs="Times New Roman"/>
        </w:rPr>
        <w:t xml:space="preserve">Comments state </w:t>
      </w:r>
      <w:r>
        <w:t xml:space="preserve">that the </w:t>
      </w:r>
      <w:r w:rsidR="006D0BEA">
        <w:t>decis</w:t>
      </w:r>
      <w:r w:rsidR="00CA046E">
        <w:t>ion</w:t>
      </w:r>
      <w:r>
        <w:t xml:space="preserve"> disregards CRPC’s existing ownership rights (addressed in comments above) and “ignores the fact that if granted a CPCN, CRPC would have the legal authority to operate and maintain the pipeline and secure necessary rights-of-way through eminent domain.”</w:t>
      </w:r>
      <w:r>
        <w:rPr>
          <w:rStyle w:val="FootnoteReference"/>
        </w:rPr>
        <w:footnoteReference w:id="98"/>
      </w:r>
    </w:p>
    <w:p w:rsidR="008A655D" w:rsidP="008A655D" w:rsidRDefault="008A655D" w14:paraId="7874249A" w14:textId="1D473F8E">
      <w:pPr>
        <w:pStyle w:val="Standard"/>
      </w:pPr>
      <w:r>
        <w:t>The Cities</w:t>
      </w:r>
      <w:r w:rsidR="00FA5458">
        <w:t>’</w:t>
      </w:r>
      <w:r>
        <w:t xml:space="preserve"> </w:t>
      </w:r>
      <w:r w:rsidRPr="00B428BD">
        <w:rPr>
          <w:rFonts w:eastAsia="Calibri" w:cs="Times New Roman"/>
        </w:rPr>
        <w:t xml:space="preserve">Comments state </w:t>
      </w:r>
      <w:r>
        <w:t>that CRPC and Indicated Shippers cannot rely on a potential eminent domain action to satisfy the statutory requirements for public utility status: “</w:t>
      </w:r>
      <w:r w:rsidRPr="001236D1">
        <w:t xml:space="preserve">CRPC and Indicated Shippers argue – in circular fashion – that </w:t>
      </w:r>
      <w:r w:rsidRPr="0079239D">
        <w:rPr>
          <w:i/>
          <w:iCs/>
        </w:rPr>
        <w:t>if</w:t>
      </w:r>
      <w:r w:rsidRPr="001236D1">
        <w:t xml:space="preserve"> </w:t>
      </w:r>
      <w:r>
        <w:t>C</w:t>
      </w:r>
      <w:r w:rsidRPr="001236D1">
        <w:t>RPC is granted public</w:t>
      </w:r>
      <w:r>
        <w:t xml:space="preserve"> utility status, </w:t>
      </w:r>
      <w:r w:rsidRPr="0079239D">
        <w:rPr>
          <w:i/>
          <w:iCs/>
        </w:rPr>
        <w:t>if</w:t>
      </w:r>
      <w:r>
        <w:t xml:space="preserve"> it institutes an eminent domain action, and </w:t>
      </w:r>
      <w:r w:rsidRPr="0079239D">
        <w:rPr>
          <w:i/>
          <w:iCs/>
        </w:rPr>
        <w:t>if</w:t>
      </w:r>
      <w:r>
        <w:t xml:space="preserve"> it is successful in that action and condemns the Cities’ property, then it would meet the criteria for public utility status.”</w:t>
      </w:r>
      <w:r>
        <w:rPr>
          <w:rStyle w:val="FootnoteReference"/>
        </w:rPr>
        <w:footnoteReference w:id="99"/>
      </w:r>
      <w:r>
        <w:t xml:space="preserve"> The Cities </w:t>
      </w:r>
      <w:r w:rsidRPr="00B428BD">
        <w:rPr>
          <w:rFonts w:eastAsia="Calibri" w:cs="Times New Roman"/>
        </w:rPr>
        <w:t xml:space="preserve">Comments state </w:t>
      </w:r>
      <w:r>
        <w:t xml:space="preserve">that CRPC has no precedent supporting the use of prospective eminent domain authority to circumvent statutory requirements for public utility status and that this theory would allow any party to </w:t>
      </w:r>
      <w:r w:rsidRPr="00713155">
        <w:t>satisf</w:t>
      </w:r>
      <w:r>
        <w:t>y</w:t>
      </w:r>
      <w:r w:rsidRPr="00713155">
        <w:t xml:space="preserve"> the criteria to</w:t>
      </w:r>
      <w:r>
        <w:t xml:space="preserve"> </w:t>
      </w:r>
      <w:r w:rsidRPr="00713155">
        <w:t>be</w:t>
      </w:r>
      <w:r>
        <w:t>come</w:t>
      </w:r>
      <w:r w:rsidRPr="00713155">
        <w:t xml:space="preserve"> a public </w:t>
      </w:r>
      <w:r>
        <w:t>utility</w:t>
      </w:r>
      <w:r w:rsidRPr="00713155">
        <w:t xml:space="preserve"> simply by declaring </w:t>
      </w:r>
      <w:r>
        <w:t>an</w:t>
      </w:r>
      <w:r w:rsidRPr="00713155">
        <w:t xml:space="preserve"> intent to seize public assets through eminent domain</w:t>
      </w:r>
      <w:r>
        <w:t>.</w:t>
      </w:r>
      <w:r>
        <w:rPr>
          <w:rStyle w:val="FootnoteReference"/>
        </w:rPr>
        <w:footnoteReference w:id="100"/>
      </w:r>
      <w:r>
        <w:t xml:space="preserve"> In addition, the Cities</w:t>
      </w:r>
      <w:r w:rsidR="00FF2EE5">
        <w:t>’</w:t>
      </w:r>
      <w:r>
        <w:t xml:space="preserve"> </w:t>
      </w:r>
      <w:r w:rsidRPr="00B428BD">
        <w:rPr>
          <w:rFonts w:eastAsia="Calibri" w:cs="Times New Roman"/>
        </w:rPr>
        <w:t xml:space="preserve">Comments state </w:t>
      </w:r>
      <w:r>
        <w:t xml:space="preserve">that the Commission </w:t>
      </w:r>
      <w:r>
        <w:lastRenderedPageBreak/>
        <w:t>should not elevate future eminent domain rights where the record does not support a finding of public utility status in a highly contested proceeding.</w:t>
      </w:r>
      <w:r>
        <w:rPr>
          <w:rStyle w:val="FootnoteReference"/>
        </w:rPr>
        <w:footnoteReference w:id="101"/>
      </w:r>
    </w:p>
    <w:p w:rsidR="008A655D" w:rsidP="008A655D" w:rsidRDefault="008A655D" w14:paraId="1AAD2959" w14:textId="21E2DAD5">
      <w:pPr>
        <w:pStyle w:val="Standard"/>
      </w:pPr>
      <w:r w:rsidRPr="00D64B24">
        <w:rPr>
          <w:rFonts w:eastAsia="Calibri" w:cs="Times New Roman"/>
        </w:rPr>
        <w:t>In response to Comments</w:t>
      </w:r>
      <w:r>
        <w:t xml:space="preserve">, the decision was revised to clarify that </w:t>
      </w:r>
      <w:r w:rsidRPr="0089458D">
        <w:t xml:space="preserve">under the circumstances </w:t>
      </w:r>
      <w:r>
        <w:t>reported by the parties</w:t>
      </w:r>
      <w:r w:rsidR="000B5F07">
        <w:t>,</w:t>
      </w:r>
      <w:r>
        <w:t xml:space="preserve"> </w:t>
      </w:r>
      <w:r w:rsidRPr="0089458D">
        <w:t xml:space="preserve">the </w:t>
      </w:r>
      <w:r w:rsidR="000B5F07">
        <w:t>uncertainty</w:t>
      </w:r>
      <w:r w:rsidRPr="0089458D">
        <w:t xml:space="preserve"> </w:t>
      </w:r>
      <w:r w:rsidR="000B5F07">
        <w:t>regarding</w:t>
      </w:r>
      <w:r w:rsidRPr="0089458D">
        <w:t xml:space="preserve"> CRPC's alleged ownership of the pipeline </w:t>
      </w:r>
      <w:r w:rsidR="00FE5A43">
        <w:t xml:space="preserve">segment </w:t>
      </w:r>
      <w:r w:rsidRPr="0089458D">
        <w:t xml:space="preserve">within Antioch should first be addressed </w:t>
      </w:r>
      <w:r>
        <w:t xml:space="preserve">to final decision </w:t>
      </w:r>
      <w:r w:rsidRPr="0089458D">
        <w:t>by the court</w:t>
      </w:r>
      <w:r>
        <w:t>(s)</w:t>
      </w:r>
      <w:r w:rsidR="00FB1B9E">
        <w:t xml:space="preserve"> in the Phase II Pipeline Litigation</w:t>
      </w:r>
      <w:r w:rsidRPr="0089458D">
        <w:t xml:space="preserve">. </w:t>
      </w:r>
      <w:r w:rsidR="006A4EE4">
        <w:t>A</w:t>
      </w:r>
      <w:r>
        <w:t xml:space="preserve"> party having </w:t>
      </w:r>
      <w:r w:rsidR="000F494C">
        <w:t xml:space="preserve">certain </w:t>
      </w:r>
      <w:r>
        <w:t>ownership of the full UI Pipeline may</w:t>
      </w:r>
      <w:r w:rsidR="009F46F2">
        <w:t xml:space="preserve"> </w:t>
      </w:r>
      <w:r w:rsidR="000F66FD">
        <w:t xml:space="preserve">then </w:t>
      </w:r>
      <w:r w:rsidR="00595799">
        <w:t>apply for</w:t>
      </w:r>
      <w:r w:rsidR="00FD2C56">
        <w:t xml:space="preserve"> status</w:t>
      </w:r>
      <w:r>
        <w:t xml:space="preserve"> as a public utility gas corporation under Sections 216 and 222. Such a party may seek a Commission CPCN. </w:t>
      </w:r>
    </w:p>
    <w:p w:rsidR="004F7B63" w:rsidP="008A655D" w:rsidRDefault="008A655D" w14:paraId="2BE1D8E7" w14:textId="0B039D95">
      <w:pPr>
        <w:pStyle w:val="Standard"/>
      </w:pPr>
      <w:r w:rsidRPr="009717B1">
        <w:rPr>
          <w:b/>
          <w:bCs/>
          <w:i/>
          <w:iCs/>
        </w:rPr>
        <w:t>Sixth</w:t>
      </w:r>
      <w:r>
        <w:t xml:space="preserve">, CRPC and Indicated Shippers </w:t>
      </w:r>
      <w:r w:rsidRPr="00B428BD">
        <w:rPr>
          <w:rFonts w:eastAsia="Calibri" w:cs="Times New Roman"/>
        </w:rPr>
        <w:t xml:space="preserve">Comments state </w:t>
      </w:r>
      <w:r>
        <w:t xml:space="preserve">that the proposed decision errs by failing to address policy issues related </w:t>
      </w:r>
      <w:r w:rsidR="00A502F6">
        <w:t xml:space="preserve">to </w:t>
      </w:r>
      <w:r>
        <w:t>gas transport through the UI Pipeline.</w:t>
      </w:r>
      <w:r>
        <w:rPr>
          <w:rStyle w:val="FootnoteReference"/>
        </w:rPr>
        <w:footnoteReference w:id="102"/>
      </w:r>
      <w:r>
        <w:t xml:space="preserve"> Indicates Shippers </w:t>
      </w:r>
      <w:r w:rsidRPr="00B428BD">
        <w:rPr>
          <w:rFonts w:eastAsia="Calibri" w:cs="Times New Roman"/>
        </w:rPr>
        <w:t xml:space="preserve">Comments state </w:t>
      </w:r>
      <w:r>
        <w:t xml:space="preserve">specifically that the Commission is required to grant CRPC a CPCN to </w:t>
      </w:r>
      <w:r w:rsidRPr="00E26FB1">
        <w:rPr>
          <w:i/>
          <w:iCs/>
        </w:rPr>
        <w:t>operate</w:t>
      </w:r>
      <w:r>
        <w:t xml:space="preserve"> the UI Pipeline under Section 1002.5.</w:t>
      </w:r>
      <w:r w:rsidRPr="005E6AE7">
        <w:rPr>
          <w:rStyle w:val="FootnoteReference"/>
        </w:rPr>
        <w:t xml:space="preserve"> </w:t>
      </w:r>
      <w:r>
        <w:rPr>
          <w:rStyle w:val="FootnoteReference"/>
        </w:rPr>
        <w:footnoteReference w:id="103"/>
      </w:r>
      <w:r>
        <w:t xml:space="preserve"> </w:t>
      </w:r>
    </w:p>
    <w:p w:rsidR="008A655D" w:rsidP="008A655D" w:rsidRDefault="008A655D" w14:paraId="27F33377" w14:textId="347C9EB8">
      <w:pPr>
        <w:pStyle w:val="Standard"/>
      </w:pPr>
      <w:r>
        <w:t xml:space="preserve">That section addresses proposed gas pipeline </w:t>
      </w:r>
      <w:r w:rsidRPr="008A27F6">
        <w:rPr>
          <w:i/>
          <w:iCs/>
        </w:rPr>
        <w:t>construction</w:t>
      </w:r>
      <w:r>
        <w:t xml:space="preserve"> CPCN’s by requiring the Commission to “consider the state’s need to provide sufficient and competitively priced natural gas supplies for both present and anticipated future residential, industrial, commercial, and utility demand.”</w:t>
      </w:r>
      <w:r>
        <w:rPr>
          <w:rStyle w:val="FootnoteReference"/>
        </w:rPr>
        <w:footnoteReference w:id="104"/>
      </w:r>
      <w:r>
        <w:t xml:space="preserve"> Only upon making a finding that proposed gas pipeline construction projects are “in the state’s best interest to do so, the Commission shall expeditiously issue [CPCN’s] for those additional natural gas pipeline capacity projects.”</w:t>
      </w:r>
      <w:r>
        <w:rPr>
          <w:rStyle w:val="FootnoteReference"/>
        </w:rPr>
        <w:footnoteReference w:id="105"/>
      </w:r>
      <w:r>
        <w:t xml:space="preserve"> Although acknowledging </w:t>
      </w:r>
      <w:r>
        <w:lastRenderedPageBreak/>
        <w:t xml:space="preserve">the UI Pipeline is already constructed and in existence, Indicated Shippers </w:t>
      </w:r>
      <w:r w:rsidRPr="00B428BD">
        <w:rPr>
          <w:rFonts w:eastAsia="Calibri" w:cs="Times New Roman"/>
        </w:rPr>
        <w:t xml:space="preserve">Comments state </w:t>
      </w:r>
      <w:r>
        <w:t>that the dormant pipeline is “analogous to new construction, given that CRPC will require the power of eminent domain to return the gas plant to service.”</w:t>
      </w:r>
      <w:r>
        <w:rPr>
          <w:rStyle w:val="FootnoteReference"/>
        </w:rPr>
        <w:footnoteReference w:id="106"/>
      </w:r>
      <w:r>
        <w:t xml:space="preserve"> </w:t>
      </w:r>
    </w:p>
    <w:p w:rsidRPr="0089458D" w:rsidR="008A655D" w:rsidP="008A655D" w:rsidRDefault="008A655D" w14:paraId="380A3685" w14:textId="579A2050">
      <w:pPr>
        <w:pStyle w:val="Standard"/>
      </w:pPr>
      <w:r>
        <w:t>The Cities</w:t>
      </w:r>
      <w:r w:rsidR="00E73074">
        <w:t>’</w:t>
      </w:r>
      <w:r>
        <w:t xml:space="preserve"> </w:t>
      </w:r>
      <w:r w:rsidRPr="00B428BD">
        <w:rPr>
          <w:rFonts w:eastAsia="Calibri" w:cs="Times New Roman"/>
        </w:rPr>
        <w:t xml:space="preserve">Comments state </w:t>
      </w:r>
      <w:r>
        <w:t>that “</w:t>
      </w:r>
      <w:r w:rsidR="00652660">
        <w:t>[CRPC and/or Indicated Shipper</w:t>
      </w:r>
      <w:r w:rsidR="00571A92">
        <w:t>s’]</w:t>
      </w:r>
      <w:r>
        <w:t xml:space="preserve"> Comments’ claim that the </w:t>
      </w:r>
      <w:r w:rsidR="00041516">
        <w:t>decision</w:t>
      </w:r>
      <w:r>
        <w:t xml:space="preserve"> would have adverse policy implications is unsupported by the record and relies on unproven and contested factual assertions beyond the threshold issues. By contrast, bestowing public utility status on a private company to permit it to continue its prior operations in the Cities against their will would set an improper precedent.”</w:t>
      </w:r>
      <w:r>
        <w:rPr>
          <w:rStyle w:val="FootnoteReference"/>
        </w:rPr>
        <w:footnoteReference w:id="107"/>
      </w:r>
    </w:p>
    <w:p w:rsidR="00B5413E" w:rsidP="008A655D" w:rsidRDefault="007B6944" w14:paraId="7955FA9D" w14:textId="169BFD96">
      <w:pPr>
        <w:pStyle w:val="Standard"/>
      </w:pPr>
      <w:r>
        <w:t xml:space="preserve">The decision was not </w:t>
      </w:r>
      <w:r w:rsidR="00F8768A">
        <w:t xml:space="preserve">revised in response to those Comments. </w:t>
      </w:r>
      <w:r w:rsidR="008A655D">
        <w:t xml:space="preserve">CRPC and Indicated Shippers comments propose policy considerations and a statutory finding under Section 1002.5 that go beyond the scope of the threshold legal question addressed in this decision. Moreover, the </w:t>
      </w:r>
      <w:r w:rsidR="00D14425">
        <w:t>required</w:t>
      </w:r>
      <w:r w:rsidR="008A655D">
        <w:t xml:space="preserve"> factual finding under Section 1002.5 cannot be made based on potentially disputed facts and upon the record that has not been sufficiently developed on the issue by the parties to this proceeding.</w:t>
      </w:r>
    </w:p>
    <w:p w:rsidR="00184DDE" w:rsidP="00184DDE" w:rsidRDefault="007B6CA9" w14:paraId="7AE02BFA" w14:textId="6DEFC5AC">
      <w:pPr>
        <w:pStyle w:val="Standard"/>
      </w:pPr>
      <w:r w:rsidRPr="00DE3150">
        <w:rPr>
          <w:b/>
          <w:bCs/>
          <w:i/>
          <w:iCs/>
        </w:rPr>
        <w:t>Seventh</w:t>
      </w:r>
      <w:r w:rsidR="00184DDE">
        <w:t>, a second public comment appeared on the Commission Public Comment tab of the online Docket Card</w:t>
      </w:r>
      <w:r w:rsidR="002D3E93">
        <w:t>, dated November 13, 2025</w:t>
      </w:r>
      <w:r w:rsidR="00184DDE">
        <w:t xml:space="preserve">. </w:t>
      </w:r>
      <w:r w:rsidRPr="00D64B24" w:rsidR="00184DDE">
        <w:rPr>
          <w:rFonts w:eastAsia="Calibri" w:cs="Times New Roman"/>
        </w:rPr>
        <w:t xml:space="preserve">In response to the </w:t>
      </w:r>
      <w:r w:rsidR="00184DDE">
        <w:rPr>
          <w:rFonts w:eastAsia="Calibri" w:cs="Times New Roman"/>
        </w:rPr>
        <w:t>second public c</w:t>
      </w:r>
      <w:r w:rsidRPr="00D64B24" w:rsidR="00184DDE">
        <w:rPr>
          <w:rFonts w:eastAsia="Calibri" w:cs="Times New Roman"/>
        </w:rPr>
        <w:t>omment</w:t>
      </w:r>
      <w:r w:rsidR="00184DDE">
        <w:t xml:space="preserve">, the decision was revised to summarize the </w:t>
      </w:r>
      <w:r w:rsidR="00A920E2">
        <w:t>new</w:t>
      </w:r>
      <w:r w:rsidR="00184DDE">
        <w:t xml:space="preserve"> public comment received.</w:t>
      </w:r>
    </w:p>
    <w:p w:rsidR="00257447" w:rsidP="00184DDE" w:rsidRDefault="00900CE4" w14:paraId="74C9E352" w14:textId="16F1F486">
      <w:pPr>
        <w:pStyle w:val="Standard"/>
      </w:pPr>
      <w:r w:rsidRPr="00900CE4">
        <w:rPr>
          <w:b/>
          <w:bCs/>
          <w:i/>
          <w:iCs/>
        </w:rPr>
        <w:t>Eighth</w:t>
      </w:r>
      <w:r w:rsidR="00257447">
        <w:t xml:space="preserve">, the </w:t>
      </w:r>
      <w:r w:rsidR="000073A7">
        <w:t xml:space="preserve">decision was revised to reflect that </w:t>
      </w:r>
      <w:r>
        <w:t xml:space="preserve">(1) </w:t>
      </w:r>
      <w:r w:rsidR="000073A7">
        <w:t>o</w:t>
      </w:r>
      <w:r w:rsidR="00257447">
        <w:t xml:space="preserve">n October 30, 2025, the Commission issued </w:t>
      </w:r>
      <w:r w:rsidRPr="00DE04EE" w:rsidR="00257447">
        <w:t>D</w:t>
      </w:r>
      <w:r w:rsidR="00257447">
        <w:t>.25-10-050</w:t>
      </w:r>
      <w:r w:rsidRPr="00DE04EE" w:rsidR="00257447">
        <w:t xml:space="preserve"> </w:t>
      </w:r>
      <w:r w:rsidR="00257447">
        <w:t xml:space="preserve">and extended the statutory deadline in this </w:t>
      </w:r>
      <w:r w:rsidR="00257447">
        <w:lastRenderedPageBreak/>
        <w:t>proceeding to April 3, 2026</w:t>
      </w:r>
      <w:r w:rsidR="00377C67">
        <w:t xml:space="preserve">; (2) on November </w:t>
      </w:r>
      <w:r w:rsidR="00FE4279">
        <w:t>6, 2025, CRPC filed a Motion to Reopen the Record;</w:t>
      </w:r>
      <w:r w:rsidR="006C4B53">
        <w:t xml:space="preserve"> and </w:t>
      </w:r>
      <w:r>
        <w:t>(</w:t>
      </w:r>
      <w:r w:rsidR="00FE4279">
        <w:t>3</w:t>
      </w:r>
      <w:r>
        <w:t xml:space="preserve">) </w:t>
      </w:r>
      <w:r w:rsidR="00C971E4">
        <w:t xml:space="preserve">on November 21, 2025 Indicated Shippers and the Cities filed their respective </w:t>
      </w:r>
      <w:r w:rsidR="00D11C4D">
        <w:t>responses to CRPC’s Motion to Reopen the Record</w:t>
      </w:r>
      <w:r w:rsidR="00257447">
        <w:t>.</w:t>
      </w:r>
    </w:p>
    <w:p w:rsidR="00430D35" w:rsidP="00184DDE" w:rsidRDefault="00430D35" w14:paraId="5647592B" w14:textId="24480B71">
      <w:pPr>
        <w:pStyle w:val="Standard"/>
      </w:pPr>
      <w:r w:rsidRPr="00153B35">
        <w:rPr>
          <w:b/>
          <w:bCs/>
          <w:i/>
          <w:iCs/>
        </w:rPr>
        <w:t>Ninth</w:t>
      </w:r>
      <w:r>
        <w:t xml:space="preserve">, </w:t>
      </w:r>
      <w:r w:rsidR="00A75334">
        <w:t xml:space="preserve">in response to Comments, the decision </w:t>
      </w:r>
      <w:r w:rsidR="00732179">
        <w:t>Findings of Fact</w:t>
      </w:r>
      <w:r w:rsidR="00984C61">
        <w:t xml:space="preserve"> 9, 10, 11, 13, 14;</w:t>
      </w:r>
      <w:r w:rsidR="00732179">
        <w:t xml:space="preserve"> Conclusions of Law</w:t>
      </w:r>
      <w:r w:rsidR="006F4942">
        <w:t xml:space="preserve"> 1, 2, 3, 6, 9, 11</w:t>
      </w:r>
      <w:r w:rsidR="00272E40">
        <w:t>; and</w:t>
      </w:r>
      <w:r w:rsidR="00732179">
        <w:t xml:space="preserve">, </w:t>
      </w:r>
      <w:r w:rsidR="007B7EEC">
        <w:t xml:space="preserve">Order </w:t>
      </w:r>
      <w:r w:rsidR="00272E40">
        <w:t xml:space="preserve">Paragraphs </w:t>
      </w:r>
      <w:r w:rsidR="00D560D8">
        <w:t xml:space="preserve">1, 4, 8 </w:t>
      </w:r>
      <w:r w:rsidR="00F41E34">
        <w:t xml:space="preserve">were revised consistent with the clarifications and modifications </w:t>
      </w:r>
      <w:r w:rsidR="00706633">
        <w:t xml:space="preserve">summarized </w:t>
      </w:r>
      <w:r w:rsidR="00D939ED">
        <w:t>above.</w:t>
      </w:r>
    </w:p>
    <w:p w:rsidR="00FB6104" w:rsidP="00FB6104" w:rsidRDefault="00FB6104" w14:paraId="2744F0A7" w14:textId="77777777">
      <w:pPr>
        <w:pStyle w:val="Heading1"/>
      </w:pPr>
      <w:bookmarkStart w:name="_Toc195296443" w:id="226"/>
      <w:bookmarkStart w:name="_Toc195296733" w:id="227"/>
      <w:bookmarkStart w:name="_Toc195913701" w:id="228"/>
      <w:bookmarkStart w:name="_Toc196397867" w:id="229"/>
      <w:bookmarkStart w:name="_Toc197081608" w:id="230"/>
      <w:bookmarkStart w:name="_Toc197082027" w:id="231"/>
      <w:bookmarkStart w:name="_Toc197088381" w:id="232"/>
      <w:bookmarkStart w:name="_Toc197088416" w:id="233"/>
      <w:bookmarkStart w:name="_Toc197088451" w:id="234"/>
      <w:bookmarkStart w:name="_Toc197089069" w:id="235"/>
      <w:bookmarkStart w:name="_Toc197090214" w:id="236"/>
      <w:bookmarkStart w:name="_Toc197090738" w:id="237"/>
      <w:bookmarkStart w:name="_Toc211606215" w:id="238"/>
      <w:bookmarkStart w:name="_Toc220596344" w:id="239"/>
      <w:bookmarkStart w:name="_Toc220972227" w:id="240"/>
      <w:bookmarkEnd w:id="226"/>
      <w:bookmarkEnd w:id="227"/>
      <w:bookmarkEnd w:id="228"/>
      <w:bookmarkEnd w:id="229"/>
      <w:bookmarkEnd w:id="230"/>
      <w:bookmarkEnd w:id="231"/>
      <w:bookmarkEnd w:id="232"/>
      <w:bookmarkEnd w:id="233"/>
      <w:bookmarkEnd w:id="234"/>
      <w:bookmarkEnd w:id="235"/>
      <w:bookmarkEnd w:id="236"/>
      <w:bookmarkEnd w:id="237"/>
      <w:r>
        <w:t>Assignment of Proceeding</w:t>
      </w:r>
      <w:bookmarkEnd w:id="195"/>
      <w:bookmarkEnd w:id="225"/>
      <w:bookmarkEnd w:id="238"/>
      <w:bookmarkEnd w:id="239"/>
      <w:bookmarkEnd w:id="240"/>
    </w:p>
    <w:p w:rsidR="00FB6104" w:rsidP="00FB6104" w:rsidRDefault="000E7970" w14:paraId="1AD0F1B7" w14:textId="0FF1E03D">
      <w:pPr>
        <w:pStyle w:val="Standard"/>
      </w:pPr>
      <w:r>
        <w:t>Karen Douglas</w:t>
      </w:r>
      <w:r w:rsidR="00FB6104">
        <w:t xml:space="preserve"> </w:t>
      </w:r>
      <w:r w:rsidRPr="00D91C39" w:rsidR="00FB6104">
        <w:t xml:space="preserve">is the assigned Commissioner and </w:t>
      </w:r>
      <w:r>
        <w:t>Jeffrey Lee</w:t>
      </w:r>
      <w:r w:rsidR="00FB6104">
        <w:t xml:space="preserve"> </w:t>
      </w:r>
      <w:r w:rsidRPr="00D91C39" w:rsidR="00FB6104">
        <w:t>is the assigned AL</w:t>
      </w:r>
      <w:r w:rsidR="00FB6104">
        <w:t>J and Presiding Officer</w:t>
      </w:r>
      <w:r w:rsidRPr="00D91C39" w:rsidR="00FB6104">
        <w:t xml:space="preserve"> in this proceeding</w:t>
      </w:r>
      <w:r w:rsidR="00FB6104">
        <w:t>.</w:t>
      </w:r>
    </w:p>
    <w:p w:rsidR="00FB6104" w:rsidP="00FB6104" w:rsidRDefault="00FB6104" w14:paraId="5CD5B20D" w14:textId="77777777">
      <w:pPr>
        <w:pStyle w:val="Dummy"/>
      </w:pPr>
      <w:bookmarkStart w:name="_Toc8123725" w:id="241"/>
      <w:bookmarkStart w:name="_Toc148605005" w:id="242"/>
      <w:bookmarkStart w:name="_Toc211606216" w:id="243"/>
      <w:bookmarkStart w:name="_Toc220596345" w:id="244"/>
      <w:bookmarkStart w:name="_Toc220972228" w:id="245"/>
      <w:r>
        <w:t>Findings of Fact</w:t>
      </w:r>
      <w:bookmarkEnd w:id="241"/>
      <w:bookmarkEnd w:id="242"/>
      <w:bookmarkEnd w:id="243"/>
      <w:bookmarkEnd w:id="244"/>
      <w:bookmarkEnd w:id="245"/>
    </w:p>
    <w:p w:rsidR="00AA6FF8" w:rsidP="00FB6104" w:rsidRDefault="006800C3" w14:paraId="0631F454" w14:textId="1D419B07">
      <w:pPr>
        <w:pStyle w:val="FoF"/>
      </w:pPr>
      <w:r>
        <w:t>T</w:t>
      </w:r>
      <w:r w:rsidRPr="00D018F7">
        <w:t xml:space="preserve">he </w:t>
      </w:r>
      <w:r w:rsidR="00BA1587">
        <w:t xml:space="preserve">full </w:t>
      </w:r>
      <w:r w:rsidRPr="00D018F7">
        <w:t>UI Pipeline</w:t>
      </w:r>
      <w:r>
        <w:t xml:space="preserve"> is</w:t>
      </w:r>
      <w:r w:rsidRPr="00D018F7">
        <w:t xml:space="preserve"> a 12.75-inch-diameter carbon steel</w:t>
      </w:r>
      <w:r>
        <w:t xml:space="preserve"> </w:t>
      </w:r>
      <w:r w:rsidRPr="00D018F7">
        <w:t>natural gas pipeline extending 35.14 miles from the Union Island Gas field in western San Joaquin</w:t>
      </w:r>
      <w:r>
        <w:t xml:space="preserve"> </w:t>
      </w:r>
      <w:r w:rsidRPr="00D018F7">
        <w:t>County to the Los Medanos meter station east of Pittsburg, California</w:t>
      </w:r>
      <w:r>
        <w:t>.</w:t>
      </w:r>
    </w:p>
    <w:p w:rsidR="004B3639" w:rsidP="009367C9" w:rsidRDefault="004B3639" w14:paraId="2E31688A" w14:textId="63A91D10">
      <w:pPr>
        <w:pStyle w:val="FoF"/>
      </w:pPr>
      <w:r>
        <w:t xml:space="preserve">CRPC filed A.23-07-008 to obtain a Commission order designating </w:t>
      </w:r>
      <w:r w:rsidR="00F05AFB">
        <w:t>it</w:t>
      </w:r>
      <w:r w:rsidR="007E566E">
        <w:t xml:space="preserve"> as a public utility </w:t>
      </w:r>
      <w:r w:rsidR="001E66FF">
        <w:t>gas</w:t>
      </w:r>
      <w:r w:rsidR="007E566E">
        <w:t xml:space="preserve"> </w:t>
      </w:r>
      <w:r w:rsidR="007D1034">
        <w:t xml:space="preserve">corporation </w:t>
      </w:r>
      <w:r w:rsidR="009367C9">
        <w:t xml:space="preserve">under </w:t>
      </w:r>
      <w:r w:rsidR="00A225E1">
        <w:t>Section</w:t>
      </w:r>
      <w:r w:rsidR="009367C9">
        <w:t xml:space="preserve">s 216 and 222. </w:t>
      </w:r>
      <w:r>
        <w:t xml:space="preserve"> </w:t>
      </w:r>
    </w:p>
    <w:p w:rsidRPr="007B333C" w:rsidR="000D161E" w:rsidP="00FB6104" w:rsidRDefault="000A3F5B" w14:paraId="1A340796" w14:textId="7398D98A">
      <w:pPr>
        <w:pStyle w:val="FoF"/>
        <w:rPr>
          <w:rStyle w:val="FootnoteReference"/>
          <w:vertAlign w:val="baseline"/>
        </w:rPr>
      </w:pPr>
      <w:r>
        <w:t xml:space="preserve">CRPC filed A.23-07-008 to obtain a CPCN </w:t>
      </w:r>
      <w:r w:rsidR="009367C9">
        <w:t xml:space="preserve">under </w:t>
      </w:r>
      <w:r w:rsidR="00A225E1">
        <w:t>Section</w:t>
      </w:r>
      <w:r w:rsidR="009367C9">
        <w:t xml:space="preserve"> 1001 </w:t>
      </w:r>
      <w:r>
        <w:t xml:space="preserve">to </w:t>
      </w:r>
      <w:r w:rsidR="00D1374E">
        <w:t xml:space="preserve">operate </w:t>
      </w:r>
      <w:r>
        <w:t>all segments of the UI Pipeline</w:t>
      </w:r>
      <w:r w:rsidR="00AC6FDF">
        <w:t xml:space="preserve"> as a </w:t>
      </w:r>
      <w:r w:rsidR="00CE4B08">
        <w:t xml:space="preserve">public utility gas </w:t>
      </w:r>
      <w:r w:rsidR="007D1034">
        <w:t xml:space="preserve">corporation </w:t>
      </w:r>
      <w:r w:rsidRPr="00395232" w:rsidR="00020789">
        <w:t>in California.</w:t>
      </w:r>
      <w:r w:rsidRPr="00395232" w:rsidR="00020789">
        <w:rPr>
          <w:rStyle w:val="FootnoteReference"/>
        </w:rPr>
        <w:t xml:space="preserve"> </w:t>
      </w:r>
    </w:p>
    <w:p w:rsidR="000D161E" w:rsidP="00FB6104" w:rsidRDefault="00020789" w14:paraId="4D553D1F" w14:textId="5EAD47AC">
      <w:pPr>
        <w:pStyle w:val="FoF"/>
      </w:pPr>
      <w:r w:rsidRPr="00395232">
        <w:t xml:space="preserve">CRPC </w:t>
      </w:r>
      <w:r>
        <w:t xml:space="preserve">previously </w:t>
      </w:r>
      <w:r w:rsidRPr="00395232">
        <w:t xml:space="preserve">operated the </w:t>
      </w:r>
      <w:r w:rsidR="00BA1587">
        <w:t xml:space="preserve">full </w:t>
      </w:r>
      <w:r w:rsidRPr="00395232">
        <w:t xml:space="preserve">UI Pipeline </w:t>
      </w:r>
      <w:r w:rsidR="00D60E4F">
        <w:t xml:space="preserve">as a private </w:t>
      </w:r>
      <w:r w:rsidR="00D4543D">
        <w:t xml:space="preserve">party </w:t>
      </w:r>
      <w:r w:rsidRPr="00395232">
        <w:t>to transport natural gas for CRPC, its affiliates, and for third-party customers on a contractual basis</w:t>
      </w:r>
      <w:r>
        <w:t>,</w:t>
      </w:r>
      <w:r w:rsidRPr="00395232">
        <w:t xml:space="preserve"> </w:t>
      </w:r>
      <w:r>
        <w:t xml:space="preserve">beginning in </w:t>
      </w:r>
      <w:r w:rsidRPr="00395232">
        <w:t>2013.</w:t>
      </w:r>
      <w:r w:rsidRPr="00395232">
        <w:rPr>
          <w:rStyle w:val="FootnoteReference"/>
        </w:rPr>
        <w:t xml:space="preserve"> </w:t>
      </w:r>
      <w:r>
        <w:t xml:space="preserve"> </w:t>
      </w:r>
    </w:p>
    <w:p w:rsidRPr="00136B2D" w:rsidR="00136B2D" w:rsidP="00797798" w:rsidRDefault="00701DDB" w14:paraId="241E2910" w14:textId="16A65744">
      <w:pPr>
        <w:pStyle w:val="FoF"/>
      </w:pPr>
      <w:r>
        <w:t>CRPC</w:t>
      </w:r>
      <w:r w:rsidR="004403BF">
        <w:t xml:space="preserve">’s </w:t>
      </w:r>
      <w:r w:rsidRPr="00395232" w:rsidR="002211EA">
        <w:rPr>
          <w:szCs w:val="26"/>
        </w:rPr>
        <w:t>franchise</w:t>
      </w:r>
      <w:r w:rsidRPr="00395232" w:rsidR="002211EA">
        <w:rPr>
          <w:spacing w:val="33"/>
          <w:szCs w:val="26"/>
        </w:rPr>
        <w:t xml:space="preserve"> </w:t>
      </w:r>
      <w:r w:rsidRPr="00395232" w:rsidR="002211EA">
        <w:rPr>
          <w:szCs w:val="26"/>
        </w:rPr>
        <w:t>agreement</w:t>
      </w:r>
      <w:r w:rsidR="00F05AFB">
        <w:rPr>
          <w:szCs w:val="26"/>
        </w:rPr>
        <w:t xml:space="preserve"> authorizing </w:t>
      </w:r>
      <w:r w:rsidRPr="00395232" w:rsidR="002211EA">
        <w:rPr>
          <w:szCs w:val="26"/>
        </w:rPr>
        <w:t xml:space="preserve">it to </w:t>
      </w:r>
      <w:r w:rsidR="005E736B">
        <w:t>operate and maintain</w:t>
      </w:r>
      <w:r w:rsidRPr="00395232" w:rsidR="005E736B">
        <w:rPr>
          <w:szCs w:val="26"/>
        </w:rPr>
        <w:t xml:space="preserve"> </w:t>
      </w:r>
      <w:r w:rsidRPr="00395232" w:rsidR="002211EA">
        <w:rPr>
          <w:szCs w:val="26"/>
        </w:rPr>
        <w:t xml:space="preserve">the UI Pipeline </w:t>
      </w:r>
      <w:r w:rsidR="007671F9">
        <w:rPr>
          <w:szCs w:val="26"/>
        </w:rPr>
        <w:t xml:space="preserve">segment </w:t>
      </w:r>
      <w:r w:rsidRPr="00395232" w:rsidR="002211EA">
        <w:rPr>
          <w:szCs w:val="26"/>
        </w:rPr>
        <w:t>through the Cit</w:t>
      </w:r>
      <w:r w:rsidR="002211EA">
        <w:rPr>
          <w:szCs w:val="26"/>
        </w:rPr>
        <w:t xml:space="preserve">y of Antioch </w:t>
      </w:r>
      <w:r w:rsidRPr="00395232" w:rsidR="002211EA">
        <w:rPr>
          <w:szCs w:val="26"/>
        </w:rPr>
        <w:t xml:space="preserve">expired </w:t>
      </w:r>
      <w:r w:rsidR="002211EA">
        <w:rPr>
          <w:szCs w:val="26"/>
        </w:rPr>
        <w:t>in February 2021</w:t>
      </w:r>
      <w:r w:rsidR="00F05AFB">
        <w:rPr>
          <w:szCs w:val="26"/>
        </w:rPr>
        <w:t>,</w:t>
      </w:r>
      <w:r w:rsidR="002211EA">
        <w:rPr>
          <w:szCs w:val="26"/>
        </w:rPr>
        <w:t xml:space="preserve"> </w:t>
      </w:r>
      <w:r w:rsidRPr="00395232" w:rsidR="002211EA">
        <w:rPr>
          <w:szCs w:val="26"/>
        </w:rPr>
        <w:t xml:space="preserve">and </w:t>
      </w:r>
      <w:r w:rsidR="00136B2D">
        <w:rPr>
          <w:szCs w:val="26"/>
        </w:rPr>
        <w:t>Antioch</w:t>
      </w:r>
      <w:r w:rsidRPr="00395232" w:rsidR="002211EA">
        <w:rPr>
          <w:szCs w:val="26"/>
        </w:rPr>
        <w:t xml:space="preserve"> </w:t>
      </w:r>
      <w:r w:rsidR="00026546">
        <w:rPr>
          <w:szCs w:val="26"/>
        </w:rPr>
        <w:t>did</w:t>
      </w:r>
      <w:r w:rsidRPr="00395232" w:rsidR="002211EA">
        <w:rPr>
          <w:szCs w:val="26"/>
        </w:rPr>
        <w:t xml:space="preserve"> </w:t>
      </w:r>
      <w:r w:rsidR="00026546">
        <w:rPr>
          <w:szCs w:val="26"/>
        </w:rPr>
        <w:t>not</w:t>
      </w:r>
      <w:r w:rsidRPr="00395232" w:rsidR="002211EA">
        <w:rPr>
          <w:szCs w:val="26"/>
        </w:rPr>
        <w:t xml:space="preserve"> renew the franchise</w:t>
      </w:r>
      <w:r w:rsidR="00136B2D">
        <w:rPr>
          <w:szCs w:val="26"/>
        </w:rPr>
        <w:t xml:space="preserve"> agreement.</w:t>
      </w:r>
    </w:p>
    <w:p w:rsidRPr="00A74F02" w:rsidR="00136B2D" w:rsidP="00136B2D" w:rsidRDefault="00541A58" w14:paraId="704D7F2E" w14:textId="5113E4E8">
      <w:pPr>
        <w:pStyle w:val="FoF"/>
      </w:pPr>
      <w:r>
        <w:t xml:space="preserve"> </w:t>
      </w:r>
      <w:r w:rsidR="004403BF">
        <w:t xml:space="preserve"> </w:t>
      </w:r>
      <w:r w:rsidR="00136B2D">
        <w:t xml:space="preserve">CRPC’s </w:t>
      </w:r>
      <w:r w:rsidRPr="00395232" w:rsidR="00136B2D">
        <w:rPr>
          <w:szCs w:val="26"/>
        </w:rPr>
        <w:t>franchise</w:t>
      </w:r>
      <w:r w:rsidRPr="00395232" w:rsidR="00136B2D">
        <w:rPr>
          <w:spacing w:val="33"/>
          <w:szCs w:val="26"/>
        </w:rPr>
        <w:t xml:space="preserve"> </w:t>
      </w:r>
      <w:r w:rsidRPr="00395232" w:rsidR="00136B2D">
        <w:rPr>
          <w:szCs w:val="26"/>
        </w:rPr>
        <w:t>agreement</w:t>
      </w:r>
      <w:r w:rsidR="00F05AFB">
        <w:rPr>
          <w:szCs w:val="26"/>
        </w:rPr>
        <w:t xml:space="preserve"> authorizing </w:t>
      </w:r>
      <w:r w:rsidRPr="00395232" w:rsidR="00136B2D">
        <w:rPr>
          <w:szCs w:val="26"/>
        </w:rPr>
        <w:t xml:space="preserve">it to </w:t>
      </w:r>
      <w:r w:rsidR="005E736B">
        <w:t>operate and maintain</w:t>
      </w:r>
      <w:r w:rsidRPr="00395232" w:rsidR="005E736B">
        <w:rPr>
          <w:szCs w:val="26"/>
        </w:rPr>
        <w:t xml:space="preserve"> </w:t>
      </w:r>
      <w:r w:rsidRPr="00395232" w:rsidR="00136B2D">
        <w:rPr>
          <w:szCs w:val="26"/>
        </w:rPr>
        <w:t xml:space="preserve">the UI Pipeline </w:t>
      </w:r>
      <w:r w:rsidR="007671F9">
        <w:rPr>
          <w:szCs w:val="26"/>
        </w:rPr>
        <w:t xml:space="preserve">segment </w:t>
      </w:r>
      <w:r w:rsidRPr="00395232" w:rsidR="00136B2D">
        <w:rPr>
          <w:szCs w:val="26"/>
        </w:rPr>
        <w:t>through the Cit</w:t>
      </w:r>
      <w:r w:rsidR="00136B2D">
        <w:rPr>
          <w:szCs w:val="26"/>
        </w:rPr>
        <w:t xml:space="preserve">y of Brentwood </w:t>
      </w:r>
      <w:r w:rsidRPr="00395232" w:rsidR="00136B2D">
        <w:rPr>
          <w:szCs w:val="26"/>
        </w:rPr>
        <w:t xml:space="preserve">expired </w:t>
      </w:r>
      <w:r w:rsidR="00136B2D">
        <w:rPr>
          <w:szCs w:val="26"/>
        </w:rPr>
        <w:t>in February 2021</w:t>
      </w:r>
      <w:r w:rsidR="00F05AFB">
        <w:rPr>
          <w:szCs w:val="26"/>
        </w:rPr>
        <w:t>,</w:t>
      </w:r>
      <w:r w:rsidR="00136B2D">
        <w:rPr>
          <w:szCs w:val="26"/>
        </w:rPr>
        <w:t xml:space="preserve"> </w:t>
      </w:r>
      <w:r w:rsidRPr="00395232" w:rsidR="00136B2D">
        <w:rPr>
          <w:szCs w:val="26"/>
        </w:rPr>
        <w:t xml:space="preserve">and </w:t>
      </w:r>
      <w:r w:rsidR="00136B2D">
        <w:rPr>
          <w:szCs w:val="26"/>
        </w:rPr>
        <w:t xml:space="preserve">Brentwood </w:t>
      </w:r>
      <w:r w:rsidR="00F05AFB">
        <w:rPr>
          <w:szCs w:val="26"/>
        </w:rPr>
        <w:t>did</w:t>
      </w:r>
      <w:r w:rsidR="00136B2D">
        <w:rPr>
          <w:szCs w:val="26"/>
        </w:rPr>
        <w:t xml:space="preserve"> not</w:t>
      </w:r>
      <w:r w:rsidRPr="00395232" w:rsidR="00136B2D">
        <w:rPr>
          <w:szCs w:val="26"/>
        </w:rPr>
        <w:t xml:space="preserve"> renew the franchise</w:t>
      </w:r>
      <w:r w:rsidR="00136B2D">
        <w:rPr>
          <w:szCs w:val="26"/>
        </w:rPr>
        <w:t xml:space="preserve"> agreement.</w:t>
      </w:r>
    </w:p>
    <w:p w:rsidR="00CD67FE" w:rsidP="00A74F02" w:rsidRDefault="00A74F02" w14:paraId="51887A55" w14:textId="132B625B">
      <w:pPr>
        <w:pStyle w:val="FoF"/>
      </w:pPr>
      <w:r w:rsidRPr="00395232">
        <w:lastRenderedPageBreak/>
        <w:t>The UI Pipeline ceased transport</w:t>
      </w:r>
      <w:r>
        <w:t>ing</w:t>
      </w:r>
      <w:r w:rsidRPr="00395232">
        <w:t xml:space="preserve"> gas in May 2023.</w:t>
      </w:r>
    </w:p>
    <w:p w:rsidRPr="00136B2D" w:rsidR="00A74F02" w:rsidP="00CD67FE" w:rsidRDefault="00CD67FE" w14:paraId="283146CE" w14:textId="52D8B160">
      <w:pPr>
        <w:pStyle w:val="FoF"/>
      </w:pPr>
      <w:r>
        <w:t xml:space="preserve">CRPC’s Successor Subsidiary succeeded CRPC as the owner of CRPC’s interests in the UI Pipeline in October 2024. </w:t>
      </w:r>
    </w:p>
    <w:p w:rsidR="00251D17" w:rsidP="00251D17" w:rsidRDefault="00251D17" w14:paraId="593A7ABC" w14:textId="76C57F4B">
      <w:pPr>
        <w:pStyle w:val="FoF"/>
      </w:pPr>
      <w:r>
        <w:t xml:space="preserve">CRPC </w:t>
      </w:r>
      <w:r w:rsidR="00797798">
        <w:t xml:space="preserve">and </w:t>
      </w:r>
      <w:r w:rsidR="00D03D26">
        <w:t xml:space="preserve">Successor Subsidiary </w:t>
      </w:r>
      <w:r>
        <w:t xml:space="preserve">lack necessary legal rights to </w:t>
      </w:r>
      <w:r w:rsidR="00FB5CCF">
        <w:t>control,</w:t>
      </w:r>
      <w:r w:rsidR="00B12D2E">
        <w:t xml:space="preserve"> </w:t>
      </w:r>
      <w:r w:rsidR="00D1374E">
        <w:t>operate</w:t>
      </w:r>
      <w:r w:rsidR="00B12D2E">
        <w:t>, or manage</w:t>
      </w:r>
      <w:r w:rsidR="00D1374E">
        <w:t xml:space="preserve"> </w:t>
      </w:r>
      <w:r>
        <w:t>the UI Pipeline</w:t>
      </w:r>
      <w:r w:rsidR="00D6546C">
        <w:t xml:space="preserve"> </w:t>
      </w:r>
      <w:r w:rsidR="00DC125D">
        <w:t xml:space="preserve">segment </w:t>
      </w:r>
      <w:r w:rsidR="00D6546C">
        <w:t>within the City of Antioch</w:t>
      </w:r>
      <w:r>
        <w:t>.</w:t>
      </w:r>
    </w:p>
    <w:p w:rsidR="00251D17" w:rsidP="00C952C9" w:rsidRDefault="00D03D26" w14:paraId="1AB753BF" w14:textId="11B14E2B">
      <w:pPr>
        <w:pStyle w:val="FoF"/>
      </w:pPr>
      <w:r>
        <w:t>CRPC and Successor Subsidiary</w:t>
      </w:r>
      <w:r w:rsidR="0077456F">
        <w:t xml:space="preserve"> lack</w:t>
      </w:r>
      <w:r w:rsidR="00D6546C">
        <w:t xml:space="preserve"> necessary legal rights to </w:t>
      </w:r>
      <w:r w:rsidR="00C22D2A">
        <w:t xml:space="preserve">control, </w:t>
      </w:r>
      <w:r w:rsidR="00D6546C">
        <w:t>operate</w:t>
      </w:r>
      <w:r w:rsidR="00C10505">
        <w:t>, or manage</w:t>
      </w:r>
      <w:r w:rsidR="00D6546C">
        <w:t xml:space="preserve"> the UI Pipeline </w:t>
      </w:r>
      <w:r w:rsidR="00DC125D">
        <w:t xml:space="preserve">segment </w:t>
      </w:r>
      <w:r w:rsidR="00D6546C">
        <w:t>within the City of Brentwood.</w:t>
      </w:r>
    </w:p>
    <w:p w:rsidR="002564AE" w:rsidP="002564AE" w:rsidRDefault="002564AE" w14:paraId="081F2DC2" w14:textId="5A108D14">
      <w:pPr>
        <w:pStyle w:val="FoF"/>
      </w:pPr>
      <w:r>
        <w:t>CRPC and</w:t>
      </w:r>
      <w:r w:rsidR="006C1B0B">
        <w:t>/or</w:t>
      </w:r>
      <w:r>
        <w:t xml:space="preserve"> </w:t>
      </w:r>
      <w:r w:rsidR="00BF34F1">
        <w:t>Successor Subsidiary</w:t>
      </w:r>
      <w:r w:rsidR="002A0E71">
        <w:t xml:space="preserve"> </w:t>
      </w:r>
      <w:r>
        <w:t xml:space="preserve">are engaged in pending </w:t>
      </w:r>
      <w:r w:rsidR="00C22775">
        <w:t xml:space="preserve">local </w:t>
      </w:r>
      <w:r>
        <w:t xml:space="preserve">administrative proceedings </w:t>
      </w:r>
      <w:r w:rsidR="002A0E71">
        <w:t xml:space="preserve">within Antioch and Brentwood </w:t>
      </w:r>
      <w:r w:rsidR="00345695">
        <w:t>to</w:t>
      </w:r>
      <w:r>
        <w:t xml:space="preserve"> acquir</w:t>
      </w:r>
      <w:r w:rsidR="00345695">
        <w:t>e</w:t>
      </w:r>
      <w:r>
        <w:t xml:space="preserve"> necessary legal rights to </w:t>
      </w:r>
      <w:r w:rsidR="00C10505">
        <w:t xml:space="preserve">control, </w:t>
      </w:r>
      <w:r>
        <w:t>operate</w:t>
      </w:r>
      <w:r w:rsidR="00C10505">
        <w:t>, or manage</w:t>
      </w:r>
      <w:r>
        <w:t xml:space="preserve"> </w:t>
      </w:r>
      <w:r w:rsidR="001D1188">
        <w:t xml:space="preserve">the </w:t>
      </w:r>
      <w:r>
        <w:t xml:space="preserve">segments of the </w:t>
      </w:r>
      <w:r w:rsidR="00E278D9">
        <w:t xml:space="preserve">UI </w:t>
      </w:r>
      <w:r>
        <w:t>Pipeline with</w:t>
      </w:r>
      <w:r w:rsidR="001312A3">
        <w:t>in</w:t>
      </w:r>
      <w:r>
        <w:t xml:space="preserve"> the Cities’ respective jurisdictions.</w:t>
      </w:r>
    </w:p>
    <w:p w:rsidR="00644498" w:rsidP="002564AE" w:rsidRDefault="007D2895" w14:paraId="65B5CDCF" w14:textId="505B9190">
      <w:pPr>
        <w:pStyle w:val="FoF"/>
      </w:pPr>
      <w:r>
        <w:t xml:space="preserve">The Contra Costa Superior Court is presently adjudicating </w:t>
      </w:r>
      <w:r w:rsidR="003A51D2">
        <w:t xml:space="preserve">the City of Antioch’s </w:t>
      </w:r>
      <w:r w:rsidR="005E6A35">
        <w:t xml:space="preserve">cross-claims </w:t>
      </w:r>
      <w:r w:rsidR="00B103E4">
        <w:t>alleging</w:t>
      </w:r>
      <w:r w:rsidR="00C26171">
        <w:t xml:space="preserve">, </w:t>
      </w:r>
      <w:r w:rsidRPr="00FE64F5" w:rsidR="00C26171">
        <w:rPr>
          <w:i/>
          <w:iCs/>
        </w:rPr>
        <w:t>inter alia</w:t>
      </w:r>
      <w:r w:rsidR="00C26171">
        <w:t>,</w:t>
      </w:r>
      <w:r w:rsidR="00B103E4">
        <w:t xml:space="preserve"> </w:t>
      </w:r>
      <w:r w:rsidR="003A51D2">
        <w:t xml:space="preserve">that </w:t>
      </w:r>
      <w:r w:rsidR="00B103E4">
        <w:t xml:space="preserve">CRPC abandoned the UI Pipeline </w:t>
      </w:r>
      <w:r w:rsidR="00DB1298">
        <w:t xml:space="preserve">segment within Antioch </w:t>
      </w:r>
      <w:r w:rsidR="00997D66">
        <w:t xml:space="preserve">in </w:t>
      </w:r>
      <w:r w:rsidRPr="00C7097F" w:rsidR="00132F5C">
        <w:rPr>
          <w:i/>
          <w:iCs/>
        </w:rPr>
        <w:t>California Resources Production Corporation</w:t>
      </w:r>
      <w:r w:rsidR="00132F5C">
        <w:rPr>
          <w:i/>
          <w:iCs/>
        </w:rPr>
        <w:t xml:space="preserve"> </w:t>
      </w:r>
      <w:r w:rsidRPr="00C7097F" w:rsidR="00132F5C">
        <w:rPr>
          <w:i/>
          <w:iCs/>
        </w:rPr>
        <w:t>v. City of Antioch, et al.</w:t>
      </w:r>
      <w:r w:rsidRPr="009878CB" w:rsidR="00132F5C">
        <w:t xml:space="preserve">, </w:t>
      </w:r>
      <w:r w:rsidR="003A51D2">
        <w:t xml:space="preserve">Case </w:t>
      </w:r>
      <w:r w:rsidRPr="009878CB" w:rsidR="00132F5C">
        <w:t>No. MSN21-2354</w:t>
      </w:r>
      <w:r w:rsidR="009F2C6C">
        <w:t>,</w:t>
      </w:r>
      <w:r w:rsidR="00997D66">
        <w:t xml:space="preserve"> that may determine whether CRPC and/or Successor Subsidiary </w:t>
      </w:r>
      <w:r w:rsidR="00F51BC7">
        <w:t>hold</w:t>
      </w:r>
      <w:r w:rsidR="0056526F">
        <w:t>s any</w:t>
      </w:r>
      <w:r w:rsidR="00F51BC7">
        <w:t xml:space="preserve"> ownership interest</w:t>
      </w:r>
      <w:r w:rsidR="00273A2B">
        <w:t>s</w:t>
      </w:r>
      <w:r w:rsidR="00F51BC7">
        <w:t xml:space="preserve"> in the UI Pipelin</w:t>
      </w:r>
      <w:r w:rsidR="00EC38D9">
        <w:t>e segment within Antioch’s right of way.</w:t>
      </w:r>
    </w:p>
    <w:p w:rsidR="00435181" w:rsidP="00FB6104" w:rsidRDefault="00F05AFB" w14:paraId="69342D7D" w14:textId="063E45D7">
      <w:pPr>
        <w:pStyle w:val="FoF"/>
      </w:pPr>
      <w:r>
        <w:t xml:space="preserve">Without franchise agreements from </w:t>
      </w:r>
      <w:r w:rsidR="00327EE2">
        <w:t xml:space="preserve">each of </w:t>
      </w:r>
      <w:r>
        <w:t xml:space="preserve">the Cities, </w:t>
      </w:r>
      <w:r w:rsidR="00AD5E4C">
        <w:t xml:space="preserve">CRPC </w:t>
      </w:r>
      <w:r w:rsidR="007A2529">
        <w:t>lacks the</w:t>
      </w:r>
      <w:r w:rsidR="00AD5E4C">
        <w:t xml:space="preserve"> </w:t>
      </w:r>
      <w:r w:rsidR="00CD0936">
        <w:t xml:space="preserve">necessary rights to </w:t>
      </w:r>
      <w:r w:rsidR="00A01E96">
        <w:t xml:space="preserve">control, </w:t>
      </w:r>
      <w:r w:rsidR="00CD0936">
        <w:t>operate</w:t>
      </w:r>
      <w:r w:rsidR="00A01E96">
        <w:t>, or manage</w:t>
      </w:r>
      <w:r w:rsidR="00CD0936">
        <w:t xml:space="preserve"> the full UI Pipeline</w:t>
      </w:r>
      <w:r>
        <w:t xml:space="preserve">, which traverses through </w:t>
      </w:r>
      <w:r w:rsidR="00CD0936">
        <w:t>the public-rights-of-way of the Cities.</w:t>
      </w:r>
    </w:p>
    <w:p w:rsidR="007A2529" w:rsidP="007A2529" w:rsidRDefault="007A2529" w14:paraId="1B22C71D" w14:textId="480120B7">
      <w:pPr>
        <w:pStyle w:val="FoF"/>
      </w:pPr>
      <w:r>
        <w:t xml:space="preserve">The pending judicial and local administrative proceedings do not have dates certain by which CRPC and/or Successor Subsidiary may obtain </w:t>
      </w:r>
      <w:r w:rsidR="00F05AFB">
        <w:t xml:space="preserve">any and </w:t>
      </w:r>
      <w:r>
        <w:t xml:space="preserve">all necessary legal rights to </w:t>
      </w:r>
      <w:r w:rsidR="00EE43D9">
        <w:t xml:space="preserve">own, control, </w:t>
      </w:r>
      <w:r>
        <w:t>operate</w:t>
      </w:r>
      <w:r w:rsidR="00EE43D9">
        <w:t>, or manage</w:t>
      </w:r>
      <w:r>
        <w:t xml:space="preserve"> </w:t>
      </w:r>
      <w:r w:rsidR="00571F3E">
        <w:t xml:space="preserve">the </w:t>
      </w:r>
      <w:r>
        <w:t>segments of the UI Pipeline within the Cities’ respective jurisdictions</w:t>
      </w:r>
      <w:r w:rsidDel="004236F5">
        <w:t xml:space="preserve"> </w:t>
      </w:r>
      <w:r>
        <w:t>with finality.</w:t>
      </w:r>
    </w:p>
    <w:p w:rsidRPr="00796A21" w:rsidR="00420A7A" w:rsidP="00420A7A" w:rsidRDefault="00420A7A" w14:paraId="37C09768" w14:textId="36BD3150">
      <w:pPr>
        <w:pStyle w:val="FoF"/>
      </w:pPr>
      <w:r w:rsidRPr="00DE0551">
        <w:lastRenderedPageBreak/>
        <w:t xml:space="preserve">Pursuant to Rule 11.4, </w:t>
      </w:r>
      <w:r w:rsidR="007F1FBC">
        <w:rPr>
          <w:bCs/>
        </w:rPr>
        <w:t>CRPC</w:t>
      </w:r>
      <w:r w:rsidRPr="00285C04">
        <w:t xml:space="preserve"> </w:t>
      </w:r>
      <w:r w:rsidRPr="00DE0551">
        <w:t xml:space="preserve">filed motions for leave to file </w:t>
      </w:r>
      <w:r w:rsidR="00782A5F">
        <w:t xml:space="preserve">as </w:t>
      </w:r>
      <w:r w:rsidRPr="00DE0551">
        <w:t>confidential materials under seal</w:t>
      </w:r>
      <w:r w:rsidR="00830A66">
        <w:t xml:space="preserve"> </w:t>
      </w:r>
      <w:r w:rsidR="00C3731A">
        <w:t xml:space="preserve">(1) </w:t>
      </w:r>
      <w:r w:rsidRPr="00A127CD" w:rsidR="00C3731A">
        <w:rPr>
          <w:color w:val="000000"/>
        </w:rPr>
        <w:t>Appendix C to the Application</w:t>
      </w:r>
      <w:r w:rsidR="00C3731A">
        <w:rPr>
          <w:color w:val="000000"/>
        </w:rPr>
        <w:t xml:space="preserve"> and (2) </w:t>
      </w:r>
      <w:r w:rsidRPr="00A127CD" w:rsidR="00C3731A">
        <w:rPr>
          <w:color w:val="000000"/>
        </w:rPr>
        <w:t>Appendix C to the Amended Application, appended as Exhibit B to CRPC’s Motion to Amend</w:t>
      </w:r>
      <w:r w:rsidRPr="009C1FFE">
        <w:rPr>
          <w:bCs/>
        </w:rPr>
        <w:t>.</w:t>
      </w:r>
    </w:p>
    <w:p w:rsidR="00FB6104" w:rsidP="00FB6104" w:rsidRDefault="00FB6104" w14:paraId="37364ACF" w14:textId="77777777">
      <w:pPr>
        <w:pStyle w:val="Dummy"/>
      </w:pPr>
      <w:bookmarkStart w:name="_Toc8123726" w:id="246"/>
      <w:bookmarkStart w:name="_Toc148605006" w:id="247"/>
      <w:bookmarkStart w:name="_Toc211606217" w:id="248"/>
      <w:bookmarkStart w:name="_Toc220596346" w:id="249"/>
      <w:bookmarkStart w:name="_Toc220972229" w:id="250"/>
      <w:r>
        <w:t>Conclusions of Law</w:t>
      </w:r>
      <w:bookmarkEnd w:id="246"/>
      <w:bookmarkEnd w:id="247"/>
      <w:bookmarkEnd w:id="248"/>
      <w:bookmarkEnd w:id="249"/>
      <w:bookmarkEnd w:id="250"/>
    </w:p>
    <w:p w:rsidRPr="00907C7F" w:rsidR="008403B3" w:rsidP="005B03A5" w:rsidRDefault="003234D2" w14:paraId="1AF77443" w14:textId="31D15BC1">
      <w:pPr>
        <w:pStyle w:val="CoL"/>
      </w:pPr>
      <w:r>
        <w:rPr>
          <w:szCs w:val="26"/>
          <w:lang w:val="en-ZW"/>
        </w:rPr>
        <w:t xml:space="preserve">It is premature </w:t>
      </w:r>
      <w:r w:rsidR="004E55A1">
        <w:rPr>
          <w:szCs w:val="26"/>
          <w:lang w:val="en-ZW"/>
        </w:rPr>
        <w:t xml:space="preserve">to determine whether </w:t>
      </w:r>
      <w:r w:rsidRPr="00CD5DF4" w:rsidR="00481802">
        <w:rPr>
          <w:szCs w:val="26"/>
          <w:lang w:val="en-ZW"/>
        </w:rPr>
        <w:t>CRPC satisf</w:t>
      </w:r>
      <w:r w:rsidR="004E55A1">
        <w:rPr>
          <w:szCs w:val="26"/>
          <w:lang w:val="en-ZW"/>
        </w:rPr>
        <w:t>ies</w:t>
      </w:r>
      <w:r w:rsidRPr="00CD5DF4" w:rsidR="00481802">
        <w:rPr>
          <w:szCs w:val="26"/>
          <w:lang w:val="en-ZW"/>
        </w:rPr>
        <w:t xml:space="preserve"> the statutory criteria under Public Utilities Code Section 216 </w:t>
      </w:r>
      <w:r w:rsidR="00714ED7">
        <w:rPr>
          <w:szCs w:val="26"/>
          <w:lang w:val="en-ZW"/>
        </w:rPr>
        <w:t>to</w:t>
      </w:r>
      <w:r w:rsidRPr="00CD5DF4" w:rsidR="00481802">
        <w:rPr>
          <w:szCs w:val="26"/>
          <w:lang w:val="en-ZW"/>
        </w:rPr>
        <w:t xml:space="preserve"> be designated as a “public utility.”</w:t>
      </w:r>
      <w:r w:rsidR="00481802">
        <w:rPr>
          <w:szCs w:val="26"/>
          <w:lang w:val="en-ZW"/>
        </w:rPr>
        <w:t xml:space="preserve"> </w:t>
      </w:r>
    </w:p>
    <w:p w:rsidRPr="00907C7F" w:rsidR="008403B3" w:rsidP="005B03A5" w:rsidRDefault="003A31BD" w14:paraId="43B2A909" w14:textId="3CE100B2">
      <w:pPr>
        <w:pStyle w:val="CoL"/>
      </w:pPr>
      <w:r>
        <w:rPr>
          <w:szCs w:val="26"/>
          <w:lang w:val="en-ZW"/>
        </w:rPr>
        <w:t xml:space="preserve">It is premature to determine whether </w:t>
      </w:r>
      <w:r w:rsidRPr="00CD5DF4" w:rsidR="00481802">
        <w:rPr>
          <w:szCs w:val="26"/>
          <w:lang w:val="en-ZW"/>
        </w:rPr>
        <w:t>CRPC satisf</w:t>
      </w:r>
      <w:r>
        <w:rPr>
          <w:szCs w:val="26"/>
          <w:lang w:val="en-ZW"/>
        </w:rPr>
        <w:t>ies</w:t>
      </w:r>
      <w:r w:rsidRPr="00CD5DF4" w:rsidR="00481802">
        <w:rPr>
          <w:szCs w:val="26"/>
          <w:lang w:val="en-ZW"/>
        </w:rPr>
        <w:t xml:space="preserve"> the statutory criteria under Public Utilities Code Section </w:t>
      </w:r>
      <w:r w:rsidR="00481802">
        <w:rPr>
          <w:szCs w:val="26"/>
          <w:lang w:val="en-ZW"/>
        </w:rPr>
        <w:t>222</w:t>
      </w:r>
      <w:r w:rsidRPr="00CD5DF4" w:rsidR="00481802">
        <w:rPr>
          <w:szCs w:val="26"/>
          <w:lang w:val="en-ZW"/>
        </w:rPr>
        <w:t xml:space="preserve"> </w:t>
      </w:r>
      <w:r>
        <w:rPr>
          <w:szCs w:val="26"/>
          <w:lang w:val="en-ZW"/>
        </w:rPr>
        <w:t>to</w:t>
      </w:r>
      <w:r w:rsidRPr="00CD5DF4" w:rsidR="00481802">
        <w:rPr>
          <w:szCs w:val="26"/>
          <w:lang w:val="en-ZW"/>
        </w:rPr>
        <w:t xml:space="preserve"> be designated as a “</w:t>
      </w:r>
      <w:r w:rsidR="00481802">
        <w:rPr>
          <w:szCs w:val="26"/>
          <w:lang w:val="en-ZW"/>
        </w:rPr>
        <w:t>gas corporation</w:t>
      </w:r>
      <w:r w:rsidRPr="00CD5DF4" w:rsidR="00481802">
        <w:rPr>
          <w:szCs w:val="26"/>
          <w:lang w:val="en-ZW"/>
        </w:rPr>
        <w:t>.”</w:t>
      </w:r>
    </w:p>
    <w:p w:rsidR="00A53FB9" w:rsidP="005B03A5" w:rsidRDefault="00CE050B" w14:paraId="57F59BA8" w14:textId="3D23F9FB">
      <w:pPr>
        <w:pStyle w:val="CoL"/>
      </w:pPr>
      <w:r>
        <w:rPr>
          <w:szCs w:val="26"/>
          <w:lang w:val="en-ZW"/>
        </w:rPr>
        <w:t xml:space="preserve">It is premature to determine whether </w:t>
      </w:r>
      <w:r w:rsidRPr="00CD5DF4" w:rsidR="00481802">
        <w:rPr>
          <w:szCs w:val="26"/>
          <w:lang w:val="en-ZW"/>
        </w:rPr>
        <w:t>CRPC satisf</w:t>
      </w:r>
      <w:r>
        <w:rPr>
          <w:szCs w:val="26"/>
          <w:lang w:val="en-ZW"/>
        </w:rPr>
        <w:t>ies</w:t>
      </w:r>
      <w:r w:rsidRPr="00CD5DF4" w:rsidR="00481802">
        <w:rPr>
          <w:szCs w:val="26"/>
          <w:lang w:val="en-ZW"/>
        </w:rPr>
        <w:t xml:space="preserve"> the statutory criteria under Public Utilities Code Section </w:t>
      </w:r>
      <w:r w:rsidR="00481802">
        <w:rPr>
          <w:szCs w:val="26"/>
          <w:lang w:val="en-ZW"/>
        </w:rPr>
        <w:t xml:space="preserve">1001(a) </w:t>
      </w:r>
      <w:r w:rsidR="00BD340B">
        <w:rPr>
          <w:szCs w:val="26"/>
          <w:lang w:val="en-ZW"/>
        </w:rPr>
        <w:t>to</w:t>
      </w:r>
      <w:r w:rsidRPr="00CD5DF4" w:rsidR="00481802">
        <w:rPr>
          <w:szCs w:val="26"/>
          <w:lang w:val="en-ZW"/>
        </w:rPr>
        <w:t xml:space="preserve"> be </w:t>
      </w:r>
      <w:r w:rsidR="00481802">
        <w:rPr>
          <w:szCs w:val="26"/>
          <w:lang w:val="en-ZW"/>
        </w:rPr>
        <w:t>granted</w:t>
      </w:r>
      <w:r w:rsidRPr="00CD5DF4" w:rsidR="00481802">
        <w:rPr>
          <w:szCs w:val="26"/>
          <w:lang w:val="en-ZW"/>
        </w:rPr>
        <w:t xml:space="preserve"> </w:t>
      </w:r>
      <w:r w:rsidR="00481802">
        <w:rPr>
          <w:szCs w:val="26"/>
          <w:lang w:val="en-ZW"/>
        </w:rPr>
        <w:t xml:space="preserve">a certificate of public convenience and necessity to operate the </w:t>
      </w:r>
      <w:r w:rsidR="00C06696">
        <w:rPr>
          <w:szCs w:val="26"/>
          <w:lang w:val="en-ZW"/>
        </w:rPr>
        <w:t xml:space="preserve">full </w:t>
      </w:r>
      <w:r w:rsidR="00481802">
        <w:rPr>
          <w:szCs w:val="26"/>
          <w:lang w:val="en-ZW"/>
        </w:rPr>
        <w:t>UI Pipeline.</w:t>
      </w:r>
    </w:p>
    <w:p w:rsidR="002564AE" w:rsidP="002564AE" w:rsidRDefault="002564AE" w14:paraId="3772AEDF" w14:textId="08963E8A">
      <w:pPr>
        <w:pStyle w:val="CoL"/>
      </w:pPr>
      <w:r w:rsidRPr="00E243BD">
        <w:t xml:space="preserve">The </w:t>
      </w:r>
      <w:r>
        <w:t>Joint Request to Hold Proceeding In Abeyance by The City of Antioch and The City of Brentwood should be</w:t>
      </w:r>
      <w:r w:rsidRPr="00E243BD">
        <w:t xml:space="preserve"> </w:t>
      </w:r>
      <w:r>
        <w:t>denied</w:t>
      </w:r>
      <w:r w:rsidRPr="00E243BD">
        <w:t xml:space="preserve">. </w:t>
      </w:r>
    </w:p>
    <w:p w:rsidR="0078259D" w:rsidP="0078259D" w:rsidRDefault="0078259D" w14:paraId="61E1586B" w14:textId="731BD424">
      <w:pPr>
        <w:pStyle w:val="CoL"/>
      </w:pPr>
      <w:r w:rsidRPr="007B333C">
        <w:t xml:space="preserve">CRPC’s Motion to Amend </w:t>
      </w:r>
      <w:r w:rsidR="007649F8">
        <w:t>Its</w:t>
      </w:r>
      <w:r w:rsidR="00F85D99">
        <w:t xml:space="preserve"> Application </w:t>
      </w:r>
      <w:r w:rsidRPr="00822E6E">
        <w:t xml:space="preserve">should be </w:t>
      </w:r>
      <w:r w:rsidRPr="007B333C">
        <w:t xml:space="preserve">denied. </w:t>
      </w:r>
    </w:p>
    <w:p w:rsidRPr="007B333C" w:rsidR="00540AAB" w:rsidP="0078259D" w:rsidRDefault="00540AAB" w14:paraId="17D3A95B" w14:textId="63453C83">
      <w:pPr>
        <w:pStyle w:val="CoL"/>
      </w:pPr>
      <w:r>
        <w:t xml:space="preserve">CRPC’s Motion to Reopen the Record </w:t>
      </w:r>
      <w:r w:rsidRPr="00822E6E">
        <w:t xml:space="preserve">should be </w:t>
      </w:r>
      <w:r w:rsidRPr="007B333C">
        <w:t>denied</w:t>
      </w:r>
      <w:r>
        <w:t>.</w:t>
      </w:r>
    </w:p>
    <w:p w:rsidRPr="009557FA" w:rsidR="00CA757B" w:rsidP="00CA757B" w:rsidRDefault="00CA757B" w14:paraId="04DD11BC" w14:textId="7F327843">
      <w:pPr>
        <w:pStyle w:val="CoL"/>
      </w:pPr>
      <w:r w:rsidRPr="009557FA">
        <w:t xml:space="preserve">CRPC’s </w:t>
      </w:r>
      <w:r w:rsidRPr="00A127CD" w:rsidR="00752F4F">
        <w:t>m</w:t>
      </w:r>
      <w:r w:rsidRPr="009557FA">
        <w:t>otion</w:t>
      </w:r>
      <w:r w:rsidRPr="00A127CD" w:rsidR="00752F4F">
        <w:t>s</w:t>
      </w:r>
      <w:r w:rsidRPr="009557FA">
        <w:t xml:space="preserve"> to </w:t>
      </w:r>
      <w:r w:rsidRPr="00A127CD" w:rsidR="00752F4F">
        <w:t>f</w:t>
      </w:r>
      <w:r w:rsidRPr="009557FA">
        <w:t>ile a</w:t>
      </w:r>
      <w:r w:rsidRPr="00A127CD" w:rsidR="00752F4F">
        <w:t>s</w:t>
      </w:r>
      <w:r w:rsidRPr="009557FA">
        <w:t xml:space="preserve"> </w:t>
      </w:r>
      <w:r w:rsidRPr="00A127CD" w:rsidR="00F41B89">
        <w:t>c</w:t>
      </w:r>
      <w:r w:rsidRPr="009557FA">
        <w:t xml:space="preserve">onfidential </w:t>
      </w:r>
      <w:r w:rsidRPr="00A127CD" w:rsidR="00F41B89">
        <w:t xml:space="preserve">materials </w:t>
      </w:r>
      <w:r w:rsidRPr="00A127CD" w:rsidR="006E5F0B">
        <w:t xml:space="preserve">under </w:t>
      </w:r>
      <w:r w:rsidRPr="009557FA" w:rsidR="00735964">
        <w:t xml:space="preserve">seal (1) </w:t>
      </w:r>
      <w:r w:rsidRPr="009557FA" w:rsidR="00735964">
        <w:rPr>
          <w:color w:val="000000"/>
        </w:rPr>
        <w:t>Appendix C to the Application and (2) Appendix C to the Amended Application, appended as Exhibit B to CRPC’s Motion to Amend</w:t>
      </w:r>
      <w:r w:rsidRPr="009557FA" w:rsidR="009557FA">
        <w:rPr>
          <w:color w:val="000000"/>
        </w:rPr>
        <w:t>,</w:t>
      </w:r>
      <w:r w:rsidRPr="00A127CD" w:rsidR="00735964">
        <w:t xml:space="preserve"> </w:t>
      </w:r>
      <w:r w:rsidRPr="00A127CD" w:rsidR="006E5F0B">
        <w:t xml:space="preserve">should be granted for a period of three years </w:t>
      </w:r>
      <w:r w:rsidRPr="00A127CD" w:rsidR="001D7DD9">
        <w:t>after the date of this decision</w:t>
      </w:r>
      <w:r w:rsidRPr="009557FA">
        <w:t>.</w:t>
      </w:r>
    </w:p>
    <w:p w:rsidRPr="00822E6E" w:rsidR="00BF320C" w:rsidP="005B03A5" w:rsidRDefault="00BF320C" w14:paraId="67B75BAA" w14:textId="4E3CACA8">
      <w:pPr>
        <w:pStyle w:val="CoL"/>
      </w:pPr>
      <w:r w:rsidRPr="00822E6E">
        <w:t xml:space="preserve">All pending motions which have not been expressly </w:t>
      </w:r>
      <w:r w:rsidR="004E0FA8">
        <w:t>addressed</w:t>
      </w:r>
      <w:r w:rsidRPr="00822E6E">
        <w:t xml:space="preserve"> by the assigned Administrative Law Judge </w:t>
      </w:r>
      <w:r w:rsidR="004E0FA8">
        <w:t xml:space="preserve">or the Assigned Commissioner </w:t>
      </w:r>
      <w:r w:rsidRPr="00822E6E">
        <w:t>should be denied.</w:t>
      </w:r>
    </w:p>
    <w:p w:rsidR="00E452C7" w:rsidP="00E452C7" w:rsidRDefault="00E452C7" w14:paraId="119FA048" w14:textId="2839F491">
      <w:pPr>
        <w:pStyle w:val="CoL"/>
      </w:pPr>
      <w:r>
        <w:t>Application 23-07-008 should be d</w:t>
      </w:r>
      <w:r w:rsidR="00AA1E78">
        <w:t>ismissed without prejudice</w:t>
      </w:r>
      <w:r w:rsidR="00495785">
        <w:t xml:space="preserve"> as unripe</w:t>
      </w:r>
      <w:r>
        <w:t xml:space="preserve">. </w:t>
      </w:r>
    </w:p>
    <w:p w:rsidR="00FB6104" w:rsidP="00FB6104" w:rsidRDefault="000E7970" w14:paraId="62819CF6" w14:textId="6D9A6543">
      <w:pPr>
        <w:pStyle w:val="CoL"/>
      </w:pPr>
      <w:r w:rsidRPr="00822E6E">
        <w:t xml:space="preserve">Application 23-07-008 </w:t>
      </w:r>
      <w:r w:rsidRPr="00822E6E" w:rsidR="00FB6104">
        <w:t>should be closed.</w:t>
      </w:r>
    </w:p>
    <w:p w:rsidRPr="00822E6E" w:rsidR="00487F60" w:rsidP="00FB6104" w:rsidRDefault="007E0BC9" w14:paraId="259930AA" w14:textId="393D74E6">
      <w:pPr>
        <w:pStyle w:val="CoL"/>
      </w:pPr>
      <w:r>
        <w:rPr>
          <w:rFonts w:eastAsia="Calibri" w:cs="Times New Roman"/>
        </w:rPr>
        <w:t>A</w:t>
      </w:r>
      <w:r w:rsidRPr="00D64B24" w:rsidR="00487F60">
        <w:rPr>
          <w:rFonts w:eastAsia="Calibri" w:cs="Times New Roman"/>
        </w:rPr>
        <w:t xml:space="preserve"> new application </w:t>
      </w:r>
      <w:r w:rsidR="00487F60">
        <w:t>requesting designation as a public utility gas corporation under Sections 222 and 216</w:t>
      </w:r>
      <w:r w:rsidRPr="00D64B24" w:rsidR="00487F60">
        <w:rPr>
          <w:rFonts w:eastAsia="Calibri" w:cs="Times New Roman"/>
        </w:rPr>
        <w:t xml:space="preserve"> </w:t>
      </w:r>
      <w:r w:rsidR="00487F60">
        <w:t xml:space="preserve">and for a </w:t>
      </w:r>
      <w:r w:rsidR="00487F60">
        <w:rPr>
          <w:rFonts w:cstheme="majorHAnsi"/>
          <w:szCs w:val="26"/>
        </w:rPr>
        <w:t>CPCN</w:t>
      </w:r>
      <w:r w:rsidR="00487F60">
        <w:t xml:space="preserve"> under Sections </w:t>
      </w:r>
      <w:r w:rsidR="00487F60">
        <w:rPr>
          <w:szCs w:val="26"/>
        </w:rPr>
        <w:t xml:space="preserve">1001 and </w:t>
      </w:r>
      <w:r w:rsidR="00487F60">
        <w:rPr>
          <w:szCs w:val="26"/>
        </w:rPr>
        <w:lastRenderedPageBreak/>
        <w:t xml:space="preserve">1002 </w:t>
      </w:r>
      <w:r w:rsidR="00D511DB">
        <w:rPr>
          <w:szCs w:val="26"/>
        </w:rPr>
        <w:t xml:space="preserve">should be allowed to be </w:t>
      </w:r>
      <w:r w:rsidR="00487F60">
        <w:rPr>
          <w:rFonts w:eastAsia="Calibri" w:cs="Times New Roman"/>
        </w:rPr>
        <w:t xml:space="preserve">filed </w:t>
      </w:r>
      <w:r w:rsidRPr="00D64B24" w:rsidR="00487F60">
        <w:rPr>
          <w:rFonts w:eastAsia="Calibri" w:cs="Times New Roman"/>
        </w:rPr>
        <w:t>with the Commission</w:t>
      </w:r>
      <w:r w:rsidR="00487F60">
        <w:rPr>
          <w:rFonts w:eastAsia="Calibri" w:cs="Times New Roman"/>
        </w:rPr>
        <w:t xml:space="preserve"> by a proper party u</w:t>
      </w:r>
      <w:r w:rsidRPr="00D64B24" w:rsidR="00487F60">
        <w:rPr>
          <w:rFonts w:eastAsia="Calibri" w:cs="Times New Roman"/>
        </w:rPr>
        <w:t xml:space="preserve">pon </w:t>
      </w:r>
      <w:r w:rsidR="00487F60">
        <w:rPr>
          <w:rFonts w:eastAsia="Calibri" w:cs="Times New Roman"/>
        </w:rPr>
        <w:t>(1) confirmation</w:t>
      </w:r>
      <w:r w:rsidRPr="00D64B24" w:rsidR="00487F60">
        <w:rPr>
          <w:rFonts w:eastAsia="Calibri" w:cs="Times New Roman"/>
        </w:rPr>
        <w:t xml:space="preserve"> of </w:t>
      </w:r>
      <w:r w:rsidRPr="000423F3" w:rsidR="00487F60">
        <w:rPr>
          <w:rFonts w:eastAsia="Calibri" w:cs="Times New Roman"/>
        </w:rPr>
        <w:t xml:space="preserve">ownership </w:t>
      </w:r>
      <w:r w:rsidRPr="00D64B24" w:rsidR="00487F60">
        <w:rPr>
          <w:rFonts w:eastAsia="Calibri" w:cs="Times New Roman"/>
        </w:rPr>
        <w:t xml:space="preserve">rights to </w:t>
      </w:r>
      <w:r w:rsidR="00487F60">
        <w:rPr>
          <w:rFonts w:eastAsia="Calibri" w:cs="Times New Roman"/>
        </w:rPr>
        <w:t xml:space="preserve">all segments of </w:t>
      </w:r>
      <w:r w:rsidRPr="00D64B24" w:rsidR="00487F60">
        <w:rPr>
          <w:rFonts w:eastAsia="Calibri" w:cs="Times New Roman"/>
        </w:rPr>
        <w:t>the full UI Pipeline</w:t>
      </w:r>
      <w:r w:rsidR="00487F60">
        <w:rPr>
          <w:rFonts w:eastAsia="Calibri" w:cs="Times New Roman"/>
        </w:rPr>
        <w:t xml:space="preserve">; or (2) </w:t>
      </w:r>
      <w:r w:rsidR="00487F60">
        <w:t>an applicant acquiring present rights to “</w:t>
      </w:r>
      <w:r w:rsidRPr="006D4DE2" w:rsidR="00487F60">
        <w:rPr>
          <w:szCs w:val="26"/>
        </w:rPr>
        <w:t xml:space="preserve">control, operate, </w:t>
      </w:r>
      <w:r w:rsidRPr="00B85D36" w:rsidR="00487F60">
        <w:rPr>
          <w:szCs w:val="26"/>
        </w:rPr>
        <w:t>or</w:t>
      </w:r>
      <w:r w:rsidRPr="006D4DE2" w:rsidR="00487F60">
        <w:rPr>
          <w:szCs w:val="26"/>
        </w:rPr>
        <w:t xml:space="preserve"> manage”</w:t>
      </w:r>
      <w:r w:rsidRPr="000E5E68" w:rsidR="00487F60">
        <w:rPr>
          <w:szCs w:val="26"/>
        </w:rPr>
        <w:t xml:space="preserve"> </w:t>
      </w:r>
      <w:r w:rsidR="00487F60">
        <w:rPr>
          <w:rFonts w:eastAsia="Calibri" w:cs="Times New Roman"/>
        </w:rPr>
        <w:t xml:space="preserve">all segments of </w:t>
      </w:r>
      <w:r w:rsidRPr="00D64B24" w:rsidR="00487F60">
        <w:rPr>
          <w:rFonts w:eastAsia="Calibri" w:cs="Times New Roman"/>
        </w:rPr>
        <w:t xml:space="preserve">the </w:t>
      </w:r>
      <w:r w:rsidR="00487F60">
        <w:rPr>
          <w:rFonts w:cstheme="majorHAnsi"/>
          <w:szCs w:val="26"/>
        </w:rPr>
        <w:t>full</w:t>
      </w:r>
      <w:r w:rsidRPr="001E7433" w:rsidR="00487F60">
        <w:rPr>
          <w:rFonts w:cstheme="majorHAnsi"/>
          <w:szCs w:val="26"/>
        </w:rPr>
        <w:t xml:space="preserve"> </w:t>
      </w:r>
      <w:r w:rsidR="00487F60">
        <w:rPr>
          <w:rFonts w:cstheme="majorHAnsi"/>
          <w:szCs w:val="26"/>
        </w:rPr>
        <w:t>UI P</w:t>
      </w:r>
      <w:r w:rsidRPr="00D018F7" w:rsidR="00487F60">
        <w:t>ipeline</w:t>
      </w:r>
      <w:r w:rsidR="00487F60">
        <w:t>.</w:t>
      </w:r>
    </w:p>
    <w:p w:rsidR="00FB6104" w:rsidP="00FB6104" w:rsidRDefault="00FB6104" w14:paraId="216F6801" w14:textId="77777777">
      <w:pPr>
        <w:pStyle w:val="Mainex"/>
      </w:pPr>
      <w:bookmarkStart w:name="_Toc148605007" w:id="251"/>
      <w:bookmarkStart w:name="_Toc211606218" w:id="252"/>
      <w:bookmarkStart w:name="_Toc220596347" w:id="253"/>
      <w:bookmarkStart w:name="_Toc220972230" w:id="254"/>
      <w:r>
        <w:t>ORDER</w:t>
      </w:r>
      <w:bookmarkEnd w:id="251"/>
      <w:bookmarkEnd w:id="252"/>
      <w:bookmarkEnd w:id="253"/>
      <w:bookmarkEnd w:id="254"/>
    </w:p>
    <w:p w:rsidR="00FB6104" w:rsidP="00FB6104" w:rsidRDefault="00FB6104" w14:paraId="49F5B1A6" w14:textId="77777777">
      <w:pPr>
        <w:keepNext/>
      </w:pPr>
      <w:r w:rsidRPr="00BB0243">
        <w:rPr>
          <w:b/>
        </w:rPr>
        <w:t>IT IS ORDERED</w:t>
      </w:r>
      <w:r>
        <w:t xml:space="preserve"> that:</w:t>
      </w:r>
    </w:p>
    <w:p w:rsidR="00244244" w:rsidP="00FB6104" w:rsidRDefault="00244244" w14:paraId="706ED319" w14:textId="7862A287">
      <w:pPr>
        <w:pStyle w:val="OP"/>
      </w:pPr>
      <w:r>
        <w:t xml:space="preserve">Application 23-07-008 </w:t>
      </w:r>
      <w:r w:rsidRPr="00E468B0" w:rsidR="00E17047">
        <w:rPr>
          <w:rFonts w:cs="Arial"/>
          <w:szCs w:val="26"/>
        </w:rPr>
        <w:t>of California Resources Production Corporation for a Certificate of Public Convenience and Necessity to Operate as a Gas Corporation in the State of California</w:t>
      </w:r>
      <w:r w:rsidRPr="001E2A62" w:rsidR="00E17047">
        <w:t xml:space="preserve"> </w:t>
      </w:r>
      <w:r w:rsidRPr="001E2A62">
        <w:t xml:space="preserve">is </w:t>
      </w:r>
      <w:r w:rsidR="00F4768A">
        <w:t>d</w:t>
      </w:r>
      <w:r w:rsidR="00AA1E78">
        <w:t>ismissed without prejudice</w:t>
      </w:r>
      <w:r w:rsidR="00495785">
        <w:t xml:space="preserve"> as unripe</w:t>
      </w:r>
      <w:r w:rsidR="00F155D4">
        <w:t>.</w:t>
      </w:r>
    </w:p>
    <w:p w:rsidRPr="007B333C" w:rsidR="00484BB5" w:rsidP="00484BB5" w:rsidRDefault="00AE76F2" w14:paraId="2E821D7F" w14:textId="15F6E201">
      <w:pPr>
        <w:pStyle w:val="OP"/>
      </w:pPr>
      <w:r w:rsidRPr="001E7433">
        <w:rPr>
          <w:rFonts w:cstheme="majorHAnsi"/>
          <w:szCs w:val="26"/>
        </w:rPr>
        <w:t>California Resources Production Corporation</w:t>
      </w:r>
      <w:r w:rsidRPr="007B333C" w:rsidR="00484BB5">
        <w:t xml:space="preserve">’s Motion to Amend </w:t>
      </w:r>
      <w:r w:rsidR="009C2FEA">
        <w:t xml:space="preserve">Its Application </w:t>
      </w:r>
      <w:r w:rsidRPr="007B333C" w:rsidR="00484BB5">
        <w:t xml:space="preserve">is denied. </w:t>
      </w:r>
    </w:p>
    <w:p w:rsidR="00E625EB" w:rsidP="00E625EB" w:rsidRDefault="002220DF" w14:paraId="50614CF7" w14:textId="3B490FB7">
      <w:pPr>
        <w:pStyle w:val="OP"/>
      </w:pPr>
      <w:r w:rsidRPr="007B333C">
        <w:t>The Joint Request to Hold Proceeding In Abeyance by The City of Antioch and The City of Brentwood is denied.</w:t>
      </w:r>
    </w:p>
    <w:p w:rsidRPr="007B333C" w:rsidR="002F5763" w:rsidP="002F5763" w:rsidRDefault="002F5763" w14:paraId="1987BC9A" w14:textId="63BA8EFB">
      <w:pPr>
        <w:pStyle w:val="OP"/>
      </w:pPr>
      <w:r w:rsidRPr="001E7433">
        <w:rPr>
          <w:rFonts w:cstheme="majorHAnsi"/>
          <w:szCs w:val="26"/>
        </w:rPr>
        <w:t>California Resources Production Corporation</w:t>
      </w:r>
      <w:r w:rsidRPr="007B333C">
        <w:t xml:space="preserve">’s Motion to </w:t>
      </w:r>
      <w:r>
        <w:t xml:space="preserve">Reopen the Record </w:t>
      </w:r>
      <w:r w:rsidRPr="007B333C">
        <w:t xml:space="preserve">is denied. </w:t>
      </w:r>
    </w:p>
    <w:p w:rsidRPr="00884582" w:rsidR="00EC0CAF" w:rsidP="00EC0CAF" w:rsidRDefault="00AE76F2" w14:paraId="68420A5C" w14:textId="4F77A201">
      <w:pPr>
        <w:pStyle w:val="OP"/>
      </w:pPr>
      <w:r w:rsidRPr="00884582">
        <w:rPr>
          <w:rFonts w:cstheme="majorHAnsi"/>
          <w:szCs w:val="26"/>
        </w:rPr>
        <w:t>California Resources Production Corporation</w:t>
      </w:r>
      <w:r w:rsidRPr="00884582" w:rsidR="00EC0CAF">
        <w:t xml:space="preserve">’s </w:t>
      </w:r>
      <w:r w:rsidRPr="00884582" w:rsidR="00DA1504">
        <w:t xml:space="preserve">motions to file as confidential materials under seal (1) </w:t>
      </w:r>
      <w:r w:rsidRPr="00884582" w:rsidR="00DA1504">
        <w:rPr>
          <w:color w:val="000000"/>
        </w:rPr>
        <w:t>Appendix C to the Application and (2) Appendix C to the Amended Application, appended as Exhibit B to CRPC’s Motion to Amend</w:t>
      </w:r>
      <w:r w:rsidRPr="00884582" w:rsidR="00DA1504">
        <w:rPr>
          <w:lang w:val="en-ZW"/>
        </w:rPr>
        <w:t>,</w:t>
      </w:r>
      <w:r w:rsidRPr="00884582" w:rsidR="00DA1504">
        <w:t xml:space="preserve"> are granted for a period of three years after the date of this decision. During this three-year period, this information shall not be publicly disclosed except on further Commission order or ALJ ruling. If </w:t>
      </w:r>
      <w:r w:rsidRPr="00A127CD" w:rsidR="006D2C00">
        <w:rPr>
          <w:rFonts w:cstheme="majorHAnsi"/>
          <w:szCs w:val="26"/>
        </w:rPr>
        <w:t>California Resources Production Corporation</w:t>
      </w:r>
      <w:r w:rsidRPr="00884582" w:rsidR="006D2C00">
        <w:rPr>
          <w:rFonts w:cstheme="majorHAnsi"/>
          <w:szCs w:val="26"/>
        </w:rPr>
        <w:t xml:space="preserve"> </w:t>
      </w:r>
      <w:r w:rsidRPr="00884582" w:rsidR="00DA1504">
        <w:t xml:space="preserve">believes that it is necessary for this information to remain under seal for longer than three years, </w:t>
      </w:r>
      <w:r w:rsidRPr="00A127CD" w:rsidR="006D2C00">
        <w:rPr>
          <w:rFonts w:cstheme="majorHAnsi"/>
          <w:szCs w:val="26"/>
        </w:rPr>
        <w:t>California Resources Production Corporation</w:t>
      </w:r>
      <w:r w:rsidRPr="00884582" w:rsidR="006D2C00">
        <w:rPr>
          <w:rFonts w:cstheme="majorHAnsi"/>
          <w:szCs w:val="26"/>
        </w:rPr>
        <w:t xml:space="preserve"> </w:t>
      </w:r>
      <w:r w:rsidRPr="00884582" w:rsidR="00DA1504">
        <w:t>may file a new motion showing good cause for extending this order by no later than 30 days before the expiration of this order</w:t>
      </w:r>
      <w:r w:rsidRPr="00884582" w:rsidR="00EC0CAF">
        <w:t>.</w:t>
      </w:r>
    </w:p>
    <w:p w:rsidRPr="008108E4" w:rsidR="00FB6104" w:rsidP="00FB6104" w:rsidRDefault="00FB6104" w14:paraId="5E847795" w14:textId="2759663B">
      <w:pPr>
        <w:pStyle w:val="OP"/>
      </w:pPr>
      <w:r w:rsidRPr="008108E4">
        <w:lastRenderedPageBreak/>
        <w:t xml:space="preserve">All pending motions which have not been expressly </w:t>
      </w:r>
      <w:r w:rsidR="004E0FA8">
        <w:t>address</w:t>
      </w:r>
      <w:r w:rsidRPr="008108E4" w:rsidR="004E0FA8">
        <w:t xml:space="preserve">ed </w:t>
      </w:r>
      <w:r w:rsidRPr="008108E4">
        <w:t xml:space="preserve">by the assigned Administrative Law Judge </w:t>
      </w:r>
      <w:r w:rsidR="004E0FA8">
        <w:t xml:space="preserve">or the assigned Commissioner </w:t>
      </w:r>
      <w:r w:rsidRPr="008108E4">
        <w:t>are denied.</w:t>
      </w:r>
    </w:p>
    <w:p w:rsidR="00FB6104" w:rsidP="00FB6104" w:rsidRDefault="00FB6104" w14:paraId="1AEC7316" w14:textId="676DED6F">
      <w:pPr>
        <w:pStyle w:val="OP"/>
      </w:pPr>
      <w:bookmarkStart w:name="_Hlk140738463" w:id="255"/>
      <w:r>
        <w:t xml:space="preserve">Application 23-07-008 </w:t>
      </w:r>
      <w:r w:rsidRPr="001E2A62">
        <w:t>is closed.</w:t>
      </w:r>
    </w:p>
    <w:p w:rsidR="009671F5" w:rsidP="00FB6104" w:rsidRDefault="009671F5" w14:paraId="4D246103" w14:textId="52D5A6E9">
      <w:pPr>
        <w:pStyle w:val="OP"/>
      </w:pPr>
      <w:r>
        <w:rPr>
          <w:rFonts w:eastAsia="Calibri" w:cs="Times New Roman"/>
        </w:rPr>
        <w:t>A</w:t>
      </w:r>
      <w:r w:rsidRPr="00D64B24">
        <w:rPr>
          <w:rFonts w:eastAsia="Calibri" w:cs="Times New Roman"/>
        </w:rPr>
        <w:t xml:space="preserve"> new application </w:t>
      </w:r>
      <w:r>
        <w:t>requesting designation as a public utility gas corporation under Sections 222 and 216</w:t>
      </w:r>
      <w:r w:rsidRPr="00D64B24">
        <w:rPr>
          <w:rFonts w:eastAsia="Calibri" w:cs="Times New Roman"/>
        </w:rPr>
        <w:t xml:space="preserve"> </w:t>
      </w:r>
      <w:r>
        <w:t xml:space="preserve">and for a </w:t>
      </w:r>
      <w:r>
        <w:rPr>
          <w:rFonts w:cstheme="majorHAnsi"/>
          <w:szCs w:val="26"/>
        </w:rPr>
        <w:t>CPCN</w:t>
      </w:r>
      <w:r>
        <w:t xml:space="preserve"> under Sections </w:t>
      </w:r>
      <w:r>
        <w:rPr>
          <w:szCs w:val="26"/>
        </w:rPr>
        <w:t xml:space="preserve">1001 and 1002 may be </w:t>
      </w:r>
      <w:r>
        <w:rPr>
          <w:rFonts w:eastAsia="Calibri" w:cs="Times New Roman"/>
        </w:rPr>
        <w:t xml:space="preserve">filed </w:t>
      </w:r>
      <w:r w:rsidRPr="00D64B24">
        <w:rPr>
          <w:rFonts w:eastAsia="Calibri" w:cs="Times New Roman"/>
        </w:rPr>
        <w:t>with the Commission</w:t>
      </w:r>
      <w:r>
        <w:rPr>
          <w:rFonts w:eastAsia="Calibri" w:cs="Times New Roman"/>
        </w:rPr>
        <w:t xml:space="preserve"> by a proper party u</w:t>
      </w:r>
      <w:r w:rsidRPr="00D64B24">
        <w:rPr>
          <w:rFonts w:eastAsia="Calibri" w:cs="Times New Roman"/>
        </w:rPr>
        <w:t xml:space="preserve">pon </w:t>
      </w:r>
      <w:r>
        <w:rPr>
          <w:rFonts w:eastAsia="Calibri" w:cs="Times New Roman"/>
        </w:rPr>
        <w:t>(1) confirmation</w:t>
      </w:r>
      <w:r w:rsidRPr="00D64B24">
        <w:rPr>
          <w:rFonts w:eastAsia="Calibri" w:cs="Times New Roman"/>
        </w:rPr>
        <w:t xml:space="preserve"> of </w:t>
      </w:r>
      <w:r w:rsidRPr="000423F3">
        <w:rPr>
          <w:rFonts w:eastAsia="Calibri" w:cs="Times New Roman"/>
        </w:rPr>
        <w:t xml:space="preserve">ownership </w:t>
      </w:r>
      <w:r w:rsidRPr="00D64B24">
        <w:rPr>
          <w:rFonts w:eastAsia="Calibri" w:cs="Times New Roman"/>
        </w:rPr>
        <w:t xml:space="preserve">rights to </w:t>
      </w:r>
      <w:r>
        <w:rPr>
          <w:rFonts w:eastAsia="Calibri" w:cs="Times New Roman"/>
        </w:rPr>
        <w:t xml:space="preserve">all segments of </w:t>
      </w:r>
      <w:r w:rsidRPr="00D64B24">
        <w:rPr>
          <w:rFonts w:eastAsia="Calibri" w:cs="Times New Roman"/>
        </w:rPr>
        <w:t>the full UI Pipeline</w:t>
      </w:r>
      <w:r>
        <w:rPr>
          <w:rFonts w:eastAsia="Calibri" w:cs="Times New Roman"/>
        </w:rPr>
        <w:t xml:space="preserve">; or (2) </w:t>
      </w:r>
      <w:r>
        <w:t>an applicant acquiring present rights to “</w:t>
      </w:r>
      <w:r w:rsidRPr="006D4DE2">
        <w:rPr>
          <w:szCs w:val="26"/>
        </w:rPr>
        <w:t xml:space="preserve">control, operate, </w:t>
      </w:r>
      <w:r w:rsidRPr="00B85D36">
        <w:rPr>
          <w:szCs w:val="26"/>
        </w:rPr>
        <w:t>or</w:t>
      </w:r>
      <w:r w:rsidRPr="006D4DE2">
        <w:rPr>
          <w:szCs w:val="26"/>
        </w:rPr>
        <w:t xml:space="preserve"> manage”</w:t>
      </w:r>
      <w:r w:rsidRPr="000E5E68">
        <w:rPr>
          <w:szCs w:val="26"/>
        </w:rPr>
        <w:t xml:space="preserve"> </w:t>
      </w:r>
      <w:r>
        <w:rPr>
          <w:rFonts w:eastAsia="Calibri" w:cs="Times New Roman"/>
        </w:rPr>
        <w:t xml:space="preserve">all segments of </w:t>
      </w:r>
      <w:r w:rsidRPr="00D64B24">
        <w:rPr>
          <w:rFonts w:eastAsia="Calibri" w:cs="Times New Roman"/>
        </w:rPr>
        <w:t xml:space="preserve">the </w:t>
      </w:r>
      <w:r>
        <w:rPr>
          <w:rFonts w:cstheme="majorHAnsi"/>
          <w:szCs w:val="26"/>
        </w:rPr>
        <w:t>full</w:t>
      </w:r>
      <w:r w:rsidRPr="001E7433">
        <w:rPr>
          <w:rFonts w:cstheme="majorHAnsi"/>
          <w:szCs w:val="26"/>
        </w:rPr>
        <w:t xml:space="preserve"> </w:t>
      </w:r>
      <w:r>
        <w:rPr>
          <w:rFonts w:cstheme="majorHAnsi"/>
          <w:szCs w:val="26"/>
        </w:rPr>
        <w:t>UI P</w:t>
      </w:r>
      <w:r w:rsidRPr="00D018F7">
        <w:t>ipeline</w:t>
      </w:r>
      <w:r>
        <w:t>.</w:t>
      </w:r>
    </w:p>
    <w:bookmarkEnd w:id="255"/>
    <w:p w:rsidR="00FB6104" w:rsidP="00FB6104" w:rsidRDefault="00FB6104" w14:paraId="7C07D24E" w14:textId="77777777">
      <w:r>
        <w:t>This order is effective today.</w:t>
      </w:r>
    </w:p>
    <w:p w:rsidR="00A51C42" w:rsidP="00AE11EF" w:rsidRDefault="00FB6104" w14:paraId="52262D5D" w14:textId="48046196">
      <w:r>
        <w:t xml:space="preserve">Dated </w:t>
      </w:r>
      <w:r w:rsidR="003845A8">
        <w:t xml:space="preserve">February </w:t>
      </w:r>
      <w:r w:rsidR="000C6A71">
        <w:t>5,</w:t>
      </w:r>
      <w:r>
        <w:t xml:space="preserve"> </w:t>
      </w:r>
      <w:proofErr w:type="gramStart"/>
      <w:r w:rsidR="008C3E53">
        <w:t>202</w:t>
      </w:r>
      <w:r w:rsidR="003845A8">
        <w:t>6</w:t>
      </w:r>
      <w:proofErr w:type="gramEnd"/>
      <w:r w:rsidR="00502E04">
        <w:t xml:space="preserve"> </w:t>
      </w:r>
      <w:r>
        <w:t xml:space="preserve">at </w:t>
      </w:r>
      <w:r w:rsidR="000C6A71">
        <w:t>Sacramento</w:t>
      </w:r>
      <w:r>
        <w:t>, California</w:t>
      </w:r>
      <w:r w:rsidR="000C6A71">
        <w:t>.</w:t>
      </w:r>
    </w:p>
    <w:p w:rsidR="000C6A71" w:rsidP="00AE11EF" w:rsidRDefault="000C6A71" w14:paraId="3940BD24" w14:textId="77777777"/>
    <w:p w:rsidRPr="000C6A71" w:rsidR="000C6A71" w:rsidP="000C6A71" w:rsidRDefault="000C6A71" w14:paraId="60FEB448" w14:textId="77777777">
      <w:pPr>
        <w:autoSpaceDE w:val="0"/>
        <w:autoSpaceDN w:val="0"/>
        <w:adjustRightInd w:val="0"/>
        <w:spacing w:line="240" w:lineRule="auto"/>
        <w:ind w:left="4320" w:firstLine="0"/>
        <w:jc w:val="both"/>
        <w:rPr>
          <w:rFonts w:eastAsia="Calibri" w:cs="Times New Roman"/>
          <w:szCs w:val="20"/>
        </w:rPr>
      </w:pPr>
      <w:r w:rsidRPr="000C6A71">
        <w:rPr>
          <w:rFonts w:eastAsia="Calibri" w:cs="Times New Roman"/>
          <w:szCs w:val="20"/>
        </w:rPr>
        <w:t>ALICE REYNOLDS</w:t>
      </w:r>
    </w:p>
    <w:p w:rsidRPr="000C6A71" w:rsidR="000C6A71" w:rsidP="000C6A71" w:rsidRDefault="000C6A71" w14:paraId="26571B54" w14:textId="77777777">
      <w:pPr>
        <w:autoSpaceDE w:val="0"/>
        <w:autoSpaceDN w:val="0"/>
        <w:adjustRightInd w:val="0"/>
        <w:spacing w:line="240" w:lineRule="auto"/>
        <w:jc w:val="both"/>
        <w:rPr>
          <w:rFonts w:eastAsia="Calibri" w:cs="Times New Roman"/>
          <w:szCs w:val="20"/>
        </w:rPr>
      </w:pPr>
      <w:r w:rsidRPr="000C6A71">
        <w:rPr>
          <w:rFonts w:eastAsia="Calibri" w:cs="Times New Roman"/>
          <w:szCs w:val="20"/>
        </w:rPr>
        <w:tab/>
      </w:r>
      <w:r w:rsidRPr="000C6A71">
        <w:rPr>
          <w:rFonts w:eastAsia="Calibri" w:cs="Times New Roman"/>
          <w:szCs w:val="20"/>
        </w:rPr>
        <w:tab/>
      </w:r>
      <w:r w:rsidRPr="000C6A71">
        <w:rPr>
          <w:rFonts w:eastAsia="Calibri" w:cs="Times New Roman"/>
          <w:szCs w:val="20"/>
        </w:rPr>
        <w:tab/>
      </w:r>
      <w:r w:rsidRPr="000C6A71">
        <w:rPr>
          <w:rFonts w:eastAsia="Calibri" w:cs="Times New Roman"/>
          <w:szCs w:val="20"/>
        </w:rPr>
        <w:tab/>
      </w:r>
      <w:r w:rsidRPr="000C6A71">
        <w:rPr>
          <w:rFonts w:eastAsia="Calibri" w:cs="Times New Roman"/>
          <w:szCs w:val="20"/>
        </w:rPr>
        <w:tab/>
        <w:t xml:space="preserve">                       President</w:t>
      </w:r>
    </w:p>
    <w:p w:rsidRPr="000C6A71" w:rsidR="000C6A71" w:rsidP="000C6A71" w:rsidRDefault="000C6A71" w14:paraId="76C031F1" w14:textId="77777777">
      <w:pPr>
        <w:autoSpaceDE w:val="0"/>
        <w:autoSpaceDN w:val="0"/>
        <w:adjustRightInd w:val="0"/>
        <w:spacing w:line="240" w:lineRule="auto"/>
        <w:ind w:left="3600"/>
        <w:jc w:val="both"/>
        <w:rPr>
          <w:rFonts w:eastAsia="Calibri" w:cs="Times New Roman"/>
          <w:szCs w:val="20"/>
        </w:rPr>
      </w:pPr>
      <w:r w:rsidRPr="000C6A71">
        <w:rPr>
          <w:rFonts w:eastAsia="Calibri" w:cs="Times New Roman"/>
          <w:szCs w:val="20"/>
        </w:rPr>
        <w:t>DARCIE L. HOUCK</w:t>
      </w:r>
    </w:p>
    <w:p w:rsidRPr="000C6A71" w:rsidR="000C6A71" w:rsidP="000C6A71" w:rsidRDefault="000C6A71" w14:paraId="4648CEE1" w14:textId="77777777">
      <w:pPr>
        <w:autoSpaceDE w:val="0"/>
        <w:autoSpaceDN w:val="0"/>
        <w:adjustRightInd w:val="0"/>
        <w:spacing w:line="240" w:lineRule="auto"/>
        <w:ind w:left="3600"/>
        <w:jc w:val="both"/>
        <w:rPr>
          <w:rFonts w:eastAsia="Calibri" w:cs="Times New Roman"/>
          <w:szCs w:val="20"/>
        </w:rPr>
      </w:pPr>
      <w:r w:rsidRPr="000C6A71">
        <w:rPr>
          <w:rFonts w:eastAsia="Calibri" w:cs="Times New Roman"/>
          <w:szCs w:val="20"/>
        </w:rPr>
        <w:t>JOHN REYNOLDS</w:t>
      </w:r>
    </w:p>
    <w:p w:rsidRPr="000C6A71" w:rsidR="000C6A71" w:rsidP="000C6A71" w:rsidRDefault="000C6A71" w14:paraId="72356FF7" w14:textId="77777777">
      <w:pPr>
        <w:autoSpaceDE w:val="0"/>
        <w:autoSpaceDN w:val="0"/>
        <w:adjustRightInd w:val="0"/>
        <w:spacing w:line="240" w:lineRule="auto"/>
        <w:ind w:left="3600"/>
        <w:jc w:val="both"/>
        <w:rPr>
          <w:rFonts w:eastAsia="Times New Roman" w:cs="Calibri"/>
          <w:color w:val="000000"/>
          <w:szCs w:val="26"/>
        </w:rPr>
      </w:pPr>
      <w:r w:rsidRPr="000C6A71">
        <w:rPr>
          <w:rFonts w:eastAsia="Times New Roman" w:cs="Calibri"/>
          <w:color w:val="000000"/>
          <w:szCs w:val="26"/>
        </w:rPr>
        <w:t>KAREN DOUGLAS</w:t>
      </w:r>
    </w:p>
    <w:p w:rsidRPr="000C6A71" w:rsidR="000C6A71" w:rsidP="000C6A71" w:rsidRDefault="000C6A71" w14:paraId="07155BF5" w14:textId="77777777">
      <w:pPr>
        <w:autoSpaceDE w:val="0"/>
        <w:autoSpaceDN w:val="0"/>
        <w:adjustRightInd w:val="0"/>
        <w:spacing w:line="240" w:lineRule="auto"/>
        <w:ind w:left="3600"/>
        <w:jc w:val="both"/>
        <w:rPr>
          <w:rFonts w:eastAsia="Calibri" w:cs="Times New Roman"/>
          <w:szCs w:val="20"/>
        </w:rPr>
      </w:pPr>
      <w:r w:rsidRPr="000C6A71">
        <w:rPr>
          <w:rFonts w:eastAsia="Times New Roman" w:cs="Calibri"/>
          <w:color w:val="000000"/>
          <w:szCs w:val="26"/>
        </w:rPr>
        <w:t>MATTHEW BAKER</w:t>
      </w:r>
    </w:p>
    <w:p w:rsidRPr="000C6A71" w:rsidR="000C6A71" w:rsidP="000C6A71" w:rsidRDefault="000C6A71" w14:paraId="597577FB" w14:textId="77777777">
      <w:pPr>
        <w:autoSpaceDE w:val="0"/>
        <w:autoSpaceDN w:val="0"/>
        <w:adjustRightInd w:val="0"/>
        <w:spacing w:line="240" w:lineRule="auto"/>
        <w:ind w:left="4320"/>
        <w:jc w:val="both"/>
        <w:rPr>
          <w:rFonts w:eastAsia="Calibri" w:cs="Times New Roman"/>
          <w:szCs w:val="20"/>
        </w:rPr>
      </w:pPr>
      <w:r w:rsidRPr="000C6A71">
        <w:rPr>
          <w:rFonts w:eastAsia="Calibri" w:cs="Times New Roman"/>
          <w:szCs w:val="20"/>
        </w:rPr>
        <w:t xml:space="preserve">            Commissioners</w:t>
      </w:r>
    </w:p>
    <w:p w:rsidRPr="00714CF2" w:rsidR="000C6A71" w:rsidP="00AE11EF" w:rsidRDefault="000C6A71" w14:paraId="69EEA232" w14:textId="77777777"/>
    <w:sectPr w:rsidRPr="00714CF2" w:rsidR="000C6A71" w:rsidSect="00326F37">
      <w:footerReference w:type="first" r:id="rId17"/>
      <w:pgSz w:w="12240" w:h="15840"/>
      <w:pgMar w:top="1728" w:right="1440" w:bottom="1440" w:left="1440"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647B6" w14:textId="77777777" w:rsidR="00176145" w:rsidRDefault="00176145" w:rsidP="0098138E">
      <w:pPr>
        <w:spacing w:line="240" w:lineRule="auto"/>
      </w:pPr>
      <w:r>
        <w:separator/>
      </w:r>
    </w:p>
  </w:endnote>
  <w:endnote w:type="continuationSeparator" w:id="0">
    <w:p w14:paraId="1A8C6678" w14:textId="77777777" w:rsidR="00176145" w:rsidRDefault="00176145"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4894558"/>
      <w:docPartObj>
        <w:docPartGallery w:val="Page Numbers (Bottom of Page)"/>
        <w:docPartUnique/>
      </w:docPartObj>
    </w:sdtPr>
    <w:sdtEndPr>
      <w:rPr>
        <w:noProof/>
      </w:rPr>
    </w:sdtEndPr>
    <w:sdtContent>
      <w:p w14:paraId="6E8CBABB" w14:textId="2155DA77" w:rsidR="00B42CE0" w:rsidRDefault="00B42CE0" w:rsidP="00395232">
        <w:pPr>
          <w:pStyle w:val="Footer"/>
          <w:ind w:firstLine="0"/>
        </w:pPr>
        <w:r w:rsidRPr="00395232">
          <w:rPr>
            <w:sz w:val="16"/>
            <w:szCs w:val="16"/>
          </w:rPr>
          <w:t>548253812</w:t>
        </w:r>
        <w:r>
          <w:tab/>
          <w:t xml:space="preserve">- </w:t>
        </w:r>
        <w:r>
          <w:fldChar w:fldCharType="begin"/>
        </w:r>
        <w:r>
          <w:instrText xml:space="preserve"> PAGE   \* MERGEFORMAT </w:instrText>
        </w:r>
        <w:r>
          <w:fldChar w:fldCharType="separate"/>
        </w:r>
        <w:r>
          <w:rPr>
            <w:noProof/>
          </w:rPr>
          <w:t>2</w:t>
        </w:r>
        <w:r>
          <w:rPr>
            <w:noProof/>
          </w:rPr>
          <w:fldChar w:fldCharType="end"/>
        </w:r>
        <w:r>
          <w:rPr>
            <w:noProof/>
          </w:rPr>
          <w:t xml:space="preserve"> -</w:t>
        </w:r>
      </w:p>
    </w:sdtContent>
  </w:sdt>
  <w:p w14:paraId="27E48A33" w14:textId="77777777" w:rsidR="00B42CE0" w:rsidRDefault="00B42CE0" w:rsidP="00395232">
    <w:pPr>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9CEDE" w14:textId="64EB6F40" w:rsidR="00326F37" w:rsidRDefault="004D6D6F" w:rsidP="00326F37">
    <w:pPr>
      <w:pStyle w:val="Footer"/>
      <w:ind w:firstLine="0"/>
    </w:pPr>
    <w:r w:rsidRPr="004D6D6F">
      <w:rPr>
        <w:sz w:val="16"/>
        <w:szCs w:val="16"/>
      </w:rPr>
      <w:t>598870224</w:t>
    </w:r>
    <w:r w:rsidR="00326F37">
      <w:tab/>
      <w:t xml:space="preserve">- </w:t>
    </w:r>
    <w:sdt>
      <w:sdtPr>
        <w:id w:val="-1753190152"/>
        <w:docPartObj>
          <w:docPartGallery w:val="Page Numbers (Bottom of Page)"/>
          <w:docPartUnique/>
        </w:docPartObj>
      </w:sdtPr>
      <w:sdtEndPr>
        <w:rPr>
          <w:noProof/>
        </w:rPr>
      </w:sdtEndPr>
      <w:sdtContent>
        <w:r w:rsidR="00326F37">
          <w:t xml:space="preserve"> </w:t>
        </w:r>
        <w:r w:rsidR="00326F37">
          <w:fldChar w:fldCharType="begin"/>
        </w:r>
        <w:r w:rsidR="00326F37">
          <w:instrText xml:space="preserve"> PAGE   \* MERGEFORMAT </w:instrText>
        </w:r>
        <w:r w:rsidR="00326F37">
          <w:fldChar w:fldCharType="separate"/>
        </w:r>
        <w:r w:rsidR="00326F37">
          <w:rPr>
            <w:noProof/>
          </w:rPr>
          <w:t>2</w:t>
        </w:r>
        <w:r w:rsidR="00326F37">
          <w:rPr>
            <w:noProof/>
          </w:rPr>
          <w:fldChar w:fldCharType="end"/>
        </w:r>
        <w:r w:rsidR="00326F37">
          <w:rPr>
            <w:noProof/>
          </w:rPr>
          <w:t xml:space="preserve"> -</w:t>
        </w:r>
      </w:sdtContent>
    </w:sdt>
  </w:p>
  <w:p w14:paraId="552CD3E2" w14:textId="77777777" w:rsidR="00326F37" w:rsidRDefault="00326F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9AA4A" w14:textId="7F6472C4" w:rsidR="00EE4315" w:rsidRDefault="00A04C71" w:rsidP="00A04C71">
    <w:pPr>
      <w:tabs>
        <w:tab w:val="left" w:pos="600"/>
        <w:tab w:val="center" w:pos="4680"/>
      </w:tabs>
      <w:ind w:firstLine="0"/>
    </w:pPr>
    <w:r>
      <w:tab/>
    </w:r>
    <w:r>
      <w:tab/>
    </w:r>
    <w:r w:rsidR="00EE4315">
      <w:t xml:space="preserve">- </w:t>
    </w:r>
    <w:sdt>
      <w:sdtPr>
        <w:id w:val="1935164809"/>
        <w:docPartObj>
          <w:docPartGallery w:val="Page Numbers (Bottom of Page)"/>
          <w:docPartUnique/>
        </w:docPartObj>
      </w:sdtPr>
      <w:sdtEndPr>
        <w:rPr>
          <w:noProof/>
        </w:rPr>
      </w:sdtEndPr>
      <w:sdtContent>
        <w:r w:rsidR="00EE4315">
          <w:fldChar w:fldCharType="begin"/>
        </w:r>
        <w:r w:rsidR="00EE4315">
          <w:instrText xml:space="preserve"> PAGE   \* MERGEFORMAT </w:instrText>
        </w:r>
        <w:r w:rsidR="00EE4315">
          <w:fldChar w:fldCharType="separate"/>
        </w:r>
        <w:r w:rsidR="00EE4315">
          <w:rPr>
            <w:noProof/>
          </w:rPr>
          <w:t>2</w:t>
        </w:r>
        <w:r w:rsidR="00EE4315">
          <w:rPr>
            <w:noProof/>
          </w:rPr>
          <w:fldChar w:fldCharType="end"/>
        </w:r>
        <w:r w:rsidR="00EE4315">
          <w:rPr>
            <w:noProof/>
          </w:rPr>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ABE06" w14:textId="076888D5" w:rsidR="00395232" w:rsidRDefault="00176145" w:rsidP="00395232">
    <w:pPr>
      <w:pStyle w:val="Footer"/>
      <w:numPr>
        <w:ilvl w:val="0"/>
        <w:numId w:val="18"/>
      </w:numPr>
    </w:pPr>
    <w:sdt>
      <w:sdtPr>
        <w:id w:val="361938388"/>
        <w:docPartObj>
          <w:docPartGallery w:val="Page Numbers (Bottom of Page)"/>
          <w:docPartUnique/>
        </w:docPartObj>
      </w:sdtPr>
      <w:sdtEndPr>
        <w:rPr>
          <w:noProof/>
        </w:rPr>
      </w:sdtEndPr>
      <w:sdtContent>
        <w:r w:rsidR="00395232">
          <w:t xml:space="preserve"> </w:t>
        </w:r>
        <w:r w:rsidR="00395232">
          <w:fldChar w:fldCharType="begin"/>
        </w:r>
        <w:r w:rsidR="00395232">
          <w:instrText xml:space="preserve"> PAGE   \* MERGEFORMAT </w:instrText>
        </w:r>
        <w:r w:rsidR="00395232">
          <w:fldChar w:fldCharType="separate"/>
        </w:r>
        <w:r w:rsidR="00395232">
          <w:rPr>
            <w:noProof/>
          </w:rPr>
          <w:t>2</w:t>
        </w:r>
        <w:r w:rsidR="00395232">
          <w:rPr>
            <w:noProof/>
          </w:rPr>
          <w:fldChar w:fldCharType="end"/>
        </w:r>
        <w:r w:rsidR="00395232">
          <w:rPr>
            <w:noProof/>
          </w:rPr>
          <w:t xml:space="preserve"> -</w:t>
        </w:r>
      </w:sdtContent>
    </w:sdt>
  </w:p>
  <w:p w14:paraId="17C6C86D" w14:textId="0C0A2DC6" w:rsidR="009660A9" w:rsidRDefault="009660A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8BB12" w14:textId="77777777" w:rsidR="00326F37" w:rsidRDefault="00176145" w:rsidP="00395232">
    <w:pPr>
      <w:pStyle w:val="Footer"/>
      <w:numPr>
        <w:ilvl w:val="0"/>
        <w:numId w:val="18"/>
      </w:numPr>
    </w:pPr>
    <w:sdt>
      <w:sdtPr>
        <w:id w:val="247164411"/>
        <w:docPartObj>
          <w:docPartGallery w:val="Page Numbers (Bottom of Page)"/>
          <w:docPartUnique/>
        </w:docPartObj>
      </w:sdtPr>
      <w:sdtEndPr>
        <w:rPr>
          <w:noProof/>
        </w:rPr>
      </w:sdtEndPr>
      <w:sdtContent>
        <w:r w:rsidR="00326F37">
          <w:t xml:space="preserve"> </w:t>
        </w:r>
        <w:r w:rsidR="00326F37">
          <w:fldChar w:fldCharType="begin"/>
        </w:r>
        <w:r w:rsidR="00326F37">
          <w:instrText xml:space="preserve"> PAGE   \* MERGEFORMAT </w:instrText>
        </w:r>
        <w:r w:rsidR="00326F37">
          <w:fldChar w:fldCharType="separate"/>
        </w:r>
        <w:r w:rsidR="00326F37">
          <w:rPr>
            <w:noProof/>
          </w:rPr>
          <w:t>2</w:t>
        </w:r>
        <w:r w:rsidR="00326F37">
          <w:rPr>
            <w:noProof/>
          </w:rPr>
          <w:fldChar w:fldCharType="end"/>
        </w:r>
        <w:r w:rsidR="00326F37">
          <w:rPr>
            <w:noProof/>
          </w:rPr>
          <w:t xml:space="preserve"> -</w:t>
        </w:r>
      </w:sdtContent>
    </w:sdt>
  </w:p>
  <w:p w14:paraId="52DD8232" w14:textId="77777777" w:rsidR="00326F37" w:rsidRDefault="00326F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B4447" w14:textId="77777777" w:rsidR="00176145" w:rsidRDefault="00176145" w:rsidP="00DF58E7">
      <w:pPr>
        <w:spacing w:line="240" w:lineRule="auto"/>
        <w:ind w:firstLine="0"/>
      </w:pPr>
      <w:r>
        <w:separator/>
      </w:r>
    </w:p>
  </w:footnote>
  <w:footnote w:type="continuationSeparator" w:id="0">
    <w:p w14:paraId="67B70192" w14:textId="77777777" w:rsidR="00176145" w:rsidRDefault="00176145" w:rsidP="00DF58E7">
      <w:pPr>
        <w:spacing w:line="240" w:lineRule="auto"/>
        <w:ind w:firstLine="0"/>
      </w:pPr>
      <w:r>
        <w:continuationSeparator/>
      </w:r>
    </w:p>
  </w:footnote>
  <w:footnote w:type="continuationNotice" w:id="1">
    <w:p w14:paraId="688CDC22" w14:textId="77777777" w:rsidR="00176145" w:rsidRPr="00DF58E7" w:rsidRDefault="00176145" w:rsidP="00DF58E7">
      <w:pPr>
        <w:spacing w:line="240" w:lineRule="auto"/>
        <w:ind w:firstLine="0"/>
        <w:jc w:val="right"/>
        <w:rPr>
          <w:i/>
          <w:sz w:val="22"/>
        </w:rPr>
      </w:pPr>
      <w:r w:rsidRPr="00DF58E7">
        <w:rPr>
          <w:i/>
          <w:sz w:val="22"/>
        </w:rPr>
        <w:t xml:space="preserve">Footnote </w:t>
      </w:r>
      <w:proofErr w:type="gramStart"/>
      <w:r w:rsidRPr="00DF58E7">
        <w:rPr>
          <w:i/>
          <w:sz w:val="22"/>
        </w:rPr>
        <w:t>continued on</w:t>
      </w:r>
      <w:proofErr w:type="gramEnd"/>
      <w:r w:rsidRPr="00DF58E7">
        <w:rPr>
          <w:i/>
          <w:sz w:val="22"/>
        </w:rPr>
        <w:t xml:space="preserve"> next page.</w:t>
      </w:r>
    </w:p>
  </w:footnote>
  <w:footnote w:id="2">
    <w:p w14:paraId="4BA85744" w14:textId="495B9F64" w:rsidR="000575B9" w:rsidRDefault="000575B9">
      <w:pPr>
        <w:pStyle w:val="FootnoteText"/>
      </w:pPr>
      <w:r>
        <w:rPr>
          <w:rStyle w:val="FootnoteReference"/>
        </w:rPr>
        <w:footnoteRef/>
      </w:r>
      <w:r>
        <w:t xml:space="preserve"> S</w:t>
      </w:r>
      <w:r w:rsidRPr="00D93861">
        <w:t>ection references in this decision refer to the California Public Utilities Code (Pub. Util. Code), unless otherwise specified</w:t>
      </w:r>
    </w:p>
  </w:footnote>
  <w:footnote w:id="3">
    <w:p w14:paraId="19782297" w14:textId="7743C875" w:rsidR="005E1E65" w:rsidRPr="00B4453F" w:rsidRDefault="005E1E65">
      <w:pPr>
        <w:pStyle w:val="FootnoteText"/>
        <w:rPr>
          <w:lang w:val="en-ZW"/>
        </w:rPr>
      </w:pPr>
      <w:r w:rsidRPr="00B4453F">
        <w:rPr>
          <w:rStyle w:val="FootnoteReference"/>
        </w:rPr>
        <w:footnoteRef/>
      </w:r>
      <w:r w:rsidRPr="00B4453F">
        <w:t xml:space="preserve"> </w:t>
      </w:r>
      <w:r w:rsidR="00714D28" w:rsidRPr="004F439D">
        <w:rPr>
          <w:i/>
          <w:iCs/>
        </w:rPr>
        <w:t>See</w:t>
      </w:r>
      <w:r w:rsidR="00714D28">
        <w:t xml:space="preserve"> </w:t>
      </w:r>
      <w:r w:rsidR="00F558B3" w:rsidRPr="00B4453F">
        <w:t xml:space="preserve">Application of California Resources Production Corporation for a Certificate of Public Convenience and Necessity to Operate as a Gas Corporation in the State of California, filed July 19, 2023 </w:t>
      </w:r>
      <w:r w:rsidR="00ED0B82" w:rsidRPr="00B4453F">
        <w:t>(</w:t>
      </w:r>
      <w:r w:rsidRPr="00B4453F">
        <w:rPr>
          <w:lang w:val="en-ZW"/>
        </w:rPr>
        <w:t>Application</w:t>
      </w:r>
      <w:r w:rsidR="00ED0B82" w:rsidRPr="00B4453F">
        <w:rPr>
          <w:lang w:val="en-ZW"/>
        </w:rPr>
        <w:t>)</w:t>
      </w:r>
      <w:r w:rsidRPr="00B4453F">
        <w:rPr>
          <w:lang w:val="en-ZW"/>
        </w:rPr>
        <w:t xml:space="preserve"> at 1 and 18 (“</w:t>
      </w:r>
      <w:r w:rsidRPr="00B4453F">
        <w:t>In this application, CRPC is seeking an order granting it public utility status as a gas corporation to charge for transportation services along its UI Pipeline. CRPC files this application pursuant to the provisions of PU Code sections 216 and 220</w:t>
      </w:r>
      <w:r w:rsidR="00A672E9">
        <w:t xml:space="preserve"> [sic]</w:t>
      </w:r>
      <w:r w:rsidRPr="00B4453F">
        <w:t>, and the Commission’s Rules.</w:t>
      </w:r>
      <w:r w:rsidRPr="00B4453F">
        <w:rPr>
          <w:lang w:val="en-ZW"/>
        </w:rPr>
        <w:t>”)</w:t>
      </w:r>
      <w:r w:rsidR="00D61A7C">
        <w:rPr>
          <w:lang w:val="en-ZW"/>
        </w:rPr>
        <w:t xml:space="preserve">. We note that CRPC likely intended to </w:t>
      </w:r>
      <w:r w:rsidR="00D26061">
        <w:rPr>
          <w:lang w:val="en-ZW"/>
        </w:rPr>
        <w:t xml:space="preserve">cite to Section 222 </w:t>
      </w:r>
      <w:r w:rsidR="005364C9">
        <w:rPr>
          <w:lang w:val="en-ZW"/>
        </w:rPr>
        <w:t>(defining “gas corporation”)</w:t>
      </w:r>
      <w:r w:rsidR="00D26061">
        <w:rPr>
          <w:lang w:val="en-ZW"/>
        </w:rPr>
        <w:t>.</w:t>
      </w:r>
    </w:p>
  </w:footnote>
  <w:footnote w:id="4">
    <w:p w14:paraId="5390FAA2" w14:textId="20F4B0A4" w:rsidR="00D865BC" w:rsidRPr="00B4453F" w:rsidRDefault="00D865BC" w:rsidP="00D865BC">
      <w:pPr>
        <w:pStyle w:val="FootnoteText"/>
        <w:rPr>
          <w:lang w:val="en-ZW"/>
        </w:rPr>
      </w:pPr>
      <w:r w:rsidRPr="00B4453F">
        <w:rPr>
          <w:rStyle w:val="FootnoteReference"/>
        </w:rPr>
        <w:footnoteRef/>
      </w:r>
      <w:r w:rsidRPr="00B4453F">
        <w:t xml:space="preserve"> </w:t>
      </w:r>
      <w:r w:rsidR="00E96F37" w:rsidRPr="007B333C">
        <w:rPr>
          <w:i/>
          <w:iCs/>
        </w:rPr>
        <w:t>See</w:t>
      </w:r>
      <w:r w:rsidR="00E96F37">
        <w:t xml:space="preserve"> </w:t>
      </w:r>
      <w:r w:rsidRPr="00B4453F">
        <w:t xml:space="preserve">Application at </w:t>
      </w:r>
      <w:r w:rsidR="007C2003">
        <w:t>1</w:t>
      </w:r>
      <w:r w:rsidR="00E96F37">
        <w:t xml:space="preserve">, </w:t>
      </w:r>
      <w:r w:rsidRPr="00B4453F">
        <w:t>5</w:t>
      </w:r>
      <w:r w:rsidR="00E96F37">
        <w:t>, 20</w:t>
      </w:r>
      <w:r w:rsidR="00E118CC">
        <w:t xml:space="preserve"> and</w:t>
      </w:r>
      <w:r w:rsidR="00597499">
        <w:t xml:space="preserve"> 21</w:t>
      </w:r>
      <w:r w:rsidRPr="00B4453F">
        <w:t>.</w:t>
      </w:r>
      <w:r w:rsidRPr="00B4453F">
        <w:rPr>
          <w:spacing w:val="40"/>
        </w:rPr>
        <w:t xml:space="preserve"> </w:t>
      </w:r>
    </w:p>
  </w:footnote>
  <w:footnote w:id="5">
    <w:p w14:paraId="7BEBFC47" w14:textId="78E69C42" w:rsidR="00D865BC" w:rsidRPr="002C6A6A" w:rsidRDefault="00D865BC" w:rsidP="00D865BC">
      <w:pPr>
        <w:pStyle w:val="FootnoteText"/>
        <w:rPr>
          <w:szCs w:val="22"/>
          <w:lang w:val="en-ZW"/>
        </w:rPr>
      </w:pPr>
      <w:r w:rsidRPr="002C6A6A">
        <w:rPr>
          <w:rStyle w:val="FootnoteReference"/>
          <w:szCs w:val="22"/>
        </w:rPr>
        <w:footnoteRef/>
      </w:r>
      <w:r w:rsidRPr="002C6A6A">
        <w:rPr>
          <w:szCs w:val="22"/>
        </w:rPr>
        <w:t xml:space="preserve"> </w:t>
      </w:r>
      <w:r w:rsidR="001E434C" w:rsidRPr="002C6A6A">
        <w:rPr>
          <w:szCs w:val="22"/>
        </w:rPr>
        <w:t xml:space="preserve">The Cities contend that CRPC operated the UI Pipeline </w:t>
      </w:r>
      <w:r w:rsidR="001E434C">
        <w:rPr>
          <w:szCs w:val="22"/>
        </w:rPr>
        <w:t xml:space="preserve">for two years </w:t>
      </w:r>
      <w:r w:rsidR="001E434C" w:rsidRPr="002C6A6A">
        <w:rPr>
          <w:szCs w:val="22"/>
        </w:rPr>
        <w:t xml:space="preserve">despite expiration of the company’s franchise operating rights within the Cities. </w:t>
      </w:r>
      <w:r w:rsidR="001E434C">
        <w:rPr>
          <w:lang w:val="en-ZW"/>
        </w:rPr>
        <w:t xml:space="preserve">Cities’ October 10, 2025 </w:t>
      </w:r>
      <w:r w:rsidR="001E434C" w:rsidRPr="002A7194">
        <w:t>Updated, Supplemental Joint Response pursuant to Administrative Law Judge Jeffrey</w:t>
      </w:r>
      <w:r w:rsidR="001E434C">
        <w:t xml:space="preserve"> </w:t>
      </w:r>
      <w:r w:rsidR="001E434C" w:rsidRPr="002A7194">
        <w:t>K. Lee’s September 30, 2025 Email Ruling Requiring Parties to File Updated, Supplemental</w:t>
      </w:r>
      <w:r w:rsidR="001E434C">
        <w:t xml:space="preserve"> </w:t>
      </w:r>
      <w:r w:rsidR="001E434C" w:rsidRPr="002A7194">
        <w:t>Responses to June 20, 2024 Administrative Law Judge’s First Ruling</w:t>
      </w:r>
      <w:r w:rsidR="001E434C">
        <w:t xml:space="preserve"> (Cities’ </w:t>
      </w:r>
      <w:r w:rsidR="001E434C" w:rsidRPr="00DC5DF5">
        <w:t xml:space="preserve">October </w:t>
      </w:r>
      <w:r w:rsidR="001E434C">
        <w:t>10, 2025 Supplemental Response) at</w:t>
      </w:r>
      <w:r w:rsidR="001E434C" w:rsidRPr="00496E76">
        <w:rPr>
          <w:szCs w:val="22"/>
        </w:rPr>
        <w:t xml:space="preserve"> 4; Cities Joint Protest at 6.</w:t>
      </w:r>
      <w:r w:rsidR="001E434C">
        <w:rPr>
          <w:szCs w:val="22"/>
        </w:rPr>
        <w:t xml:space="preserve"> </w:t>
      </w:r>
      <w:r w:rsidR="001E434C" w:rsidRPr="00FE64F5">
        <w:rPr>
          <w:i/>
          <w:iCs/>
          <w:szCs w:val="22"/>
        </w:rPr>
        <w:t>See also</w:t>
      </w:r>
      <w:r w:rsidR="001E434C">
        <w:rPr>
          <w:szCs w:val="22"/>
        </w:rPr>
        <w:t xml:space="preserve">, </w:t>
      </w:r>
      <w:r w:rsidRPr="002C6A6A">
        <w:rPr>
          <w:szCs w:val="22"/>
          <w:lang w:val="en-ZW"/>
        </w:rPr>
        <w:t>Response of California Resources Production Corporation to Administrative Law Judge Fogel’s Ruling at the October 3, 2023 Prehearing Conference (CRPC Response to PHC Ruling) at 3.</w:t>
      </w:r>
      <w:r w:rsidR="00881CC7" w:rsidRPr="002C6A6A">
        <w:rPr>
          <w:szCs w:val="22"/>
          <w:lang w:val="en-ZW"/>
        </w:rPr>
        <w:t xml:space="preserve"> </w:t>
      </w:r>
      <w:r w:rsidR="00507960" w:rsidRPr="002C6A6A">
        <w:rPr>
          <w:szCs w:val="22"/>
          <w:lang w:val="en-ZW"/>
        </w:rPr>
        <w:t>In addition, d</w:t>
      </w:r>
      <w:r w:rsidR="00CF4A96" w:rsidRPr="002C6A6A">
        <w:rPr>
          <w:szCs w:val="22"/>
        </w:rPr>
        <w:t>uring the October 3, 2023 prehearing conference (PHC), CRPC confirmed that the UI Pipeline was not transporting natural gas as of that PHC date.</w:t>
      </w:r>
      <w:r w:rsidR="00CF4A96" w:rsidRPr="002C6A6A">
        <w:rPr>
          <w:spacing w:val="40"/>
          <w:szCs w:val="22"/>
        </w:rPr>
        <w:t xml:space="preserve"> </w:t>
      </w:r>
      <w:r w:rsidR="00CF4A96" w:rsidRPr="002C6A6A">
        <w:rPr>
          <w:szCs w:val="22"/>
        </w:rPr>
        <w:t>October 3, 2023 PHC Transcript at 28.</w:t>
      </w:r>
      <w:r w:rsidR="00266D20" w:rsidRPr="002C6A6A">
        <w:rPr>
          <w:szCs w:val="22"/>
        </w:rPr>
        <w:t xml:space="preserve"> </w:t>
      </w:r>
    </w:p>
  </w:footnote>
  <w:footnote w:id="6">
    <w:p w14:paraId="6D09A31E" w14:textId="0E00F897" w:rsidR="007600B8" w:rsidRPr="002B09BE" w:rsidRDefault="007600B8" w:rsidP="007600B8">
      <w:pPr>
        <w:spacing w:line="240" w:lineRule="auto"/>
        <w:ind w:firstLine="0"/>
        <w:rPr>
          <w:sz w:val="22"/>
        </w:rPr>
      </w:pPr>
      <w:r w:rsidRPr="00A127CD">
        <w:rPr>
          <w:rStyle w:val="FootnoteReference"/>
          <w:sz w:val="22"/>
        </w:rPr>
        <w:footnoteRef/>
      </w:r>
      <w:r w:rsidRPr="00A127CD">
        <w:rPr>
          <w:sz w:val="22"/>
        </w:rPr>
        <w:t xml:space="preserve"> </w:t>
      </w:r>
      <w:r w:rsidR="001F0A96" w:rsidRPr="001F0A96">
        <w:rPr>
          <w:i/>
          <w:iCs/>
          <w:sz w:val="22"/>
          <w:lang w:val="en-ZW"/>
        </w:rPr>
        <w:t>See</w:t>
      </w:r>
      <w:r w:rsidR="001F0A96" w:rsidRPr="001F0A96">
        <w:rPr>
          <w:sz w:val="22"/>
          <w:lang w:val="en-ZW"/>
        </w:rPr>
        <w:t xml:space="preserve"> Application at 2, 20-21 and Appendix E (current and expired franchise agreements).</w:t>
      </w:r>
      <w:r w:rsidR="001F0A96">
        <w:rPr>
          <w:sz w:val="22"/>
        </w:rPr>
        <w:t xml:space="preserve"> </w:t>
      </w:r>
      <w:r w:rsidRPr="00A127CD">
        <w:rPr>
          <w:sz w:val="22"/>
        </w:rPr>
        <w:t xml:space="preserve">The California legislature long ago vested local legislative bodies with the </w:t>
      </w:r>
      <w:r>
        <w:rPr>
          <w:sz w:val="22"/>
        </w:rPr>
        <w:t>discretion</w:t>
      </w:r>
      <w:r w:rsidRPr="00A127CD">
        <w:rPr>
          <w:sz w:val="22"/>
        </w:rPr>
        <w:t xml:space="preserve"> to grant or deny franchise rights to gas pipeline companies. </w:t>
      </w:r>
      <w:r w:rsidRPr="002B09BE">
        <w:rPr>
          <w:sz w:val="22"/>
        </w:rPr>
        <w:t xml:space="preserve">In </w:t>
      </w:r>
      <w:r w:rsidRPr="002B09BE">
        <w:rPr>
          <w:i/>
          <w:iCs/>
          <w:sz w:val="22"/>
        </w:rPr>
        <w:t>Cal. Res. Prod. Corp. v. Antioch City Council</w:t>
      </w:r>
      <w:r w:rsidRPr="002B09BE">
        <w:rPr>
          <w:sz w:val="22"/>
        </w:rPr>
        <w:t xml:space="preserve">, the Court of Appeal explained that a government’s grant of franchise rights for a public utility to use public property is a discretionary privilege “created when a governmental agency authorizes private companies to set up their infrastructures on public property in order to provide public utilities to the public; </w:t>
      </w:r>
      <w:r w:rsidRPr="002B09BE">
        <w:rPr>
          <w:i/>
          <w:iCs/>
          <w:sz w:val="22"/>
        </w:rPr>
        <w:t>i.e.,</w:t>
      </w:r>
      <w:r w:rsidRPr="002B09BE">
        <w:rPr>
          <w:sz w:val="22"/>
        </w:rPr>
        <w:t xml:space="preserve"> when . . . gas . . . companies set up . . . pipes . . . across the streets and other public ways of a city.”  </w:t>
      </w:r>
      <w:r w:rsidRPr="002B09BE">
        <w:rPr>
          <w:i/>
          <w:iCs/>
          <w:sz w:val="22"/>
        </w:rPr>
        <w:t>Cal. Res. Prod. Corp. v. Antioch City Council</w:t>
      </w:r>
      <w:r w:rsidRPr="002B09BE">
        <w:rPr>
          <w:sz w:val="22"/>
        </w:rPr>
        <w:t>, 107 Cal. App. 5th 481, 488, 328 Cal. Rptr. 3d 388, 2024 Cal. App. LEXIS 815 (2024) (certified for partial publication on December 18, 2024), review denied by </w:t>
      </w:r>
      <w:r w:rsidRPr="002B09BE">
        <w:rPr>
          <w:i/>
          <w:iCs/>
          <w:sz w:val="22"/>
        </w:rPr>
        <w:t>Cal. Res. Prod. Corp. v. Antioch City Council</w:t>
      </w:r>
      <w:r w:rsidRPr="002B09BE">
        <w:rPr>
          <w:sz w:val="22"/>
        </w:rPr>
        <w:t xml:space="preserve">, No. S288604, 2025 Cal. LEXIS 783 (Cal., Feb. 11, 2025) (citing </w:t>
      </w:r>
      <w:r w:rsidRPr="002B09BE">
        <w:rPr>
          <w:i/>
          <w:iCs/>
          <w:sz w:val="22"/>
        </w:rPr>
        <w:t>Riverside County Transportation Com. v. Southern California Gas Co</w:t>
      </w:r>
      <w:r w:rsidRPr="002B09BE">
        <w:rPr>
          <w:sz w:val="22"/>
        </w:rPr>
        <w:t xml:space="preserve">. (2020) 54 Cal.App.5th 823, 857). </w:t>
      </w:r>
    </w:p>
    <w:p w14:paraId="25C3A23F" w14:textId="77777777" w:rsidR="007600B8" w:rsidRDefault="007600B8" w:rsidP="007600B8">
      <w:pPr>
        <w:spacing w:line="240" w:lineRule="auto"/>
        <w:ind w:firstLine="0"/>
        <w:rPr>
          <w:sz w:val="22"/>
        </w:rPr>
      </w:pPr>
    </w:p>
    <w:p w14:paraId="5D341789" w14:textId="4B3FE422" w:rsidR="007600B8" w:rsidRDefault="007600B8" w:rsidP="007600B8">
      <w:pPr>
        <w:spacing w:line="240" w:lineRule="auto"/>
        <w:ind w:firstLine="0"/>
        <w:rPr>
          <w:sz w:val="22"/>
        </w:rPr>
      </w:pPr>
      <w:r w:rsidRPr="004F439D">
        <w:rPr>
          <w:sz w:val="22"/>
        </w:rPr>
        <w:t>Specifically, a municipal government’s elected legislative body (</w:t>
      </w:r>
      <w:r w:rsidRPr="004F439D">
        <w:rPr>
          <w:i/>
          <w:iCs/>
          <w:sz w:val="22"/>
        </w:rPr>
        <w:t>e.g</w:t>
      </w:r>
      <w:r w:rsidRPr="004F439D">
        <w:rPr>
          <w:sz w:val="22"/>
        </w:rPr>
        <w:t xml:space="preserve">., city council) exercises this discretion regarding franchise rights for natural gas pipelines within the local jurisdiction. California’s Franchise Act of 1937, codified at Public Utilities Code section 6201 </w:t>
      </w:r>
      <w:r w:rsidRPr="004F439D">
        <w:rPr>
          <w:i/>
          <w:iCs/>
          <w:sz w:val="22"/>
        </w:rPr>
        <w:t>et seq</w:t>
      </w:r>
      <w:r w:rsidRPr="004F439D">
        <w:rPr>
          <w:sz w:val="22"/>
        </w:rPr>
        <w:t xml:space="preserve">., provides in section 6202: </w:t>
      </w:r>
    </w:p>
    <w:p w14:paraId="3277DC01" w14:textId="77777777" w:rsidR="007600B8" w:rsidRPr="004F439D" w:rsidRDefault="007600B8" w:rsidP="007600B8">
      <w:pPr>
        <w:spacing w:line="240" w:lineRule="auto"/>
        <w:ind w:firstLine="0"/>
        <w:rPr>
          <w:sz w:val="22"/>
        </w:rPr>
      </w:pPr>
    </w:p>
    <w:p w14:paraId="3B3FE828" w14:textId="77777777" w:rsidR="007600B8" w:rsidRPr="004F439D" w:rsidRDefault="007600B8" w:rsidP="007600B8">
      <w:pPr>
        <w:pStyle w:val="FootnoteText"/>
        <w:ind w:left="720"/>
        <w:rPr>
          <w:lang w:val="en-ZW"/>
        </w:rPr>
      </w:pPr>
      <w:r w:rsidRPr="004F439D">
        <w:rPr>
          <w:szCs w:val="22"/>
        </w:rPr>
        <w:t>The legislative body of any municipality may grant a franchise to any person, firm, or corporation, whether operating under an existing franchise or not, . . . to use, or to lay and use, pipes and appurtenances for transmitting and distributing gas or industrial gas for all purposes, . . . under, along, across, or upon the public streets, ways, alleys, and places within the municipality, upon the terms and conditions provided in this chapter.</w:t>
      </w:r>
    </w:p>
  </w:footnote>
  <w:footnote w:id="7">
    <w:p w14:paraId="1F919CE4" w14:textId="77777777" w:rsidR="00B70917" w:rsidRPr="007B333C" w:rsidRDefault="00B70917" w:rsidP="00B70917">
      <w:pPr>
        <w:pStyle w:val="FootnoteText"/>
        <w:rPr>
          <w:lang w:val="en-ZW"/>
        </w:rPr>
      </w:pPr>
      <w:r>
        <w:rPr>
          <w:rStyle w:val="FootnoteReference"/>
        </w:rPr>
        <w:footnoteRef/>
      </w:r>
      <w:r>
        <w:t xml:space="preserve"> </w:t>
      </w:r>
      <w:r w:rsidRPr="007B333C">
        <w:rPr>
          <w:i/>
          <w:iCs/>
          <w:lang w:val="en-ZW"/>
        </w:rPr>
        <w:t>See</w:t>
      </w:r>
      <w:r>
        <w:rPr>
          <w:lang w:val="en-ZW"/>
        </w:rPr>
        <w:t xml:space="preserve"> Application at 2, 20-21 and Appendix E (current and expired franchise agreements).</w:t>
      </w:r>
    </w:p>
  </w:footnote>
  <w:footnote w:id="8">
    <w:p w14:paraId="1C79A875" w14:textId="0DDAF96E" w:rsidR="004A6D72" w:rsidRPr="006C10E5" w:rsidRDefault="004A6D72">
      <w:pPr>
        <w:pStyle w:val="FootnoteText"/>
        <w:rPr>
          <w:lang w:val="en-ZW"/>
        </w:rPr>
      </w:pPr>
      <w:r>
        <w:rPr>
          <w:rStyle w:val="FootnoteReference"/>
        </w:rPr>
        <w:footnoteRef/>
      </w:r>
      <w:r>
        <w:t xml:space="preserve"> </w:t>
      </w:r>
      <w:r w:rsidR="00EC7BB1" w:rsidRPr="008B4D89">
        <w:rPr>
          <w:i/>
          <w:iCs/>
          <w:lang w:val="en-ZW"/>
        </w:rPr>
        <w:t>See</w:t>
      </w:r>
      <w:r w:rsidR="00EC7BB1">
        <w:rPr>
          <w:lang w:val="en-ZW"/>
        </w:rPr>
        <w:t xml:space="preserve"> July 18, 2024 Reply of CRPC to the Cities’ Response to the ALJ’s First Ruling at Exhibit A (October 4, 2022 Order Re: Cross-Defendant CRPC Demurrer to the Amended Cross-Complaint of City of Antioch; and City of Antioch’s Amended Cross-Complaint Against Plaintiff and Petitioner [CRPC], dated March 30, 2022).</w:t>
      </w:r>
    </w:p>
  </w:footnote>
  <w:footnote w:id="9">
    <w:p w14:paraId="378741BE" w14:textId="34ACC541" w:rsidR="00884055" w:rsidRPr="006C10E5" w:rsidRDefault="00884055">
      <w:pPr>
        <w:pStyle w:val="FootnoteText"/>
        <w:rPr>
          <w:lang w:val="en-ZW"/>
        </w:rPr>
      </w:pPr>
      <w:r>
        <w:rPr>
          <w:rStyle w:val="FootnoteReference"/>
        </w:rPr>
        <w:footnoteRef/>
      </w:r>
      <w:r>
        <w:t xml:space="preserve"> </w:t>
      </w:r>
      <w:r w:rsidRPr="006C10E5">
        <w:rPr>
          <w:i/>
          <w:iCs/>
          <w:lang w:val="en-ZW"/>
        </w:rPr>
        <w:t>See</w:t>
      </w:r>
      <w:r>
        <w:rPr>
          <w:lang w:val="en-ZW"/>
        </w:rPr>
        <w:t xml:space="preserve"> </w:t>
      </w:r>
      <w:r w:rsidR="00651B7D">
        <w:rPr>
          <w:lang w:val="en-ZW"/>
        </w:rPr>
        <w:t xml:space="preserve">July 18, 2024 </w:t>
      </w:r>
      <w:r w:rsidR="00791C4E">
        <w:rPr>
          <w:lang w:val="en-ZW"/>
        </w:rPr>
        <w:t>Reply of CRPC</w:t>
      </w:r>
      <w:r w:rsidR="00651B7D">
        <w:rPr>
          <w:lang w:val="en-ZW"/>
        </w:rPr>
        <w:t xml:space="preserve"> to the Cities’ Response to the ALJ’s First Ruling </w:t>
      </w:r>
      <w:r w:rsidR="00791C4E">
        <w:rPr>
          <w:lang w:val="en-ZW"/>
        </w:rPr>
        <w:t xml:space="preserve">at </w:t>
      </w:r>
      <w:r w:rsidR="00EF4F9A">
        <w:rPr>
          <w:lang w:val="en-ZW"/>
        </w:rPr>
        <w:t xml:space="preserve">Exhibit A (October 4, 2022 </w:t>
      </w:r>
      <w:r w:rsidR="00A66D02">
        <w:rPr>
          <w:lang w:val="en-ZW"/>
        </w:rPr>
        <w:t xml:space="preserve">Order Re: Cross-Defendant </w:t>
      </w:r>
      <w:r w:rsidR="00516A2E">
        <w:rPr>
          <w:lang w:val="en-ZW"/>
        </w:rPr>
        <w:t>CRPC Demurrer to the Amended Cross-Complaint of City of Antioch</w:t>
      </w:r>
      <w:r w:rsidR="00B215A9">
        <w:rPr>
          <w:lang w:val="en-ZW"/>
        </w:rPr>
        <w:t>).</w:t>
      </w:r>
      <w:r w:rsidR="003358BB">
        <w:rPr>
          <w:lang w:val="en-ZW"/>
        </w:rPr>
        <w:t xml:space="preserve"> </w:t>
      </w:r>
    </w:p>
  </w:footnote>
  <w:footnote w:id="10">
    <w:p w14:paraId="682BCDE0" w14:textId="77777777" w:rsidR="0006356E" w:rsidRPr="008B4D89" w:rsidRDefault="0006356E" w:rsidP="0006356E">
      <w:pPr>
        <w:pStyle w:val="FootnoteText"/>
        <w:rPr>
          <w:lang w:val="en-ZW"/>
        </w:rPr>
      </w:pPr>
      <w:r>
        <w:rPr>
          <w:rStyle w:val="FootnoteReference"/>
        </w:rPr>
        <w:footnoteRef/>
      </w:r>
      <w:r>
        <w:t xml:space="preserve"> November 6, 2025 Motion of </w:t>
      </w:r>
      <w:r>
        <w:rPr>
          <w:lang w:val="en-ZW"/>
        </w:rPr>
        <w:t>CRPC to Reopen the Record at 3 (stating that “Once the [Second Amended Cross-Complaint] is filed, either as part of a stipulation or a motion, it will become part of the official court record . . . .”).</w:t>
      </w:r>
    </w:p>
  </w:footnote>
  <w:footnote w:id="11">
    <w:p w14:paraId="64771CE9" w14:textId="5E7E107F" w:rsidR="00DB4177" w:rsidRPr="007B333C" w:rsidRDefault="00DB4177">
      <w:pPr>
        <w:pStyle w:val="FootnoteText"/>
        <w:rPr>
          <w:lang w:val="en-ZW"/>
        </w:rPr>
      </w:pPr>
      <w:r>
        <w:rPr>
          <w:rStyle w:val="FootnoteReference"/>
        </w:rPr>
        <w:footnoteRef/>
      </w:r>
      <w:r>
        <w:t xml:space="preserve"> </w:t>
      </w:r>
      <w:r w:rsidR="000948CF" w:rsidRPr="002C7D6C">
        <w:rPr>
          <w:i/>
          <w:iCs/>
        </w:rPr>
        <w:t>Cal. Res. Prod. Corp. v. Antioch City Council</w:t>
      </w:r>
      <w:r w:rsidR="000948CF" w:rsidRPr="002C7D6C">
        <w:t>, 107 Cal. App. 5th 481, 328 Cal. Rptr. 3d 388</w:t>
      </w:r>
      <w:r w:rsidR="003A5972">
        <w:t xml:space="preserve">, 2024 </w:t>
      </w:r>
      <w:r w:rsidR="00837219">
        <w:t>Cal. App. LEXIS 815</w:t>
      </w:r>
      <w:r w:rsidR="000948CF" w:rsidRPr="002C7D6C">
        <w:t xml:space="preserve"> (2024)</w:t>
      </w:r>
      <w:r w:rsidR="000948CF">
        <w:t xml:space="preserve"> </w:t>
      </w:r>
      <w:r w:rsidR="00144C11">
        <w:t>(i</w:t>
      </w:r>
      <w:r w:rsidR="008273B9">
        <w:t xml:space="preserve">ssued November </w:t>
      </w:r>
      <w:r w:rsidR="008E19F5">
        <w:t xml:space="preserve">19, 2024 and modified </w:t>
      </w:r>
      <w:r w:rsidR="00144C11">
        <w:t xml:space="preserve">and certified </w:t>
      </w:r>
      <w:r w:rsidR="0028146C">
        <w:t>for</w:t>
      </w:r>
      <w:r w:rsidR="00144C11">
        <w:t xml:space="preserve"> partial publication </w:t>
      </w:r>
      <w:r w:rsidR="008E19F5">
        <w:t>on December 18, 2024</w:t>
      </w:r>
      <w:r w:rsidR="00144C11">
        <w:t>)</w:t>
      </w:r>
      <w:r w:rsidR="00827083">
        <w:t>, r</w:t>
      </w:r>
      <w:r w:rsidR="00827083" w:rsidRPr="00827083">
        <w:t>eview denied by </w:t>
      </w:r>
      <w:r w:rsidR="00974113" w:rsidRPr="007B333C">
        <w:rPr>
          <w:i/>
          <w:iCs/>
        </w:rPr>
        <w:t>Cal. Res. Prod. Corp. v. Antioch City Council</w:t>
      </w:r>
      <w:r w:rsidR="00974113" w:rsidRPr="007B333C">
        <w:t>, </w:t>
      </w:r>
      <w:r w:rsidR="002E0999" w:rsidRPr="002C7D6C">
        <w:t xml:space="preserve">No. S288604, 2025 </w:t>
      </w:r>
      <w:r w:rsidR="00974113" w:rsidRPr="007B333C">
        <w:t>Cal. LEXIS 783 (Cal., Feb. 11, 2025)</w:t>
      </w:r>
      <w:r w:rsidR="00144C11">
        <w:t>.</w:t>
      </w:r>
      <w:r w:rsidR="008E19F5">
        <w:t xml:space="preserve"> </w:t>
      </w:r>
      <w:r w:rsidR="008273B9" w:rsidRPr="008273B9">
        <w:t>Pursuant to </w:t>
      </w:r>
      <w:r w:rsidR="00C47B63" w:rsidRPr="007B333C">
        <w:t xml:space="preserve">California Rules of Court, </w:t>
      </w:r>
      <w:r w:rsidR="00C47B63">
        <w:t>R</w:t>
      </w:r>
      <w:r w:rsidR="00C47B63" w:rsidRPr="007B333C">
        <w:t>ule 8.1110</w:t>
      </w:r>
      <w:r w:rsidR="008273B9" w:rsidRPr="008273B9">
        <w:t xml:space="preserve">, </w:t>
      </w:r>
      <w:r w:rsidR="008273B9">
        <w:t>the</w:t>
      </w:r>
      <w:r w:rsidR="008273B9" w:rsidRPr="008273B9">
        <w:t xml:space="preserve"> </w:t>
      </w:r>
      <w:r w:rsidR="00974113">
        <w:t>Court of Appeals</w:t>
      </w:r>
      <w:r w:rsidR="00624A92">
        <w:t xml:space="preserve">’ </w:t>
      </w:r>
      <w:r w:rsidR="008273B9" w:rsidRPr="008273B9">
        <w:t xml:space="preserve">opinion </w:t>
      </w:r>
      <w:r w:rsidR="008273B9">
        <w:t>was</w:t>
      </w:r>
      <w:r w:rsidR="008273B9" w:rsidRPr="008273B9">
        <w:t xml:space="preserve"> certified for publication with the exception of parts VI, VII</w:t>
      </w:r>
      <w:r w:rsidR="00CA5039">
        <w:t>,</w:t>
      </w:r>
      <w:r w:rsidR="008273B9" w:rsidRPr="008273B9">
        <w:t xml:space="preserve"> and VIII.</w:t>
      </w:r>
    </w:p>
  </w:footnote>
  <w:footnote w:id="12">
    <w:p w14:paraId="7AC6DB3E" w14:textId="67655B5A" w:rsidR="00F93ABC" w:rsidRPr="007B333C" w:rsidRDefault="00F93ABC">
      <w:pPr>
        <w:pStyle w:val="FootnoteText"/>
        <w:rPr>
          <w:lang w:val="en-ZW"/>
        </w:rPr>
      </w:pPr>
      <w:r>
        <w:rPr>
          <w:rStyle w:val="FootnoteReference"/>
        </w:rPr>
        <w:footnoteRef/>
      </w:r>
      <w:r>
        <w:t xml:space="preserve"> </w:t>
      </w:r>
      <w:r w:rsidRPr="002C7D6C">
        <w:rPr>
          <w:i/>
          <w:iCs/>
        </w:rPr>
        <w:t>Cal. Res. Prod. Corp. v. Antioch City Council</w:t>
      </w:r>
      <w:r w:rsidRPr="002C7D6C">
        <w:t>, No. S288604, 2025 Cal. LEXIS 783 (</w:t>
      </w:r>
      <w:r w:rsidR="002E0999" w:rsidRPr="002C7D6C">
        <w:t>Cal., Feb</w:t>
      </w:r>
      <w:r w:rsidRPr="002C7D6C">
        <w:t>. 11, 2025</w:t>
      </w:r>
      <w:r w:rsidR="00AB40D8">
        <w:t>)</w:t>
      </w:r>
      <w:r w:rsidR="007E1DCD" w:rsidRPr="007E1DCD">
        <w:t>.</w:t>
      </w:r>
    </w:p>
  </w:footnote>
  <w:footnote w:id="13">
    <w:p w14:paraId="76A9D997" w14:textId="77777777" w:rsidR="00CF08BB" w:rsidRPr="00FE64F5" w:rsidRDefault="00CF08BB" w:rsidP="00CF08BB">
      <w:pPr>
        <w:pStyle w:val="FootnoteText"/>
        <w:rPr>
          <w:lang w:val="en-ZW"/>
        </w:rPr>
      </w:pPr>
      <w:r>
        <w:rPr>
          <w:rStyle w:val="FootnoteReference"/>
        </w:rPr>
        <w:footnoteRef/>
      </w:r>
      <w:r>
        <w:t xml:space="preserve"> </w:t>
      </w:r>
      <w:r>
        <w:rPr>
          <w:lang w:val="en-ZW"/>
        </w:rPr>
        <w:t xml:space="preserve">On August 21, 2025, the Contra Costa County Superior Court issued an order to lift the stay litigation of Antioch’s cross-complaint. </w:t>
      </w:r>
      <w:r w:rsidRPr="00FE64F5">
        <w:rPr>
          <w:i/>
          <w:iCs/>
          <w:lang w:val="en-ZW"/>
        </w:rPr>
        <w:t>See</w:t>
      </w:r>
      <w:r>
        <w:rPr>
          <w:lang w:val="en-ZW"/>
        </w:rPr>
        <w:t xml:space="preserve"> </w:t>
      </w:r>
      <w:r>
        <w:t xml:space="preserve">Cities’ </w:t>
      </w:r>
      <w:r w:rsidRPr="00DC5DF5">
        <w:t xml:space="preserve">October </w:t>
      </w:r>
      <w:r>
        <w:t>10, 2025 Supplemental Response at Exhibit 43 (Superior Court’s August 21, 2025 Minute Order</w:t>
      </w:r>
      <w:r>
        <w:rPr>
          <w:lang w:val="en-ZW"/>
        </w:rPr>
        <w:t xml:space="preserve"> in MSN21-2354, </w:t>
      </w:r>
      <w:r w:rsidRPr="00FE64F5">
        <w:rPr>
          <w:i/>
          <w:iCs/>
          <w:lang w:val="en-ZW"/>
        </w:rPr>
        <w:t>California Resources Production Corporation v. City of Antioch</w:t>
      </w:r>
      <w:r>
        <w:rPr>
          <w:lang w:val="en-ZW"/>
        </w:rPr>
        <w:t xml:space="preserve">). </w:t>
      </w:r>
    </w:p>
  </w:footnote>
  <w:footnote w:id="14">
    <w:p w14:paraId="6A44BED1" w14:textId="77777777" w:rsidR="00E22377" w:rsidRPr="00B4453F" w:rsidRDefault="00E22377" w:rsidP="00E22377">
      <w:pPr>
        <w:pStyle w:val="FootnoteText"/>
        <w:rPr>
          <w:lang w:val="en-ZW"/>
        </w:rPr>
      </w:pPr>
      <w:r w:rsidRPr="00B4453F">
        <w:rPr>
          <w:rStyle w:val="FootnoteReference"/>
        </w:rPr>
        <w:footnoteRef/>
      </w:r>
      <w:r w:rsidRPr="00B4453F">
        <w:t xml:space="preserve"> </w:t>
      </w:r>
      <w:r w:rsidRPr="007B333C">
        <w:rPr>
          <w:i/>
          <w:iCs/>
        </w:rPr>
        <w:t>See</w:t>
      </w:r>
      <w:r>
        <w:t xml:space="preserve"> </w:t>
      </w:r>
      <w:r w:rsidRPr="00B4453F">
        <w:rPr>
          <w:lang w:val="en-ZW"/>
        </w:rPr>
        <w:t>Application at 3 (</w:t>
      </w:r>
      <w:r w:rsidRPr="00B4453F">
        <w:t xml:space="preserve">stating that if the Application is granted, CRPC will use its new status as a public utility to “initiate an eminent domain action to confirm its existing right of way through the City of Antioch pursuant to Public Utilities Code sections 620 </w:t>
      </w:r>
      <w:r>
        <w:t xml:space="preserve">[sic] </w:t>
      </w:r>
      <w:r w:rsidRPr="00B4453F">
        <w:t>and 625, as necessary . . . .”</w:t>
      </w:r>
      <w:r w:rsidRPr="00B4453F">
        <w:rPr>
          <w:lang w:val="en-ZW"/>
        </w:rPr>
        <w:t>)</w:t>
      </w:r>
      <w:r>
        <w:rPr>
          <w:lang w:val="en-ZW"/>
        </w:rPr>
        <w:t xml:space="preserve"> and 8</w:t>
      </w:r>
      <w:r w:rsidRPr="00B4453F">
        <w:rPr>
          <w:lang w:val="en-ZW"/>
        </w:rPr>
        <w:t>.</w:t>
      </w:r>
      <w:r>
        <w:rPr>
          <w:lang w:val="en-ZW"/>
        </w:rPr>
        <w:t xml:space="preserve"> We note that Applicant may have intended to cite Section 613, stating “A gas corporation may condemn any property necessary for the </w:t>
      </w:r>
      <w:r w:rsidRPr="006E3F0F">
        <w:rPr>
          <w:i/>
          <w:iCs/>
          <w:lang w:val="en-ZW"/>
        </w:rPr>
        <w:t>construction and maintenance</w:t>
      </w:r>
      <w:r>
        <w:rPr>
          <w:lang w:val="en-ZW"/>
        </w:rPr>
        <w:t xml:space="preserve"> of </w:t>
      </w:r>
      <w:r w:rsidRPr="006E3F0F">
        <w:rPr>
          <w:i/>
          <w:iCs/>
          <w:lang w:val="en-ZW"/>
        </w:rPr>
        <w:t>its</w:t>
      </w:r>
      <w:r>
        <w:rPr>
          <w:lang w:val="en-ZW"/>
        </w:rPr>
        <w:t xml:space="preserve"> gas plant.”(emphasis added).We further note that Sections 613, 620 and 625 provide limits on a gas corporation public utility’s exercise of its eminent domain authority.</w:t>
      </w:r>
    </w:p>
  </w:footnote>
  <w:footnote w:id="15">
    <w:p w14:paraId="388786E9" w14:textId="7273E4B3" w:rsidR="005D4D1D" w:rsidRPr="00CE61CC" w:rsidRDefault="005D4D1D" w:rsidP="00FF63A3">
      <w:pPr>
        <w:pStyle w:val="FootnoteText"/>
        <w:rPr>
          <w:szCs w:val="22"/>
          <w:lang w:val="en-ZW"/>
        </w:rPr>
      </w:pPr>
      <w:r w:rsidRPr="00CE61CC">
        <w:rPr>
          <w:rStyle w:val="FootnoteReference"/>
          <w:szCs w:val="22"/>
        </w:rPr>
        <w:footnoteRef/>
      </w:r>
      <w:r w:rsidRPr="00CE61CC">
        <w:rPr>
          <w:szCs w:val="22"/>
        </w:rPr>
        <w:t xml:space="preserve"> </w:t>
      </w:r>
      <w:r w:rsidR="00E204C3" w:rsidRPr="006E3F0F">
        <w:rPr>
          <w:i/>
          <w:iCs/>
          <w:szCs w:val="22"/>
        </w:rPr>
        <w:t>See</w:t>
      </w:r>
      <w:r w:rsidR="00E204C3">
        <w:rPr>
          <w:szCs w:val="22"/>
        </w:rPr>
        <w:t xml:space="preserve"> </w:t>
      </w:r>
      <w:r w:rsidRPr="00CE61CC">
        <w:rPr>
          <w:szCs w:val="22"/>
          <w:lang w:val="en-ZW"/>
        </w:rPr>
        <w:t xml:space="preserve">Application at </w:t>
      </w:r>
      <w:r w:rsidR="0030600D" w:rsidRPr="00CE61CC">
        <w:rPr>
          <w:szCs w:val="22"/>
          <w:lang w:val="en-ZW"/>
        </w:rPr>
        <w:t>1</w:t>
      </w:r>
      <w:r w:rsidR="00CA3C3C" w:rsidRPr="00CE61CC">
        <w:rPr>
          <w:szCs w:val="22"/>
          <w:lang w:val="en-ZW"/>
        </w:rPr>
        <w:t xml:space="preserve">, </w:t>
      </w:r>
      <w:r w:rsidR="00845959" w:rsidRPr="00CE61CC">
        <w:rPr>
          <w:szCs w:val="22"/>
          <w:lang w:val="en-ZW"/>
        </w:rPr>
        <w:t>8</w:t>
      </w:r>
      <w:r w:rsidR="00CA3C3C" w:rsidRPr="00CE61CC">
        <w:rPr>
          <w:szCs w:val="22"/>
          <w:lang w:val="en-ZW"/>
        </w:rPr>
        <w:t xml:space="preserve"> and 9 (“</w:t>
      </w:r>
      <w:r w:rsidR="00FF63A3" w:rsidRPr="00CE61CC">
        <w:rPr>
          <w:szCs w:val="22"/>
        </w:rPr>
        <w:t>CRPC submits this CPCN application for the narrow purpose of allowing the UI Pipeline to continue serving the Fields it currently serves, and to do so on an open-access basis.</w:t>
      </w:r>
      <w:r w:rsidR="00CA3C3C" w:rsidRPr="00CE61CC">
        <w:rPr>
          <w:szCs w:val="22"/>
          <w:lang w:val="en-ZW"/>
        </w:rPr>
        <w:t>”)</w:t>
      </w:r>
      <w:r w:rsidR="0030600D" w:rsidRPr="00CE61CC">
        <w:rPr>
          <w:szCs w:val="22"/>
          <w:lang w:val="en-ZW"/>
        </w:rPr>
        <w:t>.</w:t>
      </w:r>
      <w:r w:rsidR="002E5369" w:rsidRPr="00CE61CC">
        <w:rPr>
          <w:szCs w:val="22"/>
          <w:lang w:val="en-ZW"/>
        </w:rPr>
        <w:t xml:space="preserve"> </w:t>
      </w:r>
      <w:r w:rsidR="002E5369" w:rsidRPr="004F439D">
        <w:rPr>
          <w:i/>
          <w:iCs/>
          <w:szCs w:val="22"/>
          <w:lang w:val="en-ZW"/>
        </w:rPr>
        <w:t>See</w:t>
      </w:r>
      <w:r w:rsidR="00FB3B5E" w:rsidRPr="00CE61CC">
        <w:rPr>
          <w:szCs w:val="22"/>
          <w:lang w:val="en-ZW"/>
        </w:rPr>
        <w:t xml:space="preserve"> </w:t>
      </w:r>
      <w:hyperlink r:id="rId1" w:history="1">
        <w:r w:rsidR="00C6743C" w:rsidRPr="00A127CD">
          <w:rPr>
            <w:rFonts w:eastAsia="Arial" w:cs="Times New Roman"/>
            <w:i/>
            <w:color w:val="000000" w:themeColor="text1"/>
            <w:szCs w:val="22"/>
            <w:shd w:val="clear" w:color="auto" w:fill="FFFFFF"/>
          </w:rPr>
          <w:t xml:space="preserve">Richfield Oil Corp. v. </w:t>
        </w:r>
      </w:hyperlink>
      <w:hyperlink r:id="rId2" w:history="1">
        <w:r w:rsidR="00C6743C" w:rsidRPr="00A127CD">
          <w:rPr>
            <w:rFonts w:eastAsia="Arial" w:cs="Times New Roman"/>
            <w:i/>
            <w:color w:val="000000" w:themeColor="text1"/>
            <w:szCs w:val="22"/>
            <w:shd w:val="clear" w:color="auto" w:fill="FFFFFF"/>
          </w:rPr>
          <w:t>Public Utilities</w:t>
        </w:r>
      </w:hyperlink>
      <w:hyperlink r:id="rId3" w:history="1">
        <w:r w:rsidR="00C6743C" w:rsidRPr="00A127CD">
          <w:rPr>
            <w:rFonts w:eastAsia="Arial" w:cs="Times New Roman"/>
            <w:i/>
            <w:color w:val="000000" w:themeColor="text1"/>
            <w:szCs w:val="22"/>
            <w:shd w:val="clear" w:color="auto" w:fill="FFFFFF"/>
          </w:rPr>
          <w:t xml:space="preserve"> Com.</w:t>
        </w:r>
      </w:hyperlink>
      <w:r w:rsidR="00C6743C" w:rsidRPr="00A127CD">
        <w:rPr>
          <w:rFonts w:eastAsia="Times New Roman" w:cs="Times New Roman"/>
          <w:color w:val="000000" w:themeColor="text1"/>
          <w:szCs w:val="22"/>
        </w:rPr>
        <w:t>,</w:t>
      </w:r>
      <w:r w:rsidR="00C6743C" w:rsidRPr="004F439D">
        <w:rPr>
          <w:rFonts w:eastAsia="Times New Roman" w:cs="Times New Roman"/>
          <w:szCs w:val="22"/>
        </w:rPr>
        <w:t xml:space="preserve"> </w:t>
      </w:r>
      <w:r w:rsidR="001E60C9" w:rsidRPr="004F439D">
        <w:rPr>
          <w:rFonts w:eastAsia="Arial" w:cs="Arial"/>
          <w:color w:val="000000"/>
          <w:szCs w:val="22"/>
        </w:rPr>
        <w:t>54 Cal.2d 419 </w:t>
      </w:r>
      <w:r w:rsidR="00CE61CC" w:rsidRPr="004F439D">
        <w:rPr>
          <w:rFonts w:eastAsia="Arial" w:cs="Arial"/>
          <w:color w:val="000000"/>
          <w:szCs w:val="22"/>
        </w:rPr>
        <w:t>(1960)</w:t>
      </w:r>
      <w:r w:rsidR="002E5369" w:rsidRPr="00CE61CC">
        <w:rPr>
          <w:szCs w:val="22"/>
          <w:lang w:val="en-ZW"/>
        </w:rPr>
        <w:t xml:space="preserve"> </w:t>
      </w:r>
      <w:r w:rsidR="004B57F9" w:rsidRPr="00CE61CC">
        <w:rPr>
          <w:szCs w:val="22"/>
          <w:lang w:val="en-ZW"/>
        </w:rPr>
        <w:t xml:space="preserve">(private gas company </w:t>
      </w:r>
      <w:r w:rsidR="00CE61CC" w:rsidRPr="00CE61CC">
        <w:rPr>
          <w:szCs w:val="22"/>
          <w:lang w:val="en-ZW"/>
        </w:rPr>
        <w:t>was</w:t>
      </w:r>
      <w:r w:rsidR="004B57F9" w:rsidRPr="00CE61CC">
        <w:rPr>
          <w:szCs w:val="22"/>
          <w:lang w:val="en-ZW"/>
        </w:rPr>
        <w:t xml:space="preserve"> </w:t>
      </w:r>
      <w:r w:rsidR="00535CD6">
        <w:rPr>
          <w:szCs w:val="22"/>
          <w:lang w:val="en-ZW"/>
        </w:rPr>
        <w:t xml:space="preserve">not </w:t>
      </w:r>
      <w:r w:rsidR="004B57F9" w:rsidRPr="00CE61CC">
        <w:rPr>
          <w:szCs w:val="22"/>
          <w:lang w:val="en-ZW"/>
        </w:rPr>
        <w:t xml:space="preserve">a public utility </w:t>
      </w:r>
      <w:r w:rsidR="00813A28" w:rsidRPr="00CE61CC">
        <w:rPr>
          <w:szCs w:val="22"/>
          <w:lang w:val="en-ZW"/>
        </w:rPr>
        <w:t xml:space="preserve">subject to Commission jurisdiction </w:t>
      </w:r>
      <w:r w:rsidR="00CE61CC" w:rsidRPr="00CE61CC">
        <w:rPr>
          <w:szCs w:val="22"/>
          <w:lang w:val="en-ZW"/>
        </w:rPr>
        <w:t>because</w:t>
      </w:r>
      <w:r w:rsidR="00813A28" w:rsidRPr="00CE61CC">
        <w:rPr>
          <w:szCs w:val="22"/>
          <w:lang w:val="en-ZW"/>
        </w:rPr>
        <w:t xml:space="preserve"> </w:t>
      </w:r>
      <w:r w:rsidR="00FB3B5E" w:rsidRPr="00CE61CC">
        <w:rPr>
          <w:szCs w:val="22"/>
          <w:lang w:val="en-ZW"/>
        </w:rPr>
        <w:t xml:space="preserve">company </w:t>
      </w:r>
      <w:r w:rsidR="00CE61CC" w:rsidRPr="00CE61CC">
        <w:rPr>
          <w:szCs w:val="22"/>
          <w:lang w:val="en-ZW"/>
        </w:rPr>
        <w:t xml:space="preserve">did not </w:t>
      </w:r>
      <w:r w:rsidR="00FB3B5E" w:rsidRPr="00CE61CC">
        <w:rPr>
          <w:szCs w:val="22"/>
          <w:lang w:val="en-ZW"/>
        </w:rPr>
        <w:t>dedicate it</w:t>
      </w:r>
      <w:r w:rsidR="00CE61CC" w:rsidRPr="00CE61CC">
        <w:rPr>
          <w:szCs w:val="22"/>
          <w:lang w:val="en-ZW"/>
        </w:rPr>
        <w:t>s</w:t>
      </w:r>
      <w:r w:rsidR="00FB3B5E" w:rsidRPr="00CE61CC">
        <w:rPr>
          <w:szCs w:val="22"/>
          <w:lang w:val="en-ZW"/>
        </w:rPr>
        <w:t xml:space="preserve"> property to public use).</w:t>
      </w:r>
    </w:p>
  </w:footnote>
  <w:footnote w:id="16">
    <w:p w14:paraId="12BDE532" w14:textId="1FEC9FBA" w:rsidR="00675684" w:rsidRPr="00B00108" w:rsidRDefault="00675684" w:rsidP="00675684">
      <w:pPr>
        <w:pStyle w:val="FootnoteText"/>
        <w:rPr>
          <w:lang w:val="en-ZW"/>
        </w:rPr>
      </w:pPr>
      <w:r>
        <w:rPr>
          <w:rStyle w:val="FootnoteReference"/>
        </w:rPr>
        <w:footnoteRef/>
      </w:r>
      <w:r>
        <w:t xml:space="preserve"> </w:t>
      </w:r>
      <w:r w:rsidRPr="00B00108">
        <w:rPr>
          <w:i/>
          <w:iCs/>
          <w:lang w:val="en-ZW"/>
        </w:rPr>
        <w:t>See</w:t>
      </w:r>
      <w:r>
        <w:rPr>
          <w:lang w:val="en-ZW"/>
        </w:rPr>
        <w:t xml:space="preserve"> Application at 12-18 (Reporting Exemptions in sections VIII.A-VIII.D).</w:t>
      </w:r>
      <w:r w:rsidR="00304B3A">
        <w:rPr>
          <w:lang w:val="en-ZW"/>
        </w:rPr>
        <w:t xml:space="preserve"> </w:t>
      </w:r>
      <w:r w:rsidR="00304B3A">
        <w:t xml:space="preserve">First, CRPC states that the Commission should exempt the company from affiliate transaction rules that impose various restrictions and reporting requirements on transactions between energy utilities and their affiliates. Second, CRPC claims it should be </w:t>
      </w:r>
      <w:r w:rsidR="00304B3A" w:rsidRPr="009053FA">
        <w:t>exempt from the requirements of Pub</w:t>
      </w:r>
      <w:r w:rsidR="00EE61EF">
        <w:t>.</w:t>
      </w:r>
      <w:r w:rsidR="00304B3A" w:rsidRPr="009053FA">
        <w:t xml:space="preserve"> Util</w:t>
      </w:r>
      <w:r w:rsidR="00EE61EF">
        <w:t>.</w:t>
      </w:r>
      <w:r w:rsidR="00304B3A" w:rsidRPr="009053FA">
        <w:t xml:space="preserve"> Code </w:t>
      </w:r>
      <w:r w:rsidR="00EE61EF">
        <w:t>S</w:t>
      </w:r>
      <w:r w:rsidR="00304B3A" w:rsidRPr="009053FA">
        <w:t>ection</w:t>
      </w:r>
      <w:r w:rsidR="00304B3A">
        <w:t>s</w:t>
      </w:r>
      <w:r w:rsidR="00304B3A" w:rsidRPr="009053FA">
        <w:t xml:space="preserve"> 818 through 851, </w:t>
      </w:r>
      <w:r w:rsidR="00304B3A">
        <w:t>that</w:t>
      </w:r>
      <w:r w:rsidR="00304B3A" w:rsidRPr="009053FA">
        <w:t xml:space="preserve"> require Commission approval before a public utility issues stock payable at periods of more than 12 months (Section 818), engages in certain securities transactions (Section 830), or transfers certain utility property (Section 851)</w:t>
      </w:r>
      <w:r w:rsidR="00304B3A">
        <w:t xml:space="preserve">. Third, CRPC requests freedom from Commission oversight of its rate-setting, contending it </w:t>
      </w:r>
      <w:r w:rsidR="00304B3A" w:rsidRPr="00077A36">
        <w:t>should be granted market-based rate authority because it lacks market power with respect to the services it intends to offer</w:t>
      </w:r>
      <w:r w:rsidR="00304B3A">
        <w:t xml:space="preserve">. Fourth, CRPC claims that upon the Commission’s grant of market-based rate authority, it </w:t>
      </w:r>
      <w:r w:rsidR="00304B3A" w:rsidRPr="004D4752">
        <w:t>should be exempted from the reporting requirements set forth in General Order 65-A</w:t>
      </w:r>
      <w:r w:rsidR="00304B3A">
        <w:t xml:space="preserve"> (financial information)</w:t>
      </w:r>
      <w:r w:rsidR="00304B3A" w:rsidRPr="004D4752">
        <w:t>, General Order 77- K</w:t>
      </w:r>
      <w:r w:rsidR="00304B3A">
        <w:t xml:space="preserve"> (data on officer and employee compensation, dues and donations, and legal fees)</w:t>
      </w:r>
      <w:r w:rsidR="00304B3A" w:rsidRPr="004D4752">
        <w:t>, and General Order 104-A</w:t>
      </w:r>
      <w:r w:rsidR="00304B3A">
        <w:t xml:space="preserve"> (annual reports).</w:t>
      </w:r>
    </w:p>
  </w:footnote>
  <w:footnote w:id="17">
    <w:p w14:paraId="6AEB1A11" w14:textId="35136191" w:rsidR="00CC444A" w:rsidRPr="00DE3150" w:rsidRDefault="00CC444A">
      <w:pPr>
        <w:pStyle w:val="FootnoteText"/>
        <w:rPr>
          <w:lang w:val="en-ZW"/>
        </w:rPr>
      </w:pPr>
      <w:r>
        <w:rPr>
          <w:rStyle w:val="FootnoteReference"/>
        </w:rPr>
        <w:footnoteRef/>
      </w:r>
      <w:r>
        <w:t xml:space="preserve"> As discussed below, ownership interests in the Antioch segment of the pipeline is uncertain until resolved in the Phase II Pipeline Litigation</w:t>
      </w:r>
      <w:r w:rsidR="00EB6E81">
        <w:t>.</w:t>
      </w:r>
    </w:p>
  </w:footnote>
  <w:footnote w:id="18">
    <w:p w14:paraId="351FCFB8" w14:textId="0F2B9B15" w:rsidR="00BF0E13" w:rsidRPr="00B4453F" w:rsidRDefault="00BF0E13">
      <w:pPr>
        <w:pStyle w:val="FootnoteText"/>
        <w:rPr>
          <w:lang w:val="en-ZW"/>
        </w:rPr>
      </w:pPr>
      <w:r w:rsidRPr="00B4453F">
        <w:rPr>
          <w:rStyle w:val="FootnoteReference"/>
        </w:rPr>
        <w:footnoteRef/>
      </w:r>
      <w:r w:rsidRPr="00B4453F">
        <w:t xml:space="preserve"> </w:t>
      </w:r>
      <w:r w:rsidR="009C4AEB" w:rsidRPr="00B4453F">
        <w:rPr>
          <w:lang w:val="en-ZW"/>
        </w:rPr>
        <w:t xml:space="preserve">Application at </w:t>
      </w:r>
      <w:r w:rsidR="00A91DF4">
        <w:rPr>
          <w:lang w:val="en-ZW"/>
        </w:rPr>
        <w:t>2.</w:t>
      </w:r>
    </w:p>
  </w:footnote>
  <w:footnote w:id="19">
    <w:p w14:paraId="4A5315C2" w14:textId="0D692443" w:rsidR="004E1FDC" w:rsidRPr="00B4453F" w:rsidRDefault="004E1FDC" w:rsidP="004E1FDC">
      <w:pPr>
        <w:pStyle w:val="FootnoteText"/>
        <w:rPr>
          <w:lang w:val="en-ZW"/>
        </w:rPr>
      </w:pPr>
      <w:r w:rsidRPr="00B4453F">
        <w:rPr>
          <w:rStyle w:val="FootnoteReference"/>
        </w:rPr>
        <w:footnoteRef/>
      </w:r>
      <w:r w:rsidRPr="00B4453F">
        <w:t xml:space="preserve"> </w:t>
      </w:r>
      <w:r w:rsidR="00EB4D4E" w:rsidRPr="00B4453F">
        <w:rPr>
          <w:lang w:val="en-ZW"/>
        </w:rPr>
        <w:t xml:space="preserve">Application at </w:t>
      </w:r>
      <w:r w:rsidR="00EB4D4E">
        <w:rPr>
          <w:lang w:val="en-ZW"/>
        </w:rPr>
        <w:t>2</w:t>
      </w:r>
      <w:r w:rsidR="006340B3">
        <w:rPr>
          <w:lang w:val="en-ZW"/>
        </w:rPr>
        <w:t xml:space="preserve"> and 20</w:t>
      </w:r>
      <w:r w:rsidR="00EB4D4E">
        <w:rPr>
          <w:lang w:val="en-ZW"/>
        </w:rPr>
        <w:t>.</w:t>
      </w:r>
    </w:p>
  </w:footnote>
  <w:footnote w:id="20">
    <w:p w14:paraId="695D4DC4" w14:textId="1496E9AE" w:rsidR="00D37B11" w:rsidRPr="00B4453F" w:rsidRDefault="00D37B11" w:rsidP="00D37B11">
      <w:pPr>
        <w:pStyle w:val="FootnoteText"/>
        <w:rPr>
          <w:lang w:val="en-ZW"/>
        </w:rPr>
      </w:pPr>
      <w:r w:rsidRPr="00B4453F">
        <w:rPr>
          <w:rStyle w:val="FootnoteReference"/>
        </w:rPr>
        <w:footnoteRef/>
      </w:r>
      <w:r w:rsidRPr="00B4453F">
        <w:t xml:space="preserve"> </w:t>
      </w:r>
      <w:r w:rsidR="007C66E9" w:rsidRPr="00926186">
        <w:t xml:space="preserve">The UI Pipeline was initially </w:t>
      </w:r>
      <w:r w:rsidR="007C66E9">
        <w:t xml:space="preserve">a </w:t>
      </w:r>
      <w:r w:rsidR="007C66E9" w:rsidRPr="00926186">
        <w:t xml:space="preserve"> 72.5-mile </w:t>
      </w:r>
      <w:r w:rsidR="007C66E9">
        <w:t xml:space="preserve">pipeline </w:t>
      </w:r>
      <w:r w:rsidR="007C66E9" w:rsidRPr="00926186">
        <w:t xml:space="preserve">constructed by a consortium formed </w:t>
      </w:r>
      <w:r w:rsidR="007C66E9">
        <w:t xml:space="preserve">by </w:t>
      </w:r>
      <w:r w:rsidR="007C66E9" w:rsidRPr="00D018F7">
        <w:t xml:space="preserve">Chevron </w:t>
      </w:r>
      <w:r w:rsidR="007C66E9" w:rsidRPr="00926186">
        <w:t xml:space="preserve">and Union Oil Company of California </w:t>
      </w:r>
      <w:r w:rsidR="007C66E9">
        <w:t>(</w:t>
      </w:r>
      <w:r w:rsidR="007C66E9" w:rsidRPr="00926186">
        <w:t>Unocal), in order to transport gas</w:t>
      </w:r>
      <w:r w:rsidR="007C66E9">
        <w:t xml:space="preserve"> </w:t>
      </w:r>
      <w:r w:rsidR="007C66E9" w:rsidRPr="00926186">
        <w:t xml:space="preserve">from the Union Island Gas field to </w:t>
      </w:r>
      <w:r w:rsidR="007C66E9" w:rsidRPr="00D018F7">
        <w:t>a</w:t>
      </w:r>
      <w:r w:rsidR="007C66E9">
        <w:t xml:space="preserve"> </w:t>
      </w:r>
      <w:r w:rsidR="007C66E9" w:rsidRPr="00D018F7">
        <w:t>refinery in Richmond, California (Richmond Refinery)</w:t>
      </w:r>
      <w:r w:rsidR="007C66E9" w:rsidRPr="00926186">
        <w:t>.</w:t>
      </w:r>
      <w:r w:rsidR="007C66E9">
        <w:t xml:space="preserve"> </w:t>
      </w:r>
      <w:r w:rsidR="00EB4D4E" w:rsidRPr="00B4453F">
        <w:rPr>
          <w:lang w:val="en-ZW"/>
        </w:rPr>
        <w:t xml:space="preserve">Application at </w:t>
      </w:r>
      <w:r w:rsidR="00EB4D4E">
        <w:rPr>
          <w:lang w:val="en-ZW"/>
        </w:rPr>
        <w:t>2.</w:t>
      </w:r>
      <w:r w:rsidR="00CF08DA">
        <w:rPr>
          <w:lang w:val="en-ZW"/>
        </w:rPr>
        <w:t xml:space="preserve"> </w:t>
      </w:r>
      <w:r w:rsidR="001A1C0C" w:rsidRPr="001A1C0C">
        <w:t>Contra Costa County conduct</w:t>
      </w:r>
      <w:r w:rsidR="004A01C1">
        <w:t>ed</w:t>
      </w:r>
      <w:r w:rsidR="001A1C0C" w:rsidRPr="001A1C0C">
        <w:t xml:space="preserve"> the California Environmental Quality Act (CEQA) review and approved the original 72.5-mile UI Pipeline in July 1990. Application at 5. </w:t>
      </w:r>
      <w:r w:rsidR="00CF08DA" w:rsidRPr="00926186">
        <w:t xml:space="preserve">The UI Pipeline began operating under </w:t>
      </w:r>
      <w:r w:rsidR="00CF08DA">
        <w:t xml:space="preserve">the Chevron-Unocal </w:t>
      </w:r>
      <w:r w:rsidR="00CF08DA" w:rsidRPr="00926186">
        <w:t>consortium</w:t>
      </w:r>
      <w:r w:rsidR="00CF08DA">
        <w:t>’s</w:t>
      </w:r>
      <w:r w:rsidR="00CF08DA" w:rsidRPr="00926186">
        <w:t xml:space="preserve"> ownership in 1991.</w:t>
      </w:r>
      <w:r w:rsidR="00CF08DA">
        <w:t xml:space="preserve"> </w:t>
      </w:r>
      <w:r w:rsidR="00CF08DA" w:rsidRPr="00926186">
        <w:t xml:space="preserve">Unocal </w:t>
      </w:r>
      <w:r w:rsidR="00CF08DA">
        <w:t xml:space="preserve">subsequently </w:t>
      </w:r>
      <w:r w:rsidR="00CF08DA" w:rsidRPr="00926186">
        <w:t>transferred the original 72.5-mile UI Pipeline to Venoco, Inc. (Venoco)</w:t>
      </w:r>
      <w:r w:rsidR="00CF08DA">
        <w:t>.</w:t>
      </w:r>
      <w:r w:rsidR="007F7F8E">
        <w:t xml:space="preserve"> In 2013, CRPC, previously known as </w:t>
      </w:r>
      <w:r w:rsidR="007F7F8E" w:rsidRPr="00926186">
        <w:t xml:space="preserve">Vintage Production California LLC (Vintage), acquired </w:t>
      </w:r>
      <w:r w:rsidR="00E267B4">
        <w:t>the</w:t>
      </w:r>
      <w:r w:rsidR="007F7F8E" w:rsidRPr="00926186">
        <w:t xml:space="preserve"> 35.14</w:t>
      </w:r>
      <w:r w:rsidR="007F7F8E">
        <w:t xml:space="preserve"> </w:t>
      </w:r>
      <w:r w:rsidR="007F7F8E" w:rsidRPr="00926186">
        <w:t>mile</w:t>
      </w:r>
      <w:r w:rsidR="007F7F8E">
        <w:t xml:space="preserve"> </w:t>
      </w:r>
      <w:r w:rsidR="007F7F8E" w:rsidRPr="00926186">
        <w:t>eastern</w:t>
      </w:r>
      <w:r w:rsidR="007F7F8E">
        <w:t xml:space="preserve"> </w:t>
      </w:r>
      <w:r w:rsidR="007F7F8E" w:rsidRPr="00926186">
        <w:t xml:space="preserve">portion of the original UI Pipeline </w:t>
      </w:r>
      <w:r w:rsidR="007F7F8E">
        <w:t xml:space="preserve">that </w:t>
      </w:r>
      <w:r w:rsidR="007F7F8E" w:rsidRPr="00926186">
        <w:t>extend</w:t>
      </w:r>
      <w:r w:rsidR="007F7F8E">
        <w:t>ed</w:t>
      </w:r>
      <w:r w:rsidR="007F7F8E" w:rsidRPr="00926186">
        <w:t xml:space="preserve"> from </w:t>
      </w:r>
      <w:r w:rsidR="007F7F8E">
        <w:t xml:space="preserve">the </w:t>
      </w:r>
      <w:r w:rsidR="007F7F8E" w:rsidRPr="00926186">
        <w:t>Union Island Gas field to the Los Medanos</w:t>
      </w:r>
      <w:r w:rsidR="007F7F8E">
        <w:t xml:space="preserve"> </w:t>
      </w:r>
      <w:r w:rsidR="007F7F8E" w:rsidRPr="00926186">
        <w:t>transfer station.</w:t>
      </w:r>
      <w:r w:rsidR="007F7F8E">
        <w:t xml:space="preserve"> </w:t>
      </w:r>
    </w:p>
  </w:footnote>
  <w:footnote w:id="21">
    <w:p w14:paraId="76984FD4" w14:textId="26FDFD2B" w:rsidR="00C31C6B" w:rsidRPr="00B4453F" w:rsidRDefault="00C31C6B" w:rsidP="00C31C6B">
      <w:pPr>
        <w:pStyle w:val="FootnoteText"/>
        <w:rPr>
          <w:lang w:val="en-ZW"/>
        </w:rPr>
      </w:pPr>
      <w:r w:rsidRPr="00B4453F">
        <w:rPr>
          <w:rStyle w:val="FootnoteReference"/>
        </w:rPr>
        <w:footnoteRef/>
      </w:r>
      <w:r w:rsidRPr="00B4453F">
        <w:t xml:space="preserve"> </w:t>
      </w:r>
      <w:r w:rsidR="008D0EC2" w:rsidRPr="002C7D6C">
        <w:rPr>
          <w:i/>
          <w:iCs/>
          <w:lang w:val="en-ZW"/>
        </w:rPr>
        <w:t>See</w:t>
      </w:r>
      <w:r w:rsidR="008D0EC2">
        <w:rPr>
          <w:lang w:val="en-ZW"/>
        </w:rPr>
        <w:t xml:space="preserve"> Application at 2, 20-21 and Appendix E (current and expired franchise agreements).</w:t>
      </w:r>
    </w:p>
  </w:footnote>
  <w:footnote w:id="22">
    <w:p w14:paraId="505476EE" w14:textId="1B36570C" w:rsidR="00AF1B72" w:rsidRPr="007B333C" w:rsidRDefault="00AF1B72">
      <w:pPr>
        <w:pStyle w:val="FootnoteText"/>
        <w:rPr>
          <w:lang w:val="en-ZW"/>
        </w:rPr>
      </w:pPr>
      <w:r>
        <w:rPr>
          <w:rStyle w:val="FootnoteReference"/>
        </w:rPr>
        <w:footnoteRef/>
      </w:r>
      <w:r>
        <w:t xml:space="preserve"> </w:t>
      </w:r>
      <w:r w:rsidR="00253D07" w:rsidRPr="002C7D6C">
        <w:rPr>
          <w:i/>
          <w:iCs/>
          <w:lang w:val="en-ZW"/>
        </w:rPr>
        <w:t>See</w:t>
      </w:r>
      <w:r w:rsidR="00253D07">
        <w:rPr>
          <w:lang w:val="en-ZW"/>
        </w:rPr>
        <w:t xml:space="preserve"> Application at 2, 20-21 and Appendix E (current and expired franchise agreements).</w:t>
      </w:r>
    </w:p>
  </w:footnote>
  <w:footnote w:id="23">
    <w:p w14:paraId="372082E4" w14:textId="0E1D8C67" w:rsidR="00E77201" w:rsidRPr="00B4453F" w:rsidRDefault="00E77201" w:rsidP="00E77201">
      <w:pPr>
        <w:pStyle w:val="FootnoteText"/>
        <w:rPr>
          <w:szCs w:val="22"/>
        </w:rPr>
      </w:pPr>
      <w:r w:rsidRPr="00B4453F">
        <w:rPr>
          <w:rStyle w:val="FootnoteReference"/>
          <w:szCs w:val="22"/>
        </w:rPr>
        <w:footnoteRef/>
      </w:r>
      <w:r w:rsidRPr="00B4453F">
        <w:rPr>
          <w:szCs w:val="22"/>
        </w:rPr>
        <w:t xml:space="preserve"> </w:t>
      </w:r>
      <w:r w:rsidRPr="007B333C">
        <w:rPr>
          <w:i/>
          <w:iCs/>
          <w:szCs w:val="22"/>
        </w:rPr>
        <w:t>See</w:t>
      </w:r>
      <w:r w:rsidRPr="00B4453F">
        <w:rPr>
          <w:szCs w:val="22"/>
        </w:rPr>
        <w:t xml:space="preserve"> </w:t>
      </w:r>
      <w:r w:rsidR="003C0BC1" w:rsidRPr="00B4453F">
        <w:rPr>
          <w:lang w:val="en-ZW"/>
        </w:rPr>
        <w:t xml:space="preserve">Application at </w:t>
      </w:r>
      <w:r w:rsidR="003C0BC1">
        <w:rPr>
          <w:lang w:val="en-ZW"/>
        </w:rPr>
        <w:t>Exhibit E (Antioch Notice of Termination).</w:t>
      </w:r>
      <w:r w:rsidR="008735C2">
        <w:rPr>
          <w:lang w:val="en-ZW"/>
        </w:rPr>
        <w:t xml:space="preserve"> The agreement </w:t>
      </w:r>
      <w:r w:rsidR="008735C2">
        <w:t>was adopted by the Antioch City Council on December 12, 2017 as Ordinance 2133-C-S, and extended CRPC rights to “construct, maintain and operate” the UI Pipeline within the city limits for a five (5) year term.</w:t>
      </w:r>
      <w:r w:rsidR="004C3BC7">
        <w:t xml:space="preserve"> </w:t>
      </w:r>
      <w:r w:rsidR="004C3BC7" w:rsidRPr="00B4453F">
        <w:rPr>
          <w:lang w:val="en-ZW"/>
        </w:rPr>
        <w:t xml:space="preserve">Application at </w:t>
      </w:r>
      <w:r w:rsidR="004C3BC7">
        <w:rPr>
          <w:lang w:val="en-ZW"/>
        </w:rPr>
        <w:t>Exhibit E</w:t>
      </w:r>
    </w:p>
  </w:footnote>
  <w:footnote w:id="24">
    <w:p w14:paraId="177F8885" w14:textId="77777777" w:rsidR="002F6E1C" w:rsidRPr="008B4D89" w:rsidRDefault="002F6E1C" w:rsidP="002F6E1C">
      <w:pPr>
        <w:pStyle w:val="FootnoteText"/>
        <w:rPr>
          <w:lang w:val="en-ZW"/>
        </w:rPr>
      </w:pPr>
      <w:r>
        <w:rPr>
          <w:rStyle w:val="FootnoteReference"/>
        </w:rPr>
        <w:footnoteRef/>
      </w:r>
      <w:r>
        <w:t xml:space="preserve"> </w:t>
      </w:r>
      <w:r w:rsidRPr="002C7D6C">
        <w:rPr>
          <w:i/>
          <w:iCs/>
          <w:lang w:val="en-ZW"/>
        </w:rPr>
        <w:t>See</w:t>
      </w:r>
      <w:r>
        <w:rPr>
          <w:lang w:val="en-ZW"/>
        </w:rPr>
        <w:t xml:space="preserve"> Application at 2, 20-21 and Appendix E (current and expired franchise agreements).</w:t>
      </w:r>
    </w:p>
  </w:footnote>
  <w:footnote w:id="25">
    <w:p w14:paraId="2268EF57" w14:textId="7D344A3E" w:rsidR="009A5C78" w:rsidRPr="00E90B4A" w:rsidRDefault="009A5C78" w:rsidP="009A5C78">
      <w:pPr>
        <w:pStyle w:val="FootnoteText"/>
        <w:rPr>
          <w:szCs w:val="22"/>
          <w:lang w:val="en-ZW"/>
        </w:rPr>
      </w:pPr>
      <w:r w:rsidRPr="00E90B4A">
        <w:rPr>
          <w:rStyle w:val="FootnoteReference"/>
          <w:szCs w:val="22"/>
        </w:rPr>
        <w:footnoteRef/>
      </w:r>
      <w:r w:rsidRPr="00E90B4A">
        <w:rPr>
          <w:szCs w:val="22"/>
        </w:rPr>
        <w:t xml:space="preserve"> </w:t>
      </w:r>
      <w:r w:rsidR="00A83642" w:rsidRPr="00E90B4A">
        <w:rPr>
          <w:i/>
          <w:iCs/>
          <w:szCs w:val="22"/>
        </w:rPr>
        <w:t>See</w:t>
      </w:r>
      <w:r w:rsidR="00A83642" w:rsidRPr="00E90B4A">
        <w:rPr>
          <w:szCs w:val="22"/>
        </w:rPr>
        <w:t xml:space="preserve"> </w:t>
      </w:r>
      <w:r w:rsidR="00E90B4A" w:rsidRPr="00FE64F5">
        <w:rPr>
          <w:rFonts w:eastAsia="Aptos" w:cs="Times New Roman"/>
          <w:kern w:val="2"/>
          <w:szCs w:val="22"/>
          <w14:ligatures w14:val="standardContextual"/>
        </w:rPr>
        <w:t>CRPC October 10, 2025 Supplemental Response</w:t>
      </w:r>
      <w:r w:rsidR="00E90B4A" w:rsidRPr="00E90B4A">
        <w:rPr>
          <w:szCs w:val="22"/>
          <w:lang w:val="en-ZW"/>
        </w:rPr>
        <w:t xml:space="preserve"> </w:t>
      </w:r>
      <w:r w:rsidR="00E90B4A">
        <w:rPr>
          <w:szCs w:val="22"/>
          <w:lang w:val="en-ZW"/>
        </w:rPr>
        <w:t xml:space="preserve">at 3-4; </w:t>
      </w:r>
      <w:r w:rsidR="00A83642" w:rsidRPr="00E90B4A">
        <w:rPr>
          <w:szCs w:val="22"/>
          <w:lang w:val="en-ZW"/>
        </w:rPr>
        <w:t>Application at Exhibit E (Antioch Notice of Termination).</w:t>
      </w:r>
    </w:p>
  </w:footnote>
  <w:footnote w:id="26">
    <w:p w14:paraId="1C6B3D65" w14:textId="6103CD44" w:rsidR="0052750F" w:rsidRPr="00B4453F" w:rsidRDefault="0052750F" w:rsidP="0052750F">
      <w:pPr>
        <w:pStyle w:val="FootnoteText"/>
        <w:rPr>
          <w:lang w:val="en-ZW"/>
        </w:rPr>
      </w:pPr>
      <w:r w:rsidRPr="00B4453F">
        <w:rPr>
          <w:rStyle w:val="FootnoteReference"/>
        </w:rPr>
        <w:footnoteRef/>
      </w:r>
      <w:r w:rsidRPr="00B4453F">
        <w:t xml:space="preserve"> </w:t>
      </w:r>
      <w:r w:rsidR="00A203E5" w:rsidRPr="002C7D6C">
        <w:rPr>
          <w:i/>
          <w:iCs/>
          <w:szCs w:val="22"/>
        </w:rPr>
        <w:t>See</w:t>
      </w:r>
      <w:r w:rsidR="00A203E5" w:rsidRPr="00B4453F">
        <w:rPr>
          <w:szCs w:val="22"/>
        </w:rPr>
        <w:t xml:space="preserve"> </w:t>
      </w:r>
      <w:r w:rsidR="00A203E5" w:rsidRPr="00B4453F">
        <w:rPr>
          <w:lang w:val="en-ZW"/>
        </w:rPr>
        <w:t xml:space="preserve">Application at </w:t>
      </w:r>
      <w:r w:rsidR="00A203E5">
        <w:rPr>
          <w:lang w:val="en-ZW"/>
        </w:rPr>
        <w:t>Exhibit E (Antioch Notice of Termination).</w:t>
      </w:r>
    </w:p>
  </w:footnote>
  <w:footnote w:id="27">
    <w:p w14:paraId="1AF17DB6" w14:textId="5F2D14A0" w:rsidR="00BC3CB6" w:rsidRPr="007B333C" w:rsidRDefault="00BC3CB6">
      <w:pPr>
        <w:pStyle w:val="FootnoteText"/>
        <w:rPr>
          <w:lang w:val="en-ZW"/>
        </w:rPr>
      </w:pPr>
      <w:r>
        <w:rPr>
          <w:rStyle w:val="FootnoteReference"/>
        </w:rPr>
        <w:footnoteRef/>
      </w:r>
      <w:r>
        <w:t xml:space="preserve"> </w:t>
      </w:r>
      <w:r w:rsidRPr="002C7D6C">
        <w:rPr>
          <w:i/>
          <w:iCs/>
          <w:szCs w:val="22"/>
        </w:rPr>
        <w:t>See</w:t>
      </w:r>
      <w:r w:rsidRPr="00B4453F">
        <w:rPr>
          <w:szCs w:val="22"/>
        </w:rPr>
        <w:t xml:space="preserve"> </w:t>
      </w:r>
      <w:r w:rsidRPr="00B4453F">
        <w:rPr>
          <w:lang w:val="en-ZW"/>
        </w:rPr>
        <w:t xml:space="preserve">Application at </w:t>
      </w:r>
      <w:r>
        <w:rPr>
          <w:lang w:val="en-ZW"/>
        </w:rPr>
        <w:t>Exhibit E (Antioch Notice of Termination)</w:t>
      </w:r>
      <w:r w:rsidR="00C25A69">
        <w:rPr>
          <w:lang w:val="en-ZW"/>
        </w:rPr>
        <w:t xml:space="preserve"> (emphasis added)</w:t>
      </w:r>
      <w:r>
        <w:rPr>
          <w:lang w:val="en-ZW"/>
        </w:rPr>
        <w:t>.</w:t>
      </w:r>
    </w:p>
  </w:footnote>
  <w:footnote w:id="28">
    <w:p w14:paraId="30F935D2" w14:textId="77777777" w:rsidR="00D93299" w:rsidRPr="007B333C" w:rsidRDefault="00D93299" w:rsidP="00D93299">
      <w:pPr>
        <w:pStyle w:val="FootnoteText"/>
        <w:rPr>
          <w:lang w:val="en-ZW"/>
        </w:rPr>
      </w:pPr>
      <w:r>
        <w:rPr>
          <w:rStyle w:val="FootnoteReference"/>
        </w:rPr>
        <w:footnoteRef/>
      </w:r>
      <w:r>
        <w:t xml:space="preserve"> </w:t>
      </w:r>
      <w:r w:rsidRPr="007B333C">
        <w:rPr>
          <w:i/>
          <w:iCs/>
          <w:lang w:val="en-ZW"/>
        </w:rPr>
        <w:t>See</w:t>
      </w:r>
      <w:r>
        <w:rPr>
          <w:lang w:val="en-ZW"/>
        </w:rPr>
        <w:t xml:space="preserve"> </w:t>
      </w:r>
      <w:r>
        <w:t xml:space="preserve">Cities’ </w:t>
      </w:r>
      <w:r w:rsidRPr="007B47FB">
        <w:t xml:space="preserve">October </w:t>
      </w:r>
      <w:r>
        <w:t xml:space="preserve">10, 2025 Supplemental Response at 9; </w:t>
      </w:r>
      <w:r w:rsidRPr="00CD5B1B">
        <w:rPr>
          <w:lang w:val="en-ZW"/>
        </w:rPr>
        <w:t xml:space="preserve">CRPC October 18, 2024 Response to ALJ October 7, 2024 Ruling Requiring Parties to File Updated Responses to the </w:t>
      </w:r>
      <w:r>
        <w:rPr>
          <w:lang w:val="en-ZW"/>
        </w:rPr>
        <w:t>June 20</w:t>
      </w:r>
      <w:r w:rsidRPr="00CD5B1B">
        <w:rPr>
          <w:lang w:val="en-ZW"/>
        </w:rPr>
        <w:t>, 2024, Administrative Law Judge’s First Ruling (CRPC Response to ALJ Ruling Requiring Updated Response)</w:t>
      </w:r>
      <w:r>
        <w:rPr>
          <w:lang w:val="en-ZW"/>
        </w:rPr>
        <w:t xml:space="preserve"> at 5-6; </w:t>
      </w:r>
      <w:r w:rsidRPr="001365C0">
        <w:t xml:space="preserve">Cities November 26, 2024 Joint Supplemental Response </w:t>
      </w:r>
      <w:r>
        <w:t xml:space="preserve">to </w:t>
      </w:r>
      <w:r w:rsidRPr="001365C0">
        <w:t xml:space="preserve">October 7, 2024 ALJ Ruling Requiring Parties to File Updated Responses to the </w:t>
      </w:r>
      <w:r>
        <w:t>June 20</w:t>
      </w:r>
      <w:r w:rsidRPr="001365C0">
        <w:t>, 2024, Administrative Law Judge’s First Ruling</w:t>
      </w:r>
      <w:r>
        <w:t xml:space="preserve"> (</w:t>
      </w:r>
      <w:r w:rsidRPr="001365C0">
        <w:t>Cities’ First Supplemental Response</w:t>
      </w:r>
      <w:r>
        <w:t xml:space="preserve">) at 3 n.4; </w:t>
      </w:r>
      <w:r>
        <w:rPr>
          <w:lang w:val="en-ZW"/>
        </w:rPr>
        <w:t xml:space="preserve">Application at 3 n.9 (describing </w:t>
      </w:r>
      <w:r w:rsidRPr="002E1C76">
        <w:t xml:space="preserve">Antioch City Code </w:t>
      </w:r>
      <w:r>
        <w:t>section</w:t>
      </w:r>
      <w:r w:rsidRPr="002E1C76">
        <w:t xml:space="preserve"> 7-2.311</w:t>
      </w:r>
      <w:r>
        <w:t xml:space="preserve">, providing no permit required for “continuing use or maintenance of encroachments </w:t>
      </w:r>
      <w:r w:rsidRPr="002C7D6C">
        <w:rPr>
          <w:i/>
          <w:iCs/>
        </w:rPr>
        <w:t>installed by public utilities</w:t>
      </w:r>
      <w:r w:rsidRPr="002C7D6C">
        <w:t>”</w:t>
      </w:r>
      <w:r>
        <w:rPr>
          <w:lang w:val="en-ZW"/>
        </w:rPr>
        <w:t>) (emphasis added).</w:t>
      </w:r>
      <w:r w:rsidRPr="001365C0">
        <w:t xml:space="preserve"> </w:t>
      </w:r>
    </w:p>
  </w:footnote>
  <w:footnote w:id="29">
    <w:p w14:paraId="63929513" w14:textId="77777777" w:rsidR="00D93299" w:rsidRPr="007B333C" w:rsidRDefault="00D93299" w:rsidP="00D93299">
      <w:pPr>
        <w:pStyle w:val="FootnoteText"/>
        <w:rPr>
          <w:lang w:val="en-ZW"/>
        </w:rPr>
      </w:pPr>
      <w:r>
        <w:rPr>
          <w:rStyle w:val="FootnoteReference"/>
        </w:rPr>
        <w:footnoteRef/>
      </w:r>
      <w:r>
        <w:t xml:space="preserve"> </w:t>
      </w:r>
      <w:r w:rsidRPr="002C7D6C">
        <w:rPr>
          <w:i/>
          <w:iCs/>
          <w:lang w:val="en-ZW"/>
        </w:rPr>
        <w:t>See</w:t>
      </w:r>
      <w:r>
        <w:rPr>
          <w:lang w:val="en-ZW"/>
        </w:rPr>
        <w:t xml:space="preserve"> </w:t>
      </w:r>
      <w:r>
        <w:t xml:space="preserve">Cities’ </w:t>
      </w:r>
      <w:r w:rsidRPr="007B47FB">
        <w:t xml:space="preserve">October </w:t>
      </w:r>
      <w:r>
        <w:t xml:space="preserve">10, 2025 Supplemental Response at 9. </w:t>
      </w:r>
      <w:r w:rsidRPr="00496E76">
        <w:rPr>
          <w:i/>
          <w:iCs/>
        </w:rPr>
        <w:t>See also</w:t>
      </w:r>
      <w:r>
        <w:t xml:space="preserve"> </w:t>
      </w:r>
      <w:r w:rsidRPr="00CD5B1B">
        <w:rPr>
          <w:lang w:val="en-ZW"/>
        </w:rPr>
        <w:t>CRPC Response to ALJ Ruling Requiring Updated Response</w:t>
      </w:r>
      <w:r>
        <w:rPr>
          <w:lang w:val="en-ZW"/>
        </w:rPr>
        <w:t xml:space="preserve"> at 5-6.</w:t>
      </w:r>
    </w:p>
  </w:footnote>
  <w:footnote w:id="30">
    <w:p w14:paraId="096DE74D" w14:textId="77777777" w:rsidR="00D93299" w:rsidRPr="00B4453F" w:rsidRDefault="00D93299" w:rsidP="00D93299">
      <w:pPr>
        <w:pStyle w:val="FootnoteText"/>
      </w:pPr>
      <w:r w:rsidRPr="00B4453F">
        <w:rPr>
          <w:rStyle w:val="FootnoteReference"/>
        </w:rPr>
        <w:footnoteRef/>
      </w:r>
      <w:r w:rsidRPr="00B4453F">
        <w:t xml:space="preserve"> </w:t>
      </w:r>
      <w:r w:rsidRPr="007B333C">
        <w:rPr>
          <w:i/>
          <w:iCs/>
        </w:rPr>
        <w:t>See</w:t>
      </w:r>
      <w:r w:rsidRPr="007B333C">
        <w:t xml:space="preserve"> </w:t>
      </w:r>
      <w:r>
        <w:t xml:space="preserve">Cities’ October 10, 2025 Supplemental Response at 9. </w:t>
      </w:r>
      <w:r w:rsidRPr="00FE64F5">
        <w:rPr>
          <w:i/>
          <w:iCs/>
        </w:rPr>
        <w:t>See also</w:t>
      </w:r>
      <w:r>
        <w:t xml:space="preserve"> Cities Third Supplemental Response at 2 and CRPC Third Supplemental Response at 2; and </w:t>
      </w:r>
      <w:r w:rsidRPr="00CD5B1B">
        <w:rPr>
          <w:lang w:val="en-ZW"/>
        </w:rPr>
        <w:t>CRPC Response to ALJ Ruling Requiring Updated Response</w:t>
      </w:r>
      <w:r>
        <w:rPr>
          <w:lang w:val="en-ZW"/>
        </w:rPr>
        <w:t xml:space="preserve"> at 5-6; </w:t>
      </w:r>
      <w:r w:rsidRPr="00605EE4">
        <w:t>CRPC</w:t>
      </w:r>
      <w:r>
        <w:t xml:space="preserve"> March 6, 2025 S</w:t>
      </w:r>
      <w:r w:rsidRPr="00605EE4">
        <w:t xml:space="preserve">econd </w:t>
      </w:r>
      <w:r>
        <w:t>S</w:t>
      </w:r>
      <w:r w:rsidRPr="00605EE4">
        <w:t xml:space="preserve">upplemental </w:t>
      </w:r>
      <w:r>
        <w:t>R</w:t>
      </w:r>
      <w:r w:rsidRPr="00605EE4">
        <w:t xml:space="preserve">esponse to the October 7, 2024 Administrative Law Judge’s Email Ruling Requiring Parties to File Updated Responses to </w:t>
      </w:r>
      <w:r>
        <w:t>June 20</w:t>
      </w:r>
      <w:r w:rsidRPr="00605EE4">
        <w:t xml:space="preserve">, 2024, Administrative Law Judge’s First Ruling </w:t>
      </w:r>
      <w:r>
        <w:t>(CRPC Second Supplemental Response) at 2.</w:t>
      </w:r>
    </w:p>
  </w:footnote>
  <w:footnote w:id="31">
    <w:p w14:paraId="73B6DF5D" w14:textId="2E818728" w:rsidR="00F5349D" w:rsidRPr="007B333C" w:rsidRDefault="00F5349D" w:rsidP="00F5349D">
      <w:pPr>
        <w:pStyle w:val="FootnoteText"/>
        <w:rPr>
          <w:lang w:val="en-ZW"/>
        </w:rPr>
      </w:pPr>
      <w:r>
        <w:rPr>
          <w:rStyle w:val="FootnoteReference"/>
        </w:rPr>
        <w:footnoteRef/>
      </w:r>
      <w:r>
        <w:t xml:space="preserve"> </w:t>
      </w:r>
      <w:r w:rsidR="0020600F" w:rsidRPr="002C7D6C">
        <w:rPr>
          <w:i/>
          <w:iCs/>
        </w:rPr>
        <w:t>See</w:t>
      </w:r>
      <w:r w:rsidR="0020600F">
        <w:t xml:space="preserve"> </w:t>
      </w:r>
      <w:r w:rsidR="0020600F" w:rsidRPr="00B4453F">
        <w:rPr>
          <w:lang w:val="en-ZW"/>
        </w:rPr>
        <w:t xml:space="preserve">Application at </w:t>
      </w:r>
      <w:r w:rsidR="0020600F">
        <w:rPr>
          <w:lang w:val="en-ZW"/>
        </w:rPr>
        <w:t>Exhibit E (City of Brentwood Oil-CRPC and Gas Pipeline Franchise Agreement, effective February 22, 2016) (Brentwood Franchise Agreement).</w:t>
      </w:r>
    </w:p>
  </w:footnote>
  <w:footnote w:id="32">
    <w:p w14:paraId="536CA8F8" w14:textId="475AE20E" w:rsidR="006758EA" w:rsidRPr="00B4453F" w:rsidRDefault="006758EA" w:rsidP="006758EA">
      <w:pPr>
        <w:pStyle w:val="FootnoteText"/>
        <w:rPr>
          <w:lang w:val="en-ZW"/>
        </w:rPr>
      </w:pPr>
      <w:r w:rsidRPr="00B4453F">
        <w:rPr>
          <w:rStyle w:val="FootnoteReference"/>
        </w:rPr>
        <w:footnoteRef/>
      </w:r>
      <w:r w:rsidRPr="00B4453F">
        <w:t xml:space="preserve"> </w:t>
      </w:r>
      <w:r w:rsidR="004A736D" w:rsidRPr="002C7D6C">
        <w:rPr>
          <w:i/>
          <w:iCs/>
        </w:rPr>
        <w:t>See</w:t>
      </w:r>
      <w:r w:rsidR="004A736D">
        <w:t xml:space="preserve"> </w:t>
      </w:r>
      <w:r w:rsidR="004A736D" w:rsidRPr="00B4453F">
        <w:rPr>
          <w:lang w:val="en-ZW"/>
        </w:rPr>
        <w:t xml:space="preserve">Application at </w:t>
      </w:r>
      <w:r w:rsidR="004A736D">
        <w:rPr>
          <w:lang w:val="en-ZW"/>
        </w:rPr>
        <w:t>Exhibit E (</w:t>
      </w:r>
      <w:r w:rsidR="00331080">
        <w:rPr>
          <w:lang w:val="en-ZW"/>
        </w:rPr>
        <w:t>Brentwood Franchise Agreement</w:t>
      </w:r>
      <w:r w:rsidR="004A736D">
        <w:rPr>
          <w:lang w:val="en-ZW"/>
        </w:rPr>
        <w:t>).</w:t>
      </w:r>
    </w:p>
  </w:footnote>
  <w:footnote w:id="33">
    <w:p w14:paraId="061FBF2C" w14:textId="05C5DA7A" w:rsidR="00CC1713" w:rsidRPr="007B333C" w:rsidRDefault="00CC1713">
      <w:pPr>
        <w:pStyle w:val="FootnoteText"/>
        <w:rPr>
          <w:lang w:val="en-ZW"/>
        </w:rPr>
      </w:pPr>
      <w:r>
        <w:rPr>
          <w:rStyle w:val="FootnoteReference"/>
        </w:rPr>
        <w:footnoteRef/>
      </w:r>
      <w:r>
        <w:t xml:space="preserve"> </w:t>
      </w:r>
      <w:r w:rsidR="00A224C3" w:rsidRPr="007B333C">
        <w:rPr>
          <w:i/>
          <w:iCs/>
        </w:rPr>
        <w:t>See</w:t>
      </w:r>
      <w:r w:rsidR="00A224C3">
        <w:t xml:space="preserve"> </w:t>
      </w:r>
      <w:r w:rsidR="002A626E" w:rsidRPr="00496E76">
        <w:rPr>
          <w:rFonts w:eastAsia="Aptos" w:cs="Times New Roman"/>
          <w:kern w:val="2"/>
          <w:szCs w:val="22"/>
          <w14:ligatures w14:val="standardContextual"/>
        </w:rPr>
        <w:t>CRPC’s October 10, 2025 Fourth Supplemental Response to Administrative Law Judge’s Email Ruling Requiring Parties to File Updated, Supplemental Responses to June 20, 2024, Administrative Law Judge First Ruling (CRPC October 10, 2025 Supplemental Response)</w:t>
      </w:r>
      <w:r w:rsidR="002A626E">
        <w:rPr>
          <w:rFonts w:eastAsia="Aptos" w:cs="Times New Roman"/>
          <w:kern w:val="2"/>
          <w:szCs w:val="22"/>
          <w14:ligatures w14:val="standardContextual"/>
        </w:rPr>
        <w:t xml:space="preserve"> at 6; </w:t>
      </w:r>
      <w:r w:rsidR="00A224C3" w:rsidRPr="00CD5B1B">
        <w:rPr>
          <w:lang w:val="en-ZW"/>
        </w:rPr>
        <w:t>CRPC Response to ALJ Ruling Requiring Updated Response</w:t>
      </w:r>
      <w:r w:rsidR="00A224C3">
        <w:rPr>
          <w:lang w:val="en-ZW"/>
        </w:rPr>
        <w:t xml:space="preserve"> at 6</w:t>
      </w:r>
      <w:r w:rsidR="00064663">
        <w:rPr>
          <w:lang w:val="en-ZW"/>
        </w:rPr>
        <w:t xml:space="preserve">; </w:t>
      </w:r>
      <w:r>
        <w:rPr>
          <w:lang w:val="en-ZW"/>
        </w:rPr>
        <w:t>Application at 21.</w:t>
      </w:r>
    </w:p>
  </w:footnote>
  <w:footnote w:id="34">
    <w:p w14:paraId="6BBA0EF4" w14:textId="2034583F" w:rsidR="00275B1E" w:rsidRPr="00275F50" w:rsidRDefault="00275B1E">
      <w:pPr>
        <w:pStyle w:val="FootnoteText"/>
        <w:rPr>
          <w:szCs w:val="22"/>
        </w:rPr>
      </w:pPr>
      <w:r w:rsidRPr="00275F50">
        <w:rPr>
          <w:rStyle w:val="FootnoteReference"/>
          <w:szCs w:val="22"/>
        </w:rPr>
        <w:footnoteRef/>
      </w:r>
      <w:r w:rsidRPr="00275F50">
        <w:rPr>
          <w:szCs w:val="22"/>
        </w:rPr>
        <w:t xml:space="preserve"> </w:t>
      </w:r>
      <w:r w:rsidR="008435EA" w:rsidRPr="00275F50">
        <w:rPr>
          <w:i/>
          <w:iCs/>
          <w:szCs w:val="22"/>
        </w:rPr>
        <w:t xml:space="preserve"> See</w:t>
      </w:r>
      <w:r w:rsidR="008435EA" w:rsidRPr="00275F50">
        <w:rPr>
          <w:szCs w:val="22"/>
        </w:rPr>
        <w:t xml:space="preserve"> </w:t>
      </w:r>
      <w:r w:rsidR="00275F50" w:rsidRPr="00FE64F5">
        <w:rPr>
          <w:rFonts w:eastAsia="Aptos" w:cs="Times New Roman"/>
          <w:kern w:val="2"/>
          <w:szCs w:val="22"/>
          <w14:ligatures w14:val="standardContextual"/>
        </w:rPr>
        <w:t>CRPC October 10, 2025 Supplemental Response</w:t>
      </w:r>
      <w:r w:rsidR="00275F50">
        <w:rPr>
          <w:rFonts w:eastAsia="Aptos" w:cs="Times New Roman"/>
          <w:kern w:val="2"/>
          <w:szCs w:val="22"/>
          <w14:ligatures w14:val="standardContextual"/>
        </w:rPr>
        <w:t xml:space="preserve"> </w:t>
      </w:r>
      <w:r w:rsidR="00FF1504">
        <w:rPr>
          <w:rFonts w:eastAsia="Aptos" w:cs="Times New Roman"/>
          <w:kern w:val="2"/>
          <w:szCs w:val="22"/>
          <w14:ligatures w14:val="standardContextual"/>
        </w:rPr>
        <w:t xml:space="preserve">at 6; </w:t>
      </w:r>
      <w:r w:rsidR="008435EA" w:rsidRPr="00275F50">
        <w:rPr>
          <w:szCs w:val="22"/>
          <w:lang w:val="en-ZW"/>
        </w:rPr>
        <w:t>CRPC Response to ALJ Ruling Requiring Updated Response at 6.</w:t>
      </w:r>
    </w:p>
  </w:footnote>
  <w:footnote w:id="35">
    <w:p w14:paraId="2AAFF0D8" w14:textId="1DC65CCC" w:rsidR="009C1AC3" w:rsidRPr="00FE64F5" w:rsidRDefault="009C1AC3">
      <w:pPr>
        <w:pStyle w:val="FootnoteText"/>
        <w:rPr>
          <w:szCs w:val="22"/>
          <w:lang w:val="en-ZW"/>
        </w:rPr>
      </w:pPr>
      <w:r w:rsidRPr="00D86143">
        <w:rPr>
          <w:rStyle w:val="FootnoteReference"/>
          <w:szCs w:val="22"/>
        </w:rPr>
        <w:footnoteRef/>
      </w:r>
      <w:r w:rsidRPr="00D86143">
        <w:rPr>
          <w:szCs w:val="22"/>
        </w:rPr>
        <w:t xml:space="preserve"> </w:t>
      </w:r>
      <w:r w:rsidR="00D86143" w:rsidRPr="00FE64F5">
        <w:rPr>
          <w:i/>
          <w:iCs/>
          <w:szCs w:val="22"/>
        </w:rPr>
        <w:t>See</w:t>
      </w:r>
      <w:r w:rsidR="00D86143" w:rsidRPr="00D86143">
        <w:rPr>
          <w:szCs w:val="22"/>
        </w:rPr>
        <w:t xml:space="preserve"> </w:t>
      </w:r>
      <w:r w:rsidR="00D86143" w:rsidRPr="00FE64F5">
        <w:rPr>
          <w:szCs w:val="22"/>
        </w:rPr>
        <w:t xml:space="preserve">Cities’ October 10, 2025 Supplemental Response at </w:t>
      </w:r>
      <w:r w:rsidR="006B3B32">
        <w:rPr>
          <w:szCs w:val="22"/>
        </w:rPr>
        <w:t>6</w:t>
      </w:r>
      <w:r w:rsidR="00D86143" w:rsidRPr="00FE64F5">
        <w:rPr>
          <w:szCs w:val="22"/>
        </w:rPr>
        <w:t>.</w:t>
      </w:r>
    </w:p>
  </w:footnote>
  <w:footnote w:id="36">
    <w:p w14:paraId="1DC7C92F" w14:textId="4B6AD6EE" w:rsidR="008350DD" w:rsidRPr="00FE64F5" w:rsidRDefault="008350DD">
      <w:pPr>
        <w:pStyle w:val="FootnoteText"/>
        <w:rPr>
          <w:szCs w:val="22"/>
          <w:lang w:val="en-ZW"/>
        </w:rPr>
      </w:pPr>
      <w:r w:rsidRPr="002B00B8">
        <w:rPr>
          <w:rStyle w:val="FootnoteReference"/>
          <w:szCs w:val="22"/>
        </w:rPr>
        <w:footnoteRef/>
      </w:r>
      <w:r w:rsidRPr="002B00B8">
        <w:rPr>
          <w:szCs w:val="22"/>
        </w:rPr>
        <w:t xml:space="preserve"> </w:t>
      </w:r>
      <w:r w:rsidR="00A424CA" w:rsidRPr="00FE64F5">
        <w:rPr>
          <w:i/>
          <w:iCs/>
          <w:szCs w:val="22"/>
        </w:rPr>
        <w:t>See</w:t>
      </w:r>
      <w:r w:rsidR="00A424CA" w:rsidRPr="002B00B8">
        <w:rPr>
          <w:szCs w:val="22"/>
        </w:rPr>
        <w:t xml:space="preserve"> </w:t>
      </w:r>
      <w:r w:rsidR="00A424CA" w:rsidRPr="00FE64F5">
        <w:rPr>
          <w:szCs w:val="22"/>
        </w:rPr>
        <w:t xml:space="preserve">CRPC October 10, 2025 Supplemental Response at </w:t>
      </w:r>
      <w:r w:rsidR="002B00B8" w:rsidRPr="00FE64F5">
        <w:rPr>
          <w:szCs w:val="22"/>
        </w:rPr>
        <w:t>6.</w:t>
      </w:r>
    </w:p>
  </w:footnote>
  <w:footnote w:id="37">
    <w:p w14:paraId="71CFF4BF" w14:textId="661C66B7" w:rsidR="008B798E" w:rsidRPr="00FE64F5" w:rsidRDefault="008B798E">
      <w:pPr>
        <w:pStyle w:val="FootnoteText"/>
        <w:rPr>
          <w:lang w:val="en-ZW"/>
        </w:rPr>
      </w:pPr>
      <w:r>
        <w:rPr>
          <w:rStyle w:val="FootnoteReference"/>
        </w:rPr>
        <w:footnoteRef/>
      </w:r>
      <w:r>
        <w:t xml:space="preserve"> </w:t>
      </w:r>
      <w:r w:rsidRPr="00FE64F5">
        <w:rPr>
          <w:i/>
          <w:iCs/>
          <w:lang w:val="en-ZW"/>
        </w:rPr>
        <w:t>See</w:t>
      </w:r>
      <w:r>
        <w:rPr>
          <w:lang w:val="en-ZW"/>
        </w:rPr>
        <w:t xml:space="preserve"> </w:t>
      </w:r>
      <w:r w:rsidR="00675AF1">
        <w:t xml:space="preserve">Cities’ </w:t>
      </w:r>
      <w:r w:rsidR="00675AF1" w:rsidRPr="00DC5DF5">
        <w:t xml:space="preserve">October </w:t>
      </w:r>
      <w:r w:rsidR="00675AF1">
        <w:t>10, 2025 Supplemental Response at Exhibit 43 (Superior Court’s August 21, 2025 Minute Order</w:t>
      </w:r>
      <w:r w:rsidR="00675AF1">
        <w:rPr>
          <w:lang w:val="en-ZW"/>
        </w:rPr>
        <w:t xml:space="preserve"> in MSN21-2354, </w:t>
      </w:r>
      <w:r w:rsidR="00675AF1" w:rsidRPr="00496E76">
        <w:rPr>
          <w:i/>
          <w:iCs/>
          <w:lang w:val="en-ZW"/>
        </w:rPr>
        <w:t>California Resources Production Corporation v. City of Antioch</w:t>
      </w:r>
      <w:r w:rsidR="00675AF1">
        <w:rPr>
          <w:lang w:val="en-ZW"/>
        </w:rPr>
        <w:t xml:space="preserve">); </w:t>
      </w:r>
      <w:r w:rsidRPr="00496E76">
        <w:rPr>
          <w:szCs w:val="22"/>
        </w:rPr>
        <w:t xml:space="preserve">CRPC October 10, 2025 Supplemental Response at </w:t>
      </w:r>
      <w:r>
        <w:rPr>
          <w:szCs w:val="22"/>
        </w:rPr>
        <w:t>5</w:t>
      </w:r>
      <w:r w:rsidRPr="00496E76">
        <w:rPr>
          <w:szCs w:val="22"/>
        </w:rPr>
        <w:t>.</w:t>
      </w:r>
    </w:p>
  </w:footnote>
  <w:footnote w:id="38">
    <w:p w14:paraId="354A6FD7" w14:textId="77777777" w:rsidR="00427AE3" w:rsidRPr="008B4D89" w:rsidRDefault="00427AE3" w:rsidP="00427AE3">
      <w:pPr>
        <w:pStyle w:val="FootnoteText"/>
        <w:rPr>
          <w:lang w:val="en-ZW"/>
        </w:rPr>
      </w:pPr>
      <w:r>
        <w:rPr>
          <w:rStyle w:val="FootnoteReference"/>
        </w:rPr>
        <w:footnoteRef/>
      </w:r>
      <w:r>
        <w:t xml:space="preserve"> </w:t>
      </w:r>
      <w:r w:rsidRPr="008B4D89">
        <w:rPr>
          <w:i/>
          <w:iCs/>
          <w:lang w:val="en-ZW"/>
        </w:rPr>
        <w:t>See</w:t>
      </w:r>
      <w:r>
        <w:rPr>
          <w:lang w:val="en-ZW"/>
        </w:rPr>
        <w:t xml:space="preserve"> July 18, 2024 Reply of CRPC to the Cities’ Response to the ALJ’s First Ruling at Exhibit A (October 4, 2022 Order Re: Cross-Defendant CRPC Demurrer to the Amended Cross-Complaint of City of Antioch; and City of Antioch’s Amended Cross-Complaint Against Plaintiff and Petitioner [CRPC], dated March 30, 2022).</w:t>
      </w:r>
    </w:p>
  </w:footnote>
  <w:footnote w:id="39">
    <w:p w14:paraId="03B15032" w14:textId="77777777" w:rsidR="00427AE3" w:rsidRPr="008B4D89" w:rsidRDefault="00427AE3" w:rsidP="00427AE3">
      <w:pPr>
        <w:pStyle w:val="FootnoteText"/>
        <w:rPr>
          <w:lang w:val="en-ZW"/>
        </w:rPr>
      </w:pPr>
      <w:r>
        <w:rPr>
          <w:rStyle w:val="FootnoteReference"/>
        </w:rPr>
        <w:footnoteRef/>
      </w:r>
      <w:r>
        <w:t xml:space="preserve"> </w:t>
      </w:r>
      <w:r w:rsidRPr="008B4D89">
        <w:rPr>
          <w:i/>
          <w:iCs/>
          <w:lang w:val="en-ZW"/>
        </w:rPr>
        <w:t>See</w:t>
      </w:r>
      <w:r>
        <w:rPr>
          <w:lang w:val="en-ZW"/>
        </w:rPr>
        <w:t xml:space="preserve"> July 18, 2024 Reply of CRPC to the Cities’ Response to the ALJ’s First Ruling at Exhibit A (October 4, 2022 Order Re: Cross-Defendant CRPC Demurrer to the Amended Cross-Complaint of City of Antioch). </w:t>
      </w:r>
    </w:p>
  </w:footnote>
  <w:footnote w:id="40">
    <w:p w14:paraId="445E2D69" w14:textId="430F3031" w:rsidR="00427AE3" w:rsidRPr="00297937" w:rsidRDefault="00427AE3" w:rsidP="00427AE3">
      <w:pPr>
        <w:pStyle w:val="FootnoteText"/>
        <w:rPr>
          <w:lang w:val="en-ZW"/>
        </w:rPr>
      </w:pPr>
      <w:r w:rsidRPr="00897D4D">
        <w:rPr>
          <w:rStyle w:val="FootnoteReference"/>
          <w:szCs w:val="22"/>
        </w:rPr>
        <w:footnoteRef/>
      </w:r>
      <w:r w:rsidRPr="00897D4D">
        <w:rPr>
          <w:szCs w:val="22"/>
        </w:rPr>
        <w:t xml:space="preserve"> Describing the court’s demurrer ruling, CRPC insisted “</w:t>
      </w:r>
      <w:r w:rsidRPr="008B4D89">
        <w:rPr>
          <w:szCs w:val="22"/>
        </w:rPr>
        <w:t>To be clear, there</w:t>
      </w:r>
      <w:r w:rsidRPr="00897D4D">
        <w:rPr>
          <w:szCs w:val="22"/>
        </w:rPr>
        <w:t xml:space="preserve"> </w:t>
      </w:r>
      <w:r w:rsidRPr="008B4D89">
        <w:rPr>
          <w:szCs w:val="22"/>
        </w:rPr>
        <w:t xml:space="preserve">has been no determination of the merits of Antioch’s claims. </w:t>
      </w:r>
      <w:r w:rsidRPr="00897D4D">
        <w:rPr>
          <w:szCs w:val="22"/>
        </w:rPr>
        <w:t>‘</w:t>
      </w:r>
      <w:r w:rsidRPr="008B4D89">
        <w:rPr>
          <w:szCs w:val="22"/>
        </w:rPr>
        <w:t>It is not the ordinary function of a</w:t>
      </w:r>
      <w:r w:rsidRPr="00897D4D">
        <w:rPr>
          <w:szCs w:val="22"/>
        </w:rPr>
        <w:t xml:space="preserve"> </w:t>
      </w:r>
      <w:r w:rsidRPr="008B4D89">
        <w:rPr>
          <w:szCs w:val="22"/>
        </w:rPr>
        <w:t>demurrer to test the truth of the plaintiff's allegations or the accuracy with which he describes the</w:t>
      </w:r>
      <w:r w:rsidRPr="00897D4D">
        <w:rPr>
          <w:szCs w:val="22"/>
        </w:rPr>
        <w:t xml:space="preserve"> </w:t>
      </w:r>
      <w:r w:rsidRPr="008B4D89">
        <w:rPr>
          <w:szCs w:val="22"/>
        </w:rPr>
        <w:t>defendant’s conduct. A demurrer tests only the legal sufficiency of the pleading.’</w:t>
      </w:r>
      <w:r w:rsidRPr="00897D4D">
        <w:rPr>
          <w:szCs w:val="22"/>
        </w:rPr>
        <w:t>”</w:t>
      </w:r>
      <w:r w:rsidRPr="008B4D89">
        <w:rPr>
          <w:szCs w:val="22"/>
        </w:rPr>
        <w:t xml:space="preserve"> </w:t>
      </w:r>
      <w:r w:rsidRPr="00897D4D">
        <w:rPr>
          <w:szCs w:val="22"/>
          <w:lang w:val="en-ZW"/>
        </w:rPr>
        <w:t xml:space="preserve">July 18, 2024 Reply of CRPC to the Cities’ Response to the ALJ’s First Ruling at 6 (citing </w:t>
      </w:r>
      <w:r w:rsidRPr="008B4D89">
        <w:rPr>
          <w:i/>
          <w:iCs/>
          <w:szCs w:val="22"/>
        </w:rPr>
        <w:t>Berg &amp; Berg</w:t>
      </w:r>
      <w:r w:rsidRPr="00897D4D">
        <w:rPr>
          <w:i/>
          <w:iCs/>
          <w:szCs w:val="22"/>
        </w:rPr>
        <w:t xml:space="preserve"> </w:t>
      </w:r>
      <w:r w:rsidRPr="008B4D89">
        <w:rPr>
          <w:i/>
          <w:iCs/>
          <w:szCs w:val="22"/>
        </w:rPr>
        <w:t xml:space="preserve">Enters., LLC v. Boyle </w:t>
      </w:r>
      <w:r w:rsidRPr="008B4D89">
        <w:rPr>
          <w:szCs w:val="22"/>
        </w:rPr>
        <w:t>(2009) 178 Cal.App.4th 1020, 1034</w:t>
      </w:r>
      <w:r w:rsidRPr="00897D4D">
        <w:rPr>
          <w:szCs w:val="22"/>
        </w:rPr>
        <w:t>. (</w:t>
      </w:r>
      <w:r w:rsidRPr="008B4D89">
        <w:rPr>
          <w:szCs w:val="22"/>
        </w:rPr>
        <w:t>citation omitted)</w:t>
      </w:r>
      <w:r w:rsidRPr="00897D4D">
        <w:rPr>
          <w:szCs w:val="22"/>
        </w:rPr>
        <w:t>.</w:t>
      </w:r>
      <w:r>
        <w:rPr>
          <w:szCs w:val="22"/>
        </w:rPr>
        <w:t xml:space="preserve"> </w:t>
      </w:r>
      <w:r w:rsidRPr="008B4D89">
        <w:rPr>
          <w:i/>
          <w:iCs/>
          <w:szCs w:val="22"/>
        </w:rPr>
        <w:t>See also</w:t>
      </w:r>
      <w:r>
        <w:rPr>
          <w:szCs w:val="22"/>
        </w:rPr>
        <w:t xml:space="preserve">, </w:t>
      </w:r>
      <w:r>
        <w:rPr>
          <w:lang w:val="en-ZW"/>
        </w:rPr>
        <w:t xml:space="preserve">July 18, 2024 Reply of CRPC to the Cities’ Response to the ALJ’s First Ruling at 5 (recognizing that </w:t>
      </w:r>
      <w:r w:rsidRPr="001A52E3">
        <w:t xml:space="preserve">the Superior Court’s </w:t>
      </w:r>
      <w:r>
        <w:t xml:space="preserve">October 4, 2022 demurrer </w:t>
      </w:r>
      <w:r w:rsidRPr="001A52E3">
        <w:t>ruling</w:t>
      </w:r>
      <w:r>
        <w:t xml:space="preserve"> on the amended cross-complaint</w:t>
      </w:r>
      <w:r w:rsidRPr="001A52E3">
        <w:t xml:space="preserve">, </w:t>
      </w:r>
      <w:r>
        <w:t>stated “</w:t>
      </w:r>
      <w:r w:rsidRPr="001A52E3">
        <w:t>CRPC</w:t>
      </w:r>
      <w:r>
        <w:t xml:space="preserve"> </w:t>
      </w:r>
      <w:r w:rsidRPr="001A52E3">
        <w:t>has not abandoned the pipeline;</w:t>
      </w:r>
      <w:r>
        <w:t>”</w:t>
      </w:r>
      <w:r w:rsidRPr="001A52E3">
        <w:t xml:space="preserve"> </w:t>
      </w:r>
      <w:r>
        <w:t>but noting that “</w:t>
      </w:r>
      <w:r w:rsidRPr="001A52E3">
        <w:t>the Superior Court can order</w:t>
      </w:r>
      <w:r>
        <w:t xml:space="preserve"> </w:t>
      </w:r>
      <w:r w:rsidRPr="001A52E3">
        <w:t>CRPC to remove the pipeline or abandon it,</w:t>
      </w:r>
      <w:r>
        <w:t>”</w:t>
      </w:r>
      <w:r w:rsidRPr="001A52E3">
        <w:t xml:space="preserve"> </w:t>
      </w:r>
      <w:r>
        <w:t xml:space="preserve">if there is </w:t>
      </w:r>
      <w:r w:rsidRPr="001A52E3">
        <w:t>no authority</w:t>
      </w:r>
      <w:r>
        <w:t xml:space="preserve"> </w:t>
      </w:r>
      <w:r w:rsidRPr="001A52E3">
        <w:t>for the pipeline to remain in place</w:t>
      </w:r>
      <w:r>
        <w:rPr>
          <w:lang w:val="en-ZW"/>
        </w:rPr>
        <w:t>).</w:t>
      </w:r>
      <w:r>
        <w:rPr>
          <w:szCs w:val="22"/>
        </w:rPr>
        <w:t xml:space="preserve"> </w:t>
      </w:r>
    </w:p>
  </w:footnote>
  <w:footnote w:id="41">
    <w:p w14:paraId="6597764B" w14:textId="0E65BCD6" w:rsidR="00F910D0" w:rsidRPr="00B4453F" w:rsidRDefault="00F910D0">
      <w:pPr>
        <w:pStyle w:val="FootnoteText"/>
      </w:pPr>
      <w:r w:rsidRPr="00B4453F">
        <w:rPr>
          <w:rStyle w:val="FootnoteReference"/>
        </w:rPr>
        <w:footnoteRef/>
      </w:r>
      <w:r w:rsidRPr="00B4453F">
        <w:t xml:space="preserve"> </w:t>
      </w:r>
      <w:r w:rsidRPr="007B333C">
        <w:rPr>
          <w:i/>
          <w:iCs/>
        </w:rPr>
        <w:t>See</w:t>
      </w:r>
      <w:r w:rsidRPr="00B4453F">
        <w:t xml:space="preserve"> The City of Antioch and The City of Brentwood’s Joint Reply Brief on Threshold Questions, Dec. 21, 2023 (Cities Joint Reply).</w:t>
      </w:r>
    </w:p>
  </w:footnote>
  <w:footnote w:id="42">
    <w:p w14:paraId="76F667B0" w14:textId="07CF0C8E" w:rsidR="00146A40" w:rsidRPr="00B4453F" w:rsidRDefault="00146A40" w:rsidP="00146A40">
      <w:pPr>
        <w:pStyle w:val="FootnoteText"/>
      </w:pPr>
      <w:r w:rsidRPr="00B4453F">
        <w:rPr>
          <w:rStyle w:val="FootnoteReference"/>
        </w:rPr>
        <w:footnoteRef/>
      </w:r>
      <w:r w:rsidRPr="00B4453F">
        <w:t xml:space="preserve"> </w:t>
      </w:r>
      <w:r w:rsidRPr="006E3F0F">
        <w:rPr>
          <w:i/>
          <w:iCs/>
        </w:rPr>
        <w:t>See</w:t>
      </w:r>
      <w:r w:rsidRPr="00B4453F">
        <w:t xml:space="preserve"> </w:t>
      </w:r>
      <w:r w:rsidR="00F910D0" w:rsidRPr="00B4453F">
        <w:t>Administrative Law Judge’s First Ruling Requiring Parties To File A Response Within 10 Calendar Days (ALJ First Ruling)</w:t>
      </w:r>
      <w:r w:rsidR="00E16FE8" w:rsidRPr="00B4453F">
        <w:t xml:space="preserve"> at 1.</w:t>
      </w:r>
    </w:p>
  </w:footnote>
  <w:footnote w:id="43">
    <w:p w14:paraId="0D7F8C21" w14:textId="465D56E5" w:rsidR="00961385" w:rsidRPr="007B333C" w:rsidRDefault="00961385">
      <w:pPr>
        <w:pStyle w:val="FootnoteText"/>
        <w:rPr>
          <w:lang w:val="en-ZW"/>
        </w:rPr>
      </w:pPr>
      <w:r>
        <w:rPr>
          <w:rStyle w:val="FootnoteReference"/>
        </w:rPr>
        <w:footnoteRef/>
      </w:r>
      <w:r>
        <w:t xml:space="preserve"> </w:t>
      </w:r>
      <w:r w:rsidR="0023075A" w:rsidRPr="002C7D6C">
        <w:rPr>
          <w:i/>
          <w:iCs/>
        </w:rPr>
        <w:t>Cal. Res. Prod. Corp. v. Antioch City Council</w:t>
      </w:r>
      <w:r w:rsidR="0023075A" w:rsidRPr="002C7D6C">
        <w:t>, 107 Cal. App. 5th 481, 328 Cal. Rptr. 3d 388</w:t>
      </w:r>
      <w:r w:rsidR="0023075A">
        <w:t>, 2024 Cal. App. LEXIS 815</w:t>
      </w:r>
      <w:r w:rsidR="0023075A" w:rsidRPr="002C7D6C">
        <w:t xml:space="preserve"> (2024)</w:t>
      </w:r>
      <w:r w:rsidR="0023075A">
        <w:t xml:space="preserve"> (certified for partial publication on December 18, 2024), r</w:t>
      </w:r>
      <w:r w:rsidR="0023075A" w:rsidRPr="00827083">
        <w:t>eview denied by </w:t>
      </w:r>
      <w:r w:rsidR="0023075A" w:rsidRPr="002C7D6C">
        <w:rPr>
          <w:i/>
          <w:iCs/>
        </w:rPr>
        <w:t>Cal. Res. Prod. Corp. v. Antioch City Council</w:t>
      </w:r>
      <w:r w:rsidR="0023075A" w:rsidRPr="002C7D6C">
        <w:t>, No. S288604, 2025 Cal. LEXIS 783 (Cal., Feb. 11, 2025)</w:t>
      </w:r>
      <w:r w:rsidR="0023075A">
        <w:t>.</w:t>
      </w:r>
    </w:p>
  </w:footnote>
  <w:footnote w:id="44">
    <w:p w14:paraId="26ADD93A" w14:textId="5A39EDD5" w:rsidR="00D638AD" w:rsidRPr="007B333C" w:rsidRDefault="00D638AD">
      <w:pPr>
        <w:pStyle w:val="FootnoteText"/>
        <w:rPr>
          <w:lang w:val="en-ZW"/>
        </w:rPr>
      </w:pPr>
      <w:r>
        <w:rPr>
          <w:rStyle w:val="FootnoteReference"/>
        </w:rPr>
        <w:footnoteRef/>
      </w:r>
      <w:r>
        <w:t xml:space="preserve"> </w:t>
      </w:r>
      <w:r>
        <w:rPr>
          <w:lang w:val="en-ZW"/>
        </w:rPr>
        <w:t xml:space="preserve">CRPC Motion to Amend at </w:t>
      </w:r>
      <w:r w:rsidR="003035D9">
        <w:rPr>
          <w:lang w:val="en-ZW"/>
        </w:rPr>
        <w:t>1.</w:t>
      </w:r>
    </w:p>
  </w:footnote>
  <w:footnote w:id="45">
    <w:p w14:paraId="5FBA03D7" w14:textId="0DFE6757" w:rsidR="00ED0D43" w:rsidRPr="007B333C" w:rsidRDefault="00ED0D43">
      <w:pPr>
        <w:pStyle w:val="FootnoteText"/>
        <w:rPr>
          <w:lang w:val="en-ZW"/>
        </w:rPr>
      </w:pPr>
      <w:r>
        <w:rPr>
          <w:rStyle w:val="FootnoteReference"/>
        </w:rPr>
        <w:footnoteRef/>
      </w:r>
      <w:r>
        <w:t xml:space="preserve"> </w:t>
      </w:r>
      <w:r>
        <w:rPr>
          <w:lang w:val="en-ZW"/>
        </w:rPr>
        <w:t xml:space="preserve">CRPC Motion to Amend at 3 (footnote </w:t>
      </w:r>
      <w:r w:rsidR="00BE6D06">
        <w:rPr>
          <w:lang w:val="en-ZW"/>
        </w:rPr>
        <w:t>omitted)</w:t>
      </w:r>
      <w:r>
        <w:rPr>
          <w:lang w:val="en-ZW"/>
        </w:rPr>
        <w:t>.</w:t>
      </w:r>
      <w:r w:rsidR="0008484A">
        <w:rPr>
          <w:lang w:val="en-ZW"/>
        </w:rPr>
        <w:t xml:space="preserve"> The proposed Amended Application </w:t>
      </w:r>
      <w:r w:rsidR="00145FAC">
        <w:rPr>
          <w:lang w:val="en-ZW"/>
        </w:rPr>
        <w:t xml:space="preserve">states that </w:t>
      </w:r>
      <w:r w:rsidR="00BA2CC3">
        <w:t>t</w:t>
      </w:r>
      <w:r w:rsidR="00145FAC" w:rsidRPr="00145FAC">
        <w:t xml:space="preserve">he UI Pipeline was transferred from CRPC to </w:t>
      </w:r>
      <w:r w:rsidR="00BA2CC3">
        <w:t xml:space="preserve">Successor Subsidiary </w:t>
      </w:r>
      <w:r w:rsidR="00145FAC" w:rsidRPr="00145FAC">
        <w:t>on October 24, 2024</w:t>
      </w:r>
      <w:r w:rsidR="0050460D">
        <w:t>.</w:t>
      </w:r>
      <w:r w:rsidR="00E10617">
        <w:t xml:space="preserve"> </w:t>
      </w:r>
      <w:r w:rsidR="00E10617">
        <w:rPr>
          <w:lang w:val="en-ZW"/>
        </w:rPr>
        <w:t>CRPC Motion to Amend</w:t>
      </w:r>
      <w:r w:rsidR="00270E62">
        <w:rPr>
          <w:lang w:val="en-ZW"/>
        </w:rPr>
        <w:t>, Exhibit B</w:t>
      </w:r>
      <w:r w:rsidR="00E10617">
        <w:rPr>
          <w:lang w:val="en-ZW"/>
        </w:rPr>
        <w:t xml:space="preserve"> at </w:t>
      </w:r>
      <w:r w:rsidR="00270E62">
        <w:rPr>
          <w:lang w:val="en-ZW"/>
        </w:rPr>
        <w:t>6.</w:t>
      </w:r>
    </w:p>
  </w:footnote>
  <w:footnote w:id="46">
    <w:p w14:paraId="7712B0E6" w14:textId="640BB496" w:rsidR="00480868" w:rsidRPr="007B333C" w:rsidRDefault="00480868">
      <w:pPr>
        <w:pStyle w:val="FootnoteText"/>
        <w:rPr>
          <w:lang w:val="en-ZW"/>
        </w:rPr>
      </w:pPr>
      <w:r>
        <w:rPr>
          <w:rStyle w:val="FootnoteReference"/>
        </w:rPr>
        <w:footnoteRef/>
      </w:r>
      <w:r>
        <w:t xml:space="preserve"> </w:t>
      </w:r>
      <w:r>
        <w:rPr>
          <w:lang w:val="en-ZW"/>
        </w:rPr>
        <w:t>CRPC Motion to Amend at 4</w:t>
      </w:r>
      <w:r w:rsidR="008E0F76">
        <w:rPr>
          <w:lang w:val="en-ZW"/>
        </w:rPr>
        <w:t xml:space="preserve"> and Exhibit B at 6. </w:t>
      </w:r>
    </w:p>
  </w:footnote>
  <w:footnote w:id="47">
    <w:p w14:paraId="24496200" w14:textId="4CCFCADD" w:rsidR="00ED672A" w:rsidRPr="007B333C" w:rsidRDefault="00ED672A">
      <w:pPr>
        <w:pStyle w:val="FootnoteText"/>
        <w:rPr>
          <w:lang w:val="en-ZW"/>
        </w:rPr>
      </w:pPr>
      <w:r>
        <w:rPr>
          <w:rStyle w:val="FootnoteReference"/>
        </w:rPr>
        <w:footnoteRef/>
      </w:r>
      <w:r>
        <w:t xml:space="preserve"> </w:t>
      </w:r>
      <w:r w:rsidR="002A0F97">
        <w:t>Cities’ Second Supplemental Response at 1-2</w:t>
      </w:r>
      <w:r w:rsidR="005408CE">
        <w:t>.</w:t>
      </w:r>
      <w:r w:rsidR="002A0F97">
        <w:t xml:space="preserve"> </w:t>
      </w:r>
      <w:r w:rsidR="00A1237E" w:rsidRPr="007B333C">
        <w:rPr>
          <w:i/>
          <w:iCs/>
        </w:rPr>
        <w:t>See</w:t>
      </w:r>
      <w:r w:rsidR="005408CE">
        <w:rPr>
          <w:i/>
          <w:iCs/>
        </w:rPr>
        <w:t xml:space="preserve"> also</w:t>
      </w:r>
      <w:r w:rsidR="00A1237E">
        <w:t xml:space="preserve"> </w:t>
      </w:r>
      <w:r w:rsidR="00F6790E" w:rsidRPr="002C7D6C">
        <w:rPr>
          <w:i/>
          <w:iCs/>
        </w:rPr>
        <w:t>Cal. Res. Prod. Corp. v. Antioch City Council</w:t>
      </w:r>
      <w:r w:rsidR="00F6790E" w:rsidRPr="002C7D6C">
        <w:t>, No. S288604, 2025 Cal. LEXIS 783 (Cal., Feb. 11, 2025)</w:t>
      </w:r>
      <w:r w:rsidR="00F6790E">
        <w:t>.</w:t>
      </w:r>
    </w:p>
  </w:footnote>
  <w:footnote w:id="48">
    <w:p w14:paraId="26B9E1CC" w14:textId="3C8ED96B" w:rsidR="00D4766B" w:rsidRDefault="00D4766B" w:rsidP="00D4766B">
      <w:pPr>
        <w:pStyle w:val="FootnoteText"/>
      </w:pPr>
      <w:r>
        <w:rPr>
          <w:rStyle w:val="FootnoteReference"/>
        </w:rPr>
        <w:footnoteRef/>
      </w:r>
      <w:r>
        <w:t xml:space="preserve"> CRPC Second Supplemental Response at 2 (emphasis added). CRPC also described a pending local encroachment permit application that </w:t>
      </w:r>
      <w:r w:rsidR="0007100E">
        <w:t xml:space="preserve">it claims </w:t>
      </w:r>
      <w:r>
        <w:t>may allow CRPC’s successor in interest to operate the UI Pipeline within Antioch’s jurisdiction without exercising eminent domain:</w:t>
      </w:r>
    </w:p>
    <w:p w14:paraId="441816AA" w14:textId="77777777" w:rsidR="00D4766B" w:rsidRDefault="00D4766B" w:rsidP="00D4766B">
      <w:pPr>
        <w:pStyle w:val="FootnoteText"/>
        <w:ind w:left="720"/>
      </w:pPr>
      <w:r w:rsidRPr="007B333C">
        <w:rPr>
          <w:b/>
          <w:bCs/>
          <w:i/>
          <w:iCs/>
        </w:rPr>
        <w:t>California Resources Pipeline Company could maintain the Union Island Pipeline within Antioch’s public rights of way, such that it would not be required to abandon or remove the pipeline</w:t>
      </w:r>
      <w:r w:rsidRPr="003A777F">
        <w:t xml:space="preserve">, as detailed in the July 18, 2024 Reply of California Resources Production Corporation to the Cities’ Response to the Administrative Law Judge’s First Ruling: </w:t>
      </w:r>
      <w:r w:rsidRPr="007B333C">
        <w:rPr>
          <w:b/>
          <w:bCs/>
          <w:i/>
          <w:iCs/>
        </w:rPr>
        <w:t>(1) CRPC obtains an encroachment permit</w:t>
      </w:r>
      <w:r w:rsidRPr="003A777F">
        <w:t xml:space="preserve"> pursuant to Antioch City Code chapter 7-2,</w:t>
      </w:r>
      <w:r>
        <w:t xml:space="preserve">. . . . “  </w:t>
      </w:r>
    </w:p>
    <w:p w14:paraId="6B2A6381" w14:textId="77777777" w:rsidR="00D4766B" w:rsidRPr="007B333C" w:rsidRDefault="00D4766B" w:rsidP="00D4766B">
      <w:pPr>
        <w:pStyle w:val="FootnoteText"/>
        <w:rPr>
          <w:lang w:val="en-ZW"/>
        </w:rPr>
      </w:pPr>
      <w:r>
        <w:t>CRPC Second Supplemental Response at 2.</w:t>
      </w:r>
    </w:p>
  </w:footnote>
  <w:footnote w:id="49">
    <w:p w14:paraId="452C922F" w14:textId="6E15B0E8" w:rsidR="00DA3E74" w:rsidRPr="006F240B" w:rsidRDefault="00DA3E74" w:rsidP="00DA3E74">
      <w:pPr>
        <w:pStyle w:val="FootnoteText"/>
        <w:rPr>
          <w:szCs w:val="22"/>
        </w:rPr>
      </w:pPr>
      <w:r w:rsidRPr="006F240B">
        <w:rPr>
          <w:rStyle w:val="FootnoteReference"/>
          <w:szCs w:val="22"/>
        </w:rPr>
        <w:footnoteRef/>
      </w:r>
      <w:r w:rsidRPr="006F240B">
        <w:rPr>
          <w:szCs w:val="22"/>
        </w:rPr>
        <w:t xml:space="preserve"> Pub. Util. Code Section 216(a).</w:t>
      </w:r>
    </w:p>
  </w:footnote>
  <w:footnote w:id="50">
    <w:p w14:paraId="4916153C" w14:textId="13462E1A" w:rsidR="00D0789A" w:rsidRPr="006E3F0F" w:rsidRDefault="00D0789A">
      <w:pPr>
        <w:pStyle w:val="FootnoteText"/>
        <w:rPr>
          <w:lang w:val="en-ZW"/>
        </w:rPr>
      </w:pPr>
      <w:r>
        <w:rPr>
          <w:rStyle w:val="FootnoteReference"/>
        </w:rPr>
        <w:footnoteRef/>
      </w:r>
      <w:r>
        <w:t xml:space="preserve"> We note that CPRC’s Motion to Amend the Application, if granted would </w:t>
      </w:r>
      <w:r w:rsidR="001C73E0">
        <w:t>substitute</w:t>
      </w:r>
      <w:r>
        <w:t xml:space="preserve"> Successor Subsidiary as the current owner and proposed operator of the UI Pipeline to be designated a public utility gas corporation and </w:t>
      </w:r>
      <w:r w:rsidRPr="00EE32DA">
        <w:t xml:space="preserve">CPCN </w:t>
      </w:r>
      <w:r w:rsidR="00657467">
        <w:t>applicant</w:t>
      </w:r>
      <w:r>
        <w:t>.</w:t>
      </w:r>
    </w:p>
  </w:footnote>
  <w:footnote w:id="51">
    <w:p w14:paraId="04C40A82" w14:textId="52362DEC" w:rsidR="002204E5" w:rsidRPr="00B4453F" w:rsidRDefault="004D39E2" w:rsidP="00FE64F5">
      <w:pPr>
        <w:pStyle w:val="FootnoteText"/>
        <w:rPr>
          <w:lang w:val="en-ZW"/>
        </w:rPr>
      </w:pPr>
      <w:r w:rsidRPr="00B4453F">
        <w:rPr>
          <w:rStyle w:val="FootnoteReference"/>
        </w:rPr>
        <w:footnoteRef/>
      </w:r>
      <w:r w:rsidRPr="00B4453F">
        <w:t xml:space="preserve"> </w:t>
      </w:r>
      <w:r w:rsidRPr="00B00D6A">
        <w:rPr>
          <w:szCs w:val="22"/>
          <w:lang w:val="en-ZW"/>
        </w:rPr>
        <w:t xml:space="preserve">Scoping Memo at </w:t>
      </w:r>
      <w:r w:rsidR="002665BE">
        <w:rPr>
          <w:szCs w:val="22"/>
          <w:lang w:val="en-ZW"/>
        </w:rPr>
        <w:t>2-3</w:t>
      </w:r>
      <w:r w:rsidR="00B00D6A">
        <w:rPr>
          <w:szCs w:val="22"/>
          <w:lang w:val="en-ZW"/>
        </w:rPr>
        <w:t xml:space="preserve"> (emphasis added)</w:t>
      </w:r>
      <w:r w:rsidRPr="00B00D6A">
        <w:rPr>
          <w:szCs w:val="22"/>
          <w:lang w:val="en-ZW"/>
        </w:rPr>
        <w:t xml:space="preserve">. </w:t>
      </w:r>
      <w:r w:rsidRPr="00B00D6A">
        <w:rPr>
          <w:i/>
          <w:iCs/>
          <w:szCs w:val="22"/>
          <w:lang w:val="en-ZW"/>
        </w:rPr>
        <w:t>See</w:t>
      </w:r>
      <w:r w:rsidRPr="00B00D6A">
        <w:rPr>
          <w:szCs w:val="22"/>
          <w:lang w:val="en-ZW"/>
        </w:rPr>
        <w:t xml:space="preserve"> </w:t>
      </w:r>
      <w:r w:rsidRPr="007B333C">
        <w:rPr>
          <w:i/>
          <w:iCs/>
          <w:szCs w:val="22"/>
          <w:lang w:val="en-ZW"/>
        </w:rPr>
        <w:t>also</w:t>
      </w:r>
      <w:r w:rsidRPr="00B00D6A">
        <w:rPr>
          <w:szCs w:val="22"/>
          <w:lang w:val="en-ZW"/>
        </w:rPr>
        <w:t>, Cities’ Joint Protest at 19.</w:t>
      </w:r>
      <w:r w:rsidR="004E2717">
        <w:rPr>
          <w:szCs w:val="22"/>
          <w:lang w:val="en-ZW"/>
        </w:rPr>
        <w:t xml:space="preserve"> </w:t>
      </w:r>
      <w:r w:rsidR="000806AA">
        <w:rPr>
          <w:szCs w:val="22"/>
          <w:lang w:val="en-ZW"/>
        </w:rPr>
        <w:t xml:space="preserve">The </w:t>
      </w:r>
      <w:r w:rsidR="00286C9D" w:rsidRPr="00B00D6A">
        <w:rPr>
          <w:szCs w:val="22"/>
          <w:lang w:val="en-ZW"/>
        </w:rPr>
        <w:t xml:space="preserve">Scoping Memo </w:t>
      </w:r>
      <w:r w:rsidR="000806AA">
        <w:rPr>
          <w:szCs w:val="22"/>
          <w:lang w:val="en-ZW"/>
        </w:rPr>
        <w:t>present</w:t>
      </w:r>
      <w:r w:rsidR="00CC0816">
        <w:rPr>
          <w:szCs w:val="22"/>
          <w:lang w:val="en-ZW"/>
        </w:rPr>
        <w:t>s</w:t>
      </w:r>
      <w:r w:rsidR="000806AA">
        <w:rPr>
          <w:szCs w:val="22"/>
          <w:lang w:val="en-ZW"/>
        </w:rPr>
        <w:t xml:space="preserve"> other issues that </w:t>
      </w:r>
      <w:r w:rsidR="008A44FE">
        <w:rPr>
          <w:szCs w:val="22"/>
          <w:lang w:val="en-ZW"/>
        </w:rPr>
        <w:t xml:space="preserve">are not necessary </w:t>
      </w:r>
      <w:r w:rsidR="00D25655">
        <w:rPr>
          <w:szCs w:val="22"/>
          <w:lang w:val="en-ZW"/>
        </w:rPr>
        <w:t>for this decision</w:t>
      </w:r>
      <w:r w:rsidR="008D159D">
        <w:rPr>
          <w:i/>
          <w:iCs/>
        </w:rPr>
        <w:t>.</w:t>
      </w:r>
    </w:p>
  </w:footnote>
  <w:footnote w:id="52">
    <w:p w14:paraId="0606BA41" w14:textId="155AA4CE" w:rsidR="00F0671E" w:rsidRPr="00B4453F" w:rsidRDefault="00F0671E" w:rsidP="00F0671E">
      <w:pPr>
        <w:pStyle w:val="FootnoteText"/>
        <w:rPr>
          <w:szCs w:val="22"/>
          <w:lang w:val="en-ZW"/>
        </w:rPr>
      </w:pPr>
      <w:r w:rsidRPr="00B4453F">
        <w:rPr>
          <w:rStyle w:val="FootnoteReference"/>
          <w:szCs w:val="22"/>
        </w:rPr>
        <w:footnoteRef/>
      </w:r>
      <w:r w:rsidRPr="00B4453F">
        <w:rPr>
          <w:szCs w:val="22"/>
        </w:rPr>
        <w:t xml:space="preserve"> “The ripeness requirement, a branch of the doctrine of justiciability, prevents courts from issuing purely advisory opinions.” </w:t>
      </w:r>
      <w:r w:rsidRPr="00B4453F">
        <w:rPr>
          <w:i/>
          <w:szCs w:val="22"/>
        </w:rPr>
        <w:t>Pacific Legal Foundation v. California Coastal Com.</w:t>
      </w:r>
      <w:r w:rsidRPr="00B4453F">
        <w:rPr>
          <w:szCs w:val="22"/>
        </w:rPr>
        <w:t xml:space="preserve"> (1982) 33 Cal.3d 158, 170 (</w:t>
      </w:r>
      <w:r w:rsidRPr="00B4453F">
        <w:rPr>
          <w:i/>
          <w:szCs w:val="22"/>
        </w:rPr>
        <w:t>Pacific Legal Foundation</w:t>
      </w:r>
      <w:r w:rsidRPr="00B4453F">
        <w:rPr>
          <w:szCs w:val="22"/>
        </w:rPr>
        <w:t xml:space="preserve">); </w:t>
      </w:r>
      <w:r w:rsidRPr="00B4453F">
        <w:rPr>
          <w:i/>
          <w:szCs w:val="22"/>
        </w:rPr>
        <w:t>Panoche Energy Center, LLC v. Pacific Gas &amp; Electric Co.</w:t>
      </w:r>
      <w:r w:rsidRPr="00B4453F">
        <w:rPr>
          <w:szCs w:val="22"/>
        </w:rPr>
        <w:t xml:space="preserve"> (2016) 1 Cal.App.5th 68, 99. Although the “‘precise content’” of the doctrine is “‘difficult to define and hard to apply,’” generally speaking, a controversy is ripe “‘when it has reached, but has not passed, the point that the facts have sufficiently congealed to permit an intelligent and useful decision to be made.’”</w:t>
      </w:r>
      <w:r>
        <w:rPr>
          <w:szCs w:val="22"/>
        </w:rPr>
        <w:t xml:space="preserve"> </w:t>
      </w:r>
      <w:r w:rsidRPr="00B4453F">
        <w:rPr>
          <w:i/>
          <w:szCs w:val="22"/>
        </w:rPr>
        <w:t>Pacific Legal Foundation</w:t>
      </w:r>
      <w:r w:rsidRPr="00B4453F">
        <w:rPr>
          <w:szCs w:val="22"/>
        </w:rPr>
        <w:t>, 33 Cal.3d 158, 171.</w:t>
      </w:r>
    </w:p>
  </w:footnote>
  <w:footnote w:id="53">
    <w:p w14:paraId="4B2414D9" w14:textId="038C89FC" w:rsidR="00F0671E" w:rsidRPr="00EE5965" w:rsidRDefault="00F0671E" w:rsidP="00F0671E">
      <w:pPr>
        <w:pStyle w:val="FootnoteText"/>
        <w:rPr>
          <w:lang w:val="en-ZW"/>
        </w:rPr>
      </w:pPr>
      <w:r>
        <w:rPr>
          <w:rStyle w:val="FootnoteReference"/>
        </w:rPr>
        <w:footnoteRef/>
      </w:r>
      <w:r>
        <w:t xml:space="preserve"> </w:t>
      </w:r>
      <w:r w:rsidRPr="00B4453F">
        <w:rPr>
          <w:i/>
          <w:szCs w:val="22"/>
        </w:rPr>
        <w:t>Pacific Legal Foundation v. California Coastal Com.</w:t>
      </w:r>
      <w:r w:rsidR="00B5064E">
        <w:rPr>
          <w:i/>
          <w:szCs w:val="22"/>
        </w:rPr>
        <w:t>,</w:t>
      </w:r>
      <w:r w:rsidRPr="00B4453F">
        <w:rPr>
          <w:szCs w:val="22"/>
        </w:rPr>
        <w:t xml:space="preserve"> 33 Cal.3d 158, </w:t>
      </w:r>
      <w:r w:rsidRPr="00A60E0B">
        <w:rPr>
          <w:szCs w:val="22"/>
        </w:rPr>
        <w:t>170</w:t>
      </w:r>
      <w:r>
        <w:rPr>
          <w:szCs w:val="22"/>
        </w:rPr>
        <w:t xml:space="preserve"> </w:t>
      </w:r>
      <w:r w:rsidR="00B5064E" w:rsidRPr="00B4453F">
        <w:rPr>
          <w:szCs w:val="22"/>
        </w:rPr>
        <w:t xml:space="preserve">(1982) </w:t>
      </w:r>
      <w:r>
        <w:rPr>
          <w:szCs w:val="22"/>
        </w:rPr>
        <w:t>(emphasis added).</w:t>
      </w:r>
      <w:r w:rsidRPr="00B4453F">
        <w:rPr>
          <w:szCs w:val="22"/>
        </w:rPr>
        <w:t xml:space="preserve"> </w:t>
      </w:r>
    </w:p>
  </w:footnote>
  <w:footnote w:id="54">
    <w:p w14:paraId="42409C61" w14:textId="77777777" w:rsidR="00F0671E" w:rsidRPr="00B4453F" w:rsidRDefault="00F0671E" w:rsidP="00F0671E">
      <w:pPr>
        <w:autoSpaceDE w:val="0"/>
        <w:autoSpaceDN w:val="0"/>
        <w:adjustRightInd w:val="0"/>
        <w:spacing w:line="240" w:lineRule="auto"/>
        <w:ind w:firstLine="0"/>
        <w:rPr>
          <w:sz w:val="22"/>
          <w:lang w:val="en-ZW"/>
        </w:rPr>
      </w:pPr>
      <w:r w:rsidRPr="00B4453F">
        <w:rPr>
          <w:rStyle w:val="FootnoteReference"/>
          <w:sz w:val="22"/>
        </w:rPr>
        <w:footnoteRef/>
      </w:r>
      <w:r w:rsidRPr="00B4453F">
        <w:rPr>
          <w:sz w:val="22"/>
        </w:rPr>
        <w:t xml:space="preserve"> </w:t>
      </w:r>
      <w:r w:rsidRPr="00B4453F">
        <w:rPr>
          <w:rFonts w:cs="TimesNewRoman,Italic"/>
          <w:i/>
          <w:iCs/>
          <w:sz w:val="22"/>
        </w:rPr>
        <w:t xml:space="preserve">See Application of Women’s Energy, Inc., </w:t>
      </w:r>
      <w:r w:rsidRPr="00B4453F">
        <w:rPr>
          <w:rFonts w:cs="TimesNewRoman"/>
          <w:sz w:val="22"/>
        </w:rPr>
        <w:t>75 CPUC</w:t>
      </w:r>
      <w:r>
        <w:rPr>
          <w:rFonts w:cs="TimesNewRoman"/>
          <w:sz w:val="22"/>
        </w:rPr>
        <w:t xml:space="preserve"> </w:t>
      </w:r>
      <w:r w:rsidRPr="00B4453F">
        <w:rPr>
          <w:rFonts w:cs="TimesNewRoman"/>
          <w:sz w:val="22"/>
        </w:rPr>
        <w:t xml:space="preserve">2d 624 (1997) </w:t>
      </w:r>
      <w:r w:rsidRPr="00B4453F">
        <w:rPr>
          <w:rFonts w:cs="TimesNewRoman,Italic"/>
          <w:i/>
          <w:iCs/>
          <w:sz w:val="22"/>
        </w:rPr>
        <w:t xml:space="preserve">(citing Re California-American Water Co., </w:t>
      </w:r>
      <w:r w:rsidRPr="00B4453F">
        <w:rPr>
          <w:rFonts w:cs="TimesNewRoman"/>
          <w:sz w:val="22"/>
        </w:rPr>
        <w:t>58 CPUC</w:t>
      </w:r>
      <w:r>
        <w:rPr>
          <w:rFonts w:cs="TimesNewRoman"/>
          <w:sz w:val="22"/>
        </w:rPr>
        <w:t xml:space="preserve"> </w:t>
      </w:r>
      <w:r w:rsidRPr="00B4453F">
        <w:rPr>
          <w:rFonts w:cs="TimesNewRoman"/>
          <w:sz w:val="22"/>
        </w:rPr>
        <w:t>2d 470 (1975) (holding that generally, the Commission does not issue advisory opinions in the absence of a case or controversy</w:t>
      </w:r>
      <w:r>
        <w:rPr>
          <w:rFonts w:cs="TimesNewRoman"/>
          <w:sz w:val="22"/>
        </w:rPr>
        <w:t>)</w:t>
      </w:r>
      <w:r w:rsidRPr="00B4453F">
        <w:rPr>
          <w:rFonts w:cs="TimesNewRoman"/>
          <w:sz w:val="22"/>
        </w:rPr>
        <w:t>.</w:t>
      </w:r>
    </w:p>
  </w:footnote>
  <w:footnote w:id="55">
    <w:p w14:paraId="43BBFD05" w14:textId="77777777" w:rsidR="00F0671E" w:rsidRPr="00B4453F" w:rsidRDefault="00F0671E" w:rsidP="00F0671E">
      <w:pPr>
        <w:pStyle w:val="FootnoteText"/>
        <w:rPr>
          <w:lang w:val="en-ZW"/>
        </w:rPr>
      </w:pPr>
      <w:r w:rsidRPr="00B4453F">
        <w:rPr>
          <w:rStyle w:val="FootnoteReference"/>
        </w:rPr>
        <w:footnoteRef/>
      </w:r>
      <w:r w:rsidRPr="00B4453F">
        <w:t xml:space="preserve"> </w:t>
      </w:r>
      <w:r w:rsidRPr="00B4453F">
        <w:rPr>
          <w:rFonts w:cs="TimesNewRoman,Italic"/>
          <w:i/>
          <w:iCs/>
          <w:szCs w:val="22"/>
        </w:rPr>
        <w:t xml:space="preserve">See Application of Women’s Energy, Inc., </w:t>
      </w:r>
      <w:r w:rsidRPr="00B4453F">
        <w:rPr>
          <w:rFonts w:cs="TimesNewRoman"/>
          <w:szCs w:val="22"/>
        </w:rPr>
        <w:t>75 CPUC</w:t>
      </w:r>
      <w:r>
        <w:rPr>
          <w:rFonts w:cs="TimesNewRoman"/>
          <w:szCs w:val="22"/>
        </w:rPr>
        <w:t xml:space="preserve"> </w:t>
      </w:r>
      <w:r w:rsidRPr="00B4453F">
        <w:rPr>
          <w:rFonts w:cs="TimesNewRoman"/>
          <w:szCs w:val="22"/>
        </w:rPr>
        <w:t>2d 624 (1997).</w:t>
      </w:r>
    </w:p>
  </w:footnote>
  <w:footnote w:id="56">
    <w:p w14:paraId="1DE6831B" w14:textId="77777777" w:rsidR="00F0671E" w:rsidRPr="00EE5965" w:rsidRDefault="00F0671E" w:rsidP="00F0671E">
      <w:pPr>
        <w:pStyle w:val="FootnoteText"/>
        <w:rPr>
          <w:lang w:val="en-ZW"/>
        </w:rPr>
      </w:pPr>
      <w:r>
        <w:rPr>
          <w:rStyle w:val="FootnoteReference"/>
        </w:rPr>
        <w:footnoteRef/>
      </w:r>
      <w:r>
        <w:t xml:space="preserve"> </w:t>
      </w:r>
      <w:r>
        <w:rPr>
          <w:lang w:val="en-ZW"/>
        </w:rPr>
        <w:t xml:space="preserve">The Commission need not explicitly cite the ripeness doctrine to follow its principles in the face of a parallel proceeding. The Commission exercises its discretion to dismiss an application without prejudice </w:t>
      </w:r>
      <w:r>
        <w:rPr>
          <w:szCs w:val="26"/>
          <w:lang w:val="en-ZW"/>
        </w:rPr>
        <w:t xml:space="preserve">to </w:t>
      </w:r>
      <w:r>
        <w:rPr>
          <w:lang w:val="en-ZW"/>
        </w:rPr>
        <w:t xml:space="preserve">promote efficiency and conservation of its resources when a parallel proceeding is pending. </w:t>
      </w:r>
      <w:r w:rsidRPr="00EE5965">
        <w:rPr>
          <w:i/>
          <w:iCs/>
          <w:lang w:val="en-ZW"/>
        </w:rPr>
        <w:t>See</w:t>
      </w:r>
      <w:r>
        <w:rPr>
          <w:i/>
          <w:iCs/>
          <w:lang w:val="en-ZW"/>
        </w:rPr>
        <w:t xml:space="preserve">, e.g., </w:t>
      </w:r>
      <w:r>
        <w:rPr>
          <w:lang w:val="en-ZW"/>
        </w:rPr>
        <w:t>D.25-10-037 (dismissing application without prejudice “for administrative efficiency” until pending Superior Court proceeding resolved).</w:t>
      </w:r>
    </w:p>
  </w:footnote>
  <w:footnote w:id="57">
    <w:p w14:paraId="2F4077EE" w14:textId="77777777" w:rsidR="00F0671E" w:rsidRPr="00EE5965" w:rsidRDefault="00F0671E" w:rsidP="00F0671E">
      <w:pPr>
        <w:pStyle w:val="FootnoteText"/>
        <w:rPr>
          <w:lang w:val="en-ZW"/>
        </w:rPr>
      </w:pPr>
      <w:r>
        <w:rPr>
          <w:rStyle w:val="FootnoteReference"/>
        </w:rPr>
        <w:footnoteRef/>
      </w:r>
      <w:r>
        <w:t xml:space="preserve"> </w:t>
      </w:r>
      <w:r>
        <w:rPr>
          <w:lang w:val="en-ZW"/>
        </w:rPr>
        <w:t>D.10-06-006 at 14 (identifying ripeness issue raised by party).</w:t>
      </w:r>
    </w:p>
  </w:footnote>
  <w:footnote w:id="58">
    <w:p w14:paraId="5745A61F" w14:textId="77777777" w:rsidR="00F0671E" w:rsidRPr="00EE5965" w:rsidRDefault="00F0671E" w:rsidP="00F0671E">
      <w:pPr>
        <w:pStyle w:val="FootnoteText"/>
        <w:rPr>
          <w:lang w:val="en-ZW"/>
        </w:rPr>
      </w:pPr>
      <w:r>
        <w:rPr>
          <w:rStyle w:val="FootnoteReference"/>
        </w:rPr>
        <w:footnoteRef/>
      </w:r>
      <w:r>
        <w:t xml:space="preserve"> </w:t>
      </w:r>
      <w:r>
        <w:rPr>
          <w:lang w:val="en-ZW"/>
        </w:rPr>
        <w:t>D.10-06-006 at 16-17 (emphasis added) (dismissing application without prejudice upon ripeness arguments and due to parallel judicial proceeding).</w:t>
      </w:r>
    </w:p>
  </w:footnote>
  <w:footnote w:id="59">
    <w:p w14:paraId="2602EA1A" w14:textId="77777777" w:rsidR="00F0671E" w:rsidRPr="00EE5965" w:rsidRDefault="00F0671E" w:rsidP="00F0671E">
      <w:pPr>
        <w:pStyle w:val="FootnoteText"/>
        <w:rPr>
          <w:lang w:val="en-ZW"/>
        </w:rPr>
      </w:pPr>
      <w:r>
        <w:rPr>
          <w:rStyle w:val="FootnoteReference"/>
        </w:rPr>
        <w:footnoteRef/>
      </w:r>
      <w:r>
        <w:t xml:space="preserve"> </w:t>
      </w:r>
      <w:r>
        <w:rPr>
          <w:lang w:val="en-ZW"/>
        </w:rPr>
        <w:t>D.10-06-006 at 16-17 (emphasis added).</w:t>
      </w:r>
    </w:p>
  </w:footnote>
  <w:footnote w:id="60">
    <w:p w14:paraId="5074806C" w14:textId="3DFA822B" w:rsidR="00A00553" w:rsidRPr="004F439D" w:rsidRDefault="00A00553">
      <w:pPr>
        <w:pStyle w:val="FootnoteText"/>
        <w:rPr>
          <w:szCs w:val="22"/>
          <w:lang w:val="en-ZW"/>
        </w:rPr>
      </w:pPr>
      <w:r w:rsidRPr="00955C6F">
        <w:rPr>
          <w:rStyle w:val="FootnoteReference"/>
          <w:szCs w:val="22"/>
        </w:rPr>
        <w:footnoteRef/>
      </w:r>
      <w:r w:rsidRPr="00955C6F">
        <w:rPr>
          <w:szCs w:val="22"/>
        </w:rPr>
        <w:t xml:space="preserve"> </w:t>
      </w:r>
      <w:r w:rsidR="00755FA1" w:rsidRPr="004F439D">
        <w:rPr>
          <w:i/>
          <w:iCs/>
          <w:szCs w:val="22"/>
        </w:rPr>
        <w:t>See</w:t>
      </w:r>
      <w:r w:rsidR="00755FA1" w:rsidRPr="00955C6F">
        <w:rPr>
          <w:szCs w:val="22"/>
        </w:rPr>
        <w:t xml:space="preserve"> </w:t>
      </w:r>
      <w:r w:rsidR="00003298" w:rsidRPr="00955C6F">
        <w:rPr>
          <w:szCs w:val="22"/>
        </w:rPr>
        <w:t>D.07-12-047</w:t>
      </w:r>
      <w:r w:rsidR="00003298" w:rsidRPr="004F439D">
        <w:rPr>
          <w:szCs w:val="22"/>
          <w:lang w:val="en-ZW"/>
        </w:rPr>
        <w:t xml:space="preserve"> (</w:t>
      </w:r>
      <w:r w:rsidR="00810FC3" w:rsidRPr="004F439D">
        <w:rPr>
          <w:szCs w:val="22"/>
          <w:lang w:val="en-ZW"/>
        </w:rPr>
        <w:t xml:space="preserve">similarly </w:t>
      </w:r>
      <w:r w:rsidR="00741E32" w:rsidRPr="004F439D">
        <w:rPr>
          <w:szCs w:val="22"/>
          <w:lang w:val="en-ZW"/>
        </w:rPr>
        <w:t xml:space="preserve">recognizing the </w:t>
      </w:r>
      <w:r w:rsidRPr="004F439D">
        <w:rPr>
          <w:szCs w:val="22"/>
          <w:lang w:val="en-ZW"/>
        </w:rPr>
        <w:t>“</w:t>
      </w:r>
      <w:r w:rsidRPr="004F439D">
        <w:rPr>
          <w:i/>
          <w:iCs/>
          <w:szCs w:val="22"/>
          <w:lang w:val="en-ZW"/>
        </w:rPr>
        <w:t xml:space="preserve">requirement of present ownership and control </w:t>
      </w:r>
      <w:r w:rsidRPr="004F439D">
        <w:rPr>
          <w:szCs w:val="22"/>
          <w:lang w:val="en-ZW"/>
        </w:rPr>
        <w:t>of pipeline assets</w:t>
      </w:r>
      <w:r w:rsidR="00455E66" w:rsidRPr="004F439D">
        <w:rPr>
          <w:szCs w:val="22"/>
          <w:lang w:val="en-ZW"/>
        </w:rPr>
        <w:t>” to be a “pipeline corporation”</w:t>
      </w:r>
      <w:r w:rsidRPr="004F439D">
        <w:rPr>
          <w:szCs w:val="22"/>
          <w:lang w:val="en-ZW"/>
        </w:rPr>
        <w:t xml:space="preserve"> under Code Section 227</w:t>
      </w:r>
      <w:r w:rsidR="00955C6F" w:rsidRPr="004F439D">
        <w:rPr>
          <w:szCs w:val="22"/>
          <w:lang w:val="en-ZW"/>
        </w:rPr>
        <w:t>)</w:t>
      </w:r>
      <w:r w:rsidR="00455E66" w:rsidRPr="004F439D">
        <w:rPr>
          <w:szCs w:val="22"/>
          <w:lang w:val="en-ZW"/>
        </w:rPr>
        <w:t xml:space="preserve"> (emphasis added)</w:t>
      </w:r>
      <w:r w:rsidR="00955C6F" w:rsidRPr="004F439D">
        <w:rPr>
          <w:szCs w:val="22"/>
          <w:lang w:val="en-ZW"/>
        </w:rPr>
        <w:t>.</w:t>
      </w:r>
    </w:p>
  </w:footnote>
  <w:footnote w:id="61">
    <w:p w14:paraId="071312C7" w14:textId="2C6C27B5" w:rsidR="005F11CA" w:rsidRPr="004F439D" w:rsidRDefault="005F11CA">
      <w:pPr>
        <w:pStyle w:val="FootnoteText"/>
        <w:rPr>
          <w:lang w:val="en-ZW"/>
        </w:rPr>
      </w:pPr>
      <w:r>
        <w:rPr>
          <w:rStyle w:val="FootnoteReference"/>
        </w:rPr>
        <w:footnoteRef/>
      </w:r>
      <w:r>
        <w:t xml:space="preserve"> </w:t>
      </w:r>
      <w:r>
        <w:rPr>
          <w:lang w:val="en-ZW"/>
        </w:rPr>
        <w:t xml:space="preserve">Application at </w:t>
      </w:r>
      <w:r w:rsidR="00015830">
        <w:rPr>
          <w:lang w:val="en-ZW"/>
        </w:rPr>
        <w:t>9</w:t>
      </w:r>
      <w:r>
        <w:rPr>
          <w:lang w:val="en-ZW"/>
        </w:rPr>
        <w:t>.</w:t>
      </w:r>
    </w:p>
  </w:footnote>
  <w:footnote w:id="62">
    <w:p w14:paraId="5EABF5A7" w14:textId="08D2DB7F" w:rsidR="00555BCF" w:rsidRPr="00E20417" w:rsidRDefault="00555BCF" w:rsidP="00555BCF">
      <w:pPr>
        <w:pStyle w:val="FootnoteText"/>
        <w:rPr>
          <w:lang w:val="en-ZW"/>
        </w:rPr>
      </w:pPr>
      <w:r>
        <w:rPr>
          <w:rStyle w:val="FootnoteReference"/>
        </w:rPr>
        <w:footnoteRef/>
      </w:r>
      <w:r>
        <w:t xml:space="preserve"> </w:t>
      </w:r>
      <w:r w:rsidRPr="00E20417">
        <w:rPr>
          <w:szCs w:val="22"/>
        </w:rPr>
        <w:t>D.07-12-047</w:t>
      </w:r>
      <w:r>
        <w:rPr>
          <w:szCs w:val="22"/>
        </w:rPr>
        <w:t xml:space="preserve"> at 2 (emphasis added). </w:t>
      </w:r>
      <w:r>
        <w:rPr>
          <w:szCs w:val="22"/>
          <w:lang w:val="en-ZW"/>
        </w:rPr>
        <w:t xml:space="preserve">We reasoned that we had the authority to issue that interim decision related to a prospective </w:t>
      </w:r>
      <w:r w:rsidRPr="00696704">
        <w:rPr>
          <w:szCs w:val="22"/>
        </w:rPr>
        <w:t xml:space="preserve">pipeline </w:t>
      </w:r>
      <w:r w:rsidR="0015724E">
        <w:rPr>
          <w:szCs w:val="22"/>
        </w:rPr>
        <w:t xml:space="preserve">construction </w:t>
      </w:r>
      <w:r>
        <w:rPr>
          <w:szCs w:val="22"/>
        </w:rPr>
        <w:t xml:space="preserve">project because </w:t>
      </w:r>
      <w:r w:rsidRPr="00696704">
        <w:rPr>
          <w:szCs w:val="22"/>
        </w:rPr>
        <w:t>“</w:t>
      </w:r>
      <w:r>
        <w:rPr>
          <w:szCs w:val="22"/>
        </w:rPr>
        <w:t xml:space="preserve">a pipeline corporation </w:t>
      </w:r>
      <w:r w:rsidRPr="00696704">
        <w:rPr>
          <w:szCs w:val="22"/>
        </w:rPr>
        <w:t xml:space="preserve">is not required to obtain a </w:t>
      </w:r>
      <w:r w:rsidRPr="00696704">
        <w:rPr>
          <w:i/>
          <w:iCs/>
          <w:szCs w:val="22"/>
        </w:rPr>
        <w:t>preconstruction</w:t>
      </w:r>
      <w:r w:rsidRPr="00696704">
        <w:rPr>
          <w:szCs w:val="22"/>
        </w:rPr>
        <w:t xml:space="preserve"> certificate of public convenience and necessity pursuant to Public Utilities Code Section 1001</w:t>
      </w:r>
      <w:r>
        <w:rPr>
          <w:szCs w:val="22"/>
        </w:rPr>
        <w:t>, as are other transportation concerns</w:t>
      </w:r>
      <w:r w:rsidRPr="00696704">
        <w:rPr>
          <w:szCs w:val="22"/>
        </w:rPr>
        <w:t>.”</w:t>
      </w:r>
      <w:r>
        <w:rPr>
          <w:szCs w:val="22"/>
        </w:rPr>
        <w:t xml:space="preserve"> </w:t>
      </w:r>
      <w:r w:rsidRPr="00696704">
        <w:rPr>
          <w:szCs w:val="22"/>
        </w:rPr>
        <w:t>D.07-12-047 at 2 (emphasis added).</w:t>
      </w:r>
    </w:p>
  </w:footnote>
  <w:footnote w:id="63">
    <w:p w14:paraId="05FBF31E" w14:textId="5B33AB5E" w:rsidR="00555BCF" w:rsidRPr="003D3773" w:rsidRDefault="00555BCF" w:rsidP="00555BCF">
      <w:pPr>
        <w:pStyle w:val="FootnoteText"/>
        <w:rPr>
          <w:lang w:val="en-ZW"/>
        </w:rPr>
      </w:pPr>
      <w:r>
        <w:rPr>
          <w:rStyle w:val="FootnoteReference"/>
        </w:rPr>
        <w:footnoteRef/>
      </w:r>
      <w:r>
        <w:t xml:space="preserve"> </w:t>
      </w:r>
      <w:r w:rsidRPr="00E20417">
        <w:rPr>
          <w:szCs w:val="22"/>
        </w:rPr>
        <w:t>D.07-12-047</w:t>
      </w:r>
      <w:r>
        <w:rPr>
          <w:szCs w:val="22"/>
        </w:rPr>
        <w:t xml:space="preserve"> at 4</w:t>
      </w:r>
      <w:r w:rsidR="00CA628F">
        <w:rPr>
          <w:szCs w:val="22"/>
        </w:rPr>
        <w:t>, Conclusion of Law 2</w:t>
      </w:r>
      <w:r>
        <w:rPr>
          <w:szCs w:val="22"/>
        </w:rPr>
        <w:t>.</w:t>
      </w:r>
    </w:p>
  </w:footnote>
  <w:footnote w:id="64">
    <w:p w14:paraId="3DA6E9E2" w14:textId="77777777" w:rsidR="00FC6703" w:rsidRPr="00883039" w:rsidRDefault="00FC6703" w:rsidP="00FC6703">
      <w:pPr>
        <w:pStyle w:val="FootnoteText"/>
        <w:rPr>
          <w:szCs w:val="22"/>
          <w:lang w:val="en-ZW"/>
        </w:rPr>
      </w:pPr>
      <w:r w:rsidRPr="00883039">
        <w:rPr>
          <w:rStyle w:val="FootnoteReference"/>
          <w:szCs w:val="22"/>
        </w:rPr>
        <w:footnoteRef/>
      </w:r>
      <w:r w:rsidRPr="00883039">
        <w:rPr>
          <w:szCs w:val="22"/>
        </w:rPr>
        <w:t xml:space="preserve"> </w:t>
      </w:r>
      <w:r w:rsidRPr="00883039">
        <w:rPr>
          <w:szCs w:val="22"/>
          <w:lang w:val="en-ZW"/>
        </w:rPr>
        <w:t xml:space="preserve">The lack of opposition </w:t>
      </w:r>
      <w:r>
        <w:rPr>
          <w:szCs w:val="22"/>
          <w:lang w:val="en-ZW"/>
        </w:rPr>
        <w:t>and interim basis designation similarly</w:t>
      </w:r>
      <w:r w:rsidRPr="00883039">
        <w:rPr>
          <w:szCs w:val="22"/>
          <w:lang w:val="en-ZW"/>
        </w:rPr>
        <w:t xml:space="preserve"> distinguishes interim decision D.99-12-038 and final decision D.02-11-023</w:t>
      </w:r>
      <w:r>
        <w:rPr>
          <w:szCs w:val="22"/>
          <w:lang w:val="en-ZW"/>
        </w:rPr>
        <w:t xml:space="preserve">, also cited by CRPC, from CRPC’s present Application. </w:t>
      </w:r>
      <w:r>
        <w:rPr>
          <w:szCs w:val="22"/>
        </w:rPr>
        <w:t xml:space="preserve">There, </w:t>
      </w:r>
      <w:r w:rsidRPr="00C94503">
        <w:rPr>
          <w:szCs w:val="22"/>
        </w:rPr>
        <w:t xml:space="preserve">interim </w:t>
      </w:r>
      <w:r>
        <w:rPr>
          <w:szCs w:val="22"/>
        </w:rPr>
        <w:t>decision D.</w:t>
      </w:r>
      <w:r w:rsidRPr="00C94503">
        <w:rPr>
          <w:szCs w:val="22"/>
        </w:rPr>
        <w:t>99-12-038 determin</w:t>
      </w:r>
      <w:r>
        <w:rPr>
          <w:szCs w:val="22"/>
        </w:rPr>
        <w:t>ed</w:t>
      </w:r>
      <w:r w:rsidRPr="00C94503">
        <w:rPr>
          <w:szCs w:val="22"/>
        </w:rPr>
        <w:t xml:space="preserve"> that </w:t>
      </w:r>
      <w:r>
        <w:rPr>
          <w:szCs w:val="22"/>
        </w:rPr>
        <w:t xml:space="preserve">construction project applicant </w:t>
      </w:r>
      <w:r w:rsidRPr="00C94503">
        <w:rPr>
          <w:szCs w:val="22"/>
        </w:rPr>
        <w:t xml:space="preserve">Wickland </w:t>
      </w:r>
      <w:r>
        <w:rPr>
          <w:szCs w:val="22"/>
        </w:rPr>
        <w:t>Pipelines LLC was</w:t>
      </w:r>
      <w:r w:rsidRPr="00C94503">
        <w:rPr>
          <w:szCs w:val="22"/>
        </w:rPr>
        <w:t xml:space="preserve"> a public utility pipeline corporation subject to the Commission’s jurisdiction</w:t>
      </w:r>
      <w:r>
        <w:rPr>
          <w:szCs w:val="22"/>
        </w:rPr>
        <w:t xml:space="preserve"> in connection with proposed construction and future operation of a common carrier jet fuel pipeline and tank farm</w:t>
      </w:r>
      <w:r w:rsidRPr="00C94503">
        <w:rPr>
          <w:szCs w:val="22"/>
        </w:rPr>
        <w:t xml:space="preserve">. </w:t>
      </w:r>
      <w:r>
        <w:rPr>
          <w:szCs w:val="22"/>
        </w:rPr>
        <w:t>As in interim decision D.07-12-047, that application was unopposed and granted through a subsequent decision, D.02-11-023.</w:t>
      </w:r>
    </w:p>
  </w:footnote>
  <w:footnote w:id="65">
    <w:p w14:paraId="3932BB9D" w14:textId="033497C5" w:rsidR="00CA628F" w:rsidRDefault="00CA628F">
      <w:pPr>
        <w:pStyle w:val="FootnoteText"/>
      </w:pPr>
      <w:r>
        <w:rPr>
          <w:rStyle w:val="FootnoteReference"/>
        </w:rPr>
        <w:footnoteRef/>
      </w:r>
      <w:r>
        <w:t xml:space="preserve"> D</w:t>
      </w:r>
      <w:r w:rsidR="00651C18">
        <w:t>.</w:t>
      </w:r>
      <w:r>
        <w:t>07-12-047 at 4, Conclusion of Law 2.</w:t>
      </w:r>
    </w:p>
  </w:footnote>
  <w:footnote w:id="66">
    <w:p w14:paraId="4E42415F" w14:textId="77777777" w:rsidR="000E3EE9" w:rsidRPr="004403E6" w:rsidRDefault="000E3EE9" w:rsidP="000E3EE9">
      <w:pPr>
        <w:pStyle w:val="FootnoteText"/>
        <w:rPr>
          <w:lang w:val="en-ZW"/>
        </w:rPr>
      </w:pPr>
      <w:r>
        <w:rPr>
          <w:rStyle w:val="FootnoteReference"/>
        </w:rPr>
        <w:footnoteRef/>
      </w:r>
      <w:r>
        <w:t xml:space="preserve"> Pub. Util. Code Section 1002.5 also confirms the Commission is charged with addressing proposed gas pipeline </w:t>
      </w:r>
      <w:r w:rsidRPr="008A27F6">
        <w:rPr>
          <w:i/>
          <w:iCs/>
        </w:rPr>
        <w:t>construction</w:t>
      </w:r>
      <w:r>
        <w:t xml:space="preserve"> CPCN’s. Only upon making a finding that proposed gas pipeline </w:t>
      </w:r>
      <w:r w:rsidRPr="004403E6">
        <w:rPr>
          <w:i/>
          <w:iCs/>
        </w:rPr>
        <w:t>construction</w:t>
      </w:r>
      <w:r>
        <w:t xml:space="preserve"> projects are “in the state’s best interest to [supply natural gas], the Commission shall expeditiously issue [CPCN’s] for those </w:t>
      </w:r>
      <w:r w:rsidRPr="004403E6">
        <w:rPr>
          <w:i/>
          <w:iCs/>
        </w:rPr>
        <w:t>additional</w:t>
      </w:r>
      <w:r>
        <w:t xml:space="preserve"> natural gas pipeline capacity projects.” </w:t>
      </w:r>
      <w:r>
        <w:rPr>
          <w:lang w:val="en-ZW"/>
        </w:rPr>
        <w:t>Pub. Util. Code section 1002.5 (emphasis added).</w:t>
      </w:r>
      <w:r>
        <w:t xml:space="preserve"> However, the UI Pipeline is already constructed and in existence. In its present circumstances, CRPC asks the Commission to grant a non-construction CPCN to empower the use of eminent domain to return the Antioch and Brentwood UI Pipeline segments to CRPC’s ownership, control, operation, and management.</w:t>
      </w:r>
    </w:p>
  </w:footnote>
  <w:footnote w:id="67">
    <w:p w14:paraId="4F28A36F" w14:textId="77777777" w:rsidR="00C73CF4" w:rsidRPr="00AF7E0D" w:rsidRDefault="00C73CF4" w:rsidP="00C73CF4">
      <w:pPr>
        <w:pStyle w:val="FootnoteText"/>
        <w:rPr>
          <w:szCs w:val="22"/>
          <w:lang w:val="en-ZW"/>
        </w:rPr>
      </w:pPr>
      <w:r w:rsidRPr="00AF7E0D">
        <w:rPr>
          <w:rStyle w:val="FootnoteReference"/>
          <w:szCs w:val="22"/>
        </w:rPr>
        <w:footnoteRef/>
      </w:r>
      <w:r w:rsidRPr="00AF7E0D">
        <w:rPr>
          <w:szCs w:val="22"/>
        </w:rPr>
        <w:t xml:space="preserve"> </w:t>
      </w:r>
      <w:r w:rsidRPr="00AF7E0D">
        <w:rPr>
          <w:rFonts w:eastAsia="Calibri" w:cs="Times New Roman"/>
          <w:i/>
          <w:iCs/>
          <w:szCs w:val="22"/>
          <w:lang w:val="en-ZW"/>
        </w:rPr>
        <w:t>See</w:t>
      </w:r>
      <w:r>
        <w:rPr>
          <w:rFonts w:eastAsia="Calibri" w:cs="Times New Roman"/>
          <w:i/>
          <w:iCs/>
          <w:szCs w:val="22"/>
          <w:lang w:val="en-ZW"/>
        </w:rPr>
        <w:t>, e.g.,</w:t>
      </w:r>
      <w:r w:rsidRPr="00AF7E0D">
        <w:rPr>
          <w:rFonts w:eastAsia="Calibri" w:cs="Times New Roman"/>
          <w:szCs w:val="22"/>
          <w:lang w:val="en-ZW"/>
        </w:rPr>
        <w:t xml:space="preserve"> </w:t>
      </w:r>
      <w:hyperlink r:id="rId4" w:history="1">
        <w:r w:rsidRPr="00AF7E0D">
          <w:rPr>
            <w:rFonts w:eastAsia="Arial" w:cs="Times New Roman"/>
            <w:i/>
            <w:szCs w:val="22"/>
            <w:shd w:val="clear" w:color="auto" w:fill="FFFFFF"/>
          </w:rPr>
          <w:t xml:space="preserve">Richfield Oil Corp. v. </w:t>
        </w:r>
      </w:hyperlink>
      <w:hyperlink r:id="rId5" w:history="1">
        <w:r w:rsidRPr="00AF7E0D">
          <w:rPr>
            <w:rFonts w:eastAsia="Arial" w:cs="Times New Roman"/>
            <w:i/>
            <w:szCs w:val="22"/>
            <w:shd w:val="clear" w:color="auto" w:fill="FFFFFF"/>
          </w:rPr>
          <w:t>Public Utilities</w:t>
        </w:r>
      </w:hyperlink>
      <w:hyperlink r:id="rId6" w:history="1">
        <w:r w:rsidRPr="00AF7E0D">
          <w:rPr>
            <w:rFonts w:eastAsia="Arial" w:cs="Times New Roman"/>
            <w:i/>
            <w:szCs w:val="22"/>
            <w:shd w:val="clear" w:color="auto" w:fill="FFFFFF"/>
          </w:rPr>
          <w:t xml:space="preserve"> Com.</w:t>
        </w:r>
      </w:hyperlink>
      <w:r w:rsidRPr="00AF7E0D">
        <w:rPr>
          <w:rFonts w:eastAsia="Times New Roman" w:cs="Times New Roman"/>
          <w:szCs w:val="22"/>
        </w:rPr>
        <w:t xml:space="preserve">, </w:t>
      </w:r>
      <w:r w:rsidRPr="00AF7E0D">
        <w:rPr>
          <w:rFonts w:eastAsia="Arial" w:cs="Arial"/>
          <w:szCs w:val="22"/>
        </w:rPr>
        <w:t>54 Cal. 2d 419, 433-434 (1960)</w:t>
      </w:r>
      <w:r w:rsidRPr="00AF7E0D">
        <w:rPr>
          <w:rFonts w:eastAsia="Calibri" w:cs="Times New Roman"/>
          <w:szCs w:val="22"/>
          <w:lang w:val="en-ZW"/>
        </w:rPr>
        <w:t xml:space="preserve"> (</w:t>
      </w:r>
      <w:hyperlink r:id="rId7" w:history="1">
        <w:r w:rsidRPr="00AF7E0D">
          <w:rPr>
            <w:rFonts w:eastAsia="Arial" w:cs="Arial"/>
            <w:szCs w:val="22"/>
            <w:shd w:val="clear" w:color="auto" w:fill="FFFFFF"/>
          </w:rPr>
          <w:t xml:space="preserve">Pub. Util. </w:t>
        </w:r>
      </w:hyperlink>
      <w:hyperlink r:id="rId8" w:history="1">
        <w:r w:rsidRPr="00AF7E0D">
          <w:rPr>
            <w:rFonts w:eastAsia="Arial" w:cs="Arial"/>
            <w:szCs w:val="22"/>
            <w:shd w:val="clear" w:color="auto" w:fill="FFFFFF"/>
          </w:rPr>
          <w:t>Code</w:t>
        </w:r>
      </w:hyperlink>
      <w:r>
        <w:rPr>
          <w:szCs w:val="22"/>
        </w:rPr>
        <w:t xml:space="preserve"> section 1001</w:t>
      </w:r>
      <w:r w:rsidRPr="00AF7E0D">
        <w:rPr>
          <w:rFonts w:eastAsia="Arial" w:cs="Arial"/>
          <w:szCs w:val="22"/>
        </w:rPr>
        <w:t xml:space="preserve"> applies only to </w:t>
      </w:r>
      <w:r w:rsidRPr="00AF7E0D">
        <w:rPr>
          <w:rFonts w:eastAsia="Arial" w:cs="Arial"/>
          <w:bCs/>
          <w:iCs/>
          <w:szCs w:val="22"/>
        </w:rPr>
        <w:t>public utilities</w:t>
      </w:r>
      <w:r w:rsidRPr="00AF7E0D">
        <w:rPr>
          <w:rFonts w:eastAsia="Arial" w:cs="Arial"/>
          <w:szCs w:val="22"/>
        </w:rPr>
        <w:t>).</w:t>
      </w:r>
    </w:p>
  </w:footnote>
  <w:footnote w:id="68">
    <w:p w14:paraId="6C984A83" w14:textId="0FF7876D" w:rsidR="008B55D1" w:rsidRPr="00C660AD" w:rsidRDefault="008B55D1" w:rsidP="008B55D1">
      <w:pPr>
        <w:pStyle w:val="FootnoteText"/>
        <w:rPr>
          <w:lang w:val="en-ZW"/>
        </w:rPr>
      </w:pPr>
      <w:r>
        <w:rPr>
          <w:rStyle w:val="FootnoteReference"/>
        </w:rPr>
        <w:footnoteRef/>
      </w:r>
      <w:r>
        <w:t xml:space="preserve"> </w:t>
      </w:r>
      <w:r w:rsidR="003C75A6" w:rsidRPr="00C573AC">
        <w:rPr>
          <w:i/>
          <w:iCs/>
        </w:rPr>
        <w:t>See</w:t>
      </w:r>
      <w:r w:rsidR="003C75A6">
        <w:t xml:space="preserve"> </w:t>
      </w:r>
      <w:r w:rsidR="007A3220">
        <w:t xml:space="preserve">Section 4.1 above (Ripeness). </w:t>
      </w:r>
      <w:r w:rsidR="00DE15A1" w:rsidRPr="006C10E5">
        <w:rPr>
          <w:i/>
          <w:iCs/>
        </w:rPr>
        <w:t>See</w:t>
      </w:r>
      <w:r w:rsidR="005F3638">
        <w:rPr>
          <w:i/>
          <w:iCs/>
        </w:rPr>
        <w:t>,</w:t>
      </w:r>
      <w:r w:rsidR="00DE15A1" w:rsidRPr="006C10E5">
        <w:rPr>
          <w:i/>
          <w:iCs/>
        </w:rPr>
        <w:t xml:space="preserve"> e.g.,</w:t>
      </w:r>
      <w:r w:rsidR="00DE15A1">
        <w:t xml:space="preserve"> </w:t>
      </w:r>
      <w:r>
        <w:rPr>
          <w:lang w:val="en-ZW"/>
        </w:rPr>
        <w:t>D.24-01-037 at 7</w:t>
      </w:r>
      <w:r w:rsidR="00DE15A1">
        <w:rPr>
          <w:lang w:val="en-ZW"/>
        </w:rPr>
        <w:t xml:space="preserve"> (</w:t>
      </w:r>
      <w:r w:rsidR="00DE15A1">
        <w:t>“</w:t>
      </w:r>
      <w:r w:rsidR="00DE15A1" w:rsidRPr="00403DF1">
        <w:t xml:space="preserve">It would be imprudent for the Commission to proceed with the instant proceeding </w:t>
      </w:r>
      <w:r w:rsidR="00DE15A1">
        <w:t>. . .</w:t>
      </w:r>
      <w:r w:rsidR="00DE15A1" w:rsidRPr="00403DF1">
        <w:t xml:space="preserve"> while C.17-09-023, addressing factual and legal issues that overlap with those raised by the present complaint </w:t>
      </w:r>
      <w:r w:rsidR="008D09FC">
        <w:t xml:space="preserve">. . . </w:t>
      </w:r>
      <w:r w:rsidR="00DE15A1" w:rsidRPr="00403DF1">
        <w:t xml:space="preserve">, is still actively being adjudicated. The risk of inconsistent outcomes is avoided, and the interests of judicial economy preserved, through awaiting the full and final outcome of C.17-09-023 prior to adjudicating </w:t>
      </w:r>
      <w:r w:rsidR="00071A6E">
        <w:t xml:space="preserve">. . . [the] </w:t>
      </w:r>
      <w:r w:rsidR="00DE15A1" w:rsidRPr="00403DF1">
        <w:t xml:space="preserve">present complaint </w:t>
      </w:r>
      <w:r w:rsidR="008D09FC">
        <w:t xml:space="preserve">. . . </w:t>
      </w:r>
      <w:r w:rsidR="00DE15A1" w:rsidRPr="00403DF1">
        <w:t>.</w:t>
      </w:r>
      <w:r w:rsidR="00DE15A1">
        <w:t>”</w:t>
      </w:r>
      <w:r w:rsidR="00DE15A1">
        <w:rPr>
          <w:lang w:val="en-ZW"/>
        </w:rPr>
        <w:t>)</w:t>
      </w:r>
      <w:r>
        <w:rPr>
          <w:lang w:val="en-ZW"/>
        </w:rPr>
        <w:t xml:space="preserve">. </w:t>
      </w:r>
      <w:r w:rsidRPr="003F13E8">
        <w:rPr>
          <w:i/>
          <w:iCs/>
          <w:lang w:val="en-ZW"/>
        </w:rPr>
        <w:t>See also</w:t>
      </w:r>
      <w:r>
        <w:rPr>
          <w:lang w:val="en-ZW"/>
        </w:rPr>
        <w:t xml:space="preserve"> D.24-01-037 at 5 and n. 2 (citing </w:t>
      </w:r>
      <w:r w:rsidRPr="0002662A">
        <w:rPr>
          <w:i/>
          <w:iCs/>
        </w:rPr>
        <w:t>Parklane Hosiery Co., Inc. v. Shore</w:t>
      </w:r>
      <w:r w:rsidRPr="00402687">
        <w:t>, 439 U.S. 322 (1979)</w:t>
      </w:r>
      <w:r>
        <w:t>).</w:t>
      </w:r>
    </w:p>
  </w:footnote>
  <w:footnote w:id="69">
    <w:p w14:paraId="56E1EB6D" w14:textId="5D0227A5" w:rsidR="009E3D13" w:rsidRPr="006C10E5" w:rsidRDefault="009E3D13" w:rsidP="00022957">
      <w:pPr>
        <w:pStyle w:val="FootnoteText"/>
        <w:rPr>
          <w:szCs w:val="22"/>
          <w:lang w:val="en-ZW"/>
        </w:rPr>
      </w:pPr>
      <w:r w:rsidRPr="00022957">
        <w:rPr>
          <w:rStyle w:val="FootnoteReference"/>
          <w:szCs w:val="22"/>
        </w:rPr>
        <w:footnoteRef/>
      </w:r>
      <w:r w:rsidR="007366BE">
        <w:rPr>
          <w:szCs w:val="22"/>
        </w:rPr>
        <w:t xml:space="preserve"> </w:t>
      </w:r>
      <w:r w:rsidR="007366BE" w:rsidRPr="00653CE5">
        <w:rPr>
          <w:rFonts w:eastAsia="Calibri" w:cs="Times New Roman"/>
        </w:rPr>
        <w:t>CRPC informed the Commission that pendency of the instant proceeding would result in a delay in the court’s proceedings, due to CRPC arguing the court should await a Commission decision on the Application under the doctrine of primary jurisdiction.</w:t>
      </w:r>
      <w:r w:rsidRPr="00022957">
        <w:rPr>
          <w:szCs w:val="22"/>
        </w:rPr>
        <w:t xml:space="preserve"> </w:t>
      </w:r>
      <w:r w:rsidR="00022957" w:rsidRPr="00022957">
        <w:rPr>
          <w:i/>
          <w:iCs/>
          <w:szCs w:val="22"/>
          <w:lang w:val="en-ZW"/>
        </w:rPr>
        <w:t>See</w:t>
      </w:r>
      <w:r w:rsidR="00022957" w:rsidRPr="00022957">
        <w:rPr>
          <w:szCs w:val="22"/>
          <w:lang w:val="en-ZW"/>
        </w:rPr>
        <w:t xml:space="preserve"> July 18, 2024 Reply of CRPC to the Cities’ Response to the ALJ’s First Ruling at 4 </w:t>
      </w:r>
      <w:r w:rsidR="00F03B6C">
        <w:rPr>
          <w:szCs w:val="22"/>
          <w:lang w:val="en-ZW"/>
        </w:rPr>
        <w:t>(</w:t>
      </w:r>
      <w:r w:rsidR="008672BE">
        <w:t>“[A]</w:t>
      </w:r>
      <w:r w:rsidR="008672BE" w:rsidRPr="00814B06">
        <w:t xml:space="preserve"> </w:t>
      </w:r>
      <w:r w:rsidR="008672BE" w:rsidRPr="00814B06">
        <w:rPr>
          <w:i/>
          <w:iCs/>
        </w:rPr>
        <w:t>delay in the Commission’s determination would only cause further delay in the</w:t>
      </w:r>
      <w:r w:rsidR="008672BE" w:rsidRPr="00221060">
        <w:rPr>
          <w:i/>
          <w:iCs/>
        </w:rPr>
        <w:t xml:space="preserve"> </w:t>
      </w:r>
      <w:r w:rsidR="008672BE" w:rsidRPr="00814B06">
        <w:rPr>
          <w:i/>
          <w:iCs/>
        </w:rPr>
        <w:t>trial court proceedings</w:t>
      </w:r>
      <w:r w:rsidR="008672BE" w:rsidRPr="00814B06">
        <w:t xml:space="preserve"> based on the Doctrine of Primary Jurisdiction. That is, </w:t>
      </w:r>
      <w:r w:rsidR="008672BE" w:rsidRPr="00814B06">
        <w:rPr>
          <w:i/>
          <w:iCs/>
        </w:rPr>
        <w:t>CRPC would argue</w:t>
      </w:r>
      <w:r w:rsidR="008672BE" w:rsidRPr="00221060">
        <w:rPr>
          <w:i/>
          <w:iCs/>
        </w:rPr>
        <w:t xml:space="preserve"> </w:t>
      </w:r>
      <w:r w:rsidR="008672BE" w:rsidRPr="00814B06">
        <w:rPr>
          <w:i/>
          <w:iCs/>
        </w:rPr>
        <w:t>that the merits of the cross-complaint cannot be fully adjudicated until the Commission first makes</w:t>
      </w:r>
      <w:r w:rsidR="008672BE" w:rsidRPr="00221060">
        <w:rPr>
          <w:i/>
          <w:iCs/>
        </w:rPr>
        <w:t xml:space="preserve"> </w:t>
      </w:r>
      <w:r w:rsidR="008672BE" w:rsidRPr="00814B06">
        <w:rPr>
          <w:i/>
          <w:iCs/>
        </w:rPr>
        <w:t>a determination on CRPC’s application</w:t>
      </w:r>
      <w:r w:rsidR="008672BE" w:rsidRPr="00814B06">
        <w:t xml:space="preserve"> because status as a public utility would entitle it to maintain</w:t>
      </w:r>
      <w:r w:rsidR="008672BE">
        <w:t xml:space="preserve"> </w:t>
      </w:r>
      <w:r w:rsidR="008672BE" w:rsidRPr="00814B06">
        <w:t>the pipeline within Antioch’s public rights of way as a</w:t>
      </w:r>
      <w:r w:rsidR="008672BE">
        <w:t xml:space="preserve"> </w:t>
      </w:r>
      <w:r w:rsidR="008672BE" w:rsidRPr="00814B06">
        <w:t>public utility either by virtue of Antioch</w:t>
      </w:r>
      <w:r w:rsidR="008672BE">
        <w:t xml:space="preserve"> </w:t>
      </w:r>
      <w:r w:rsidR="008672BE" w:rsidRPr="00814B06">
        <w:t>City Code section 7-2.311 or through eminent domain, notwithstanding its lack of a franchise.</w:t>
      </w:r>
      <w:r w:rsidR="008672BE">
        <w:t>”</w:t>
      </w:r>
      <w:r w:rsidR="001A6929">
        <w:t>)</w:t>
      </w:r>
      <w:r w:rsidR="008672BE">
        <w:t xml:space="preserve"> (</w:t>
      </w:r>
      <w:r w:rsidR="008F517F">
        <w:t xml:space="preserve">citation omitted; </w:t>
      </w:r>
      <w:r w:rsidR="008672BE">
        <w:t>emphasis added)</w:t>
      </w:r>
      <w:r w:rsidR="00F03B6C">
        <w:rPr>
          <w:szCs w:val="22"/>
          <w:lang w:val="en-ZW"/>
        </w:rPr>
        <w:t xml:space="preserve">. </w:t>
      </w:r>
      <w:r w:rsidR="00F03B6C" w:rsidRPr="006C10E5">
        <w:rPr>
          <w:i/>
          <w:iCs/>
          <w:szCs w:val="22"/>
          <w:lang w:val="en-ZW"/>
        </w:rPr>
        <w:t>See also</w:t>
      </w:r>
      <w:r w:rsidR="00F03B6C">
        <w:rPr>
          <w:szCs w:val="22"/>
          <w:lang w:val="en-ZW"/>
        </w:rPr>
        <w:t xml:space="preserve"> </w:t>
      </w:r>
      <w:r w:rsidR="00F03B6C" w:rsidRPr="00022957">
        <w:rPr>
          <w:szCs w:val="22"/>
          <w:lang w:val="en-ZW"/>
        </w:rPr>
        <w:t xml:space="preserve">July 18, 2024 Reply of CRPC to the Cities’ Response to the ALJ’s First Ruling at 4 </w:t>
      </w:r>
      <w:r w:rsidR="00022957" w:rsidRPr="00022957">
        <w:rPr>
          <w:szCs w:val="22"/>
          <w:lang w:val="en-ZW"/>
        </w:rPr>
        <w:t xml:space="preserve">n. 2 (stating </w:t>
      </w:r>
      <w:r w:rsidR="00022957" w:rsidRPr="006C10E5">
        <w:rPr>
          <w:szCs w:val="22"/>
        </w:rPr>
        <w:t>“The essence of the primary jurisdiction doctrine is this: If litigation presents issues that are not ‘within the conventional competence of the courts’ and ‘the judgment of a technically expert body’ would aid judicial decision making, then the court may refer those issues to that body.” (</w:t>
      </w:r>
      <w:r w:rsidR="00022957" w:rsidRPr="006C10E5">
        <w:rPr>
          <w:i/>
          <w:iCs/>
          <w:szCs w:val="22"/>
        </w:rPr>
        <w:t xml:space="preserve">Blue Cross of Cal., Inc. v. </w:t>
      </w:r>
      <w:r w:rsidR="00022957" w:rsidRPr="00022957">
        <w:rPr>
          <w:i/>
          <w:iCs/>
          <w:szCs w:val="22"/>
        </w:rPr>
        <w:t xml:space="preserve">Superior Court </w:t>
      </w:r>
      <w:r w:rsidR="00022957" w:rsidRPr="00022957">
        <w:rPr>
          <w:szCs w:val="22"/>
        </w:rPr>
        <w:t>(2009) 180 Cal.App.4th 1237, 1260, citations omitted.)).</w:t>
      </w:r>
    </w:p>
  </w:footnote>
  <w:footnote w:id="70">
    <w:p w14:paraId="33D092F6" w14:textId="6511CB9C" w:rsidR="001E6621" w:rsidRPr="00FE64F5" w:rsidRDefault="001E6621" w:rsidP="004C13AA">
      <w:pPr>
        <w:pStyle w:val="FootnoteText"/>
        <w:rPr>
          <w:szCs w:val="22"/>
          <w:lang w:val="en-ZW"/>
        </w:rPr>
      </w:pPr>
      <w:r w:rsidRPr="004C13AA">
        <w:rPr>
          <w:rStyle w:val="FootnoteReference"/>
          <w:szCs w:val="22"/>
        </w:rPr>
        <w:footnoteRef/>
      </w:r>
      <w:r w:rsidRPr="004C13AA">
        <w:rPr>
          <w:szCs w:val="22"/>
        </w:rPr>
        <w:t xml:space="preserve"> </w:t>
      </w:r>
      <w:r w:rsidRPr="004C13AA">
        <w:rPr>
          <w:szCs w:val="22"/>
          <w:lang w:val="en-ZW"/>
        </w:rPr>
        <w:t xml:space="preserve">Moreover, </w:t>
      </w:r>
      <w:r w:rsidR="00D8025B" w:rsidRPr="004C13AA">
        <w:rPr>
          <w:szCs w:val="22"/>
          <w:lang w:val="en-ZW"/>
        </w:rPr>
        <w:t xml:space="preserve">Applicant </w:t>
      </w:r>
      <w:r w:rsidR="00A47CCB">
        <w:rPr>
          <w:szCs w:val="22"/>
          <w:lang w:val="en-ZW"/>
        </w:rPr>
        <w:t>implores</w:t>
      </w:r>
      <w:r w:rsidR="00D8025B" w:rsidRPr="004C13AA">
        <w:rPr>
          <w:szCs w:val="22"/>
          <w:lang w:val="en-ZW"/>
        </w:rPr>
        <w:t xml:space="preserve"> the Commission to decide the threshold question </w:t>
      </w:r>
      <w:r w:rsidR="004D72AB" w:rsidRPr="004C13AA">
        <w:rPr>
          <w:szCs w:val="22"/>
          <w:lang w:val="en-ZW"/>
        </w:rPr>
        <w:t xml:space="preserve">in its October 10, 2025 </w:t>
      </w:r>
      <w:r w:rsidR="001F4C55" w:rsidRPr="004C13AA">
        <w:rPr>
          <w:szCs w:val="22"/>
          <w:lang w:val="en-ZW"/>
        </w:rPr>
        <w:t>Supplemental Response: “</w:t>
      </w:r>
      <w:r w:rsidR="004C13AA" w:rsidRPr="004C13AA">
        <w:rPr>
          <w:szCs w:val="22"/>
          <w:lang w:val="en-ZW"/>
        </w:rPr>
        <w:t>CRPC, and its affiliate California Resources Pipeline Company, have the right to have their claim of public utility status adjudicated in a timely fashion, and request that the Commission take action to resolve the pending threshold questions.</w:t>
      </w:r>
      <w:r w:rsidR="001F4C55" w:rsidRPr="004C13AA">
        <w:rPr>
          <w:szCs w:val="22"/>
          <w:lang w:val="en-ZW"/>
        </w:rPr>
        <w:t>”</w:t>
      </w:r>
      <w:r w:rsidR="004C13AA" w:rsidRPr="004C13AA">
        <w:rPr>
          <w:szCs w:val="22"/>
          <w:lang w:val="en-ZW"/>
        </w:rPr>
        <w:t xml:space="preserve"> </w:t>
      </w:r>
      <w:r w:rsidR="001F4C55" w:rsidRPr="00FE64F5">
        <w:rPr>
          <w:szCs w:val="22"/>
        </w:rPr>
        <w:t>CRPC October 10, 2025 Supplemental Response</w:t>
      </w:r>
      <w:r w:rsidR="004C13AA">
        <w:rPr>
          <w:szCs w:val="22"/>
        </w:rPr>
        <w:t xml:space="preserve"> at 8.</w:t>
      </w:r>
      <w:r w:rsidR="00A47CCB">
        <w:rPr>
          <w:szCs w:val="22"/>
        </w:rPr>
        <w:t xml:space="preserve"> We do so in this decision.</w:t>
      </w:r>
    </w:p>
  </w:footnote>
  <w:footnote w:id="71">
    <w:p w14:paraId="6DA713A4" w14:textId="59873863" w:rsidR="00E42B7C" w:rsidRPr="006E3F0F" w:rsidRDefault="00E42B7C" w:rsidP="006E3F0F">
      <w:pPr>
        <w:spacing w:line="240" w:lineRule="auto"/>
        <w:ind w:firstLine="0"/>
        <w:rPr>
          <w:sz w:val="22"/>
          <w:lang w:val="en-ZW"/>
        </w:rPr>
      </w:pPr>
      <w:r>
        <w:rPr>
          <w:rStyle w:val="FootnoteReference"/>
        </w:rPr>
        <w:footnoteRef/>
      </w:r>
      <w:r>
        <w:t xml:space="preserve"> </w:t>
      </w:r>
      <w:r w:rsidRPr="006E3F0F">
        <w:rPr>
          <w:rFonts w:eastAsia="Calibri" w:cs="Times New Roman"/>
          <w:sz w:val="22"/>
          <w:lang w:val="en-ZW"/>
        </w:rPr>
        <w:t>Where a CPCN application requests authority for a purely hypothetical activity</w:t>
      </w:r>
      <w:r w:rsidRPr="006E3F0F">
        <w:rPr>
          <w:rFonts w:eastAsia="Calibri" w:cs="Times New Roman"/>
          <w:sz w:val="22"/>
        </w:rPr>
        <w:t xml:space="preserve">, the Commission </w:t>
      </w:r>
      <w:r w:rsidR="00B94943">
        <w:rPr>
          <w:rFonts w:eastAsia="Calibri" w:cs="Times New Roman"/>
          <w:sz w:val="22"/>
        </w:rPr>
        <w:t>will not</w:t>
      </w:r>
      <w:r w:rsidR="00B94943" w:rsidRPr="006E3F0F">
        <w:rPr>
          <w:rFonts w:eastAsia="Calibri" w:cs="Times New Roman"/>
          <w:sz w:val="22"/>
        </w:rPr>
        <w:t xml:space="preserve"> </w:t>
      </w:r>
      <w:r w:rsidRPr="006E3F0F">
        <w:rPr>
          <w:rFonts w:eastAsia="Calibri" w:cs="Times New Roman"/>
          <w:sz w:val="22"/>
        </w:rPr>
        <w:t>issu</w:t>
      </w:r>
      <w:r w:rsidR="00B94943">
        <w:rPr>
          <w:rFonts w:eastAsia="Calibri" w:cs="Times New Roman"/>
          <w:sz w:val="22"/>
        </w:rPr>
        <w:t>e</w:t>
      </w:r>
      <w:r w:rsidRPr="006E3F0F">
        <w:rPr>
          <w:rFonts w:eastAsia="Calibri" w:cs="Times New Roman"/>
          <w:sz w:val="22"/>
        </w:rPr>
        <w:t xml:space="preserve"> a prohibited “advisory opinion.” </w:t>
      </w:r>
      <w:r w:rsidRPr="006E3F0F">
        <w:rPr>
          <w:rFonts w:eastAsia="Calibri" w:cs="Times New Roman"/>
          <w:i/>
          <w:iCs/>
          <w:sz w:val="22"/>
        </w:rPr>
        <w:t>See</w:t>
      </w:r>
      <w:r w:rsidR="004C1472">
        <w:rPr>
          <w:rFonts w:eastAsia="Calibri" w:cs="Times New Roman"/>
          <w:i/>
          <w:iCs/>
          <w:sz w:val="22"/>
        </w:rPr>
        <w:t>, e.g.,</w:t>
      </w:r>
      <w:r w:rsidRPr="006E3F0F">
        <w:rPr>
          <w:rFonts w:eastAsia="Calibri" w:cs="Times New Roman"/>
          <w:i/>
          <w:iCs/>
          <w:sz w:val="22"/>
        </w:rPr>
        <w:t xml:space="preserve"> Application of Women’s Energy, Inc., </w:t>
      </w:r>
      <w:r w:rsidRPr="006E3F0F">
        <w:rPr>
          <w:rFonts w:eastAsia="Calibri" w:cs="Times New Roman"/>
          <w:sz w:val="22"/>
        </w:rPr>
        <w:t>75 CPUC</w:t>
      </w:r>
      <w:r w:rsidR="008C3EE3" w:rsidRPr="006E3F0F">
        <w:rPr>
          <w:rFonts w:eastAsia="Calibri" w:cs="Times New Roman"/>
          <w:sz w:val="22"/>
        </w:rPr>
        <w:t xml:space="preserve"> </w:t>
      </w:r>
      <w:r w:rsidRPr="006E3F0F">
        <w:rPr>
          <w:rFonts w:eastAsia="Calibri" w:cs="Times New Roman"/>
          <w:sz w:val="22"/>
        </w:rPr>
        <w:t xml:space="preserve">2d 624 (1997) </w:t>
      </w:r>
      <w:r w:rsidRPr="006E3F0F">
        <w:rPr>
          <w:rFonts w:eastAsia="Calibri" w:cs="Times New Roman"/>
          <w:i/>
          <w:iCs/>
          <w:sz w:val="22"/>
        </w:rPr>
        <w:t xml:space="preserve">(citing Re California-American Water Co., </w:t>
      </w:r>
      <w:r w:rsidRPr="006E3F0F">
        <w:rPr>
          <w:rFonts w:eastAsia="Calibri" w:cs="Times New Roman"/>
          <w:sz w:val="22"/>
        </w:rPr>
        <w:t>58 CPUC</w:t>
      </w:r>
      <w:r w:rsidR="008C3EE3" w:rsidRPr="006E3F0F">
        <w:rPr>
          <w:rFonts w:eastAsia="Calibri" w:cs="Times New Roman"/>
          <w:sz w:val="22"/>
        </w:rPr>
        <w:t xml:space="preserve"> </w:t>
      </w:r>
      <w:r w:rsidRPr="006E3F0F">
        <w:rPr>
          <w:rFonts w:eastAsia="Calibri" w:cs="Times New Roman"/>
          <w:sz w:val="22"/>
        </w:rPr>
        <w:t xml:space="preserve">2d 470 (1975). </w:t>
      </w:r>
    </w:p>
  </w:footnote>
  <w:footnote w:id="72">
    <w:p w14:paraId="5088D81B" w14:textId="60EE4578" w:rsidR="00545A64" w:rsidRPr="00476F9D" w:rsidRDefault="00545A64" w:rsidP="00545A64">
      <w:pPr>
        <w:pStyle w:val="FootnoteText"/>
        <w:rPr>
          <w:lang w:val="en-ZW"/>
        </w:rPr>
      </w:pPr>
      <w:r>
        <w:rPr>
          <w:rStyle w:val="FootnoteReference"/>
        </w:rPr>
        <w:footnoteRef/>
      </w:r>
      <w:r>
        <w:t xml:space="preserve"> A proposed amendment presenting a </w:t>
      </w:r>
      <w:r w:rsidRPr="00433F0C">
        <w:rPr>
          <w:i/>
        </w:rPr>
        <w:t>substantive</w:t>
      </w:r>
      <w:r>
        <w:t xml:space="preserve"> change to an application is prohibited after issuance of a scoping memo</w:t>
      </w:r>
      <w:r w:rsidR="005F5288">
        <w:t>,</w:t>
      </w:r>
      <w:r>
        <w:t xml:space="preserve"> pursuant to Rule 1.12.</w:t>
      </w:r>
    </w:p>
  </w:footnote>
  <w:footnote w:id="73">
    <w:p w14:paraId="587A9439" w14:textId="6605B8A7" w:rsidR="004E7333" w:rsidRPr="00FE64F5" w:rsidRDefault="004E7333">
      <w:pPr>
        <w:pStyle w:val="FootnoteText"/>
        <w:rPr>
          <w:szCs w:val="22"/>
          <w:lang w:val="en-ZW"/>
        </w:rPr>
      </w:pPr>
      <w:r w:rsidRPr="00E50AF3">
        <w:rPr>
          <w:rStyle w:val="FootnoteReference"/>
          <w:szCs w:val="22"/>
        </w:rPr>
        <w:footnoteRef/>
      </w:r>
      <w:r w:rsidRPr="00E50AF3">
        <w:rPr>
          <w:szCs w:val="22"/>
        </w:rPr>
        <w:t xml:space="preserve"> </w:t>
      </w:r>
      <w:r w:rsidR="00250AFB" w:rsidRPr="00FE64F5">
        <w:rPr>
          <w:i/>
          <w:iCs/>
          <w:szCs w:val="22"/>
        </w:rPr>
        <w:t>See</w:t>
      </w:r>
      <w:r w:rsidR="00250AFB" w:rsidRPr="00E50AF3">
        <w:rPr>
          <w:szCs w:val="22"/>
        </w:rPr>
        <w:t xml:space="preserve"> </w:t>
      </w:r>
      <w:r w:rsidR="00250AFB" w:rsidRPr="00FE64F5">
        <w:rPr>
          <w:rFonts w:eastAsia="Aptos" w:cs="Times New Roman"/>
          <w:kern w:val="2"/>
          <w:szCs w:val="22"/>
          <w14:ligatures w14:val="standardContextual"/>
        </w:rPr>
        <w:t xml:space="preserve">CRPC October 10, 2025 Supplemental Response at </w:t>
      </w:r>
      <w:r w:rsidR="007B5518" w:rsidRPr="00FE64F5">
        <w:rPr>
          <w:rFonts w:eastAsia="Aptos" w:cs="Times New Roman"/>
          <w:kern w:val="2"/>
          <w:szCs w:val="22"/>
          <w14:ligatures w14:val="standardContextual"/>
        </w:rPr>
        <w:t>6.</w:t>
      </w:r>
    </w:p>
  </w:footnote>
  <w:footnote w:id="74">
    <w:p w14:paraId="06D26F29" w14:textId="6BC6058B" w:rsidR="00557ACE" w:rsidRPr="006C10E5" w:rsidRDefault="00557ACE">
      <w:pPr>
        <w:pStyle w:val="FootnoteText"/>
        <w:rPr>
          <w:lang w:val="en-ZW"/>
        </w:rPr>
      </w:pPr>
      <w:r>
        <w:rPr>
          <w:rStyle w:val="FootnoteReference"/>
        </w:rPr>
        <w:footnoteRef/>
      </w:r>
      <w:r>
        <w:t xml:space="preserve"> </w:t>
      </w:r>
      <w:r>
        <w:rPr>
          <w:lang w:val="en-ZW"/>
        </w:rPr>
        <w:t>CRPC Motion to Reopen the Record at 3.</w:t>
      </w:r>
    </w:p>
  </w:footnote>
  <w:footnote w:id="75">
    <w:p w14:paraId="6FFDE335" w14:textId="34C2CB78" w:rsidR="008F104F" w:rsidRPr="006C10E5" w:rsidRDefault="008F104F">
      <w:pPr>
        <w:pStyle w:val="FootnoteText"/>
        <w:rPr>
          <w:lang w:val="en-ZW"/>
        </w:rPr>
      </w:pPr>
      <w:r>
        <w:rPr>
          <w:rStyle w:val="FootnoteReference"/>
        </w:rPr>
        <w:footnoteRef/>
      </w:r>
      <w:r>
        <w:t xml:space="preserve"> </w:t>
      </w:r>
      <w:r w:rsidRPr="004B4ECD">
        <w:t xml:space="preserve">CRPC states that the proposed document was not previously adduced because the City of Antioch provided a copy to CRPC on </w:t>
      </w:r>
      <w:r w:rsidRPr="004403E6">
        <w:t>a</w:t>
      </w:r>
      <w:r w:rsidR="0064582E">
        <w:t xml:space="preserve"> </w:t>
      </w:r>
      <w:r w:rsidRPr="004403E6">
        <w:t xml:space="preserve">date after the </w:t>
      </w:r>
      <w:r w:rsidR="00EB7626">
        <w:t xml:space="preserve">proceeding </w:t>
      </w:r>
      <w:r w:rsidRPr="004403E6">
        <w:t xml:space="preserve">submission date of </w:t>
      </w:r>
      <w:r w:rsidRPr="004B4ECD">
        <w:t xml:space="preserve">October 10, 2025, </w:t>
      </w:r>
      <w:r w:rsidRPr="004403E6">
        <w:t xml:space="preserve">when </w:t>
      </w:r>
      <w:r w:rsidRPr="004B4ECD">
        <w:t>CRPC and the Cities filed their updated supplemental responses to the ALJ’s ruling regarding the Pipeline Litigation and pending administrative proceedings.</w:t>
      </w:r>
    </w:p>
  </w:footnote>
  <w:footnote w:id="76">
    <w:p w14:paraId="2B161A74" w14:textId="77777777" w:rsidR="00E90041" w:rsidRPr="004403E6" w:rsidRDefault="00E90041" w:rsidP="00E90041">
      <w:pPr>
        <w:pStyle w:val="FootnoteText"/>
        <w:rPr>
          <w:lang w:val="en-ZW"/>
        </w:rPr>
      </w:pPr>
      <w:r>
        <w:rPr>
          <w:rStyle w:val="FootnoteReference"/>
        </w:rPr>
        <w:footnoteRef/>
      </w:r>
      <w:r>
        <w:t xml:space="preserve"> </w:t>
      </w:r>
      <w:r w:rsidRPr="004403E6">
        <w:rPr>
          <w:i/>
          <w:iCs/>
        </w:rPr>
        <w:t>See</w:t>
      </w:r>
      <w:r>
        <w:rPr>
          <w:i/>
          <w:iCs/>
        </w:rPr>
        <w:t xml:space="preserve">, e.g., </w:t>
      </w:r>
      <w:r w:rsidRPr="000F7EF0">
        <w:rPr>
          <w:i/>
          <w:iCs/>
        </w:rPr>
        <w:t>Betts v. City National Bank</w:t>
      </w:r>
      <w:r>
        <w:rPr>
          <w:i/>
          <w:iCs/>
        </w:rPr>
        <w:t xml:space="preserve">, </w:t>
      </w:r>
      <w:r w:rsidRPr="000F7EF0">
        <w:t xml:space="preserve">156 Cal.App.4th 222, 235-36 (2007) </w:t>
      </w:r>
      <w:r>
        <w:t>(</w:t>
      </w:r>
      <w:r w:rsidRPr="000F7EF0">
        <w:t>party not bound by allegations in a</w:t>
      </w:r>
      <w:r>
        <w:t xml:space="preserve"> </w:t>
      </w:r>
      <w:r w:rsidRPr="000F7EF0">
        <w:t xml:space="preserve">“proposed petition” because </w:t>
      </w:r>
      <w:r>
        <w:t>that</w:t>
      </w:r>
      <w:r w:rsidRPr="000F7EF0">
        <w:t xml:space="preserve"> “proposed petition was not a filed pleading constituting a</w:t>
      </w:r>
      <w:r>
        <w:t xml:space="preserve"> </w:t>
      </w:r>
      <w:r w:rsidRPr="000F7EF0">
        <w:t xml:space="preserve">complaint or an answer in this proceeding” but </w:t>
      </w:r>
      <w:r>
        <w:t xml:space="preserve">instead </w:t>
      </w:r>
      <w:r w:rsidRPr="000F7EF0">
        <w:t xml:space="preserve">was </w:t>
      </w:r>
      <w:r>
        <w:t>merely</w:t>
      </w:r>
      <w:r w:rsidRPr="000F7EF0">
        <w:t xml:space="preserve"> a petition that party “</w:t>
      </w:r>
      <w:r w:rsidRPr="000F7EF0">
        <w:rPr>
          <w:i/>
          <w:iCs/>
        </w:rPr>
        <w:t xml:space="preserve">proposed </w:t>
      </w:r>
      <w:r w:rsidRPr="000F7EF0">
        <w:t>to</w:t>
      </w:r>
      <w:r>
        <w:t xml:space="preserve"> </w:t>
      </w:r>
      <w:r w:rsidRPr="000F7EF0">
        <w:t>file”)</w:t>
      </w:r>
      <w:r>
        <w:t>.</w:t>
      </w:r>
    </w:p>
  </w:footnote>
  <w:footnote w:id="77">
    <w:p w14:paraId="26D8C65A" w14:textId="77777777" w:rsidR="008A655D" w:rsidRPr="0009542A" w:rsidRDefault="008A655D" w:rsidP="008A655D">
      <w:pPr>
        <w:pStyle w:val="FootnoteText"/>
        <w:rPr>
          <w:lang w:val="en-ZW"/>
        </w:rPr>
      </w:pPr>
      <w:r>
        <w:rPr>
          <w:rStyle w:val="FootnoteReference"/>
        </w:rPr>
        <w:footnoteRef/>
      </w:r>
      <w:r>
        <w:t xml:space="preserve"> </w:t>
      </w:r>
      <w:r w:rsidRPr="00F86304">
        <w:rPr>
          <w:i/>
          <w:iCs/>
        </w:rPr>
        <w:t>See</w:t>
      </w:r>
      <w:r>
        <w:t xml:space="preserve"> </w:t>
      </w:r>
      <w:r>
        <w:rPr>
          <w:lang w:val="en-ZW"/>
        </w:rPr>
        <w:t xml:space="preserve">CRPC Opening Comments at 4-7. </w:t>
      </w:r>
    </w:p>
  </w:footnote>
  <w:footnote w:id="78">
    <w:p w14:paraId="653E3B3E" w14:textId="77777777" w:rsidR="008A655D" w:rsidRPr="00CA7B17" w:rsidRDefault="008A655D" w:rsidP="008A655D">
      <w:pPr>
        <w:pStyle w:val="FootnoteText"/>
        <w:rPr>
          <w:lang w:val="en-ZW"/>
        </w:rPr>
      </w:pPr>
      <w:r>
        <w:rPr>
          <w:rStyle w:val="FootnoteReference"/>
        </w:rPr>
        <w:footnoteRef/>
      </w:r>
      <w:r>
        <w:t xml:space="preserve"> </w:t>
      </w:r>
      <w:r w:rsidRPr="003834C3">
        <w:rPr>
          <w:i/>
          <w:iCs/>
        </w:rPr>
        <w:t>See</w:t>
      </w:r>
      <w:r>
        <w:t xml:space="preserve"> </w:t>
      </w:r>
      <w:r>
        <w:rPr>
          <w:lang w:val="en-ZW"/>
        </w:rPr>
        <w:t xml:space="preserve">Cities Reply Comments at 2-4 and n.2 (citing Commission decisions </w:t>
      </w:r>
      <w:r w:rsidRPr="00175912">
        <w:rPr>
          <w:lang w:val="en-ZW"/>
        </w:rPr>
        <w:t>D.99-08-050</w:t>
      </w:r>
      <w:r>
        <w:rPr>
          <w:lang w:val="en-ZW"/>
        </w:rPr>
        <w:t xml:space="preserve"> and</w:t>
      </w:r>
      <w:r w:rsidRPr="00175912">
        <w:rPr>
          <w:lang w:val="en-ZW"/>
        </w:rPr>
        <w:t xml:space="preserve"> D.07-12-047</w:t>
      </w:r>
      <w:r>
        <w:rPr>
          <w:lang w:val="en-ZW"/>
        </w:rPr>
        <w:t>).</w:t>
      </w:r>
    </w:p>
  </w:footnote>
  <w:footnote w:id="79">
    <w:p w14:paraId="1F739D7B" w14:textId="77777777" w:rsidR="008A655D" w:rsidRPr="00140AD8" w:rsidRDefault="008A655D" w:rsidP="008A655D">
      <w:pPr>
        <w:pStyle w:val="FootnoteText"/>
        <w:rPr>
          <w:lang w:val="en-ZW"/>
        </w:rPr>
      </w:pPr>
      <w:r>
        <w:rPr>
          <w:rStyle w:val="FootnoteReference"/>
        </w:rPr>
        <w:footnoteRef/>
      </w:r>
      <w:r>
        <w:t xml:space="preserve"> </w:t>
      </w:r>
      <w:r>
        <w:rPr>
          <w:lang w:val="en-ZW"/>
        </w:rPr>
        <w:t xml:space="preserve">Cities Reply Comments at 3 and n.4 (citing </w:t>
      </w:r>
      <w:r w:rsidRPr="003D1E2F">
        <w:rPr>
          <w:lang w:val="en-ZW"/>
        </w:rPr>
        <w:t>D.95-01-014</w:t>
      </w:r>
      <w:r>
        <w:rPr>
          <w:lang w:val="en-ZW"/>
        </w:rPr>
        <w:t xml:space="preserve">, where Commission </w:t>
      </w:r>
      <w:r w:rsidRPr="003D1E2F">
        <w:rPr>
          <w:lang w:val="en-ZW"/>
        </w:rPr>
        <w:t>declin</w:t>
      </w:r>
      <w:r>
        <w:rPr>
          <w:lang w:val="en-ZW"/>
        </w:rPr>
        <w:t>ed</w:t>
      </w:r>
      <w:r w:rsidRPr="003D1E2F">
        <w:rPr>
          <w:lang w:val="en-ZW"/>
        </w:rPr>
        <w:t xml:space="preserve"> to grant CPCN and holding proceeding in abeyance where applicant did</w:t>
      </w:r>
      <w:r>
        <w:rPr>
          <w:lang w:val="en-ZW"/>
        </w:rPr>
        <w:t xml:space="preserve"> </w:t>
      </w:r>
      <w:r w:rsidRPr="003D1E2F">
        <w:rPr>
          <w:lang w:val="en-ZW"/>
        </w:rPr>
        <w:t>not own facility and it was unclear whether applicant would be able to purchase facility</w:t>
      </w:r>
      <w:r>
        <w:rPr>
          <w:lang w:val="en-ZW"/>
        </w:rPr>
        <w:t>;</w:t>
      </w:r>
      <w:r w:rsidRPr="003D1E2F">
        <w:rPr>
          <w:lang w:val="en-ZW"/>
        </w:rPr>
        <w:t xml:space="preserve"> decision</w:t>
      </w:r>
      <w:r>
        <w:rPr>
          <w:lang w:val="en-ZW"/>
        </w:rPr>
        <w:t xml:space="preserve"> </w:t>
      </w:r>
      <w:r w:rsidRPr="003D1E2F">
        <w:rPr>
          <w:lang w:val="en-ZW"/>
        </w:rPr>
        <w:t xml:space="preserve">subsequently vacated as moot following applicant’s withdrawal of </w:t>
      </w:r>
      <w:r>
        <w:rPr>
          <w:lang w:val="en-ZW"/>
        </w:rPr>
        <w:t>a</w:t>
      </w:r>
      <w:r w:rsidRPr="003D1E2F">
        <w:rPr>
          <w:lang w:val="en-ZW"/>
        </w:rPr>
        <w:t>pplication</w:t>
      </w:r>
      <w:r>
        <w:rPr>
          <w:lang w:val="en-ZW"/>
        </w:rPr>
        <w:t>).</w:t>
      </w:r>
    </w:p>
  </w:footnote>
  <w:footnote w:id="80">
    <w:p w14:paraId="316D3700" w14:textId="77777777" w:rsidR="008A655D" w:rsidRPr="003F6984" w:rsidRDefault="008A655D" w:rsidP="008A655D">
      <w:pPr>
        <w:pStyle w:val="FootnoteText"/>
        <w:rPr>
          <w:lang w:val="en-ZW"/>
        </w:rPr>
      </w:pPr>
      <w:r>
        <w:rPr>
          <w:rStyle w:val="FootnoteReference"/>
        </w:rPr>
        <w:footnoteRef/>
      </w:r>
      <w:r>
        <w:t xml:space="preserve"> </w:t>
      </w:r>
      <w:r w:rsidRPr="00F86304">
        <w:rPr>
          <w:i/>
          <w:iCs/>
        </w:rPr>
        <w:t>See</w:t>
      </w:r>
      <w:r>
        <w:t xml:space="preserve"> </w:t>
      </w:r>
      <w:r>
        <w:rPr>
          <w:lang w:val="en-ZW"/>
        </w:rPr>
        <w:t>CRPC Opening Comments at 7-8.</w:t>
      </w:r>
    </w:p>
  </w:footnote>
  <w:footnote w:id="81">
    <w:p w14:paraId="45E3C122" w14:textId="77777777" w:rsidR="008A655D" w:rsidRPr="00EC4155" w:rsidRDefault="008A655D" w:rsidP="008A655D">
      <w:pPr>
        <w:pStyle w:val="FootnoteText"/>
        <w:rPr>
          <w:lang w:val="en-ZW"/>
        </w:rPr>
      </w:pPr>
      <w:r>
        <w:rPr>
          <w:rStyle w:val="FootnoteReference"/>
        </w:rPr>
        <w:footnoteRef/>
      </w:r>
      <w:r>
        <w:t xml:space="preserve"> </w:t>
      </w:r>
      <w:r w:rsidRPr="00F86304">
        <w:rPr>
          <w:i/>
          <w:iCs/>
          <w:lang w:val="en-ZW"/>
        </w:rPr>
        <w:t>See</w:t>
      </w:r>
      <w:r>
        <w:rPr>
          <w:lang w:val="en-ZW"/>
        </w:rPr>
        <w:t xml:space="preserve"> CRPC Opening Comments at 8.</w:t>
      </w:r>
    </w:p>
  </w:footnote>
  <w:footnote w:id="82">
    <w:p w14:paraId="4D750FCA" w14:textId="77777777" w:rsidR="008A655D" w:rsidRPr="00B13FFB" w:rsidRDefault="008A655D" w:rsidP="008A655D">
      <w:pPr>
        <w:pStyle w:val="FootnoteText"/>
        <w:rPr>
          <w:lang w:val="en-ZW"/>
        </w:rPr>
      </w:pPr>
      <w:r>
        <w:rPr>
          <w:rStyle w:val="FootnoteReference"/>
        </w:rPr>
        <w:footnoteRef/>
      </w:r>
      <w:r>
        <w:t xml:space="preserve"> </w:t>
      </w:r>
      <w:r w:rsidRPr="00B13FFB">
        <w:rPr>
          <w:i/>
          <w:iCs/>
          <w:lang w:val="en-ZW"/>
        </w:rPr>
        <w:t>See</w:t>
      </w:r>
      <w:r>
        <w:rPr>
          <w:lang w:val="en-ZW"/>
        </w:rPr>
        <w:t xml:space="preserve"> Indicated Shipper’s Opening Comments at 5. Indicated Shippers Opening Comments was filed on behalf of t</w:t>
      </w:r>
      <w:r w:rsidRPr="004300F6">
        <w:t>he</w:t>
      </w:r>
      <w:r>
        <w:t xml:space="preserve"> </w:t>
      </w:r>
      <w:r w:rsidRPr="004300F6">
        <w:t xml:space="preserve">natural gas non-core customer interests of the following companies in this proceeding: Chevron U.S.A. Inc., Marathon Petroleum Company LP, and PBF Holding Company. </w:t>
      </w:r>
      <w:r>
        <w:rPr>
          <w:lang w:val="en-ZW"/>
        </w:rPr>
        <w:t xml:space="preserve">Indicated Shipper’s Opening Comments at 1 n.1. </w:t>
      </w:r>
      <w:r w:rsidRPr="004300F6">
        <w:t xml:space="preserve"> </w:t>
      </w:r>
    </w:p>
  </w:footnote>
  <w:footnote w:id="83">
    <w:p w14:paraId="1EEB9B71" w14:textId="77777777" w:rsidR="008A655D" w:rsidRPr="00DE36A5" w:rsidRDefault="008A655D" w:rsidP="008A655D">
      <w:pPr>
        <w:pStyle w:val="FootnoteText"/>
        <w:rPr>
          <w:lang w:val="en-ZW"/>
        </w:rPr>
      </w:pPr>
      <w:r>
        <w:rPr>
          <w:rStyle w:val="FootnoteReference"/>
        </w:rPr>
        <w:footnoteRef/>
      </w:r>
      <w:r>
        <w:t xml:space="preserve"> </w:t>
      </w:r>
      <w:r w:rsidRPr="00B13FFB">
        <w:rPr>
          <w:i/>
          <w:iCs/>
          <w:lang w:val="en-ZW"/>
        </w:rPr>
        <w:t>See</w:t>
      </w:r>
      <w:r>
        <w:rPr>
          <w:lang w:val="en-ZW"/>
        </w:rPr>
        <w:t xml:space="preserve"> Indicated Shipper’s Opening Comments at 4-5 (emphasis added); CRPC Reply Comments at 3-4.</w:t>
      </w:r>
    </w:p>
  </w:footnote>
  <w:footnote w:id="84">
    <w:p w14:paraId="4FB6F679" w14:textId="77777777" w:rsidR="008A655D" w:rsidRPr="004C1625" w:rsidRDefault="008A655D" w:rsidP="008A655D">
      <w:pPr>
        <w:pStyle w:val="FootnoteText"/>
        <w:rPr>
          <w:lang w:val="en-ZW"/>
        </w:rPr>
      </w:pPr>
      <w:r>
        <w:rPr>
          <w:rStyle w:val="FootnoteReference"/>
        </w:rPr>
        <w:footnoteRef/>
      </w:r>
      <w:r>
        <w:t xml:space="preserve"> </w:t>
      </w:r>
      <w:r w:rsidRPr="00B13FFB">
        <w:rPr>
          <w:i/>
          <w:iCs/>
          <w:lang w:val="en-ZW"/>
        </w:rPr>
        <w:t>See</w:t>
      </w:r>
      <w:r>
        <w:rPr>
          <w:lang w:val="en-ZW"/>
        </w:rPr>
        <w:t xml:space="preserve"> Indicated Shipper’s Opening Comments at 8-9</w:t>
      </w:r>
    </w:p>
  </w:footnote>
  <w:footnote w:id="85">
    <w:p w14:paraId="391A512E" w14:textId="77777777" w:rsidR="008A655D" w:rsidRPr="00281B00" w:rsidRDefault="008A655D" w:rsidP="008A655D">
      <w:pPr>
        <w:pStyle w:val="FootnoteText"/>
        <w:rPr>
          <w:lang w:val="en-ZW"/>
        </w:rPr>
      </w:pPr>
      <w:r>
        <w:rPr>
          <w:rStyle w:val="FootnoteReference"/>
        </w:rPr>
        <w:footnoteRef/>
      </w:r>
      <w:r>
        <w:t xml:space="preserve"> </w:t>
      </w:r>
      <w:r w:rsidRPr="00B13FFB">
        <w:rPr>
          <w:i/>
          <w:iCs/>
          <w:lang w:val="en-ZW"/>
        </w:rPr>
        <w:t>See</w:t>
      </w:r>
      <w:r>
        <w:rPr>
          <w:lang w:val="en-ZW"/>
        </w:rPr>
        <w:t xml:space="preserve"> Indicated Shipper’s Opening Comments at 8-9 and n. 36 (citing Proposed Decision at 20, Conclusion of Law 1).</w:t>
      </w:r>
    </w:p>
  </w:footnote>
  <w:footnote w:id="86">
    <w:p w14:paraId="41A927A7" w14:textId="77777777" w:rsidR="008A655D" w:rsidRPr="00FD3527" w:rsidRDefault="008A655D" w:rsidP="008A655D">
      <w:pPr>
        <w:pStyle w:val="FootnoteText"/>
        <w:rPr>
          <w:lang w:val="en-ZW"/>
        </w:rPr>
      </w:pPr>
      <w:r>
        <w:rPr>
          <w:rStyle w:val="FootnoteReference"/>
        </w:rPr>
        <w:footnoteRef/>
      </w:r>
      <w:r>
        <w:t xml:space="preserve"> </w:t>
      </w:r>
      <w:r w:rsidRPr="00B13FFB">
        <w:rPr>
          <w:i/>
          <w:iCs/>
          <w:lang w:val="en-ZW"/>
        </w:rPr>
        <w:t>See</w:t>
      </w:r>
      <w:r>
        <w:rPr>
          <w:lang w:val="en-ZW"/>
        </w:rPr>
        <w:t xml:space="preserve"> Indicated Shipper’s Opening Comments at 8-9 (“</w:t>
      </w:r>
      <w:r w:rsidRPr="008D658B">
        <w:rPr>
          <w:lang w:val="en-ZW"/>
        </w:rPr>
        <w:t>CRPC remains</w:t>
      </w:r>
      <w:r>
        <w:rPr>
          <w:lang w:val="en-ZW"/>
        </w:rPr>
        <w:t xml:space="preserve"> </w:t>
      </w:r>
      <w:r w:rsidRPr="008D658B">
        <w:rPr>
          <w:lang w:val="en-ZW"/>
        </w:rPr>
        <w:t xml:space="preserve">the </w:t>
      </w:r>
      <w:r w:rsidRPr="008D658B">
        <w:rPr>
          <w:i/>
          <w:iCs/>
          <w:lang w:val="en-ZW"/>
        </w:rPr>
        <w:t>owner</w:t>
      </w:r>
      <w:r w:rsidRPr="008D658B">
        <w:rPr>
          <w:lang w:val="en-ZW"/>
        </w:rPr>
        <w:t xml:space="preserve"> of the UI Pipeline and is vigorously defending its </w:t>
      </w:r>
      <w:r w:rsidRPr="008D658B">
        <w:rPr>
          <w:i/>
          <w:iCs/>
          <w:lang w:val="en-ZW"/>
        </w:rPr>
        <w:t>ownership</w:t>
      </w:r>
      <w:r w:rsidRPr="008D658B">
        <w:rPr>
          <w:lang w:val="en-ZW"/>
        </w:rPr>
        <w:t>, not abandoning it; CRPC</w:t>
      </w:r>
      <w:r>
        <w:rPr>
          <w:lang w:val="en-ZW"/>
        </w:rPr>
        <w:t xml:space="preserve"> </w:t>
      </w:r>
      <w:r w:rsidRPr="008D658B">
        <w:rPr>
          <w:lang w:val="en-ZW"/>
        </w:rPr>
        <w:t>has expressly dedicated the pipeline to public use</w:t>
      </w:r>
      <w:r>
        <w:rPr>
          <w:lang w:val="en-ZW"/>
        </w:rPr>
        <w:t>.”) (citation omitted).</w:t>
      </w:r>
    </w:p>
  </w:footnote>
  <w:footnote w:id="87">
    <w:p w14:paraId="1163189F" w14:textId="0C94BDB1" w:rsidR="008A655D" w:rsidRPr="0052761C" w:rsidRDefault="008A655D" w:rsidP="008A655D">
      <w:pPr>
        <w:pStyle w:val="FootnoteText"/>
        <w:rPr>
          <w:lang w:val="en-ZW"/>
        </w:rPr>
      </w:pPr>
      <w:r>
        <w:rPr>
          <w:rStyle w:val="FootnoteReference"/>
        </w:rPr>
        <w:footnoteRef/>
      </w:r>
      <w:r>
        <w:t xml:space="preserve"> </w:t>
      </w:r>
      <w:r>
        <w:rPr>
          <w:lang w:val="en-ZW"/>
        </w:rPr>
        <w:t>Cities Reply Comments at 3</w:t>
      </w:r>
      <w:r w:rsidR="0023360C">
        <w:rPr>
          <w:lang w:val="en-ZW"/>
        </w:rPr>
        <w:t xml:space="preserve"> (emphasis added)</w:t>
      </w:r>
      <w:r>
        <w:rPr>
          <w:lang w:val="en-ZW"/>
        </w:rPr>
        <w:t>.</w:t>
      </w:r>
    </w:p>
  </w:footnote>
  <w:footnote w:id="88">
    <w:p w14:paraId="1E37F2D0" w14:textId="21CE7105" w:rsidR="008A655D" w:rsidRPr="00745DBC" w:rsidRDefault="008A655D" w:rsidP="008A655D">
      <w:pPr>
        <w:pStyle w:val="FootnoteText"/>
        <w:rPr>
          <w:lang w:val="en-ZW"/>
        </w:rPr>
      </w:pPr>
      <w:r>
        <w:rPr>
          <w:rStyle w:val="FootnoteReference"/>
        </w:rPr>
        <w:footnoteRef/>
      </w:r>
      <w:r>
        <w:t xml:space="preserve"> </w:t>
      </w:r>
      <w:r>
        <w:rPr>
          <w:lang w:val="en-ZW"/>
        </w:rPr>
        <w:t>Cities Reply Comments at 4.</w:t>
      </w:r>
    </w:p>
  </w:footnote>
  <w:footnote w:id="89">
    <w:p w14:paraId="636AD89F" w14:textId="77777777" w:rsidR="008A655D" w:rsidRPr="006069F2" w:rsidRDefault="008A655D" w:rsidP="008A655D">
      <w:pPr>
        <w:pStyle w:val="FootnoteText"/>
        <w:rPr>
          <w:lang w:val="en-ZW"/>
        </w:rPr>
      </w:pPr>
      <w:r>
        <w:rPr>
          <w:rStyle w:val="FootnoteReference"/>
        </w:rPr>
        <w:footnoteRef/>
      </w:r>
      <w:r>
        <w:t xml:space="preserve"> </w:t>
      </w:r>
      <w:r>
        <w:rPr>
          <w:lang w:val="en-ZW"/>
        </w:rPr>
        <w:t>Cities Reply Comments at 4-5.</w:t>
      </w:r>
    </w:p>
  </w:footnote>
  <w:footnote w:id="90">
    <w:p w14:paraId="15053B68" w14:textId="77777777" w:rsidR="008A655D" w:rsidRPr="006438AF" w:rsidRDefault="008A655D" w:rsidP="008A655D">
      <w:pPr>
        <w:pStyle w:val="FootnoteText"/>
        <w:rPr>
          <w:lang w:val="en-ZW"/>
        </w:rPr>
      </w:pPr>
      <w:r>
        <w:rPr>
          <w:rStyle w:val="FootnoteReference"/>
        </w:rPr>
        <w:footnoteRef/>
      </w:r>
      <w:r>
        <w:t xml:space="preserve"> </w:t>
      </w:r>
      <w:r>
        <w:rPr>
          <w:lang w:val="en-ZW"/>
        </w:rPr>
        <w:t xml:space="preserve">Cities Reply Comments at 5. </w:t>
      </w:r>
    </w:p>
  </w:footnote>
  <w:footnote w:id="91">
    <w:p w14:paraId="04C4D0FD" w14:textId="77777777" w:rsidR="008A655D" w:rsidRPr="003E34F2" w:rsidRDefault="008A655D" w:rsidP="008A655D">
      <w:pPr>
        <w:pStyle w:val="FootnoteText"/>
        <w:rPr>
          <w:lang w:val="en-ZW"/>
        </w:rPr>
      </w:pPr>
      <w:r>
        <w:rPr>
          <w:rStyle w:val="FootnoteReference"/>
        </w:rPr>
        <w:footnoteRef/>
      </w:r>
      <w:r>
        <w:t xml:space="preserve"> </w:t>
      </w:r>
      <w:r w:rsidRPr="00F86304">
        <w:rPr>
          <w:i/>
          <w:iCs/>
          <w:lang w:val="en-ZW"/>
        </w:rPr>
        <w:t>See</w:t>
      </w:r>
      <w:r>
        <w:rPr>
          <w:lang w:val="en-ZW"/>
        </w:rPr>
        <w:t xml:space="preserve"> CRPC Opening Comments at 8-11.</w:t>
      </w:r>
    </w:p>
  </w:footnote>
  <w:footnote w:id="92">
    <w:p w14:paraId="0D9222F9" w14:textId="77777777" w:rsidR="008A655D" w:rsidRPr="000C5AFF" w:rsidRDefault="008A655D" w:rsidP="008A655D">
      <w:pPr>
        <w:pStyle w:val="FootnoteText"/>
        <w:rPr>
          <w:lang w:val="en-ZW"/>
        </w:rPr>
      </w:pPr>
      <w:r>
        <w:rPr>
          <w:rStyle w:val="FootnoteReference"/>
        </w:rPr>
        <w:footnoteRef/>
      </w:r>
      <w:r>
        <w:t xml:space="preserve"> </w:t>
      </w:r>
      <w:r w:rsidRPr="00EC7CBA">
        <w:rPr>
          <w:i/>
          <w:iCs/>
        </w:rPr>
        <w:t>See</w:t>
      </w:r>
      <w:r>
        <w:t xml:space="preserve"> </w:t>
      </w:r>
      <w:r>
        <w:rPr>
          <w:lang w:val="en-ZW"/>
        </w:rPr>
        <w:t>Cities Reply Comments at 3-4.</w:t>
      </w:r>
    </w:p>
  </w:footnote>
  <w:footnote w:id="93">
    <w:p w14:paraId="3A54729D" w14:textId="77777777" w:rsidR="008A655D" w:rsidRPr="009D40BB" w:rsidRDefault="008A655D" w:rsidP="008A655D">
      <w:pPr>
        <w:pStyle w:val="FootnoteText"/>
        <w:rPr>
          <w:lang w:val="en-ZW"/>
        </w:rPr>
      </w:pPr>
      <w:r>
        <w:rPr>
          <w:rStyle w:val="FootnoteReference"/>
        </w:rPr>
        <w:footnoteRef/>
      </w:r>
      <w:r>
        <w:t xml:space="preserve"> </w:t>
      </w:r>
      <w:r w:rsidRPr="00EC7CBA">
        <w:rPr>
          <w:i/>
          <w:iCs/>
          <w:lang w:val="en-ZW"/>
        </w:rPr>
        <w:t>See</w:t>
      </w:r>
      <w:r>
        <w:rPr>
          <w:lang w:val="en-ZW"/>
        </w:rPr>
        <w:t xml:space="preserve"> CRPC Opening Comments at 11-12.</w:t>
      </w:r>
    </w:p>
  </w:footnote>
  <w:footnote w:id="94">
    <w:p w14:paraId="54BDC7CD" w14:textId="77777777" w:rsidR="008A655D" w:rsidRPr="00D10E7F" w:rsidRDefault="008A655D" w:rsidP="008A655D">
      <w:pPr>
        <w:pStyle w:val="FootnoteText"/>
        <w:rPr>
          <w:lang w:val="en-ZW"/>
        </w:rPr>
      </w:pPr>
      <w:r>
        <w:rPr>
          <w:rStyle w:val="FootnoteReference"/>
        </w:rPr>
        <w:footnoteRef/>
      </w:r>
      <w:r>
        <w:t xml:space="preserve"> </w:t>
      </w:r>
      <w:r w:rsidRPr="00942522">
        <w:rPr>
          <w:i/>
          <w:iCs/>
        </w:rPr>
        <w:t>The Utility Reform Network v. Public Utilities Com.</w:t>
      </w:r>
      <w:r w:rsidRPr="00942522">
        <w:t xml:space="preserve"> (2014) 223 Cal.App.4th 945, 959</w:t>
      </w:r>
      <w:r>
        <w:t xml:space="preserve"> (emphasis added).</w:t>
      </w:r>
      <w:r w:rsidRPr="00942522">
        <w:t xml:space="preserve"> </w:t>
      </w:r>
      <w:r>
        <w:rPr>
          <w:lang w:val="en-ZW"/>
        </w:rPr>
        <w:t>See CRPC Opening Comments at 12 and n. 48.</w:t>
      </w:r>
    </w:p>
  </w:footnote>
  <w:footnote w:id="95">
    <w:p w14:paraId="0FA6EA5A" w14:textId="77777777" w:rsidR="008A655D" w:rsidRPr="004F692D" w:rsidRDefault="008A655D" w:rsidP="008A655D">
      <w:pPr>
        <w:pStyle w:val="FootnoteText"/>
        <w:rPr>
          <w:lang w:val="en-ZW"/>
        </w:rPr>
      </w:pPr>
      <w:r>
        <w:rPr>
          <w:rStyle w:val="FootnoteReference"/>
        </w:rPr>
        <w:footnoteRef/>
      </w:r>
      <w:r>
        <w:t xml:space="preserve"> </w:t>
      </w:r>
      <w:r w:rsidRPr="00EC7CBA">
        <w:rPr>
          <w:i/>
          <w:iCs/>
          <w:lang w:val="en-ZW"/>
        </w:rPr>
        <w:t>See</w:t>
      </w:r>
      <w:r>
        <w:rPr>
          <w:lang w:val="en-ZW"/>
        </w:rPr>
        <w:t xml:space="preserve"> Cities Reply Comments at 6.</w:t>
      </w:r>
    </w:p>
  </w:footnote>
  <w:footnote w:id="96">
    <w:p w14:paraId="1179413C" w14:textId="77777777" w:rsidR="008A655D" w:rsidRPr="00E674F3" w:rsidRDefault="008A655D" w:rsidP="008A655D">
      <w:pPr>
        <w:pStyle w:val="FootnoteText"/>
        <w:rPr>
          <w:lang w:val="en-ZW"/>
        </w:rPr>
      </w:pPr>
      <w:r>
        <w:rPr>
          <w:rStyle w:val="FootnoteReference"/>
        </w:rPr>
        <w:footnoteRef/>
      </w:r>
      <w:r>
        <w:t xml:space="preserve"> </w:t>
      </w:r>
      <w:r>
        <w:rPr>
          <w:lang w:val="en-ZW"/>
        </w:rPr>
        <w:t xml:space="preserve">CRPC Opening Comments at 13. </w:t>
      </w:r>
      <w:r w:rsidRPr="00B01116">
        <w:rPr>
          <w:i/>
          <w:iCs/>
          <w:lang w:val="en-ZW"/>
        </w:rPr>
        <w:t>See also</w:t>
      </w:r>
      <w:r>
        <w:rPr>
          <w:lang w:val="en-ZW"/>
        </w:rPr>
        <w:t>, CRPC Reply Comments at 1-3.</w:t>
      </w:r>
    </w:p>
  </w:footnote>
  <w:footnote w:id="97">
    <w:p w14:paraId="73C859A9" w14:textId="77777777" w:rsidR="008A655D" w:rsidRPr="00DF4780" w:rsidRDefault="008A655D" w:rsidP="008A655D">
      <w:pPr>
        <w:pStyle w:val="FootnoteText"/>
        <w:rPr>
          <w:lang w:val="en-ZW"/>
        </w:rPr>
      </w:pPr>
      <w:r>
        <w:rPr>
          <w:rStyle w:val="FootnoteReference"/>
        </w:rPr>
        <w:footnoteRef/>
      </w:r>
      <w:r>
        <w:t xml:space="preserve"> </w:t>
      </w:r>
      <w:r>
        <w:rPr>
          <w:lang w:val="en-ZW"/>
        </w:rPr>
        <w:t>CRPC Opening Comments at 13.</w:t>
      </w:r>
    </w:p>
  </w:footnote>
  <w:footnote w:id="98">
    <w:p w14:paraId="68249171" w14:textId="77777777" w:rsidR="008A655D" w:rsidRPr="00E70B87" w:rsidRDefault="008A655D" w:rsidP="008A655D">
      <w:pPr>
        <w:pStyle w:val="FootnoteText"/>
        <w:rPr>
          <w:lang w:val="en-ZW"/>
        </w:rPr>
      </w:pPr>
      <w:r>
        <w:rPr>
          <w:rStyle w:val="FootnoteReference"/>
        </w:rPr>
        <w:footnoteRef/>
      </w:r>
      <w:r>
        <w:t xml:space="preserve"> </w:t>
      </w:r>
      <w:r>
        <w:rPr>
          <w:lang w:val="en-ZW"/>
        </w:rPr>
        <w:t>Indicated Shipper’s Opening Comments at 11</w:t>
      </w:r>
    </w:p>
  </w:footnote>
  <w:footnote w:id="99">
    <w:p w14:paraId="5DEC8F5D" w14:textId="77777777" w:rsidR="008A655D" w:rsidRPr="004A58CF" w:rsidRDefault="008A655D" w:rsidP="008A655D">
      <w:pPr>
        <w:pStyle w:val="FootnoteText"/>
        <w:rPr>
          <w:lang w:val="en-ZW"/>
        </w:rPr>
      </w:pPr>
      <w:r>
        <w:rPr>
          <w:rStyle w:val="FootnoteReference"/>
        </w:rPr>
        <w:footnoteRef/>
      </w:r>
      <w:r>
        <w:t xml:space="preserve"> </w:t>
      </w:r>
      <w:r>
        <w:rPr>
          <w:lang w:val="en-ZW"/>
        </w:rPr>
        <w:t>Cities Reply Comments at 5-6.</w:t>
      </w:r>
    </w:p>
  </w:footnote>
  <w:footnote w:id="100">
    <w:p w14:paraId="5744D187" w14:textId="77777777" w:rsidR="008A655D" w:rsidRPr="00704E0A" w:rsidRDefault="008A655D" w:rsidP="008A655D">
      <w:pPr>
        <w:pStyle w:val="FootnoteText"/>
        <w:rPr>
          <w:lang w:val="en-ZW"/>
        </w:rPr>
      </w:pPr>
      <w:r>
        <w:rPr>
          <w:rStyle w:val="FootnoteReference"/>
        </w:rPr>
        <w:footnoteRef/>
      </w:r>
      <w:r>
        <w:t xml:space="preserve"> </w:t>
      </w:r>
      <w:r w:rsidRPr="0038716C">
        <w:rPr>
          <w:i/>
          <w:iCs/>
        </w:rPr>
        <w:t>See</w:t>
      </w:r>
      <w:r>
        <w:t xml:space="preserve"> </w:t>
      </w:r>
      <w:r>
        <w:rPr>
          <w:lang w:val="en-ZW"/>
        </w:rPr>
        <w:t>Cities Reply Comments at 6.</w:t>
      </w:r>
    </w:p>
  </w:footnote>
  <w:footnote w:id="101">
    <w:p w14:paraId="062713B8" w14:textId="77777777" w:rsidR="008A655D" w:rsidRPr="0038716C" w:rsidRDefault="008A655D" w:rsidP="008A655D">
      <w:pPr>
        <w:pStyle w:val="FootnoteText"/>
        <w:rPr>
          <w:lang w:val="en-ZW"/>
        </w:rPr>
      </w:pPr>
      <w:r>
        <w:rPr>
          <w:rStyle w:val="FootnoteReference"/>
        </w:rPr>
        <w:footnoteRef/>
      </w:r>
      <w:r>
        <w:t xml:space="preserve"> </w:t>
      </w:r>
      <w:r w:rsidRPr="0038716C">
        <w:rPr>
          <w:i/>
          <w:iCs/>
        </w:rPr>
        <w:t>See</w:t>
      </w:r>
      <w:r>
        <w:t xml:space="preserve"> </w:t>
      </w:r>
      <w:r>
        <w:rPr>
          <w:lang w:val="en-ZW"/>
        </w:rPr>
        <w:t>Cities Reply Comments at 6.</w:t>
      </w:r>
    </w:p>
  </w:footnote>
  <w:footnote w:id="102">
    <w:p w14:paraId="242C2DFF" w14:textId="77777777" w:rsidR="008A655D" w:rsidRPr="007F6C01" w:rsidRDefault="008A655D" w:rsidP="008A655D">
      <w:pPr>
        <w:pStyle w:val="FootnoteText"/>
        <w:rPr>
          <w:lang w:val="en-ZW"/>
        </w:rPr>
      </w:pPr>
      <w:r>
        <w:rPr>
          <w:rStyle w:val="FootnoteReference"/>
        </w:rPr>
        <w:footnoteRef/>
      </w:r>
      <w:r>
        <w:t xml:space="preserve"> </w:t>
      </w:r>
      <w:r w:rsidRPr="00EC7CBA">
        <w:rPr>
          <w:i/>
          <w:iCs/>
          <w:lang w:val="en-ZW"/>
        </w:rPr>
        <w:t>See</w:t>
      </w:r>
      <w:r>
        <w:rPr>
          <w:lang w:val="en-ZW"/>
        </w:rPr>
        <w:t xml:space="preserve"> CRPC Reply Comments at 4-5; Indicated Shippers’ Opening Comments at 11-14.</w:t>
      </w:r>
    </w:p>
  </w:footnote>
  <w:footnote w:id="103">
    <w:p w14:paraId="4DED534C" w14:textId="77777777" w:rsidR="008A655D" w:rsidRPr="00DB7DE9" w:rsidRDefault="008A655D" w:rsidP="008A655D">
      <w:pPr>
        <w:pStyle w:val="FootnoteText"/>
        <w:rPr>
          <w:lang w:val="en-ZW"/>
        </w:rPr>
      </w:pPr>
      <w:r>
        <w:rPr>
          <w:rStyle w:val="FootnoteReference"/>
        </w:rPr>
        <w:footnoteRef/>
      </w:r>
      <w:r>
        <w:t xml:space="preserve"> </w:t>
      </w:r>
      <w:r w:rsidRPr="00B13FFB">
        <w:rPr>
          <w:i/>
          <w:iCs/>
          <w:lang w:val="en-ZW"/>
        </w:rPr>
        <w:t>See</w:t>
      </w:r>
      <w:r>
        <w:rPr>
          <w:lang w:val="en-ZW"/>
        </w:rPr>
        <w:t xml:space="preserve"> Indicated Shipper’s Opening Comments at 11-13.</w:t>
      </w:r>
    </w:p>
  </w:footnote>
  <w:footnote w:id="104">
    <w:p w14:paraId="24A16546" w14:textId="41963475" w:rsidR="008A655D" w:rsidRPr="008B6B83" w:rsidRDefault="008A655D" w:rsidP="008A655D">
      <w:pPr>
        <w:pStyle w:val="FootnoteText"/>
        <w:rPr>
          <w:lang w:val="en-ZW"/>
        </w:rPr>
      </w:pPr>
      <w:r>
        <w:rPr>
          <w:rStyle w:val="FootnoteReference"/>
        </w:rPr>
        <w:footnoteRef/>
      </w:r>
      <w:r>
        <w:t xml:space="preserve"> </w:t>
      </w:r>
      <w:r>
        <w:rPr>
          <w:lang w:val="en-ZW"/>
        </w:rPr>
        <w:t xml:space="preserve">Pub. Util. Code </w:t>
      </w:r>
      <w:r w:rsidR="004910CA">
        <w:rPr>
          <w:lang w:val="en-ZW"/>
        </w:rPr>
        <w:t>S</w:t>
      </w:r>
      <w:r>
        <w:rPr>
          <w:lang w:val="en-ZW"/>
        </w:rPr>
        <w:t>ection 1002.5</w:t>
      </w:r>
      <w:r w:rsidR="00D32924">
        <w:rPr>
          <w:lang w:val="en-ZW"/>
        </w:rPr>
        <w:t xml:space="preserve"> (emphasis added)</w:t>
      </w:r>
      <w:r>
        <w:rPr>
          <w:lang w:val="en-ZW"/>
        </w:rPr>
        <w:t>.</w:t>
      </w:r>
    </w:p>
  </w:footnote>
  <w:footnote w:id="105">
    <w:p w14:paraId="5EB70006" w14:textId="3A6730EA" w:rsidR="008A655D" w:rsidRPr="00D52375" w:rsidRDefault="008A655D" w:rsidP="008A655D">
      <w:pPr>
        <w:pStyle w:val="FootnoteText"/>
        <w:rPr>
          <w:lang w:val="en-ZW"/>
        </w:rPr>
      </w:pPr>
      <w:r>
        <w:rPr>
          <w:rStyle w:val="FootnoteReference"/>
        </w:rPr>
        <w:footnoteRef/>
      </w:r>
      <w:r>
        <w:t xml:space="preserve"> </w:t>
      </w:r>
      <w:r>
        <w:rPr>
          <w:lang w:val="en-ZW"/>
        </w:rPr>
        <w:t xml:space="preserve">Pub. Util. Code </w:t>
      </w:r>
      <w:r w:rsidR="004910CA">
        <w:rPr>
          <w:lang w:val="en-ZW"/>
        </w:rPr>
        <w:t>S</w:t>
      </w:r>
      <w:r>
        <w:rPr>
          <w:lang w:val="en-ZW"/>
        </w:rPr>
        <w:t>ection 1002.5.</w:t>
      </w:r>
    </w:p>
  </w:footnote>
  <w:footnote w:id="106">
    <w:p w14:paraId="2D88DEF7" w14:textId="77777777" w:rsidR="008A655D" w:rsidRPr="00ED6A41" w:rsidRDefault="008A655D" w:rsidP="008A655D">
      <w:pPr>
        <w:pStyle w:val="FootnoteText"/>
        <w:rPr>
          <w:lang w:val="en-ZW"/>
        </w:rPr>
      </w:pPr>
      <w:r>
        <w:rPr>
          <w:rStyle w:val="FootnoteReference"/>
        </w:rPr>
        <w:footnoteRef/>
      </w:r>
      <w:r>
        <w:t xml:space="preserve"> </w:t>
      </w:r>
      <w:r w:rsidRPr="00B13FFB">
        <w:rPr>
          <w:i/>
          <w:iCs/>
          <w:lang w:val="en-ZW"/>
        </w:rPr>
        <w:t>See</w:t>
      </w:r>
      <w:r>
        <w:rPr>
          <w:lang w:val="en-ZW"/>
        </w:rPr>
        <w:t xml:space="preserve"> Indicated Shipper’s Opening Comments at 13.</w:t>
      </w:r>
    </w:p>
  </w:footnote>
  <w:footnote w:id="107">
    <w:p w14:paraId="76DE7C13" w14:textId="77777777" w:rsidR="008A655D" w:rsidRPr="001947B4" w:rsidRDefault="008A655D" w:rsidP="008A655D">
      <w:pPr>
        <w:pStyle w:val="FootnoteText"/>
        <w:rPr>
          <w:lang w:val="en-ZW"/>
        </w:rPr>
      </w:pPr>
      <w:r>
        <w:rPr>
          <w:rStyle w:val="FootnoteReference"/>
        </w:rPr>
        <w:footnoteRef/>
      </w:r>
      <w:r>
        <w:t xml:space="preserve"> </w:t>
      </w:r>
      <w:r>
        <w:rPr>
          <w:lang w:val="en-ZW"/>
        </w:rPr>
        <w:t>Cities Reply Comments at 5 n.18.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E4AAA" w14:textId="1D635863" w:rsidR="00395232" w:rsidRDefault="00395232" w:rsidP="00395232">
    <w:pPr>
      <w:pStyle w:val="Header"/>
      <w:tabs>
        <w:tab w:val="clear" w:pos="4680"/>
      </w:tabs>
      <w:ind w:firstLine="0"/>
      <w:rPr>
        <w:b/>
      </w:rPr>
    </w:pPr>
    <w:r>
      <w:t>A.23-07-008 ALJ/JYL/</w:t>
    </w:r>
    <w:proofErr w:type="spellStart"/>
    <w:r>
      <w:t>sgu</w:t>
    </w:r>
    <w:proofErr w:type="spellEnd"/>
    <w:r>
      <w:tab/>
    </w:r>
  </w:p>
  <w:p w14:paraId="341620CC" w14:textId="77777777" w:rsidR="00395232" w:rsidRDefault="00395232" w:rsidP="00395232">
    <w:pPr>
      <w:pStyle w:val="Header"/>
      <w:tabs>
        <w:tab w:val="clear" w:pos="4680"/>
      </w:tabs>
      <w:ind w:firstLine="0"/>
      <w:rPr>
        <w:i/>
        <w:color w:val="FF0000"/>
      </w:rPr>
    </w:pPr>
  </w:p>
  <w:p w14:paraId="0701E914" w14:textId="77777777" w:rsidR="00395232" w:rsidRDefault="00395232" w:rsidP="00395232">
    <w:pPr>
      <w:pStyle w:val="Header"/>
      <w:tabs>
        <w:tab w:val="clear" w:pos="4680"/>
      </w:tabs>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F84A2" w14:textId="7332FE17" w:rsidR="00395232" w:rsidRDefault="00395232" w:rsidP="00395232">
    <w:pPr>
      <w:pStyle w:val="Header"/>
      <w:tabs>
        <w:tab w:val="clear" w:pos="4680"/>
      </w:tabs>
      <w:ind w:firstLine="0"/>
      <w:rPr>
        <w:b/>
      </w:rPr>
    </w:pPr>
    <w:r>
      <w:t>A.23-07-008 ALJ/JYL/</w:t>
    </w:r>
    <w:proofErr w:type="spellStart"/>
    <w:r>
      <w:t>sgu</w:t>
    </w:r>
    <w:proofErr w:type="spellEnd"/>
    <w:r>
      <w:tab/>
    </w:r>
  </w:p>
  <w:p w14:paraId="1556BB2F" w14:textId="079B379B" w:rsidR="00395232" w:rsidRPr="00B3087D" w:rsidRDefault="00395232" w:rsidP="00AE11EF">
    <w:pPr>
      <w:pStyle w:val="Header"/>
      <w:tabs>
        <w:tab w:val="clear" w:pos="4680"/>
      </w:tabs>
      <w:ind w:firstLine="0"/>
      <w:rPr>
        <w:i/>
        <w:color w:val="FF0000"/>
      </w:rPr>
    </w:pPr>
  </w:p>
  <w:p w14:paraId="460B8DCA" w14:textId="77777777" w:rsidR="00A51C42" w:rsidRPr="00395232" w:rsidRDefault="00A51C42" w:rsidP="003952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 w15:restartNumberingAfterBreak="0">
    <w:nsid w:val="15F056CB"/>
    <w:multiLevelType w:val="multilevel"/>
    <w:tmpl w:val="18F4A5AC"/>
    <w:numStyleLink w:val="FoFCoLOP"/>
  </w:abstractNum>
  <w:abstractNum w:abstractNumId="3"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E2242C9"/>
    <w:multiLevelType w:val="multilevel"/>
    <w:tmpl w:val="70AAB8E6"/>
    <w:numStyleLink w:val="Headings"/>
  </w:abstractNum>
  <w:abstractNum w:abstractNumId="5" w15:restartNumberingAfterBreak="0">
    <w:nsid w:val="1E804631"/>
    <w:multiLevelType w:val="hybridMultilevel"/>
    <w:tmpl w:val="345E437A"/>
    <w:lvl w:ilvl="0" w:tplc="788642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B86BEB"/>
    <w:multiLevelType w:val="hybridMultilevel"/>
    <w:tmpl w:val="1E202E86"/>
    <w:lvl w:ilvl="0" w:tplc="8F3A2296">
      <w:start w:val="1"/>
      <w:numFmt w:val="bullet"/>
      <w:lvlText w:val="-"/>
      <w:lvlJc w:val="left"/>
      <w:pPr>
        <w:ind w:left="4965" w:hanging="360"/>
      </w:pPr>
      <w:rPr>
        <w:rFonts w:ascii="Book Antiqua" w:eastAsiaTheme="minorHAnsi" w:hAnsi="Book Antiqua" w:cstheme="minorBidi" w:hint="default"/>
      </w:rPr>
    </w:lvl>
    <w:lvl w:ilvl="1" w:tplc="04090003" w:tentative="1">
      <w:start w:val="1"/>
      <w:numFmt w:val="bullet"/>
      <w:lvlText w:val="o"/>
      <w:lvlJc w:val="left"/>
      <w:pPr>
        <w:ind w:left="5685" w:hanging="360"/>
      </w:pPr>
      <w:rPr>
        <w:rFonts w:ascii="Courier New" w:hAnsi="Courier New" w:cs="Courier New" w:hint="default"/>
      </w:rPr>
    </w:lvl>
    <w:lvl w:ilvl="2" w:tplc="04090005" w:tentative="1">
      <w:start w:val="1"/>
      <w:numFmt w:val="bullet"/>
      <w:lvlText w:val=""/>
      <w:lvlJc w:val="left"/>
      <w:pPr>
        <w:ind w:left="6405" w:hanging="360"/>
      </w:pPr>
      <w:rPr>
        <w:rFonts w:ascii="Wingdings" w:hAnsi="Wingdings" w:hint="default"/>
      </w:rPr>
    </w:lvl>
    <w:lvl w:ilvl="3" w:tplc="04090001" w:tentative="1">
      <w:start w:val="1"/>
      <w:numFmt w:val="bullet"/>
      <w:lvlText w:val=""/>
      <w:lvlJc w:val="left"/>
      <w:pPr>
        <w:ind w:left="7125" w:hanging="360"/>
      </w:pPr>
      <w:rPr>
        <w:rFonts w:ascii="Symbol" w:hAnsi="Symbol" w:hint="default"/>
      </w:rPr>
    </w:lvl>
    <w:lvl w:ilvl="4" w:tplc="04090003" w:tentative="1">
      <w:start w:val="1"/>
      <w:numFmt w:val="bullet"/>
      <w:lvlText w:val="o"/>
      <w:lvlJc w:val="left"/>
      <w:pPr>
        <w:ind w:left="7845" w:hanging="360"/>
      </w:pPr>
      <w:rPr>
        <w:rFonts w:ascii="Courier New" w:hAnsi="Courier New" w:cs="Courier New" w:hint="default"/>
      </w:rPr>
    </w:lvl>
    <w:lvl w:ilvl="5" w:tplc="04090005" w:tentative="1">
      <w:start w:val="1"/>
      <w:numFmt w:val="bullet"/>
      <w:lvlText w:val=""/>
      <w:lvlJc w:val="left"/>
      <w:pPr>
        <w:ind w:left="8565" w:hanging="360"/>
      </w:pPr>
      <w:rPr>
        <w:rFonts w:ascii="Wingdings" w:hAnsi="Wingdings" w:hint="default"/>
      </w:rPr>
    </w:lvl>
    <w:lvl w:ilvl="6" w:tplc="04090001" w:tentative="1">
      <w:start w:val="1"/>
      <w:numFmt w:val="bullet"/>
      <w:lvlText w:val=""/>
      <w:lvlJc w:val="left"/>
      <w:pPr>
        <w:ind w:left="9285" w:hanging="360"/>
      </w:pPr>
      <w:rPr>
        <w:rFonts w:ascii="Symbol" w:hAnsi="Symbol" w:hint="default"/>
      </w:rPr>
    </w:lvl>
    <w:lvl w:ilvl="7" w:tplc="04090003" w:tentative="1">
      <w:start w:val="1"/>
      <w:numFmt w:val="bullet"/>
      <w:lvlText w:val="o"/>
      <w:lvlJc w:val="left"/>
      <w:pPr>
        <w:ind w:left="10005" w:hanging="360"/>
      </w:pPr>
      <w:rPr>
        <w:rFonts w:ascii="Courier New" w:hAnsi="Courier New" w:cs="Courier New" w:hint="default"/>
      </w:rPr>
    </w:lvl>
    <w:lvl w:ilvl="8" w:tplc="04090005" w:tentative="1">
      <w:start w:val="1"/>
      <w:numFmt w:val="bullet"/>
      <w:lvlText w:val=""/>
      <w:lvlJc w:val="left"/>
      <w:pPr>
        <w:ind w:left="10725" w:hanging="360"/>
      </w:pPr>
      <w:rPr>
        <w:rFonts w:ascii="Wingdings" w:hAnsi="Wingdings" w:hint="default"/>
      </w:rPr>
    </w:lvl>
  </w:abstractNum>
  <w:abstractNum w:abstractNumId="7" w15:restartNumberingAfterBreak="0">
    <w:nsid w:val="28E8115D"/>
    <w:multiLevelType w:val="hybridMultilevel"/>
    <w:tmpl w:val="B2CEFED6"/>
    <w:lvl w:ilvl="0" w:tplc="D8B8B866">
      <w:numFmt w:val="bullet"/>
      <w:lvlText w:val="-"/>
      <w:lvlJc w:val="left"/>
      <w:pPr>
        <w:ind w:left="1080" w:hanging="360"/>
      </w:pPr>
      <w:rPr>
        <w:rFonts w:ascii="Book Antiqua" w:eastAsiaTheme="minorHAnsi" w:hAnsi="Book Antiqu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1F6D42"/>
    <w:multiLevelType w:val="multilevel"/>
    <w:tmpl w:val="70AAB8E6"/>
    <w:styleLink w:val="Headings"/>
    <w:lvl w:ilvl="0">
      <w:start w:val="1"/>
      <w:numFmt w:val="decimal"/>
      <w:pStyle w:val="Heading1"/>
      <w:lvlText w:val="%1."/>
      <w:lvlJc w:val="left"/>
      <w:pPr>
        <w:tabs>
          <w:tab w:val="num" w:pos="720"/>
        </w:tabs>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tabs>
          <w:tab w:val="num" w:pos="1080"/>
        </w:tabs>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9" w15:restartNumberingAfterBreak="0">
    <w:nsid w:val="41B035BF"/>
    <w:multiLevelType w:val="multilevel"/>
    <w:tmpl w:val="70AAB8E6"/>
    <w:numStyleLink w:val="Headings"/>
  </w:abstractNum>
  <w:abstractNum w:abstractNumId="10" w15:restartNumberingAfterBreak="0">
    <w:nsid w:val="460A39B3"/>
    <w:multiLevelType w:val="hybridMultilevel"/>
    <w:tmpl w:val="A288ED40"/>
    <w:lvl w:ilvl="0" w:tplc="38904132">
      <w:start w:val="1"/>
      <w:numFmt w:val="bullet"/>
      <w:lvlText w:val="-"/>
      <w:lvlJc w:val="left"/>
      <w:pPr>
        <w:ind w:left="4935" w:hanging="360"/>
      </w:pPr>
      <w:rPr>
        <w:rFonts w:ascii="Book Antiqua" w:eastAsiaTheme="minorHAnsi" w:hAnsi="Book Antiqua" w:cstheme="minorBidi" w:hint="default"/>
      </w:rPr>
    </w:lvl>
    <w:lvl w:ilvl="1" w:tplc="04090003" w:tentative="1">
      <w:start w:val="1"/>
      <w:numFmt w:val="bullet"/>
      <w:lvlText w:val="o"/>
      <w:lvlJc w:val="left"/>
      <w:pPr>
        <w:ind w:left="5655" w:hanging="360"/>
      </w:pPr>
      <w:rPr>
        <w:rFonts w:ascii="Courier New" w:hAnsi="Courier New" w:cs="Courier New" w:hint="default"/>
      </w:rPr>
    </w:lvl>
    <w:lvl w:ilvl="2" w:tplc="04090005" w:tentative="1">
      <w:start w:val="1"/>
      <w:numFmt w:val="bullet"/>
      <w:lvlText w:val=""/>
      <w:lvlJc w:val="left"/>
      <w:pPr>
        <w:ind w:left="6375" w:hanging="360"/>
      </w:pPr>
      <w:rPr>
        <w:rFonts w:ascii="Wingdings" w:hAnsi="Wingdings" w:hint="default"/>
      </w:rPr>
    </w:lvl>
    <w:lvl w:ilvl="3" w:tplc="04090001" w:tentative="1">
      <w:start w:val="1"/>
      <w:numFmt w:val="bullet"/>
      <w:lvlText w:val=""/>
      <w:lvlJc w:val="left"/>
      <w:pPr>
        <w:ind w:left="7095" w:hanging="360"/>
      </w:pPr>
      <w:rPr>
        <w:rFonts w:ascii="Symbol" w:hAnsi="Symbol" w:hint="default"/>
      </w:rPr>
    </w:lvl>
    <w:lvl w:ilvl="4" w:tplc="04090003" w:tentative="1">
      <w:start w:val="1"/>
      <w:numFmt w:val="bullet"/>
      <w:lvlText w:val="o"/>
      <w:lvlJc w:val="left"/>
      <w:pPr>
        <w:ind w:left="7815" w:hanging="360"/>
      </w:pPr>
      <w:rPr>
        <w:rFonts w:ascii="Courier New" w:hAnsi="Courier New" w:cs="Courier New" w:hint="default"/>
      </w:rPr>
    </w:lvl>
    <w:lvl w:ilvl="5" w:tplc="04090005" w:tentative="1">
      <w:start w:val="1"/>
      <w:numFmt w:val="bullet"/>
      <w:lvlText w:val=""/>
      <w:lvlJc w:val="left"/>
      <w:pPr>
        <w:ind w:left="8535" w:hanging="360"/>
      </w:pPr>
      <w:rPr>
        <w:rFonts w:ascii="Wingdings" w:hAnsi="Wingdings" w:hint="default"/>
      </w:rPr>
    </w:lvl>
    <w:lvl w:ilvl="6" w:tplc="04090001" w:tentative="1">
      <w:start w:val="1"/>
      <w:numFmt w:val="bullet"/>
      <w:lvlText w:val=""/>
      <w:lvlJc w:val="left"/>
      <w:pPr>
        <w:ind w:left="9255" w:hanging="360"/>
      </w:pPr>
      <w:rPr>
        <w:rFonts w:ascii="Symbol" w:hAnsi="Symbol" w:hint="default"/>
      </w:rPr>
    </w:lvl>
    <w:lvl w:ilvl="7" w:tplc="04090003" w:tentative="1">
      <w:start w:val="1"/>
      <w:numFmt w:val="bullet"/>
      <w:lvlText w:val="o"/>
      <w:lvlJc w:val="left"/>
      <w:pPr>
        <w:ind w:left="9975" w:hanging="360"/>
      </w:pPr>
      <w:rPr>
        <w:rFonts w:ascii="Courier New" w:hAnsi="Courier New" w:cs="Courier New" w:hint="default"/>
      </w:rPr>
    </w:lvl>
    <w:lvl w:ilvl="8" w:tplc="04090005" w:tentative="1">
      <w:start w:val="1"/>
      <w:numFmt w:val="bullet"/>
      <w:lvlText w:val=""/>
      <w:lvlJc w:val="left"/>
      <w:pPr>
        <w:ind w:left="10695" w:hanging="360"/>
      </w:pPr>
      <w:rPr>
        <w:rFonts w:ascii="Wingdings" w:hAnsi="Wingdings" w:hint="default"/>
      </w:rPr>
    </w:lvl>
  </w:abstractNum>
  <w:abstractNum w:abstractNumId="11" w15:restartNumberingAfterBreak="0">
    <w:nsid w:val="4AB83F26"/>
    <w:multiLevelType w:val="hybridMultilevel"/>
    <w:tmpl w:val="38FA2ECC"/>
    <w:lvl w:ilvl="0" w:tplc="86AE2958">
      <w:start w:val="1"/>
      <w:numFmt w:val="bullet"/>
      <w:pStyle w:val="bullets"/>
      <w:lvlText w:val=""/>
      <w:lvlJc w:val="left"/>
      <w:pPr>
        <w:tabs>
          <w:tab w:val="num" w:pos="1440"/>
        </w:tabs>
        <w:ind w:left="1440" w:hanging="360"/>
      </w:pPr>
      <w:rPr>
        <w:rFonts w:ascii="Symbol" w:hAnsi="Symbol" w:hint="default"/>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B59649E"/>
    <w:multiLevelType w:val="hybridMultilevel"/>
    <w:tmpl w:val="321234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9D042D7"/>
    <w:multiLevelType w:val="multilevel"/>
    <w:tmpl w:val="18F4A5AC"/>
    <w:numStyleLink w:val="FoFCoLOP"/>
  </w:abstractNum>
  <w:abstractNum w:abstractNumId="14" w15:restartNumberingAfterBreak="0">
    <w:nsid w:val="5A9E2171"/>
    <w:multiLevelType w:val="multilevel"/>
    <w:tmpl w:val="BD4C7B80"/>
    <w:lvl w:ilvl="0">
      <w:start w:val="1"/>
      <w:numFmt w:val="decimal"/>
      <w:lvlText w:val="%1."/>
      <w:lvlJc w:val="left"/>
      <w:pPr>
        <w:ind w:left="360" w:hanging="36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ind w:left="144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792"/>
        </w:tabs>
        <w:ind w:left="1440" w:hanging="720"/>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3.%2.%1.%4."/>
      <w:lvlJc w:val="left"/>
      <w:pPr>
        <w:ind w:left="1440" w:hanging="720"/>
      </w:pPr>
      <w:rPr>
        <w:rFonts w:ascii="Arial" w:hAnsi="Arial" w:hint="default"/>
        <w:b/>
        <w:i w:val="0"/>
        <w:caps w:val="0"/>
        <w:strike w:val="0"/>
        <w:dstrike w:val="0"/>
        <w:vanish w:val="0"/>
        <w:kern w:val="0"/>
        <w:sz w:val="26"/>
        <w:vertAlign w:val="baseline"/>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D194853"/>
    <w:multiLevelType w:val="hybridMultilevel"/>
    <w:tmpl w:val="E2BE342A"/>
    <w:lvl w:ilvl="0" w:tplc="A2506AC0">
      <w:numFmt w:val="bullet"/>
      <w:lvlText w:val="-"/>
      <w:lvlJc w:val="left"/>
      <w:pPr>
        <w:ind w:left="4932" w:hanging="360"/>
      </w:pPr>
      <w:rPr>
        <w:rFonts w:ascii="Book Antiqua" w:eastAsiaTheme="minorHAnsi" w:hAnsi="Book Antiqua" w:cstheme="minorBidi" w:hint="default"/>
      </w:rPr>
    </w:lvl>
    <w:lvl w:ilvl="1" w:tplc="04090003" w:tentative="1">
      <w:start w:val="1"/>
      <w:numFmt w:val="bullet"/>
      <w:lvlText w:val="o"/>
      <w:lvlJc w:val="left"/>
      <w:pPr>
        <w:ind w:left="5652" w:hanging="360"/>
      </w:pPr>
      <w:rPr>
        <w:rFonts w:ascii="Courier New" w:hAnsi="Courier New" w:cs="Courier New" w:hint="default"/>
      </w:rPr>
    </w:lvl>
    <w:lvl w:ilvl="2" w:tplc="04090005" w:tentative="1">
      <w:start w:val="1"/>
      <w:numFmt w:val="bullet"/>
      <w:lvlText w:val=""/>
      <w:lvlJc w:val="left"/>
      <w:pPr>
        <w:ind w:left="6372" w:hanging="360"/>
      </w:pPr>
      <w:rPr>
        <w:rFonts w:ascii="Wingdings" w:hAnsi="Wingdings" w:hint="default"/>
      </w:rPr>
    </w:lvl>
    <w:lvl w:ilvl="3" w:tplc="04090001" w:tentative="1">
      <w:start w:val="1"/>
      <w:numFmt w:val="bullet"/>
      <w:lvlText w:val=""/>
      <w:lvlJc w:val="left"/>
      <w:pPr>
        <w:ind w:left="7092" w:hanging="360"/>
      </w:pPr>
      <w:rPr>
        <w:rFonts w:ascii="Symbol" w:hAnsi="Symbol" w:hint="default"/>
      </w:rPr>
    </w:lvl>
    <w:lvl w:ilvl="4" w:tplc="04090003" w:tentative="1">
      <w:start w:val="1"/>
      <w:numFmt w:val="bullet"/>
      <w:lvlText w:val="o"/>
      <w:lvlJc w:val="left"/>
      <w:pPr>
        <w:ind w:left="7812" w:hanging="360"/>
      </w:pPr>
      <w:rPr>
        <w:rFonts w:ascii="Courier New" w:hAnsi="Courier New" w:cs="Courier New" w:hint="default"/>
      </w:rPr>
    </w:lvl>
    <w:lvl w:ilvl="5" w:tplc="04090005" w:tentative="1">
      <w:start w:val="1"/>
      <w:numFmt w:val="bullet"/>
      <w:lvlText w:val=""/>
      <w:lvlJc w:val="left"/>
      <w:pPr>
        <w:ind w:left="8532" w:hanging="360"/>
      </w:pPr>
      <w:rPr>
        <w:rFonts w:ascii="Wingdings" w:hAnsi="Wingdings" w:hint="default"/>
      </w:rPr>
    </w:lvl>
    <w:lvl w:ilvl="6" w:tplc="04090001" w:tentative="1">
      <w:start w:val="1"/>
      <w:numFmt w:val="bullet"/>
      <w:lvlText w:val=""/>
      <w:lvlJc w:val="left"/>
      <w:pPr>
        <w:ind w:left="9252" w:hanging="360"/>
      </w:pPr>
      <w:rPr>
        <w:rFonts w:ascii="Symbol" w:hAnsi="Symbol" w:hint="default"/>
      </w:rPr>
    </w:lvl>
    <w:lvl w:ilvl="7" w:tplc="04090003" w:tentative="1">
      <w:start w:val="1"/>
      <w:numFmt w:val="bullet"/>
      <w:lvlText w:val="o"/>
      <w:lvlJc w:val="left"/>
      <w:pPr>
        <w:ind w:left="9972" w:hanging="360"/>
      </w:pPr>
      <w:rPr>
        <w:rFonts w:ascii="Courier New" w:hAnsi="Courier New" w:cs="Courier New" w:hint="default"/>
      </w:rPr>
    </w:lvl>
    <w:lvl w:ilvl="8" w:tplc="04090005" w:tentative="1">
      <w:start w:val="1"/>
      <w:numFmt w:val="bullet"/>
      <w:lvlText w:val=""/>
      <w:lvlJc w:val="left"/>
      <w:pPr>
        <w:ind w:left="10692" w:hanging="360"/>
      </w:pPr>
      <w:rPr>
        <w:rFonts w:ascii="Wingdings" w:hAnsi="Wingdings" w:hint="default"/>
      </w:rPr>
    </w:lvl>
  </w:abstractNum>
  <w:abstractNum w:abstractNumId="16" w15:restartNumberingAfterBreak="0">
    <w:nsid w:val="5E83152B"/>
    <w:multiLevelType w:val="hybridMultilevel"/>
    <w:tmpl w:val="B5A40290"/>
    <w:lvl w:ilvl="0" w:tplc="DB9C75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F22537E"/>
    <w:multiLevelType w:val="multilevel"/>
    <w:tmpl w:val="70AAB8E6"/>
    <w:numStyleLink w:val="Headings"/>
  </w:abstractNum>
  <w:abstractNum w:abstractNumId="18"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1F80C0D"/>
    <w:multiLevelType w:val="hybridMultilevel"/>
    <w:tmpl w:val="F8E29D84"/>
    <w:lvl w:ilvl="0" w:tplc="DDE2C36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89A0AFE"/>
    <w:multiLevelType w:val="multilevel"/>
    <w:tmpl w:val="18F4A5AC"/>
    <w:numStyleLink w:val="FoFCoLOP"/>
  </w:abstractNum>
  <w:num w:numId="1" w16cid:durableId="2324686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9467144">
    <w:abstractNumId w:val="1"/>
  </w:num>
  <w:num w:numId="3" w16cid:durableId="1338381208">
    <w:abstractNumId w:val="13"/>
  </w:num>
  <w:num w:numId="4" w16cid:durableId="294676990">
    <w:abstractNumId w:val="2"/>
  </w:num>
  <w:num w:numId="5" w16cid:durableId="211968689">
    <w:abstractNumId w:val="20"/>
  </w:num>
  <w:num w:numId="6" w16cid:durableId="1302155997">
    <w:abstractNumId w:val="8"/>
  </w:num>
  <w:num w:numId="7" w16cid:durableId="1375931060">
    <w:abstractNumId w:val="4"/>
  </w:num>
  <w:num w:numId="8" w16cid:durableId="834035066">
    <w:abstractNumId w:val="18"/>
  </w:num>
  <w:num w:numId="9" w16cid:durableId="994918878">
    <w:abstractNumId w:val="0"/>
  </w:num>
  <w:num w:numId="10" w16cid:durableId="114447377">
    <w:abstractNumId w:val="17"/>
  </w:num>
  <w:num w:numId="11" w16cid:durableId="1919754053">
    <w:abstractNumId w:val="19"/>
  </w:num>
  <w:num w:numId="12" w16cid:durableId="2103793009">
    <w:abstractNumId w:val="9"/>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num>
  <w:num w:numId="13" w16cid:durableId="1826582311">
    <w:abstractNumId w:val="16"/>
  </w:num>
  <w:num w:numId="14" w16cid:durableId="467941983">
    <w:abstractNumId w:val="3"/>
  </w:num>
  <w:num w:numId="15" w16cid:durableId="1281036620">
    <w:abstractNumId w:val="5"/>
  </w:num>
  <w:num w:numId="16" w16cid:durableId="45227776">
    <w:abstractNumId w:val="7"/>
  </w:num>
  <w:num w:numId="17" w16cid:durableId="1274361457">
    <w:abstractNumId w:val="6"/>
  </w:num>
  <w:num w:numId="18" w16cid:durableId="539586501">
    <w:abstractNumId w:val="10"/>
  </w:num>
  <w:num w:numId="19" w16cid:durableId="1540237269">
    <w:abstractNumId w:val="12"/>
  </w:num>
  <w:num w:numId="20" w16cid:durableId="796725293">
    <w:abstractNumId w:val="11"/>
  </w:num>
  <w:num w:numId="21" w16cid:durableId="88939259">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DB7"/>
    <w:rsid w:val="00000194"/>
    <w:rsid w:val="0000038D"/>
    <w:rsid w:val="00000F6A"/>
    <w:rsid w:val="00000F6F"/>
    <w:rsid w:val="00001C45"/>
    <w:rsid w:val="0000213F"/>
    <w:rsid w:val="000026FC"/>
    <w:rsid w:val="00002D74"/>
    <w:rsid w:val="00002F04"/>
    <w:rsid w:val="00003298"/>
    <w:rsid w:val="00003C16"/>
    <w:rsid w:val="000042A7"/>
    <w:rsid w:val="00004618"/>
    <w:rsid w:val="000049B8"/>
    <w:rsid w:val="000049BE"/>
    <w:rsid w:val="00004C43"/>
    <w:rsid w:val="0000504D"/>
    <w:rsid w:val="00005198"/>
    <w:rsid w:val="000069DD"/>
    <w:rsid w:val="00006A97"/>
    <w:rsid w:val="00006C34"/>
    <w:rsid w:val="000071A7"/>
    <w:rsid w:val="000073A7"/>
    <w:rsid w:val="000074A2"/>
    <w:rsid w:val="00007774"/>
    <w:rsid w:val="00007833"/>
    <w:rsid w:val="00011E24"/>
    <w:rsid w:val="00011ED8"/>
    <w:rsid w:val="000132D2"/>
    <w:rsid w:val="000137A1"/>
    <w:rsid w:val="00013AA9"/>
    <w:rsid w:val="00013DD1"/>
    <w:rsid w:val="00014600"/>
    <w:rsid w:val="00014804"/>
    <w:rsid w:val="00014D3F"/>
    <w:rsid w:val="00014D4C"/>
    <w:rsid w:val="00015217"/>
    <w:rsid w:val="000154AB"/>
    <w:rsid w:val="0001555F"/>
    <w:rsid w:val="00015830"/>
    <w:rsid w:val="00015833"/>
    <w:rsid w:val="00015D62"/>
    <w:rsid w:val="000162EA"/>
    <w:rsid w:val="000166C2"/>
    <w:rsid w:val="000169F7"/>
    <w:rsid w:val="00016C1C"/>
    <w:rsid w:val="00016F2F"/>
    <w:rsid w:val="000174EA"/>
    <w:rsid w:val="000176DE"/>
    <w:rsid w:val="00017779"/>
    <w:rsid w:val="00020789"/>
    <w:rsid w:val="00020C48"/>
    <w:rsid w:val="00021127"/>
    <w:rsid w:val="0002132C"/>
    <w:rsid w:val="000223A1"/>
    <w:rsid w:val="00022540"/>
    <w:rsid w:val="00022957"/>
    <w:rsid w:val="000229E5"/>
    <w:rsid w:val="00022FDD"/>
    <w:rsid w:val="00023131"/>
    <w:rsid w:val="00023161"/>
    <w:rsid w:val="00023CDD"/>
    <w:rsid w:val="000245DB"/>
    <w:rsid w:val="00024F1C"/>
    <w:rsid w:val="00025476"/>
    <w:rsid w:val="000254E7"/>
    <w:rsid w:val="000259A0"/>
    <w:rsid w:val="00025D89"/>
    <w:rsid w:val="00026537"/>
    <w:rsid w:val="00026546"/>
    <w:rsid w:val="00026D56"/>
    <w:rsid w:val="000271D0"/>
    <w:rsid w:val="0002769E"/>
    <w:rsid w:val="000276B5"/>
    <w:rsid w:val="0002776A"/>
    <w:rsid w:val="00030360"/>
    <w:rsid w:val="0003045F"/>
    <w:rsid w:val="000304D2"/>
    <w:rsid w:val="0003066F"/>
    <w:rsid w:val="00030B70"/>
    <w:rsid w:val="00030BB0"/>
    <w:rsid w:val="0003170A"/>
    <w:rsid w:val="00031747"/>
    <w:rsid w:val="00031C7D"/>
    <w:rsid w:val="00031E03"/>
    <w:rsid w:val="000328FF"/>
    <w:rsid w:val="000331EF"/>
    <w:rsid w:val="000344A3"/>
    <w:rsid w:val="000348E1"/>
    <w:rsid w:val="00035C82"/>
    <w:rsid w:val="00035F0E"/>
    <w:rsid w:val="00036218"/>
    <w:rsid w:val="000364B3"/>
    <w:rsid w:val="00036998"/>
    <w:rsid w:val="000369C7"/>
    <w:rsid w:val="0003727D"/>
    <w:rsid w:val="000374FA"/>
    <w:rsid w:val="00040649"/>
    <w:rsid w:val="000407C7"/>
    <w:rsid w:val="00040A9B"/>
    <w:rsid w:val="00040D7C"/>
    <w:rsid w:val="00040E0C"/>
    <w:rsid w:val="00040F65"/>
    <w:rsid w:val="00041516"/>
    <w:rsid w:val="00042912"/>
    <w:rsid w:val="000433B4"/>
    <w:rsid w:val="00043471"/>
    <w:rsid w:val="00043B0A"/>
    <w:rsid w:val="00043B44"/>
    <w:rsid w:val="000456B6"/>
    <w:rsid w:val="00045C59"/>
    <w:rsid w:val="00046610"/>
    <w:rsid w:val="0004667A"/>
    <w:rsid w:val="00046F93"/>
    <w:rsid w:val="00047070"/>
    <w:rsid w:val="00047574"/>
    <w:rsid w:val="00047594"/>
    <w:rsid w:val="00050556"/>
    <w:rsid w:val="000507EC"/>
    <w:rsid w:val="00050D0B"/>
    <w:rsid w:val="00051272"/>
    <w:rsid w:val="000512F4"/>
    <w:rsid w:val="000518B4"/>
    <w:rsid w:val="00052E0D"/>
    <w:rsid w:val="000537C8"/>
    <w:rsid w:val="00054AC7"/>
    <w:rsid w:val="0005500B"/>
    <w:rsid w:val="000558AC"/>
    <w:rsid w:val="000558D7"/>
    <w:rsid w:val="00055CD4"/>
    <w:rsid w:val="00055E46"/>
    <w:rsid w:val="00056326"/>
    <w:rsid w:val="00056328"/>
    <w:rsid w:val="00056444"/>
    <w:rsid w:val="0005671A"/>
    <w:rsid w:val="00056AF9"/>
    <w:rsid w:val="00057066"/>
    <w:rsid w:val="000575B9"/>
    <w:rsid w:val="000578B1"/>
    <w:rsid w:val="00057D83"/>
    <w:rsid w:val="00057EAE"/>
    <w:rsid w:val="00057FF0"/>
    <w:rsid w:val="00060840"/>
    <w:rsid w:val="000614FB"/>
    <w:rsid w:val="00061A24"/>
    <w:rsid w:val="00061AED"/>
    <w:rsid w:val="00061F2B"/>
    <w:rsid w:val="0006221B"/>
    <w:rsid w:val="00062564"/>
    <w:rsid w:val="00062732"/>
    <w:rsid w:val="0006285E"/>
    <w:rsid w:val="00063158"/>
    <w:rsid w:val="0006356E"/>
    <w:rsid w:val="00064019"/>
    <w:rsid w:val="00064331"/>
    <w:rsid w:val="00064663"/>
    <w:rsid w:val="00064931"/>
    <w:rsid w:val="00065025"/>
    <w:rsid w:val="0006529A"/>
    <w:rsid w:val="00066182"/>
    <w:rsid w:val="0006633A"/>
    <w:rsid w:val="00066417"/>
    <w:rsid w:val="00066D1F"/>
    <w:rsid w:val="00066F10"/>
    <w:rsid w:val="00067055"/>
    <w:rsid w:val="000673BB"/>
    <w:rsid w:val="000674F7"/>
    <w:rsid w:val="000675BD"/>
    <w:rsid w:val="00067AB4"/>
    <w:rsid w:val="00067BD3"/>
    <w:rsid w:val="00070382"/>
    <w:rsid w:val="00070E0F"/>
    <w:rsid w:val="00070EA9"/>
    <w:rsid w:val="0007100E"/>
    <w:rsid w:val="0007115A"/>
    <w:rsid w:val="000711E6"/>
    <w:rsid w:val="00071A6E"/>
    <w:rsid w:val="00071C8A"/>
    <w:rsid w:val="0007263C"/>
    <w:rsid w:val="00073082"/>
    <w:rsid w:val="00073693"/>
    <w:rsid w:val="00073B64"/>
    <w:rsid w:val="00074749"/>
    <w:rsid w:val="000751B9"/>
    <w:rsid w:val="0007524C"/>
    <w:rsid w:val="00075A01"/>
    <w:rsid w:val="00075ED2"/>
    <w:rsid w:val="00075F59"/>
    <w:rsid w:val="00076B66"/>
    <w:rsid w:val="000778CD"/>
    <w:rsid w:val="00077A36"/>
    <w:rsid w:val="000803DD"/>
    <w:rsid w:val="000806AA"/>
    <w:rsid w:val="00080F0A"/>
    <w:rsid w:val="00080FEA"/>
    <w:rsid w:val="000816CF"/>
    <w:rsid w:val="00081BA4"/>
    <w:rsid w:val="000822A5"/>
    <w:rsid w:val="00082331"/>
    <w:rsid w:val="000823C9"/>
    <w:rsid w:val="00082AE5"/>
    <w:rsid w:val="00083048"/>
    <w:rsid w:val="00083291"/>
    <w:rsid w:val="0008358F"/>
    <w:rsid w:val="0008373A"/>
    <w:rsid w:val="00083838"/>
    <w:rsid w:val="0008442E"/>
    <w:rsid w:val="0008452A"/>
    <w:rsid w:val="0008484A"/>
    <w:rsid w:val="00085452"/>
    <w:rsid w:val="0008571F"/>
    <w:rsid w:val="00085933"/>
    <w:rsid w:val="00085DCF"/>
    <w:rsid w:val="0008649A"/>
    <w:rsid w:val="0008677B"/>
    <w:rsid w:val="000870C2"/>
    <w:rsid w:val="000872DE"/>
    <w:rsid w:val="00087C84"/>
    <w:rsid w:val="000903A2"/>
    <w:rsid w:val="0009043C"/>
    <w:rsid w:val="00090A7E"/>
    <w:rsid w:val="00090B6A"/>
    <w:rsid w:val="00091D57"/>
    <w:rsid w:val="0009234F"/>
    <w:rsid w:val="00092582"/>
    <w:rsid w:val="000926E1"/>
    <w:rsid w:val="00092F0D"/>
    <w:rsid w:val="00092F45"/>
    <w:rsid w:val="00094120"/>
    <w:rsid w:val="00094176"/>
    <w:rsid w:val="00094214"/>
    <w:rsid w:val="0009452E"/>
    <w:rsid w:val="000948CF"/>
    <w:rsid w:val="000956A4"/>
    <w:rsid w:val="00096547"/>
    <w:rsid w:val="00096C64"/>
    <w:rsid w:val="000973C8"/>
    <w:rsid w:val="00097F28"/>
    <w:rsid w:val="000A0422"/>
    <w:rsid w:val="000A048A"/>
    <w:rsid w:val="000A07C1"/>
    <w:rsid w:val="000A0F34"/>
    <w:rsid w:val="000A11E3"/>
    <w:rsid w:val="000A1B0B"/>
    <w:rsid w:val="000A1CF6"/>
    <w:rsid w:val="000A1CF8"/>
    <w:rsid w:val="000A233A"/>
    <w:rsid w:val="000A23FD"/>
    <w:rsid w:val="000A298B"/>
    <w:rsid w:val="000A2AA9"/>
    <w:rsid w:val="000A2F61"/>
    <w:rsid w:val="000A3037"/>
    <w:rsid w:val="000A388A"/>
    <w:rsid w:val="000A3E1D"/>
    <w:rsid w:val="000A3F5B"/>
    <w:rsid w:val="000A4061"/>
    <w:rsid w:val="000A46D6"/>
    <w:rsid w:val="000A4824"/>
    <w:rsid w:val="000A4C87"/>
    <w:rsid w:val="000A4E62"/>
    <w:rsid w:val="000A4E69"/>
    <w:rsid w:val="000A4FF5"/>
    <w:rsid w:val="000A5412"/>
    <w:rsid w:val="000A56F2"/>
    <w:rsid w:val="000A66A0"/>
    <w:rsid w:val="000A6E05"/>
    <w:rsid w:val="000A778E"/>
    <w:rsid w:val="000A7834"/>
    <w:rsid w:val="000B0016"/>
    <w:rsid w:val="000B0EE4"/>
    <w:rsid w:val="000B0F9B"/>
    <w:rsid w:val="000B12FA"/>
    <w:rsid w:val="000B23A4"/>
    <w:rsid w:val="000B2816"/>
    <w:rsid w:val="000B3122"/>
    <w:rsid w:val="000B322B"/>
    <w:rsid w:val="000B3EA3"/>
    <w:rsid w:val="000B422A"/>
    <w:rsid w:val="000B4E5D"/>
    <w:rsid w:val="000B5500"/>
    <w:rsid w:val="000B57FA"/>
    <w:rsid w:val="000B5B27"/>
    <w:rsid w:val="000B5CC5"/>
    <w:rsid w:val="000B5F07"/>
    <w:rsid w:val="000B608F"/>
    <w:rsid w:val="000B633B"/>
    <w:rsid w:val="000B6F8C"/>
    <w:rsid w:val="000B72F4"/>
    <w:rsid w:val="000B73E6"/>
    <w:rsid w:val="000C0468"/>
    <w:rsid w:val="000C08BF"/>
    <w:rsid w:val="000C0A6C"/>
    <w:rsid w:val="000C0E9D"/>
    <w:rsid w:val="000C16C1"/>
    <w:rsid w:val="000C1A2E"/>
    <w:rsid w:val="000C26AD"/>
    <w:rsid w:val="000C29BE"/>
    <w:rsid w:val="000C2BAA"/>
    <w:rsid w:val="000C2BEA"/>
    <w:rsid w:val="000C2FF3"/>
    <w:rsid w:val="000C3322"/>
    <w:rsid w:val="000C34D3"/>
    <w:rsid w:val="000C3A92"/>
    <w:rsid w:val="000C3B9A"/>
    <w:rsid w:val="000C49F7"/>
    <w:rsid w:val="000C4A3A"/>
    <w:rsid w:val="000C4A9A"/>
    <w:rsid w:val="000C5135"/>
    <w:rsid w:val="000C5B2E"/>
    <w:rsid w:val="000C608E"/>
    <w:rsid w:val="000C6216"/>
    <w:rsid w:val="000C681F"/>
    <w:rsid w:val="000C6A71"/>
    <w:rsid w:val="000C76AF"/>
    <w:rsid w:val="000D0B0E"/>
    <w:rsid w:val="000D0D43"/>
    <w:rsid w:val="000D109C"/>
    <w:rsid w:val="000D1155"/>
    <w:rsid w:val="000D160F"/>
    <w:rsid w:val="000D161E"/>
    <w:rsid w:val="000D1C20"/>
    <w:rsid w:val="000D2424"/>
    <w:rsid w:val="000D24AA"/>
    <w:rsid w:val="000D25A8"/>
    <w:rsid w:val="000D2883"/>
    <w:rsid w:val="000D2FAA"/>
    <w:rsid w:val="000D3209"/>
    <w:rsid w:val="000D3B7F"/>
    <w:rsid w:val="000D40B1"/>
    <w:rsid w:val="000D41B8"/>
    <w:rsid w:val="000D458D"/>
    <w:rsid w:val="000D4B80"/>
    <w:rsid w:val="000D4ED8"/>
    <w:rsid w:val="000D5042"/>
    <w:rsid w:val="000D5940"/>
    <w:rsid w:val="000D5B6A"/>
    <w:rsid w:val="000D62D4"/>
    <w:rsid w:val="000D675E"/>
    <w:rsid w:val="000D6911"/>
    <w:rsid w:val="000D6986"/>
    <w:rsid w:val="000D69E2"/>
    <w:rsid w:val="000D6AB5"/>
    <w:rsid w:val="000D6BDB"/>
    <w:rsid w:val="000D6EE0"/>
    <w:rsid w:val="000D7077"/>
    <w:rsid w:val="000E01A6"/>
    <w:rsid w:val="000E0997"/>
    <w:rsid w:val="000E0A1B"/>
    <w:rsid w:val="000E1083"/>
    <w:rsid w:val="000E139F"/>
    <w:rsid w:val="000E1661"/>
    <w:rsid w:val="000E1689"/>
    <w:rsid w:val="000E2E12"/>
    <w:rsid w:val="000E2EEF"/>
    <w:rsid w:val="000E371B"/>
    <w:rsid w:val="000E389A"/>
    <w:rsid w:val="000E3CFE"/>
    <w:rsid w:val="000E3D11"/>
    <w:rsid w:val="000E3EE9"/>
    <w:rsid w:val="000E4AAD"/>
    <w:rsid w:val="000E4C53"/>
    <w:rsid w:val="000E50E4"/>
    <w:rsid w:val="000E5103"/>
    <w:rsid w:val="000E57B8"/>
    <w:rsid w:val="000E59CD"/>
    <w:rsid w:val="000E5A46"/>
    <w:rsid w:val="000E5B35"/>
    <w:rsid w:val="000E5BFA"/>
    <w:rsid w:val="000E5D52"/>
    <w:rsid w:val="000E5E68"/>
    <w:rsid w:val="000E621F"/>
    <w:rsid w:val="000E66D5"/>
    <w:rsid w:val="000E7324"/>
    <w:rsid w:val="000E745F"/>
    <w:rsid w:val="000E7970"/>
    <w:rsid w:val="000E7BDC"/>
    <w:rsid w:val="000F191E"/>
    <w:rsid w:val="000F1F9E"/>
    <w:rsid w:val="000F266A"/>
    <w:rsid w:val="000F34E4"/>
    <w:rsid w:val="000F36B5"/>
    <w:rsid w:val="000F38B3"/>
    <w:rsid w:val="000F3DDD"/>
    <w:rsid w:val="000F494C"/>
    <w:rsid w:val="000F4B09"/>
    <w:rsid w:val="000F4B7E"/>
    <w:rsid w:val="000F52B9"/>
    <w:rsid w:val="000F54B9"/>
    <w:rsid w:val="000F5C79"/>
    <w:rsid w:val="000F66FD"/>
    <w:rsid w:val="000F69BA"/>
    <w:rsid w:val="000F72B1"/>
    <w:rsid w:val="000F7D12"/>
    <w:rsid w:val="000F7EF0"/>
    <w:rsid w:val="00100775"/>
    <w:rsid w:val="00101E88"/>
    <w:rsid w:val="00102201"/>
    <w:rsid w:val="00102BFD"/>
    <w:rsid w:val="00102DFA"/>
    <w:rsid w:val="001037A6"/>
    <w:rsid w:val="0010396F"/>
    <w:rsid w:val="0010435E"/>
    <w:rsid w:val="0010534D"/>
    <w:rsid w:val="001060ED"/>
    <w:rsid w:val="001066FD"/>
    <w:rsid w:val="00106CFB"/>
    <w:rsid w:val="001072DE"/>
    <w:rsid w:val="001073E9"/>
    <w:rsid w:val="0010744F"/>
    <w:rsid w:val="001077F7"/>
    <w:rsid w:val="00107D27"/>
    <w:rsid w:val="00107D79"/>
    <w:rsid w:val="00107DCC"/>
    <w:rsid w:val="00110CA4"/>
    <w:rsid w:val="001111E8"/>
    <w:rsid w:val="001113AB"/>
    <w:rsid w:val="0011185B"/>
    <w:rsid w:val="001119CC"/>
    <w:rsid w:val="00111E1F"/>
    <w:rsid w:val="00112D47"/>
    <w:rsid w:val="001134DA"/>
    <w:rsid w:val="001136D0"/>
    <w:rsid w:val="001140D6"/>
    <w:rsid w:val="001156B9"/>
    <w:rsid w:val="00115B21"/>
    <w:rsid w:val="00115B62"/>
    <w:rsid w:val="00115BCE"/>
    <w:rsid w:val="00115C17"/>
    <w:rsid w:val="00116081"/>
    <w:rsid w:val="0011647B"/>
    <w:rsid w:val="00116539"/>
    <w:rsid w:val="0011712D"/>
    <w:rsid w:val="0011789B"/>
    <w:rsid w:val="00117EFC"/>
    <w:rsid w:val="00120125"/>
    <w:rsid w:val="001207DE"/>
    <w:rsid w:val="00120E71"/>
    <w:rsid w:val="00121089"/>
    <w:rsid w:val="00121F97"/>
    <w:rsid w:val="00122047"/>
    <w:rsid w:val="001222DA"/>
    <w:rsid w:val="001225D6"/>
    <w:rsid w:val="001226F3"/>
    <w:rsid w:val="00122CD9"/>
    <w:rsid w:val="00122F9B"/>
    <w:rsid w:val="001230A0"/>
    <w:rsid w:val="00123416"/>
    <w:rsid w:val="00123AFA"/>
    <w:rsid w:val="00123B25"/>
    <w:rsid w:val="00123E49"/>
    <w:rsid w:val="00123EBD"/>
    <w:rsid w:val="001244E8"/>
    <w:rsid w:val="00124AE4"/>
    <w:rsid w:val="00124F0F"/>
    <w:rsid w:val="00125336"/>
    <w:rsid w:val="001258B5"/>
    <w:rsid w:val="00125F3A"/>
    <w:rsid w:val="00125F4F"/>
    <w:rsid w:val="00126099"/>
    <w:rsid w:val="001260CC"/>
    <w:rsid w:val="00126188"/>
    <w:rsid w:val="00126A66"/>
    <w:rsid w:val="00126CE6"/>
    <w:rsid w:val="00126D0A"/>
    <w:rsid w:val="00127216"/>
    <w:rsid w:val="00127FBB"/>
    <w:rsid w:val="001309C9"/>
    <w:rsid w:val="001312A3"/>
    <w:rsid w:val="00131BF4"/>
    <w:rsid w:val="00131D6A"/>
    <w:rsid w:val="00132200"/>
    <w:rsid w:val="001323F9"/>
    <w:rsid w:val="0013250C"/>
    <w:rsid w:val="00132CD4"/>
    <w:rsid w:val="00132F5C"/>
    <w:rsid w:val="001332F8"/>
    <w:rsid w:val="001339C4"/>
    <w:rsid w:val="00133AA2"/>
    <w:rsid w:val="00134D4D"/>
    <w:rsid w:val="001351E7"/>
    <w:rsid w:val="00135465"/>
    <w:rsid w:val="00135536"/>
    <w:rsid w:val="001356DC"/>
    <w:rsid w:val="00135D13"/>
    <w:rsid w:val="00135EED"/>
    <w:rsid w:val="00136027"/>
    <w:rsid w:val="00136177"/>
    <w:rsid w:val="001365C0"/>
    <w:rsid w:val="0013679C"/>
    <w:rsid w:val="001368B6"/>
    <w:rsid w:val="001368D8"/>
    <w:rsid w:val="001368DB"/>
    <w:rsid w:val="00136932"/>
    <w:rsid w:val="00136B2D"/>
    <w:rsid w:val="00137F87"/>
    <w:rsid w:val="00140731"/>
    <w:rsid w:val="0014125E"/>
    <w:rsid w:val="0014181C"/>
    <w:rsid w:val="0014192C"/>
    <w:rsid w:val="00141DF1"/>
    <w:rsid w:val="001422F3"/>
    <w:rsid w:val="00143203"/>
    <w:rsid w:val="00143341"/>
    <w:rsid w:val="00143364"/>
    <w:rsid w:val="001434EE"/>
    <w:rsid w:val="00143529"/>
    <w:rsid w:val="00143A6B"/>
    <w:rsid w:val="0014414C"/>
    <w:rsid w:val="00144316"/>
    <w:rsid w:val="0014458E"/>
    <w:rsid w:val="00144C11"/>
    <w:rsid w:val="00144F48"/>
    <w:rsid w:val="00144F5E"/>
    <w:rsid w:val="0014509C"/>
    <w:rsid w:val="001450EB"/>
    <w:rsid w:val="001455C9"/>
    <w:rsid w:val="0014593E"/>
    <w:rsid w:val="0014597E"/>
    <w:rsid w:val="00145E82"/>
    <w:rsid w:val="00145FAC"/>
    <w:rsid w:val="0014619F"/>
    <w:rsid w:val="00146A40"/>
    <w:rsid w:val="00146BBD"/>
    <w:rsid w:val="00146C54"/>
    <w:rsid w:val="00146D59"/>
    <w:rsid w:val="00146E6C"/>
    <w:rsid w:val="0014707F"/>
    <w:rsid w:val="00147716"/>
    <w:rsid w:val="0015009F"/>
    <w:rsid w:val="00150A9F"/>
    <w:rsid w:val="00150EA5"/>
    <w:rsid w:val="00151312"/>
    <w:rsid w:val="001522BE"/>
    <w:rsid w:val="001527F3"/>
    <w:rsid w:val="001530AD"/>
    <w:rsid w:val="001533C6"/>
    <w:rsid w:val="0015342E"/>
    <w:rsid w:val="00153B35"/>
    <w:rsid w:val="0015412E"/>
    <w:rsid w:val="00154C10"/>
    <w:rsid w:val="00154CAF"/>
    <w:rsid w:val="00155340"/>
    <w:rsid w:val="001558FB"/>
    <w:rsid w:val="0015592F"/>
    <w:rsid w:val="00155C73"/>
    <w:rsid w:val="00155DD5"/>
    <w:rsid w:val="001569C4"/>
    <w:rsid w:val="001569F9"/>
    <w:rsid w:val="0015724E"/>
    <w:rsid w:val="00157494"/>
    <w:rsid w:val="00157CBB"/>
    <w:rsid w:val="00160332"/>
    <w:rsid w:val="0016070F"/>
    <w:rsid w:val="00160E41"/>
    <w:rsid w:val="001619DE"/>
    <w:rsid w:val="001623BD"/>
    <w:rsid w:val="001623CE"/>
    <w:rsid w:val="001631E1"/>
    <w:rsid w:val="0016367C"/>
    <w:rsid w:val="00163C7C"/>
    <w:rsid w:val="00164C8D"/>
    <w:rsid w:val="00165143"/>
    <w:rsid w:val="00165C5B"/>
    <w:rsid w:val="001661AE"/>
    <w:rsid w:val="00166469"/>
    <w:rsid w:val="00166912"/>
    <w:rsid w:val="00166B8F"/>
    <w:rsid w:val="00166D78"/>
    <w:rsid w:val="00167315"/>
    <w:rsid w:val="00167374"/>
    <w:rsid w:val="00167B35"/>
    <w:rsid w:val="00167E21"/>
    <w:rsid w:val="001700EA"/>
    <w:rsid w:val="00170EAF"/>
    <w:rsid w:val="00171AEA"/>
    <w:rsid w:val="00171FAE"/>
    <w:rsid w:val="001722F4"/>
    <w:rsid w:val="0017285B"/>
    <w:rsid w:val="00172CDA"/>
    <w:rsid w:val="00172DB7"/>
    <w:rsid w:val="00173031"/>
    <w:rsid w:val="00173302"/>
    <w:rsid w:val="00173391"/>
    <w:rsid w:val="001753C3"/>
    <w:rsid w:val="001755FF"/>
    <w:rsid w:val="00175FE5"/>
    <w:rsid w:val="00176145"/>
    <w:rsid w:val="0017619F"/>
    <w:rsid w:val="001761AA"/>
    <w:rsid w:val="0017643C"/>
    <w:rsid w:val="001766AD"/>
    <w:rsid w:val="0017674A"/>
    <w:rsid w:val="00176784"/>
    <w:rsid w:val="00177164"/>
    <w:rsid w:val="00177961"/>
    <w:rsid w:val="00177CE4"/>
    <w:rsid w:val="0018049E"/>
    <w:rsid w:val="001806EF"/>
    <w:rsid w:val="001809D0"/>
    <w:rsid w:val="00180A39"/>
    <w:rsid w:val="00180A7C"/>
    <w:rsid w:val="00180E43"/>
    <w:rsid w:val="00181ABF"/>
    <w:rsid w:val="001828DF"/>
    <w:rsid w:val="00182B0C"/>
    <w:rsid w:val="00182B9C"/>
    <w:rsid w:val="00183091"/>
    <w:rsid w:val="0018353F"/>
    <w:rsid w:val="001838AE"/>
    <w:rsid w:val="00183B59"/>
    <w:rsid w:val="00183CF5"/>
    <w:rsid w:val="0018490C"/>
    <w:rsid w:val="00184A6E"/>
    <w:rsid w:val="00184A71"/>
    <w:rsid w:val="00184DDE"/>
    <w:rsid w:val="001850D6"/>
    <w:rsid w:val="001852F1"/>
    <w:rsid w:val="00185654"/>
    <w:rsid w:val="00185A84"/>
    <w:rsid w:val="00185EA7"/>
    <w:rsid w:val="00185F1D"/>
    <w:rsid w:val="00186928"/>
    <w:rsid w:val="00186F93"/>
    <w:rsid w:val="001871CF"/>
    <w:rsid w:val="001874D6"/>
    <w:rsid w:val="00187A95"/>
    <w:rsid w:val="00187D46"/>
    <w:rsid w:val="0019036D"/>
    <w:rsid w:val="00190482"/>
    <w:rsid w:val="00190AB6"/>
    <w:rsid w:val="00191373"/>
    <w:rsid w:val="00191B51"/>
    <w:rsid w:val="00191D63"/>
    <w:rsid w:val="00192315"/>
    <w:rsid w:val="00192BDC"/>
    <w:rsid w:val="00192D37"/>
    <w:rsid w:val="00192FCE"/>
    <w:rsid w:val="00193974"/>
    <w:rsid w:val="00193C66"/>
    <w:rsid w:val="00193F63"/>
    <w:rsid w:val="00194362"/>
    <w:rsid w:val="00194DDF"/>
    <w:rsid w:val="001955DC"/>
    <w:rsid w:val="00195BE2"/>
    <w:rsid w:val="0019622C"/>
    <w:rsid w:val="0019629A"/>
    <w:rsid w:val="00196A9C"/>
    <w:rsid w:val="001973F7"/>
    <w:rsid w:val="00197855"/>
    <w:rsid w:val="00197950"/>
    <w:rsid w:val="001A007D"/>
    <w:rsid w:val="001A036B"/>
    <w:rsid w:val="001A0732"/>
    <w:rsid w:val="001A096F"/>
    <w:rsid w:val="001A0C3F"/>
    <w:rsid w:val="001A11DD"/>
    <w:rsid w:val="001A1221"/>
    <w:rsid w:val="001A1B22"/>
    <w:rsid w:val="001A1C0C"/>
    <w:rsid w:val="001A20DB"/>
    <w:rsid w:val="001A3A25"/>
    <w:rsid w:val="001A3BCA"/>
    <w:rsid w:val="001A3BF3"/>
    <w:rsid w:val="001A48E7"/>
    <w:rsid w:val="001A4A30"/>
    <w:rsid w:val="001A4F01"/>
    <w:rsid w:val="001A515D"/>
    <w:rsid w:val="001A5AAE"/>
    <w:rsid w:val="001A6048"/>
    <w:rsid w:val="001A636C"/>
    <w:rsid w:val="001A6410"/>
    <w:rsid w:val="001A6929"/>
    <w:rsid w:val="001A6F4D"/>
    <w:rsid w:val="001A75FD"/>
    <w:rsid w:val="001A77AD"/>
    <w:rsid w:val="001A7A87"/>
    <w:rsid w:val="001A7AD3"/>
    <w:rsid w:val="001A7F17"/>
    <w:rsid w:val="001A7F1F"/>
    <w:rsid w:val="001B0F8E"/>
    <w:rsid w:val="001B104E"/>
    <w:rsid w:val="001B1C40"/>
    <w:rsid w:val="001B1D90"/>
    <w:rsid w:val="001B2202"/>
    <w:rsid w:val="001B221B"/>
    <w:rsid w:val="001B2648"/>
    <w:rsid w:val="001B29C1"/>
    <w:rsid w:val="001B2D67"/>
    <w:rsid w:val="001B3276"/>
    <w:rsid w:val="001B3336"/>
    <w:rsid w:val="001B3A1B"/>
    <w:rsid w:val="001B3B39"/>
    <w:rsid w:val="001B48C7"/>
    <w:rsid w:val="001B4A12"/>
    <w:rsid w:val="001B5601"/>
    <w:rsid w:val="001B6BC5"/>
    <w:rsid w:val="001B6C6A"/>
    <w:rsid w:val="001B7381"/>
    <w:rsid w:val="001B763E"/>
    <w:rsid w:val="001B7A4D"/>
    <w:rsid w:val="001B7AA8"/>
    <w:rsid w:val="001B7CA1"/>
    <w:rsid w:val="001B7CBA"/>
    <w:rsid w:val="001B7CDA"/>
    <w:rsid w:val="001C066B"/>
    <w:rsid w:val="001C08E3"/>
    <w:rsid w:val="001C0949"/>
    <w:rsid w:val="001C13BE"/>
    <w:rsid w:val="001C1BDC"/>
    <w:rsid w:val="001C2ABA"/>
    <w:rsid w:val="001C32FF"/>
    <w:rsid w:val="001C35D5"/>
    <w:rsid w:val="001C363F"/>
    <w:rsid w:val="001C3B80"/>
    <w:rsid w:val="001C3CF4"/>
    <w:rsid w:val="001C4027"/>
    <w:rsid w:val="001C48F2"/>
    <w:rsid w:val="001C4A67"/>
    <w:rsid w:val="001C4D27"/>
    <w:rsid w:val="001C5823"/>
    <w:rsid w:val="001C5A8E"/>
    <w:rsid w:val="001C5BA1"/>
    <w:rsid w:val="001C5E45"/>
    <w:rsid w:val="001C6F83"/>
    <w:rsid w:val="001C731A"/>
    <w:rsid w:val="001C73E0"/>
    <w:rsid w:val="001C74BE"/>
    <w:rsid w:val="001C7A53"/>
    <w:rsid w:val="001C7C96"/>
    <w:rsid w:val="001C7DD9"/>
    <w:rsid w:val="001D00F5"/>
    <w:rsid w:val="001D0E7D"/>
    <w:rsid w:val="001D10CC"/>
    <w:rsid w:val="001D115C"/>
    <w:rsid w:val="001D1188"/>
    <w:rsid w:val="001D12C0"/>
    <w:rsid w:val="001D1615"/>
    <w:rsid w:val="001D1E5F"/>
    <w:rsid w:val="001D202A"/>
    <w:rsid w:val="001D20B9"/>
    <w:rsid w:val="001D21C2"/>
    <w:rsid w:val="001D224A"/>
    <w:rsid w:val="001D36A0"/>
    <w:rsid w:val="001D3739"/>
    <w:rsid w:val="001D3DEB"/>
    <w:rsid w:val="001D4069"/>
    <w:rsid w:val="001D4746"/>
    <w:rsid w:val="001D4998"/>
    <w:rsid w:val="001D4E89"/>
    <w:rsid w:val="001D4E8A"/>
    <w:rsid w:val="001D5DAA"/>
    <w:rsid w:val="001D6118"/>
    <w:rsid w:val="001D62E5"/>
    <w:rsid w:val="001D63AB"/>
    <w:rsid w:val="001D7184"/>
    <w:rsid w:val="001D72A6"/>
    <w:rsid w:val="001D7D8E"/>
    <w:rsid w:val="001D7DD9"/>
    <w:rsid w:val="001E033B"/>
    <w:rsid w:val="001E0583"/>
    <w:rsid w:val="001E0E7C"/>
    <w:rsid w:val="001E0FEA"/>
    <w:rsid w:val="001E1847"/>
    <w:rsid w:val="001E20F1"/>
    <w:rsid w:val="001E2A62"/>
    <w:rsid w:val="001E35E1"/>
    <w:rsid w:val="001E434C"/>
    <w:rsid w:val="001E5314"/>
    <w:rsid w:val="001E5446"/>
    <w:rsid w:val="001E55E2"/>
    <w:rsid w:val="001E60C9"/>
    <w:rsid w:val="001E6236"/>
    <w:rsid w:val="001E6621"/>
    <w:rsid w:val="001E66FF"/>
    <w:rsid w:val="001E6803"/>
    <w:rsid w:val="001E6EB9"/>
    <w:rsid w:val="001E6FA8"/>
    <w:rsid w:val="001E7433"/>
    <w:rsid w:val="001E7C31"/>
    <w:rsid w:val="001E7D32"/>
    <w:rsid w:val="001F005B"/>
    <w:rsid w:val="001F01F7"/>
    <w:rsid w:val="001F0317"/>
    <w:rsid w:val="001F0521"/>
    <w:rsid w:val="001F05F8"/>
    <w:rsid w:val="001F0A96"/>
    <w:rsid w:val="001F0B89"/>
    <w:rsid w:val="001F0E81"/>
    <w:rsid w:val="001F0EE7"/>
    <w:rsid w:val="001F1BAE"/>
    <w:rsid w:val="001F1CD1"/>
    <w:rsid w:val="001F21F9"/>
    <w:rsid w:val="001F24C2"/>
    <w:rsid w:val="001F2819"/>
    <w:rsid w:val="001F2B88"/>
    <w:rsid w:val="001F32F5"/>
    <w:rsid w:val="001F3320"/>
    <w:rsid w:val="001F3392"/>
    <w:rsid w:val="001F36DF"/>
    <w:rsid w:val="001F3FE5"/>
    <w:rsid w:val="001F43DB"/>
    <w:rsid w:val="001F4981"/>
    <w:rsid w:val="001F4ADE"/>
    <w:rsid w:val="001F4C55"/>
    <w:rsid w:val="001F524A"/>
    <w:rsid w:val="001F5AF3"/>
    <w:rsid w:val="001F5D63"/>
    <w:rsid w:val="001F6350"/>
    <w:rsid w:val="001F6520"/>
    <w:rsid w:val="001F6877"/>
    <w:rsid w:val="001F6A91"/>
    <w:rsid w:val="001F73AA"/>
    <w:rsid w:val="001F75F0"/>
    <w:rsid w:val="001F7E6A"/>
    <w:rsid w:val="0020050D"/>
    <w:rsid w:val="0020092B"/>
    <w:rsid w:val="002012E8"/>
    <w:rsid w:val="00201562"/>
    <w:rsid w:val="00201608"/>
    <w:rsid w:val="00201E48"/>
    <w:rsid w:val="00203795"/>
    <w:rsid w:val="0020410B"/>
    <w:rsid w:val="002041E4"/>
    <w:rsid w:val="002043EC"/>
    <w:rsid w:val="00204B73"/>
    <w:rsid w:val="002056B6"/>
    <w:rsid w:val="00205E72"/>
    <w:rsid w:val="0020600F"/>
    <w:rsid w:val="002060FA"/>
    <w:rsid w:val="00206528"/>
    <w:rsid w:val="00206D12"/>
    <w:rsid w:val="00207477"/>
    <w:rsid w:val="0020754D"/>
    <w:rsid w:val="00207952"/>
    <w:rsid w:val="002107E8"/>
    <w:rsid w:val="0021095D"/>
    <w:rsid w:val="00210C96"/>
    <w:rsid w:val="00210FD5"/>
    <w:rsid w:val="00211DB7"/>
    <w:rsid w:val="002121BB"/>
    <w:rsid w:val="00212790"/>
    <w:rsid w:val="00212B3D"/>
    <w:rsid w:val="00212E8D"/>
    <w:rsid w:val="00212F0E"/>
    <w:rsid w:val="002139CD"/>
    <w:rsid w:val="00213F07"/>
    <w:rsid w:val="00214045"/>
    <w:rsid w:val="00214FCB"/>
    <w:rsid w:val="002167FF"/>
    <w:rsid w:val="00216E08"/>
    <w:rsid w:val="002170F9"/>
    <w:rsid w:val="002204E1"/>
    <w:rsid w:val="002204E5"/>
    <w:rsid w:val="0022071A"/>
    <w:rsid w:val="00220C61"/>
    <w:rsid w:val="00221050"/>
    <w:rsid w:val="002211EA"/>
    <w:rsid w:val="0022173B"/>
    <w:rsid w:val="00221BC4"/>
    <w:rsid w:val="00221C79"/>
    <w:rsid w:val="00221DA7"/>
    <w:rsid w:val="002220DF"/>
    <w:rsid w:val="002226D0"/>
    <w:rsid w:val="00222A53"/>
    <w:rsid w:val="002230EF"/>
    <w:rsid w:val="002231EF"/>
    <w:rsid w:val="0022391F"/>
    <w:rsid w:val="00223BBB"/>
    <w:rsid w:val="00223D67"/>
    <w:rsid w:val="00223EF1"/>
    <w:rsid w:val="0022402C"/>
    <w:rsid w:val="00224121"/>
    <w:rsid w:val="00224689"/>
    <w:rsid w:val="00224969"/>
    <w:rsid w:val="0022564F"/>
    <w:rsid w:val="00225A2D"/>
    <w:rsid w:val="002266A6"/>
    <w:rsid w:val="0022773F"/>
    <w:rsid w:val="00227903"/>
    <w:rsid w:val="0023075A"/>
    <w:rsid w:val="00231797"/>
    <w:rsid w:val="00231A88"/>
    <w:rsid w:val="00231B68"/>
    <w:rsid w:val="00232D11"/>
    <w:rsid w:val="0023313F"/>
    <w:rsid w:val="0023360C"/>
    <w:rsid w:val="002338CB"/>
    <w:rsid w:val="00233E37"/>
    <w:rsid w:val="00233FD8"/>
    <w:rsid w:val="0023494A"/>
    <w:rsid w:val="00234C31"/>
    <w:rsid w:val="00234DEC"/>
    <w:rsid w:val="00235327"/>
    <w:rsid w:val="0023577F"/>
    <w:rsid w:val="00235EE1"/>
    <w:rsid w:val="00236745"/>
    <w:rsid w:val="00236BE7"/>
    <w:rsid w:val="00236EC1"/>
    <w:rsid w:val="0023796F"/>
    <w:rsid w:val="00240465"/>
    <w:rsid w:val="00240C1F"/>
    <w:rsid w:val="00241480"/>
    <w:rsid w:val="00241660"/>
    <w:rsid w:val="00241A1D"/>
    <w:rsid w:val="00241B6A"/>
    <w:rsid w:val="00242749"/>
    <w:rsid w:val="00242D13"/>
    <w:rsid w:val="002432F2"/>
    <w:rsid w:val="00243DC0"/>
    <w:rsid w:val="00244244"/>
    <w:rsid w:val="002444AD"/>
    <w:rsid w:val="002446FC"/>
    <w:rsid w:val="00244E53"/>
    <w:rsid w:val="00245322"/>
    <w:rsid w:val="00245CD3"/>
    <w:rsid w:val="002461D7"/>
    <w:rsid w:val="00247380"/>
    <w:rsid w:val="00247477"/>
    <w:rsid w:val="00247569"/>
    <w:rsid w:val="0024780E"/>
    <w:rsid w:val="00250062"/>
    <w:rsid w:val="002501C1"/>
    <w:rsid w:val="00250461"/>
    <w:rsid w:val="00250AF8"/>
    <w:rsid w:val="00250AFB"/>
    <w:rsid w:val="00250FAE"/>
    <w:rsid w:val="0025102F"/>
    <w:rsid w:val="00251C7F"/>
    <w:rsid w:val="00251D17"/>
    <w:rsid w:val="00251F41"/>
    <w:rsid w:val="00251FA7"/>
    <w:rsid w:val="00251FB0"/>
    <w:rsid w:val="002528BF"/>
    <w:rsid w:val="00253080"/>
    <w:rsid w:val="00253718"/>
    <w:rsid w:val="0025386B"/>
    <w:rsid w:val="00253A34"/>
    <w:rsid w:val="00253C36"/>
    <w:rsid w:val="00253C4F"/>
    <w:rsid w:val="00253D07"/>
    <w:rsid w:val="00253F3F"/>
    <w:rsid w:val="002543F6"/>
    <w:rsid w:val="00254D18"/>
    <w:rsid w:val="0025528F"/>
    <w:rsid w:val="002564AE"/>
    <w:rsid w:val="00256BE7"/>
    <w:rsid w:val="00256D59"/>
    <w:rsid w:val="00257014"/>
    <w:rsid w:val="00257447"/>
    <w:rsid w:val="002575B3"/>
    <w:rsid w:val="00257849"/>
    <w:rsid w:val="00257E4D"/>
    <w:rsid w:val="0026009A"/>
    <w:rsid w:val="002601ED"/>
    <w:rsid w:val="00260219"/>
    <w:rsid w:val="0026028E"/>
    <w:rsid w:val="0026030B"/>
    <w:rsid w:val="002610BB"/>
    <w:rsid w:val="00261575"/>
    <w:rsid w:val="00262B93"/>
    <w:rsid w:val="00262F55"/>
    <w:rsid w:val="00263381"/>
    <w:rsid w:val="0026383F"/>
    <w:rsid w:val="00263854"/>
    <w:rsid w:val="00263B0D"/>
    <w:rsid w:val="00263C39"/>
    <w:rsid w:val="002646AE"/>
    <w:rsid w:val="00264767"/>
    <w:rsid w:val="002647C7"/>
    <w:rsid w:val="00264DC4"/>
    <w:rsid w:val="00264FC0"/>
    <w:rsid w:val="0026557A"/>
    <w:rsid w:val="00265BB0"/>
    <w:rsid w:val="00266118"/>
    <w:rsid w:val="00266441"/>
    <w:rsid w:val="002664F9"/>
    <w:rsid w:val="00266533"/>
    <w:rsid w:val="002665BE"/>
    <w:rsid w:val="00266AED"/>
    <w:rsid w:val="00266B21"/>
    <w:rsid w:val="00266BE5"/>
    <w:rsid w:val="00266D20"/>
    <w:rsid w:val="00266F71"/>
    <w:rsid w:val="00266FAD"/>
    <w:rsid w:val="00267657"/>
    <w:rsid w:val="00267B2F"/>
    <w:rsid w:val="00270170"/>
    <w:rsid w:val="00270440"/>
    <w:rsid w:val="0027092F"/>
    <w:rsid w:val="00270E62"/>
    <w:rsid w:val="00270F2C"/>
    <w:rsid w:val="002711C7"/>
    <w:rsid w:val="002720DE"/>
    <w:rsid w:val="00272709"/>
    <w:rsid w:val="002727F0"/>
    <w:rsid w:val="00272D98"/>
    <w:rsid w:val="00272E40"/>
    <w:rsid w:val="0027303C"/>
    <w:rsid w:val="00273455"/>
    <w:rsid w:val="002734EB"/>
    <w:rsid w:val="0027357D"/>
    <w:rsid w:val="00273A2B"/>
    <w:rsid w:val="00273A85"/>
    <w:rsid w:val="002748C3"/>
    <w:rsid w:val="00274DDD"/>
    <w:rsid w:val="00275004"/>
    <w:rsid w:val="002750F0"/>
    <w:rsid w:val="002759C9"/>
    <w:rsid w:val="002759F7"/>
    <w:rsid w:val="00275B1E"/>
    <w:rsid w:val="00275B59"/>
    <w:rsid w:val="00275F1A"/>
    <w:rsid w:val="00275F50"/>
    <w:rsid w:val="00276278"/>
    <w:rsid w:val="00277018"/>
    <w:rsid w:val="002777D2"/>
    <w:rsid w:val="002777EE"/>
    <w:rsid w:val="00277B31"/>
    <w:rsid w:val="0028041B"/>
    <w:rsid w:val="0028094E"/>
    <w:rsid w:val="00280DE2"/>
    <w:rsid w:val="0028107B"/>
    <w:rsid w:val="00281153"/>
    <w:rsid w:val="002811D2"/>
    <w:rsid w:val="00281224"/>
    <w:rsid w:val="0028146C"/>
    <w:rsid w:val="0028163B"/>
    <w:rsid w:val="002816A6"/>
    <w:rsid w:val="00281946"/>
    <w:rsid w:val="0028322C"/>
    <w:rsid w:val="00283B21"/>
    <w:rsid w:val="00284507"/>
    <w:rsid w:val="002849DE"/>
    <w:rsid w:val="00284FC0"/>
    <w:rsid w:val="00285030"/>
    <w:rsid w:val="0028503F"/>
    <w:rsid w:val="0028516A"/>
    <w:rsid w:val="0028529F"/>
    <w:rsid w:val="002853C6"/>
    <w:rsid w:val="00286C9D"/>
    <w:rsid w:val="002874C0"/>
    <w:rsid w:val="002900D2"/>
    <w:rsid w:val="002902F7"/>
    <w:rsid w:val="0029077C"/>
    <w:rsid w:val="00291256"/>
    <w:rsid w:val="00291859"/>
    <w:rsid w:val="00291BF9"/>
    <w:rsid w:val="00291CC6"/>
    <w:rsid w:val="00291FB9"/>
    <w:rsid w:val="00292098"/>
    <w:rsid w:val="002922C4"/>
    <w:rsid w:val="00292405"/>
    <w:rsid w:val="00293067"/>
    <w:rsid w:val="00293A0A"/>
    <w:rsid w:val="00293DEE"/>
    <w:rsid w:val="002941E2"/>
    <w:rsid w:val="00294940"/>
    <w:rsid w:val="00294A6D"/>
    <w:rsid w:val="00295276"/>
    <w:rsid w:val="00295420"/>
    <w:rsid w:val="002961FF"/>
    <w:rsid w:val="0029656A"/>
    <w:rsid w:val="00296A42"/>
    <w:rsid w:val="00296E9C"/>
    <w:rsid w:val="00296F3C"/>
    <w:rsid w:val="002971D6"/>
    <w:rsid w:val="0029799D"/>
    <w:rsid w:val="00297DFA"/>
    <w:rsid w:val="002A05C9"/>
    <w:rsid w:val="002A0A4D"/>
    <w:rsid w:val="002A0AEA"/>
    <w:rsid w:val="002A0D6C"/>
    <w:rsid w:val="002A0E71"/>
    <w:rsid w:val="002A0F97"/>
    <w:rsid w:val="002A15DD"/>
    <w:rsid w:val="002A27FF"/>
    <w:rsid w:val="002A2A4B"/>
    <w:rsid w:val="002A2C52"/>
    <w:rsid w:val="002A2FFB"/>
    <w:rsid w:val="002A3047"/>
    <w:rsid w:val="002A37FE"/>
    <w:rsid w:val="002A391E"/>
    <w:rsid w:val="002A3A41"/>
    <w:rsid w:val="002A3CBD"/>
    <w:rsid w:val="002A3E8E"/>
    <w:rsid w:val="002A43CF"/>
    <w:rsid w:val="002A4442"/>
    <w:rsid w:val="002A4FB1"/>
    <w:rsid w:val="002A5064"/>
    <w:rsid w:val="002A512A"/>
    <w:rsid w:val="002A6195"/>
    <w:rsid w:val="002A626E"/>
    <w:rsid w:val="002A628C"/>
    <w:rsid w:val="002A65B7"/>
    <w:rsid w:val="002A7194"/>
    <w:rsid w:val="002A782C"/>
    <w:rsid w:val="002A7857"/>
    <w:rsid w:val="002A79F2"/>
    <w:rsid w:val="002A7EEB"/>
    <w:rsid w:val="002B00B8"/>
    <w:rsid w:val="002B0871"/>
    <w:rsid w:val="002B09BE"/>
    <w:rsid w:val="002B14DE"/>
    <w:rsid w:val="002B1562"/>
    <w:rsid w:val="002B1784"/>
    <w:rsid w:val="002B1AE8"/>
    <w:rsid w:val="002B225C"/>
    <w:rsid w:val="002B230A"/>
    <w:rsid w:val="002B2517"/>
    <w:rsid w:val="002B26AE"/>
    <w:rsid w:val="002B2AEB"/>
    <w:rsid w:val="002B2F72"/>
    <w:rsid w:val="002B359F"/>
    <w:rsid w:val="002B3DAA"/>
    <w:rsid w:val="002B3EA2"/>
    <w:rsid w:val="002B436D"/>
    <w:rsid w:val="002B4564"/>
    <w:rsid w:val="002B4796"/>
    <w:rsid w:val="002B492A"/>
    <w:rsid w:val="002B4B62"/>
    <w:rsid w:val="002B587F"/>
    <w:rsid w:val="002B588A"/>
    <w:rsid w:val="002B6511"/>
    <w:rsid w:val="002B6C8A"/>
    <w:rsid w:val="002B6EE6"/>
    <w:rsid w:val="002B6F2F"/>
    <w:rsid w:val="002B745F"/>
    <w:rsid w:val="002B7934"/>
    <w:rsid w:val="002C008E"/>
    <w:rsid w:val="002C03D2"/>
    <w:rsid w:val="002C0581"/>
    <w:rsid w:val="002C0A9F"/>
    <w:rsid w:val="002C0C1E"/>
    <w:rsid w:val="002C0DD5"/>
    <w:rsid w:val="002C1017"/>
    <w:rsid w:val="002C1746"/>
    <w:rsid w:val="002C1B60"/>
    <w:rsid w:val="002C2693"/>
    <w:rsid w:val="002C2AA6"/>
    <w:rsid w:val="002C33D6"/>
    <w:rsid w:val="002C3C6D"/>
    <w:rsid w:val="002C3E9D"/>
    <w:rsid w:val="002C4DA9"/>
    <w:rsid w:val="002C54E8"/>
    <w:rsid w:val="002C5C6C"/>
    <w:rsid w:val="002C5EBF"/>
    <w:rsid w:val="002C6A6A"/>
    <w:rsid w:val="002C6CD6"/>
    <w:rsid w:val="002C7A95"/>
    <w:rsid w:val="002C7DD2"/>
    <w:rsid w:val="002C7FE9"/>
    <w:rsid w:val="002D0271"/>
    <w:rsid w:val="002D0626"/>
    <w:rsid w:val="002D0DF0"/>
    <w:rsid w:val="002D1AA5"/>
    <w:rsid w:val="002D1B41"/>
    <w:rsid w:val="002D1E6F"/>
    <w:rsid w:val="002D2070"/>
    <w:rsid w:val="002D22CE"/>
    <w:rsid w:val="002D2334"/>
    <w:rsid w:val="002D276D"/>
    <w:rsid w:val="002D2ADD"/>
    <w:rsid w:val="002D2CA8"/>
    <w:rsid w:val="002D30E0"/>
    <w:rsid w:val="002D34DA"/>
    <w:rsid w:val="002D3684"/>
    <w:rsid w:val="002D3DEC"/>
    <w:rsid w:val="002D3E93"/>
    <w:rsid w:val="002D441D"/>
    <w:rsid w:val="002D4621"/>
    <w:rsid w:val="002D46F0"/>
    <w:rsid w:val="002D47AD"/>
    <w:rsid w:val="002D4EFD"/>
    <w:rsid w:val="002D56DB"/>
    <w:rsid w:val="002D5B0B"/>
    <w:rsid w:val="002D5C83"/>
    <w:rsid w:val="002D5DBC"/>
    <w:rsid w:val="002D5FCF"/>
    <w:rsid w:val="002D60F3"/>
    <w:rsid w:val="002D619C"/>
    <w:rsid w:val="002D6356"/>
    <w:rsid w:val="002D6644"/>
    <w:rsid w:val="002D68E2"/>
    <w:rsid w:val="002D6C63"/>
    <w:rsid w:val="002D70B7"/>
    <w:rsid w:val="002D7252"/>
    <w:rsid w:val="002D7C60"/>
    <w:rsid w:val="002E00DA"/>
    <w:rsid w:val="002E070B"/>
    <w:rsid w:val="002E0999"/>
    <w:rsid w:val="002E148F"/>
    <w:rsid w:val="002E1C76"/>
    <w:rsid w:val="002E2311"/>
    <w:rsid w:val="002E277A"/>
    <w:rsid w:val="002E3715"/>
    <w:rsid w:val="002E375C"/>
    <w:rsid w:val="002E37DA"/>
    <w:rsid w:val="002E4645"/>
    <w:rsid w:val="002E4824"/>
    <w:rsid w:val="002E4DB2"/>
    <w:rsid w:val="002E5369"/>
    <w:rsid w:val="002E5D9D"/>
    <w:rsid w:val="002E64F5"/>
    <w:rsid w:val="002E6A62"/>
    <w:rsid w:val="002E6D57"/>
    <w:rsid w:val="002E71A6"/>
    <w:rsid w:val="002E744A"/>
    <w:rsid w:val="002E7A0D"/>
    <w:rsid w:val="002E7CFB"/>
    <w:rsid w:val="002F0610"/>
    <w:rsid w:val="002F0837"/>
    <w:rsid w:val="002F0C44"/>
    <w:rsid w:val="002F115E"/>
    <w:rsid w:val="002F207E"/>
    <w:rsid w:val="002F22DD"/>
    <w:rsid w:val="002F23BD"/>
    <w:rsid w:val="002F2D54"/>
    <w:rsid w:val="002F2DAE"/>
    <w:rsid w:val="002F3069"/>
    <w:rsid w:val="002F3397"/>
    <w:rsid w:val="002F3D13"/>
    <w:rsid w:val="002F469D"/>
    <w:rsid w:val="002F4815"/>
    <w:rsid w:val="002F49B4"/>
    <w:rsid w:val="002F4D41"/>
    <w:rsid w:val="002F4D5F"/>
    <w:rsid w:val="002F5246"/>
    <w:rsid w:val="002F557F"/>
    <w:rsid w:val="002F5763"/>
    <w:rsid w:val="002F57B7"/>
    <w:rsid w:val="002F5A5F"/>
    <w:rsid w:val="002F5CE7"/>
    <w:rsid w:val="002F603B"/>
    <w:rsid w:val="002F6E1C"/>
    <w:rsid w:val="002F7757"/>
    <w:rsid w:val="002F77CA"/>
    <w:rsid w:val="00300396"/>
    <w:rsid w:val="00300770"/>
    <w:rsid w:val="00300E53"/>
    <w:rsid w:val="00300E8D"/>
    <w:rsid w:val="003012B7"/>
    <w:rsid w:val="00301415"/>
    <w:rsid w:val="00301691"/>
    <w:rsid w:val="00302005"/>
    <w:rsid w:val="00302670"/>
    <w:rsid w:val="003026B6"/>
    <w:rsid w:val="00302B12"/>
    <w:rsid w:val="00302F72"/>
    <w:rsid w:val="003031F4"/>
    <w:rsid w:val="003035C9"/>
    <w:rsid w:val="003035D9"/>
    <w:rsid w:val="00303F2A"/>
    <w:rsid w:val="00303F9B"/>
    <w:rsid w:val="00304B3A"/>
    <w:rsid w:val="003050E0"/>
    <w:rsid w:val="00305ACD"/>
    <w:rsid w:val="0030600D"/>
    <w:rsid w:val="0030613C"/>
    <w:rsid w:val="003064E8"/>
    <w:rsid w:val="003066C4"/>
    <w:rsid w:val="0030680A"/>
    <w:rsid w:val="00306BF6"/>
    <w:rsid w:val="003070EB"/>
    <w:rsid w:val="00307391"/>
    <w:rsid w:val="0030748B"/>
    <w:rsid w:val="00307ECB"/>
    <w:rsid w:val="00310993"/>
    <w:rsid w:val="00310D29"/>
    <w:rsid w:val="00312597"/>
    <w:rsid w:val="00312690"/>
    <w:rsid w:val="0031295D"/>
    <w:rsid w:val="00312FBC"/>
    <w:rsid w:val="00313805"/>
    <w:rsid w:val="003149C1"/>
    <w:rsid w:val="00314A86"/>
    <w:rsid w:val="003154D7"/>
    <w:rsid w:val="0031556C"/>
    <w:rsid w:val="00315ACE"/>
    <w:rsid w:val="00316071"/>
    <w:rsid w:val="003160EB"/>
    <w:rsid w:val="0031674B"/>
    <w:rsid w:val="003169A2"/>
    <w:rsid w:val="00316D0D"/>
    <w:rsid w:val="00316DBA"/>
    <w:rsid w:val="0031766A"/>
    <w:rsid w:val="00317E6B"/>
    <w:rsid w:val="00317F31"/>
    <w:rsid w:val="00320829"/>
    <w:rsid w:val="00321094"/>
    <w:rsid w:val="003212C5"/>
    <w:rsid w:val="0032142F"/>
    <w:rsid w:val="00321A36"/>
    <w:rsid w:val="00321E3B"/>
    <w:rsid w:val="0032201E"/>
    <w:rsid w:val="0032208C"/>
    <w:rsid w:val="0032234C"/>
    <w:rsid w:val="00322696"/>
    <w:rsid w:val="00322D56"/>
    <w:rsid w:val="00322E01"/>
    <w:rsid w:val="003231D0"/>
    <w:rsid w:val="003233CA"/>
    <w:rsid w:val="003234D2"/>
    <w:rsid w:val="00323B76"/>
    <w:rsid w:val="0032458A"/>
    <w:rsid w:val="00324C1C"/>
    <w:rsid w:val="003250AD"/>
    <w:rsid w:val="003250E2"/>
    <w:rsid w:val="00325290"/>
    <w:rsid w:val="003255C2"/>
    <w:rsid w:val="00325F99"/>
    <w:rsid w:val="00326256"/>
    <w:rsid w:val="0032671E"/>
    <w:rsid w:val="003267A7"/>
    <w:rsid w:val="003269CF"/>
    <w:rsid w:val="00326B59"/>
    <w:rsid w:val="00326C81"/>
    <w:rsid w:val="00326DD6"/>
    <w:rsid w:val="00326F37"/>
    <w:rsid w:val="00326FAC"/>
    <w:rsid w:val="003273FB"/>
    <w:rsid w:val="00327EE2"/>
    <w:rsid w:val="00330358"/>
    <w:rsid w:val="0033086C"/>
    <w:rsid w:val="00331080"/>
    <w:rsid w:val="00331236"/>
    <w:rsid w:val="00331293"/>
    <w:rsid w:val="003312B7"/>
    <w:rsid w:val="0033134E"/>
    <w:rsid w:val="00331709"/>
    <w:rsid w:val="00331890"/>
    <w:rsid w:val="00331D08"/>
    <w:rsid w:val="00332022"/>
    <w:rsid w:val="0033212D"/>
    <w:rsid w:val="0033274F"/>
    <w:rsid w:val="00332B10"/>
    <w:rsid w:val="00332CE0"/>
    <w:rsid w:val="00332D30"/>
    <w:rsid w:val="00332FA6"/>
    <w:rsid w:val="00333757"/>
    <w:rsid w:val="0033399E"/>
    <w:rsid w:val="003358BB"/>
    <w:rsid w:val="00335986"/>
    <w:rsid w:val="00335EE1"/>
    <w:rsid w:val="00336106"/>
    <w:rsid w:val="00336A76"/>
    <w:rsid w:val="00336B48"/>
    <w:rsid w:val="003375A7"/>
    <w:rsid w:val="003375E3"/>
    <w:rsid w:val="0034021A"/>
    <w:rsid w:val="0034050E"/>
    <w:rsid w:val="003411A1"/>
    <w:rsid w:val="003416A0"/>
    <w:rsid w:val="00341B62"/>
    <w:rsid w:val="00341EBD"/>
    <w:rsid w:val="0034265B"/>
    <w:rsid w:val="00342E1A"/>
    <w:rsid w:val="00343039"/>
    <w:rsid w:val="003432C8"/>
    <w:rsid w:val="00343408"/>
    <w:rsid w:val="00343E5C"/>
    <w:rsid w:val="003443E7"/>
    <w:rsid w:val="003444BA"/>
    <w:rsid w:val="00344B1F"/>
    <w:rsid w:val="00344D8F"/>
    <w:rsid w:val="00344DDF"/>
    <w:rsid w:val="00344F64"/>
    <w:rsid w:val="003452E5"/>
    <w:rsid w:val="00345695"/>
    <w:rsid w:val="003459CD"/>
    <w:rsid w:val="00345AF7"/>
    <w:rsid w:val="003462A9"/>
    <w:rsid w:val="003464EF"/>
    <w:rsid w:val="00346527"/>
    <w:rsid w:val="003468E1"/>
    <w:rsid w:val="0034759C"/>
    <w:rsid w:val="00347EA7"/>
    <w:rsid w:val="003506E5"/>
    <w:rsid w:val="00350D93"/>
    <w:rsid w:val="0035164A"/>
    <w:rsid w:val="003520FF"/>
    <w:rsid w:val="003528FE"/>
    <w:rsid w:val="00352CFE"/>
    <w:rsid w:val="0035330A"/>
    <w:rsid w:val="00353D7C"/>
    <w:rsid w:val="00354744"/>
    <w:rsid w:val="00354D2B"/>
    <w:rsid w:val="00354E03"/>
    <w:rsid w:val="00354FAF"/>
    <w:rsid w:val="00355764"/>
    <w:rsid w:val="003558E7"/>
    <w:rsid w:val="00355909"/>
    <w:rsid w:val="00355951"/>
    <w:rsid w:val="00355B0B"/>
    <w:rsid w:val="0035625E"/>
    <w:rsid w:val="00356262"/>
    <w:rsid w:val="0035674C"/>
    <w:rsid w:val="00356F4D"/>
    <w:rsid w:val="00357D34"/>
    <w:rsid w:val="00360136"/>
    <w:rsid w:val="0036017B"/>
    <w:rsid w:val="003601D3"/>
    <w:rsid w:val="0036030B"/>
    <w:rsid w:val="003604FB"/>
    <w:rsid w:val="003606D7"/>
    <w:rsid w:val="00360DA7"/>
    <w:rsid w:val="00360FD9"/>
    <w:rsid w:val="003611C5"/>
    <w:rsid w:val="00361289"/>
    <w:rsid w:val="00361CD0"/>
    <w:rsid w:val="00361D2B"/>
    <w:rsid w:val="00361DF6"/>
    <w:rsid w:val="00361E63"/>
    <w:rsid w:val="00362755"/>
    <w:rsid w:val="00362BD3"/>
    <w:rsid w:val="0036303A"/>
    <w:rsid w:val="00363510"/>
    <w:rsid w:val="00363CC3"/>
    <w:rsid w:val="003641AF"/>
    <w:rsid w:val="00364CDE"/>
    <w:rsid w:val="003651A1"/>
    <w:rsid w:val="003652E9"/>
    <w:rsid w:val="00365331"/>
    <w:rsid w:val="003656C8"/>
    <w:rsid w:val="003659C7"/>
    <w:rsid w:val="00365CB5"/>
    <w:rsid w:val="00365D7A"/>
    <w:rsid w:val="00365DB9"/>
    <w:rsid w:val="003668A2"/>
    <w:rsid w:val="00366B1A"/>
    <w:rsid w:val="00367501"/>
    <w:rsid w:val="003711ED"/>
    <w:rsid w:val="00371903"/>
    <w:rsid w:val="00371DA5"/>
    <w:rsid w:val="003728E6"/>
    <w:rsid w:val="00372DC5"/>
    <w:rsid w:val="0037310F"/>
    <w:rsid w:val="003731A5"/>
    <w:rsid w:val="00373B93"/>
    <w:rsid w:val="00374400"/>
    <w:rsid w:val="003744A2"/>
    <w:rsid w:val="00375883"/>
    <w:rsid w:val="00375D70"/>
    <w:rsid w:val="00375DC8"/>
    <w:rsid w:val="00375F84"/>
    <w:rsid w:val="003762FC"/>
    <w:rsid w:val="00376482"/>
    <w:rsid w:val="00376A8D"/>
    <w:rsid w:val="003774E9"/>
    <w:rsid w:val="00377C67"/>
    <w:rsid w:val="00377E89"/>
    <w:rsid w:val="0038005B"/>
    <w:rsid w:val="003800F0"/>
    <w:rsid w:val="00380401"/>
    <w:rsid w:val="00380672"/>
    <w:rsid w:val="00380C66"/>
    <w:rsid w:val="00380E4F"/>
    <w:rsid w:val="0038180A"/>
    <w:rsid w:val="00381CDE"/>
    <w:rsid w:val="00382FA5"/>
    <w:rsid w:val="00383011"/>
    <w:rsid w:val="003836B7"/>
    <w:rsid w:val="00383A01"/>
    <w:rsid w:val="00383D6B"/>
    <w:rsid w:val="00383F54"/>
    <w:rsid w:val="003845A8"/>
    <w:rsid w:val="003849A7"/>
    <w:rsid w:val="00384F04"/>
    <w:rsid w:val="00384F59"/>
    <w:rsid w:val="0038574A"/>
    <w:rsid w:val="003858F5"/>
    <w:rsid w:val="00385B9C"/>
    <w:rsid w:val="00385F62"/>
    <w:rsid w:val="0038623E"/>
    <w:rsid w:val="003862CB"/>
    <w:rsid w:val="003863AC"/>
    <w:rsid w:val="003867AB"/>
    <w:rsid w:val="00386832"/>
    <w:rsid w:val="00386D2F"/>
    <w:rsid w:val="00386DE9"/>
    <w:rsid w:val="003872B7"/>
    <w:rsid w:val="00387A08"/>
    <w:rsid w:val="00387CE7"/>
    <w:rsid w:val="003901BB"/>
    <w:rsid w:val="00390E14"/>
    <w:rsid w:val="00391059"/>
    <w:rsid w:val="003918A9"/>
    <w:rsid w:val="00391909"/>
    <w:rsid w:val="00391D40"/>
    <w:rsid w:val="00391F65"/>
    <w:rsid w:val="00392155"/>
    <w:rsid w:val="00392D6D"/>
    <w:rsid w:val="00393582"/>
    <w:rsid w:val="00393AE4"/>
    <w:rsid w:val="003947E4"/>
    <w:rsid w:val="003948E6"/>
    <w:rsid w:val="00394EDB"/>
    <w:rsid w:val="00395232"/>
    <w:rsid w:val="003966E4"/>
    <w:rsid w:val="003971A0"/>
    <w:rsid w:val="003978D2"/>
    <w:rsid w:val="0039792E"/>
    <w:rsid w:val="00397980"/>
    <w:rsid w:val="00397BCE"/>
    <w:rsid w:val="00397E9D"/>
    <w:rsid w:val="003A0276"/>
    <w:rsid w:val="003A03DF"/>
    <w:rsid w:val="003A0578"/>
    <w:rsid w:val="003A2127"/>
    <w:rsid w:val="003A214D"/>
    <w:rsid w:val="003A2234"/>
    <w:rsid w:val="003A31BD"/>
    <w:rsid w:val="003A33A3"/>
    <w:rsid w:val="003A34FA"/>
    <w:rsid w:val="003A36CC"/>
    <w:rsid w:val="003A45F7"/>
    <w:rsid w:val="003A4ACA"/>
    <w:rsid w:val="003A4E2F"/>
    <w:rsid w:val="003A51D2"/>
    <w:rsid w:val="003A573E"/>
    <w:rsid w:val="003A581E"/>
    <w:rsid w:val="003A5972"/>
    <w:rsid w:val="003A59EE"/>
    <w:rsid w:val="003A5AED"/>
    <w:rsid w:val="003A6ACF"/>
    <w:rsid w:val="003A7445"/>
    <w:rsid w:val="003A777F"/>
    <w:rsid w:val="003A7958"/>
    <w:rsid w:val="003B0253"/>
    <w:rsid w:val="003B076D"/>
    <w:rsid w:val="003B0A4B"/>
    <w:rsid w:val="003B0CB5"/>
    <w:rsid w:val="003B13ED"/>
    <w:rsid w:val="003B1D18"/>
    <w:rsid w:val="003B1EFC"/>
    <w:rsid w:val="003B2918"/>
    <w:rsid w:val="003B2D4D"/>
    <w:rsid w:val="003B30AB"/>
    <w:rsid w:val="003B387F"/>
    <w:rsid w:val="003B4036"/>
    <w:rsid w:val="003B4304"/>
    <w:rsid w:val="003B450E"/>
    <w:rsid w:val="003B4B4D"/>
    <w:rsid w:val="003B509C"/>
    <w:rsid w:val="003B5606"/>
    <w:rsid w:val="003B63D0"/>
    <w:rsid w:val="003B6C9C"/>
    <w:rsid w:val="003B7484"/>
    <w:rsid w:val="003B7D7B"/>
    <w:rsid w:val="003B7E0F"/>
    <w:rsid w:val="003B7F7D"/>
    <w:rsid w:val="003C0266"/>
    <w:rsid w:val="003C0274"/>
    <w:rsid w:val="003C0437"/>
    <w:rsid w:val="003C053D"/>
    <w:rsid w:val="003C0BC1"/>
    <w:rsid w:val="003C0EEF"/>
    <w:rsid w:val="003C14A1"/>
    <w:rsid w:val="003C189E"/>
    <w:rsid w:val="003C18D7"/>
    <w:rsid w:val="003C19A4"/>
    <w:rsid w:val="003C1E3D"/>
    <w:rsid w:val="003C2521"/>
    <w:rsid w:val="003C320B"/>
    <w:rsid w:val="003C33B1"/>
    <w:rsid w:val="003C33BD"/>
    <w:rsid w:val="003C3B12"/>
    <w:rsid w:val="003C3B9C"/>
    <w:rsid w:val="003C3DA2"/>
    <w:rsid w:val="003C4152"/>
    <w:rsid w:val="003C47C5"/>
    <w:rsid w:val="003C51AF"/>
    <w:rsid w:val="003C6195"/>
    <w:rsid w:val="003C6987"/>
    <w:rsid w:val="003C7254"/>
    <w:rsid w:val="003C75A6"/>
    <w:rsid w:val="003C7B31"/>
    <w:rsid w:val="003C7D97"/>
    <w:rsid w:val="003C7FDE"/>
    <w:rsid w:val="003D0211"/>
    <w:rsid w:val="003D0703"/>
    <w:rsid w:val="003D0813"/>
    <w:rsid w:val="003D0831"/>
    <w:rsid w:val="003D0A12"/>
    <w:rsid w:val="003D1157"/>
    <w:rsid w:val="003D2728"/>
    <w:rsid w:val="003D2857"/>
    <w:rsid w:val="003D301C"/>
    <w:rsid w:val="003D344A"/>
    <w:rsid w:val="003D3521"/>
    <w:rsid w:val="003D3891"/>
    <w:rsid w:val="003D3BA5"/>
    <w:rsid w:val="003D59E0"/>
    <w:rsid w:val="003D5F44"/>
    <w:rsid w:val="003D64AF"/>
    <w:rsid w:val="003D659F"/>
    <w:rsid w:val="003D6C9A"/>
    <w:rsid w:val="003D6EE2"/>
    <w:rsid w:val="003D70D5"/>
    <w:rsid w:val="003E0D81"/>
    <w:rsid w:val="003E1ACE"/>
    <w:rsid w:val="003E1C4A"/>
    <w:rsid w:val="003E1D43"/>
    <w:rsid w:val="003E265A"/>
    <w:rsid w:val="003E2697"/>
    <w:rsid w:val="003E2A5D"/>
    <w:rsid w:val="003E2AF9"/>
    <w:rsid w:val="003E2C8F"/>
    <w:rsid w:val="003E2F5C"/>
    <w:rsid w:val="003E2FD6"/>
    <w:rsid w:val="003E3013"/>
    <w:rsid w:val="003E33F6"/>
    <w:rsid w:val="003E3712"/>
    <w:rsid w:val="003E383C"/>
    <w:rsid w:val="003E4014"/>
    <w:rsid w:val="003E449A"/>
    <w:rsid w:val="003E5C78"/>
    <w:rsid w:val="003E6805"/>
    <w:rsid w:val="003E6895"/>
    <w:rsid w:val="003E6FFB"/>
    <w:rsid w:val="003E71FA"/>
    <w:rsid w:val="003E74E2"/>
    <w:rsid w:val="003F025C"/>
    <w:rsid w:val="003F0CC1"/>
    <w:rsid w:val="003F123A"/>
    <w:rsid w:val="003F1989"/>
    <w:rsid w:val="003F1EF7"/>
    <w:rsid w:val="003F2090"/>
    <w:rsid w:val="003F2970"/>
    <w:rsid w:val="003F2E45"/>
    <w:rsid w:val="003F30FF"/>
    <w:rsid w:val="003F3913"/>
    <w:rsid w:val="003F3AF6"/>
    <w:rsid w:val="003F3E31"/>
    <w:rsid w:val="003F426A"/>
    <w:rsid w:val="003F4329"/>
    <w:rsid w:val="003F4CE2"/>
    <w:rsid w:val="003F5061"/>
    <w:rsid w:val="003F50F5"/>
    <w:rsid w:val="003F5C9C"/>
    <w:rsid w:val="003F70EB"/>
    <w:rsid w:val="003F71BB"/>
    <w:rsid w:val="003F77B6"/>
    <w:rsid w:val="00400127"/>
    <w:rsid w:val="00400174"/>
    <w:rsid w:val="0040023D"/>
    <w:rsid w:val="00400760"/>
    <w:rsid w:val="00400AB6"/>
    <w:rsid w:val="00401AC2"/>
    <w:rsid w:val="00401C3F"/>
    <w:rsid w:val="004032EC"/>
    <w:rsid w:val="004039A5"/>
    <w:rsid w:val="004039F9"/>
    <w:rsid w:val="00403EAE"/>
    <w:rsid w:val="00404E99"/>
    <w:rsid w:val="00405519"/>
    <w:rsid w:val="004058E3"/>
    <w:rsid w:val="00405A50"/>
    <w:rsid w:val="004062EF"/>
    <w:rsid w:val="0040647F"/>
    <w:rsid w:val="004070C0"/>
    <w:rsid w:val="00407115"/>
    <w:rsid w:val="00407655"/>
    <w:rsid w:val="00407D61"/>
    <w:rsid w:val="00410092"/>
    <w:rsid w:val="0041015C"/>
    <w:rsid w:val="004104EB"/>
    <w:rsid w:val="0041259F"/>
    <w:rsid w:val="004127DF"/>
    <w:rsid w:val="00412AC5"/>
    <w:rsid w:val="00412B2B"/>
    <w:rsid w:val="00412C83"/>
    <w:rsid w:val="00414A2E"/>
    <w:rsid w:val="004152A0"/>
    <w:rsid w:val="004161D6"/>
    <w:rsid w:val="0041692E"/>
    <w:rsid w:val="0041718D"/>
    <w:rsid w:val="0041742E"/>
    <w:rsid w:val="0042036F"/>
    <w:rsid w:val="004204EE"/>
    <w:rsid w:val="00420A7A"/>
    <w:rsid w:val="004214F9"/>
    <w:rsid w:val="00421CDE"/>
    <w:rsid w:val="0042203B"/>
    <w:rsid w:val="004220A1"/>
    <w:rsid w:val="0042215B"/>
    <w:rsid w:val="0042229C"/>
    <w:rsid w:val="004226B8"/>
    <w:rsid w:val="0042315A"/>
    <w:rsid w:val="0042321A"/>
    <w:rsid w:val="004236F5"/>
    <w:rsid w:val="00423919"/>
    <w:rsid w:val="00424CC5"/>
    <w:rsid w:val="00424F20"/>
    <w:rsid w:val="00425163"/>
    <w:rsid w:val="00425B2A"/>
    <w:rsid w:val="00426014"/>
    <w:rsid w:val="004260A7"/>
    <w:rsid w:val="00426434"/>
    <w:rsid w:val="00426C19"/>
    <w:rsid w:val="00427AE3"/>
    <w:rsid w:val="00427BC9"/>
    <w:rsid w:val="00427E17"/>
    <w:rsid w:val="0043007F"/>
    <w:rsid w:val="0043016E"/>
    <w:rsid w:val="004302F7"/>
    <w:rsid w:val="0043033F"/>
    <w:rsid w:val="00430A6F"/>
    <w:rsid w:val="00430D35"/>
    <w:rsid w:val="00430EF7"/>
    <w:rsid w:val="00430FAB"/>
    <w:rsid w:val="00432A5D"/>
    <w:rsid w:val="00432FF9"/>
    <w:rsid w:val="004331C7"/>
    <w:rsid w:val="00433787"/>
    <w:rsid w:val="00433969"/>
    <w:rsid w:val="00433E4C"/>
    <w:rsid w:val="00433F0C"/>
    <w:rsid w:val="00434632"/>
    <w:rsid w:val="00434C59"/>
    <w:rsid w:val="00434D34"/>
    <w:rsid w:val="00434E48"/>
    <w:rsid w:val="00435181"/>
    <w:rsid w:val="00435375"/>
    <w:rsid w:val="00435381"/>
    <w:rsid w:val="004356AC"/>
    <w:rsid w:val="00435701"/>
    <w:rsid w:val="00436253"/>
    <w:rsid w:val="0043634A"/>
    <w:rsid w:val="00436AA3"/>
    <w:rsid w:val="00436AB8"/>
    <w:rsid w:val="004371A0"/>
    <w:rsid w:val="00437AB2"/>
    <w:rsid w:val="004403BF"/>
    <w:rsid w:val="00440511"/>
    <w:rsid w:val="00440D08"/>
    <w:rsid w:val="004412EC"/>
    <w:rsid w:val="00441C85"/>
    <w:rsid w:val="0044218D"/>
    <w:rsid w:val="0044219A"/>
    <w:rsid w:val="00442209"/>
    <w:rsid w:val="0044237B"/>
    <w:rsid w:val="0044283D"/>
    <w:rsid w:val="004441C0"/>
    <w:rsid w:val="004444CA"/>
    <w:rsid w:val="004446DA"/>
    <w:rsid w:val="0044474A"/>
    <w:rsid w:val="00444DC1"/>
    <w:rsid w:val="004458C9"/>
    <w:rsid w:val="0044592D"/>
    <w:rsid w:val="00445E22"/>
    <w:rsid w:val="00446205"/>
    <w:rsid w:val="004464D5"/>
    <w:rsid w:val="00446DDE"/>
    <w:rsid w:val="00447C9D"/>
    <w:rsid w:val="00447F3A"/>
    <w:rsid w:val="0045075C"/>
    <w:rsid w:val="004508F0"/>
    <w:rsid w:val="00451914"/>
    <w:rsid w:val="00451E1D"/>
    <w:rsid w:val="00451E53"/>
    <w:rsid w:val="0045244C"/>
    <w:rsid w:val="00453767"/>
    <w:rsid w:val="00453D88"/>
    <w:rsid w:val="0045456B"/>
    <w:rsid w:val="00455186"/>
    <w:rsid w:val="0045526C"/>
    <w:rsid w:val="0045529A"/>
    <w:rsid w:val="00455404"/>
    <w:rsid w:val="00455480"/>
    <w:rsid w:val="00455E3A"/>
    <w:rsid w:val="00455E3D"/>
    <w:rsid w:val="00455E66"/>
    <w:rsid w:val="00456622"/>
    <w:rsid w:val="0045676E"/>
    <w:rsid w:val="004573EA"/>
    <w:rsid w:val="00457801"/>
    <w:rsid w:val="00457998"/>
    <w:rsid w:val="00460B7D"/>
    <w:rsid w:val="00461147"/>
    <w:rsid w:val="0046117F"/>
    <w:rsid w:val="00462166"/>
    <w:rsid w:val="00462303"/>
    <w:rsid w:val="00462398"/>
    <w:rsid w:val="004625BD"/>
    <w:rsid w:val="004629F7"/>
    <w:rsid w:val="0046356E"/>
    <w:rsid w:val="004639CB"/>
    <w:rsid w:val="00463FFC"/>
    <w:rsid w:val="0046417A"/>
    <w:rsid w:val="004644BD"/>
    <w:rsid w:val="0046479B"/>
    <w:rsid w:val="00464EB3"/>
    <w:rsid w:val="004651B1"/>
    <w:rsid w:val="00465AF9"/>
    <w:rsid w:val="00465FF7"/>
    <w:rsid w:val="0046653F"/>
    <w:rsid w:val="00466779"/>
    <w:rsid w:val="004669DA"/>
    <w:rsid w:val="00466B1D"/>
    <w:rsid w:val="004670F7"/>
    <w:rsid w:val="0046749D"/>
    <w:rsid w:val="00467EC5"/>
    <w:rsid w:val="00467EF7"/>
    <w:rsid w:val="004702B8"/>
    <w:rsid w:val="0047056D"/>
    <w:rsid w:val="00470952"/>
    <w:rsid w:val="00470E2A"/>
    <w:rsid w:val="00471427"/>
    <w:rsid w:val="00471FC4"/>
    <w:rsid w:val="004720FB"/>
    <w:rsid w:val="00472307"/>
    <w:rsid w:val="004726A2"/>
    <w:rsid w:val="00472AAB"/>
    <w:rsid w:val="00472D3C"/>
    <w:rsid w:val="00472D7E"/>
    <w:rsid w:val="00473193"/>
    <w:rsid w:val="0047340E"/>
    <w:rsid w:val="0047377E"/>
    <w:rsid w:val="00473B13"/>
    <w:rsid w:val="00474564"/>
    <w:rsid w:val="004746C3"/>
    <w:rsid w:val="0047522C"/>
    <w:rsid w:val="004753E0"/>
    <w:rsid w:val="00475551"/>
    <w:rsid w:val="0047657A"/>
    <w:rsid w:val="00476934"/>
    <w:rsid w:val="00476B14"/>
    <w:rsid w:val="00477480"/>
    <w:rsid w:val="004778B8"/>
    <w:rsid w:val="00477E9C"/>
    <w:rsid w:val="00477EB3"/>
    <w:rsid w:val="00480428"/>
    <w:rsid w:val="00480868"/>
    <w:rsid w:val="00480ACF"/>
    <w:rsid w:val="00480CB0"/>
    <w:rsid w:val="00480D0C"/>
    <w:rsid w:val="00481802"/>
    <w:rsid w:val="00481B12"/>
    <w:rsid w:val="00481C0E"/>
    <w:rsid w:val="00482206"/>
    <w:rsid w:val="004822EE"/>
    <w:rsid w:val="00482709"/>
    <w:rsid w:val="00482B3D"/>
    <w:rsid w:val="00482BA1"/>
    <w:rsid w:val="00483379"/>
    <w:rsid w:val="00483778"/>
    <w:rsid w:val="0048449A"/>
    <w:rsid w:val="004846AF"/>
    <w:rsid w:val="00484A03"/>
    <w:rsid w:val="00484BB5"/>
    <w:rsid w:val="00484FCA"/>
    <w:rsid w:val="00485D67"/>
    <w:rsid w:val="00485DF2"/>
    <w:rsid w:val="00485E6C"/>
    <w:rsid w:val="004868EE"/>
    <w:rsid w:val="0048694B"/>
    <w:rsid w:val="00486A05"/>
    <w:rsid w:val="00486D1E"/>
    <w:rsid w:val="0048713E"/>
    <w:rsid w:val="00487AFE"/>
    <w:rsid w:val="00487D15"/>
    <w:rsid w:val="00487F60"/>
    <w:rsid w:val="00490008"/>
    <w:rsid w:val="0049037B"/>
    <w:rsid w:val="00490920"/>
    <w:rsid w:val="004909BB"/>
    <w:rsid w:val="00490BF4"/>
    <w:rsid w:val="00490FC9"/>
    <w:rsid w:val="004910CA"/>
    <w:rsid w:val="0049117B"/>
    <w:rsid w:val="00492EC6"/>
    <w:rsid w:val="00493066"/>
    <w:rsid w:val="004934FC"/>
    <w:rsid w:val="00493D1F"/>
    <w:rsid w:val="00494090"/>
    <w:rsid w:val="004941DB"/>
    <w:rsid w:val="00494BD6"/>
    <w:rsid w:val="00494DD6"/>
    <w:rsid w:val="00495785"/>
    <w:rsid w:val="004960E6"/>
    <w:rsid w:val="0049630B"/>
    <w:rsid w:val="00496911"/>
    <w:rsid w:val="00496E45"/>
    <w:rsid w:val="0049741A"/>
    <w:rsid w:val="00497AAB"/>
    <w:rsid w:val="004A01C1"/>
    <w:rsid w:val="004A0494"/>
    <w:rsid w:val="004A1AF3"/>
    <w:rsid w:val="004A1B8D"/>
    <w:rsid w:val="004A1D52"/>
    <w:rsid w:val="004A1FA3"/>
    <w:rsid w:val="004A2199"/>
    <w:rsid w:val="004A2324"/>
    <w:rsid w:val="004A35D3"/>
    <w:rsid w:val="004A3945"/>
    <w:rsid w:val="004A3B11"/>
    <w:rsid w:val="004A3B61"/>
    <w:rsid w:val="004A3CF7"/>
    <w:rsid w:val="004A410D"/>
    <w:rsid w:val="004A4730"/>
    <w:rsid w:val="004A47FB"/>
    <w:rsid w:val="004A4BA9"/>
    <w:rsid w:val="004A55EB"/>
    <w:rsid w:val="004A5947"/>
    <w:rsid w:val="004A5973"/>
    <w:rsid w:val="004A5A6F"/>
    <w:rsid w:val="004A5AEA"/>
    <w:rsid w:val="004A66D8"/>
    <w:rsid w:val="004A67B9"/>
    <w:rsid w:val="004A6D72"/>
    <w:rsid w:val="004A736D"/>
    <w:rsid w:val="004A7822"/>
    <w:rsid w:val="004A785A"/>
    <w:rsid w:val="004A7B85"/>
    <w:rsid w:val="004A7D76"/>
    <w:rsid w:val="004B0492"/>
    <w:rsid w:val="004B0DAE"/>
    <w:rsid w:val="004B11C3"/>
    <w:rsid w:val="004B21FE"/>
    <w:rsid w:val="004B2450"/>
    <w:rsid w:val="004B27ED"/>
    <w:rsid w:val="004B2DA4"/>
    <w:rsid w:val="004B34EA"/>
    <w:rsid w:val="004B3639"/>
    <w:rsid w:val="004B3A74"/>
    <w:rsid w:val="004B419C"/>
    <w:rsid w:val="004B46EE"/>
    <w:rsid w:val="004B492F"/>
    <w:rsid w:val="004B4BB7"/>
    <w:rsid w:val="004B4ECD"/>
    <w:rsid w:val="004B5443"/>
    <w:rsid w:val="004B5472"/>
    <w:rsid w:val="004B5494"/>
    <w:rsid w:val="004B57F9"/>
    <w:rsid w:val="004B59E7"/>
    <w:rsid w:val="004B5E12"/>
    <w:rsid w:val="004B6329"/>
    <w:rsid w:val="004B63B3"/>
    <w:rsid w:val="004B649E"/>
    <w:rsid w:val="004B65F5"/>
    <w:rsid w:val="004B6771"/>
    <w:rsid w:val="004C0631"/>
    <w:rsid w:val="004C13AA"/>
    <w:rsid w:val="004C1472"/>
    <w:rsid w:val="004C16D9"/>
    <w:rsid w:val="004C1AFB"/>
    <w:rsid w:val="004C1D26"/>
    <w:rsid w:val="004C1DB0"/>
    <w:rsid w:val="004C2210"/>
    <w:rsid w:val="004C2F54"/>
    <w:rsid w:val="004C3022"/>
    <w:rsid w:val="004C35E2"/>
    <w:rsid w:val="004C3BC7"/>
    <w:rsid w:val="004C440E"/>
    <w:rsid w:val="004C44D1"/>
    <w:rsid w:val="004C4BB9"/>
    <w:rsid w:val="004C4C89"/>
    <w:rsid w:val="004C57AD"/>
    <w:rsid w:val="004C5A8C"/>
    <w:rsid w:val="004C5AC1"/>
    <w:rsid w:val="004C7D3A"/>
    <w:rsid w:val="004D0658"/>
    <w:rsid w:val="004D0C44"/>
    <w:rsid w:val="004D1401"/>
    <w:rsid w:val="004D25BA"/>
    <w:rsid w:val="004D27AB"/>
    <w:rsid w:val="004D28D2"/>
    <w:rsid w:val="004D294B"/>
    <w:rsid w:val="004D323C"/>
    <w:rsid w:val="004D3762"/>
    <w:rsid w:val="004D39E2"/>
    <w:rsid w:val="004D3F6A"/>
    <w:rsid w:val="004D3FEC"/>
    <w:rsid w:val="004D449F"/>
    <w:rsid w:val="004D4752"/>
    <w:rsid w:val="004D4A1B"/>
    <w:rsid w:val="004D4D45"/>
    <w:rsid w:val="004D6043"/>
    <w:rsid w:val="004D6495"/>
    <w:rsid w:val="004D6CF1"/>
    <w:rsid w:val="004D6D6F"/>
    <w:rsid w:val="004D6DE8"/>
    <w:rsid w:val="004D72AB"/>
    <w:rsid w:val="004D7344"/>
    <w:rsid w:val="004D77C5"/>
    <w:rsid w:val="004D7ECF"/>
    <w:rsid w:val="004E0C4A"/>
    <w:rsid w:val="004E0DA8"/>
    <w:rsid w:val="004E0E48"/>
    <w:rsid w:val="004E0FA8"/>
    <w:rsid w:val="004E13F8"/>
    <w:rsid w:val="004E1563"/>
    <w:rsid w:val="004E1944"/>
    <w:rsid w:val="004E1A73"/>
    <w:rsid w:val="004E1FDC"/>
    <w:rsid w:val="004E211F"/>
    <w:rsid w:val="004E219C"/>
    <w:rsid w:val="004E21D8"/>
    <w:rsid w:val="004E2717"/>
    <w:rsid w:val="004E301B"/>
    <w:rsid w:val="004E311C"/>
    <w:rsid w:val="004E349C"/>
    <w:rsid w:val="004E3583"/>
    <w:rsid w:val="004E3A1A"/>
    <w:rsid w:val="004E3E7E"/>
    <w:rsid w:val="004E4530"/>
    <w:rsid w:val="004E4BFA"/>
    <w:rsid w:val="004E55A1"/>
    <w:rsid w:val="004E577C"/>
    <w:rsid w:val="004E5B01"/>
    <w:rsid w:val="004E5B13"/>
    <w:rsid w:val="004E5ECD"/>
    <w:rsid w:val="004E7333"/>
    <w:rsid w:val="004E7682"/>
    <w:rsid w:val="004F09CF"/>
    <w:rsid w:val="004F0B3B"/>
    <w:rsid w:val="004F1A25"/>
    <w:rsid w:val="004F1D97"/>
    <w:rsid w:val="004F1E20"/>
    <w:rsid w:val="004F20CE"/>
    <w:rsid w:val="004F288A"/>
    <w:rsid w:val="004F2A4D"/>
    <w:rsid w:val="004F2D8A"/>
    <w:rsid w:val="004F32DF"/>
    <w:rsid w:val="004F3441"/>
    <w:rsid w:val="004F3733"/>
    <w:rsid w:val="004F42AA"/>
    <w:rsid w:val="004F439D"/>
    <w:rsid w:val="004F445E"/>
    <w:rsid w:val="004F45ED"/>
    <w:rsid w:val="004F480A"/>
    <w:rsid w:val="004F4BFE"/>
    <w:rsid w:val="004F4CED"/>
    <w:rsid w:val="004F4DA6"/>
    <w:rsid w:val="004F510B"/>
    <w:rsid w:val="004F511F"/>
    <w:rsid w:val="004F62FD"/>
    <w:rsid w:val="004F6347"/>
    <w:rsid w:val="004F63B7"/>
    <w:rsid w:val="004F6A4F"/>
    <w:rsid w:val="004F703A"/>
    <w:rsid w:val="004F70DE"/>
    <w:rsid w:val="004F7B63"/>
    <w:rsid w:val="005000D8"/>
    <w:rsid w:val="005002DE"/>
    <w:rsid w:val="00500595"/>
    <w:rsid w:val="00500A7A"/>
    <w:rsid w:val="005018A8"/>
    <w:rsid w:val="00502045"/>
    <w:rsid w:val="0050296D"/>
    <w:rsid w:val="00502976"/>
    <w:rsid w:val="005029B7"/>
    <w:rsid w:val="00502B04"/>
    <w:rsid w:val="00502E04"/>
    <w:rsid w:val="00503398"/>
    <w:rsid w:val="00503D21"/>
    <w:rsid w:val="005040D7"/>
    <w:rsid w:val="0050460D"/>
    <w:rsid w:val="005047C7"/>
    <w:rsid w:val="00505427"/>
    <w:rsid w:val="005056E6"/>
    <w:rsid w:val="00505A39"/>
    <w:rsid w:val="00505E08"/>
    <w:rsid w:val="00505F34"/>
    <w:rsid w:val="00505F3E"/>
    <w:rsid w:val="00506EE0"/>
    <w:rsid w:val="00507285"/>
    <w:rsid w:val="00507516"/>
    <w:rsid w:val="00507960"/>
    <w:rsid w:val="00507AC2"/>
    <w:rsid w:val="005102DD"/>
    <w:rsid w:val="00510FDF"/>
    <w:rsid w:val="00511719"/>
    <w:rsid w:val="00511AB3"/>
    <w:rsid w:val="00511CC7"/>
    <w:rsid w:val="00512167"/>
    <w:rsid w:val="00512208"/>
    <w:rsid w:val="0051230A"/>
    <w:rsid w:val="00512842"/>
    <w:rsid w:val="00512928"/>
    <w:rsid w:val="0051380D"/>
    <w:rsid w:val="0051384A"/>
    <w:rsid w:val="0051388D"/>
    <w:rsid w:val="00515171"/>
    <w:rsid w:val="005161FA"/>
    <w:rsid w:val="005163D7"/>
    <w:rsid w:val="00516541"/>
    <w:rsid w:val="00516A2E"/>
    <w:rsid w:val="005178F9"/>
    <w:rsid w:val="00517FD9"/>
    <w:rsid w:val="005201A5"/>
    <w:rsid w:val="00520455"/>
    <w:rsid w:val="005204FB"/>
    <w:rsid w:val="00520527"/>
    <w:rsid w:val="0052119A"/>
    <w:rsid w:val="00521FCA"/>
    <w:rsid w:val="005221AA"/>
    <w:rsid w:val="005221D1"/>
    <w:rsid w:val="005227A6"/>
    <w:rsid w:val="00523674"/>
    <w:rsid w:val="00523BEC"/>
    <w:rsid w:val="00523E7E"/>
    <w:rsid w:val="005240BF"/>
    <w:rsid w:val="00524112"/>
    <w:rsid w:val="0052461C"/>
    <w:rsid w:val="00524BA3"/>
    <w:rsid w:val="00524CF9"/>
    <w:rsid w:val="00525175"/>
    <w:rsid w:val="005252DC"/>
    <w:rsid w:val="0052557C"/>
    <w:rsid w:val="00525765"/>
    <w:rsid w:val="0052638B"/>
    <w:rsid w:val="005263B0"/>
    <w:rsid w:val="0052667B"/>
    <w:rsid w:val="005270B7"/>
    <w:rsid w:val="00527319"/>
    <w:rsid w:val="0052750F"/>
    <w:rsid w:val="00527909"/>
    <w:rsid w:val="00527DA0"/>
    <w:rsid w:val="00527EBB"/>
    <w:rsid w:val="005301D8"/>
    <w:rsid w:val="005304C5"/>
    <w:rsid w:val="00530887"/>
    <w:rsid w:val="00530ACE"/>
    <w:rsid w:val="00530C19"/>
    <w:rsid w:val="005310D8"/>
    <w:rsid w:val="005314EF"/>
    <w:rsid w:val="00531B5A"/>
    <w:rsid w:val="00531E59"/>
    <w:rsid w:val="005328D0"/>
    <w:rsid w:val="005329DA"/>
    <w:rsid w:val="00532C81"/>
    <w:rsid w:val="00533306"/>
    <w:rsid w:val="00533AAC"/>
    <w:rsid w:val="005343BA"/>
    <w:rsid w:val="0053452C"/>
    <w:rsid w:val="00534672"/>
    <w:rsid w:val="00534752"/>
    <w:rsid w:val="005351E0"/>
    <w:rsid w:val="005357F5"/>
    <w:rsid w:val="00535CD6"/>
    <w:rsid w:val="005364C9"/>
    <w:rsid w:val="0053651D"/>
    <w:rsid w:val="005379BD"/>
    <w:rsid w:val="00537A0A"/>
    <w:rsid w:val="005408CE"/>
    <w:rsid w:val="00540AAB"/>
    <w:rsid w:val="00541055"/>
    <w:rsid w:val="00541214"/>
    <w:rsid w:val="00541429"/>
    <w:rsid w:val="00541A46"/>
    <w:rsid w:val="00541A58"/>
    <w:rsid w:val="00541E35"/>
    <w:rsid w:val="00542416"/>
    <w:rsid w:val="0054262C"/>
    <w:rsid w:val="00542FD2"/>
    <w:rsid w:val="00544026"/>
    <w:rsid w:val="00544563"/>
    <w:rsid w:val="005448A3"/>
    <w:rsid w:val="00544DC6"/>
    <w:rsid w:val="0054558C"/>
    <w:rsid w:val="00545A64"/>
    <w:rsid w:val="00545F07"/>
    <w:rsid w:val="0054656A"/>
    <w:rsid w:val="0054712C"/>
    <w:rsid w:val="00547A76"/>
    <w:rsid w:val="0055024D"/>
    <w:rsid w:val="00551007"/>
    <w:rsid w:val="005518EB"/>
    <w:rsid w:val="00551E82"/>
    <w:rsid w:val="00552CB3"/>
    <w:rsid w:val="00552F5E"/>
    <w:rsid w:val="0055375F"/>
    <w:rsid w:val="00553C97"/>
    <w:rsid w:val="00554651"/>
    <w:rsid w:val="00554CE3"/>
    <w:rsid w:val="00554D46"/>
    <w:rsid w:val="0055585E"/>
    <w:rsid w:val="005558AB"/>
    <w:rsid w:val="00555BCF"/>
    <w:rsid w:val="00556301"/>
    <w:rsid w:val="00556719"/>
    <w:rsid w:val="005567D2"/>
    <w:rsid w:val="00556BB7"/>
    <w:rsid w:val="00557684"/>
    <w:rsid w:val="005576AE"/>
    <w:rsid w:val="005579AC"/>
    <w:rsid w:val="00557ACE"/>
    <w:rsid w:val="00557F02"/>
    <w:rsid w:val="005602A4"/>
    <w:rsid w:val="005604F9"/>
    <w:rsid w:val="00560866"/>
    <w:rsid w:val="00560A86"/>
    <w:rsid w:val="00560D46"/>
    <w:rsid w:val="005610BC"/>
    <w:rsid w:val="0056115D"/>
    <w:rsid w:val="00561669"/>
    <w:rsid w:val="00561E86"/>
    <w:rsid w:val="00561E9D"/>
    <w:rsid w:val="00561F24"/>
    <w:rsid w:val="00562402"/>
    <w:rsid w:val="0056277F"/>
    <w:rsid w:val="00562D1F"/>
    <w:rsid w:val="00563109"/>
    <w:rsid w:val="00563D65"/>
    <w:rsid w:val="00564A18"/>
    <w:rsid w:val="00564E25"/>
    <w:rsid w:val="00565165"/>
    <w:rsid w:val="0056526F"/>
    <w:rsid w:val="005654FB"/>
    <w:rsid w:val="005656ED"/>
    <w:rsid w:val="00565984"/>
    <w:rsid w:val="0056619A"/>
    <w:rsid w:val="005666BE"/>
    <w:rsid w:val="0056681B"/>
    <w:rsid w:val="00566AF7"/>
    <w:rsid w:val="00566C69"/>
    <w:rsid w:val="00567597"/>
    <w:rsid w:val="0056759C"/>
    <w:rsid w:val="00567654"/>
    <w:rsid w:val="00567D06"/>
    <w:rsid w:val="00567F38"/>
    <w:rsid w:val="005703E7"/>
    <w:rsid w:val="00571A92"/>
    <w:rsid w:val="00571F3E"/>
    <w:rsid w:val="00572241"/>
    <w:rsid w:val="0057252F"/>
    <w:rsid w:val="00572549"/>
    <w:rsid w:val="00572DFA"/>
    <w:rsid w:val="005731D8"/>
    <w:rsid w:val="00573360"/>
    <w:rsid w:val="0057376A"/>
    <w:rsid w:val="00573804"/>
    <w:rsid w:val="005742EE"/>
    <w:rsid w:val="005748EF"/>
    <w:rsid w:val="00574E24"/>
    <w:rsid w:val="0057650D"/>
    <w:rsid w:val="00576D3E"/>
    <w:rsid w:val="00577135"/>
    <w:rsid w:val="00577D8A"/>
    <w:rsid w:val="00580658"/>
    <w:rsid w:val="005807A5"/>
    <w:rsid w:val="00580812"/>
    <w:rsid w:val="005808ED"/>
    <w:rsid w:val="00580960"/>
    <w:rsid w:val="005814C6"/>
    <w:rsid w:val="005825B0"/>
    <w:rsid w:val="00582BC2"/>
    <w:rsid w:val="00582EE2"/>
    <w:rsid w:val="005832A0"/>
    <w:rsid w:val="005834D0"/>
    <w:rsid w:val="00583EAE"/>
    <w:rsid w:val="005842E8"/>
    <w:rsid w:val="00584566"/>
    <w:rsid w:val="0058484E"/>
    <w:rsid w:val="00584C49"/>
    <w:rsid w:val="00584CC9"/>
    <w:rsid w:val="00585390"/>
    <w:rsid w:val="00585C64"/>
    <w:rsid w:val="0058643A"/>
    <w:rsid w:val="00586619"/>
    <w:rsid w:val="00586D2B"/>
    <w:rsid w:val="00587063"/>
    <w:rsid w:val="00587D88"/>
    <w:rsid w:val="00587F6E"/>
    <w:rsid w:val="00590092"/>
    <w:rsid w:val="005902DC"/>
    <w:rsid w:val="00590814"/>
    <w:rsid w:val="00590927"/>
    <w:rsid w:val="00591195"/>
    <w:rsid w:val="005912C2"/>
    <w:rsid w:val="005913E3"/>
    <w:rsid w:val="00591D70"/>
    <w:rsid w:val="005929AF"/>
    <w:rsid w:val="00592B9B"/>
    <w:rsid w:val="005937EE"/>
    <w:rsid w:val="005939A5"/>
    <w:rsid w:val="00593A71"/>
    <w:rsid w:val="00594668"/>
    <w:rsid w:val="00594883"/>
    <w:rsid w:val="00594918"/>
    <w:rsid w:val="00594FCF"/>
    <w:rsid w:val="00595799"/>
    <w:rsid w:val="005966DE"/>
    <w:rsid w:val="00597499"/>
    <w:rsid w:val="00597966"/>
    <w:rsid w:val="00597B08"/>
    <w:rsid w:val="005A02AE"/>
    <w:rsid w:val="005A091E"/>
    <w:rsid w:val="005A0948"/>
    <w:rsid w:val="005A09D1"/>
    <w:rsid w:val="005A0CCA"/>
    <w:rsid w:val="005A0E7D"/>
    <w:rsid w:val="005A148C"/>
    <w:rsid w:val="005A188E"/>
    <w:rsid w:val="005A18C4"/>
    <w:rsid w:val="005A1AA8"/>
    <w:rsid w:val="005A2901"/>
    <w:rsid w:val="005A31EC"/>
    <w:rsid w:val="005A32F0"/>
    <w:rsid w:val="005A3426"/>
    <w:rsid w:val="005A3DAD"/>
    <w:rsid w:val="005A4850"/>
    <w:rsid w:val="005A4F27"/>
    <w:rsid w:val="005A4F82"/>
    <w:rsid w:val="005A53D8"/>
    <w:rsid w:val="005A64A2"/>
    <w:rsid w:val="005A64D0"/>
    <w:rsid w:val="005A6D04"/>
    <w:rsid w:val="005A6F85"/>
    <w:rsid w:val="005A7118"/>
    <w:rsid w:val="005A72B8"/>
    <w:rsid w:val="005A7642"/>
    <w:rsid w:val="005A7BDD"/>
    <w:rsid w:val="005A7D12"/>
    <w:rsid w:val="005B03A5"/>
    <w:rsid w:val="005B0680"/>
    <w:rsid w:val="005B1D77"/>
    <w:rsid w:val="005B1DFB"/>
    <w:rsid w:val="005B1FC0"/>
    <w:rsid w:val="005B1FD3"/>
    <w:rsid w:val="005B26E9"/>
    <w:rsid w:val="005B2B39"/>
    <w:rsid w:val="005B37E4"/>
    <w:rsid w:val="005B3B0B"/>
    <w:rsid w:val="005B40F3"/>
    <w:rsid w:val="005B4314"/>
    <w:rsid w:val="005B4679"/>
    <w:rsid w:val="005B4896"/>
    <w:rsid w:val="005B5054"/>
    <w:rsid w:val="005B54A5"/>
    <w:rsid w:val="005B6012"/>
    <w:rsid w:val="005B61E9"/>
    <w:rsid w:val="005B6516"/>
    <w:rsid w:val="005B6698"/>
    <w:rsid w:val="005B68E6"/>
    <w:rsid w:val="005B6BFB"/>
    <w:rsid w:val="005B7C88"/>
    <w:rsid w:val="005B7E47"/>
    <w:rsid w:val="005C0455"/>
    <w:rsid w:val="005C0773"/>
    <w:rsid w:val="005C0A6E"/>
    <w:rsid w:val="005C0B1E"/>
    <w:rsid w:val="005C1265"/>
    <w:rsid w:val="005C181E"/>
    <w:rsid w:val="005C1B73"/>
    <w:rsid w:val="005C1D21"/>
    <w:rsid w:val="005C1F21"/>
    <w:rsid w:val="005C2C49"/>
    <w:rsid w:val="005C2F4D"/>
    <w:rsid w:val="005C3444"/>
    <w:rsid w:val="005C3847"/>
    <w:rsid w:val="005C3D54"/>
    <w:rsid w:val="005C4370"/>
    <w:rsid w:val="005C47DD"/>
    <w:rsid w:val="005C4AA2"/>
    <w:rsid w:val="005C50A3"/>
    <w:rsid w:val="005C53D0"/>
    <w:rsid w:val="005C5D86"/>
    <w:rsid w:val="005C5F60"/>
    <w:rsid w:val="005C6379"/>
    <w:rsid w:val="005C63D5"/>
    <w:rsid w:val="005C6B67"/>
    <w:rsid w:val="005C6E42"/>
    <w:rsid w:val="005D03BB"/>
    <w:rsid w:val="005D0D48"/>
    <w:rsid w:val="005D0DE6"/>
    <w:rsid w:val="005D1B3D"/>
    <w:rsid w:val="005D1BE4"/>
    <w:rsid w:val="005D209F"/>
    <w:rsid w:val="005D2448"/>
    <w:rsid w:val="005D2B52"/>
    <w:rsid w:val="005D2CEA"/>
    <w:rsid w:val="005D3867"/>
    <w:rsid w:val="005D3D6C"/>
    <w:rsid w:val="005D45AD"/>
    <w:rsid w:val="005D47A4"/>
    <w:rsid w:val="005D4D1D"/>
    <w:rsid w:val="005D4EAC"/>
    <w:rsid w:val="005D4EBC"/>
    <w:rsid w:val="005D5541"/>
    <w:rsid w:val="005D58BA"/>
    <w:rsid w:val="005D5C6D"/>
    <w:rsid w:val="005D5FA0"/>
    <w:rsid w:val="005D65A1"/>
    <w:rsid w:val="005D65EE"/>
    <w:rsid w:val="005D6D72"/>
    <w:rsid w:val="005D6FA8"/>
    <w:rsid w:val="005D708A"/>
    <w:rsid w:val="005D790B"/>
    <w:rsid w:val="005D7A84"/>
    <w:rsid w:val="005D7B61"/>
    <w:rsid w:val="005D7FF3"/>
    <w:rsid w:val="005E01A9"/>
    <w:rsid w:val="005E0497"/>
    <w:rsid w:val="005E09D2"/>
    <w:rsid w:val="005E0DF1"/>
    <w:rsid w:val="005E0F33"/>
    <w:rsid w:val="005E10F9"/>
    <w:rsid w:val="005E166F"/>
    <w:rsid w:val="005E1C0D"/>
    <w:rsid w:val="005E1E65"/>
    <w:rsid w:val="005E2161"/>
    <w:rsid w:val="005E2316"/>
    <w:rsid w:val="005E35EF"/>
    <w:rsid w:val="005E3844"/>
    <w:rsid w:val="005E3E09"/>
    <w:rsid w:val="005E4AE8"/>
    <w:rsid w:val="005E4BE4"/>
    <w:rsid w:val="005E4C61"/>
    <w:rsid w:val="005E51F1"/>
    <w:rsid w:val="005E529E"/>
    <w:rsid w:val="005E557E"/>
    <w:rsid w:val="005E5708"/>
    <w:rsid w:val="005E5FA3"/>
    <w:rsid w:val="005E6A35"/>
    <w:rsid w:val="005E6E34"/>
    <w:rsid w:val="005E736B"/>
    <w:rsid w:val="005E74CE"/>
    <w:rsid w:val="005E7573"/>
    <w:rsid w:val="005E7654"/>
    <w:rsid w:val="005E77B5"/>
    <w:rsid w:val="005F005C"/>
    <w:rsid w:val="005F0AF8"/>
    <w:rsid w:val="005F0CFC"/>
    <w:rsid w:val="005F0EDE"/>
    <w:rsid w:val="005F11CA"/>
    <w:rsid w:val="005F1340"/>
    <w:rsid w:val="005F1AE5"/>
    <w:rsid w:val="005F1E9A"/>
    <w:rsid w:val="005F1F63"/>
    <w:rsid w:val="005F22D3"/>
    <w:rsid w:val="005F32E0"/>
    <w:rsid w:val="005F3453"/>
    <w:rsid w:val="005F3638"/>
    <w:rsid w:val="005F38C4"/>
    <w:rsid w:val="005F3B8D"/>
    <w:rsid w:val="005F431E"/>
    <w:rsid w:val="005F482C"/>
    <w:rsid w:val="005F4C6D"/>
    <w:rsid w:val="005F5288"/>
    <w:rsid w:val="005F557F"/>
    <w:rsid w:val="005F5779"/>
    <w:rsid w:val="005F5972"/>
    <w:rsid w:val="005F5C04"/>
    <w:rsid w:val="005F5C94"/>
    <w:rsid w:val="005F5EE5"/>
    <w:rsid w:val="005F5FEC"/>
    <w:rsid w:val="005F61C9"/>
    <w:rsid w:val="005F6542"/>
    <w:rsid w:val="005F6CA1"/>
    <w:rsid w:val="005F6F30"/>
    <w:rsid w:val="005F719F"/>
    <w:rsid w:val="005F71D6"/>
    <w:rsid w:val="005F725E"/>
    <w:rsid w:val="0060044F"/>
    <w:rsid w:val="006010F6"/>
    <w:rsid w:val="006017D0"/>
    <w:rsid w:val="00601B93"/>
    <w:rsid w:val="00601D6C"/>
    <w:rsid w:val="0060234B"/>
    <w:rsid w:val="00603143"/>
    <w:rsid w:val="0060367F"/>
    <w:rsid w:val="00603DEB"/>
    <w:rsid w:val="0060433E"/>
    <w:rsid w:val="006047F9"/>
    <w:rsid w:val="00604E58"/>
    <w:rsid w:val="0060543E"/>
    <w:rsid w:val="006054C4"/>
    <w:rsid w:val="0060591F"/>
    <w:rsid w:val="00605E85"/>
    <w:rsid w:val="00605EE4"/>
    <w:rsid w:val="006061F1"/>
    <w:rsid w:val="0060638E"/>
    <w:rsid w:val="00606587"/>
    <w:rsid w:val="00606929"/>
    <w:rsid w:val="00606B09"/>
    <w:rsid w:val="00606D22"/>
    <w:rsid w:val="00606F12"/>
    <w:rsid w:val="00607379"/>
    <w:rsid w:val="006077EB"/>
    <w:rsid w:val="00607B8E"/>
    <w:rsid w:val="0061115A"/>
    <w:rsid w:val="0061126B"/>
    <w:rsid w:val="00611D63"/>
    <w:rsid w:val="00611F66"/>
    <w:rsid w:val="0061203D"/>
    <w:rsid w:val="00612A9B"/>
    <w:rsid w:val="00612ADB"/>
    <w:rsid w:val="006142D6"/>
    <w:rsid w:val="006143E7"/>
    <w:rsid w:val="00614F7B"/>
    <w:rsid w:val="00615DB6"/>
    <w:rsid w:val="00615FCF"/>
    <w:rsid w:val="0061636E"/>
    <w:rsid w:val="00616ABD"/>
    <w:rsid w:val="00617454"/>
    <w:rsid w:val="0061793F"/>
    <w:rsid w:val="006179EA"/>
    <w:rsid w:val="00620490"/>
    <w:rsid w:val="00620816"/>
    <w:rsid w:val="00620F9A"/>
    <w:rsid w:val="00622977"/>
    <w:rsid w:val="00622C6A"/>
    <w:rsid w:val="00622C6E"/>
    <w:rsid w:val="00622D1C"/>
    <w:rsid w:val="00622F6F"/>
    <w:rsid w:val="006230E4"/>
    <w:rsid w:val="0062361B"/>
    <w:rsid w:val="00624203"/>
    <w:rsid w:val="00624A92"/>
    <w:rsid w:val="00625186"/>
    <w:rsid w:val="00625B59"/>
    <w:rsid w:val="0062612C"/>
    <w:rsid w:val="0062635A"/>
    <w:rsid w:val="006265FE"/>
    <w:rsid w:val="0062660B"/>
    <w:rsid w:val="00626DDC"/>
    <w:rsid w:val="00626F9E"/>
    <w:rsid w:val="0062796A"/>
    <w:rsid w:val="006279E7"/>
    <w:rsid w:val="00627A06"/>
    <w:rsid w:val="00627B34"/>
    <w:rsid w:val="00627B80"/>
    <w:rsid w:val="00627D4B"/>
    <w:rsid w:val="0063076F"/>
    <w:rsid w:val="00630903"/>
    <w:rsid w:val="00630F03"/>
    <w:rsid w:val="00630F06"/>
    <w:rsid w:val="00631360"/>
    <w:rsid w:val="00631392"/>
    <w:rsid w:val="006315F7"/>
    <w:rsid w:val="00631A98"/>
    <w:rsid w:val="00632207"/>
    <w:rsid w:val="006322FC"/>
    <w:rsid w:val="00633640"/>
    <w:rsid w:val="00633D04"/>
    <w:rsid w:val="006340B3"/>
    <w:rsid w:val="0063491C"/>
    <w:rsid w:val="00635ACA"/>
    <w:rsid w:val="006361C3"/>
    <w:rsid w:val="0063627F"/>
    <w:rsid w:val="00636BBF"/>
    <w:rsid w:val="00636DB7"/>
    <w:rsid w:val="0063703C"/>
    <w:rsid w:val="006374B7"/>
    <w:rsid w:val="00637AB8"/>
    <w:rsid w:val="00637FFA"/>
    <w:rsid w:val="00640111"/>
    <w:rsid w:val="0064084A"/>
    <w:rsid w:val="00640E05"/>
    <w:rsid w:val="006410C2"/>
    <w:rsid w:val="00641930"/>
    <w:rsid w:val="0064283F"/>
    <w:rsid w:val="00642B5F"/>
    <w:rsid w:val="00642CED"/>
    <w:rsid w:val="0064342B"/>
    <w:rsid w:val="00643F0A"/>
    <w:rsid w:val="0064405F"/>
    <w:rsid w:val="006441B2"/>
    <w:rsid w:val="00644498"/>
    <w:rsid w:val="006444AE"/>
    <w:rsid w:val="006451A2"/>
    <w:rsid w:val="0064582E"/>
    <w:rsid w:val="006459E2"/>
    <w:rsid w:val="00645A99"/>
    <w:rsid w:val="00645CC4"/>
    <w:rsid w:val="00646C8B"/>
    <w:rsid w:val="0064734E"/>
    <w:rsid w:val="00647E4E"/>
    <w:rsid w:val="00647EE9"/>
    <w:rsid w:val="00650916"/>
    <w:rsid w:val="0065094B"/>
    <w:rsid w:val="0065104B"/>
    <w:rsid w:val="00651AC4"/>
    <w:rsid w:val="00651B7D"/>
    <w:rsid w:val="00651C18"/>
    <w:rsid w:val="00652643"/>
    <w:rsid w:val="00652660"/>
    <w:rsid w:val="00653903"/>
    <w:rsid w:val="00653AED"/>
    <w:rsid w:val="00653CE5"/>
    <w:rsid w:val="00653EA9"/>
    <w:rsid w:val="006541B6"/>
    <w:rsid w:val="00654778"/>
    <w:rsid w:val="00654BB9"/>
    <w:rsid w:val="00655B94"/>
    <w:rsid w:val="0065618B"/>
    <w:rsid w:val="00656975"/>
    <w:rsid w:val="00656CDD"/>
    <w:rsid w:val="00657106"/>
    <w:rsid w:val="0065731F"/>
    <w:rsid w:val="00657467"/>
    <w:rsid w:val="006574C4"/>
    <w:rsid w:val="00657B4B"/>
    <w:rsid w:val="00657C40"/>
    <w:rsid w:val="006606C4"/>
    <w:rsid w:val="0066127F"/>
    <w:rsid w:val="006612D8"/>
    <w:rsid w:val="006613FD"/>
    <w:rsid w:val="006621C8"/>
    <w:rsid w:val="0066258F"/>
    <w:rsid w:val="006626B4"/>
    <w:rsid w:val="006636B1"/>
    <w:rsid w:val="00663A11"/>
    <w:rsid w:val="00663EF7"/>
    <w:rsid w:val="00663FE1"/>
    <w:rsid w:val="0066411E"/>
    <w:rsid w:val="00664BC4"/>
    <w:rsid w:val="006650F2"/>
    <w:rsid w:val="00665189"/>
    <w:rsid w:val="006657E4"/>
    <w:rsid w:val="006658CC"/>
    <w:rsid w:val="00665A15"/>
    <w:rsid w:val="00666227"/>
    <w:rsid w:val="006668FA"/>
    <w:rsid w:val="00666A96"/>
    <w:rsid w:val="00667C2B"/>
    <w:rsid w:val="00667C87"/>
    <w:rsid w:val="00670126"/>
    <w:rsid w:val="006704BA"/>
    <w:rsid w:val="00670F39"/>
    <w:rsid w:val="00671787"/>
    <w:rsid w:val="00671FA8"/>
    <w:rsid w:val="0067226A"/>
    <w:rsid w:val="006726CE"/>
    <w:rsid w:val="006731B6"/>
    <w:rsid w:val="00673FBF"/>
    <w:rsid w:val="00674563"/>
    <w:rsid w:val="00674692"/>
    <w:rsid w:val="00674C27"/>
    <w:rsid w:val="00674CCA"/>
    <w:rsid w:val="006753EC"/>
    <w:rsid w:val="00675539"/>
    <w:rsid w:val="00675684"/>
    <w:rsid w:val="006758EA"/>
    <w:rsid w:val="00675AF1"/>
    <w:rsid w:val="00675BD0"/>
    <w:rsid w:val="00675E7C"/>
    <w:rsid w:val="00675F6E"/>
    <w:rsid w:val="00675FBE"/>
    <w:rsid w:val="00676025"/>
    <w:rsid w:val="00676061"/>
    <w:rsid w:val="006762C9"/>
    <w:rsid w:val="00676959"/>
    <w:rsid w:val="00676A5C"/>
    <w:rsid w:val="00676AF1"/>
    <w:rsid w:val="00677422"/>
    <w:rsid w:val="00677D9C"/>
    <w:rsid w:val="006800C3"/>
    <w:rsid w:val="00680D02"/>
    <w:rsid w:val="00680E6D"/>
    <w:rsid w:val="006814EA"/>
    <w:rsid w:val="00681802"/>
    <w:rsid w:val="00681942"/>
    <w:rsid w:val="00681F35"/>
    <w:rsid w:val="0068335B"/>
    <w:rsid w:val="00685191"/>
    <w:rsid w:val="006852E9"/>
    <w:rsid w:val="006856A6"/>
    <w:rsid w:val="006856A9"/>
    <w:rsid w:val="00685763"/>
    <w:rsid w:val="00685A65"/>
    <w:rsid w:val="0068641F"/>
    <w:rsid w:val="0068712C"/>
    <w:rsid w:val="006871E5"/>
    <w:rsid w:val="006873A2"/>
    <w:rsid w:val="006879E8"/>
    <w:rsid w:val="00687D1A"/>
    <w:rsid w:val="00690435"/>
    <w:rsid w:val="00690C64"/>
    <w:rsid w:val="00691005"/>
    <w:rsid w:val="0069135F"/>
    <w:rsid w:val="0069187A"/>
    <w:rsid w:val="00691A3B"/>
    <w:rsid w:val="00691BB9"/>
    <w:rsid w:val="006929C9"/>
    <w:rsid w:val="00692A86"/>
    <w:rsid w:val="00692E21"/>
    <w:rsid w:val="00693306"/>
    <w:rsid w:val="0069367B"/>
    <w:rsid w:val="0069381E"/>
    <w:rsid w:val="0069389D"/>
    <w:rsid w:val="00693996"/>
    <w:rsid w:val="00693DB9"/>
    <w:rsid w:val="00694098"/>
    <w:rsid w:val="00694133"/>
    <w:rsid w:val="006943B1"/>
    <w:rsid w:val="00694F1F"/>
    <w:rsid w:val="00694FA1"/>
    <w:rsid w:val="006950AE"/>
    <w:rsid w:val="00695895"/>
    <w:rsid w:val="00695D4F"/>
    <w:rsid w:val="00696512"/>
    <w:rsid w:val="0069714C"/>
    <w:rsid w:val="00697CE3"/>
    <w:rsid w:val="006A09E9"/>
    <w:rsid w:val="006A0A7D"/>
    <w:rsid w:val="006A126A"/>
    <w:rsid w:val="006A1483"/>
    <w:rsid w:val="006A1BC3"/>
    <w:rsid w:val="006A1BEA"/>
    <w:rsid w:val="006A1F03"/>
    <w:rsid w:val="006A3EC7"/>
    <w:rsid w:val="006A4EE4"/>
    <w:rsid w:val="006A522B"/>
    <w:rsid w:val="006A5F8E"/>
    <w:rsid w:val="006A615D"/>
    <w:rsid w:val="006A68CE"/>
    <w:rsid w:val="006A6CA6"/>
    <w:rsid w:val="006A7153"/>
    <w:rsid w:val="006A759E"/>
    <w:rsid w:val="006A778E"/>
    <w:rsid w:val="006A7A39"/>
    <w:rsid w:val="006A7CD5"/>
    <w:rsid w:val="006A7E23"/>
    <w:rsid w:val="006B0D5C"/>
    <w:rsid w:val="006B1231"/>
    <w:rsid w:val="006B173C"/>
    <w:rsid w:val="006B1B41"/>
    <w:rsid w:val="006B1EDF"/>
    <w:rsid w:val="006B2246"/>
    <w:rsid w:val="006B2285"/>
    <w:rsid w:val="006B2465"/>
    <w:rsid w:val="006B2C7B"/>
    <w:rsid w:val="006B3325"/>
    <w:rsid w:val="006B3B32"/>
    <w:rsid w:val="006B424D"/>
    <w:rsid w:val="006B4C9E"/>
    <w:rsid w:val="006B5697"/>
    <w:rsid w:val="006B5C99"/>
    <w:rsid w:val="006B61DA"/>
    <w:rsid w:val="006B6326"/>
    <w:rsid w:val="006B6D51"/>
    <w:rsid w:val="006B6FD1"/>
    <w:rsid w:val="006B7612"/>
    <w:rsid w:val="006B7777"/>
    <w:rsid w:val="006B7A60"/>
    <w:rsid w:val="006B7C1C"/>
    <w:rsid w:val="006C0580"/>
    <w:rsid w:val="006C10E5"/>
    <w:rsid w:val="006C12CB"/>
    <w:rsid w:val="006C1B0B"/>
    <w:rsid w:val="006C1F15"/>
    <w:rsid w:val="006C1F6A"/>
    <w:rsid w:val="006C1F94"/>
    <w:rsid w:val="006C2223"/>
    <w:rsid w:val="006C2EAB"/>
    <w:rsid w:val="006C3773"/>
    <w:rsid w:val="006C3EB1"/>
    <w:rsid w:val="006C490E"/>
    <w:rsid w:val="006C4B53"/>
    <w:rsid w:val="006C4B97"/>
    <w:rsid w:val="006C5075"/>
    <w:rsid w:val="006C5B51"/>
    <w:rsid w:val="006C5CCE"/>
    <w:rsid w:val="006C5F3F"/>
    <w:rsid w:val="006C6298"/>
    <w:rsid w:val="006C63FE"/>
    <w:rsid w:val="006C64E8"/>
    <w:rsid w:val="006C66D2"/>
    <w:rsid w:val="006C6808"/>
    <w:rsid w:val="006C74DD"/>
    <w:rsid w:val="006C76B7"/>
    <w:rsid w:val="006C77D4"/>
    <w:rsid w:val="006C7C9F"/>
    <w:rsid w:val="006D0614"/>
    <w:rsid w:val="006D083A"/>
    <w:rsid w:val="006D0895"/>
    <w:rsid w:val="006D0BC0"/>
    <w:rsid w:val="006D0BEA"/>
    <w:rsid w:val="006D0FED"/>
    <w:rsid w:val="006D168F"/>
    <w:rsid w:val="006D1D0C"/>
    <w:rsid w:val="006D21CA"/>
    <w:rsid w:val="006D21FC"/>
    <w:rsid w:val="006D2C00"/>
    <w:rsid w:val="006D2F44"/>
    <w:rsid w:val="006D333F"/>
    <w:rsid w:val="006D3A1B"/>
    <w:rsid w:val="006D413D"/>
    <w:rsid w:val="006D4203"/>
    <w:rsid w:val="006D424C"/>
    <w:rsid w:val="006D4EE4"/>
    <w:rsid w:val="006D4FF1"/>
    <w:rsid w:val="006D59F6"/>
    <w:rsid w:val="006D5A98"/>
    <w:rsid w:val="006D5CC7"/>
    <w:rsid w:val="006D6131"/>
    <w:rsid w:val="006D62CD"/>
    <w:rsid w:val="006D631F"/>
    <w:rsid w:val="006D74AF"/>
    <w:rsid w:val="006D7EB7"/>
    <w:rsid w:val="006E0034"/>
    <w:rsid w:val="006E048E"/>
    <w:rsid w:val="006E04E9"/>
    <w:rsid w:val="006E0E0E"/>
    <w:rsid w:val="006E196C"/>
    <w:rsid w:val="006E2619"/>
    <w:rsid w:val="006E2A00"/>
    <w:rsid w:val="006E3C6B"/>
    <w:rsid w:val="006E3E6D"/>
    <w:rsid w:val="006E3F0F"/>
    <w:rsid w:val="006E3F25"/>
    <w:rsid w:val="006E41F6"/>
    <w:rsid w:val="006E4E45"/>
    <w:rsid w:val="006E5AB9"/>
    <w:rsid w:val="006E5E28"/>
    <w:rsid w:val="006E5F0B"/>
    <w:rsid w:val="006E6306"/>
    <w:rsid w:val="006E6438"/>
    <w:rsid w:val="006E6442"/>
    <w:rsid w:val="006E6574"/>
    <w:rsid w:val="006E6609"/>
    <w:rsid w:val="006E6AAF"/>
    <w:rsid w:val="006E6D89"/>
    <w:rsid w:val="006E6F94"/>
    <w:rsid w:val="006E7288"/>
    <w:rsid w:val="006E7387"/>
    <w:rsid w:val="006E76ED"/>
    <w:rsid w:val="006F07C5"/>
    <w:rsid w:val="006F1A49"/>
    <w:rsid w:val="006F214D"/>
    <w:rsid w:val="006F226C"/>
    <w:rsid w:val="006F2AF9"/>
    <w:rsid w:val="006F2BB3"/>
    <w:rsid w:val="006F2F45"/>
    <w:rsid w:val="006F3057"/>
    <w:rsid w:val="006F3E7E"/>
    <w:rsid w:val="006F3F80"/>
    <w:rsid w:val="006F3FC6"/>
    <w:rsid w:val="006F451F"/>
    <w:rsid w:val="006F4772"/>
    <w:rsid w:val="006F4942"/>
    <w:rsid w:val="006F4CBC"/>
    <w:rsid w:val="006F4D6E"/>
    <w:rsid w:val="006F5205"/>
    <w:rsid w:val="006F528D"/>
    <w:rsid w:val="006F5C48"/>
    <w:rsid w:val="006F5EA9"/>
    <w:rsid w:val="006F5EB4"/>
    <w:rsid w:val="006F5EE2"/>
    <w:rsid w:val="006F62D2"/>
    <w:rsid w:val="006F63CB"/>
    <w:rsid w:val="006F659F"/>
    <w:rsid w:val="006F6FEC"/>
    <w:rsid w:val="006F7753"/>
    <w:rsid w:val="006F7D35"/>
    <w:rsid w:val="007005C1"/>
    <w:rsid w:val="007006EB"/>
    <w:rsid w:val="00700781"/>
    <w:rsid w:val="0070083C"/>
    <w:rsid w:val="00700868"/>
    <w:rsid w:val="00700BD5"/>
    <w:rsid w:val="00700BF7"/>
    <w:rsid w:val="00700CCB"/>
    <w:rsid w:val="00700EC5"/>
    <w:rsid w:val="00701786"/>
    <w:rsid w:val="00701DDB"/>
    <w:rsid w:val="007022D6"/>
    <w:rsid w:val="007022D7"/>
    <w:rsid w:val="007026AC"/>
    <w:rsid w:val="007026CC"/>
    <w:rsid w:val="00702E54"/>
    <w:rsid w:val="00702F10"/>
    <w:rsid w:val="007034E9"/>
    <w:rsid w:val="00703984"/>
    <w:rsid w:val="00704B09"/>
    <w:rsid w:val="00704DDD"/>
    <w:rsid w:val="00704E66"/>
    <w:rsid w:val="0070563B"/>
    <w:rsid w:val="00705C3A"/>
    <w:rsid w:val="00706330"/>
    <w:rsid w:val="007063E5"/>
    <w:rsid w:val="00706633"/>
    <w:rsid w:val="0070679A"/>
    <w:rsid w:val="00706D10"/>
    <w:rsid w:val="00710449"/>
    <w:rsid w:val="00710808"/>
    <w:rsid w:val="00710FE9"/>
    <w:rsid w:val="00711181"/>
    <w:rsid w:val="00711278"/>
    <w:rsid w:val="00711D4C"/>
    <w:rsid w:val="00712319"/>
    <w:rsid w:val="007126D7"/>
    <w:rsid w:val="00712E51"/>
    <w:rsid w:val="007135EB"/>
    <w:rsid w:val="007138DF"/>
    <w:rsid w:val="00713A28"/>
    <w:rsid w:val="00713E34"/>
    <w:rsid w:val="0071440D"/>
    <w:rsid w:val="00714A1D"/>
    <w:rsid w:val="00714CF2"/>
    <w:rsid w:val="00714D28"/>
    <w:rsid w:val="00714ED7"/>
    <w:rsid w:val="007156B9"/>
    <w:rsid w:val="00715739"/>
    <w:rsid w:val="00715B05"/>
    <w:rsid w:val="00716644"/>
    <w:rsid w:val="00716707"/>
    <w:rsid w:val="00716CA4"/>
    <w:rsid w:val="0071730C"/>
    <w:rsid w:val="00717348"/>
    <w:rsid w:val="00717898"/>
    <w:rsid w:val="007178C8"/>
    <w:rsid w:val="00717A4E"/>
    <w:rsid w:val="00720817"/>
    <w:rsid w:val="00720C78"/>
    <w:rsid w:val="00720E00"/>
    <w:rsid w:val="00720F86"/>
    <w:rsid w:val="00721480"/>
    <w:rsid w:val="00721816"/>
    <w:rsid w:val="00721D9A"/>
    <w:rsid w:val="007223B7"/>
    <w:rsid w:val="00722850"/>
    <w:rsid w:val="00723388"/>
    <w:rsid w:val="007237B9"/>
    <w:rsid w:val="007239DE"/>
    <w:rsid w:val="00723BA6"/>
    <w:rsid w:val="00723FD8"/>
    <w:rsid w:val="00724611"/>
    <w:rsid w:val="00724629"/>
    <w:rsid w:val="00724C07"/>
    <w:rsid w:val="007252B2"/>
    <w:rsid w:val="007252CE"/>
    <w:rsid w:val="00725D0E"/>
    <w:rsid w:val="007261ED"/>
    <w:rsid w:val="007262C8"/>
    <w:rsid w:val="00726AC3"/>
    <w:rsid w:val="00726B58"/>
    <w:rsid w:val="00726E2E"/>
    <w:rsid w:val="0072701A"/>
    <w:rsid w:val="007273F3"/>
    <w:rsid w:val="0073007C"/>
    <w:rsid w:val="007315D5"/>
    <w:rsid w:val="00731696"/>
    <w:rsid w:val="00731D1F"/>
    <w:rsid w:val="00732000"/>
    <w:rsid w:val="00732179"/>
    <w:rsid w:val="00732407"/>
    <w:rsid w:val="0073312A"/>
    <w:rsid w:val="007331C4"/>
    <w:rsid w:val="0073353F"/>
    <w:rsid w:val="00733558"/>
    <w:rsid w:val="00733A0D"/>
    <w:rsid w:val="00733DFA"/>
    <w:rsid w:val="00734A86"/>
    <w:rsid w:val="00734E18"/>
    <w:rsid w:val="00735203"/>
    <w:rsid w:val="00735964"/>
    <w:rsid w:val="00735AD7"/>
    <w:rsid w:val="00735B38"/>
    <w:rsid w:val="00735E21"/>
    <w:rsid w:val="00736179"/>
    <w:rsid w:val="0073625F"/>
    <w:rsid w:val="00736263"/>
    <w:rsid w:val="0073644F"/>
    <w:rsid w:val="0073650F"/>
    <w:rsid w:val="007366BE"/>
    <w:rsid w:val="0073778C"/>
    <w:rsid w:val="00737883"/>
    <w:rsid w:val="0073789B"/>
    <w:rsid w:val="00737BCB"/>
    <w:rsid w:val="00740010"/>
    <w:rsid w:val="0074011C"/>
    <w:rsid w:val="00740BD4"/>
    <w:rsid w:val="00740C42"/>
    <w:rsid w:val="0074118C"/>
    <w:rsid w:val="00741AC3"/>
    <w:rsid w:val="00741BC5"/>
    <w:rsid w:val="00741E32"/>
    <w:rsid w:val="0074284B"/>
    <w:rsid w:val="00742A82"/>
    <w:rsid w:val="00742E45"/>
    <w:rsid w:val="007432FD"/>
    <w:rsid w:val="00743910"/>
    <w:rsid w:val="00743B08"/>
    <w:rsid w:val="00743E99"/>
    <w:rsid w:val="007445E3"/>
    <w:rsid w:val="00744742"/>
    <w:rsid w:val="00744778"/>
    <w:rsid w:val="007447AF"/>
    <w:rsid w:val="00744928"/>
    <w:rsid w:val="00744A14"/>
    <w:rsid w:val="00744E0C"/>
    <w:rsid w:val="0074521D"/>
    <w:rsid w:val="00745E24"/>
    <w:rsid w:val="00746753"/>
    <w:rsid w:val="00746C27"/>
    <w:rsid w:val="00747C4C"/>
    <w:rsid w:val="00747D16"/>
    <w:rsid w:val="007507CB"/>
    <w:rsid w:val="00750816"/>
    <w:rsid w:val="0075090A"/>
    <w:rsid w:val="007515BB"/>
    <w:rsid w:val="007515E8"/>
    <w:rsid w:val="007519D9"/>
    <w:rsid w:val="00751A2C"/>
    <w:rsid w:val="00751FF6"/>
    <w:rsid w:val="00752682"/>
    <w:rsid w:val="00752D9A"/>
    <w:rsid w:val="00752F4F"/>
    <w:rsid w:val="00753095"/>
    <w:rsid w:val="00753F5D"/>
    <w:rsid w:val="00754422"/>
    <w:rsid w:val="007544C5"/>
    <w:rsid w:val="00754B8A"/>
    <w:rsid w:val="00754E5B"/>
    <w:rsid w:val="00755438"/>
    <w:rsid w:val="00755E58"/>
    <w:rsid w:val="00755F2E"/>
    <w:rsid w:val="00755FA1"/>
    <w:rsid w:val="007564A2"/>
    <w:rsid w:val="007567C5"/>
    <w:rsid w:val="00756990"/>
    <w:rsid w:val="00757AD2"/>
    <w:rsid w:val="00757DEE"/>
    <w:rsid w:val="007600B8"/>
    <w:rsid w:val="00760350"/>
    <w:rsid w:val="007604E3"/>
    <w:rsid w:val="007605C4"/>
    <w:rsid w:val="007626C2"/>
    <w:rsid w:val="00762812"/>
    <w:rsid w:val="007633DA"/>
    <w:rsid w:val="007634B6"/>
    <w:rsid w:val="007644B5"/>
    <w:rsid w:val="00764919"/>
    <w:rsid w:val="007649A9"/>
    <w:rsid w:val="007649F8"/>
    <w:rsid w:val="00764D76"/>
    <w:rsid w:val="00764E5F"/>
    <w:rsid w:val="007651F0"/>
    <w:rsid w:val="0076521A"/>
    <w:rsid w:val="007657C1"/>
    <w:rsid w:val="00765840"/>
    <w:rsid w:val="0076594A"/>
    <w:rsid w:val="00765CE0"/>
    <w:rsid w:val="00765FA1"/>
    <w:rsid w:val="0076695A"/>
    <w:rsid w:val="007671F9"/>
    <w:rsid w:val="007674C6"/>
    <w:rsid w:val="007700F8"/>
    <w:rsid w:val="00770143"/>
    <w:rsid w:val="00770CEF"/>
    <w:rsid w:val="00771291"/>
    <w:rsid w:val="007712AB"/>
    <w:rsid w:val="007716EC"/>
    <w:rsid w:val="00772164"/>
    <w:rsid w:val="007723E7"/>
    <w:rsid w:val="007728D7"/>
    <w:rsid w:val="00772A3D"/>
    <w:rsid w:val="00772A4C"/>
    <w:rsid w:val="00772CDA"/>
    <w:rsid w:val="0077304E"/>
    <w:rsid w:val="007731BF"/>
    <w:rsid w:val="00773A3F"/>
    <w:rsid w:val="0077456F"/>
    <w:rsid w:val="00774E28"/>
    <w:rsid w:val="0077527D"/>
    <w:rsid w:val="00775428"/>
    <w:rsid w:val="00775793"/>
    <w:rsid w:val="00775C14"/>
    <w:rsid w:val="00776288"/>
    <w:rsid w:val="007776A2"/>
    <w:rsid w:val="00777A65"/>
    <w:rsid w:val="00777A7D"/>
    <w:rsid w:val="007809E9"/>
    <w:rsid w:val="00780F1D"/>
    <w:rsid w:val="00781875"/>
    <w:rsid w:val="007819A6"/>
    <w:rsid w:val="00781A45"/>
    <w:rsid w:val="00782012"/>
    <w:rsid w:val="007821A1"/>
    <w:rsid w:val="007821EF"/>
    <w:rsid w:val="00782451"/>
    <w:rsid w:val="0078259D"/>
    <w:rsid w:val="007826E7"/>
    <w:rsid w:val="0078280C"/>
    <w:rsid w:val="00782A5F"/>
    <w:rsid w:val="0078340D"/>
    <w:rsid w:val="00783C9F"/>
    <w:rsid w:val="007843BD"/>
    <w:rsid w:val="0078474F"/>
    <w:rsid w:val="007848EF"/>
    <w:rsid w:val="00784EA1"/>
    <w:rsid w:val="00784F4E"/>
    <w:rsid w:val="00784F52"/>
    <w:rsid w:val="00785205"/>
    <w:rsid w:val="0078594F"/>
    <w:rsid w:val="00785C60"/>
    <w:rsid w:val="00786179"/>
    <w:rsid w:val="00786532"/>
    <w:rsid w:val="00786580"/>
    <w:rsid w:val="007865D8"/>
    <w:rsid w:val="00786E2F"/>
    <w:rsid w:val="00786F9F"/>
    <w:rsid w:val="0078778B"/>
    <w:rsid w:val="00787E32"/>
    <w:rsid w:val="00790262"/>
    <w:rsid w:val="007906B5"/>
    <w:rsid w:val="007907C3"/>
    <w:rsid w:val="00790968"/>
    <w:rsid w:val="00791548"/>
    <w:rsid w:val="0079197A"/>
    <w:rsid w:val="00791C4E"/>
    <w:rsid w:val="00792064"/>
    <w:rsid w:val="007926C8"/>
    <w:rsid w:val="007929FA"/>
    <w:rsid w:val="00792D79"/>
    <w:rsid w:val="00793209"/>
    <w:rsid w:val="00793511"/>
    <w:rsid w:val="00793CB3"/>
    <w:rsid w:val="00794325"/>
    <w:rsid w:val="00794AAB"/>
    <w:rsid w:val="007952C1"/>
    <w:rsid w:val="00796566"/>
    <w:rsid w:val="007969E3"/>
    <w:rsid w:val="00796CA7"/>
    <w:rsid w:val="00797072"/>
    <w:rsid w:val="0079725A"/>
    <w:rsid w:val="007975B9"/>
    <w:rsid w:val="00797726"/>
    <w:rsid w:val="00797798"/>
    <w:rsid w:val="00797BCF"/>
    <w:rsid w:val="00797F2B"/>
    <w:rsid w:val="007A0115"/>
    <w:rsid w:val="007A0208"/>
    <w:rsid w:val="007A0B04"/>
    <w:rsid w:val="007A0BC7"/>
    <w:rsid w:val="007A0BDD"/>
    <w:rsid w:val="007A0DD6"/>
    <w:rsid w:val="007A1099"/>
    <w:rsid w:val="007A11DE"/>
    <w:rsid w:val="007A17F1"/>
    <w:rsid w:val="007A206A"/>
    <w:rsid w:val="007A2529"/>
    <w:rsid w:val="007A27AA"/>
    <w:rsid w:val="007A27D9"/>
    <w:rsid w:val="007A2A33"/>
    <w:rsid w:val="007A2BD6"/>
    <w:rsid w:val="007A3220"/>
    <w:rsid w:val="007A343D"/>
    <w:rsid w:val="007A3998"/>
    <w:rsid w:val="007A406D"/>
    <w:rsid w:val="007A423E"/>
    <w:rsid w:val="007A42AF"/>
    <w:rsid w:val="007A434B"/>
    <w:rsid w:val="007A43D7"/>
    <w:rsid w:val="007A43D8"/>
    <w:rsid w:val="007A50BF"/>
    <w:rsid w:val="007A51D9"/>
    <w:rsid w:val="007A5973"/>
    <w:rsid w:val="007A62B0"/>
    <w:rsid w:val="007A6BB2"/>
    <w:rsid w:val="007A7003"/>
    <w:rsid w:val="007A7119"/>
    <w:rsid w:val="007A7C14"/>
    <w:rsid w:val="007A7C4D"/>
    <w:rsid w:val="007B07CE"/>
    <w:rsid w:val="007B092D"/>
    <w:rsid w:val="007B0C7C"/>
    <w:rsid w:val="007B0F0D"/>
    <w:rsid w:val="007B1371"/>
    <w:rsid w:val="007B1493"/>
    <w:rsid w:val="007B15D4"/>
    <w:rsid w:val="007B203B"/>
    <w:rsid w:val="007B32ED"/>
    <w:rsid w:val="007B333C"/>
    <w:rsid w:val="007B3457"/>
    <w:rsid w:val="007B356F"/>
    <w:rsid w:val="007B3935"/>
    <w:rsid w:val="007B3A68"/>
    <w:rsid w:val="007B3E0A"/>
    <w:rsid w:val="007B41FB"/>
    <w:rsid w:val="007B47FB"/>
    <w:rsid w:val="007B4E3E"/>
    <w:rsid w:val="007B5308"/>
    <w:rsid w:val="007B5518"/>
    <w:rsid w:val="007B5760"/>
    <w:rsid w:val="007B5BDE"/>
    <w:rsid w:val="007B5C97"/>
    <w:rsid w:val="007B648B"/>
    <w:rsid w:val="007B6944"/>
    <w:rsid w:val="007B6CA9"/>
    <w:rsid w:val="007B70C4"/>
    <w:rsid w:val="007B78DC"/>
    <w:rsid w:val="007B7EEC"/>
    <w:rsid w:val="007C00BD"/>
    <w:rsid w:val="007C04C7"/>
    <w:rsid w:val="007C0756"/>
    <w:rsid w:val="007C0F4D"/>
    <w:rsid w:val="007C1F35"/>
    <w:rsid w:val="007C2003"/>
    <w:rsid w:val="007C288F"/>
    <w:rsid w:val="007C2F43"/>
    <w:rsid w:val="007C3378"/>
    <w:rsid w:val="007C390C"/>
    <w:rsid w:val="007C40FC"/>
    <w:rsid w:val="007C437B"/>
    <w:rsid w:val="007C4A67"/>
    <w:rsid w:val="007C4B0A"/>
    <w:rsid w:val="007C50FB"/>
    <w:rsid w:val="007C52E7"/>
    <w:rsid w:val="007C54DD"/>
    <w:rsid w:val="007C5A0C"/>
    <w:rsid w:val="007C5A81"/>
    <w:rsid w:val="007C5C80"/>
    <w:rsid w:val="007C5ED7"/>
    <w:rsid w:val="007C66E9"/>
    <w:rsid w:val="007C6A31"/>
    <w:rsid w:val="007C6E05"/>
    <w:rsid w:val="007C77FD"/>
    <w:rsid w:val="007C7E6D"/>
    <w:rsid w:val="007D0B8A"/>
    <w:rsid w:val="007D1034"/>
    <w:rsid w:val="007D10F7"/>
    <w:rsid w:val="007D15BE"/>
    <w:rsid w:val="007D1770"/>
    <w:rsid w:val="007D1D65"/>
    <w:rsid w:val="007D1F30"/>
    <w:rsid w:val="007D2352"/>
    <w:rsid w:val="007D2895"/>
    <w:rsid w:val="007D2ACF"/>
    <w:rsid w:val="007D34CB"/>
    <w:rsid w:val="007D3D24"/>
    <w:rsid w:val="007D3F27"/>
    <w:rsid w:val="007D43FA"/>
    <w:rsid w:val="007D4D55"/>
    <w:rsid w:val="007D65CB"/>
    <w:rsid w:val="007D660A"/>
    <w:rsid w:val="007D6D00"/>
    <w:rsid w:val="007D71B6"/>
    <w:rsid w:val="007D763B"/>
    <w:rsid w:val="007D7A60"/>
    <w:rsid w:val="007D7BB1"/>
    <w:rsid w:val="007D7C22"/>
    <w:rsid w:val="007E0877"/>
    <w:rsid w:val="007E0BC9"/>
    <w:rsid w:val="007E0FEE"/>
    <w:rsid w:val="007E143F"/>
    <w:rsid w:val="007E1DCD"/>
    <w:rsid w:val="007E2195"/>
    <w:rsid w:val="007E21CA"/>
    <w:rsid w:val="007E3A2C"/>
    <w:rsid w:val="007E3B4D"/>
    <w:rsid w:val="007E4055"/>
    <w:rsid w:val="007E419A"/>
    <w:rsid w:val="007E4325"/>
    <w:rsid w:val="007E4FE4"/>
    <w:rsid w:val="007E50DE"/>
    <w:rsid w:val="007E520B"/>
    <w:rsid w:val="007E566E"/>
    <w:rsid w:val="007E58E4"/>
    <w:rsid w:val="007E59C3"/>
    <w:rsid w:val="007E5AAF"/>
    <w:rsid w:val="007E5F36"/>
    <w:rsid w:val="007E70D5"/>
    <w:rsid w:val="007E7113"/>
    <w:rsid w:val="007E71D5"/>
    <w:rsid w:val="007E74C7"/>
    <w:rsid w:val="007E74FD"/>
    <w:rsid w:val="007E76A8"/>
    <w:rsid w:val="007E7F3A"/>
    <w:rsid w:val="007F06EC"/>
    <w:rsid w:val="007F09A0"/>
    <w:rsid w:val="007F0F0F"/>
    <w:rsid w:val="007F0F18"/>
    <w:rsid w:val="007F0F59"/>
    <w:rsid w:val="007F0FC4"/>
    <w:rsid w:val="007F11EB"/>
    <w:rsid w:val="007F138E"/>
    <w:rsid w:val="007F195B"/>
    <w:rsid w:val="007F1999"/>
    <w:rsid w:val="007F1AC0"/>
    <w:rsid w:val="007F1FBC"/>
    <w:rsid w:val="007F2017"/>
    <w:rsid w:val="007F22EA"/>
    <w:rsid w:val="007F29A5"/>
    <w:rsid w:val="007F30CD"/>
    <w:rsid w:val="007F3109"/>
    <w:rsid w:val="007F3531"/>
    <w:rsid w:val="007F36D0"/>
    <w:rsid w:val="007F48E5"/>
    <w:rsid w:val="007F507A"/>
    <w:rsid w:val="007F50C6"/>
    <w:rsid w:val="007F5138"/>
    <w:rsid w:val="007F51EF"/>
    <w:rsid w:val="007F566F"/>
    <w:rsid w:val="007F5DDF"/>
    <w:rsid w:val="007F615D"/>
    <w:rsid w:val="007F769F"/>
    <w:rsid w:val="007F78D7"/>
    <w:rsid w:val="007F7928"/>
    <w:rsid w:val="007F7AB2"/>
    <w:rsid w:val="007F7F8E"/>
    <w:rsid w:val="007F7FEE"/>
    <w:rsid w:val="0080078E"/>
    <w:rsid w:val="00800FE1"/>
    <w:rsid w:val="008014B7"/>
    <w:rsid w:val="00801D1A"/>
    <w:rsid w:val="00802433"/>
    <w:rsid w:val="00802CB0"/>
    <w:rsid w:val="00802FD1"/>
    <w:rsid w:val="00803239"/>
    <w:rsid w:val="008032B9"/>
    <w:rsid w:val="0080374A"/>
    <w:rsid w:val="0080391A"/>
    <w:rsid w:val="00804AA5"/>
    <w:rsid w:val="00804F9E"/>
    <w:rsid w:val="00805592"/>
    <w:rsid w:val="0080625D"/>
    <w:rsid w:val="00806BE1"/>
    <w:rsid w:val="00806FAC"/>
    <w:rsid w:val="0081033C"/>
    <w:rsid w:val="00810485"/>
    <w:rsid w:val="00810FC3"/>
    <w:rsid w:val="008112C2"/>
    <w:rsid w:val="00811D89"/>
    <w:rsid w:val="0081214B"/>
    <w:rsid w:val="0081235C"/>
    <w:rsid w:val="0081256E"/>
    <w:rsid w:val="00812657"/>
    <w:rsid w:val="00812E7E"/>
    <w:rsid w:val="00812E89"/>
    <w:rsid w:val="008131D1"/>
    <w:rsid w:val="00813A28"/>
    <w:rsid w:val="00813EDF"/>
    <w:rsid w:val="00813F36"/>
    <w:rsid w:val="008142CF"/>
    <w:rsid w:val="008148D5"/>
    <w:rsid w:val="0081491E"/>
    <w:rsid w:val="00814C4E"/>
    <w:rsid w:val="00814C92"/>
    <w:rsid w:val="00814D6B"/>
    <w:rsid w:val="00815D97"/>
    <w:rsid w:val="00815EBD"/>
    <w:rsid w:val="00816A9A"/>
    <w:rsid w:val="00816E1F"/>
    <w:rsid w:val="00816E74"/>
    <w:rsid w:val="00816FF4"/>
    <w:rsid w:val="0081717B"/>
    <w:rsid w:val="00820605"/>
    <w:rsid w:val="00820A04"/>
    <w:rsid w:val="00820AC8"/>
    <w:rsid w:val="00821FEB"/>
    <w:rsid w:val="008220EB"/>
    <w:rsid w:val="0082293E"/>
    <w:rsid w:val="00822BE1"/>
    <w:rsid w:val="00822CB1"/>
    <w:rsid w:val="00822E6E"/>
    <w:rsid w:val="008231AE"/>
    <w:rsid w:val="00823561"/>
    <w:rsid w:val="00824045"/>
    <w:rsid w:val="008240EC"/>
    <w:rsid w:val="00824370"/>
    <w:rsid w:val="00824749"/>
    <w:rsid w:val="00824A69"/>
    <w:rsid w:val="00824CF9"/>
    <w:rsid w:val="00824DAF"/>
    <w:rsid w:val="0082525D"/>
    <w:rsid w:val="00825456"/>
    <w:rsid w:val="008268AA"/>
    <w:rsid w:val="00826948"/>
    <w:rsid w:val="00826F02"/>
    <w:rsid w:val="00827083"/>
    <w:rsid w:val="00827292"/>
    <w:rsid w:val="008273B9"/>
    <w:rsid w:val="00830188"/>
    <w:rsid w:val="00830290"/>
    <w:rsid w:val="00830857"/>
    <w:rsid w:val="00830A66"/>
    <w:rsid w:val="00830F24"/>
    <w:rsid w:val="00831204"/>
    <w:rsid w:val="0083130B"/>
    <w:rsid w:val="0083146A"/>
    <w:rsid w:val="00831D0E"/>
    <w:rsid w:val="00831F92"/>
    <w:rsid w:val="008325BF"/>
    <w:rsid w:val="0083382A"/>
    <w:rsid w:val="008339BB"/>
    <w:rsid w:val="00833EF5"/>
    <w:rsid w:val="008345C8"/>
    <w:rsid w:val="008349E5"/>
    <w:rsid w:val="008350DD"/>
    <w:rsid w:val="0083536F"/>
    <w:rsid w:val="00835A29"/>
    <w:rsid w:val="00835C0F"/>
    <w:rsid w:val="00835E83"/>
    <w:rsid w:val="0083710B"/>
    <w:rsid w:val="00837219"/>
    <w:rsid w:val="00837451"/>
    <w:rsid w:val="008377B5"/>
    <w:rsid w:val="00837C03"/>
    <w:rsid w:val="00837DAD"/>
    <w:rsid w:val="00837DAE"/>
    <w:rsid w:val="008403B3"/>
    <w:rsid w:val="00840473"/>
    <w:rsid w:val="00840748"/>
    <w:rsid w:val="00840B0C"/>
    <w:rsid w:val="00840D2B"/>
    <w:rsid w:val="00841A24"/>
    <w:rsid w:val="00841B87"/>
    <w:rsid w:val="00841C24"/>
    <w:rsid w:val="0084237B"/>
    <w:rsid w:val="008426B4"/>
    <w:rsid w:val="0084278C"/>
    <w:rsid w:val="00843043"/>
    <w:rsid w:val="00843552"/>
    <w:rsid w:val="008435EA"/>
    <w:rsid w:val="0084363F"/>
    <w:rsid w:val="00843E98"/>
    <w:rsid w:val="008440C3"/>
    <w:rsid w:val="008444E7"/>
    <w:rsid w:val="00845959"/>
    <w:rsid w:val="00845F9F"/>
    <w:rsid w:val="008461C8"/>
    <w:rsid w:val="00846395"/>
    <w:rsid w:val="00847558"/>
    <w:rsid w:val="008477EC"/>
    <w:rsid w:val="008479B5"/>
    <w:rsid w:val="00847B7F"/>
    <w:rsid w:val="00847CE4"/>
    <w:rsid w:val="008505BD"/>
    <w:rsid w:val="00850B0B"/>
    <w:rsid w:val="00850C7D"/>
    <w:rsid w:val="00851024"/>
    <w:rsid w:val="00851236"/>
    <w:rsid w:val="00851D2A"/>
    <w:rsid w:val="00851E97"/>
    <w:rsid w:val="00852B91"/>
    <w:rsid w:val="00852CEF"/>
    <w:rsid w:val="00853363"/>
    <w:rsid w:val="0085397A"/>
    <w:rsid w:val="00854336"/>
    <w:rsid w:val="00854724"/>
    <w:rsid w:val="00854904"/>
    <w:rsid w:val="00855171"/>
    <w:rsid w:val="008552F9"/>
    <w:rsid w:val="00855CF1"/>
    <w:rsid w:val="00857EEF"/>
    <w:rsid w:val="00860859"/>
    <w:rsid w:val="008609EB"/>
    <w:rsid w:val="00860CA5"/>
    <w:rsid w:val="0086138A"/>
    <w:rsid w:val="00861429"/>
    <w:rsid w:val="00861A2D"/>
    <w:rsid w:val="00861BD2"/>
    <w:rsid w:val="0086205E"/>
    <w:rsid w:val="008621B7"/>
    <w:rsid w:val="00863C50"/>
    <w:rsid w:val="00863E4E"/>
    <w:rsid w:val="0086419A"/>
    <w:rsid w:val="008644CD"/>
    <w:rsid w:val="0086462C"/>
    <w:rsid w:val="008648B7"/>
    <w:rsid w:val="00864AFE"/>
    <w:rsid w:val="00865112"/>
    <w:rsid w:val="00865238"/>
    <w:rsid w:val="00865D87"/>
    <w:rsid w:val="00866081"/>
    <w:rsid w:val="0086617F"/>
    <w:rsid w:val="0086648E"/>
    <w:rsid w:val="00866B4E"/>
    <w:rsid w:val="00866EC0"/>
    <w:rsid w:val="008672BE"/>
    <w:rsid w:val="008677E0"/>
    <w:rsid w:val="00867E74"/>
    <w:rsid w:val="008700A8"/>
    <w:rsid w:val="00870185"/>
    <w:rsid w:val="008701B1"/>
    <w:rsid w:val="0087023B"/>
    <w:rsid w:val="0087046B"/>
    <w:rsid w:val="008706AD"/>
    <w:rsid w:val="00871F86"/>
    <w:rsid w:val="00872264"/>
    <w:rsid w:val="0087251F"/>
    <w:rsid w:val="00872EEC"/>
    <w:rsid w:val="008732DF"/>
    <w:rsid w:val="008735C2"/>
    <w:rsid w:val="00873A2F"/>
    <w:rsid w:val="00874D00"/>
    <w:rsid w:val="00875CF0"/>
    <w:rsid w:val="00875D48"/>
    <w:rsid w:val="0087653B"/>
    <w:rsid w:val="00876635"/>
    <w:rsid w:val="00876EF3"/>
    <w:rsid w:val="00876F6B"/>
    <w:rsid w:val="0087735E"/>
    <w:rsid w:val="00877EA3"/>
    <w:rsid w:val="0088034F"/>
    <w:rsid w:val="00880A23"/>
    <w:rsid w:val="00880F04"/>
    <w:rsid w:val="00880F1A"/>
    <w:rsid w:val="0088133B"/>
    <w:rsid w:val="00881756"/>
    <w:rsid w:val="008818BE"/>
    <w:rsid w:val="00881CC7"/>
    <w:rsid w:val="00882565"/>
    <w:rsid w:val="00882A7B"/>
    <w:rsid w:val="00882C0F"/>
    <w:rsid w:val="00882CAE"/>
    <w:rsid w:val="00883825"/>
    <w:rsid w:val="00884055"/>
    <w:rsid w:val="00884134"/>
    <w:rsid w:val="00884436"/>
    <w:rsid w:val="00884582"/>
    <w:rsid w:val="008849FD"/>
    <w:rsid w:val="00884DFC"/>
    <w:rsid w:val="00884F34"/>
    <w:rsid w:val="00884FEB"/>
    <w:rsid w:val="00885AE2"/>
    <w:rsid w:val="00885B96"/>
    <w:rsid w:val="008863DD"/>
    <w:rsid w:val="00886BFD"/>
    <w:rsid w:val="0088722F"/>
    <w:rsid w:val="008876BC"/>
    <w:rsid w:val="008876C7"/>
    <w:rsid w:val="0088779C"/>
    <w:rsid w:val="008878C4"/>
    <w:rsid w:val="008879CA"/>
    <w:rsid w:val="00887AB4"/>
    <w:rsid w:val="00890861"/>
    <w:rsid w:val="008912AA"/>
    <w:rsid w:val="00891673"/>
    <w:rsid w:val="00891DD8"/>
    <w:rsid w:val="00892337"/>
    <w:rsid w:val="008925DA"/>
    <w:rsid w:val="0089294A"/>
    <w:rsid w:val="0089363C"/>
    <w:rsid w:val="0089364D"/>
    <w:rsid w:val="00893D35"/>
    <w:rsid w:val="00893FD7"/>
    <w:rsid w:val="00894289"/>
    <w:rsid w:val="008942EC"/>
    <w:rsid w:val="008944C9"/>
    <w:rsid w:val="00895C66"/>
    <w:rsid w:val="00895EAC"/>
    <w:rsid w:val="00896FFC"/>
    <w:rsid w:val="008976A4"/>
    <w:rsid w:val="0089779E"/>
    <w:rsid w:val="008977E6"/>
    <w:rsid w:val="00897D24"/>
    <w:rsid w:val="00897D4D"/>
    <w:rsid w:val="00897F00"/>
    <w:rsid w:val="008A04F1"/>
    <w:rsid w:val="008A0A12"/>
    <w:rsid w:val="008A0A69"/>
    <w:rsid w:val="008A1575"/>
    <w:rsid w:val="008A179F"/>
    <w:rsid w:val="008A198C"/>
    <w:rsid w:val="008A20E7"/>
    <w:rsid w:val="008A22B5"/>
    <w:rsid w:val="008A2674"/>
    <w:rsid w:val="008A2868"/>
    <w:rsid w:val="008A2E2C"/>
    <w:rsid w:val="008A2F0F"/>
    <w:rsid w:val="008A4275"/>
    <w:rsid w:val="008A43B0"/>
    <w:rsid w:val="008A44FE"/>
    <w:rsid w:val="008A4F48"/>
    <w:rsid w:val="008A55CC"/>
    <w:rsid w:val="008A5A37"/>
    <w:rsid w:val="008A5E66"/>
    <w:rsid w:val="008A651B"/>
    <w:rsid w:val="008A655D"/>
    <w:rsid w:val="008A660E"/>
    <w:rsid w:val="008A6DD7"/>
    <w:rsid w:val="008A72AC"/>
    <w:rsid w:val="008A7361"/>
    <w:rsid w:val="008A7585"/>
    <w:rsid w:val="008A77B8"/>
    <w:rsid w:val="008A77F1"/>
    <w:rsid w:val="008A79F3"/>
    <w:rsid w:val="008B071F"/>
    <w:rsid w:val="008B0864"/>
    <w:rsid w:val="008B0BC8"/>
    <w:rsid w:val="008B0E2C"/>
    <w:rsid w:val="008B1318"/>
    <w:rsid w:val="008B1456"/>
    <w:rsid w:val="008B1F26"/>
    <w:rsid w:val="008B2292"/>
    <w:rsid w:val="008B2A7E"/>
    <w:rsid w:val="008B2E88"/>
    <w:rsid w:val="008B393C"/>
    <w:rsid w:val="008B3959"/>
    <w:rsid w:val="008B3AD3"/>
    <w:rsid w:val="008B3B59"/>
    <w:rsid w:val="008B3FE5"/>
    <w:rsid w:val="008B43D7"/>
    <w:rsid w:val="008B455C"/>
    <w:rsid w:val="008B4C44"/>
    <w:rsid w:val="008B55D1"/>
    <w:rsid w:val="008B5647"/>
    <w:rsid w:val="008B5745"/>
    <w:rsid w:val="008B57C8"/>
    <w:rsid w:val="008B59ED"/>
    <w:rsid w:val="008B5B24"/>
    <w:rsid w:val="008B5C6B"/>
    <w:rsid w:val="008B60CF"/>
    <w:rsid w:val="008B651F"/>
    <w:rsid w:val="008B666B"/>
    <w:rsid w:val="008B69DF"/>
    <w:rsid w:val="008B6A2B"/>
    <w:rsid w:val="008B6AAB"/>
    <w:rsid w:val="008B6C11"/>
    <w:rsid w:val="008B7583"/>
    <w:rsid w:val="008B798E"/>
    <w:rsid w:val="008C005E"/>
    <w:rsid w:val="008C0EA0"/>
    <w:rsid w:val="008C11B0"/>
    <w:rsid w:val="008C19ED"/>
    <w:rsid w:val="008C21AA"/>
    <w:rsid w:val="008C2D0C"/>
    <w:rsid w:val="008C32E3"/>
    <w:rsid w:val="008C352F"/>
    <w:rsid w:val="008C378E"/>
    <w:rsid w:val="008C3889"/>
    <w:rsid w:val="008C3966"/>
    <w:rsid w:val="008C39A8"/>
    <w:rsid w:val="008C3AA2"/>
    <w:rsid w:val="008C3C4C"/>
    <w:rsid w:val="008C3E53"/>
    <w:rsid w:val="008C3EE3"/>
    <w:rsid w:val="008C4720"/>
    <w:rsid w:val="008C4FEA"/>
    <w:rsid w:val="008C501F"/>
    <w:rsid w:val="008C52C7"/>
    <w:rsid w:val="008C5524"/>
    <w:rsid w:val="008C598C"/>
    <w:rsid w:val="008C6863"/>
    <w:rsid w:val="008C73EC"/>
    <w:rsid w:val="008C7413"/>
    <w:rsid w:val="008C791D"/>
    <w:rsid w:val="008C7CEC"/>
    <w:rsid w:val="008C7F47"/>
    <w:rsid w:val="008D046B"/>
    <w:rsid w:val="008D09FC"/>
    <w:rsid w:val="008D0DB7"/>
    <w:rsid w:val="008D0EC2"/>
    <w:rsid w:val="008D159D"/>
    <w:rsid w:val="008D16B7"/>
    <w:rsid w:val="008D19E9"/>
    <w:rsid w:val="008D20A2"/>
    <w:rsid w:val="008D213C"/>
    <w:rsid w:val="008D2482"/>
    <w:rsid w:val="008D2DD3"/>
    <w:rsid w:val="008D2E36"/>
    <w:rsid w:val="008D3171"/>
    <w:rsid w:val="008D3A85"/>
    <w:rsid w:val="008D3BF8"/>
    <w:rsid w:val="008D41D9"/>
    <w:rsid w:val="008D4838"/>
    <w:rsid w:val="008D497F"/>
    <w:rsid w:val="008D49CA"/>
    <w:rsid w:val="008D49CD"/>
    <w:rsid w:val="008D54B3"/>
    <w:rsid w:val="008D5651"/>
    <w:rsid w:val="008D5A54"/>
    <w:rsid w:val="008D5F90"/>
    <w:rsid w:val="008D638D"/>
    <w:rsid w:val="008D6886"/>
    <w:rsid w:val="008D69A8"/>
    <w:rsid w:val="008D6E55"/>
    <w:rsid w:val="008D7A4B"/>
    <w:rsid w:val="008D7B20"/>
    <w:rsid w:val="008D7C9D"/>
    <w:rsid w:val="008E0F76"/>
    <w:rsid w:val="008E19F5"/>
    <w:rsid w:val="008E1E98"/>
    <w:rsid w:val="008E2060"/>
    <w:rsid w:val="008E21BE"/>
    <w:rsid w:val="008E2CAA"/>
    <w:rsid w:val="008E2CDD"/>
    <w:rsid w:val="008E2CE4"/>
    <w:rsid w:val="008E3221"/>
    <w:rsid w:val="008E32D7"/>
    <w:rsid w:val="008E4423"/>
    <w:rsid w:val="008E4944"/>
    <w:rsid w:val="008E4B41"/>
    <w:rsid w:val="008E5283"/>
    <w:rsid w:val="008E59FE"/>
    <w:rsid w:val="008E5F5E"/>
    <w:rsid w:val="008E6373"/>
    <w:rsid w:val="008E68C9"/>
    <w:rsid w:val="008E6AE6"/>
    <w:rsid w:val="008E7565"/>
    <w:rsid w:val="008E7AA8"/>
    <w:rsid w:val="008F0116"/>
    <w:rsid w:val="008F026D"/>
    <w:rsid w:val="008F05BE"/>
    <w:rsid w:val="008F0720"/>
    <w:rsid w:val="008F0A69"/>
    <w:rsid w:val="008F0F5A"/>
    <w:rsid w:val="008F104F"/>
    <w:rsid w:val="008F143D"/>
    <w:rsid w:val="008F18D6"/>
    <w:rsid w:val="008F1E32"/>
    <w:rsid w:val="008F2354"/>
    <w:rsid w:val="008F2375"/>
    <w:rsid w:val="008F2AF4"/>
    <w:rsid w:val="008F3361"/>
    <w:rsid w:val="008F34A3"/>
    <w:rsid w:val="008F38A7"/>
    <w:rsid w:val="008F3BA6"/>
    <w:rsid w:val="008F3D90"/>
    <w:rsid w:val="008F40F5"/>
    <w:rsid w:val="008F41E3"/>
    <w:rsid w:val="008F4609"/>
    <w:rsid w:val="008F517F"/>
    <w:rsid w:val="008F587B"/>
    <w:rsid w:val="008F5CA6"/>
    <w:rsid w:val="008F67A7"/>
    <w:rsid w:val="008F67FE"/>
    <w:rsid w:val="008F6AE5"/>
    <w:rsid w:val="008F6C44"/>
    <w:rsid w:val="008F73F5"/>
    <w:rsid w:val="008F7406"/>
    <w:rsid w:val="009002EC"/>
    <w:rsid w:val="00900394"/>
    <w:rsid w:val="009003C5"/>
    <w:rsid w:val="00900CBD"/>
    <w:rsid w:val="00900CE4"/>
    <w:rsid w:val="00900DCC"/>
    <w:rsid w:val="009010E8"/>
    <w:rsid w:val="00901D86"/>
    <w:rsid w:val="00901E1D"/>
    <w:rsid w:val="00902180"/>
    <w:rsid w:val="009021CE"/>
    <w:rsid w:val="0090268C"/>
    <w:rsid w:val="0090285E"/>
    <w:rsid w:val="0090294C"/>
    <w:rsid w:val="009029E1"/>
    <w:rsid w:val="009033B9"/>
    <w:rsid w:val="00903723"/>
    <w:rsid w:val="00903749"/>
    <w:rsid w:val="00903793"/>
    <w:rsid w:val="00903A67"/>
    <w:rsid w:val="0090416B"/>
    <w:rsid w:val="00904D06"/>
    <w:rsid w:val="0090523F"/>
    <w:rsid w:val="00905243"/>
    <w:rsid w:val="00905388"/>
    <w:rsid w:val="009053FA"/>
    <w:rsid w:val="00905C6C"/>
    <w:rsid w:val="009062E9"/>
    <w:rsid w:val="0090658B"/>
    <w:rsid w:val="00906E24"/>
    <w:rsid w:val="009070F6"/>
    <w:rsid w:val="009075E9"/>
    <w:rsid w:val="00907C7F"/>
    <w:rsid w:val="0091040F"/>
    <w:rsid w:val="00910418"/>
    <w:rsid w:val="00910502"/>
    <w:rsid w:val="00910551"/>
    <w:rsid w:val="00910AF4"/>
    <w:rsid w:val="0091166B"/>
    <w:rsid w:val="0091225C"/>
    <w:rsid w:val="0091283A"/>
    <w:rsid w:val="00912974"/>
    <w:rsid w:val="00912AC1"/>
    <w:rsid w:val="00912BAD"/>
    <w:rsid w:val="00913FC8"/>
    <w:rsid w:val="00914ACE"/>
    <w:rsid w:val="00914C66"/>
    <w:rsid w:val="00915D0E"/>
    <w:rsid w:val="00915D10"/>
    <w:rsid w:val="00916298"/>
    <w:rsid w:val="00916DBD"/>
    <w:rsid w:val="00916DFD"/>
    <w:rsid w:val="0091704E"/>
    <w:rsid w:val="00917B99"/>
    <w:rsid w:val="00917EB4"/>
    <w:rsid w:val="00920072"/>
    <w:rsid w:val="009200C2"/>
    <w:rsid w:val="009200E1"/>
    <w:rsid w:val="00920E20"/>
    <w:rsid w:val="0092166B"/>
    <w:rsid w:val="00921E9A"/>
    <w:rsid w:val="00922007"/>
    <w:rsid w:val="0092242C"/>
    <w:rsid w:val="009231A6"/>
    <w:rsid w:val="00923250"/>
    <w:rsid w:val="00923C43"/>
    <w:rsid w:val="00923FBA"/>
    <w:rsid w:val="0092418C"/>
    <w:rsid w:val="0092430D"/>
    <w:rsid w:val="0092459B"/>
    <w:rsid w:val="0092471E"/>
    <w:rsid w:val="009249D6"/>
    <w:rsid w:val="00924A19"/>
    <w:rsid w:val="00924AD1"/>
    <w:rsid w:val="00925182"/>
    <w:rsid w:val="00926186"/>
    <w:rsid w:val="00926188"/>
    <w:rsid w:val="009265A3"/>
    <w:rsid w:val="00926610"/>
    <w:rsid w:val="009269A4"/>
    <w:rsid w:val="00926AA3"/>
    <w:rsid w:val="00927389"/>
    <w:rsid w:val="009273E1"/>
    <w:rsid w:val="00927936"/>
    <w:rsid w:val="00927A2B"/>
    <w:rsid w:val="00930BDB"/>
    <w:rsid w:val="00931369"/>
    <w:rsid w:val="009316A3"/>
    <w:rsid w:val="00931ACC"/>
    <w:rsid w:val="00931AE2"/>
    <w:rsid w:val="009325B6"/>
    <w:rsid w:val="00932865"/>
    <w:rsid w:val="00932FC7"/>
    <w:rsid w:val="00933924"/>
    <w:rsid w:val="00934A25"/>
    <w:rsid w:val="00934CFA"/>
    <w:rsid w:val="00935A62"/>
    <w:rsid w:val="00935B2A"/>
    <w:rsid w:val="009360D3"/>
    <w:rsid w:val="00936376"/>
    <w:rsid w:val="009367C9"/>
    <w:rsid w:val="00936EA9"/>
    <w:rsid w:val="009371CF"/>
    <w:rsid w:val="00937257"/>
    <w:rsid w:val="00937879"/>
    <w:rsid w:val="0094042E"/>
    <w:rsid w:val="00940C1B"/>
    <w:rsid w:val="00941785"/>
    <w:rsid w:val="00941BC1"/>
    <w:rsid w:val="009421A5"/>
    <w:rsid w:val="0094274F"/>
    <w:rsid w:val="00942885"/>
    <w:rsid w:val="00942B7C"/>
    <w:rsid w:val="00943079"/>
    <w:rsid w:val="00944579"/>
    <w:rsid w:val="009447DD"/>
    <w:rsid w:val="009451D2"/>
    <w:rsid w:val="00945270"/>
    <w:rsid w:val="00945367"/>
    <w:rsid w:val="009456B9"/>
    <w:rsid w:val="009459D3"/>
    <w:rsid w:val="00945B34"/>
    <w:rsid w:val="00945BCD"/>
    <w:rsid w:val="00945ED3"/>
    <w:rsid w:val="0094617B"/>
    <w:rsid w:val="00946361"/>
    <w:rsid w:val="00946689"/>
    <w:rsid w:val="00946934"/>
    <w:rsid w:val="00946F69"/>
    <w:rsid w:val="00947481"/>
    <w:rsid w:val="0094797F"/>
    <w:rsid w:val="00947A1B"/>
    <w:rsid w:val="0095088B"/>
    <w:rsid w:val="009509C0"/>
    <w:rsid w:val="009513E9"/>
    <w:rsid w:val="00951476"/>
    <w:rsid w:val="009514A0"/>
    <w:rsid w:val="00951AD1"/>
    <w:rsid w:val="00951C54"/>
    <w:rsid w:val="00951C66"/>
    <w:rsid w:val="00952625"/>
    <w:rsid w:val="00952DE5"/>
    <w:rsid w:val="00952DEA"/>
    <w:rsid w:val="00952EA2"/>
    <w:rsid w:val="0095435A"/>
    <w:rsid w:val="00954B5B"/>
    <w:rsid w:val="009557FA"/>
    <w:rsid w:val="00955B2F"/>
    <w:rsid w:val="00955C6F"/>
    <w:rsid w:val="00955C74"/>
    <w:rsid w:val="00955EA6"/>
    <w:rsid w:val="00955F74"/>
    <w:rsid w:val="00956234"/>
    <w:rsid w:val="009563CC"/>
    <w:rsid w:val="00956B70"/>
    <w:rsid w:val="00956BFD"/>
    <w:rsid w:val="00956E78"/>
    <w:rsid w:val="00957D6C"/>
    <w:rsid w:val="009608E4"/>
    <w:rsid w:val="00960C1A"/>
    <w:rsid w:val="00961385"/>
    <w:rsid w:val="009614C0"/>
    <w:rsid w:val="009615BC"/>
    <w:rsid w:val="00962A87"/>
    <w:rsid w:val="009632AA"/>
    <w:rsid w:val="00963564"/>
    <w:rsid w:val="0096384F"/>
    <w:rsid w:val="00963BF1"/>
    <w:rsid w:val="009640D4"/>
    <w:rsid w:val="00964C44"/>
    <w:rsid w:val="00964C82"/>
    <w:rsid w:val="00964EE0"/>
    <w:rsid w:val="00965082"/>
    <w:rsid w:val="0096531B"/>
    <w:rsid w:val="00965BC1"/>
    <w:rsid w:val="00965F00"/>
    <w:rsid w:val="009660A9"/>
    <w:rsid w:val="00966617"/>
    <w:rsid w:val="00966856"/>
    <w:rsid w:val="00966D54"/>
    <w:rsid w:val="00966F39"/>
    <w:rsid w:val="009671F5"/>
    <w:rsid w:val="009676A2"/>
    <w:rsid w:val="009676F1"/>
    <w:rsid w:val="00967774"/>
    <w:rsid w:val="00967E74"/>
    <w:rsid w:val="0097008F"/>
    <w:rsid w:val="009705D5"/>
    <w:rsid w:val="0097088E"/>
    <w:rsid w:val="0097097F"/>
    <w:rsid w:val="0097145D"/>
    <w:rsid w:val="00971A50"/>
    <w:rsid w:val="00971D9C"/>
    <w:rsid w:val="00971E77"/>
    <w:rsid w:val="00972658"/>
    <w:rsid w:val="009736AF"/>
    <w:rsid w:val="00973D57"/>
    <w:rsid w:val="00973F66"/>
    <w:rsid w:val="00974113"/>
    <w:rsid w:val="0097444A"/>
    <w:rsid w:val="009748A2"/>
    <w:rsid w:val="009753A3"/>
    <w:rsid w:val="00976B4E"/>
    <w:rsid w:val="00977D42"/>
    <w:rsid w:val="0098044A"/>
    <w:rsid w:val="009805E4"/>
    <w:rsid w:val="0098119E"/>
    <w:rsid w:val="00981294"/>
    <w:rsid w:val="0098138E"/>
    <w:rsid w:val="00981C67"/>
    <w:rsid w:val="00981E1F"/>
    <w:rsid w:val="0098222F"/>
    <w:rsid w:val="009822EB"/>
    <w:rsid w:val="00982394"/>
    <w:rsid w:val="009823CC"/>
    <w:rsid w:val="00983573"/>
    <w:rsid w:val="009835F1"/>
    <w:rsid w:val="00983DE0"/>
    <w:rsid w:val="00983FF5"/>
    <w:rsid w:val="00984649"/>
    <w:rsid w:val="00984C61"/>
    <w:rsid w:val="00984DFA"/>
    <w:rsid w:val="00985278"/>
    <w:rsid w:val="009855E2"/>
    <w:rsid w:val="0098595B"/>
    <w:rsid w:val="00985CD5"/>
    <w:rsid w:val="009864A1"/>
    <w:rsid w:val="0098655A"/>
    <w:rsid w:val="00987265"/>
    <w:rsid w:val="009878CB"/>
    <w:rsid w:val="00990250"/>
    <w:rsid w:val="00990505"/>
    <w:rsid w:val="009907FD"/>
    <w:rsid w:val="00990A31"/>
    <w:rsid w:val="009913D4"/>
    <w:rsid w:val="0099177F"/>
    <w:rsid w:val="009917D3"/>
    <w:rsid w:val="00991CC4"/>
    <w:rsid w:val="00991D25"/>
    <w:rsid w:val="00991DB9"/>
    <w:rsid w:val="00991FE3"/>
    <w:rsid w:val="00992454"/>
    <w:rsid w:val="00992496"/>
    <w:rsid w:val="00992976"/>
    <w:rsid w:val="00992EEB"/>
    <w:rsid w:val="00993B1E"/>
    <w:rsid w:val="0099425D"/>
    <w:rsid w:val="00994361"/>
    <w:rsid w:val="00994B85"/>
    <w:rsid w:val="00994F12"/>
    <w:rsid w:val="00994F3E"/>
    <w:rsid w:val="00995290"/>
    <w:rsid w:val="009955CF"/>
    <w:rsid w:val="0099616A"/>
    <w:rsid w:val="009968CF"/>
    <w:rsid w:val="009968D1"/>
    <w:rsid w:val="009968E8"/>
    <w:rsid w:val="0099711A"/>
    <w:rsid w:val="00997357"/>
    <w:rsid w:val="009973E6"/>
    <w:rsid w:val="0099744A"/>
    <w:rsid w:val="009978CD"/>
    <w:rsid w:val="00997C63"/>
    <w:rsid w:val="00997D66"/>
    <w:rsid w:val="00997D6A"/>
    <w:rsid w:val="009A0A66"/>
    <w:rsid w:val="009A194E"/>
    <w:rsid w:val="009A1DA0"/>
    <w:rsid w:val="009A1DC9"/>
    <w:rsid w:val="009A257E"/>
    <w:rsid w:val="009A3DE5"/>
    <w:rsid w:val="009A3F2B"/>
    <w:rsid w:val="009A45AD"/>
    <w:rsid w:val="009A4823"/>
    <w:rsid w:val="009A4B52"/>
    <w:rsid w:val="009A5AC4"/>
    <w:rsid w:val="009A5C78"/>
    <w:rsid w:val="009A6004"/>
    <w:rsid w:val="009A61C2"/>
    <w:rsid w:val="009A67E0"/>
    <w:rsid w:val="009A690F"/>
    <w:rsid w:val="009A6A60"/>
    <w:rsid w:val="009A7160"/>
    <w:rsid w:val="009A72CD"/>
    <w:rsid w:val="009A7527"/>
    <w:rsid w:val="009A75CB"/>
    <w:rsid w:val="009A7F54"/>
    <w:rsid w:val="009B0883"/>
    <w:rsid w:val="009B1665"/>
    <w:rsid w:val="009B1ED7"/>
    <w:rsid w:val="009B2463"/>
    <w:rsid w:val="009B2A0D"/>
    <w:rsid w:val="009B2A37"/>
    <w:rsid w:val="009B3022"/>
    <w:rsid w:val="009B3892"/>
    <w:rsid w:val="009B3C4F"/>
    <w:rsid w:val="009B4036"/>
    <w:rsid w:val="009B406E"/>
    <w:rsid w:val="009B4353"/>
    <w:rsid w:val="009B4721"/>
    <w:rsid w:val="009B48FA"/>
    <w:rsid w:val="009B4F53"/>
    <w:rsid w:val="009B5A03"/>
    <w:rsid w:val="009B6D91"/>
    <w:rsid w:val="009B74DD"/>
    <w:rsid w:val="009B7522"/>
    <w:rsid w:val="009B7877"/>
    <w:rsid w:val="009B7B3F"/>
    <w:rsid w:val="009C0495"/>
    <w:rsid w:val="009C04EE"/>
    <w:rsid w:val="009C0950"/>
    <w:rsid w:val="009C0B86"/>
    <w:rsid w:val="009C0E0A"/>
    <w:rsid w:val="009C1176"/>
    <w:rsid w:val="009C1612"/>
    <w:rsid w:val="009C1939"/>
    <w:rsid w:val="009C1AC3"/>
    <w:rsid w:val="009C1FDB"/>
    <w:rsid w:val="009C2661"/>
    <w:rsid w:val="009C2FEA"/>
    <w:rsid w:val="009C3296"/>
    <w:rsid w:val="009C3382"/>
    <w:rsid w:val="009C4194"/>
    <w:rsid w:val="009C43D4"/>
    <w:rsid w:val="009C479D"/>
    <w:rsid w:val="009C4AEB"/>
    <w:rsid w:val="009C51CE"/>
    <w:rsid w:val="009C540E"/>
    <w:rsid w:val="009C597C"/>
    <w:rsid w:val="009C6225"/>
    <w:rsid w:val="009C6513"/>
    <w:rsid w:val="009C6633"/>
    <w:rsid w:val="009C6865"/>
    <w:rsid w:val="009C73BA"/>
    <w:rsid w:val="009C77B4"/>
    <w:rsid w:val="009C7F36"/>
    <w:rsid w:val="009C7FC5"/>
    <w:rsid w:val="009D00E1"/>
    <w:rsid w:val="009D03E9"/>
    <w:rsid w:val="009D0402"/>
    <w:rsid w:val="009D0897"/>
    <w:rsid w:val="009D0FE3"/>
    <w:rsid w:val="009D1159"/>
    <w:rsid w:val="009D13FB"/>
    <w:rsid w:val="009D19C0"/>
    <w:rsid w:val="009D2287"/>
    <w:rsid w:val="009D2A06"/>
    <w:rsid w:val="009D2E15"/>
    <w:rsid w:val="009D2E53"/>
    <w:rsid w:val="009D36FE"/>
    <w:rsid w:val="009D3E1F"/>
    <w:rsid w:val="009D3E58"/>
    <w:rsid w:val="009D442C"/>
    <w:rsid w:val="009D62D7"/>
    <w:rsid w:val="009D6415"/>
    <w:rsid w:val="009D6EBC"/>
    <w:rsid w:val="009D742C"/>
    <w:rsid w:val="009D7BC7"/>
    <w:rsid w:val="009D7D42"/>
    <w:rsid w:val="009D7D5C"/>
    <w:rsid w:val="009E0A46"/>
    <w:rsid w:val="009E0C2E"/>
    <w:rsid w:val="009E10A8"/>
    <w:rsid w:val="009E144E"/>
    <w:rsid w:val="009E1733"/>
    <w:rsid w:val="009E22DD"/>
    <w:rsid w:val="009E23F6"/>
    <w:rsid w:val="009E24E3"/>
    <w:rsid w:val="009E2E11"/>
    <w:rsid w:val="009E2E85"/>
    <w:rsid w:val="009E2ECF"/>
    <w:rsid w:val="009E2F2C"/>
    <w:rsid w:val="009E31EF"/>
    <w:rsid w:val="009E3331"/>
    <w:rsid w:val="009E33A8"/>
    <w:rsid w:val="009E3A34"/>
    <w:rsid w:val="009E3D13"/>
    <w:rsid w:val="009E3DA0"/>
    <w:rsid w:val="009E3DC2"/>
    <w:rsid w:val="009E3E48"/>
    <w:rsid w:val="009E3F31"/>
    <w:rsid w:val="009E4214"/>
    <w:rsid w:val="009E431F"/>
    <w:rsid w:val="009E4356"/>
    <w:rsid w:val="009E5AFE"/>
    <w:rsid w:val="009E5C91"/>
    <w:rsid w:val="009E5DF8"/>
    <w:rsid w:val="009E6B5C"/>
    <w:rsid w:val="009E718B"/>
    <w:rsid w:val="009E785A"/>
    <w:rsid w:val="009E79A4"/>
    <w:rsid w:val="009E7C7F"/>
    <w:rsid w:val="009E7DA1"/>
    <w:rsid w:val="009F016E"/>
    <w:rsid w:val="009F054C"/>
    <w:rsid w:val="009F0EED"/>
    <w:rsid w:val="009F11F1"/>
    <w:rsid w:val="009F1655"/>
    <w:rsid w:val="009F175A"/>
    <w:rsid w:val="009F28AD"/>
    <w:rsid w:val="009F298B"/>
    <w:rsid w:val="009F2C6C"/>
    <w:rsid w:val="009F2EA1"/>
    <w:rsid w:val="009F30E9"/>
    <w:rsid w:val="009F35C4"/>
    <w:rsid w:val="009F3899"/>
    <w:rsid w:val="009F39D1"/>
    <w:rsid w:val="009F46F2"/>
    <w:rsid w:val="009F4924"/>
    <w:rsid w:val="009F49CA"/>
    <w:rsid w:val="009F517A"/>
    <w:rsid w:val="009F52B3"/>
    <w:rsid w:val="009F5397"/>
    <w:rsid w:val="009F5729"/>
    <w:rsid w:val="009F68E3"/>
    <w:rsid w:val="009F79CE"/>
    <w:rsid w:val="00A00553"/>
    <w:rsid w:val="00A01DEA"/>
    <w:rsid w:val="00A01E96"/>
    <w:rsid w:val="00A01EC3"/>
    <w:rsid w:val="00A02551"/>
    <w:rsid w:val="00A02894"/>
    <w:rsid w:val="00A02F7A"/>
    <w:rsid w:val="00A02FBB"/>
    <w:rsid w:val="00A0338D"/>
    <w:rsid w:val="00A03E3D"/>
    <w:rsid w:val="00A03EEF"/>
    <w:rsid w:val="00A04455"/>
    <w:rsid w:val="00A04C71"/>
    <w:rsid w:val="00A050BE"/>
    <w:rsid w:val="00A057E2"/>
    <w:rsid w:val="00A0608B"/>
    <w:rsid w:val="00A06157"/>
    <w:rsid w:val="00A0653F"/>
    <w:rsid w:val="00A076A9"/>
    <w:rsid w:val="00A0790F"/>
    <w:rsid w:val="00A07DC5"/>
    <w:rsid w:val="00A07DEE"/>
    <w:rsid w:val="00A07F24"/>
    <w:rsid w:val="00A07FF0"/>
    <w:rsid w:val="00A1085E"/>
    <w:rsid w:val="00A10901"/>
    <w:rsid w:val="00A11A2D"/>
    <w:rsid w:val="00A11B64"/>
    <w:rsid w:val="00A11EFC"/>
    <w:rsid w:val="00A1237E"/>
    <w:rsid w:val="00A1250C"/>
    <w:rsid w:val="00A1259B"/>
    <w:rsid w:val="00A127A6"/>
    <w:rsid w:val="00A127CD"/>
    <w:rsid w:val="00A1299A"/>
    <w:rsid w:val="00A13272"/>
    <w:rsid w:val="00A13810"/>
    <w:rsid w:val="00A14773"/>
    <w:rsid w:val="00A14E41"/>
    <w:rsid w:val="00A14F5D"/>
    <w:rsid w:val="00A1501B"/>
    <w:rsid w:val="00A15195"/>
    <w:rsid w:val="00A15919"/>
    <w:rsid w:val="00A15AED"/>
    <w:rsid w:val="00A15CC7"/>
    <w:rsid w:val="00A15D4F"/>
    <w:rsid w:val="00A16481"/>
    <w:rsid w:val="00A16688"/>
    <w:rsid w:val="00A166EC"/>
    <w:rsid w:val="00A16BB7"/>
    <w:rsid w:val="00A1705A"/>
    <w:rsid w:val="00A17080"/>
    <w:rsid w:val="00A17907"/>
    <w:rsid w:val="00A17AA8"/>
    <w:rsid w:val="00A17CE0"/>
    <w:rsid w:val="00A203E5"/>
    <w:rsid w:val="00A2057F"/>
    <w:rsid w:val="00A21E40"/>
    <w:rsid w:val="00A224C3"/>
    <w:rsid w:val="00A22575"/>
    <w:rsid w:val="00A225E1"/>
    <w:rsid w:val="00A22977"/>
    <w:rsid w:val="00A22D65"/>
    <w:rsid w:val="00A2311D"/>
    <w:rsid w:val="00A23229"/>
    <w:rsid w:val="00A2438C"/>
    <w:rsid w:val="00A24834"/>
    <w:rsid w:val="00A24BA9"/>
    <w:rsid w:val="00A250C3"/>
    <w:rsid w:val="00A25290"/>
    <w:rsid w:val="00A253B4"/>
    <w:rsid w:val="00A255E3"/>
    <w:rsid w:val="00A2573C"/>
    <w:rsid w:val="00A25F74"/>
    <w:rsid w:val="00A26619"/>
    <w:rsid w:val="00A26FCF"/>
    <w:rsid w:val="00A2705C"/>
    <w:rsid w:val="00A27DAD"/>
    <w:rsid w:val="00A300CE"/>
    <w:rsid w:val="00A300E7"/>
    <w:rsid w:val="00A3061E"/>
    <w:rsid w:val="00A312D5"/>
    <w:rsid w:val="00A314BC"/>
    <w:rsid w:val="00A3159A"/>
    <w:rsid w:val="00A31BCB"/>
    <w:rsid w:val="00A31C54"/>
    <w:rsid w:val="00A31C73"/>
    <w:rsid w:val="00A32434"/>
    <w:rsid w:val="00A32ACF"/>
    <w:rsid w:val="00A32C11"/>
    <w:rsid w:val="00A32D9D"/>
    <w:rsid w:val="00A32EFA"/>
    <w:rsid w:val="00A3331A"/>
    <w:rsid w:val="00A33331"/>
    <w:rsid w:val="00A33749"/>
    <w:rsid w:val="00A33B35"/>
    <w:rsid w:val="00A340C2"/>
    <w:rsid w:val="00A343CF"/>
    <w:rsid w:val="00A352B2"/>
    <w:rsid w:val="00A357C0"/>
    <w:rsid w:val="00A35EF8"/>
    <w:rsid w:val="00A35FA8"/>
    <w:rsid w:val="00A36483"/>
    <w:rsid w:val="00A368A1"/>
    <w:rsid w:val="00A374CA"/>
    <w:rsid w:val="00A37A97"/>
    <w:rsid w:val="00A37E11"/>
    <w:rsid w:val="00A4067D"/>
    <w:rsid w:val="00A409FE"/>
    <w:rsid w:val="00A40DEE"/>
    <w:rsid w:val="00A41324"/>
    <w:rsid w:val="00A41CF2"/>
    <w:rsid w:val="00A4225D"/>
    <w:rsid w:val="00A42306"/>
    <w:rsid w:val="00A424CA"/>
    <w:rsid w:val="00A42511"/>
    <w:rsid w:val="00A427F2"/>
    <w:rsid w:val="00A428D9"/>
    <w:rsid w:val="00A42E66"/>
    <w:rsid w:val="00A432BE"/>
    <w:rsid w:val="00A432C1"/>
    <w:rsid w:val="00A43A19"/>
    <w:rsid w:val="00A43B68"/>
    <w:rsid w:val="00A441EF"/>
    <w:rsid w:val="00A44667"/>
    <w:rsid w:val="00A44FC7"/>
    <w:rsid w:val="00A45111"/>
    <w:rsid w:val="00A45539"/>
    <w:rsid w:val="00A45BD0"/>
    <w:rsid w:val="00A46641"/>
    <w:rsid w:val="00A46BCE"/>
    <w:rsid w:val="00A47AE8"/>
    <w:rsid w:val="00A47C50"/>
    <w:rsid w:val="00A47CCB"/>
    <w:rsid w:val="00A502F6"/>
    <w:rsid w:val="00A50570"/>
    <w:rsid w:val="00A50B94"/>
    <w:rsid w:val="00A514ED"/>
    <w:rsid w:val="00A51927"/>
    <w:rsid w:val="00A51C42"/>
    <w:rsid w:val="00A52393"/>
    <w:rsid w:val="00A525B9"/>
    <w:rsid w:val="00A525D4"/>
    <w:rsid w:val="00A527A9"/>
    <w:rsid w:val="00A531A5"/>
    <w:rsid w:val="00A53FB9"/>
    <w:rsid w:val="00A54144"/>
    <w:rsid w:val="00A54958"/>
    <w:rsid w:val="00A54A87"/>
    <w:rsid w:val="00A54D98"/>
    <w:rsid w:val="00A54EA2"/>
    <w:rsid w:val="00A553F9"/>
    <w:rsid w:val="00A558C9"/>
    <w:rsid w:val="00A55ACD"/>
    <w:rsid w:val="00A55D6E"/>
    <w:rsid w:val="00A55E19"/>
    <w:rsid w:val="00A56242"/>
    <w:rsid w:val="00A56291"/>
    <w:rsid w:val="00A5631F"/>
    <w:rsid w:val="00A565B2"/>
    <w:rsid w:val="00A56EB7"/>
    <w:rsid w:val="00A57030"/>
    <w:rsid w:val="00A57503"/>
    <w:rsid w:val="00A578BA"/>
    <w:rsid w:val="00A604F7"/>
    <w:rsid w:val="00A60A4A"/>
    <w:rsid w:val="00A60AE8"/>
    <w:rsid w:val="00A60BAD"/>
    <w:rsid w:val="00A610D4"/>
    <w:rsid w:val="00A611D7"/>
    <w:rsid w:val="00A61F3C"/>
    <w:rsid w:val="00A61F71"/>
    <w:rsid w:val="00A61FEC"/>
    <w:rsid w:val="00A62D75"/>
    <w:rsid w:val="00A62E6B"/>
    <w:rsid w:val="00A63327"/>
    <w:rsid w:val="00A6361B"/>
    <w:rsid w:val="00A637EA"/>
    <w:rsid w:val="00A638DE"/>
    <w:rsid w:val="00A63D23"/>
    <w:rsid w:val="00A6435B"/>
    <w:rsid w:val="00A6436D"/>
    <w:rsid w:val="00A648BB"/>
    <w:rsid w:val="00A649A5"/>
    <w:rsid w:val="00A650BD"/>
    <w:rsid w:val="00A657AF"/>
    <w:rsid w:val="00A65AFF"/>
    <w:rsid w:val="00A65B02"/>
    <w:rsid w:val="00A66222"/>
    <w:rsid w:val="00A663EF"/>
    <w:rsid w:val="00A66D02"/>
    <w:rsid w:val="00A66F65"/>
    <w:rsid w:val="00A672E9"/>
    <w:rsid w:val="00A676EE"/>
    <w:rsid w:val="00A67B30"/>
    <w:rsid w:val="00A67C9F"/>
    <w:rsid w:val="00A67D0B"/>
    <w:rsid w:val="00A67D0E"/>
    <w:rsid w:val="00A71120"/>
    <w:rsid w:val="00A7151D"/>
    <w:rsid w:val="00A715B6"/>
    <w:rsid w:val="00A71771"/>
    <w:rsid w:val="00A7252E"/>
    <w:rsid w:val="00A72EA5"/>
    <w:rsid w:val="00A73C18"/>
    <w:rsid w:val="00A7462F"/>
    <w:rsid w:val="00A74706"/>
    <w:rsid w:val="00A74722"/>
    <w:rsid w:val="00A748C8"/>
    <w:rsid w:val="00A7494C"/>
    <w:rsid w:val="00A7496E"/>
    <w:rsid w:val="00A74F02"/>
    <w:rsid w:val="00A75334"/>
    <w:rsid w:val="00A75C04"/>
    <w:rsid w:val="00A75DFE"/>
    <w:rsid w:val="00A7619A"/>
    <w:rsid w:val="00A7655C"/>
    <w:rsid w:val="00A7684E"/>
    <w:rsid w:val="00A76AA7"/>
    <w:rsid w:val="00A76AF3"/>
    <w:rsid w:val="00A7717E"/>
    <w:rsid w:val="00A7770C"/>
    <w:rsid w:val="00A800DD"/>
    <w:rsid w:val="00A8038D"/>
    <w:rsid w:val="00A80624"/>
    <w:rsid w:val="00A8079B"/>
    <w:rsid w:val="00A80A5C"/>
    <w:rsid w:val="00A80F9C"/>
    <w:rsid w:val="00A811A5"/>
    <w:rsid w:val="00A8177E"/>
    <w:rsid w:val="00A81C7B"/>
    <w:rsid w:val="00A81E21"/>
    <w:rsid w:val="00A81F48"/>
    <w:rsid w:val="00A8258D"/>
    <w:rsid w:val="00A829B4"/>
    <w:rsid w:val="00A833D5"/>
    <w:rsid w:val="00A83642"/>
    <w:rsid w:val="00A838DE"/>
    <w:rsid w:val="00A83EED"/>
    <w:rsid w:val="00A84517"/>
    <w:rsid w:val="00A84667"/>
    <w:rsid w:val="00A847AF"/>
    <w:rsid w:val="00A84870"/>
    <w:rsid w:val="00A848E9"/>
    <w:rsid w:val="00A8519B"/>
    <w:rsid w:val="00A854FF"/>
    <w:rsid w:val="00A85B3C"/>
    <w:rsid w:val="00A85B9D"/>
    <w:rsid w:val="00A85D92"/>
    <w:rsid w:val="00A85E57"/>
    <w:rsid w:val="00A85F1A"/>
    <w:rsid w:val="00A865F0"/>
    <w:rsid w:val="00A86C74"/>
    <w:rsid w:val="00A875B2"/>
    <w:rsid w:val="00A90713"/>
    <w:rsid w:val="00A90E33"/>
    <w:rsid w:val="00A90FA4"/>
    <w:rsid w:val="00A916C6"/>
    <w:rsid w:val="00A91DF4"/>
    <w:rsid w:val="00A920E2"/>
    <w:rsid w:val="00A922DB"/>
    <w:rsid w:val="00A92F2A"/>
    <w:rsid w:val="00A93433"/>
    <w:rsid w:val="00A934EB"/>
    <w:rsid w:val="00A9443A"/>
    <w:rsid w:val="00A94467"/>
    <w:rsid w:val="00A944ED"/>
    <w:rsid w:val="00A94786"/>
    <w:rsid w:val="00A94C5E"/>
    <w:rsid w:val="00A94CD0"/>
    <w:rsid w:val="00A95CEF"/>
    <w:rsid w:val="00A95EE4"/>
    <w:rsid w:val="00A95FC8"/>
    <w:rsid w:val="00A96146"/>
    <w:rsid w:val="00A968A3"/>
    <w:rsid w:val="00A96976"/>
    <w:rsid w:val="00A96A89"/>
    <w:rsid w:val="00A96AC1"/>
    <w:rsid w:val="00A96B49"/>
    <w:rsid w:val="00A96D23"/>
    <w:rsid w:val="00A977CD"/>
    <w:rsid w:val="00A977EB"/>
    <w:rsid w:val="00AA16CA"/>
    <w:rsid w:val="00AA16EC"/>
    <w:rsid w:val="00AA1A02"/>
    <w:rsid w:val="00AA1E78"/>
    <w:rsid w:val="00AA20CC"/>
    <w:rsid w:val="00AA2527"/>
    <w:rsid w:val="00AA32A9"/>
    <w:rsid w:val="00AA3BCC"/>
    <w:rsid w:val="00AA3CCF"/>
    <w:rsid w:val="00AA42D4"/>
    <w:rsid w:val="00AA44A8"/>
    <w:rsid w:val="00AA4790"/>
    <w:rsid w:val="00AA54EF"/>
    <w:rsid w:val="00AA5AD9"/>
    <w:rsid w:val="00AA5E4D"/>
    <w:rsid w:val="00AA6707"/>
    <w:rsid w:val="00AA6D88"/>
    <w:rsid w:val="00AA6FC9"/>
    <w:rsid w:val="00AA6FF8"/>
    <w:rsid w:val="00AA72FE"/>
    <w:rsid w:val="00AA7328"/>
    <w:rsid w:val="00AA7346"/>
    <w:rsid w:val="00AA7535"/>
    <w:rsid w:val="00AA763C"/>
    <w:rsid w:val="00AA7DDB"/>
    <w:rsid w:val="00AB0028"/>
    <w:rsid w:val="00AB07E8"/>
    <w:rsid w:val="00AB16BB"/>
    <w:rsid w:val="00AB17CD"/>
    <w:rsid w:val="00AB1872"/>
    <w:rsid w:val="00AB2105"/>
    <w:rsid w:val="00AB260F"/>
    <w:rsid w:val="00AB2AAC"/>
    <w:rsid w:val="00AB3205"/>
    <w:rsid w:val="00AB3382"/>
    <w:rsid w:val="00AB3939"/>
    <w:rsid w:val="00AB3A58"/>
    <w:rsid w:val="00AB40D8"/>
    <w:rsid w:val="00AB42B7"/>
    <w:rsid w:val="00AB4F90"/>
    <w:rsid w:val="00AB5576"/>
    <w:rsid w:val="00AB58D2"/>
    <w:rsid w:val="00AB5B63"/>
    <w:rsid w:val="00AB5C3D"/>
    <w:rsid w:val="00AB7A09"/>
    <w:rsid w:val="00AB7BA1"/>
    <w:rsid w:val="00AC19F8"/>
    <w:rsid w:val="00AC2034"/>
    <w:rsid w:val="00AC2287"/>
    <w:rsid w:val="00AC22D2"/>
    <w:rsid w:val="00AC26BF"/>
    <w:rsid w:val="00AC4017"/>
    <w:rsid w:val="00AC4136"/>
    <w:rsid w:val="00AC53BE"/>
    <w:rsid w:val="00AC6794"/>
    <w:rsid w:val="00AC6E69"/>
    <w:rsid w:val="00AC6FDF"/>
    <w:rsid w:val="00AC7392"/>
    <w:rsid w:val="00AC741C"/>
    <w:rsid w:val="00AC7CBF"/>
    <w:rsid w:val="00AD1332"/>
    <w:rsid w:val="00AD154A"/>
    <w:rsid w:val="00AD1592"/>
    <w:rsid w:val="00AD18C6"/>
    <w:rsid w:val="00AD1BD5"/>
    <w:rsid w:val="00AD2271"/>
    <w:rsid w:val="00AD3254"/>
    <w:rsid w:val="00AD41ED"/>
    <w:rsid w:val="00AD442C"/>
    <w:rsid w:val="00AD49F7"/>
    <w:rsid w:val="00AD4E27"/>
    <w:rsid w:val="00AD5166"/>
    <w:rsid w:val="00AD52E1"/>
    <w:rsid w:val="00AD53DB"/>
    <w:rsid w:val="00AD5506"/>
    <w:rsid w:val="00AD561A"/>
    <w:rsid w:val="00AD593B"/>
    <w:rsid w:val="00AD5964"/>
    <w:rsid w:val="00AD5B38"/>
    <w:rsid w:val="00AD5E4C"/>
    <w:rsid w:val="00AD60ED"/>
    <w:rsid w:val="00AD67BC"/>
    <w:rsid w:val="00AD71C0"/>
    <w:rsid w:val="00AD72D1"/>
    <w:rsid w:val="00AD7484"/>
    <w:rsid w:val="00AD7BFE"/>
    <w:rsid w:val="00AE0089"/>
    <w:rsid w:val="00AE00E4"/>
    <w:rsid w:val="00AE03A8"/>
    <w:rsid w:val="00AE0649"/>
    <w:rsid w:val="00AE0CEE"/>
    <w:rsid w:val="00AE0FBD"/>
    <w:rsid w:val="00AE113F"/>
    <w:rsid w:val="00AE11EF"/>
    <w:rsid w:val="00AE159B"/>
    <w:rsid w:val="00AE168D"/>
    <w:rsid w:val="00AE1903"/>
    <w:rsid w:val="00AE19E1"/>
    <w:rsid w:val="00AE1BD4"/>
    <w:rsid w:val="00AE1F8C"/>
    <w:rsid w:val="00AE2161"/>
    <w:rsid w:val="00AE24AE"/>
    <w:rsid w:val="00AE2F07"/>
    <w:rsid w:val="00AE341B"/>
    <w:rsid w:val="00AE3A43"/>
    <w:rsid w:val="00AE3DA0"/>
    <w:rsid w:val="00AE3DE5"/>
    <w:rsid w:val="00AE3E79"/>
    <w:rsid w:val="00AE414A"/>
    <w:rsid w:val="00AE46CE"/>
    <w:rsid w:val="00AE5006"/>
    <w:rsid w:val="00AE599F"/>
    <w:rsid w:val="00AE5C14"/>
    <w:rsid w:val="00AE5C32"/>
    <w:rsid w:val="00AE5FE9"/>
    <w:rsid w:val="00AE60B2"/>
    <w:rsid w:val="00AE65F8"/>
    <w:rsid w:val="00AE66B9"/>
    <w:rsid w:val="00AE68AF"/>
    <w:rsid w:val="00AE6F31"/>
    <w:rsid w:val="00AE717A"/>
    <w:rsid w:val="00AE76F2"/>
    <w:rsid w:val="00AF0C38"/>
    <w:rsid w:val="00AF0D06"/>
    <w:rsid w:val="00AF119B"/>
    <w:rsid w:val="00AF1978"/>
    <w:rsid w:val="00AF1AC1"/>
    <w:rsid w:val="00AF1B72"/>
    <w:rsid w:val="00AF1CCC"/>
    <w:rsid w:val="00AF2B69"/>
    <w:rsid w:val="00AF2DA8"/>
    <w:rsid w:val="00AF313A"/>
    <w:rsid w:val="00AF3B95"/>
    <w:rsid w:val="00AF3C6E"/>
    <w:rsid w:val="00AF3E90"/>
    <w:rsid w:val="00AF4280"/>
    <w:rsid w:val="00AF4F7D"/>
    <w:rsid w:val="00AF53F6"/>
    <w:rsid w:val="00AF53F7"/>
    <w:rsid w:val="00AF5558"/>
    <w:rsid w:val="00AF593C"/>
    <w:rsid w:val="00AF5BAA"/>
    <w:rsid w:val="00AF63F1"/>
    <w:rsid w:val="00AF6908"/>
    <w:rsid w:val="00AF6B42"/>
    <w:rsid w:val="00AF6BE1"/>
    <w:rsid w:val="00AF71B5"/>
    <w:rsid w:val="00AF7805"/>
    <w:rsid w:val="00AF7EAC"/>
    <w:rsid w:val="00B00D6A"/>
    <w:rsid w:val="00B00D6E"/>
    <w:rsid w:val="00B0155F"/>
    <w:rsid w:val="00B015DA"/>
    <w:rsid w:val="00B01B64"/>
    <w:rsid w:val="00B01C3F"/>
    <w:rsid w:val="00B01F7E"/>
    <w:rsid w:val="00B0212C"/>
    <w:rsid w:val="00B0267E"/>
    <w:rsid w:val="00B029E0"/>
    <w:rsid w:val="00B02E4A"/>
    <w:rsid w:val="00B03490"/>
    <w:rsid w:val="00B03B8F"/>
    <w:rsid w:val="00B04350"/>
    <w:rsid w:val="00B0505B"/>
    <w:rsid w:val="00B05554"/>
    <w:rsid w:val="00B059AC"/>
    <w:rsid w:val="00B05A14"/>
    <w:rsid w:val="00B0623E"/>
    <w:rsid w:val="00B06699"/>
    <w:rsid w:val="00B067AD"/>
    <w:rsid w:val="00B069DB"/>
    <w:rsid w:val="00B06ABB"/>
    <w:rsid w:val="00B06F27"/>
    <w:rsid w:val="00B06FF8"/>
    <w:rsid w:val="00B0737D"/>
    <w:rsid w:val="00B07521"/>
    <w:rsid w:val="00B1025D"/>
    <w:rsid w:val="00B103E4"/>
    <w:rsid w:val="00B106C2"/>
    <w:rsid w:val="00B10CBA"/>
    <w:rsid w:val="00B10F17"/>
    <w:rsid w:val="00B11B14"/>
    <w:rsid w:val="00B12188"/>
    <w:rsid w:val="00B124C7"/>
    <w:rsid w:val="00B129DB"/>
    <w:rsid w:val="00B12D2E"/>
    <w:rsid w:val="00B12E8B"/>
    <w:rsid w:val="00B13031"/>
    <w:rsid w:val="00B1328A"/>
    <w:rsid w:val="00B13975"/>
    <w:rsid w:val="00B13B72"/>
    <w:rsid w:val="00B1476C"/>
    <w:rsid w:val="00B1496E"/>
    <w:rsid w:val="00B14CF4"/>
    <w:rsid w:val="00B1514A"/>
    <w:rsid w:val="00B151F9"/>
    <w:rsid w:val="00B163A3"/>
    <w:rsid w:val="00B16719"/>
    <w:rsid w:val="00B1700B"/>
    <w:rsid w:val="00B178E5"/>
    <w:rsid w:val="00B17C02"/>
    <w:rsid w:val="00B203B9"/>
    <w:rsid w:val="00B20467"/>
    <w:rsid w:val="00B20952"/>
    <w:rsid w:val="00B20BB7"/>
    <w:rsid w:val="00B215A9"/>
    <w:rsid w:val="00B21746"/>
    <w:rsid w:val="00B220E2"/>
    <w:rsid w:val="00B224A4"/>
    <w:rsid w:val="00B226F1"/>
    <w:rsid w:val="00B23141"/>
    <w:rsid w:val="00B23174"/>
    <w:rsid w:val="00B2388C"/>
    <w:rsid w:val="00B2396F"/>
    <w:rsid w:val="00B23CE5"/>
    <w:rsid w:val="00B23D85"/>
    <w:rsid w:val="00B240BE"/>
    <w:rsid w:val="00B24237"/>
    <w:rsid w:val="00B24A51"/>
    <w:rsid w:val="00B24BBD"/>
    <w:rsid w:val="00B258C8"/>
    <w:rsid w:val="00B25ACC"/>
    <w:rsid w:val="00B26264"/>
    <w:rsid w:val="00B262E7"/>
    <w:rsid w:val="00B265E1"/>
    <w:rsid w:val="00B26C0A"/>
    <w:rsid w:val="00B2743B"/>
    <w:rsid w:val="00B27780"/>
    <w:rsid w:val="00B27A23"/>
    <w:rsid w:val="00B27B22"/>
    <w:rsid w:val="00B27C40"/>
    <w:rsid w:val="00B301A6"/>
    <w:rsid w:val="00B30228"/>
    <w:rsid w:val="00B3078C"/>
    <w:rsid w:val="00B3087D"/>
    <w:rsid w:val="00B311E6"/>
    <w:rsid w:val="00B317F9"/>
    <w:rsid w:val="00B31843"/>
    <w:rsid w:val="00B31C65"/>
    <w:rsid w:val="00B32042"/>
    <w:rsid w:val="00B325FC"/>
    <w:rsid w:val="00B32697"/>
    <w:rsid w:val="00B326DC"/>
    <w:rsid w:val="00B328BA"/>
    <w:rsid w:val="00B32B4D"/>
    <w:rsid w:val="00B32BAF"/>
    <w:rsid w:val="00B32C12"/>
    <w:rsid w:val="00B32EBD"/>
    <w:rsid w:val="00B33089"/>
    <w:rsid w:val="00B33DFC"/>
    <w:rsid w:val="00B34009"/>
    <w:rsid w:val="00B343F0"/>
    <w:rsid w:val="00B34794"/>
    <w:rsid w:val="00B34B97"/>
    <w:rsid w:val="00B35FF5"/>
    <w:rsid w:val="00B3635B"/>
    <w:rsid w:val="00B36E10"/>
    <w:rsid w:val="00B370B7"/>
    <w:rsid w:val="00B37265"/>
    <w:rsid w:val="00B40231"/>
    <w:rsid w:val="00B4078B"/>
    <w:rsid w:val="00B415A0"/>
    <w:rsid w:val="00B41BD8"/>
    <w:rsid w:val="00B420C7"/>
    <w:rsid w:val="00B4296E"/>
    <w:rsid w:val="00B42AB2"/>
    <w:rsid w:val="00B42CE0"/>
    <w:rsid w:val="00B44490"/>
    <w:rsid w:val="00B4453F"/>
    <w:rsid w:val="00B4483B"/>
    <w:rsid w:val="00B456CD"/>
    <w:rsid w:val="00B458AB"/>
    <w:rsid w:val="00B45C4F"/>
    <w:rsid w:val="00B467A2"/>
    <w:rsid w:val="00B46F87"/>
    <w:rsid w:val="00B472C8"/>
    <w:rsid w:val="00B4755A"/>
    <w:rsid w:val="00B47913"/>
    <w:rsid w:val="00B4795D"/>
    <w:rsid w:val="00B5028C"/>
    <w:rsid w:val="00B5064E"/>
    <w:rsid w:val="00B507A5"/>
    <w:rsid w:val="00B50CD0"/>
    <w:rsid w:val="00B5151F"/>
    <w:rsid w:val="00B51649"/>
    <w:rsid w:val="00B5251A"/>
    <w:rsid w:val="00B5252B"/>
    <w:rsid w:val="00B52564"/>
    <w:rsid w:val="00B52A09"/>
    <w:rsid w:val="00B533E5"/>
    <w:rsid w:val="00B534EC"/>
    <w:rsid w:val="00B5381C"/>
    <w:rsid w:val="00B53A8D"/>
    <w:rsid w:val="00B53CAA"/>
    <w:rsid w:val="00B53D30"/>
    <w:rsid w:val="00B5411D"/>
    <w:rsid w:val="00B5413E"/>
    <w:rsid w:val="00B54402"/>
    <w:rsid w:val="00B55069"/>
    <w:rsid w:val="00B551C4"/>
    <w:rsid w:val="00B5528D"/>
    <w:rsid w:val="00B55AFF"/>
    <w:rsid w:val="00B55B24"/>
    <w:rsid w:val="00B55BDE"/>
    <w:rsid w:val="00B56002"/>
    <w:rsid w:val="00B56385"/>
    <w:rsid w:val="00B569C2"/>
    <w:rsid w:val="00B573B9"/>
    <w:rsid w:val="00B574BF"/>
    <w:rsid w:val="00B5763E"/>
    <w:rsid w:val="00B5771A"/>
    <w:rsid w:val="00B578FE"/>
    <w:rsid w:val="00B6016C"/>
    <w:rsid w:val="00B603FB"/>
    <w:rsid w:val="00B60421"/>
    <w:rsid w:val="00B61F45"/>
    <w:rsid w:val="00B62BB8"/>
    <w:rsid w:val="00B6397D"/>
    <w:rsid w:val="00B63C8B"/>
    <w:rsid w:val="00B63E81"/>
    <w:rsid w:val="00B63EB3"/>
    <w:rsid w:val="00B64399"/>
    <w:rsid w:val="00B6442E"/>
    <w:rsid w:val="00B64590"/>
    <w:rsid w:val="00B64F5A"/>
    <w:rsid w:val="00B6539D"/>
    <w:rsid w:val="00B65964"/>
    <w:rsid w:val="00B65998"/>
    <w:rsid w:val="00B65B60"/>
    <w:rsid w:val="00B65CE4"/>
    <w:rsid w:val="00B665D3"/>
    <w:rsid w:val="00B6682E"/>
    <w:rsid w:val="00B671A7"/>
    <w:rsid w:val="00B6752E"/>
    <w:rsid w:val="00B6761F"/>
    <w:rsid w:val="00B67B96"/>
    <w:rsid w:val="00B7012A"/>
    <w:rsid w:val="00B70360"/>
    <w:rsid w:val="00B70917"/>
    <w:rsid w:val="00B70972"/>
    <w:rsid w:val="00B70A13"/>
    <w:rsid w:val="00B71528"/>
    <w:rsid w:val="00B71766"/>
    <w:rsid w:val="00B71B85"/>
    <w:rsid w:val="00B71CEE"/>
    <w:rsid w:val="00B71DF3"/>
    <w:rsid w:val="00B71EFF"/>
    <w:rsid w:val="00B72723"/>
    <w:rsid w:val="00B7272E"/>
    <w:rsid w:val="00B73D1F"/>
    <w:rsid w:val="00B73F96"/>
    <w:rsid w:val="00B75315"/>
    <w:rsid w:val="00B7531A"/>
    <w:rsid w:val="00B75675"/>
    <w:rsid w:val="00B756DF"/>
    <w:rsid w:val="00B75BCA"/>
    <w:rsid w:val="00B75E10"/>
    <w:rsid w:val="00B7654B"/>
    <w:rsid w:val="00B76606"/>
    <w:rsid w:val="00B770BF"/>
    <w:rsid w:val="00B77325"/>
    <w:rsid w:val="00B774D1"/>
    <w:rsid w:val="00B77D62"/>
    <w:rsid w:val="00B80099"/>
    <w:rsid w:val="00B80142"/>
    <w:rsid w:val="00B80A72"/>
    <w:rsid w:val="00B811B8"/>
    <w:rsid w:val="00B81EBE"/>
    <w:rsid w:val="00B82707"/>
    <w:rsid w:val="00B82795"/>
    <w:rsid w:val="00B82B70"/>
    <w:rsid w:val="00B8307B"/>
    <w:rsid w:val="00B831F2"/>
    <w:rsid w:val="00B83C41"/>
    <w:rsid w:val="00B84243"/>
    <w:rsid w:val="00B84569"/>
    <w:rsid w:val="00B84A33"/>
    <w:rsid w:val="00B84F42"/>
    <w:rsid w:val="00B851DD"/>
    <w:rsid w:val="00B8588A"/>
    <w:rsid w:val="00B85D36"/>
    <w:rsid w:val="00B85E4B"/>
    <w:rsid w:val="00B863EE"/>
    <w:rsid w:val="00B86410"/>
    <w:rsid w:val="00B8641B"/>
    <w:rsid w:val="00B87B1B"/>
    <w:rsid w:val="00B901DD"/>
    <w:rsid w:val="00B909DC"/>
    <w:rsid w:val="00B90DFC"/>
    <w:rsid w:val="00B910F8"/>
    <w:rsid w:val="00B91303"/>
    <w:rsid w:val="00B91339"/>
    <w:rsid w:val="00B916B6"/>
    <w:rsid w:val="00B91747"/>
    <w:rsid w:val="00B9204C"/>
    <w:rsid w:val="00B924D1"/>
    <w:rsid w:val="00B930D6"/>
    <w:rsid w:val="00B931DF"/>
    <w:rsid w:val="00B93207"/>
    <w:rsid w:val="00B9341E"/>
    <w:rsid w:val="00B93820"/>
    <w:rsid w:val="00B93A1E"/>
    <w:rsid w:val="00B93CDC"/>
    <w:rsid w:val="00B94943"/>
    <w:rsid w:val="00B94AD8"/>
    <w:rsid w:val="00B94CDC"/>
    <w:rsid w:val="00B95B00"/>
    <w:rsid w:val="00B96630"/>
    <w:rsid w:val="00B96765"/>
    <w:rsid w:val="00B96ABD"/>
    <w:rsid w:val="00B96C86"/>
    <w:rsid w:val="00B97F13"/>
    <w:rsid w:val="00BA0ACE"/>
    <w:rsid w:val="00BA1587"/>
    <w:rsid w:val="00BA2976"/>
    <w:rsid w:val="00BA2A10"/>
    <w:rsid w:val="00BA2CA5"/>
    <w:rsid w:val="00BA2CC3"/>
    <w:rsid w:val="00BA2E3E"/>
    <w:rsid w:val="00BA404E"/>
    <w:rsid w:val="00BA40C1"/>
    <w:rsid w:val="00BA4C6F"/>
    <w:rsid w:val="00BA4F6D"/>
    <w:rsid w:val="00BA52B7"/>
    <w:rsid w:val="00BA5D7B"/>
    <w:rsid w:val="00BA62AD"/>
    <w:rsid w:val="00BA669A"/>
    <w:rsid w:val="00BA6753"/>
    <w:rsid w:val="00BA69F9"/>
    <w:rsid w:val="00BA6C85"/>
    <w:rsid w:val="00BA7501"/>
    <w:rsid w:val="00BA7793"/>
    <w:rsid w:val="00BB005A"/>
    <w:rsid w:val="00BB0243"/>
    <w:rsid w:val="00BB06FA"/>
    <w:rsid w:val="00BB07B2"/>
    <w:rsid w:val="00BB08B3"/>
    <w:rsid w:val="00BB10F4"/>
    <w:rsid w:val="00BB21A9"/>
    <w:rsid w:val="00BB2638"/>
    <w:rsid w:val="00BB2AF2"/>
    <w:rsid w:val="00BB373F"/>
    <w:rsid w:val="00BB3C0E"/>
    <w:rsid w:val="00BB3D86"/>
    <w:rsid w:val="00BB3EDC"/>
    <w:rsid w:val="00BB4259"/>
    <w:rsid w:val="00BB42DD"/>
    <w:rsid w:val="00BB4372"/>
    <w:rsid w:val="00BB43B5"/>
    <w:rsid w:val="00BB4628"/>
    <w:rsid w:val="00BB48F5"/>
    <w:rsid w:val="00BB554B"/>
    <w:rsid w:val="00BB5B1A"/>
    <w:rsid w:val="00BB60D9"/>
    <w:rsid w:val="00BB6B12"/>
    <w:rsid w:val="00BB6E67"/>
    <w:rsid w:val="00BB7259"/>
    <w:rsid w:val="00BB7588"/>
    <w:rsid w:val="00BB77F1"/>
    <w:rsid w:val="00BB7AA1"/>
    <w:rsid w:val="00BC0A2E"/>
    <w:rsid w:val="00BC1878"/>
    <w:rsid w:val="00BC1B70"/>
    <w:rsid w:val="00BC1BE3"/>
    <w:rsid w:val="00BC1F69"/>
    <w:rsid w:val="00BC2BFA"/>
    <w:rsid w:val="00BC2EA2"/>
    <w:rsid w:val="00BC321A"/>
    <w:rsid w:val="00BC3CB6"/>
    <w:rsid w:val="00BC3F57"/>
    <w:rsid w:val="00BC416D"/>
    <w:rsid w:val="00BC4B60"/>
    <w:rsid w:val="00BC4CB0"/>
    <w:rsid w:val="00BC4D29"/>
    <w:rsid w:val="00BC58C7"/>
    <w:rsid w:val="00BC5C4D"/>
    <w:rsid w:val="00BC5D6E"/>
    <w:rsid w:val="00BC64F2"/>
    <w:rsid w:val="00BC7247"/>
    <w:rsid w:val="00BC7727"/>
    <w:rsid w:val="00BC7756"/>
    <w:rsid w:val="00BC79FB"/>
    <w:rsid w:val="00BC7A44"/>
    <w:rsid w:val="00BC7CDC"/>
    <w:rsid w:val="00BC7D34"/>
    <w:rsid w:val="00BC7ECB"/>
    <w:rsid w:val="00BD01DF"/>
    <w:rsid w:val="00BD0206"/>
    <w:rsid w:val="00BD05F9"/>
    <w:rsid w:val="00BD0A39"/>
    <w:rsid w:val="00BD0E26"/>
    <w:rsid w:val="00BD13B1"/>
    <w:rsid w:val="00BD2387"/>
    <w:rsid w:val="00BD2A97"/>
    <w:rsid w:val="00BD2B8B"/>
    <w:rsid w:val="00BD2D3B"/>
    <w:rsid w:val="00BD340B"/>
    <w:rsid w:val="00BD46B6"/>
    <w:rsid w:val="00BD5610"/>
    <w:rsid w:val="00BD5754"/>
    <w:rsid w:val="00BD5777"/>
    <w:rsid w:val="00BD673D"/>
    <w:rsid w:val="00BD750B"/>
    <w:rsid w:val="00BD7724"/>
    <w:rsid w:val="00BD77B9"/>
    <w:rsid w:val="00BD77D9"/>
    <w:rsid w:val="00BE17D9"/>
    <w:rsid w:val="00BE1958"/>
    <w:rsid w:val="00BE1D0F"/>
    <w:rsid w:val="00BE1D15"/>
    <w:rsid w:val="00BE2324"/>
    <w:rsid w:val="00BE2A11"/>
    <w:rsid w:val="00BE2BF3"/>
    <w:rsid w:val="00BE2D06"/>
    <w:rsid w:val="00BE3106"/>
    <w:rsid w:val="00BE3C20"/>
    <w:rsid w:val="00BE43BE"/>
    <w:rsid w:val="00BE4BE5"/>
    <w:rsid w:val="00BE4FCF"/>
    <w:rsid w:val="00BE5075"/>
    <w:rsid w:val="00BE5098"/>
    <w:rsid w:val="00BE5551"/>
    <w:rsid w:val="00BE55AA"/>
    <w:rsid w:val="00BE56CA"/>
    <w:rsid w:val="00BE57C8"/>
    <w:rsid w:val="00BE608F"/>
    <w:rsid w:val="00BE631E"/>
    <w:rsid w:val="00BE667B"/>
    <w:rsid w:val="00BE69D8"/>
    <w:rsid w:val="00BE6CA5"/>
    <w:rsid w:val="00BE6D06"/>
    <w:rsid w:val="00BE6E32"/>
    <w:rsid w:val="00BE6FFE"/>
    <w:rsid w:val="00BE7079"/>
    <w:rsid w:val="00BE73AB"/>
    <w:rsid w:val="00BF0E13"/>
    <w:rsid w:val="00BF1102"/>
    <w:rsid w:val="00BF11C6"/>
    <w:rsid w:val="00BF151A"/>
    <w:rsid w:val="00BF1F44"/>
    <w:rsid w:val="00BF2AF2"/>
    <w:rsid w:val="00BF2F28"/>
    <w:rsid w:val="00BF31C0"/>
    <w:rsid w:val="00BF320C"/>
    <w:rsid w:val="00BF34F1"/>
    <w:rsid w:val="00BF3AC3"/>
    <w:rsid w:val="00BF3AF3"/>
    <w:rsid w:val="00BF3D84"/>
    <w:rsid w:val="00BF45E7"/>
    <w:rsid w:val="00BF4EBF"/>
    <w:rsid w:val="00BF4FEE"/>
    <w:rsid w:val="00BF5102"/>
    <w:rsid w:val="00BF5357"/>
    <w:rsid w:val="00BF594D"/>
    <w:rsid w:val="00BF5B7F"/>
    <w:rsid w:val="00BF5CB5"/>
    <w:rsid w:val="00BF5D0B"/>
    <w:rsid w:val="00BF6350"/>
    <w:rsid w:val="00BF67EE"/>
    <w:rsid w:val="00BF692D"/>
    <w:rsid w:val="00BF6E1E"/>
    <w:rsid w:val="00BF7FB7"/>
    <w:rsid w:val="00C0084D"/>
    <w:rsid w:val="00C00E95"/>
    <w:rsid w:val="00C00EB0"/>
    <w:rsid w:val="00C01215"/>
    <w:rsid w:val="00C01ADF"/>
    <w:rsid w:val="00C01D45"/>
    <w:rsid w:val="00C02254"/>
    <w:rsid w:val="00C02626"/>
    <w:rsid w:val="00C0287B"/>
    <w:rsid w:val="00C02BFD"/>
    <w:rsid w:val="00C0306F"/>
    <w:rsid w:val="00C0346E"/>
    <w:rsid w:val="00C0364A"/>
    <w:rsid w:val="00C03C33"/>
    <w:rsid w:val="00C03F2A"/>
    <w:rsid w:val="00C04048"/>
    <w:rsid w:val="00C04602"/>
    <w:rsid w:val="00C04652"/>
    <w:rsid w:val="00C047A2"/>
    <w:rsid w:val="00C04A76"/>
    <w:rsid w:val="00C04B59"/>
    <w:rsid w:val="00C04C49"/>
    <w:rsid w:val="00C04E8C"/>
    <w:rsid w:val="00C058D7"/>
    <w:rsid w:val="00C065C3"/>
    <w:rsid w:val="00C06696"/>
    <w:rsid w:val="00C075E4"/>
    <w:rsid w:val="00C0766F"/>
    <w:rsid w:val="00C07BDA"/>
    <w:rsid w:val="00C10095"/>
    <w:rsid w:val="00C10505"/>
    <w:rsid w:val="00C107FB"/>
    <w:rsid w:val="00C10A59"/>
    <w:rsid w:val="00C10B5F"/>
    <w:rsid w:val="00C10F62"/>
    <w:rsid w:val="00C10FDC"/>
    <w:rsid w:val="00C112BD"/>
    <w:rsid w:val="00C112E6"/>
    <w:rsid w:val="00C127CA"/>
    <w:rsid w:val="00C12D93"/>
    <w:rsid w:val="00C12F5C"/>
    <w:rsid w:val="00C142FE"/>
    <w:rsid w:val="00C14417"/>
    <w:rsid w:val="00C15035"/>
    <w:rsid w:val="00C1516D"/>
    <w:rsid w:val="00C155AD"/>
    <w:rsid w:val="00C15E92"/>
    <w:rsid w:val="00C16336"/>
    <w:rsid w:val="00C166A6"/>
    <w:rsid w:val="00C167FE"/>
    <w:rsid w:val="00C16D89"/>
    <w:rsid w:val="00C16F30"/>
    <w:rsid w:val="00C17545"/>
    <w:rsid w:val="00C1785C"/>
    <w:rsid w:val="00C179D9"/>
    <w:rsid w:val="00C20D8B"/>
    <w:rsid w:val="00C218D7"/>
    <w:rsid w:val="00C21BAD"/>
    <w:rsid w:val="00C22775"/>
    <w:rsid w:val="00C22D2A"/>
    <w:rsid w:val="00C23204"/>
    <w:rsid w:val="00C2368C"/>
    <w:rsid w:val="00C23A51"/>
    <w:rsid w:val="00C23D07"/>
    <w:rsid w:val="00C23F85"/>
    <w:rsid w:val="00C2492F"/>
    <w:rsid w:val="00C2536E"/>
    <w:rsid w:val="00C25394"/>
    <w:rsid w:val="00C25516"/>
    <w:rsid w:val="00C25A69"/>
    <w:rsid w:val="00C25C14"/>
    <w:rsid w:val="00C25F7C"/>
    <w:rsid w:val="00C26171"/>
    <w:rsid w:val="00C26990"/>
    <w:rsid w:val="00C26A52"/>
    <w:rsid w:val="00C26CAF"/>
    <w:rsid w:val="00C26D99"/>
    <w:rsid w:val="00C26E1C"/>
    <w:rsid w:val="00C27033"/>
    <w:rsid w:val="00C271F1"/>
    <w:rsid w:val="00C305A4"/>
    <w:rsid w:val="00C30856"/>
    <w:rsid w:val="00C30B97"/>
    <w:rsid w:val="00C30DDA"/>
    <w:rsid w:val="00C30F74"/>
    <w:rsid w:val="00C31355"/>
    <w:rsid w:val="00C31C6B"/>
    <w:rsid w:val="00C3297A"/>
    <w:rsid w:val="00C32A1D"/>
    <w:rsid w:val="00C335A0"/>
    <w:rsid w:val="00C33CBC"/>
    <w:rsid w:val="00C345F9"/>
    <w:rsid w:val="00C34A32"/>
    <w:rsid w:val="00C34ACB"/>
    <w:rsid w:val="00C34DB1"/>
    <w:rsid w:val="00C35060"/>
    <w:rsid w:val="00C35254"/>
    <w:rsid w:val="00C35D57"/>
    <w:rsid w:val="00C364BF"/>
    <w:rsid w:val="00C3731A"/>
    <w:rsid w:val="00C4066C"/>
    <w:rsid w:val="00C408E3"/>
    <w:rsid w:val="00C40F36"/>
    <w:rsid w:val="00C40FFD"/>
    <w:rsid w:val="00C41143"/>
    <w:rsid w:val="00C41348"/>
    <w:rsid w:val="00C41B41"/>
    <w:rsid w:val="00C42376"/>
    <w:rsid w:val="00C42457"/>
    <w:rsid w:val="00C4269D"/>
    <w:rsid w:val="00C42A11"/>
    <w:rsid w:val="00C42A58"/>
    <w:rsid w:val="00C42CCE"/>
    <w:rsid w:val="00C43415"/>
    <w:rsid w:val="00C436DC"/>
    <w:rsid w:val="00C43A58"/>
    <w:rsid w:val="00C43ACE"/>
    <w:rsid w:val="00C4411A"/>
    <w:rsid w:val="00C4419F"/>
    <w:rsid w:val="00C44DDA"/>
    <w:rsid w:val="00C46019"/>
    <w:rsid w:val="00C46303"/>
    <w:rsid w:val="00C46678"/>
    <w:rsid w:val="00C467AF"/>
    <w:rsid w:val="00C47B63"/>
    <w:rsid w:val="00C47BB1"/>
    <w:rsid w:val="00C47DBE"/>
    <w:rsid w:val="00C47E5D"/>
    <w:rsid w:val="00C47FCE"/>
    <w:rsid w:val="00C50464"/>
    <w:rsid w:val="00C5076C"/>
    <w:rsid w:val="00C50FA6"/>
    <w:rsid w:val="00C51138"/>
    <w:rsid w:val="00C51321"/>
    <w:rsid w:val="00C515AA"/>
    <w:rsid w:val="00C5245E"/>
    <w:rsid w:val="00C5308A"/>
    <w:rsid w:val="00C536EF"/>
    <w:rsid w:val="00C538D5"/>
    <w:rsid w:val="00C54E92"/>
    <w:rsid w:val="00C55E91"/>
    <w:rsid w:val="00C564EB"/>
    <w:rsid w:val="00C56B64"/>
    <w:rsid w:val="00C56E0F"/>
    <w:rsid w:val="00C56F99"/>
    <w:rsid w:val="00C56FF4"/>
    <w:rsid w:val="00C573AC"/>
    <w:rsid w:val="00C57504"/>
    <w:rsid w:val="00C57626"/>
    <w:rsid w:val="00C6019B"/>
    <w:rsid w:val="00C601AA"/>
    <w:rsid w:val="00C60F30"/>
    <w:rsid w:val="00C61693"/>
    <w:rsid w:val="00C6177F"/>
    <w:rsid w:val="00C6184D"/>
    <w:rsid w:val="00C61B54"/>
    <w:rsid w:val="00C62B46"/>
    <w:rsid w:val="00C62BB0"/>
    <w:rsid w:val="00C62C83"/>
    <w:rsid w:val="00C6329C"/>
    <w:rsid w:val="00C63609"/>
    <w:rsid w:val="00C637AC"/>
    <w:rsid w:val="00C63F93"/>
    <w:rsid w:val="00C647BB"/>
    <w:rsid w:val="00C64CDA"/>
    <w:rsid w:val="00C65AD1"/>
    <w:rsid w:val="00C65E4F"/>
    <w:rsid w:val="00C65EF8"/>
    <w:rsid w:val="00C662CF"/>
    <w:rsid w:val="00C66661"/>
    <w:rsid w:val="00C6743C"/>
    <w:rsid w:val="00C67C60"/>
    <w:rsid w:val="00C67EC5"/>
    <w:rsid w:val="00C67F67"/>
    <w:rsid w:val="00C706A5"/>
    <w:rsid w:val="00C707C3"/>
    <w:rsid w:val="00C7097F"/>
    <w:rsid w:val="00C70D5F"/>
    <w:rsid w:val="00C7112A"/>
    <w:rsid w:val="00C712EA"/>
    <w:rsid w:val="00C71355"/>
    <w:rsid w:val="00C715AB"/>
    <w:rsid w:val="00C71A9B"/>
    <w:rsid w:val="00C720A3"/>
    <w:rsid w:val="00C721BB"/>
    <w:rsid w:val="00C722D6"/>
    <w:rsid w:val="00C7250F"/>
    <w:rsid w:val="00C737AE"/>
    <w:rsid w:val="00C73CF4"/>
    <w:rsid w:val="00C74090"/>
    <w:rsid w:val="00C7552E"/>
    <w:rsid w:val="00C75724"/>
    <w:rsid w:val="00C75D6F"/>
    <w:rsid w:val="00C76715"/>
    <w:rsid w:val="00C77052"/>
    <w:rsid w:val="00C779F7"/>
    <w:rsid w:val="00C77A03"/>
    <w:rsid w:val="00C77F31"/>
    <w:rsid w:val="00C80A91"/>
    <w:rsid w:val="00C80C74"/>
    <w:rsid w:val="00C81C52"/>
    <w:rsid w:val="00C82043"/>
    <w:rsid w:val="00C82198"/>
    <w:rsid w:val="00C82672"/>
    <w:rsid w:val="00C82B23"/>
    <w:rsid w:val="00C82C77"/>
    <w:rsid w:val="00C82DA7"/>
    <w:rsid w:val="00C8326C"/>
    <w:rsid w:val="00C833FE"/>
    <w:rsid w:val="00C8426B"/>
    <w:rsid w:val="00C8457B"/>
    <w:rsid w:val="00C85579"/>
    <w:rsid w:val="00C85BE3"/>
    <w:rsid w:val="00C85EF7"/>
    <w:rsid w:val="00C86C74"/>
    <w:rsid w:val="00C86DA2"/>
    <w:rsid w:val="00C86F7D"/>
    <w:rsid w:val="00C8726B"/>
    <w:rsid w:val="00C872D1"/>
    <w:rsid w:val="00C87505"/>
    <w:rsid w:val="00C90D5B"/>
    <w:rsid w:val="00C91095"/>
    <w:rsid w:val="00C911C5"/>
    <w:rsid w:val="00C9133C"/>
    <w:rsid w:val="00C913A1"/>
    <w:rsid w:val="00C91ABA"/>
    <w:rsid w:val="00C92233"/>
    <w:rsid w:val="00C92359"/>
    <w:rsid w:val="00C92E98"/>
    <w:rsid w:val="00C9325B"/>
    <w:rsid w:val="00C93B39"/>
    <w:rsid w:val="00C93E2B"/>
    <w:rsid w:val="00C94545"/>
    <w:rsid w:val="00C952C9"/>
    <w:rsid w:val="00C96193"/>
    <w:rsid w:val="00C961B8"/>
    <w:rsid w:val="00C96A1E"/>
    <w:rsid w:val="00C96BDC"/>
    <w:rsid w:val="00C96C76"/>
    <w:rsid w:val="00C971E4"/>
    <w:rsid w:val="00C9746E"/>
    <w:rsid w:val="00C974C0"/>
    <w:rsid w:val="00CA031A"/>
    <w:rsid w:val="00CA046E"/>
    <w:rsid w:val="00CA1092"/>
    <w:rsid w:val="00CA27E0"/>
    <w:rsid w:val="00CA2C81"/>
    <w:rsid w:val="00CA2D2C"/>
    <w:rsid w:val="00CA32E4"/>
    <w:rsid w:val="00CA3A11"/>
    <w:rsid w:val="00CA3C3C"/>
    <w:rsid w:val="00CA3DAD"/>
    <w:rsid w:val="00CA419F"/>
    <w:rsid w:val="00CA5039"/>
    <w:rsid w:val="00CA590E"/>
    <w:rsid w:val="00CA5E00"/>
    <w:rsid w:val="00CA6237"/>
    <w:rsid w:val="00CA628F"/>
    <w:rsid w:val="00CA6D0B"/>
    <w:rsid w:val="00CA6E24"/>
    <w:rsid w:val="00CA7163"/>
    <w:rsid w:val="00CA7574"/>
    <w:rsid w:val="00CA757B"/>
    <w:rsid w:val="00CB0113"/>
    <w:rsid w:val="00CB01B7"/>
    <w:rsid w:val="00CB077B"/>
    <w:rsid w:val="00CB0C91"/>
    <w:rsid w:val="00CB0D7C"/>
    <w:rsid w:val="00CB19F3"/>
    <w:rsid w:val="00CB227A"/>
    <w:rsid w:val="00CB2E59"/>
    <w:rsid w:val="00CB3198"/>
    <w:rsid w:val="00CB385E"/>
    <w:rsid w:val="00CB4E42"/>
    <w:rsid w:val="00CB57B5"/>
    <w:rsid w:val="00CB60C2"/>
    <w:rsid w:val="00CB65B5"/>
    <w:rsid w:val="00CB6858"/>
    <w:rsid w:val="00CB7368"/>
    <w:rsid w:val="00CB7398"/>
    <w:rsid w:val="00CB74DA"/>
    <w:rsid w:val="00CB7A87"/>
    <w:rsid w:val="00CC0816"/>
    <w:rsid w:val="00CC165F"/>
    <w:rsid w:val="00CC1713"/>
    <w:rsid w:val="00CC1A14"/>
    <w:rsid w:val="00CC26C3"/>
    <w:rsid w:val="00CC2921"/>
    <w:rsid w:val="00CC3751"/>
    <w:rsid w:val="00CC39AA"/>
    <w:rsid w:val="00CC39B5"/>
    <w:rsid w:val="00CC3BAB"/>
    <w:rsid w:val="00CC40BB"/>
    <w:rsid w:val="00CC444A"/>
    <w:rsid w:val="00CC4626"/>
    <w:rsid w:val="00CC4B9B"/>
    <w:rsid w:val="00CC4BED"/>
    <w:rsid w:val="00CC4E43"/>
    <w:rsid w:val="00CC5506"/>
    <w:rsid w:val="00CC5A6D"/>
    <w:rsid w:val="00CC5D2A"/>
    <w:rsid w:val="00CC641C"/>
    <w:rsid w:val="00CC6477"/>
    <w:rsid w:val="00CC6A99"/>
    <w:rsid w:val="00CC6F55"/>
    <w:rsid w:val="00CD0936"/>
    <w:rsid w:val="00CD0A7D"/>
    <w:rsid w:val="00CD0A96"/>
    <w:rsid w:val="00CD0E19"/>
    <w:rsid w:val="00CD0F93"/>
    <w:rsid w:val="00CD16C4"/>
    <w:rsid w:val="00CD1805"/>
    <w:rsid w:val="00CD18C2"/>
    <w:rsid w:val="00CD19A4"/>
    <w:rsid w:val="00CD20E0"/>
    <w:rsid w:val="00CD23CE"/>
    <w:rsid w:val="00CD277D"/>
    <w:rsid w:val="00CD2903"/>
    <w:rsid w:val="00CD2A1C"/>
    <w:rsid w:val="00CD2DE1"/>
    <w:rsid w:val="00CD3FBD"/>
    <w:rsid w:val="00CD4573"/>
    <w:rsid w:val="00CD46C0"/>
    <w:rsid w:val="00CD48A5"/>
    <w:rsid w:val="00CD4B90"/>
    <w:rsid w:val="00CD5873"/>
    <w:rsid w:val="00CD5A1B"/>
    <w:rsid w:val="00CD5B1B"/>
    <w:rsid w:val="00CD5BB9"/>
    <w:rsid w:val="00CD5C70"/>
    <w:rsid w:val="00CD6135"/>
    <w:rsid w:val="00CD6587"/>
    <w:rsid w:val="00CD67FE"/>
    <w:rsid w:val="00CD6F15"/>
    <w:rsid w:val="00CD79AC"/>
    <w:rsid w:val="00CE04DE"/>
    <w:rsid w:val="00CE050B"/>
    <w:rsid w:val="00CE0895"/>
    <w:rsid w:val="00CE0B00"/>
    <w:rsid w:val="00CE0C54"/>
    <w:rsid w:val="00CE16E3"/>
    <w:rsid w:val="00CE1A41"/>
    <w:rsid w:val="00CE1CC4"/>
    <w:rsid w:val="00CE2B9B"/>
    <w:rsid w:val="00CE2E1A"/>
    <w:rsid w:val="00CE2F43"/>
    <w:rsid w:val="00CE31AD"/>
    <w:rsid w:val="00CE344F"/>
    <w:rsid w:val="00CE38E9"/>
    <w:rsid w:val="00CE3A5B"/>
    <w:rsid w:val="00CE3D4B"/>
    <w:rsid w:val="00CE3EF4"/>
    <w:rsid w:val="00CE3F09"/>
    <w:rsid w:val="00CE45D8"/>
    <w:rsid w:val="00CE4B08"/>
    <w:rsid w:val="00CE4CFD"/>
    <w:rsid w:val="00CE4F8F"/>
    <w:rsid w:val="00CE50F0"/>
    <w:rsid w:val="00CE542C"/>
    <w:rsid w:val="00CE5CCA"/>
    <w:rsid w:val="00CE5D1A"/>
    <w:rsid w:val="00CE5EBF"/>
    <w:rsid w:val="00CE61CC"/>
    <w:rsid w:val="00CE6372"/>
    <w:rsid w:val="00CE6479"/>
    <w:rsid w:val="00CE652A"/>
    <w:rsid w:val="00CE666F"/>
    <w:rsid w:val="00CE675A"/>
    <w:rsid w:val="00CE6A2A"/>
    <w:rsid w:val="00CE74B3"/>
    <w:rsid w:val="00CE77D2"/>
    <w:rsid w:val="00CE79FD"/>
    <w:rsid w:val="00CE7AE5"/>
    <w:rsid w:val="00CF071F"/>
    <w:rsid w:val="00CF08BB"/>
    <w:rsid w:val="00CF08DA"/>
    <w:rsid w:val="00CF1064"/>
    <w:rsid w:val="00CF1298"/>
    <w:rsid w:val="00CF1C10"/>
    <w:rsid w:val="00CF2434"/>
    <w:rsid w:val="00CF29DB"/>
    <w:rsid w:val="00CF3046"/>
    <w:rsid w:val="00CF3346"/>
    <w:rsid w:val="00CF38B5"/>
    <w:rsid w:val="00CF3CD6"/>
    <w:rsid w:val="00CF42F7"/>
    <w:rsid w:val="00CF4772"/>
    <w:rsid w:val="00CF4A96"/>
    <w:rsid w:val="00CF4E67"/>
    <w:rsid w:val="00CF4FD8"/>
    <w:rsid w:val="00CF58C0"/>
    <w:rsid w:val="00CF651A"/>
    <w:rsid w:val="00CF65E9"/>
    <w:rsid w:val="00CF66CA"/>
    <w:rsid w:val="00CF698B"/>
    <w:rsid w:val="00CF6CB0"/>
    <w:rsid w:val="00CF6CF7"/>
    <w:rsid w:val="00CF713A"/>
    <w:rsid w:val="00CF73D6"/>
    <w:rsid w:val="00D001DD"/>
    <w:rsid w:val="00D00AA3"/>
    <w:rsid w:val="00D00BDD"/>
    <w:rsid w:val="00D00FCD"/>
    <w:rsid w:val="00D01142"/>
    <w:rsid w:val="00D016E6"/>
    <w:rsid w:val="00D018F7"/>
    <w:rsid w:val="00D01A71"/>
    <w:rsid w:val="00D01DF3"/>
    <w:rsid w:val="00D0252C"/>
    <w:rsid w:val="00D02ABF"/>
    <w:rsid w:val="00D02E06"/>
    <w:rsid w:val="00D02E83"/>
    <w:rsid w:val="00D02FE9"/>
    <w:rsid w:val="00D03057"/>
    <w:rsid w:val="00D030E5"/>
    <w:rsid w:val="00D0386E"/>
    <w:rsid w:val="00D03D26"/>
    <w:rsid w:val="00D03E0A"/>
    <w:rsid w:val="00D04D02"/>
    <w:rsid w:val="00D0563F"/>
    <w:rsid w:val="00D0566F"/>
    <w:rsid w:val="00D05744"/>
    <w:rsid w:val="00D059E1"/>
    <w:rsid w:val="00D066C6"/>
    <w:rsid w:val="00D06BD7"/>
    <w:rsid w:val="00D06D0B"/>
    <w:rsid w:val="00D0789A"/>
    <w:rsid w:val="00D07C26"/>
    <w:rsid w:val="00D07F1E"/>
    <w:rsid w:val="00D07F73"/>
    <w:rsid w:val="00D10100"/>
    <w:rsid w:val="00D1078B"/>
    <w:rsid w:val="00D108B9"/>
    <w:rsid w:val="00D10DA6"/>
    <w:rsid w:val="00D11BCB"/>
    <w:rsid w:val="00D11C4D"/>
    <w:rsid w:val="00D11F2E"/>
    <w:rsid w:val="00D122DD"/>
    <w:rsid w:val="00D12418"/>
    <w:rsid w:val="00D12C82"/>
    <w:rsid w:val="00D1301D"/>
    <w:rsid w:val="00D13745"/>
    <w:rsid w:val="00D1374E"/>
    <w:rsid w:val="00D141BF"/>
    <w:rsid w:val="00D14425"/>
    <w:rsid w:val="00D1455D"/>
    <w:rsid w:val="00D14924"/>
    <w:rsid w:val="00D155E9"/>
    <w:rsid w:val="00D1580A"/>
    <w:rsid w:val="00D1593F"/>
    <w:rsid w:val="00D15CD0"/>
    <w:rsid w:val="00D1615F"/>
    <w:rsid w:val="00D16676"/>
    <w:rsid w:val="00D168BA"/>
    <w:rsid w:val="00D16C35"/>
    <w:rsid w:val="00D1780E"/>
    <w:rsid w:val="00D1787E"/>
    <w:rsid w:val="00D178D0"/>
    <w:rsid w:val="00D17C53"/>
    <w:rsid w:val="00D17CD4"/>
    <w:rsid w:val="00D17F8C"/>
    <w:rsid w:val="00D2041C"/>
    <w:rsid w:val="00D204CA"/>
    <w:rsid w:val="00D2065A"/>
    <w:rsid w:val="00D208D6"/>
    <w:rsid w:val="00D20C55"/>
    <w:rsid w:val="00D21E3E"/>
    <w:rsid w:val="00D22225"/>
    <w:rsid w:val="00D22E7D"/>
    <w:rsid w:val="00D22F59"/>
    <w:rsid w:val="00D23035"/>
    <w:rsid w:val="00D23306"/>
    <w:rsid w:val="00D23428"/>
    <w:rsid w:val="00D23E06"/>
    <w:rsid w:val="00D240B2"/>
    <w:rsid w:val="00D24AAA"/>
    <w:rsid w:val="00D24E0C"/>
    <w:rsid w:val="00D25137"/>
    <w:rsid w:val="00D252E6"/>
    <w:rsid w:val="00D252E8"/>
    <w:rsid w:val="00D25655"/>
    <w:rsid w:val="00D25779"/>
    <w:rsid w:val="00D25ADE"/>
    <w:rsid w:val="00D25F32"/>
    <w:rsid w:val="00D26061"/>
    <w:rsid w:val="00D26809"/>
    <w:rsid w:val="00D26A48"/>
    <w:rsid w:val="00D27627"/>
    <w:rsid w:val="00D27B14"/>
    <w:rsid w:val="00D301AE"/>
    <w:rsid w:val="00D3022D"/>
    <w:rsid w:val="00D30F8F"/>
    <w:rsid w:val="00D31265"/>
    <w:rsid w:val="00D31614"/>
    <w:rsid w:val="00D316FC"/>
    <w:rsid w:val="00D319C6"/>
    <w:rsid w:val="00D31B36"/>
    <w:rsid w:val="00D31B46"/>
    <w:rsid w:val="00D32558"/>
    <w:rsid w:val="00D3269F"/>
    <w:rsid w:val="00D32924"/>
    <w:rsid w:val="00D32A21"/>
    <w:rsid w:val="00D32D7A"/>
    <w:rsid w:val="00D32DCB"/>
    <w:rsid w:val="00D32DF6"/>
    <w:rsid w:val="00D330EE"/>
    <w:rsid w:val="00D333A2"/>
    <w:rsid w:val="00D33997"/>
    <w:rsid w:val="00D34F8A"/>
    <w:rsid w:val="00D34F91"/>
    <w:rsid w:val="00D35077"/>
    <w:rsid w:val="00D352A5"/>
    <w:rsid w:val="00D352AD"/>
    <w:rsid w:val="00D35745"/>
    <w:rsid w:val="00D357D7"/>
    <w:rsid w:val="00D36341"/>
    <w:rsid w:val="00D3636D"/>
    <w:rsid w:val="00D364B5"/>
    <w:rsid w:val="00D3656E"/>
    <w:rsid w:val="00D36952"/>
    <w:rsid w:val="00D36A43"/>
    <w:rsid w:val="00D36EB5"/>
    <w:rsid w:val="00D36EC1"/>
    <w:rsid w:val="00D37377"/>
    <w:rsid w:val="00D37661"/>
    <w:rsid w:val="00D37738"/>
    <w:rsid w:val="00D378DF"/>
    <w:rsid w:val="00D37B11"/>
    <w:rsid w:val="00D40272"/>
    <w:rsid w:val="00D4057F"/>
    <w:rsid w:val="00D4071D"/>
    <w:rsid w:val="00D40941"/>
    <w:rsid w:val="00D40B19"/>
    <w:rsid w:val="00D40B89"/>
    <w:rsid w:val="00D40E1E"/>
    <w:rsid w:val="00D4101B"/>
    <w:rsid w:val="00D41997"/>
    <w:rsid w:val="00D421DA"/>
    <w:rsid w:val="00D4226A"/>
    <w:rsid w:val="00D42494"/>
    <w:rsid w:val="00D42649"/>
    <w:rsid w:val="00D4295A"/>
    <w:rsid w:val="00D4304E"/>
    <w:rsid w:val="00D43297"/>
    <w:rsid w:val="00D433B0"/>
    <w:rsid w:val="00D43B5E"/>
    <w:rsid w:val="00D43BD8"/>
    <w:rsid w:val="00D43D8D"/>
    <w:rsid w:val="00D43ED0"/>
    <w:rsid w:val="00D4443D"/>
    <w:rsid w:val="00D4444B"/>
    <w:rsid w:val="00D44561"/>
    <w:rsid w:val="00D4475C"/>
    <w:rsid w:val="00D44D72"/>
    <w:rsid w:val="00D44DB6"/>
    <w:rsid w:val="00D45076"/>
    <w:rsid w:val="00D45269"/>
    <w:rsid w:val="00D4543D"/>
    <w:rsid w:val="00D462FE"/>
    <w:rsid w:val="00D46457"/>
    <w:rsid w:val="00D4650F"/>
    <w:rsid w:val="00D46FFD"/>
    <w:rsid w:val="00D4766B"/>
    <w:rsid w:val="00D47DAE"/>
    <w:rsid w:val="00D50119"/>
    <w:rsid w:val="00D50220"/>
    <w:rsid w:val="00D50895"/>
    <w:rsid w:val="00D511DB"/>
    <w:rsid w:val="00D52167"/>
    <w:rsid w:val="00D5239A"/>
    <w:rsid w:val="00D52414"/>
    <w:rsid w:val="00D52476"/>
    <w:rsid w:val="00D52556"/>
    <w:rsid w:val="00D525B8"/>
    <w:rsid w:val="00D52994"/>
    <w:rsid w:val="00D52FDF"/>
    <w:rsid w:val="00D535CD"/>
    <w:rsid w:val="00D53798"/>
    <w:rsid w:val="00D541B4"/>
    <w:rsid w:val="00D54244"/>
    <w:rsid w:val="00D54D4E"/>
    <w:rsid w:val="00D552EB"/>
    <w:rsid w:val="00D55AD8"/>
    <w:rsid w:val="00D55AE0"/>
    <w:rsid w:val="00D560D8"/>
    <w:rsid w:val="00D5658A"/>
    <w:rsid w:val="00D566CD"/>
    <w:rsid w:val="00D571AD"/>
    <w:rsid w:val="00D5725D"/>
    <w:rsid w:val="00D5742E"/>
    <w:rsid w:val="00D57FE6"/>
    <w:rsid w:val="00D60989"/>
    <w:rsid w:val="00D60AFC"/>
    <w:rsid w:val="00D60B4F"/>
    <w:rsid w:val="00D60E4F"/>
    <w:rsid w:val="00D60F77"/>
    <w:rsid w:val="00D61A7C"/>
    <w:rsid w:val="00D61A8C"/>
    <w:rsid w:val="00D621DD"/>
    <w:rsid w:val="00D622BB"/>
    <w:rsid w:val="00D62802"/>
    <w:rsid w:val="00D63343"/>
    <w:rsid w:val="00D63700"/>
    <w:rsid w:val="00D638AD"/>
    <w:rsid w:val="00D647D8"/>
    <w:rsid w:val="00D64868"/>
    <w:rsid w:val="00D64B1D"/>
    <w:rsid w:val="00D64F10"/>
    <w:rsid w:val="00D64F2F"/>
    <w:rsid w:val="00D6546C"/>
    <w:rsid w:val="00D65B0B"/>
    <w:rsid w:val="00D65D81"/>
    <w:rsid w:val="00D65F87"/>
    <w:rsid w:val="00D66A16"/>
    <w:rsid w:val="00D66CCB"/>
    <w:rsid w:val="00D6735C"/>
    <w:rsid w:val="00D673DB"/>
    <w:rsid w:val="00D675EB"/>
    <w:rsid w:val="00D6775F"/>
    <w:rsid w:val="00D67DAF"/>
    <w:rsid w:val="00D67DB3"/>
    <w:rsid w:val="00D71466"/>
    <w:rsid w:val="00D71A7C"/>
    <w:rsid w:val="00D729B9"/>
    <w:rsid w:val="00D72F97"/>
    <w:rsid w:val="00D72FC2"/>
    <w:rsid w:val="00D73862"/>
    <w:rsid w:val="00D73989"/>
    <w:rsid w:val="00D73EB5"/>
    <w:rsid w:val="00D73F78"/>
    <w:rsid w:val="00D74074"/>
    <w:rsid w:val="00D748C4"/>
    <w:rsid w:val="00D7493C"/>
    <w:rsid w:val="00D74B7A"/>
    <w:rsid w:val="00D74BA6"/>
    <w:rsid w:val="00D74FDC"/>
    <w:rsid w:val="00D75228"/>
    <w:rsid w:val="00D7548B"/>
    <w:rsid w:val="00D754EE"/>
    <w:rsid w:val="00D756A5"/>
    <w:rsid w:val="00D75F82"/>
    <w:rsid w:val="00D7642A"/>
    <w:rsid w:val="00D767EA"/>
    <w:rsid w:val="00D76962"/>
    <w:rsid w:val="00D7697A"/>
    <w:rsid w:val="00D77434"/>
    <w:rsid w:val="00D777F0"/>
    <w:rsid w:val="00D7785A"/>
    <w:rsid w:val="00D8025B"/>
    <w:rsid w:val="00D80390"/>
    <w:rsid w:val="00D807EC"/>
    <w:rsid w:val="00D80E6B"/>
    <w:rsid w:val="00D813CA"/>
    <w:rsid w:val="00D81B13"/>
    <w:rsid w:val="00D81BF1"/>
    <w:rsid w:val="00D81C86"/>
    <w:rsid w:val="00D81D01"/>
    <w:rsid w:val="00D820B1"/>
    <w:rsid w:val="00D827C8"/>
    <w:rsid w:val="00D82857"/>
    <w:rsid w:val="00D8286C"/>
    <w:rsid w:val="00D82A43"/>
    <w:rsid w:val="00D82AF4"/>
    <w:rsid w:val="00D82DD2"/>
    <w:rsid w:val="00D82FCE"/>
    <w:rsid w:val="00D832F0"/>
    <w:rsid w:val="00D832F2"/>
    <w:rsid w:val="00D83605"/>
    <w:rsid w:val="00D83EBD"/>
    <w:rsid w:val="00D84071"/>
    <w:rsid w:val="00D84710"/>
    <w:rsid w:val="00D8498B"/>
    <w:rsid w:val="00D84BAA"/>
    <w:rsid w:val="00D84BD2"/>
    <w:rsid w:val="00D85A36"/>
    <w:rsid w:val="00D86022"/>
    <w:rsid w:val="00D86143"/>
    <w:rsid w:val="00D8636D"/>
    <w:rsid w:val="00D865BC"/>
    <w:rsid w:val="00D87088"/>
    <w:rsid w:val="00D87807"/>
    <w:rsid w:val="00D87DF5"/>
    <w:rsid w:val="00D9088C"/>
    <w:rsid w:val="00D9097E"/>
    <w:rsid w:val="00D91D9B"/>
    <w:rsid w:val="00D92379"/>
    <w:rsid w:val="00D93211"/>
    <w:rsid w:val="00D93299"/>
    <w:rsid w:val="00D93526"/>
    <w:rsid w:val="00D939ED"/>
    <w:rsid w:val="00D93AB6"/>
    <w:rsid w:val="00D93D75"/>
    <w:rsid w:val="00D93FE6"/>
    <w:rsid w:val="00D94052"/>
    <w:rsid w:val="00D9427B"/>
    <w:rsid w:val="00D94615"/>
    <w:rsid w:val="00D94A52"/>
    <w:rsid w:val="00D94F77"/>
    <w:rsid w:val="00D952CA"/>
    <w:rsid w:val="00D95861"/>
    <w:rsid w:val="00D95924"/>
    <w:rsid w:val="00D96013"/>
    <w:rsid w:val="00D96655"/>
    <w:rsid w:val="00D967A4"/>
    <w:rsid w:val="00D96CDF"/>
    <w:rsid w:val="00D96FE0"/>
    <w:rsid w:val="00D971C2"/>
    <w:rsid w:val="00D97409"/>
    <w:rsid w:val="00D97898"/>
    <w:rsid w:val="00D97D36"/>
    <w:rsid w:val="00DA00E8"/>
    <w:rsid w:val="00DA00FA"/>
    <w:rsid w:val="00DA076B"/>
    <w:rsid w:val="00DA0F95"/>
    <w:rsid w:val="00DA13F6"/>
    <w:rsid w:val="00DA1504"/>
    <w:rsid w:val="00DA1A37"/>
    <w:rsid w:val="00DA1E14"/>
    <w:rsid w:val="00DA2D52"/>
    <w:rsid w:val="00DA2E29"/>
    <w:rsid w:val="00DA3008"/>
    <w:rsid w:val="00DA3445"/>
    <w:rsid w:val="00DA3544"/>
    <w:rsid w:val="00DA383F"/>
    <w:rsid w:val="00DA3E74"/>
    <w:rsid w:val="00DA4694"/>
    <w:rsid w:val="00DA4A3E"/>
    <w:rsid w:val="00DA4C32"/>
    <w:rsid w:val="00DA52AA"/>
    <w:rsid w:val="00DA56E6"/>
    <w:rsid w:val="00DA5811"/>
    <w:rsid w:val="00DA59E7"/>
    <w:rsid w:val="00DA5C1D"/>
    <w:rsid w:val="00DA60D4"/>
    <w:rsid w:val="00DA7079"/>
    <w:rsid w:val="00DA717C"/>
    <w:rsid w:val="00DA74A2"/>
    <w:rsid w:val="00DA74D7"/>
    <w:rsid w:val="00DA7565"/>
    <w:rsid w:val="00DA7AA7"/>
    <w:rsid w:val="00DA7B5D"/>
    <w:rsid w:val="00DA7FAC"/>
    <w:rsid w:val="00DB0123"/>
    <w:rsid w:val="00DB0583"/>
    <w:rsid w:val="00DB0889"/>
    <w:rsid w:val="00DB118A"/>
    <w:rsid w:val="00DB1298"/>
    <w:rsid w:val="00DB1BDD"/>
    <w:rsid w:val="00DB1E06"/>
    <w:rsid w:val="00DB2089"/>
    <w:rsid w:val="00DB24E8"/>
    <w:rsid w:val="00DB25D4"/>
    <w:rsid w:val="00DB28F8"/>
    <w:rsid w:val="00DB2A6B"/>
    <w:rsid w:val="00DB2D00"/>
    <w:rsid w:val="00DB30EC"/>
    <w:rsid w:val="00DB3B01"/>
    <w:rsid w:val="00DB4177"/>
    <w:rsid w:val="00DB429A"/>
    <w:rsid w:val="00DB4B24"/>
    <w:rsid w:val="00DB4CE6"/>
    <w:rsid w:val="00DB4FE9"/>
    <w:rsid w:val="00DB5457"/>
    <w:rsid w:val="00DB55BD"/>
    <w:rsid w:val="00DB6AE5"/>
    <w:rsid w:val="00DB74E6"/>
    <w:rsid w:val="00DB7587"/>
    <w:rsid w:val="00DB7A8B"/>
    <w:rsid w:val="00DC0ADC"/>
    <w:rsid w:val="00DC0DF4"/>
    <w:rsid w:val="00DC125D"/>
    <w:rsid w:val="00DC1ABB"/>
    <w:rsid w:val="00DC1DC5"/>
    <w:rsid w:val="00DC1EF1"/>
    <w:rsid w:val="00DC2333"/>
    <w:rsid w:val="00DC2640"/>
    <w:rsid w:val="00DC287A"/>
    <w:rsid w:val="00DC2B3D"/>
    <w:rsid w:val="00DC314E"/>
    <w:rsid w:val="00DC3488"/>
    <w:rsid w:val="00DC3717"/>
    <w:rsid w:val="00DC40F8"/>
    <w:rsid w:val="00DC51D0"/>
    <w:rsid w:val="00DC5613"/>
    <w:rsid w:val="00DC5DF5"/>
    <w:rsid w:val="00DC66A1"/>
    <w:rsid w:val="00DC6702"/>
    <w:rsid w:val="00DC6755"/>
    <w:rsid w:val="00DC6F74"/>
    <w:rsid w:val="00DC7069"/>
    <w:rsid w:val="00DC7191"/>
    <w:rsid w:val="00DC7232"/>
    <w:rsid w:val="00DC7A2E"/>
    <w:rsid w:val="00DD04F5"/>
    <w:rsid w:val="00DD129D"/>
    <w:rsid w:val="00DD1672"/>
    <w:rsid w:val="00DD1870"/>
    <w:rsid w:val="00DD1CBC"/>
    <w:rsid w:val="00DD1FFE"/>
    <w:rsid w:val="00DD2629"/>
    <w:rsid w:val="00DD2A20"/>
    <w:rsid w:val="00DD2BA0"/>
    <w:rsid w:val="00DD2F23"/>
    <w:rsid w:val="00DD2F97"/>
    <w:rsid w:val="00DD355F"/>
    <w:rsid w:val="00DD3584"/>
    <w:rsid w:val="00DD3BC6"/>
    <w:rsid w:val="00DD40CC"/>
    <w:rsid w:val="00DD4129"/>
    <w:rsid w:val="00DD4CA1"/>
    <w:rsid w:val="00DD5220"/>
    <w:rsid w:val="00DD587B"/>
    <w:rsid w:val="00DD58A4"/>
    <w:rsid w:val="00DD6064"/>
    <w:rsid w:val="00DD609E"/>
    <w:rsid w:val="00DD6116"/>
    <w:rsid w:val="00DD6A12"/>
    <w:rsid w:val="00DD6D77"/>
    <w:rsid w:val="00DD6F30"/>
    <w:rsid w:val="00DD7081"/>
    <w:rsid w:val="00DD7682"/>
    <w:rsid w:val="00DD775A"/>
    <w:rsid w:val="00DD7E6F"/>
    <w:rsid w:val="00DE00DC"/>
    <w:rsid w:val="00DE04EE"/>
    <w:rsid w:val="00DE06B6"/>
    <w:rsid w:val="00DE0970"/>
    <w:rsid w:val="00DE0979"/>
    <w:rsid w:val="00DE126D"/>
    <w:rsid w:val="00DE15A1"/>
    <w:rsid w:val="00DE167E"/>
    <w:rsid w:val="00DE1AC9"/>
    <w:rsid w:val="00DE1AD7"/>
    <w:rsid w:val="00DE1D6A"/>
    <w:rsid w:val="00DE1DB1"/>
    <w:rsid w:val="00DE2262"/>
    <w:rsid w:val="00DE2289"/>
    <w:rsid w:val="00DE2EEA"/>
    <w:rsid w:val="00DE3150"/>
    <w:rsid w:val="00DE3DBF"/>
    <w:rsid w:val="00DE3F93"/>
    <w:rsid w:val="00DE44B5"/>
    <w:rsid w:val="00DE455C"/>
    <w:rsid w:val="00DE4592"/>
    <w:rsid w:val="00DE47C5"/>
    <w:rsid w:val="00DE48DD"/>
    <w:rsid w:val="00DE4DE4"/>
    <w:rsid w:val="00DE4EE6"/>
    <w:rsid w:val="00DE52F9"/>
    <w:rsid w:val="00DE54E7"/>
    <w:rsid w:val="00DE55ED"/>
    <w:rsid w:val="00DE5773"/>
    <w:rsid w:val="00DE5979"/>
    <w:rsid w:val="00DE618A"/>
    <w:rsid w:val="00DE6A84"/>
    <w:rsid w:val="00DF04B8"/>
    <w:rsid w:val="00DF087B"/>
    <w:rsid w:val="00DF10A0"/>
    <w:rsid w:val="00DF1145"/>
    <w:rsid w:val="00DF1152"/>
    <w:rsid w:val="00DF127F"/>
    <w:rsid w:val="00DF13FB"/>
    <w:rsid w:val="00DF14CA"/>
    <w:rsid w:val="00DF14CD"/>
    <w:rsid w:val="00DF1D10"/>
    <w:rsid w:val="00DF29BD"/>
    <w:rsid w:val="00DF35F0"/>
    <w:rsid w:val="00DF3AF6"/>
    <w:rsid w:val="00DF4023"/>
    <w:rsid w:val="00DF4295"/>
    <w:rsid w:val="00DF47D2"/>
    <w:rsid w:val="00DF4F65"/>
    <w:rsid w:val="00DF4F93"/>
    <w:rsid w:val="00DF5218"/>
    <w:rsid w:val="00DF58E7"/>
    <w:rsid w:val="00DF6157"/>
    <w:rsid w:val="00DF653A"/>
    <w:rsid w:val="00DF6D06"/>
    <w:rsid w:val="00DF72B6"/>
    <w:rsid w:val="00DF75D7"/>
    <w:rsid w:val="00DF7C72"/>
    <w:rsid w:val="00E0023E"/>
    <w:rsid w:val="00E004FF"/>
    <w:rsid w:val="00E0098B"/>
    <w:rsid w:val="00E00FDD"/>
    <w:rsid w:val="00E01092"/>
    <w:rsid w:val="00E01316"/>
    <w:rsid w:val="00E015EC"/>
    <w:rsid w:val="00E01A04"/>
    <w:rsid w:val="00E020DF"/>
    <w:rsid w:val="00E03A96"/>
    <w:rsid w:val="00E0483C"/>
    <w:rsid w:val="00E04EBC"/>
    <w:rsid w:val="00E05DC0"/>
    <w:rsid w:val="00E06084"/>
    <w:rsid w:val="00E064AB"/>
    <w:rsid w:val="00E0655C"/>
    <w:rsid w:val="00E06A99"/>
    <w:rsid w:val="00E06E91"/>
    <w:rsid w:val="00E071CA"/>
    <w:rsid w:val="00E07431"/>
    <w:rsid w:val="00E07507"/>
    <w:rsid w:val="00E07719"/>
    <w:rsid w:val="00E1026B"/>
    <w:rsid w:val="00E10617"/>
    <w:rsid w:val="00E11678"/>
    <w:rsid w:val="00E11819"/>
    <w:rsid w:val="00E11876"/>
    <w:rsid w:val="00E118CC"/>
    <w:rsid w:val="00E11E6A"/>
    <w:rsid w:val="00E12171"/>
    <w:rsid w:val="00E12D79"/>
    <w:rsid w:val="00E132E8"/>
    <w:rsid w:val="00E14371"/>
    <w:rsid w:val="00E14BF7"/>
    <w:rsid w:val="00E14C57"/>
    <w:rsid w:val="00E14E5A"/>
    <w:rsid w:val="00E1528D"/>
    <w:rsid w:val="00E1565B"/>
    <w:rsid w:val="00E1624C"/>
    <w:rsid w:val="00E165A3"/>
    <w:rsid w:val="00E16CD5"/>
    <w:rsid w:val="00E16FE8"/>
    <w:rsid w:val="00E17047"/>
    <w:rsid w:val="00E1736E"/>
    <w:rsid w:val="00E17EA3"/>
    <w:rsid w:val="00E2027D"/>
    <w:rsid w:val="00E204C3"/>
    <w:rsid w:val="00E20873"/>
    <w:rsid w:val="00E20A97"/>
    <w:rsid w:val="00E211E1"/>
    <w:rsid w:val="00E21751"/>
    <w:rsid w:val="00E21F5F"/>
    <w:rsid w:val="00E22377"/>
    <w:rsid w:val="00E22528"/>
    <w:rsid w:val="00E236B6"/>
    <w:rsid w:val="00E2395D"/>
    <w:rsid w:val="00E23C83"/>
    <w:rsid w:val="00E23CBB"/>
    <w:rsid w:val="00E2478C"/>
    <w:rsid w:val="00E25344"/>
    <w:rsid w:val="00E25B32"/>
    <w:rsid w:val="00E2657E"/>
    <w:rsid w:val="00E267B4"/>
    <w:rsid w:val="00E2691C"/>
    <w:rsid w:val="00E26931"/>
    <w:rsid w:val="00E26BEF"/>
    <w:rsid w:val="00E27403"/>
    <w:rsid w:val="00E2774C"/>
    <w:rsid w:val="00E278D9"/>
    <w:rsid w:val="00E279C0"/>
    <w:rsid w:val="00E30646"/>
    <w:rsid w:val="00E30FA4"/>
    <w:rsid w:val="00E31064"/>
    <w:rsid w:val="00E31E35"/>
    <w:rsid w:val="00E31F19"/>
    <w:rsid w:val="00E323BE"/>
    <w:rsid w:val="00E3259D"/>
    <w:rsid w:val="00E3332A"/>
    <w:rsid w:val="00E33BB5"/>
    <w:rsid w:val="00E34525"/>
    <w:rsid w:val="00E3453F"/>
    <w:rsid w:val="00E349FF"/>
    <w:rsid w:val="00E34A0D"/>
    <w:rsid w:val="00E3544D"/>
    <w:rsid w:val="00E35D67"/>
    <w:rsid w:val="00E35F3A"/>
    <w:rsid w:val="00E36079"/>
    <w:rsid w:val="00E368DC"/>
    <w:rsid w:val="00E36C3F"/>
    <w:rsid w:val="00E3752E"/>
    <w:rsid w:val="00E376E8"/>
    <w:rsid w:val="00E37986"/>
    <w:rsid w:val="00E37B59"/>
    <w:rsid w:val="00E37BCF"/>
    <w:rsid w:val="00E37C7C"/>
    <w:rsid w:val="00E4016A"/>
    <w:rsid w:val="00E407D9"/>
    <w:rsid w:val="00E409EF"/>
    <w:rsid w:val="00E411F7"/>
    <w:rsid w:val="00E4160D"/>
    <w:rsid w:val="00E4205D"/>
    <w:rsid w:val="00E42467"/>
    <w:rsid w:val="00E42B7C"/>
    <w:rsid w:val="00E43440"/>
    <w:rsid w:val="00E43C58"/>
    <w:rsid w:val="00E43CA6"/>
    <w:rsid w:val="00E446FC"/>
    <w:rsid w:val="00E448CA"/>
    <w:rsid w:val="00E44DC6"/>
    <w:rsid w:val="00E452C7"/>
    <w:rsid w:val="00E453F4"/>
    <w:rsid w:val="00E45484"/>
    <w:rsid w:val="00E4637B"/>
    <w:rsid w:val="00E468B0"/>
    <w:rsid w:val="00E46B03"/>
    <w:rsid w:val="00E46EB4"/>
    <w:rsid w:val="00E470F1"/>
    <w:rsid w:val="00E477DB"/>
    <w:rsid w:val="00E47B13"/>
    <w:rsid w:val="00E47F33"/>
    <w:rsid w:val="00E47F34"/>
    <w:rsid w:val="00E50562"/>
    <w:rsid w:val="00E50AF3"/>
    <w:rsid w:val="00E50F15"/>
    <w:rsid w:val="00E522E9"/>
    <w:rsid w:val="00E5291F"/>
    <w:rsid w:val="00E52AFB"/>
    <w:rsid w:val="00E52B9D"/>
    <w:rsid w:val="00E52E20"/>
    <w:rsid w:val="00E5315B"/>
    <w:rsid w:val="00E53B4E"/>
    <w:rsid w:val="00E54564"/>
    <w:rsid w:val="00E54B24"/>
    <w:rsid w:val="00E554F0"/>
    <w:rsid w:val="00E559C2"/>
    <w:rsid w:val="00E55BF8"/>
    <w:rsid w:val="00E56255"/>
    <w:rsid w:val="00E56423"/>
    <w:rsid w:val="00E56542"/>
    <w:rsid w:val="00E57390"/>
    <w:rsid w:val="00E577ED"/>
    <w:rsid w:val="00E57BEB"/>
    <w:rsid w:val="00E57FCE"/>
    <w:rsid w:val="00E603EA"/>
    <w:rsid w:val="00E60494"/>
    <w:rsid w:val="00E60917"/>
    <w:rsid w:val="00E60974"/>
    <w:rsid w:val="00E60B60"/>
    <w:rsid w:val="00E60D2C"/>
    <w:rsid w:val="00E60F6F"/>
    <w:rsid w:val="00E61184"/>
    <w:rsid w:val="00E61426"/>
    <w:rsid w:val="00E61481"/>
    <w:rsid w:val="00E61A93"/>
    <w:rsid w:val="00E61AFB"/>
    <w:rsid w:val="00E6233A"/>
    <w:rsid w:val="00E625EB"/>
    <w:rsid w:val="00E626A2"/>
    <w:rsid w:val="00E6297A"/>
    <w:rsid w:val="00E62A02"/>
    <w:rsid w:val="00E62CC1"/>
    <w:rsid w:val="00E631AD"/>
    <w:rsid w:val="00E632FD"/>
    <w:rsid w:val="00E6332A"/>
    <w:rsid w:val="00E63625"/>
    <w:rsid w:val="00E6385C"/>
    <w:rsid w:val="00E6388C"/>
    <w:rsid w:val="00E63A10"/>
    <w:rsid w:val="00E63E92"/>
    <w:rsid w:val="00E65196"/>
    <w:rsid w:val="00E65299"/>
    <w:rsid w:val="00E65506"/>
    <w:rsid w:val="00E6612C"/>
    <w:rsid w:val="00E664E0"/>
    <w:rsid w:val="00E6657D"/>
    <w:rsid w:val="00E66B08"/>
    <w:rsid w:val="00E66B98"/>
    <w:rsid w:val="00E67EB6"/>
    <w:rsid w:val="00E704FD"/>
    <w:rsid w:val="00E70AEC"/>
    <w:rsid w:val="00E70CE3"/>
    <w:rsid w:val="00E714EA"/>
    <w:rsid w:val="00E717CF"/>
    <w:rsid w:val="00E722DE"/>
    <w:rsid w:val="00E725D6"/>
    <w:rsid w:val="00E72C5F"/>
    <w:rsid w:val="00E73074"/>
    <w:rsid w:val="00E73FA5"/>
    <w:rsid w:val="00E74367"/>
    <w:rsid w:val="00E75567"/>
    <w:rsid w:val="00E75693"/>
    <w:rsid w:val="00E75A06"/>
    <w:rsid w:val="00E75BFF"/>
    <w:rsid w:val="00E75C59"/>
    <w:rsid w:val="00E768D4"/>
    <w:rsid w:val="00E768F5"/>
    <w:rsid w:val="00E76FD3"/>
    <w:rsid w:val="00E77201"/>
    <w:rsid w:val="00E77431"/>
    <w:rsid w:val="00E77E10"/>
    <w:rsid w:val="00E804EE"/>
    <w:rsid w:val="00E808DA"/>
    <w:rsid w:val="00E80DA6"/>
    <w:rsid w:val="00E81A58"/>
    <w:rsid w:val="00E81C8B"/>
    <w:rsid w:val="00E82496"/>
    <w:rsid w:val="00E824B7"/>
    <w:rsid w:val="00E82CFF"/>
    <w:rsid w:val="00E839B6"/>
    <w:rsid w:val="00E83DD9"/>
    <w:rsid w:val="00E84072"/>
    <w:rsid w:val="00E84571"/>
    <w:rsid w:val="00E84858"/>
    <w:rsid w:val="00E849C5"/>
    <w:rsid w:val="00E8521B"/>
    <w:rsid w:val="00E85C04"/>
    <w:rsid w:val="00E85CBD"/>
    <w:rsid w:val="00E86B8E"/>
    <w:rsid w:val="00E87837"/>
    <w:rsid w:val="00E878A9"/>
    <w:rsid w:val="00E878AD"/>
    <w:rsid w:val="00E87B0E"/>
    <w:rsid w:val="00E87C5B"/>
    <w:rsid w:val="00E87CF0"/>
    <w:rsid w:val="00E90041"/>
    <w:rsid w:val="00E90082"/>
    <w:rsid w:val="00E9034F"/>
    <w:rsid w:val="00E90B4A"/>
    <w:rsid w:val="00E90E8C"/>
    <w:rsid w:val="00E90F56"/>
    <w:rsid w:val="00E9150C"/>
    <w:rsid w:val="00E91DE2"/>
    <w:rsid w:val="00E92091"/>
    <w:rsid w:val="00E92B1F"/>
    <w:rsid w:val="00E935C0"/>
    <w:rsid w:val="00E93B80"/>
    <w:rsid w:val="00E93E88"/>
    <w:rsid w:val="00E93F7A"/>
    <w:rsid w:val="00E93FF3"/>
    <w:rsid w:val="00E948B3"/>
    <w:rsid w:val="00E94A4A"/>
    <w:rsid w:val="00E94B87"/>
    <w:rsid w:val="00E953AB"/>
    <w:rsid w:val="00E954D9"/>
    <w:rsid w:val="00E960AB"/>
    <w:rsid w:val="00E962E3"/>
    <w:rsid w:val="00E963D7"/>
    <w:rsid w:val="00E968BA"/>
    <w:rsid w:val="00E96F37"/>
    <w:rsid w:val="00E973AC"/>
    <w:rsid w:val="00E9790F"/>
    <w:rsid w:val="00E97CF1"/>
    <w:rsid w:val="00E97CFD"/>
    <w:rsid w:val="00E97E73"/>
    <w:rsid w:val="00EA0A7A"/>
    <w:rsid w:val="00EA0AAA"/>
    <w:rsid w:val="00EA0C40"/>
    <w:rsid w:val="00EA1340"/>
    <w:rsid w:val="00EA1AAB"/>
    <w:rsid w:val="00EA2037"/>
    <w:rsid w:val="00EA255E"/>
    <w:rsid w:val="00EA2611"/>
    <w:rsid w:val="00EA291E"/>
    <w:rsid w:val="00EA3071"/>
    <w:rsid w:val="00EA36C6"/>
    <w:rsid w:val="00EA3978"/>
    <w:rsid w:val="00EA39C0"/>
    <w:rsid w:val="00EA4191"/>
    <w:rsid w:val="00EA53C6"/>
    <w:rsid w:val="00EA5799"/>
    <w:rsid w:val="00EA5B1B"/>
    <w:rsid w:val="00EA5B8F"/>
    <w:rsid w:val="00EA6480"/>
    <w:rsid w:val="00EA6A41"/>
    <w:rsid w:val="00EA6CCD"/>
    <w:rsid w:val="00EA6FEA"/>
    <w:rsid w:val="00EA7A6D"/>
    <w:rsid w:val="00EA7C19"/>
    <w:rsid w:val="00EA7C27"/>
    <w:rsid w:val="00EB0F3F"/>
    <w:rsid w:val="00EB12A1"/>
    <w:rsid w:val="00EB1AC8"/>
    <w:rsid w:val="00EB1DB1"/>
    <w:rsid w:val="00EB2AA5"/>
    <w:rsid w:val="00EB2F5B"/>
    <w:rsid w:val="00EB3029"/>
    <w:rsid w:val="00EB355A"/>
    <w:rsid w:val="00EB35A7"/>
    <w:rsid w:val="00EB4567"/>
    <w:rsid w:val="00EB48F6"/>
    <w:rsid w:val="00EB4D4E"/>
    <w:rsid w:val="00EB5196"/>
    <w:rsid w:val="00EB67F2"/>
    <w:rsid w:val="00EB68BE"/>
    <w:rsid w:val="00EB6E81"/>
    <w:rsid w:val="00EB7626"/>
    <w:rsid w:val="00EC0039"/>
    <w:rsid w:val="00EC04FE"/>
    <w:rsid w:val="00EC0B3F"/>
    <w:rsid w:val="00EC0CAF"/>
    <w:rsid w:val="00EC212D"/>
    <w:rsid w:val="00EC2BAD"/>
    <w:rsid w:val="00EC2DEB"/>
    <w:rsid w:val="00EC331A"/>
    <w:rsid w:val="00EC3466"/>
    <w:rsid w:val="00EC37F4"/>
    <w:rsid w:val="00EC38D9"/>
    <w:rsid w:val="00EC444D"/>
    <w:rsid w:val="00EC4582"/>
    <w:rsid w:val="00EC478B"/>
    <w:rsid w:val="00EC49DA"/>
    <w:rsid w:val="00EC4AFE"/>
    <w:rsid w:val="00EC4BAD"/>
    <w:rsid w:val="00EC4F08"/>
    <w:rsid w:val="00EC4F58"/>
    <w:rsid w:val="00EC5CA5"/>
    <w:rsid w:val="00EC60C6"/>
    <w:rsid w:val="00EC614E"/>
    <w:rsid w:val="00EC6628"/>
    <w:rsid w:val="00EC6B40"/>
    <w:rsid w:val="00EC6E10"/>
    <w:rsid w:val="00EC7118"/>
    <w:rsid w:val="00EC7442"/>
    <w:rsid w:val="00EC7BB1"/>
    <w:rsid w:val="00ED0B82"/>
    <w:rsid w:val="00ED0D21"/>
    <w:rsid w:val="00ED0D43"/>
    <w:rsid w:val="00ED0E13"/>
    <w:rsid w:val="00ED1289"/>
    <w:rsid w:val="00ED1CB3"/>
    <w:rsid w:val="00ED1EDF"/>
    <w:rsid w:val="00ED2260"/>
    <w:rsid w:val="00ED25DA"/>
    <w:rsid w:val="00ED2D62"/>
    <w:rsid w:val="00ED4014"/>
    <w:rsid w:val="00ED4A18"/>
    <w:rsid w:val="00ED4BD0"/>
    <w:rsid w:val="00ED5725"/>
    <w:rsid w:val="00ED5814"/>
    <w:rsid w:val="00ED5B0A"/>
    <w:rsid w:val="00ED5EC2"/>
    <w:rsid w:val="00ED5F0F"/>
    <w:rsid w:val="00ED64B4"/>
    <w:rsid w:val="00ED672A"/>
    <w:rsid w:val="00ED6A36"/>
    <w:rsid w:val="00ED7031"/>
    <w:rsid w:val="00ED7393"/>
    <w:rsid w:val="00ED7D4B"/>
    <w:rsid w:val="00ED7F52"/>
    <w:rsid w:val="00EE0978"/>
    <w:rsid w:val="00EE0F83"/>
    <w:rsid w:val="00EE14E7"/>
    <w:rsid w:val="00EE15E4"/>
    <w:rsid w:val="00EE169D"/>
    <w:rsid w:val="00EE2ABE"/>
    <w:rsid w:val="00EE3060"/>
    <w:rsid w:val="00EE30C4"/>
    <w:rsid w:val="00EE31E8"/>
    <w:rsid w:val="00EE32DA"/>
    <w:rsid w:val="00EE3581"/>
    <w:rsid w:val="00EE3C30"/>
    <w:rsid w:val="00EE3CE9"/>
    <w:rsid w:val="00EE4315"/>
    <w:rsid w:val="00EE43D9"/>
    <w:rsid w:val="00EE4535"/>
    <w:rsid w:val="00EE46FA"/>
    <w:rsid w:val="00EE50F5"/>
    <w:rsid w:val="00EE556B"/>
    <w:rsid w:val="00EE57CD"/>
    <w:rsid w:val="00EE5BE9"/>
    <w:rsid w:val="00EE5D15"/>
    <w:rsid w:val="00EE61EF"/>
    <w:rsid w:val="00EE6DDD"/>
    <w:rsid w:val="00EE75AA"/>
    <w:rsid w:val="00EE75D2"/>
    <w:rsid w:val="00EF1396"/>
    <w:rsid w:val="00EF1AED"/>
    <w:rsid w:val="00EF1E8E"/>
    <w:rsid w:val="00EF223F"/>
    <w:rsid w:val="00EF2A80"/>
    <w:rsid w:val="00EF2ABA"/>
    <w:rsid w:val="00EF2AC7"/>
    <w:rsid w:val="00EF2B60"/>
    <w:rsid w:val="00EF2FFE"/>
    <w:rsid w:val="00EF3AF0"/>
    <w:rsid w:val="00EF4681"/>
    <w:rsid w:val="00EF4F9A"/>
    <w:rsid w:val="00EF6048"/>
    <w:rsid w:val="00EF7043"/>
    <w:rsid w:val="00EF7046"/>
    <w:rsid w:val="00EF75C8"/>
    <w:rsid w:val="00EF7A5F"/>
    <w:rsid w:val="00EF7C9E"/>
    <w:rsid w:val="00F00752"/>
    <w:rsid w:val="00F00C57"/>
    <w:rsid w:val="00F01264"/>
    <w:rsid w:val="00F01D22"/>
    <w:rsid w:val="00F023EF"/>
    <w:rsid w:val="00F025A1"/>
    <w:rsid w:val="00F02A35"/>
    <w:rsid w:val="00F030AB"/>
    <w:rsid w:val="00F03B6C"/>
    <w:rsid w:val="00F04186"/>
    <w:rsid w:val="00F048CA"/>
    <w:rsid w:val="00F05A02"/>
    <w:rsid w:val="00F05AFB"/>
    <w:rsid w:val="00F05EBA"/>
    <w:rsid w:val="00F06150"/>
    <w:rsid w:val="00F0642E"/>
    <w:rsid w:val="00F0671E"/>
    <w:rsid w:val="00F06758"/>
    <w:rsid w:val="00F068FA"/>
    <w:rsid w:val="00F06E60"/>
    <w:rsid w:val="00F102F9"/>
    <w:rsid w:val="00F10965"/>
    <w:rsid w:val="00F10D2D"/>
    <w:rsid w:val="00F10F97"/>
    <w:rsid w:val="00F11991"/>
    <w:rsid w:val="00F1199B"/>
    <w:rsid w:val="00F11A2A"/>
    <w:rsid w:val="00F12185"/>
    <w:rsid w:val="00F128A3"/>
    <w:rsid w:val="00F12BB0"/>
    <w:rsid w:val="00F12DB7"/>
    <w:rsid w:val="00F12E31"/>
    <w:rsid w:val="00F131C3"/>
    <w:rsid w:val="00F132C0"/>
    <w:rsid w:val="00F13334"/>
    <w:rsid w:val="00F137CC"/>
    <w:rsid w:val="00F1386A"/>
    <w:rsid w:val="00F141E8"/>
    <w:rsid w:val="00F14338"/>
    <w:rsid w:val="00F150ED"/>
    <w:rsid w:val="00F15166"/>
    <w:rsid w:val="00F153AB"/>
    <w:rsid w:val="00F155D4"/>
    <w:rsid w:val="00F156B4"/>
    <w:rsid w:val="00F15E8E"/>
    <w:rsid w:val="00F15F86"/>
    <w:rsid w:val="00F1687C"/>
    <w:rsid w:val="00F169D4"/>
    <w:rsid w:val="00F16FDB"/>
    <w:rsid w:val="00F171BD"/>
    <w:rsid w:val="00F1760A"/>
    <w:rsid w:val="00F1788E"/>
    <w:rsid w:val="00F17B76"/>
    <w:rsid w:val="00F20738"/>
    <w:rsid w:val="00F2086D"/>
    <w:rsid w:val="00F2143E"/>
    <w:rsid w:val="00F21A9B"/>
    <w:rsid w:val="00F23A2D"/>
    <w:rsid w:val="00F23F0B"/>
    <w:rsid w:val="00F24069"/>
    <w:rsid w:val="00F24E66"/>
    <w:rsid w:val="00F26137"/>
    <w:rsid w:val="00F265F7"/>
    <w:rsid w:val="00F26A33"/>
    <w:rsid w:val="00F26B13"/>
    <w:rsid w:val="00F26ED3"/>
    <w:rsid w:val="00F27168"/>
    <w:rsid w:val="00F27265"/>
    <w:rsid w:val="00F27955"/>
    <w:rsid w:val="00F27DD4"/>
    <w:rsid w:val="00F30243"/>
    <w:rsid w:val="00F302D1"/>
    <w:rsid w:val="00F30500"/>
    <w:rsid w:val="00F309D9"/>
    <w:rsid w:val="00F30ED4"/>
    <w:rsid w:val="00F30F31"/>
    <w:rsid w:val="00F31272"/>
    <w:rsid w:val="00F31C14"/>
    <w:rsid w:val="00F31CE4"/>
    <w:rsid w:val="00F31D7D"/>
    <w:rsid w:val="00F336EE"/>
    <w:rsid w:val="00F3401D"/>
    <w:rsid w:val="00F3499D"/>
    <w:rsid w:val="00F3501E"/>
    <w:rsid w:val="00F35816"/>
    <w:rsid w:val="00F35C0E"/>
    <w:rsid w:val="00F35E70"/>
    <w:rsid w:val="00F36234"/>
    <w:rsid w:val="00F36596"/>
    <w:rsid w:val="00F37107"/>
    <w:rsid w:val="00F3792D"/>
    <w:rsid w:val="00F37CB9"/>
    <w:rsid w:val="00F37DC5"/>
    <w:rsid w:val="00F40B70"/>
    <w:rsid w:val="00F41B89"/>
    <w:rsid w:val="00F41E34"/>
    <w:rsid w:val="00F42B80"/>
    <w:rsid w:val="00F42F50"/>
    <w:rsid w:val="00F430A9"/>
    <w:rsid w:val="00F438C3"/>
    <w:rsid w:val="00F44F86"/>
    <w:rsid w:val="00F4504F"/>
    <w:rsid w:val="00F450F9"/>
    <w:rsid w:val="00F454CB"/>
    <w:rsid w:val="00F459E9"/>
    <w:rsid w:val="00F45CAB"/>
    <w:rsid w:val="00F46152"/>
    <w:rsid w:val="00F4768A"/>
    <w:rsid w:val="00F47692"/>
    <w:rsid w:val="00F47752"/>
    <w:rsid w:val="00F47791"/>
    <w:rsid w:val="00F477D1"/>
    <w:rsid w:val="00F479AC"/>
    <w:rsid w:val="00F47EE4"/>
    <w:rsid w:val="00F50365"/>
    <w:rsid w:val="00F505B8"/>
    <w:rsid w:val="00F50810"/>
    <w:rsid w:val="00F51406"/>
    <w:rsid w:val="00F51BC7"/>
    <w:rsid w:val="00F5287F"/>
    <w:rsid w:val="00F529DA"/>
    <w:rsid w:val="00F5342D"/>
    <w:rsid w:val="00F5349D"/>
    <w:rsid w:val="00F53BE7"/>
    <w:rsid w:val="00F53C56"/>
    <w:rsid w:val="00F53E5E"/>
    <w:rsid w:val="00F555C0"/>
    <w:rsid w:val="00F558B3"/>
    <w:rsid w:val="00F558FA"/>
    <w:rsid w:val="00F559DA"/>
    <w:rsid w:val="00F55C48"/>
    <w:rsid w:val="00F55EB5"/>
    <w:rsid w:val="00F5618E"/>
    <w:rsid w:val="00F57DAC"/>
    <w:rsid w:val="00F611BD"/>
    <w:rsid w:val="00F61CEB"/>
    <w:rsid w:val="00F62353"/>
    <w:rsid w:val="00F623CD"/>
    <w:rsid w:val="00F626B2"/>
    <w:rsid w:val="00F62B7A"/>
    <w:rsid w:val="00F62F41"/>
    <w:rsid w:val="00F6337B"/>
    <w:rsid w:val="00F63798"/>
    <w:rsid w:val="00F6397D"/>
    <w:rsid w:val="00F6476F"/>
    <w:rsid w:val="00F647BE"/>
    <w:rsid w:val="00F64CDE"/>
    <w:rsid w:val="00F65500"/>
    <w:rsid w:val="00F6573E"/>
    <w:rsid w:val="00F658B9"/>
    <w:rsid w:val="00F65E5A"/>
    <w:rsid w:val="00F66CB3"/>
    <w:rsid w:val="00F66DCE"/>
    <w:rsid w:val="00F6790E"/>
    <w:rsid w:val="00F7017F"/>
    <w:rsid w:val="00F70447"/>
    <w:rsid w:val="00F704C2"/>
    <w:rsid w:val="00F706E0"/>
    <w:rsid w:val="00F707C8"/>
    <w:rsid w:val="00F70887"/>
    <w:rsid w:val="00F70A18"/>
    <w:rsid w:val="00F7179C"/>
    <w:rsid w:val="00F719D2"/>
    <w:rsid w:val="00F71B64"/>
    <w:rsid w:val="00F72181"/>
    <w:rsid w:val="00F7288B"/>
    <w:rsid w:val="00F7293E"/>
    <w:rsid w:val="00F72D3C"/>
    <w:rsid w:val="00F7303C"/>
    <w:rsid w:val="00F740FA"/>
    <w:rsid w:val="00F74462"/>
    <w:rsid w:val="00F74B2E"/>
    <w:rsid w:val="00F74E5F"/>
    <w:rsid w:val="00F7578B"/>
    <w:rsid w:val="00F757F7"/>
    <w:rsid w:val="00F75AB0"/>
    <w:rsid w:val="00F760D2"/>
    <w:rsid w:val="00F76429"/>
    <w:rsid w:val="00F7650C"/>
    <w:rsid w:val="00F76650"/>
    <w:rsid w:val="00F769FB"/>
    <w:rsid w:val="00F76D18"/>
    <w:rsid w:val="00F77078"/>
    <w:rsid w:val="00F7759A"/>
    <w:rsid w:val="00F779BE"/>
    <w:rsid w:val="00F805DC"/>
    <w:rsid w:val="00F80A14"/>
    <w:rsid w:val="00F810C4"/>
    <w:rsid w:val="00F81950"/>
    <w:rsid w:val="00F8241B"/>
    <w:rsid w:val="00F828FC"/>
    <w:rsid w:val="00F8293F"/>
    <w:rsid w:val="00F83390"/>
    <w:rsid w:val="00F8430F"/>
    <w:rsid w:val="00F855F2"/>
    <w:rsid w:val="00F85D99"/>
    <w:rsid w:val="00F86551"/>
    <w:rsid w:val="00F870CF"/>
    <w:rsid w:val="00F870E6"/>
    <w:rsid w:val="00F873AC"/>
    <w:rsid w:val="00F873DB"/>
    <w:rsid w:val="00F875FE"/>
    <w:rsid w:val="00F8768A"/>
    <w:rsid w:val="00F87756"/>
    <w:rsid w:val="00F878FA"/>
    <w:rsid w:val="00F87C00"/>
    <w:rsid w:val="00F90444"/>
    <w:rsid w:val="00F90A0F"/>
    <w:rsid w:val="00F91087"/>
    <w:rsid w:val="00F910D0"/>
    <w:rsid w:val="00F9187B"/>
    <w:rsid w:val="00F92385"/>
    <w:rsid w:val="00F92C58"/>
    <w:rsid w:val="00F9359D"/>
    <w:rsid w:val="00F936F3"/>
    <w:rsid w:val="00F93ABC"/>
    <w:rsid w:val="00F93B12"/>
    <w:rsid w:val="00F940EB"/>
    <w:rsid w:val="00F9496E"/>
    <w:rsid w:val="00F95015"/>
    <w:rsid w:val="00F95350"/>
    <w:rsid w:val="00F9574D"/>
    <w:rsid w:val="00F95A38"/>
    <w:rsid w:val="00F96884"/>
    <w:rsid w:val="00F96CC5"/>
    <w:rsid w:val="00F971B6"/>
    <w:rsid w:val="00F97670"/>
    <w:rsid w:val="00F9772D"/>
    <w:rsid w:val="00F97C8B"/>
    <w:rsid w:val="00FA01C7"/>
    <w:rsid w:val="00FA0234"/>
    <w:rsid w:val="00FA0346"/>
    <w:rsid w:val="00FA03F5"/>
    <w:rsid w:val="00FA093B"/>
    <w:rsid w:val="00FA0B3E"/>
    <w:rsid w:val="00FA0C6E"/>
    <w:rsid w:val="00FA0F93"/>
    <w:rsid w:val="00FA1337"/>
    <w:rsid w:val="00FA14FB"/>
    <w:rsid w:val="00FA1B4F"/>
    <w:rsid w:val="00FA1B51"/>
    <w:rsid w:val="00FA20FB"/>
    <w:rsid w:val="00FA21A0"/>
    <w:rsid w:val="00FA2D30"/>
    <w:rsid w:val="00FA3494"/>
    <w:rsid w:val="00FA433C"/>
    <w:rsid w:val="00FA4AE7"/>
    <w:rsid w:val="00FA4DFF"/>
    <w:rsid w:val="00FA5458"/>
    <w:rsid w:val="00FA5E06"/>
    <w:rsid w:val="00FA5E07"/>
    <w:rsid w:val="00FA5FEB"/>
    <w:rsid w:val="00FA6067"/>
    <w:rsid w:val="00FA6975"/>
    <w:rsid w:val="00FA6BD9"/>
    <w:rsid w:val="00FA6C48"/>
    <w:rsid w:val="00FA6E06"/>
    <w:rsid w:val="00FA72AF"/>
    <w:rsid w:val="00FA740A"/>
    <w:rsid w:val="00FB0251"/>
    <w:rsid w:val="00FB0C05"/>
    <w:rsid w:val="00FB0EE0"/>
    <w:rsid w:val="00FB10BA"/>
    <w:rsid w:val="00FB12AB"/>
    <w:rsid w:val="00FB1B9E"/>
    <w:rsid w:val="00FB1C1E"/>
    <w:rsid w:val="00FB1F71"/>
    <w:rsid w:val="00FB2AFC"/>
    <w:rsid w:val="00FB2CE0"/>
    <w:rsid w:val="00FB2F41"/>
    <w:rsid w:val="00FB2F89"/>
    <w:rsid w:val="00FB37F7"/>
    <w:rsid w:val="00FB39EC"/>
    <w:rsid w:val="00FB3B5E"/>
    <w:rsid w:val="00FB3CB3"/>
    <w:rsid w:val="00FB43D2"/>
    <w:rsid w:val="00FB471C"/>
    <w:rsid w:val="00FB4D94"/>
    <w:rsid w:val="00FB50DA"/>
    <w:rsid w:val="00FB56DC"/>
    <w:rsid w:val="00FB58B1"/>
    <w:rsid w:val="00FB592E"/>
    <w:rsid w:val="00FB5A8E"/>
    <w:rsid w:val="00FB5CCF"/>
    <w:rsid w:val="00FB6104"/>
    <w:rsid w:val="00FB61EB"/>
    <w:rsid w:val="00FB6534"/>
    <w:rsid w:val="00FB6F69"/>
    <w:rsid w:val="00FB721E"/>
    <w:rsid w:val="00FC010E"/>
    <w:rsid w:val="00FC07DB"/>
    <w:rsid w:val="00FC0889"/>
    <w:rsid w:val="00FC1016"/>
    <w:rsid w:val="00FC15A8"/>
    <w:rsid w:val="00FC175F"/>
    <w:rsid w:val="00FC1CDF"/>
    <w:rsid w:val="00FC2305"/>
    <w:rsid w:val="00FC230E"/>
    <w:rsid w:val="00FC27F5"/>
    <w:rsid w:val="00FC2EA9"/>
    <w:rsid w:val="00FC3982"/>
    <w:rsid w:val="00FC3B35"/>
    <w:rsid w:val="00FC3D1B"/>
    <w:rsid w:val="00FC44C7"/>
    <w:rsid w:val="00FC4522"/>
    <w:rsid w:val="00FC47F9"/>
    <w:rsid w:val="00FC4B41"/>
    <w:rsid w:val="00FC545B"/>
    <w:rsid w:val="00FC5566"/>
    <w:rsid w:val="00FC5FA6"/>
    <w:rsid w:val="00FC6703"/>
    <w:rsid w:val="00FC6866"/>
    <w:rsid w:val="00FC6CE3"/>
    <w:rsid w:val="00FC739A"/>
    <w:rsid w:val="00FD04D2"/>
    <w:rsid w:val="00FD0554"/>
    <w:rsid w:val="00FD05BC"/>
    <w:rsid w:val="00FD08AC"/>
    <w:rsid w:val="00FD0B1C"/>
    <w:rsid w:val="00FD0B82"/>
    <w:rsid w:val="00FD0C4F"/>
    <w:rsid w:val="00FD2093"/>
    <w:rsid w:val="00FD2620"/>
    <w:rsid w:val="00FD2C56"/>
    <w:rsid w:val="00FD3664"/>
    <w:rsid w:val="00FD3DB7"/>
    <w:rsid w:val="00FD3F4D"/>
    <w:rsid w:val="00FD4244"/>
    <w:rsid w:val="00FD424F"/>
    <w:rsid w:val="00FD471B"/>
    <w:rsid w:val="00FD498B"/>
    <w:rsid w:val="00FD4B31"/>
    <w:rsid w:val="00FD4F60"/>
    <w:rsid w:val="00FD562B"/>
    <w:rsid w:val="00FD5D04"/>
    <w:rsid w:val="00FD63B4"/>
    <w:rsid w:val="00FD686E"/>
    <w:rsid w:val="00FD7040"/>
    <w:rsid w:val="00FD709F"/>
    <w:rsid w:val="00FD71AA"/>
    <w:rsid w:val="00FD7D80"/>
    <w:rsid w:val="00FD7DDB"/>
    <w:rsid w:val="00FD7FED"/>
    <w:rsid w:val="00FE09AA"/>
    <w:rsid w:val="00FE1022"/>
    <w:rsid w:val="00FE1F5A"/>
    <w:rsid w:val="00FE286B"/>
    <w:rsid w:val="00FE2B4C"/>
    <w:rsid w:val="00FE38E5"/>
    <w:rsid w:val="00FE4279"/>
    <w:rsid w:val="00FE497F"/>
    <w:rsid w:val="00FE4C97"/>
    <w:rsid w:val="00FE5580"/>
    <w:rsid w:val="00FE574D"/>
    <w:rsid w:val="00FE5A43"/>
    <w:rsid w:val="00FE5B73"/>
    <w:rsid w:val="00FE5B7C"/>
    <w:rsid w:val="00FE5ED0"/>
    <w:rsid w:val="00FE64F5"/>
    <w:rsid w:val="00FE689E"/>
    <w:rsid w:val="00FE6F13"/>
    <w:rsid w:val="00FE6F46"/>
    <w:rsid w:val="00FE7BD6"/>
    <w:rsid w:val="00FE7CC0"/>
    <w:rsid w:val="00FF010D"/>
    <w:rsid w:val="00FF0805"/>
    <w:rsid w:val="00FF095D"/>
    <w:rsid w:val="00FF0A28"/>
    <w:rsid w:val="00FF0C94"/>
    <w:rsid w:val="00FF0F21"/>
    <w:rsid w:val="00FF0F35"/>
    <w:rsid w:val="00FF0F8E"/>
    <w:rsid w:val="00FF110C"/>
    <w:rsid w:val="00FF13C3"/>
    <w:rsid w:val="00FF1504"/>
    <w:rsid w:val="00FF168F"/>
    <w:rsid w:val="00FF1729"/>
    <w:rsid w:val="00FF1AA6"/>
    <w:rsid w:val="00FF1B18"/>
    <w:rsid w:val="00FF1CDB"/>
    <w:rsid w:val="00FF21E1"/>
    <w:rsid w:val="00FF228A"/>
    <w:rsid w:val="00FF2703"/>
    <w:rsid w:val="00FF2E4B"/>
    <w:rsid w:val="00FF2EE5"/>
    <w:rsid w:val="00FF3250"/>
    <w:rsid w:val="00FF3255"/>
    <w:rsid w:val="00FF3661"/>
    <w:rsid w:val="00FF368D"/>
    <w:rsid w:val="00FF3BE4"/>
    <w:rsid w:val="00FF3D25"/>
    <w:rsid w:val="00FF4EC4"/>
    <w:rsid w:val="00FF4ECA"/>
    <w:rsid w:val="00FF52EF"/>
    <w:rsid w:val="00FF5699"/>
    <w:rsid w:val="00FF57FA"/>
    <w:rsid w:val="00FF5947"/>
    <w:rsid w:val="00FF63A3"/>
    <w:rsid w:val="00FF6755"/>
    <w:rsid w:val="00FF68B6"/>
    <w:rsid w:val="00FF69F5"/>
    <w:rsid w:val="00FF6A80"/>
    <w:rsid w:val="00FF6E81"/>
    <w:rsid w:val="00FF70FB"/>
    <w:rsid w:val="00FF724A"/>
    <w:rsid w:val="00FF78B0"/>
    <w:rsid w:val="00FF7A4F"/>
    <w:rsid w:val="00FF7F8C"/>
    <w:rsid w:val="1665C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9FB48"/>
  <w15:chartTrackingRefBased/>
  <w15:docId w15:val="{70F85EF9-2DF3-40DE-8C6F-BE500F85B4BF}"/>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51C42"/>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A51C42"/>
    <w:pPr>
      <w:numPr>
        <w:numId w:val="12"/>
      </w:numPr>
      <w:ind w:right="2160"/>
    </w:pPr>
    <w:rPr>
      <w:rFonts w:eastAsiaTheme="majorEastAsia" w:cstheme="majorBidi"/>
      <w:szCs w:val="32"/>
    </w:rPr>
  </w:style>
  <w:style w:type="paragraph" w:styleId="Heading2">
    <w:name w:val="heading 2"/>
    <w:basedOn w:val="Dummy"/>
    <w:next w:val="Standard"/>
    <w:link w:val="Heading2Char"/>
    <w:uiPriority w:val="4"/>
    <w:qFormat/>
    <w:rsid w:val="00A51C42"/>
    <w:pPr>
      <w:numPr>
        <w:ilvl w:val="1"/>
        <w:numId w:val="12"/>
      </w:numPr>
      <w:ind w:right="2160"/>
      <w:outlineLvl w:val="1"/>
    </w:pPr>
  </w:style>
  <w:style w:type="paragraph" w:styleId="Heading3">
    <w:name w:val="heading 3"/>
    <w:basedOn w:val="Dummy"/>
    <w:next w:val="Standard"/>
    <w:link w:val="Heading3Char"/>
    <w:uiPriority w:val="4"/>
    <w:qFormat/>
    <w:rsid w:val="00A51C42"/>
    <w:pPr>
      <w:numPr>
        <w:ilvl w:val="2"/>
        <w:numId w:val="12"/>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A51C42"/>
    <w:pPr>
      <w:numPr>
        <w:ilvl w:val="3"/>
        <w:numId w:val="12"/>
      </w:numPr>
      <w:ind w:right="2160"/>
      <w:outlineLvl w:val="3"/>
    </w:pPr>
    <w:rPr>
      <w:rFonts w:eastAsiaTheme="majorEastAsia" w:cstheme="majorBidi"/>
      <w:iCs/>
    </w:rPr>
  </w:style>
  <w:style w:type="paragraph" w:styleId="Heading5">
    <w:name w:val="heading 5"/>
    <w:basedOn w:val="Dummy"/>
    <w:next w:val="Standard"/>
    <w:link w:val="Heading5Char"/>
    <w:uiPriority w:val="4"/>
    <w:rsid w:val="00A51C42"/>
    <w:pPr>
      <w:numPr>
        <w:ilvl w:val="4"/>
        <w:numId w:val="12"/>
      </w:numPr>
      <w:ind w:right="2160"/>
      <w:outlineLvl w:val="4"/>
    </w:pPr>
    <w:rPr>
      <w:rFonts w:eastAsiaTheme="majorEastAsia" w:cstheme="majorBidi"/>
    </w:rPr>
  </w:style>
  <w:style w:type="paragraph" w:styleId="Heading6">
    <w:name w:val="heading 6"/>
    <w:basedOn w:val="Dummy"/>
    <w:next w:val="Standard"/>
    <w:link w:val="Heading6Char"/>
    <w:uiPriority w:val="4"/>
    <w:rsid w:val="00A51C42"/>
    <w:pPr>
      <w:numPr>
        <w:ilvl w:val="5"/>
        <w:numId w:val="12"/>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9660A9"/>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9660A9"/>
    <w:rPr>
      <w:rFonts w:ascii="Arial" w:hAnsi="Arial" w:cs="Arial"/>
      <w:b/>
      <w:sz w:val="26"/>
      <w:szCs w:val="26"/>
    </w:rPr>
  </w:style>
  <w:style w:type="character" w:customStyle="1" w:styleId="Heading3Char">
    <w:name w:val="Heading 3 Char"/>
    <w:basedOn w:val="DefaultParagraphFont"/>
    <w:link w:val="Heading3"/>
    <w:uiPriority w:val="4"/>
    <w:rsid w:val="009660A9"/>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9660A9"/>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9660A9"/>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aliases w:val="Footnote Text Char2 Char,Footnote Text Char Char Char,Footnote Text Char2 Char Char Char,Footnote Text Char Char Char Char Char,Footnote Text Char2 Char Char Char Char1 Char,Footnote Text Char2,Footnote Text Char Char,fn,ALTS FOOTNOTE,fn C"/>
    <w:basedOn w:val="Normal"/>
    <w:link w:val="FootnoteTextChar"/>
    <w:uiPriority w:val="99"/>
    <w:qFormat/>
    <w:rsid w:val="00B01F7E"/>
    <w:pPr>
      <w:spacing w:after="120" w:line="240" w:lineRule="auto"/>
      <w:ind w:firstLine="0"/>
    </w:pPr>
    <w:rPr>
      <w:sz w:val="22"/>
      <w:szCs w:val="20"/>
    </w:rPr>
  </w:style>
  <w:style w:type="character" w:customStyle="1" w:styleId="FootnoteTextChar">
    <w:name w:val="Footnote Text Char"/>
    <w:aliases w:val="Footnote Text Char2 Char Char,Footnote Text Char Char Char Char,Footnote Text Char2 Char Char Char Char,Footnote Text Char Char Char Char Char Char,Footnote Text Char2 Char Char Char Char1 Char Char,Footnote Text Char2 Char1,fn Char"/>
    <w:basedOn w:val="DefaultParagraphFont"/>
    <w:link w:val="FootnoteText"/>
    <w:uiPriority w:val="99"/>
    <w:rsid w:val="007657C1"/>
    <w:rPr>
      <w:rFonts w:ascii="Book Antiqua" w:hAnsi="Book Antiqua"/>
      <w:szCs w:val="20"/>
    </w:rPr>
  </w:style>
  <w:style w:type="character" w:styleId="FootnoteReference">
    <w:name w:val="footnote reference"/>
    <w:aliases w:val="o,fr,Style 3,o1,o2,o3,o4,o5,o6,o11,o21,o7,Style 17,Style 13,Appel note de bas de p,Style 12,(NECG) Footnote Reference,Style 124,o + Times New Roman,Style 58,Style 20,fr1,fr2,fr3,FR,Footnote Reference/,Style 6,Footnote Reference1,char"/>
    <w:basedOn w:val="DefaultParagraphFont"/>
    <w:uiPriority w:val="99"/>
    <w:unhideWhenUsed/>
    <w:qFormat/>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9660A9"/>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A51C42"/>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A51C42"/>
    <w:pPr>
      <w:numPr>
        <w:ilvl w:val="7"/>
        <w:numId w:val="12"/>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9660A9"/>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9660A9"/>
    <w:pPr>
      <w:spacing w:after="0"/>
    </w:pPr>
    <w:rPr>
      <w:sz w:val="22"/>
    </w:rPr>
  </w:style>
  <w:style w:type="paragraph" w:customStyle="1" w:styleId="ListNum">
    <w:name w:val="List Num"/>
    <w:basedOn w:val="Standard"/>
    <w:uiPriority w:val="4"/>
    <w:rsid w:val="00A51C42"/>
    <w:pPr>
      <w:numPr>
        <w:ilvl w:val="6"/>
        <w:numId w:val="12"/>
      </w:numPr>
      <w:spacing w:after="120" w:line="240" w:lineRule="auto"/>
    </w:pPr>
  </w:style>
  <w:style w:type="character" w:styleId="CommentReference">
    <w:name w:val="annotation reference"/>
    <w:basedOn w:val="DefaultParagraphFont"/>
    <w:uiPriority w:val="99"/>
    <w:semiHidden/>
    <w:unhideWhenUsed/>
    <w:rsid w:val="00877EA3"/>
    <w:rPr>
      <w:sz w:val="16"/>
      <w:szCs w:val="16"/>
    </w:rPr>
  </w:style>
  <w:style w:type="paragraph" w:styleId="CommentText">
    <w:name w:val="annotation text"/>
    <w:basedOn w:val="Normal"/>
    <w:link w:val="CommentTextChar"/>
    <w:uiPriority w:val="99"/>
    <w:unhideWhenUsed/>
    <w:rsid w:val="00877EA3"/>
    <w:pPr>
      <w:spacing w:line="240" w:lineRule="auto"/>
    </w:pPr>
    <w:rPr>
      <w:sz w:val="20"/>
      <w:szCs w:val="20"/>
    </w:rPr>
  </w:style>
  <w:style w:type="character" w:customStyle="1" w:styleId="CommentTextChar">
    <w:name w:val="Comment Text Char"/>
    <w:basedOn w:val="DefaultParagraphFont"/>
    <w:link w:val="CommentText"/>
    <w:uiPriority w:val="99"/>
    <w:rsid w:val="00877EA3"/>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877EA3"/>
    <w:rPr>
      <w:b/>
      <w:bCs/>
    </w:rPr>
  </w:style>
  <w:style w:type="character" w:customStyle="1" w:styleId="CommentSubjectChar">
    <w:name w:val="Comment Subject Char"/>
    <w:basedOn w:val="CommentTextChar"/>
    <w:link w:val="CommentSubject"/>
    <w:uiPriority w:val="99"/>
    <w:semiHidden/>
    <w:rsid w:val="00877EA3"/>
    <w:rPr>
      <w:rFonts w:ascii="Book Antiqua" w:hAnsi="Book Antiqua"/>
      <w:b/>
      <w:bCs/>
      <w:sz w:val="20"/>
      <w:szCs w:val="20"/>
    </w:rPr>
  </w:style>
  <w:style w:type="character" w:styleId="UnresolvedMention">
    <w:name w:val="Unresolved Mention"/>
    <w:basedOn w:val="DefaultParagraphFont"/>
    <w:uiPriority w:val="99"/>
    <w:semiHidden/>
    <w:unhideWhenUsed/>
    <w:rsid w:val="00490920"/>
    <w:rPr>
      <w:color w:val="605E5C"/>
      <w:shd w:val="clear" w:color="auto" w:fill="E1DFDD"/>
    </w:rPr>
  </w:style>
  <w:style w:type="paragraph" w:styleId="BodyText">
    <w:name w:val="Body Text"/>
    <w:basedOn w:val="Normal"/>
    <w:link w:val="BodyTextChar"/>
    <w:uiPriority w:val="1"/>
    <w:qFormat/>
    <w:rsid w:val="00C26A52"/>
    <w:pPr>
      <w:widowControl w:val="0"/>
      <w:autoSpaceDE w:val="0"/>
      <w:autoSpaceDN w:val="0"/>
      <w:spacing w:line="240" w:lineRule="auto"/>
      <w:ind w:firstLine="0"/>
    </w:pPr>
    <w:rPr>
      <w:rFonts w:ascii="Cambria" w:eastAsia="Cambria" w:hAnsi="Cambria" w:cs="Cambria"/>
      <w:sz w:val="25"/>
      <w:szCs w:val="25"/>
    </w:rPr>
  </w:style>
  <w:style w:type="character" w:customStyle="1" w:styleId="BodyTextChar">
    <w:name w:val="Body Text Char"/>
    <w:basedOn w:val="DefaultParagraphFont"/>
    <w:link w:val="BodyText"/>
    <w:uiPriority w:val="1"/>
    <w:rsid w:val="00C26A52"/>
    <w:rPr>
      <w:rFonts w:ascii="Cambria" w:eastAsia="Cambria" w:hAnsi="Cambria" w:cs="Cambria"/>
      <w:sz w:val="25"/>
      <w:szCs w:val="25"/>
    </w:rPr>
  </w:style>
  <w:style w:type="paragraph" w:styleId="NormalWeb">
    <w:name w:val="Normal (Web)"/>
    <w:basedOn w:val="Normal"/>
    <w:uiPriority w:val="99"/>
    <w:semiHidden/>
    <w:unhideWhenUsed/>
    <w:rsid w:val="00635ACA"/>
    <w:rPr>
      <w:rFonts w:ascii="Times New Roman" w:hAnsi="Times New Roman" w:cs="Times New Roman"/>
      <w:sz w:val="24"/>
      <w:szCs w:val="24"/>
    </w:rPr>
  </w:style>
  <w:style w:type="paragraph" w:styleId="ListParagraph">
    <w:name w:val="List Paragraph"/>
    <w:basedOn w:val="Normal"/>
    <w:uiPriority w:val="34"/>
    <w:qFormat/>
    <w:rsid w:val="00C02626"/>
    <w:pPr>
      <w:spacing w:after="160" w:line="259" w:lineRule="auto"/>
      <w:ind w:left="720" w:firstLine="0"/>
      <w:contextualSpacing/>
    </w:pPr>
    <w:rPr>
      <w:rFonts w:asciiTheme="minorHAnsi" w:hAnsiTheme="minorHAnsi"/>
      <w:kern w:val="2"/>
      <w:sz w:val="22"/>
      <w14:ligatures w14:val="standardContextual"/>
    </w:rPr>
  </w:style>
  <w:style w:type="paragraph" w:styleId="Revision">
    <w:name w:val="Revision"/>
    <w:hidden/>
    <w:uiPriority w:val="99"/>
    <w:semiHidden/>
    <w:rsid w:val="005448A3"/>
    <w:pPr>
      <w:spacing w:after="0" w:line="240" w:lineRule="auto"/>
    </w:pPr>
    <w:rPr>
      <w:rFonts w:ascii="Book Antiqua" w:hAnsi="Book Antiqua"/>
      <w:sz w:val="26"/>
    </w:rPr>
  </w:style>
  <w:style w:type="paragraph" w:customStyle="1" w:styleId="bullets">
    <w:name w:val="bullets"/>
    <w:basedOn w:val="Standard"/>
    <w:rsid w:val="0044219A"/>
    <w:pPr>
      <w:numPr>
        <w:numId w:val="20"/>
      </w:numPr>
      <w:spacing w:after="120" w:line="240" w:lineRule="auto"/>
    </w:pPr>
    <w:rPr>
      <w:rFonts w:ascii="Palatino" w:eastAsia="Times New Roman" w:hAnsi="Palatino" w:cs="Times New Roman"/>
      <w:bCs/>
      <w:szCs w:val="20"/>
    </w:rPr>
  </w:style>
  <w:style w:type="paragraph" w:customStyle="1" w:styleId="standard0">
    <w:name w:val="standard"/>
    <w:basedOn w:val="Normal"/>
    <w:link w:val="standardChar"/>
    <w:rsid w:val="00F0671E"/>
    <w:rPr>
      <w:rFonts w:ascii="Palatino" w:eastAsia="Times New Roman" w:hAnsi="Palatino" w:cs="Times New Roman"/>
      <w:szCs w:val="20"/>
    </w:rPr>
  </w:style>
  <w:style w:type="character" w:customStyle="1" w:styleId="standardChar">
    <w:name w:val="standard Char"/>
    <w:basedOn w:val="DefaultParagraphFont"/>
    <w:link w:val="standard0"/>
    <w:rsid w:val="00F0671E"/>
    <w:rPr>
      <w:rFonts w:ascii="Palatino" w:eastAsia="Times New Roman" w:hAnsi="Palatino"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467009">
      <w:bodyDiv w:val="1"/>
      <w:marLeft w:val="0"/>
      <w:marRight w:val="0"/>
      <w:marTop w:val="0"/>
      <w:marBottom w:val="0"/>
      <w:divBdr>
        <w:top w:val="none" w:sz="0" w:space="0" w:color="auto"/>
        <w:left w:val="none" w:sz="0" w:space="0" w:color="auto"/>
        <w:bottom w:val="none" w:sz="0" w:space="0" w:color="auto"/>
        <w:right w:val="none" w:sz="0" w:space="0" w:color="auto"/>
      </w:divBdr>
    </w:div>
    <w:div w:id="578906227">
      <w:bodyDiv w:val="1"/>
      <w:marLeft w:val="0"/>
      <w:marRight w:val="0"/>
      <w:marTop w:val="0"/>
      <w:marBottom w:val="0"/>
      <w:divBdr>
        <w:top w:val="none" w:sz="0" w:space="0" w:color="auto"/>
        <w:left w:val="none" w:sz="0" w:space="0" w:color="auto"/>
        <w:bottom w:val="none" w:sz="0" w:space="0" w:color="auto"/>
        <w:right w:val="none" w:sz="0" w:space="0" w:color="auto"/>
      </w:divBdr>
      <w:divsChild>
        <w:div w:id="1481190979">
          <w:marLeft w:val="0"/>
          <w:marRight w:val="0"/>
          <w:marTop w:val="0"/>
          <w:marBottom w:val="0"/>
          <w:divBdr>
            <w:top w:val="none" w:sz="0" w:space="0" w:color="auto"/>
            <w:left w:val="none" w:sz="0" w:space="0" w:color="auto"/>
            <w:bottom w:val="none" w:sz="0" w:space="0" w:color="auto"/>
            <w:right w:val="none" w:sz="0" w:space="0" w:color="auto"/>
          </w:divBdr>
          <w:divsChild>
            <w:div w:id="493297584">
              <w:marLeft w:val="0"/>
              <w:marRight w:val="0"/>
              <w:marTop w:val="0"/>
              <w:marBottom w:val="0"/>
              <w:divBdr>
                <w:top w:val="none" w:sz="0" w:space="0" w:color="auto"/>
                <w:left w:val="none" w:sz="0" w:space="0" w:color="auto"/>
                <w:bottom w:val="none" w:sz="0" w:space="0" w:color="auto"/>
                <w:right w:val="none" w:sz="0" w:space="0" w:color="auto"/>
              </w:divBdr>
              <w:divsChild>
                <w:div w:id="187332137">
                  <w:marLeft w:val="120"/>
                  <w:marRight w:val="0"/>
                  <w:marTop w:val="0"/>
                  <w:marBottom w:val="0"/>
                  <w:divBdr>
                    <w:top w:val="none" w:sz="0" w:space="0" w:color="auto"/>
                    <w:left w:val="none" w:sz="0" w:space="0" w:color="auto"/>
                    <w:bottom w:val="none" w:sz="0" w:space="0" w:color="auto"/>
                    <w:right w:val="none" w:sz="0" w:space="0" w:color="auto"/>
                  </w:divBdr>
                  <w:divsChild>
                    <w:div w:id="76946945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 w:id="1189491928">
              <w:marLeft w:val="0"/>
              <w:marRight w:val="0"/>
              <w:marTop w:val="0"/>
              <w:marBottom w:val="0"/>
              <w:divBdr>
                <w:top w:val="none" w:sz="0" w:space="0" w:color="auto"/>
                <w:left w:val="none" w:sz="0" w:space="0" w:color="auto"/>
                <w:bottom w:val="none" w:sz="0" w:space="0" w:color="auto"/>
                <w:right w:val="none" w:sz="0" w:space="0" w:color="auto"/>
              </w:divBdr>
              <w:divsChild>
                <w:div w:id="1626039382">
                  <w:marLeft w:val="0"/>
                  <w:marRight w:val="0"/>
                  <w:marTop w:val="0"/>
                  <w:marBottom w:val="0"/>
                  <w:divBdr>
                    <w:top w:val="none" w:sz="0" w:space="0" w:color="auto"/>
                    <w:left w:val="none" w:sz="0" w:space="0" w:color="auto"/>
                    <w:bottom w:val="none" w:sz="0" w:space="0" w:color="auto"/>
                    <w:right w:val="none" w:sz="0" w:space="0" w:color="auto"/>
                  </w:divBdr>
                  <w:divsChild>
                    <w:div w:id="864169326">
                      <w:marLeft w:val="0"/>
                      <w:marRight w:val="0"/>
                      <w:marTop w:val="120"/>
                      <w:marBottom w:val="0"/>
                      <w:divBdr>
                        <w:top w:val="none" w:sz="0" w:space="0" w:color="auto"/>
                        <w:left w:val="none" w:sz="0" w:space="0" w:color="auto"/>
                        <w:bottom w:val="none" w:sz="0" w:space="0" w:color="auto"/>
                        <w:right w:val="none" w:sz="0" w:space="0" w:color="auto"/>
                      </w:divBdr>
                    </w:div>
                  </w:divsChild>
                </w:div>
                <w:div w:id="245462821">
                  <w:marLeft w:val="210"/>
                  <w:marRight w:val="0"/>
                  <w:marTop w:val="0"/>
                  <w:marBottom w:val="0"/>
                  <w:divBdr>
                    <w:top w:val="none" w:sz="0" w:space="0" w:color="auto"/>
                    <w:left w:val="none" w:sz="0" w:space="0" w:color="auto"/>
                    <w:bottom w:val="none" w:sz="0" w:space="0" w:color="auto"/>
                    <w:right w:val="none" w:sz="0" w:space="0" w:color="auto"/>
                  </w:divBdr>
                </w:div>
                <w:div w:id="1638759555">
                  <w:marLeft w:val="0"/>
                  <w:marRight w:val="0"/>
                  <w:marTop w:val="0"/>
                  <w:marBottom w:val="0"/>
                  <w:divBdr>
                    <w:top w:val="single" w:sz="6" w:space="0" w:color="ACBAC9"/>
                    <w:left w:val="single" w:sz="6" w:space="0" w:color="ACBAC9"/>
                    <w:bottom w:val="single" w:sz="6" w:space="0" w:color="ACBAC9"/>
                    <w:right w:val="single" w:sz="6" w:space="0" w:color="ACBAC9"/>
                  </w:divBdr>
                  <w:divsChild>
                    <w:div w:id="10936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067206">
      <w:bodyDiv w:val="1"/>
      <w:marLeft w:val="0"/>
      <w:marRight w:val="0"/>
      <w:marTop w:val="0"/>
      <w:marBottom w:val="0"/>
      <w:divBdr>
        <w:top w:val="none" w:sz="0" w:space="0" w:color="auto"/>
        <w:left w:val="none" w:sz="0" w:space="0" w:color="auto"/>
        <w:bottom w:val="none" w:sz="0" w:space="0" w:color="auto"/>
        <w:right w:val="none" w:sz="0" w:space="0" w:color="auto"/>
      </w:divBdr>
    </w:div>
    <w:div w:id="1797216742">
      <w:bodyDiv w:val="1"/>
      <w:marLeft w:val="0"/>
      <w:marRight w:val="0"/>
      <w:marTop w:val="0"/>
      <w:marBottom w:val="0"/>
      <w:divBdr>
        <w:top w:val="none" w:sz="0" w:space="0" w:color="auto"/>
        <w:left w:val="none" w:sz="0" w:space="0" w:color="auto"/>
        <w:bottom w:val="none" w:sz="0" w:space="0" w:color="auto"/>
        <w:right w:val="none" w:sz="0" w:space="0" w:color="auto"/>
      </w:divBdr>
      <w:divsChild>
        <w:div w:id="1736588419">
          <w:marLeft w:val="0"/>
          <w:marRight w:val="0"/>
          <w:marTop w:val="0"/>
          <w:marBottom w:val="0"/>
          <w:divBdr>
            <w:top w:val="none" w:sz="0" w:space="0" w:color="auto"/>
            <w:left w:val="none" w:sz="0" w:space="0" w:color="auto"/>
            <w:bottom w:val="none" w:sz="0" w:space="0" w:color="auto"/>
            <w:right w:val="none" w:sz="0" w:space="0" w:color="auto"/>
          </w:divBdr>
          <w:divsChild>
            <w:div w:id="1275748773">
              <w:marLeft w:val="0"/>
              <w:marRight w:val="0"/>
              <w:marTop w:val="0"/>
              <w:marBottom w:val="0"/>
              <w:divBdr>
                <w:top w:val="none" w:sz="0" w:space="0" w:color="auto"/>
                <w:left w:val="none" w:sz="0" w:space="0" w:color="auto"/>
                <w:bottom w:val="none" w:sz="0" w:space="0" w:color="auto"/>
                <w:right w:val="none" w:sz="0" w:space="0" w:color="auto"/>
              </w:divBdr>
              <w:divsChild>
                <w:div w:id="1928494818">
                  <w:marLeft w:val="120"/>
                  <w:marRight w:val="0"/>
                  <w:marTop w:val="0"/>
                  <w:marBottom w:val="0"/>
                  <w:divBdr>
                    <w:top w:val="none" w:sz="0" w:space="0" w:color="auto"/>
                    <w:left w:val="none" w:sz="0" w:space="0" w:color="auto"/>
                    <w:bottom w:val="none" w:sz="0" w:space="0" w:color="auto"/>
                    <w:right w:val="none" w:sz="0" w:space="0" w:color="auto"/>
                  </w:divBdr>
                  <w:divsChild>
                    <w:div w:id="102644383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 w:id="1591541803">
              <w:marLeft w:val="0"/>
              <w:marRight w:val="0"/>
              <w:marTop w:val="0"/>
              <w:marBottom w:val="0"/>
              <w:divBdr>
                <w:top w:val="none" w:sz="0" w:space="0" w:color="auto"/>
                <w:left w:val="none" w:sz="0" w:space="0" w:color="auto"/>
                <w:bottom w:val="none" w:sz="0" w:space="0" w:color="auto"/>
                <w:right w:val="none" w:sz="0" w:space="0" w:color="auto"/>
              </w:divBdr>
              <w:divsChild>
                <w:div w:id="702289734">
                  <w:marLeft w:val="0"/>
                  <w:marRight w:val="0"/>
                  <w:marTop w:val="0"/>
                  <w:marBottom w:val="0"/>
                  <w:divBdr>
                    <w:top w:val="none" w:sz="0" w:space="0" w:color="auto"/>
                    <w:left w:val="none" w:sz="0" w:space="0" w:color="auto"/>
                    <w:bottom w:val="none" w:sz="0" w:space="0" w:color="auto"/>
                    <w:right w:val="none" w:sz="0" w:space="0" w:color="auto"/>
                  </w:divBdr>
                  <w:divsChild>
                    <w:div w:id="380178230">
                      <w:marLeft w:val="0"/>
                      <w:marRight w:val="0"/>
                      <w:marTop w:val="120"/>
                      <w:marBottom w:val="0"/>
                      <w:divBdr>
                        <w:top w:val="none" w:sz="0" w:space="0" w:color="auto"/>
                        <w:left w:val="none" w:sz="0" w:space="0" w:color="auto"/>
                        <w:bottom w:val="none" w:sz="0" w:space="0" w:color="auto"/>
                        <w:right w:val="none" w:sz="0" w:space="0" w:color="auto"/>
                      </w:divBdr>
                    </w:div>
                  </w:divsChild>
                </w:div>
                <w:div w:id="120148729">
                  <w:marLeft w:val="210"/>
                  <w:marRight w:val="0"/>
                  <w:marTop w:val="0"/>
                  <w:marBottom w:val="0"/>
                  <w:divBdr>
                    <w:top w:val="none" w:sz="0" w:space="0" w:color="auto"/>
                    <w:left w:val="none" w:sz="0" w:space="0" w:color="auto"/>
                    <w:bottom w:val="none" w:sz="0" w:space="0" w:color="auto"/>
                    <w:right w:val="none" w:sz="0" w:space="0" w:color="auto"/>
                  </w:divBdr>
                </w:div>
                <w:div w:id="692728114">
                  <w:marLeft w:val="0"/>
                  <w:marRight w:val="0"/>
                  <w:marTop w:val="0"/>
                  <w:marBottom w:val="0"/>
                  <w:divBdr>
                    <w:top w:val="single" w:sz="6" w:space="0" w:color="ACBAC9"/>
                    <w:left w:val="single" w:sz="6" w:space="0" w:color="ACBAC9"/>
                    <w:bottom w:val="single" w:sz="6" w:space="0" w:color="ACBAC9"/>
                    <w:right w:val="single" w:sz="6" w:space="0" w:color="ACBAC9"/>
                  </w:divBdr>
                  <w:divsChild>
                    <w:div w:id="112757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plus.lexis.com/api/document?collection=statutes-legislation&amp;id=urn:contentItem:66D4-MXF3-CGX8-03KY-00000-00&amp;context=1530671" TargetMode="External"/><Relationship Id="rId3" Type="http://schemas.openxmlformats.org/officeDocument/2006/relationships/hyperlink" Target="https://plus.lexis.com/api/document?collection=cases&amp;id=urn:contentItem:3RRK-NCT0-003C-H31F-00000-00&amp;context=1530671" TargetMode="External"/><Relationship Id="rId7" Type="http://schemas.openxmlformats.org/officeDocument/2006/relationships/hyperlink" Target="https://plus.lexis.com/api/document?collection=statutes-legislation&amp;id=urn:contentItem:66D4-MXF3-CGX8-03KY-00000-00&amp;context=1530671" TargetMode="External"/><Relationship Id="rId2" Type="http://schemas.openxmlformats.org/officeDocument/2006/relationships/hyperlink" Target="https://plus.lexis.com/api/document?collection=cases&amp;id=urn:contentItem:3RRK-NCT0-003C-H31F-00000-00&amp;context=1530671" TargetMode="External"/><Relationship Id="rId1" Type="http://schemas.openxmlformats.org/officeDocument/2006/relationships/hyperlink" Target="https://plus.lexis.com/api/document?collection=cases&amp;id=urn:contentItem:3RRK-NCT0-003C-H31F-00000-00&amp;context=1530671" TargetMode="External"/><Relationship Id="rId6" Type="http://schemas.openxmlformats.org/officeDocument/2006/relationships/hyperlink" Target="https://plus.lexis.com/api/document?collection=cases&amp;id=urn:contentItem:3RRK-NCT0-003C-H31F-00000-00&amp;context=1530671" TargetMode="External"/><Relationship Id="rId5" Type="http://schemas.openxmlformats.org/officeDocument/2006/relationships/hyperlink" Target="https://plus.lexis.com/api/document?collection=cases&amp;id=urn:contentItem:3RRK-NCT0-003C-H31F-00000-00&amp;context=1530671" TargetMode="External"/><Relationship Id="rId4" Type="http://schemas.openxmlformats.org/officeDocument/2006/relationships/hyperlink" Target="https://plus.lexis.com/api/document?collection=cases&amp;id=urn:contentItem:3RRK-NCT0-003C-H31F-00000-00&amp;context=15306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114c60f-d572-43b4-ba5f-295801837341" xsi:nil="true"/>
    <lcf76f155ced4ddcb4097134ff3c332f xmlns="0db3a248-2f3b-4e14-a06e-708bd1cc474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DF2F3AA19FF9418516062AF11C0ACF" ma:contentTypeVersion="17" ma:contentTypeDescription="Create a new document." ma:contentTypeScope="" ma:versionID="80575d62ecc55d6f04a1a66d8959c822">
  <xsd:schema xmlns:xsd="http://www.w3.org/2001/XMLSchema" xmlns:xs="http://www.w3.org/2001/XMLSchema" xmlns:p="http://schemas.microsoft.com/office/2006/metadata/properties" xmlns:ns2="8114c60f-d572-43b4-ba5f-295801837341" xmlns:ns3="0db3a248-2f3b-4e14-a06e-708bd1cc474a" targetNamespace="http://schemas.microsoft.com/office/2006/metadata/properties" ma:root="true" ma:fieldsID="11af4f0a5a0da12401308155740e01bd" ns2:_="" ns3:_="">
    <xsd:import namespace="8114c60f-d572-43b4-ba5f-295801837341"/>
    <xsd:import namespace="0db3a248-2f3b-4e14-a06e-708bd1cc47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3:MediaServiceOCR"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60f-d572-43b4-ba5f-2958018373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468275ae-ef1e-40ba-9e1a-f8e2345e05de}" ma:internalName="TaxCatchAll" ma:showField="CatchAllData" ma:web="8114c60f-d572-43b4-ba5f-2958018373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b3a248-2f3b-4e14-a06e-708bd1cc47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378C02-7A5C-4369-AF68-4B8D15F55988}">
  <ds:schemaRefs>
    <ds:schemaRef ds:uri="http://schemas.openxmlformats.org/officeDocument/2006/bibliography"/>
  </ds:schemaRefs>
</ds:datastoreItem>
</file>

<file path=customXml/itemProps2.xml><?xml version="1.0" encoding="utf-8"?>
<ds:datastoreItem xmlns:ds="http://schemas.openxmlformats.org/officeDocument/2006/customXml" ds:itemID="{25FE8546-0424-4964-BB54-50757C323580}">
  <ds:schemaRefs>
    <ds:schemaRef ds:uri="http://schemas.microsoft.com/office/2006/metadata/properties"/>
    <ds:schemaRef ds:uri="http://schemas.microsoft.com/office/infopath/2007/PartnerControls"/>
    <ds:schemaRef ds:uri="8114c60f-d572-43b4-ba5f-295801837341"/>
    <ds:schemaRef ds:uri="0db3a248-2f3b-4e14-a06e-708bd1cc474a"/>
  </ds:schemaRefs>
</ds:datastoreItem>
</file>

<file path=customXml/itemProps3.xml><?xml version="1.0" encoding="utf-8"?>
<ds:datastoreItem xmlns:ds="http://schemas.openxmlformats.org/officeDocument/2006/customXml" ds:itemID="{0DE18466-C2FE-474C-880F-3B1EC808E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c60f-d572-43b4-ba5f-295801837341"/>
    <ds:schemaRef ds:uri="0db3a248-2f3b-4e14-a06e-708bd1cc4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8B2AF3-8C65-45F2-8592-7EDE762725DC}">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58</ap:Pages>
  <ap:Words>12302</ap:Words>
  <ap:Characters>70128</ap:Characters>
  <ap:Application>Microsoft Office Word</ap:Application>
  <ap:DocSecurity>0</ap:DocSecurity>
  <ap:Lines>584</ap:Lines>
  <ap:Paragraphs>164</ap:Paragraphs>
  <ap:ScaleCrop>false</ap:ScaleCrop>
  <ap:Company/>
  <ap:LinksUpToDate>false</ap:LinksUpToDate>
  <ap:CharactersWithSpaces>82266</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2026-02-03T00:22:00Z</cp:lastPrinted>
  <dcterms:created xsi:type="dcterms:W3CDTF">2026-02-11T10:17:30Z</dcterms:created>
  <dcterms:modified xsi:type="dcterms:W3CDTF">2026-02-11T10:17:30Z</dcterms:modified>
</cp:coreProperties>
</file>